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F5E8B" w14:textId="7E9868F2" w:rsidR="00AD4D6A" w:rsidRDefault="00AD4D6A" w:rsidP="00AD4D6A">
      <w:pPr>
        <w:rPr>
          <w:lang w:val="en-US" w:eastAsia="ja-JP"/>
        </w:rPr>
      </w:pPr>
    </w:p>
    <w:p w14:paraId="37FF1841" w14:textId="505257B2" w:rsidR="006E09E9" w:rsidRDefault="006E09E9" w:rsidP="00AD4D6A">
      <w:pPr>
        <w:rPr>
          <w:lang w:val="en-US" w:eastAsia="ja-JP"/>
        </w:rPr>
      </w:pPr>
    </w:p>
    <w:p w14:paraId="01FB1897" w14:textId="18EB12ED" w:rsidR="006E09E9" w:rsidRDefault="006E09E9" w:rsidP="00AD4D6A">
      <w:pPr>
        <w:rPr>
          <w:lang w:val="en-US" w:eastAsia="ja-JP"/>
        </w:rPr>
      </w:pPr>
    </w:p>
    <w:p w14:paraId="0D41DF2D" w14:textId="331B79FF" w:rsidR="006E09E9" w:rsidRDefault="006E09E9" w:rsidP="00AD4D6A">
      <w:pPr>
        <w:rPr>
          <w:lang w:val="en-US" w:eastAsia="ja-JP"/>
        </w:rPr>
      </w:pPr>
    </w:p>
    <w:p w14:paraId="5A75F9B6" w14:textId="7AF9A06B" w:rsidR="006E09E9" w:rsidRPr="00AD4D6A" w:rsidRDefault="006E09E9" w:rsidP="00AD4D6A">
      <w:pPr>
        <w:rPr>
          <w:lang w:val="en-US" w:eastAsia="ja-JP"/>
        </w:rPr>
      </w:pPr>
    </w:p>
    <w:p w14:paraId="4D6A8EDC" w14:textId="77777777" w:rsidR="00291378" w:rsidRPr="00CA2568" w:rsidRDefault="00291378" w:rsidP="002E1C85">
      <w:pPr>
        <w:widowControl w:val="0"/>
        <w:adjustRightInd w:val="0"/>
        <w:spacing w:after="0" w:line="240" w:lineRule="auto"/>
        <w:jc w:val="center"/>
        <w:textAlignment w:val="baseline"/>
        <w:rPr>
          <w:rFonts w:ascii="Verdana" w:eastAsia="Calibri" w:hAnsi="Verdana" w:cs="Calibri"/>
          <w:b/>
          <w:sz w:val="20"/>
          <w:szCs w:val="20"/>
          <w:lang w:val="es-CR" w:eastAsia="es-CR"/>
        </w:rPr>
      </w:pPr>
    </w:p>
    <w:p w14:paraId="64AA5D4E" w14:textId="77777777" w:rsidR="002E1C85" w:rsidRPr="002E1C85" w:rsidRDefault="002E1C85" w:rsidP="002E1C85">
      <w:pPr>
        <w:widowControl w:val="0"/>
        <w:adjustRightInd w:val="0"/>
        <w:spacing w:after="0" w:line="240" w:lineRule="auto"/>
        <w:jc w:val="center"/>
        <w:textAlignment w:val="baseline"/>
        <w:rPr>
          <w:rFonts w:ascii="Verdana" w:eastAsia="Calibri" w:hAnsi="Verdana" w:cs="Calibri"/>
          <w:b/>
          <w:sz w:val="20"/>
          <w:szCs w:val="20"/>
          <w:lang w:val="es-ES" w:eastAsia="es-CR"/>
        </w:rPr>
      </w:pPr>
      <w:r w:rsidRPr="002E1C85">
        <w:rPr>
          <w:rFonts w:ascii="Verdana" w:eastAsia="Calibri" w:hAnsi="Verdana" w:cs="Calibri"/>
          <w:b/>
          <w:sz w:val="20"/>
          <w:szCs w:val="20"/>
          <w:lang w:val="es-ES" w:eastAsia="es-CR"/>
        </w:rPr>
        <w:t>CORTE INTERAMERICANA DE DERECHOS HUMANOS</w:t>
      </w:r>
    </w:p>
    <w:p w14:paraId="64AA5D4F" w14:textId="77777777" w:rsidR="002E1C85" w:rsidRPr="002E1C85" w:rsidRDefault="002E1C85" w:rsidP="002E1C85">
      <w:pPr>
        <w:widowControl w:val="0"/>
        <w:tabs>
          <w:tab w:val="left" w:pos="720"/>
        </w:tabs>
        <w:adjustRightInd w:val="0"/>
        <w:spacing w:after="0" w:line="240" w:lineRule="auto"/>
        <w:jc w:val="center"/>
        <w:textAlignment w:val="baseline"/>
        <w:rPr>
          <w:rFonts w:ascii="Verdana" w:eastAsia="Calibri" w:hAnsi="Verdana" w:cs="Verdana"/>
          <w:b/>
          <w:bCs/>
          <w:caps/>
          <w:snapToGrid w:val="0"/>
          <w:sz w:val="20"/>
          <w:szCs w:val="20"/>
          <w:lang w:val="es-ES" w:eastAsia="es-ES"/>
        </w:rPr>
      </w:pPr>
    </w:p>
    <w:p w14:paraId="64AA5D50" w14:textId="537B92C4" w:rsidR="002E1C85" w:rsidRPr="002E1C85" w:rsidRDefault="002E1C85" w:rsidP="002E1C85">
      <w:pPr>
        <w:spacing w:after="0" w:line="240" w:lineRule="auto"/>
        <w:jc w:val="center"/>
        <w:rPr>
          <w:rFonts w:ascii="Verdana" w:eastAsia="Calibri" w:hAnsi="Verdana" w:cs="Calibri"/>
          <w:b/>
          <w:sz w:val="20"/>
          <w:szCs w:val="20"/>
          <w:lang w:val="es-CR" w:eastAsia="es-CR"/>
        </w:rPr>
      </w:pPr>
      <w:r w:rsidRPr="002E1C85">
        <w:rPr>
          <w:rFonts w:ascii="Verdana" w:eastAsia="Calibri" w:hAnsi="Verdana" w:cs="Calibri"/>
          <w:b/>
          <w:sz w:val="20"/>
          <w:szCs w:val="20"/>
          <w:lang w:val="es-CR" w:eastAsia="es-CR"/>
        </w:rPr>
        <w:t xml:space="preserve">CASO ALVARADO ESPINOZA Y OTROS </w:t>
      </w:r>
      <w:r w:rsidRPr="0029469F">
        <w:rPr>
          <w:rFonts w:ascii="Verdana" w:eastAsia="Calibri" w:hAnsi="Verdana" w:cs="Calibri"/>
          <w:b/>
          <w:i/>
          <w:sz w:val="20"/>
          <w:szCs w:val="20"/>
          <w:lang w:val="es-CR" w:eastAsia="es-CR"/>
        </w:rPr>
        <w:t>VS</w:t>
      </w:r>
      <w:r w:rsidRPr="00AD4631">
        <w:rPr>
          <w:rFonts w:ascii="Verdana" w:eastAsia="Calibri" w:hAnsi="Verdana" w:cs="Calibri"/>
          <w:b/>
          <w:sz w:val="20"/>
          <w:szCs w:val="20"/>
          <w:lang w:val="es-CR" w:eastAsia="es-CR"/>
        </w:rPr>
        <w:t>.</w:t>
      </w:r>
      <w:r w:rsidRPr="00AD4631">
        <w:rPr>
          <w:rFonts w:ascii="Verdana" w:eastAsia="Calibri" w:hAnsi="Verdana" w:cs="Calibri"/>
          <w:b/>
          <w:i/>
          <w:sz w:val="20"/>
          <w:szCs w:val="20"/>
          <w:lang w:val="es-CR" w:eastAsia="es-CR"/>
        </w:rPr>
        <w:t xml:space="preserve"> </w:t>
      </w:r>
      <w:r w:rsidR="002E7B1B">
        <w:rPr>
          <w:rFonts w:ascii="Verdana" w:eastAsia="Calibri" w:hAnsi="Verdana" w:cs="Calibri"/>
          <w:b/>
          <w:sz w:val="20"/>
          <w:szCs w:val="20"/>
          <w:lang w:val="es-CR" w:eastAsia="es-CR"/>
        </w:rPr>
        <w:t>MÉ</w:t>
      </w:r>
      <w:r w:rsidR="008A3009" w:rsidRPr="008A3009">
        <w:rPr>
          <w:rFonts w:ascii="Verdana" w:eastAsia="Calibri" w:hAnsi="Verdana" w:cs="Calibri"/>
          <w:b/>
          <w:sz w:val="20"/>
          <w:szCs w:val="20"/>
          <w:lang w:val="es-CR" w:eastAsia="es-CR"/>
        </w:rPr>
        <w:t>XICO</w:t>
      </w:r>
    </w:p>
    <w:p w14:paraId="64AA5D51" w14:textId="77777777" w:rsidR="002E1C85" w:rsidRPr="002E1C85" w:rsidRDefault="002E1C85" w:rsidP="002E1C85">
      <w:pPr>
        <w:widowControl w:val="0"/>
        <w:tabs>
          <w:tab w:val="left" w:pos="720"/>
        </w:tabs>
        <w:adjustRightInd w:val="0"/>
        <w:spacing w:after="0" w:line="240" w:lineRule="auto"/>
        <w:jc w:val="center"/>
        <w:textAlignment w:val="baseline"/>
        <w:rPr>
          <w:rFonts w:ascii="Verdana" w:eastAsia="Calibri" w:hAnsi="Verdana" w:cs="Verdana"/>
          <w:b/>
          <w:bCs/>
          <w:caps/>
          <w:snapToGrid w:val="0"/>
          <w:sz w:val="20"/>
          <w:szCs w:val="20"/>
          <w:lang w:val="es-ES" w:eastAsia="es-ES"/>
        </w:rPr>
      </w:pPr>
    </w:p>
    <w:p w14:paraId="64AA5D52" w14:textId="017817BB" w:rsidR="002E1C85" w:rsidRPr="002E1C85" w:rsidRDefault="00E01110" w:rsidP="002E1C85">
      <w:pPr>
        <w:widowControl w:val="0"/>
        <w:tabs>
          <w:tab w:val="left" w:pos="720"/>
        </w:tabs>
        <w:adjustRightInd w:val="0"/>
        <w:spacing w:after="0" w:line="240" w:lineRule="auto"/>
        <w:jc w:val="center"/>
        <w:textAlignment w:val="baseline"/>
        <w:rPr>
          <w:rFonts w:ascii="Verdana" w:eastAsia="Calibri" w:hAnsi="Verdana" w:cs="Verdana"/>
          <w:b/>
          <w:bCs/>
          <w:snapToGrid w:val="0"/>
          <w:sz w:val="20"/>
          <w:szCs w:val="20"/>
          <w:lang w:val="es-ES" w:eastAsia="es-ES"/>
        </w:rPr>
      </w:pPr>
      <w:r>
        <w:rPr>
          <w:rFonts w:ascii="Verdana" w:eastAsia="Calibri" w:hAnsi="Verdana" w:cs="Verdana"/>
          <w:b/>
          <w:bCs/>
          <w:snapToGrid w:val="0"/>
          <w:sz w:val="20"/>
          <w:szCs w:val="20"/>
          <w:lang w:val="es-ES" w:eastAsia="es-ES"/>
        </w:rPr>
        <w:t xml:space="preserve">SENTENCIA DE </w:t>
      </w:r>
      <w:r w:rsidR="00334B7D">
        <w:rPr>
          <w:rFonts w:ascii="Verdana" w:eastAsia="Calibri" w:hAnsi="Verdana" w:cs="Verdana"/>
          <w:b/>
          <w:bCs/>
          <w:snapToGrid w:val="0"/>
          <w:sz w:val="20"/>
          <w:szCs w:val="20"/>
          <w:lang w:val="es-ES" w:eastAsia="es-ES"/>
        </w:rPr>
        <w:t>28</w:t>
      </w:r>
      <w:r>
        <w:rPr>
          <w:rFonts w:ascii="Verdana" w:eastAsia="Calibri" w:hAnsi="Verdana" w:cs="Verdana"/>
          <w:b/>
          <w:bCs/>
          <w:snapToGrid w:val="0"/>
          <w:sz w:val="20"/>
          <w:szCs w:val="20"/>
          <w:lang w:val="es-ES" w:eastAsia="es-ES"/>
        </w:rPr>
        <w:t xml:space="preserve"> DE NOVIEMBRE</w:t>
      </w:r>
      <w:r w:rsidR="002E1C85" w:rsidRPr="002E1C85">
        <w:rPr>
          <w:rFonts w:ascii="Verdana" w:eastAsia="Calibri" w:hAnsi="Verdana" w:cs="Verdana"/>
          <w:b/>
          <w:bCs/>
          <w:snapToGrid w:val="0"/>
          <w:sz w:val="20"/>
          <w:szCs w:val="20"/>
          <w:lang w:val="es-ES" w:eastAsia="es-ES"/>
        </w:rPr>
        <w:t xml:space="preserve"> DE 2018</w:t>
      </w:r>
    </w:p>
    <w:p w14:paraId="64AA5D53" w14:textId="77777777" w:rsidR="002E1C85" w:rsidRPr="002E1C85" w:rsidRDefault="002E1C85" w:rsidP="002E1C85">
      <w:pPr>
        <w:widowControl w:val="0"/>
        <w:tabs>
          <w:tab w:val="left" w:pos="720"/>
        </w:tabs>
        <w:adjustRightInd w:val="0"/>
        <w:spacing w:after="0" w:line="240" w:lineRule="auto"/>
        <w:jc w:val="center"/>
        <w:textAlignment w:val="baseline"/>
        <w:rPr>
          <w:rFonts w:ascii="Verdana" w:eastAsia="Calibri" w:hAnsi="Verdana" w:cs="Verdana"/>
          <w:b/>
          <w:bCs/>
          <w:caps/>
          <w:snapToGrid w:val="0"/>
          <w:sz w:val="20"/>
          <w:szCs w:val="20"/>
          <w:lang w:val="es-ES" w:eastAsia="es-ES"/>
        </w:rPr>
      </w:pPr>
    </w:p>
    <w:p w14:paraId="64AA5D54" w14:textId="77777777" w:rsidR="002E1C85" w:rsidRDefault="002E1C85" w:rsidP="002E1C85">
      <w:pPr>
        <w:widowControl w:val="0"/>
        <w:tabs>
          <w:tab w:val="left" w:pos="720"/>
        </w:tabs>
        <w:adjustRightInd w:val="0"/>
        <w:spacing w:after="0" w:line="240" w:lineRule="auto"/>
        <w:jc w:val="center"/>
        <w:textAlignment w:val="baseline"/>
        <w:rPr>
          <w:rFonts w:ascii="Verdana" w:eastAsia="Calibri" w:hAnsi="Verdana" w:cs="Verdana"/>
          <w:b/>
          <w:bCs/>
          <w:i/>
          <w:iCs/>
          <w:snapToGrid w:val="0"/>
          <w:sz w:val="20"/>
          <w:szCs w:val="20"/>
          <w:lang w:val="es-ES" w:eastAsia="es-ES"/>
        </w:rPr>
      </w:pPr>
      <w:r w:rsidRPr="002E1C85">
        <w:rPr>
          <w:rFonts w:ascii="Verdana" w:eastAsia="Calibri" w:hAnsi="Verdana" w:cs="Verdana"/>
          <w:b/>
          <w:bCs/>
          <w:i/>
          <w:iCs/>
          <w:snapToGrid w:val="0"/>
          <w:sz w:val="20"/>
          <w:szCs w:val="20"/>
          <w:lang w:val="es-ES" w:eastAsia="es-ES"/>
        </w:rPr>
        <w:t>(Fondo, Reparaciones y Costas)</w:t>
      </w:r>
    </w:p>
    <w:p w14:paraId="64AA5D55" w14:textId="77777777" w:rsidR="00DF112B" w:rsidRPr="002E1C85" w:rsidRDefault="00DF112B" w:rsidP="00C90B3F">
      <w:pPr>
        <w:widowControl w:val="0"/>
        <w:tabs>
          <w:tab w:val="left" w:pos="720"/>
        </w:tabs>
        <w:adjustRightInd w:val="0"/>
        <w:spacing w:before="120" w:after="120" w:line="240" w:lineRule="auto"/>
        <w:jc w:val="center"/>
        <w:textAlignment w:val="baseline"/>
        <w:rPr>
          <w:rFonts w:ascii="Verdana" w:eastAsia="Calibri" w:hAnsi="Verdana" w:cs="Verdana"/>
          <w:b/>
          <w:bCs/>
          <w:caps/>
          <w:snapToGrid w:val="0"/>
          <w:sz w:val="20"/>
          <w:szCs w:val="20"/>
          <w:lang w:val="es-ES" w:eastAsia="es-ES"/>
        </w:rPr>
      </w:pPr>
    </w:p>
    <w:p w14:paraId="64AA5D56" w14:textId="77777777" w:rsidR="002E1C85" w:rsidRPr="002E1C85" w:rsidRDefault="002E1C85" w:rsidP="00C90B3F">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64AA5D57" w14:textId="77777777" w:rsidR="002E1C85" w:rsidRPr="002E1C85" w:rsidRDefault="002E1C85" w:rsidP="002E1C85">
      <w:pPr>
        <w:widowControl w:val="0"/>
        <w:tabs>
          <w:tab w:val="left" w:pos="720"/>
        </w:tabs>
        <w:adjustRightInd w:val="0"/>
        <w:spacing w:after="0" w:line="240" w:lineRule="auto"/>
        <w:jc w:val="both"/>
        <w:textAlignment w:val="baseline"/>
        <w:rPr>
          <w:rFonts w:ascii="Verdana" w:eastAsia="Verdana" w:hAnsi="Verdana" w:cs="Verdana"/>
          <w:sz w:val="20"/>
          <w:szCs w:val="20"/>
          <w:lang w:val="es-ES" w:eastAsia="es-CR"/>
        </w:rPr>
      </w:pPr>
      <w:r w:rsidRPr="002E1C85">
        <w:rPr>
          <w:rFonts w:ascii="Verdana" w:eastAsia="Verdana" w:hAnsi="Verdana" w:cs="Verdana"/>
          <w:sz w:val="20"/>
          <w:szCs w:val="20"/>
          <w:lang w:val="es-ES" w:eastAsia="es-CR"/>
        </w:rPr>
        <w:t xml:space="preserve">En el caso </w:t>
      </w:r>
      <w:r w:rsidRPr="002E1C85">
        <w:rPr>
          <w:rFonts w:ascii="Verdana" w:eastAsia="Verdana" w:hAnsi="Verdana" w:cs="Verdana"/>
          <w:i/>
          <w:sz w:val="20"/>
          <w:szCs w:val="20"/>
          <w:lang w:val="es-ES" w:eastAsia="es-CR"/>
        </w:rPr>
        <w:t>Alvarado Espinoza y otros</w:t>
      </w:r>
      <w:r w:rsidRPr="002E1C85">
        <w:rPr>
          <w:rFonts w:ascii="Verdana" w:eastAsia="Verdana" w:hAnsi="Verdana" w:cs="Verdana"/>
          <w:sz w:val="20"/>
          <w:szCs w:val="20"/>
          <w:lang w:val="es-ES" w:eastAsia="es-CR"/>
        </w:rPr>
        <w:t>,</w:t>
      </w:r>
    </w:p>
    <w:p w14:paraId="64AA5D58" w14:textId="77777777" w:rsidR="002E1C85" w:rsidRPr="002E1C85" w:rsidRDefault="002E1C85" w:rsidP="00C90B3F">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0221FC57" w14:textId="4739486D" w:rsidR="00CB2BBC" w:rsidRPr="002E1C85" w:rsidRDefault="002E1C85" w:rsidP="00C90B3F">
      <w:pPr>
        <w:widowControl w:val="0"/>
        <w:adjustRightInd w:val="0"/>
        <w:spacing w:after="0" w:line="240" w:lineRule="auto"/>
        <w:textAlignment w:val="baseline"/>
        <w:rPr>
          <w:rFonts w:ascii="Verdana" w:eastAsiaTheme="minorHAnsi" w:hAnsi="Verdana" w:cs="Times New Roman"/>
          <w:sz w:val="20"/>
          <w:szCs w:val="20"/>
          <w:lang w:val="es-CR" w:eastAsia="es-CR"/>
        </w:rPr>
      </w:pPr>
      <w:r w:rsidRPr="002E1C85">
        <w:rPr>
          <w:rFonts w:ascii="Verdana" w:eastAsia="Calibri" w:hAnsi="Verdana" w:cs="Verdana"/>
          <w:sz w:val="20"/>
          <w:szCs w:val="20"/>
          <w:lang w:val="es-ES" w:eastAsia="es-CR"/>
        </w:rPr>
        <w:t>la Corte Interamericana de Derechos Humanos (en adelante “la Corte Interamericana”, “la Corte” o “este Tribunal”), integrada por los siguientes jueces</w:t>
      </w:r>
      <w:r w:rsidRPr="002E1C85">
        <w:rPr>
          <w:rFonts w:ascii="Verdana" w:eastAsia="Times New Roman" w:hAnsi="Verdana" w:cs="Times New Roman"/>
          <w:sz w:val="20"/>
          <w:szCs w:val="20"/>
          <w:lang w:val="es-CR" w:eastAsia="es-CR"/>
        </w:rPr>
        <w:footnoteReference w:customMarkFollows="1" w:id="2"/>
        <w:t>*</w:t>
      </w:r>
      <w:r w:rsidRPr="002E1C85">
        <w:rPr>
          <w:rFonts w:ascii="Verdana" w:eastAsia="Calibri" w:hAnsi="Verdana" w:cs="Verdana"/>
          <w:sz w:val="20"/>
          <w:szCs w:val="20"/>
          <w:lang w:val="es-ES" w:eastAsia="es-CR"/>
        </w:rPr>
        <w:t>:</w:t>
      </w:r>
    </w:p>
    <w:p w14:paraId="64AA5D5A" w14:textId="77777777" w:rsidR="002E1C85" w:rsidRPr="002E1C85" w:rsidRDefault="002E1C85" w:rsidP="00C90B3F">
      <w:pPr>
        <w:widowControl w:val="0"/>
        <w:adjustRightInd w:val="0"/>
        <w:spacing w:after="0" w:line="240" w:lineRule="auto"/>
        <w:textAlignment w:val="baseline"/>
        <w:rPr>
          <w:rFonts w:ascii="Verdana" w:eastAsia="Calibri" w:hAnsi="Verdana" w:cs="Verdana"/>
          <w:sz w:val="20"/>
          <w:szCs w:val="20"/>
          <w:lang w:val="es-ES" w:eastAsia="es-CR"/>
        </w:rPr>
      </w:pPr>
    </w:p>
    <w:p w14:paraId="64AA5D5B" w14:textId="77777777" w:rsidR="002E1C85" w:rsidRPr="002E1C85" w:rsidRDefault="002E1C85" w:rsidP="002E1C85">
      <w:pPr>
        <w:widowControl w:val="0"/>
        <w:tabs>
          <w:tab w:val="left" w:pos="720"/>
        </w:tabs>
        <w:adjustRightInd w:val="0"/>
        <w:spacing w:after="0" w:line="240" w:lineRule="auto"/>
        <w:jc w:val="both"/>
        <w:textAlignment w:val="baseline"/>
        <w:rPr>
          <w:rFonts w:ascii="Verdana" w:eastAsia="Calibri" w:hAnsi="Verdana" w:cs="Verdana"/>
          <w:sz w:val="20"/>
          <w:szCs w:val="20"/>
          <w:lang w:val="es-CR" w:eastAsia="es-CR"/>
        </w:rPr>
      </w:pPr>
      <w:r w:rsidRPr="002E1C85">
        <w:rPr>
          <w:rFonts w:ascii="Verdana" w:eastAsia="Calibri" w:hAnsi="Verdana" w:cs="Verdana"/>
          <w:sz w:val="20"/>
          <w:szCs w:val="20"/>
          <w:lang w:val="es-CR" w:eastAsia="es-CR"/>
        </w:rPr>
        <w:t>Eduardo Vio Grossi, Presidente en ejercicio;</w:t>
      </w:r>
    </w:p>
    <w:p w14:paraId="64AA5D5C" w14:textId="77331767" w:rsidR="002E1C85" w:rsidRPr="002E1C85" w:rsidRDefault="002E1C85" w:rsidP="002E1C85">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E1C85">
        <w:rPr>
          <w:rFonts w:ascii="Verdana" w:eastAsia="Calibri" w:hAnsi="Verdana" w:cs="Verdana"/>
          <w:sz w:val="20"/>
          <w:szCs w:val="20"/>
          <w:lang w:val="es-ES" w:eastAsia="es-CR"/>
        </w:rPr>
        <w:t>Humberto Antonio Sierra Porto</w:t>
      </w:r>
      <w:r w:rsidR="00334B7D">
        <w:rPr>
          <w:rFonts w:ascii="Verdana" w:eastAsia="Calibri" w:hAnsi="Verdana" w:cs="Verdana"/>
          <w:sz w:val="20"/>
          <w:szCs w:val="20"/>
          <w:lang w:val="es-ES" w:eastAsia="es-CR"/>
        </w:rPr>
        <w:t>, Juez;</w:t>
      </w:r>
    </w:p>
    <w:p w14:paraId="64AA5D5D" w14:textId="77777777" w:rsidR="002E1C85" w:rsidRPr="002E1C85" w:rsidRDefault="002E1C85" w:rsidP="002E1C85">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E1C85">
        <w:rPr>
          <w:rFonts w:ascii="Verdana" w:eastAsia="Calibri" w:hAnsi="Verdana" w:cs="Verdana"/>
          <w:sz w:val="20"/>
          <w:szCs w:val="20"/>
          <w:lang w:val="es-ES" w:eastAsia="es-CR"/>
        </w:rPr>
        <w:t>Elizabeth Odio Benito, Jueza;</w:t>
      </w:r>
    </w:p>
    <w:p w14:paraId="64AA5D5E" w14:textId="77777777" w:rsidR="002E1C85" w:rsidRPr="002E1C85" w:rsidRDefault="002E1C85" w:rsidP="002E1C85">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E1C85">
        <w:rPr>
          <w:rFonts w:ascii="Verdana" w:eastAsia="Calibri" w:hAnsi="Verdana" w:cs="Verdana"/>
          <w:sz w:val="20"/>
          <w:szCs w:val="20"/>
          <w:lang w:val="es-ES" w:eastAsia="es-CR"/>
        </w:rPr>
        <w:t>Eugenio Raúl Zaffaroni, Juez, y</w:t>
      </w:r>
    </w:p>
    <w:p w14:paraId="64AA5D5F" w14:textId="77777777" w:rsidR="002E1C85" w:rsidRPr="002E1C85" w:rsidRDefault="002E1C85" w:rsidP="002E1C85">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E1C85">
        <w:rPr>
          <w:rFonts w:ascii="Verdana" w:eastAsia="Calibri" w:hAnsi="Verdana" w:cs="Verdana"/>
          <w:sz w:val="20"/>
          <w:szCs w:val="20"/>
          <w:lang w:val="es-ES" w:eastAsia="es-CR"/>
        </w:rPr>
        <w:t>L. Patricio Pazmiño Freire, Juez;</w:t>
      </w:r>
    </w:p>
    <w:p w14:paraId="64AA5D60" w14:textId="77777777" w:rsidR="002E1C85" w:rsidRPr="002E1C85" w:rsidRDefault="002E1C85" w:rsidP="002E1C85">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64AA5D61" w14:textId="25FFC9E5" w:rsidR="002E1C85" w:rsidRPr="002E1C85" w:rsidRDefault="006144B1" w:rsidP="002E1C85">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Pr>
          <w:rFonts w:ascii="Verdana" w:eastAsia="Calibri" w:hAnsi="Verdana" w:cs="Verdana"/>
          <w:sz w:val="20"/>
          <w:szCs w:val="20"/>
          <w:lang w:val="es-ES" w:eastAsia="es-CR"/>
        </w:rPr>
        <w:t>presente</w:t>
      </w:r>
      <w:r w:rsidR="002E1C85" w:rsidRPr="002E1C85">
        <w:rPr>
          <w:rFonts w:ascii="Verdana" w:eastAsia="Calibri" w:hAnsi="Verdana" w:cs="Verdana"/>
          <w:sz w:val="20"/>
          <w:szCs w:val="20"/>
          <w:lang w:val="es-ES" w:eastAsia="es-CR"/>
        </w:rPr>
        <w:t xml:space="preserve"> además,</w:t>
      </w:r>
    </w:p>
    <w:p w14:paraId="64AA5D62" w14:textId="77777777" w:rsidR="002E1C85" w:rsidRPr="002E1C85" w:rsidRDefault="002E1C85" w:rsidP="002E1C85">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64AA5D63" w14:textId="00F6407F" w:rsidR="002E1C85" w:rsidRPr="002E1C85" w:rsidRDefault="002E1C85" w:rsidP="002E1C85">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E1C85">
        <w:rPr>
          <w:rFonts w:ascii="Verdana" w:eastAsia="Calibri" w:hAnsi="Verdana" w:cs="Verdana"/>
          <w:sz w:val="20"/>
          <w:szCs w:val="20"/>
          <w:lang w:val="es-ES" w:eastAsia="es-CR"/>
        </w:rPr>
        <w:t>Pablo Saa</w:t>
      </w:r>
      <w:r w:rsidR="000C553D">
        <w:rPr>
          <w:rFonts w:ascii="Verdana" w:eastAsia="Calibri" w:hAnsi="Verdana" w:cs="Verdana"/>
          <w:sz w:val="20"/>
          <w:szCs w:val="20"/>
          <w:lang w:val="es-ES" w:eastAsia="es-CR"/>
        </w:rPr>
        <w:t>vedra Alessandri, Secretario.</w:t>
      </w:r>
    </w:p>
    <w:p w14:paraId="64AA5D65" w14:textId="77777777" w:rsidR="002E1C85" w:rsidRPr="002E1C85" w:rsidRDefault="002E1C85" w:rsidP="00C90B3F">
      <w:pPr>
        <w:widowControl w:val="0"/>
        <w:tabs>
          <w:tab w:val="left" w:pos="720"/>
        </w:tabs>
        <w:adjustRightInd w:val="0"/>
        <w:spacing w:before="120" w:after="120" w:line="240" w:lineRule="auto"/>
        <w:jc w:val="both"/>
        <w:textAlignment w:val="baseline"/>
        <w:rPr>
          <w:rFonts w:ascii="Verdana" w:eastAsia="Calibri" w:hAnsi="Verdana" w:cs="Verdana"/>
          <w:sz w:val="20"/>
          <w:szCs w:val="20"/>
          <w:lang w:val="es-ES" w:eastAsia="es-CR"/>
        </w:rPr>
      </w:pPr>
    </w:p>
    <w:p w14:paraId="10996E0A" w14:textId="4161EBD3" w:rsidR="002E1C85" w:rsidRPr="002E1C85" w:rsidRDefault="002E1C85" w:rsidP="00C90B3F">
      <w:pPr>
        <w:widowControl w:val="0"/>
        <w:tabs>
          <w:tab w:val="left" w:pos="720"/>
        </w:tabs>
        <w:adjustRightInd w:val="0"/>
        <w:spacing w:before="120" w:after="120" w:line="240" w:lineRule="auto"/>
        <w:jc w:val="both"/>
        <w:textAlignment w:val="baseline"/>
        <w:rPr>
          <w:rFonts w:ascii="Verdana" w:eastAsia="Calibri" w:hAnsi="Verdana" w:cs="Verdana"/>
          <w:sz w:val="20"/>
          <w:szCs w:val="20"/>
          <w:lang w:val="es-ES" w:eastAsia="es-CR"/>
        </w:rPr>
      </w:pPr>
      <w:r w:rsidRPr="002E1C85">
        <w:rPr>
          <w:rFonts w:ascii="Verdana" w:eastAsia="Calibri" w:hAnsi="Verdana" w:cs="Verdana"/>
          <w:sz w:val="20"/>
          <w:szCs w:val="20"/>
          <w:lang w:val="es-ES" w:eastAsia="es-CR"/>
        </w:rPr>
        <w:t>de conformidad con los artículos 62.3 y 63.1 de la Convención Americana sobre Derechos Humanos (en adelante “la Convención Americana” o “la Convención”) y con los artículos 31, 32, 62, 65 y 67 del Reglamento de la Corte (en adelante “el Reglamento” o “Reglamento de la Corte”), dicta la presente Sentencia, que se estructura en el siguiente orden:</w:t>
      </w:r>
    </w:p>
    <w:p w14:paraId="64AA5D67" w14:textId="77777777" w:rsidR="002E1C85" w:rsidRPr="002E1C85" w:rsidRDefault="002E1C85" w:rsidP="00C90B3F">
      <w:pPr>
        <w:widowControl w:val="0"/>
        <w:adjustRightInd w:val="0"/>
        <w:spacing w:before="120" w:after="120" w:line="235" w:lineRule="exact"/>
        <w:ind w:left="100" w:right="-1085"/>
        <w:jc w:val="both"/>
        <w:textAlignment w:val="baseline"/>
        <w:rPr>
          <w:rFonts w:ascii="Verdana" w:eastAsia="Verdana" w:hAnsi="Verdana" w:cs="Verdana"/>
          <w:position w:val="-1"/>
          <w:sz w:val="20"/>
          <w:szCs w:val="20"/>
          <w:lang w:val="es-ES" w:eastAsia="es-CR"/>
        </w:rPr>
      </w:pPr>
    </w:p>
    <w:p w14:paraId="2C8A974F" w14:textId="7CE6389F" w:rsidR="00BE645F" w:rsidRDefault="00BE645F" w:rsidP="00C90B3F">
      <w:pPr>
        <w:widowControl w:val="0"/>
        <w:adjustRightInd w:val="0"/>
        <w:spacing w:before="120" w:after="120" w:line="240" w:lineRule="auto"/>
        <w:jc w:val="both"/>
        <w:textAlignment w:val="baseline"/>
        <w:rPr>
          <w:rFonts w:ascii="Verdana" w:eastAsia="Verdana" w:hAnsi="Verdana" w:cs="Verdana"/>
          <w:position w:val="-1"/>
          <w:sz w:val="20"/>
          <w:szCs w:val="20"/>
          <w:lang w:val="es-ES" w:eastAsia="es-CR"/>
        </w:rPr>
      </w:pPr>
      <w:bookmarkStart w:id="0" w:name="_Toc373093233"/>
      <w:bookmarkStart w:id="1" w:name="_Toc373350045"/>
      <w:bookmarkStart w:id="2" w:name="_Toc375560891"/>
      <w:bookmarkStart w:id="3" w:name="_Toc401931877"/>
      <w:bookmarkStart w:id="4" w:name="_Toc428369976"/>
      <w:bookmarkStart w:id="5" w:name="_Toc459158092"/>
      <w:bookmarkStart w:id="6" w:name="_Toc470180032"/>
      <w:bookmarkStart w:id="7" w:name="_Toc514172589"/>
      <w:bookmarkStart w:id="8" w:name="_Toc526774132"/>
      <w:r>
        <w:rPr>
          <w:rFonts w:ascii="Verdana" w:eastAsia="Verdana" w:hAnsi="Verdana" w:cs="Verdana"/>
          <w:position w:val="-1"/>
          <w:sz w:val="20"/>
          <w:szCs w:val="20"/>
          <w:lang w:val="es-ES" w:eastAsia="es-CR"/>
        </w:rPr>
        <w:br w:type="page"/>
      </w:r>
    </w:p>
    <w:p w14:paraId="4BC4F001" w14:textId="2B073D0D" w:rsidR="00CB2BBC" w:rsidRDefault="00CB2BBC" w:rsidP="0089411D">
      <w:pPr>
        <w:pStyle w:val="TDC1"/>
        <w:jc w:val="center"/>
      </w:pPr>
      <w:bookmarkStart w:id="9" w:name="_Toc526777464"/>
      <w:bookmarkStart w:id="10" w:name="_Toc526783743"/>
      <w:r w:rsidRPr="0089411D">
        <w:rPr>
          <w:rFonts w:ascii="Verdana" w:hAnsi="Verdana"/>
        </w:rPr>
        <w:lastRenderedPageBreak/>
        <w:t>TABLA DE CONTENIDOS</w:t>
      </w:r>
    </w:p>
    <w:p w14:paraId="5654B1E5" w14:textId="3C475754" w:rsidR="00EE697E" w:rsidRPr="00E42B72" w:rsidRDefault="003A72F8"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r w:rsidRPr="00CA3ED5">
        <w:rPr>
          <w:rFonts w:ascii="Verdana" w:hAnsi="Verdana"/>
        </w:rPr>
        <w:fldChar w:fldCharType="begin"/>
      </w:r>
      <w:r w:rsidRPr="00CA3ED5">
        <w:rPr>
          <w:rFonts w:ascii="Verdana" w:hAnsi="Verdana"/>
        </w:rPr>
        <w:instrText xml:space="preserve"> TOC \o "1-5" \h \z \u </w:instrText>
      </w:r>
      <w:r w:rsidRPr="00CA3ED5">
        <w:rPr>
          <w:rFonts w:ascii="Verdana" w:hAnsi="Verdana"/>
        </w:rPr>
        <w:fldChar w:fldCharType="separate"/>
      </w:r>
      <w:hyperlink w:anchor="_Toc532995311" w:history="1">
        <w:r w:rsidR="00EE697E" w:rsidRPr="00E42B72">
          <w:rPr>
            <w:rStyle w:val="Hipervnculo"/>
            <w:rFonts w:ascii="Verdana" w:hAnsi="Verdana"/>
            <w:noProof/>
          </w:rPr>
          <w:t>I INTRODUCCIÓN DE LA CAUSA y OBJETO DE LA CONTROVERSIA</w:t>
        </w:r>
        <w:r w:rsidR="00EE697E" w:rsidRPr="00E42B72">
          <w:rPr>
            <w:rFonts w:ascii="Verdana" w:hAnsi="Verdana"/>
            <w:noProof/>
            <w:webHidden/>
          </w:rPr>
          <w:tab/>
        </w:r>
        <w:r w:rsidR="00EE697E" w:rsidRPr="00E42B72">
          <w:rPr>
            <w:rFonts w:ascii="Verdana" w:hAnsi="Verdana"/>
            <w:noProof/>
            <w:webHidden/>
          </w:rPr>
          <w:fldChar w:fldCharType="begin"/>
        </w:r>
        <w:r w:rsidR="00EE697E" w:rsidRPr="00E42B72">
          <w:rPr>
            <w:rFonts w:ascii="Verdana" w:hAnsi="Verdana"/>
            <w:noProof/>
            <w:webHidden/>
          </w:rPr>
          <w:instrText xml:space="preserve"> PAGEREF _Toc532995311 \h </w:instrText>
        </w:r>
        <w:r w:rsidR="00EE697E" w:rsidRPr="00E42B72">
          <w:rPr>
            <w:rFonts w:ascii="Verdana" w:hAnsi="Verdana"/>
            <w:noProof/>
            <w:webHidden/>
          </w:rPr>
        </w:r>
        <w:r w:rsidR="00EE697E" w:rsidRPr="00E42B72">
          <w:rPr>
            <w:rFonts w:ascii="Verdana" w:hAnsi="Verdana"/>
            <w:noProof/>
            <w:webHidden/>
          </w:rPr>
          <w:fldChar w:fldCharType="separate"/>
        </w:r>
        <w:r w:rsidR="00C54122">
          <w:rPr>
            <w:rFonts w:ascii="Verdana" w:hAnsi="Verdana"/>
            <w:noProof/>
            <w:webHidden/>
          </w:rPr>
          <w:t>5</w:t>
        </w:r>
        <w:r w:rsidR="00EE697E" w:rsidRPr="00E42B72">
          <w:rPr>
            <w:rFonts w:ascii="Verdana" w:hAnsi="Verdana"/>
            <w:noProof/>
            <w:webHidden/>
          </w:rPr>
          <w:fldChar w:fldCharType="end"/>
        </w:r>
      </w:hyperlink>
    </w:p>
    <w:p w14:paraId="0A398752" w14:textId="21E5F75B" w:rsidR="00EE697E" w:rsidRPr="00E42B72"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12" w:history="1">
        <w:r w:rsidR="00EE697E" w:rsidRPr="00E42B72">
          <w:rPr>
            <w:rStyle w:val="Hipervnculo"/>
            <w:rFonts w:ascii="Verdana" w:hAnsi="Verdana"/>
            <w:noProof/>
            <w:snapToGrid w:val="0"/>
            <w:lang w:val="es-CR" w:eastAsia="es-CR"/>
          </w:rPr>
          <w:t>II PROCEDIMIENTO ANTE LA CORTE</w:t>
        </w:r>
        <w:r w:rsidR="00EE697E" w:rsidRPr="00E42B72">
          <w:rPr>
            <w:rFonts w:ascii="Verdana" w:hAnsi="Verdana"/>
            <w:noProof/>
            <w:webHidden/>
          </w:rPr>
          <w:tab/>
        </w:r>
        <w:r w:rsidR="00EE697E" w:rsidRPr="00E42B72">
          <w:rPr>
            <w:rFonts w:ascii="Verdana" w:hAnsi="Verdana"/>
            <w:noProof/>
            <w:webHidden/>
          </w:rPr>
          <w:fldChar w:fldCharType="begin"/>
        </w:r>
        <w:r w:rsidR="00EE697E" w:rsidRPr="00E42B72">
          <w:rPr>
            <w:rFonts w:ascii="Verdana" w:hAnsi="Verdana"/>
            <w:noProof/>
            <w:webHidden/>
          </w:rPr>
          <w:instrText xml:space="preserve"> PAGEREF _Toc532995312 \h </w:instrText>
        </w:r>
        <w:r w:rsidR="00EE697E" w:rsidRPr="00E42B72">
          <w:rPr>
            <w:rFonts w:ascii="Verdana" w:hAnsi="Verdana"/>
            <w:noProof/>
            <w:webHidden/>
          </w:rPr>
        </w:r>
        <w:r w:rsidR="00EE697E" w:rsidRPr="00E42B72">
          <w:rPr>
            <w:rFonts w:ascii="Verdana" w:hAnsi="Verdana"/>
            <w:noProof/>
            <w:webHidden/>
          </w:rPr>
          <w:fldChar w:fldCharType="separate"/>
        </w:r>
        <w:r w:rsidR="00C54122">
          <w:rPr>
            <w:rFonts w:ascii="Verdana" w:hAnsi="Verdana"/>
            <w:noProof/>
            <w:webHidden/>
          </w:rPr>
          <w:t>7</w:t>
        </w:r>
        <w:r w:rsidR="00EE697E" w:rsidRPr="00E42B72">
          <w:rPr>
            <w:rFonts w:ascii="Verdana" w:hAnsi="Verdana"/>
            <w:noProof/>
            <w:webHidden/>
          </w:rPr>
          <w:fldChar w:fldCharType="end"/>
        </w:r>
      </w:hyperlink>
    </w:p>
    <w:p w14:paraId="5C090232" w14:textId="0A5AC6B4" w:rsidR="00EE697E" w:rsidRPr="00E42B72"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13" w:history="1">
        <w:r w:rsidR="00EE697E" w:rsidRPr="00E42B72">
          <w:rPr>
            <w:rStyle w:val="Hipervnculo"/>
            <w:rFonts w:ascii="Verdana" w:hAnsi="Verdana"/>
            <w:noProof/>
            <w:snapToGrid w:val="0"/>
            <w:lang w:val="es-CR" w:eastAsia="es-CR"/>
          </w:rPr>
          <w:t>III COMPETENCIA</w:t>
        </w:r>
        <w:r w:rsidR="00EE697E" w:rsidRPr="00E42B72">
          <w:rPr>
            <w:rFonts w:ascii="Verdana" w:hAnsi="Verdana"/>
            <w:noProof/>
            <w:webHidden/>
          </w:rPr>
          <w:tab/>
        </w:r>
        <w:r w:rsidR="00EE697E" w:rsidRPr="00E42B72">
          <w:rPr>
            <w:rFonts w:ascii="Verdana" w:hAnsi="Verdana"/>
            <w:noProof/>
            <w:webHidden/>
          </w:rPr>
          <w:fldChar w:fldCharType="begin"/>
        </w:r>
        <w:r w:rsidR="00EE697E" w:rsidRPr="00E42B72">
          <w:rPr>
            <w:rFonts w:ascii="Verdana" w:hAnsi="Verdana"/>
            <w:noProof/>
            <w:webHidden/>
          </w:rPr>
          <w:instrText xml:space="preserve"> PAGEREF _Toc532995313 \h </w:instrText>
        </w:r>
        <w:r w:rsidR="00EE697E" w:rsidRPr="00E42B72">
          <w:rPr>
            <w:rFonts w:ascii="Verdana" w:hAnsi="Verdana"/>
            <w:noProof/>
            <w:webHidden/>
          </w:rPr>
        </w:r>
        <w:r w:rsidR="00EE697E" w:rsidRPr="00E42B72">
          <w:rPr>
            <w:rFonts w:ascii="Verdana" w:hAnsi="Verdana"/>
            <w:noProof/>
            <w:webHidden/>
          </w:rPr>
          <w:fldChar w:fldCharType="separate"/>
        </w:r>
        <w:r w:rsidR="00C54122">
          <w:rPr>
            <w:rFonts w:ascii="Verdana" w:hAnsi="Verdana"/>
            <w:noProof/>
            <w:webHidden/>
          </w:rPr>
          <w:t>10</w:t>
        </w:r>
        <w:r w:rsidR="00EE697E" w:rsidRPr="00E42B72">
          <w:rPr>
            <w:rFonts w:ascii="Verdana" w:hAnsi="Verdana"/>
            <w:noProof/>
            <w:webHidden/>
          </w:rPr>
          <w:fldChar w:fldCharType="end"/>
        </w:r>
      </w:hyperlink>
    </w:p>
    <w:p w14:paraId="60A614D9" w14:textId="3CBDFADF" w:rsidR="00EE697E" w:rsidRPr="00E42B72"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14" w:history="1">
        <w:r w:rsidR="00EE697E" w:rsidRPr="00E42B72">
          <w:rPr>
            <w:rStyle w:val="Hipervnculo"/>
            <w:rFonts w:ascii="Verdana" w:hAnsi="Verdana"/>
            <w:noProof/>
            <w:snapToGrid w:val="0"/>
            <w:lang w:val="es-CR" w:eastAsia="es-CR"/>
          </w:rPr>
          <w:t>IV RECONOCIMIENTO PARCIAL DE RESPONSABILIDAD INTERNACIONAL DEL ESTADO</w:t>
        </w:r>
        <w:r w:rsidR="00EE697E" w:rsidRPr="00E42B72">
          <w:rPr>
            <w:rFonts w:ascii="Verdana" w:hAnsi="Verdana"/>
            <w:noProof/>
            <w:webHidden/>
          </w:rPr>
          <w:tab/>
        </w:r>
        <w:r w:rsidR="00EE697E" w:rsidRPr="00E42B72">
          <w:rPr>
            <w:rFonts w:ascii="Verdana" w:hAnsi="Verdana"/>
            <w:noProof/>
            <w:webHidden/>
          </w:rPr>
          <w:fldChar w:fldCharType="begin"/>
        </w:r>
        <w:r w:rsidR="00EE697E" w:rsidRPr="00E42B72">
          <w:rPr>
            <w:rFonts w:ascii="Verdana" w:hAnsi="Verdana"/>
            <w:noProof/>
            <w:webHidden/>
          </w:rPr>
          <w:instrText xml:space="preserve"> PAGEREF _Toc532995314 \h </w:instrText>
        </w:r>
        <w:r w:rsidR="00EE697E" w:rsidRPr="00E42B72">
          <w:rPr>
            <w:rFonts w:ascii="Verdana" w:hAnsi="Verdana"/>
            <w:noProof/>
            <w:webHidden/>
          </w:rPr>
        </w:r>
        <w:r w:rsidR="00EE697E" w:rsidRPr="00E42B72">
          <w:rPr>
            <w:rFonts w:ascii="Verdana" w:hAnsi="Verdana"/>
            <w:noProof/>
            <w:webHidden/>
          </w:rPr>
          <w:fldChar w:fldCharType="separate"/>
        </w:r>
        <w:r w:rsidR="00C54122">
          <w:rPr>
            <w:rFonts w:ascii="Verdana" w:hAnsi="Verdana"/>
            <w:noProof/>
            <w:webHidden/>
          </w:rPr>
          <w:t>10</w:t>
        </w:r>
        <w:r w:rsidR="00EE697E" w:rsidRPr="00E42B72">
          <w:rPr>
            <w:rFonts w:ascii="Verdana" w:hAnsi="Verdana"/>
            <w:noProof/>
            <w:webHidden/>
          </w:rPr>
          <w:fldChar w:fldCharType="end"/>
        </w:r>
      </w:hyperlink>
    </w:p>
    <w:p w14:paraId="5E7ABD1F" w14:textId="50C14706" w:rsidR="00EE697E" w:rsidRPr="00E42B72"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15" w:history="1">
        <w:r w:rsidR="00EE697E" w:rsidRPr="00E42B72">
          <w:rPr>
            <w:rStyle w:val="Hipervnculo"/>
            <w:rFonts w:ascii="Verdana" w:hAnsi="Verdana"/>
            <w:noProof/>
          </w:rPr>
          <w:t>A.</w:t>
        </w:r>
        <w:r w:rsidR="00EE697E" w:rsidRPr="00E42B72">
          <w:rPr>
            <w:rFonts w:ascii="Verdana" w:eastAsiaTheme="minorEastAsia" w:hAnsi="Verdana"/>
            <w:smallCaps w:val="0"/>
            <w:noProof/>
            <w:lang w:val="es-CR" w:eastAsia="es-CR"/>
          </w:rPr>
          <w:tab/>
        </w:r>
        <w:r w:rsidR="00EE697E" w:rsidRPr="00E42B72">
          <w:rPr>
            <w:rStyle w:val="Hipervnculo"/>
            <w:rFonts w:ascii="Verdana" w:hAnsi="Verdana"/>
            <w:noProof/>
          </w:rPr>
          <w:t>Posiciones respecto del Reconocimiento Parcial de Responsabilidad del Estado</w:t>
        </w:r>
        <w:r w:rsidR="00EE697E" w:rsidRPr="00E42B72">
          <w:rPr>
            <w:rFonts w:ascii="Verdana" w:hAnsi="Verdana"/>
            <w:noProof/>
            <w:webHidden/>
          </w:rPr>
          <w:tab/>
        </w:r>
        <w:r w:rsidR="00EE697E" w:rsidRPr="00E42B72">
          <w:rPr>
            <w:rFonts w:ascii="Verdana" w:hAnsi="Verdana"/>
            <w:noProof/>
            <w:webHidden/>
          </w:rPr>
          <w:fldChar w:fldCharType="begin"/>
        </w:r>
        <w:r w:rsidR="00EE697E" w:rsidRPr="00E42B72">
          <w:rPr>
            <w:rFonts w:ascii="Verdana" w:hAnsi="Verdana"/>
            <w:noProof/>
            <w:webHidden/>
          </w:rPr>
          <w:instrText xml:space="preserve"> PAGEREF _Toc532995315 \h </w:instrText>
        </w:r>
        <w:r w:rsidR="00EE697E" w:rsidRPr="00E42B72">
          <w:rPr>
            <w:rFonts w:ascii="Verdana" w:hAnsi="Verdana"/>
            <w:noProof/>
            <w:webHidden/>
          </w:rPr>
        </w:r>
        <w:r w:rsidR="00EE697E" w:rsidRPr="00E42B72">
          <w:rPr>
            <w:rFonts w:ascii="Verdana" w:hAnsi="Verdana"/>
            <w:noProof/>
            <w:webHidden/>
          </w:rPr>
          <w:fldChar w:fldCharType="separate"/>
        </w:r>
        <w:r w:rsidR="00C54122">
          <w:rPr>
            <w:rFonts w:ascii="Verdana" w:hAnsi="Verdana"/>
            <w:noProof/>
            <w:webHidden/>
          </w:rPr>
          <w:t>10</w:t>
        </w:r>
        <w:r w:rsidR="00EE697E" w:rsidRPr="00E42B72">
          <w:rPr>
            <w:rFonts w:ascii="Verdana" w:hAnsi="Verdana"/>
            <w:noProof/>
            <w:webHidden/>
          </w:rPr>
          <w:fldChar w:fldCharType="end"/>
        </w:r>
      </w:hyperlink>
    </w:p>
    <w:p w14:paraId="25B62482" w14:textId="0C368ACD" w:rsidR="00EE697E" w:rsidRPr="00E42B72"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16" w:history="1">
        <w:r w:rsidR="00EE697E" w:rsidRPr="00E42B72">
          <w:rPr>
            <w:rStyle w:val="Hipervnculo"/>
            <w:rFonts w:ascii="Verdana" w:hAnsi="Verdana"/>
            <w:noProof/>
          </w:rPr>
          <w:t>B.</w:t>
        </w:r>
        <w:r w:rsidR="00EE697E" w:rsidRPr="00E42B72">
          <w:rPr>
            <w:rFonts w:ascii="Verdana" w:eastAsiaTheme="minorEastAsia" w:hAnsi="Verdana"/>
            <w:smallCaps w:val="0"/>
            <w:noProof/>
            <w:lang w:val="es-CR" w:eastAsia="es-CR"/>
          </w:rPr>
          <w:tab/>
        </w:r>
        <w:r w:rsidR="00EE697E" w:rsidRPr="00E42B72">
          <w:rPr>
            <w:rStyle w:val="Hipervnculo"/>
            <w:rFonts w:ascii="Verdana" w:hAnsi="Verdana"/>
            <w:noProof/>
          </w:rPr>
          <w:t>Consideraciones de la Corte</w:t>
        </w:r>
        <w:r w:rsidR="00EE697E" w:rsidRPr="00E42B72">
          <w:rPr>
            <w:rFonts w:ascii="Verdana" w:hAnsi="Verdana"/>
            <w:noProof/>
            <w:webHidden/>
          </w:rPr>
          <w:tab/>
        </w:r>
        <w:r w:rsidR="00EE697E" w:rsidRPr="00E42B72">
          <w:rPr>
            <w:rFonts w:ascii="Verdana" w:hAnsi="Verdana"/>
            <w:noProof/>
            <w:webHidden/>
          </w:rPr>
          <w:fldChar w:fldCharType="begin"/>
        </w:r>
        <w:r w:rsidR="00EE697E" w:rsidRPr="00E42B72">
          <w:rPr>
            <w:rFonts w:ascii="Verdana" w:hAnsi="Verdana"/>
            <w:noProof/>
            <w:webHidden/>
          </w:rPr>
          <w:instrText xml:space="preserve"> PAGEREF _Toc532995316 \h </w:instrText>
        </w:r>
        <w:r w:rsidR="00EE697E" w:rsidRPr="00E42B72">
          <w:rPr>
            <w:rFonts w:ascii="Verdana" w:hAnsi="Verdana"/>
            <w:noProof/>
            <w:webHidden/>
          </w:rPr>
        </w:r>
        <w:r w:rsidR="00EE697E" w:rsidRPr="00E42B72">
          <w:rPr>
            <w:rFonts w:ascii="Verdana" w:hAnsi="Verdana"/>
            <w:noProof/>
            <w:webHidden/>
          </w:rPr>
          <w:fldChar w:fldCharType="separate"/>
        </w:r>
        <w:r w:rsidR="00C54122">
          <w:rPr>
            <w:rFonts w:ascii="Verdana" w:hAnsi="Verdana"/>
            <w:noProof/>
            <w:webHidden/>
          </w:rPr>
          <w:t>12</w:t>
        </w:r>
        <w:r w:rsidR="00EE697E" w:rsidRPr="00E42B72">
          <w:rPr>
            <w:rFonts w:ascii="Verdana" w:hAnsi="Verdana"/>
            <w:noProof/>
            <w:webHidden/>
          </w:rPr>
          <w:fldChar w:fldCharType="end"/>
        </w:r>
      </w:hyperlink>
    </w:p>
    <w:p w14:paraId="57A34553" w14:textId="3E0EA39F" w:rsidR="00EE697E" w:rsidRPr="00E42B72"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17" w:history="1">
        <w:r w:rsidR="00EE697E" w:rsidRPr="00E42B72">
          <w:rPr>
            <w:rStyle w:val="Hipervnculo"/>
            <w:rFonts w:ascii="Verdana" w:eastAsia="Calibri" w:hAnsi="Verdana" w:cs="Times New Roman"/>
            <w:i w:val="0"/>
            <w:noProof/>
            <w:spacing w:val="-2"/>
            <w:lang w:val="es-ES" w:eastAsia="x-none"/>
          </w:rPr>
          <w:t>B.1.</w:t>
        </w:r>
        <w:r w:rsidR="00EE697E" w:rsidRPr="00E42B72">
          <w:rPr>
            <w:rFonts w:ascii="Verdana" w:eastAsiaTheme="minorEastAsia" w:hAnsi="Verdana"/>
            <w:i w:val="0"/>
            <w:iCs w:val="0"/>
            <w:noProof/>
            <w:lang w:val="es-CR" w:eastAsia="es-CR"/>
          </w:rPr>
          <w:tab/>
        </w:r>
        <w:r w:rsidR="00EE697E" w:rsidRPr="00E42B72">
          <w:rPr>
            <w:rStyle w:val="Hipervnculo"/>
            <w:rFonts w:ascii="Verdana" w:eastAsia="Calibri" w:hAnsi="Verdana" w:cs="Times New Roman"/>
            <w:i w:val="0"/>
            <w:noProof/>
            <w:spacing w:val="-2"/>
            <w:lang w:val="es-ES" w:eastAsia="x-none"/>
          </w:rPr>
          <w:t>En cuanto a los hechos</w:t>
        </w:r>
        <w:r w:rsidR="00EE697E" w:rsidRPr="00E42B72">
          <w:rPr>
            <w:rFonts w:ascii="Verdana" w:hAnsi="Verdana"/>
            <w:i w:val="0"/>
            <w:noProof/>
            <w:webHidden/>
          </w:rPr>
          <w:tab/>
        </w:r>
        <w:r w:rsidR="00EE697E" w:rsidRPr="00E42B72">
          <w:rPr>
            <w:rFonts w:ascii="Verdana" w:hAnsi="Verdana"/>
            <w:i w:val="0"/>
            <w:noProof/>
            <w:webHidden/>
          </w:rPr>
          <w:fldChar w:fldCharType="begin"/>
        </w:r>
        <w:r w:rsidR="00EE697E" w:rsidRPr="00E42B72">
          <w:rPr>
            <w:rFonts w:ascii="Verdana" w:hAnsi="Verdana"/>
            <w:i w:val="0"/>
            <w:noProof/>
            <w:webHidden/>
          </w:rPr>
          <w:instrText xml:space="preserve"> PAGEREF _Toc532995317 \h </w:instrText>
        </w:r>
        <w:r w:rsidR="00EE697E" w:rsidRPr="00E42B72">
          <w:rPr>
            <w:rFonts w:ascii="Verdana" w:hAnsi="Verdana"/>
            <w:i w:val="0"/>
            <w:noProof/>
            <w:webHidden/>
          </w:rPr>
        </w:r>
        <w:r w:rsidR="00EE697E" w:rsidRPr="00E42B72">
          <w:rPr>
            <w:rFonts w:ascii="Verdana" w:hAnsi="Verdana"/>
            <w:i w:val="0"/>
            <w:noProof/>
            <w:webHidden/>
          </w:rPr>
          <w:fldChar w:fldCharType="separate"/>
        </w:r>
        <w:r w:rsidR="00C54122">
          <w:rPr>
            <w:rFonts w:ascii="Verdana" w:hAnsi="Verdana"/>
            <w:i w:val="0"/>
            <w:noProof/>
            <w:webHidden/>
          </w:rPr>
          <w:t>13</w:t>
        </w:r>
        <w:r w:rsidR="00EE697E" w:rsidRPr="00E42B72">
          <w:rPr>
            <w:rFonts w:ascii="Verdana" w:hAnsi="Verdana"/>
            <w:i w:val="0"/>
            <w:noProof/>
            <w:webHidden/>
          </w:rPr>
          <w:fldChar w:fldCharType="end"/>
        </w:r>
      </w:hyperlink>
    </w:p>
    <w:p w14:paraId="2DA7608A" w14:textId="0BA3D485" w:rsidR="00EE697E" w:rsidRPr="00E42B72"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18" w:history="1">
        <w:r w:rsidR="00EE697E" w:rsidRPr="00E42B72">
          <w:rPr>
            <w:rStyle w:val="Hipervnculo"/>
            <w:rFonts w:ascii="Verdana" w:eastAsia="Calibri" w:hAnsi="Verdana" w:cs="Times New Roman"/>
            <w:i w:val="0"/>
            <w:noProof/>
            <w:spacing w:val="-2"/>
            <w:lang w:val="es-ES" w:eastAsia="x-none"/>
          </w:rPr>
          <w:t>B.2.</w:t>
        </w:r>
        <w:r w:rsidR="00EE697E" w:rsidRPr="00E42B72">
          <w:rPr>
            <w:rFonts w:ascii="Verdana" w:eastAsiaTheme="minorEastAsia" w:hAnsi="Verdana"/>
            <w:i w:val="0"/>
            <w:iCs w:val="0"/>
            <w:noProof/>
            <w:lang w:val="es-CR" w:eastAsia="es-CR"/>
          </w:rPr>
          <w:tab/>
        </w:r>
        <w:r w:rsidR="00EE697E" w:rsidRPr="00E42B72">
          <w:rPr>
            <w:rStyle w:val="Hipervnculo"/>
            <w:rFonts w:ascii="Verdana" w:eastAsia="Calibri" w:hAnsi="Verdana" w:cs="Times New Roman"/>
            <w:i w:val="0"/>
            <w:noProof/>
            <w:spacing w:val="-2"/>
            <w:lang w:val="es-ES" w:eastAsia="x-none"/>
          </w:rPr>
          <w:t>En cuanto a las pretensiones de derecho</w:t>
        </w:r>
        <w:r w:rsidR="00EE697E" w:rsidRPr="00E42B72">
          <w:rPr>
            <w:rFonts w:ascii="Verdana" w:hAnsi="Verdana"/>
            <w:i w:val="0"/>
            <w:noProof/>
            <w:webHidden/>
          </w:rPr>
          <w:tab/>
        </w:r>
        <w:r w:rsidR="00EE697E" w:rsidRPr="00E42B72">
          <w:rPr>
            <w:rFonts w:ascii="Verdana" w:hAnsi="Verdana"/>
            <w:i w:val="0"/>
            <w:noProof/>
            <w:webHidden/>
          </w:rPr>
          <w:fldChar w:fldCharType="begin"/>
        </w:r>
        <w:r w:rsidR="00EE697E" w:rsidRPr="00E42B72">
          <w:rPr>
            <w:rFonts w:ascii="Verdana" w:hAnsi="Verdana"/>
            <w:i w:val="0"/>
            <w:noProof/>
            <w:webHidden/>
          </w:rPr>
          <w:instrText xml:space="preserve"> PAGEREF _Toc532995318 \h </w:instrText>
        </w:r>
        <w:r w:rsidR="00EE697E" w:rsidRPr="00E42B72">
          <w:rPr>
            <w:rFonts w:ascii="Verdana" w:hAnsi="Verdana"/>
            <w:i w:val="0"/>
            <w:noProof/>
            <w:webHidden/>
          </w:rPr>
        </w:r>
        <w:r w:rsidR="00EE697E" w:rsidRPr="00E42B72">
          <w:rPr>
            <w:rFonts w:ascii="Verdana" w:hAnsi="Verdana"/>
            <w:i w:val="0"/>
            <w:noProof/>
            <w:webHidden/>
          </w:rPr>
          <w:fldChar w:fldCharType="separate"/>
        </w:r>
        <w:r w:rsidR="00C54122">
          <w:rPr>
            <w:rFonts w:ascii="Verdana" w:hAnsi="Verdana"/>
            <w:i w:val="0"/>
            <w:noProof/>
            <w:webHidden/>
          </w:rPr>
          <w:t>13</w:t>
        </w:r>
        <w:r w:rsidR="00EE697E" w:rsidRPr="00E42B72">
          <w:rPr>
            <w:rFonts w:ascii="Verdana" w:hAnsi="Verdana"/>
            <w:i w:val="0"/>
            <w:noProof/>
            <w:webHidden/>
          </w:rPr>
          <w:fldChar w:fldCharType="end"/>
        </w:r>
      </w:hyperlink>
    </w:p>
    <w:p w14:paraId="092F4A61" w14:textId="12F9D870" w:rsidR="00EE697E" w:rsidRPr="00E42B72"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19" w:history="1">
        <w:r w:rsidR="00EE697E" w:rsidRPr="00E42B72">
          <w:rPr>
            <w:rStyle w:val="Hipervnculo"/>
            <w:rFonts w:ascii="Verdana" w:eastAsia="Calibri" w:hAnsi="Verdana" w:cs="Times New Roman"/>
            <w:i w:val="0"/>
            <w:noProof/>
            <w:spacing w:val="-2"/>
            <w:lang w:val="es-ES" w:eastAsia="x-none"/>
          </w:rPr>
          <w:t>B.3.</w:t>
        </w:r>
        <w:r w:rsidR="00EE697E" w:rsidRPr="00E42B72">
          <w:rPr>
            <w:rFonts w:ascii="Verdana" w:eastAsiaTheme="minorEastAsia" w:hAnsi="Verdana"/>
            <w:i w:val="0"/>
            <w:iCs w:val="0"/>
            <w:noProof/>
            <w:lang w:val="es-CR" w:eastAsia="es-CR"/>
          </w:rPr>
          <w:tab/>
        </w:r>
        <w:r w:rsidR="00EE697E" w:rsidRPr="00E42B72">
          <w:rPr>
            <w:rStyle w:val="Hipervnculo"/>
            <w:rFonts w:ascii="Verdana" w:eastAsia="Calibri" w:hAnsi="Verdana" w:cs="Times New Roman"/>
            <w:i w:val="0"/>
            <w:noProof/>
            <w:spacing w:val="-2"/>
            <w:lang w:val="es-ES" w:eastAsia="x-none"/>
          </w:rPr>
          <w:t>En cuanto a las reparaciones</w:t>
        </w:r>
        <w:r w:rsidR="00EE697E" w:rsidRPr="00E42B72">
          <w:rPr>
            <w:rFonts w:ascii="Verdana" w:hAnsi="Verdana"/>
            <w:i w:val="0"/>
            <w:noProof/>
            <w:webHidden/>
          </w:rPr>
          <w:tab/>
        </w:r>
        <w:r w:rsidR="00EE697E" w:rsidRPr="00E42B72">
          <w:rPr>
            <w:rFonts w:ascii="Verdana" w:hAnsi="Verdana"/>
            <w:i w:val="0"/>
            <w:noProof/>
            <w:webHidden/>
          </w:rPr>
          <w:fldChar w:fldCharType="begin"/>
        </w:r>
        <w:r w:rsidR="00EE697E" w:rsidRPr="00E42B72">
          <w:rPr>
            <w:rFonts w:ascii="Verdana" w:hAnsi="Verdana"/>
            <w:i w:val="0"/>
            <w:noProof/>
            <w:webHidden/>
          </w:rPr>
          <w:instrText xml:space="preserve"> PAGEREF _Toc532995319 \h </w:instrText>
        </w:r>
        <w:r w:rsidR="00EE697E" w:rsidRPr="00E42B72">
          <w:rPr>
            <w:rFonts w:ascii="Verdana" w:hAnsi="Verdana"/>
            <w:i w:val="0"/>
            <w:noProof/>
            <w:webHidden/>
          </w:rPr>
        </w:r>
        <w:r w:rsidR="00EE697E" w:rsidRPr="00E42B72">
          <w:rPr>
            <w:rFonts w:ascii="Verdana" w:hAnsi="Verdana"/>
            <w:i w:val="0"/>
            <w:noProof/>
            <w:webHidden/>
          </w:rPr>
          <w:fldChar w:fldCharType="separate"/>
        </w:r>
        <w:r w:rsidR="00C54122">
          <w:rPr>
            <w:rFonts w:ascii="Verdana" w:hAnsi="Verdana"/>
            <w:i w:val="0"/>
            <w:noProof/>
            <w:webHidden/>
          </w:rPr>
          <w:t>14</w:t>
        </w:r>
        <w:r w:rsidR="00EE697E" w:rsidRPr="00E42B72">
          <w:rPr>
            <w:rFonts w:ascii="Verdana" w:hAnsi="Verdana"/>
            <w:i w:val="0"/>
            <w:noProof/>
            <w:webHidden/>
          </w:rPr>
          <w:fldChar w:fldCharType="end"/>
        </w:r>
      </w:hyperlink>
    </w:p>
    <w:p w14:paraId="76452036" w14:textId="56415309" w:rsidR="00EE697E" w:rsidRPr="00E42B72"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20" w:history="1">
        <w:r w:rsidR="00EE697E" w:rsidRPr="00E42B72">
          <w:rPr>
            <w:rStyle w:val="Hipervnculo"/>
            <w:rFonts w:ascii="Verdana" w:eastAsia="Calibri" w:hAnsi="Verdana" w:cs="Times New Roman"/>
            <w:i w:val="0"/>
            <w:noProof/>
            <w:spacing w:val="-2"/>
            <w:lang w:val="es-ES" w:eastAsia="x-none"/>
          </w:rPr>
          <w:t>B.4.</w:t>
        </w:r>
        <w:r w:rsidR="00EE697E" w:rsidRPr="00E42B72">
          <w:rPr>
            <w:rFonts w:ascii="Verdana" w:eastAsiaTheme="minorEastAsia" w:hAnsi="Verdana"/>
            <w:i w:val="0"/>
            <w:iCs w:val="0"/>
            <w:noProof/>
            <w:lang w:val="es-CR" w:eastAsia="es-CR"/>
          </w:rPr>
          <w:tab/>
        </w:r>
        <w:r w:rsidR="00EE697E" w:rsidRPr="00E42B72">
          <w:rPr>
            <w:rStyle w:val="Hipervnculo"/>
            <w:rFonts w:ascii="Verdana" w:eastAsia="Calibri" w:hAnsi="Verdana" w:cs="Times New Roman"/>
            <w:i w:val="0"/>
            <w:noProof/>
            <w:spacing w:val="-2"/>
            <w:lang w:val="es-ES" w:eastAsia="x-none"/>
          </w:rPr>
          <w:t>Valoración del alcance del reconocimiento parcial de responsabilidad</w:t>
        </w:r>
        <w:r w:rsidR="00EE697E" w:rsidRPr="00E42B72">
          <w:rPr>
            <w:rFonts w:ascii="Verdana" w:hAnsi="Verdana"/>
            <w:i w:val="0"/>
            <w:noProof/>
            <w:webHidden/>
          </w:rPr>
          <w:tab/>
        </w:r>
        <w:r w:rsidR="00EE697E" w:rsidRPr="00E42B72">
          <w:rPr>
            <w:rFonts w:ascii="Verdana" w:hAnsi="Verdana"/>
            <w:i w:val="0"/>
            <w:noProof/>
            <w:webHidden/>
          </w:rPr>
          <w:fldChar w:fldCharType="begin"/>
        </w:r>
        <w:r w:rsidR="00EE697E" w:rsidRPr="00E42B72">
          <w:rPr>
            <w:rFonts w:ascii="Verdana" w:hAnsi="Verdana"/>
            <w:i w:val="0"/>
            <w:noProof/>
            <w:webHidden/>
          </w:rPr>
          <w:instrText xml:space="preserve"> PAGEREF _Toc532995320 \h </w:instrText>
        </w:r>
        <w:r w:rsidR="00EE697E" w:rsidRPr="00E42B72">
          <w:rPr>
            <w:rFonts w:ascii="Verdana" w:hAnsi="Verdana"/>
            <w:i w:val="0"/>
            <w:noProof/>
            <w:webHidden/>
          </w:rPr>
        </w:r>
        <w:r w:rsidR="00EE697E" w:rsidRPr="00E42B72">
          <w:rPr>
            <w:rFonts w:ascii="Verdana" w:hAnsi="Verdana"/>
            <w:i w:val="0"/>
            <w:noProof/>
            <w:webHidden/>
          </w:rPr>
          <w:fldChar w:fldCharType="separate"/>
        </w:r>
        <w:r w:rsidR="00C54122">
          <w:rPr>
            <w:rFonts w:ascii="Verdana" w:hAnsi="Verdana"/>
            <w:i w:val="0"/>
            <w:noProof/>
            <w:webHidden/>
          </w:rPr>
          <w:t>14</w:t>
        </w:r>
        <w:r w:rsidR="00EE697E" w:rsidRPr="00E42B72">
          <w:rPr>
            <w:rFonts w:ascii="Verdana" w:hAnsi="Verdana"/>
            <w:i w:val="0"/>
            <w:noProof/>
            <w:webHidden/>
          </w:rPr>
          <w:fldChar w:fldCharType="end"/>
        </w:r>
      </w:hyperlink>
    </w:p>
    <w:p w14:paraId="54F1A191" w14:textId="6B84F408" w:rsidR="00EE697E" w:rsidRPr="00E42B72"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21" w:history="1">
        <w:r w:rsidR="00EE697E" w:rsidRPr="00E42B72">
          <w:rPr>
            <w:rStyle w:val="Hipervnculo"/>
            <w:rFonts w:ascii="Verdana" w:hAnsi="Verdana"/>
            <w:noProof/>
          </w:rPr>
          <w:t xml:space="preserve">V </w:t>
        </w:r>
        <w:r w:rsidR="00EE697E" w:rsidRPr="00E42B72">
          <w:rPr>
            <w:rStyle w:val="Hipervnculo"/>
            <w:rFonts w:ascii="Verdana" w:hAnsi="Verdana"/>
            <w:noProof/>
            <w:lang w:val="en-US"/>
          </w:rPr>
          <w:t>PRUEBA</w:t>
        </w:r>
        <w:r w:rsidR="00EE697E" w:rsidRPr="00E42B72">
          <w:rPr>
            <w:rFonts w:ascii="Verdana" w:hAnsi="Verdana"/>
            <w:noProof/>
            <w:webHidden/>
          </w:rPr>
          <w:tab/>
        </w:r>
        <w:r w:rsidR="00EE697E" w:rsidRPr="00E42B72">
          <w:rPr>
            <w:rFonts w:ascii="Verdana" w:hAnsi="Verdana"/>
            <w:noProof/>
            <w:webHidden/>
          </w:rPr>
          <w:fldChar w:fldCharType="begin"/>
        </w:r>
        <w:r w:rsidR="00EE697E" w:rsidRPr="00E42B72">
          <w:rPr>
            <w:rFonts w:ascii="Verdana" w:hAnsi="Verdana"/>
            <w:noProof/>
            <w:webHidden/>
          </w:rPr>
          <w:instrText xml:space="preserve"> PAGEREF _Toc532995321 \h </w:instrText>
        </w:r>
        <w:r w:rsidR="00EE697E" w:rsidRPr="00E42B72">
          <w:rPr>
            <w:rFonts w:ascii="Verdana" w:hAnsi="Verdana"/>
            <w:noProof/>
            <w:webHidden/>
          </w:rPr>
        </w:r>
        <w:r w:rsidR="00EE697E" w:rsidRPr="00E42B72">
          <w:rPr>
            <w:rFonts w:ascii="Verdana" w:hAnsi="Verdana"/>
            <w:noProof/>
            <w:webHidden/>
          </w:rPr>
          <w:fldChar w:fldCharType="separate"/>
        </w:r>
        <w:r w:rsidR="00C54122">
          <w:rPr>
            <w:rFonts w:ascii="Verdana" w:hAnsi="Verdana"/>
            <w:noProof/>
            <w:webHidden/>
          </w:rPr>
          <w:t>14</w:t>
        </w:r>
        <w:r w:rsidR="00EE697E" w:rsidRPr="00E42B72">
          <w:rPr>
            <w:rFonts w:ascii="Verdana" w:hAnsi="Verdana"/>
            <w:noProof/>
            <w:webHidden/>
          </w:rPr>
          <w:fldChar w:fldCharType="end"/>
        </w:r>
      </w:hyperlink>
    </w:p>
    <w:p w14:paraId="54D00B5F" w14:textId="275C4110" w:rsidR="00EE697E" w:rsidRPr="00E42B72" w:rsidRDefault="003C1180" w:rsidP="00EE697E">
      <w:pPr>
        <w:pStyle w:val="TDC2"/>
        <w:tabs>
          <w:tab w:val="left" w:pos="880"/>
          <w:tab w:val="right" w:leader="dot" w:pos="9792"/>
        </w:tabs>
        <w:spacing w:line="240" w:lineRule="auto"/>
        <w:jc w:val="both"/>
        <w:rPr>
          <w:rFonts w:ascii="Verdana" w:eastAsiaTheme="minorEastAsia" w:hAnsi="Verdana"/>
          <w:smallCaps w:val="0"/>
          <w:noProof/>
          <w:lang w:val="es-CR" w:eastAsia="es-CR"/>
        </w:rPr>
      </w:pPr>
      <w:hyperlink w:anchor="_Toc532995322" w:history="1">
        <w:r w:rsidR="00EE697E" w:rsidRPr="00E42B72">
          <w:rPr>
            <w:rStyle w:val="Hipervnculo"/>
            <w:rFonts w:ascii="Verdana" w:eastAsia="MS Mincho" w:hAnsi="Verdana" w:cs="Times New Roman"/>
            <w:noProof/>
            <w:lang w:val="es-CR" w:eastAsia="es-CR"/>
          </w:rPr>
          <w:t>A.</w:t>
        </w:r>
        <w:r w:rsidR="00EE697E" w:rsidRPr="00E42B72">
          <w:rPr>
            <w:rFonts w:ascii="Verdana" w:eastAsiaTheme="minorEastAsia" w:hAnsi="Verdana"/>
            <w:smallCaps w:val="0"/>
            <w:noProof/>
            <w:lang w:val="es-CR" w:eastAsia="es-CR"/>
          </w:rPr>
          <w:tab/>
        </w:r>
        <w:r w:rsidR="00EE697E" w:rsidRPr="00E42B72">
          <w:rPr>
            <w:rStyle w:val="Hipervnculo"/>
            <w:rFonts w:ascii="Verdana" w:eastAsia="MS Mincho" w:hAnsi="Verdana" w:cs="Times New Roman"/>
            <w:noProof/>
            <w:lang w:val="es-CR" w:eastAsia="es-CR"/>
          </w:rPr>
          <w:t>Admisibilidad  de la prueba documental</w:t>
        </w:r>
        <w:r w:rsidR="00EE697E" w:rsidRPr="00E42B72">
          <w:rPr>
            <w:rFonts w:ascii="Verdana" w:hAnsi="Verdana"/>
            <w:noProof/>
            <w:webHidden/>
          </w:rPr>
          <w:tab/>
        </w:r>
        <w:r w:rsidR="00EE697E" w:rsidRPr="00E42B72">
          <w:rPr>
            <w:rFonts w:ascii="Verdana" w:hAnsi="Verdana"/>
            <w:noProof/>
            <w:webHidden/>
          </w:rPr>
          <w:fldChar w:fldCharType="begin"/>
        </w:r>
        <w:r w:rsidR="00EE697E" w:rsidRPr="00E42B72">
          <w:rPr>
            <w:rFonts w:ascii="Verdana" w:hAnsi="Verdana"/>
            <w:noProof/>
            <w:webHidden/>
          </w:rPr>
          <w:instrText xml:space="preserve"> PAGEREF _Toc532995322 \h </w:instrText>
        </w:r>
        <w:r w:rsidR="00EE697E" w:rsidRPr="00E42B72">
          <w:rPr>
            <w:rFonts w:ascii="Verdana" w:hAnsi="Verdana"/>
            <w:noProof/>
            <w:webHidden/>
          </w:rPr>
        </w:r>
        <w:r w:rsidR="00EE697E" w:rsidRPr="00E42B72">
          <w:rPr>
            <w:rFonts w:ascii="Verdana" w:hAnsi="Verdana"/>
            <w:noProof/>
            <w:webHidden/>
          </w:rPr>
          <w:fldChar w:fldCharType="separate"/>
        </w:r>
        <w:r w:rsidR="00C54122">
          <w:rPr>
            <w:rFonts w:ascii="Verdana" w:hAnsi="Verdana"/>
            <w:noProof/>
            <w:webHidden/>
          </w:rPr>
          <w:t>14</w:t>
        </w:r>
        <w:r w:rsidR="00EE697E" w:rsidRPr="00E42B72">
          <w:rPr>
            <w:rFonts w:ascii="Verdana" w:hAnsi="Verdana"/>
            <w:noProof/>
            <w:webHidden/>
          </w:rPr>
          <w:fldChar w:fldCharType="end"/>
        </w:r>
      </w:hyperlink>
    </w:p>
    <w:p w14:paraId="4C51113B" w14:textId="32C10382"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23" w:history="1">
        <w:r w:rsidR="00EE697E" w:rsidRPr="00E42B72">
          <w:rPr>
            <w:rStyle w:val="Hipervnculo"/>
            <w:rFonts w:ascii="Verdana" w:eastAsia="Calibri" w:hAnsi="Verdana" w:cs="Times New Roman"/>
            <w:i w:val="0"/>
            <w:noProof/>
            <w:spacing w:val="-2"/>
            <w:lang w:val="es-ES" w:eastAsia="x-none"/>
          </w:rPr>
          <w:t>A.1.</w:t>
        </w:r>
        <w:r w:rsidR="00EE697E" w:rsidRPr="00E42B72">
          <w:rPr>
            <w:rFonts w:ascii="Verdana" w:eastAsiaTheme="minorEastAsia" w:hAnsi="Verdana"/>
            <w:i w:val="0"/>
            <w:iCs w:val="0"/>
            <w:noProof/>
            <w:lang w:val="es-CR" w:eastAsia="es-CR"/>
          </w:rPr>
          <w:tab/>
        </w:r>
        <w:r w:rsidR="00EE697E" w:rsidRPr="00E42B72">
          <w:rPr>
            <w:rStyle w:val="Hipervnculo"/>
            <w:rFonts w:ascii="Verdana" w:eastAsia="Calibri" w:hAnsi="Verdana" w:cs="Times New Roman"/>
            <w:i w:val="0"/>
            <w:noProof/>
            <w:spacing w:val="-2"/>
            <w:lang w:val="es-ES" w:eastAsia="x-none"/>
          </w:rPr>
          <w:t>Alegados hechos supervinientes</w:t>
        </w:r>
        <w:r w:rsidR="00EE697E" w:rsidRPr="00E42B72">
          <w:rPr>
            <w:rFonts w:ascii="Verdana" w:hAnsi="Verdana"/>
            <w:i w:val="0"/>
            <w:noProof/>
            <w:webHidden/>
          </w:rPr>
          <w:tab/>
        </w:r>
        <w:r w:rsidR="00EE697E" w:rsidRPr="00E42B72">
          <w:rPr>
            <w:rFonts w:ascii="Verdana" w:hAnsi="Verdana"/>
            <w:i w:val="0"/>
            <w:noProof/>
            <w:webHidden/>
          </w:rPr>
          <w:fldChar w:fldCharType="begin"/>
        </w:r>
        <w:r w:rsidR="00EE697E" w:rsidRPr="00E42B72">
          <w:rPr>
            <w:rFonts w:ascii="Verdana" w:hAnsi="Verdana"/>
            <w:i w:val="0"/>
            <w:noProof/>
            <w:webHidden/>
          </w:rPr>
          <w:instrText xml:space="preserve"> PAGEREF _Toc532995323 \h </w:instrText>
        </w:r>
        <w:r w:rsidR="00EE697E" w:rsidRPr="00E42B72">
          <w:rPr>
            <w:rFonts w:ascii="Verdana" w:hAnsi="Verdana"/>
            <w:i w:val="0"/>
            <w:noProof/>
            <w:webHidden/>
          </w:rPr>
        </w:r>
        <w:r w:rsidR="00EE697E" w:rsidRPr="00E42B72">
          <w:rPr>
            <w:rFonts w:ascii="Verdana" w:hAnsi="Verdana"/>
            <w:i w:val="0"/>
            <w:noProof/>
            <w:webHidden/>
          </w:rPr>
          <w:fldChar w:fldCharType="separate"/>
        </w:r>
        <w:r w:rsidR="00C54122">
          <w:rPr>
            <w:rFonts w:ascii="Verdana" w:hAnsi="Verdana"/>
            <w:i w:val="0"/>
            <w:noProof/>
            <w:webHidden/>
          </w:rPr>
          <w:t>15</w:t>
        </w:r>
        <w:r w:rsidR="00EE697E" w:rsidRPr="00E42B72">
          <w:rPr>
            <w:rFonts w:ascii="Verdana" w:hAnsi="Verdana"/>
            <w:i w:val="0"/>
            <w:noProof/>
            <w:webHidden/>
          </w:rPr>
          <w:fldChar w:fldCharType="end"/>
        </w:r>
      </w:hyperlink>
    </w:p>
    <w:p w14:paraId="5D0ED67B" w14:textId="577981FE" w:rsidR="00EE697E" w:rsidRPr="00CA3ED5" w:rsidRDefault="003C1180" w:rsidP="00EE697E">
      <w:pPr>
        <w:pStyle w:val="TDC2"/>
        <w:tabs>
          <w:tab w:val="left" w:pos="880"/>
          <w:tab w:val="right" w:leader="dot" w:pos="9792"/>
        </w:tabs>
        <w:spacing w:line="240" w:lineRule="auto"/>
        <w:jc w:val="both"/>
        <w:rPr>
          <w:rFonts w:ascii="Verdana" w:eastAsiaTheme="minorEastAsia" w:hAnsi="Verdana"/>
          <w:smallCaps w:val="0"/>
          <w:noProof/>
          <w:lang w:val="es-CR" w:eastAsia="es-CR"/>
        </w:rPr>
      </w:pPr>
      <w:hyperlink w:anchor="_Toc532995324" w:history="1">
        <w:r w:rsidR="00EE697E" w:rsidRPr="00CA3ED5">
          <w:rPr>
            <w:rStyle w:val="Hipervnculo"/>
            <w:rFonts w:ascii="Verdana" w:eastAsia="Calibri" w:hAnsi="Verdana" w:cs="Times New Roman"/>
            <w:noProof/>
            <w:spacing w:val="-2"/>
            <w:lang w:val="es-ES" w:eastAsia="x-none"/>
          </w:rPr>
          <w:t>B.</w:t>
        </w:r>
        <w:r w:rsidR="00EE697E" w:rsidRPr="00CA3ED5">
          <w:rPr>
            <w:rFonts w:ascii="Verdana" w:eastAsiaTheme="minorEastAsia" w:hAnsi="Verdana"/>
            <w:smallCaps w:val="0"/>
            <w:noProof/>
            <w:lang w:val="es-CR" w:eastAsia="es-CR"/>
          </w:rPr>
          <w:tab/>
        </w:r>
        <w:r w:rsidR="00EE697E" w:rsidRPr="00CA3ED5">
          <w:rPr>
            <w:rStyle w:val="Hipervnculo"/>
            <w:rFonts w:ascii="Verdana" w:eastAsia="Calibri" w:hAnsi="Verdana" w:cs="Times New Roman"/>
            <w:noProof/>
            <w:spacing w:val="-2"/>
            <w:lang w:val="es-ES" w:eastAsia="x-none"/>
          </w:rPr>
          <w:t>Admisibilidad de la prueba testimonial y pericial</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_Toc532995324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15</w:t>
        </w:r>
        <w:r w:rsidR="00EE697E" w:rsidRPr="00CA3ED5">
          <w:rPr>
            <w:rFonts w:ascii="Verdana" w:hAnsi="Verdana"/>
            <w:noProof/>
            <w:webHidden/>
          </w:rPr>
          <w:fldChar w:fldCharType="end"/>
        </w:r>
      </w:hyperlink>
    </w:p>
    <w:p w14:paraId="1D47028E" w14:textId="3147E329" w:rsidR="00EE697E" w:rsidRPr="00CA3ED5"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25" w:history="1">
        <w:r w:rsidR="00EE697E" w:rsidRPr="00CA3ED5">
          <w:rPr>
            <w:rStyle w:val="Hipervnculo"/>
            <w:rFonts w:ascii="Verdana" w:hAnsi="Verdana"/>
            <w:noProof/>
          </w:rPr>
          <w:t>VI HECHOS</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_Toc532995325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16</w:t>
        </w:r>
        <w:r w:rsidR="00EE697E" w:rsidRPr="00CA3ED5">
          <w:rPr>
            <w:rFonts w:ascii="Verdana" w:hAnsi="Verdana"/>
            <w:noProof/>
            <w:webHidden/>
          </w:rPr>
          <w:fldChar w:fldCharType="end"/>
        </w:r>
      </w:hyperlink>
    </w:p>
    <w:p w14:paraId="4839BB35" w14:textId="6072E582" w:rsidR="00EE697E" w:rsidRPr="00CA3ED5" w:rsidRDefault="003C1180" w:rsidP="00EE697E">
      <w:pPr>
        <w:pStyle w:val="TDC2"/>
        <w:tabs>
          <w:tab w:val="left" w:pos="880"/>
          <w:tab w:val="right" w:leader="dot" w:pos="9792"/>
        </w:tabs>
        <w:spacing w:line="240" w:lineRule="auto"/>
        <w:jc w:val="both"/>
        <w:rPr>
          <w:rFonts w:ascii="Verdana" w:eastAsiaTheme="minorEastAsia" w:hAnsi="Verdana"/>
          <w:smallCaps w:val="0"/>
          <w:noProof/>
          <w:lang w:val="es-CR" w:eastAsia="es-CR"/>
        </w:rPr>
      </w:pPr>
      <w:hyperlink w:anchor="_Toc532995326" w:history="1">
        <w:r w:rsidR="00EE697E" w:rsidRPr="00CA3ED5">
          <w:rPr>
            <w:rStyle w:val="Hipervnculo"/>
            <w:rFonts w:ascii="Verdana" w:hAnsi="Verdana"/>
            <w:noProof/>
          </w:rPr>
          <w:t>A.</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Contexto</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_Toc532995326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16</w:t>
        </w:r>
        <w:r w:rsidR="00EE697E" w:rsidRPr="00CA3ED5">
          <w:rPr>
            <w:rFonts w:ascii="Verdana" w:hAnsi="Verdana"/>
            <w:noProof/>
            <w:webHidden/>
          </w:rPr>
          <w:fldChar w:fldCharType="end"/>
        </w:r>
      </w:hyperlink>
    </w:p>
    <w:p w14:paraId="69CFADE1" w14:textId="2AB30BD9"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27" w:history="1">
        <w:r w:rsidR="00EE697E" w:rsidRPr="00CA3ED5">
          <w:rPr>
            <w:rStyle w:val="Hipervnculo"/>
            <w:rFonts w:ascii="Verdana" w:eastAsia="Calibri" w:hAnsi="Verdana" w:cs="Times New Roman"/>
            <w:i w:val="0"/>
            <w:noProof/>
            <w:spacing w:val="-2"/>
            <w:lang w:val="es-ES" w:eastAsia="x-none"/>
          </w:rPr>
          <w:t>A.1.</w:t>
        </w:r>
        <w:r w:rsidR="00EE697E" w:rsidRPr="00CA3ED5">
          <w:rPr>
            <w:rFonts w:ascii="Verdana" w:eastAsiaTheme="minorEastAsia" w:hAnsi="Verdana"/>
            <w:i w:val="0"/>
            <w:iCs w:val="0"/>
            <w:noProof/>
            <w:lang w:val="es-CR" w:eastAsia="es-CR"/>
          </w:rPr>
          <w:tab/>
        </w:r>
        <w:r w:rsidR="00EE697E" w:rsidRPr="00CA3ED5">
          <w:rPr>
            <w:rStyle w:val="Hipervnculo"/>
            <w:rFonts w:ascii="Verdana" w:eastAsia="Calibri" w:hAnsi="Verdana" w:cs="Times New Roman"/>
            <w:i w:val="0"/>
            <w:noProof/>
            <w:spacing w:val="-2"/>
            <w:lang w:val="es-ES" w:eastAsia="x-none"/>
          </w:rPr>
          <w:t>Sobre las desapariciones y la existencia de un patrón de impunidad en México</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_Toc532995327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16</w:t>
        </w:r>
        <w:r w:rsidR="00EE697E" w:rsidRPr="00CA3ED5">
          <w:rPr>
            <w:rFonts w:ascii="Verdana" w:hAnsi="Verdana"/>
            <w:i w:val="0"/>
            <w:noProof/>
            <w:webHidden/>
          </w:rPr>
          <w:fldChar w:fldCharType="end"/>
        </w:r>
      </w:hyperlink>
    </w:p>
    <w:p w14:paraId="5F4E7178" w14:textId="213721EF" w:rsidR="00EE697E" w:rsidRPr="00CA3ED5" w:rsidRDefault="003C1180" w:rsidP="00EE697E">
      <w:pPr>
        <w:pStyle w:val="TDC4"/>
        <w:rPr>
          <w:rFonts w:ascii="Verdana" w:eastAsiaTheme="minorEastAsia" w:hAnsi="Verdana"/>
          <w:noProof/>
          <w:sz w:val="20"/>
          <w:szCs w:val="20"/>
          <w:lang w:val="es-CR" w:eastAsia="es-CR"/>
        </w:rPr>
      </w:pPr>
      <w:hyperlink w:anchor="_Toc532995328" w:history="1">
        <w:r w:rsidR="00EE697E" w:rsidRPr="00CA3ED5">
          <w:rPr>
            <w:rStyle w:val="Hipervnculo"/>
            <w:rFonts w:ascii="Verdana" w:hAnsi="Verdana"/>
            <w:noProof/>
            <w:sz w:val="20"/>
            <w:szCs w:val="20"/>
          </w:rPr>
          <w:t>A.1.1.</w:t>
        </w:r>
        <w:r w:rsidR="00EE697E" w:rsidRPr="00CA3ED5">
          <w:rPr>
            <w:rFonts w:ascii="Verdana" w:eastAsiaTheme="minorEastAsia" w:hAnsi="Verdana"/>
            <w:noProof/>
            <w:sz w:val="20"/>
            <w:szCs w:val="20"/>
            <w:lang w:val="es-CR" w:eastAsia="es-CR"/>
          </w:rPr>
          <w:tab/>
          <w:t xml:space="preserve">   </w:t>
        </w:r>
        <w:r w:rsidR="00EE697E" w:rsidRPr="00CA3ED5">
          <w:rPr>
            <w:rStyle w:val="Hipervnculo"/>
            <w:rFonts w:ascii="Verdana" w:hAnsi="Verdana"/>
            <w:noProof/>
            <w:sz w:val="20"/>
            <w:szCs w:val="20"/>
          </w:rPr>
          <w:t>La militarización como estrategia de seguridad pública y la “guerra contra el narcotráfico”</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_Toc532995328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16</w:t>
        </w:r>
        <w:r w:rsidR="00EE697E" w:rsidRPr="00CA3ED5">
          <w:rPr>
            <w:rFonts w:ascii="Verdana" w:hAnsi="Verdana"/>
            <w:noProof/>
            <w:webHidden/>
            <w:sz w:val="20"/>
            <w:szCs w:val="20"/>
          </w:rPr>
          <w:fldChar w:fldCharType="end"/>
        </w:r>
      </w:hyperlink>
    </w:p>
    <w:p w14:paraId="5F63F58A" w14:textId="19998EBF" w:rsidR="00EE697E" w:rsidRPr="00CA3ED5" w:rsidRDefault="003C1180" w:rsidP="00EE697E">
      <w:pPr>
        <w:pStyle w:val="TDC4"/>
        <w:rPr>
          <w:rFonts w:ascii="Verdana" w:eastAsiaTheme="minorEastAsia" w:hAnsi="Verdana"/>
          <w:noProof/>
          <w:sz w:val="20"/>
          <w:szCs w:val="20"/>
          <w:lang w:val="es-CR" w:eastAsia="es-CR"/>
        </w:rPr>
      </w:pPr>
      <w:hyperlink w:anchor="_Toc532995329" w:history="1">
        <w:r w:rsidR="00EE697E" w:rsidRPr="00CA3ED5">
          <w:rPr>
            <w:rStyle w:val="Hipervnculo"/>
            <w:rFonts w:ascii="Verdana" w:hAnsi="Verdana"/>
            <w:noProof/>
            <w:sz w:val="20"/>
            <w:szCs w:val="20"/>
          </w:rPr>
          <w:t>A.1.2.</w:t>
        </w:r>
        <w:r w:rsidR="00EE697E" w:rsidRPr="00CA3ED5">
          <w:rPr>
            <w:rFonts w:ascii="Verdana" w:eastAsiaTheme="minorEastAsia" w:hAnsi="Verdana"/>
            <w:noProof/>
            <w:sz w:val="20"/>
            <w:szCs w:val="20"/>
            <w:lang w:val="es-CR" w:eastAsia="es-CR"/>
          </w:rPr>
          <w:tab/>
          <w:t xml:space="preserve">   </w:t>
        </w:r>
        <w:r w:rsidR="00EE697E" w:rsidRPr="00CA3ED5">
          <w:rPr>
            <w:rStyle w:val="Hipervnculo"/>
            <w:rFonts w:ascii="Verdana" w:hAnsi="Verdana"/>
            <w:noProof/>
            <w:sz w:val="20"/>
            <w:szCs w:val="20"/>
          </w:rPr>
          <w:t>El incremento de la violencia criminal y las violaciones a los derechos humanos asociadas a la implementación de los “Operativos Conjuntos”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_Toc532995329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19</w:t>
        </w:r>
        <w:r w:rsidR="00EE697E" w:rsidRPr="00CA3ED5">
          <w:rPr>
            <w:rFonts w:ascii="Verdana" w:hAnsi="Verdana"/>
            <w:noProof/>
            <w:webHidden/>
            <w:sz w:val="20"/>
            <w:szCs w:val="20"/>
          </w:rPr>
          <w:fldChar w:fldCharType="end"/>
        </w:r>
      </w:hyperlink>
    </w:p>
    <w:p w14:paraId="18CF8D05" w14:textId="05D16BCE" w:rsidR="00EE697E" w:rsidRPr="00CA3ED5" w:rsidRDefault="003C1180" w:rsidP="00EE697E">
      <w:pPr>
        <w:pStyle w:val="TDC4"/>
        <w:rPr>
          <w:rFonts w:ascii="Verdana" w:eastAsiaTheme="minorEastAsia" w:hAnsi="Verdana"/>
          <w:noProof/>
          <w:sz w:val="20"/>
          <w:szCs w:val="20"/>
          <w:lang w:val="es-CR" w:eastAsia="es-CR"/>
        </w:rPr>
      </w:pPr>
      <w:hyperlink w:anchor="_Toc532995330" w:history="1">
        <w:r w:rsidR="00EE697E" w:rsidRPr="00CA3ED5">
          <w:rPr>
            <w:rStyle w:val="Hipervnculo"/>
            <w:rFonts w:ascii="Verdana" w:hAnsi="Verdana"/>
            <w:noProof/>
            <w:sz w:val="20"/>
            <w:szCs w:val="20"/>
          </w:rPr>
          <w:t>A.1.3.</w:t>
        </w:r>
        <w:r w:rsidR="00EE697E" w:rsidRPr="00CA3ED5">
          <w:rPr>
            <w:rFonts w:ascii="Verdana" w:eastAsiaTheme="minorEastAsia" w:hAnsi="Verdana"/>
            <w:noProof/>
            <w:sz w:val="20"/>
            <w:szCs w:val="20"/>
            <w:lang w:val="es-CR" w:eastAsia="es-CR"/>
          </w:rPr>
          <w:tab/>
          <w:t xml:space="preserve">   </w:t>
        </w:r>
        <w:r w:rsidR="00EE697E" w:rsidRPr="00CA3ED5">
          <w:rPr>
            <w:rStyle w:val="Hipervnculo"/>
            <w:rFonts w:ascii="Verdana" w:hAnsi="Verdana"/>
            <w:noProof/>
            <w:sz w:val="20"/>
            <w:szCs w:val="20"/>
          </w:rPr>
          <w:t>Sobre las desapariciones presuntamente atribuibles a agentes estatales en México</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_Toc532995330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22</w:t>
        </w:r>
        <w:r w:rsidR="00EE697E" w:rsidRPr="00CA3ED5">
          <w:rPr>
            <w:rFonts w:ascii="Verdana" w:hAnsi="Verdana"/>
            <w:noProof/>
            <w:webHidden/>
            <w:sz w:val="20"/>
            <w:szCs w:val="20"/>
          </w:rPr>
          <w:fldChar w:fldCharType="end"/>
        </w:r>
      </w:hyperlink>
    </w:p>
    <w:p w14:paraId="6D61C325" w14:textId="7363E2F9" w:rsidR="00EE697E" w:rsidRPr="00CA3ED5" w:rsidRDefault="003C1180" w:rsidP="00EE697E">
      <w:pPr>
        <w:pStyle w:val="TDC4"/>
        <w:rPr>
          <w:rFonts w:ascii="Verdana" w:eastAsiaTheme="minorEastAsia" w:hAnsi="Verdana"/>
          <w:noProof/>
          <w:sz w:val="20"/>
          <w:szCs w:val="20"/>
          <w:lang w:val="es-CR" w:eastAsia="es-CR"/>
        </w:rPr>
      </w:pPr>
      <w:hyperlink w:anchor="_Toc532995331" w:history="1">
        <w:r w:rsidR="00EE697E" w:rsidRPr="00CA3ED5">
          <w:rPr>
            <w:rStyle w:val="Hipervnculo"/>
            <w:rFonts w:ascii="Verdana" w:hAnsi="Verdana"/>
            <w:noProof/>
            <w:sz w:val="20"/>
            <w:szCs w:val="20"/>
          </w:rPr>
          <w:t>A.1.4.</w:t>
        </w:r>
        <w:r w:rsidR="00EE697E" w:rsidRPr="00CA3ED5">
          <w:rPr>
            <w:rFonts w:ascii="Verdana" w:eastAsiaTheme="minorEastAsia" w:hAnsi="Verdana"/>
            <w:noProof/>
            <w:sz w:val="20"/>
            <w:szCs w:val="20"/>
            <w:lang w:val="es-CR" w:eastAsia="es-CR"/>
          </w:rPr>
          <w:tab/>
          <w:t xml:space="preserve">   </w:t>
        </w:r>
        <w:r w:rsidR="00EE697E" w:rsidRPr="00CA3ED5">
          <w:rPr>
            <w:rStyle w:val="Hipervnculo"/>
            <w:rFonts w:ascii="Verdana" w:hAnsi="Verdana"/>
            <w:noProof/>
            <w:sz w:val="20"/>
            <w:szCs w:val="20"/>
          </w:rPr>
          <w:t>La respuesta judicial en los casos de desapariciones atribuibles a agentes estatales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_Toc532995331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23</w:t>
        </w:r>
        <w:r w:rsidR="00EE697E" w:rsidRPr="00CA3ED5">
          <w:rPr>
            <w:rFonts w:ascii="Verdana" w:hAnsi="Verdana"/>
            <w:noProof/>
            <w:webHidden/>
            <w:sz w:val="20"/>
            <w:szCs w:val="20"/>
          </w:rPr>
          <w:fldChar w:fldCharType="end"/>
        </w:r>
      </w:hyperlink>
    </w:p>
    <w:p w14:paraId="5A884379" w14:textId="699966E1" w:rsidR="00EE697E" w:rsidRPr="00CA3ED5" w:rsidRDefault="003C1180" w:rsidP="00EE697E">
      <w:pPr>
        <w:pStyle w:val="TDC4"/>
        <w:rPr>
          <w:rFonts w:ascii="Verdana" w:eastAsiaTheme="minorEastAsia" w:hAnsi="Verdana"/>
          <w:noProof/>
          <w:sz w:val="20"/>
          <w:szCs w:val="20"/>
          <w:lang w:val="es-CR" w:eastAsia="es-CR"/>
        </w:rPr>
      </w:pPr>
      <w:hyperlink w:anchor="_Toc532995332" w:history="1">
        <w:r w:rsidR="00EE697E" w:rsidRPr="00CA3ED5">
          <w:rPr>
            <w:rStyle w:val="Hipervnculo"/>
            <w:rFonts w:ascii="Verdana" w:hAnsi="Verdana"/>
            <w:noProof/>
            <w:sz w:val="20"/>
            <w:szCs w:val="20"/>
          </w:rPr>
          <w:t>A.1.5.</w:t>
        </w:r>
        <w:r w:rsidR="00EE697E" w:rsidRPr="00CA3ED5">
          <w:rPr>
            <w:rFonts w:ascii="Verdana" w:eastAsiaTheme="minorEastAsia" w:hAnsi="Verdana"/>
            <w:noProof/>
            <w:sz w:val="20"/>
            <w:szCs w:val="20"/>
            <w:lang w:val="es-CR" w:eastAsia="es-CR"/>
          </w:rPr>
          <w:tab/>
          <w:t xml:space="preserve">   </w:t>
        </w:r>
        <w:r w:rsidR="00EE697E" w:rsidRPr="00CA3ED5">
          <w:rPr>
            <w:rStyle w:val="Hipervnculo"/>
            <w:rFonts w:ascii="Verdana" w:hAnsi="Verdana"/>
            <w:noProof/>
            <w:sz w:val="20"/>
            <w:szCs w:val="20"/>
          </w:rPr>
          <w:t>La situación de violencia e inseguridad en la región donde ocurrieron los hechos y la implementación del Operativo Conjunto Chihuahua</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_Toc532995332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24</w:t>
        </w:r>
        <w:r w:rsidR="00EE697E" w:rsidRPr="00CA3ED5">
          <w:rPr>
            <w:rFonts w:ascii="Verdana" w:hAnsi="Verdana"/>
            <w:noProof/>
            <w:webHidden/>
            <w:sz w:val="20"/>
            <w:szCs w:val="20"/>
          </w:rPr>
          <w:fldChar w:fldCharType="end"/>
        </w:r>
      </w:hyperlink>
    </w:p>
    <w:p w14:paraId="38915B7D" w14:textId="2DD06333"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33" w:history="1">
        <w:r w:rsidR="00EE697E" w:rsidRPr="00CA3ED5">
          <w:rPr>
            <w:rStyle w:val="Hipervnculo"/>
            <w:rFonts w:ascii="Verdana" w:hAnsi="Verdana"/>
            <w:noProof/>
          </w:rPr>
          <w:t>B.</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Sobre Nitza Paola Alvarado Espinoza, Rocío Irene Alvarado Reyes y José Ángel Alvarado Herrera</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_Toc532995333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27</w:t>
        </w:r>
        <w:r w:rsidR="00EE697E" w:rsidRPr="00CA3ED5">
          <w:rPr>
            <w:rFonts w:ascii="Verdana" w:hAnsi="Verdana"/>
            <w:noProof/>
            <w:webHidden/>
          </w:rPr>
          <w:fldChar w:fldCharType="end"/>
        </w:r>
      </w:hyperlink>
    </w:p>
    <w:p w14:paraId="3B6F9EC8" w14:textId="27D92CA5"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34" w:history="1">
        <w:r w:rsidR="00EE697E" w:rsidRPr="00CA3ED5">
          <w:rPr>
            <w:rStyle w:val="Hipervnculo"/>
            <w:rFonts w:ascii="Verdana" w:hAnsi="Verdana"/>
            <w:noProof/>
            <w:lang w:val="es-CR"/>
          </w:rPr>
          <w:t>C.</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 xml:space="preserve">La desaparición de </w:t>
        </w:r>
        <w:r w:rsidR="00EE697E" w:rsidRPr="00CA3ED5">
          <w:rPr>
            <w:rStyle w:val="Hipervnculo"/>
            <w:rFonts w:ascii="Verdana" w:hAnsi="Verdana"/>
            <w:noProof/>
            <w:lang w:val="es-CR"/>
          </w:rPr>
          <w:t>Nitza Paola Alvarado Espinoza, Rocío Irene Alvarado Reyes y José Ángel Alvarado Herrera el 29 de diciembre de 2009</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_Toc532995334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28</w:t>
        </w:r>
        <w:r w:rsidR="00EE697E" w:rsidRPr="00CA3ED5">
          <w:rPr>
            <w:rFonts w:ascii="Verdana" w:hAnsi="Verdana"/>
            <w:noProof/>
            <w:webHidden/>
          </w:rPr>
          <w:fldChar w:fldCharType="end"/>
        </w:r>
      </w:hyperlink>
    </w:p>
    <w:p w14:paraId="442B265D" w14:textId="7D2A2E44"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35" w:history="1">
        <w:r w:rsidR="00EE697E" w:rsidRPr="00CA3ED5">
          <w:rPr>
            <w:rStyle w:val="Hipervnculo"/>
            <w:rFonts w:ascii="Verdana" w:hAnsi="Verdana"/>
            <w:i w:val="0"/>
            <w:noProof/>
          </w:rPr>
          <w:t>C.1.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CR"/>
          </w:rPr>
          <w:t>L</w:t>
        </w:r>
        <w:r w:rsidR="00EE697E" w:rsidRPr="00CA3ED5">
          <w:rPr>
            <w:rStyle w:val="Hipervnculo"/>
            <w:rFonts w:ascii="Verdana" w:hAnsi="Verdana"/>
            <w:i w:val="0"/>
            <w:noProof/>
          </w:rPr>
          <w:t>a detención de Nitza Paola Alvarado Espinoza y José Ángel Alvarado Herrera</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_Toc532995335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28</w:t>
        </w:r>
        <w:r w:rsidR="00EE697E" w:rsidRPr="00CA3ED5">
          <w:rPr>
            <w:rFonts w:ascii="Verdana" w:hAnsi="Verdana"/>
            <w:i w:val="0"/>
            <w:noProof/>
            <w:webHidden/>
          </w:rPr>
          <w:fldChar w:fldCharType="end"/>
        </w:r>
      </w:hyperlink>
    </w:p>
    <w:p w14:paraId="466B911B" w14:textId="20294019"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36" w:history="1">
        <w:r w:rsidR="00EE697E" w:rsidRPr="00CA3ED5">
          <w:rPr>
            <w:rStyle w:val="Hipervnculo"/>
            <w:rFonts w:ascii="Verdana" w:hAnsi="Verdana"/>
            <w:i w:val="0"/>
            <w:noProof/>
          </w:rPr>
          <w:t>C.2.</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La detención de Rocío Irene Alvarado Reyes</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_Toc532995336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29</w:t>
        </w:r>
        <w:r w:rsidR="00EE697E" w:rsidRPr="00CA3ED5">
          <w:rPr>
            <w:rFonts w:ascii="Verdana" w:hAnsi="Verdana"/>
            <w:i w:val="0"/>
            <w:noProof/>
            <w:webHidden/>
          </w:rPr>
          <w:fldChar w:fldCharType="end"/>
        </w:r>
      </w:hyperlink>
    </w:p>
    <w:p w14:paraId="27AA920D" w14:textId="55CA8833"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37" w:history="1">
        <w:r w:rsidR="00EE697E" w:rsidRPr="00CA3ED5">
          <w:rPr>
            <w:rStyle w:val="Hipervnculo"/>
            <w:rFonts w:ascii="Verdana" w:hAnsi="Verdana"/>
            <w:i w:val="0"/>
            <w:noProof/>
          </w:rPr>
          <w:t>C.3.</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Acciones de búsqueda de las tres presuntas víctimas a partir de su detención</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_Toc532995337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31</w:t>
        </w:r>
        <w:r w:rsidR="00EE697E" w:rsidRPr="00CA3ED5">
          <w:rPr>
            <w:rFonts w:ascii="Verdana" w:hAnsi="Verdana"/>
            <w:i w:val="0"/>
            <w:noProof/>
            <w:webHidden/>
          </w:rPr>
          <w:fldChar w:fldCharType="end"/>
        </w:r>
      </w:hyperlink>
    </w:p>
    <w:p w14:paraId="55B1BD03" w14:textId="5590E29F" w:rsidR="00EE697E" w:rsidRPr="00CA3ED5" w:rsidRDefault="003C1180" w:rsidP="00EE697E">
      <w:pPr>
        <w:pStyle w:val="TDC4"/>
        <w:rPr>
          <w:rFonts w:ascii="Verdana" w:eastAsiaTheme="minorEastAsia" w:hAnsi="Verdana"/>
          <w:noProof/>
          <w:sz w:val="20"/>
          <w:szCs w:val="20"/>
          <w:lang w:val="es-CR" w:eastAsia="es-CR"/>
        </w:rPr>
      </w:pPr>
      <w:hyperlink w:anchor="_Toc532995338" w:history="1">
        <w:r w:rsidR="00EE697E" w:rsidRPr="00CA3ED5">
          <w:rPr>
            <w:rStyle w:val="Hipervnculo"/>
            <w:rFonts w:ascii="Verdana" w:hAnsi="Verdana" w:cs="Arial"/>
            <w:noProof/>
            <w:sz w:val="20"/>
            <w:szCs w:val="20"/>
          </w:rPr>
          <w:t>C.3.1.</w:t>
        </w:r>
        <w:r w:rsidR="00EE697E" w:rsidRPr="00CA3ED5">
          <w:rPr>
            <w:rFonts w:ascii="Verdana" w:eastAsiaTheme="minorEastAsia" w:hAnsi="Verdana"/>
            <w:noProof/>
            <w:sz w:val="20"/>
            <w:szCs w:val="20"/>
            <w:lang w:val="es-CR" w:eastAsia="es-CR"/>
          </w:rPr>
          <w:tab/>
          <w:t xml:space="preserve">  </w:t>
        </w:r>
        <w:r w:rsidR="00EE697E" w:rsidRPr="00CA3ED5">
          <w:rPr>
            <w:rStyle w:val="Hipervnculo"/>
            <w:rFonts w:ascii="Verdana" w:hAnsi="Verdana"/>
            <w:noProof/>
            <w:sz w:val="20"/>
            <w:szCs w:val="20"/>
          </w:rPr>
          <w:t xml:space="preserve">Sobre la posible ubicación de los tres desaparecidos en poder de </w:t>
        </w:r>
        <w:r w:rsidR="00EE697E" w:rsidRPr="00CA3ED5">
          <w:rPr>
            <w:rStyle w:val="Hipervnculo"/>
            <w:rFonts w:ascii="Verdana" w:hAnsi="Verdana" w:cs="Arial"/>
            <w:noProof/>
            <w:sz w:val="20"/>
            <w:szCs w:val="20"/>
          </w:rPr>
          <w:t>agentes estatales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_Toc532995338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34</w:t>
        </w:r>
        <w:r w:rsidR="00EE697E" w:rsidRPr="00CA3ED5">
          <w:rPr>
            <w:rFonts w:ascii="Verdana" w:hAnsi="Verdana"/>
            <w:noProof/>
            <w:webHidden/>
            <w:sz w:val="20"/>
            <w:szCs w:val="20"/>
          </w:rPr>
          <w:fldChar w:fldCharType="end"/>
        </w:r>
      </w:hyperlink>
    </w:p>
    <w:p w14:paraId="1EACF016" w14:textId="3055275D" w:rsidR="00EE697E" w:rsidRPr="00CA3ED5" w:rsidRDefault="003C1180" w:rsidP="00EE697E">
      <w:pPr>
        <w:pStyle w:val="TDC4"/>
        <w:rPr>
          <w:rFonts w:ascii="Verdana" w:eastAsiaTheme="minorEastAsia" w:hAnsi="Verdana"/>
          <w:noProof/>
          <w:sz w:val="20"/>
          <w:szCs w:val="20"/>
          <w:lang w:val="es-CR" w:eastAsia="es-CR"/>
        </w:rPr>
      </w:pPr>
      <w:hyperlink w:anchor="_Toc532995339" w:history="1">
        <w:r w:rsidR="00EE697E" w:rsidRPr="00CA3ED5">
          <w:rPr>
            <w:rStyle w:val="Hipervnculo"/>
            <w:rFonts w:ascii="Verdana" w:hAnsi="Verdana"/>
            <w:noProof/>
            <w:sz w:val="20"/>
            <w:szCs w:val="20"/>
          </w:rPr>
          <w:t>C.3.2.</w:t>
        </w:r>
        <w:r w:rsidR="00EE697E" w:rsidRPr="00CA3ED5">
          <w:rPr>
            <w:rFonts w:ascii="Verdana" w:eastAsiaTheme="minorEastAsia" w:hAnsi="Verdana"/>
            <w:noProof/>
            <w:sz w:val="20"/>
            <w:szCs w:val="20"/>
            <w:lang w:val="es-CR" w:eastAsia="es-CR"/>
          </w:rPr>
          <w:tab/>
          <w:t xml:space="preserve">  </w:t>
        </w:r>
        <w:r w:rsidR="00EE697E" w:rsidRPr="00CA3ED5">
          <w:rPr>
            <w:rStyle w:val="Hipervnculo"/>
            <w:rFonts w:ascii="Verdana" w:hAnsi="Verdana"/>
            <w:noProof/>
            <w:sz w:val="20"/>
            <w:szCs w:val="20"/>
          </w:rPr>
          <w:t>Sobre la alegada llamada de auxilio realizada por Nitza Paola Alvarado</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_Toc532995339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39</w:t>
        </w:r>
        <w:r w:rsidR="00EE697E" w:rsidRPr="00CA3ED5">
          <w:rPr>
            <w:rFonts w:ascii="Verdana" w:hAnsi="Verdana"/>
            <w:noProof/>
            <w:webHidden/>
            <w:sz w:val="20"/>
            <w:szCs w:val="20"/>
          </w:rPr>
          <w:fldChar w:fldCharType="end"/>
        </w:r>
      </w:hyperlink>
    </w:p>
    <w:p w14:paraId="6B834738" w14:textId="55C1624A" w:rsidR="00EE697E" w:rsidRPr="00CA3ED5" w:rsidRDefault="003C1180" w:rsidP="00EE697E">
      <w:pPr>
        <w:pStyle w:val="TDC2"/>
        <w:tabs>
          <w:tab w:val="left" w:pos="880"/>
          <w:tab w:val="right" w:leader="dot" w:pos="9792"/>
        </w:tabs>
        <w:spacing w:line="240" w:lineRule="auto"/>
        <w:jc w:val="both"/>
        <w:rPr>
          <w:rFonts w:ascii="Verdana" w:eastAsiaTheme="minorEastAsia" w:hAnsi="Verdana"/>
          <w:smallCaps w:val="0"/>
          <w:noProof/>
          <w:lang w:val="es-CR" w:eastAsia="es-CR"/>
        </w:rPr>
      </w:pPr>
      <w:hyperlink w:anchor="_Toc532995340" w:history="1">
        <w:r w:rsidR="00EE697E" w:rsidRPr="00CA3ED5">
          <w:rPr>
            <w:rStyle w:val="Hipervnculo"/>
            <w:rFonts w:ascii="Verdana" w:hAnsi="Verdana"/>
            <w:noProof/>
            <w:lang w:val="es-AR"/>
          </w:rPr>
          <w:t>D.</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lang w:val="es-AR"/>
          </w:rPr>
          <w:t>Investigaciones</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_Toc532995340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40</w:t>
        </w:r>
        <w:r w:rsidR="00EE697E" w:rsidRPr="00CA3ED5">
          <w:rPr>
            <w:rFonts w:ascii="Verdana" w:hAnsi="Verdana"/>
            <w:noProof/>
            <w:webHidden/>
          </w:rPr>
          <w:fldChar w:fldCharType="end"/>
        </w:r>
      </w:hyperlink>
    </w:p>
    <w:p w14:paraId="26501745" w14:textId="3AAD35BB"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41" w:history="1">
        <w:r w:rsidR="00EE697E" w:rsidRPr="00CA3ED5">
          <w:rPr>
            <w:rStyle w:val="Hipervnculo"/>
            <w:rFonts w:ascii="Verdana" w:hAnsi="Verdana"/>
            <w:i w:val="0"/>
            <w:noProof/>
          </w:rPr>
          <w:t>D.1.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Procuraduría General de Justicia del Estado de Chihuahua [PGJE – Chihuahua]</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_Toc532995341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40</w:t>
        </w:r>
        <w:r w:rsidR="00EE697E" w:rsidRPr="00CA3ED5">
          <w:rPr>
            <w:rFonts w:ascii="Verdana" w:hAnsi="Verdana"/>
            <w:i w:val="0"/>
            <w:noProof/>
            <w:webHidden/>
          </w:rPr>
          <w:fldChar w:fldCharType="end"/>
        </w:r>
      </w:hyperlink>
    </w:p>
    <w:p w14:paraId="69998981" w14:textId="05DE6D62"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42" w:history="1">
        <w:r w:rsidR="00EE697E" w:rsidRPr="00CA3ED5">
          <w:rPr>
            <w:rStyle w:val="Hipervnculo"/>
            <w:rFonts w:ascii="Verdana" w:hAnsi="Verdana"/>
            <w:i w:val="0"/>
            <w:noProof/>
          </w:rPr>
          <w:t>D.2.</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Procuraduría General de la República, Delegación Chihuahua [PGR - Chihuahua]</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_Toc532995342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42</w:t>
        </w:r>
        <w:r w:rsidR="00EE697E" w:rsidRPr="00CA3ED5">
          <w:rPr>
            <w:rFonts w:ascii="Verdana" w:hAnsi="Verdana"/>
            <w:i w:val="0"/>
            <w:noProof/>
            <w:webHidden/>
          </w:rPr>
          <w:fldChar w:fldCharType="end"/>
        </w:r>
      </w:hyperlink>
    </w:p>
    <w:p w14:paraId="423D1917" w14:textId="2A5B56BB"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43" w:history="1">
        <w:r w:rsidR="00EE697E" w:rsidRPr="00CA3ED5">
          <w:rPr>
            <w:rStyle w:val="Hipervnculo"/>
            <w:rFonts w:ascii="Verdana" w:hAnsi="Verdana"/>
            <w:i w:val="0"/>
            <w:noProof/>
          </w:rPr>
          <w:t>D.3.</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Procuraduría General de Justicia Militar [PGJM]</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_Toc532995343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43</w:t>
        </w:r>
        <w:r w:rsidR="00EE697E" w:rsidRPr="00CA3ED5">
          <w:rPr>
            <w:rFonts w:ascii="Verdana" w:hAnsi="Verdana"/>
            <w:i w:val="0"/>
            <w:noProof/>
            <w:webHidden/>
          </w:rPr>
          <w:fldChar w:fldCharType="end"/>
        </w:r>
      </w:hyperlink>
    </w:p>
    <w:p w14:paraId="3CF87188" w14:textId="635AD1B9"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44" w:history="1">
        <w:r w:rsidR="00EE697E" w:rsidRPr="00CA3ED5">
          <w:rPr>
            <w:rStyle w:val="Hipervnculo"/>
            <w:rFonts w:ascii="Verdana" w:hAnsi="Verdana"/>
            <w:i w:val="0"/>
            <w:noProof/>
          </w:rPr>
          <w:t>D.4.</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Procuraduría General de la República – Fiscalía Especial de Delitos de Violencia contra las Mujeres y Trata de Personas [FEVIMTRA - PGR]</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_Toc532995344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46</w:t>
        </w:r>
        <w:r w:rsidR="00EE697E" w:rsidRPr="00CA3ED5">
          <w:rPr>
            <w:rFonts w:ascii="Verdana" w:hAnsi="Verdana"/>
            <w:i w:val="0"/>
            <w:noProof/>
            <w:webHidden/>
          </w:rPr>
          <w:fldChar w:fldCharType="end"/>
        </w:r>
      </w:hyperlink>
    </w:p>
    <w:p w14:paraId="222830A5" w14:textId="7D868F07"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45" w:history="1">
        <w:r w:rsidR="00EE697E" w:rsidRPr="00CA3ED5">
          <w:rPr>
            <w:rStyle w:val="Hipervnculo"/>
            <w:rFonts w:ascii="Verdana" w:hAnsi="Verdana"/>
            <w:i w:val="0"/>
            <w:noProof/>
          </w:rPr>
          <w:t>D.5.</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Subprocuraduría de Control Regional Procedimientos Penales y Amparo en Ciudad Juárez, PGR – Chihuahua</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_Toc532995345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49</w:t>
        </w:r>
        <w:r w:rsidR="00EE697E" w:rsidRPr="00CA3ED5">
          <w:rPr>
            <w:rFonts w:ascii="Verdana" w:hAnsi="Verdana"/>
            <w:i w:val="0"/>
            <w:noProof/>
            <w:webHidden/>
          </w:rPr>
          <w:fldChar w:fldCharType="end"/>
        </w:r>
      </w:hyperlink>
    </w:p>
    <w:p w14:paraId="7ADEF34B" w14:textId="198D736F"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46" w:history="1">
        <w:r w:rsidR="00EE697E" w:rsidRPr="00CA3ED5">
          <w:rPr>
            <w:rStyle w:val="Hipervnculo"/>
            <w:rFonts w:ascii="Verdana" w:hAnsi="Verdana"/>
            <w:i w:val="0"/>
            <w:noProof/>
          </w:rPr>
          <w:t>D.6.</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Subprocuraduría de Derechos Humanos, Prevención del Delito y Servicios a la Comunidad de la Procuraduría General de la República [PGR]</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_Toc532995346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50</w:t>
        </w:r>
        <w:r w:rsidR="00EE697E" w:rsidRPr="00CA3ED5">
          <w:rPr>
            <w:rFonts w:ascii="Verdana" w:hAnsi="Verdana"/>
            <w:i w:val="0"/>
            <w:noProof/>
            <w:webHidden/>
          </w:rPr>
          <w:fldChar w:fldCharType="end"/>
        </w:r>
      </w:hyperlink>
    </w:p>
    <w:p w14:paraId="56287DC7" w14:textId="1B5C0B28" w:rsidR="00EE697E" w:rsidRPr="00CA3ED5" w:rsidRDefault="003C1180" w:rsidP="00EE697E">
      <w:pPr>
        <w:pStyle w:val="TDC4"/>
        <w:rPr>
          <w:rFonts w:ascii="Verdana" w:eastAsiaTheme="minorEastAsia" w:hAnsi="Verdana"/>
          <w:noProof/>
          <w:sz w:val="20"/>
          <w:szCs w:val="20"/>
          <w:lang w:val="es-CR" w:eastAsia="es-CR"/>
        </w:rPr>
      </w:pPr>
      <w:hyperlink w:anchor="_Toc532995347" w:history="1">
        <w:r w:rsidR="00EE697E" w:rsidRPr="00CA3ED5">
          <w:rPr>
            <w:rStyle w:val="Hipervnculo"/>
            <w:rFonts w:ascii="Verdana" w:hAnsi="Verdana"/>
            <w:noProof/>
            <w:sz w:val="20"/>
            <w:szCs w:val="20"/>
          </w:rPr>
          <w:t>D.6.1.</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Averiguación Previa AP/PGR/SDHAVSC/M5/66/2013</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_Toc532995347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50</w:t>
        </w:r>
        <w:r w:rsidR="00EE697E" w:rsidRPr="00CA3ED5">
          <w:rPr>
            <w:rFonts w:ascii="Verdana" w:hAnsi="Verdana"/>
            <w:noProof/>
            <w:webHidden/>
            <w:sz w:val="20"/>
            <w:szCs w:val="20"/>
          </w:rPr>
          <w:fldChar w:fldCharType="end"/>
        </w:r>
      </w:hyperlink>
    </w:p>
    <w:p w14:paraId="6A6E2CF5" w14:textId="5AD594D6" w:rsidR="00EE697E" w:rsidRPr="00CA3ED5" w:rsidRDefault="003C1180" w:rsidP="00EE697E">
      <w:pPr>
        <w:pStyle w:val="TDC4"/>
        <w:rPr>
          <w:rFonts w:ascii="Verdana" w:eastAsiaTheme="minorEastAsia" w:hAnsi="Verdana"/>
          <w:noProof/>
          <w:sz w:val="20"/>
          <w:szCs w:val="20"/>
          <w:lang w:val="es-CR" w:eastAsia="es-CR"/>
        </w:rPr>
      </w:pPr>
      <w:hyperlink w:anchor="_Toc532995348" w:history="1">
        <w:r w:rsidR="00EE697E" w:rsidRPr="00CA3ED5">
          <w:rPr>
            <w:rStyle w:val="Hipervnculo"/>
            <w:rFonts w:ascii="Verdana" w:hAnsi="Verdana"/>
            <w:noProof/>
            <w:sz w:val="20"/>
            <w:szCs w:val="20"/>
          </w:rPr>
          <w:t>D.6.2.</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Averiguación Previa AP/PGR/SDHPDSC/UEBPD/M5/50/2013</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_Toc532995348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52</w:t>
        </w:r>
        <w:r w:rsidR="00EE697E" w:rsidRPr="00CA3ED5">
          <w:rPr>
            <w:rFonts w:ascii="Verdana" w:hAnsi="Verdana"/>
            <w:noProof/>
            <w:webHidden/>
            <w:sz w:val="20"/>
            <w:szCs w:val="20"/>
          </w:rPr>
          <w:fldChar w:fldCharType="end"/>
        </w:r>
      </w:hyperlink>
    </w:p>
    <w:p w14:paraId="1FBFA1E6" w14:textId="161161D7" w:rsidR="00EE697E" w:rsidRPr="00CA3ED5" w:rsidRDefault="003C1180" w:rsidP="00EE697E">
      <w:pPr>
        <w:pStyle w:val="TDC4"/>
        <w:rPr>
          <w:rFonts w:ascii="Verdana" w:eastAsiaTheme="minorEastAsia" w:hAnsi="Verdana"/>
          <w:noProof/>
          <w:sz w:val="20"/>
          <w:szCs w:val="20"/>
          <w:lang w:val="es-CR" w:eastAsia="es-CR"/>
        </w:rPr>
      </w:pPr>
      <w:hyperlink w:anchor="_Toc532995349" w:history="1">
        <w:r w:rsidR="00EE697E" w:rsidRPr="00CA3ED5">
          <w:rPr>
            <w:rStyle w:val="Hipervnculo"/>
            <w:rFonts w:ascii="Verdana" w:hAnsi="Verdana"/>
            <w:noProof/>
            <w:sz w:val="20"/>
            <w:szCs w:val="20"/>
            <w:lang w:val="es-AR"/>
          </w:rPr>
          <w:t>D.6.3.</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 xml:space="preserve">Juzgado Sexto de Distrito de Amparo en Materia Penal en Ciudad Juárez </w:t>
        </w:r>
        <w:r w:rsidR="00EE697E" w:rsidRPr="00CA3ED5">
          <w:rPr>
            <w:rStyle w:val="Hipervnculo"/>
            <w:rFonts w:ascii="Verdana" w:hAnsi="Verdana"/>
            <w:noProof/>
            <w:sz w:val="20"/>
            <w:szCs w:val="20"/>
            <w:lang w:val="es-AR"/>
          </w:rPr>
          <w:t xml:space="preserve">[Juicio de Amparo </w:t>
        </w:r>
        <w:r w:rsidR="00EE697E" w:rsidRPr="00CA3ED5">
          <w:rPr>
            <w:rStyle w:val="Hipervnculo"/>
            <w:rFonts w:ascii="Verdana" w:hAnsi="Verdana"/>
            <w:noProof/>
            <w:sz w:val="20"/>
            <w:szCs w:val="20"/>
          </w:rPr>
          <w:t>09/2010-I]</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_Toc532995349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54</w:t>
        </w:r>
        <w:r w:rsidR="00EE697E" w:rsidRPr="00CA3ED5">
          <w:rPr>
            <w:rFonts w:ascii="Verdana" w:hAnsi="Verdana"/>
            <w:noProof/>
            <w:webHidden/>
            <w:sz w:val="20"/>
            <w:szCs w:val="20"/>
          </w:rPr>
          <w:fldChar w:fldCharType="end"/>
        </w:r>
      </w:hyperlink>
    </w:p>
    <w:p w14:paraId="15B2C7CE" w14:textId="2E8437B0"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50" w:history="1">
        <w:r w:rsidR="00EE697E" w:rsidRPr="00CA3ED5">
          <w:rPr>
            <w:rStyle w:val="Hipervnculo"/>
            <w:rFonts w:ascii="Verdana" w:hAnsi="Verdana"/>
            <w:i w:val="0"/>
            <w:noProof/>
          </w:rPr>
          <w:t>D.7.</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Otros procedimientos</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_Toc532995350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54</w:t>
        </w:r>
        <w:r w:rsidR="00EE697E" w:rsidRPr="00CA3ED5">
          <w:rPr>
            <w:rFonts w:ascii="Verdana" w:hAnsi="Verdana"/>
            <w:i w:val="0"/>
            <w:noProof/>
            <w:webHidden/>
          </w:rPr>
          <w:fldChar w:fldCharType="end"/>
        </w:r>
      </w:hyperlink>
    </w:p>
    <w:p w14:paraId="06A7D5BF" w14:textId="741A012E" w:rsidR="00EE697E" w:rsidRPr="00CA3ED5" w:rsidRDefault="003C1180" w:rsidP="00EE697E">
      <w:pPr>
        <w:pStyle w:val="TDC4"/>
        <w:rPr>
          <w:rFonts w:ascii="Verdana" w:eastAsiaTheme="minorEastAsia" w:hAnsi="Verdana"/>
          <w:noProof/>
          <w:sz w:val="20"/>
          <w:szCs w:val="20"/>
          <w:lang w:val="es-CR" w:eastAsia="es-CR"/>
        </w:rPr>
      </w:pPr>
      <w:hyperlink w:anchor="_Toc532995351" w:history="1">
        <w:r w:rsidR="00EE697E" w:rsidRPr="00CA3ED5">
          <w:rPr>
            <w:rStyle w:val="Hipervnculo"/>
            <w:rFonts w:ascii="Verdana" w:hAnsi="Verdana"/>
            <w:noProof/>
            <w:sz w:val="20"/>
            <w:szCs w:val="20"/>
          </w:rPr>
          <w:t>D.7.1.</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Comisión Nacional de los Derechos Humanos [CNDH]</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_Toc532995351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54</w:t>
        </w:r>
        <w:r w:rsidR="00EE697E" w:rsidRPr="00CA3ED5">
          <w:rPr>
            <w:rFonts w:ascii="Verdana" w:hAnsi="Verdana"/>
            <w:noProof/>
            <w:webHidden/>
            <w:sz w:val="20"/>
            <w:szCs w:val="20"/>
          </w:rPr>
          <w:fldChar w:fldCharType="end"/>
        </w:r>
      </w:hyperlink>
    </w:p>
    <w:p w14:paraId="6FBFC4CB" w14:textId="7F0AA418" w:rsidR="00EE697E" w:rsidRPr="00CA3ED5" w:rsidRDefault="003C1180" w:rsidP="00EE697E">
      <w:pPr>
        <w:pStyle w:val="TDC4"/>
        <w:rPr>
          <w:rFonts w:ascii="Verdana" w:eastAsiaTheme="minorEastAsia" w:hAnsi="Verdana"/>
          <w:noProof/>
          <w:sz w:val="20"/>
          <w:szCs w:val="20"/>
          <w:lang w:val="es-CR" w:eastAsia="es-CR"/>
        </w:rPr>
      </w:pPr>
      <w:hyperlink w:anchor="_Toc532995352" w:history="1">
        <w:r w:rsidR="00EE697E" w:rsidRPr="00CA3ED5">
          <w:rPr>
            <w:rStyle w:val="Hipervnculo"/>
            <w:rFonts w:ascii="Verdana" w:hAnsi="Verdana"/>
            <w:noProof/>
            <w:sz w:val="20"/>
            <w:szCs w:val="20"/>
            <w:lang w:val="es-AR"/>
          </w:rPr>
          <w:t>D.7.2.</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lang w:val="es-AR"/>
          </w:rPr>
          <w:t>Programa para la Atención de Quejas y Denuncias sobre el Operativo Conjunto Juárez [Queja 886/09]</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_Toc532995352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55</w:t>
        </w:r>
        <w:r w:rsidR="00EE697E" w:rsidRPr="00CA3ED5">
          <w:rPr>
            <w:rFonts w:ascii="Verdana" w:hAnsi="Verdana"/>
            <w:noProof/>
            <w:webHidden/>
            <w:sz w:val="20"/>
            <w:szCs w:val="20"/>
          </w:rPr>
          <w:fldChar w:fldCharType="end"/>
        </w:r>
      </w:hyperlink>
    </w:p>
    <w:p w14:paraId="2AED99BB" w14:textId="5C9DD269"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53" w:history="1">
        <w:r w:rsidR="00EE697E" w:rsidRPr="00CA3ED5">
          <w:rPr>
            <w:rStyle w:val="Hipervnculo"/>
            <w:rFonts w:ascii="Verdana" w:hAnsi="Verdana"/>
            <w:noProof/>
          </w:rPr>
          <w:t>E.</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 xml:space="preserve">Sobre </w:t>
        </w:r>
        <w:r w:rsidR="00EE697E" w:rsidRPr="00CA3ED5">
          <w:rPr>
            <w:rStyle w:val="Hipervnculo"/>
            <w:rFonts w:ascii="Verdana" w:hAnsi="Verdana"/>
            <w:noProof/>
            <w:lang w:val="es-CR"/>
          </w:rPr>
          <w:t>las amenazas y hostigamientos recibidos por los familiares, los desplazamientos de éstos una vez ocurridas las tres desapariciones y las Medidas Provisionales</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_Toc532995353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55</w:t>
        </w:r>
        <w:r w:rsidR="00EE697E" w:rsidRPr="00CA3ED5">
          <w:rPr>
            <w:rFonts w:ascii="Verdana" w:hAnsi="Verdana"/>
            <w:noProof/>
            <w:webHidden/>
          </w:rPr>
          <w:fldChar w:fldCharType="end"/>
        </w:r>
      </w:hyperlink>
    </w:p>
    <w:p w14:paraId="782F69AE" w14:textId="1CE8B53F"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54" w:history="1">
        <w:r w:rsidR="00EE697E" w:rsidRPr="00CA3ED5">
          <w:rPr>
            <w:rStyle w:val="Hipervnculo"/>
            <w:rFonts w:ascii="Verdana" w:hAnsi="Verdana"/>
            <w:i w:val="0"/>
            <w:noProof/>
            <w:lang w:val="es-AR"/>
          </w:rPr>
          <w:t>E.1.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CR"/>
          </w:rPr>
          <w:t xml:space="preserve">Las amenazas y hostigamientos recibidos por los </w:t>
        </w:r>
        <w:r w:rsidR="00EE697E" w:rsidRPr="00CA3ED5">
          <w:rPr>
            <w:rStyle w:val="Hipervnculo"/>
            <w:rFonts w:ascii="Verdana" w:hAnsi="Verdana"/>
            <w:i w:val="0"/>
            <w:noProof/>
            <w:lang w:val="es-AR"/>
          </w:rPr>
          <w:t>familiares</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_Toc532995354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55</w:t>
        </w:r>
        <w:r w:rsidR="00EE697E" w:rsidRPr="00CA3ED5">
          <w:rPr>
            <w:rFonts w:ascii="Verdana" w:hAnsi="Verdana"/>
            <w:i w:val="0"/>
            <w:noProof/>
            <w:webHidden/>
          </w:rPr>
          <w:fldChar w:fldCharType="end"/>
        </w:r>
      </w:hyperlink>
    </w:p>
    <w:p w14:paraId="4DF634BE" w14:textId="49CEB02F"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55" w:history="1">
        <w:r w:rsidR="00EE697E" w:rsidRPr="00CA3ED5">
          <w:rPr>
            <w:rStyle w:val="Hipervnculo"/>
            <w:rFonts w:ascii="Verdana" w:eastAsiaTheme="minorHAnsi" w:hAnsi="Verdana" w:cs="Arial"/>
            <w:i w:val="0"/>
            <w:noProof/>
            <w:lang w:val="es-AR"/>
          </w:rPr>
          <w:t>E.2.</w:t>
        </w:r>
        <w:r w:rsidR="00EE697E" w:rsidRPr="00CA3ED5">
          <w:rPr>
            <w:rFonts w:ascii="Verdana" w:eastAsiaTheme="minorEastAsia" w:hAnsi="Verdana"/>
            <w:i w:val="0"/>
            <w:iCs w:val="0"/>
            <w:noProof/>
            <w:lang w:val="es-CR" w:eastAsia="es-CR"/>
          </w:rPr>
          <w:tab/>
        </w:r>
        <w:r w:rsidR="00EE697E" w:rsidRPr="00CA3ED5">
          <w:rPr>
            <w:rStyle w:val="Hipervnculo"/>
            <w:rFonts w:ascii="Verdana" w:eastAsiaTheme="minorHAnsi" w:hAnsi="Verdana" w:cs="Cambria"/>
            <w:i w:val="0"/>
            <w:noProof/>
          </w:rPr>
          <w:t xml:space="preserve">Los desplazamientos de los familiares y </w:t>
        </w:r>
        <w:r w:rsidR="00EE697E" w:rsidRPr="00CA3ED5">
          <w:rPr>
            <w:rStyle w:val="Hipervnculo"/>
            <w:rFonts w:ascii="Verdana" w:hAnsi="Verdana" w:cs="Cambria"/>
            <w:i w:val="0"/>
            <w:noProof/>
          </w:rPr>
          <w:t xml:space="preserve">las </w:t>
        </w:r>
        <w:r w:rsidR="00EE697E" w:rsidRPr="00CA3ED5">
          <w:rPr>
            <w:rStyle w:val="Hipervnculo"/>
            <w:rFonts w:ascii="Verdana" w:eastAsiaTheme="minorHAnsi" w:hAnsi="Verdana" w:cs="Cambria"/>
            <w:i w:val="0"/>
            <w:noProof/>
          </w:rPr>
          <w:t>amenazas en su contra</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_Toc532995355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57</w:t>
        </w:r>
        <w:r w:rsidR="00EE697E" w:rsidRPr="00CA3ED5">
          <w:rPr>
            <w:rFonts w:ascii="Verdana" w:hAnsi="Verdana"/>
            <w:i w:val="0"/>
            <w:noProof/>
            <w:webHidden/>
          </w:rPr>
          <w:fldChar w:fldCharType="end"/>
        </w:r>
      </w:hyperlink>
    </w:p>
    <w:p w14:paraId="79523283" w14:textId="43796426" w:rsidR="00EE697E" w:rsidRPr="00CA3ED5" w:rsidRDefault="003C1180" w:rsidP="00EE697E">
      <w:pPr>
        <w:pStyle w:val="TDC4"/>
        <w:rPr>
          <w:rFonts w:ascii="Verdana" w:eastAsiaTheme="minorEastAsia" w:hAnsi="Verdana"/>
          <w:noProof/>
          <w:sz w:val="20"/>
          <w:szCs w:val="20"/>
          <w:lang w:val="es-CR" w:eastAsia="es-CR"/>
        </w:rPr>
      </w:pPr>
      <w:hyperlink w:anchor="_Toc532995356" w:history="1">
        <w:r w:rsidR="00EE697E" w:rsidRPr="00CA3ED5">
          <w:rPr>
            <w:rStyle w:val="Hipervnculo"/>
            <w:rFonts w:ascii="Verdana" w:hAnsi="Verdana"/>
            <w:noProof/>
            <w:sz w:val="20"/>
            <w:szCs w:val="20"/>
            <w:lang w:val="es-AR"/>
          </w:rPr>
          <w:t>E.2.1.</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lang w:val="es-AR"/>
          </w:rPr>
          <w:t>Grupo familiar de Nitza Paola Alvarado Espinoza</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_Toc532995356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57</w:t>
        </w:r>
        <w:r w:rsidR="00EE697E" w:rsidRPr="00CA3ED5">
          <w:rPr>
            <w:rFonts w:ascii="Verdana" w:hAnsi="Verdana"/>
            <w:noProof/>
            <w:webHidden/>
            <w:sz w:val="20"/>
            <w:szCs w:val="20"/>
          </w:rPr>
          <w:fldChar w:fldCharType="end"/>
        </w:r>
      </w:hyperlink>
    </w:p>
    <w:p w14:paraId="6168D575" w14:textId="686ADA4F" w:rsidR="00EE697E" w:rsidRPr="00CA3ED5" w:rsidRDefault="003C1180" w:rsidP="00EE697E">
      <w:pPr>
        <w:pStyle w:val="TDC4"/>
        <w:rPr>
          <w:rFonts w:ascii="Verdana" w:eastAsiaTheme="minorEastAsia" w:hAnsi="Verdana"/>
          <w:noProof/>
          <w:sz w:val="20"/>
          <w:szCs w:val="20"/>
          <w:lang w:val="es-CR" w:eastAsia="es-CR"/>
        </w:rPr>
      </w:pPr>
      <w:hyperlink w:anchor="_Toc532995357" w:history="1">
        <w:r w:rsidR="00EE697E" w:rsidRPr="00CA3ED5">
          <w:rPr>
            <w:rStyle w:val="Hipervnculo"/>
            <w:rFonts w:ascii="Verdana" w:eastAsiaTheme="minorHAnsi" w:hAnsi="Verdana" w:cs="Arial"/>
            <w:noProof/>
            <w:sz w:val="20"/>
            <w:szCs w:val="20"/>
            <w:lang w:val="es-AR"/>
          </w:rPr>
          <w:t>E.2.2.</w:t>
        </w:r>
        <w:r w:rsidR="00EE697E" w:rsidRPr="00CA3ED5">
          <w:rPr>
            <w:rFonts w:ascii="Verdana" w:eastAsiaTheme="minorEastAsia" w:hAnsi="Verdana"/>
            <w:noProof/>
            <w:sz w:val="20"/>
            <w:szCs w:val="20"/>
            <w:lang w:val="es-CR" w:eastAsia="es-CR"/>
          </w:rPr>
          <w:tab/>
        </w:r>
        <w:r w:rsidR="00EE697E" w:rsidRPr="00CA3ED5">
          <w:rPr>
            <w:rStyle w:val="Hipervnculo"/>
            <w:rFonts w:ascii="Verdana" w:eastAsiaTheme="minorHAnsi" w:hAnsi="Verdana" w:cs="Arial"/>
            <w:noProof/>
            <w:sz w:val="20"/>
            <w:szCs w:val="20"/>
            <w:lang w:val="es-AR"/>
          </w:rPr>
          <w:t>Grupo familiar de Rocío Irene Alvarado Reyes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_Toc532995357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58</w:t>
        </w:r>
        <w:r w:rsidR="00EE697E" w:rsidRPr="00CA3ED5">
          <w:rPr>
            <w:rFonts w:ascii="Verdana" w:hAnsi="Verdana"/>
            <w:noProof/>
            <w:webHidden/>
            <w:sz w:val="20"/>
            <w:szCs w:val="20"/>
          </w:rPr>
          <w:fldChar w:fldCharType="end"/>
        </w:r>
      </w:hyperlink>
    </w:p>
    <w:p w14:paraId="0DD1CBBD" w14:textId="22C5B1A9" w:rsidR="00EE697E" w:rsidRPr="00CA3ED5" w:rsidRDefault="003C1180" w:rsidP="00EE697E">
      <w:pPr>
        <w:pStyle w:val="TDC4"/>
        <w:rPr>
          <w:rFonts w:ascii="Verdana" w:eastAsiaTheme="minorEastAsia" w:hAnsi="Verdana"/>
          <w:noProof/>
          <w:sz w:val="20"/>
          <w:szCs w:val="20"/>
          <w:lang w:val="es-CR" w:eastAsia="es-CR"/>
        </w:rPr>
      </w:pPr>
      <w:hyperlink w:anchor="_Toc532995358" w:history="1">
        <w:r w:rsidR="00EE697E" w:rsidRPr="00CA3ED5">
          <w:rPr>
            <w:rStyle w:val="Hipervnculo"/>
            <w:rFonts w:ascii="Verdana" w:hAnsi="Verdana"/>
            <w:noProof/>
            <w:sz w:val="20"/>
            <w:szCs w:val="20"/>
            <w:lang w:val="es-AR"/>
          </w:rPr>
          <w:t>E.2.3.</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lang w:val="es-AR"/>
          </w:rPr>
          <w:t>Grupo familiar de José Ángel Alvarado Herrera</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_Toc532995358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59</w:t>
        </w:r>
        <w:r w:rsidR="00EE697E" w:rsidRPr="00CA3ED5">
          <w:rPr>
            <w:rFonts w:ascii="Verdana" w:hAnsi="Verdana"/>
            <w:noProof/>
            <w:webHidden/>
            <w:sz w:val="20"/>
            <w:szCs w:val="20"/>
          </w:rPr>
          <w:fldChar w:fldCharType="end"/>
        </w:r>
      </w:hyperlink>
    </w:p>
    <w:p w14:paraId="4481CA28" w14:textId="6E0C3511" w:rsidR="00EE697E" w:rsidRPr="00CA3ED5"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59" w:history="1">
        <w:r w:rsidR="00EE697E" w:rsidRPr="00CA3ED5">
          <w:rPr>
            <w:rStyle w:val="Hipervnculo"/>
            <w:rFonts w:ascii="Verdana" w:hAnsi="Verdana"/>
            <w:noProof/>
          </w:rPr>
          <w:t>VII FONDO</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_Toc532995359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60</w:t>
        </w:r>
        <w:r w:rsidR="00EE697E" w:rsidRPr="00CA3ED5">
          <w:rPr>
            <w:rFonts w:ascii="Verdana" w:hAnsi="Verdana"/>
            <w:noProof/>
            <w:webHidden/>
          </w:rPr>
          <w:fldChar w:fldCharType="end"/>
        </w:r>
      </w:hyperlink>
    </w:p>
    <w:p w14:paraId="0ECDE308" w14:textId="33627E05" w:rsidR="00EE697E" w:rsidRPr="00CA3ED5"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60" w:history="1">
        <w:r w:rsidR="00EE697E" w:rsidRPr="00CA3ED5">
          <w:rPr>
            <w:rStyle w:val="Hipervnculo"/>
            <w:rFonts w:ascii="Verdana" w:hAnsi="Verdana"/>
            <w:noProof/>
          </w:rPr>
          <w:t>VII.1</w:t>
        </w:r>
      </w:hyperlink>
      <w:r w:rsidR="00EE697E" w:rsidRPr="00CA3ED5">
        <w:rPr>
          <w:rFonts w:ascii="Verdana" w:eastAsiaTheme="minorEastAsia" w:hAnsi="Verdana"/>
          <w:b w:val="0"/>
          <w:bCs w:val="0"/>
          <w:caps w:val="0"/>
          <w:noProof/>
          <w:lang w:val="es-CR" w:eastAsia="es-CR"/>
        </w:rPr>
        <w:t xml:space="preserve"> </w:t>
      </w:r>
      <w:hyperlink w:anchor="_Toc532995361" w:history="1">
        <w:r w:rsidR="00EE697E" w:rsidRPr="00CA3ED5">
          <w:rPr>
            <w:rStyle w:val="Hipervnculo"/>
            <w:rFonts w:ascii="Verdana" w:hAnsi="Verdana"/>
            <w:noProof/>
          </w:rPr>
          <w:t>DERECHOS AL RECONOCIMIENTO A LA PERSONALIDAD JURÍDICA, A LA VIDA, A LA INTEGRIDAD PERSONAL Y A LA LIBERTAD PERSONAL (ARTÍCULOS 3, 4, 5 Y 7 DE LA CONVENCIÓN AMERICANA, Y I.A DE LA CONVENCIÓN INTERAMERICANA SOBRE DESAPARICIÓN FORZADA DE PERSONAS)</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_Toc532995361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61</w:t>
        </w:r>
        <w:r w:rsidR="00EE697E" w:rsidRPr="00CA3ED5">
          <w:rPr>
            <w:rFonts w:ascii="Verdana" w:hAnsi="Verdana"/>
            <w:noProof/>
            <w:webHidden/>
          </w:rPr>
          <w:fldChar w:fldCharType="end"/>
        </w:r>
      </w:hyperlink>
    </w:p>
    <w:p w14:paraId="0B8B6ADF" w14:textId="02FCBAAB"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62" w:history="1">
        <w:r w:rsidR="00EE697E" w:rsidRPr="00CA3ED5">
          <w:rPr>
            <w:rStyle w:val="Hipervnculo"/>
            <w:rFonts w:ascii="Verdana" w:hAnsi="Verdana"/>
            <w:noProof/>
          </w:rPr>
          <w:t>A.</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Argumentos las partes y de la Comisión</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_Toc532995362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61</w:t>
        </w:r>
        <w:r w:rsidR="00EE697E" w:rsidRPr="00CA3ED5">
          <w:rPr>
            <w:rFonts w:ascii="Verdana" w:hAnsi="Verdana"/>
            <w:noProof/>
            <w:webHidden/>
          </w:rPr>
          <w:fldChar w:fldCharType="end"/>
        </w:r>
      </w:hyperlink>
    </w:p>
    <w:p w14:paraId="7E8FB2FE" w14:textId="5A86E2C0"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63" w:history="1">
        <w:r w:rsidR="00EE697E" w:rsidRPr="00CA3ED5">
          <w:rPr>
            <w:rStyle w:val="Hipervnculo"/>
            <w:rFonts w:ascii="Verdana" w:hAnsi="Verdana"/>
            <w:noProof/>
          </w:rPr>
          <w:t>B.</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Consideraciones de la Corte</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_Toc532995363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62</w:t>
        </w:r>
        <w:r w:rsidR="00EE697E" w:rsidRPr="00CA3ED5">
          <w:rPr>
            <w:rFonts w:ascii="Verdana" w:hAnsi="Verdana"/>
            <w:noProof/>
            <w:webHidden/>
          </w:rPr>
          <w:fldChar w:fldCharType="end"/>
        </w:r>
      </w:hyperlink>
    </w:p>
    <w:p w14:paraId="69D2AD23" w14:textId="6D52EAE3"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64" w:history="1">
        <w:r w:rsidR="00EE697E" w:rsidRPr="00CA3ED5">
          <w:rPr>
            <w:rStyle w:val="Hipervnculo"/>
            <w:rFonts w:ascii="Verdana" w:hAnsi="Verdana"/>
            <w:i w:val="0"/>
            <w:noProof/>
          </w:rPr>
          <w:t>B.1.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La desaparición forzada como violación pluriofensiva y continuada de derechos humanos y su determinación</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_Toc532995364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63</w:t>
        </w:r>
        <w:r w:rsidR="00EE697E" w:rsidRPr="00CA3ED5">
          <w:rPr>
            <w:rFonts w:ascii="Verdana" w:hAnsi="Verdana"/>
            <w:i w:val="0"/>
            <w:noProof/>
            <w:webHidden/>
          </w:rPr>
          <w:fldChar w:fldCharType="end"/>
        </w:r>
      </w:hyperlink>
    </w:p>
    <w:p w14:paraId="52490316" w14:textId="176CAE5B"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65" w:history="1">
        <w:r w:rsidR="00EE697E" w:rsidRPr="00CA3ED5">
          <w:rPr>
            <w:rStyle w:val="Hipervnculo"/>
            <w:rFonts w:ascii="Verdana" w:hAnsi="Verdana"/>
            <w:i w:val="0"/>
            <w:noProof/>
          </w:rPr>
          <w:t>B.2.</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Sobre las desapariciones forzadas en el presente caso</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_Toc532995365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64</w:t>
        </w:r>
        <w:r w:rsidR="00EE697E" w:rsidRPr="00CA3ED5">
          <w:rPr>
            <w:rFonts w:ascii="Verdana" w:hAnsi="Verdana"/>
            <w:i w:val="0"/>
            <w:noProof/>
            <w:webHidden/>
          </w:rPr>
          <w:fldChar w:fldCharType="end"/>
        </w:r>
      </w:hyperlink>
    </w:p>
    <w:p w14:paraId="560847FF" w14:textId="5069481F" w:rsidR="00EE697E" w:rsidRPr="00CA3ED5" w:rsidRDefault="003C1180" w:rsidP="00EE697E">
      <w:pPr>
        <w:pStyle w:val="TDC4"/>
        <w:rPr>
          <w:rFonts w:ascii="Verdana" w:eastAsiaTheme="minorEastAsia" w:hAnsi="Verdana"/>
          <w:noProof/>
          <w:sz w:val="20"/>
          <w:szCs w:val="20"/>
          <w:lang w:val="es-CR" w:eastAsia="es-CR"/>
        </w:rPr>
      </w:pPr>
      <w:hyperlink w:anchor="_Toc532995366" w:history="1">
        <w:r w:rsidR="00EE697E" w:rsidRPr="00CA3ED5">
          <w:rPr>
            <w:rStyle w:val="Hipervnculo"/>
            <w:rFonts w:ascii="Verdana" w:hAnsi="Verdana"/>
            <w:noProof/>
            <w:sz w:val="20"/>
            <w:szCs w:val="20"/>
          </w:rPr>
          <w:t>B.2.1.</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La privación de la libertad de las tres presuntas víctimas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_Toc532995366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64</w:t>
        </w:r>
        <w:r w:rsidR="00EE697E" w:rsidRPr="00CA3ED5">
          <w:rPr>
            <w:rFonts w:ascii="Verdana" w:hAnsi="Verdana"/>
            <w:noProof/>
            <w:webHidden/>
            <w:sz w:val="20"/>
            <w:szCs w:val="20"/>
          </w:rPr>
          <w:fldChar w:fldCharType="end"/>
        </w:r>
      </w:hyperlink>
    </w:p>
    <w:p w14:paraId="16BED5C9" w14:textId="1DA7472A" w:rsidR="00EE697E" w:rsidRPr="00CA3ED5" w:rsidRDefault="003C1180" w:rsidP="00EE697E">
      <w:pPr>
        <w:pStyle w:val="TDC4"/>
        <w:rPr>
          <w:rFonts w:ascii="Verdana" w:eastAsiaTheme="minorEastAsia" w:hAnsi="Verdana"/>
          <w:noProof/>
          <w:sz w:val="20"/>
          <w:szCs w:val="20"/>
          <w:lang w:val="es-CR" w:eastAsia="es-CR"/>
        </w:rPr>
      </w:pPr>
      <w:hyperlink w:anchor="_Toc532995367" w:history="1">
        <w:r w:rsidR="00EE697E" w:rsidRPr="00CA3ED5">
          <w:rPr>
            <w:rStyle w:val="Hipervnculo"/>
            <w:rFonts w:ascii="Verdana" w:hAnsi="Verdana"/>
            <w:noProof/>
            <w:sz w:val="20"/>
            <w:szCs w:val="20"/>
          </w:rPr>
          <w:t>B.2.2.</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La intervención o aquiescencia de agentes estatales en los hechos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_Toc532995367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65</w:t>
        </w:r>
        <w:r w:rsidR="00EE697E" w:rsidRPr="00CA3ED5">
          <w:rPr>
            <w:rFonts w:ascii="Verdana" w:hAnsi="Verdana"/>
            <w:noProof/>
            <w:webHidden/>
            <w:sz w:val="20"/>
            <w:szCs w:val="20"/>
          </w:rPr>
          <w:fldChar w:fldCharType="end"/>
        </w:r>
      </w:hyperlink>
    </w:p>
    <w:p w14:paraId="321C32D2" w14:textId="048D7713" w:rsidR="00EE697E" w:rsidRPr="00CA3ED5" w:rsidRDefault="003C1180" w:rsidP="00EE697E">
      <w:pPr>
        <w:pStyle w:val="TDC5"/>
        <w:tabs>
          <w:tab w:val="left" w:pos="1320"/>
          <w:tab w:val="right" w:leader="dot" w:pos="9792"/>
        </w:tabs>
        <w:spacing w:line="240" w:lineRule="auto"/>
        <w:jc w:val="both"/>
        <w:rPr>
          <w:rFonts w:ascii="Verdana" w:eastAsiaTheme="minorEastAsia" w:hAnsi="Verdana"/>
          <w:noProof/>
          <w:sz w:val="20"/>
          <w:szCs w:val="20"/>
          <w:lang w:val="es-CR" w:eastAsia="es-CR"/>
        </w:rPr>
      </w:pPr>
      <w:hyperlink w:anchor="_Toc532995368" w:history="1">
        <w:r w:rsidR="00EE697E" w:rsidRPr="00CA3ED5">
          <w:rPr>
            <w:rStyle w:val="Hipervnculo"/>
            <w:rFonts w:ascii="Verdana" w:hAnsi="Verdana"/>
            <w:noProof/>
            <w:sz w:val="20"/>
            <w:szCs w:val="20"/>
          </w:rPr>
          <w:t>(i)</w:t>
        </w:r>
        <w:r w:rsidR="00EE697E" w:rsidRPr="00CA3ED5">
          <w:rPr>
            <w:rFonts w:ascii="Verdana" w:eastAsiaTheme="minorEastAsia" w:hAnsi="Verdana"/>
            <w:noProof/>
            <w:sz w:val="20"/>
            <w:szCs w:val="20"/>
            <w:lang w:val="es-CR" w:eastAsia="es-CR"/>
          </w:rPr>
          <w:tab/>
          <w:t xml:space="preserve">   </w:t>
        </w:r>
        <w:r w:rsidR="00EE697E" w:rsidRPr="00CA3ED5">
          <w:rPr>
            <w:rStyle w:val="Hipervnculo"/>
            <w:rFonts w:ascii="Verdana" w:hAnsi="Verdana"/>
            <w:noProof/>
            <w:sz w:val="20"/>
            <w:szCs w:val="20"/>
          </w:rPr>
          <w:t>Sobre el contexto en que ocurrieron los hechos del caso</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_Toc532995368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65</w:t>
        </w:r>
        <w:r w:rsidR="00EE697E" w:rsidRPr="00CA3ED5">
          <w:rPr>
            <w:rFonts w:ascii="Verdana" w:hAnsi="Verdana"/>
            <w:noProof/>
            <w:webHidden/>
            <w:sz w:val="20"/>
            <w:szCs w:val="20"/>
          </w:rPr>
          <w:fldChar w:fldCharType="end"/>
        </w:r>
      </w:hyperlink>
    </w:p>
    <w:p w14:paraId="7ED681F8" w14:textId="0C11DEEE" w:rsidR="00EE697E" w:rsidRPr="00CA3ED5" w:rsidRDefault="003C1180" w:rsidP="00EE697E">
      <w:pPr>
        <w:pStyle w:val="TDC5"/>
        <w:tabs>
          <w:tab w:val="left" w:pos="1320"/>
          <w:tab w:val="right" w:leader="dot" w:pos="9792"/>
        </w:tabs>
        <w:spacing w:line="240" w:lineRule="auto"/>
        <w:jc w:val="both"/>
        <w:rPr>
          <w:rFonts w:ascii="Verdana" w:eastAsiaTheme="minorEastAsia" w:hAnsi="Verdana"/>
          <w:noProof/>
          <w:sz w:val="20"/>
          <w:szCs w:val="20"/>
          <w:lang w:val="es-CR" w:eastAsia="es-CR"/>
        </w:rPr>
      </w:pPr>
      <w:hyperlink w:anchor="_Toc532995369" w:history="1">
        <w:r w:rsidR="00EE697E" w:rsidRPr="00CA3ED5">
          <w:rPr>
            <w:rStyle w:val="Hipervnculo"/>
            <w:rFonts w:ascii="Verdana" w:hAnsi="Verdana"/>
            <w:noProof/>
            <w:sz w:val="20"/>
            <w:szCs w:val="20"/>
          </w:rPr>
          <w:t>(ii)</w:t>
        </w:r>
        <w:r w:rsidR="00EE697E" w:rsidRPr="00CA3ED5">
          <w:rPr>
            <w:rFonts w:ascii="Verdana" w:eastAsiaTheme="minorEastAsia" w:hAnsi="Verdana"/>
            <w:noProof/>
            <w:sz w:val="20"/>
            <w:szCs w:val="20"/>
            <w:lang w:val="es-CR" w:eastAsia="es-CR"/>
          </w:rPr>
          <w:tab/>
          <w:t xml:space="preserve">   </w:t>
        </w:r>
        <w:r w:rsidR="00EE697E" w:rsidRPr="00CA3ED5">
          <w:rPr>
            <w:rStyle w:val="Hipervnculo"/>
            <w:rFonts w:ascii="Verdana" w:hAnsi="Verdana"/>
            <w:noProof/>
            <w:sz w:val="20"/>
            <w:szCs w:val="20"/>
          </w:rPr>
          <w:t>Sobre la participación de las Fuerzas Armadas en labores de Seguridad Ciudadana</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_Toc532995369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66</w:t>
        </w:r>
        <w:r w:rsidR="00EE697E" w:rsidRPr="00CA3ED5">
          <w:rPr>
            <w:rFonts w:ascii="Verdana" w:hAnsi="Verdana"/>
            <w:noProof/>
            <w:webHidden/>
            <w:sz w:val="20"/>
            <w:szCs w:val="20"/>
          </w:rPr>
          <w:fldChar w:fldCharType="end"/>
        </w:r>
      </w:hyperlink>
    </w:p>
    <w:p w14:paraId="06450594" w14:textId="7791D371" w:rsidR="00EE697E" w:rsidRPr="00CA3ED5" w:rsidRDefault="003C1180" w:rsidP="00EE697E">
      <w:pPr>
        <w:pStyle w:val="TDC5"/>
        <w:tabs>
          <w:tab w:val="left" w:pos="1540"/>
          <w:tab w:val="right" w:leader="dot" w:pos="9792"/>
        </w:tabs>
        <w:spacing w:line="240" w:lineRule="auto"/>
        <w:jc w:val="both"/>
        <w:rPr>
          <w:rFonts w:ascii="Verdana" w:eastAsiaTheme="minorEastAsia" w:hAnsi="Verdana"/>
          <w:noProof/>
          <w:sz w:val="20"/>
          <w:szCs w:val="20"/>
          <w:lang w:val="es-CR" w:eastAsia="es-CR"/>
        </w:rPr>
      </w:pPr>
      <w:hyperlink w:anchor="_Toc532995370" w:history="1">
        <w:r w:rsidR="00EE697E" w:rsidRPr="00CA3ED5">
          <w:rPr>
            <w:rStyle w:val="Hipervnculo"/>
            <w:rFonts w:ascii="Verdana" w:hAnsi="Verdana"/>
            <w:noProof/>
            <w:sz w:val="20"/>
            <w:szCs w:val="20"/>
          </w:rPr>
          <w:t>(iii)</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Las declaraciones de los testigos presenciales y referenciales sobre los hechos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_Toc532995370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70</w:t>
        </w:r>
        <w:r w:rsidR="00EE697E" w:rsidRPr="00CA3ED5">
          <w:rPr>
            <w:rFonts w:ascii="Verdana" w:hAnsi="Verdana"/>
            <w:noProof/>
            <w:webHidden/>
            <w:sz w:val="20"/>
            <w:szCs w:val="20"/>
          </w:rPr>
          <w:fldChar w:fldCharType="end"/>
        </w:r>
      </w:hyperlink>
    </w:p>
    <w:p w14:paraId="20F3A342" w14:textId="5BD8E2D4" w:rsidR="00EE697E" w:rsidRPr="00CA3ED5" w:rsidRDefault="003C1180" w:rsidP="00EE697E">
      <w:pPr>
        <w:pStyle w:val="TDC5"/>
        <w:tabs>
          <w:tab w:val="left" w:pos="1540"/>
          <w:tab w:val="right" w:leader="dot" w:pos="9792"/>
        </w:tabs>
        <w:spacing w:line="240" w:lineRule="auto"/>
        <w:jc w:val="both"/>
        <w:rPr>
          <w:rFonts w:ascii="Verdana" w:eastAsiaTheme="minorEastAsia" w:hAnsi="Verdana"/>
          <w:noProof/>
          <w:sz w:val="20"/>
          <w:szCs w:val="20"/>
          <w:lang w:val="es-CR" w:eastAsia="es-CR"/>
        </w:rPr>
      </w:pPr>
      <w:hyperlink w:anchor="_Toc532995371" w:history="1">
        <w:r w:rsidR="00EE697E" w:rsidRPr="00CA3ED5">
          <w:rPr>
            <w:rStyle w:val="Hipervnculo"/>
            <w:rFonts w:ascii="Verdana" w:hAnsi="Verdana"/>
            <w:noProof/>
            <w:sz w:val="20"/>
            <w:szCs w:val="20"/>
          </w:rPr>
          <w:t>(iv)</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Las observaciones de distintos órganos a nivel interno</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_Toc532995371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73</w:t>
        </w:r>
        <w:r w:rsidR="00EE697E" w:rsidRPr="00CA3ED5">
          <w:rPr>
            <w:rFonts w:ascii="Verdana" w:hAnsi="Verdana"/>
            <w:noProof/>
            <w:webHidden/>
            <w:sz w:val="20"/>
            <w:szCs w:val="20"/>
          </w:rPr>
          <w:fldChar w:fldCharType="end"/>
        </w:r>
      </w:hyperlink>
    </w:p>
    <w:p w14:paraId="3DCAE010" w14:textId="73FD5B19" w:rsidR="00EE697E" w:rsidRPr="00CA3ED5" w:rsidRDefault="003C1180" w:rsidP="00EE697E">
      <w:pPr>
        <w:pStyle w:val="TDC4"/>
        <w:rPr>
          <w:rFonts w:ascii="Verdana" w:eastAsiaTheme="minorEastAsia" w:hAnsi="Verdana"/>
          <w:noProof/>
          <w:sz w:val="20"/>
          <w:szCs w:val="20"/>
          <w:lang w:val="es-CR" w:eastAsia="es-CR"/>
        </w:rPr>
      </w:pPr>
      <w:hyperlink w:anchor="_Toc532995372" w:history="1">
        <w:r w:rsidR="00EE697E" w:rsidRPr="00CA3ED5">
          <w:rPr>
            <w:rStyle w:val="Hipervnculo"/>
            <w:rFonts w:ascii="Verdana" w:hAnsi="Verdana"/>
            <w:noProof/>
            <w:sz w:val="20"/>
            <w:szCs w:val="20"/>
          </w:rPr>
          <w:t>B.2.3.</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La negativa de reconocer la detención o falta de proveer información y de revelar la suerte o el paradero de la persona interesada</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_Toc532995372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75</w:t>
        </w:r>
        <w:r w:rsidR="00EE697E" w:rsidRPr="00CA3ED5">
          <w:rPr>
            <w:rFonts w:ascii="Verdana" w:hAnsi="Verdana"/>
            <w:noProof/>
            <w:webHidden/>
            <w:sz w:val="20"/>
            <w:szCs w:val="20"/>
          </w:rPr>
          <w:fldChar w:fldCharType="end"/>
        </w:r>
      </w:hyperlink>
    </w:p>
    <w:p w14:paraId="2B028B6C" w14:textId="6EF3403A"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73" w:history="1">
        <w:r w:rsidR="00EE697E" w:rsidRPr="00CA3ED5">
          <w:rPr>
            <w:rStyle w:val="Hipervnculo"/>
            <w:rFonts w:ascii="Verdana" w:hAnsi="Verdana"/>
            <w:i w:val="0"/>
            <w:noProof/>
          </w:rPr>
          <w:t>B.3.</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Conclusión general</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_Toc532995373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76</w:t>
        </w:r>
        <w:r w:rsidR="00EE697E" w:rsidRPr="00CA3ED5">
          <w:rPr>
            <w:rFonts w:ascii="Verdana" w:hAnsi="Verdana"/>
            <w:i w:val="0"/>
            <w:noProof/>
            <w:webHidden/>
          </w:rPr>
          <w:fldChar w:fldCharType="end"/>
        </w:r>
      </w:hyperlink>
    </w:p>
    <w:p w14:paraId="1D178385" w14:textId="1CEF0297" w:rsidR="00EE697E" w:rsidRPr="00CA3ED5"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74" w:history="1">
        <w:r w:rsidR="00EE697E" w:rsidRPr="00CA3ED5">
          <w:rPr>
            <w:rStyle w:val="Hipervnculo"/>
            <w:rFonts w:ascii="Verdana" w:hAnsi="Verdana"/>
            <w:noProof/>
          </w:rPr>
          <w:t>VII.2</w:t>
        </w:r>
      </w:hyperlink>
      <w:r w:rsidR="00EE697E" w:rsidRPr="00CA3ED5">
        <w:rPr>
          <w:rFonts w:ascii="Verdana" w:eastAsiaTheme="minorEastAsia" w:hAnsi="Verdana"/>
          <w:b w:val="0"/>
          <w:bCs w:val="0"/>
          <w:caps w:val="0"/>
          <w:noProof/>
          <w:lang w:val="es-CR" w:eastAsia="es-CR"/>
        </w:rPr>
        <w:t xml:space="preserve"> </w:t>
      </w:r>
      <w:hyperlink w:anchor="_Toc532995375" w:history="1">
        <w:r w:rsidR="00EE697E" w:rsidRPr="00CA3ED5">
          <w:rPr>
            <w:rStyle w:val="Hipervnculo"/>
            <w:rFonts w:ascii="Verdana" w:hAnsi="Verdana"/>
            <w:noProof/>
          </w:rPr>
          <w:t>DERECHOS A LAS GARANTÍAS JUDICIALES Y PROTECCIÓN JUDICIAL Y DEBER DE ADOPTAR MEDIDAS (ARTICULOS 8, 25 Y 2), ASÍ COMO I.b y IX DE LA CIDFP, Y 7.b DE LA CONVENCIÓN DE BELEM DO PARÁ</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_Toc532995375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77</w:t>
        </w:r>
        <w:r w:rsidR="00EE697E" w:rsidRPr="00CA3ED5">
          <w:rPr>
            <w:rFonts w:ascii="Verdana" w:hAnsi="Verdana"/>
            <w:noProof/>
            <w:webHidden/>
          </w:rPr>
          <w:fldChar w:fldCharType="end"/>
        </w:r>
      </w:hyperlink>
    </w:p>
    <w:p w14:paraId="2A1D3B1E" w14:textId="63131BD0"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76" w:history="1">
        <w:r w:rsidR="00EE697E" w:rsidRPr="00CA3ED5">
          <w:rPr>
            <w:rStyle w:val="Hipervnculo"/>
            <w:rFonts w:ascii="Verdana" w:hAnsi="Verdana"/>
            <w:noProof/>
          </w:rPr>
          <w:t>A.</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Argumentos de las partes y de la Comisión</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_Toc532995376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77</w:t>
        </w:r>
        <w:r w:rsidR="00EE697E" w:rsidRPr="00CA3ED5">
          <w:rPr>
            <w:rFonts w:ascii="Verdana" w:hAnsi="Verdana"/>
            <w:noProof/>
            <w:webHidden/>
          </w:rPr>
          <w:fldChar w:fldCharType="end"/>
        </w:r>
      </w:hyperlink>
    </w:p>
    <w:p w14:paraId="3E71B169" w14:textId="0DA49B23"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77" w:history="1">
        <w:r w:rsidR="00EE697E" w:rsidRPr="00CA3ED5">
          <w:rPr>
            <w:rStyle w:val="Hipervnculo"/>
            <w:rFonts w:ascii="Verdana" w:hAnsi="Verdana"/>
            <w:noProof/>
          </w:rPr>
          <w:t>B.</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Consideraciones de la Corte</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_Toc532995377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79</w:t>
        </w:r>
        <w:r w:rsidR="00EE697E" w:rsidRPr="00CA3ED5">
          <w:rPr>
            <w:rFonts w:ascii="Verdana" w:hAnsi="Verdana"/>
            <w:noProof/>
            <w:webHidden/>
          </w:rPr>
          <w:fldChar w:fldCharType="end"/>
        </w:r>
      </w:hyperlink>
    </w:p>
    <w:p w14:paraId="2AAFD5DF" w14:textId="7A93D918"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78" w:history="1">
        <w:r w:rsidR="00EE697E" w:rsidRPr="00CA3ED5">
          <w:rPr>
            <w:rStyle w:val="Hipervnculo"/>
            <w:rFonts w:ascii="Verdana" w:hAnsi="Verdana"/>
            <w:i w:val="0"/>
            <w:noProof/>
          </w:rPr>
          <w:t>B.1.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Sobre la debida diligencia</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_Toc532995378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79</w:t>
        </w:r>
        <w:r w:rsidR="00EE697E" w:rsidRPr="00CA3ED5">
          <w:rPr>
            <w:rFonts w:ascii="Verdana" w:hAnsi="Verdana"/>
            <w:i w:val="0"/>
            <w:noProof/>
            <w:webHidden/>
          </w:rPr>
          <w:fldChar w:fldCharType="end"/>
        </w:r>
      </w:hyperlink>
    </w:p>
    <w:p w14:paraId="36ACA5DA" w14:textId="2FF86C2D" w:rsidR="00EE697E" w:rsidRPr="00CA3ED5" w:rsidRDefault="003C1180" w:rsidP="00EE697E">
      <w:pPr>
        <w:pStyle w:val="TDC4"/>
        <w:rPr>
          <w:rFonts w:ascii="Verdana" w:eastAsiaTheme="minorEastAsia" w:hAnsi="Verdana"/>
          <w:noProof/>
          <w:sz w:val="20"/>
          <w:szCs w:val="20"/>
          <w:lang w:val="es-CR" w:eastAsia="es-CR"/>
        </w:rPr>
      </w:pPr>
      <w:hyperlink w:anchor="_Toc532995379" w:history="1">
        <w:r w:rsidR="00EE697E" w:rsidRPr="00CA3ED5">
          <w:rPr>
            <w:rStyle w:val="Hipervnculo"/>
            <w:rFonts w:ascii="Verdana" w:hAnsi="Verdana"/>
            <w:noProof/>
            <w:sz w:val="20"/>
            <w:szCs w:val="20"/>
          </w:rPr>
          <w:t>B.1.1.</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Sobre la investigación de la desaparición</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_Toc532995379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79</w:t>
        </w:r>
        <w:r w:rsidR="00EE697E" w:rsidRPr="00CA3ED5">
          <w:rPr>
            <w:rFonts w:ascii="Verdana" w:hAnsi="Verdana"/>
            <w:noProof/>
            <w:webHidden/>
            <w:sz w:val="20"/>
            <w:szCs w:val="20"/>
          </w:rPr>
          <w:fldChar w:fldCharType="end"/>
        </w:r>
      </w:hyperlink>
    </w:p>
    <w:p w14:paraId="18636DDF" w14:textId="7E7FB322" w:rsidR="00EE697E" w:rsidRPr="00CA3ED5" w:rsidRDefault="003C1180" w:rsidP="00EE697E">
      <w:pPr>
        <w:pStyle w:val="TDC5"/>
        <w:tabs>
          <w:tab w:val="left" w:pos="1320"/>
          <w:tab w:val="right" w:leader="dot" w:pos="9792"/>
        </w:tabs>
        <w:spacing w:line="240" w:lineRule="auto"/>
        <w:jc w:val="both"/>
        <w:rPr>
          <w:rFonts w:ascii="Verdana" w:eastAsiaTheme="minorEastAsia" w:hAnsi="Verdana"/>
          <w:noProof/>
          <w:sz w:val="20"/>
          <w:szCs w:val="20"/>
          <w:lang w:val="es-CR" w:eastAsia="es-CR"/>
        </w:rPr>
      </w:pPr>
      <w:hyperlink w:anchor="_Toc532995380" w:history="1">
        <w:r w:rsidR="00EE697E" w:rsidRPr="00CA3ED5">
          <w:rPr>
            <w:rStyle w:val="Hipervnculo"/>
            <w:rFonts w:ascii="Verdana" w:hAnsi="Verdana"/>
            <w:noProof/>
            <w:sz w:val="20"/>
            <w:szCs w:val="20"/>
          </w:rPr>
          <w:t>(i)</w:t>
        </w:r>
        <w:r w:rsidR="00EE697E" w:rsidRPr="00CA3ED5">
          <w:rPr>
            <w:rFonts w:ascii="Verdana" w:eastAsiaTheme="minorEastAsia" w:hAnsi="Verdana"/>
            <w:noProof/>
            <w:sz w:val="20"/>
            <w:szCs w:val="20"/>
            <w:lang w:val="es-CR" w:eastAsia="es-CR"/>
          </w:rPr>
          <w:tab/>
        </w:r>
        <w:r w:rsidR="00D04D10" w:rsidRPr="00CA3ED5">
          <w:rPr>
            <w:rFonts w:ascii="Verdana" w:eastAsiaTheme="minorEastAsia" w:hAnsi="Verdana"/>
            <w:noProof/>
            <w:sz w:val="20"/>
            <w:szCs w:val="20"/>
            <w:lang w:val="es-CR" w:eastAsia="es-CR"/>
          </w:rPr>
          <w:t xml:space="preserve"> </w:t>
        </w:r>
        <w:r w:rsidR="00EE697E" w:rsidRPr="00CA3ED5">
          <w:rPr>
            <w:rStyle w:val="Hipervnculo"/>
            <w:rFonts w:ascii="Verdana" w:hAnsi="Verdana"/>
            <w:noProof/>
            <w:sz w:val="20"/>
            <w:szCs w:val="20"/>
            <w:lang w:val="es-CR"/>
          </w:rPr>
          <w:t>Actuación inmediata (en los primeros momentos)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_Toc532995380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79</w:t>
        </w:r>
        <w:r w:rsidR="00EE697E" w:rsidRPr="00CA3ED5">
          <w:rPr>
            <w:rFonts w:ascii="Verdana" w:hAnsi="Verdana"/>
            <w:noProof/>
            <w:webHidden/>
            <w:sz w:val="20"/>
            <w:szCs w:val="20"/>
          </w:rPr>
          <w:fldChar w:fldCharType="end"/>
        </w:r>
      </w:hyperlink>
    </w:p>
    <w:p w14:paraId="397AB70A" w14:textId="468FBDAE" w:rsidR="00EE697E" w:rsidRPr="00CA3ED5" w:rsidRDefault="003C1180" w:rsidP="00EE697E">
      <w:pPr>
        <w:pStyle w:val="TDC5"/>
        <w:tabs>
          <w:tab w:val="left" w:pos="1320"/>
          <w:tab w:val="right" w:leader="dot" w:pos="9792"/>
        </w:tabs>
        <w:spacing w:line="240" w:lineRule="auto"/>
        <w:jc w:val="both"/>
        <w:rPr>
          <w:rFonts w:ascii="Verdana" w:eastAsiaTheme="minorEastAsia" w:hAnsi="Verdana"/>
          <w:noProof/>
          <w:sz w:val="20"/>
          <w:szCs w:val="20"/>
          <w:lang w:val="es-CR" w:eastAsia="es-CR"/>
        </w:rPr>
      </w:pPr>
      <w:hyperlink w:anchor="_Toc532995381" w:history="1">
        <w:r w:rsidR="00EE697E" w:rsidRPr="00CA3ED5">
          <w:rPr>
            <w:rStyle w:val="Hipervnculo"/>
            <w:rFonts w:ascii="Verdana" w:hAnsi="Verdana"/>
            <w:noProof/>
            <w:sz w:val="20"/>
            <w:szCs w:val="20"/>
            <w:lang w:val="es-CR"/>
          </w:rPr>
          <w:t>(ii)</w:t>
        </w:r>
        <w:r w:rsidR="00D04D10" w:rsidRPr="00CA3ED5">
          <w:rPr>
            <w:rFonts w:ascii="Verdana" w:eastAsiaTheme="minorEastAsia" w:hAnsi="Verdana"/>
            <w:noProof/>
            <w:sz w:val="20"/>
            <w:szCs w:val="20"/>
            <w:lang w:val="es-CR" w:eastAsia="es-CR"/>
          </w:rPr>
          <w:t xml:space="preserve">   </w:t>
        </w:r>
        <w:r w:rsidR="00EE697E" w:rsidRPr="00CA3ED5">
          <w:rPr>
            <w:rStyle w:val="Hipervnculo"/>
            <w:rFonts w:ascii="Verdana" w:hAnsi="Verdana"/>
            <w:noProof/>
            <w:sz w:val="20"/>
            <w:szCs w:val="20"/>
            <w:lang w:val="es-CR"/>
          </w:rPr>
          <w:t>Sobre la supuesta llamada de Nitza Paola Alvarado Espinoza</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_Toc532995381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82</w:t>
        </w:r>
        <w:r w:rsidR="00EE697E" w:rsidRPr="00CA3ED5">
          <w:rPr>
            <w:rFonts w:ascii="Verdana" w:hAnsi="Verdana"/>
            <w:noProof/>
            <w:webHidden/>
            <w:sz w:val="20"/>
            <w:szCs w:val="20"/>
          </w:rPr>
          <w:fldChar w:fldCharType="end"/>
        </w:r>
      </w:hyperlink>
    </w:p>
    <w:p w14:paraId="33CCC8DC" w14:textId="48BF5725" w:rsidR="00EE697E" w:rsidRPr="00CA3ED5" w:rsidRDefault="003C1180" w:rsidP="00EE697E">
      <w:pPr>
        <w:pStyle w:val="TDC5"/>
        <w:tabs>
          <w:tab w:val="left" w:pos="1540"/>
          <w:tab w:val="right" w:leader="dot" w:pos="9792"/>
        </w:tabs>
        <w:spacing w:line="240" w:lineRule="auto"/>
        <w:jc w:val="both"/>
        <w:rPr>
          <w:rFonts w:ascii="Verdana" w:eastAsiaTheme="minorEastAsia" w:hAnsi="Verdana"/>
          <w:noProof/>
          <w:sz w:val="20"/>
          <w:szCs w:val="20"/>
          <w:lang w:val="es-CR" w:eastAsia="es-CR"/>
        </w:rPr>
      </w:pPr>
      <w:hyperlink w:anchor="_Toc532995382" w:history="1">
        <w:r w:rsidR="00EE697E" w:rsidRPr="00CA3ED5">
          <w:rPr>
            <w:rStyle w:val="Hipervnculo"/>
            <w:rFonts w:ascii="Verdana" w:hAnsi="Verdana"/>
            <w:noProof/>
            <w:sz w:val="20"/>
            <w:szCs w:val="20"/>
            <w:lang w:val="es-CR"/>
          </w:rPr>
          <w:t>(iii)</w:t>
        </w:r>
        <w:r w:rsidR="00D04D10" w:rsidRPr="00CA3ED5">
          <w:rPr>
            <w:rFonts w:ascii="Verdana" w:eastAsiaTheme="minorEastAsia" w:hAnsi="Verdana"/>
            <w:noProof/>
            <w:sz w:val="20"/>
            <w:szCs w:val="20"/>
            <w:lang w:val="es-CR" w:eastAsia="es-CR"/>
          </w:rPr>
          <w:t xml:space="preserve">  </w:t>
        </w:r>
        <w:r w:rsidR="00EE697E" w:rsidRPr="00CA3ED5">
          <w:rPr>
            <w:rStyle w:val="Hipervnculo"/>
            <w:rFonts w:ascii="Verdana" w:hAnsi="Verdana"/>
            <w:noProof/>
            <w:sz w:val="20"/>
            <w:szCs w:val="20"/>
            <w:lang w:val="es-CR"/>
          </w:rPr>
          <w:t>Sobre la investigación por la jurisdicción militar</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_Toc532995382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82</w:t>
        </w:r>
        <w:r w:rsidR="00EE697E" w:rsidRPr="00CA3ED5">
          <w:rPr>
            <w:rFonts w:ascii="Verdana" w:hAnsi="Verdana"/>
            <w:noProof/>
            <w:webHidden/>
            <w:sz w:val="20"/>
            <w:szCs w:val="20"/>
          </w:rPr>
          <w:fldChar w:fldCharType="end"/>
        </w:r>
      </w:hyperlink>
    </w:p>
    <w:p w14:paraId="52426BAC" w14:textId="742C937E" w:rsidR="00EE697E" w:rsidRPr="00CA3ED5" w:rsidRDefault="003C1180" w:rsidP="00EE697E">
      <w:pPr>
        <w:pStyle w:val="TDC5"/>
        <w:tabs>
          <w:tab w:val="left" w:pos="1540"/>
          <w:tab w:val="right" w:leader="dot" w:pos="9792"/>
        </w:tabs>
        <w:spacing w:line="240" w:lineRule="auto"/>
        <w:jc w:val="both"/>
        <w:rPr>
          <w:rFonts w:ascii="Verdana" w:eastAsiaTheme="minorEastAsia" w:hAnsi="Verdana"/>
          <w:noProof/>
          <w:sz w:val="20"/>
          <w:szCs w:val="20"/>
          <w:lang w:val="es-CR" w:eastAsia="es-CR"/>
        </w:rPr>
      </w:pPr>
      <w:hyperlink w:anchor="_Toc532995383" w:history="1">
        <w:r w:rsidR="00EE697E" w:rsidRPr="00CA3ED5">
          <w:rPr>
            <w:rStyle w:val="Hipervnculo"/>
            <w:rFonts w:ascii="Verdana" w:hAnsi="Verdana"/>
            <w:noProof/>
            <w:sz w:val="20"/>
            <w:szCs w:val="20"/>
            <w:lang w:val="es-CR"/>
          </w:rPr>
          <w:t>(iv)</w:t>
        </w:r>
        <w:r w:rsidR="00D04D10" w:rsidRPr="00CA3ED5">
          <w:rPr>
            <w:rFonts w:ascii="Verdana" w:eastAsiaTheme="minorEastAsia" w:hAnsi="Verdana"/>
            <w:noProof/>
            <w:sz w:val="20"/>
            <w:szCs w:val="20"/>
            <w:lang w:val="es-CR" w:eastAsia="es-CR"/>
          </w:rPr>
          <w:t xml:space="preserve">  </w:t>
        </w:r>
        <w:r w:rsidR="00EE697E" w:rsidRPr="00CA3ED5">
          <w:rPr>
            <w:rStyle w:val="Hipervnculo"/>
            <w:rFonts w:ascii="Verdana" w:hAnsi="Verdana"/>
            <w:noProof/>
            <w:sz w:val="20"/>
            <w:szCs w:val="20"/>
            <w:lang w:val="es-CR"/>
          </w:rPr>
          <w:t>Sobre las investigaciones posteriores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_Toc532995383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84</w:t>
        </w:r>
        <w:r w:rsidR="00EE697E" w:rsidRPr="00CA3ED5">
          <w:rPr>
            <w:rFonts w:ascii="Verdana" w:hAnsi="Verdana"/>
            <w:noProof/>
            <w:webHidden/>
            <w:sz w:val="20"/>
            <w:szCs w:val="20"/>
          </w:rPr>
          <w:fldChar w:fldCharType="end"/>
        </w:r>
      </w:hyperlink>
    </w:p>
    <w:p w14:paraId="592997D3" w14:textId="7BAE07D8" w:rsidR="00EE697E" w:rsidRPr="00CA3ED5" w:rsidRDefault="003C1180" w:rsidP="00EE697E">
      <w:pPr>
        <w:pStyle w:val="TDC5"/>
        <w:tabs>
          <w:tab w:val="left" w:pos="1320"/>
          <w:tab w:val="right" w:leader="dot" w:pos="9792"/>
        </w:tabs>
        <w:spacing w:line="240" w:lineRule="auto"/>
        <w:jc w:val="both"/>
        <w:rPr>
          <w:rFonts w:ascii="Verdana" w:eastAsiaTheme="minorEastAsia" w:hAnsi="Verdana"/>
          <w:noProof/>
          <w:sz w:val="20"/>
          <w:szCs w:val="20"/>
          <w:lang w:val="es-CR" w:eastAsia="es-CR"/>
        </w:rPr>
      </w:pPr>
      <w:hyperlink w:anchor="_Toc532995384" w:history="1">
        <w:r w:rsidR="00EE697E" w:rsidRPr="00CA3ED5">
          <w:rPr>
            <w:rStyle w:val="Hipervnculo"/>
            <w:rFonts w:ascii="Verdana" w:hAnsi="Verdana"/>
            <w:noProof/>
            <w:sz w:val="20"/>
            <w:szCs w:val="20"/>
            <w:lang w:val="es-CR"/>
          </w:rPr>
          <w:t>(v)</w:t>
        </w:r>
        <w:r w:rsidR="00EE697E" w:rsidRPr="00CA3ED5">
          <w:rPr>
            <w:rFonts w:ascii="Verdana" w:eastAsiaTheme="minorEastAsia" w:hAnsi="Verdana"/>
            <w:noProof/>
            <w:sz w:val="20"/>
            <w:szCs w:val="20"/>
            <w:lang w:val="es-CR" w:eastAsia="es-CR"/>
          </w:rPr>
          <w:tab/>
        </w:r>
        <w:r w:rsidR="00D04D10" w:rsidRPr="00CA3ED5">
          <w:rPr>
            <w:rFonts w:ascii="Verdana" w:eastAsiaTheme="minorEastAsia" w:hAnsi="Verdana"/>
            <w:noProof/>
            <w:sz w:val="20"/>
            <w:szCs w:val="20"/>
            <w:lang w:val="es-CR" w:eastAsia="es-CR"/>
          </w:rPr>
          <w:t xml:space="preserve"> </w:t>
        </w:r>
        <w:r w:rsidR="00EE697E" w:rsidRPr="00CA3ED5">
          <w:rPr>
            <w:rStyle w:val="Hipervnculo"/>
            <w:rFonts w:ascii="Verdana" w:hAnsi="Verdana"/>
            <w:noProof/>
            <w:sz w:val="20"/>
            <w:szCs w:val="20"/>
            <w:lang w:val="es-CR"/>
          </w:rPr>
          <w:t>Respecto del artículo 7 de la CPESVM</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_Toc532995384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86</w:t>
        </w:r>
        <w:r w:rsidR="00EE697E" w:rsidRPr="00CA3ED5">
          <w:rPr>
            <w:rFonts w:ascii="Verdana" w:hAnsi="Verdana"/>
            <w:noProof/>
            <w:webHidden/>
            <w:sz w:val="20"/>
            <w:szCs w:val="20"/>
          </w:rPr>
          <w:fldChar w:fldCharType="end"/>
        </w:r>
      </w:hyperlink>
    </w:p>
    <w:p w14:paraId="2BB25A89" w14:textId="038FDDD3" w:rsidR="00EE697E" w:rsidRPr="00CA3ED5" w:rsidRDefault="003C1180" w:rsidP="00EE697E">
      <w:pPr>
        <w:pStyle w:val="TDC5"/>
        <w:tabs>
          <w:tab w:val="left" w:pos="1540"/>
          <w:tab w:val="right" w:leader="dot" w:pos="9792"/>
        </w:tabs>
        <w:spacing w:line="240" w:lineRule="auto"/>
        <w:jc w:val="both"/>
        <w:rPr>
          <w:rFonts w:ascii="Verdana" w:eastAsiaTheme="minorEastAsia" w:hAnsi="Verdana"/>
          <w:noProof/>
          <w:sz w:val="20"/>
          <w:szCs w:val="20"/>
          <w:lang w:val="es-CR" w:eastAsia="es-CR"/>
        </w:rPr>
      </w:pPr>
      <w:hyperlink w:anchor="_Toc532995385" w:history="1">
        <w:r w:rsidR="00EE697E" w:rsidRPr="00CA3ED5">
          <w:rPr>
            <w:rStyle w:val="Hipervnculo"/>
            <w:rFonts w:ascii="Verdana" w:hAnsi="Verdana"/>
            <w:noProof/>
            <w:sz w:val="20"/>
            <w:szCs w:val="20"/>
            <w:lang w:val="es-CR"/>
          </w:rPr>
          <w:t>(vi)</w:t>
        </w:r>
        <w:r w:rsidR="00D04D10" w:rsidRPr="00CA3ED5">
          <w:rPr>
            <w:rFonts w:ascii="Verdana" w:eastAsiaTheme="minorEastAsia" w:hAnsi="Verdana"/>
            <w:noProof/>
            <w:sz w:val="20"/>
            <w:szCs w:val="20"/>
            <w:lang w:val="es-CR" w:eastAsia="es-CR"/>
          </w:rPr>
          <w:t xml:space="preserve">  </w:t>
        </w:r>
        <w:r w:rsidR="00EE697E" w:rsidRPr="00CA3ED5">
          <w:rPr>
            <w:rStyle w:val="Hipervnculo"/>
            <w:rFonts w:ascii="Verdana" w:hAnsi="Verdana"/>
            <w:noProof/>
            <w:sz w:val="20"/>
            <w:szCs w:val="20"/>
            <w:lang w:val="es-CR"/>
          </w:rPr>
          <w:t>Sobre el plazo razonable</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_Toc532995385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86</w:t>
        </w:r>
        <w:r w:rsidR="00EE697E" w:rsidRPr="00CA3ED5">
          <w:rPr>
            <w:rFonts w:ascii="Verdana" w:hAnsi="Verdana"/>
            <w:noProof/>
            <w:webHidden/>
            <w:sz w:val="20"/>
            <w:szCs w:val="20"/>
          </w:rPr>
          <w:fldChar w:fldCharType="end"/>
        </w:r>
      </w:hyperlink>
    </w:p>
    <w:p w14:paraId="74480E49" w14:textId="74D6A2C0" w:rsidR="00EE697E" w:rsidRPr="00CA3ED5" w:rsidRDefault="003C1180" w:rsidP="00EE697E">
      <w:pPr>
        <w:pStyle w:val="TDC4"/>
        <w:rPr>
          <w:rFonts w:ascii="Verdana" w:eastAsiaTheme="minorEastAsia" w:hAnsi="Verdana"/>
          <w:noProof/>
          <w:sz w:val="20"/>
          <w:szCs w:val="20"/>
          <w:lang w:val="es-CR" w:eastAsia="es-CR"/>
        </w:rPr>
      </w:pPr>
      <w:hyperlink w:anchor="_Toc532995386" w:history="1">
        <w:r w:rsidR="00EE697E" w:rsidRPr="00CA3ED5">
          <w:rPr>
            <w:rStyle w:val="Hipervnculo"/>
            <w:rFonts w:ascii="Verdana" w:hAnsi="Verdana"/>
            <w:noProof/>
            <w:sz w:val="20"/>
            <w:szCs w:val="20"/>
          </w:rPr>
          <w:t>B.1.2.</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Sobre la investigación de las amenazas y hostigamiento</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_Toc532995386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87</w:t>
        </w:r>
        <w:r w:rsidR="00EE697E" w:rsidRPr="00CA3ED5">
          <w:rPr>
            <w:rFonts w:ascii="Verdana" w:hAnsi="Verdana"/>
            <w:noProof/>
            <w:webHidden/>
            <w:sz w:val="20"/>
            <w:szCs w:val="20"/>
          </w:rPr>
          <w:fldChar w:fldCharType="end"/>
        </w:r>
      </w:hyperlink>
    </w:p>
    <w:p w14:paraId="0B590288" w14:textId="3B70942F"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87" w:history="1">
        <w:r w:rsidR="00EE697E" w:rsidRPr="00CA3ED5">
          <w:rPr>
            <w:rStyle w:val="Hipervnculo"/>
            <w:rFonts w:ascii="Verdana" w:hAnsi="Verdana"/>
            <w:i w:val="0"/>
            <w:noProof/>
          </w:rPr>
          <w:t>B.2.</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Sobre la falta de adopción de normas o implementación de medidas necesarias para ofrecer respuesta inmediata (artículo 2 de la Convención)</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_Toc532995387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88</w:t>
        </w:r>
        <w:r w:rsidR="00EE697E" w:rsidRPr="00CA3ED5">
          <w:rPr>
            <w:rFonts w:ascii="Verdana" w:hAnsi="Verdana"/>
            <w:i w:val="0"/>
            <w:noProof/>
            <w:webHidden/>
          </w:rPr>
          <w:fldChar w:fldCharType="end"/>
        </w:r>
      </w:hyperlink>
    </w:p>
    <w:p w14:paraId="7A541F1E" w14:textId="1BE0F40D" w:rsidR="00EE697E" w:rsidRPr="00CA3ED5"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88" w:history="1">
        <w:r w:rsidR="00EE697E" w:rsidRPr="00CA3ED5">
          <w:rPr>
            <w:rStyle w:val="Hipervnculo"/>
            <w:rFonts w:ascii="Verdana" w:hAnsi="Verdana"/>
            <w:noProof/>
          </w:rPr>
          <w:t>VII.3</w:t>
        </w:r>
      </w:hyperlink>
      <w:r w:rsidR="00EE697E" w:rsidRPr="00CA3ED5">
        <w:rPr>
          <w:rFonts w:ascii="Verdana" w:eastAsiaTheme="minorEastAsia" w:hAnsi="Verdana"/>
          <w:b w:val="0"/>
          <w:bCs w:val="0"/>
          <w:caps w:val="0"/>
          <w:noProof/>
          <w:lang w:val="es-CR" w:eastAsia="es-CR"/>
        </w:rPr>
        <w:t xml:space="preserve"> </w:t>
      </w:r>
      <w:hyperlink w:anchor="_Toc532995389" w:history="1">
        <w:r w:rsidR="00EE697E" w:rsidRPr="00CA3ED5">
          <w:rPr>
            <w:rStyle w:val="Hipervnculo"/>
            <w:rFonts w:ascii="Verdana" w:hAnsi="Verdana"/>
            <w:noProof/>
          </w:rPr>
          <w:t>DERECHOS A LA INTEGRIDAD PERSONAL (ARTÍCULO 5), DE CIRCULACIÓN Y DE RESIDENCIA (ARTÍCULO 22), A LA PROTECCIÓN A LA FAMILIA, A LA PROTECCIÓN DE LA HONRA Y DE LA DIGNIDAD Y DEL NIÑO (ARTÍCULOS 17, 11 Y 19) RESPECTO DE LOS FAMILIARES, EN RELACIÓN CON LOS ARTÍCULOS 1.1 Y 63.2 DE LA CONVENCIÓN AMERICANA.</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_Toc532995389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89</w:t>
        </w:r>
        <w:r w:rsidR="00EE697E" w:rsidRPr="00CA3ED5">
          <w:rPr>
            <w:rFonts w:ascii="Verdana" w:hAnsi="Verdana"/>
            <w:noProof/>
            <w:webHidden/>
          </w:rPr>
          <w:fldChar w:fldCharType="end"/>
        </w:r>
      </w:hyperlink>
    </w:p>
    <w:p w14:paraId="083AC3C1" w14:textId="20E52BA8"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90" w:history="1">
        <w:r w:rsidR="00EE697E" w:rsidRPr="00CA3ED5">
          <w:rPr>
            <w:rStyle w:val="Hipervnculo"/>
            <w:rFonts w:ascii="Verdana" w:hAnsi="Verdana"/>
            <w:noProof/>
          </w:rPr>
          <w:t>A.</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Argumentos de las partes y de la Comisión</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_Toc532995390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89</w:t>
        </w:r>
        <w:r w:rsidR="00EE697E" w:rsidRPr="00CA3ED5">
          <w:rPr>
            <w:rFonts w:ascii="Verdana" w:hAnsi="Verdana"/>
            <w:noProof/>
            <w:webHidden/>
          </w:rPr>
          <w:fldChar w:fldCharType="end"/>
        </w:r>
      </w:hyperlink>
    </w:p>
    <w:p w14:paraId="51746E59" w14:textId="3414EA44"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391" w:history="1">
        <w:r w:rsidR="00EE697E" w:rsidRPr="00CA3ED5">
          <w:rPr>
            <w:rStyle w:val="Hipervnculo"/>
            <w:rFonts w:ascii="Verdana" w:hAnsi="Verdana"/>
            <w:noProof/>
          </w:rPr>
          <w:t>B.</w:t>
        </w:r>
        <w:r w:rsidR="00EE697E" w:rsidRPr="00CA3ED5">
          <w:rPr>
            <w:rFonts w:ascii="Verdana" w:eastAsiaTheme="minorEastAsia" w:hAnsi="Verdana"/>
            <w:smallCaps w:val="0"/>
            <w:noProof/>
            <w:lang w:val="es-CR" w:eastAsia="es-CR"/>
          </w:rPr>
          <w:tab/>
        </w:r>
        <w:r w:rsidR="00EE697E" w:rsidRPr="00CA3ED5">
          <w:rPr>
            <w:rStyle w:val="Hipervnculo"/>
            <w:rFonts w:ascii="Verdana" w:hAnsi="Verdana"/>
            <w:noProof/>
          </w:rPr>
          <w:t>Consideraciones de la Corte</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_Toc532995391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90</w:t>
        </w:r>
        <w:r w:rsidR="00EE697E" w:rsidRPr="00CA3ED5">
          <w:rPr>
            <w:rFonts w:ascii="Verdana" w:hAnsi="Verdana"/>
            <w:noProof/>
            <w:webHidden/>
          </w:rPr>
          <w:fldChar w:fldCharType="end"/>
        </w:r>
      </w:hyperlink>
    </w:p>
    <w:p w14:paraId="7ABA1EC0" w14:textId="479A7425"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92" w:history="1">
        <w:r w:rsidR="00EE697E" w:rsidRPr="00CA3ED5">
          <w:rPr>
            <w:rStyle w:val="Hipervnculo"/>
            <w:rFonts w:ascii="Verdana" w:hAnsi="Verdana"/>
            <w:i w:val="0"/>
            <w:noProof/>
          </w:rPr>
          <w:t>B.1.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Respecto del Artículo 5, en relación con la desaparición forzada.</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_Toc532995392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90</w:t>
        </w:r>
        <w:r w:rsidR="00EE697E" w:rsidRPr="00CA3ED5">
          <w:rPr>
            <w:rFonts w:ascii="Verdana" w:hAnsi="Verdana"/>
            <w:i w:val="0"/>
            <w:noProof/>
            <w:webHidden/>
          </w:rPr>
          <w:fldChar w:fldCharType="end"/>
        </w:r>
      </w:hyperlink>
    </w:p>
    <w:p w14:paraId="513AA475" w14:textId="77378621"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393" w:history="1">
        <w:r w:rsidR="00EE697E" w:rsidRPr="00CA3ED5">
          <w:rPr>
            <w:rStyle w:val="Hipervnculo"/>
            <w:rFonts w:ascii="Verdana" w:hAnsi="Verdana"/>
            <w:i w:val="0"/>
            <w:noProof/>
          </w:rPr>
          <w:t>B.2.</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Respecto a los Artículos 5, 22, 11, 17 y 19 en relación con los hechos de amenazas y hostigamientos.</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_Toc532995393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91</w:t>
        </w:r>
        <w:r w:rsidR="00EE697E" w:rsidRPr="00CA3ED5">
          <w:rPr>
            <w:rFonts w:ascii="Verdana" w:hAnsi="Verdana"/>
            <w:i w:val="0"/>
            <w:noProof/>
            <w:webHidden/>
          </w:rPr>
          <w:fldChar w:fldCharType="end"/>
        </w:r>
      </w:hyperlink>
    </w:p>
    <w:p w14:paraId="51C40E52" w14:textId="298D51B2" w:rsidR="00EE697E" w:rsidRPr="00CA3ED5" w:rsidRDefault="003C1180" w:rsidP="00EE697E">
      <w:pPr>
        <w:pStyle w:val="TDC4"/>
        <w:rPr>
          <w:rFonts w:ascii="Verdana" w:eastAsiaTheme="minorEastAsia" w:hAnsi="Verdana"/>
          <w:noProof/>
          <w:sz w:val="20"/>
          <w:szCs w:val="20"/>
          <w:lang w:val="es-CR" w:eastAsia="es-CR"/>
        </w:rPr>
      </w:pPr>
      <w:hyperlink w:anchor="_Toc532995394" w:history="1">
        <w:r w:rsidR="00EE697E" w:rsidRPr="00CA3ED5">
          <w:rPr>
            <w:rStyle w:val="Hipervnculo"/>
            <w:rFonts w:ascii="Verdana" w:hAnsi="Verdana"/>
            <w:noProof/>
            <w:sz w:val="20"/>
            <w:szCs w:val="20"/>
          </w:rPr>
          <w:t>B.2.1.</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Respecto de las alegadas amenazas</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_Toc532995394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91</w:t>
        </w:r>
        <w:r w:rsidR="00EE697E" w:rsidRPr="00CA3ED5">
          <w:rPr>
            <w:rFonts w:ascii="Verdana" w:hAnsi="Verdana"/>
            <w:noProof/>
            <w:webHidden/>
            <w:sz w:val="20"/>
            <w:szCs w:val="20"/>
          </w:rPr>
          <w:fldChar w:fldCharType="end"/>
        </w:r>
      </w:hyperlink>
    </w:p>
    <w:p w14:paraId="69663641" w14:textId="36A9357F" w:rsidR="00EE697E" w:rsidRPr="00CA3ED5" w:rsidRDefault="003C1180" w:rsidP="00EE697E">
      <w:pPr>
        <w:pStyle w:val="TDC4"/>
        <w:rPr>
          <w:rFonts w:ascii="Verdana" w:eastAsiaTheme="minorEastAsia" w:hAnsi="Verdana"/>
          <w:noProof/>
          <w:sz w:val="20"/>
          <w:szCs w:val="20"/>
          <w:lang w:val="es-CR" w:eastAsia="es-CR"/>
        </w:rPr>
      </w:pPr>
      <w:hyperlink w:anchor="_Toc532995395" w:history="1">
        <w:r w:rsidR="00EE697E" w:rsidRPr="00CA3ED5">
          <w:rPr>
            <w:rStyle w:val="Hipervnculo"/>
            <w:rFonts w:ascii="Verdana" w:hAnsi="Verdana"/>
            <w:noProof/>
            <w:sz w:val="20"/>
            <w:szCs w:val="20"/>
          </w:rPr>
          <w:t>B.2.2.</w:t>
        </w:r>
        <w:r w:rsidR="00EE697E" w:rsidRPr="00CA3ED5">
          <w:rPr>
            <w:rFonts w:ascii="Verdana" w:eastAsiaTheme="minorEastAsia" w:hAnsi="Verdana"/>
            <w:noProof/>
            <w:sz w:val="20"/>
            <w:szCs w:val="20"/>
            <w:lang w:val="es-CR" w:eastAsia="es-CR"/>
          </w:rPr>
          <w:tab/>
        </w:r>
        <w:r w:rsidR="00EE697E" w:rsidRPr="00CA3ED5">
          <w:rPr>
            <w:rStyle w:val="Hipervnculo"/>
            <w:rFonts w:ascii="Verdana" w:hAnsi="Verdana"/>
            <w:noProof/>
            <w:sz w:val="20"/>
            <w:szCs w:val="20"/>
          </w:rPr>
          <w:t>Respecto del desplazamiento forzado y protección familiar</w:t>
        </w:r>
        <w:r w:rsidR="00EE697E" w:rsidRPr="00CA3ED5">
          <w:rPr>
            <w:rFonts w:ascii="Verdana" w:hAnsi="Verdana"/>
            <w:noProof/>
            <w:webHidden/>
            <w:sz w:val="20"/>
            <w:szCs w:val="20"/>
          </w:rPr>
          <w:tab/>
        </w:r>
        <w:r w:rsidR="00EE697E" w:rsidRPr="00CA3ED5">
          <w:rPr>
            <w:rFonts w:ascii="Verdana" w:hAnsi="Verdana"/>
            <w:noProof/>
            <w:webHidden/>
            <w:sz w:val="20"/>
            <w:szCs w:val="20"/>
          </w:rPr>
          <w:fldChar w:fldCharType="begin"/>
        </w:r>
        <w:r w:rsidR="00EE697E" w:rsidRPr="00CA3ED5">
          <w:rPr>
            <w:rFonts w:ascii="Verdana" w:hAnsi="Verdana"/>
            <w:noProof/>
            <w:webHidden/>
            <w:sz w:val="20"/>
            <w:szCs w:val="20"/>
          </w:rPr>
          <w:instrText xml:space="preserve"> PAGEREF _Toc532995395 \h </w:instrText>
        </w:r>
        <w:r w:rsidR="00EE697E" w:rsidRPr="00CA3ED5">
          <w:rPr>
            <w:rFonts w:ascii="Verdana" w:hAnsi="Verdana"/>
            <w:noProof/>
            <w:webHidden/>
            <w:sz w:val="20"/>
            <w:szCs w:val="20"/>
          </w:rPr>
        </w:r>
        <w:r w:rsidR="00EE697E" w:rsidRPr="00CA3ED5">
          <w:rPr>
            <w:rFonts w:ascii="Verdana" w:hAnsi="Verdana"/>
            <w:noProof/>
            <w:webHidden/>
            <w:sz w:val="20"/>
            <w:szCs w:val="20"/>
          </w:rPr>
          <w:fldChar w:fldCharType="separate"/>
        </w:r>
        <w:r w:rsidR="00C54122">
          <w:rPr>
            <w:rFonts w:ascii="Verdana" w:hAnsi="Verdana"/>
            <w:noProof/>
            <w:webHidden/>
            <w:sz w:val="20"/>
            <w:szCs w:val="20"/>
          </w:rPr>
          <w:t>92</w:t>
        </w:r>
        <w:r w:rsidR="00EE697E" w:rsidRPr="00CA3ED5">
          <w:rPr>
            <w:rFonts w:ascii="Verdana" w:hAnsi="Verdana"/>
            <w:noProof/>
            <w:webHidden/>
            <w:sz w:val="20"/>
            <w:szCs w:val="20"/>
          </w:rPr>
          <w:fldChar w:fldCharType="end"/>
        </w:r>
      </w:hyperlink>
    </w:p>
    <w:p w14:paraId="397B0A9F" w14:textId="1433F678" w:rsidR="00EE697E" w:rsidRPr="00CA3ED5"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396" w:history="1">
        <w:r w:rsidR="00EE697E" w:rsidRPr="00CA3ED5">
          <w:rPr>
            <w:rStyle w:val="Hipervnculo"/>
            <w:rFonts w:ascii="Verdana" w:hAnsi="Verdana"/>
            <w:noProof/>
            <w:lang w:val="es-ES"/>
          </w:rPr>
          <w:t>VIII</w:t>
        </w:r>
      </w:hyperlink>
      <w:r w:rsidR="00EE697E" w:rsidRPr="00CA3ED5">
        <w:rPr>
          <w:rFonts w:ascii="Verdana" w:eastAsiaTheme="minorEastAsia" w:hAnsi="Verdana"/>
          <w:b w:val="0"/>
          <w:bCs w:val="0"/>
          <w:caps w:val="0"/>
          <w:noProof/>
          <w:lang w:val="es-CR" w:eastAsia="es-CR"/>
        </w:rPr>
        <w:t xml:space="preserve"> </w:t>
      </w:r>
      <w:hyperlink w:anchor="_Toc532995397" w:history="1">
        <w:r w:rsidR="00EE697E" w:rsidRPr="00CA3ED5">
          <w:rPr>
            <w:rStyle w:val="Hipervnculo"/>
            <w:rFonts w:ascii="Verdana" w:hAnsi="Verdana"/>
            <w:noProof/>
            <w:lang w:val="es-ES"/>
          </w:rPr>
          <w:t>REPARACIONES</w:t>
        </w:r>
      </w:hyperlink>
      <w:r w:rsidR="00EE697E" w:rsidRPr="00CA3ED5">
        <w:rPr>
          <w:rFonts w:ascii="Verdana" w:eastAsiaTheme="minorEastAsia" w:hAnsi="Verdana"/>
          <w:b w:val="0"/>
          <w:bCs w:val="0"/>
          <w:caps w:val="0"/>
          <w:noProof/>
          <w:lang w:val="es-CR" w:eastAsia="es-CR"/>
        </w:rPr>
        <w:t xml:space="preserve"> </w:t>
      </w:r>
      <w:hyperlink w:anchor="_Toc532995398" w:history="1">
        <w:r w:rsidR="00EE697E" w:rsidRPr="00CA3ED5">
          <w:rPr>
            <w:rStyle w:val="Hipervnculo"/>
            <w:rFonts w:ascii="Verdana" w:hAnsi="Verdana"/>
            <w:noProof/>
            <w:lang w:val="es-ES"/>
          </w:rPr>
          <w:t>(Aplicación del artículo 63.1 de la Convención Americana)</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_Toc532995398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95</w:t>
        </w:r>
        <w:r w:rsidR="00EE697E" w:rsidRPr="00CA3ED5">
          <w:rPr>
            <w:rFonts w:ascii="Verdana" w:hAnsi="Verdana"/>
            <w:noProof/>
            <w:webHidden/>
          </w:rPr>
          <w:fldChar w:fldCharType="end"/>
        </w:r>
      </w:hyperlink>
    </w:p>
    <w:p w14:paraId="40534689" w14:textId="46965D57" w:rsidR="00EE697E" w:rsidRPr="00CA3ED5" w:rsidRDefault="003C1180" w:rsidP="00EE697E">
      <w:pPr>
        <w:pStyle w:val="TDC2"/>
        <w:tabs>
          <w:tab w:val="left" w:pos="880"/>
          <w:tab w:val="right" w:leader="dot" w:pos="9792"/>
        </w:tabs>
        <w:spacing w:line="240" w:lineRule="auto"/>
        <w:jc w:val="both"/>
        <w:rPr>
          <w:rFonts w:ascii="Verdana" w:eastAsiaTheme="minorEastAsia" w:hAnsi="Verdana"/>
          <w:smallCaps w:val="0"/>
          <w:noProof/>
          <w:lang w:val="es-CR" w:eastAsia="es-CR"/>
        </w:rPr>
      </w:pPr>
      <w:hyperlink w:anchor="_Toc532995399" w:history="1">
        <w:r w:rsidR="00EE697E" w:rsidRPr="00CA3ED5">
          <w:rPr>
            <w:rStyle w:val="Hipervnculo"/>
            <w:rFonts w:ascii="Verdana" w:eastAsia="Times New Roman" w:hAnsi="Verdana" w:cs="Times New Roman"/>
            <w:bCs/>
            <w:noProof/>
            <w:lang w:val="es-ES"/>
          </w:rPr>
          <w:t>A.</w:t>
        </w:r>
        <w:r w:rsidR="00D04D10" w:rsidRPr="00CA3ED5">
          <w:rPr>
            <w:rFonts w:ascii="Verdana" w:eastAsiaTheme="minorEastAsia" w:hAnsi="Verdana"/>
            <w:smallCaps w:val="0"/>
            <w:noProof/>
            <w:lang w:val="es-CR" w:eastAsia="es-CR"/>
          </w:rPr>
          <w:t xml:space="preserve">    </w:t>
        </w:r>
        <w:r w:rsidR="00EE697E" w:rsidRPr="00CA3ED5">
          <w:rPr>
            <w:rStyle w:val="Hipervnculo"/>
            <w:rFonts w:ascii="Verdana" w:eastAsia="Times New Roman" w:hAnsi="Verdana" w:cs="Times New Roman"/>
            <w:bCs/>
            <w:noProof/>
            <w:lang w:val="es-ES"/>
          </w:rPr>
          <w:t>Parte lesionada</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_Toc532995399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97</w:t>
        </w:r>
        <w:r w:rsidR="00EE697E" w:rsidRPr="00CA3ED5">
          <w:rPr>
            <w:rFonts w:ascii="Verdana" w:hAnsi="Verdana"/>
            <w:noProof/>
            <w:webHidden/>
          </w:rPr>
          <w:fldChar w:fldCharType="end"/>
        </w:r>
      </w:hyperlink>
    </w:p>
    <w:p w14:paraId="55C5C844" w14:textId="1D7C3CC0" w:rsidR="00EE697E" w:rsidRPr="00CA3ED5" w:rsidRDefault="003C1180" w:rsidP="00EE697E">
      <w:pPr>
        <w:pStyle w:val="TDC2"/>
        <w:tabs>
          <w:tab w:val="left" w:pos="880"/>
          <w:tab w:val="right" w:leader="dot" w:pos="9792"/>
        </w:tabs>
        <w:spacing w:line="240" w:lineRule="auto"/>
        <w:jc w:val="both"/>
        <w:rPr>
          <w:rFonts w:ascii="Verdana" w:eastAsiaTheme="minorEastAsia" w:hAnsi="Verdana"/>
          <w:smallCaps w:val="0"/>
          <w:noProof/>
          <w:lang w:val="es-CR" w:eastAsia="es-CR"/>
        </w:rPr>
      </w:pPr>
      <w:hyperlink w:anchor="_Toc532995400" w:history="1">
        <w:r w:rsidR="00EE697E" w:rsidRPr="00CA3ED5">
          <w:rPr>
            <w:rStyle w:val="Hipervnculo"/>
            <w:rFonts w:ascii="Verdana" w:eastAsia="Times New Roman" w:hAnsi="Verdana" w:cs="Times New Roman"/>
            <w:bCs/>
            <w:noProof/>
            <w:lang w:val="es-ES"/>
          </w:rPr>
          <w:t>B.</w:t>
        </w:r>
        <w:r w:rsidR="00D04D10" w:rsidRPr="00CA3ED5">
          <w:rPr>
            <w:rFonts w:ascii="Verdana" w:eastAsiaTheme="minorEastAsia" w:hAnsi="Verdana"/>
            <w:smallCaps w:val="0"/>
            <w:noProof/>
            <w:lang w:val="es-CR" w:eastAsia="es-CR"/>
          </w:rPr>
          <w:t xml:space="preserve">    </w:t>
        </w:r>
        <w:r w:rsidR="00EE697E" w:rsidRPr="00CA3ED5">
          <w:rPr>
            <w:rStyle w:val="Hipervnculo"/>
            <w:rFonts w:ascii="Verdana" w:eastAsia="Times New Roman" w:hAnsi="Verdana" w:cs="Times New Roman"/>
            <w:bCs/>
            <w:noProof/>
            <w:lang w:val="es-ES"/>
          </w:rPr>
          <w:t>Obligación de investigar los hechos e identificar y, en su caso, juzgar y sancionar a todos los responsables</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_Toc532995400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98</w:t>
        </w:r>
        <w:r w:rsidR="00EE697E" w:rsidRPr="00CA3ED5">
          <w:rPr>
            <w:rFonts w:ascii="Verdana" w:hAnsi="Verdana"/>
            <w:noProof/>
            <w:webHidden/>
          </w:rPr>
          <w:fldChar w:fldCharType="end"/>
        </w:r>
      </w:hyperlink>
    </w:p>
    <w:p w14:paraId="1FA0B205" w14:textId="481E03C3"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01" w:history="1">
        <w:r w:rsidR="00EE697E" w:rsidRPr="00CA3ED5">
          <w:rPr>
            <w:rStyle w:val="Hipervnculo"/>
            <w:rFonts w:ascii="Verdana" w:hAnsi="Verdana"/>
            <w:i w:val="0"/>
            <w:noProof/>
          </w:rPr>
          <w:t>B.1.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Determinación del paradero de las víctimas</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_Toc532995401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98</w:t>
        </w:r>
        <w:r w:rsidR="00EE697E" w:rsidRPr="00CA3ED5">
          <w:rPr>
            <w:rFonts w:ascii="Verdana" w:hAnsi="Verdana"/>
            <w:i w:val="0"/>
            <w:noProof/>
            <w:webHidden/>
          </w:rPr>
          <w:fldChar w:fldCharType="end"/>
        </w:r>
      </w:hyperlink>
    </w:p>
    <w:p w14:paraId="72DA3112" w14:textId="3DA920F6"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02" w:history="1">
        <w:r w:rsidR="00EE697E" w:rsidRPr="00CA3ED5">
          <w:rPr>
            <w:rStyle w:val="Hipervnculo"/>
            <w:rFonts w:ascii="Verdana" w:hAnsi="Verdana"/>
            <w:i w:val="0"/>
            <w:noProof/>
          </w:rPr>
          <w:t>B.2.</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Investigaciones y determinación de responsabilidades</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_Toc532995402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99</w:t>
        </w:r>
        <w:r w:rsidR="00EE697E" w:rsidRPr="00CA3ED5">
          <w:rPr>
            <w:rFonts w:ascii="Verdana" w:hAnsi="Verdana"/>
            <w:i w:val="0"/>
            <w:noProof/>
            <w:webHidden/>
          </w:rPr>
          <w:fldChar w:fldCharType="end"/>
        </w:r>
      </w:hyperlink>
    </w:p>
    <w:p w14:paraId="379975C7" w14:textId="014899FE"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403" w:history="1">
        <w:r w:rsidR="00EE697E" w:rsidRPr="00CA3ED5">
          <w:rPr>
            <w:rStyle w:val="Hipervnculo"/>
            <w:rFonts w:ascii="Verdana" w:eastAsia="Times New Roman" w:hAnsi="Verdana" w:cs="Times New Roman"/>
            <w:bCs/>
            <w:noProof/>
            <w:lang w:val="es-ES"/>
          </w:rPr>
          <w:t>C.</w:t>
        </w:r>
        <w:r w:rsidR="00EE697E" w:rsidRPr="00CA3ED5">
          <w:rPr>
            <w:rFonts w:ascii="Verdana" w:eastAsiaTheme="minorEastAsia" w:hAnsi="Verdana"/>
            <w:smallCaps w:val="0"/>
            <w:noProof/>
            <w:lang w:val="es-CR" w:eastAsia="es-CR"/>
          </w:rPr>
          <w:tab/>
        </w:r>
        <w:r w:rsidR="00D04D10" w:rsidRPr="00CA3ED5">
          <w:rPr>
            <w:rFonts w:ascii="Verdana" w:eastAsiaTheme="minorEastAsia" w:hAnsi="Verdana"/>
            <w:smallCaps w:val="0"/>
            <w:noProof/>
            <w:lang w:val="es-CR" w:eastAsia="es-CR"/>
          </w:rPr>
          <w:t xml:space="preserve"> </w:t>
        </w:r>
        <w:r w:rsidR="00EE697E" w:rsidRPr="00CA3ED5">
          <w:rPr>
            <w:rStyle w:val="Hipervnculo"/>
            <w:rFonts w:ascii="Verdana" w:eastAsia="Times New Roman" w:hAnsi="Verdana" w:cs="Times New Roman"/>
            <w:bCs/>
            <w:noProof/>
            <w:lang w:val="es-ES"/>
          </w:rPr>
          <w:t>Rehabilitación</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_Toc532995403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100</w:t>
        </w:r>
        <w:r w:rsidR="00EE697E" w:rsidRPr="00CA3ED5">
          <w:rPr>
            <w:rFonts w:ascii="Verdana" w:hAnsi="Verdana"/>
            <w:noProof/>
            <w:webHidden/>
          </w:rPr>
          <w:fldChar w:fldCharType="end"/>
        </w:r>
      </w:hyperlink>
    </w:p>
    <w:p w14:paraId="15481EE6" w14:textId="49395BA3" w:rsidR="00EE697E" w:rsidRPr="00CA3ED5" w:rsidRDefault="003C1180" w:rsidP="00EE697E">
      <w:pPr>
        <w:pStyle w:val="TDC2"/>
        <w:tabs>
          <w:tab w:val="left" w:pos="880"/>
          <w:tab w:val="right" w:leader="dot" w:pos="9792"/>
        </w:tabs>
        <w:spacing w:line="240" w:lineRule="auto"/>
        <w:jc w:val="both"/>
        <w:rPr>
          <w:rFonts w:ascii="Verdana" w:eastAsiaTheme="minorEastAsia" w:hAnsi="Verdana"/>
          <w:smallCaps w:val="0"/>
          <w:noProof/>
          <w:lang w:val="es-CR" w:eastAsia="es-CR"/>
        </w:rPr>
      </w:pPr>
      <w:hyperlink w:anchor="_Toc532995404" w:history="1">
        <w:r w:rsidR="00EE697E" w:rsidRPr="00CA3ED5">
          <w:rPr>
            <w:rStyle w:val="Hipervnculo"/>
            <w:rFonts w:ascii="Verdana" w:hAnsi="Verdana" w:cs="Times New Roman"/>
            <w:noProof/>
            <w:lang w:val="es-EC"/>
          </w:rPr>
          <w:t>D.</w:t>
        </w:r>
        <w:r w:rsidR="00D04D10" w:rsidRPr="00CA3ED5">
          <w:rPr>
            <w:rFonts w:ascii="Verdana" w:eastAsiaTheme="minorEastAsia" w:hAnsi="Verdana"/>
            <w:smallCaps w:val="0"/>
            <w:noProof/>
            <w:lang w:val="es-CR" w:eastAsia="es-CR"/>
          </w:rPr>
          <w:t xml:space="preserve">    </w:t>
        </w:r>
        <w:r w:rsidR="00EE697E" w:rsidRPr="00CA3ED5">
          <w:rPr>
            <w:rStyle w:val="Hipervnculo"/>
            <w:rFonts w:ascii="Verdana" w:eastAsia="Times New Roman" w:hAnsi="Verdana" w:cs="Times New Roman"/>
            <w:bCs/>
            <w:noProof/>
            <w:lang w:val="es-ES"/>
          </w:rPr>
          <w:t>Medidas de satisfacción</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_Toc532995404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101</w:t>
        </w:r>
        <w:r w:rsidR="00EE697E" w:rsidRPr="00CA3ED5">
          <w:rPr>
            <w:rFonts w:ascii="Verdana" w:hAnsi="Verdana"/>
            <w:noProof/>
            <w:webHidden/>
          </w:rPr>
          <w:fldChar w:fldCharType="end"/>
        </w:r>
      </w:hyperlink>
    </w:p>
    <w:p w14:paraId="0AD61B99" w14:textId="3A80B296"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05" w:history="1">
        <w:r w:rsidR="00EE697E" w:rsidRPr="00CA3ED5">
          <w:rPr>
            <w:rStyle w:val="Hipervnculo"/>
            <w:rFonts w:ascii="Verdana" w:hAnsi="Verdana"/>
            <w:i w:val="0"/>
            <w:noProof/>
          </w:rPr>
          <w:t>D.1.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rPr>
          <w:t>Acto público de reconocimiento de responsabilidad internacional</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_Toc532995405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102</w:t>
        </w:r>
        <w:r w:rsidR="00EE697E" w:rsidRPr="00CA3ED5">
          <w:rPr>
            <w:rFonts w:ascii="Verdana" w:hAnsi="Verdana"/>
            <w:i w:val="0"/>
            <w:noProof/>
            <w:webHidden/>
          </w:rPr>
          <w:fldChar w:fldCharType="end"/>
        </w:r>
      </w:hyperlink>
    </w:p>
    <w:p w14:paraId="52ED7F58" w14:textId="76BD0A76"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06" w:history="1">
        <w:r w:rsidR="00EE697E" w:rsidRPr="00CA3ED5">
          <w:rPr>
            <w:rStyle w:val="Hipervnculo"/>
            <w:rFonts w:ascii="Verdana" w:hAnsi="Verdana"/>
            <w:i w:val="0"/>
            <w:noProof/>
            <w:lang w:val="es-ES"/>
          </w:rPr>
          <w:t>D.2.</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ES"/>
          </w:rPr>
          <w:t>Publicación y difusión de la Sentencia</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_Toc532995406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102</w:t>
        </w:r>
        <w:r w:rsidR="00EE697E" w:rsidRPr="00CA3ED5">
          <w:rPr>
            <w:rFonts w:ascii="Verdana" w:hAnsi="Verdana"/>
            <w:i w:val="0"/>
            <w:noProof/>
            <w:webHidden/>
          </w:rPr>
          <w:fldChar w:fldCharType="end"/>
        </w:r>
      </w:hyperlink>
    </w:p>
    <w:p w14:paraId="7C3B26BC" w14:textId="41BF0B27"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07" w:history="1">
        <w:r w:rsidR="00EE697E" w:rsidRPr="00CA3ED5">
          <w:rPr>
            <w:rStyle w:val="Hipervnculo"/>
            <w:rFonts w:ascii="Verdana" w:hAnsi="Verdana"/>
            <w:i w:val="0"/>
            <w:noProof/>
            <w:lang w:val="es-ES"/>
          </w:rPr>
          <w:t>D.3.</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ES"/>
          </w:rPr>
          <w:t>Daño a los proyectos de vida</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_Toc532995407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102</w:t>
        </w:r>
        <w:r w:rsidR="00EE697E" w:rsidRPr="00CA3ED5">
          <w:rPr>
            <w:rFonts w:ascii="Verdana" w:hAnsi="Verdana"/>
            <w:i w:val="0"/>
            <w:noProof/>
            <w:webHidden/>
          </w:rPr>
          <w:fldChar w:fldCharType="end"/>
        </w:r>
      </w:hyperlink>
    </w:p>
    <w:p w14:paraId="0449FD5A" w14:textId="1465A24B"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408" w:history="1">
        <w:r w:rsidR="00EE697E" w:rsidRPr="00CA3ED5">
          <w:rPr>
            <w:rStyle w:val="Hipervnculo"/>
            <w:rFonts w:ascii="Verdana" w:eastAsia="Times New Roman" w:hAnsi="Verdana" w:cs="Times New Roman"/>
            <w:bCs/>
            <w:noProof/>
            <w:lang w:val="es-ES"/>
          </w:rPr>
          <w:t>E.</w:t>
        </w:r>
        <w:r w:rsidR="00D04D10" w:rsidRPr="00CA3ED5">
          <w:rPr>
            <w:rFonts w:ascii="Verdana" w:eastAsiaTheme="minorEastAsia" w:hAnsi="Verdana"/>
            <w:smallCaps w:val="0"/>
            <w:noProof/>
            <w:lang w:val="es-CR" w:eastAsia="es-CR"/>
          </w:rPr>
          <w:t xml:space="preserve">    </w:t>
        </w:r>
        <w:r w:rsidR="00EE697E" w:rsidRPr="00CA3ED5">
          <w:rPr>
            <w:rStyle w:val="Hipervnculo"/>
            <w:rFonts w:ascii="Verdana" w:eastAsia="Times New Roman" w:hAnsi="Verdana" w:cs="Times New Roman"/>
            <w:bCs/>
            <w:noProof/>
            <w:lang w:val="es-ES"/>
          </w:rPr>
          <w:t>Garantías de no repetición</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_Toc532995408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103</w:t>
        </w:r>
        <w:r w:rsidR="00EE697E" w:rsidRPr="00CA3ED5">
          <w:rPr>
            <w:rFonts w:ascii="Verdana" w:hAnsi="Verdana"/>
            <w:noProof/>
            <w:webHidden/>
          </w:rPr>
          <w:fldChar w:fldCharType="end"/>
        </w:r>
      </w:hyperlink>
    </w:p>
    <w:p w14:paraId="25890D56" w14:textId="6AE3CCBF"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09" w:history="1">
        <w:r w:rsidR="00EE697E" w:rsidRPr="00CA3ED5">
          <w:rPr>
            <w:rStyle w:val="Hipervnculo"/>
            <w:rFonts w:ascii="Verdana" w:hAnsi="Verdana"/>
            <w:i w:val="0"/>
            <w:noProof/>
            <w:lang w:val="es-ES"/>
          </w:rPr>
          <w:t>E.1.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ES"/>
          </w:rPr>
          <w:t>Sobre la Ley General sobre Desaparición Forzada de Personas</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_Toc532995409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104</w:t>
        </w:r>
        <w:r w:rsidR="00EE697E" w:rsidRPr="00CA3ED5">
          <w:rPr>
            <w:rFonts w:ascii="Verdana" w:hAnsi="Verdana"/>
            <w:i w:val="0"/>
            <w:noProof/>
            <w:webHidden/>
          </w:rPr>
          <w:fldChar w:fldCharType="end"/>
        </w:r>
      </w:hyperlink>
    </w:p>
    <w:p w14:paraId="15D15318" w14:textId="74A40990"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10" w:history="1">
        <w:r w:rsidR="00EE697E" w:rsidRPr="00CA3ED5">
          <w:rPr>
            <w:rStyle w:val="Hipervnculo"/>
            <w:rFonts w:ascii="Verdana" w:hAnsi="Verdana"/>
            <w:i w:val="0"/>
            <w:noProof/>
            <w:lang w:val="es-ES"/>
          </w:rPr>
          <w:t>E.2.</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ES"/>
          </w:rPr>
          <w:t>Ley de Amparo</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_Toc532995410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104</w:t>
        </w:r>
        <w:r w:rsidR="00EE697E" w:rsidRPr="00CA3ED5">
          <w:rPr>
            <w:rFonts w:ascii="Verdana" w:hAnsi="Verdana"/>
            <w:i w:val="0"/>
            <w:noProof/>
            <w:webHidden/>
          </w:rPr>
          <w:fldChar w:fldCharType="end"/>
        </w:r>
      </w:hyperlink>
    </w:p>
    <w:p w14:paraId="1A6D71B3" w14:textId="7E8B951C"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11" w:history="1">
        <w:r w:rsidR="00EE697E" w:rsidRPr="00CA3ED5">
          <w:rPr>
            <w:rStyle w:val="Hipervnculo"/>
            <w:rFonts w:ascii="Verdana" w:hAnsi="Verdana"/>
            <w:i w:val="0"/>
            <w:noProof/>
            <w:lang w:val="es-EC"/>
          </w:rPr>
          <w:t>E.3.</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EC"/>
          </w:rPr>
          <w:t>Registro Nacional de Datos de Personas Extraviadas o Desaparecidas</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_Toc532995411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105</w:t>
        </w:r>
        <w:r w:rsidR="00EE697E" w:rsidRPr="00CA3ED5">
          <w:rPr>
            <w:rFonts w:ascii="Verdana" w:hAnsi="Verdana"/>
            <w:i w:val="0"/>
            <w:noProof/>
            <w:webHidden/>
          </w:rPr>
          <w:fldChar w:fldCharType="end"/>
        </w:r>
      </w:hyperlink>
    </w:p>
    <w:p w14:paraId="73AF996B" w14:textId="0F29152D"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12" w:history="1">
        <w:r w:rsidR="00EE697E" w:rsidRPr="00CA3ED5">
          <w:rPr>
            <w:rStyle w:val="Hipervnculo"/>
            <w:rFonts w:ascii="Verdana" w:hAnsi="Verdana"/>
            <w:i w:val="0"/>
            <w:noProof/>
            <w:lang w:val="es-ES"/>
          </w:rPr>
          <w:t>E.4.</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ES"/>
          </w:rPr>
          <w:t>Capacitaciones</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_Toc532995412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105</w:t>
        </w:r>
        <w:r w:rsidR="00EE697E" w:rsidRPr="00CA3ED5">
          <w:rPr>
            <w:rFonts w:ascii="Verdana" w:hAnsi="Verdana"/>
            <w:i w:val="0"/>
            <w:noProof/>
            <w:webHidden/>
          </w:rPr>
          <w:fldChar w:fldCharType="end"/>
        </w:r>
      </w:hyperlink>
    </w:p>
    <w:p w14:paraId="329DA352" w14:textId="3DB8F850"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13" w:history="1">
        <w:r w:rsidR="00EE697E" w:rsidRPr="00CA3ED5">
          <w:rPr>
            <w:rStyle w:val="Hipervnculo"/>
            <w:rFonts w:ascii="Verdana" w:eastAsia="Times New Roman" w:hAnsi="Verdana"/>
            <w:i w:val="0"/>
            <w:noProof/>
            <w:lang w:val="es-CR"/>
          </w:rPr>
          <w:t>E.5.</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ES"/>
          </w:rPr>
          <w:t>Adopción de medidas de prevención y garantías de retorno.</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_Toc532995413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106</w:t>
        </w:r>
        <w:r w:rsidR="00EE697E" w:rsidRPr="00CA3ED5">
          <w:rPr>
            <w:rFonts w:ascii="Verdana" w:hAnsi="Verdana"/>
            <w:i w:val="0"/>
            <w:noProof/>
            <w:webHidden/>
          </w:rPr>
          <w:fldChar w:fldCharType="end"/>
        </w:r>
      </w:hyperlink>
    </w:p>
    <w:p w14:paraId="648F4798" w14:textId="2EC7D70D"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414" w:history="1">
        <w:r w:rsidR="00EE697E" w:rsidRPr="00CA3ED5">
          <w:rPr>
            <w:rStyle w:val="Hipervnculo"/>
            <w:rFonts w:ascii="Verdana" w:eastAsia="Times New Roman" w:hAnsi="Verdana" w:cs="Times New Roman"/>
            <w:noProof/>
            <w:lang w:val="es-ES"/>
          </w:rPr>
          <w:t>F.</w:t>
        </w:r>
        <w:r w:rsidR="00EE697E" w:rsidRPr="00CA3ED5">
          <w:rPr>
            <w:rFonts w:ascii="Verdana" w:eastAsiaTheme="minorEastAsia" w:hAnsi="Verdana"/>
            <w:smallCaps w:val="0"/>
            <w:noProof/>
            <w:lang w:val="es-CR" w:eastAsia="es-CR"/>
          </w:rPr>
          <w:tab/>
        </w:r>
        <w:r w:rsidR="00EE697E" w:rsidRPr="00CA3ED5">
          <w:rPr>
            <w:rStyle w:val="Hipervnculo"/>
            <w:rFonts w:ascii="Verdana" w:eastAsia="Times New Roman" w:hAnsi="Verdana" w:cs="Times New Roman"/>
            <w:noProof/>
            <w:lang w:val="es-ES"/>
          </w:rPr>
          <w:t>Otras medidas de solicitadas</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_Toc532995414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106</w:t>
        </w:r>
        <w:r w:rsidR="00EE697E" w:rsidRPr="00CA3ED5">
          <w:rPr>
            <w:rFonts w:ascii="Verdana" w:hAnsi="Verdana"/>
            <w:noProof/>
            <w:webHidden/>
          </w:rPr>
          <w:fldChar w:fldCharType="end"/>
        </w:r>
      </w:hyperlink>
    </w:p>
    <w:p w14:paraId="67BA8502" w14:textId="4C81F29C" w:rsidR="00EE697E" w:rsidRPr="00CA3ED5" w:rsidRDefault="003C1180" w:rsidP="00EE697E">
      <w:pPr>
        <w:pStyle w:val="TDC2"/>
        <w:tabs>
          <w:tab w:val="left" w:pos="880"/>
          <w:tab w:val="right" w:leader="dot" w:pos="9792"/>
        </w:tabs>
        <w:spacing w:line="240" w:lineRule="auto"/>
        <w:jc w:val="both"/>
        <w:rPr>
          <w:rFonts w:ascii="Verdana" w:eastAsiaTheme="minorEastAsia" w:hAnsi="Verdana"/>
          <w:smallCaps w:val="0"/>
          <w:noProof/>
          <w:lang w:val="es-CR" w:eastAsia="es-CR"/>
        </w:rPr>
      </w:pPr>
      <w:hyperlink w:anchor="_Toc532995415" w:history="1">
        <w:r w:rsidR="00EE697E" w:rsidRPr="00CA3ED5">
          <w:rPr>
            <w:rStyle w:val="Hipervnculo"/>
            <w:rFonts w:ascii="Verdana" w:eastAsia="Times New Roman" w:hAnsi="Verdana" w:cs="Times New Roman"/>
            <w:bCs/>
            <w:noProof/>
            <w:lang w:val="es-ES"/>
          </w:rPr>
          <w:t>G.</w:t>
        </w:r>
        <w:r w:rsidR="00D04D10" w:rsidRPr="00CA3ED5">
          <w:rPr>
            <w:rFonts w:ascii="Verdana" w:eastAsiaTheme="minorEastAsia" w:hAnsi="Verdana"/>
            <w:smallCaps w:val="0"/>
            <w:noProof/>
            <w:lang w:val="es-CR" w:eastAsia="es-CR"/>
          </w:rPr>
          <w:t xml:space="preserve">   </w:t>
        </w:r>
        <w:r w:rsidR="00EE697E" w:rsidRPr="00CA3ED5">
          <w:rPr>
            <w:rStyle w:val="Hipervnculo"/>
            <w:rFonts w:ascii="Verdana" w:eastAsia="Times New Roman" w:hAnsi="Verdana" w:cs="Times New Roman"/>
            <w:bCs/>
            <w:noProof/>
            <w:lang w:val="es-ES"/>
          </w:rPr>
          <w:t>Indemnización Compensatoria</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_Toc532995415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107</w:t>
        </w:r>
        <w:r w:rsidR="00EE697E" w:rsidRPr="00CA3ED5">
          <w:rPr>
            <w:rFonts w:ascii="Verdana" w:hAnsi="Verdana"/>
            <w:noProof/>
            <w:webHidden/>
          </w:rPr>
          <w:fldChar w:fldCharType="end"/>
        </w:r>
      </w:hyperlink>
    </w:p>
    <w:p w14:paraId="798D820D" w14:textId="671DCCB1"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16" w:history="1">
        <w:r w:rsidR="00EE697E" w:rsidRPr="00CA3ED5">
          <w:rPr>
            <w:rStyle w:val="Hipervnculo"/>
            <w:rFonts w:ascii="Verdana" w:hAnsi="Verdana"/>
            <w:i w:val="0"/>
            <w:noProof/>
            <w:lang w:val="es-ES"/>
          </w:rPr>
          <w:t>G.1.</w:t>
        </w:r>
        <w:r w:rsidR="00EE697E" w:rsidRPr="00CA3ED5">
          <w:rPr>
            <w:rFonts w:ascii="Verdana" w:eastAsiaTheme="minorEastAsia" w:hAnsi="Verdana"/>
            <w:i w:val="0"/>
            <w:iCs w:val="0"/>
            <w:noProof/>
            <w:lang w:val="es-CR" w:eastAsia="es-CR"/>
          </w:rPr>
          <w:tab/>
        </w:r>
        <w:r w:rsidR="00EE697E" w:rsidRPr="00CA3ED5">
          <w:rPr>
            <w:rStyle w:val="Hipervnculo"/>
            <w:rFonts w:ascii="Verdana" w:hAnsi="Verdana"/>
            <w:i w:val="0"/>
            <w:noProof/>
            <w:lang w:val="es-ES"/>
          </w:rPr>
          <w:t>Daño Material</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_Toc532995416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108</w:t>
        </w:r>
        <w:r w:rsidR="00EE697E" w:rsidRPr="00CA3ED5">
          <w:rPr>
            <w:rFonts w:ascii="Verdana" w:hAnsi="Verdana"/>
            <w:i w:val="0"/>
            <w:noProof/>
            <w:webHidden/>
          </w:rPr>
          <w:fldChar w:fldCharType="end"/>
        </w:r>
      </w:hyperlink>
    </w:p>
    <w:p w14:paraId="44C3353E" w14:textId="7D8121A4" w:rsidR="00EE697E" w:rsidRPr="00CA3ED5" w:rsidRDefault="003C1180" w:rsidP="00EE697E">
      <w:pPr>
        <w:pStyle w:val="TDC3"/>
        <w:tabs>
          <w:tab w:val="left" w:pos="1100"/>
          <w:tab w:val="right" w:leader="dot" w:pos="9792"/>
        </w:tabs>
        <w:spacing w:line="240" w:lineRule="auto"/>
        <w:jc w:val="both"/>
        <w:rPr>
          <w:rFonts w:ascii="Verdana" w:eastAsiaTheme="minorEastAsia" w:hAnsi="Verdana"/>
          <w:i w:val="0"/>
          <w:iCs w:val="0"/>
          <w:noProof/>
          <w:lang w:val="es-CR" w:eastAsia="es-CR"/>
        </w:rPr>
      </w:pPr>
      <w:hyperlink w:anchor="_Toc532995417" w:history="1">
        <w:r w:rsidR="00EE697E" w:rsidRPr="00CA3ED5">
          <w:rPr>
            <w:rStyle w:val="Hipervnculo"/>
            <w:rFonts w:ascii="Verdana" w:eastAsia="Times New Roman" w:hAnsi="Verdana" w:cs="Times New Roman"/>
            <w:i w:val="0"/>
            <w:noProof/>
            <w:lang w:val="es-ES"/>
          </w:rPr>
          <w:t>G.2.</w:t>
        </w:r>
        <w:r w:rsidR="00EE697E" w:rsidRPr="00CA3ED5">
          <w:rPr>
            <w:rFonts w:ascii="Verdana" w:eastAsiaTheme="minorEastAsia" w:hAnsi="Verdana"/>
            <w:i w:val="0"/>
            <w:iCs w:val="0"/>
            <w:noProof/>
            <w:lang w:val="es-CR" w:eastAsia="es-CR"/>
          </w:rPr>
          <w:tab/>
        </w:r>
        <w:r w:rsidR="00EE697E" w:rsidRPr="00CA3ED5">
          <w:rPr>
            <w:rStyle w:val="Hipervnculo"/>
            <w:rFonts w:ascii="Verdana" w:eastAsia="Times New Roman" w:hAnsi="Verdana" w:cs="Times New Roman"/>
            <w:i w:val="0"/>
            <w:noProof/>
            <w:lang w:val="es-ES"/>
          </w:rPr>
          <w:t>Daño inmaterial</w:t>
        </w:r>
        <w:r w:rsidR="00EE697E" w:rsidRPr="00CA3ED5">
          <w:rPr>
            <w:rFonts w:ascii="Verdana" w:hAnsi="Verdana"/>
            <w:i w:val="0"/>
            <w:noProof/>
            <w:webHidden/>
          </w:rPr>
          <w:tab/>
        </w:r>
        <w:r w:rsidR="00EE697E" w:rsidRPr="00CA3ED5">
          <w:rPr>
            <w:rFonts w:ascii="Verdana" w:hAnsi="Verdana"/>
            <w:i w:val="0"/>
            <w:noProof/>
            <w:webHidden/>
          </w:rPr>
          <w:fldChar w:fldCharType="begin"/>
        </w:r>
        <w:r w:rsidR="00EE697E" w:rsidRPr="00CA3ED5">
          <w:rPr>
            <w:rFonts w:ascii="Verdana" w:hAnsi="Verdana"/>
            <w:i w:val="0"/>
            <w:noProof/>
            <w:webHidden/>
          </w:rPr>
          <w:instrText xml:space="preserve"> PAGEREF _Toc532995417 \h </w:instrText>
        </w:r>
        <w:r w:rsidR="00EE697E" w:rsidRPr="00CA3ED5">
          <w:rPr>
            <w:rFonts w:ascii="Verdana" w:hAnsi="Verdana"/>
            <w:i w:val="0"/>
            <w:noProof/>
            <w:webHidden/>
          </w:rPr>
        </w:r>
        <w:r w:rsidR="00EE697E" w:rsidRPr="00CA3ED5">
          <w:rPr>
            <w:rFonts w:ascii="Verdana" w:hAnsi="Verdana"/>
            <w:i w:val="0"/>
            <w:noProof/>
            <w:webHidden/>
          </w:rPr>
          <w:fldChar w:fldCharType="separate"/>
        </w:r>
        <w:r w:rsidR="00C54122">
          <w:rPr>
            <w:rFonts w:ascii="Verdana" w:hAnsi="Verdana"/>
            <w:i w:val="0"/>
            <w:noProof/>
            <w:webHidden/>
          </w:rPr>
          <w:t>109</w:t>
        </w:r>
        <w:r w:rsidR="00EE697E" w:rsidRPr="00CA3ED5">
          <w:rPr>
            <w:rFonts w:ascii="Verdana" w:hAnsi="Verdana"/>
            <w:i w:val="0"/>
            <w:noProof/>
            <w:webHidden/>
          </w:rPr>
          <w:fldChar w:fldCharType="end"/>
        </w:r>
      </w:hyperlink>
    </w:p>
    <w:p w14:paraId="0FDE636B" w14:textId="0777BC08"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418" w:history="1">
        <w:r w:rsidR="00EE697E" w:rsidRPr="00CA3ED5">
          <w:rPr>
            <w:rStyle w:val="Hipervnculo"/>
            <w:rFonts w:ascii="Verdana" w:hAnsi="Verdana" w:cs="Times New Roman"/>
            <w:noProof/>
            <w:lang w:val="es-CR" w:bidi="en-US"/>
          </w:rPr>
          <w:t>I.</w:t>
        </w:r>
        <w:r w:rsidR="00EE697E" w:rsidRPr="00CA3ED5">
          <w:rPr>
            <w:rFonts w:ascii="Verdana" w:eastAsiaTheme="minorEastAsia" w:hAnsi="Verdana"/>
            <w:smallCaps w:val="0"/>
            <w:noProof/>
            <w:lang w:val="es-CR" w:eastAsia="es-CR"/>
          </w:rPr>
          <w:tab/>
        </w:r>
        <w:r w:rsidR="00EE697E" w:rsidRPr="00CA3ED5">
          <w:rPr>
            <w:rStyle w:val="Hipervnculo"/>
            <w:rFonts w:ascii="Verdana" w:hAnsi="Verdana" w:cs="Times New Roman"/>
            <w:iCs/>
            <w:noProof/>
            <w:lang w:val="es-CR" w:bidi="en-US"/>
          </w:rPr>
          <w:t>Reintegro de los gastos al Fondo de Asistencia Legal de Víctimas</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_Toc532995418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113</w:t>
        </w:r>
        <w:r w:rsidR="00EE697E" w:rsidRPr="00CA3ED5">
          <w:rPr>
            <w:rFonts w:ascii="Verdana" w:hAnsi="Verdana"/>
            <w:noProof/>
            <w:webHidden/>
          </w:rPr>
          <w:fldChar w:fldCharType="end"/>
        </w:r>
      </w:hyperlink>
    </w:p>
    <w:p w14:paraId="6198B5D1" w14:textId="06AD44AE" w:rsidR="00EE697E" w:rsidRPr="00CA3ED5" w:rsidRDefault="003C1180" w:rsidP="00EE697E">
      <w:pPr>
        <w:pStyle w:val="TDC2"/>
        <w:tabs>
          <w:tab w:val="left" w:pos="660"/>
          <w:tab w:val="right" w:leader="dot" w:pos="9792"/>
        </w:tabs>
        <w:spacing w:line="240" w:lineRule="auto"/>
        <w:jc w:val="both"/>
        <w:rPr>
          <w:rFonts w:ascii="Verdana" w:eastAsiaTheme="minorEastAsia" w:hAnsi="Verdana"/>
          <w:smallCaps w:val="0"/>
          <w:noProof/>
          <w:lang w:val="es-CR" w:eastAsia="es-CR"/>
        </w:rPr>
      </w:pPr>
      <w:hyperlink w:anchor="_Toc532995419" w:history="1">
        <w:r w:rsidR="00EE697E" w:rsidRPr="00CA3ED5">
          <w:rPr>
            <w:rStyle w:val="Hipervnculo"/>
            <w:rFonts w:ascii="Verdana" w:hAnsi="Verdana" w:cs="Times New Roman"/>
            <w:noProof/>
            <w:lang w:val="es-CR"/>
          </w:rPr>
          <w:t>J.</w:t>
        </w:r>
        <w:r w:rsidR="00EE697E" w:rsidRPr="00CA3ED5">
          <w:rPr>
            <w:rFonts w:ascii="Verdana" w:eastAsiaTheme="minorEastAsia" w:hAnsi="Verdana"/>
            <w:smallCaps w:val="0"/>
            <w:noProof/>
            <w:lang w:val="es-CR" w:eastAsia="es-CR"/>
          </w:rPr>
          <w:tab/>
        </w:r>
        <w:r w:rsidR="00EE697E" w:rsidRPr="00CA3ED5">
          <w:rPr>
            <w:rStyle w:val="Hipervnculo"/>
            <w:rFonts w:ascii="Verdana" w:hAnsi="Verdana" w:cs="Times New Roman"/>
            <w:noProof/>
            <w:lang w:val="es-CR"/>
          </w:rPr>
          <w:t>Modalidad de cumplimiento de los pagos ordenados</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_Toc532995419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114</w:t>
        </w:r>
        <w:r w:rsidR="00EE697E" w:rsidRPr="00CA3ED5">
          <w:rPr>
            <w:rFonts w:ascii="Verdana" w:hAnsi="Verdana"/>
            <w:noProof/>
            <w:webHidden/>
          </w:rPr>
          <w:fldChar w:fldCharType="end"/>
        </w:r>
      </w:hyperlink>
    </w:p>
    <w:p w14:paraId="769CB924" w14:textId="21CDC1DC" w:rsidR="00EE697E" w:rsidRPr="00CA3ED5" w:rsidRDefault="003C1180" w:rsidP="00EE697E">
      <w:pPr>
        <w:pStyle w:val="TDC1"/>
        <w:tabs>
          <w:tab w:val="right" w:leader="dot" w:pos="9792"/>
        </w:tabs>
        <w:spacing w:before="0" w:after="0" w:line="240" w:lineRule="auto"/>
        <w:jc w:val="both"/>
        <w:rPr>
          <w:rFonts w:ascii="Verdana" w:eastAsiaTheme="minorEastAsia" w:hAnsi="Verdana"/>
          <w:b w:val="0"/>
          <w:bCs w:val="0"/>
          <w:caps w:val="0"/>
          <w:noProof/>
          <w:lang w:val="es-CR" w:eastAsia="es-CR"/>
        </w:rPr>
      </w:pPr>
      <w:hyperlink w:anchor="_Toc532995420" w:history="1">
        <w:r w:rsidR="00EE697E" w:rsidRPr="00CA3ED5">
          <w:rPr>
            <w:rStyle w:val="Hipervnculo"/>
            <w:rFonts w:ascii="Verdana" w:hAnsi="Verdana"/>
            <w:noProof/>
          </w:rPr>
          <w:t>IX</w:t>
        </w:r>
      </w:hyperlink>
      <w:r w:rsidR="00EE697E" w:rsidRPr="00CA3ED5">
        <w:rPr>
          <w:rFonts w:ascii="Verdana" w:eastAsiaTheme="minorEastAsia" w:hAnsi="Verdana"/>
          <w:b w:val="0"/>
          <w:bCs w:val="0"/>
          <w:caps w:val="0"/>
          <w:noProof/>
          <w:lang w:val="es-CR" w:eastAsia="es-CR"/>
        </w:rPr>
        <w:t xml:space="preserve"> </w:t>
      </w:r>
      <w:hyperlink w:anchor="_Toc532995421" w:history="1">
        <w:r w:rsidR="00EE697E" w:rsidRPr="00CA3ED5">
          <w:rPr>
            <w:rStyle w:val="Hipervnculo"/>
            <w:rFonts w:ascii="Verdana" w:hAnsi="Verdana"/>
            <w:noProof/>
          </w:rPr>
          <w:t>PUNTOS RESOLUTIVOS</w:t>
        </w:r>
        <w:r w:rsidR="00EE697E" w:rsidRPr="00CA3ED5">
          <w:rPr>
            <w:rFonts w:ascii="Verdana" w:hAnsi="Verdana"/>
            <w:noProof/>
            <w:webHidden/>
          </w:rPr>
          <w:tab/>
        </w:r>
        <w:r w:rsidR="00EE697E" w:rsidRPr="00CA3ED5">
          <w:rPr>
            <w:rFonts w:ascii="Verdana" w:hAnsi="Verdana"/>
            <w:noProof/>
            <w:webHidden/>
          </w:rPr>
          <w:fldChar w:fldCharType="begin"/>
        </w:r>
        <w:r w:rsidR="00EE697E" w:rsidRPr="00CA3ED5">
          <w:rPr>
            <w:rFonts w:ascii="Verdana" w:hAnsi="Verdana"/>
            <w:noProof/>
            <w:webHidden/>
          </w:rPr>
          <w:instrText xml:space="preserve"> PAGEREF _Toc532995421 \h </w:instrText>
        </w:r>
        <w:r w:rsidR="00EE697E" w:rsidRPr="00CA3ED5">
          <w:rPr>
            <w:rFonts w:ascii="Verdana" w:hAnsi="Verdana"/>
            <w:noProof/>
            <w:webHidden/>
          </w:rPr>
        </w:r>
        <w:r w:rsidR="00EE697E" w:rsidRPr="00CA3ED5">
          <w:rPr>
            <w:rFonts w:ascii="Verdana" w:hAnsi="Verdana"/>
            <w:noProof/>
            <w:webHidden/>
          </w:rPr>
          <w:fldChar w:fldCharType="separate"/>
        </w:r>
        <w:r w:rsidR="00C54122">
          <w:rPr>
            <w:rFonts w:ascii="Verdana" w:hAnsi="Verdana"/>
            <w:noProof/>
            <w:webHidden/>
          </w:rPr>
          <w:t>114</w:t>
        </w:r>
        <w:r w:rsidR="00EE697E" w:rsidRPr="00CA3ED5">
          <w:rPr>
            <w:rFonts w:ascii="Verdana" w:hAnsi="Verdana"/>
            <w:noProof/>
            <w:webHidden/>
          </w:rPr>
          <w:fldChar w:fldCharType="end"/>
        </w:r>
      </w:hyperlink>
    </w:p>
    <w:p w14:paraId="037CB663" w14:textId="01AB9011" w:rsidR="00F51DBA" w:rsidRPr="00CA3ED5" w:rsidRDefault="003A72F8" w:rsidP="00EE697E">
      <w:pPr>
        <w:spacing w:after="0" w:line="240" w:lineRule="auto"/>
        <w:jc w:val="both"/>
        <w:rPr>
          <w:rFonts w:ascii="Verdana" w:hAnsi="Verdana"/>
          <w:sz w:val="20"/>
          <w:szCs w:val="20"/>
        </w:rPr>
      </w:pPr>
      <w:r w:rsidRPr="00CA3ED5">
        <w:rPr>
          <w:rFonts w:ascii="Verdana" w:hAnsi="Verdana"/>
          <w:sz w:val="20"/>
          <w:szCs w:val="20"/>
        </w:rPr>
        <w:fldChar w:fldCharType="end"/>
      </w:r>
    </w:p>
    <w:p w14:paraId="587FCB7C" w14:textId="77777777" w:rsidR="00CB2BBC" w:rsidRPr="00CA3ED5" w:rsidRDefault="00CB2BBC" w:rsidP="003A72F8">
      <w:pPr>
        <w:spacing w:after="0" w:line="240" w:lineRule="auto"/>
        <w:jc w:val="both"/>
        <w:rPr>
          <w:rFonts w:ascii="Verdana" w:hAnsi="Verdana"/>
          <w:sz w:val="20"/>
          <w:szCs w:val="20"/>
        </w:rPr>
      </w:pPr>
    </w:p>
    <w:p w14:paraId="02127231" w14:textId="77777777" w:rsidR="00E76A77" w:rsidRPr="003A72F8" w:rsidRDefault="00E76A77" w:rsidP="003A72F8">
      <w:pPr>
        <w:spacing w:after="0" w:line="240" w:lineRule="auto"/>
        <w:jc w:val="both"/>
        <w:rPr>
          <w:rFonts w:ascii="Verdana" w:hAnsi="Verdana"/>
          <w:sz w:val="20"/>
          <w:szCs w:val="20"/>
        </w:rPr>
      </w:pPr>
    </w:p>
    <w:p w14:paraId="0C4CF46F" w14:textId="77777777" w:rsidR="00E76A77" w:rsidRPr="003A72F8" w:rsidRDefault="00E76A77" w:rsidP="003A72F8">
      <w:pPr>
        <w:spacing w:after="0" w:line="240" w:lineRule="auto"/>
        <w:jc w:val="both"/>
        <w:rPr>
          <w:rFonts w:ascii="Verdana" w:hAnsi="Verdana"/>
          <w:sz w:val="20"/>
          <w:szCs w:val="20"/>
        </w:rPr>
      </w:pPr>
    </w:p>
    <w:p w14:paraId="00AE67D0" w14:textId="77777777" w:rsidR="00E76A77" w:rsidRPr="003A72F8" w:rsidRDefault="00E76A77" w:rsidP="003A72F8">
      <w:pPr>
        <w:spacing w:after="0" w:line="240" w:lineRule="auto"/>
        <w:jc w:val="both"/>
        <w:rPr>
          <w:rFonts w:ascii="Verdana" w:hAnsi="Verdana"/>
          <w:sz w:val="20"/>
          <w:szCs w:val="20"/>
        </w:rPr>
      </w:pPr>
    </w:p>
    <w:p w14:paraId="3B66E4A2" w14:textId="77777777" w:rsidR="00E76A77" w:rsidRPr="003A72F8" w:rsidRDefault="00E76A77" w:rsidP="003A72F8">
      <w:pPr>
        <w:spacing w:after="0" w:line="240" w:lineRule="auto"/>
        <w:rPr>
          <w:rFonts w:ascii="Verdana" w:hAnsi="Verdana"/>
          <w:sz w:val="20"/>
          <w:szCs w:val="20"/>
        </w:rPr>
      </w:pPr>
    </w:p>
    <w:p w14:paraId="54EDEBD3" w14:textId="77777777" w:rsidR="00E76A77" w:rsidRDefault="00E76A77" w:rsidP="00C90B3F"/>
    <w:p w14:paraId="05A69E0E" w14:textId="77777777" w:rsidR="00E76A77" w:rsidRDefault="00E76A77" w:rsidP="00C90B3F"/>
    <w:p w14:paraId="1794EFDB" w14:textId="77777777" w:rsidR="00E76A77" w:rsidRDefault="00E76A77" w:rsidP="00C90B3F"/>
    <w:p w14:paraId="0AE85A08" w14:textId="77777777" w:rsidR="00E76A77" w:rsidRDefault="00E76A77" w:rsidP="00C90B3F"/>
    <w:p w14:paraId="0E724FAD" w14:textId="77777777" w:rsidR="00E76A77" w:rsidRDefault="00E76A77" w:rsidP="00C90B3F"/>
    <w:p w14:paraId="160ADE21" w14:textId="77777777" w:rsidR="00E76A77" w:rsidRDefault="00E76A77" w:rsidP="00C90B3F"/>
    <w:p w14:paraId="46D715E1" w14:textId="77777777" w:rsidR="00E76A77" w:rsidRDefault="00E76A77" w:rsidP="00C90B3F"/>
    <w:p w14:paraId="4E1C8F37" w14:textId="6E5FD616" w:rsidR="00FD6ED9" w:rsidRDefault="00FD6ED9">
      <w:r>
        <w:br w:type="page"/>
      </w:r>
    </w:p>
    <w:p w14:paraId="64AA5D6B" w14:textId="004861D2" w:rsidR="002E1C85" w:rsidRPr="00BC673B" w:rsidRDefault="002E1C85" w:rsidP="00DB378B">
      <w:pPr>
        <w:pStyle w:val="Ttulo1"/>
      </w:pPr>
      <w:bookmarkStart w:id="11" w:name="_Toc532995311"/>
      <w:r w:rsidRPr="00CA2568">
        <w:lastRenderedPageBreak/>
        <w:t>I</w:t>
      </w:r>
      <w:bookmarkStart w:id="12" w:name="_Toc375062709"/>
      <w:bookmarkStart w:id="13" w:name="_Toc375140859"/>
      <w:bookmarkStart w:id="14" w:name="_Toc375504818"/>
      <w:bookmarkStart w:id="15" w:name="_Toc375560892"/>
      <w:bookmarkEnd w:id="0"/>
      <w:bookmarkEnd w:id="1"/>
      <w:bookmarkEnd w:id="2"/>
      <w:r w:rsidRPr="00CA2568">
        <w:br/>
        <w:t>INTRODUCCIÓN DE LA CAUSA y OBJETO DE LA CONTROVERSI</w:t>
      </w:r>
      <w:bookmarkEnd w:id="3"/>
      <w:bookmarkEnd w:id="4"/>
      <w:bookmarkEnd w:id="5"/>
      <w:bookmarkEnd w:id="6"/>
      <w:bookmarkEnd w:id="7"/>
      <w:bookmarkEnd w:id="8"/>
      <w:bookmarkEnd w:id="9"/>
      <w:bookmarkEnd w:id="12"/>
      <w:bookmarkEnd w:id="13"/>
      <w:bookmarkEnd w:id="14"/>
      <w:bookmarkEnd w:id="15"/>
      <w:r w:rsidR="00BC673B">
        <w:t>A</w:t>
      </w:r>
      <w:bookmarkEnd w:id="10"/>
      <w:bookmarkEnd w:id="11"/>
    </w:p>
    <w:p w14:paraId="64AA5D6D" w14:textId="6CA66B6D" w:rsidR="002E1C85" w:rsidRPr="00BC673B"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Calibri" w:hAnsi="Verdana" w:cs="Arial"/>
          <w:sz w:val="20"/>
          <w:szCs w:val="20"/>
          <w:lang w:val="es-ES" w:eastAsia="es-CR"/>
        </w:rPr>
      </w:pPr>
      <w:r w:rsidRPr="002E1C85">
        <w:rPr>
          <w:rFonts w:ascii="Verdana" w:eastAsia="Verdana" w:hAnsi="Verdana" w:cs="Verdana"/>
          <w:i/>
          <w:sz w:val="20"/>
          <w:szCs w:val="20"/>
          <w:lang w:val="es-ES" w:eastAsia="es-CR"/>
        </w:rPr>
        <w:t xml:space="preserve">El caso sometido a la Corte. – </w:t>
      </w:r>
      <w:r w:rsidRPr="002E1C85">
        <w:rPr>
          <w:rFonts w:ascii="Verdana" w:eastAsia="Verdana" w:hAnsi="Verdana" w:cs="Verdana"/>
          <w:sz w:val="20"/>
          <w:szCs w:val="20"/>
          <w:lang w:val="es-ES" w:eastAsia="es-CR"/>
        </w:rPr>
        <w:t>El 9 de noviembre de 2016 la Comisión Interamericana de Derechos Humanos (en adelante “la Comisión Interamericana” o “la Comisión”)</w:t>
      </w:r>
      <w:r w:rsidR="00CE5CFA">
        <w:rPr>
          <w:rFonts w:ascii="Verdana" w:eastAsia="Verdana" w:hAnsi="Verdana" w:cs="Verdana"/>
          <w:sz w:val="20"/>
          <w:szCs w:val="20"/>
          <w:lang w:val="es-ES" w:eastAsia="es-CR"/>
        </w:rPr>
        <w:t>,</w:t>
      </w:r>
      <w:r w:rsidRPr="002E1C85">
        <w:rPr>
          <w:rFonts w:ascii="Verdana" w:eastAsia="Verdana" w:hAnsi="Verdana" w:cs="Verdana"/>
          <w:sz w:val="20"/>
          <w:szCs w:val="20"/>
          <w:lang w:val="es-ES" w:eastAsia="es-CR"/>
        </w:rPr>
        <w:t xml:space="preserve"> sometió a la jurisdicción de la Corte el caso </w:t>
      </w:r>
      <w:r w:rsidRPr="002E1C85">
        <w:rPr>
          <w:rFonts w:ascii="Verdana" w:eastAsia="Verdana" w:hAnsi="Verdana" w:cs="Verdana"/>
          <w:i/>
          <w:sz w:val="20"/>
          <w:szCs w:val="20"/>
          <w:lang w:val="es-ES" w:eastAsia="es-CR"/>
        </w:rPr>
        <w:t>“Alvarado Espinoza y otros”</w:t>
      </w:r>
      <w:r w:rsidRPr="002E1C85">
        <w:rPr>
          <w:rFonts w:ascii="Verdana" w:eastAsia="Verdana" w:hAnsi="Verdana" w:cs="Verdana"/>
          <w:sz w:val="20"/>
          <w:szCs w:val="20"/>
          <w:lang w:val="es-ES" w:eastAsia="es-CR"/>
        </w:rPr>
        <w:t xml:space="preserve"> contra los Estados Unidos Mexicanos (en adelante “el Estado </w:t>
      </w:r>
      <w:r w:rsidR="002F1A1F">
        <w:rPr>
          <w:rFonts w:ascii="Verdana" w:eastAsia="Verdana" w:hAnsi="Verdana" w:cs="Verdana"/>
          <w:sz w:val="20"/>
          <w:szCs w:val="20"/>
          <w:lang w:val="es-ES" w:eastAsia="es-CR"/>
        </w:rPr>
        <w:t>mexicano</w:t>
      </w:r>
      <w:r w:rsidRPr="002E1C85">
        <w:rPr>
          <w:rFonts w:ascii="Verdana" w:eastAsia="Verdana" w:hAnsi="Verdana" w:cs="Verdana"/>
          <w:sz w:val="20"/>
          <w:szCs w:val="20"/>
          <w:lang w:val="es-ES" w:eastAsia="es-CR"/>
        </w:rPr>
        <w:t xml:space="preserve">”, “el Estado” o “México”). De acuerdo con lo indicado por la Comisión, el caso se refiere a </w:t>
      </w:r>
      <w:r w:rsidRPr="002E1C85">
        <w:rPr>
          <w:rFonts w:ascii="Verdana" w:eastAsia="Calibri" w:hAnsi="Verdana" w:cs="Arial"/>
          <w:sz w:val="20"/>
          <w:szCs w:val="20"/>
          <w:lang w:val="es-CR" w:eastAsia="es-CR"/>
        </w:rPr>
        <w:t xml:space="preserve">la alegada desaparición forzada de Nitza Paola Alvarado Espinoza, José Ángel Alvarado y Rocío Irene Alvarado Reyes, por parte de agentes estatales en el Ejido Benito Juárez, Estado de Chihuahua, México, </w:t>
      </w:r>
      <w:r w:rsidR="002F1A1F">
        <w:rPr>
          <w:rFonts w:ascii="Verdana" w:eastAsia="Calibri" w:hAnsi="Verdana" w:cs="Arial"/>
          <w:sz w:val="20"/>
          <w:szCs w:val="20"/>
          <w:lang w:val="es-CR" w:eastAsia="es-CR"/>
        </w:rPr>
        <w:t>a partir d</w:t>
      </w:r>
      <w:r w:rsidRPr="002E1C85">
        <w:rPr>
          <w:rFonts w:ascii="Verdana" w:eastAsia="Calibri" w:hAnsi="Verdana" w:cs="Arial"/>
          <w:sz w:val="20"/>
          <w:szCs w:val="20"/>
          <w:lang w:val="es-CR" w:eastAsia="es-CR"/>
        </w:rPr>
        <w:t xml:space="preserve">el 29 de diciembre de 2009. A la fecha, se desconoce el destino o paradero de las tres </w:t>
      </w:r>
      <w:r w:rsidR="001E7094">
        <w:rPr>
          <w:rFonts w:ascii="Verdana" w:eastAsia="Calibri" w:hAnsi="Verdana" w:cs="Arial"/>
          <w:sz w:val="20"/>
          <w:szCs w:val="20"/>
          <w:lang w:val="es-CR" w:eastAsia="es-CR"/>
        </w:rPr>
        <w:t xml:space="preserve">presuntas </w:t>
      </w:r>
      <w:r w:rsidRPr="002E1C85">
        <w:rPr>
          <w:rFonts w:ascii="Verdana" w:eastAsia="Calibri" w:hAnsi="Verdana" w:cs="Arial"/>
          <w:sz w:val="20"/>
          <w:szCs w:val="20"/>
          <w:lang w:val="es-CR" w:eastAsia="es-CR"/>
        </w:rPr>
        <w:t xml:space="preserve">víctimas desaparecidas. El caso también se relaciona con la alegada situación de impunidad en que se encuentran las tres desapariciones, por lo que se habría determinado que la aplicación de </w:t>
      </w:r>
      <w:r w:rsidR="00B7622A">
        <w:rPr>
          <w:rFonts w:ascii="Verdana" w:eastAsia="Calibri" w:hAnsi="Verdana" w:cs="Arial"/>
          <w:sz w:val="20"/>
          <w:szCs w:val="20"/>
          <w:lang w:val="es-CR" w:eastAsia="es-CR"/>
        </w:rPr>
        <w:t xml:space="preserve">la </w:t>
      </w:r>
      <w:r w:rsidRPr="002E1C85">
        <w:rPr>
          <w:rFonts w:ascii="Verdana" w:eastAsia="Calibri" w:hAnsi="Verdana" w:cs="Arial"/>
          <w:sz w:val="20"/>
          <w:szCs w:val="20"/>
          <w:lang w:val="es-CR" w:eastAsia="es-CR"/>
        </w:rPr>
        <w:t xml:space="preserve">justicia militar al caso concreto podría resultar violatoria del derecho de contar con una autoridad competente, independiente e imparcial para la obtención de justicia. Finalmente, se alegaron una serie de violaciones conexas derivadas de las </w:t>
      </w:r>
      <w:r w:rsidR="001E7094">
        <w:rPr>
          <w:rFonts w:ascii="Verdana" w:eastAsia="Calibri" w:hAnsi="Verdana" w:cs="Arial"/>
          <w:sz w:val="20"/>
          <w:szCs w:val="20"/>
          <w:lang w:val="es-CR" w:eastAsia="es-CR"/>
        </w:rPr>
        <w:t xml:space="preserve">alegadas </w:t>
      </w:r>
      <w:r w:rsidRPr="002E1C85">
        <w:rPr>
          <w:rFonts w:ascii="Verdana" w:eastAsia="Calibri" w:hAnsi="Verdana" w:cs="Arial"/>
          <w:sz w:val="20"/>
          <w:szCs w:val="20"/>
          <w:lang w:val="es-CR" w:eastAsia="es-CR"/>
        </w:rPr>
        <w:t xml:space="preserve">amenazas y hostigamientos que habrían tenido que enfrentar los grupos familiares, incluido </w:t>
      </w:r>
      <w:r w:rsidR="001E7094">
        <w:rPr>
          <w:rFonts w:ascii="Verdana" w:eastAsia="Calibri" w:hAnsi="Verdana" w:cs="Arial"/>
          <w:sz w:val="20"/>
          <w:szCs w:val="20"/>
          <w:lang w:val="es-CR" w:eastAsia="es-CR"/>
        </w:rPr>
        <w:t>su</w:t>
      </w:r>
      <w:r w:rsidRPr="002E1C85">
        <w:rPr>
          <w:rFonts w:ascii="Verdana" w:eastAsia="Calibri" w:hAnsi="Verdana" w:cs="Arial"/>
          <w:sz w:val="20"/>
          <w:szCs w:val="20"/>
          <w:lang w:val="es-CR" w:eastAsia="es-CR"/>
        </w:rPr>
        <w:t xml:space="preserve"> desplazamiento forzado. Por </w:t>
      </w:r>
      <w:r w:rsidR="001E7094">
        <w:rPr>
          <w:rFonts w:ascii="Verdana" w:eastAsia="Calibri" w:hAnsi="Verdana" w:cs="Arial"/>
          <w:sz w:val="20"/>
          <w:szCs w:val="20"/>
          <w:lang w:val="es-CR" w:eastAsia="es-CR"/>
        </w:rPr>
        <w:t>tanto</w:t>
      </w:r>
      <w:r w:rsidRPr="002E1C85">
        <w:rPr>
          <w:rFonts w:ascii="Verdana" w:eastAsia="Calibri" w:hAnsi="Verdana" w:cs="Arial"/>
          <w:sz w:val="20"/>
          <w:szCs w:val="20"/>
          <w:lang w:val="es-CR" w:eastAsia="es-CR"/>
        </w:rPr>
        <w:t>, la Comisión concluyó que el Estado mexicano es responsable por la violación de los derechos a la personalidad jurídica, a la vida, a la integridad personal</w:t>
      </w:r>
      <w:r w:rsidR="00841FEB">
        <w:rPr>
          <w:rFonts w:ascii="Verdana" w:eastAsia="Calibri" w:hAnsi="Verdana" w:cs="Arial"/>
          <w:sz w:val="20"/>
          <w:szCs w:val="20"/>
          <w:lang w:val="es-CR" w:eastAsia="es-CR"/>
        </w:rPr>
        <w:t xml:space="preserve"> y</w:t>
      </w:r>
      <w:r w:rsidRPr="002E1C85">
        <w:rPr>
          <w:rFonts w:ascii="Verdana" w:eastAsia="Calibri" w:hAnsi="Verdana" w:cs="Arial"/>
          <w:sz w:val="20"/>
          <w:szCs w:val="20"/>
          <w:lang w:val="es-CR" w:eastAsia="es-CR"/>
        </w:rPr>
        <w:t xml:space="preserve"> a la libertad personal, </w:t>
      </w:r>
      <w:r w:rsidR="00841FEB">
        <w:rPr>
          <w:rFonts w:ascii="Verdana" w:eastAsia="Calibri" w:hAnsi="Verdana" w:cs="Arial"/>
          <w:sz w:val="20"/>
          <w:szCs w:val="20"/>
          <w:lang w:val="es-CR" w:eastAsia="es-CR"/>
        </w:rPr>
        <w:t xml:space="preserve">en perjuicio de las presuntas víctimas desaparecidas, </w:t>
      </w:r>
      <w:r w:rsidR="00841FEB" w:rsidRPr="002E1C85">
        <w:rPr>
          <w:rFonts w:ascii="Verdana" w:eastAsia="Calibri" w:hAnsi="Verdana" w:cs="Arial"/>
          <w:sz w:val="20"/>
          <w:szCs w:val="20"/>
          <w:lang w:val="es-CR" w:eastAsia="es-CR"/>
        </w:rPr>
        <w:t>de conformidad con los artículos 3, 4, 5</w:t>
      </w:r>
      <w:r w:rsidR="001E7094">
        <w:rPr>
          <w:rFonts w:ascii="Verdana" w:eastAsia="Calibri" w:hAnsi="Verdana" w:cs="Arial"/>
          <w:sz w:val="20"/>
          <w:szCs w:val="20"/>
          <w:lang w:val="es-CR" w:eastAsia="es-CR"/>
        </w:rPr>
        <w:t xml:space="preserve"> y</w:t>
      </w:r>
      <w:r w:rsidR="00841FEB" w:rsidRPr="002E1C85">
        <w:rPr>
          <w:rFonts w:ascii="Verdana" w:eastAsia="Calibri" w:hAnsi="Verdana" w:cs="Arial"/>
          <w:sz w:val="20"/>
          <w:szCs w:val="20"/>
          <w:lang w:val="es-CR" w:eastAsia="es-CR"/>
        </w:rPr>
        <w:t xml:space="preserve"> 7</w:t>
      </w:r>
      <w:r w:rsidR="00841FEB">
        <w:rPr>
          <w:rFonts w:ascii="Verdana" w:eastAsia="Calibri" w:hAnsi="Verdana" w:cs="Arial"/>
          <w:sz w:val="20"/>
          <w:szCs w:val="20"/>
          <w:lang w:val="es-CR" w:eastAsia="es-CR"/>
        </w:rPr>
        <w:t xml:space="preserve"> de la Convención Americana sobre Derechos Humanos (en adelante “la Convención</w:t>
      </w:r>
      <w:r w:rsidR="001E7094">
        <w:rPr>
          <w:rFonts w:ascii="Verdana" w:hAnsi="Verdana"/>
          <w:sz w:val="20"/>
        </w:rPr>
        <w:t>”</w:t>
      </w:r>
      <w:r w:rsidR="00841FEB">
        <w:rPr>
          <w:rFonts w:ascii="Verdana" w:eastAsia="Calibri" w:hAnsi="Verdana" w:cs="Arial"/>
          <w:sz w:val="20"/>
          <w:szCs w:val="20"/>
          <w:lang w:val="es-CR" w:eastAsia="es-CR"/>
        </w:rPr>
        <w:t xml:space="preserve">); </w:t>
      </w:r>
      <w:r w:rsidR="00EA422A">
        <w:rPr>
          <w:rFonts w:ascii="Verdana" w:eastAsia="Calibri" w:hAnsi="Verdana" w:cs="Arial"/>
          <w:sz w:val="20"/>
          <w:szCs w:val="20"/>
          <w:lang w:val="es-CR" w:eastAsia="es-CR"/>
        </w:rPr>
        <w:t>así como</w:t>
      </w:r>
      <w:r w:rsidR="00841FEB">
        <w:rPr>
          <w:rFonts w:ascii="Verdana" w:eastAsia="Calibri" w:hAnsi="Verdana" w:cs="Arial"/>
          <w:sz w:val="20"/>
          <w:szCs w:val="20"/>
          <w:lang w:val="es-CR" w:eastAsia="es-CR"/>
        </w:rPr>
        <w:t xml:space="preserve"> de los derechos</w:t>
      </w:r>
      <w:r w:rsidR="00841FEB" w:rsidRPr="002E1C85">
        <w:rPr>
          <w:rFonts w:ascii="Verdana" w:eastAsia="Calibri" w:hAnsi="Verdana" w:cs="Arial"/>
          <w:sz w:val="20"/>
          <w:szCs w:val="20"/>
          <w:lang w:val="es-CR" w:eastAsia="es-CR"/>
        </w:rPr>
        <w:t xml:space="preserve"> </w:t>
      </w:r>
      <w:r w:rsidRPr="002E1C85">
        <w:rPr>
          <w:rFonts w:ascii="Verdana" w:eastAsia="Calibri" w:hAnsi="Verdana" w:cs="Arial"/>
          <w:sz w:val="20"/>
          <w:szCs w:val="20"/>
          <w:lang w:val="es-CR" w:eastAsia="es-CR"/>
        </w:rPr>
        <w:t>a las garantías judiciales y a la protección judicial</w:t>
      </w:r>
      <w:r w:rsidR="00841FEB">
        <w:rPr>
          <w:rFonts w:ascii="Verdana" w:eastAsia="Calibri" w:hAnsi="Verdana" w:cs="Arial"/>
          <w:sz w:val="20"/>
          <w:szCs w:val="20"/>
          <w:lang w:val="es-CR" w:eastAsia="es-CR"/>
        </w:rPr>
        <w:t xml:space="preserve"> en perjuicio de los familiares de las presuntas víctimas</w:t>
      </w:r>
      <w:r w:rsidR="001E7094">
        <w:rPr>
          <w:rFonts w:ascii="Verdana" w:eastAsia="Calibri" w:hAnsi="Verdana" w:cs="Arial"/>
          <w:sz w:val="20"/>
          <w:szCs w:val="20"/>
          <w:lang w:val="es-CR" w:eastAsia="es-CR"/>
        </w:rPr>
        <w:t xml:space="preserve"> directas</w:t>
      </w:r>
      <w:r w:rsidR="00841FEB">
        <w:rPr>
          <w:rFonts w:ascii="Verdana" w:eastAsia="Calibri" w:hAnsi="Verdana" w:cs="Arial"/>
          <w:sz w:val="20"/>
          <w:szCs w:val="20"/>
          <w:lang w:val="es-CR" w:eastAsia="es-CR"/>
        </w:rPr>
        <w:t>,</w:t>
      </w:r>
      <w:r w:rsidRPr="002E1C85">
        <w:rPr>
          <w:rFonts w:ascii="Verdana" w:eastAsia="Calibri" w:hAnsi="Verdana" w:cs="Arial"/>
          <w:sz w:val="20"/>
          <w:szCs w:val="20"/>
          <w:lang w:val="es-CR" w:eastAsia="es-CR"/>
        </w:rPr>
        <w:t xml:space="preserve"> de conformidad con los artículos</w:t>
      </w:r>
      <w:r w:rsidRPr="00841FEB">
        <w:rPr>
          <w:rFonts w:ascii="Verdana" w:eastAsia="Calibri" w:hAnsi="Verdana" w:cs="Arial"/>
          <w:sz w:val="20"/>
          <w:szCs w:val="20"/>
          <w:lang w:val="es-CR" w:eastAsia="es-CR"/>
        </w:rPr>
        <w:t xml:space="preserve"> 8, 11, 19, 22 y 2</w:t>
      </w:r>
      <w:r w:rsidR="00841FEB">
        <w:rPr>
          <w:rFonts w:ascii="Verdana" w:eastAsia="Calibri" w:hAnsi="Verdana" w:cs="Arial"/>
          <w:sz w:val="20"/>
          <w:szCs w:val="20"/>
          <w:lang w:val="es-CR" w:eastAsia="es-CR"/>
        </w:rPr>
        <w:t>5</w:t>
      </w:r>
      <w:r w:rsidRPr="00841FEB">
        <w:rPr>
          <w:rFonts w:ascii="Verdana" w:eastAsia="Calibri" w:hAnsi="Verdana" w:cs="Arial"/>
          <w:sz w:val="20"/>
          <w:szCs w:val="20"/>
          <w:lang w:val="es-CR" w:eastAsia="es-CR"/>
        </w:rPr>
        <w:t xml:space="preserve">, </w:t>
      </w:r>
      <w:r w:rsidR="00841FEB">
        <w:rPr>
          <w:rFonts w:ascii="Verdana" w:eastAsia="Calibri" w:hAnsi="Verdana" w:cs="Arial"/>
          <w:sz w:val="20"/>
          <w:szCs w:val="20"/>
          <w:lang w:val="es-CR" w:eastAsia="es-CR"/>
        </w:rPr>
        <w:t>de la Convención. Todos</w:t>
      </w:r>
      <w:r w:rsidR="00841FEB" w:rsidRPr="002E1C85">
        <w:rPr>
          <w:rFonts w:ascii="Verdana" w:eastAsia="Calibri" w:hAnsi="Verdana" w:cs="Arial"/>
          <w:sz w:val="20"/>
          <w:szCs w:val="20"/>
          <w:lang w:val="es-CR" w:eastAsia="es-CR"/>
        </w:rPr>
        <w:t xml:space="preserve"> </w:t>
      </w:r>
      <w:r w:rsidRPr="00841FEB">
        <w:rPr>
          <w:rFonts w:ascii="Verdana" w:eastAsia="Calibri" w:hAnsi="Verdana" w:cs="Arial"/>
          <w:sz w:val="20"/>
          <w:szCs w:val="20"/>
          <w:lang w:val="es-CR" w:eastAsia="es-CR"/>
        </w:rPr>
        <w:t>en relación con los artículos 1.1 y 2 del mismo instrumento en perjuicio de las presuntas víctimas desaparecidas y de sus familiares.</w:t>
      </w:r>
      <w:r w:rsidRPr="002E1C85">
        <w:rPr>
          <w:rFonts w:ascii="Verdana" w:eastAsia="Calibri" w:hAnsi="Verdana" w:cs="Arial"/>
          <w:sz w:val="20"/>
          <w:szCs w:val="20"/>
          <w:lang w:val="es-CR" w:eastAsia="es-CR"/>
        </w:rPr>
        <w:t xml:space="preserve"> Asimismo, la Comisión concluyó que el Estado es responsable por la violación de los artículos I incisos a) y b), así como IX de la Convención Interamericana sobre Desaparición Forzada de Personas. </w:t>
      </w:r>
      <w:r w:rsidRPr="002E1C85">
        <w:rPr>
          <w:rFonts w:ascii="Verdana" w:eastAsia="Calibri" w:hAnsi="Verdana" w:cs="Arial"/>
          <w:sz w:val="20"/>
          <w:szCs w:val="20"/>
          <w:lang w:val="es-ES" w:eastAsia="es-CR"/>
        </w:rPr>
        <w:t xml:space="preserve">Las presuntas víctimas en este caso son </w:t>
      </w:r>
      <w:r w:rsidRPr="002E1C85">
        <w:rPr>
          <w:rFonts w:ascii="Verdana" w:eastAsia="Times New Roman" w:hAnsi="Verdana" w:cs="Times New Roman"/>
          <w:sz w:val="20"/>
          <w:szCs w:val="20"/>
          <w:lang w:val="es-ES"/>
        </w:rPr>
        <w:t>Nitza Paola Alvarado Espinoza, Rocío Irene Alvarado Reyes y José Ángel Alvarado Herrera, así como sus familiares</w:t>
      </w:r>
      <w:r w:rsidR="00077133" w:rsidRPr="008D0846">
        <w:rPr>
          <w:rFonts w:ascii="Verdana" w:eastAsia="Times New Roman" w:hAnsi="Verdana" w:cs="Times New Roman"/>
          <w:sz w:val="20"/>
          <w:szCs w:val="20"/>
          <w:lang w:val="es-ES"/>
        </w:rPr>
        <w:t xml:space="preserve">, </w:t>
      </w:r>
      <w:r w:rsidR="00077133" w:rsidRPr="008D0846">
        <w:rPr>
          <w:rFonts w:ascii="Verdana" w:eastAsia="Times New Roman" w:hAnsi="Verdana"/>
          <w:sz w:val="20"/>
          <w:szCs w:val="20"/>
          <w:lang w:val="es-ES"/>
        </w:rPr>
        <w:t xml:space="preserve">contemplados en los párrafos </w:t>
      </w:r>
      <w:r w:rsidR="00C61AAA" w:rsidRPr="008D0846">
        <w:rPr>
          <w:rFonts w:ascii="Verdana" w:eastAsia="Times New Roman" w:hAnsi="Verdana"/>
          <w:sz w:val="20"/>
          <w:szCs w:val="20"/>
          <w:lang w:val="es-ES"/>
        </w:rPr>
        <w:t>76</w:t>
      </w:r>
      <w:r w:rsidR="00077133" w:rsidRPr="008D0846">
        <w:rPr>
          <w:rFonts w:ascii="Verdana" w:eastAsia="Times New Roman" w:hAnsi="Verdana"/>
          <w:sz w:val="20"/>
          <w:szCs w:val="20"/>
          <w:lang w:val="es-ES"/>
        </w:rPr>
        <w:t xml:space="preserve"> a </w:t>
      </w:r>
      <w:r w:rsidR="00C61AAA" w:rsidRPr="008D0846">
        <w:rPr>
          <w:rFonts w:ascii="Verdana" w:eastAsia="Times New Roman" w:hAnsi="Verdana"/>
          <w:sz w:val="20"/>
          <w:szCs w:val="20"/>
          <w:lang w:val="es-ES"/>
        </w:rPr>
        <w:t>78</w:t>
      </w:r>
      <w:r w:rsidR="00077133" w:rsidRPr="008D0846">
        <w:rPr>
          <w:rFonts w:ascii="Verdana" w:eastAsia="Times New Roman" w:hAnsi="Verdana"/>
          <w:sz w:val="20"/>
          <w:szCs w:val="20"/>
          <w:lang w:val="es-ES"/>
        </w:rPr>
        <w:t xml:space="preserve"> de la presente Sentencia</w:t>
      </w:r>
      <w:r w:rsidR="00077133" w:rsidRPr="008D4CB0">
        <w:rPr>
          <w:rFonts w:ascii="Verdana" w:eastAsia="Times New Roman" w:hAnsi="Verdana"/>
          <w:sz w:val="20"/>
          <w:szCs w:val="20"/>
          <w:vertAlign w:val="superscript"/>
          <w:lang w:val="es-ES"/>
        </w:rPr>
        <w:footnoteReference w:id="3"/>
      </w:r>
      <w:r w:rsidRPr="002E1C85">
        <w:rPr>
          <w:rFonts w:ascii="Verdana" w:eastAsia="Verdana" w:hAnsi="Verdana" w:cs="Verdana"/>
          <w:sz w:val="20"/>
          <w:szCs w:val="20"/>
          <w:lang w:val="es-ES" w:eastAsia="es-CR"/>
        </w:rPr>
        <w:t xml:space="preserve"> (en adelante “las presuntas víctimas”)</w:t>
      </w:r>
      <w:r w:rsidRPr="002E1C85">
        <w:rPr>
          <w:rFonts w:ascii="Verdana" w:eastAsia="Times New Roman" w:hAnsi="Verdana" w:cs="Times New Roman"/>
          <w:sz w:val="20"/>
          <w:szCs w:val="20"/>
          <w:lang w:val="es-ES"/>
        </w:rPr>
        <w:t xml:space="preserve">, de acuerdo a las consideraciones vertidas </w:t>
      </w:r>
      <w:r w:rsidR="00205AF7" w:rsidRPr="00205AF7">
        <w:rPr>
          <w:rFonts w:ascii="Verdana" w:eastAsia="Times New Roman" w:hAnsi="Verdana" w:cs="Times New Roman"/>
          <w:i/>
          <w:sz w:val="20"/>
          <w:szCs w:val="20"/>
          <w:lang w:val="es-ES"/>
        </w:rPr>
        <w:t xml:space="preserve">infra </w:t>
      </w:r>
      <w:r w:rsidRPr="002E1C85">
        <w:rPr>
          <w:rFonts w:ascii="Verdana" w:eastAsia="Times New Roman" w:hAnsi="Verdana" w:cs="Times New Roman"/>
          <w:sz w:val="20"/>
          <w:szCs w:val="20"/>
          <w:lang w:val="es-ES"/>
        </w:rPr>
        <w:t xml:space="preserve">en el capítulo </w:t>
      </w:r>
      <w:r w:rsidR="00C61AAA">
        <w:rPr>
          <w:rFonts w:ascii="Verdana" w:eastAsia="Times New Roman" w:hAnsi="Verdana" w:cs="Times New Roman"/>
          <w:sz w:val="20"/>
          <w:szCs w:val="20"/>
          <w:lang w:val="es-ES"/>
        </w:rPr>
        <w:t xml:space="preserve">VI </w:t>
      </w:r>
      <w:r w:rsidRPr="002E1C85">
        <w:rPr>
          <w:rFonts w:ascii="Verdana" w:eastAsia="Times New Roman" w:hAnsi="Verdana" w:cs="Times New Roman"/>
          <w:sz w:val="20"/>
          <w:szCs w:val="20"/>
          <w:lang w:val="es-ES"/>
        </w:rPr>
        <w:t xml:space="preserve">relativo a </w:t>
      </w:r>
      <w:r w:rsidR="00C61AAA">
        <w:rPr>
          <w:rFonts w:ascii="Verdana" w:eastAsia="Times New Roman" w:hAnsi="Verdana" w:cs="Times New Roman"/>
          <w:sz w:val="20"/>
          <w:szCs w:val="20"/>
          <w:lang w:val="es-ES"/>
        </w:rPr>
        <w:t>Hechos</w:t>
      </w:r>
      <w:r w:rsidR="00CE5CFA" w:rsidRPr="008D0846">
        <w:rPr>
          <w:rFonts w:ascii="Verdana" w:eastAsia="Times New Roman" w:hAnsi="Verdana" w:cs="Times New Roman"/>
          <w:sz w:val="20"/>
          <w:szCs w:val="20"/>
          <w:lang w:val="es-ES"/>
        </w:rPr>
        <w:t>.</w:t>
      </w:r>
    </w:p>
    <w:p w14:paraId="64AA5D6F" w14:textId="39603815" w:rsidR="002E1C85" w:rsidRPr="00BC673B"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Calibri" w:hAnsi="Verdana" w:cs="Arial"/>
          <w:sz w:val="20"/>
          <w:szCs w:val="20"/>
          <w:lang w:val="es-ES" w:eastAsia="es-CR"/>
        </w:rPr>
      </w:pPr>
      <w:r w:rsidRPr="002E1C85">
        <w:rPr>
          <w:rFonts w:ascii="Verdana" w:eastAsia="Verdana" w:hAnsi="Verdana" w:cs="Verdana"/>
          <w:i/>
          <w:sz w:val="20"/>
          <w:szCs w:val="20"/>
          <w:lang w:val="es-ES" w:eastAsia="es-CR"/>
        </w:rPr>
        <w:t xml:space="preserve">Trámite ante la Comisión. – </w:t>
      </w:r>
      <w:r w:rsidRPr="002E1C85">
        <w:rPr>
          <w:rFonts w:ascii="Verdana" w:eastAsia="Verdana" w:hAnsi="Verdana" w:cs="Verdana"/>
          <w:sz w:val="20"/>
          <w:szCs w:val="20"/>
          <w:lang w:val="es-ES" w:eastAsia="es-CR"/>
        </w:rPr>
        <w:t>El trámite ante la Comisión fue el siguiente:</w:t>
      </w:r>
    </w:p>
    <w:p w14:paraId="64AA5D71" w14:textId="5C7A4F3C" w:rsidR="002E1C85" w:rsidRPr="00D57E6C" w:rsidRDefault="002E1C85" w:rsidP="00C90B3F">
      <w:pPr>
        <w:widowControl w:val="0"/>
        <w:numPr>
          <w:ilvl w:val="0"/>
          <w:numId w:val="5"/>
        </w:numPr>
        <w:adjustRightInd w:val="0"/>
        <w:spacing w:before="120" w:after="120" w:line="240" w:lineRule="auto"/>
        <w:ind w:left="816" w:right="142" w:hanging="357"/>
        <w:jc w:val="both"/>
        <w:textAlignment w:val="baseline"/>
        <w:rPr>
          <w:rFonts w:ascii="Verdana" w:eastAsia="Verdana" w:hAnsi="Verdana" w:cs="Verdana"/>
          <w:sz w:val="18"/>
          <w:szCs w:val="20"/>
          <w:lang w:val="es-ES" w:eastAsia="es-CR"/>
        </w:rPr>
      </w:pPr>
      <w:r w:rsidRPr="00D57E6C">
        <w:rPr>
          <w:rFonts w:ascii="Verdana" w:eastAsia="Verdana" w:hAnsi="Verdana" w:cs="Verdana"/>
          <w:i/>
          <w:sz w:val="18"/>
          <w:szCs w:val="20"/>
          <w:lang w:val="es-ES" w:eastAsia="es-CR"/>
        </w:rPr>
        <w:t xml:space="preserve">Petición. – </w:t>
      </w:r>
      <w:r w:rsidRPr="00D57E6C">
        <w:rPr>
          <w:rFonts w:ascii="Verdana" w:eastAsia="Verdana" w:hAnsi="Verdana" w:cs="Verdana"/>
          <w:sz w:val="18"/>
          <w:szCs w:val="20"/>
          <w:lang w:val="es-ES" w:eastAsia="es-CR"/>
        </w:rPr>
        <w:t xml:space="preserve">El 26 de junio de 2011 el Centro de Derechos Humanos de las Mujeres (CEDEHM); la Comisión de Solidaridad y Defensa de los Derechos Humanos (COSYDDHAC); la Justicia para Nuestras Hijas (JPNH), y el Centro de Derechos Humanos Paso del Norte (CDHPN), (en adelante “los peticionarios”) presentaron la petición inicial ante la Comisión, por </w:t>
      </w:r>
      <w:r w:rsidRPr="00D57E6C">
        <w:rPr>
          <w:rFonts w:ascii="Verdana" w:eastAsia="Calibri" w:hAnsi="Verdana" w:cs="Arial"/>
          <w:sz w:val="18"/>
          <w:szCs w:val="20"/>
          <w:lang w:val="es-CR" w:eastAsia="es-CR"/>
        </w:rPr>
        <w:t>la mencionada alegada desaparición forzada (</w:t>
      </w:r>
      <w:r w:rsidR="00205AF7" w:rsidRPr="00D57E6C">
        <w:rPr>
          <w:rFonts w:ascii="Verdana" w:eastAsia="Calibri" w:hAnsi="Verdana" w:cs="Arial"/>
          <w:i/>
          <w:sz w:val="18"/>
          <w:szCs w:val="20"/>
          <w:lang w:val="es-CR" w:eastAsia="es-CR"/>
        </w:rPr>
        <w:t xml:space="preserve">supra </w:t>
      </w:r>
      <w:r w:rsidRPr="00D57E6C">
        <w:rPr>
          <w:rFonts w:ascii="Verdana" w:eastAsia="Calibri" w:hAnsi="Verdana" w:cs="Arial"/>
          <w:sz w:val="18"/>
          <w:szCs w:val="20"/>
          <w:lang w:val="es-CR" w:eastAsia="es-CR"/>
        </w:rPr>
        <w:t xml:space="preserve">párr. </w:t>
      </w:r>
      <w:r w:rsidR="00AF128A">
        <w:rPr>
          <w:rFonts w:ascii="Verdana" w:eastAsia="Calibri" w:hAnsi="Verdana" w:cs="Arial"/>
          <w:sz w:val="18"/>
          <w:szCs w:val="20"/>
          <w:lang w:val="es-CR" w:eastAsia="es-CR"/>
        </w:rPr>
        <w:t>1</w:t>
      </w:r>
      <w:r w:rsidRPr="00D57E6C">
        <w:rPr>
          <w:rFonts w:ascii="Verdana" w:eastAsia="Calibri" w:hAnsi="Verdana" w:cs="Arial"/>
          <w:sz w:val="18"/>
          <w:szCs w:val="20"/>
          <w:lang w:val="es-CR" w:eastAsia="es-CR"/>
        </w:rPr>
        <w:t>)</w:t>
      </w:r>
      <w:r w:rsidR="006B072A" w:rsidRPr="008D0846">
        <w:rPr>
          <w:rFonts w:ascii="Verdana" w:eastAsia="Times New Roman" w:hAnsi="Verdana" w:cs="Times New Roman"/>
          <w:sz w:val="18"/>
          <w:szCs w:val="20"/>
          <w:lang w:val="es-ES"/>
        </w:rPr>
        <w:t>.</w:t>
      </w:r>
    </w:p>
    <w:p w14:paraId="64AA5D73" w14:textId="6B8790E9" w:rsidR="002E1C85" w:rsidRPr="00D57E6C" w:rsidRDefault="002E1C85" w:rsidP="00C90B3F">
      <w:pPr>
        <w:widowControl w:val="0"/>
        <w:numPr>
          <w:ilvl w:val="0"/>
          <w:numId w:val="5"/>
        </w:numPr>
        <w:adjustRightInd w:val="0"/>
        <w:spacing w:before="120" w:after="120" w:line="240" w:lineRule="auto"/>
        <w:ind w:left="816" w:right="142" w:hanging="357"/>
        <w:jc w:val="both"/>
        <w:textAlignment w:val="baseline"/>
        <w:rPr>
          <w:rFonts w:ascii="Verdana" w:eastAsia="Verdana" w:hAnsi="Verdana" w:cs="Verdana"/>
          <w:sz w:val="18"/>
          <w:szCs w:val="20"/>
          <w:lang w:val="es-ES" w:eastAsia="es-CR"/>
        </w:rPr>
      </w:pPr>
      <w:r w:rsidRPr="00D57E6C">
        <w:rPr>
          <w:rFonts w:ascii="Verdana" w:eastAsia="Verdana" w:hAnsi="Verdana" w:cs="Verdana"/>
          <w:i/>
          <w:sz w:val="18"/>
          <w:szCs w:val="20"/>
          <w:lang w:val="es-ES" w:eastAsia="es-CR"/>
        </w:rPr>
        <w:t xml:space="preserve">Informe de Admisibilidad. – </w:t>
      </w:r>
      <w:r w:rsidRPr="00D57E6C">
        <w:rPr>
          <w:rFonts w:ascii="Verdana" w:eastAsia="Verdana" w:hAnsi="Verdana" w:cs="Verdana"/>
          <w:sz w:val="18"/>
          <w:szCs w:val="20"/>
          <w:lang w:val="es-ES" w:eastAsia="es-CR"/>
        </w:rPr>
        <w:t xml:space="preserve">El 12 de julio de 2013 la Comisión aprobó el Informe de </w:t>
      </w:r>
      <w:r w:rsidRPr="00D57E6C">
        <w:rPr>
          <w:rFonts w:ascii="Verdana" w:eastAsia="Verdana" w:hAnsi="Verdana" w:cs="Verdana"/>
          <w:position w:val="-1"/>
          <w:sz w:val="18"/>
          <w:szCs w:val="20"/>
          <w:lang w:val="es-ES" w:eastAsia="es-CR"/>
        </w:rPr>
        <w:t xml:space="preserve">Admisibilidad </w:t>
      </w:r>
      <w:r w:rsidRPr="00D57E6C">
        <w:rPr>
          <w:rFonts w:ascii="Verdana" w:eastAsia="Verdana" w:hAnsi="Verdana" w:cs="Verdana"/>
          <w:position w:val="-1"/>
          <w:sz w:val="18"/>
          <w:szCs w:val="20"/>
          <w:lang w:val="es-ES" w:eastAsia="es-CR"/>
        </w:rPr>
        <w:lastRenderedPageBreak/>
        <w:t xml:space="preserve">No. 48/13, </w:t>
      </w:r>
      <w:r w:rsidRPr="00D57E6C">
        <w:rPr>
          <w:rFonts w:ascii="Verdana" w:eastAsia="Times New Roman" w:hAnsi="Verdana" w:cs="Verdana"/>
          <w:sz w:val="18"/>
          <w:szCs w:val="20"/>
          <w:lang w:val="es-ES" w:eastAsia="es-CR"/>
        </w:rPr>
        <w:t>en el que concluyó que la petición 880-11 era admisible</w:t>
      </w:r>
      <w:r w:rsidRPr="00D57E6C">
        <w:rPr>
          <w:rFonts w:ascii="Verdana" w:eastAsia="Verdana" w:hAnsi="Verdana" w:cs="Verdana"/>
          <w:position w:val="-1"/>
          <w:sz w:val="18"/>
          <w:szCs w:val="20"/>
          <w:vertAlign w:val="superscript"/>
          <w:lang w:val="es-ES" w:eastAsia="es-CR"/>
        </w:rPr>
        <w:footnoteReference w:id="4"/>
      </w:r>
      <w:r w:rsidR="00B7622A">
        <w:rPr>
          <w:rFonts w:ascii="Verdana" w:eastAsia="Verdana" w:hAnsi="Verdana" w:cs="Verdana"/>
          <w:position w:val="-1"/>
          <w:sz w:val="18"/>
          <w:szCs w:val="20"/>
          <w:lang w:val="es-ES" w:eastAsia="es-CR"/>
        </w:rPr>
        <w:t>.</w:t>
      </w:r>
    </w:p>
    <w:p w14:paraId="64AA5D76" w14:textId="06E7548C" w:rsidR="002E1C85" w:rsidRPr="00D57E6C" w:rsidRDefault="002E1C85" w:rsidP="00C90B3F">
      <w:pPr>
        <w:widowControl w:val="0"/>
        <w:numPr>
          <w:ilvl w:val="0"/>
          <w:numId w:val="5"/>
        </w:numPr>
        <w:adjustRightInd w:val="0"/>
        <w:spacing w:before="120" w:after="120" w:line="240" w:lineRule="auto"/>
        <w:ind w:left="816" w:right="142" w:hanging="357"/>
        <w:jc w:val="both"/>
        <w:textAlignment w:val="baseline"/>
        <w:rPr>
          <w:rFonts w:ascii="Verdana" w:eastAsia="Verdana" w:hAnsi="Verdana" w:cs="Verdana"/>
          <w:sz w:val="18"/>
          <w:szCs w:val="20"/>
          <w:lang w:val="es-ES" w:eastAsia="es-CR"/>
        </w:rPr>
      </w:pPr>
      <w:r w:rsidRPr="00D57E6C">
        <w:rPr>
          <w:rFonts w:ascii="Verdana" w:eastAsia="Verdana" w:hAnsi="Verdana" w:cs="Verdana"/>
          <w:i/>
          <w:sz w:val="18"/>
          <w:szCs w:val="20"/>
          <w:lang w:val="es-ES" w:eastAsia="es-CR"/>
        </w:rPr>
        <w:t xml:space="preserve">Informe de Fondo. – </w:t>
      </w:r>
      <w:r w:rsidRPr="00D57E6C">
        <w:rPr>
          <w:rFonts w:ascii="Verdana" w:eastAsia="Verdana" w:hAnsi="Verdana" w:cs="Verdana"/>
          <w:sz w:val="18"/>
          <w:szCs w:val="20"/>
          <w:lang w:val="es-ES" w:eastAsia="es-CR"/>
        </w:rPr>
        <w:t>El 13 de abril de 2016 la Comisión aprobó el Informe de Fondo No. 3/16, de conformidad con el artículo 50 de la Convención (en adelante también “el Informe de Fondo” o “el Informe No. 3/16”), en el cual llegó a una serie de conclusiones y formuló varias recomendaciones al Estado</w:t>
      </w:r>
      <w:r w:rsidRPr="00D57E6C">
        <w:rPr>
          <w:rStyle w:val="Refdenotaalpie"/>
          <w:rFonts w:ascii="Verdana" w:eastAsia="Verdana" w:hAnsi="Verdana" w:cs="Verdana"/>
          <w:sz w:val="18"/>
          <w:szCs w:val="20"/>
          <w:lang w:val="es-ES" w:eastAsia="es-CR"/>
        </w:rPr>
        <w:footnoteReference w:id="5"/>
      </w:r>
      <w:r w:rsidR="009C041B" w:rsidRPr="008D0846">
        <w:rPr>
          <w:rFonts w:ascii="Verdana" w:eastAsia="Times New Roman" w:hAnsi="Verdana" w:cs="Times New Roman"/>
          <w:sz w:val="18"/>
          <w:szCs w:val="20"/>
          <w:lang w:val="es-ES"/>
        </w:rPr>
        <w:t>.</w:t>
      </w:r>
    </w:p>
    <w:p w14:paraId="64AA5D78" w14:textId="4365DAD7" w:rsidR="002E1C85" w:rsidRPr="00D57E6C" w:rsidRDefault="002E1C85" w:rsidP="00C90B3F">
      <w:pPr>
        <w:widowControl w:val="0"/>
        <w:numPr>
          <w:ilvl w:val="0"/>
          <w:numId w:val="5"/>
        </w:numPr>
        <w:adjustRightInd w:val="0"/>
        <w:spacing w:before="120" w:after="120" w:line="240" w:lineRule="auto"/>
        <w:ind w:left="816" w:right="142" w:hanging="357"/>
        <w:jc w:val="both"/>
        <w:textAlignment w:val="baseline"/>
        <w:rPr>
          <w:rFonts w:ascii="Verdana" w:eastAsia="Verdana" w:hAnsi="Verdana" w:cs="Verdana"/>
          <w:sz w:val="18"/>
          <w:szCs w:val="20"/>
          <w:lang w:val="es-ES" w:eastAsia="es-CR"/>
        </w:rPr>
      </w:pPr>
      <w:r w:rsidRPr="00D57E6C">
        <w:rPr>
          <w:rFonts w:ascii="Verdana" w:eastAsia="Verdana" w:hAnsi="Verdana" w:cs="Verdana"/>
          <w:i/>
          <w:sz w:val="18"/>
          <w:szCs w:val="20"/>
          <w:lang w:val="es-ES" w:eastAsia="es-CR"/>
        </w:rPr>
        <w:t xml:space="preserve">Notificación al Estado. – </w:t>
      </w:r>
      <w:r w:rsidRPr="00D57E6C">
        <w:rPr>
          <w:rFonts w:ascii="Verdana" w:eastAsia="Verdana" w:hAnsi="Verdana" w:cs="Verdana"/>
          <w:sz w:val="18"/>
          <w:szCs w:val="20"/>
          <w:lang w:val="es-ES" w:eastAsia="es-CR"/>
        </w:rPr>
        <w:t>El Informe No. 3/16 fue notificado al Estado mediante comunicación de 9 de mayo de 2016, otorgándole un plazo de dos meses para informar sobre el cumplimiento de las recomendaciones</w:t>
      </w:r>
      <w:r w:rsidR="00370F40" w:rsidRPr="008D0846">
        <w:rPr>
          <w:rFonts w:ascii="Verdana" w:eastAsia="Times New Roman" w:hAnsi="Verdana" w:cs="Times New Roman"/>
          <w:sz w:val="18"/>
          <w:szCs w:val="20"/>
          <w:lang w:val="es-ES"/>
        </w:rPr>
        <w:t>.</w:t>
      </w:r>
    </w:p>
    <w:p w14:paraId="64AA5D7A" w14:textId="5C63E5CC" w:rsidR="002E1C85" w:rsidRPr="00D57E6C" w:rsidRDefault="002E1C85" w:rsidP="00C90B3F">
      <w:pPr>
        <w:widowControl w:val="0"/>
        <w:numPr>
          <w:ilvl w:val="0"/>
          <w:numId w:val="5"/>
        </w:numPr>
        <w:adjustRightInd w:val="0"/>
        <w:spacing w:before="120" w:after="120" w:line="240" w:lineRule="auto"/>
        <w:ind w:left="816" w:right="142" w:hanging="357"/>
        <w:jc w:val="both"/>
        <w:textAlignment w:val="baseline"/>
        <w:rPr>
          <w:rFonts w:ascii="Verdana" w:eastAsia="Verdana" w:hAnsi="Verdana" w:cs="Verdana"/>
          <w:sz w:val="18"/>
          <w:szCs w:val="20"/>
          <w:lang w:val="es-ES" w:eastAsia="es-CR"/>
        </w:rPr>
      </w:pPr>
      <w:r w:rsidRPr="00D57E6C">
        <w:rPr>
          <w:rFonts w:ascii="Verdana" w:eastAsia="Verdana" w:hAnsi="Verdana" w:cs="Verdana"/>
          <w:i/>
          <w:sz w:val="18"/>
          <w:szCs w:val="20"/>
          <w:lang w:val="es-ES" w:eastAsia="es-CR"/>
        </w:rPr>
        <w:t xml:space="preserve">Informes sobre las recomendaciones de la Comisión. – </w:t>
      </w:r>
      <w:r w:rsidRPr="00D57E6C">
        <w:rPr>
          <w:rFonts w:ascii="Verdana" w:eastAsia="Verdana" w:hAnsi="Verdana" w:cs="Verdana"/>
          <w:sz w:val="18"/>
          <w:szCs w:val="20"/>
          <w:lang w:val="es-ES" w:eastAsia="es-CR"/>
        </w:rPr>
        <w:t>El 12 de julio y 25 de octubre de 2016 el Estado mexicano presentó informes sobre las medidas adoptadas para dar cumplimiento a las recomendaciones formuladas en el Informe No. 3/16 de la Comisión. Tras el otorgamiento de una prórroga para el cumplimiento de las recomendaciones, la Comisión consideró que el Estado “no ha</w:t>
      </w:r>
      <w:r w:rsidR="006B072A" w:rsidRPr="00366BF2">
        <w:rPr>
          <w:rFonts w:ascii="Verdana" w:eastAsia="Times New Roman" w:hAnsi="Verdana" w:cs="Times New Roman"/>
          <w:sz w:val="18"/>
          <w:szCs w:val="20"/>
          <w:lang w:val="es-ES"/>
        </w:rPr>
        <w:t>[</w:t>
      </w:r>
      <w:r w:rsidR="006B072A">
        <w:rPr>
          <w:rFonts w:ascii="Verdana" w:eastAsia="Times New Roman" w:hAnsi="Verdana" w:cs="Times New Roman"/>
          <w:sz w:val="18"/>
          <w:szCs w:val="20"/>
          <w:lang w:val="es-ES"/>
        </w:rPr>
        <w:t>bía</w:t>
      </w:r>
      <w:r w:rsidR="006B072A" w:rsidRPr="00366BF2">
        <w:rPr>
          <w:rFonts w:ascii="Verdana" w:eastAsia="Times New Roman" w:hAnsi="Verdana" w:cs="Times New Roman"/>
          <w:sz w:val="18"/>
          <w:szCs w:val="20"/>
          <w:lang w:val="es-ES"/>
        </w:rPr>
        <w:t>]</w:t>
      </w:r>
      <w:r w:rsidRPr="00D57E6C">
        <w:rPr>
          <w:rFonts w:ascii="Verdana" w:eastAsia="Verdana" w:hAnsi="Verdana" w:cs="Verdana"/>
          <w:sz w:val="18"/>
          <w:szCs w:val="20"/>
          <w:lang w:val="es-ES" w:eastAsia="es-CR"/>
        </w:rPr>
        <w:t xml:space="preserve"> avanzado integral y sustantivamente en el cumplimiento de las [mismas]” y específicamente “no se ha</w:t>
      </w:r>
      <w:r w:rsidR="006B072A" w:rsidRPr="00366BF2">
        <w:rPr>
          <w:rFonts w:ascii="Verdana" w:eastAsia="Times New Roman" w:hAnsi="Verdana" w:cs="Times New Roman"/>
          <w:sz w:val="18"/>
          <w:szCs w:val="20"/>
          <w:lang w:val="es-ES"/>
        </w:rPr>
        <w:t>[</w:t>
      </w:r>
      <w:r w:rsidR="006B072A">
        <w:rPr>
          <w:rFonts w:ascii="Verdana" w:eastAsia="Times New Roman" w:hAnsi="Verdana" w:cs="Times New Roman"/>
          <w:sz w:val="18"/>
          <w:szCs w:val="20"/>
          <w:lang w:val="es-ES"/>
        </w:rPr>
        <w:t>bía</w:t>
      </w:r>
      <w:r w:rsidR="006B072A" w:rsidRPr="00366BF2">
        <w:rPr>
          <w:rFonts w:ascii="Verdana" w:eastAsia="Times New Roman" w:hAnsi="Verdana" w:cs="Times New Roman"/>
          <w:sz w:val="18"/>
          <w:szCs w:val="20"/>
          <w:lang w:val="es-ES"/>
        </w:rPr>
        <w:t>]</w:t>
      </w:r>
      <w:r w:rsidRPr="00D57E6C">
        <w:rPr>
          <w:rFonts w:ascii="Verdana" w:eastAsia="Verdana" w:hAnsi="Verdana" w:cs="Verdana"/>
          <w:sz w:val="18"/>
          <w:szCs w:val="20"/>
          <w:lang w:val="es-ES" w:eastAsia="es-CR"/>
        </w:rPr>
        <w:t xml:space="preserve">n dado progresos relevantes en la búsqueda de las tres personas desaparecidas, los avances en las investigaciones </w:t>
      </w:r>
      <w:r w:rsidR="006B072A" w:rsidRPr="00366BF2">
        <w:rPr>
          <w:rFonts w:ascii="Verdana" w:eastAsia="Times New Roman" w:hAnsi="Verdana" w:cs="Times New Roman"/>
          <w:sz w:val="18"/>
          <w:szCs w:val="20"/>
          <w:lang w:val="es-ES"/>
        </w:rPr>
        <w:t>[</w:t>
      </w:r>
      <w:r w:rsidR="006B072A">
        <w:rPr>
          <w:rFonts w:ascii="Verdana" w:eastAsia="Times New Roman" w:hAnsi="Verdana" w:cs="Times New Roman"/>
          <w:sz w:val="18"/>
          <w:szCs w:val="20"/>
          <w:lang w:val="es-ES"/>
        </w:rPr>
        <w:t>fueron</w:t>
      </w:r>
      <w:r w:rsidR="006B072A" w:rsidRPr="00366BF2">
        <w:rPr>
          <w:rFonts w:ascii="Verdana" w:eastAsia="Times New Roman" w:hAnsi="Verdana" w:cs="Times New Roman"/>
          <w:sz w:val="18"/>
          <w:szCs w:val="20"/>
          <w:lang w:val="es-ES"/>
        </w:rPr>
        <w:t>]</w:t>
      </w:r>
      <w:r w:rsidRPr="00D57E6C">
        <w:rPr>
          <w:rFonts w:ascii="Verdana" w:eastAsia="Verdana" w:hAnsi="Verdana" w:cs="Verdana"/>
          <w:sz w:val="18"/>
          <w:szCs w:val="20"/>
          <w:lang w:val="es-ES" w:eastAsia="es-CR"/>
        </w:rPr>
        <w:t xml:space="preserve"> mínimos y el Estado no ha</w:t>
      </w:r>
      <w:r w:rsidR="006B072A" w:rsidRPr="00366BF2">
        <w:rPr>
          <w:rFonts w:ascii="Verdana" w:eastAsia="Times New Roman" w:hAnsi="Verdana" w:cs="Times New Roman"/>
          <w:sz w:val="18"/>
          <w:szCs w:val="20"/>
          <w:lang w:val="es-ES"/>
        </w:rPr>
        <w:t>[</w:t>
      </w:r>
      <w:r w:rsidR="006B072A">
        <w:rPr>
          <w:rFonts w:ascii="Verdana" w:eastAsia="Times New Roman" w:hAnsi="Verdana" w:cs="Times New Roman"/>
          <w:sz w:val="18"/>
          <w:szCs w:val="20"/>
          <w:lang w:val="es-ES"/>
        </w:rPr>
        <w:t>bía</w:t>
      </w:r>
      <w:r w:rsidR="006B072A" w:rsidRPr="00366BF2">
        <w:rPr>
          <w:rFonts w:ascii="Verdana" w:eastAsia="Times New Roman" w:hAnsi="Verdana" w:cs="Times New Roman"/>
          <w:sz w:val="18"/>
          <w:szCs w:val="20"/>
          <w:lang w:val="es-ES"/>
        </w:rPr>
        <w:t>]</w:t>
      </w:r>
      <w:r w:rsidRPr="00D57E6C">
        <w:rPr>
          <w:rFonts w:ascii="Verdana" w:eastAsia="Verdana" w:hAnsi="Verdana" w:cs="Verdana"/>
          <w:sz w:val="18"/>
          <w:szCs w:val="20"/>
          <w:lang w:val="es-ES" w:eastAsia="es-CR"/>
        </w:rPr>
        <w:t xml:space="preserve"> efectuado una propuesta concreta de reparación a favor de las víctimas”</w:t>
      </w:r>
      <w:r w:rsidR="00370F40" w:rsidRPr="008D0846">
        <w:rPr>
          <w:rFonts w:ascii="Verdana" w:eastAsia="Times New Roman" w:hAnsi="Verdana" w:cs="Times New Roman"/>
          <w:sz w:val="18"/>
          <w:szCs w:val="20"/>
          <w:lang w:val="es-ES"/>
        </w:rPr>
        <w:t>.</w:t>
      </w:r>
    </w:p>
    <w:p w14:paraId="387DBBC5" w14:textId="795A03B1" w:rsidR="00350979" w:rsidRPr="00BC673B" w:rsidRDefault="002E1C85" w:rsidP="00C90B3F">
      <w:pPr>
        <w:widowControl w:val="0"/>
        <w:numPr>
          <w:ilvl w:val="0"/>
          <w:numId w:val="5"/>
        </w:numPr>
        <w:adjustRightInd w:val="0"/>
        <w:spacing w:before="120" w:after="120" w:line="240" w:lineRule="auto"/>
        <w:ind w:left="816" w:right="142" w:hanging="357"/>
        <w:jc w:val="both"/>
        <w:textAlignment w:val="baseline"/>
        <w:rPr>
          <w:rFonts w:ascii="Verdana" w:eastAsia="Times New Roman" w:hAnsi="Verdana" w:cs="Arial"/>
          <w:sz w:val="20"/>
          <w:szCs w:val="20"/>
          <w:lang w:val="es-ES" w:eastAsia="es-CR"/>
        </w:rPr>
      </w:pPr>
      <w:r w:rsidRPr="00D57E6C">
        <w:rPr>
          <w:rFonts w:ascii="Verdana" w:eastAsia="Verdana" w:hAnsi="Verdana" w:cs="Verdana"/>
          <w:i/>
          <w:sz w:val="18"/>
          <w:szCs w:val="20"/>
          <w:lang w:val="es-ES" w:eastAsia="es-CR"/>
        </w:rPr>
        <w:t xml:space="preserve">Sometimiento a la Corte. </w:t>
      </w:r>
      <w:r w:rsidRPr="00D57E6C">
        <w:rPr>
          <w:rFonts w:ascii="Verdana" w:eastAsia="Verdana" w:hAnsi="Verdana" w:cs="Verdana"/>
          <w:sz w:val="18"/>
          <w:szCs w:val="20"/>
          <w:lang w:val="es-ES" w:eastAsia="es-CR"/>
        </w:rPr>
        <w:t>– El 9 de noviembre de 2016 la Comisión sometió a la jurisdicción de la Corte Interamericana la totalidad de los hechos y violaciones de derechos humanos descritos en el Informe de Fondo “por la necesidad de obtención de justicia para las víctimas”</w:t>
      </w:r>
      <w:r w:rsidRPr="00D57E6C">
        <w:rPr>
          <w:rFonts w:ascii="Verdana" w:eastAsia="Verdana" w:hAnsi="Verdana" w:cs="Verdana"/>
          <w:sz w:val="18"/>
          <w:szCs w:val="20"/>
          <w:vertAlign w:val="superscript"/>
          <w:lang w:val="es-ES" w:eastAsia="es-CR"/>
        </w:rPr>
        <w:footnoteReference w:id="6"/>
      </w:r>
      <w:r w:rsidR="00370F40" w:rsidRPr="008D0846">
        <w:rPr>
          <w:rFonts w:ascii="Verdana" w:eastAsia="Times New Roman" w:hAnsi="Verdana" w:cs="Times New Roman"/>
          <w:sz w:val="18"/>
          <w:szCs w:val="20"/>
          <w:lang w:val="es-ES"/>
        </w:rPr>
        <w:t>.</w:t>
      </w:r>
    </w:p>
    <w:p w14:paraId="64AA5D7E" w14:textId="0353F7B4" w:rsidR="002E1C85"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lang w:val="es-ES" w:eastAsia="es-CR"/>
        </w:rPr>
      </w:pPr>
      <w:r w:rsidRPr="002E1C85">
        <w:rPr>
          <w:rFonts w:ascii="Verdana" w:eastAsia="Verdana" w:hAnsi="Verdana" w:cs="Verdana"/>
          <w:i/>
          <w:sz w:val="20"/>
          <w:szCs w:val="20"/>
          <w:lang w:val="es-ES" w:eastAsia="es-CR"/>
        </w:rPr>
        <w:t xml:space="preserve">Solicitudes de la Comisión Interamericana. – </w:t>
      </w:r>
      <w:r w:rsidRPr="002E1C85">
        <w:rPr>
          <w:rFonts w:ascii="Verdana" w:eastAsia="Verdana" w:hAnsi="Verdana" w:cs="Verdana"/>
          <w:sz w:val="20"/>
          <w:szCs w:val="20"/>
          <w:lang w:val="es-ES" w:eastAsia="es-CR"/>
        </w:rPr>
        <w:t xml:space="preserve">Con base en lo anterior, la Comisión solicitó a la Corte que declarara la responsabilidad internacional del Estado por las mismas violaciones señaladas en su Informe de Fondo </w:t>
      </w:r>
      <w:r w:rsidRPr="002E1C85">
        <w:rPr>
          <w:rFonts w:ascii="Verdana" w:eastAsia="Times New Roman" w:hAnsi="Verdana" w:cs="Verdana"/>
          <w:sz w:val="20"/>
          <w:szCs w:val="20"/>
          <w:lang w:val="es-ES" w:eastAsia="es-CR"/>
        </w:rPr>
        <w:t>(</w:t>
      </w:r>
      <w:r w:rsidR="00205AF7" w:rsidRPr="00205AF7">
        <w:rPr>
          <w:rFonts w:ascii="Verdana" w:eastAsia="Times New Roman" w:hAnsi="Verdana" w:cs="Verdana"/>
          <w:i/>
          <w:iCs/>
          <w:sz w:val="20"/>
          <w:szCs w:val="20"/>
          <w:lang w:val="es-ES" w:eastAsia="es-CR"/>
        </w:rPr>
        <w:t xml:space="preserve">supra </w:t>
      </w:r>
      <w:r w:rsidRPr="002E1C85">
        <w:rPr>
          <w:rFonts w:ascii="Verdana" w:eastAsia="Times New Roman" w:hAnsi="Verdana" w:cs="Verdana"/>
          <w:sz w:val="20"/>
          <w:szCs w:val="20"/>
          <w:lang w:val="es-ES" w:eastAsia="es-CR"/>
        </w:rPr>
        <w:t>párr. 2.</w:t>
      </w:r>
      <w:r w:rsidR="00B7622A">
        <w:rPr>
          <w:rFonts w:ascii="Verdana" w:eastAsia="Times New Roman" w:hAnsi="Verdana" w:cs="Verdana"/>
          <w:sz w:val="20"/>
          <w:szCs w:val="20"/>
          <w:lang w:val="es-ES" w:eastAsia="es-CR"/>
        </w:rPr>
        <w:t>c</w:t>
      </w:r>
      <w:r w:rsidRPr="002E1C85">
        <w:rPr>
          <w:rFonts w:ascii="Verdana" w:eastAsia="Times New Roman" w:hAnsi="Verdana" w:cs="Verdana"/>
          <w:sz w:val="20"/>
          <w:szCs w:val="20"/>
          <w:lang w:val="es-ES" w:eastAsia="es-CR"/>
        </w:rPr>
        <w:t>)</w:t>
      </w:r>
      <w:r w:rsidRPr="002E1C85">
        <w:rPr>
          <w:rFonts w:ascii="Verdana" w:eastAsia="Verdana" w:hAnsi="Verdana" w:cs="Verdana"/>
          <w:sz w:val="20"/>
          <w:szCs w:val="20"/>
          <w:lang w:val="es-ES" w:eastAsia="es-CR"/>
        </w:rPr>
        <w:t xml:space="preserve">. Asimismo, la Comisión solicitó a la </w:t>
      </w:r>
      <w:r w:rsidRPr="002E1C85">
        <w:rPr>
          <w:rFonts w:ascii="Verdana" w:eastAsia="Calibri" w:hAnsi="Verdana" w:cs="Arial"/>
          <w:sz w:val="20"/>
          <w:szCs w:val="20"/>
          <w:lang w:val="es-ES" w:eastAsia="es-CR"/>
        </w:rPr>
        <w:t>Corte</w:t>
      </w:r>
      <w:r w:rsidRPr="002E1C85">
        <w:rPr>
          <w:rFonts w:ascii="Verdana" w:eastAsia="Verdana" w:hAnsi="Verdana" w:cs="Verdana"/>
          <w:sz w:val="20"/>
          <w:szCs w:val="20"/>
          <w:lang w:val="es-ES" w:eastAsia="es-CR"/>
        </w:rPr>
        <w:t xml:space="preserve"> que ordenara al Estado determinadas medidas de reparación, las cuales se detallan y analizan en el </w:t>
      </w:r>
      <w:r w:rsidRPr="002E1C85">
        <w:rPr>
          <w:rFonts w:ascii="Verdana" w:eastAsia="Verdana" w:hAnsi="Verdana" w:cs="Verdana"/>
          <w:sz w:val="20"/>
          <w:szCs w:val="20"/>
          <w:lang w:val="es-ES" w:eastAsia="es-CR"/>
        </w:rPr>
        <w:lastRenderedPageBreak/>
        <w:t xml:space="preserve">Capítulo </w:t>
      </w:r>
      <w:r w:rsidR="00C74A61">
        <w:rPr>
          <w:rFonts w:ascii="Verdana" w:eastAsia="Verdana" w:hAnsi="Verdana" w:cs="Verdana"/>
          <w:sz w:val="20"/>
          <w:szCs w:val="20"/>
          <w:lang w:val="es-ES" w:eastAsia="es-CR"/>
        </w:rPr>
        <w:t>VIII</w:t>
      </w:r>
      <w:r w:rsidRPr="002E1C85">
        <w:rPr>
          <w:rFonts w:ascii="Verdana" w:eastAsia="Verdana" w:hAnsi="Verdana" w:cs="Verdana"/>
          <w:sz w:val="20"/>
          <w:szCs w:val="20"/>
          <w:lang w:val="es-ES" w:eastAsia="es-CR"/>
        </w:rPr>
        <w:t xml:space="preserve"> de la presente Sentencia.</w:t>
      </w:r>
    </w:p>
    <w:p w14:paraId="64AA5D80" w14:textId="52DC2119" w:rsidR="002E1C85" w:rsidRPr="00E67720" w:rsidRDefault="002E1C85" w:rsidP="0057411A">
      <w:pPr>
        <w:pStyle w:val="Ttulo1"/>
        <w:rPr>
          <w:snapToGrid w:val="0"/>
          <w:lang w:val="es-CR" w:eastAsia="es-CR"/>
        </w:rPr>
      </w:pPr>
      <w:bookmarkStart w:id="16" w:name="_Toc372568229"/>
      <w:bookmarkStart w:id="17" w:name="_Toc373093235"/>
      <w:bookmarkStart w:id="18" w:name="_Toc373350047"/>
      <w:bookmarkStart w:id="19" w:name="_Toc375560893"/>
      <w:bookmarkStart w:id="20" w:name="_Toc401931878"/>
      <w:bookmarkStart w:id="21" w:name="_Toc428369977"/>
      <w:bookmarkStart w:id="22" w:name="_Toc459158093"/>
      <w:bookmarkStart w:id="23" w:name="_Toc470180033"/>
      <w:bookmarkStart w:id="24" w:name="_Toc514172590"/>
      <w:bookmarkStart w:id="25" w:name="_Toc526774133"/>
      <w:bookmarkStart w:id="26" w:name="_Toc526777465"/>
      <w:bookmarkStart w:id="27" w:name="_Toc526783744"/>
      <w:bookmarkStart w:id="28" w:name="_Toc532995312"/>
      <w:r w:rsidRPr="002E1C85">
        <w:rPr>
          <w:snapToGrid w:val="0"/>
          <w:lang w:val="es-CR" w:eastAsia="es-CR"/>
        </w:rPr>
        <w:t>II</w:t>
      </w:r>
      <w:bookmarkStart w:id="29" w:name="_Toc375062711"/>
      <w:bookmarkStart w:id="30" w:name="_Toc375140861"/>
      <w:bookmarkStart w:id="31" w:name="_Toc375504820"/>
      <w:bookmarkStart w:id="32" w:name="_Toc375560894"/>
      <w:bookmarkEnd w:id="16"/>
      <w:bookmarkEnd w:id="17"/>
      <w:bookmarkEnd w:id="18"/>
      <w:bookmarkEnd w:id="19"/>
      <w:r w:rsidRPr="002E1C85">
        <w:rPr>
          <w:snapToGrid w:val="0"/>
          <w:lang w:val="es-CR" w:eastAsia="es-CR"/>
        </w:rPr>
        <w:br/>
        <w:t>PROCEDIMIENTO ANTE LA CORTE</w:t>
      </w:r>
      <w:bookmarkEnd w:id="20"/>
      <w:bookmarkEnd w:id="21"/>
      <w:bookmarkEnd w:id="22"/>
      <w:bookmarkEnd w:id="23"/>
      <w:bookmarkEnd w:id="24"/>
      <w:bookmarkEnd w:id="25"/>
      <w:bookmarkEnd w:id="26"/>
      <w:bookmarkEnd w:id="27"/>
      <w:bookmarkEnd w:id="28"/>
      <w:bookmarkEnd w:id="29"/>
      <w:bookmarkEnd w:id="30"/>
      <w:bookmarkEnd w:id="31"/>
      <w:bookmarkEnd w:id="32"/>
    </w:p>
    <w:p w14:paraId="64AA5D82" w14:textId="08F11BDE" w:rsidR="002E1C85" w:rsidRPr="00BC673B"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lang w:val="es-ES" w:eastAsia="es-CR"/>
        </w:rPr>
      </w:pPr>
      <w:r w:rsidRPr="002E1C85">
        <w:rPr>
          <w:rFonts w:ascii="Verdana" w:eastAsia="Verdana" w:hAnsi="Verdana" w:cs="Verdana"/>
          <w:i/>
          <w:sz w:val="20"/>
          <w:szCs w:val="20"/>
          <w:lang w:val="es-ES" w:eastAsia="es-CR"/>
        </w:rPr>
        <w:t xml:space="preserve">Notificación a las representantes y al Estado. – </w:t>
      </w:r>
      <w:r w:rsidRPr="002E1C85">
        <w:rPr>
          <w:rFonts w:ascii="Verdana" w:eastAsia="Verdana" w:hAnsi="Verdana" w:cs="Verdana"/>
          <w:sz w:val="20"/>
          <w:szCs w:val="20"/>
          <w:lang w:val="es-ES" w:eastAsia="es-CR"/>
        </w:rPr>
        <w:t>El sometimiento del caso por parte de la Comisión fue notificado por la Corte a las representantes de las presuntas víctimas (en adelante “las representantes”)</w:t>
      </w:r>
      <w:r w:rsidR="005023E0">
        <w:rPr>
          <w:rFonts w:ascii="Verdana" w:eastAsia="Verdana" w:hAnsi="Verdana" w:cs="Verdana"/>
          <w:sz w:val="20"/>
          <w:szCs w:val="20"/>
          <w:lang w:val="es-ES" w:eastAsia="es-CR"/>
        </w:rPr>
        <w:t>,</w:t>
      </w:r>
      <w:r w:rsidRPr="002E1C85">
        <w:rPr>
          <w:rFonts w:ascii="Verdana" w:eastAsia="Verdana" w:hAnsi="Verdana" w:cs="Verdana"/>
          <w:sz w:val="20"/>
          <w:szCs w:val="20"/>
          <w:lang w:val="es-ES" w:eastAsia="es-CR"/>
        </w:rPr>
        <w:t xml:space="preserve"> el 17 de abril de 2016</w:t>
      </w:r>
      <w:r w:rsidRPr="002E1C85">
        <w:rPr>
          <w:rFonts w:ascii="Verdana" w:eastAsia="Verdana" w:hAnsi="Verdana" w:cs="Verdana"/>
          <w:sz w:val="20"/>
          <w:szCs w:val="20"/>
          <w:vertAlign w:val="superscript"/>
          <w:lang w:val="es-ES" w:eastAsia="es-CR"/>
        </w:rPr>
        <w:footnoteReference w:id="7"/>
      </w:r>
      <w:r w:rsidRPr="002E1C85">
        <w:rPr>
          <w:rFonts w:ascii="Verdana" w:eastAsia="Verdana" w:hAnsi="Verdana" w:cs="Verdana"/>
          <w:sz w:val="20"/>
          <w:szCs w:val="20"/>
          <w:lang w:val="es-ES" w:eastAsia="es-CR"/>
        </w:rPr>
        <w:t xml:space="preserve"> y al Estado mexicano el 10 de abril de 2016</w:t>
      </w:r>
      <w:r w:rsidR="0078142B" w:rsidRPr="008D0846">
        <w:rPr>
          <w:rFonts w:ascii="Verdana" w:eastAsia="Times New Roman" w:hAnsi="Verdana" w:cs="Times New Roman"/>
          <w:sz w:val="20"/>
          <w:szCs w:val="20"/>
          <w:lang w:val="es-ES"/>
        </w:rPr>
        <w:t>.</w:t>
      </w:r>
    </w:p>
    <w:p w14:paraId="64AA5D84" w14:textId="05FF02A2" w:rsidR="002E1C85" w:rsidRPr="00BC673B"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u w:val="single"/>
          <w:lang w:val="es-ES" w:eastAsia="es-CR"/>
        </w:rPr>
      </w:pPr>
      <w:r w:rsidRPr="002E1C85">
        <w:rPr>
          <w:rFonts w:ascii="Verdana" w:eastAsia="Verdana" w:hAnsi="Verdana" w:cs="Verdana"/>
          <w:i/>
          <w:sz w:val="20"/>
          <w:szCs w:val="20"/>
          <w:lang w:val="es-ES" w:eastAsia="es-CR"/>
        </w:rPr>
        <w:t xml:space="preserve">Escrito de solicitudes, argumentos y pruebas. – </w:t>
      </w:r>
      <w:r w:rsidRPr="002E1C85">
        <w:rPr>
          <w:rFonts w:ascii="Verdana" w:eastAsia="Verdana" w:hAnsi="Verdana" w:cs="Verdana"/>
          <w:sz w:val="20"/>
          <w:szCs w:val="20"/>
          <w:lang w:val="es-ES" w:eastAsia="es-CR"/>
        </w:rPr>
        <w:t xml:space="preserve">El 18 de junio de 2017 las </w:t>
      </w:r>
      <w:r w:rsidRPr="002E1C85">
        <w:rPr>
          <w:rFonts w:ascii="Verdana" w:eastAsia="Calibri" w:hAnsi="Verdana" w:cs="Arial"/>
          <w:sz w:val="20"/>
          <w:szCs w:val="20"/>
          <w:lang w:val="es-ES" w:eastAsia="es-CR"/>
        </w:rPr>
        <w:t>representantes</w:t>
      </w:r>
      <w:r w:rsidRPr="002E1C85">
        <w:rPr>
          <w:rFonts w:ascii="Verdana" w:eastAsia="Verdana" w:hAnsi="Verdana" w:cs="Verdana"/>
          <w:sz w:val="20"/>
          <w:szCs w:val="20"/>
          <w:lang w:val="es-ES" w:eastAsia="es-CR"/>
        </w:rPr>
        <w:t xml:space="preserve"> presentaron ante la Corte su escrito de solicitudes, argumentos y pruebas (en adelante “escrito de solicitudes y argumentos” </w:t>
      </w:r>
      <w:r w:rsidR="00766CCA">
        <w:rPr>
          <w:rFonts w:ascii="Verdana" w:eastAsia="Verdana" w:hAnsi="Verdana" w:cs="Verdana"/>
          <w:sz w:val="20"/>
          <w:szCs w:val="20"/>
          <w:lang w:val="es-ES" w:eastAsia="es-CR"/>
        </w:rPr>
        <w:t>o</w:t>
      </w:r>
      <w:r w:rsidRPr="002E1C85">
        <w:rPr>
          <w:rFonts w:ascii="Verdana" w:eastAsia="Verdana" w:hAnsi="Verdana" w:cs="Verdana"/>
          <w:sz w:val="20"/>
          <w:szCs w:val="20"/>
          <w:lang w:val="es-ES" w:eastAsia="es-CR"/>
        </w:rPr>
        <w:t xml:space="preserve"> ESAP). Las representantes coincidieron sustancialmente con los alegatos de la Comisión. </w:t>
      </w:r>
      <w:r w:rsidRPr="002E1C85">
        <w:rPr>
          <w:rFonts w:ascii="Verdana" w:eastAsia="Times New Roman" w:hAnsi="Verdana" w:cs="Times New Roman"/>
          <w:sz w:val="20"/>
          <w:szCs w:val="20"/>
          <w:lang w:val="es-ES" w:eastAsia="es-CR"/>
        </w:rPr>
        <w:t xml:space="preserve">Además de los derechos alegados por la Comisión, presentaron argumentos sobre la alegada violación de los artículos 17 de la Convención Americana y 7 de la Convención </w:t>
      </w:r>
      <w:r w:rsidR="005023E0">
        <w:rPr>
          <w:rFonts w:ascii="Verdana" w:eastAsia="Times New Roman" w:hAnsi="Verdana" w:cs="Times New Roman"/>
          <w:sz w:val="20"/>
          <w:szCs w:val="20"/>
          <w:lang w:val="es-ES" w:eastAsia="es-CR"/>
        </w:rPr>
        <w:t xml:space="preserve">Interamericana para Prevenir, Sancionar y Erradicar la Violencia contra la Mujer </w:t>
      </w:r>
      <w:r w:rsidR="005023E0" w:rsidRPr="002E1C85">
        <w:rPr>
          <w:rFonts w:ascii="Verdana" w:eastAsia="Verdana" w:hAnsi="Verdana" w:cs="Verdana"/>
          <w:sz w:val="20"/>
          <w:szCs w:val="20"/>
          <w:lang w:val="es-ES" w:eastAsia="es-CR"/>
        </w:rPr>
        <w:t>(</w:t>
      </w:r>
      <w:r w:rsidR="005023E0">
        <w:rPr>
          <w:rFonts w:ascii="Verdana" w:eastAsia="Times New Roman" w:hAnsi="Verdana" w:cs="Times New Roman"/>
          <w:sz w:val="20"/>
          <w:szCs w:val="20"/>
          <w:lang w:val="es-ES" w:eastAsia="es-CR"/>
        </w:rPr>
        <w:t xml:space="preserve">en adelante </w:t>
      </w:r>
      <w:r w:rsidR="005023E0" w:rsidRPr="002E1C85">
        <w:rPr>
          <w:rFonts w:ascii="Verdana" w:eastAsia="Verdana" w:hAnsi="Verdana" w:cs="Verdana"/>
          <w:sz w:val="20"/>
          <w:szCs w:val="20"/>
          <w:lang w:val="es-ES" w:eastAsia="es-CR"/>
        </w:rPr>
        <w:t>“</w:t>
      </w:r>
      <w:r w:rsidR="005023E0">
        <w:rPr>
          <w:rFonts w:ascii="Verdana" w:eastAsia="Times New Roman" w:hAnsi="Verdana" w:cs="Times New Roman"/>
          <w:sz w:val="20"/>
          <w:szCs w:val="20"/>
          <w:lang w:val="es-ES" w:eastAsia="es-CR"/>
        </w:rPr>
        <w:t xml:space="preserve">Convención </w:t>
      </w:r>
      <w:r w:rsidRPr="002E1C85">
        <w:rPr>
          <w:rFonts w:ascii="Verdana" w:eastAsia="Times New Roman" w:hAnsi="Verdana" w:cs="Times New Roman"/>
          <w:sz w:val="20"/>
          <w:szCs w:val="20"/>
          <w:lang w:val="es-ES" w:eastAsia="es-CR"/>
        </w:rPr>
        <w:t>de Belém do Pará</w:t>
      </w:r>
      <w:r w:rsidR="005023E0" w:rsidRPr="002E1C85">
        <w:rPr>
          <w:rFonts w:ascii="Verdana" w:eastAsia="Verdana" w:hAnsi="Verdana" w:cs="Verdana"/>
          <w:sz w:val="20"/>
          <w:szCs w:val="20"/>
          <w:lang w:val="es-ES" w:eastAsia="es-CR"/>
        </w:rPr>
        <w:t>”)</w:t>
      </w:r>
      <w:r w:rsidRPr="002E1C85">
        <w:rPr>
          <w:rFonts w:ascii="Verdana" w:eastAsia="Times New Roman" w:hAnsi="Verdana" w:cs="Times New Roman"/>
          <w:sz w:val="20"/>
          <w:szCs w:val="20"/>
          <w:lang w:val="es-ES" w:eastAsia="es-CR"/>
        </w:rPr>
        <w:t>.</w:t>
      </w:r>
      <w:r w:rsidRPr="002E1C85">
        <w:rPr>
          <w:rFonts w:ascii="Verdana" w:eastAsia="Verdana" w:hAnsi="Verdana" w:cs="Verdana"/>
          <w:sz w:val="20"/>
          <w:szCs w:val="20"/>
          <w:lang w:val="es-ES" w:eastAsia="es-CR"/>
        </w:rPr>
        <w:t xml:space="preserve"> Asimismo, </w:t>
      </w:r>
      <w:r w:rsidRPr="002E1C85">
        <w:rPr>
          <w:rFonts w:ascii="Verdana" w:eastAsia="Times New Roman" w:hAnsi="Verdana" w:cs="Times New Roman"/>
          <w:sz w:val="20"/>
          <w:szCs w:val="20"/>
          <w:lang w:val="es-ES" w:eastAsia="es-CR"/>
        </w:rPr>
        <w:t xml:space="preserve">las representantes hicieron solicitudes respecto a la utilización del </w:t>
      </w:r>
      <w:r w:rsidRPr="002E1C85">
        <w:rPr>
          <w:rFonts w:ascii="Verdana" w:eastAsia="Verdana" w:hAnsi="Verdana" w:cs="Verdana"/>
          <w:sz w:val="20"/>
          <w:szCs w:val="20"/>
          <w:lang w:val="es-ES" w:eastAsia="es-CR"/>
        </w:rPr>
        <w:t>Fondo de Asistencia Legal de Víctimas de la Corte Interamericana (en adelante el “Fondo de Asistencia de la Corte” o el “Fondo”). Finalmente, solicitaron a la Corte que ordenara al Estado la adopción de diversas medidas de reparación y el reintegro de determinadas costas y gastos</w:t>
      </w:r>
      <w:r w:rsidR="0078142B">
        <w:rPr>
          <w:rFonts w:ascii="Verdana" w:eastAsia="Verdana" w:hAnsi="Verdana" w:cs="Verdana"/>
          <w:sz w:val="20"/>
          <w:szCs w:val="20"/>
          <w:lang w:val="es-ES" w:eastAsia="es-CR"/>
        </w:rPr>
        <w:t>.</w:t>
      </w:r>
    </w:p>
    <w:p w14:paraId="64AA5D86" w14:textId="0190E49A" w:rsidR="002E1C85" w:rsidRPr="00E67720" w:rsidRDefault="002E1C85" w:rsidP="00C90B3F">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lang w:val="es-ES" w:eastAsia="es-CR"/>
        </w:rPr>
      </w:pPr>
      <w:r w:rsidRPr="002E1C85">
        <w:rPr>
          <w:rFonts w:ascii="Verdana" w:eastAsia="Verdana" w:hAnsi="Verdana" w:cs="Verdana"/>
          <w:i/>
          <w:sz w:val="20"/>
          <w:szCs w:val="20"/>
          <w:lang w:val="es-ES" w:eastAsia="es-CR"/>
        </w:rPr>
        <w:t xml:space="preserve">Fondo de Asistencia Legal.- </w:t>
      </w:r>
      <w:r w:rsidRPr="002E1C85">
        <w:rPr>
          <w:rFonts w:ascii="Verdana" w:eastAsia="Verdana" w:hAnsi="Verdana" w:cs="Verdana"/>
          <w:sz w:val="20"/>
          <w:szCs w:val="20"/>
          <w:lang w:val="es-ES" w:eastAsia="es-CR"/>
        </w:rPr>
        <w:t xml:space="preserve">Mediante Resolución de 14 de diciembre de 2017 el Presidente </w:t>
      </w:r>
      <w:r w:rsidR="00F66526">
        <w:rPr>
          <w:rFonts w:ascii="Verdana" w:eastAsia="Verdana" w:hAnsi="Verdana" w:cs="Verdana"/>
          <w:sz w:val="20"/>
          <w:szCs w:val="20"/>
          <w:lang w:val="es-ES" w:eastAsia="es-CR"/>
        </w:rPr>
        <w:t xml:space="preserve">en ejercicio </w:t>
      </w:r>
      <w:r w:rsidRPr="002E1C85">
        <w:rPr>
          <w:rFonts w:ascii="Verdana" w:eastAsia="Verdana" w:hAnsi="Verdana" w:cs="Verdana"/>
          <w:sz w:val="20"/>
          <w:szCs w:val="20"/>
          <w:lang w:val="es-ES" w:eastAsia="es-CR"/>
        </w:rPr>
        <w:t>de la Corte declaró procedente la solicitud presentada por las presuntas víctimas, a través de sus representantes, para acogerse al Fondo de Asistencia Legal de la Corte</w:t>
      </w:r>
      <w:r w:rsidRPr="0078142B">
        <w:rPr>
          <w:rFonts w:ascii="Verdana" w:eastAsia="Verdana" w:hAnsi="Verdana" w:cs="Verdana"/>
          <w:sz w:val="20"/>
          <w:szCs w:val="20"/>
          <w:vertAlign w:val="superscript"/>
          <w:lang w:val="es-ES" w:eastAsia="es-CR"/>
        </w:rPr>
        <w:footnoteReference w:id="8"/>
      </w:r>
      <w:r w:rsidR="0078142B" w:rsidRPr="008D0846">
        <w:rPr>
          <w:rFonts w:ascii="Verdana" w:eastAsia="Times New Roman" w:hAnsi="Verdana" w:cs="Times New Roman"/>
          <w:sz w:val="20"/>
          <w:szCs w:val="20"/>
          <w:lang w:val="es-ES"/>
        </w:rPr>
        <w:t>.</w:t>
      </w:r>
    </w:p>
    <w:p w14:paraId="64AA5D88" w14:textId="4A2DFF3C" w:rsidR="002E1C85" w:rsidRPr="00350979"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Verdana" w:hAnsi="Verdana" w:cs="Verdana"/>
          <w:i/>
          <w:sz w:val="20"/>
          <w:szCs w:val="20"/>
          <w:lang w:val="es-ES" w:eastAsia="es-CR"/>
        </w:rPr>
      </w:pPr>
      <w:r w:rsidRPr="002E1C85">
        <w:rPr>
          <w:rFonts w:ascii="Verdana" w:eastAsia="Verdana" w:hAnsi="Verdana" w:cs="Verdana"/>
          <w:i/>
          <w:sz w:val="20"/>
          <w:szCs w:val="20"/>
          <w:lang w:val="es-ES" w:eastAsia="es-CR"/>
        </w:rPr>
        <w:t xml:space="preserve">Escrito de contestación. – </w:t>
      </w:r>
      <w:r w:rsidRPr="002E1C85">
        <w:rPr>
          <w:rFonts w:ascii="Verdana" w:eastAsia="Verdana" w:hAnsi="Verdana" w:cs="Verdana"/>
          <w:sz w:val="20"/>
          <w:szCs w:val="20"/>
          <w:lang w:val="es-ES" w:eastAsia="es-CR"/>
        </w:rPr>
        <w:t>El 23 de noviembre de 2017 el Estado</w:t>
      </w:r>
      <w:r w:rsidRPr="002E1C85">
        <w:rPr>
          <w:rFonts w:ascii="Verdana" w:eastAsia="Verdana" w:hAnsi="Verdana" w:cs="Verdana"/>
          <w:sz w:val="20"/>
          <w:szCs w:val="20"/>
          <w:vertAlign w:val="superscript"/>
          <w:lang w:val="es-ES" w:eastAsia="es-CR"/>
        </w:rPr>
        <w:footnoteReference w:id="9"/>
      </w:r>
      <w:r w:rsidRPr="002E1C85">
        <w:rPr>
          <w:rFonts w:ascii="Verdana" w:eastAsia="Verdana" w:hAnsi="Verdana" w:cs="Verdana"/>
          <w:sz w:val="20"/>
          <w:szCs w:val="20"/>
          <w:lang w:val="es-ES" w:eastAsia="es-CR"/>
        </w:rPr>
        <w:t xml:space="preserve"> presentó ante la Corte su </w:t>
      </w:r>
      <w:r w:rsidRPr="002E1C85">
        <w:rPr>
          <w:rFonts w:ascii="Verdana" w:eastAsia="Calibri" w:hAnsi="Verdana" w:cs="Arial"/>
          <w:sz w:val="20"/>
          <w:szCs w:val="20"/>
          <w:lang w:val="es-ES" w:eastAsia="es-CR"/>
        </w:rPr>
        <w:t>escrito</w:t>
      </w:r>
      <w:r w:rsidRPr="002E1C85">
        <w:rPr>
          <w:rFonts w:ascii="Verdana" w:eastAsia="Verdana" w:hAnsi="Verdana" w:cs="Verdana"/>
          <w:sz w:val="20"/>
          <w:szCs w:val="20"/>
          <w:lang w:val="es-ES" w:eastAsia="es-CR"/>
        </w:rPr>
        <w:t xml:space="preserve"> de contestación al sometimiento e </w:t>
      </w:r>
      <w:r w:rsidR="00B7622A">
        <w:rPr>
          <w:rFonts w:ascii="Verdana" w:eastAsia="Verdana" w:hAnsi="Verdana" w:cs="Verdana"/>
          <w:sz w:val="20"/>
          <w:szCs w:val="20"/>
          <w:lang w:val="es-ES" w:eastAsia="es-CR"/>
        </w:rPr>
        <w:t>I</w:t>
      </w:r>
      <w:r w:rsidRPr="002E1C85">
        <w:rPr>
          <w:rFonts w:ascii="Verdana" w:eastAsia="Verdana" w:hAnsi="Verdana" w:cs="Verdana"/>
          <w:sz w:val="20"/>
          <w:szCs w:val="20"/>
          <w:lang w:val="es-ES" w:eastAsia="es-CR"/>
        </w:rPr>
        <w:t xml:space="preserve">nforme de </w:t>
      </w:r>
      <w:r w:rsidR="00B7622A">
        <w:rPr>
          <w:rFonts w:ascii="Verdana" w:eastAsia="Verdana" w:hAnsi="Verdana" w:cs="Verdana"/>
          <w:sz w:val="20"/>
          <w:szCs w:val="20"/>
          <w:lang w:val="es-ES" w:eastAsia="es-CR"/>
        </w:rPr>
        <w:t>F</w:t>
      </w:r>
      <w:r w:rsidRPr="002E1C85">
        <w:rPr>
          <w:rFonts w:ascii="Verdana" w:eastAsia="Verdana" w:hAnsi="Verdana" w:cs="Verdana"/>
          <w:sz w:val="20"/>
          <w:szCs w:val="20"/>
          <w:lang w:val="es-ES" w:eastAsia="es-CR"/>
        </w:rPr>
        <w:t xml:space="preserve">ondo de la Comisión Interamericana y al escrito de solicitudes y argumentos de las representantes (en adelante “escrito de contestación”). </w:t>
      </w:r>
      <w:r w:rsidRPr="002E1C85">
        <w:rPr>
          <w:rFonts w:ascii="Verdana" w:eastAsia="Verdana" w:hAnsi="Verdana" w:cs="Verdana"/>
          <w:sz w:val="20"/>
          <w:szCs w:val="20"/>
          <w:lang w:val="es-CR" w:eastAsia="es-CR"/>
        </w:rPr>
        <w:t xml:space="preserve">En dicho escrito el Estado realizó un reconocimiento parcial de responsabilidad internacional. El Estado no presentó excepciones preliminares, </w:t>
      </w:r>
      <w:r w:rsidRPr="00350979">
        <w:rPr>
          <w:rFonts w:ascii="Verdana" w:eastAsia="Verdana" w:hAnsi="Verdana" w:cs="Verdana"/>
          <w:sz w:val="20"/>
          <w:szCs w:val="20"/>
          <w:lang w:val="es-CR" w:eastAsia="es-CR"/>
        </w:rPr>
        <w:t xml:space="preserve">el cual fue notificado a la partes el </w:t>
      </w:r>
      <w:r w:rsidR="00D71879" w:rsidRPr="00350979">
        <w:rPr>
          <w:rFonts w:ascii="Verdana" w:eastAsia="Verdana" w:hAnsi="Verdana" w:cs="Verdana"/>
          <w:sz w:val="20"/>
          <w:szCs w:val="20"/>
          <w:lang w:val="es-CR" w:eastAsia="es-CR"/>
        </w:rPr>
        <w:t>7 de diciembre de 2017</w:t>
      </w:r>
      <w:r w:rsidRPr="00350979">
        <w:rPr>
          <w:rFonts w:ascii="Verdana" w:eastAsia="Verdana" w:hAnsi="Verdana" w:cs="Verdana"/>
          <w:sz w:val="20"/>
          <w:szCs w:val="20"/>
          <w:lang w:val="es-CR" w:eastAsia="es-CR"/>
        </w:rPr>
        <w:t xml:space="preserve">. </w:t>
      </w:r>
    </w:p>
    <w:p w14:paraId="64AA5D8A" w14:textId="4A56911E" w:rsidR="002E1C85" w:rsidRPr="00E67720"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Verdana" w:hAnsi="Verdana" w:cs="Verdana"/>
          <w:i/>
          <w:sz w:val="20"/>
          <w:szCs w:val="20"/>
          <w:lang w:val="es-CR" w:eastAsia="es-CR"/>
        </w:rPr>
      </w:pPr>
      <w:r w:rsidRPr="002E1C85">
        <w:rPr>
          <w:rFonts w:ascii="Verdana" w:eastAsia="Verdana" w:hAnsi="Verdana" w:cs="Verdana"/>
          <w:i/>
          <w:sz w:val="20"/>
          <w:szCs w:val="20"/>
          <w:lang w:val="es-ES" w:eastAsia="es-CR"/>
        </w:rPr>
        <w:t xml:space="preserve">Observaciones al </w:t>
      </w:r>
      <w:r w:rsidRPr="002E1C85">
        <w:rPr>
          <w:rFonts w:ascii="Verdana" w:eastAsia="Verdana" w:hAnsi="Verdana" w:cs="Verdana"/>
          <w:i/>
          <w:sz w:val="20"/>
          <w:szCs w:val="20"/>
          <w:lang w:val="es-CR" w:eastAsia="es-CR"/>
        </w:rPr>
        <w:t>Reconocimiento Parcial de Responsabilidad Internacional del Estado</w:t>
      </w:r>
      <w:r w:rsidRPr="002E1C85">
        <w:rPr>
          <w:rFonts w:ascii="Verdana" w:eastAsia="Verdana" w:hAnsi="Verdana" w:cs="Verdana"/>
          <w:i/>
          <w:sz w:val="20"/>
          <w:szCs w:val="20"/>
          <w:lang w:val="es-ES" w:eastAsia="es-CR"/>
        </w:rPr>
        <w:t xml:space="preserve">. – </w:t>
      </w:r>
      <w:r w:rsidR="008B3C46">
        <w:rPr>
          <w:rFonts w:ascii="Verdana" w:eastAsia="Verdana" w:hAnsi="Verdana" w:cs="Verdana"/>
          <w:sz w:val="20"/>
          <w:szCs w:val="20"/>
          <w:lang w:val="es-CR" w:eastAsia="es-CR"/>
        </w:rPr>
        <w:t>Los días</w:t>
      </w:r>
      <w:r w:rsidRPr="002E1C85">
        <w:rPr>
          <w:rFonts w:ascii="Verdana" w:eastAsia="Verdana" w:hAnsi="Verdana" w:cs="Verdana"/>
          <w:sz w:val="20"/>
          <w:szCs w:val="20"/>
          <w:lang w:val="es-CR" w:eastAsia="es-CR"/>
        </w:rPr>
        <w:t xml:space="preserve"> 11 y 12 de enero de 2018 la Comisión Interamericana y las representantes, respectivamente, presentaron sus observaciones al reconocimiento parcial de responsabilidad internacional presentado por el Estado mexicano</w:t>
      </w:r>
      <w:r w:rsidR="008B3C46" w:rsidRPr="008D0846">
        <w:rPr>
          <w:rFonts w:ascii="Verdana" w:eastAsia="Times New Roman" w:hAnsi="Verdana" w:cs="Times New Roman"/>
          <w:sz w:val="20"/>
          <w:szCs w:val="20"/>
          <w:lang w:val="es-ES"/>
        </w:rPr>
        <w:t>.</w:t>
      </w:r>
    </w:p>
    <w:p w14:paraId="64AA5D8C" w14:textId="41D0049F" w:rsidR="002E1C85" w:rsidRPr="00E67720"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lang w:val="es-ES" w:eastAsia="es-CR"/>
        </w:rPr>
      </w:pPr>
      <w:r w:rsidRPr="002E1C85">
        <w:rPr>
          <w:rFonts w:ascii="Verdana" w:eastAsia="Verdana" w:hAnsi="Verdana" w:cs="Verdana"/>
          <w:i/>
          <w:position w:val="-1"/>
          <w:sz w:val="20"/>
          <w:szCs w:val="20"/>
          <w:lang w:val="es-ES" w:eastAsia="es-CR"/>
        </w:rPr>
        <w:t xml:space="preserve">Audiencia Pública - </w:t>
      </w:r>
      <w:r w:rsidRPr="002E1C85">
        <w:rPr>
          <w:rFonts w:ascii="Verdana" w:eastAsia="Verdana" w:hAnsi="Verdana" w:cs="Verdana"/>
          <w:position w:val="-1"/>
          <w:sz w:val="20"/>
          <w:szCs w:val="20"/>
          <w:lang w:val="es-ES" w:eastAsia="es-CR"/>
        </w:rPr>
        <w:t>Mediante Resoluciones de 23 de marzo de 2018</w:t>
      </w:r>
      <w:r w:rsidRPr="002E1C85">
        <w:rPr>
          <w:rFonts w:ascii="Verdana" w:eastAsia="Verdana" w:hAnsi="Verdana" w:cs="Verdana"/>
          <w:position w:val="-1"/>
          <w:sz w:val="20"/>
          <w:szCs w:val="20"/>
          <w:vertAlign w:val="superscript"/>
          <w:lang w:val="es-ES" w:eastAsia="es-CR"/>
        </w:rPr>
        <w:footnoteReference w:id="10"/>
      </w:r>
      <w:r w:rsidRPr="002E1C85">
        <w:rPr>
          <w:rFonts w:ascii="Verdana" w:eastAsia="Verdana" w:hAnsi="Verdana" w:cs="Verdana"/>
          <w:position w:val="-1"/>
          <w:sz w:val="20"/>
          <w:szCs w:val="20"/>
          <w:lang w:val="es-ES" w:eastAsia="es-CR"/>
        </w:rPr>
        <w:t xml:space="preserve"> del Presidente en ejercicio y de 23 de abril de 2018 de la Corte</w:t>
      </w:r>
      <w:r w:rsidRPr="002E1C85">
        <w:rPr>
          <w:rFonts w:ascii="Verdana" w:eastAsia="Verdana" w:hAnsi="Verdana" w:cs="Verdana"/>
          <w:position w:val="-1"/>
          <w:sz w:val="20"/>
          <w:szCs w:val="20"/>
          <w:vertAlign w:val="superscript"/>
          <w:lang w:val="es-ES" w:eastAsia="es-CR"/>
        </w:rPr>
        <w:footnoteReference w:id="11"/>
      </w:r>
      <w:r w:rsidRPr="002E1C85">
        <w:rPr>
          <w:rFonts w:ascii="Verdana" w:eastAsia="Verdana" w:hAnsi="Verdana" w:cs="Verdana"/>
          <w:position w:val="-1"/>
          <w:sz w:val="20"/>
          <w:szCs w:val="20"/>
          <w:lang w:val="es-ES" w:eastAsia="es-CR"/>
        </w:rPr>
        <w:t xml:space="preserve">, se convocó a las partes y a la Comisión Interamericana a una audiencia pública para recibir sus alegatos y observaciones finales orales sobre el fondo y eventuales reparaciones y costas, así como para recibir las declaraciones </w:t>
      </w:r>
      <w:r w:rsidRPr="002E1C85">
        <w:rPr>
          <w:rFonts w:ascii="Verdana" w:eastAsia="Verdana" w:hAnsi="Verdana" w:cs="Verdana"/>
          <w:sz w:val="20"/>
          <w:szCs w:val="20"/>
          <w:lang w:val="es-ES" w:eastAsia="es-CR"/>
        </w:rPr>
        <w:t xml:space="preserve">de dos presuntas víctimas, de </w:t>
      </w:r>
      <w:r w:rsidRPr="002E1C85">
        <w:rPr>
          <w:rFonts w:ascii="Verdana" w:eastAsia="Verdana" w:hAnsi="Verdana" w:cs="Verdana"/>
          <w:position w:val="-1"/>
          <w:sz w:val="20"/>
          <w:szCs w:val="20"/>
          <w:lang w:val="es-ES" w:eastAsia="es-CR"/>
        </w:rPr>
        <w:t xml:space="preserve">una testigo propuesta por el Estado y de tres peritos ofrecidos por la Comisión, las representantes y el Estado. </w:t>
      </w:r>
      <w:r w:rsidRPr="002E1C85">
        <w:rPr>
          <w:rFonts w:ascii="Verdana" w:eastAsia="Verdana" w:hAnsi="Verdana" w:cs="Verdana"/>
          <w:position w:val="-1"/>
          <w:sz w:val="20"/>
          <w:szCs w:val="20"/>
          <w:lang w:val="es-CR" w:eastAsia="es-CR"/>
        </w:rPr>
        <w:t>Asimismo, mediante la Resolución de 23 de marzo de 2018 se ordenó recibir las declaraciones ante fedatario público (</w:t>
      </w:r>
      <w:r w:rsidR="002E2B86" w:rsidRPr="002E2B86">
        <w:rPr>
          <w:rFonts w:ascii="Verdana" w:eastAsia="Verdana" w:hAnsi="Verdana"/>
          <w:i/>
          <w:position w:val="-1"/>
          <w:sz w:val="20"/>
          <w:lang w:val="es-CR" w:eastAsia="es-CR"/>
        </w:rPr>
        <w:t>affidávits</w:t>
      </w:r>
      <w:r w:rsidRPr="002E1C85">
        <w:rPr>
          <w:rFonts w:ascii="Verdana" w:eastAsia="Verdana" w:hAnsi="Verdana" w:cs="Verdana"/>
          <w:position w:val="-1"/>
          <w:sz w:val="20"/>
          <w:szCs w:val="20"/>
          <w:lang w:val="es-CR" w:eastAsia="es-CR"/>
        </w:rPr>
        <w:t>)</w:t>
      </w:r>
      <w:r w:rsidR="008B4B36">
        <w:rPr>
          <w:rFonts w:ascii="Verdana" w:eastAsia="Verdana" w:hAnsi="Verdana" w:cs="Verdana"/>
          <w:position w:val="-1"/>
          <w:sz w:val="20"/>
          <w:szCs w:val="20"/>
          <w:lang w:val="es-CR" w:eastAsia="es-CR"/>
        </w:rPr>
        <w:t>,</w:t>
      </w:r>
      <w:r w:rsidRPr="002E1C85">
        <w:rPr>
          <w:rFonts w:ascii="Verdana" w:eastAsia="Verdana" w:hAnsi="Verdana" w:cs="Verdana"/>
          <w:position w:val="-1"/>
          <w:sz w:val="20"/>
          <w:szCs w:val="20"/>
          <w:lang w:val="es-CR" w:eastAsia="es-CR"/>
        </w:rPr>
        <w:t xml:space="preserve"> de nueve presuntas víctimas; 9 testigos (un testigo propuesto por las representantes y 8 testigos propuestos por el Estado), y 4 peritajes (3 propuestos por las representantes y uno por el Estado). Por otra parte, </w:t>
      </w:r>
      <w:r w:rsidRPr="002E1C85">
        <w:rPr>
          <w:rFonts w:ascii="Verdana" w:eastAsia="Verdana" w:hAnsi="Verdana" w:cs="Verdana"/>
          <w:position w:val="-1"/>
          <w:sz w:val="20"/>
          <w:szCs w:val="20"/>
          <w:lang w:val="es-CR" w:eastAsia="es-CR"/>
        </w:rPr>
        <w:lastRenderedPageBreak/>
        <w:t xml:space="preserve">mediante Resolución de 23 de abril de 2018, a raíz de una solicitud de las representantes, la Corte ordenó la sustitución de un perito. En dicha Resolución, ante la solicitud del Estado, también se ordenó recibir la declaración de otro perito en audiencia pública. Los </w:t>
      </w:r>
      <w:r w:rsidR="002E2B86" w:rsidRPr="002E2B86">
        <w:rPr>
          <w:rFonts w:ascii="Verdana" w:eastAsia="Verdana" w:hAnsi="Verdana"/>
          <w:i/>
          <w:position w:val="-1"/>
          <w:sz w:val="20"/>
          <w:lang w:val="es-CR" w:eastAsia="es-CR"/>
        </w:rPr>
        <w:t>affidávits</w:t>
      </w:r>
      <w:r w:rsidRPr="002E1C85">
        <w:rPr>
          <w:rFonts w:ascii="Verdana" w:eastAsia="Verdana" w:hAnsi="Verdana" w:cs="Verdana"/>
          <w:position w:val="-1"/>
          <w:sz w:val="20"/>
          <w:szCs w:val="20"/>
          <w:lang w:val="es-CR" w:eastAsia="es-CR"/>
        </w:rPr>
        <w:t xml:space="preserve"> fueron presentados por las representantes y el Estado el 19 de abril de 2018. </w:t>
      </w:r>
      <w:r w:rsidRPr="002E1C85">
        <w:rPr>
          <w:rFonts w:ascii="Verdana" w:eastAsia="Verdana" w:hAnsi="Verdana" w:cs="Verdana"/>
          <w:sz w:val="20"/>
          <w:szCs w:val="20"/>
          <w:lang w:val="es-ES" w:eastAsia="es-CR"/>
        </w:rPr>
        <w:t>La audiencia pública fue celebrada el 26 y 27 de abril de 2018 durante el 123° Período Ordinario de Sesiones de la Corte, llevado a cabo en su sede</w:t>
      </w:r>
      <w:r w:rsidRPr="002E1C85">
        <w:rPr>
          <w:rFonts w:ascii="Verdana" w:eastAsia="Verdana" w:hAnsi="Verdana" w:cs="Verdana"/>
          <w:sz w:val="20"/>
          <w:szCs w:val="20"/>
          <w:vertAlign w:val="superscript"/>
          <w:lang w:val="es-ES" w:eastAsia="es-CR"/>
        </w:rPr>
        <w:footnoteReference w:id="12"/>
      </w:r>
      <w:r w:rsidRPr="002E1C85">
        <w:rPr>
          <w:rFonts w:ascii="Verdana" w:eastAsia="Verdana" w:hAnsi="Verdana" w:cs="Verdana"/>
          <w:sz w:val="20"/>
          <w:szCs w:val="20"/>
          <w:lang w:val="es-ES" w:eastAsia="es-CR"/>
        </w:rPr>
        <w:t xml:space="preserve">. </w:t>
      </w:r>
      <w:r w:rsidRPr="002E1C85">
        <w:rPr>
          <w:rFonts w:ascii="Verdana" w:eastAsia="Times New Roman" w:hAnsi="Verdana" w:cs="Times New Roman"/>
          <w:sz w:val="20"/>
          <w:szCs w:val="20"/>
          <w:lang w:val="es-ES" w:eastAsia="es-ES"/>
        </w:rPr>
        <w:t>Asimismo, la Corte requirió a las partes que presentaran determinada información y documentación</w:t>
      </w:r>
      <w:r w:rsidRPr="002E1C85">
        <w:rPr>
          <w:rFonts w:ascii="Verdana" w:hAnsi="Verdana" w:cs="Times New Roman"/>
          <w:sz w:val="20"/>
          <w:szCs w:val="20"/>
          <w:lang w:val="es-ES" w:eastAsia="es-CR"/>
        </w:rPr>
        <w:t>.</w:t>
      </w:r>
      <w:r w:rsidRPr="002E1C85">
        <w:rPr>
          <w:rFonts w:ascii="Verdana" w:eastAsia="Times New Roman" w:hAnsi="Verdana" w:cs="Times New Roman"/>
          <w:sz w:val="20"/>
          <w:szCs w:val="20"/>
          <w:lang w:val="es-ES" w:eastAsia="es-ES"/>
        </w:rPr>
        <w:t xml:space="preserve"> </w:t>
      </w:r>
      <w:r w:rsidRPr="002E1C85">
        <w:rPr>
          <w:rFonts w:ascii="Verdana" w:eastAsia="Verdana" w:hAnsi="Verdana" w:cs="Verdana"/>
          <w:position w:val="-1"/>
          <w:sz w:val="20"/>
          <w:szCs w:val="20"/>
          <w:lang w:val="es-ES" w:eastAsia="es-CR"/>
        </w:rPr>
        <w:t xml:space="preserve">El 24 de abril de 2018 el </w:t>
      </w:r>
      <w:r w:rsidR="00A55083">
        <w:rPr>
          <w:rFonts w:ascii="Verdana" w:eastAsia="Verdana" w:hAnsi="Verdana" w:cs="Verdana"/>
          <w:position w:val="-1"/>
          <w:sz w:val="20"/>
          <w:szCs w:val="20"/>
          <w:lang w:val="es-ES" w:eastAsia="es-CR"/>
        </w:rPr>
        <w:t>e</w:t>
      </w:r>
      <w:r w:rsidRPr="002E1C85">
        <w:rPr>
          <w:rFonts w:ascii="Verdana" w:eastAsia="Verdana" w:hAnsi="Verdana" w:cs="Verdana"/>
          <w:position w:val="-1"/>
          <w:sz w:val="20"/>
          <w:szCs w:val="20"/>
          <w:lang w:val="es-ES" w:eastAsia="es-CR"/>
        </w:rPr>
        <w:t xml:space="preserve">stado remitió el peritaje </w:t>
      </w:r>
      <w:r w:rsidR="00A55083">
        <w:rPr>
          <w:rFonts w:ascii="Verdana" w:eastAsia="Verdana" w:hAnsi="Verdana" w:cs="Verdana"/>
          <w:position w:val="-1"/>
          <w:sz w:val="20"/>
          <w:szCs w:val="20"/>
          <w:lang w:val="es-ES" w:eastAsia="es-CR"/>
        </w:rPr>
        <w:t xml:space="preserve">escrito </w:t>
      </w:r>
      <w:r w:rsidRPr="002E1C85">
        <w:rPr>
          <w:rFonts w:ascii="Verdana" w:eastAsia="Verdana" w:hAnsi="Verdana" w:cs="Verdana"/>
          <w:position w:val="-1"/>
          <w:sz w:val="20"/>
          <w:szCs w:val="20"/>
          <w:lang w:val="es-ES" w:eastAsia="es-CR"/>
        </w:rPr>
        <w:t xml:space="preserve">de Carlos Rodríguez Ulloa, </w:t>
      </w:r>
      <w:r w:rsidR="00232A84">
        <w:rPr>
          <w:rFonts w:ascii="Verdana" w:eastAsia="Verdana" w:hAnsi="Verdana" w:cs="Verdana"/>
          <w:position w:val="-1"/>
          <w:sz w:val="20"/>
          <w:szCs w:val="20"/>
          <w:lang w:val="es-ES" w:eastAsia="es-CR"/>
        </w:rPr>
        <w:t>el cual</w:t>
      </w:r>
      <w:r w:rsidRPr="002E1C85">
        <w:rPr>
          <w:rFonts w:ascii="Verdana" w:eastAsia="Verdana" w:hAnsi="Verdana" w:cs="Verdana"/>
          <w:position w:val="-1"/>
          <w:sz w:val="20"/>
          <w:szCs w:val="20"/>
          <w:lang w:val="es-ES" w:eastAsia="es-CR"/>
        </w:rPr>
        <w:t xml:space="preserve"> fue rendido en audiencia.</w:t>
      </w:r>
    </w:p>
    <w:p w14:paraId="64AA5D8E" w14:textId="0192B317" w:rsidR="002E1C85" w:rsidRPr="00E67720"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lang w:val="es-ES" w:eastAsia="es-CR"/>
        </w:rPr>
      </w:pPr>
      <w:r w:rsidRPr="002E1C85">
        <w:rPr>
          <w:rFonts w:ascii="Verdana" w:eastAsia="Verdana" w:hAnsi="Verdana" w:cs="Verdana"/>
          <w:i/>
          <w:sz w:val="20"/>
          <w:szCs w:val="20"/>
          <w:lang w:val="es-ES" w:eastAsia="es-CR"/>
        </w:rPr>
        <w:t xml:space="preserve">Amicus curiae. </w:t>
      </w:r>
      <w:r w:rsidRPr="002E1C85">
        <w:rPr>
          <w:rFonts w:ascii="Verdana" w:eastAsia="Verdana" w:hAnsi="Verdana" w:cs="Verdana"/>
          <w:sz w:val="20"/>
          <w:szCs w:val="20"/>
          <w:lang w:val="es-ES" w:eastAsia="es-CR"/>
        </w:rPr>
        <w:t xml:space="preserve">–Se recibieron escritos en calidad de </w:t>
      </w:r>
      <w:r w:rsidRPr="005F54F6">
        <w:rPr>
          <w:rFonts w:ascii="Verdana" w:eastAsia="Verdana" w:hAnsi="Verdana" w:cs="Verdana"/>
          <w:i/>
          <w:sz w:val="20"/>
          <w:szCs w:val="20"/>
          <w:lang w:val="es-ES" w:eastAsia="es-CR"/>
        </w:rPr>
        <w:t>amicus curiae</w:t>
      </w:r>
      <w:r w:rsidRPr="002E1C85">
        <w:rPr>
          <w:rFonts w:ascii="Verdana" w:eastAsia="Verdana" w:hAnsi="Verdana" w:cs="Verdana"/>
          <w:sz w:val="20"/>
          <w:szCs w:val="20"/>
          <w:lang w:val="es-ES" w:eastAsia="es-CR"/>
        </w:rPr>
        <w:t xml:space="preserve"> por parte del: (1) Grupo de Acciones Públicas, Clínica Jurídica de la Universidad del Rosario el 30 de abril de 2018</w:t>
      </w:r>
      <w:r w:rsidRPr="002E1C85">
        <w:rPr>
          <w:rFonts w:ascii="Verdana" w:eastAsia="Verdana" w:hAnsi="Verdana" w:cs="Verdana"/>
          <w:sz w:val="20"/>
          <w:szCs w:val="20"/>
          <w:vertAlign w:val="superscript"/>
          <w:lang w:val="es-ES" w:eastAsia="es-CR"/>
        </w:rPr>
        <w:footnoteReference w:id="13"/>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(2) Oficina en Washington para Asuntos </w:t>
      </w:r>
      <w:r w:rsidR="00C47BA8">
        <w:rPr>
          <w:rFonts w:ascii="Verdana" w:eastAsia="Verdana" w:hAnsi="Verdana" w:cs="Verdana"/>
          <w:sz w:val="20"/>
          <w:szCs w:val="20"/>
          <w:lang w:val="es-ES" w:eastAsia="es-CR"/>
        </w:rPr>
        <w:t>L</w:t>
      </w:r>
      <w:r w:rsidRPr="002E1C85">
        <w:rPr>
          <w:rFonts w:ascii="Verdana" w:eastAsia="Verdana" w:hAnsi="Verdana" w:cs="Verdana"/>
          <w:sz w:val="20"/>
          <w:szCs w:val="20"/>
          <w:lang w:val="es-ES" w:eastAsia="es-CR"/>
        </w:rPr>
        <w:t>atinoamericanos (Washington Office on Latin America) el 25 de abril de 2018</w:t>
      </w:r>
      <w:r w:rsidRPr="002E1C85">
        <w:rPr>
          <w:rFonts w:ascii="Verdana" w:eastAsia="Verdana" w:hAnsi="Verdana" w:cs="Verdana"/>
          <w:sz w:val="20"/>
          <w:szCs w:val="20"/>
          <w:vertAlign w:val="superscript"/>
          <w:lang w:val="es-ES" w:eastAsia="es-CR"/>
        </w:rPr>
        <w:footnoteReference w:id="14"/>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(3) ELEMENTA, Consultoría en Derechos el 25 de abril de 2018</w:t>
      </w:r>
      <w:r w:rsidRPr="002E1C85">
        <w:rPr>
          <w:rFonts w:ascii="Verdana" w:eastAsia="Verdana" w:hAnsi="Verdana" w:cs="Verdana"/>
          <w:sz w:val="20"/>
          <w:szCs w:val="20"/>
          <w:vertAlign w:val="superscript"/>
          <w:lang w:val="es-ES" w:eastAsia="es-CR"/>
        </w:rPr>
        <w:footnoteReference w:id="15"/>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(4) Amn</w:t>
      </w:r>
      <w:r w:rsidR="00C47BA8">
        <w:rPr>
          <w:rFonts w:ascii="Verdana" w:eastAsia="Verdana" w:hAnsi="Verdana" w:cs="Verdana"/>
          <w:sz w:val="20"/>
          <w:szCs w:val="20"/>
          <w:lang w:val="es-ES" w:eastAsia="es-CR"/>
        </w:rPr>
        <w:t xml:space="preserve">istía Internacional </w:t>
      </w:r>
      <w:r w:rsidRPr="002E1C85">
        <w:rPr>
          <w:rFonts w:ascii="Verdana" w:eastAsia="Verdana" w:hAnsi="Verdana" w:cs="Verdana"/>
          <w:sz w:val="20"/>
          <w:szCs w:val="20"/>
          <w:lang w:val="es-ES" w:eastAsia="es-CR"/>
        </w:rPr>
        <w:t>el 10 de mayo de 2018</w:t>
      </w:r>
      <w:r w:rsidRPr="002E1C85">
        <w:rPr>
          <w:rFonts w:ascii="Verdana" w:eastAsia="Verdana" w:hAnsi="Verdana" w:cs="Verdana"/>
          <w:sz w:val="20"/>
          <w:szCs w:val="20"/>
          <w:vertAlign w:val="superscript"/>
          <w:lang w:val="es-ES" w:eastAsia="es-CR"/>
        </w:rPr>
        <w:footnoteReference w:id="16"/>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(5) Clinic on Policy Advocacy in Latin America de New York University School of Law (NYU) en Buenos Aires el 13 de junio de 2018</w:t>
      </w:r>
      <w:r w:rsidRPr="002E1C85">
        <w:rPr>
          <w:rFonts w:ascii="Verdana" w:eastAsia="Verdana" w:hAnsi="Verdana" w:cs="Verdana"/>
          <w:sz w:val="20"/>
          <w:szCs w:val="20"/>
          <w:vertAlign w:val="superscript"/>
          <w:lang w:val="es-ES" w:eastAsia="es-CR"/>
        </w:rPr>
        <w:footnoteReference w:id="17"/>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(6)</w:t>
      </w:r>
      <w:r w:rsidR="00A55083">
        <w:rPr>
          <w:rFonts w:ascii="Verdana" w:eastAsia="Verdana" w:hAnsi="Verdana" w:cs="Verdana"/>
          <w:sz w:val="20"/>
          <w:szCs w:val="20"/>
          <w:lang w:val="es-ES" w:eastAsia="es-CR"/>
        </w:rPr>
        <w:t xml:space="preserve"> </w:t>
      </w:r>
      <w:r w:rsidRPr="002E1C85">
        <w:rPr>
          <w:rFonts w:ascii="Verdana" w:eastAsia="Verdana" w:hAnsi="Verdana" w:cs="Verdana"/>
          <w:sz w:val="20"/>
          <w:szCs w:val="20"/>
          <w:lang w:val="es-ES" w:eastAsia="es-CR"/>
        </w:rPr>
        <w:t>Hermilo de Jesús Lares Contreras, Abogado y Asesor Jurídico el 10 de mayo de 2018</w:t>
      </w:r>
      <w:r w:rsidRPr="002E1C85">
        <w:rPr>
          <w:rFonts w:ascii="Verdana" w:eastAsia="Verdana" w:hAnsi="Verdana" w:cs="Verdana"/>
          <w:sz w:val="20"/>
          <w:szCs w:val="20"/>
          <w:vertAlign w:val="superscript"/>
          <w:lang w:val="es-ES" w:eastAsia="es-CR"/>
        </w:rPr>
        <w:footnoteReference w:id="18"/>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(7) Comisión de Derechos Humanos del Distrito Federal de México el 11 de mayo de 2018</w:t>
      </w:r>
      <w:r w:rsidRPr="002E1C85">
        <w:rPr>
          <w:rFonts w:ascii="Verdana" w:eastAsia="Verdana" w:hAnsi="Verdana" w:cs="Verdana"/>
          <w:sz w:val="20"/>
          <w:szCs w:val="20"/>
          <w:vertAlign w:val="superscript"/>
          <w:lang w:val="es-ES" w:eastAsia="es-CR"/>
        </w:rPr>
        <w:footnoteReference w:id="19"/>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(8) Centro PRODEH el 11 de </w:t>
      </w:r>
      <w:r w:rsidRPr="002E1C85">
        <w:rPr>
          <w:rFonts w:ascii="Verdana" w:eastAsia="Verdana" w:hAnsi="Verdana" w:cs="Verdana"/>
          <w:sz w:val="20"/>
          <w:szCs w:val="20"/>
          <w:lang w:val="es-ES" w:eastAsia="es-CR"/>
        </w:rPr>
        <w:lastRenderedPageBreak/>
        <w:t>mayo de 2018</w:t>
      </w:r>
      <w:r w:rsidRPr="002E1C85">
        <w:rPr>
          <w:rFonts w:ascii="Verdana" w:eastAsia="Verdana" w:hAnsi="Verdana" w:cs="Verdana"/>
          <w:sz w:val="20"/>
          <w:szCs w:val="20"/>
          <w:vertAlign w:val="superscript"/>
          <w:lang w:val="es-ES" w:eastAsia="es-CR"/>
        </w:rPr>
        <w:footnoteReference w:id="20"/>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(9) Movimiento por Nuestros Desaparecidos en México el 13 de mayo de 2018</w:t>
      </w:r>
      <w:r w:rsidRPr="002E1C85">
        <w:rPr>
          <w:rFonts w:ascii="Verdana" w:eastAsia="Verdana" w:hAnsi="Verdana" w:cs="Verdana"/>
          <w:sz w:val="20"/>
          <w:szCs w:val="20"/>
          <w:vertAlign w:val="superscript"/>
          <w:lang w:val="es-ES" w:eastAsia="es-CR"/>
        </w:rPr>
        <w:footnoteReference w:id="21"/>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(10) Grupo de Trabajo sobre Desapariciones Forzadas o Involuntarias de la ONU (GTDFI) el 14 de mayo de 2018</w:t>
      </w:r>
      <w:r w:rsidRPr="002E1C85">
        <w:rPr>
          <w:rFonts w:ascii="Verdana" w:eastAsia="Verdana" w:hAnsi="Verdana" w:cs="Verdana"/>
          <w:sz w:val="20"/>
          <w:szCs w:val="20"/>
          <w:vertAlign w:val="superscript"/>
          <w:lang w:val="es-ES" w:eastAsia="es-CR"/>
        </w:rPr>
        <w:footnoteReference w:id="22"/>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(11) Carlos María Pelayo Moller el 14 de mayo de 2018</w:t>
      </w:r>
      <w:r w:rsidRPr="002E1C85">
        <w:rPr>
          <w:rFonts w:ascii="Verdana" w:eastAsia="Verdana" w:hAnsi="Verdana" w:cs="Verdana"/>
          <w:sz w:val="20"/>
          <w:szCs w:val="20"/>
          <w:vertAlign w:val="superscript"/>
          <w:lang w:val="es-ES" w:eastAsia="es-CR"/>
        </w:rPr>
        <w:footnoteReference w:id="23"/>
      </w:r>
      <w:r w:rsidR="00C47BA8" w:rsidRPr="002E1C85">
        <w:rPr>
          <w:rFonts w:ascii="Verdana" w:eastAsia="Times New Roman" w:hAnsi="Verdana" w:cs="Times New Roman"/>
          <w:sz w:val="20"/>
          <w:szCs w:val="20"/>
          <w:lang w:val="es-ES"/>
        </w:rPr>
        <w:t>;</w:t>
      </w:r>
      <w:r w:rsidRPr="002E1C85">
        <w:rPr>
          <w:rFonts w:ascii="Verdana" w:eastAsia="Verdana" w:hAnsi="Verdana" w:cs="Verdana"/>
          <w:sz w:val="20"/>
          <w:szCs w:val="20"/>
          <w:lang w:val="es-ES" w:eastAsia="es-CR"/>
        </w:rPr>
        <w:t xml:space="preserve"> (12) </w:t>
      </w:r>
      <w:r w:rsidR="00C47BA8">
        <w:rPr>
          <w:rFonts w:ascii="Verdana" w:eastAsia="Verdana" w:hAnsi="Verdana" w:cs="Verdana"/>
          <w:sz w:val="20"/>
          <w:szCs w:val="20"/>
          <w:lang w:val="es-ES" w:eastAsia="es-CR"/>
        </w:rPr>
        <w:t>Asociación Nuestramericana de Estudios Interdisciplinarios de la Crítica Jurídica</w:t>
      </w:r>
      <w:r w:rsidRPr="002E1C85">
        <w:rPr>
          <w:rFonts w:ascii="Verdana" w:eastAsia="Verdana" w:hAnsi="Verdana" w:cs="Verdana"/>
          <w:sz w:val="20"/>
          <w:szCs w:val="20"/>
          <w:lang w:val="es-ES" w:eastAsia="es-CR"/>
        </w:rPr>
        <w:t xml:space="preserve"> el 14 de mayo de 2018</w:t>
      </w:r>
      <w:r w:rsidRPr="002E1C85">
        <w:rPr>
          <w:rFonts w:ascii="Verdana" w:eastAsia="Verdana" w:hAnsi="Verdana" w:cs="Verdana"/>
          <w:sz w:val="20"/>
          <w:szCs w:val="20"/>
          <w:vertAlign w:val="superscript"/>
          <w:lang w:val="es-ES" w:eastAsia="es-CR"/>
        </w:rPr>
        <w:footnoteReference w:id="24"/>
      </w:r>
      <w:r w:rsidRPr="002E1C85">
        <w:rPr>
          <w:rFonts w:ascii="Verdana" w:eastAsia="Verdana" w:hAnsi="Verdana" w:cs="Verdana"/>
          <w:sz w:val="20"/>
          <w:szCs w:val="20"/>
          <w:lang w:val="es-ES" w:eastAsia="es-CR"/>
        </w:rPr>
        <w:t xml:space="preserve">, </w:t>
      </w:r>
      <w:r w:rsidR="00C47BA8">
        <w:rPr>
          <w:rFonts w:ascii="Verdana" w:eastAsia="Verdana" w:hAnsi="Verdana" w:cs="Verdana"/>
          <w:sz w:val="20"/>
          <w:szCs w:val="20"/>
          <w:lang w:val="es-ES" w:eastAsia="es-CR"/>
        </w:rPr>
        <w:t xml:space="preserve">y </w:t>
      </w:r>
      <w:r w:rsidRPr="002E1C85">
        <w:rPr>
          <w:rFonts w:ascii="Verdana" w:eastAsia="Verdana" w:hAnsi="Verdana" w:cs="Verdana"/>
          <w:sz w:val="20"/>
          <w:szCs w:val="20"/>
          <w:lang w:val="es-ES" w:eastAsia="es-CR"/>
        </w:rPr>
        <w:t>(13) Facultad de Derecho, Ciencias Políticas y Criminología de la Universidad Autónoma de Tlaxcala, México el 15 de mayo de 2018</w:t>
      </w:r>
      <w:r w:rsidRPr="002E1C85">
        <w:rPr>
          <w:rFonts w:ascii="Verdana" w:eastAsia="Verdana" w:hAnsi="Verdana" w:cs="Verdana"/>
          <w:sz w:val="20"/>
          <w:szCs w:val="20"/>
          <w:vertAlign w:val="superscript"/>
          <w:lang w:val="es-ES" w:eastAsia="es-CR"/>
        </w:rPr>
        <w:footnoteReference w:id="25"/>
      </w:r>
      <w:r w:rsidRPr="002E1C85">
        <w:rPr>
          <w:rFonts w:ascii="Verdana" w:eastAsia="Verdana" w:hAnsi="Verdana" w:cs="Verdana"/>
          <w:sz w:val="20"/>
          <w:szCs w:val="20"/>
          <w:lang w:val="es-ES" w:eastAsia="es-CR"/>
        </w:rPr>
        <w:t>. Asimismo, se recibieron otros escritos extemporánea</w:t>
      </w:r>
      <w:r w:rsidR="00AB5C6D">
        <w:rPr>
          <w:rFonts w:ascii="Verdana" w:eastAsia="Verdana" w:hAnsi="Verdana" w:cs="Verdana"/>
          <w:sz w:val="20"/>
          <w:szCs w:val="20"/>
          <w:lang w:val="es-ES" w:eastAsia="es-CR"/>
        </w:rPr>
        <w:t>mente</w:t>
      </w:r>
      <w:r w:rsidRPr="002E1C85">
        <w:rPr>
          <w:rFonts w:ascii="Verdana" w:eastAsia="Verdana" w:hAnsi="Verdana" w:cs="Verdana"/>
          <w:sz w:val="20"/>
          <w:szCs w:val="20"/>
          <w:lang w:val="es-ES" w:eastAsia="es-CR"/>
        </w:rPr>
        <w:t>, por lo que no se les dio trámite</w:t>
      </w:r>
      <w:r w:rsidRPr="002E1C85">
        <w:rPr>
          <w:rFonts w:ascii="Verdana" w:eastAsia="Verdana" w:hAnsi="Verdana" w:cs="Verdana"/>
          <w:sz w:val="20"/>
          <w:szCs w:val="20"/>
          <w:vertAlign w:val="superscript"/>
          <w:lang w:val="es-ES" w:eastAsia="es-CR"/>
        </w:rPr>
        <w:footnoteReference w:id="26"/>
      </w:r>
      <w:r w:rsidRPr="002E1C85">
        <w:rPr>
          <w:rFonts w:ascii="Verdana" w:eastAsia="Verdana" w:hAnsi="Verdana" w:cs="Verdana"/>
          <w:sz w:val="20"/>
          <w:szCs w:val="20"/>
          <w:lang w:val="es-ES" w:eastAsia="es-CR"/>
        </w:rPr>
        <w:t xml:space="preserve">. </w:t>
      </w:r>
    </w:p>
    <w:p w14:paraId="64AA5D90" w14:textId="26AEFD27" w:rsidR="002E1C85" w:rsidRPr="00E67720"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Verdana"/>
          <w:snapToGrid w:val="0"/>
          <w:sz w:val="20"/>
          <w:szCs w:val="20"/>
          <w:lang w:val="es-ES" w:eastAsia="es-ES"/>
        </w:rPr>
      </w:pPr>
      <w:bookmarkStart w:id="33" w:name="_Ref354147731"/>
      <w:r w:rsidRPr="002E1C85">
        <w:rPr>
          <w:rFonts w:ascii="Verdana" w:eastAsia="Times New Roman" w:hAnsi="Verdana" w:cs="Verdana"/>
          <w:i/>
          <w:sz w:val="20"/>
          <w:szCs w:val="20"/>
          <w:lang w:val="es-ES" w:eastAsia="es-CR"/>
        </w:rPr>
        <w:t xml:space="preserve">Alegatos y observaciones finales escritas. </w:t>
      </w:r>
      <w:bookmarkEnd w:id="33"/>
      <w:r w:rsidRPr="002E1C85">
        <w:rPr>
          <w:rFonts w:ascii="Verdana" w:eastAsia="Times New Roman" w:hAnsi="Verdana" w:cs="Verdana"/>
          <w:i/>
          <w:sz w:val="20"/>
          <w:szCs w:val="20"/>
          <w:lang w:val="es-ES" w:eastAsia="es-CR"/>
        </w:rPr>
        <w:t xml:space="preserve">- </w:t>
      </w:r>
      <w:r w:rsidRPr="002E1C85">
        <w:rPr>
          <w:rFonts w:ascii="Verdana" w:eastAsia="Times New Roman" w:hAnsi="Verdana" w:cs="Verdana"/>
          <w:sz w:val="20"/>
          <w:szCs w:val="20"/>
          <w:lang w:val="es-ES" w:eastAsia="es-CR"/>
        </w:rPr>
        <w:t>El 28 de mayo de 2018 las representantes y el Estado remitieron sus respectivos alegatos finales escritos, junto con sus anexos. El 25 de mayo de 2018 la Comisión presentó sus observaciones finales escritas.</w:t>
      </w:r>
    </w:p>
    <w:p w14:paraId="64AA5D92" w14:textId="73ED3405" w:rsidR="002E1C85" w:rsidRPr="00855B75"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Verdana"/>
          <w:snapToGrid w:val="0"/>
          <w:sz w:val="20"/>
          <w:szCs w:val="20"/>
          <w:lang w:val="es-ES" w:eastAsia="es-ES"/>
        </w:rPr>
      </w:pPr>
      <w:r w:rsidRPr="002E1C85">
        <w:rPr>
          <w:rFonts w:ascii="Verdana" w:eastAsia="Times New Roman" w:hAnsi="Verdana" w:cs="Verdana"/>
          <w:snapToGrid w:val="0"/>
          <w:sz w:val="20"/>
          <w:szCs w:val="20"/>
          <w:lang w:val="es-ES" w:eastAsia="es-ES"/>
        </w:rPr>
        <w:t xml:space="preserve">Observaciones de los anexos a los alegatos finales y </w:t>
      </w:r>
      <w:r w:rsidRPr="00CD555B">
        <w:rPr>
          <w:rFonts w:ascii="Verdana" w:eastAsia="Times New Roman" w:hAnsi="Verdana" w:cs="Verdana"/>
          <w:i/>
          <w:snapToGrid w:val="0"/>
          <w:sz w:val="20"/>
          <w:szCs w:val="20"/>
          <w:lang w:val="es-ES" w:eastAsia="es-ES"/>
        </w:rPr>
        <w:t>amicus curiae</w:t>
      </w:r>
      <w:r w:rsidRPr="002E1C85">
        <w:rPr>
          <w:rFonts w:ascii="Verdana" w:eastAsia="Times New Roman" w:hAnsi="Verdana" w:cs="Verdana"/>
          <w:snapToGrid w:val="0"/>
          <w:sz w:val="20"/>
          <w:szCs w:val="20"/>
          <w:lang w:val="es-ES" w:eastAsia="es-ES"/>
        </w:rPr>
        <w:t xml:space="preserve">.- El 15 de junio de 2018 las representantes y el Estado remitieron sus observaciones a los anexos remitidos </w:t>
      </w:r>
      <w:r w:rsidR="004D0F33">
        <w:rPr>
          <w:rFonts w:ascii="Verdana" w:eastAsia="Times New Roman" w:hAnsi="Verdana" w:cs="Verdana"/>
          <w:snapToGrid w:val="0"/>
          <w:sz w:val="20"/>
          <w:szCs w:val="20"/>
          <w:lang w:val="es-ES" w:eastAsia="es-ES"/>
        </w:rPr>
        <w:t>con</w:t>
      </w:r>
      <w:r w:rsidRPr="002E1C85">
        <w:rPr>
          <w:rFonts w:ascii="Verdana" w:eastAsia="Times New Roman" w:hAnsi="Verdana" w:cs="Verdana"/>
          <w:snapToGrid w:val="0"/>
          <w:sz w:val="20"/>
          <w:szCs w:val="20"/>
          <w:lang w:val="es-ES" w:eastAsia="es-ES"/>
        </w:rPr>
        <w:t xml:space="preserve"> los </w:t>
      </w:r>
      <w:r w:rsidRPr="00855B75">
        <w:rPr>
          <w:rFonts w:ascii="Verdana" w:eastAsia="Times New Roman" w:hAnsi="Verdana" w:cs="Verdana"/>
          <w:snapToGrid w:val="0"/>
          <w:sz w:val="20"/>
          <w:szCs w:val="20"/>
          <w:lang w:val="es-ES" w:eastAsia="es-ES"/>
        </w:rPr>
        <w:t xml:space="preserve">alegatos finales escritos y </w:t>
      </w:r>
      <w:r w:rsidRPr="00CD555B">
        <w:rPr>
          <w:rFonts w:ascii="Verdana" w:eastAsia="Times New Roman" w:hAnsi="Verdana" w:cs="Verdana"/>
          <w:i/>
          <w:snapToGrid w:val="0"/>
          <w:sz w:val="20"/>
          <w:szCs w:val="20"/>
          <w:lang w:val="es-ES" w:eastAsia="es-ES"/>
        </w:rPr>
        <w:t>amicus curiae</w:t>
      </w:r>
      <w:r w:rsidRPr="00855B75">
        <w:rPr>
          <w:rFonts w:ascii="Verdana" w:eastAsia="Times New Roman" w:hAnsi="Verdana" w:cs="Verdana"/>
          <w:snapToGrid w:val="0"/>
          <w:sz w:val="20"/>
          <w:szCs w:val="20"/>
          <w:lang w:val="es-ES" w:eastAsia="es-ES"/>
        </w:rPr>
        <w:t xml:space="preserve"> presentados.</w:t>
      </w:r>
    </w:p>
    <w:p w14:paraId="64AA5D94" w14:textId="01CEF221" w:rsidR="002E1C85" w:rsidRPr="00C90B3F"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cs="Times New Roman"/>
          <w:sz w:val="20"/>
          <w:szCs w:val="20"/>
          <w:lang w:val="es-ES" w:eastAsia="es-CR"/>
        </w:rPr>
      </w:pPr>
      <w:r w:rsidRPr="00C90B3F">
        <w:rPr>
          <w:rFonts w:ascii="Verdana" w:hAnsi="Verdana" w:cs="Times New Roman"/>
          <w:i/>
          <w:sz w:val="20"/>
          <w:szCs w:val="20"/>
          <w:lang w:val="es-ES" w:eastAsia="es-CR"/>
        </w:rPr>
        <w:t xml:space="preserve">Prueba para mejor resolver. – </w:t>
      </w:r>
      <w:r w:rsidRPr="00855B75">
        <w:rPr>
          <w:rFonts w:ascii="Verdana" w:hAnsi="Verdana"/>
          <w:sz w:val="20"/>
          <w:szCs w:val="20"/>
        </w:rPr>
        <w:t>El 29 de agosto de 2017 el Tribunal requirió al Estado, la presentación de determinada prueba para mejor resolver. La informa</w:t>
      </w:r>
      <w:r w:rsidRPr="00C57FCB">
        <w:rPr>
          <w:rFonts w:ascii="Verdana" w:hAnsi="Verdana"/>
          <w:sz w:val="20"/>
          <w:szCs w:val="20"/>
        </w:rPr>
        <w:t>ción solicitada fue remitida los días 14 y 28 de septiembre de 2018</w:t>
      </w:r>
      <w:r w:rsidR="00666C55" w:rsidRPr="009417B1">
        <w:rPr>
          <w:rFonts w:ascii="Verdana" w:hAnsi="Verdana"/>
          <w:sz w:val="20"/>
          <w:szCs w:val="20"/>
        </w:rPr>
        <w:t xml:space="preserve"> y el 16 de octubre de 201</w:t>
      </w:r>
      <w:r w:rsidR="00666C55" w:rsidRPr="0078142B">
        <w:rPr>
          <w:rFonts w:ascii="Verdana" w:hAnsi="Verdana"/>
          <w:sz w:val="20"/>
          <w:szCs w:val="20"/>
        </w:rPr>
        <w:t>8</w:t>
      </w:r>
      <w:r w:rsidRPr="0078142B">
        <w:rPr>
          <w:rFonts w:ascii="Verdana" w:hAnsi="Verdana"/>
          <w:sz w:val="20"/>
        </w:rPr>
        <w:t>.</w:t>
      </w:r>
      <w:r w:rsidRPr="00855B75">
        <w:rPr>
          <w:rFonts w:ascii="Verdana" w:hAnsi="Verdana"/>
          <w:sz w:val="20"/>
          <w:szCs w:val="20"/>
        </w:rPr>
        <w:t xml:space="preserve"> </w:t>
      </w:r>
    </w:p>
    <w:p w14:paraId="64AA5D96" w14:textId="30830A79" w:rsidR="002E1C85" w:rsidRPr="00C90B3F"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Verdana"/>
          <w:snapToGrid w:val="0"/>
          <w:sz w:val="20"/>
          <w:szCs w:val="20"/>
          <w:lang w:val="es-ES" w:eastAsia="es-ES"/>
        </w:rPr>
      </w:pPr>
      <w:bookmarkStart w:id="34" w:name="_Ref313990861"/>
      <w:r w:rsidRPr="00C90B3F">
        <w:rPr>
          <w:rFonts w:ascii="Verdana" w:hAnsi="Verdana" w:cs="Times New Roman"/>
          <w:i/>
          <w:sz w:val="20"/>
          <w:szCs w:val="20"/>
          <w:lang w:val="es-ES" w:eastAsia="es-CR"/>
        </w:rPr>
        <w:t>Observaciones</w:t>
      </w:r>
      <w:r w:rsidRPr="00C90B3F">
        <w:rPr>
          <w:rFonts w:ascii="Verdana" w:eastAsia="Times New Roman" w:hAnsi="Verdana" w:cs="Verdana"/>
          <w:i/>
          <w:snapToGrid w:val="0"/>
          <w:sz w:val="20"/>
          <w:szCs w:val="20"/>
          <w:lang w:val="es-ES" w:eastAsia="es-ES"/>
        </w:rPr>
        <w:t xml:space="preserve"> de las representantes y la Comisión. – </w:t>
      </w:r>
      <w:bookmarkEnd w:id="34"/>
      <w:r w:rsidR="003C00B3" w:rsidRPr="00C90B3F">
        <w:rPr>
          <w:rFonts w:ascii="Verdana" w:eastAsia="Times New Roman" w:hAnsi="Verdana" w:cs="Verdana"/>
          <w:snapToGrid w:val="0"/>
          <w:sz w:val="20"/>
          <w:szCs w:val="20"/>
          <w:lang w:val="es-ES" w:eastAsia="es-ES"/>
        </w:rPr>
        <w:t>El 15</w:t>
      </w:r>
      <w:r w:rsidR="0090251D">
        <w:rPr>
          <w:rFonts w:ascii="Verdana" w:eastAsia="Times New Roman" w:hAnsi="Verdana" w:cs="Verdana"/>
          <w:snapToGrid w:val="0"/>
          <w:sz w:val="20"/>
          <w:szCs w:val="20"/>
          <w:lang w:val="es-ES" w:eastAsia="es-ES"/>
        </w:rPr>
        <w:t xml:space="preserve"> y 23</w:t>
      </w:r>
      <w:r w:rsidR="003C00B3" w:rsidRPr="00C90B3F">
        <w:rPr>
          <w:rFonts w:ascii="Verdana" w:eastAsia="Times New Roman" w:hAnsi="Verdana" w:cs="Verdana"/>
          <w:snapToGrid w:val="0"/>
          <w:sz w:val="20"/>
          <w:szCs w:val="20"/>
          <w:lang w:val="es-ES" w:eastAsia="es-ES"/>
        </w:rPr>
        <w:t xml:space="preserve"> de </w:t>
      </w:r>
      <w:r w:rsidR="003C00B3">
        <w:rPr>
          <w:rFonts w:ascii="Verdana" w:eastAsia="Times New Roman" w:hAnsi="Verdana"/>
          <w:snapToGrid w:val="0"/>
          <w:sz w:val="20"/>
          <w:lang w:val="es-ES" w:eastAsia="es-ES"/>
        </w:rPr>
        <w:t xml:space="preserve">octubre </w:t>
      </w:r>
      <w:r w:rsidR="003C00B3" w:rsidDel="00855B75">
        <w:rPr>
          <w:rFonts w:ascii="Verdana" w:eastAsia="Times New Roman" w:hAnsi="Verdana"/>
          <w:snapToGrid w:val="0"/>
          <w:sz w:val="20"/>
          <w:lang w:val="es-ES" w:eastAsia="es-ES"/>
        </w:rPr>
        <w:t xml:space="preserve">de </w:t>
      </w:r>
      <w:r w:rsidR="00855B75" w:rsidRPr="009F1A54">
        <w:rPr>
          <w:rFonts w:ascii="Verdana" w:eastAsia="Times New Roman" w:hAnsi="Verdana" w:cs="Verdana"/>
          <w:snapToGrid w:val="0"/>
          <w:sz w:val="20"/>
          <w:szCs w:val="20"/>
          <w:lang w:val="es-ES" w:eastAsia="es-ES"/>
        </w:rPr>
        <w:t xml:space="preserve">2018 </w:t>
      </w:r>
      <w:r w:rsidR="003C00B3" w:rsidRPr="00C90B3F">
        <w:rPr>
          <w:rFonts w:ascii="Verdana" w:eastAsia="Times New Roman" w:hAnsi="Verdana" w:cs="Verdana"/>
          <w:snapToGrid w:val="0"/>
          <w:sz w:val="20"/>
          <w:szCs w:val="20"/>
          <w:lang w:val="es-ES" w:eastAsia="es-ES"/>
        </w:rPr>
        <w:t xml:space="preserve">las representantes y la Comisión remitieron sus observaciones a la prueba para mejor resolver aportada por el </w:t>
      </w:r>
      <w:r w:rsidR="003C00B3" w:rsidRPr="0078142B">
        <w:rPr>
          <w:rFonts w:ascii="Verdana" w:eastAsia="Times New Roman" w:hAnsi="Verdana" w:cs="Verdana"/>
          <w:snapToGrid w:val="0"/>
          <w:sz w:val="20"/>
          <w:szCs w:val="20"/>
          <w:lang w:val="es-ES" w:eastAsia="es-ES"/>
        </w:rPr>
        <w:t>Estado</w:t>
      </w:r>
      <w:r w:rsidR="004D0F33" w:rsidRPr="0078142B">
        <w:rPr>
          <w:rFonts w:ascii="Verdana" w:eastAsia="Times New Roman" w:hAnsi="Verdana" w:cs="Verdana"/>
          <w:snapToGrid w:val="0"/>
          <w:sz w:val="20"/>
          <w:szCs w:val="20"/>
          <w:lang w:val="es-ES" w:eastAsia="es-ES"/>
        </w:rPr>
        <w:t>.</w:t>
      </w:r>
      <w:r w:rsidR="003C00B3" w:rsidRPr="00C90B3F">
        <w:rPr>
          <w:rFonts w:ascii="Verdana" w:eastAsia="Times New Roman" w:hAnsi="Verdana" w:cs="Verdana"/>
          <w:snapToGrid w:val="0"/>
          <w:sz w:val="20"/>
          <w:szCs w:val="20"/>
          <w:lang w:val="es-ES" w:eastAsia="es-ES"/>
        </w:rPr>
        <w:t xml:space="preserve"> </w:t>
      </w:r>
    </w:p>
    <w:p w14:paraId="06EAA3F9" w14:textId="3A1BDF98" w:rsidR="00BE0E64" w:rsidRPr="003564A3" w:rsidRDefault="002E1C85" w:rsidP="003564A3">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Calibri" w:hAnsi="Verdana" w:cs="Verdana"/>
          <w:snapToGrid w:val="0"/>
          <w:sz w:val="20"/>
          <w:szCs w:val="20"/>
          <w:lang w:val="es-ES" w:eastAsia="es-ES"/>
        </w:rPr>
      </w:pPr>
      <w:r w:rsidRPr="00855B75">
        <w:rPr>
          <w:rFonts w:ascii="Verdana" w:eastAsia="Times New Roman" w:hAnsi="Verdana" w:cs="Verdana"/>
          <w:i/>
          <w:snapToGrid w:val="0"/>
          <w:sz w:val="20"/>
          <w:szCs w:val="20"/>
          <w:lang w:val="es-ES" w:eastAsia="es-ES"/>
        </w:rPr>
        <w:t>Erogaciones en aplicación del Fondo de Asistencia.</w:t>
      </w:r>
      <w:r w:rsidRPr="00855B75">
        <w:rPr>
          <w:rFonts w:ascii="Verdana" w:eastAsia="Times New Roman" w:hAnsi="Verdana" w:cs="Verdana"/>
          <w:snapToGrid w:val="0"/>
          <w:sz w:val="20"/>
          <w:szCs w:val="20"/>
          <w:lang w:val="es-ES" w:eastAsia="es-ES"/>
        </w:rPr>
        <w:t xml:space="preserve"> </w:t>
      </w:r>
      <w:r w:rsidRPr="00855B75">
        <w:rPr>
          <w:rFonts w:ascii="Verdana" w:eastAsia="Times New Roman" w:hAnsi="Verdana" w:cs="Verdana"/>
          <w:iCs/>
          <w:snapToGrid w:val="0"/>
          <w:sz w:val="20"/>
          <w:szCs w:val="20"/>
          <w:lang w:val="es-ES" w:eastAsia="es-ES"/>
        </w:rPr>
        <w:t>–</w:t>
      </w:r>
      <w:r w:rsidRPr="00855B75">
        <w:rPr>
          <w:rFonts w:ascii="Verdana" w:eastAsia="Times New Roman" w:hAnsi="Verdana" w:cs="Verdana"/>
          <w:snapToGrid w:val="0"/>
          <w:sz w:val="20"/>
          <w:szCs w:val="20"/>
          <w:lang w:val="es-ES" w:eastAsia="es-ES"/>
        </w:rPr>
        <w:t xml:space="preserve"> El 29 de agosto</w:t>
      </w:r>
      <w:r w:rsidRPr="00E01110">
        <w:rPr>
          <w:rFonts w:ascii="Verdana" w:eastAsia="Times New Roman" w:hAnsi="Verdana" w:cs="Verdana"/>
          <w:snapToGrid w:val="0"/>
          <w:sz w:val="20"/>
          <w:szCs w:val="20"/>
          <w:lang w:val="es-ES" w:eastAsia="es-ES"/>
        </w:rPr>
        <w:t xml:space="preserve"> de 2018 fue transmitida a las partes copia del informe sobre el Fondo de Asistencia Legal de Víctimas. El 14 de septiembre</w:t>
      </w:r>
      <w:r w:rsidR="00FB5A65">
        <w:rPr>
          <w:rFonts w:ascii="Verdana" w:eastAsia="Times New Roman" w:hAnsi="Verdana" w:cs="Verdana"/>
          <w:snapToGrid w:val="0"/>
          <w:sz w:val="20"/>
          <w:szCs w:val="20"/>
          <w:lang w:val="es-ES" w:eastAsia="es-ES"/>
        </w:rPr>
        <w:t xml:space="preserve"> de 2018</w:t>
      </w:r>
      <w:r w:rsidRPr="00E01110">
        <w:rPr>
          <w:rFonts w:ascii="Verdana" w:eastAsia="Times New Roman" w:hAnsi="Verdana" w:cs="Verdana"/>
          <w:snapToGrid w:val="0"/>
          <w:sz w:val="20"/>
          <w:szCs w:val="20"/>
          <w:lang w:val="es-ES" w:eastAsia="es-ES"/>
        </w:rPr>
        <w:t xml:space="preserve"> el Estado informó que no tenía observaciones a dicho informe.</w:t>
      </w:r>
    </w:p>
    <w:p w14:paraId="64AA5D98" w14:textId="232032D2" w:rsidR="002E1C85" w:rsidRPr="008D0846" w:rsidRDefault="00BE0E64" w:rsidP="005F54F6">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ES"/>
        </w:rPr>
      </w:pPr>
      <w:r w:rsidRPr="008D0846">
        <w:rPr>
          <w:rFonts w:ascii="Verdana" w:hAnsi="Verdana"/>
          <w:i/>
          <w:iCs/>
          <w:sz w:val="20"/>
          <w:szCs w:val="20"/>
          <w:lang w:val="es-ES"/>
        </w:rPr>
        <w:t xml:space="preserve">Prueba superviniente.- </w:t>
      </w:r>
      <w:r w:rsidRPr="008D0846">
        <w:rPr>
          <w:rFonts w:ascii="Verdana" w:hAnsi="Verdana"/>
          <w:sz w:val="20"/>
          <w:szCs w:val="20"/>
          <w:lang w:val="es-ES"/>
        </w:rPr>
        <w:t xml:space="preserve"> El </w:t>
      </w:r>
      <w:r w:rsidR="00DF19FE" w:rsidRPr="008D0846">
        <w:rPr>
          <w:rFonts w:ascii="Verdana" w:hAnsi="Verdana"/>
          <w:sz w:val="20"/>
          <w:szCs w:val="20"/>
          <w:lang w:val="es-ES"/>
        </w:rPr>
        <w:t>12 de enero de 2018</w:t>
      </w:r>
      <w:r w:rsidRPr="008D0846">
        <w:rPr>
          <w:rFonts w:ascii="Verdana" w:hAnsi="Verdana"/>
          <w:sz w:val="20"/>
          <w:szCs w:val="20"/>
          <w:lang w:val="es-ES"/>
        </w:rPr>
        <w:t xml:space="preserve"> las representante</w:t>
      </w:r>
      <w:r w:rsidR="00DF19FE" w:rsidRPr="008D0846">
        <w:rPr>
          <w:rFonts w:ascii="Verdana" w:hAnsi="Verdana"/>
          <w:sz w:val="20"/>
          <w:szCs w:val="20"/>
          <w:lang w:val="es-ES"/>
        </w:rPr>
        <w:t>s</w:t>
      </w:r>
      <w:r w:rsidRPr="008D0846">
        <w:rPr>
          <w:rFonts w:ascii="Verdana" w:hAnsi="Verdana"/>
          <w:sz w:val="20"/>
          <w:szCs w:val="20"/>
          <w:lang w:val="es-ES"/>
        </w:rPr>
        <w:t xml:space="preserve"> remitieron a la Corte la </w:t>
      </w:r>
      <w:r w:rsidR="00C67126" w:rsidRPr="008D0846">
        <w:rPr>
          <w:rFonts w:ascii="Verdana" w:hAnsi="Verdana"/>
          <w:sz w:val="20"/>
          <w:szCs w:val="20"/>
          <w:lang w:val="es-ES"/>
        </w:rPr>
        <w:lastRenderedPageBreak/>
        <w:t>L</w:t>
      </w:r>
      <w:r w:rsidRPr="008D0846">
        <w:rPr>
          <w:rFonts w:ascii="Verdana" w:hAnsi="Verdana"/>
          <w:sz w:val="20"/>
          <w:szCs w:val="20"/>
          <w:lang w:val="es-ES"/>
        </w:rPr>
        <w:t xml:space="preserve">ey de </w:t>
      </w:r>
      <w:r w:rsidR="00C67126" w:rsidRPr="008D0846">
        <w:rPr>
          <w:rFonts w:ascii="Verdana" w:hAnsi="Verdana"/>
          <w:sz w:val="20"/>
          <w:szCs w:val="20"/>
          <w:lang w:val="es-ES"/>
        </w:rPr>
        <w:t>S</w:t>
      </w:r>
      <w:r w:rsidRPr="008D0846">
        <w:rPr>
          <w:rFonts w:ascii="Verdana" w:hAnsi="Verdana"/>
          <w:sz w:val="20"/>
          <w:szCs w:val="20"/>
          <w:lang w:val="es-ES"/>
        </w:rPr>
        <w:t xml:space="preserve">eguridad </w:t>
      </w:r>
      <w:r w:rsidR="00C67126" w:rsidRPr="008D0846">
        <w:rPr>
          <w:rFonts w:ascii="Verdana" w:hAnsi="Verdana"/>
          <w:sz w:val="20"/>
          <w:szCs w:val="20"/>
          <w:lang w:val="es-ES"/>
        </w:rPr>
        <w:t>I</w:t>
      </w:r>
      <w:r w:rsidRPr="008D0846">
        <w:rPr>
          <w:rFonts w:ascii="Verdana" w:hAnsi="Verdana"/>
          <w:sz w:val="20"/>
          <w:szCs w:val="20"/>
          <w:lang w:val="es-ES"/>
        </w:rPr>
        <w:t xml:space="preserve">nterior como prueba </w:t>
      </w:r>
      <w:r w:rsidR="00DF19FE" w:rsidRPr="008D0846">
        <w:rPr>
          <w:rFonts w:ascii="Verdana" w:hAnsi="Verdana"/>
          <w:sz w:val="20"/>
          <w:szCs w:val="20"/>
          <w:lang w:val="es-ES"/>
        </w:rPr>
        <w:t>superviniente</w:t>
      </w:r>
      <w:r w:rsidRPr="008D0846">
        <w:rPr>
          <w:rFonts w:ascii="Verdana" w:hAnsi="Verdana"/>
          <w:sz w:val="20"/>
          <w:szCs w:val="20"/>
          <w:lang w:val="es-ES"/>
        </w:rPr>
        <w:t xml:space="preserve">. Dicha información fue transmitida al Estado y a la Comisión el </w:t>
      </w:r>
      <w:r w:rsidR="003B4EBE" w:rsidRPr="009E2F96">
        <w:rPr>
          <w:rFonts w:ascii="Verdana" w:hAnsi="Verdana"/>
          <w:sz w:val="20"/>
          <w:szCs w:val="20"/>
          <w:lang w:val="es-ES"/>
        </w:rPr>
        <w:t xml:space="preserve">25 </w:t>
      </w:r>
      <w:r w:rsidRPr="008D0846">
        <w:rPr>
          <w:rFonts w:ascii="Verdana" w:hAnsi="Verdana"/>
          <w:sz w:val="20"/>
          <w:szCs w:val="20"/>
          <w:lang w:val="es-ES"/>
        </w:rPr>
        <w:t xml:space="preserve">de </w:t>
      </w:r>
      <w:r w:rsidR="003B4EBE" w:rsidRPr="008D0846">
        <w:rPr>
          <w:rFonts w:ascii="Verdana" w:hAnsi="Verdana"/>
          <w:sz w:val="20"/>
          <w:szCs w:val="20"/>
          <w:lang w:val="es-ES"/>
        </w:rPr>
        <w:t>enero</w:t>
      </w:r>
      <w:r w:rsidRPr="008D0846">
        <w:rPr>
          <w:rFonts w:ascii="Verdana" w:hAnsi="Verdana"/>
          <w:sz w:val="20"/>
          <w:szCs w:val="20"/>
          <w:lang w:val="es-ES"/>
        </w:rPr>
        <w:t xml:space="preserve"> de </w:t>
      </w:r>
      <w:r w:rsidR="003B4EBE" w:rsidRPr="008D0846">
        <w:rPr>
          <w:rFonts w:ascii="Verdana" w:hAnsi="Verdana"/>
          <w:sz w:val="20"/>
          <w:szCs w:val="20"/>
          <w:lang w:val="es-ES"/>
        </w:rPr>
        <w:t>2018</w:t>
      </w:r>
      <w:r w:rsidR="0078142B" w:rsidRPr="008D0846">
        <w:rPr>
          <w:rFonts w:ascii="Verdana" w:hAnsi="Verdana"/>
          <w:sz w:val="20"/>
          <w:szCs w:val="20"/>
          <w:lang w:val="es-ES"/>
        </w:rPr>
        <w:t>.</w:t>
      </w:r>
      <w:r w:rsidR="003B4EBE" w:rsidRPr="008D0846">
        <w:rPr>
          <w:rFonts w:ascii="Verdana" w:hAnsi="Verdana"/>
          <w:sz w:val="20"/>
          <w:szCs w:val="20"/>
          <w:lang w:val="es-ES"/>
        </w:rPr>
        <w:t xml:space="preserve"> </w:t>
      </w:r>
      <w:r w:rsidRPr="008D0846">
        <w:rPr>
          <w:rFonts w:ascii="Verdana" w:hAnsi="Verdana"/>
          <w:sz w:val="20"/>
          <w:szCs w:val="20"/>
          <w:lang w:val="es-ES"/>
        </w:rPr>
        <w:t>La Comisión y el Estado</w:t>
      </w:r>
      <w:r w:rsidR="009E2F96" w:rsidRPr="008D0846">
        <w:rPr>
          <w:rFonts w:ascii="Verdana" w:hAnsi="Verdana"/>
          <w:sz w:val="20"/>
          <w:szCs w:val="20"/>
          <w:lang w:val="es-ES"/>
        </w:rPr>
        <w:t xml:space="preserve"> </w:t>
      </w:r>
      <w:r w:rsidRPr="008D0846">
        <w:rPr>
          <w:rFonts w:ascii="Verdana" w:hAnsi="Verdana"/>
          <w:sz w:val="20"/>
          <w:szCs w:val="20"/>
          <w:lang w:val="es-ES"/>
        </w:rPr>
        <w:t>remitieron sus respectiv</w:t>
      </w:r>
      <w:r w:rsidR="009E2F96" w:rsidRPr="008D0846">
        <w:rPr>
          <w:rFonts w:ascii="Verdana" w:hAnsi="Verdana"/>
          <w:sz w:val="20"/>
          <w:szCs w:val="20"/>
          <w:lang w:val="es-ES"/>
        </w:rPr>
        <w:t>a</w:t>
      </w:r>
      <w:r w:rsidRPr="008D0846">
        <w:rPr>
          <w:rFonts w:ascii="Verdana" w:hAnsi="Verdana"/>
          <w:sz w:val="20"/>
          <w:szCs w:val="20"/>
          <w:lang w:val="es-ES"/>
        </w:rPr>
        <w:t xml:space="preserve">s </w:t>
      </w:r>
      <w:r w:rsidR="009E2F96" w:rsidRPr="008D0846">
        <w:rPr>
          <w:rFonts w:ascii="Verdana" w:hAnsi="Verdana"/>
          <w:sz w:val="20"/>
          <w:szCs w:val="20"/>
          <w:lang w:val="es-ES"/>
        </w:rPr>
        <w:t>comunicaciones</w:t>
      </w:r>
      <w:r w:rsidR="000462CF" w:rsidRPr="008D0846">
        <w:rPr>
          <w:rFonts w:ascii="Verdana" w:hAnsi="Verdana"/>
          <w:sz w:val="20"/>
          <w:szCs w:val="20"/>
          <w:lang w:val="es-ES"/>
        </w:rPr>
        <w:t>, en las</w:t>
      </w:r>
      <w:r w:rsidR="009E2F96" w:rsidRPr="008D0846">
        <w:rPr>
          <w:rFonts w:ascii="Verdana" w:hAnsi="Verdana"/>
          <w:sz w:val="20"/>
          <w:szCs w:val="20"/>
          <w:lang w:val="es-ES"/>
        </w:rPr>
        <w:t xml:space="preserve"> cual</w:t>
      </w:r>
      <w:r w:rsidR="000462CF" w:rsidRPr="008D0846">
        <w:rPr>
          <w:rFonts w:ascii="Verdana" w:hAnsi="Verdana"/>
          <w:sz w:val="20"/>
          <w:szCs w:val="20"/>
          <w:lang w:val="es-ES"/>
        </w:rPr>
        <w:t>es</w:t>
      </w:r>
      <w:r w:rsidR="009E2F96" w:rsidRPr="008D0846">
        <w:rPr>
          <w:rFonts w:ascii="Verdana" w:hAnsi="Verdana"/>
          <w:sz w:val="20"/>
          <w:szCs w:val="20"/>
          <w:lang w:val="es-ES"/>
        </w:rPr>
        <w:t xml:space="preserve"> no formularon </w:t>
      </w:r>
      <w:r w:rsidRPr="008D0846">
        <w:rPr>
          <w:rFonts w:ascii="Verdana" w:hAnsi="Verdana"/>
          <w:sz w:val="20"/>
          <w:szCs w:val="20"/>
          <w:lang w:val="es-ES"/>
        </w:rPr>
        <w:t xml:space="preserve">observaciones </w:t>
      </w:r>
      <w:r w:rsidR="009E2F96" w:rsidRPr="008D0846">
        <w:rPr>
          <w:rFonts w:ascii="Verdana" w:hAnsi="Verdana"/>
          <w:sz w:val="20"/>
          <w:szCs w:val="20"/>
          <w:lang w:val="es-ES"/>
        </w:rPr>
        <w:t>particulares sobre la prueba superviniente presentada por las representantes</w:t>
      </w:r>
      <w:r w:rsidRPr="008D0846">
        <w:rPr>
          <w:rFonts w:ascii="Verdana" w:hAnsi="Verdana"/>
          <w:sz w:val="20"/>
          <w:szCs w:val="20"/>
          <w:lang w:val="es-ES"/>
        </w:rPr>
        <w:t>. Asimismo, el 20 de noviembre de 2018 las representantes remitieron al Tribunal diversa documentación como alegada prueba superviniente. Dicha información fue transmitida al Estado y a la Comisión el 21 de noviembre de 2018</w:t>
      </w:r>
      <w:r w:rsidR="0078142B">
        <w:rPr>
          <w:rFonts w:ascii="Verdana" w:hAnsi="Verdana"/>
          <w:sz w:val="20"/>
          <w:szCs w:val="20"/>
          <w:lang w:val="es-ES"/>
        </w:rPr>
        <w:t xml:space="preserve">. </w:t>
      </w:r>
      <w:r w:rsidRPr="008D0846">
        <w:rPr>
          <w:rFonts w:ascii="Verdana" w:hAnsi="Verdana"/>
          <w:sz w:val="20"/>
          <w:szCs w:val="20"/>
          <w:lang w:val="es-ES"/>
        </w:rPr>
        <w:t xml:space="preserve">La Comisión y el Estado remitieron sus respectivas observaciones el 26 de noviembre de 2018. </w:t>
      </w:r>
    </w:p>
    <w:p w14:paraId="64AA5D9A" w14:textId="2EC0AAA9" w:rsidR="002E1C85" w:rsidRPr="00CA2568" w:rsidRDefault="002E1C85" w:rsidP="003564A3">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Verdana"/>
          <w:snapToGrid w:val="0"/>
          <w:sz w:val="20"/>
          <w:szCs w:val="20"/>
          <w:lang w:val="es-ES" w:eastAsia="es-ES"/>
        </w:rPr>
      </w:pPr>
      <w:r w:rsidRPr="002E1C85">
        <w:rPr>
          <w:rFonts w:ascii="Verdana" w:eastAsia="Times New Roman" w:hAnsi="Verdana" w:cs="Verdana"/>
          <w:i/>
          <w:snapToGrid w:val="0"/>
          <w:sz w:val="20"/>
          <w:szCs w:val="20"/>
          <w:lang w:val="es-ES" w:eastAsia="es-ES"/>
        </w:rPr>
        <w:t>Deliberación</w:t>
      </w:r>
      <w:r w:rsidRPr="002E1C85">
        <w:rPr>
          <w:rFonts w:ascii="Verdana" w:eastAsia="Times New Roman" w:hAnsi="Verdana" w:cs="Verdana"/>
          <w:i/>
          <w:iCs/>
          <w:snapToGrid w:val="0"/>
          <w:sz w:val="20"/>
          <w:szCs w:val="20"/>
          <w:lang w:val="es-ES" w:eastAsia="es-ES"/>
        </w:rPr>
        <w:t xml:space="preserve"> del presente caso. - </w:t>
      </w:r>
      <w:r w:rsidRPr="002E1C85">
        <w:rPr>
          <w:rFonts w:ascii="Verdana" w:eastAsia="Times New Roman" w:hAnsi="Verdana" w:cs="Verdana"/>
          <w:snapToGrid w:val="0"/>
          <w:sz w:val="20"/>
          <w:szCs w:val="20"/>
          <w:lang w:val="es-ES" w:eastAsia="es-ES"/>
        </w:rPr>
        <w:t xml:space="preserve">La Corte inició la deliberación de la presente Sentencia el </w:t>
      </w:r>
      <w:r w:rsidR="008222A9" w:rsidRPr="008D0846">
        <w:rPr>
          <w:rFonts w:ascii="Verdana" w:eastAsia="Times New Roman" w:hAnsi="Verdana" w:cs="Verdana"/>
          <w:snapToGrid w:val="0"/>
          <w:sz w:val="20"/>
          <w:szCs w:val="20"/>
          <w:lang w:val="es-ES" w:eastAsia="es-ES"/>
        </w:rPr>
        <w:t>27 de</w:t>
      </w:r>
      <w:r w:rsidR="008222A9">
        <w:rPr>
          <w:rFonts w:ascii="Verdana" w:eastAsia="Times New Roman" w:hAnsi="Verdana" w:cs="Verdana"/>
          <w:snapToGrid w:val="0"/>
          <w:sz w:val="20"/>
          <w:szCs w:val="20"/>
          <w:lang w:val="es-ES" w:eastAsia="es-ES"/>
        </w:rPr>
        <w:t xml:space="preserve"> </w:t>
      </w:r>
      <w:r w:rsidRPr="002E1C85">
        <w:rPr>
          <w:rFonts w:ascii="Verdana" w:eastAsia="Times New Roman" w:hAnsi="Verdana" w:cs="Verdana"/>
          <w:snapToGrid w:val="0"/>
          <w:sz w:val="20"/>
          <w:szCs w:val="20"/>
          <w:lang w:val="es-ES" w:eastAsia="es-ES"/>
        </w:rPr>
        <w:t>noviembre de 2018.</w:t>
      </w:r>
    </w:p>
    <w:p w14:paraId="64AA5D9C" w14:textId="46BB5DC3" w:rsidR="002E1C85" w:rsidRPr="00E67720" w:rsidRDefault="002E1C85" w:rsidP="0057411A">
      <w:pPr>
        <w:pStyle w:val="Ttulo1"/>
        <w:rPr>
          <w:snapToGrid w:val="0"/>
          <w:lang w:val="es-CR" w:eastAsia="es-CR"/>
        </w:rPr>
      </w:pPr>
      <w:bookmarkStart w:id="35" w:name="_Toc470180034"/>
      <w:bookmarkStart w:id="36" w:name="_Toc514172591"/>
      <w:bookmarkStart w:id="37" w:name="_Toc526774134"/>
      <w:bookmarkStart w:id="38" w:name="_Toc526777466"/>
      <w:bookmarkStart w:id="39" w:name="_Toc526783745"/>
      <w:bookmarkStart w:id="40" w:name="_Toc532995313"/>
      <w:r w:rsidRPr="002E1C85">
        <w:rPr>
          <w:snapToGrid w:val="0"/>
          <w:lang w:val="es-CR" w:eastAsia="es-CR"/>
        </w:rPr>
        <w:t>III</w:t>
      </w:r>
      <w:r w:rsidRPr="002E1C85">
        <w:rPr>
          <w:snapToGrid w:val="0"/>
          <w:lang w:val="es-CR" w:eastAsia="es-CR"/>
        </w:rPr>
        <w:br/>
        <w:t>COMPETENCIA</w:t>
      </w:r>
      <w:bookmarkEnd w:id="35"/>
      <w:bookmarkEnd w:id="36"/>
      <w:bookmarkEnd w:id="37"/>
      <w:bookmarkEnd w:id="38"/>
      <w:bookmarkEnd w:id="39"/>
      <w:bookmarkEnd w:id="40"/>
    </w:p>
    <w:p w14:paraId="64AA5D9E" w14:textId="579FD221" w:rsidR="002E1C85" w:rsidRPr="00CA2568" w:rsidRDefault="002E1C85" w:rsidP="00E6772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eastAsia="es-CR"/>
        </w:rPr>
      </w:pPr>
      <w:r w:rsidRPr="002E1C85">
        <w:rPr>
          <w:rFonts w:ascii="Verdana" w:eastAsia="Times New Roman" w:hAnsi="Verdana" w:cs="Times New Roman"/>
          <w:sz w:val="20"/>
          <w:szCs w:val="20"/>
          <w:lang w:val="es-ES" w:eastAsia="es-CR"/>
        </w:rPr>
        <w:t>La Corte Interamericana es competente para conocer del presente caso, en los términos del artículo 62.3 de la Convención Americana, en razón de que México es Estado Parte de la Convención desde el 24 de marzo de 1981 y reconoció la competencia contenciosa de este Tribunal el 16 de diciembre de 1998.</w:t>
      </w:r>
      <w:r w:rsidRPr="00852715">
        <w:rPr>
          <w:rFonts w:ascii="Verdana" w:eastAsia="Times New Roman" w:hAnsi="Verdana" w:cs="Times New Roman"/>
          <w:sz w:val="20"/>
          <w:szCs w:val="20"/>
          <w:lang w:val="es-ES" w:eastAsia="es-CR"/>
        </w:rPr>
        <w:t xml:space="preserve"> </w:t>
      </w:r>
      <w:r w:rsidR="00852715" w:rsidRPr="00F179A2">
        <w:rPr>
          <w:rFonts w:ascii="Verdana" w:eastAsia="Times New Roman" w:hAnsi="Verdana" w:cs="Times New Roman"/>
          <w:sz w:val="20"/>
          <w:szCs w:val="20"/>
          <w:lang w:val="es-ES" w:eastAsia="es-CR"/>
        </w:rPr>
        <w:t>Asimismo, e</w:t>
      </w:r>
      <w:r w:rsidR="00852715" w:rsidRPr="000C6D8F">
        <w:rPr>
          <w:rFonts w:ascii="Verdana" w:hAnsi="Verdana"/>
          <w:sz w:val="20"/>
          <w:szCs w:val="20"/>
        </w:rPr>
        <w:t xml:space="preserve">l Estado mexicano ratificó la Convención Interamericana sobre Desaparición Forzada de Personas el 9 de abril de 2002. </w:t>
      </w:r>
    </w:p>
    <w:p w14:paraId="7ED90FB9" w14:textId="683D193A" w:rsidR="00EC08E0" w:rsidRPr="00EC08E0" w:rsidRDefault="002E1C85" w:rsidP="00DB378B">
      <w:pPr>
        <w:pStyle w:val="Ttulo1"/>
        <w:rPr>
          <w:snapToGrid w:val="0"/>
          <w:lang w:val="es-CR" w:eastAsia="es-CR"/>
        </w:rPr>
      </w:pPr>
      <w:bookmarkStart w:id="41" w:name="_Toc513644443"/>
      <w:bookmarkStart w:id="42" w:name="_Toc526774135"/>
      <w:bookmarkStart w:id="43" w:name="_Toc526777467"/>
      <w:bookmarkStart w:id="44" w:name="_Toc526783746"/>
      <w:bookmarkStart w:id="45" w:name="_Toc532995314"/>
      <w:r w:rsidRPr="002E1C85">
        <w:rPr>
          <w:snapToGrid w:val="0"/>
          <w:lang w:val="es-CR" w:eastAsia="es-CR"/>
        </w:rPr>
        <w:t>IV</w:t>
      </w:r>
      <w:r w:rsidRPr="002E1C85">
        <w:rPr>
          <w:snapToGrid w:val="0"/>
          <w:lang w:val="es-CR" w:eastAsia="es-CR"/>
        </w:rPr>
        <w:br/>
        <w:t>RECONOCIMIENTO PARCIAL DE RESPONSABILIDAD INTERNACIONAL DEL ESTADO</w:t>
      </w:r>
      <w:bookmarkEnd w:id="41"/>
      <w:bookmarkEnd w:id="42"/>
      <w:bookmarkEnd w:id="43"/>
      <w:bookmarkEnd w:id="44"/>
      <w:bookmarkEnd w:id="45"/>
    </w:p>
    <w:p w14:paraId="64AA5DA2" w14:textId="5A22691E" w:rsidR="002E1C85" w:rsidRPr="00FE4568" w:rsidRDefault="0020172F" w:rsidP="00EC08E0">
      <w:pPr>
        <w:pStyle w:val="Ttulo2"/>
        <w:spacing w:before="120" w:after="120"/>
      </w:pPr>
      <w:bookmarkStart w:id="46" w:name="_Toc526774136"/>
      <w:bookmarkStart w:id="47" w:name="_Toc526777468"/>
      <w:bookmarkStart w:id="48" w:name="_Toc526783747"/>
      <w:r>
        <w:t xml:space="preserve"> </w:t>
      </w:r>
      <w:bookmarkStart w:id="49" w:name="_Toc532995315"/>
      <w:r w:rsidR="002E1C85" w:rsidRPr="00BD5BB5">
        <w:t>Posiciones respecto del Reconocimiento Parcial de Responsabilidad del Estado</w:t>
      </w:r>
      <w:bookmarkEnd w:id="46"/>
      <w:bookmarkEnd w:id="47"/>
      <w:bookmarkEnd w:id="48"/>
      <w:bookmarkEnd w:id="49"/>
    </w:p>
    <w:p w14:paraId="64AA5DA4" w14:textId="0FA893CF"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 xml:space="preserve">El </w:t>
      </w:r>
      <w:r w:rsidRPr="002E1C85">
        <w:rPr>
          <w:rFonts w:ascii="Verdana" w:eastAsia="Times New Roman" w:hAnsi="Verdana" w:cs="Times New Roman"/>
          <w:b/>
          <w:i/>
          <w:sz w:val="20"/>
          <w:szCs w:val="20"/>
          <w:lang w:val="es-ES"/>
        </w:rPr>
        <w:t>Estado</w:t>
      </w:r>
      <w:r w:rsidRPr="002E1C85">
        <w:rPr>
          <w:rFonts w:ascii="Verdana" w:eastAsia="Times New Roman" w:hAnsi="Verdana" w:cs="Times New Roman"/>
          <w:sz w:val="20"/>
          <w:szCs w:val="20"/>
          <w:lang w:val="es-ES"/>
        </w:rPr>
        <w:t xml:space="preserve"> reconoció, en primer lugar, su responsabilidad internacional en los siguientes términos:</w:t>
      </w:r>
    </w:p>
    <w:p w14:paraId="64AA5DA6" w14:textId="35628A6F" w:rsidR="002E1C85" w:rsidRPr="00EC08E0" w:rsidRDefault="002E1C85" w:rsidP="00EC08E0">
      <w:pPr>
        <w:spacing w:before="120" w:after="120" w:line="240" w:lineRule="auto"/>
        <w:ind w:left="720"/>
        <w:jc w:val="both"/>
        <w:rPr>
          <w:rFonts w:ascii="Verdana" w:eastAsia="Times New Roman" w:hAnsi="Verdana" w:cs="Times New Roman"/>
          <w:b/>
          <w:sz w:val="18"/>
          <w:szCs w:val="20"/>
          <w:lang w:val="es-ES"/>
        </w:rPr>
      </w:pPr>
      <w:r w:rsidRPr="00EC08E0">
        <w:rPr>
          <w:rFonts w:ascii="Verdana" w:eastAsia="Times New Roman" w:hAnsi="Verdana" w:cs="Times New Roman"/>
          <w:sz w:val="18"/>
          <w:szCs w:val="20"/>
          <w:lang w:val="es-ES"/>
        </w:rPr>
        <w:t>“El Estado mexicano reconoce su responsabilidad internacional por la violación del artículo 2 de la Convención Americana sobre Derechos Humanos [ya que] al momento de los hechos no existía una legislación en materia de desaparición forzada que fuera compatible con los estándares interamericanos, por lo que no se contaba con un tipo penal en el ordenamiento interno que fuera adecuado”</w:t>
      </w:r>
      <w:r w:rsidRPr="008D0846">
        <w:rPr>
          <w:rFonts w:ascii="Verdana" w:eastAsia="Times New Roman" w:hAnsi="Verdana" w:cs="Times New Roman"/>
          <w:sz w:val="18"/>
          <w:szCs w:val="20"/>
          <w:lang w:val="es-ES"/>
        </w:rPr>
        <w:t>.</w:t>
      </w:r>
    </w:p>
    <w:p w14:paraId="64AA5DA8" w14:textId="01B5084F"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 xml:space="preserve">Sin embargo, el Estado hizo notar que “si bien no contaba con un marco legislativo </w:t>
      </w:r>
      <w:r w:rsidR="00C05735">
        <w:rPr>
          <w:rFonts w:ascii="Verdana" w:eastAsia="Times New Roman" w:hAnsi="Verdana" w:cs="Times New Roman"/>
          <w:sz w:val="20"/>
          <w:szCs w:val="20"/>
          <w:lang w:val="es-ES"/>
        </w:rPr>
        <w:t xml:space="preserve">[…] </w:t>
      </w:r>
      <w:r w:rsidRPr="002E1C85">
        <w:rPr>
          <w:rFonts w:ascii="Verdana" w:eastAsia="Times New Roman" w:hAnsi="Verdana" w:cs="Times New Roman"/>
          <w:sz w:val="20"/>
          <w:szCs w:val="20"/>
          <w:lang w:val="es-ES"/>
        </w:rPr>
        <w:t xml:space="preserve">adecuado al momento de los hechos, actualmente ya se ha adoptado una nueva ley en la materia [que es] compatible con [los] estándares interamericanos”. Por tanto, </w:t>
      </w:r>
      <w:r w:rsidR="0073760B">
        <w:rPr>
          <w:rFonts w:ascii="Verdana" w:eastAsia="Times New Roman" w:hAnsi="Verdana" w:cs="Times New Roman"/>
          <w:sz w:val="20"/>
          <w:szCs w:val="20"/>
          <w:lang w:val="es-ES"/>
        </w:rPr>
        <w:t>alegó que ya había</w:t>
      </w:r>
      <w:r w:rsidR="0073760B" w:rsidRPr="002E1C85">
        <w:rPr>
          <w:rFonts w:ascii="Verdana" w:eastAsia="Times New Roman" w:hAnsi="Verdana" w:cs="Times New Roman"/>
          <w:sz w:val="20"/>
          <w:szCs w:val="20"/>
          <w:lang w:val="es-ES"/>
        </w:rPr>
        <w:t xml:space="preserve"> </w:t>
      </w:r>
      <w:r w:rsidRPr="002E1C85">
        <w:rPr>
          <w:rFonts w:ascii="Verdana" w:eastAsia="Times New Roman" w:hAnsi="Verdana" w:cs="Times New Roman"/>
          <w:sz w:val="20"/>
          <w:szCs w:val="20"/>
          <w:lang w:val="es-ES"/>
        </w:rPr>
        <w:t xml:space="preserve">reparado su violación al artículo 2, </w:t>
      </w:r>
      <w:r w:rsidR="00C05735">
        <w:rPr>
          <w:rFonts w:ascii="Verdana" w:eastAsia="Times New Roman" w:hAnsi="Verdana" w:cs="Times New Roman"/>
          <w:sz w:val="20"/>
          <w:szCs w:val="20"/>
          <w:lang w:val="es-ES"/>
        </w:rPr>
        <w:t xml:space="preserve">por lo que </w:t>
      </w:r>
      <w:r w:rsidRPr="002E1C85">
        <w:rPr>
          <w:rFonts w:ascii="Verdana" w:eastAsia="Times New Roman" w:hAnsi="Verdana" w:cs="Times New Roman"/>
          <w:sz w:val="20"/>
          <w:szCs w:val="20"/>
          <w:lang w:val="es-ES"/>
        </w:rPr>
        <w:t>consider</w:t>
      </w:r>
      <w:r w:rsidR="0073760B">
        <w:rPr>
          <w:rFonts w:ascii="Verdana" w:eastAsia="Times New Roman" w:hAnsi="Verdana" w:cs="Times New Roman"/>
          <w:sz w:val="20"/>
          <w:szCs w:val="20"/>
          <w:lang w:val="es-ES"/>
        </w:rPr>
        <w:t>aba</w:t>
      </w:r>
      <w:r w:rsidRPr="002E1C85">
        <w:rPr>
          <w:rFonts w:ascii="Verdana" w:eastAsia="Times New Roman" w:hAnsi="Verdana" w:cs="Times New Roman"/>
          <w:sz w:val="20"/>
          <w:szCs w:val="20"/>
          <w:lang w:val="es-ES"/>
        </w:rPr>
        <w:t xml:space="preserve"> que no e</w:t>
      </w:r>
      <w:r w:rsidR="0073760B">
        <w:rPr>
          <w:rFonts w:ascii="Verdana" w:eastAsia="Times New Roman" w:hAnsi="Verdana" w:cs="Times New Roman"/>
          <w:sz w:val="20"/>
          <w:szCs w:val="20"/>
          <w:lang w:val="es-ES"/>
        </w:rPr>
        <w:t>ra</w:t>
      </w:r>
      <w:r w:rsidRPr="002E1C85">
        <w:rPr>
          <w:rFonts w:ascii="Verdana" w:eastAsia="Times New Roman" w:hAnsi="Verdana" w:cs="Times New Roman"/>
          <w:sz w:val="20"/>
          <w:szCs w:val="20"/>
          <w:lang w:val="es-ES"/>
        </w:rPr>
        <w:t xml:space="preserve"> necesario que la Corte se pronunci</w:t>
      </w:r>
      <w:r w:rsidR="0073760B">
        <w:rPr>
          <w:rFonts w:ascii="Verdana" w:eastAsia="Times New Roman" w:hAnsi="Verdana" w:cs="Times New Roman"/>
          <w:sz w:val="20"/>
          <w:szCs w:val="20"/>
          <w:lang w:val="es-ES"/>
        </w:rPr>
        <w:t>ara</w:t>
      </w:r>
      <w:r w:rsidRPr="002E1C85">
        <w:rPr>
          <w:rFonts w:ascii="Verdana" w:eastAsia="Times New Roman" w:hAnsi="Verdana" w:cs="Times New Roman"/>
          <w:sz w:val="20"/>
          <w:szCs w:val="20"/>
          <w:lang w:val="es-ES"/>
        </w:rPr>
        <w:t xml:space="preserve"> al respecto.</w:t>
      </w:r>
    </w:p>
    <w:p w14:paraId="64AA5DAA" w14:textId="65A9D2C8"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Asimismo, reconoció que:</w:t>
      </w:r>
    </w:p>
    <w:p w14:paraId="64AA5DAC" w14:textId="7B781AC6" w:rsidR="002E1C85" w:rsidRPr="00EC08E0" w:rsidRDefault="002E1C85" w:rsidP="00EC08E0">
      <w:pPr>
        <w:widowControl w:val="0"/>
        <w:tabs>
          <w:tab w:val="left" w:pos="567"/>
        </w:tabs>
        <w:adjustRightInd w:val="0"/>
        <w:spacing w:before="120" w:after="120" w:line="240" w:lineRule="auto"/>
        <w:ind w:left="567"/>
        <w:jc w:val="both"/>
        <w:textAlignment w:val="baseline"/>
        <w:rPr>
          <w:rFonts w:ascii="Verdana" w:eastAsia="Times New Roman" w:hAnsi="Verdana" w:cs="Times New Roman"/>
          <w:sz w:val="18"/>
          <w:szCs w:val="20"/>
          <w:lang w:val="es-ES"/>
        </w:rPr>
      </w:pPr>
      <w:r w:rsidRPr="00EC08E0">
        <w:rPr>
          <w:rFonts w:ascii="Verdana" w:eastAsia="Times New Roman" w:hAnsi="Verdana" w:cs="Times New Roman"/>
          <w:sz w:val="18"/>
          <w:szCs w:val="20"/>
          <w:lang w:val="es-ES"/>
        </w:rPr>
        <w:t xml:space="preserve">“El Estado mexicano reconoce que las investigaciones en el presente caso fueron atraídas en cierto momento por la jurisdicción militar, con lo cual se contravinieron los artículos 8 y 25 de la Convención Americana </w:t>
      </w:r>
      <w:r w:rsidR="00E80D56">
        <w:rPr>
          <w:rFonts w:ascii="Verdana" w:eastAsia="Times New Roman" w:hAnsi="Verdana" w:cs="Times New Roman"/>
          <w:sz w:val="18"/>
          <w:szCs w:val="20"/>
          <w:lang w:val="es-ES"/>
        </w:rPr>
        <w:t>[…]</w:t>
      </w:r>
      <w:r w:rsidRPr="00EC08E0">
        <w:rPr>
          <w:rFonts w:ascii="Verdana" w:eastAsia="Times New Roman" w:hAnsi="Verdana" w:cs="Times New Roman"/>
          <w:sz w:val="18"/>
          <w:szCs w:val="20"/>
          <w:lang w:val="es-ES"/>
        </w:rPr>
        <w:t>, así como el artículo 2 del mismo instrumento, […] en razón de que la legislación de ese entonces permitía el conocimiento de los hechos por parte del fuero militar”</w:t>
      </w:r>
      <w:r w:rsidR="00E67720" w:rsidRPr="00C61AAA">
        <w:rPr>
          <w:rFonts w:ascii="Verdana" w:eastAsia="Times New Roman" w:hAnsi="Verdana" w:cs="Times New Roman"/>
          <w:sz w:val="18"/>
          <w:szCs w:val="20"/>
          <w:lang w:val="es-ES"/>
        </w:rPr>
        <w:t>.</w:t>
      </w:r>
    </w:p>
    <w:p w14:paraId="64AA5DAE" w14:textId="4F262C4A"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 xml:space="preserve">Al respecto, </w:t>
      </w:r>
      <w:r w:rsidR="00E353BA">
        <w:rPr>
          <w:rFonts w:ascii="Verdana" w:eastAsia="Times New Roman" w:hAnsi="Verdana" w:cs="Times New Roman"/>
          <w:sz w:val="20"/>
          <w:szCs w:val="20"/>
          <w:lang w:val="es-ES"/>
        </w:rPr>
        <w:t xml:space="preserve">el Estado </w:t>
      </w:r>
      <w:r w:rsidRPr="002E1C85">
        <w:rPr>
          <w:rFonts w:ascii="Verdana" w:eastAsia="Times New Roman" w:hAnsi="Verdana" w:cs="Times New Roman"/>
          <w:sz w:val="20"/>
          <w:szCs w:val="20"/>
          <w:lang w:val="es-ES"/>
        </w:rPr>
        <w:t>destacó que con la reforma de 13 de junio de 2014 al Código de Justicia Militar, “hoy en día está garantizado que […] las denuncias de violaciones a derechos humanos cometidas por el personal de las fuerzas armadas sea</w:t>
      </w:r>
      <w:r w:rsidR="00E353BA">
        <w:rPr>
          <w:rFonts w:ascii="Verdana" w:eastAsia="Times New Roman" w:hAnsi="Verdana" w:cs="Times New Roman"/>
          <w:sz w:val="20"/>
          <w:szCs w:val="20"/>
          <w:lang w:val="es-ES"/>
        </w:rPr>
        <w:t>n</w:t>
      </w:r>
      <w:r w:rsidRPr="002E1C85">
        <w:rPr>
          <w:rFonts w:ascii="Verdana" w:eastAsia="Times New Roman" w:hAnsi="Verdana" w:cs="Times New Roman"/>
          <w:sz w:val="20"/>
          <w:szCs w:val="20"/>
          <w:lang w:val="es-ES"/>
        </w:rPr>
        <w:t xml:space="preserve"> investigadas en el fuero civil”. Por lo que, consideró “que no resulta necesario que la Corte se pronunci</w:t>
      </w:r>
      <w:r w:rsidR="004656ED">
        <w:rPr>
          <w:rFonts w:ascii="Verdana" w:eastAsia="Times New Roman" w:hAnsi="Verdana" w:cs="Times New Roman"/>
          <w:sz w:val="20"/>
          <w:szCs w:val="20"/>
          <w:lang w:val="es-ES"/>
        </w:rPr>
        <w:t>e</w:t>
      </w:r>
      <w:r w:rsidR="00E353BA" w:rsidRPr="00D57E6C">
        <w:rPr>
          <w:rFonts w:ascii="Verdana" w:eastAsia="Verdana" w:hAnsi="Verdana" w:cs="Verdana"/>
          <w:sz w:val="18"/>
          <w:szCs w:val="20"/>
          <w:lang w:val="es-ES" w:eastAsia="es-CR"/>
        </w:rPr>
        <w:t xml:space="preserve"> </w:t>
      </w:r>
      <w:r w:rsidRPr="002E1C85">
        <w:rPr>
          <w:rFonts w:ascii="Verdana" w:eastAsia="Times New Roman" w:hAnsi="Verdana" w:cs="Times New Roman"/>
          <w:sz w:val="20"/>
          <w:szCs w:val="20"/>
          <w:lang w:val="es-ES"/>
        </w:rPr>
        <w:t xml:space="preserve">sobre dicha incompatibilidad en el presente caso, al haberse ya subsanado por el Estado”. </w:t>
      </w:r>
    </w:p>
    <w:p w14:paraId="64AA5DB0" w14:textId="2B507FF4"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También, el Estado señaló no controvertir los siguientes hechos: i) que las presuntas víctimas desaparecidas hayan sido privadas de su libertad el 29 de diciembre de 2009 en el Ejido Benito Juárez, Chihuahua, y que desde ese día no se tenga conocimiento de su suerte</w:t>
      </w:r>
      <w:r w:rsidR="00E353BA">
        <w:rPr>
          <w:rFonts w:ascii="Verdana" w:eastAsia="Times New Roman" w:hAnsi="Verdana" w:cs="Times New Roman"/>
          <w:sz w:val="20"/>
          <w:szCs w:val="20"/>
          <w:lang w:val="es-ES"/>
        </w:rPr>
        <w:t xml:space="preserve"> y/o paradero</w:t>
      </w:r>
      <w:r w:rsidRPr="002E1C85">
        <w:rPr>
          <w:rFonts w:ascii="Verdana" w:eastAsia="Times New Roman" w:hAnsi="Verdana" w:cs="Times New Roman"/>
          <w:sz w:val="20"/>
          <w:szCs w:val="20"/>
          <w:lang w:val="es-ES"/>
        </w:rPr>
        <w:t xml:space="preserve">; ii) que algunos familiares de las presuntas víctimas </w:t>
      </w:r>
      <w:r w:rsidR="00E353BA">
        <w:rPr>
          <w:rFonts w:ascii="Verdana" w:eastAsia="Times New Roman" w:hAnsi="Verdana" w:cs="Times New Roman"/>
          <w:sz w:val="20"/>
          <w:szCs w:val="20"/>
          <w:lang w:val="es-ES"/>
        </w:rPr>
        <w:t xml:space="preserve">desaparecidas </w:t>
      </w:r>
      <w:r w:rsidRPr="002E1C85">
        <w:rPr>
          <w:rFonts w:ascii="Verdana" w:eastAsia="Times New Roman" w:hAnsi="Verdana" w:cs="Times New Roman"/>
          <w:sz w:val="20"/>
          <w:szCs w:val="20"/>
          <w:lang w:val="es-ES"/>
        </w:rPr>
        <w:t xml:space="preserve">fuesen testigos presenciales de que el grupo que privó de </w:t>
      </w:r>
      <w:r w:rsidR="00AE4CF2">
        <w:rPr>
          <w:rFonts w:ascii="Verdana" w:eastAsia="Times New Roman" w:hAnsi="Verdana" w:cs="Times New Roman"/>
          <w:sz w:val="20"/>
          <w:szCs w:val="20"/>
          <w:lang w:val="es-ES"/>
        </w:rPr>
        <w:t xml:space="preserve">la </w:t>
      </w:r>
      <w:r w:rsidRPr="002E1C85">
        <w:rPr>
          <w:rFonts w:ascii="Verdana" w:eastAsia="Times New Roman" w:hAnsi="Verdana" w:cs="Times New Roman"/>
          <w:sz w:val="20"/>
          <w:szCs w:val="20"/>
          <w:lang w:val="es-ES"/>
        </w:rPr>
        <w:t>libertad a Nitza Paola, José Ángel y Rocío Irene Alvarado portara uniformes “con características de tipo militar”; iii) que José Ángel Alvarado Fabela y Jaime Alvarado Herrera y su</w:t>
      </w:r>
      <w:r w:rsidR="00AE4CF2">
        <w:rPr>
          <w:rFonts w:ascii="Verdana" w:eastAsia="Times New Roman" w:hAnsi="Verdana" w:cs="Times New Roman"/>
          <w:sz w:val="20"/>
          <w:szCs w:val="20"/>
          <w:lang w:val="es-ES"/>
        </w:rPr>
        <w:t>s</w:t>
      </w:r>
      <w:r w:rsidRPr="002E1C85">
        <w:rPr>
          <w:rFonts w:ascii="Verdana" w:eastAsia="Times New Roman" w:hAnsi="Verdana" w:cs="Times New Roman"/>
          <w:sz w:val="20"/>
          <w:szCs w:val="20"/>
          <w:lang w:val="es-ES"/>
        </w:rPr>
        <w:t xml:space="preserve"> núcleo</w:t>
      </w:r>
      <w:r w:rsidR="00AE4CF2">
        <w:rPr>
          <w:rFonts w:ascii="Verdana" w:eastAsia="Times New Roman" w:hAnsi="Verdana" w:cs="Times New Roman"/>
          <w:sz w:val="20"/>
          <w:szCs w:val="20"/>
          <w:lang w:val="es-ES"/>
        </w:rPr>
        <w:t>s</w:t>
      </w:r>
      <w:r w:rsidRPr="002E1C85">
        <w:rPr>
          <w:rFonts w:ascii="Verdana" w:eastAsia="Times New Roman" w:hAnsi="Verdana" w:cs="Times New Roman"/>
          <w:sz w:val="20"/>
          <w:szCs w:val="20"/>
          <w:lang w:val="es-ES"/>
        </w:rPr>
        <w:t xml:space="preserve"> familiar</w:t>
      </w:r>
      <w:r w:rsidR="00AE4CF2">
        <w:rPr>
          <w:rFonts w:ascii="Verdana" w:eastAsia="Times New Roman" w:hAnsi="Verdana" w:cs="Times New Roman"/>
          <w:sz w:val="20"/>
          <w:szCs w:val="20"/>
          <w:lang w:val="es-ES"/>
        </w:rPr>
        <w:t>es</w:t>
      </w:r>
      <w:r w:rsidRPr="002E1C85">
        <w:rPr>
          <w:rFonts w:ascii="Verdana" w:eastAsia="Times New Roman" w:hAnsi="Verdana" w:cs="Times New Roman"/>
          <w:sz w:val="20"/>
          <w:szCs w:val="20"/>
          <w:lang w:val="es-ES"/>
        </w:rPr>
        <w:t xml:space="preserve"> </w:t>
      </w:r>
      <w:r w:rsidR="00AE4CF2">
        <w:rPr>
          <w:rFonts w:ascii="Verdana" w:eastAsia="Times New Roman" w:hAnsi="Verdana" w:cs="Times New Roman"/>
          <w:sz w:val="20"/>
          <w:szCs w:val="20"/>
          <w:lang w:val="es-ES"/>
        </w:rPr>
        <w:t>fueron</w:t>
      </w:r>
      <w:r w:rsidRPr="002E1C85">
        <w:rPr>
          <w:rFonts w:ascii="Verdana" w:eastAsia="Times New Roman" w:hAnsi="Verdana" w:cs="Times New Roman"/>
          <w:sz w:val="20"/>
          <w:szCs w:val="20"/>
          <w:lang w:val="es-ES"/>
        </w:rPr>
        <w:t xml:space="preserve"> víctimas de determinadas amenazas y actos de hostigamiento; y iv) que “al momento de los hechos la normatividad en materia de amparo solicitaba la ratificación de la demanda”</w:t>
      </w:r>
      <w:r w:rsidR="00A425E7">
        <w:rPr>
          <w:rFonts w:ascii="Verdana" w:eastAsia="Times New Roman" w:hAnsi="Verdana" w:cs="Times New Roman"/>
          <w:sz w:val="20"/>
          <w:szCs w:val="20"/>
          <w:lang w:val="es-ES"/>
        </w:rPr>
        <w:t>.</w:t>
      </w:r>
      <w:r w:rsidRPr="002E1C85">
        <w:rPr>
          <w:rFonts w:ascii="Verdana" w:eastAsia="Times New Roman" w:hAnsi="Verdana" w:cs="Times New Roman"/>
          <w:sz w:val="20"/>
          <w:szCs w:val="20"/>
          <w:lang w:val="es-ES"/>
        </w:rPr>
        <w:t xml:space="preserve"> </w:t>
      </w:r>
    </w:p>
    <w:p w14:paraId="64AA5DB1" w14:textId="00C8B040" w:rsidR="002E1C85" w:rsidRPr="002E1C85"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lastRenderedPageBreak/>
        <w:t xml:space="preserve">La </w:t>
      </w:r>
      <w:r w:rsidRPr="002E1C85">
        <w:rPr>
          <w:rFonts w:ascii="Verdana" w:eastAsia="Times New Roman" w:hAnsi="Verdana" w:cs="Times New Roman"/>
          <w:b/>
          <w:i/>
          <w:sz w:val="20"/>
          <w:szCs w:val="20"/>
          <w:lang w:val="es-ES"/>
        </w:rPr>
        <w:t>Comisión</w:t>
      </w:r>
      <w:r w:rsidRPr="002E1C85">
        <w:rPr>
          <w:rFonts w:ascii="Verdana" w:eastAsia="Times New Roman" w:hAnsi="Verdana" w:cs="Times New Roman"/>
          <w:sz w:val="20"/>
          <w:szCs w:val="20"/>
          <w:lang w:val="es-ES"/>
        </w:rPr>
        <w:t xml:space="preserve"> valoró positivamente el reconocimiento de responsabilidad estatal respecto de la</w:t>
      </w:r>
      <w:r w:rsidR="00AE4CF2">
        <w:rPr>
          <w:rFonts w:ascii="Verdana" w:eastAsia="Times New Roman" w:hAnsi="Verdana" w:cs="Times New Roman"/>
          <w:sz w:val="20"/>
          <w:szCs w:val="20"/>
          <w:lang w:val="es-ES"/>
        </w:rPr>
        <w:t xml:space="preserve"> alegada</w:t>
      </w:r>
      <w:r w:rsidRPr="002E1C85">
        <w:rPr>
          <w:rFonts w:ascii="Verdana" w:eastAsia="Times New Roman" w:hAnsi="Verdana" w:cs="Times New Roman"/>
          <w:sz w:val="20"/>
          <w:szCs w:val="20"/>
          <w:lang w:val="es-ES"/>
        </w:rPr>
        <w:t xml:space="preserve"> falta de normativa en materia de desaparición forzada al momento de los hechos y observó que “ha cesado la controversia sobre la violación del artículo 2 de la Convención Americana alegada por los representantes”</w:t>
      </w:r>
      <w:r w:rsidRPr="00C61AAA">
        <w:rPr>
          <w:rFonts w:ascii="Verdana" w:eastAsia="Times New Roman" w:hAnsi="Verdana" w:cs="Times New Roman"/>
          <w:sz w:val="20"/>
          <w:szCs w:val="20"/>
          <w:lang w:val="es-ES"/>
        </w:rPr>
        <w:t>.</w:t>
      </w:r>
    </w:p>
    <w:p w14:paraId="64AA5DB4" w14:textId="20B07A2E"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 xml:space="preserve">En cuanto a la declaración del Estado </w:t>
      </w:r>
      <w:r w:rsidR="00782636">
        <w:rPr>
          <w:rFonts w:ascii="Verdana" w:eastAsia="Times New Roman" w:hAnsi="Verdana" w:cs="Times New Roman"/>
          <w:sz w:val="20"/>
          <w:szCs w:val="20"/>
          <w:lang w:val="es-ES"/>
        </w:rPr>
        <w:t xml:space="preserve">respecto de </w:t>
      </w:r>
      <w:r w:rsidRPr="002E1C85">
        <w:rPr>
          <w:rFonts w:ascii="Verdana" w:eastAsia="Times New Roman" w:hAnsi="Verdana" w:cs="Times New Roman"/>
          <w:sz w:val="20"/>
          <w:szCs w:val="20"/>
          <w:lang w:val="es-ES"/>
        </w:rPr>
        <w:t xml:space="preserve">que la normativa actual </w:t>
      </w:r>
      <w:r w:rsidR="00A8450A">
        <w:rPr>
          <w:rFonts w:ascii="Verdana" w:eastAsia="Times New Roman" w:hAnsi="Verdana" w:cs="Times New Roman"/>
          <w:sz w:val="20"/>
          <w:szCs w:val="20"/>
          <w:lang w:val="es-ES"/>
        </w:rPr>
        <w:t>es compatibl</w:t>
      </w:r>
      <w:r w:rsidRPr="002E1C85">
        <w:rPr>
          <w:rFonts w:ascii="Verdana" w:eastAsia="Times New Roman" w:hAnsi="Verdana" w:cs="Times New Roman"/>
          <w:sz w:val="20"/>
          <w:szCs w:val="20"/>
          <w:lang w:val="es-ES"/>
        </w:rPr>
        <w:t>e con la Convención Americana, la Comisión presentó dos observaciones: a) respecto al “análisis de si la tipificación actual satisface los estándares interamericanos”</w:t>
      </w:r>
      <w:r w:rsidR="00EF4FE7">
        <w:rPr>
          <w:rFonts w:ascii="Verdana" w:eastAsia="Times New Roman" w:hAnsi="Verdana" w:cs="Times New Roman"/>
          <w:sz w:val="20"/>
          <w:szCs w:val="20"/>
          <w:lang w:val="es-ES"/>
        </w:rPr>
        <w:t>,</w:t>
      </w:r>
      <w:r w:rsidRPr="002E1C85">
        <w:rPr>
          <w:rFonts w:ascii="Verdana" w:eastAsia="Times New Roman" w:hAnsi="Verdana" w:cs="Times New Roman"/>
          <w:sz w:val="20"/>
          <w:szCs w:val="20"/>
          <w:lang w:val="es-ES"/>
        </w:rPr>
        <w:t xml:space="preserve"> señal</w:t>
      </w:r>
      <w:r w:rsidR="00E80D56">
        <w:rPr>
          <w:rFonts w:ascii="Verdana" w:eastAsia="Times New Roman" w:hAnsi="Verdana" w:cs="Times New Roman"/>
          <w:sz w:val="20"/>
          <w:szCs w:val="20"/>
          <w:lang w:val="es-ES"/>
        </w:rPr>
        <w:t>ó</w:t>
      </w:r>
      <w:r w:rsidRPr="002E1C85">
        <w:rPr>
          <w:rFonts w:ascii="Verdana" w:eastAsia="Times New Roman" w:hAnsi="Verdana" w:cs="Times New Roman"/>
          <w:sz w:val="20"/>
          <w:szCs w:val="20"/>
          <w:lang w:val="es-ES"/>
        </w:rPr>
        <w:t xml:space="preserve"> que éste no debería hacerse “en el marco del reconocimiento, pues se trata de una situación superviniente relevante en el análisis de fondo y reparaciones”; y b) que “la referencia del Estado en esta sección tiene un alcance más amplio que apunta a que México ya contaría con un marco normativo general adecuado para enfrentar la problemática de la desaparición forzada”, lo que consideró que tampoco debe ser analizado en el marco del reconocimiento de responsabilidad “pues se relaciona con el eventual pronunciamiento de la Corte sobre aspectos más generales que se mantienen en controversia, tanto en fondo como de reparaciones”. </w:t>
      </w:r>
    </w:p>
    <w:p w14:paraId="64AA5DB6" w14:textId="553B9B69"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La Comisión también consideró que el marco normativo para enfrentar la problemática de la desaparición forzada, forma “parte de la controversia sobre las [garantías] de no repetición, [en el] contexto más amplio de desapariciones forzadas en el marco de la lucha contra el narcotráfico”; materia que fue identificada como uno de los aspectos de orden público interamericano que plantea este caso. La Comisión consideró “de la mayor relevancia que la Corte resguarde la posibilidad de analizar y pronunciarse en el presente caso sobre la convencionalidad o no de las medidas generales adoptadas por el aparato estatal -incluidas las legislativas- para enfrentar esta grave problemática”.</w:t>
      </w:r>
    </w:p>
    <w:p w14:paraId="64AA5DB8" w14:textId="2ECE9C69"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En lo relativo al conocimiento del caso por la justicia penal militar, la Comisión también valoró positivamente el reconocimiento de responsabilidad, pero “[hizo] notar que la aplicación de la justicia militar es solamente una de las fuentes de responsabilidad del Estado por la falta de investigación adecuada de denuncias de desaparición, a través de autoridades competentes, independientes e imparciales”. Además, observó que el Estado no investigó los hechos del caso en cuestión con la debida diligencia, razón por la cual la Comisión consideró que “es de fundamental relevancia que la Corte efectúe un pronunciamiento completo sobre esta violación”. Finalmente, la Comisión enfatizó que persiste un componente inconvencional en las reformas al Código de Justicia Militar, lo que tendrá que analizar la Corte en la etapa de reparaciones,</w:t>
      </w:r>
      <w:r w:rsidR="00E80D56">
        <w:rPr>
          <w:rFonts w:ascii="Verdana" w:eastAsia="Times New Roman" w:hAnsi="Verdana" w:cs="Times New Roman"/>
          <w:sz w:val="20"/>
          <w:szCs w:val="20"/>
          <w:lang w:val="es-ES"/>
        </w:rPr>
        <w:t xml:space="preserve"> -c</w:t>
      </w:r>
      <w:r w:rsidRPr="002E1C85">
        <w:rPr>
          <w:rFonts w:ascii="Verdana" w:eastAsia="Times New Roman" w:hAnsi="Verdana" w:cs="Times New Roman"/>
          <w:sz w:val="20"/>
          <w:szCs w:val="20"/>
          <w:lang w:val="es-ES"/>
        </w:rPr>
        <w:t>oncretamente- dentro de las medidas de reparación.</w:t>
      </w:r>
    </w:p>
    <w:p w14:paraId="64AA5DBA" w14:textId="00BF991E"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L</w:t>
      </w:r>
      <w:r w:rsidR="00667458">
        <w:rPr>
          <w:rFonts w:ascii="Verdana" w:eastAsia="Times New Roman" w:hAnsi="Verdana" w:cs="Times New Roman"/>
          <w:sz w:val="20"/>
          <w:szCs w:val="20"/>
          <w:lang w:val="es-ES"/>
        </w:rPr>
        <w:t>a</w:t>
      </w:r>
      <w:r w:rsidRPr="002E1C85">
        <w:rPr>
          <w:rFonts w:ascii="Verdana" w:eastAsia="Times New Roman" w:hAnsi="Verdana" w:cs="Times New Roman"/>
          <w:sz w:val="20"/>
          <w:szCs w:val="20"/>
          <w:lang w:val="es-ES"/>
        </w:rPr>
        <w:t xml:space="preserve">s </w:t>
      </w:r>
      <w:r w:rsidR="00C96C12">
        <w:rPr>
          <w:rFonts w:ascii="Verdana" w:eastAsia="Times New Roman" w:hAnsi="Verdana" w:cs="Times New Roman"/>
          <w:b/>
          <w:i/>
          <w:sz w:val="20"/>
          <w:szCs w:val="20"/>
          <w:lang w:val="es-ES"/>
        </w:rPr>
        <w:t>R</w:t>
      </w:r>
      <w:r w:rsidRPr="002E1C85">
        <w:rPr>
          <w:rFonts w:ascii="Verdana" w:eastAsia="Times New Roman" w:hAnsi="Verdana" w:cs="Times New Roman"/>
          <w:b/>
          <w:i/>
          <w:sz w:val="20"/>
          <w:szCs w:val="20"/>
          <w:lang w:val="es-ES"/>
        </w:rPr>
        <w:t>epresentantes</w:t>
      </w:r>
      <w:r w:rsidRPr="002E1C85">
        <w:rPr>
          <w:rFonts w:ascii="Verdana" w:eastAsia="Times New Roman" w:hAnsi="Verdana" w:cs="Times New Roman"/>
          <w:sz w:val="20"/>
          <w:szCs w:val="20"/>
          <w:lang w:val="es-ES"/>
        </w:rPr>
        <w:t xml:space="preserve"> señalaron que en lo concerniente a la normatividad en materia de desaparición forzada, coincid</w:t>
      </w:r>
      <w:r w:rsidR="00DE6427">
        <w:rPr>
          <w:rFonts w:ascii="Verdana" w:eastAsia="Times New Roman" w:hAnsi="Verdana" w:cs="Times New Roman"/>
          <w:sz w:val="20"/>
          <w:szCs w:val="20"/>
          <w:lang w:val="es-ES"/>
        </w:rPr>
        <w:t>ían</w:t>
      </w:r>
      <w:r w:rsidRPr="002E1C85">
        <w:rPr>
          <w:rFonts w:ascii="Verdana" w:eastAsia="Times New Roman" w:hAnsi="Verdana" w:cs="Times New Roman"/>
          <w:sz w:val="20"/>
          <w:szCs w:val="20"/>
          <w:lang w:val="es-ES"/>
        </w:rPr>
        <w:t xml:space="preserve"> con el Estado en el sentido de que México cuenta con un marco normativo general que se encuentra en proceso de implementación</w:t>
      </w:r>
      <w:r w:rsidRPr="002E1C85">
        <w:rPr>
          <w:rFonts w:ascii="Verdana" w:eastAsia="Times New Roman" w:hAnsi="Verdana" w:cs="Times New Roman"/>
          <w:sz w:val="20"/>
          <w:szCs w:val="20"/>
          <w:vertAlign w:val="superscript"/>
          <w:lang w:val="es-ES"/>
        </w:rPr>
        <w:footnoteReference w:id="27"/>
      </w:r>
      <w:r w:rsidRPr="002E1C85">
        <w:rPr>
          <w:rFonts w:ascii="Verdana" w:eastAsia="Times New Roman" w:hAnsi="Verdana" w:cs="Times New Roman"/>
          <w:sz w:val="20"/>
          <w:szCs w:val="20"/>
          <w:lang w:val="es-ES"/>
        </w:rPr>
        <w:t xml:space="preserve">; sin embargo, </w:t>
      </w:r>
      <w:r w:rsidR="00DE6427">
        <w:rPr>
          <w:rFonts w:ascii="Verdana" w:eastAsia="Times New Roman" w:hAnsi="Verdana" w:cs="Times New Roman"/>
          <w:sz w:val="20"/>
          <w:szCs w:val="20"/>
          <w:lang w:val="es-ES"/>
        </w:rPr>
        <w:t xml:space="preserve">manifestaron </w:t>
      </w:r>
      <w:r w:rsidRPr="002E1C85">
        <w:rPr>
          <w:rFonts w:ascii="Verdana" w:eastAsia="Times New Roman" w:hAnsi="Verdana" w:cs="Times New Roman"/>
          <w:sz w:val="20"/>
          <w:szCs w:val="20"/>
          <w:lang w:val="es-ES"/>
        </w:rPr>
        <w:t>est</w:t>
      </w:r>
      <w:r w:rsidR="00DE6427">
        <w:rPr>
          <w:rFonts w:ascii="Verdana" w:eastAsia="Times New Roman" w:hAnsi="Verdana" w:cs="Times New Roman"/>
          <w:sz w:val="20"/>
          <w:szCs w:val="20"/>
          <w:lang w:val="es-ES"/>
        </w:rPr>
        <w:t>ar</w:t>
      </w:r>
      <w:r w:rsidRPr="002E1C85">
        <w:rPr>
          <w:rFonts w:ascii="Verdana" w:eastAsia="Times New Roman" w:hAnsi="Verdana" w:cs="Times New Roman"/>
          <w:sz w:val="20"/>
          <w:szCs w:val="20"/>
          <w:lang w:val="es-ES"/>
        </w:rPr>
        <w:t xml:space="preserve"> en completa discordancia con la afirmación del Estado en cuanto a que la violación al artículo 2 de la Convención ya ha sido reparada, y que “no resulta necesario que la Corte Interamericana se pronunci</w:t>
      </w:r>
      <w:r w:rsidR="00DE6427">
        <w:rPr>
          <w:rFonts w:ascii="Verdana" w:eastAsia="Times New Roman" w:hAnsi="Verdana" w:cs="Times New Roman"/>
          <w:sz w:val="20"/>
          <w:szCs w:val="20"/>
          <w:lang w:val="es-ES"/>
        </w:rPr>
        <w:t>[ara]</w:t>
      </w:r>
      <w:r w:rsidRPr="002E1C85">
        <w:rPr>
          <w:rFonts w:ascii="Verdana" w:eastAsia="Times New Roman" w:hAnsi="Verdana" w:cs="Times New Roman"/>
          <w:sz w:val="20"/>
          <w:szCs w:val="20"/>
          <w:lang w:val="es-ES"/>
        </w:rPr>
        <w:t xml:space="preserve"> al respecto”. </w:t>
      </w:r>
    </w:p>
    <w:p w14:paraId="64AA5DBC" w14:textId="5A549ABD" w:rsidR="002E1C85" w:rsidRPr="007A3899" w:rsidRDefault="002E1C85" w:rsidP="007A3899">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7A3899">
        <w:rPr>
          <w:rFonts w:ascii="Verdana" w:eastAsia="Times New Roman" w:hAnsi="Verdana" w:cs="Times New Roman"/>
          <w:sz w:val="20"/>
          <w:szCs w:val="20"/>
          <w:lang w:val="es-ES"/>
        </w:rPr>
        <w:t>L</w:t>
      </w:r>
      <w:r w:rsidR="00667458" w:rsidRPr="007A3899">
        <w:rPr>
          <w:rFonts w:ascii="Verdana" w:eastAsia="Times New Roman" w:hAnsi="Verdana" w:cs="Times New Roman"/>
          <w:sz w:val="20"/>
          <w:szCs w:val="20"/>
          <w:lang w:val="es-ES"/>
        </w:rPr>
        <w:t>a</w:t>
      </w:r>
      <w:r w:rsidRPr="007A3899">
        <w:rPr>
          <w:rFonts w:ascii="Verdana" w:eastAsia="Times New Roman" w:hAnsi="Verdana" w:cs="Times New Roman"/>
          <w:sz w:val="20"/>
          <w:szCs w:val="20"/>
          <w:lang w:val="es-ES"/>
        </w:rPr>
        <w:t xml:space="preserve">s representantes tomaron como antecedente jurisprudencial el caso </w:t>
      </w:r>
      <w:r w:rsidRPr="007A3899">
        <w:rPr>
          <w:rFonts w:ascii="Verdana" w:eastAsia="Times New Roman" w:hAnsi="Verdana" w:cs="Times New Roman"/>
          <w:i/>
          <w:sz w:val="20"/>
          <w:szCs w:val="20"/>
          <w:lang w:val="es-ES"/>
        </w:rPr>
        <w:t>Radilla Pacheco</w:t>
      </w:r>
      <w:r w:rsidRPr="002E1C85">
        <w:rPr>
          <w:rFonts w:ascii="Verdana" w:eastAsia="Times New Roman" w:hAnsi="Verdana" w:cs="Times New Roman"/>
          <w:sz w:val="20"/>
          <w:szCs w:val="20"/>
          <w:vertAlign w:val="superscript"/>
          <w:lang w:val="es-ES"/>
        </w:rPr>
        <w:footnoteReference w:id="28"/>
      </w:r>
      <w:r w:rsidRPr="007A3899">
        <w:rPr>
          <w:rFonts w:ascii="Verdana" w:eastAsia="Times New Roman" w:hAnsi="Verdana" w:cs="Times New Roman"/>
          <w:sz w:val="20"/>
          <w:szCs w:val="20"/>
          <w:lang w:val="es-ES"/>
        </w:rPr>
        <w:t>, en el cual la Corte señaló que “la falta de tipificación adecuada del delito de desaparición forzada de personas, no sol</w:t>
      </w:r>
      <w:r w:rsidR="00242D94" w:rsidRPr="007A3899">
        <w:rPr>
          <w:rFonts w:ascii="Verdana" w:eastAsia="Times New Roman" w:hAnsi="Verdana" w:cs="Times New Roman"/>
          <w:sz w:val="20"/>
          <w:szCs w:val="20"/>
          <w:lang w:val="es-ES"/>
        </w:rPr>
        <w:t>o</w:t>
      </w:r>
      <w:r w:rsidRPr="007A3899">
        <w:rPr>
          <w:rFonts w:ascii="Verdana" w:eastAsia="Times New Roman" w:hAnsi="Verdana" w:cs="Times New Roman"/>
          <w:sz w:val="20"/>
          <w:szCs w:val="20"/>
          <w:lang w:val="es-ES"/>
        </w:rPr>
        <w:t xml:space="preserve"> v</w:t>
      </w:r>
      <w:r w:rsidR="00242D94" w:rsidRPr="007A3899">
        <w:rPr>
          <w:rFonts w:ascii="Verdana" w:eastAsia="Times New Roman" w:hAnsi="Verdana" w:cs="Times New Roman"/>
          <w:sz w:val="20"/>
          <w:szCs w:val="20"/>
          <w:lang w:val="es-ES"/>
        </w:rPr>
        <w:t>iola</w:t>
      </w:r>
      <w:r w:rsidRPr="007A3899">
        <w:rPr>
          <w:rFonts w:ascii="Verdana" w:eastAsia="Times New Roman" w:hAnsi="Verdana" w:cs="Times New Roman"/>
          <w:sz w:val="20"/>
          <w:szCs w:val="20"/>
          <w:lang w:val="es-ES"/>
        </w:rPr>
        <w:t xml:space="preserve"> el artículo 2 de la Convención</w:t>
      </w:r>
      <w:r w:rsidR="00237F3A">
        <w:rPr>
          <w:rFonts w:ascii="Verdana" w:eastAsia="Times New Roman" w:hAnsi="Verdana" w:cs="Times New Roman"/>
          <w:sz w:val="20"/>
          <w:szCs w:val="20"/>
          <w:lang w:val="es-ES"/>
        </w:rPr>
        <w:t xml:space="preserve"> </w:t>
      </w:r>
      <w:r w:rsidRPr="007A3899">
        <w:rPr>
          <w:rFonts w:ascii="Verdana" w:eastAsia="Times New Roman" w:hAnsi="Verdana" w:cs="Times New Roman"/>
          <w:sz w:val="20"/>
          <w:szCs w:val="20"/>
          <w:lang w:val="es-ES"/>
        </w:rPr>
        <w:t xml:space="preserve">[,] sino que </w:t>
      </w:r>
      <w:r w:rsidR="00242D94" w:rsidRPr="007A3899">
        <w:rPr>
          <w:rFonts w:ascii="Verdana" w:eastAsia="Times New Roman" w:hAnsi="Verdana" w:cs="Times New Roman"/>
          <w:sz w:val="20"/>
          <w:szCs w:val="20"/>
          <w:lang w:val="es-ES"/>
        </w:rPr>
        <w:t>es</w:t>
      </w:r>
      <w:r w:rsidRPr="00FF641A">
        <w:rPr>
          <w:rFonts w:ascii="Verdana" w:eastAsia="Times New Roman" w:hAnsi="Verdana" w:cs="Times New Roman"/>
          <w:sz w:val="20"/>
          <w:szCs w:val="20"/>
          <w:lang w:val="es-ES"/>
        </w:rPr>
        <w:t xml:space="preserve"> una </w:t>
      </w:r>
      <w:r w:rsidR="00205AF7" w:rsidRPr="008D0846">
        <w:rPr>
          <w:rFonts w:ascii="Verdana" w:eastAsia="Times New Roman" w:hAnsi="Verdana" w:cs="Times New Roman"/>
          <w:sz w:val="20"/>
          <w:szCs w:val="20"/>
          <w:lang w:val="es-ES"/>
        </w:rPr>
        <w:t>infra</w:t>
      </w:r>
      <w:r w:rsidRPr="007A3899">
        <w:rPr>
          <w:rFonts w:ascii="Verdana" w:eastAsia="Times New Roman" w:hAnsi="Verdana" w:cs="Times New Roman"/>
          <w:sz w:val="20"/>
          <w:szCs w:val="20"/>
          <w:lang w:val="es-ES"/>
        </w:rPr>
        <w:t>cción directa a los artículos l y lll de la Convención Interamericana sobre Desaparición Forzada de Personas”. Por lo anterior, solicitaron a la Corte que determin</w:t>
      </w:r>
      <w:r w:rsidR="00667458" w:rsidRPr="007A3899">
        <w:rPr>
          <w:rFonts w:ascii="Verdana" w:eastAsia="Times New Roman" w:hAnsi="Verdana" w:cs="Times New Roman"/>
          <w:sz w:val="20"/>
          <w:szCs w:val="20"/>
          <w:lang w:val="es-ES"/>
        </w:rPr>
        <w:t>ara</w:t>
      </w:r>
      <w:r w:rsidRPr="007A3899">
        <w:rPr>
          <w:rFonts w:ascii="Verdana" w:eastAsia="Times New Roman" w:hAnsi="Verdana" w:cs="Times New Roman"/>
          <w:sz w:val="20"/>
          <w:szCs w:val="20"/>
          <w:lang w:val="es-ES"/>
        </w:rPr>
        <w:t xml:space="preserve"> que, al no estar tipificado adecuadamente el delito de desaparición forzada de personas, el Estado “violó el artículo 2 de la Convención Americana </w:t>
      </w:r>
      <w:r w:rsidR="00E80D56">
        <w:rPr>
          <w:rFonts w:ascii="Verdana" w:eastAsia="Times New Roman" w:hAnsi="Verdana" w:cs="Times New Roman"/>
          <w:sz w:val="20"/>
          <w:szCs w:val="20"/>
          <w:lang w:val="es-ES"/>
        </w:rPr>
        <w:t>[…]</w:t>
      </w:r>
      <w:r w:rsidRPr="007A3899">
        <w:rPr>
          <w:rFonts w:ascii="Verdana" w:eastAsia="Times New Roman" w:hAnsi="Verdana" w:cs="Times New Roman"/>
          <w:sz w:val="20"/>
          <w:szCs w:val="20"/>
          <w:lang w:val="es-ES"/>
        </w:rPr>
        <w:t xml:space="preserve">, en relación con el 1.1 del mismo instrumento internacional y, adicionalmente, […] los artículos l y lll de la Convención Interamericana sobre Desaparición Forzada de Personas”. Consideraron </w:t>
      </w:r>
      <w:r w:rsidRPr="007A3899">
        <w:rPr>
          <w:rFonts w:ascii="Verdana" w:eastAsia="Times New Roman" w:hAnsi="Verdana" w:cs="Times New Roman"/>
          <w:sz w:val="20"/>
          <w:szCs w:val="20"/>
          <w:lang w:val="es-ES"/>
        </w:rPr>
        <w:lastRenderedPageBreak/>
        <w:t xml:space="preserve">que, si bien la aceptación de responsabilidad es un paso positivo en materia de derechos humanos, la Corte debe establecer que esa aceptación “no es válida ni aceptable para los fines del Sistema Interamericano en tanto contraviene jurisprudencia […] que este Tribunal ha establecido al incluir varias disposiciones de la Convención Interamericana sobre Desaparición Forzada de </w:t>
      </w:r>
      <w:r w:rsidR="00242D94" w:rsidRPr="007A3899">
        <w:rPr>
          <w:rFonts w:ascii="Verdana" w:eastAsia="Times New Roman" w:hAnsi="Verdana" w:cs="Times New Roman"/>
          <w:sz w:val="20"/>
          <w:szCs w:val="20"/>
          <w:lang w:val="es-ES"/>
        </w:rPr>
        <w:t>P</w:t>
      </w:r>
      <w:r w:rsidRPr="007A3899">
        <w:rPr>
          <w:rFonts w:ascii="Verdana" w:eastAsia="Times New Roman" w:hAnsi="Verdana" w:cs="Times New Roman"/>
          <w:sz w:val="20"/>
          <w:szCs w:val="20"/>
          <w:lang w:val="es-ES"/>
        </w:rPr>
        <w:t xml:space="preserve">ersonas”. </w:t>
      </w:r>
    </w:p>
    <w:p w14:paraId="64AA5DBE" w14:textId="1970AAC9"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En relación con la incompatibilidad de las investigaciones en el fuero militar con varias disposiciones de la Convención Americana, l</w:t>
      </w:r>
      <w:r w:rsidR="0020483A">
        <w:rPr>
          <w:rFonts w:ascii="Verdana" w:eastAsia="Times New Roman" w:hAnsi="Verdana" w:cs="Times New Roman"/>
          <w:sz w:val="20"/>
          <w:szCs w:val="20"/>
          <w:lang w:val="es-ES"/>
        </w:rPr>
        <w:t>a</w:t>
      </w:r>
      <w:r w:rsidRPr="002E1C85">
        <w:rPr>
          <w:rFonts w:ascii="Verdana" w:eastAsia="Times New Roman" w:hAnsi="Verdana" w:cs="Times New Roman"/>
          <w:sz w:val="20"/>
          <w:szCs w:val="20"/>
          <w:lang w:val="es-ES"/>
        </w:rPr>
        <w:t xml:space="preserve">s representantes “considera[ron] innecesario hacer una amplia argumentación sobre lo vertido por el Estado”; </w:t>
      </w:r>
      <w:r w:rsidR="00286809">
        <w:rPr>
          <w:rFonts w:ascii="Verdana" w:eastAsia="Times New Roman" w:hAnsi="Verdana" w:cs="Times New Roman"/>
          <w:sz w:val="20"/>
          <w:szCs w:val="20"/>
          <w:lang w:val="es-ES"/>
        </w:rPr>
        <w:t>basta</w:t>
      </w:r>
      <w:r w:rsidRPr="002E1C85">
        <w:rPr>
          <w:rFonts w:ascii="Verdana" w:eastAsia="Times New Roman" w:hAnsi="Verdana" w:cs="Times New Roman"/>
          <w:sz w:val="20"/>
          <w:szCs w:val="20"/>
          <w:lang w:val="es-ES"/>
        </w:rPr>
        <w:t xml:space="preserve"> con señalar que la Corte ha establecido que la reforma mencionada, no es suficiente para cumplir con sus obligaciones internacionales en la materia; por lo cual, solicitaron a este Tribunal que no se acepte el reconocimiento de responsabilidad estatal “en tanto que ello sigue siendo una violación a los artículos 8, 25 y 2 de la Convención Americana en relación con el 1.1 del mismo instrumento” pues consideraron que a la fecha las modificaciones normativas no han sido suficientes, tal y como señaló esta Corte en la Resolución de Supervisión de </w:t>
      </w:r>
      <w:r w:rsidR="0020483A">
        <w:rPr>
          <w:rFonts w:ascii="Verdana" w:eastAsia="Times New Roman" w:hAnsi="Verdana" w:cs="Times New Roman"/>
          <w:sz w:val="20"/>
          <w:szCs w:val="20"/>
          <w:lang w:val="es-ES"/>
        </w:rPr>
        <w:t>C</w:t>
      </w:r>
      <w:r w:rsidRPr="002E1C85">
        <w:rPr>
          <w:rFonts w:ascii="Verdana" w:eastAsia="Times New Roman" w:hAnsi="Verdana" w:cs="Times New Roman"/>
          <w:sz w:val="20"/>
          <w:szCs w:val="20"/>
          <w:lang w:val="es-ES"/>
        </w:rPr>
        <w:t xml:space="preserve">umplimiento de los </w:t>
      </w:r>
      <w:r w:rsidR="0020483A">
        <w:rPr>
          <w:rFonts w:ascii="Verdana" w:eastAsia="Times New Roman" w:hAnsi="Verdana" w:cs="Times New Roman"/>
          <w:sz w:val="20"/>
          <w:szCs w:val="20"/>
          <w:lang w:val="es-ES"/>
        </w:rPr>
        <w:t>c</w:t>
      </w:r>
      <w:r w:rsidRPr="002E1C85">
        <w:rPr>
          <w:rFonts w:ascii="Verdana" w:eastAsia="Times New Roman" w:hAnsi="Verdana" w:cs="Times New Roman"/>
          <w:sz w:val="20"/>
          <w:szCs w:val="20"/>
          <w:lang w:val="es-ES"/>
        </w:rPr>
        <w:t xml:space="preserve">asos </w:t>
      </w:r>
      <w:r w:rsidRPr="002E1C85">
        <w:rPr>
          <w:rFonts w:ascii="Verdana" w:eastAsia="Times New Roman" w:hAnsi="Verdana" w:cs="Times New Roman"/>
          <w:i/>
          <w:sz w:val="20"/>
          <w:szCs w:val="20"/>
          <w:lang w:val="es-ES"/>
        </w:rPr>
        <w:t>Radilla Pacheco, Fernández Ortega y Otros</w:t>
      </w:r>
      <w:r w:rsidRPr="002E1C85">
        <w:rPr>
          <w:rFonts w:ascii="Verdana" w:eastAsia="Times New Roman" w:hAnsi="Verdana" w:cs="Times New Roman"/>
          <w:sz w:val="20"/>
          <w:szCs w:val="20"/>
          <w:lang w:val="es-ES"/>
        </w:rPr>
        <w:t xml:space="preserve">, y </w:t>
      </w:r>
      <w:r w:rsidRPr="002E1C85">
        <w:rPr>
          <w:rFonts w:ascii="Verdana" w:eastAsia="Times New Roman" w:hAnsi="Verdana" w:cs="Times New Roman"/>
          <w:i/>
          <w:sz w:val="20"/>
          <w:szCs w:val="20"/>
          <w:lang w:val="es-ES"/>
        </w:rPr>
        <w:t>Rosendo Cantú y Otra</w:t>
      </w:r>
      <w:r w:rsidR="0020483A">
        <w:rPr>
          <w:rFonts w:ascii="Verdana" w:eastAsia="Times New Roman" w:hAnsi="Verdana" w:cs="Times New Roman"/>
          <w:i/>
          <w:sz w:val="20"/>
          <w:szCs w:val="20"/>
          <w:lang w:val="es-ES"/>
        </w:rPr>
        <w:t xml:space="preserve">, </w:t>
      </w:r>
      <w:r w:rsidR="0020483A" w:rsidRPr="008D0846">
        <w:rPr>
          <w:rFonts w:ascii="Verdana" w:eastAsia="Times New Roman" w:hAnsi="Verdana" w:cs="Times New Roman"/>
          <w:sz w:val="20"/>
          <w:szCs w:val="20"/>
          <w:lang w:val="es-ES"/>
        </w:rPr>
        <w:t>todos contra</w:t>
      </w:r>
      <w:r w:rsidRPr="002E1C85">
        <w:rPr>
          <w:rFonts w:ascii="Verdana" w:eastAsia="Times New Roman" w:hAnsi="Verdana" w:cs="Times New Roman"/>
          <w:i/>
          <w:sz w:val="20"/>
          <w:szCs w:val="20"/>
          <w:lang w:val="es-ES"/>
        </w:rPr>
        <w:t xml:space="preserve"> México</w:t>
      </w:r>
      <w:r w:rsidRPr="002E1C85">
        <w:rPr>
          <w:rFonts w:ascii="Verdana" w:eastAsia="Times New Roman" w:hAnsi="Verdana" w:cs="Times New Roman"/>
          <w:sz w:val="20"/>
          <w:szCs w:val="20"/>
          <w:lang w:val="es-ES"/>
        </w:rPr>
        <w:t xml:space="preserve">. </w:t>
      </w:r>
    </w:p>
    <w:p w14:paraId="64AA5DC0" w14:textId="17E5D435" w:rsidR="002E1C85" w:rsidRPr="00E67720" w:rsidRDefault="0020172F" w:rsidP="00EC08E0">
      <w:pPr>
        <w:pStyle w:val="Ttulo2"/>
        <w:spacing w:before="120" w:after="120"/>
        <w:ind w:left="993" w:hanging="426"/>
      </w:pPr>
      <w:bookmarkStart w:id="50" w:name="_Toc526774137"/>
      <w:bookmarkStart w:id="51" w:name="_Toc526777469"/>
      <w:bookmarkStart w:id="52" w:name="_Toc526783748"/>
      <w:r>
        <w:t xml:space="preserve"> </w:t>
      </w:r>
      <w:bookmarkStart w:id="53" w:name="_Toc532995316"/>
      <w:r w:rsidR="002E1C85" w:rsidRPr="002E1C85">
        <w:t>Consideraciones de la Corte</w:t>
      </w:r>
      <w:bookmarkEnd w:id="50"/>
      <w:bookmarkEnd w:id="51"/>
      <w:bookmarkEnd w:id="52"/>
      <w:bookmarkEnd w:id="53"/>
    </w:p>
    <w:p w14:paraId="64AA5DC2" w14:textId="54A03D7A"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En este sentido, el Tribunal estima que el reconocimiento parcial de responsabilidad efectuado por el Estado constituye una contribución positiva al desarrollo de este proceso y a la vigencia de los principios que inspiran la Convención Americana</w:t>
      </w:r>
      <w:r w:rsidRPr="002E1C85">
        <w:rPr>
          <w:rFonts w:ascii="Verdana" w:eastAsia="Times New Roman" w:hAnsi="Verdana" w:cs="Times New Roman"/>
          <w:sz w:val="20"/>
          <w:szCs w:val="20"/>
          <w:vertAlign w:val="superscript"/>
          <w:lang w:val="es-ES"/>
        </w:rPr>
        <w:footnoteReference w:id="29"/>
      </w:r>
      <w:r w:rsidRPr="002E1C85">
        <w:rPr>
          <w:rFonts w:ascii="Verdana" w:eastAsia="Times New Roman" w:hAnsi="Verdana" w:cs="Times New Roman"/>
          <w:sz w:val="20"/>
          <w:szCs w:val="20"/>
          <w:lang w:val="es-ES"/>
        </w:rPr>
        <w:t>. Asimismo, la Corte considera, como en otros casos</w:t>
      </w:r>
      <w:r w:rsidRPr="002E1C85">
        <w:rPr>
          <w:rFonts w:ascii="Verdana" w:eastAsia="Times New Roman" w:hAnsi="Verdana" w:cs="Times New Roman"/>
          <w:sz w:val="20"/>
          <w:szCs w:val="20"/>
          <w:vertAlign w:val="superscript"/>
          <w:lang w:val="es-ES"/>
        </w:rPr>
        <w:footnoteReference w:id="30"/>
      </w:r>
      <w:r w:rsidRPr="002E1C85">
        <w:rPr>
          <w:rFonts w:ascii="Verdana" w:eastAsia="Times New Roman" w:hAnsi="Verdana" w:cs="Times New Roman"/>
          <w:sz w:val="20"/>
          <w:szCs w:val="20"/>
          <w:lang w:val="es-ES"/>
        </w:rPr>
        <w:t>, que tal reconocimiento produce efectos jurídicos en el presente caso.</w:t>
      </w:r>
    </w:p>
    <w:p w14:paraId="64AA5DC4" w14:textId="4F92F5A1"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Sin perjuicio de lo anterior, de conformidad con los artículos 62</w:t>
      </w:r>
      <w:r w:rsidRPr="002E1C85">
        <w:rPr>
          <w:rFonts w:ascii="Verdana" w:eastAsia="Times New Roman" w:hAnsi="Verdana" w:cs="Times New Roman"/>
          <w:sz w:val="20"/>
          <w:szCs w:val="20"/>
          <w:vertAlign w:val="superscript"/>
          <w:lang w:val="es-ES"/>
        </w:rPr>
        <w:footnoteReference w:id="31"/>
      </w:r>
      <w:r w:rsidRPr="002E1C85">
        <w:rPr>
          <w:rFonts w:ascii="Verdana" w:eastAsia="Times New Roman" w:hAnsi="Verdana" w:cs="Times New Roman"/>
          <w:sz w:val="20"/>
          <w:szCs w:val="20"/>
          <w:vertAlign w:val="superscript"/>
          <w:lang w:val="es-ES"/>
        </w:rPr>
        <w:t xml:space="preserve"> </w:t>
      </w:r>
      <w:r w:rsidRPr="002E1C85">
        <w:rPr>
          <w:rFonts w:ascii="Verdana" w:eastAsia="Times New Roman" w:hAnsi="Verdana" w:cs="Times New Roman"/>
          <w:sz w:val="20"/>
          <w:szCs w:val="20"/>
          <w:lang w:val="es-ES"/>
        </w:rPr>
        <w:t>y 64</w:t>
      </w:r>
      <w:r w:rsidRPr="002E1C85">
        <w:rPr>
          <w:rFonts w:ascii="Verdana" w:eastAsia="Times New Roman" w:hAnsi="Verdana" w:cs="Times New Roman"/>
          <w:sz w:val="20"/>
          <w:szCs w:val="20"/>
          <w:vertAlign w:val="superscript"/>
          <w:lang w:val="es-ES"/>
        </w:rPr>
        <w:footnoteReference w:id="32"/>
      </w:r>
      <w:r w:rsidRPr="002E1C85">
        <w:rPr>
          <w:rFonts w:ascii="Verdana" w:eastAsia="Times New Roman" w:hAnsi="Verdana" w:cs="Times New Roman"/>
          <w:sz w:val="20"/>
          <w:szCs w:val="20"/>
          <w:lang w:val="es-ES"/>
        </w:rPr>
        <w:t xml:space="preserve"> del Reglamento</w:t>
      </w:r>
      <w:r w:rsidR="004E6186">
        <w:rPr>
          <w:rFonts w:ascii="Verdana" w:eastAsia="Times New Roman" w:hAnsi="Verdana" w:cs="Times New Roman"/>
          <w:sz w:val="20"/>
          <w:szCs w:val="20"/>
          <w:lang w:val="es-ES"/>
        </w:rPr>
        <w:t xml:space="preserve"> de la Corte Interamericana</w:t>
      </w:r>
      <w:r w:rsidR="00286809">
        <w:rPr>
          <w:rFonts w:ascii="Verdana" w:eastAsia="Times New Roman" w:hAnsi="Verdana" w:cs="Times New Roman"/>
          <w:sz w:val="20"/>
          <w:szCs w:val="20"/>
          <w:lang w:val="es-ES"/>
        </w:rPr>
        <w:t xml:space="preserve"> </w:t>
      </w:r>
      <w:r w:rsidR="004E6186">
        <w:rPr>
          <w:rFonts w:ascii="Verdana" w:eastAsia="Verdana" w:hAnsi="Verdana" w:cs="Verdana"/>
          <w:sz w:val="20"/>
          <w:szCs w:val="20"/>
          <w:lang w:val="es-ES" w:eastAsia="es-CR"/>
        </w:rPr>
        <w:t xml:space="preserve">(en lo sucesivo </w:t>
      </w:r>
      <w:r w:rsidR="004E6186">
        <w:rPr>
          <w:rFonts w:ascii="Verdana" w:hAnsi="Verdana"/>
          <w:sz w:val="20"/>
        </w:rPr>
        <w:t>“el Reglamento de la Corte”, “el Reglamento del Tribunal” o “el Reglamento”</w:t>
      </w:r>
      <w:r w:rsidR="004E6186" w:rsidRPr="002E1C85">
        <w:rPr>
          <w:rFonts w:ascii="Verdana" w:eastAsia="Verdana" w:hAnsi="Verdana" w:cs="Verdana"/>
          <w:sz w:val="20"/>
          <w:szCs w:val="20"/>
          <w:lang w:val="es-ES" w:eastAsia="es-CR"/>
        </w:rPr>
        <w:t>)</w:t>
      </w:r>
      <w:r w:rsidRPr="002E1C85">
        <w:rPr>
          <w:rFonts w:ascii="Verdana" w:eastAsia="Times New Roman" w:hAnsi="Verdana" w:cs="Times New Roman"/>
          <w:sz w:val="20"/>
          <w:szCs w:val="20"/>
          <w:lang w:val="es-ES"/>
        </w:rPr>
        <w:t xml:space="preserve">, así como en ejercicio de sus poderes de tutela judicial internacional de derechos humanos, cuestión de orden público internacional que trasciende la voluntad de las partes, incumbe al Tribunal velar porque los actos de allanamiento resulten aceptables para los fines que busca cumplir el </w:t>
      </w:r>
      <w:r w:rsidR="004E6186">
        <w:rPr>
          <w:rFonts w:ascii="Verdana" w:eastAsia="Times New Roman" w:hAnsi="Verdana" w:cs="Times New Roman"/>
          <w:sz w:val="20"/>
          <w:szCs w:val="20"/>
          <w:lang w:val="es-ES"/>
        </w:rPr>
        <w:t>S</w:t>
      </w:r>
      <w:r w:rsidRPr="002E1C85">
        <w:rPr>
          <w:rFonts w:ascii="Verdana" w:eastAsia="Times New Roman" w:hAnsi="Verdana" w:cs="Times New Roman"/>
          <w:sz w:val="20"/>
          <w:szCs w:val="20"/>
          <w:lang w:val="es-ES"/>
        </w:rPr>
        <w:t xml:space="preserve">istema </w:t>
      </w:r>
      <w:r w:rsidR="004E6186">
        <w:rPr>
          <w:rFonts w:ascii="Verdana" w:eastAsia="Times New Roman" w:hAnsi="Verdana" w:cs="Times New Roman"/>
          <w:sz w:val="20"/>
          <w:szCs w:val="20"/>
          <w:lang w:val="es-ES"/>
        </w:rPr>
        <w:t>I</w:t>
      </w:r>
      <w:r w:rsidRPr="002E1C85">
        <w:rPr>
          <w:rFonts w:ascii="Verdana" w:eastAsia="Times New Roman" w:hAnsi="Verdana" w:cs="Times New Roman"/>
          <w:sz w:val="20"/>
          <w:szCs w:val="20"/>
          <w:lang w:val="es-ES"/>
        </w:rPr>
        <w:t>nteramericano. En esta tarea no se limita únicamente a tomar nota del reconocimiento efectuado por el Estado, o a verificar las condiciones formales de los mencionados actos, sino que los debe confrontar con la naturaleza y gravedad de las violaciones alegadas, las exigencias e interés de la justicia, las circunstancias particulares del caso concreto y la actitud y posición de las partes</w:t>
      </w:r>
      <w:r w:rsidRPr="002E1C85">
        <w:rPr>
          <w:rFonts w:ascii="Verdana" w:eastAsia="Times New Roman" w:hAnsi="Verdana" w:cs="Times New Roman"/>
          <w:sz w:val="20"/>
          <w:szCs w:val="20"/>
          <w:vertAlign w:val="superscript"/>
          <w:lang w:val="es-ES"/>
        </w:rPr>
        <w:footnoteReference w:id="33"/>
      </w:r>
      <w:r w:rsidRPr="002E1C85">
        <w:rPr>
          <w:rFonts w:ascii="Verdana" w:eastAsia="Times New Roman" w:hAnsi="Verdana" w:cs="Times New Roman"/>
          <w:sz w:val="20"/>
          <w:szCs w:val="20"/>
          <w:lang w:val="es-ES"/>
        </w:rPr>
        <w:t>, de manera tal que pueda precisar, en cuanto sea posible y en el ejercicio de su competencia, la verdad de lo acontecido</w:t>
      </w:r>
      <w:r w:rsidRPr="002E1C85">
        <w:rPr>
          <w:rFonts w:ascii="Verdana" w:eastAsia="Times New Roman" w:hAnsi="Verdana" w:cs="Times New Roman"/>
          <w:sz w:val="20"/>
          <w:szCs w:val="20"/>
          <w:vertAlign w:val="superscript"/>
          <w:lang w:val="es-ES"/>
        </w:rPr>
        <w:footnoteReference w:id="34"/>
      </w:r>
      <w:r w:rsidRPr="002E1C85">
        <w:rPr>
          <w:rFonts w:ascii="Verdana" w:eastAsia="Times New Roman" w:hAnsi="Verdana" w:cs="Times New Roman"/>
          <w:sz w:val="20"/>
          <w:szCs w:val="20"/>
          <w:lang w:val="es-ES"/>
        </w:rPr>
        <w:t>. En tal sentido, el reconocimiento no puede tener por consecuencia limitar, directa o indirectamente, el ejercicio de las facultades de la Corte de conocer el caso que le ha sido sometido</w:t>
      </w:r>
      <w:r w:rsidRPr="002E1C85">
        <w:rPr>
          <w:rFonts w:ascii="Verdana" w:eastAsia="Times New Roman" w:hAnsi="Verdana" w:cs="Times New Roman"/>
          <w:sz w:val="20"/>
          <w:szCs w:val="20"/>
          <w:vertAlign w:val="superscript"/>
          <w:lang w:val="es-ES"/>
        </w:rPr>
        <w:footnoteReference w:id="35"/>
      </w:r>
      <w:r w:rsidRPr="002E1C85">
        <w:rPr>
          <w:rFonts w:ascii="Verdana" w:eastAsia="Times New Roman" w:hAnsi="Verdana" w:cs="Times New Roman"/>
          <w:sz w:val="20"/>
          <w:szCs w:val="20"/>
          <w:lang w:val="es-ES"/>
        </w:rPr>
        <w:t xml:space="preserve"> y decidir si, al respecto, hubo violación de un derecho o libertad protegidos en la Convención</w:t>
      </w:r>
      <w:r w:rsidRPr="002E1C85">
        <w:rPr>
          <w:rFonts w:ascii="Verdana" w:eastAsia="Times New Roman" w:hAnsi="Verdana" w:cs="Times New Roman"/>
          <w:sz w:val="20"/>
          <w:szCs w:val="20"/>
          <w:vertAlign w:val="superscript"/>
          <w:lang w:val="es-ES"/>
        </w:rPr>
        <w:footnoteReference w:id="36"/>
      </w:r>
      <w:r w:rsidRPr="002E1C85">
        <w:rPr>
          <w:rFonts w:ascii="Verdana" w:eastAsia="Times New Roman" w:hAnsi="Verdana" w:cs="Times New Roman"/>
          <w:sz w:val="20"/>
          <w:szCs w:val="20"/>
          <w:lang w:val="es-ES"/>
        </w:rPr>
        <w:t xml:space="preserve">. Para estos efectos, el Tribunal analiza la </w:t>
      </w:r>
      <w:r w:rsidRPr="002E1C85">
        <w:rPr>
          <w:rFonts w:ascii="Verdana" w:eastAsia="Times New Roman" w:hAnsi="Verdana" w:cs="Times New Roman"/>
          <w:sz w:val="20"/>
          <w:szCs w:val="20"/>
          <w:lang w:val="es-ES"/>
        </w:rPr>
        <w:lastRenderedPageBreak/>
        <w:t>situación planteada en cada caso concreto</w:t>
      </w:r>
      <w:r w:rsidRPr="002E1C85">
        <w:rPr>
          <w:rFonts w:ascii="Verdana" w:eastAsia="Times New Roman" w:hAnsi="Verdana" w:cs="Times New Roman"/>
          <w:sz w:val="20"/>
          <w:szCs w:val="20"/>
          <w:vertAlign w:val="superscript"/>
          <w:lang w:val="es-ES"/>
        </w:rPr>
        <w:footnoteReference w:id="37"/>
      </w:r>
      <w:r w:rsidRPr="002E1C85">
        <w:rPr>
          <w:rFonts w:ascii="Verdana" w:eastAsia="Times New Roman" w:hAnsi="Verdana" w:cs="Times New Roman"/>
          <w:sz w:val="20"/>
          <w:szCs w:val="20"/>
          <w:lang w:val="es-ES"/>
        </w:rPr>
        <w:t>.</w:t>
      </w:r>
    </w:p>
    <w:p w14:paraId="64AA5DC6" w14:textId="244A4A27" w:rsidR="002E1C85" w:rsidRDefault="00E34BFF" w:rsidP="00660FDA">
      <w:pPr>
        <w:widowControl w:val="0"/>
        <w:numPr>
          <w:ilvl w:val="0"/>
          <w:numId w:val="7"/>
        </w:numPr>
        <w:tabs>
          <w:tab w:val="left" w:pos="567"/>
        </w:tabs>
        <w:autoSpaceDE w:val="0"/>
        <w:autoSpaceDN w:val="0"/>
        <w:adjustRightInd w:val="0"/>
        <w:spacing w:before="120" w:after="120" w:line="240" w:lineRule="auto"/>
        <w:ind w:left="1560" w:hanging="426"/>
        <w:jc w:val="both"/>
        <w:textAlignment w:val="baseline"/>
        <w:outlineLvl w:val="2"/>
        <w:rPr>
          <w:rFonts w:ascii="Verdana" w:eastAsia="Calibri" w:hAnsi="Verdana" w:cs="Times New Roman"/>
          <w:i/>
          <w:spacing w:val="-2"/>
          <w:sz w:val="20"/>
          <w:szCs w:val="20"/>
          <w:lang w:val="es-ES" w:eastAsia="x-none"/>
        </w:rPr>
      </w:pPr>
      <w:bookmarkStart w:id="54" w:name="_Toc513644446"/>
      <w:bookmarkStart w:id="55" w:name="_Toc526774138"/>
      <w:bookmarkStart w:id="56" w:name="_Toc526777470"/>
      <w:bookmarkStart w:id="57" w:name="_Toc526783749"/>
      <w:r>
        <w:rPr>
          <w:rFonts w:ascii="Verdana" w:eastAsia="Calibri" w:hAnsi="Verdana" w:cs="Times New Roman"/>
          <w:i/>
          <w:spacing w:val="-2"/>
          <w:sz w:val="20"/>
          <w:szCs w:val="20"/>
          <w:lang w:val="es-ES" w:eastAsia="x-none"/>
        </w:rPr>
        <w:t xml:space="preserve"> </w:t>
      </w:r>
      <w:bookmarkStart w:id="58" w:name="_Toc532995317"/>
      <w:r w:rsidR="002E1C85" w:rsidRPr="00EC08E0">
        <w:rPr>
          <w:rFonts w:ascii="Verdana" w:eastAsia="Calibri" w:hAnsi="Verdana" w:cs="Times New Roman"/>
          <w:i/>
          <w:spacing w:val="-2"/>
          <w:sz w:val="20"/>
          <w:szCs w:val="20"/>
          <w:lang w:val="es-ES" w:eastAsia="x-none"/>
        </w:rPr>
        <w:t>En cuanto a los hechos</w:t>
      </w:r>
      <w:bookmarkEnd w:id="54"/>
      <w:bookmarkEnd w:id="55"/>
      <w:bookmarkEnd w:id="56"/>
      <w:bookmarkEnd w:id="57"/>
      <w:bookmarkEnd w:id="58"/>
    </w:p>
    <w:p w14:paraId="64AA5DC8" w14:textId="229BCFA5"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El Estado señaló no controvertir los siguientes hechos:</w:t>
      </w:r>
    </w:p>
    <w:p w14:paraId="64AA5DC9" w14:textId="53E60930" w:rsidR="002E1C85" w:rsidRPr="002E1C85" w:rsidRDefault="002D5ADA" w:rsidP="00EC08E0">
      <w:pPr>
        <w:widowControl w:val="0"/>
        <w:numPr>
          <w:ilvl w:val="0"/>
          <w:numId w:val="8"/>
        </w:numPr>
        <w:autoSpaceDE w:val="0"/>
        <w:autoSpaceDN w:val="0"/>
        <w:adjustRightInd w:val="0"/>
        <w:spacing w:before="120" w:after="120" w:line="240" w:lineRule="auto"/>
        <w:jc w:val="both"/>
        <w:textAlignment w:val="baseline"/>
        <w:rPr>
          <w:rFonts w:ascii="Verdana" w:eastAsia="SimSun" w:hAnsi="Verdana" w:cs="Arial"/>
          <w:color w:val="000000"/>
          <w:sz w:val="20"/>
          <w:szCs w:val="20"/>
          <w:lang w:eastAsia="es-CR"/>
        </w:rPr>
      </w:pPr>
      <w:r>
        <w:rPr>
          <w:rFonts w:ascii="Verdana" w:eastAsia="SimSun" w:hAnsi="Verdana" w:cs="Arial"/>
          <w:color w:val="000000"/>
          <w:sz w:val="20"/>
          <w:szCs w:val="20"/>
          <w:lang w:val="es-CR" w:eastAsia="es-CR"/>
        </w:rPr>
        <w:t>q</w:t>
      </w:r>
      <w:r w:rsidR="002E1C85" w:rsidRPr="002E1C85">
        <w:rPr>
          <w:rFonts w:ascii="Verdana" w:eastAsia="SimSun" w:hAnsi="Verdana" w:cs="Arial"/>
          <w:color w:val="000000"/>
          <w:sz w:val="20"/>
          <w:szCs w:val="20"/>
          <w:lang w:val="es-CR" w:eastAsia="es-CR"/>
        </w:rPr>
        <w:t>ue</w:t>
      </w:r>
      <w:r w:rsidR="002E1C85" w:rsidRPr="002E1C85">
        <w:rPr>
          <w:rFonts w:ascii="Verdana" w:eastAsia="SimSun" w:hAnsi="Verdana" w:cs="Arial"/>
          <w:color w:val="000000"/>
          <w:sz w:val="20"/>
          <w:szCs w:val="20"/>
          <w:lang w:eastAsia="es-CR"/>
        </w:rPr>
        <w:t xml:space="preserve"> las presuntas víctimas desaparecidas </w:t>
      </w:r>
      <w:r w:rsidR="00232DD6">
        <w:rPr>
          <w:rFonts w:ascii="Verdana" w:eastAsia="SimSun" w:hAnsi="Verdana" w:cs="Arial"/>
          <w:color w:val="000000"/>
          <w:sz w:val="20"/>
          <w:szCs w:val="20"/>
          <w:lang w:eastAsia="es-CR"/>
        </w:rPr>
        <w:t>fueron</w:t>
      </w:r>
      <w:r w:rsidR="002E1C85" w:rsidRPr="002E1C85">
        <w:rPr>
          <w:rFonts w:ascii="Verdana" w:eastAsia="SimSun" w:hAnsi="Verdana" w:cs="Arial"/>
          <w:color w:val="000000"/>
          <w:sz w:val="20"/>
          <w:szCs w:val="20"/>
          <w:lang w:eastAsia="es-CR"/>
        </w:rPr>
        <w:t xml:space="preserve"> privadas de su libertad el 29 de diciembre de 2009 en el Ejido Benito Juárez, Chihuahua, y que desde ese día no se tenga conocimiento de su suerte;</w:t>
      </w:r>
    </w:p>
    <w:p w14:paraId="64AA5DCA" w14:textId="79445EC2" w:rsidR="002E1C85" w:rsidRPr="002E1C85" w:rsidRDefault="00EF035F" w:rsidP="00EC08E0">
      <w:pPr>
        <w:widowControl w:val="0"/>
        <w:numPr>
          <w:ilvl w:val="0"/>
          <w:numId w:val="8"/>
        </w:numPr>
        <w:autoSpaceDE w:val="0"/>
        <w:autoSpaceDN w:val="0"/>
        <w:adjustRightInd w:val="0"/>
        <w:spacing w:before="120" w:after="120" w:line="240" w:lineRule="auto"/>
        <w:jc w:val="both"/>
        <w:textAlignment w:val="baseline"/>
        <w:rPr>
          <w:rFonts w:ascii="Verdana" w:eastAsia="SimSun" w:hAnsi="Verdana" w:cs="Arial"/>
          <w:color w:val="000000"/>
          <w:sz w:val="20"/>
          <w:szCs w:val="20"/>
          <w:lang w:val="es-CR" w:eastAsia="es-CR"/>
        </w:rPr>
      </w:pPr>
      <w:r>
        <w:rPr>
          <w:rFonts w:ascii="Verdana" w:eastAsia="SimSun" w:hAnsi="Verdana" w:cs="Arial"/>
          <w:color w:val="000000"/>
          <w:sz w:val="20"/>
          <w:szCs w:val="20"/>
          <w:lang w:val="es-CR" w:eastAsia="es-CR"/>
        </w:rPr>
        <w:t>q</w:t>
      </w:r>
      <w:r w:rsidR="002E1C85" w:rsidRPr="002E1C85">
        <w:rPr>
          <w:rFonts w:ascii="Verdana" w:eastAsia="SimSun" w:hAnsi="Verdana" w:cs="Arial"/>
          <w:color w:val="000000"/>
          <w:sz w:val="20"/>
          <w:szCs w:val="20"/>
          <w:lang w:val="es-CR" w:eastAsia="es-CR"/>
        </w:rPr>
        <w:t>ue algunos familiares de las presuntas víctimas fuesen testigos presenciales de que el grupo que privó de libertad a Nitza Paola, José Ángel y Rocío Irene Alvarado portara uniformes “con características de tipo militar”;</w:t>
      </w:r>
    </w:p>
    <w:p w14:paraId="64AA5DCB" w14:textId="3AFB5F43" w:rsidR="002E1C85" w:rsidRPr="002E1C85" w:rsidRDefault="00EF035F" w:rsidP="00EC08E0">
      <w:pPr>
        <w:widowControl w:val="0"/>
        <w:numPr>
          <w:ilvl w:val="0"/>
          <w:numId w:val="8"/>
        </w:numPr>
        <w:autoSpaceDE w:val="0"/>
        <w:autoSpaceDN w:val="0"/>
        <w:adjustRightInd w:val="0"/>
        <w:spacing w:before="120" w:after="120" w:line="240" w:lineRule="auto"/>
        <w:jc w:val="both"/>
        <w:textAlignment w:val="baseline"/>
        <w:rPr>
          <w:rFonts w:ascii="Verdana" w:eastAsia="SimSun" w:hAnsi="Verdana" w:cs="Arial"/>
          <w:color w:val="000000"/>
          <w:sz w:val="20"/>
          <w:szCs w:val="20"/>
          <w:lang w:val="es-CR" w:eastAsia="es-CR"/>
        </w:rPr>
      </w:pPr>
      <w:r>
        <w:rPr>
          <w:rFonts w:ascii="Verdana" w:eastAsia="SimSun" w:hAnsi="Verdana" w:cs="Arial"/>
          <w:color w:val="000000"/>
          <w:sz w:val="20"/>
          <w:szCs w:val="20"/>
          <w:lang w:eastAsia="es-CR"/>
        </w:rPr>
        <w:t>q</w:t>
      </w:r>
      <w:r w:rsidR="002E1C85" w:rsidRPr="002E1C85">
        <w:rPr>
          <w:rFonts w:ascii="Verdana" w:eastAsia="SimSun" w:hAnsi="Verdana" w:cs="Arial"/>
          <w:color w:val="000000"/>
          <w:sz w:val="20"/>
          <w:szCs w:val="20"/>
          <w:lang w:eastAsia="es-CR"/>
        </w:rPr>
        <w:t xml:space="preserve">ue José Ángel Alvarado Fabela y Jaime Alvarado Herrera y su núcleo familiar </w:t>
      </w:r>
      <w:r w:rsidR="00232DD6">
        <w:rPr>
          <w:rFonts w:ascii="Verdana" w:eastAsia="SimSun" w:hAnsi="Verdana" w:cs="Arial"/>
          <w:color w:val="000000"/>
          <w:sz w:val="20"/>
          <w:szCs w:val="20"/>
          <w:lang w:eastAsia="es-CR"/>
        </w:rPr>
        <w:t>fueron</w:t>
      </w:r>
      <w:r w:rsidR="002E1C85" w:rsidRPr="002E1C85">
        <w:rPr>
          <w:rFonts w:ascii="Verdana" w:eastAsia="SimSun" w:hAnsi="Verdana" w:cs="Arial"/>
          <w:color w:val="000000"/>
          <w:sz w:val="20"/>
          <w:szCs w:val="20"/>
          <w:lang w:eastAsia="es-CR"/>
        </w:rPr>
        <w:t xml:space="preserve"> víctimas de determinadas amenazas y actos de hostigamiento</w:t>
      </w:r>
      <w:r>
        <w:rPr>
          <w:rFonts w:ascii="Verdana" w:eastAsia="SimSun" w:hAnsi="Verdana" w:cs="Arial"/>
          <w:color w:val="000000"/>
          <w:sz w:val="20"/>
          <w:szCs w:val="20"/>
          <w:lang w:eastAsia="es-CR"/>
        </w:rPr>
        <w:t>,</w:t>
      </w:r>
      <w:r w:rsidR="002E1C85" w:rsidRPr="002E1C85">
        <w:rPr>
          <w:rFonts w:ascii="Verdana" w:eastAsia="SimSun" w:hAnsi="Verdana" w:cs="Arial"/>
          <w:color w:val="000000"/>
          <w:sz w:val="20"/>
          <w:szCs w:val="20"/>
          <w:lang w:eastAsia="es-CR"/>
        </w:rPr>
        <w:t xml:space="preserve"> y</w:t>
      </w:r>
    </w:p>
    <w:p w14:paraId="64AA5DCD" w14:textId="75320401" w:rsidR="002E1C85" w:rsidRPr="00EC08E0" w:rsidRDefault="00EF035F" w:rsidP="00EC08E0">
      <w:pPr>
        <w:widowControl w:val="0"/>
        <w:numPr>
          <w:ilvl w:val="0"/>
          <w:numId w:val="8"/>
        </w:numPr>
        <w:autoSpaceDE w:val="0"/>
        <w:autoSpaceDN w:val="0"/>
        <w:adjustRightInd w:val="0"/>
        <w:spacing w:before="120" w:after="120" w:line="240" w:lineRule="auto"/>
        <w:jc w:val="both"/>
        <w:textAlignment w:val="baseline"/>
        <w:rPr>
          <w:rFonts w:ascii="Verdana" w:eastAsia="SimSun" w:hAnsi="Verdana" w:cs="Arial"/>
          <w:color w:val="000000"/>
          <w:sz w:val="20"/>
          <w:szCs w:val="20"/>
          <w:lang w:val="es-CR" w:eastAsia="es-CR"/>
        </w:rPr>
      </w:pPr>
      <w:r>
        <w:rPr>
          <w:rFonts w:ascii="Verdana" w:eastAsia="SimSun" w:hAnsi="Verdana" w:cs="Arial"/>
          <w:color w:val="000000"/>
          <w:sz w:val="20"/>
          <w:szCs w:val="20"/>
          <w:lang w:val="es-CR" w:eastAsia="es-CR"/>
        </w:rPr>
        <w:t>q</w:t>
      </w:r>
      <w:r w:rsidR="002E1C85" w:rsidRPr="002E1C85">
        <w:rPr>
          <w:rFonts w:ascii="Verdana" w:eastAsia="SimSun" w:hAnsi="Verdana" w:cs="Arial"/>
          <w:color w:val="000000"/>
          <w:sz w:val="20"/>
          <w:szCs w:val="20"/>
          <w:lang w:val="es-CR" w:eastAsia="es-CR"/>
        </w:rPr>
        <w:t>ue “al momento de los hechos la normatividad en materia de amparo solicitaba la ratificación de la demanda de amparo”</w:t>
      </w:r>
      <w:r w:rsidR="002E1C85" w:rsidRPr="002E1C85">
        <w:rPr>
          <w:rFonts w:ascii="Verdana" w:eastAsia="MS Mincho" w:hAnsi="Verdana" w:cs="Times New Roman"/>
          <w:sz w:val="20"/>
          <w:szCs w:val="20"/>
          <w:lang w:val="es-EC"/>
        </w:rPr>
        <w:t>.</w:t>
      </w:r>
    </w:p>
    <w:p w14:paraId="64AA5DCF" w14:textId="58826B99"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Asimismo, el Estado confirmó que actualmente ha</w:t>
      </w:r>
      <w:r w:rsidR="00286809">
        <w:rPr>
          <w:rFonts w:ascii="Verdana" w:eastAsia="Times New Roman" w:hAnsi="Verdana" w:cs="Times New Roman"/>
          <w:sz w:val="20"/>
          <w:szCs w:val="20"/>
          <w:lang w:val="es-ES"/>
        </w:rPr>
        <w:t>bía</w:t>
      </w:r>
      <w:r w:rsidRPr="002E1C85">
        <w:rPr>
          <w:rFonts w:ascii="Verdana" w:eastAsia="Times New Roman" w:hAnsi="Verdana" w:cs="Times New Roman"/>
          <w:sz w:val="20"/>
          <w:szCs w:val="20"/>
          <w:lang w:val="es-ES"/>
        </w:rPr>
        <w:t xml:space="preserve"> sido aprobada y promulgada la Ley </w:t>
      </w:r>
      <w:r w:rsidR="00232DD6">
        <w:rPr>
          <w:rFonts w:ascii="Verdana" w:eastAsia="Times New Roman" w:hAnsi="Verdana" w:cs="Times New Roman"/>
          <w:sz w:val="20"/>
          <w:szCs w:val="20"/>
          <w:lang w:val="es-ES"/>
        </w:rPr>
        <w:t>de</w:t>
      </w:r>
      <w:r w:rsidR="00232DD6" w:rsidRPr="002E1C85">
        <w:rPr>
          <w:rFonts w:ascii="Verdana" w:eastAsia="Times New Roman" w:hAnsi="Verdana" w:cs="Times New Roman"/>
          <w:sz w:val="20"/>
          <w:szCs w:val="20"/>
          <w:lang w:val="es-ES"/>
        </w:rPr>
        <w:t xml:space="preserve"> </w:t>
      </w:r>
      <w:r w:rsidRPr="002E1C85">
        <w:rPr>
          <w:rFonts w:ascii="Verdana" w:eastAsia="Times New Roman" w:hAnsi="Verdana" w:cs="Times New Roman"/>
          <w:sz w:val="20"/>
          <w:szCs w:val="20"/>
          <w:lang w:val="es-ES"/>
        </w:rPr>
        <w:t>Seguridad Interior.</w:t>
      </w:r>
    </w:p>
    <w:p w14:paraId="29580B48" w14:textId="677B8FBB" w:rsidR="00E33422"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 xml:space="preserve">Este </w:t>
      </w:r>
      <w:r w:rsidRPr="00E33422">
        <w:rPr>
          <w:rFonts w:ascii="Verdana" w:eastAsia="Times New Roman" w:hAnsi="Verdana" w:cs="Times New Roman"/>
          <w:sz w:val="20"/>
          <w:szCs w:val="20"/>
          <w:lang w:val="es-ES"/>
        </w:rPr>
        <w:t>Tribunal considera que ha cesado la controversia respecto de los anteriores hechos, dada la expresión del Estado y las manifestaciones de la Comisión y los representantes</w:t>
      </w:r>
      <w:r w:rsidR="00E33422" w:rsidRPr="003564A3">
        <w:rPr>
          <w:rFonts w:ascii="Verdana" w:eastAsia="Times New Roman" w:hAnsi="Verdana" w:cs="Times New Roman"/>
          <w:b/>
          <w:sz w:val="20"/>
          <w:szCs w:val="20"/>
          <w:lang w:val="es-ES"/>
        </w:rPr>
        <w:t>.</w:t>
      </w:r>
      <w:r w:rsidRPr="00E33422">
        <w:rPr>
          <w:rFonts w:ascii="Verdana" w:eastAsia="Times New Roman" w:hAnsi="Verdana" w:cs="Times New Roman"/>
          <w:sz w:val="20"/>
          <w:szCs w:val="20"/>
          <w:lang w:val="es-ES"/>
        </w:rPr>
        <w:t xml:space="preserve"> </w:t>
      </w:r>
    </w:p>
    <w:p w14:paraId="3DF05A28" w14:textId="46BA4477" w:rsidR="00EC08E0" w:rsidRPr="00EC08E0" w:rsidRDefault="00E33422" w:rsidP="005F54F6">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12282C">
        <w:rPr>
          <w:rFonts w:ascii="Verdana" w:eastAsia="Times New Roman" w:hAnsi="Verdana" w:cs="Times New Roman"/>
          <w:sz w:val="20"/>
          <w:szCs w:val="20"/>
          <w:lang w:val="es-ES"/>
        </w:rPr>
        <w:t>S</w:t>
      </w:r>
      <w:r w:rsidR="002E1C85" w:rsidRPr="00E33422">
        <w:rPr>
          <w:rFonts w:ascii="Verdana" w:eastAsia="Times New Roman" w:hAnsi="Verdana" w:cs="Times New Roman"/>
          <w:sz w:val="20"/>
          <w:szCs w:val="20"/>
          <w:lang w:val="es-ES"/>
        </w:rPr>
        <w:t>in embargo,</w:t>
      </w:r>
      <w:r w:rsidR="002E1C85" w:rsidRPr="002E1C85">
        <w:rPr>
          <w:rFonts w:ascii="Verdana" w:eastAsia="Times New Roman" w:hAnsi="Verdana" w:cs="Times New Roman"/>
          <w:sz w:val="20"/>
          <w:szCs w:val="20"/>
          <w:lang w:val="es-ES"/>
        </w:rPr>
        <w:t xml:space="preserve"> nota que subsisten algunas controversias respecto de algunos hechos no reconocidos por el Estado, específicamente los hechos relacionados con el alegado contexto de desapariciones forzadas en México, la participación de elementos del ejército en la desaparición de las víctimas y las alegadas deficiencias en la investigación de los hechos</w:t>
      </w:r>
      <w:r w:rsidR="0032524E">
        <w:rPr>
          <w:rFonts w:ascii="Verdana" w:eastAsia="Times New Roman" w:hAnsi="Verdana" w:cs="Times New Roman"/>
          <w:sz w:val="20"/>
          <w:szCs w:val="20"/>
          <w:lang w:val="es-ES"/>
        </w:rPr>
        <w:t>, p</w:t>
      </w:r>
      <w:r w:rsidR="002E1C85" w:rsidRPr="002E1C85">
        <w:rPr>
          <w:rFonts w:ascii="Verdana" w:eastAsia="Times New Roman" w:hAnsi="Verdana" w:cs="Times New Roman"/>
          <w:sz w:val="20"/>
          <w:szCs w:val="20"/>
          <w:lang w:val="es-ES"/>
        </w:rPr>
        <w:t xml:space="preserve">or lo que la Corte considera oportuno realizar un análisis de los hechos controvertidos en el Capítulo </w:t>
      </w:r>
      <w:r w:rsidR="00232DD6">
        <w:rPr>
          <w:rFonts w:ascii="Verdana" w:eastAsia="Times New Roman" w:hAnsi="Verdana" w:cs="Times New Roman"/>
          <w:sz w:val="20"/>
          <w:szCs w:val="20"/>
          <w:lang w:val="es-ES"/>
        </w:rPr>
        <w:t>VI</w:t>
      </w:r>
      <w:r w:rsidR="002A632F">
        <w:rPr>
          <w:rFonts w:ascii="Verdana" w:eastAsia="Times New Roman" w:hAnsi="Verdana" w:cs="Times New Roman"/>
          <w:sz w:val="20"/>
          <w:szCs w:val="20"/>
          <w:lang w:val="es-ES"/>
        </w:rPr>
        <w:t xml:space="preserve"> de la presente Sentencia</w:t>
      </w:r>
      <w:r w:rsidR="002E1C85" w:rsidRPr="002E1C85">
        <w:rPr>
          <w:rFonts w:ascii="Verdana" w:eastAsia="Times New Roman" w:hAnsi="Verdana" w:cs="Times New Roman"/>
          <w:sz w:val="20"/>
          <w:szCs w:val="20"/>
          <w:lang w:val="es-ES"/>
        </w:rPr>
        <w:t>.</w:t>
      </w:r>
    </w:p>
    <w:p w14:paraId="64AA5DD3" w14:textId="7BEDCCE2" w:rsidR="002E1C85" w:rsidRDefault="00E34BFF" w:rsidP="00660FDA">
      <w:pPr>
        <w:widowControl w:val="0"/>
        <w:numPr>
          <w:ilvl w:val="0"/>
          <w:numId w:val="7"/>
        </w:numPr>
        <w:tabs>
          <w:tab w:val="left" w:pos="567"/>
        </w:tabs>
        <w:autoSpaceDE w:val="0"/>
        <w:autoSpaceDN w:val="0"/>
        <w:adjustRightInd w:val="0"/>
        <w:spacing w:before="120" w:after="120" w:line="240" w:lineRule="auto"/>
        <w:ind w:left="1560" w:hanging="426"/>
        <w:jc w:val="both"/>
        <w:textAlignment w:val="baseline"/>
        <w:outlineLvl w:val="2"/>
        <w:rPr>
          <w:rFonts w:ascii="Verdana" w:eastAsia="Calibri" w:hAnsi="Verdana" w:cs="Times New Roman"/>
          <w:i/>
          <w:spacing w:val="-2"/>
          <w:sz w:val="20"/>
          <w:szCs w:val="20"/>
          <w:lang w:val="es-ES" w:eastAsia="x-none"/>
        </w:rPr>
      </w:pPr>
      <w:bookmarkStart w:id="59" w:name="_Toc513644447"/>
      <w:bookmarkStart w:id="60" w:name="_Toc526774139"/>
      <w:bookmarkStart w:id="61" w:name="_Toc526777471"/>
      <w:bookmarkStart w:id="62" w:name="_Toc526783750"/>
      <w:r>
        <w:rPr>
          <w:rFonts w:ascii="Verdana" w:eastAsia="Calibri" w:hAnsi="Verdana" w:cs="Times New Roman"/>
          <w:i/>
          <w:spacing w:val="-2"/>
          <w:sz w:val="20"/>
          <w:szCs w:val="20"/>
          <w:lang w:val="es-ES" w:eastAsia="x-none"/>
        </w:rPr>
        <w:t xml:space="preserve"> </w:t>
      </w:r>
      <w:bookmarkStart w:id="63" w:name="_Toc532995318"/>
      <w:r w:rsidR="002E1C85" w:rsidRPr="00EC08E0">
        <w:rPr>
          <w:rFonts w:ascii="Verdana" w:eastAsia="Calibri" w:hAnsi="Verdana" w:cs="Times New Roman"/>
          <w:i/>
          <w:spacing w:val="-2"/>
          <w:sz w:val="20"/>
          <w:szCs w:val="20"/>
          <w:lang w:val="es-ES" w:eastAsia="x-none"/>
        </w:rPr>
        <w:t>En cuanto a las pretensiones de derecho</w:t>
      </w:r>
      <w:bookmarkEnd w:id="59"/>
      <w:bookmarkEnd w:id="60"/>
      <w:bookmarkEnd w:id="61"/>
      <w:bookmarkEnd w:id="62"/>
      <w:bookmarkEnd w:id="63"/>
    </w:p>
    <w:p w14:paraId="64AA5DD5" w14:textId="66D5AB76"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 xml:space="preserve">La Corte constata que el Estado reconoció su responsabilidad internacional por la violación a los artículos 2, 8 y 25 de la Convención Americana, solamente en cuanto a la falta de legislación en materia de desapariciones forzadas al momento de los hechos y </w:t>
      </w:r>
      <w:r w:rsidR="00232DD6">
        <w:rPr>
          <w:rFonts w:ascii="Verdana" w:eastAsia="Times New Roman" w:hAnsi="Verdana" w:cs="Times New Roman"/>
          <w:sz w:val="20"/>
          <w:szCs w:val="20"/>
          <w:lang w:val="es-ES"/>
        </w:rPr>
        <w:t>el sometimiento al fuero militar de las investigaciones</w:t>
      </w:r>
      <w:r w:rsidRPr="002E1C85">
        <w:rPr>
          <w:rFonts w:ascii="Verdana" w:eastAsia="Times New Roman" w:hAnsi="Verdana" w:cs="Times New Roman"/>
          <w:sz w:val="20"/>
          <w:szCs w:val="20"/>
          <w:lang w:val="es-ES"/>
        </w:rPr>
        <w:t xml:space="preserve"> de los mismos durante un periodo</w:t>
      </w:r>
      <w:r w:rsidR="00826973">
        <w:rPr>
          <w:rFonts w:ascii="Verdana" w:eastAsia="Times New Roman" w:hAnsi="Verdana" w:cs="Times New Roman"/>
          <w:sz w:val="20"/>
          <w:szCs w:val="20"/>
          <w:lang w:val="es-ES"/>
        </w:rPr>
        <w:t xml:space="preserve"> de tiempo</w:t>
      </w:r>
      <w:r w:rsidRPr="002E1C85">
        <w:rPr>
          <w:rFonts w:ascii="Verdana" w:eastAsia="Times New Roman" w:hAnsi="Verdana" w:cs="Times New Roman"/>
          <w:sz w:val="20"/>
          <w:szCs w:val="20"/>
          <w:lang w:val="es-ES"/>
        </w:rPr>
        <w:t>, por así preverlo el marco normativo vigente en la época. En cuanto a la violación al artículo 2 de la Convención, el Estado consideró que ya ha reparado o subsanado la misma. En cuanto al conocimiento de los hechos por parte del fuero militar, el Estado afirmó que la incompatibilidad que existía entre la legislación mexicana y los estándares internacionales ha sido atendida, por lo que no es necesario que este Tribunal se pronuncia al respecto.</w:t>
      </w:r>
    </w:p>
    <w:p w14:paraId="64AA5DD7" w14:textId="2E1FB006"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Respecto de la in</w:t>
      </w:r>
      <w:r w:rsidR="005132AB">
        <w:rPr>
          <w:rFonts w:ascii="Verdana" w:eastAsia="Times New Roman" w:hAnsi="Verdana" w:cs="Times New Roman"/>
          <w:sz w:val="20"/>
          <w:szCs w:val="20"/>
          <w:lang w:val="es-ES"/>
        </w:rPr>
        <w:t>efectividad</w:t>
      </w:r>
      <w:r w:rsidRPr="002E1C85">
        <w:rPr>
          <w:rFonts w:ascii="Verdana" w:eastAsia="Times New Roman" w:hAnsi="Verdana" w:cs="Times New Roman"/>
          <w:sz w:val="20"/>
          <w:szCs w:val="20"/>
          <w:lang w:val="es-ES"/>
        </w:rPr>
        <w:t xml:space="preserve"> de la Ley de Amparo </w:t>
      </w:r>
      <w:r w:rsidR="005132AB">
        <w:rPr>
          <w:rFonts w:ascii="Verdana" w:eastAsia="Times New Roman" w:hAnsi="Verdana" w:cs="Times New Roman"/>
          <w:sz w:val="20"/>
          <w:szCs w:val="20"/>
          <w:lang w:val="es-ES"/>
        </w:rPr>
        <w:t xml:space="preserve">en cuanto a la desaparición forzada </w:t>
      </w:r>
      <w:r w:rsidRPr="002E1C85">
        <w:rPr>
          <w:rFonts w:ascii="Verdana" w:eastAsia="Times New Roman" w:hAnsi="Verdana" w:cs="Times New Roman"/>
          <w:sz w:val="20"/>
          <w:szCs w:val="20"/>
          <w:lang w:val="es-ES"/>
        </w:rPr>
        <w:t>al momento de los hechos, el Estado lo admitió pero refirió que con la nueva Ley de Amparo</w:t>
      </w:r>
      <w:r w:rsidRPr="002E1C85">
        <w:rPr>
          <w:rFonts w:ascii="Verdana" w:eastAsia="Calibri" w:hAnsi="Verdana" w:cs="Times New Roman"/>
          <w:sz w:val="20"/>
          <w:szCs w:val="20"/>
          <w:vertAlign w:val="superscript"/>
          <w:lang w:val="es-ES" w:eastAsia="es-ES"/>
        </w:rPr>
        <w:footnoteReference w:id="38"/>
      </w:r>
      <w:r w:rsidRPr="002E1C85">
        <w:rPr>
          <w:rFonts w:ascii="Verdana" w:eastAsia="Times New Roman" w:hAnsi="Verdana" w:cs="Times New Roman"/>
          <w:sz w:val="20"/>
          <w:szCs w:val="20"/>
          <w:lang w:val="es-ES"/>
        </w:rPr>
        <w:t xml:space="preserve"> “si se presenta una demanda de amparo indirecto contra actos de autoridad por desaparición de personas, en un primer momento se harán las diligencias necesarias para lograr la comparecencia de dichas personas […] [e]n caso de no lograrlo, se dará vista al Ministerio Público Federal para que investigue los hechos”, por lo que –a juicio del Estado-, éste “ha realizado los cambios necesarios en materia de amparo” que se relacionan con el supuesto de desaparición de personas.</w:t>
      </w:r>
    </w:p>
    <w:p w14:paraId="64AA5DD9" w14:textId="10B0AE13"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 xml:space="preserve">Respecto de la Ley </w:t>
      </w:r>
      <w:r w:rsidR="005132AB">
        <w:rPr>
          <w:rFonts w:ascii="Verdana" w:eastAsia="Times New Roman" w:hAnsi="Verdana" w:cs="Times New Roman"/>
          <w:sz w:val="20"/>
          <w:szCs w:val="20"/>
          <w:lang w:val="es-ES"/>
        </w:rPr>
        <w:t>de</w:t>
      </w:r>
      <w:r w:rsidRPr="002E1C85">
        <w:rPr>
          <w:rFonts w:ascii="Verdana" w:eastAsia="Times New Roman" w:hAnsi="Verdana" w:cs="Times New Roman"/>
          <w:sz w:val="20"/>
          <w:szCs w:val="20"/>
          <w:lang w:val="es-ES"/>
        </w:rPr>
        <w:t xml:space="preserve"> Seguridad Interior, el Estado confirmó que actualmente </w:t>
      </w:r>
      <w:r w:rsidR="005132AB">
        <w:rPr>
          <w:rFonts w:ascii="Verdana" w:eastAsia="Times New Roman" w:hAnsi="Verdana" w:cs="Times New Roman"/>
          <w:sz w:val="20"/>
          <w:szCs w:val="20"/>
          <w:lang w:val="es-ES"/>
        </w:rPr>
        <w:t xml:space="preserve">dicha legislación </w:t>
      </w:r>
      <w:r w:rsidRPr="002E1C85">
        <w:rPr>
          <w:rFonts w:ascii="Verdana" w:eastAsia="Times New Roman" w:hAnsi="Verdana" w:cs="Times New Roman"/>
          <w:sz w:val="20"/>
          <w:szCs w:val="20"/>
          <w:lang w:val="es-ES"/>
        </w:rPr>
        <w:t>ha sido aprobada y promulgada; sin embargo, refi</w:t>
      </w:r>
      <w:r w:rsidR="00826973">
        <w:rPr>
          <w:rFonts w:ascii="Verdana" w:eastAsia="Times New Roman" w:hAnsi="Verdana" w:cs="Times New Roman"/>
          <w:sz w:val="20"/>
          <w:szCs w:val="20"/>
          <w:lang w:val="es-ES"/>
        </w:rPr>
        <w:t>rió</w:t>
      </w:r>
      <w:r w:rsidRPr="002E1C85">
        <w:rPr>
          <w:rFonts w:ascii="Verdana" w:eastAsia="Times New Roman" w:hAnsi="Verdana" w:cs="Times New Roman"/>
          <w:sz w:val="20"/>
          <w:szCs w:val="20"/>
          <w:lang w:val="es-ES"/>
        </w:rPr>
        <w:t xml:space="preserve"> que la Corte está imposibilitada para analizar su convencionalidad pues “</w:t>
      </w:r>
      <w:r w:rsidRPr="002E1C85">
        <w:rPr>
          <w:rFonts w:ascii="Verdana" w:eastAsiaTheme="minorHAnsi" w:hAnsi="Verdana" w:cs="Times New Roman"/>
          <w:sz w:val="20"/>
          <w:szCs w:val="20"/>
        </w:rPr>
        <w:t>no se encontraba vigente al momento de los hechos y no fue aplicado a los mismos”.</w:t>
      </w:r>
    </w:p>
    <w:p w14:paraId="4D95B568" w14:textId="4A95C4B8" w:rsidR="00EC08E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lastRenderedPageBreak/>
        <w:t>En cuanto al resto de las violaciones alegadas por la Comisión y los representantes, el Estado negó su responsabilidad</w:t>
      </w:r>
      <w:r w:rsidR="00826973">
        <w:rPr>
          <w:rFonts w:ascii="Verdana" w:eastAsia="Times New Roman" w:hAnsi="Verdana" w:cs="Times New Roman"/>
          <w:sz w:val="20"/>
          <w:szCs w:val="20"/>
          <w:lang w:val="es-ES"/>
        </w:rPr>
        <w:t>, por lo que la</w:t>
      </w:r>
      <w:r w:rsidR="00F15F19">
        <w:rPr>
          <w:rFonts w:ascii="Verdana" w:eastAsia="Times New Roman" w:hAnsi="Verdana" w:cs="Times New Roman"/>
          <w:sz w:val="20"/>
          <w:szCs w:val="20"/>
          <w:lang w:val="es-ES"/>
        </w:rPr>
        <w:t xml:space="preserve"> controversia</w:t>
      </w:r>
      <w:r w:rsidR="00826973">
        <w:rPr>
          <w:rFonts w:ascii="Verdana" w:eastAsia="Times New Roman" w:hAnsi="Verdana" w:cs="Times New Roman"/>
          <w:sz w:val="20"/>
          <w:szCs w:val="20"/>
          <w:lang w:val="es-ES"/>
        </w:rPr>
        <w:t xml:space="preserve"> persiste en cuanto a diversos derechos establecidos en el </w:t>
      </w:r>
      <w:r w:rsidR="00286809">
        <w:rPr>
          <w:rFonts w:ascii="Verdana" w:eastAsia="Times New Roman" w:hAnsi="Verdana" w:cs="Times New Roman"/>
          <w:sz w:val="20"/>
          <w:szCs w:val="20"/>
          <w:lang w:val="es-ES"/>
        </w:rPr>
        <w:t>C</w:t>
      </w:r>
      <w:r w:rsidR="00826973">
        <w:rPr>
          <w:rFonts w:ascii="Verdana" w:eastAsia="Times New Roman" w:hAnsi="Verdana" w:cs="Times New Roman"/>
          <w:sz w:val="20"/>
          <w:szCs w:val="20"/>
          <w:lang w:val="es-ES"/>
        </w:rPr>
        <w:t>apítulo VII</w:t>
      </w:r>
      <w:r w:rsidR="00286809">
        <w:rPr>
          <w:rFonts w:ascii="Verdana" w:eastAsia="Times New Roman" w:hAnsi="Verdana" w:cs="Times New Roman"/>
          <w:sz w:val="20"/>
          <w:szCs w:val="20"/>
          <w:lang w:val="es-ES"/>
        </w:rPr>
        <w:t xml:space="preserve">. </w:t>
      </w:r>
      <w:r w:rsidR="00414684">
        <w:rPr>
          <w:rFonts w:ascii="Verdana" w:eastAsia="Times New Roman" w:hAnsi="Verdana" w:cs="Times New Roman"/>
          <w:sz w:val="20"/>
          <w:szCs w:val="20"/>
          <w:lang w:val="es-ES"/>
        </w:rPr>
        <w:t xml:space="preserve">Por consiguiente, </w:t>
      </w:r>
      <w:r w:rsidRPr="002E1C85">
        <w:rPr>
          <w:rFonts w:ascii="Verdana" w:eastAsia="Times New Roman" w:hAnsi="Verdana" w:cs="Times New Roman"/>
          <w:sz w:val="20"/>
          <w:szCs w:val="20"/>
          <w:lang w:val="es-ES"/>
        </w:rPr>
        <w:t>teniendo en cuenta las violaciones reconocidas por el Estado, así como las observaciones de las representantes y de la Comisión, la Corte considera que este reconocimiento del Estado constituye un allanamiento parcial a las pretensiones de derecho de la Comisión y de las representantes. Sin perjuicio de lo anterior,</w:t>
      </w:r>
      <w:r w:rsidRPr="002E1C85" w:rsidDel="00794639">
        <w:rPr>
          <w:rFonts w:ascii="Verdana" w:eastAsia="Times New Roman" w:hAnsi="Verdana" w:cs="Times New Roman"/>
          <w:sz w:val="20"/>
          <w:szCs w:val="20"/>
          <w:lang w:val="es-ES"/>
        </w:rPr>
        <w:t xml:space="preserve"> </w:t>
      </w:r>
      <w:r w:rsidRPr="002E1C85">
        <w:rPr>
          <w:rFonts w:ascii="Verdana" w:eastAsia="Times New Roman" w:hAnsi="Verdana" w:cs="Times New Roman"/>
          <w:sz w:val="20"/>
          <w:szCs w:val="20"/>
          <w:lang w:val="es-ES"/>
        </w:rPr>
        <w:t xml:space="preserve">el Tribunal considera oportuno </w:t>
      </w:r>
      <w:r w:rsidR="006E207C">
        <w:rPr>
          <w:rFonts w:ascii="Verdana" w:eastAsia="Times New Roman" w:hAnsi="Verdana" w:cs="Times New Roman"/>
          <w:sz w:val="20"/>
          <w:szCs w:val="20"/>
          <w:lang w:val="es-ES"/>
        </w:rPr>
        <w:t xml:space="preserve">y necesario </w:t>
      </w:r>
      <w:r w:rsidRPr="002E1C85">
        <w:rPr>
          <w:rFonts w:ascii="Verdana" w:eastAsia="Times New Roman" w:hAnsi="Verdana" w:cs="Times New Roman"/>
          <w:sz w:val="20"/>
          <w:szCs w:val="20"/>
          <w:lang w:val="es-ES"/>
        </w:rPr>
        <w:t xml:space="preserve">hacer algunas consideraciones respecto del alcance de las violaciones y la afectación de tales derechos en </w:t>
      </w:r>
      <w:r w:rsidR="00EC08E0">
        <w:rPr>
          <w:rFonts w:ascii="Verdana" w:eastAsia="Times New Roman" w:hAnsi="Verdana" w:cs="Times New Roman"/>
          <w:sz w:val="20"/>
          <w:szCs w:val="20"/>
          <w:lang w:val="es-ES"/>
        </w:rPr>
        <w:t xml:space="preserve">el Capítulo </w:t>
      </w:r>
      <w:r w:rsidR="00826973">
        <w:rPr>
          <w:rFonts w:ascii="Verdana" w:eastAsia="Times New Roman" w:hAnsi="Verdana" w:cs="Times New Roman"/>
          <w:sz w:val="20"/>
          <w:szCs w:val="20"/>
          <w:lang w:val="es-ES"/>
        </w:rPr>
        <w:t>VII</w:t>
      </w:r>
      <w:r w:rsidR="00EC08E0">
        <w:rPr>
          <w:rFonts w:ascii="Verdana" w:eastAsia="Times New Roman" w:hAnsi="Verdana" w:cs="Times New Roman"/>
          <w:sz w:val="20"/>
          <w:szCs w:val="20"/>
          <w:lang w:val="es-ES"/>
        </w:rPr>
        <w:t xml:space="preserve"> de la Sentencia.</w:t>
      </w:r>
    </w:p>
    <w:p w14:paraId="64AA5DDD" w14:textId="40EC16AB" w:rsidR="002E1C85"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Con respecto a los planteamientos en torno a la convencionalidad de las Leyes sobre Desaparición Forzada de Personas</w:t>
      </w:r>
      <w:r w:rsidR="00722863">
        <w:rPr>
          <w:rStyle w:val="Refdenotaalpie"/>
          <w:rFonts w:ascii="Verdana" w:eastAsia="Times New Roman" w:hAnsi="Verdana" w:cs="Times New Roman"/>
          <w:sz w:val="20"/>
          <w:szCs w:val="20"/>
          <w:lang w:val="es-ES"/>
        </w:rPr>
        <w:footnoteReference w:id="39"/>
      </w:r>
      <w:r w:rsidR="006D530E">
        <w:rPr>
          <w:rFonts w:ascii="Verdana" w:eastAsia="Times New Roman" w:hAnsi="Verdana" w:cs="Times New Roman"/>
          <w:sz w:val="20"/>
          <w:szCs w:val="20"/>
          <w:lang w:val="es-ES"/>
        </w:rPr>
        <w:t xml:space="preserve"> </w:t>
      </w:r>
      <w:r w:rsidR="00C80344" w:rsidRPr="002E1C85">
        <w:rPr>
          <w:rFonts w:ascii="Verdana" w:eastAsia="Times New Roman" w:hAnsi="Verdana" w:cs="Times New Roman"/>
          <w:sz w:val="20"/>
          <w:szCs w:val="20"/>
          <w:lang w:val="es-ES"/>
        </w:rPr>
        <w:t>(</w:t>
      </w:r>
      <w:r w:rsidR="00C80344">
        <w:rPr>
          <w:rFonts w:ascii="Verdana" w:eastAsia="Times New Roman" w:hAnsi="Verdana" w:cs="Times New Roman"/>
          <w:sz w:val="20"/>
          <w:szCs w:val="20"/>
          <w:lang w:val="es-ES"/>
        </w:rPr>
        <w:t>en adelante la “Ley General en Materia de Desapariciones”</w:t>
      </w:r>
      <w:r w:rsidR="00C80344" w:rsidRPr="002E1C85">
        <w:rPr>
          <w:rFonts w:ascii="Verdana" w:eastAsia="Times New Roman" w:hAnsi="Verdana" w:cs="Times New Roman"/>
          <w:sz w:val="20"/>
          <w:szCs w:val="20"/>
          <w:lang w:val="es-ES"/>
        </w:rPr>
        <w:t>)</w:t>
      </w:r>
      <w:r w:rsidRPr="002E1C85">
        <w:rPr>
          <w:rFonts w:ascii="Verdana" w:eastAsia="Times New Roman" w:hAnsi="Verdana" w:cs="Times New Roman"/>
          <w:sz w:val="20"/>
          <w:szCs w:val="20"/>
          <w:lang w:val="es-ES"/>
        </w:rPr>
        <w:t>, de Amparo</w:t>
      </w:r>
      <w:r w:rsidR="00F15F19" w:rsidRPr="00F15F19">
        <w:rPr>
          <w:rFonts w:ascii="Verdana" w:eastAsia="Times New Roman" w:hAnsi="Verdana" w:cs="Times New Roman"/>
          <w:sz w:val="20"/>
          <w:szCs w:val="20"/>
          <w:lang w:val="es-ES"/>
        </w:rPr>
        <w:t xml:space="preserve"> </w:t>
      </w:r>
      <w:r w:rsidR="00F15F19">
        <w:rPr>
          <w:rFonts w:ascii="Verdana" w:eastAsia="Times New Roman" w:hAnsi="Verdana" w:cs="Times New Roman"/>
          <w:sz w:val="20"/>
          <w:szCs w:val="20"/>
          <w:lang w:val="es-ES"/>
        </w:rPr>
        <w:t xml:space="preserve">y </w:t>
      </w:r>
      <w:r w:rsidR="00F15F19" w:rsidRPr="002E1C85">
        <w:rPr>
          <w:rFonts w:ascii="Verdana" w:eastAsia="Times New Roman" w:hAnsi="Verdana" w:cs="Times New Roman"/>
          <w:sz w:val="20"/>
          <w:szCs w:val="20"/>
          <w:lang w:val="es-ES"/>
        </w:rPr>
        <w:t>de Seguridad Interior</w:t>
      </w:r>
      <w:r w:rsidRPr="002E1C85">
        <w:rPr>
          <w:rFonts w:ascii="Verdana" w:eastAsia="Times New Roman" w:hAnsi="Verdana" w:cs="Times New Roman"/>
          <w:sz w:val="20"/>
          <w:szCs w:val="20"/>
          <w:lang w:val="es-ES"/>
        </w:rPr>
        <w:t>, así como el Código de Justicia Militar, esta Corte considera que</w:t>
      </w:r>
      <w:r w:rsidR="00826973">
        <w:rPr>
          <w:rFonts w:ascii="Verdana" w:eastAsia="Times New Roman" w:hAnsi="Verdana" w:cs="Times New Roman"/>
          <w:sz w:val="20"/>
          <w:szCs w:val="20"/>
          <w:lang w:val="es-ES"/>
        </w:rPr>
        <w:t>, en su caso,</w:t>
      </w:r>
      <w:r w:rsidR="00286809">
        <w:rPr>
          <w:rFonts w:ascii="Verdana" w:eastAsia="Times New Roman" w:hAnsi="Verdana" w:cs="Times New Roman"/>
          <w:sz w:val="20"/>
          <w:szCs w:val="20"/>
          <w:lang w:val="es-ES"/>
        </w:rPr>
        <w:t xml:space="preserve"> de ser pertinente,</w:t>
      </w:r>
      <w:r w:rsidRPr="002E1C85">
        <w:rPr>
          <w:rFonts w:ascii="Verdana" w:eastAsia="Times New Roman" w:hAnsi="Verdana" w:cs="Times New Roman"/>
          <w:sz w:val="20"/>
          <w:szCs w:val="20"/>
          <w:lang w:val="es-ES"/>
        </w:rPr>
        <w:t xml:space="preserve"> </w:t>
      </w:r>
      <w:r w:rsidR="002A632F">
        <w:rPr>
          <w:rFonts w:ascii="Verdana" w:eastAsia="Times New Roman" w:hAnsi="Verdana" w:cs="Times New Roman"/>
          <w:sz w:val="20"/>
          <w:szCs w:val="20"/>
          <w:lang w:val="es-ES"/>
        </w:rPr>
        <w:t xml:space="preserve">se pronunciará </w:t>
      </w:r>
      <w:r w:rsidRPr="002E1C85">
        <w:rPr>
          <w:rFonts w:ascii="Verdana" w:eastAsia="Times New Roman" w:hAnsi="Verdana" w:cs="Times New Roman"/>
          <w:sz w:val="20"/>
          <w:szCs w:val="20"/>
          <w:lang w:val="es-ES"/>
        </w:rPr>
        <w:t>en el estudio de fondo y/o reparaciones.</w:t>
      </w:r>
    </w:p>
    <w:p w14:paraId="64AA5DDF" w14:textId="14F9A2EE" w:rsidR="002E1C85" w:rsidRDefault="00E34BFF" w:rsidP="00660FDA">
      <w:pPr>
        <w:widowControl w:val="0"/>
        <w:numPr>
          <w:ilvl w:val="0"/>
          <w:numId w:val="7"/>
        </w:numPr>
        <w:tabs>
          <w:tab w:val="left" w:pos="567"/>
        </w:tabs>
        <w:autoSpaceDE w:val="0"/>
        <w:autoSpaceDN w:val="0"/>
        <w:adjustRightInd w:val="0"/>
        <w:spacing w:before="120" w:after="120" w:line="240" w:lineRule="auto"/>
        <w:ind w:left="1560" w:hanging="426"/>
        <w:jc w:val="both"/>
        <w:textAlignment w:val="baseline"/>
        <w:outlineLvl w:val="2"/>
        <w:rPr>
          <w:rFonts w:ascii="Verdana" w:eastAsia="Calibri" w:hAnsi="Verdana" w:cs="Times New Roman"/>
          <w:i/>
          <w:spacing w:val="-2"/>
          <w:sz w:val="20"/>
          <w:szCs w:val="20"/>
          <w:lang w:val="es-ES" w:eastAsia="x-none"/>
        </w:rPr>
      </w:pPr>
      <w:bookmarkStart w:id="64" w:name="_Toc513644448"/>
      <w:bookmarkStart w:id="65" w:name="_Toc526774140"/>
      <w:bookmarkStart w:id="66" w:name="_Toc526777472"/>
      <w:bookmarkStart w:id="67" w:name="_Toc526783751"/>
      <w:r>
        <w:rPr>
          <w:rFonts w:ascii="Verdana" w:eastAsia="Calibri" w:hAnsi="Verdana" w:cs="Times New Roman"/>
          <w:i/>
          <w:spacing w:val="-2"/>
          <w:sz w:val="20"/>
          <w:szCs w:val="20"/>
          <w:lang w:val="es-ES" w:eastAsia="x-none"/>
        </w:rPr>
        <w:t xml:space="preserve"> </w:t>
      </w:r>
      <w:bookmarkStart w:id="68" w:name="_Toc532995319"/>
      <w:r w:rsidR="002E1C85" w:rsidRPr="00EC08E0">
        <w:rPr>
          <w:rFonts w:ascii="Verdana" w:eastAsia="Calibri" w:hAnsi="Verdana" w:cs="Times New Roman"/>
          <w:i/>
          <w:spacing w:val="-2"/>
          <w:sz w:val="20"/>
          <w:szCs w:val="20"/>
          <w:lang w:val="es-ES" w:eastAsia="x-none"/>
        </w:rPr>
        <w:t>En cuanto a las reparaciones</w:t>
      </w:r>
      <w:bookmarkStart w:id="69" w:name="_Toc513644449"/>
      <w:bookmarkEnd w:id="64"/>
      <w:bookmarkEnd w:id="65"/>
      <w:bookmarkEnd w:id="66"/>
      <w:bookmarkEnd w:id="67"/>
      <w:bookmarkEnd w:id="68"/>
    </w:p>
    <w:p w14:paraId="64AA5DE1" w14:textId="5C53FAB7"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En lo que se refiere a las medidas de reparación (2, 8 y 25 de la Convención Americana), la Corte constata que el Estado consideró que las violaciones reconocidas ya han sido reparadas a través de: la Ley de Desaparición Forzada de Personas, la Ley de Amparo y las reformas al Código de Justicia Militar, así como el hecho de que el caso ya se encuentra siendo investigado por autoridades civiles. Respecto de l</w:t>
      </w:r>
      <w:r w:rsidR="00755A61">
        <w:rPr>
          <w:rFonts w:ascii="Verdana" w:eastAsia="Times New Roman" w:hAnsi="Verdana" w:cs="Times New Roman"/>
          <w:sz w:val="20"/>
          <w:szCs w:val="20"/>
          <w:lang w:val="es-ES"/>
        </w:rPr>
        <w:t>o</w:t>
      </w:r>
      <w:r w:rsidRPr="002E1C85">
        <w:rPr>
          <w:rFonts w:ascii="Verdana" w:eastAsia="Times New Roman" w:hAnsi="Verdana" w:cs="Times New Roman"/>
          <w:sz w:val="20"/>
          <w:szCs w:val="20"/>
          <w:lang w:val="es-ES"/>
        </w:rPr>
        <w:t xml:space="preserve">s demás </w:t>
      </w:r>
      <w:r w:rsidR="00755A61">
        <w:rPr>
          <w:rFonts w:ascii="Verdana" w:eastAsia="Times New Roman" w:hAnsi="Verdana" w:cs="Times New Roman"/>
          <w:sz w:val="20"/>
          <w:szCs w:val="20"/>
          <w:lang w:val="es-ES"/>
        </w:rPr>
        <w:t xml:space="preserve">alegados hechos y </w:t>
      </w:r>
      <w:r w:rsidRPr="002E1C85">
        <w:rPr>
          <w:rFonts w:ascii="Verdana" w:eastAsia="Times New Roman" w:hAnsi="Verdana" w:cs="Times New Roman"/>
          <w:sz w:val="20"/>
          <w:szCs w:val="20"/>
          <w:lang w:val="es-ES"/>
        </w:rPr>
        <w:t>violaciones, no reconoció las medidas solicitadas por l</w:t>
      </w:r>
      <w:r w:rsidR="007B53CC">
        <w:rPr>
          <w:rFonts w:ascii="Verdana" w:eastAsia="Times New Roman" w:hAnsi="Verdana" w:cs="Times New Roman"/>
          <w:sz w:val="20"/>
          <w:szCs w:val="20"/>
          <w:lang w:val="es-ES"/>
        </w:rPr>
        <w:t>a</w:t>
      </w:r>
      <w:r w:rsidRPr="002E1C85">
        <w:rPr>
          <w:rFonts w:ascii="Verdana" w:eastAsia="Times New Roman" w:hAnsi="Verdana" w:cs="Times New Roman"/>
          <w:sz w:val="20"/>
          <w:szCs w:val="20"/>
          <w:lang w:val="es-ES"/>
        </w:rPr>
        <w:t xml:space="preserve">s representantes, incluso ha informado sobre una serie de propuestas y medidas a favor de algunos miembros de la familia Alvarado, que incluyen apoyos humanitarios y diversas formas de asistencia social en materia de salud, educación y proyectos productivos, entre otras. </w:t>
      </w:r>
    </w:p>
    <w:p w14:paraId="64AA5DE3" w14:textId="76E1F07C"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 xml:space="preserve">Por lo tanto, en el </w:t>
      </w:r>
      <w:r w:rsidR="00AA5522">
        <w:rPr>
          <w:rFonts w:ascii="Verdana" w:eastAsia="Times New Roman" w:hAnsi="Verdana" w:cs="Times New Roman"/>
          <w:sz w:val="20"/>
          <w:szCs w:val="20"/>
          <w:lang w:val="es-ES"/>
        </w:rPr>
        <w:t>C</w:t>
      </w:r>
      <w:r w:rsidRPr="002E1C85">
        <w:rPr>
          <w:rFonts w:ascii="Verdana" w:eastAsia="Times New Roman" w:hAnsi="Verdana" w:cs="Times New Roman"/>
          <w:sz w:val="20"/>
          <w:szCs w:val="20"/>
          <w:lang w:val="es-ES"/>
        </w:rPr>
        <w:t xml:space="preserve">apítulo </w:t>
      </w:r>
      <w:r w:rsidR="00AA5522">
        <w:rPr>
          <w:rFonts w:ascii="Verdana" w:eastAsia="Times New Roman" w:hAnsi="Verdana" w:cs="Times New Roman"/>
          <w:sz w:val="20"/>
          <w:szCs w:val="20"/>
          <w:lang w:val="es-ES"/>
        </w:rPr>
        <w:t>VIII</w:t>
      </w:r>
      <w:r w:rsidRPr="002E1C85">
        <w:rPr>
          <w:rFonts w:ascii="Verdana" w:eastAsia="Times New Roman" w:hAnsi="Verdana" w:cs="Times New Roman"/>
          <w:sz w:val="20"/>
          <w:szCs w:val="20"/>
          <w:lang w:val="es-ES"/>
        </w:rPr>
        <w:t xml:space="preserve">, el Tribunal resolverá lo conducente en torno a las reparaciones solicitadas por la Comisión y las representantes y analizará la existencia del nexo causal entre las </w:t>
      </w:r>
      <w:r w:rsidR="00AA5522">
        <w:rPr>
          <w:rFonts w:ascii="Verdana" w:eastAsia="Times New Roman" w:hAnsi="Verdana" w:cs="Times New Roman"/>
          <w:sz w:val="20"/>
          <w:szCs w:val="20"/>
          <w:lang w:val="es-ES"/>
        </w:rPr>
        <w:t xml:space="preserve">eventuales </w:t>
      </w:r>
      <w:r w:rsidRPr="002E1C85">
        <w:rPr>
          <w:rFonts w:ascii="Verdana" w:eastAsia="Times New Roman" w:hAnsi="Verdana" w:cs="Times New Roman"/>
          <w:sz w:val="20"/>
          <w:szCs w:val="20"/>
          <w:lang w:val="es-ES"/>
        </w:rPr>
        <w:t xml:space="preserve">violaciones declaradas y los daños y </w:t>
      </w:r>
      <w:r w:rsidR="00E67720">
        <w:rPr>
          <w:rFonts w:ascii="Verdana" w:eastAsia="Times New Roman" w:hAnsi="Verdana" w:cs="Times New Roman"/>
          <w:sz w:val="20"/>
          <w:szCs w:val="20"/>
          <w:lang w:val="es-ES"/>
        </w:rPr>
        <w:t>medidas alegadas por las partes</w:t>
      </w:r>
      <w:r w:rsidR="007B53CC">
        <w:rPr>
          <w:rFonts w:ascii="Verdana" w:eastAsia="Times New Roman" w:hAnsi="Verdana" w:cs="Times New Roman"/>
          <w:sz w:val="20"/>
          <w:szCs w:val="20"/>
          <w:lang w:val="es-ES"/>
        </w:rPr>
        <w:t>.</w:t>
      </w:r>
    </w:p>
    <w:p w14:paraId="64AA5DE5" w14:textId="02E6F800" w:rsidR="002E1C85" w:rsidRDefault="00E34BFF" w:rsidP="00660FDA">
      <w:pPr>
        <w:widowControl w:val="0"/>
        <w:numPr>
          <w:ilvl w:val="0"/>
          <w:numId w:val="7"/>
        </w:numPr>
        <w:tabs>
          <w:tab w:val="left" w:pos="567"/>
        </w:tabs>
        <w:autoSpaceDE w:val="0"/>
        <w:autoSpaceDN w:val="0"/>
        <w:adjustRightInd w:val="0"/>
        <w:spacing w:before="120" w:after="120" w:line="240" w:lineRule="auto"/>
        <w:ind w:left="1560" w:hanging="426"/>
        <w:jc w:val="both"/>
        <w:textAlignment w:val="baseline"/>
        <w:outlineLvl w:val="2"/>
        <w:rPr>
          <w:rFonts w:ascii="Verdana" w:eastAsia="Calibri" w:hAnsi="Verdana" w:cs="Times New Roman"/>
          <w:i/>
          <w:spacing w:val="-2"/>
          <w:sz w:val="20"/>
          <w:szCs w:val="20"/>
          <w:lang w:val="es-ES" w:eastAsia="x-none"/>
        </w:rPr>
      </w:pPr>
      <w:bookmarkStart w:id="70" w:name="_Toc526774141"/>
      <w:bookmarkStart w:id="71" w:name="_Toc526777473"/>
      <w:bookmarkStart w:id="72" w:name="_Toc526783752"/>
      <w:r>
        <w:rPr>
          <w:rFonts w:ascii="Verdana" w:eastAsia="Calibri" w:hAnsi="Verdana" w:cs="Times New Roman"/>
          <w:i/>
          <w:spacing w:val="-2"/>
          <w:sz w:val="20"/>
          <w:szCs w:val="20"/>
          <w:lang w:val="es-ES" w:eastAsia="x-none"/>
        </w:rPr>
        <w:t xml:space="preserve"> </w:t>
      </w:r>
      <w:bookmarkStart w:id="73" w:name="_Toc532995320"/>
      <w:r w:rsidR="002E1C85" w:rsidRPr="00EC08E0">
        <w:rPr>
          <w:rFonts w:ascii="Verdana" w:eastAsia="Calibri" w:hAnsi="Verdana" w:cs="Times New Roman"/>
          <w:i/>
          <w:spacing w:val="-2"/>
          <w:sz w:val="20"/>
          <w:szCs w:val="20"/>
          <w:lang w:val="es-ES" w:eastAsia="x-none"/>
        </w:rPr>
        <w:t>Valoración del alcance del reconocimiento parcial de responsabilidad</w:t>
      </w:r>
      <w:bookmarkEnd w:id="69"/>
      <w:bookmarkEnd w:id="70"/>
      <w:bookmarkEnd w:id="71"/>
      <w:bookmarkEnd w:id="72"/>
      <w:bookmarkEnd w:id="73"/>
    </w:p>
    <w:p w14:paraId="64AA5DE7" w14:textId="42203838" w:rsidR="002E1C85" w:rsidRPr="00CA2568"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2E1C85">
        <w:rPr>
          <w:rFonts w:ascii="Verdana" w:eastAsia="Times New Roman" w:hAnsi="Verdana" w:cs="Times New Roman"/>
          <w:sz w:val="20"/>
          <w:szCs w:val="20"/>
          <w:lang w:val="es-ES"/>
        </w:rPr>
        <w:t xml:space="preserve">En virtud de lo anterior, la Corte estima necesario dictar una Sentencia en la cual se determinen los hechos ocurridos de acuerdo a la prueba recabada en el proceso ante este Tribunal, </w:t>
      </w:r>
      <w:r w:rsidR="003A62FD">
        <w:rPr>
          <w:rFonts w:ascii="Verdana" w:eastAsia="Times New Roman" w:hAnsi="Verdana" w:cs="Times New Roman"/>
          <w:sz w:val="20"/>
          <w:szCs w:val="20"/>
          <w:lang w:val="es-ES"/>
        </w:rPr>
        <w:t xml:space="preserve">a fin de </w:t>
      </w:r>
      <w:r w:rsidRPr="002E1C85">
        <w:rPr>
          <w:rFonts w:ascii="Verdana" w:eastAsia="Times New Roman" w:hAnsi="Verdana" w:cs="Times New Roman"/>
          <w:sz w:val="20"/>
          <w:szCs w:val="20"/>
          <w:lang w:val="es-ES"/>
        </w:rPr>
        <w:t>que no se repitan hechos similares y a satisfacer, en suma, los fines de la jurisdicción</w:t>
      </w:r>
      <w:r w:rsidR="003A4569">
        <w:rPr>
          <w:rFonts w:ascii="Verdana" w:eastAsia="Times New Roman" w:hAnsi="Verdana" w:cs="Times New Roman"/>
          <w:sz w:val="20"/>
          <w:szCs w:val="20"/>
          <w:lang w:val="es-ES"/>
        </w:rPr>
        <w:t>,</w:t>
      </w:r>
      <w:r w:rsidRPr="002E1C85">
        <w:rPr>
          <w:rFonts w:ascii="Verdana" w:eastAsia="Times New Roman" w:hAnsi="Verdana" w:cs="Times New Roman"/>
          <w:sz w:val="20"/>
          <w:szCs w:val="20"/>
          <w:lang w:val="es-ES"/>
        </w:rPr>
        <w:t xml:space="preserve"> toda vez que ello contribuye a la reparación de las presuntas víctimas</w:t>
      </w:r>
      <w:r w:rsidRPr="002E1C85">
        <w:rPr>
          <w:rFonts w:ascii="Verdana" w:eastAsia="Times New Roman" w:hAnsi="Verdana" w:cs="Times New Roman"/>
          <w:sz w:val="20"/>
          <w:szCs w:val="20"/>
          <w:vertAlign w:val="superscript"/>
          <w:lang w:val="es-ES"/>
        </w:rPr>
        <w:footnoteReference w:id="40"/>
      </w:r>
      <w:r w:rsidR="00826973">
        <w:rPr>
          <w:rFonts w:ascii="Verdana" w:eastAsia="Times New Roman" w:hAnsi="Verdana" w:cs="Times New Roman"/>
          <w:sz w:val="20"/>
          <w:szCs w:val="20"/>
          <w:lang w:val="es-ES"/>
        </w:rPr>
        <w:t>.</w:t>
      </w:r>
      <w:r w:rsidRPr="002E1C85">
        <w:rPr>
          <w:rFonts w:ascii="Verdana" w:eastAsia="Times New Roman" w:hAnsi="Verdana" w:cs="Times New Roman"/>
          <w:sz w:val="20"/>
          <w:szCs w:val="20"/>
          <w:lang w:val="es-ES"/>
        </w:rPr>
        <w:t xml:space="preserve"> De igual forma y en aras de asegurar una mejor comprensión de la responsabilidad internacional estatal en el presente caso y del nexo causal entre las violaciones establecidas y las reparaciones que se ordenarán, la Corte estima pertinente precisar el alcance y clasificación de las violaciones a los derechos humanos que acontecieron en el presente caso</w:t>
      </w:r>
      <w:r w:rsidRPr="002E1C85">
        <w:rPr>
          <w:rFonts w:ascii="Verdana" w:eastAsia="Times New Roman" w:hAnsi="Verdana" w:cs="Times New Roman"/>
          <w:sz w:val="20"/>
          <w:szCs w:val="20"/>
          <w:vertAlign w:val="superscript"/>
          <w:lang w:val="es-ES"/>
        </w:rPr>
        <w:footnoteReference w:id="41"/>
      </w:r>
      <w:r w:rsidRPr="002E1C85">
        <w:rPr>
          <w:rFonts w:ascii="Verdana" w:eastAsia="Times New Roman" w:hAnsi="Verdana" w:cs="Times New Roman"/>
          <w:sz w:val="20"/>
          <w:szCs w:val="20"/>
          <w:lang w:val="es-ES"/>
        </w:rPr>
        <w:t>.</w:t>
      </w:r>
    </w:p>
    <w:p w14:paraId="64AA5DE9" w14:textId="57A01FA9" w:rsidR="002E1C85" w:rsidRPr="00C57FCB" w:rsidRDefault="002E1C85" w:rsidP="0057411A">
      <w:pPr>
        <w:pStyle w:val="Ttulo1"/>
        <w:rPr>
          <w:lang w:val="en-US"/>
        </w:rPr>
      </w:pPr>
      <w:bookmarkStart w:id="74" w:name="_Toc375517114"/>
      <w:bookmarkStart w:id="75" w:name="_Toc459158102"/>
      <w:bookmarkStart w:id="76" w:name="_Toc470180046"/>
      <w:bookmarkStart w:id="77" w:name="_Toc514172609"/>
      <w:bookmarkStart w:id="78" w:name="_Toc526774142"/>
      <w:bookmarkStart w:id="79" w:name="_Toc526777474"/>
      <w:bookmarkStart w:id="80" w:name="_Toc526783753"/>
      <w:bookmarkStart w:id="81" w:name="_Toc532995321"/>
      <w:r w:rsidRPr="00855B75">
        <w:t>V</w:t>
      </w:r>
      <w:r w:rsidRPr="00855B75">
        <w:br/>
      </w:r>
      <w:r w:rsidRPr="00C57FCB">
        <w:rPr>
          <w:lang w:val="en-US"/>
        </w:rPr>
        <w:t>PRUEBA</w:t>
      </w:r>
      <w:bookmarkEnd w:id="74"/>
      <w:bookmarkEnd w:id="75"/>
      <w:bookmarkEnd w:id="76"/>
      <w:bookmarkEnd w:id="77"/>
      <w:bookmarkEnd w:id="78"/>
      <w:bookmarkEnd w:id="79"/>
      <w:bookmarkEnd w:id="80"/>
      <w:bookmarkEnd w:id="81"/>
    </w:p>
    <w:p w14:paraId="64AA5DEF" w14:textId="54D3B2BE" w:rsidR="002E1C85" w:rsidRPr="00855B75" w:rsidRDefault="0020172F" w:rsidP="00891997">
      <w:pPr>
        <w:keepNext/>
        <w:keepLines/>
        <w:widowControl w:val="0"/>
        <w:numPr>
          <w:ilvl w:val="0"/>
          <w:numId w:val="9"/>
        </w:numPr>
        <w:adjustRightInd w:val="0"/>
        <w:spacing w:before="120" w:after="120" w:line="240" w:lineRule="auto"/>
        <w:jc w:val="both"/>
        <w:textAlignment w:val="baseline"/>
        <w:outlineLvl w:val="1"/>
        <w:rPr>
          <w:rFonts w:ascii="Verdana" w:eastAsia="MS Mincho" w:hAnsi="Verdana" w:cs="Times New Roman"/>
          <w:b/>
          <w:i/>
          <w:sz w:val="20"/>
          <w:szCs w:val="20"/>
          <w:lang w:val="es-CR" w:eastAsia="es-CR"/>
        </w:rPr>
      </w:pPr>
      <w:bookmarkStart w:id="82" w:name="_Toc527560759"/>
      <w:bookmarkStart w:id="83" w:name="_Toc527561030"/>
      <w:bookmarkStart w:id="84" w:name="_Toc527560760"/>
      <w:bookmarkStart w:id="85" w:name="_Toc527561031"/>
      <w:bookmarkStart w:id="86" w:name="_Toc375517116"/>
      <w:bookmarkStart w:id="87" w:name="_Toc459158104"/>
      <w:bookmarkStart w:id="88" w:name="_Toc470180048"/>
      <w:bookmarkStart w:id="89" w:name="_Toc514172611"/>
      <w:bookmarkEnd w:id="82"/>
      <w:bookmarkEnd w:id="83"/>
      <w:bookmarkEnd w:id="84"/>
      <w:bookmarkEnd w:id="85"/>
      <w:r>
        <w:rPr>
          <w:rFonts w:ascii="Verdana" w:eastAsia="MS Mincho" w:hAnsi="Verdana" w:cs="Times New Roman"/>
          <w:b/>
          <w:i/>
          <w:sz w:val="20"/>
          <w:szCs w:val="20"/>
          <w:lang w:val="es-CR" w:eastAsia="es-CR"/>
        </w:rPr>
        <w:t xml:space="preserve"> </w:t>
      </w:r>
      <w:bookmarkStart w:id="90" w:name="_Toc526774144"/>
      <w:bookmarkStart w:id="91" w:name="_Toc526777476"/>
      <w:bookmarkStart w:id="92" w:name="_Toc526783755"/>
      <w:bookmarkStart w:id="93" w:name="_Toc532995322"/>
      <w:r w:rsidR="002E1C85" w:rsidRPr="00855B75">
        <w:rPr>
          <w:rFonts w:ascii="Verdana" w:eastAsia="MS Mincho" w:hAnsi="Verdana" w:cs="Times New Roman"/>
          <w:b/>
          <w:i/>
          <w:sz w:val="20"/>
          <w:szCs w:val="20"/>
          <w:lang w:val="es-CR" w:eastAsia="es-CR"/>
        </w:rPr>
        <w:t>Admis</w:t>
      </w:r>
      <w:r w:rsidR="00891997" w:rsidRPr="00C90B3F">
        <w:rPr>
          <w:rFonts w:ascii="Verdana" w:eastAsia="MS Mincho" w:hAnsi="Verdana" w:cs="Times New Roman"/>
          <w:b/>
          <w:i/>
          <w:sz w:val="20"/>
          <w:szCs w:val="20"/>
          <w:lang w:val="es-CR" w:eastAsia="es-CR"/>
        </w:rPr>
        <w:t xml:space="preserve">ibilidad </w:t>
      </w:r>
      <w:r w:rsidR="002E1C85" w:rsidRPr="00C57FCB">
        <w:rPr>
          <w:rFonts w:ascii="Verdana" w:eastAsia="MS Mincho" w:hAnsi="Verdana" w:cs="Times New Roman"/>
          <w:b/>
          <w:i/>
          <w:sz w:val="20"/>
          <w:szCs w:val="20"/>
          <w:lang w:val="es-CR" w:eastAsia="es-CR"/>
        </w:rPr>
        <w:t xml:space="preserve"> de la prueba</w:t>
      </w:r>
      <w:bookmarkEnd w:id="86"/>
      <w:bookmarkEnd w:id="87"/>
      <w:bookmarkEnd w:id="88"/>
      <w:bookmarkEnd w:id="89"/>
      <w:bookmarkEnd w:id="90"/>
      <w:bookmarkEnd w:id="91"/>
      <w:bookmarkEnd w:id="92"/>
      <w:r w:rsidR="00891997" w:rsidRPr="00C90B3F">
        <w:rPr>
          <w:rFonts w:ascii="Verdana" w:eastAsia="MS Mincho" w:hAnsi="Verdana" w:cs="Times New Roman"/>
          <w:b/>
          <w:i/>
          <w:sz w:val="20"/>
          <w:szCs w:val="20"/>
          <w:lang w:val="es-CR" w:eastAsia="es-CR"/>
        </w:rPr>
        <w:t xml:space="preserve"> documental</w:t>
      </w:r>
      <w:bookmarkEnd w:id="93"/>
      <w:r w:rsidR="00891997" w:rsidRPr="00C90B3F">
        <w:rPr>
          <w:rFonts w:ascii="Verdana" w:eastAsia="MS Mincho" w:hAnsi="Verdana" w:cs="Times New Roman"/>
          <w:b/>
          <w:i/>
          <w:sz w:val="20"/>
          <w:szCs w:val="20"/>
          <w:lang w:val="es-CR" w:eastAsia="es-CR"/>
        </w:rPr>
        <w:t xml:space="preserve"> </w:t>
      </w:r>
    </w:p>
    <w:p w14:paraId="64AA5DF3" w14:textId="7D82D1F1"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eastAsia="es-CR"/>
        </w:rPr>
      </w:pPr>
      <w:r w:rsidRPr="002E1C85">
        <w:rPr>
          <w:rFonts w:ascii="Verdana" w:eastAsia="Times New Roman" w:hAnsi="Verdana" w:cs="Times New Roman"/>
          <w:sz w:val="20"/>
          <w:szCs w:val="20"/>
          <w:lang w:val="es-ES" w:eastAsia="es-CR"/>
        </w:rPr>
        <w:t>En el presente caso, como en otros, el Tribunal admite el valor probatorio de aquellos documentos presentados por las partes y por la Comisión en la debida oportunidad procesal, que no fueron controvertidos ni objetados, y cuya autenticidad no fue puesta en duda</w:t>
      </w:r>
      <w:r w:rsidRPr="002E1C85">
        <w:rPr>
          <w:rFonts w:ascii="Verdana" w:eastAsia="Times New Roman" w:hAnsi="Verdana" w:cs="Times New Roman"/>
          <w:sz w:val="20"/>
          <w:szCs w:val="20"/>
          <w:vertAlign w:val="superscript"/>
          <w:lang w:val="es-ES" w:eastAsia="es-CR"/>
        </w:rPr>
        <w:footnoteReference w:id="42"/>
      </w:r>
      <w:r w:rsidRPr="002E1C85">
        <w:rPr>
          <w:rFonts w:ascii="Verdana" w:eastAsia="Times New Roman" w:hAnsi="Verdana" w:cs="Times New Roman"/>
          <w:sz w:val="20"/>
          <w:szCs w:val="20"/>
          <w:lang w:val="es-ES" w:eastAsia="es-CR"/>
        </w:rPr>
        <w:t xml:space="preserve">. </w:t>
      </w:r>
      <w:r w:rsidRPr="002E1C85">
        <w:rPr>
          <w:rFonts w:ascii="Verdana" w:eastAsia="Times New Roman" w:hAnsi="Verdana" w:cs="Times New Roman"/>
          <w:sz w:val="20"/>
          <w:szCs w:val="20"/>
          <w:lang w:val="es-CR" w:eastAsia="es-CR"/>
        </w:rPr>
        <w:t xml:space="preserve">Asimismo, la Corte estima pertinente admitir las declaraciones rendidas en audiencia pública y ante fedatario </w:t>
      </w:r>
      <w:r w:rsidRPr="002E1C85">
        <w:rPr>
          <w:rFonts w:ascii="Verdana" w:eastAsia="Times New Roman" w:hAnsi="Verdana" w:cs="Times New Roman"/>
          <w:sz w:val="20"/>
          <w:szCs w:val="20"/>
          <w:lang w:val="es-CR" w:eastAsia="es-CR"/>
        </w:rPr>
        <w:lastRenderedPageBreak/>
        <w:t>público, en cuanto se ajusten al objeto definido por la Resolución que ordenó recibirlas</w:t>
      </w:r>
      <w:r w:rsidRPr="002E1C85">
        <w:rPr>
          <w:rFonts w:ascii="Verdana" w:eastAsia="Times New Roman" w:hAnsi="Verdana" w:cs="Times New Roman"/>
          <w:sz w:val="20"/>
          <w:szCs w:val="20"/>
          <w:vertAlign w:val="superscript"/>
          <w:lang w:val="es-CR" w:eastAsia="es-CR"/>
        </w:rPr>
        <w:footnoteReference w:id="43"/>
      </w:r>
      <w:r w:rsidRPr="002E1C85">
        <w:rPr>
          <w:rFonts w:ascii="Verdana" w:eastAsia="Times New Roman" w:hAnsi="Verdana" w:cs="Times New Roman"/>
          <w:sz w:val="20"/>
          <w:szCs w:val="20"/>
          <w:lang w:val="es-CR" w:eastAsia="es-CR"/>
        </w:rPr>
        <w:t>.</w:t>
      </w:r>
    </w:p>
    <w:p w14:paraId="64AA5DF5" w14:textId="78654BCE" w:rsidR="002E1C85" w:rsidRPr="00E67720" w:rsidRDefault="002E1C85" w:rsidP="00C90B3F">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eastAsia="es-CR"/>
        </w:rPr>
      </w:pPr>
      <w:r w:rsidRPr="002E1C85">
        <w:rPr>
          <w:rFonts w:ascii="Verdana" w:eastAsia="Times New Roman" w:hAnsi="Verdana" w:cs="Times New Roman"/>
          <w:sz w:val="20"/>
          <w:szCs w:val="20"/>
          <w:lang w:val="es-ES" w:eastAsia="es-CR"/>
        </w:rPr>
        <w:t>Sobre los documentos presentados por el Estado junto con sus alegatos finales</w:t>
      </w:r>
      <w:r w:rsidRPr="002E1C85">
        <w:rPr>
          <w:rFonts w:ascii="Verdana" w:eastAsia="Times New Roman" w:hAnsi="Verdana" w:cs="Times New Roman"/>
          <w:sz w:val="20"/>
          <w:szCs w:val="20"/>
          <w:vertAlign w:val="superscript"/>
          <w:lang w:val="es-ES" w:eastAsia="es-CR"/>
        </w:rPr>
        <w:footnoteReference w:id="44"/>
      </w:r>
      <w:r w:rsidRPr="002E1C85">
        <w:rPr>
          <w:rFonts w:ascii="Verdana" w:eastAsia="Times New Roman" w:hAnsi="Verdana" w:cs="Times New Roman"/>
          <w:sz w:val="20"/>
          <w:szCs w:val="20"/>
          <w:lang w:val="es-ES" w:eastAsia="es-CR"/>
        </w:rPr>
        <w:t xml:space="preserve">, así como la prueba para mejor resolver y sus observaciones, la Corte nota que responden </w:t>
      </w:r>
      <w:r w:rsidR="00AA5522">
        <w:rPr>
          <w:rFonts w:ascii="Verdana" w:eastAsia="Times New Roman" w:hAnsi="Verdana" w:cs="Times New Roman"/>
          <w:sz w:val="20"/>
          <w:szCs w:val="20"/>
          <w:lang w:val="es-ES" w:eastAsia="es-CR"/>
        </w:rPr>
        <w:t xml:space="preserve">a </w:t>
      </w:r>
      <w:r w:rsidRPr="002E1C85">
        <w:rPr>
          <w:rFonts w:ascii="Verdana" w:eastAsia="Times New Roman" w:hAnsi="Verdana" w:cs="Times New Roman"/>
          <w:sz w:val="20"/>
          <w:szCs w:val="20"/>
          <w:lang w:val="es-ES" w:eastAsia="es-CR"/>
        </w:rPr>
        <w:t>lo solicitado por la Corte en virtud del artículo 58.b) del Reglamento en el transcurso de la audiencia pública y con posterioridad, por lo que la Corte considera oportuno admitirlos</w:t>
      </w:r>
      <w:r w:rsidR="00C61AAA" w:rsidRPr="008D0846">
        <w:rPr>
          <w:rFonts w:ascii="Verdana" w:eastAsia="Times New Roman" w:hAnsi="Verdana" w:cs="Times New Roman"/>
          <w:sz w:val="20"/>
          <w:szCs w:val="20"/>
          <w:lang w:val="es-ES" w:eastAsia="es-CR"/>
        </w:rPr>
        <w:t>.</w:t>
      </w:r>
    </w:p>
    <w:p w14:paraId="64AA5DF7" w14:textId="007F4332" w:rsidR="002E1C85" w:rsidRPr="00EC08E0" w:rsidRDefault="00E34BFF" w:rsidP="00660FDA">
      <w:pPr>
        <w:widowControl w:val="0"/>
        <w:numPr>
          <w:ilvl w:val="0"/>
          <w:numId w:val="10"/>
        </w:numPr>
        <w:tabs>
          <w:tab w:val="left" w:pos="567"/>
        </w:tabs>
        <w:autoSpaceDE w:val="0"/>
        <w:autoSpaceDN w:val="0"/>
        <w:adjustRightInd w:val="0"/>
        <w:spacing w:before="120" w:after="120" w:line="240" w:lineRule="auto"/>
        <w:ind w:left="1560" w:hanging="426"/>
        <w:jc w:val="both"/>
        <w:textAlignment w:val="baseline"/>
        <w:outlineLvl w:val="2"/>
        <w:rPr>
          <w:rFonts w:ascii="Verdana" w:eastAsia="Calibri" w:hAnsi="Verdana" w:cs="Times New Roman"/>
          <w:i/>
          <w:spacing w:val="-2"/>
          <w:sz w:val="20"/>
          <w:szCs w:val="20"/>
          <w:lang w:val="es-ES" w:eastAsia="x-none"/>
        </w:rPr>
      </w:pPr>
      <w:bookmarkStart w:id="94" w:name="_Toc526774146"/>
      <w:bookmarkStart w:id="95" w:name="_Toc526777478"/>
      <w:bookmarkStart w:id="96" w:name="_Toc526783757"/>
      <w:r>
        <w:rPr>
          <w:rFonts w:ascii="Verdana" w:eastAsia="Calibri" w:hAnsi="Verdana" w:cs="Times New Roman"/>
          <w:i/>
          <w:spacing w:val="-2"/>
          <w:sz w:val="20"/>
          <w:szCs w:val="20"/>
          <w:lang w:val="es-ES" w:eastAsia="x-none"/>
        </w:rPr>
        <w:t xml:space="preserve"> </w:t>
      </w:r>
      <w:bookmarkStart w:id="97" w:name="_Toc532995323"/>
      <w:r w:rsidR="002E1C85" w:rsidRPr="00EC08E0">
        <w:rPr>
          <w:rFonts w:ascii="Verdana" w:eastAsia="Calibri" w:hAnsi="Verdana" w:cs="Times New Roman"/>
          <w:i/>
          <w:spacing w:val="-2"/>
          <w:sz w:val="20"/>
          <w:szCs w:val="20"/>
          <w:lang w:val="es-ES" w:eastAsia="x-none"/>
        </w:rPr>
        <w:t>Alegados hechos supervinientes</w:t>
      </w:r>
      <w:bookmarkEnd w:id="94"/>
      <w:bookmarkEnd w:id="95"/>
      <w:bookmarkEnd w:id="96"/>
      <w:bookmarkEnd w:id="97"/>
    </w:p>
    <w:p w14:paraId="42BDEB41" w14:textId="38A48CDB" w:rsidR="00474CC9" w:rsidRPr="0012282C" w:rsidRDefault="00244830" w:rsidP="003564A3">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b/>
          <w:sz w:val="20"/>
          <w:szCs w:val="20"/>
        </w:rPr>
      </w:pPr>
      <w:r w:rsidRPr="003564A3">
        <w:rPr>
          <w:rFonts w:ascii="Verdana" w:hAnsi="Verdana"/>
          <w:sz w:val="20"/>
          <w:szCs w:val="20"/>
        </w:rPr>
        <w:t>Las representantes presentaron documentos junto con las observaciones al reconocimiento parcial de responsabilidad internacional del Estado, referentes a la Ley de Seguridad Interior</w:t>
      </w:r>
      <w:r w:rsidR="005E5714">
        <w:rPr>
          <w:rStyle w:val="Refdenotaalpie"/>
          <w:rFonts w:ascii="Verdana" w:hAnsi="Verdana"/>
          <w:sz w:val="20"/>
          <w:szCs w:val="20"/>
        </w:rPr>
        <w:footnoteReference w:id="45"/>
      </w:r>
      <w:r w:rsidRPr="003564A3">
        <w:rPr>
          <w:rFonts w:ascii="Verdana" w:hAnsi="Verdana"/>
          <w:sz w:val="20"/>
          <w:szCs w:val="20"/>
        </w:rPr>
        <w:t>, en la medida que se trata de una normativa superviniente cuya fecha de publicación es posterior a la fecha de presentación de los escritos</w:t>
      </w:r>
      <w:r w:rsidR="007A3899">
        <w:rPr>
          <w:rFonts w:ascii="Verdana" w:hAnsi="Verdana"/>
          <w:sz w:val="20"/>
          <w:szCs w:val="20"/>
        </w:rPr>
        <w:t>.</w:t>
      </w:r>
      <w:r w:rsidRPr="003564A3">
        <w:rPr>
          <w:rFonts w:ascii="Verdana" w:hAnsi="Verdana"/>
          <w:sz w:val="20"/>
          <w:szCs w:val="20"/>
        </w:rPr>
        <w:t xml:space="preserve"> El Estado, en sus alegatos finales, objetó la inclusión de esta documentación al considerar que la Corte no tiene competencia para pronunciarse sobre la implementación de la Ley de Seguridad Interior en virtud de que dicho ordenamiento jurídico no se encontraba vigente al momento de los hechos y no fue aplicado a los mismos</w:t>
      </w:r>
      <w:r w:rsidR="007A3899">
        <w:rPr>
          <w:rFonts w:ascii="Verdana" w:hAnsi="Verdana"/>
          <w:sz w:val="20"/>
          <w:szCs w:val="20"/>
        </w:rPr>
        <w:t>.</w:t>
      </w:r>
      <w:r w:rsidRPr="003564A3">
        <w:rPr>
          <w:rFonts w:ascii="Verdana" w:hAnsi="Verdana"/>
          <w:sz w:val="20"/>
          <w:szCs w:val="20"/>
        </w:rPr>
        <w:t xml:space="preserve"> En este mismo sentido, el Estado solicitó a la Corte desestimar las referencias realizadas por los </w:t>
      </w:r>
      <w:r w:rsidRPr="003564A3">
        <w:rPr>
          <w:rFonts w:ascii="Verdana" w:hAnsi="Verdana"/>
          <w:i/>
          <w:sz w:val="20"/>
          <w:szCs w:val="20"/>
        </w:rPr>
        <w:t>amicus curiae</w:t>
      </w:r>
      <w:r w:rsidRPr="003564A3">
        <w:rPr>
          <w:rFonts w:ascii="Verdana" w:hAnsi="Verdana"/>
          <w:sz w:val="20"/>
          <w:szCs w:val="20"/>
        </w:rPr>
        <w:t xml:space="preserve"> sobre la Ley de Seguridad Interior y el contexto de violencia y violación de derechos humanos</w:t>
      </w:r>
      <w:r w:rsidRPr="008D0846">
        <w:rPr>
          <w:rFonts w:ascii="Verdana" w:hAnsi="Verdana"/>
          <w:sz w:val="20"/>
          <w:szCs w:val="20"/>
        </w:rPr>
        <w:t>.</w:t>
      </w:r>
      <w:r w:rsidRPr="003564A3">
        <w:rPr>
          <w:rFonts w:ascii="Verdana" w:hAnsi="Verdana"/>
          <w:sz w:val="20"/>
          <w:szCs w:val="20"/>
        </w:rPr>
        <w:t xml:space="preserve"> </w:t>
      </w:r>
    </w:p>
    <w:p w14:paraId="67C8BA02" w14:textId="1F25149E" w:rsidR="00244830" w:rsidRPr="008D0846" w:rsidRDefault="00244830" w:rsidP="005F54F6">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8D0846">
        <w:rPr>
          <w:rFonts w:ascii="Verdana" w:hAnsi="Verdana"/>
          <w:sz w:val="20"/>
          <w:szCs w:val="20"/>
        </w:rPr>
        <w:t xml:space="preserve">Asimismo, el 20 de noviembre de 2018 las representantes remitieron a la Corte distintos documentos alegados como prueba superviniente referentes a la </w:t>
      </w:r>
      <w:r w:rsidR="006764AB" w:rsidRPr="006764AB">
        <w:rPr>
          <w:rFonts w:ascii="Verdana" w:hAnsi="Verdana"/>
          <w:sz w:val="20"/>
          <w:szCs w:val="20"/>
        </w:rPr>
        <w:t>declaratoria de inconstitucionalidad</w:t>
      </w:r>
      <w:r w:rsidR="006764AB">
        <w:rPr>
          <w:rFonts w:ascii="Verdana" w:hAnsi="Verdana"/>
          <w:sz w:val="20"/>
          <w:szCs w:val="20"/>
        </w:rPr>
        <w:t xml:space="preserve"> </w:t>
      </w:r>
      <w:r w:rsidRPr="008D0846">
        <w:rPr>
          <w:rFonts w:ascii="Verdana" w:hAnsi="Verdana"/>
          <w:sz w:val="20"/>
          <w:szCs w:val="20"/>
        </w:rPr>
        <w:t xml:space="preserve">emitida por la Suprema Corte de Justicia de la Nación </w:t>
      </w:r>
      <w:r w:rsidR="006764AB">
        <w:rPr>
          <w:rFonts w:ascii="Verdana" w:hAnsi="Verdana"/>
          <w:sz w:val="20"/>
          <w:szCs w:val="20"/>
        </w:rPr>
        <w:t>respecto de</w:t>
      </w:r>
      <w:r w:rsidR="006764AB" w:rsidRPr="008D0846">
        <w:rPr>
          <w:rFonts w:ascii="Verdana" w:hAnsi="Verdana"/>
          <w:sz w:val="20"/>
          <w:szCs w:val="20"/>
        </w:rPr>
        <w:t xml:space="preserve"> </w:t>
      </w:r>
      <w:r w:rsidRPr="008D0846">
        <w:rPr>
          <w:rFonts w:ascii="Verdana" w:hAnsi="Verdana"/>
          <w:sz w:val="20"/>
          <w:szCs w:val="20"/>
        </w:rPr>
        <w:t>la Ley de Seguridad Interior</w:t>
      </w:r>
      <w:r w:rsidR="00061E19">
        <w:rPr>
          <w:rStyle w:val="Refdenotaalpie"/>
          <w:rFonts w:ascii="Verdana" w:hAnsi="Verdana"/>
          <w:sz w:val="20"/>
          <w:szCs w:val="20"/>
        </w:rPr>
        <w:footnoteReference w:id="46"/>
      </w:r>
      <w:r w:rsidR="00570B7B" w:rsidRPr="002E1C85">
        <w:rPr>
          <w:rFonts w:ascii="Verdana" w:eastAsia="SimSun" w:hAnsi="Verdana" w:cs="Arial"/>
          <w:color w:val="000000"/>
          <w:sz w:val="20"/>
          <w:szCs w:val="20"/>
          <w:lang w:val="es-CR" w:eastAsia="es-CR"/>
        </w:rPr>
        <w:t>;</w:t>
      </w:r>
      <w:r w:rsidRPr="008D0846">
        <w:rPr>
          <w:rFonts w:ascii="Verdana" w:hAnsi="Verdana"/>
          <w:sz w:val="20"/>
          <w:szCs w:val="20"/>
        </w:rPr>
        <w:t xml:space="preserve"> el </w:t>
      </w:r>
      <w:r w:rsidR="00AA5522" w:rsidRPr="008D0846">
        <w:rPr>
          <w:rFonts w:ascii="Verdana" w:hAnsi="Verdana"/>
          <w:sz w:val="20"/>
          <w:szCs w:val="20"/>
        </w:rPr>
        <w:t>“</w:t>
      </w:r>
      <w:r w:rsidRPr="008D0846">
        <w:rPr>
          <w:rFonts w:ascii="Verdana" w:hAnsi="Verdana"/>
          <w:sz w:val="20"/>
          <w:szCs w:val="20"/>
        </w:rPr>
        <w:t xml:space="preserve">Plan Nacional de </w:t>
      </w:r>
      <w:r w:rsidR="00AA5522" w:rsidRPr="008D0846">
        <w:rPr>
          <w:rFonts w:ascii="Verdana" w:hAnsi="Verdana"/>
          <w:sz w:val="20"/>
          <w:szCs w:val="20"/>
        </w:rPr>
        <w:t xml:space="preserve">Paz y </w:t>
      </w:r>
      <w:r w:rsidRPr="008D0846">
        <w:rPr>
          <w:rFonts w:ascii="Verdana" w:hAnsi="Verdana"/>
          <w:sz w:val="20"/>
          <w:szCs w:val="20"/>
        </w:rPr>
        <w:t>Seguridad</w:t>
      </w:r>
      <w:r w:rsidR="00D86D40">
        <w:rPr>
          <w:rFonts w:ascii="Verdana" w:hAnsi="Verdana"/>
          <w:sz w:val="20"/>
          <w:szCs w:val="20"/>
        </w:rPr>
        <w:t xml:space="preserve"> 2018-2024</w:t>
      </w:r>
      <w:r w:rsidR="00AA5522" w:rsidRPr="008D0846">
        <w:rPr>
          <w:rFonts w:ascii="Verdana" w:hAnsi="Verdana"/>
          <w:sz w:val="20"/>
          <w:szCs w:val="20"/>
        </w:rPr>
        <w:t>”</w:t>
      </w:r>
      <w:r w:rsidR="00061E19">
        <w:rPr>
          <w:rStyle w:val="Refdenotaalpie"/>
          <w:rFonts w:ascii="Verdana" w:hAnsi="Verdana"/>
          <w:sz w:val="20"/>
          <w:szCs w:val="20"/>
        </w:rPr>
        <w:footnoteReference w:id="47"/>
      </w:r>
      <w:r w:rsidRPr="008D0846">
        <w:rPr>
          <w:rFonts w:ascii="Verdana" w:hAnsi="Verdana"/>
          <w:sz w:val="20"/>
          <w:szCs w:val="20"/>
        </w:rPr>
        <w:t xml:space="preserve">, y </w:t>
      </w:r>
      <w:r w:rsidR="00474CC9" w:rsidRPr="008D0846">
        <w:rPr>
          <w:rFonts w:ascii="Verdana" w:hAnsi="Verdana"/>
          <w:sz w:val="20"/>
          <w:szCs w:val="20"/>
        </w:rPr>
        <w:t>la iniciativa</w:t>
      </w:r>
      <w:r w:rsidRPr="008D0846">
        <w:rPr>
          <w:rFonts w:ascii="Verdana" w:hAnsi="Verdana"/>
          <w:sz w:val="20"/>
          <w:szCs w:val="20"/>
        </w:rPr>
        <w:t xml:space="preserve"> de reforma constitucional presentada por un grupo parlamentario </w:t>
      </w:r>
      <w:r w:rsidR="00AB290A">
        <w:rPr>
          <w:rFonts w:ascii="Verdana" w:hAnsi="Verdana"/>
          <w:sz w:val="20"/>
          <w:szCs w:val="20"/>
        </w:rPr>
        <w:t>en el Congreso Federal</w:t>
      </w:r>
      <w:r w:rsidR="000C7423" w:rsidRPr="008D0846">
        <w:rPr>
          <w:rFonts w:ascii="Verdana" w:hAnsi="Verdana"/>
          <w:sz w:val="20"/>
          <w:szCs w:val="20"/>
          <w:vertAlign w:val="superscript"/>
        </w:rPr>
        <w:footnoteReference w:id="48"/>
      </w:r>
      <w:r w:rsidRPr="008D0846">
        <w:rPr>
          <w:rFonts w:ascii="Verdana" w:hAnsi="Verdana"/>
          <w:sz w:val="20"/>
          <w:szCs w:val="20"/>
        </w:rPr>
        <w:t>. En sus observaciones, la Comisión señaló que dicha información resultaba pertinente para el análisis de las garantías de no repetición “que resultan necesarias tomando en cuenta el contexto en que sucedieron los hechos y la vigencia de muchos factores que</w:t>
      </w:r>
      <w:r w:rsidRPr="003564A3">
        <w:rPr>
          <w:rFonts w:ascii="Verdana" w:hAnsi="Verdana"/>
          <w:b/>
          <w:sz w:val="20"/>
          <w:szCs w:val="20"/>
        </w:rPr>
        <w:t xml:space="preserve"> </w:t>
      </w:r>
      <w:r w:rsidRPr="008D0846">
        <w:rPr>
          <w:rFonts w:ascii="Verdana" w:hAnsi="Verdana"/>
          <w:sz w:val="20"/>
          <w:szCs w:val="20"/>
        </w:rPr>
        <w:t>incidieron en [su] consolidación”</w:t>
      </w:r>
      <w:r w:rsidR="000C7423" w:rsidRPr="008D0846">
        <w:rPr>
          <w:rFonts w:ascii="Verdana" w:hAnsi="Verdana"/>
          <w:sz w:val="20"/>
          <w:szCs w:val="20"/>
        </w:rPr>
        <w:t>.</w:t>
      </w:r>
      <w:r w:rsidRPr="008D0846">
        <w:rPr>
          <w:rFonts w:ascii="Verdana" w:hAnsi="Verdana"/>
          <w:sz w:val="20"/>
          <w:szCs w:val="20"/>
        </w:rPr>
        <w:t xml:space="preserve"> Por su parte, el Estado solicitó a la Corte que </w:t>
      </w:r>
      <w:r w:rsidR="00AA0D56">
        <w:rPr>
          <w:rFonts w:ascii="Verdana" w:hAnsi="Verdana"/>
          <w:sz w:val="20"/>
          <w:szCs w:val="20"/>
        </w:rPr>
        <w:t>dichas documentales</w:t>
      </w:r>
      <w:r w:rsidRPr="008D0846">
        <w:rPr>
          <w:rFonts w:ascii="Verdana" w:hAnsi="Verdana"/>
          <w:sz w:val="20"/>
          <w:szCs w:val="20"/>
        </w:rPr>
        <w:t xml:space="preserve"> fueran desestimad</w:t>
      </w:r>
      <w:r w:rsidR="00AA0D56">
        <w:rPr>
          <w:rFonts w:ascii="Verdana" w:hAnsi="Verdana"/>
          <w:sz w:val="20"/>
          <w:szCs w:val="20"/>
        </w:rPr>
        <w:t>a</w:t>
      </w:r>
      <w:r w:rsidRPr="008D0846">
        <w:rPr>
          <w:rFonts w:ascii="Verdana" w:hAnsi="Verdana"/>
          <w:sz w:val="20"/>
          <w:szCs w:val="20"/>
        </w:rPr>
        <w:t>s toda vez que no versan sobre hechos contemplados en el marco fáctico sometido al conocimiento del Tribunal.</w:t>
      </w:r>
    </w:p>
    <w:p w14:paraId="61B5EF7F" w14:textId="14E8C615" w:rsidR="00244830" w:rsidRPr="00244830" w:rsidRDefault="002E1C85" w:rsidP="0024483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eastAsia="es-CR"/>
        </w:rPr>
      </w:pPr>
      <w:r w:rsidRPr="002E1C85">
        <w:rPr>
          <w:rFonts w:ascii="Verdana" w:eastAsia="Times New Roman" w:hAnsi="Verdana" w:cs="Times New Roman"/>
          <w:sz w:val="20"/>
          <w:szCs w:val="20"/>
          <w:lang w:val="es-ES" w:eastAsia="es-CR"/>
        </w:rPr>
        <w:t xml:space="preserve">La </w:t>
      </w:r>
      <w:r w:rsidR="00244830">
        <w:rPr>
          <w:rFonts w:ascii="Verdana" w:hAnsi="Verdana"/>
          <w:sz w:val="20"/>
          <w:szCs w:val="20"/>
          <w:lang w:val="es-ES"/>
        </w:rPr>
        <w:t>Corte constata que</w:t>
      </w:r>
      <w:r w:rsidR="00D60F31">
        <w:rPr>
          <w:rFonts w:ascii="Verdana" w:hAnsi="Verdana"/>
          <w:sz w:val="20"/>
          <w:szCs w:val="20"/>
          <w:lang w:val="es-ES"/>
        </w:rPr>
        <w:t>, de</w:t>
      </w:r>
      <w:r w:rsidR="00D60F31">
        <w:rPr>
          <w:rFonts w:ascii="Verdana" w:hAnsi="Verdana"/>
          <w:b/>
          <w:sz w:val="20"/>
          <w:szCs w:val="20"/>
          <w:lang w:val="es-ES"/>
        </w:rPr>
        <w:t xml:space="preserve"> </w:t>
      </w:r>
      <w:r w:rsidR="00D60F31" w:rsidRPr="008D0846">
        <w:rPr>
          <w:rFonts w:ascii="Verdana" w:hAnsi="Verdana"/>
          <w:sz w:val="20"/>
          <w:szCs w:val="20"/>
          <w:lang w:val="es-ES"/>
        </w:rPr>
        <w:t>los documentos anteriormente señalados</w:t>
      </w:r>
      <w:r w:rsidR="00244830" w:rsidRPr="008D0846">
        <w:rPr>
          <w:rFonts w:ascii="Verdana" w:hAnsi="Verdana"/>
          <w:sz w:val="20"/>
          <w:szCs w:val="20"/>
          <w:lang w:val="es-ES"/>
        </w:rPr>
        <w:t xml:space="preserve">, </w:t>
      </w:r>
      <w:r w:rsidR="00D60F31" w:rsidRPr="008D0846">
        <w:rPr>
          <w:rFonts w:ascii="Verdana" w:hAnsi="Verdana"/>
          <w:sz w:val="20"/>
          <w:szCs w:val="20"/>
          <w:lang w:val="es-ES"/>
        </w:rPr>
        <w:t xml:space="preserve">se desprende que mientras la </w:t>
      </w:r>
      <w:r w:rsidR="00AE5800" w:rsidRPr="008D0846">
        <w:rPr>
          <w:rFonts w:ascii="Verdana" w:hAnsi="Verdana"/>
          <w:sz w:val="20"/>
          <w:szCs w:val="20"/>
          <w:lang w:val="es-ES"/>
        </w:rPr>
        <w:t xml:space="preserve">Ley de Seguridad Interior y la correspondiente </w:t>
      </w:r>
      <w:r w:rsidR="00D60F31" w:rsidRPr="008D0846">
        <w:rPr>
          <w:rFonts w:ascii="Verdana" w:hAnsi="Verdana"/>
          <w:sz w:val="20"/>
          <w:szCs w:val="20"/>
          <w:lang w:val="es-ES"/>
        </w:rPr>
        <w:t>decisión de la SCJN tiene</w:t>
      </w:r>
      <w:r w:rsidR="00AE5800" w:rsidRPr="008D0846">
        <w:rPr>
          <w:rFonts w:ascii="Verdana" w:hAnsi="Verdana"/>
          <w:sz w:val="20"/>
          <w:szCs w:val="20"/>
          <w:lang w:val="es-ES"/>
        </w:rPr>
        <w:t>n</w:t>
      </w:r>
      <w:r w:rsidR="00D60F31" w:rsidRPr="008D0846">
        <w:rPr>
          <w:rFonts w:ascii="Verdana" w:hAnsi="Verdana"/>
          <w:sz w:val="20"/>
          <w:szCs w:val="20"/>
          <w:lang w:val="es-ES"/>
        </w:rPr>
        <w:t xml:space="preserve"> efectos jurídicos, l</w:t>
      </w:r>
      <w:r w:rsidR="00286809">
        <w:rPr>
          <w:rFonts w:ascii="Verdana" w:hAnsi="Verdana"/>
          <w:sz w:val="20"/>
          <w:szCs w:val="20"/>
          <w:lang w:val="es-ES"/>
        </w:rPr>
        <w:t>a</w:t>
      </w:r>
      <w:r w:rsidR="00D60F31" w:rsidRPr="008D0846">
        <w:rPr>
          <w:rFonts w:ascii="Verdana" w:hAnsi="Verdana"/>
          <w:sz w:val="20"/>
          <w:szCs w:val="20"/>
          <w:lang w:val="es-ES"/>
        </w:rPr>
        <w:t>s otr</w:t>
      </w:r>
      <w:r w:rsidR="00286809">
        <w:rPr>
          <w:rFonts w:ascii="Verdana" w:hAnsi="Verdana"/>
          <w:sz w:val="20"/>
          <w:szCs w:val="20"/>
          <w:lang w:val="es-ES"/>
        </w:rPr>
        <w:t>a</w:t>
      </w:r>
      <w:r w:rsidR="00D60F31" w:rsidRPr="008D0846">
        <w:rPr>
          <w:rFonts w:ascii="Verdana" w:hAnsi="Verdana"/>
          <w:sz w:val="20"/>
          <w:szCs w:val="20"/>
          <w:lang w:val="es-ES"/>
        </w:rPr>
        <w:t>s son propuestas no asumidas</w:t>
      </w:r>
      <w:r w:rsidR="00244830" w:rsidRPr="008D0846">
        <w:rPr>
          <w:rFonts w:ascii="Verdana" w:hAnsi="Verdana"/>
          <w:sz w:val="20"/>
          <w:szCs w:val="20"/>
          <w:lang w:val="es-ES"/>
        </w:rPr>
        <w:t xml:space="preserve"> por </w:t>
      </w:r>
      <w:r w:rsidR="00D60F31" w:rsidRPr="008D0846">
        <w:rPr>
          <w:rFonts w:ascii="Verdana" w:hAnsi="Verdana"/>
          <w:sz w:val="20"/>
          <w:szCs w:val="20"/>
          <w:lang w:val="es-ES"/>
        </w:rPr>
        <w:t>un órgano del Estado y carentes por ahora de efectos jurídicos. Por tanto</w:t>
      </w:r>
      <w:r w:rsidR="00AE5800" w:rsidRPr="008D0846">
        <w:rPr>
          <w:rFonts w:ascii="Verdana" w:hAnsi="Verdana"/>
          <w:sz w:val="20"/>
          <w:szCs w:val="20"/>
          <w:lang w:val="es-ES"/>
        </w:rPr>
        <w:t>,</w:t>
      </w:r>
      <w:r w:rsidR="00D60F31" w:rsidRPr="008D0846">
        <w:rPr>
          <w:rFonts w:ascii="Verdana" w:hAnsi="Verdana"/>
          <w:sz w:val="20"/>
          <w:szCs w:val="20"/>
          <w:lang w:val="es-ES"/>
        </w:rPr>
        <w:t xml:space="preserve"> sólo la</w:t>
      </w:r>
      <w:r w:rsidR="00BA46BA">
        <w:rPr>
          <w:rFonts w:ascii="Verdana" w:hAnsi="Verdana"/>
          <w:sz w:val="20"/>
          <w:szCs w:val="20"/>
          <w:lang w:val="es-ES"/>
        </w:rPr>
        <w:t>s</w:t>
      </w:r>
      <w:r w:rsidR="00D60F31" w:rsidRPr="008D0846">
        <w:rPr>
          <w:rFonts w:ascii="Verdana" w:hAnsi="Verdana"/>
          <w:sz w:val="20"/>
          <w:szCs w:val="20"/>
          <w:lang w:val="es-ES"/>
        </w:rPr>
        <w:t xml:space="preserve"> primera</w:t>
      </w:r>
      <w:r w:rsidR="00BA46BA">
        <w:rPr>
          <w:rFonts w:ascii="Verdana" w:hAnsi="Verdana"/>
          <w:sz w:val="20"/>
          <w:szCs w:val="20"/>
          <w:lang w:val="es-ES"/>
        </w:rPr>
        <w:t>s</w:t>
      </w:r>
      <w:r w:rsidR="00D60F31" w:rsidRPr="008D0846">
        <w:rPr>
          <w:rFonts w:ascii="Verdana" w:hAnsi="Verdana"/>
          <w:sz w:val="20"/>
          <w:szCs w:val="20"/>
          <w:lang w:val="es-ES"/>
        </w:rPr>
        <w:t xml:space="preserve"> será estimada como parte del contexto</w:t>
      </w:r>
      <w:r w:rsidR="00D60F31" w:rsidRPr="00D60F31">
        <w:rPr>
          <w:rFonts w:ascii="Verdana" w:hAnsi="Verdana"/>
          <w:b/>
          <w:sz w:val="20"/>
          <w:szCs w:val="20"/>
          <w:lang w:val="es-ES"/>
        </w:rPr>
        <w:t xml:space="preserve"> </w:t>
      </w:r>
      <w:r w:rsidR="00244830">
        <w:rPr>
          <w:rFonts w:ascii="Verdana" w:hAnsi="Verdana"/>
          <w:sz w:val="20"/>
          <w:szCs w:val="20"/>
          <w:lang w:val="es-ES"/>
        </w:rPr>
        <w:t>(</w:t>
      </w:r>
      <w:r w:rsidR="00244830">
        <w:rPr>
          <w:rFonts w:ascii="Verdana" w:hAnsi="Verdana"/>
          <w:i/>
          <w:iCs/>
          <w:sz w:val="20"/>
          <w:szCs w:val="20"/>
          <w:lang w:val="es-ES"/>
        </w:rPr>
        <w:t xml:space="preserve">infra </w:t>
      </w:r>
      <w:r w:rsidR="00244830" w:rsidRPr="008D0846">
        <w:rPr>
          <w:rFonts w:ascii="Verdana" w:hAnsi="Verdana"/>
          <w:iCs/>
          <w:sz w:val="20"/>
          <w:szCs w:val="20"/>
          <w:lang w:val="es-ES"/>
        </w:rPr>
        <w:t>párr</w:t>
      </w:r>
      <w:r w:rsidR="00244830">
        <w:rPr>
          <w:rFonts w:ascii="Verdana" w:hAnsi="Verdana"/>
          <w:i/>
          <w:iCs/>
          <w:sz w:val="20"/>
          <w:szCs w:val="20"/>
          <w:lang w:val="es-ES"/>
        </w:rPr>
        <w:t xml:space="preserve">. </w:t>
      </w:r>
      <w:r w:rsidR="00244830" w:rsidRPr="008D0846">
        <w:rPr>
          <w:rFonts w:ascii="Verdana" w:hAnsi="Verdana"/>
          <w:iCs/>
          <w:sz w:val="20"/>
          <w:szCs w:val="20"/>
          <w:lang w:val="es-ES"/>
        </w:rPr>
        <w:t>5</w:t>
      </w:r>
      <w:r w:rsidR="00286809" w:rsidRPr="008D0846">
        <w:rPr>
          <w:rFonts w:ascii="Verdana" w:hAnsi="Verdana"/>
          <w:iCs/>
          <w:sz w:val="20"/>
          <w:szCs w:val="20"/>
          <w:lang w:val="es-ES"/>
        </w:rPr>
        <w:t>8</w:t>
      </w:r>
      <w:r w:rsidR="00244830">
        <w:rPr>
          <w:rFonts w:ascii="Verdana" w:hAnsi="Verdana"/>
          <w:sz w:val="20"/>
          <w:szCs w:val="20"/>
          <w:lang w:val="es-ES"/>
        </w:rPr>
        <w:t xml:space="preserve">). </w:t>
      </w:r>
    </w:p>
    <w:p w14:paraId="64AA5DFD" w14:textId="41D29D57" w:rsidR="002E1C85" w:rsidRPr="00C90B3F" w:rsidRDefault="0020172F" w:rsidP="00C90B3F">
      <w:pPr>
        <w:keepNext/>
        <w:keepLines/>
        <w:widowControl w:val="0"/>
        <w:numPr>
          <w:ilvl w:val="0"/>
          <w:numId w:val="9"/>
        </w:numPr>
        <w:adjustRightInd w:val="0"/>
        <w:spacing w:before="120" w:after="120" w:line="240" w:lineRule="auto"/>
        <w:jc w:val="both"/>
        <w:textAlignment w:val="baseline"/>
        <w:outlineLvl w:val="1"/>
        <w:rPr>
          <w:rFonts w:ascii="Verdana" w:eastAsia="Calibri" w:hAnsi="Verdana" w:cs="Times New Roman"/>
          <w:b/>
          <w:i/>
          <w:spacing w:val="-2"/>
          <w:sz w:val="20"/>
          <w:szCs w:val="20"/>
          <w:lang w:val="es-ES" w:eastAsia="x-none"/>
        </w:rPr>
      </w:pPr>
      <w:r>
        <w:rPr>
          <w:rFonts w:ascii="Verdana" w:eastAsia="Calibri" w:hAnsi="Verdana" w:cs="Times New Roman"/>
          <w:b/>
          <w:i/>
          <w:spacing w:val="-2"/>
          <w:sz w:val="20"/>
          <w:szCs w:val="20"/>
          <w:lang w:val="es-ES" w:eastAsia="x-none"/>
        </w:rPr>
        <w:t xml:space="preserve"> </w:t>
      </w:r>
      <w:bookmarkStart w:id="98" w:name="_Toc532995324"/>
      <w:r w:rsidR="00891997" w:rsidRPr="00C90B3F">
        <w:rPr>
          <w:rFonts w:ascii="Verdana" w:eastAsia="Calibri" w:hAnsi="Verdana" w:cs="Times New Roman"/>
          <w:b/>
          <w:i/>
          <w:spacing w:val="-2"/>
          <w:sz w:val="20"/>
          <w:szCs w:val="20"/>
          <w:lang w:val="es-ES" w:eastAsia="x-none"/>
        </w:rPr>
        <w:t>Admisibilidad de la prueba testimonial y pericial</w:t>
      </w:r>
      <w:bookmarkEnd w:id="98"/>
      <w:r w:rsidR="00891997" w:rsidRPr="00C90B3F">
        <w:rPr>
          <w:rFonts w:ascii="Verdana" w:eastAsia="Calibri" w:hAnsi="Verdana" w:cs="Times New Roman"/>
          <w:b/>
          <w:i/>
          <w:spacing w:val="-2"/>
          <w:sz w:val="20"/>
          <w:szCs w:val="20"/>
          <w:lang w:val="es-ES" w:eastAsia="x-none"/>
        </w:rPr>
        <w:t xml:space="preserve"> </w:t>
      </w:r>
    </w:p>
    <w:p w14:paraId="64AA5DFF" w14:textId="2D82645C"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eastAsia="es-CR"/>
        </w:rPr>
      </w:pPr>
      <w:r w:rsidRPr="002E1C85">
        <w:rPr>
          <w:rFonts w:ascii="Verdana" w:eastAsia="Times New Roman" w:hAnsi="Verdana" w:cs="Times New Roman"/>
          <w:sz w:val="20"/>
          <w:szCs w:val="20"/>
          <w:lang w:val="es-ES" w:eastAsia="es-CR"/>
        </w:rPr>
        <w:t>La Corte estima pertinente admitir las declaraciones y dictámenes rendidos en audiencia pública</w:t>
      </w:r>
      <w:r w:rsidR="00414684">
        <w:rPr>
          <w:rStyle w:val="Refdenotaalpie"/>
          <w:rFonts w:ascii="Verdana" w:eastAsia="Times New Roman" w:hAnsi="Verdana" w:cs="Times New Roman"/>
          <w:sz w:val="20"/>
          <w:szCs w:val="20"/>
          <w:lang w:val="es-ES" w:eastAsia="es-CR"/>
        </w:rPr>
        <w:footnoteReference w:id="49"/>
      </w:r>
      <w:r w:rsidRPr="002E1C85">
        <w:rPr>
          <w:rFonts w:ascii="Verdana" w:eastAsia="Times New Roman" w:hAnsi="Verdana" w:cs="Times New Roman"/>
          <w:sz w:val="20"/>
          <w:szCs w:val="20"/>
          <w:lang w:val="es-ES" w:eastAsia="es-CR"/>
        </w:rPr>
        <w:t xml:space="preserve"> y mediante declaraciones ante fedatario público</w:t>
      </w:r>
      <w:r w:rsidR="00414684" w:rsidRPr="008D0846">
        <w:rPr>
          <w:rStyle w:val="Refdenotaalpie"/>
          <w:rFonts w:ascii="Verdana" w:eastAsia="Calibri" w:hAnsi="Verdana" w:cs="Times New Roman"/>
          <w:spacing w:val="-2"/>
          <w:sz w:val="20"/>
          <w:szCs w:val="20"/>
          <w:lang w:val="es-ES" w:eastAsia="x-none"/>
        </w:rPr>
        <w:footnoteReference w:id="50"/>
      </w:r>
      <w:r w:rsidRPr="006764AB">
        <w:rPr>
          <w:rFonts w:ascii="Verdana" w:eastAsia="Times New Roman" w:hAnsi="Verdana" w:cs="Times New Roman"/>
          <w:sz w:val="20"/>
          <w:szCs w:val="20"/>
          <w:lang w:val="es-ES" w:eastAsia="es-CR"/>
        </w:rPr>
        <w:t>,</w:t>
      </w:r>
      <w:r w:rsidRPr="002E1C85">
        <w:rPr>
          <w:rFonts w:ascii="Verdana" w:eastAsia="Times New Roman" w:hAnsi="Verdana" w:cs="Times New Roman"/>
          <w:sz w:val="20"/>
          <w:szCs w:val="20"/>
          <w:lang w:val="es-ES" w:eastAsia="es-CR"/>
        </w:rPr>
        <w:t xml:space="preserve"> en cuanto se ajusten al objeto definido </w:t>
      </w:r>
      <w:r w:rsidRPr="002E1C85">
        <w:rPr>
          <w:rFonts w:ascii="Verdana" w:eastAsia="Times New Roman" w:hAnsi="Verdana" w:cs="Times New Roman"/>
          <w:sz w:val="20"/>
          <w:szCs w:val="20"/>
          <w:lang w:val="es-ES" w:eastAsia="es-CR"/>
        </w:rPr>
        <w:lastRenderedPageBreak/>
        <w:t>por el Presidente en la Resolución que ordenó recibirlos</w:t>
      </w:r>
      <w:r w:rsidRPr="002E1C85">
        <w:rPr>
          <w:rFonts w:ascii="Verdana" w:eastAsia="Times New Roman" w:hAnsi="Verdana" w:cs="Times New Roman"/>
          <w:sz w:val="20"/>
          <w:szCs w:val="20"/>
          <w:vertAlign w:val="superscript"/>
          <w:lang w:val="es-ES" w:eastAsia="es-CR"/>
        </w:rPr>
        <w:footnoteReference w:id="51"/>
      </w:r>
      <w:r w:rsidRPr="002E1C85">
        <w:rPr>
          <w:rFonts w:ascii="Verdana" w:eastAsia="Times New Roman" w:hAnsi="Verdana" w:cs="Times New Roman"/>
          <w:sz w:val="20"/>
          <w:szCs w:val="20"/>
          <w:lang w:val="es-ES" w:eastAsia="es-CR"/>
        </w:rPr>
        <w:t xml:space="preserve"> y al objeto del presente caso.</w:t>
      </w:r>
    </w:p>
    <w:p w14:paraId="64AA5E01" w14:textId="0ACEDA32" w:rsidR="002E1C85" w:rsidRPr="00E67720" w:rsidRDefault="002E1C85" w:rsidP="00EC08E0">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eastAsia="es-CR"/>
        </w:rPr>
      </w:pPr>
      <w:r w:rsidRPr="002E1C85">
        <w:rPr>
          <w:rFonts w:ascii="Verdana" w:eastAsia="Times New Roman" w:hAnsi="Verdana" w:cs="Times New Roman"/>
          <w:sz w:val="20"/>
          <w:szCs w:val="20"/>
          <w:lang w:val="es-ES" w:eastAsia="es-CR"/>
        </w:rPr>
        <w:t>El Estado objetó la admisibilidad de las declaraciones ofrecidas por las representantes y presentadas tanto en audiencia como ante fedatario público. Respecto de las declaraciones de María de Jesús Alvarado Espinoza, Jaime Alvarado Herrera, Sandra Luz Rueda Quezada, Deisy Alvarado Espinoza, Mitzy Paola Alvarado Espinoza, Nitza Sitlaly Alvarado Espinoza, José Ángel Alvarado Fabela, Salomón Baltazar Samayoa, Rosa Olivia Alvarado Herrera, Adrián Alvarado Reyes, Alan Rafael Alvarado Reyes y Obdulia Espinoza Beltrán</w:t>
      </w:r>
      <w:r w:rsidR="00286809">
        <w:rPr>
          <w:rFonts w:ascii="Verdana" w:eastAsia="Times New Roman" w:hAnsi="Verdana" w:cs="Times New Roman"/>
          <w:sz w:val="20"/>
          <w:szCs w:val="20"/>
          <w:lang w:val="es-ES" w:eastAsia="es-CR"/>
        </w:rPr>
        <w:t>,</w:t>
      </w:r>
      <w:r w:rsidRPr="002E1C85">
        <w:rPr>
          <w:rFonts w:ascii="Verdana" w:eastAsia="Times New Roman" w:hAnsi="Verdana" w:cs="Times New Roman"/>
          <w:sz w:val="20"/>
          <w:szCs w:val="20"/>
          <w:lang w:val="es-ES" w:eastAsia="es-CR"/>
        </w:rPr>
        <w:t xml:space="preserve"> </w:t>
      </w:r>
      <w:r w:rsidRPr="002E1C85">
        <w:rPr>
          <w:rFonts w:ascii="Verdana" w:eastAsia="Times New Roman" w:hAnsi="Verdana" w:cs="Times New Roman"/>
          <w:sz w:val="20"/>
          <w:szCs w:val="20"/>
          <w:lang w:val="es-CR" w:eastAsia="es-CR"/>
        </w:rPr>
        <w:t>el Tribunal nota que las observaciones del Estado versan sobre el contenido de l</w:t>
      </w:r>
      <w:r w:rsidR="00286809">
        <w:rPr>
          <w:rFonts w:ascii="Verdana" w:eastAsia="Times New Roman" w:hAnsi="Verdana" w:cs="Times New Roman"/>
          <w:sz w:val="20"/>
          <w:szCs w:val="20"/>
          <w:lang w:val="es-CR" w:eastAsia="es-CR"/>
        </w:rPr>
        <w:t>a</w:t>
      </w:r>
      <w:r w:rsidRPr="002E1C85">
        <w:rPr>
          <w:rFonts w:ascii="Verdana" w:eastAsia="Times New Roman" w:hAnsi="Verdana" w:cs="Times New Roman"/>
          <w:sz w:val="20"/>
          <w:szCs w:val="20"/>
          <w:lang w:val="es-CR" w:eastAsia="es-CR"/>
        </w:rPr>
        <w:t>s mism</w:t>
      </w:r>
      <w:r w:rsidR="00286809">
        <w:rPr>
          <w:rFonts w:ascii="Verdana" w:eastAsia="Times New Roman" w:hAnsi="Verdana" w:cs="Times New Roman"/>
          <w:sz w:val="20"/>
          <w:szCs w:val="20"/>
          <w:lang w:val="es-CR" w:eastAsia="es-CR"/>
        </w:rPr>
        <w:t>a</w:t>
      </w:r>
      <w:r w:rsidRPr="002E1C85">
        <w:rPr>
          <w:rFonts w:ascii="Verdana" w:eastAsia="Times New Roman" w:hAnsi="Verdana" w:cs="Times New Roman"/>
          <w:sz w:val="20"/>
          <w:szCs w:val="20"/>
          <w:lang w:val="es-CR" w:eastAsia="es-CR"/>
        </w:rPr>
        <w:t>s y, por ende, podrían impactar en la valoración de su peso probatorio, pero no afectan su admisibilidad</w:t>
      </w:r>
      <w:r w:rsidRPr="002E1C85">
        <w:rPr>
          <w:rFonts w:ascii="Verdana" w:eastAsia="Times New Roman" w:hAnsi="Verdana" w:cs="Times New Roman"/>
          <w:sz w:val="20"/>
          <w:szCs w:val="20"/>
          <w:vertAlign w:val="superscript"/>
          <w:lang w:val="es-CR" w:eastAsia="es-CR"/>
        </w:rPr>
        <w:footnoteReference w:id="52"/>
      </w:r>
      <w:r w:rsidR="003733EF" w:rsidRPr="008D0846">
        <w:rPr>
          <w:rFonts w:ascii="Verdana" w:eastAsia="Times New Roman" w:hAnsi="Verdana" w:cs="Times New Roman"/>
          <w:sz w:val="20"/>
          <w:szCs w:val="20"/>
          <w:lang w:val="es-CR" w:eastAsia="es-CR"/>
        </w:rPr>
        <w:t>.</w:t>
      </w:r>
    </w:p>
    <w:p w14:paraId="31BC6844" w14:textId="3D73CDFC" w:rsidR="00CA2568" w:rsidRPr="00E67720" w:rsidRDefault="00CA2568" w:rsidP="0057411A">
      <w:pPr>
        <w:pStyle w:val="Ttulo1"/>
      </w:pPr>
      <w:bookmarkStart w:id="99" w:name="_Toc526774148"/>
      <w:bookmarkStart w:id="100" w:name="_Toc526777480"/>
      <w:bookmarkStart w:id="101" w:name="_Toc526783759"/>
      <w:bookmarkStart w:id="102" w:name="_Toc532995325"/>
      <w:r w:rsidRPr="00CA2568">
        <w:t>VI</w:t>
      </w:r>
      <w:r w:rsidRPr="00CA2568">
        <w:br/>
        <w:t>HECHOS</w:t>
      </w:r>
      <w:bookmarkEnd w:id="99"/>
      <w:bookmarkEnd w:id="100"/>
      <w:bookmarkEnd w:id="101"/>
      <w:bookmarkEnd w:id="102"/>
    </w:p>
    <w:p w14:paraId="64AA5E06" w14:textId="3036C366" w:rsidR="002E1C85" w:rsidRPr="00744CE4" w:rsidRDefault="002E1C85" w:rsidP="00744CE4">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imes New Roman" w:hAnsi="Verdana" w:cs="Verdana"/>
          <w:sz w:val="20"/>
          <w:szCs w:val="20"/>
          <w:lang w:val="es-ES" w:eastAsia="es-MX"/>
        </w:rPr>
      </w:pPr>
      <w:r w:rsidRPr="00744CE4">
        <w:rPr>
          <w:rFonts w:ascii="Verdana" w:hAnsi="Verdana"/>
          <w:sz w:val="20"/>
          <w:szCs w:val="20"/>
        </w:rPr>
        <w:t xml:space="preserve">En el presente capítulo se establecerán los hechos del presente caso con base en </w:t>
      </w:r>
      <w:r w:rsidRPr="00744CE4">
        <w:rPr>
          <w:rFonts w:ascii="Verdana" w:hAnsi="Verdana"/>
          <w:sz w:val="20"/>
          <w:szCs w:val="20"/>
          <w:lang w:val="es-CR"/>
        </w:rPr>
        <w:t>el marco fáctico sometido al conocimiento de la Corte por la Comisión, tomando en consideración el acervo probatorio en vista del Tribunal, lo alegado por las representantes y el Estado, así como el reconocimiento parcial de re</w:t>
      </w:r>
      <w:r w:rsidRPr="00432ABC">
        <w:rPr>
          <w:rFonts w:ascii="Verdana" w:hAnsi="Verdana"/>
          <w:sz w:val="20"/>
          <w:szCs w:val="20"/>
          <w:lang w:val="es-CR"/>
        </w:rPr>
        <w:t>sponsabilidad realizado por este último y demás puntos que no han sido controvertidos por las partes (</w:t>
      </w:r>
      <w:r w:rsidR="00205AF7" w:rsidRPr="00432ABC">
        <w:rPr>
          <w:rFonts w:ascii="Verdana" w:hAnsi="Verdana"/>
          <w:i/>
          <w:sz w:val="20"/>
          <w:szCs w:val="20"/>
          <w:lang w:val="es-CR"/>
        </w:rPr>
        <w:t xml:space="preserve">supra </w:t>
      </w:r>
      <w:r w:rsidRPr="00432ABC">
        <w:rPr>
          <w:rFonts w:ascii="Verdana" w:hAnsi="Verdana"/>
          <w:sz w:val="20"/>
          <w:szCs w:val="20"/>
          <w:lang w:val="es-CR"/>
        </w:rPr>
        <w:t xml:space="preserve">párrs. </w:t>
      </w:r>
      <w:r w:rsidR="00804081">
        <w:rPr>
          <w:rFonts w:ascii="Verdana" w:hAnsi="Verdana"/>
          <w:sz w:val="20"/>
          <w:szCs w:val="20"/>
          <w:lang w:val="es-CR"/>
        </w:rPr>
        <w:t>33 a 35</w:t>
      </w:r>
      <w:r w:rsidRPr="00432ABC">
        <w:rPr>
          <w:rFonts w:ascii="Verdana" w:hAnsi="Verdana"/>
          <w:sz w:val="20"/>
          <w:szCs w:val="20"/>
          <w:lang w:val="es-CR"/>
        </w:rPr>
        <w:t>). Por consiguiente, los mismos serán expuestos conforme a los apartados siguientes: a) Contexto de desapariciones y la existencia de un pa</w:t>
      </w:r>
      <w:r w:rsidRPr="002C462C">
        <w:rPr>
          <w:rFonts w:ascii="Verdana" w:hAnsi="Verdana"/>
          <w:sz w:val="20"/>
          <w:szCs w:val="20"/>
          <w:lang w:val="es-CR"/>
        </w:rPr>
        <w:t>trón de impunidad en México; b) Sobre Nitza Paola Alvarado Espinoza, José Ángel Alvarado Herrera y Rocío Irene Alvarado Reyes; c) La</w:t>
      </w:r>
      <w:r w:rsidR="00B824CB">
        <w:rPr>
          <w:rFonts w:ascii="Verdana" w:hAnsi="Verdana"/>
          <w:sz w:val="20"/>
          <w:szCs w:val="20"/>
          <w:lang w:val="es-CR"/>
        </w:rPr>
        <w:t>s</w:t>
      </w:r>
      <w:r w:rsidRPr="002C462C">
        <w:rPr>
          <w:rFonts w:ascii="Verdana" w:hAnsi="Verdana"/>
          <w:sz w:val="20"/>
          <w:szCs w:val="20"/>
          <w:lang w:val="es-CR"/>
        </w:rPr>
        <w:t xml:space="preserve"> desaparici</w:t>
      </w:r>
      <w:r w:rsidR="00B824CB">
        <w:rPr>
          <w:rFonts w:ascii="Verdana" w:hAnsi="Verdana"/>
          <w:sz w:val="20"/>
          <w:szCs w:val="20"/>
          <w:lang w:val="es-CR"/>
        </w:rPr>
        <w:t>ones</w:t>
      </w:r>
      <w:r w:rsidRPr="002C462C">
        <w:rPr>
          <w:rFonts w:ascii="Verdana" w:hAnsi="Verdana"/>
          <w:sz w:val="20"/>
          <w:szCs w:val="20"/>
          <w:lang w:val="es-CR"/>
        </w:rPr>
        <w:t xml:space="preserve"> de</w:t>
      </w:r>
      <w:r w:rsidR="00B824CB">
        <w:rPr>
          <w:rFonts w:ascii="Verdana" w:hAnsi="Verdana"/>
          <w:sz w:val="20"/>
          <w:szCs w:val="20"/>
          <w:lang w:val="es-CR"/>
        </w:rPr>
        <w:t>l</w:t>
      </w:r>
      <w:r w:rsidRPr="002C462C">
        <w:rPr>
          <w:rFonts w:ascii="Verdana" w:hAnsi="Verdana"/>
          <w:sz w:val="20"/>
          <w:szCs w:val="20"/>
          <w:lang w:val="es-CR"/>
        </w:rPr>
        <w:t xml:space="preserve"> 29 de diciembre de 2009; d) Los procesos internos llevados a cabo en relación con los hechos, y e) Las amenazas y hostigamientos recibidos por los familiares una vez ocurridas las desapariciones</w:t>
      </w:r>
      <w:r w:rsidRPr="00744CE4">
        <w:rPr>
          <w:rFonts w:ascii="Verdana" w:hAnsi="Verdana"/>
          <w:sz w:val="20"/>
          <w:szCs w:val="20"/>
          <w:lang w:val="es-CR"/>
        </w:rPr>
        <w:t>.</w:t>
      </w:r>
    </w:p>
    <w:p w14:paraId="1EA356AE" w14:textId="0D0883E8" w:rsidR="00762AD6" w:rsidRDefault="0020172F" w:rsidP="00432ABC">
      <w:pPr>
        <w:pStyle w:val="Prrafodelista"/>
        <w:keepNext/>
        <w:keepLines/>
        <w:widowControl w:val="0"/>
        <w:numPr>
          <w:ilvl w:val="0"/>
          <w:numId w:val="42"/>
        </w:numPr>
        <w:adjustRightInd w:val="0"/>
        <w:spacing w:before="120" w:after="120" w:line="240" w:lineRule="auto"/>
        <w:contextualSpacing w:val="0"/>
        <w:jc w:val="both"/>
        <w:textAlignment w:val="baseline"/>
        <w:outlineLvl w:val="1"/>
        <w:rPr>
          <w:rFonts w:ascii="Verdana" w:hAnsi="Verdana"/>
          <w:b/>
          <w:i/>
          <w:sz w:val="20"/>
        </w:rPr>
      </w:pPr>
      <w:bookmarkStart w:id="103" w:name="_Toc526774149"/>
      <w:bookmarkStart w:id="104" w:name="_Toc526777481"/>
      <w:bookmarkStart w:id="105" w:name="_Toc526783760"/>
      <w:r>
        <w:rPr>
          <w:rFonts w:ascii="Verdana" w:hAnsi="Verdana"/>
          <w:b/>
          <w:i/>
          <w:sz w:val="20"/>
        </w:rPr>
        <w:t xml:space="preserve"> </w:t>
      </w:r>
      <w:bookmarkStart w:id="106" w:name="_Toc532995326"/>
      <w:r w:rsidR="002E1C85" w:rsidRPr="00432ABC">
        <w:rPr>
          <w:rFonts w:ascii="Verdana" w:hAnsi="Verdana"/>
          <w:b/>
          <w:i/>
          <w:sz w:val="20"/>
        </w:rPr>
        <w:t>Contexto</w:t>
      </w:r>
      <w:bookmarkEnd w:id="103"/>
      <w:bookmarkEnd w:id="104"/>
      <w:bookmarkEnd w:id="105"/>
      <w:bookmarkEnd w:id="106"/>
      <w:r w:rsidR="002E1C85" w:rsidRPr="00432ABC">
        <w:rPr>
          <w:rFonts w:ascii="Verdana" w:hAnsi="Verdana"/>
          <w:b/>
          <w:i/>
          <w:sz w:val="20"/>
        </w:rPr>
        <w:t xml:space="preserve"> </w:t>
      </w:r>
    </w:p>
    <w:p w14:paraId="40F754E3" w14:textId="4B476DF8" w:rsidR="00474CC9" w:rsidRPr="008D0846" w:rsidRDefault="00474CC9" w:rsidP="005F54F6">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i/>
          <w:sz w:val="20"/>
        </w:rPr>
      </w:pPr>
      <w:r w:rsidRPr="008D0846">
        <w:rPr>
          <w:rFonts w:ascii="Verdana" w:hAnsi="Verdana"/>
          <w:sz w:val="20"/>
        </w:rPr>
        <w:t xml:space="preserve">Tomando en cuenta </w:t>
      </w:r>
      <w:r w:rsidR="006D2CA5" w:rsidRPr="008D0846">
        <w:rPr>
          <w:rFonts w:ascii="Verdana" w:hAnsi="Verdana"/>
          <w:sz w:val="20"/>
        </w:rPr>
        <w:t xml:space="preserve">que </w:t>
      </w:r>
      <w:r w:rsidRPr="008D0846">
        <w:rPr>
          <w:rFonts w:ascii="Verdana" w:hAnsi="Verdana"/>
          <w:sz w:val="20"/>
        </w:rPr>
        <w:t>la violencia derivada del crimen organizado y su combate por parte de agentes estatal</w:t>
      </w:r>
      <w:r w:rsidR="006D2CA5" w:rsidRPr="008D0846">
        <w:rPr>
          <w:rFonts w:ascii="Verdana" w:hAnsi="Verdana"/>
          <w:sz w:val="20"/>
        </w:rPr>
        <w:t>es tiene</w:t>
      </w:r>
      <w:r w:rsidR="009263E9" w:rsidRPr="008D0846">
        <w:rPr>
          <w:rFonts w:ascii="Verdana" w:hAnsi="Verdana"/>
          <w:sz w:val="20"/>
        </w:rPr>
        <w:t xml:space="preserve"> origen en distintas causas</w:t>
      </w:r>
      <w:r w:rsidRPr="008D0846">
        <w:rPr>
          <w:rFonts w:ascii="Verdana" w:hAnsi="Verdana"/>
          <w:sz w:val="20"/>
        </w:rPr>
        <w:t xml:space="preserve">, esta Corte es consciente de los impactos que </w:t>
      </w:r>
      <w:r w:rsidR="006D2CA5" w:rsidRPr="008D0846">
        <w:rPr>
          <w:rFonts w:ascii="Verdana" w:hAnsi="Verdana"/>
          <w:sz w:val="20"/>
        </w:rPr>
        <w:t>el</w:t>
      </w:r>
      <w:r w:rsidRPr="008D0846">
        <w:rPr>
          <w:rFonts w:ascii="Verdana" w:hAnsi="Verdana"/>
          <w:sz w:val="20"/>
        </w:rPr>
        <w:t>la ha generado en Méxi</w:t>
      </w:r>
      <w:r w:rsidR="006D2CA5" w:rsidRPr="008D0846">
        <w:rPr>
          <w:rFonts w:ascii="Verdana" w:hAnsi="Verdana"/>
          <w:sz w:val="20"/>
        </w:rPr>
        <w:t>co, así como en otros países</w:t>
      </w:r>
      <w:r w:rsidR="009263E9" w:rsidRPr="008D0846">
        <w:rPr>
          <w:rFonts w:ascii="Verdana" w:hAnsi="Verdana"/>
          <w:sz w:val="20"/>
        </w:rPr>
        <w:t xml:space="preserve">, siendo </w:t>
      </w:r>
      <w:r w:rsidR="008A3009">
        <w:rPr>
          <w:rFonts w:ascii="Verdana" w:hAnsi="Verdana"/>
          <w:sz w:val="20"/>
        </w:rPr>
        <w:t>la violencia</w:t>
      </w:r>
      <w:r w:rsidR="008A3009" w:rsidRPr="008D0846">
        <w:rPr>
          <w:rFonts w:ascii="Verdana" w:hAnsi="Verdana"/>
          <w:sz w:val="20"/>
        </w:rPr>
        <w:t xml:space="preserve"> </w:t>
      </w:r>
      <w:r w:rsidRPr="008D0846">
        <w:rPr>
          <w:rFonts w:ascii="Verdana" w:hAnsi="Verdana"/>
          <w:sz w:val="20"/>
        </w:rPr>
        <w:t>multifactorial</w:t>
      </w:r>
      <w:r w:rsidR="009263E9" w:rsidRPr="008D0846">
        <w:rPr>
          <w:rFonts w:ascii="Verdana" w:hAnsi="Verdana"/>
          <w:sz w:val="20"/>
        </w:rPr>
        <w:t>,</w:t>
      </w:r>
      <w:r w:rsidRPr="008D0846">
        <w:rPr>
          <w:rFonts w:ascii="Verdana" w:hAnsi="Verdana"/>
          <w:sz w:val="20"/>
        </w:rPr>
        <w:t xml:space="preserve"> por lo que no compete a este Tribunal aludir a </w:t>
      </w:r>
      <w:r w:rsidR="009263E9" w:rsidRPr="008D0846">
        <w:rPr>
          <w:rFonts w:ascii="Verdana" w:hAnsi="Verdana"/>
          <w:sz w:val="20"/>
        </w:rPr>
        <w:t>todos sus aspectos</w:t>
      </w:r>
      <w:r w:rsidRPr="008D0846">
        <w:rPr>
          <w:rFonts w:ascii="Verdana" w:hAnsi="Verdana"/>
          <w:sz w:val="20"/>
        </w:rPr>
        <w:t>, sino particularmente a l</w:t>
      </w:r>
      <w:r w:rsidR="008B1154">
        <w:rPr>
          <w:rFonts w:ascii="Verdana" w:hAnsi="Verdana"/>
          <w:sz w:val="20"/>
        </w:rPr>
        <w:t>o</w:t>
      </w:r>
      <w:r w:rsidRPr="008D0846">
        <w:rPr>
          <w:rFonts w:ascii="Verdana" w:hAnsi="Verdana"/>
          <w:sz w:val="20"/>
        </w:rPr>
        <w:t xml:space="preserve">s atinentes al </w:t>
      </w:r>
      <w:r w:rsidR="006D2CA5" w:rsidRPr="008D0846">
        <w:rPr>
          <w:rFonts w:ascii="Verdana" w:hAnsi="Verdana"/>
          <w:sz w:val="20"/>
        </w:rPr>
        <w:t>presente caso y en especial</w:t>
      </w:r>
      <w:r w:rsidRPr="008D0846">
        <w:rPr>
          <w:rFonts w:ascii="Verdana" w:hAnsi="Verdana"/>
          <w:sz w:val="20"/>
        </w:rPr>
        <w:t xml:space="preserve"> </w:t>
      </w:r>
      <w:r w:rsidR="006D2CA5" w:rsidRPr="008D0846">
        <w:rPr>
          <w:rFonts w:ascii="Verdana" w:hAnsi="Verdana"/>
          <w:sz w:val="20"/>
        </w:rPr>
        <w:t xml:space="preserve">a </w:t>
      </w:r>
      <w:r w:rsidRPr="008D0846">
        <w:rPr>
          <w:rFonts w:ascii="Verdana" w:hAnsi="Verdana"/>
          <w:sz w:val="20"/>
        </w:rPr>
        <w:t xml:space="preserve">los aspectos jurídicos relacionados con el actuar del Estado </w:t>
      </w:r>
      <w:r w:rsidR="008B1154">
        <w:rPr>
          <w:rFonts w:ascii="Verdana" w:hAnsi="Verdana"/>
          <w:sz w:val="20"/>
        </w:rPr>
        <w:t>en</w:t>
      </w:r>
      <w:r w:rsidR="006D2CA5" w:rsidRPr="008D0846">
        <w:rPr>
          <w:rFonts w:ascii="Verdana" w:hAnsi="Verdana"/>
          <w:sz w:val="20"/>
        </w:rPr>
        <w:t xml:space="preserve"> </w:t>
      </w:r>
      <w:r w:rsidRPr="008D0846">
        <w:rPr>
          <w:rFonts w:ascii="Verdana" w:hAnsi="Verdana"/>
          <w:sz w:val="20"/>
        </w:rPr>
        <w:t>este respecto.</w:t>
      </w:r>
      <w:r w:rsidR="006D2CA5" w:rsidRPr="008D0846">
        <w:rPr>
          <w:rFonts w:ascii="Verdana" w:hAnsi="Verdana"/>
          <w:sz w:val="20"/>
        </w:rPr>
        <w:t xml:space="preserve"> </w:t>
      </w:r>
    </w:p>
    <w:p w14:paraId="64AA5E08" w14:textId="47F4EB35" w:rsidR="00DF112B" w:rsidRPr="00432ABC" w:rsidRDefault="00556FDB" w:rsidP="00432ABC">
      <w:pPr>
        <w:pStyle w:val="Prrafodelista"/>
        <w:widowControl w:val="0"/>
        <w:numPr>
          <w:ilvl w:val="0"/>
          <w:numId w:val="43"/>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eastAsia="Calibri" w:hAnsi="Verdana" w:cs="Times New Roman"/>
          <w:i/>
          <w:spacing w:val="-2"/>
          <w:sz w:val="20"/>
          <w:lang w:val="es-ES" w:eastAsia="x-none"/>
        </w:rPr>
      </w:pPr>
      <w:bookmarkStart w:id="107" w:name="_Toc526774150"/>
      <w:bookmarkStart w:id="108" w:name="_Toc526777482"/>
      <w:bookmarkStart w:id="109" w:name="_Toc526783761"/>
      <w:r>
        <w:rPr>
          <w:rFonts w:ascii="Verdana" w:eastAsia="Calibri" w:hAnsi="Verdana" w:cs="Times New Roman"/>
          <w:i/>
          <w:spacing w:val="-2"/>
          <w:sz w:val="20"/>
          <w:lang w:val="es-ES" w:eastAsia="x-none"/>
        </w:rPr>
        <w:t xml:space="preserve"> </w:t>
      </w:r>
      <w:bookmarkStart w:id="110" w:name="_Toc532995327"/>
      <w:r w:rsidR="00C27C14" w:rsidRPr="00432ABC">
        <w:rPr>
          <w:rFonts w:ascii="Verdana" w:eastAsia="Calibri" w:hAnsi="Verdana" w:cs="Times New Roman"/>
          <w:i/>
          <w:spacing w:val="-2"/>
          <w:sz w:val="20"/>
          <w:lang w:val="es-ES" w:eastAsia="x-none"/>
        </w:rPr>
        <w:t>Sobre las</w:t>
      </w:r>
      <w:r w:rsidR="002E1C85" w:rsidRPr="00432ABC">
        <w:rPr>
          <w:rFonts w:ascii="Verdana" w:eastAsia="Calibri" w:hAnsi="Verdana" w:cs="Times New Roman"/>
          <w:i/>
          <w:spacing w:val="-2"/>
          <w:sz w:val="20"/>
          <w:lang w:val="es-ES" w:eastAsia="x-none"/>
        </w:rPr>
        <w:t xml:space="preserve"> desapariciones y la existencia de un patrón de impunidad en México</w:t>
      </w:r>
      <w:bookmarkEnd w:id="107"/>
      <w:bookmarkEnd w:id="108"/>
      <w:bookmarkEnd w:id="109"/>
      <w:bookmarkEnd w:id="110"/>
    </w:p>
    <w:p w14:paraId="0B3FDFA9" w14:textId="4068032A" w:rsidR="005D65BA" w:rsidRDefault="002E1C85" w:rsidP="002C462C">
      <w:pPr>
        <w:pStyle w:val="Ttulo4"/>
        <w:numPr>
          <w:ilvl w:val="0"/>
          <w:numId w:val="27"/>
        </w:numPr>
        <w:spacing w:before="120" w:after="120"/>
        <w:contextualSpacing w:val="0"/>
        <w:rPr>
          <w:rStyle w:val="nfasissutil"/>
          <w:u w:val="none"/>
        </w:rPr>
      </w:pPr>
      <w:bookmarkStart w:id="111" w:name="_Toc532995328"/>
      <w:r w:rsidRPr="002C462C">
        <w:rPr>
          <w:rStyle w:val="nfasissutil"/>
          <w:u w:val="none"/>
        </w:rPr>
        <w:t>La militarización como estrategia de seguridad pública y la “guerra contra el narcotráfico”</w:t>
      </w:r>
      <w:bookmarkEnd w:id="111"/>
    </w:p>
    <w:p w14:paraId="64AA5E0B" w14:textId="1F088387" w:rsidR="002E1C85" w:rsidRPr="00244830" w:rsidRDefault="002E1C85" w:rsidP="003564A3">
      <w:pPr>
        <w:widowControl w:val="0"/>
        <w:numPr>
          <w:ilvl w:val="0"/>
          <w:numId w:val="4"/>
        </w:numPr>
        <w:tabs>
          <w:tab w:val="left" w:pos="567"/>
          <w:tab w:val="num" w:pos="12305"/>
        </w:tabs>
        <w:adjustRightInd w:val="0"/>
        <w:spacing w:after="0" w:line="240" w:lineRule="auto"/>
        <w:ind w:left="0" w:firstLine="0"/>
        <w:jc w:val="both"/>
        <w:textAlignment w:val="baseline"/>
        <w:rPr>
          <w:rFonts w:ascii="Verdana" w:eastAsiaTheme="minorHAnsi" w:hAnsi="Verdana" w:cs="Times New Roman"/>
          <w:sz w:val="20"/>
          <w:szCs w:val="20"/>
        </w:rPr>
      </w:pPr>
      <w:r w:rsidRPr="00744CE4">
        <w:rPr>
          <w:rFonts w:ascii="Verdana" w:eastAsiaTheme="minorHAnsi" w:hAnsi="Verdana"/>
          <w:sz w:val="20"/>
          <w:szCs w:val="20"/>
        </w:rPr>
        <w:t>El 11 de diciembre de 2006</w:t>
      </w:r>
      <w:r w:rsidRPr="00744CE4">
        <w:rPr>
          <w:rStyle w:val="Refdenotaalpie"/>
          <w:rFonts w:ascii="Verdana" w:eastAsiaTheme="minorHAnsi" w:hAnsi="Verdana"/>
          <w:sz w:val="20"/>
          <w:szCs w:val="20"/>
        </w:rPr>
        <w:footnoteReference w:id="53"/>
      </w:r>
      <w:r w:rsidRPr="00744CE4">
        <w:rPr>
          <w:rFonts w:ascii="Verdana" w:eastAsiaTheme="minorHAnsi" w:hAnsi="Verdana"/>
          <w:sz w:val="20"/>
          <w:szCs w:val="20"/>
        </w:rPr>
        <w:t xml:space="preserve">, unos días después del </w:t>
      </w:r>
      <w:r w:rsidR="003A4569" w:rsidRPr="00744CE4">
        <w:rPr>
          <w:rFonts w:ascii="Verdana" w:eastAsiaTheme="minorHAnsi" w:hAnsi="Verdana"/>
          <w:sz w:val="20"/>
          <w:szCs w:val="20"/>
        </w:rPr>
        <w:t xml:space="preserve">comienzo </w:t>
      </w:r>
      <w:r w:rsidRPr="00744CE4">
        <w:rPr>
          <w:rFonts w:ascii="Verdana" w:eastAsiaTheme="minorHAnsi" w:hAnsi="Verdana"/>
          <w:sz w:val="20"/>
          <w:szCs w:val="20"/>
        </w:rPr>
        <w:t>de la administración del entonces Presidente Felipe Calderón Hinojosa,</w:t>
      </w:r>
      <w:r w:rsidR="009B1BDF" w:rsidRPr="00432ABC">
        <w:rPr>
          <w:rFonts w:ascii="Verdana" w:eastAsiaTheme="minorHAnsi" w:hAnsi="Verdana"/>
          <w:sz w:val="20"/>
          <w:szCs w:val="20"/>
        </w:rPr>
        <w:t xml:space="preserve"> </w:t>
      </w:r>
      <w:r w:rsidRPr="00432ABC">
        <w:rPr>
          <w:rFonts w:ascii="Verdana" w:eastAsiaTheme="minorHAnsi" w:hAnsi="Verdana"/>
          <w:sz w:val="20"/>
          <w:szCs w:val="20"/>
        </w:rPr>
        <w:t>dio inicio la</w:t>
      </w:r>
      <w:r w:rsidRPr="00432ABC" w:rsidDel="0051744B">
        <w:rPr>
          <w:rFonts w:ascii="Verdana" w:eastAsiaTheme="minorHAnsi" w:hAnsi="Verdana"/>
          <w:sz w:val="20"/>
          <w:szCs w:val="20"/>
        </w:rPr>
        <w:t xml:space="preserve"> </w:t>
      </w:r>
      <w:r w:rsidRPr="00432ABC">
        <w:rPr>
          <w:rFonts w:ascii="Verdana" w:eastAsiaTheme="minorHAnsi" w:hAnsi="Verdana"/>
          <w:sz w:val="20"/>
          <w:szCs w:val="20"/>
        </w:rPr>
        <w:t>estrategia de seguridad pública</w:t>
      </w:r>
      <w:r w:rsidR="0025229E" w:rsidRPr="00432ABC">
        <w:rPr>
          <w:rFonts w:ascii="Verdana" w:eastAsiaTheme="minorHAnsi" w:hAnsi="Verdana"/>
          <w:sz w:val="20"/>
          <w:szCs w:val="20"/>
        </w:rPr>
        <w:t xml:space="preserve">, </w:t>
      </w:r>
      <w:r w:rsidRPr="002C462C">
        <w:rPr>
          <w:rFonts w:ascii="Verdana" w:eastAsiaTheme="minorHAnsi" w:hAnsi="Verdana"/>
          <w:sz w:val="20"/>
          <w:szCs w:val="20"/>
        </w:rPr>
        <w:t xml:space="preserve">también conocida como “guerra contra el narcotráfico” o “militarización de la seguridad pública”, diseñada e implementada como respuesta estatal para </w:t>
      </w:r>
      <w:r w:rsidR="00DE10BE" w:rsidRPr="002C462C">
        <w:rPr>
          <w:rFonts w:ascii="Verdana" w:eastAsiaTheme="minorHAnsi" w:hAnsi="Verdana"/>
          <w:sz w:val="20"/>
          <w:szCs w:val="20"/>
        </w:rPr>
        <w:t>restablecer</w:t>
      </w:r>
      <w:r w:rsidRPr="00744CE4">
        <w:rPr>
          <w:rFonts w:ascii="Verdana" w:eastAsiaTheme="minorHAnsi" w:hAnsi="Verdana"/>
          <w:sz w:val="20"/>
          <w:szCs w:val="20"/>
        </w:rPr>
        <w:t xml:space="preserve"> el orden público frente a la violencia vinculada a la delincuencia organizada y el narcotráfico imperante en distintas zonas del </w:t>
      </w:r>
      <w:r w:rsidRPr="00744CE4">
        <w:rPr>
          <w:rFonts w:ascii="Verdana" w:eastAsiaTheme="minorHAnsi" w:hAnsi="Verdana"/>
          <w:sz w:val="20"/>
          <w:szCs w:val="20"/>
        </w:rPr>
        <w:lastRenderedPageBreak/>
        <w:t>territorio mexicano</w:t>
      </w:r>
      <w:r w:rsidRPr="00744CE4">
        <w:rPr>
          <w:rFonts w:ascii="Verdana" w:hAnsi="Verdana"/>
          <w:sz w:val="20"/>
          <w:szCs w:val="20"/>
          <w:vertAlign w:val="superscript"/>
        </w:rPr>
        <w:footnoteReference w:id="54"/>
      </w:r>
      <w:r w:rsidRPr="00744CE4">
        <w:rPr>
          <w:rFonts w:ascii="Verdana" w:eastAsiaTheme="minorHAnsi" w:hAnsi="Verdana"/>
          <w:sz w:val="20"/>
          <w:szCs w:val="20"/>
        </w:rPr>
        <w:t xml:space="preserve">. Esta “estrategia de seguridad” comenzó con la puesta en marcha del “Operativo Conjunto Michoacán”, </w:t>
      </w:r>
      <w:r w:rsidR="00B824CB">
        <w:rPr>
          <w:rFonts w:ascii="Verdana" w:eastAsiaTheme="minorHAnsi" w:hAnsi="Verdana"/>
          <w:sz w:val="20"/>
          <w:szCs w:val="20"/>
        </w:rPr>
        <w:t>la</w:t>
      </w:r>
      <w:r w:rsidRPr="00744CE4">
        <w:rPr>
          <w:rFonts w:ascii="Verdana" w:eastAsiaTheme="minorHAnsi" w:hAnsi="Verdana"/>
          <w:sz w:val="20"/>
          <w:szCs w:val="20"/>
        </w:rPr>
        <w:t xml:space="preserve"> cual fue seguid</w:t>
      </w:r>
      <w:r w:rsidR="00B824CB">
        <w:rPr>
          <w:rFonts w:ascii="Verdana" w:eastAsiaTheme="minorHAnsi" w:hAnsi="Verdana"/>
          <w:sz w:val="20"/>
          <w:szCs w:val="20"/>
        </w:rPr>
        <w:t>a</w:t>
      </w:r>
      <w:r w:rsidRPr="00744CE4">
        <w:rPr>
          <w:rFonts w:ascii="Verdana" w:eastAsiaTheme="minorHAnsi" w:hAnsi="Verdana"/>
          <w:sz w:val="20"/>
          <w:szCs w:val="20"/>
        </w:rPr>
        <w:t xml:space="preserve"> de la </w:t>
      </w:r>
      <w:r w:rsidR="000E25B3" w:rsidRPr="00744CE4">
        <w:rPr>
          <w:rFonts w:ascii="Verdana" w:eastAsiaTheme="minorHAnsi" w:hAnsi="Verdana"/>
          <w:sz w:val="20"/>
          <w:szCs w:val="20"/>
        </w:rPr>
        <w:t>ejecución</w:t>
      </w:r>
      <w:r w:rsidR="00F41A43" w:rsidRPr="00744CE4">
        <w:rPr>
          <w:rFonts w:ascii="Verdana" w:eastAsiaTheme="minorHAnsi" w:hAnsi="Verdana"/>
          <w:sz w:val="20"/>
          <w:szCs w:val="20"/>
        </w:rPr>
        <w:t>,</w:t>
      </w:r>
      <w:r w:rsidRPr="00432ABC">
        <w:rPr>
          <w:rFonts w:ascii="Verdana" w:eastAsiaTheme="minorHAnsi" w:hAnsi="Verdana"/>
          <w:sz w:val="20"/>
          <w:szCs w:val="20"/>
        </w:rPr>
        <w:t xml:space="preserve"> </w:t>
      </w:r>
      <w:r w:rsidR="00F41A43" w:rsidRPr="00432ABC">
        <w:rPr>
          <w:rFonts w:ascii="Verdana" w:eastAsiaTheme="minorHAnsi" w:hAnsi="Verdana"/>
          <w:sz w:val="20"/>
          <w:szCs w:val="20"/>
        </w:rPr>
        <w:t xml:space="preserve">a partir del año 2007, </w:t>
      </w:r>
      <w:r w:rsidRPr="00432ABC">
        <w:rPr>
          <w:rFonts w:ascii="Verdana" w:eastAsiaTheme="minorHAnsi" w:hAnsi="Verdana"/>
          <w:sz w:val="20"/>
          <w:szCs w:val="20"/>
        </w:rPr>
        <w:t xml:space="preserve">de “Operativos Conjuntos” </w:t>
      </w:r>
      <w:r w:rsidR="00825CE0" w:rsidRPr="00432ABC">
        <w:rPr>
          <w:rFonts w:ascii="Verdana" w:eastAsiaTheme="minorHAnsi" w:hAnsi="Verdana"/>
          <w:sz w:val="20"/>
          <w:szCs w:val="20"/>
        </w:rPr>
        <w:t>en los estados de Baja California, Guerrero, Chihuahua, Durango, Sinaloa, Nuevo León, Tamaulipas y Veracruz</w:t>
      </w:r>
      <w:r w:rsidR="00F15F19" w:rsidRPr="002C462C">
        <w:rPr>
          <w:rFonts w:ascii="Verdana" w:eastAsiaTheme="minorHAnsi" w:hAnsi="Verdana"/>
          <w:sz w:val="20"/>
          <w:szCs w:val="20"/>
        </w:rPr>
        <w:t>,</w:t>
      </w:r>
      <w:r w:rsidRPr="002C462C">
        <w:rPr>
          <w:rFonts w:ascii="Verdana" w:eastAsiaTheme="minorHAnsi" w:hAnsi="Verdana"/>
          <w:sz w:val="20"/>
          <w:szCs w:val="20"/>
        </w:rPr>
        <w:t xml:space="preserve"> </w:t>
      </w:r>
      <w:r w:rsidR="00F15F19" w:rsidRPr="00744CE4">
        <w:rPr>
          <w:rFonts w:ascii="Verdana" w:eastAsiaTheme="minorHAnsi" w:hAnsi="Verdana"/>
          <w:sz w:val="20"/>
          <w:szCs w:val="20"/>
        </w:rPr>
        <w:t xml:space="preserve">hasta llegar a su implementación en 16 estados del territorio nacional </w:t>
      </w:r>
      <w:r w:rsidR="00DE10BE" w:rsidRPr="00744CE4">
        <w:rPr>
          <w:rFonts w:ascii="Verdana" w:eastAsiaTheme="minorHAnsi" w:hAnsi="Verdana"/>
          <w:sz w:val="20"/>
          <w:szCs w:val="20"/>
        </w:rPr>
        <w:t xml:space="preserve">en </w:t>
      </w:r>
      <w:r w:rsidR="00262B04" w:rsidRPr="00744CE4">
        <w:rPr>
          <w:rFonts w:ascii="Verdana" w:eastAsiaTheme="minorHAnsi" w:hAnsi="Verdana"/>
          <w:sz w:val="20"/>
          <w:szCs w:val="20"/>
        </w:rPr>
        <w:t xml:space="preserve">el año </w:t>
      </w:r>
      <w:r w:rsidR="00F15F19" w:rsidRPr="00744CE4">
        <w:rPr>
          <w:rFonts w:ascii="Verdana" w:eastAsiaTheme="minorHAnsi" w:hAnsi="Verdana"/>
          <w:sz w:val="20"/>
          <w:szCs w:val="20"/>
        </w:rPr>
        <w:t>2012</w:t>
      </w:r>
      <w:r w:rsidR="00F15F19" w:rsidRPr="00744CE4">
        <w:rPr>
          <w:rFonts w:ascii="Verdana" w:eastAsiaTheme="minorHAnsi" w:hAnsi="Verdana"/>
          <w:sz w:val="20"/>
          <w:szCs w:val="20"/>
          <w:vertAlign w:val="superscript"/>
        </w:rPr>
        <w:footnoteReference w:id="55"/>
      </w:r>
      <w:r w:rsidR="00F15F19" w:rsidRPr="00744CE4">
        <w:rPr>
          <w:rFonts w:ascii="Verdana" w:eastAsiaTheme="minorHAnsi" w:hAnsi="Verdana"/>
          <w:sz w:val="20"/>
          <w:szCs w:val="20"/>
        </w:rPr>
        <w:t xml:space="preserve">. </w:t>
      </w:r>
      <w:r w:rsidRPr="00744CE4">
        <w:rPr>
          <w:rFonts w:ascii="Verdana" w:eastAsiaTheme="minorHAnsi" w:hAnsi="Verdana"/>
          <w:sz w:val="20"/>
          <w:szCs w:val="20"/>
        </w:rPr>
        <w:t>En el marco de la “guerra contra el narcotráfico” se ordenó el despliegue de elementos de las corporaciones de seguridad federal, estatales y municipales y de las Fuerzas Armadas a través de “operativos conjuntos” para hacer frente a dichos escenarios de violencia y criminalidad mediante el uso de</w:t>
      </w:r>
      <w:r w:rsidRPr="00432ABC">
        <w:rPr>
          <w:rFonts w:ascii="Verdana" w:eastAsiaTheme="minorHAnsi" w:hAnsi="Verdana"/>
          <w:sz w:val="20"/>
          <w:szCs w:val="20"/>
        </w:rPr>
        <w:t xml:space="preserve"> la fuerza</w:t>
      </w:r>
      <w:r w:rsidR="00A3654D" w:rsidRPr="00744CE4">
        <w:rPr>
          <w:rFonts w:ascii="Verdana" w:hAnsi="Verdana"/>
          <w:sz w:val="20"/>
          <w:szCs w:val="20"/>
          <w:vertAlign w:val="superscript"/>
        </w:rPr>
        <w:footnoteReference w:id="56"/>
      </w:r>
      <w:r w:rsidRPr="00744CE4">
        <w:rPr>
          <w:rFonts w:ascii="Verdana" w:eastAsiaTheme="minorHAnsi" w:hAnsi="Verdana"/>
          <w:sz w:val="20"/>
          <w:szCs w:val="20"/>
        </w:rPr>
        <w:t xml:space="preserve">. </w:t>
      </w:r>
      <w:r w:rsidR="0025229E" w:rsidRPr="00744CE4">
        <w:rPr>
          <w:rFonts w:ascii="Verdana" w:eastAsiaTheme="minorHAnsi" w:hAnsi="Verdana"/>
          <w:sz w:val="20"/>
          <w:szCs w:val="20"/>
        </w:rPr>
        <w:t>Se estima que hacia el año 2012 habían alrededor de 50,000 efectivos de las Fuerzas Armadas desempeñando labores relacionadas con la seguridad pública distintas zonas del país</w:t>
      </w:r>
      <w:r w:rsidR="0025229E" w:rsidRPr="00744CE4">
        <w:rPr>
          <w:rFonts w:ascii="Verdana" w:eastAsiaTheme="minorHAnsi" w:hAnsi="Verdana"/>
          <w:sz w:val="20"/>
          <w:szCs w:val="20"/>
          <w:vertAlign w:val="superscript"/>
        </w:rPr>
        <w:footnoteReference w:id="57"/>
      </w:r>
      <w:r w:rsidR="00244830">
        <w:rPr>
          <w:rFonts w:ascii="Verdana" w:eastAsiaTheme="minorHAnsi" w:hAnsi="Verdana"/>
          <w:sz w:val="20"/>
          <w:szCs w:val="20"/>
        </w:rPr>
        <w:t>.</w:t>
      </w:r>
    </w:p>
    <w:p w14:paraId="64AA5E0D" w14:textId="153C82B1"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heme="minorHAnsi" w:hAnsi="Verdana" w:cs="Times New Roman"/>
          <w:sz w:val="20"/>
          <w:szCs w:val="20"/>
        </w:rPr>
      </w:pPr>
      <w:r w:rsidRPr="00744CE4">
        <w:rPr>
          <w:rFonts w:ascii="Verdana" w:hAnsi="Verdana"/>
          <w:sz w:val="20"/>
          <w:szCs w:val="20"/>
        </w:rPr>
        <w:t>No obstante</w:t>
      </w:r>
      <w:r w:rsidR="008B1154">
        <w:rPr>
          <w:rFonts w:ascii="Verdana" w:hAnsi="Verdana"/>
          <w:sz w:val="20"/>
          <w:szCs w:val="20"/>
        </w:rPr>
        <w:t>, con</w:t>
      </w:r>
      <w:r w:rsidRPr="00744CE4">
        <w:rPr>
          <w:rFonts w:ascii="Verdana" w:hAnsi="Verdana"/>
          <w:sz w:val="20"/>
          <w:szCs w:val="20"/>
        </w:rPr>
        <w:t xml:space="preserve"> el cambio de administración federal en México </w:t>
      </w:r>
      <w:r w:rsidR="001957CE" w:rsidRPr="00744CE4">
        <w:rPr>
          <w:rFonts w:ascii="Verdana" w:hAnsi="Verdana"/>
          <w:sz w:val="20"/>
          <w:szCs w:val="20"/>
        </w:rPr>
        <w:t>que tuvo</w:t>
      </w:r>
      <w:r w:rsidR="001957CE" w:rsidRPr="00432ABC">
        <w:rPr>
          <w:rFonts w:ascii="Verdana" w:hAnsi="Verdana"/>
          <w:sz w:val="20"/>
          <w:szCs w:val="20"/>
        </w:rPr>
        <w:t xml:space="preserve"> lugar </w:t>
      </w:r>
      <w:r w:rsidRPr="00432ABC">
        <w:rPr>
          <w:rFonts w:ascii="Verdana" w:hAnsi="Verdana"/>
          <w:sz w:val="20"/>
          <w:szCs w:val="20"/>
        </w:rPr>
        <w:t>el 1 de diciembre de 2012, la política de seguridad del Estado mexicano basada en el despliegue de efectivos militares se mantuvo</w:t>
      </w:r>
      <w:r w:rsidR="00F41D19" w:rsidRPr="00744CE4">
        <w:rPr>
          <w:rFonts w:ascii="Verdana" w:hAnsi="Verdana"/>
          <w:sz w:val="20"/>
          <w:szCs w:val="20"/>
          <w:vertAlign w:val="superscript"/>
        </w:rPr>
        <w:footnoteReference w:id="58"/>
      </w:r>
      <w:r w:rsidRPr="00744CE4">
        <w:rPr>
          <w:rFonts w:ascii="Verdana" w:hAnsi="Verdana"/>
          <w:sz w:val="20"/>
          <w:szCs w:val="20"/>
        </w:rPr>
        <w:t xml:space="preserve"> y ha perdurado hasta la actualidad -2018- sin cambios sustanciales</w:t>
      </w:r>
      <w:r w:rsidR="00DC066E" w:rsidRPr="00744CE4">
        <w:rPr>
          <w:rStyle w:val="Refdenotaalpie"/>
          <w:rFonts w:ascii="Verdana" w:hAnsi="Verdana"/>
          <w:sz w:val="20"/>
          <w:szCs w:val="20"/>
        </w:rPr>
        <w:footnoteReference w:id="59"/>
      </w:r>
      <w:r w:rsidRPr="00744CE4">
        <w:rPr>
          <w:rFonts w:ascii="Verdana" w:hAnsi="Verdana"/>
          <w:sz w:val="20"/>
          <w:szCs w:val="20"/>
        </w:rPr>
        <w:t>.</w:t>
      </w:r>
    </w:p>
    <w:p w14:paraId="64AA5E0F" w14:textId="24AA951B"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lastRenderedPageBreak/>
        <w:t>En el marco de dicha estrategia, la participación de las Fuerzas Armadas habría implicado el despliegue operativo en distintas partes del territorio nacional “de miles de militares en zonas urbanas o en puntos estratégicos como carreteras y puestos de control”, los cuales “no se limita[ba]n a actuar como auxiliares de las autoridades civiles y aceptar sus órdenes […] sino que realiza[ba]n tareas que correspond[ía]n exclusivamente a las autoridades civiles”</w:t>
      </w:r>
      <w:r w:rsidR="00B263A0" w:rsidRPr="00744CE4">
        <w:rPr>
          <w:rFonts w:ascii="Verdana" w:hAnsi="Verdana"/>
          <w:sz w:val="20"/>
          <w:szCs w:val="20"/>
          <w:vertAlign w:val="superscript"/>
        </w:rPr>
        <w:footnoteReference w:id="60"/>
      </w:r>
      <w:r w:rsidRPr="00744CE4">
        <w:rPr>
          <w:rFonts w:ascii="Verdana" w:hAnsi="Verdana"/>
          <w:sz w:val="20"/>
          <w:szCs w:val="20"/>
        </w:rPr>
        <w:t xml:space="preserve">. En ese contexto, elementos castrenses </w:t>
      </w:r>
      <w:r w:rsidR="000D415B" w:rsidRPr="00744CE4">
        <w:rPr>
          <w:rFonts w:ascii="Verdana" w:hAnsi="Verdana"/>
          <w:sz w:val="20"/>
          <w:szCs w:val="20"/>
        </w:rPr>
        <w:t>realizaban</w:t>
      </w:r>
      <w:r w:rsidRPr="00744CE4">
        <w:rPr>
          <w:rFonts w:ascii="Verdana" w:hAnsi="Verdana"/>
          <w:sz w:val="20"/>
          <w:szCs w:val="20"/>
        </w:rPr>
        <w:t>, entre otras actividades, numerosos retenes y revisiones en carreteras y caminos, detenciones y retenciones</w:t>
      </w:r>
      <w:r w:rsidR="000D415B" w:rsidRPr="00432ABC">
        <w:rPr>
          <w:rFonts w:ascii="Verdana" w:hAnsi="Verdana"/>
          <w:sz w:val="20"/>
          <w:szCs w:val="20"/>
        </w:rPr>
        <w:t>,</w:t>
      </w:r>
      <w:r w:rsidR="00AC4D36">
        <w:rPr>
          <w:rFonts w:ascii="Verdana" w:hAnsi="Verdana"/>
          <w:sz w:val="20"/>
          <w:szCs w:val="20"/>
        </w:rPr>
        <w:t xml:space="preserve"> </w:t>
      </w:r>
      <w:r w:rsidRPr="00432ABC">
        <w:rPr>
          <w:rFonts w:ascii="Verdana" w:hAnsi="Verdana"/>
          <w:sz w:val="20"/>
          <w:szCs w:val="20"/>
        </w:rPr>
        <w:t>registro de casas, individuos y automóviles, en muchas ocasiones sin contar con una orden judicial dictada por una autoridad civil competente</w:t>
      </w:r>
      <w:r w:rsidR="002F2754" w:rsidRPr="00432ABC">
        <w:rPr>
          <w:rFonts w:ascii="Verdana" w:hAnsi="Verdana"/>
          <w:sz w:val="20"/>
          <w:szCs w:val="20"/>
        </w:rPr>
        <w:t xml:space="preserve">, y “la presencia de las fuerzas militares se ha[bía] extendido más allá de las operaciones de seguridad” en los lugares en que </w:t>
      </w:r>
      <w:r w:rsidR="00F41A43" w:rsidRPr="002C462C">
        <w:rPr>
          <w:rFonts w:ascii="Verdana" w:hAnsi="Verdana"/>
          <w:sz w:val="20"/>
          <w:szCs w:val="20"/>
        </w:rPr>
        <w:t xml:space="preserve">se </w:t>
      </w:r>
      <w:r w:rsidR="002F2754" w:rsidRPr="002C462C">
        <w:rPr>
          <w:rFonts w:ascii="Verdana" w:hAnsi="Verdana"/>
          <w:sz w:val="20"/>
          <w:szCs w:val="20"/>
        </w:rPr>
        <w:t>hallaban des</w:t>
      </w:r>
      <w:r w:rsidR="00F41A43" w:rsidRPr="00744CE4">
        <w:rPr>
          <w:rFonts w:ascii="Verdana" w:hAnsi="Verdana"/>
          <w:sz w:val="20"/>
          <w:szCs w:val="20"/>
        </w:rPr>
        <w:t>plegadas</w:t>
      </w:r>
      <w:r w:rsidR="002F2754" w:rsidRPr="00744CE4">
        <w:rPr>
          <w:rFonts w:ascii="Verdana" w:hAnsi="Verdana"/>
          <w:sz w:val="20"/>
          <w:szCs w:val="20"/>
          <w:vertAlign w:val="superscript"/>
        </w:rPr>
        <w:footnoteReference w:id="61"/>
      </w:r>
      <w:r w:rsidRPr="00744CE4">
        <w:rPr>
          <w:rFonts w:ascii="Verdana" w:hAnsi="Verdana"/>
          <w:sz w:val="20"/>
          <w:szCs w:val="20"/>
        </w:rPr>
        <w:t xml:space="preserve">. </w:t>
      </w:r>
    </w:p>
    <w:p w14:paraId="64AA5E11" w14:textId="7912D007" w:rsidR="002E1C85" w:rsidRPr="00744CE4" w:rsidRDefault="002E1C85" w:rsidP="00DB378B">
      <w:pPr>
        <w:widowControl w:val="0"/>
        <w:numPr>
          <w:ilvl w:val="0"/>
          <w:numId w:val="4"/>
        </w:numPr>
        <w:tabs>
          <w:tab w:val="left" w:pos="567"/>
          <w:tab w:val="num" w:pos="12305"/>
        </w:tabs>
        <w:autoSpaceDE w:val="0"/>
        <w:autoSpaceDN w:val="0"/>
        <w:adjustRightInd w:val="0"/>
        <w:spacing w:before="120" w:after="120" w:line="240" w:lineRule="auto"/>
        <w:ind w:left="0" w:firstLine="0"/>
        <w:jc w:val="both"/>
        <w:textAlignment w:val="baseline"/>
        <w:rPr>
          <w:rFonts w:ascii="Verdana" w:hAnsi="Verdana"/>
          <w:sz w:val="20"/>
          <w:szCs w:val="20"/>
        </w:rPr>
      </w:pPr>
      <w:r w:rsidRPr="00744CE4">
        <w:rPr>
          <w:rFonts w:ascii="Verdana" w:hAnsi="Verdana"/>
          <w:sz w:val="20"/>
          <w:szCs w:val="20"/>
        </w:rPr>
        <w:t xml:space="preserve">El </w:t>
      </w:r>
      <w:r w:rsidR="008D13D5">
        <w:rPr>
          <w:rFonts w:ascii="Verdana" w:hAnsi="Verdana"/>
          <w:sz w:val="20"/>
          <w:szCs w:val="20"/>
        </w:rPr>
        <w:t>Grupo de Trabajo sobre Desapariciones Forzadas o involuntarias [</w:t>
      </w:r>
      <w:r w:rsidRPr="00744CE4">
        <w:rPr>
          <w:rFonts w:ascii="Verdana" w:hAnsi="Verdana"/>
          <w:sz w:val="20"/>
          <w:szCs w:val="20"/>
        </w:rPr>
        <w:t>GTDFI</w:t>
      </w:r>
      <w:r w:rsidR="008D13D5">
        <w:rPr>
          <w:rFonts w:ascii="Verdana" w:hAnsi="Verdana"/>
          <w:sz w:val="20"/>
          <w:szCs w:val="20"/>
        </w:rPr>
        <w:t>]</w:t>
      </w:r>
      <w:r w:rsidRPr="00744CE4">
        <w:rPr>
          <w:rFonts w:ascii="Verdana" w:hAnsi="Verdana"/>
          <w:sz w:val="20"/>
          <w:szCs w:val="20"/>
        </w:rPr>
        <w:t xml:space="preserve"> destacó que, como parte de dicha estrategia, se incluyó una elevada presencia de </w:t>
      </w:r>
      <w:r w:rsidR="00E50A07" w:rsidRPr="00432ABC">
        <w:rPr>
          <w:rFonts w:ascii="Verdana" w:hAnsi="Verdana"/>
          <w:sz w:val="20"/>
          <w:szCs w:val="20"/>
        </w:rPr>
        <w:t xml:space="preserve">elementos </w:t>
      </w:r>
      <w:r w:rsidRPr="00432ABC">
        <w:rPr>
          <w:rFonts w:ascii="Verdana" w:hAnsi="Verdana"/>
          <w:sz w:val="20"/>
          <w:szCs w:val="20"/>
        </w:rPr>
        <w:t>militares al frente de las policías civiles o de las Secretarías de Seguridad Pública estatales</w:t>
      </w:r>
      <w:r w:rsidR="00E50A07" w:rsidRPr="00744CE4">
        <w:rPr>
          <w:rFonts w:ascii="Verdana" w:hAnsi="Verdana"/>
          <w:sz w:val="20"/>
          <w:szCs w:val="20"/>
          <w:vertAlign w:val="superscript"/>
        </w:rPr>
        <w:footnoteReference w:id="62"/>
      </w:r>
      <w:r w:rsidR="00E50A07" w:rsidRPr="00744CE4">
        <w:rPr>
          <w:rFonts w:ascii="Verdana" w:hAnsi="Verdana"/>
          <w:sz w:val="20"/>
          <w:szCs w:val="20"/>
        </w:rPr>
        <w:t>,</w:t>
      </w:r>
      <w:r w:rsidRPr="00744CE4">
        <w:rPr>
          <w:rFonts w:ascii="Verdana" w:hAnsi="Verdana"/>
          <w:sz w:val="20"/>
          <w:szCs w:val="20"/>
        </w:rPr>
        <w:t xml:space="preserve"> señalamiento con el que coincidieron los Relatores Especiales de la ONU </w:t>
      </w:r>
      <w:r w:rsidR="00E50A07" w:rsidRPr="00744CE4">
        <w:rPr>
          <w:rFonts w:ascii="Verdana" w:hAnsi="Verdana"/>
          <w:sz w:val="20"/>
          <w:szCs w:val="20"/>
        </w:rPr>
        <w:t>sobre la tortura y otros tratos o penas crueles, inhumanos o degradantes</w:t>
      </w:r>
      <w:r w:rsidR="00F41A43" w:rsidRPr="00432ABC">
        <w:rPr>
          <w:rFonts w:ascii="Verdana" w:hAnsi="Verdana"/>
          <w:sz w:val="20"/>
          <w:szCs w:val="20"/>
        </w:rPr>
        <w:t xml:space="preserve"> </w:t>
      </w:r>
      <w:r w:rsidR="000453B1">
        <w:rPr>
          <w:rFonts w:ascii="Verdana" w:hAnsi="Verdana"/>
          <w:sz w:val="20"/>
          <w:szCs w:val="20"/>
        </w:rPr>
        <w:t>(</w:t>
      </w:r>
      <w:r w:rsidR="00465BFB" w:rsidRPr="00432ABC">
        <w:rPr>
          <w:rFonts w:ascii="Verdana" w:hAnsi="Verdana"/>
          <w:sz w:val="20"/>
          <w:szCs w:val="20"/>
        </w:rPr>
        <w:t xml:space="preserve">en lo sucesivo, “el </w:t>
      </w:r>
      <w:r w:rsidR="00F41A43" w:rsidRPr="00432ABC">
        <w:rPr>
          <w:rFonts w:ascii="Verdana" w:hAnsi="Verdana"/>
          <w:sz w:val="20"/>
          <w:szCs w:val="20"/>
        </w:rPr>
        <w:t>Relator</w:t>
      </w:r>
      <w:r w:rsidR="00465BFB" w:rsidRPr="00432ABC">
        <w:rPr>
          <w:rFonts w:ascii="Verdana" w:hAnsi="Verdana"/>
          <w:sz w:val="20"/>
          <w:szCs w:val="20"/>
        </w:rPr>
        <w:t xml:space="preserve"> sobre la </w:t>
      </w:r>
      <w:r w:rsidR="00F41A43" w:rsidRPr="00432ABC">
        <w:rPr>
          <w:rFonts w:ascii="Verdana" w:hAnsi="Verdana"/>
          <w:sz w:val="20"/>
          <w:szCs w:val="20"/>
        </w:rPr>
        <w:t>tortura</w:t>
      </w:r>
      <w:r w:rsidR="00465BFB" w:rsidRPr="00432ABC">
        <w:rPr>
          <w:rFonts w:ascii="Verdana" w:hAnsi="Verdana"/>
          <w:sz w:val="20"/>
          <w:szCs w:val="20"/>
        </w:rPr>
        <w:t>”</w:t>
      </w:r>
      <w:r w:rsidR="000453B1">
        <w:rPr>
          <w:rFonts w:ascii="Verdana" w:hAnsi="Verdana"/>
          <w:sz w:val="20"/>
          <w:szCs w:val="20"/>
        </w:rPr>
        <w:t>)</w:t>
      </w:r>
      <w:r w:rsidR="00E50A07" w:rsidRPr="00432ABC">
        <w:rPr>
          <w:rFonts w:ascii="Verdana" w:hAnsi="Verdana"/>
          <w:sz w:val="20"/>
          <w:szCs w:val="20"/>
        </w:rPr>
        <w:t>, por una parte,</w:t>
      </w:r>
      <w:r w:rsidR="00E50A07" w:rsidRPr="00432ABC">
        <w:rPr>
          <w:rFonts w:ascii="Verdana" w:hAnsi="Verdana"/>
          <w:i/>
          <w:sz w:val="20"/>
          <w:szCs w:val="20"/>
        </w:rPr>
        <w:t xml:space="preserve"> </w:t>
      </w:r>
      <w:r w:rsidR="00E50A07" w:rsidRPr="00432ABC">
        <w:rPr>
          <w:rFonts w:ascii="Verdana" w:hAnsi="Verdana"/>
          <w:sz w:val="20"/>
          <w:szCs w:val="20"/>
        </w:rPr>
        <w:t>y sobre las ejecuciones extrajudiciales, sumarias o arbitrarias</w:t>
      </w:r>
      <w:r w:rsidR="00F41A43" w:rsidRPr="00432ABC">
        <w:rPr>
          <w:rFonts w:ascii="Verdana" w:hAnsi="Verdana"/>
          <w:sz w:val="20"/>
          <w:szCs w:val="20"/>
        </w:rPr>
        <w:t xml:space="preserve"> </w:t>
      </w:r>
      <w:r w:rsidR="000453B1">
        <w:rPr>
          <w:rFonts w:ascii="Verdana" w:hAnsi="Verdana"/>
          <w:sz w:val="20"/>
          <w:szCs w:val="20"/>
        </w:rPr>
        <w:t>(</w:t>
      </w:r>
      <w:r w:rsidR="00465BFB" w:rsidRPr="002C462C">
        <w:rPr>
          <w:rFonts w:ascii="Verdana" w:hAnsi="Verdana"/>
          <w:sz w:val="20"/>
          <w:szCs w:val="20"/>
        </w:rPr>
        <w:t>en adelante, “</w:t>
      </w:r>
      <w:r w:rsidR="00F41A43" w:rsidRPr="00744CE4">
        <w:rPr>
          <w:rFonts w:ascii="Verdana" w:hAnsi="Verdana"/>
          <w:sz w:val="20"/>
          <w:szCs w:val="20"/>
        </w:rPr>
        <w:t>Relator sobre ejecuciones</w:t>
      </w:r>
      <w:r w:rsidR="00756607" w:rsidRPr="00744CE4">
        <w:rPr>
          <w:rFonts w:ascii="Verdana" w:hAnsi="Verdana"/>
          <w:sz w:val="20"/>
          <w:szCs w:val="20"/>
        </w:rPr>
        <w:t xml:space="preserve"> extrajudiciales</w:t>
      </w:r>
      <w:r w:rsidR="000453B1">
        <w:rPr>
          <w:rFonts w:ascii="Verdana" w:hAnsi="Verdana"/>
          <w:sz w:val="20"/>
          <w:szCs w:val="20"/>
        </w:rPr>
        <w:t>)</w:t>
      </w:r>
      <w:r w:rsidR="00E50A07" w:rsidRPr="00744CE4">
        <w:rPr>
          <w:rFonts w:ascii="Verdana" w:hAnsi="Verdana"/>
          <w:sz w:val="20"/>
          <w:szCs w:val="20"/>
        </w:rPr>
        <w:t>, por la otra</w:t>
      </w:r>
      <w:r w:rsidR="00E50A07" w:rsidRPr="00744CE4">
        <w:rPr>
          <w:rStyle w:val="Refdenotaalpie"/>
          <w:rFonts w:ascii="Verdana" w:hAnsi="Verdana"/>
          <w:sz w:val="20"/>
          <w:szCs w:val="20"/>
        </w:rPr>
        <w:footnoteReference w:id="63"/>
      </w:r>
      <w:r w:rsidR="00E50A07" w:rsidRPr="00744CE4">
        <w:rPr>
          <w:rFonts w:ascii="Verdana" w:hAnsi="Verdana"/>
          <w:sz w:val="20"/>
          <w:szCs w:val="20"/>
        </w:rPr>
        <w:t>.</w:t>
      </w:r>
    </w:p>
    <w:p w14:paraId="0434EFE9" w14:textId="09EDA5B2" w:rsidR="006F1B8E" w:rsidRPr="0046034D" w:rsidRDefault="00DE734F" w:rsidP="003564A3">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Style w:val="Hipervnculo"/>
          <w:rFonts w:ascii="Verdana" w:hAnsi="Verdana"/>
          <w:color w:val="auto"/>
          <w:sz w:val="20"/>
          <w:szCs w:val="20"/>
          <w:u w:val="none"/>
        </w:rPr>
      </w:pPr>
      <w:r w:rsidRPr="00744CE4">
        <w:rPr>
          <w:rFonts w:ascii="Verdana" w:hAnsi="Verdana"/>
          <w:sz w:val="20"/>
          <w:szCs w:val="20"/>
        </w:rPr>
        <w:lastRenderedPageBreak/>
        <w:t>El 21 de diciembre de 2017 se aprobó y promulgó en México la Ley de Seguridad Interior</w:t>
      </w:r>
      <w:r w:rsidR="003E54AA" w:rsidRPr="00744CE4">
        <w:rPr>
          <w:rStyle w:val="Refdenotaalpie"/>
          <w:rFonts w:ascii="Verdana" w:hAnsi="Verdana"/>
          <w:sz w:val="20"/>
          <w:szCs w:val="20"/>
        </w:rPr>
        <w:footnoteReference w:id="64"/>
      </w:r>
      <w:r w:rsidRPr="00744CE4">
        <w:rPr>
          <w:rFonts w:ascii="Verdana" w:hAnsi="Verdana"/>
          <w:sz w:val="20"/>
          <w:szCs w:val="20"/>
        </w:rPr>
        <w:t>, la cual no</w:t>
      </w:r>
      <w:r w:rsidR="006F1B8E" w:rsidRPr="00744CE4">
        <w:rPr>
          <w:rFonts w:ascii="Verdana" w:hAnsi="Verdana"/>
          <w:sz w:val="20"/>
          <w:szCs w:val="20"/>
        </w:rPr>
        <w:t xml:space="preserve"> </w:t>
      </w:r>
      <w:r w:rsidR="006F1B8E" w:rsidRPr="0012282C">
        <w:rPr>
          <w:rFonts w:ascii="Verdana" w:hAnsi="Verdana"/>
          <w:sz w:val="20"/>
          <w:szCs w:val="20"/>
        </w:rPr>
        <w:t>fue</w:t>
      </w:r>
      <w:r w:rsidRPr="00432ABC">
        <w:rPr>
          <w:rFonts w:ascii="Verdana" w:hAnsi="Verdana"/>
          <w:sz w:val="20"/>
          <w:szCs w:val="20"/>
        </w:rPr>
        <w:t xml:space="preserve"> </w:t>
      </w:r>
      <w:r w:rsidR="0078125D" w:rsidRPr="00432ABC">
        <w:rPr>
          <w:rFonts w:ascii="Verdana" w:hAnsi="Verdana"/>
          <w:sz w:val="20"/>
          <w:szCs w:val="20"/>
        </w:rPr>
        <w:t>implementada a través de su figura principal (la Declaratoria de Protección a la Seguridad Interior)</w:t>
      </w:r>
      <w:r w:rsidRPr="00432ABC">
        <w:rPr>
          <w:rFonts w:ascii="Verdana" w:hAnsi="Verdana"/>
          <w:sz w:val="20"/>
          <w:szCs w:val="20"/>
        </w:rPr>
        <w:t xml:space="preserve">, </w:t>
      </w:r>
      <w:r w:rsidR="00624DE5" w:rsidRPr="00432ABC">
        <w:rPr>
          <w:rFonts w:ascii="Verdana" w:hAnsi="Verdana"/>
          <w:sz w:val="20"/>
          <w:szCs w:val="20"/>
        </w:rPr>
        <w:t>toda vez q</w:t>
      </w:r>
      <w:r w:rsidRPr="00432ABC">
        <w:rPr>
          <w:rFonts w:ascii="Verdana" w:hAnsi="Verdana"/>
          <w:sz w:val="20"/>
          <w:szCs w:val="20"/>
        </w:rPr>
        <w:t>u</w:t>
      </w:r>
      <w:r w:rsidR="003E54AA" w:rsidRPr="00432ABC">
        <w:rPr>
          <w:rFonts w:ascii="Verdana" w:hAnsi="Verdana"/>
          <w:sz w:val="20"/>
          <w:szCs w:val="20"/>
        </w:rPr>
        <w:t xml:space="preserve">e </w:t>
      </w:r>
      <w:r w:rsidR="003E54AA" w:rsidRPr="008D0846">
        <w:rPr>
          <w:rFonts w:ascii="Verdana" w:hAnsi="Verdana"/>
          <w:sz w:val="20"/>
          <w:szCs w:val="20"/>
        </w:rPr>
        <w:t>se</w:t>
      </w:r>
      <w:r w:rsidR="003E54AA" w:rsidRPr="0046034D">
        <w:rPr>
          <w:rFonts w:ascii="Verdana" w:hAnsi="Verdana"/>
          <w:sz w:val="20"/>
          <w:szCs w:val="20"/>
        </w:rPr>
        <w:t xml:space="preserve"> </w:t>
      </w:r>
      <w:r w:rsidR="006F1B8E" w:rsidRPr="008D0846">
        <w:rPr>
          <w:rFonts w:ascii="Verdana" w:hAnsi="Verdana"/>
          <w:sz w:val="20"/>
          <w:szCs w:val="20"/>
        </w:rPr>
        <w:t>encontraban</w:t>
      </w:r>
      <w:r w:rsidRPr="00432ABC">
        <w:rPr>
          <w:rFonts w:ascii="Verdana" w:hAnsi="Verdana"/>
          <w:sz w:val="20"/>
          <w:szCs w:val="20"/>
        </w:rPr>
        <w:t xml:space="preserve"> pendiente</w:t>
      </w:r>
      <w:r w:rsidR="006F1B8E" w:rsidRPr="00432ABC">
        <w:rPr>
          <w:rFonts w:ascii="Verdana" w:hAnsi="Verdana"/>
          <w:sz w:val="20"/>
          <w:szCs w:val="20"/>
        </w:rPr>
        <w:t>s</w:t>
      </w:r>
      <w:r w:rsidRPr="00432ABC">
        <w:rPr>
          <w:rFonts w:ascii="Verdana" w:hAnsi="Verdana"/>
          <w:sz w:val="20"/>
          <w:szCs w:val="20"/>
        </w:rPr>
        <w:t xml:space="preserve"> </w:t>
      </w:r>
      <w:r w:rsidR="00624DE5" w:rsidRPr="00432ABC">
        <w:rPr>
          <w:rFonts w:ascii="Verdana" w:hAnsi="Verdana"/>
          <w:sz w:val="20"/>
          <w:szCs w:val="20"/>
        </w:rPr>
        <w:t xml:space="preserve">de resolución </w:t>
      </w:r>
      <w:r w:rsidRPr="002C462C">
        <w:rPr>
          <w:rFonts w:ascii="Verdana" w:hAnsi="Verdana"/>
          <w:sz w:val="20"/>
          <w:szCs w:val="20"/>
        </w:rPr>
        <w:t>divers</w:t>
      </w:r>
      <w:r w:rsidR="00624DE5" w:rsidRPr="002C462C">
        <w:rPr>
          <w:rFonts w:ascii="Verdana" w:hAnsi="Verdana"/>
          <w:sz w:val="20"/>
          <w:szCs w:val="20"/>
        </w:rPr>
        <w:t>o</w:t>
      </w:r>
      <w:r w:rsidRPr="00744CE4">
        <w:rPr>
          <w:rFonts w:ascii="Verdana" w:hAnsi="Verdana"/>
          <w:sz w:val="20"/>
          <w:szCs w:val="20"/>
        </w:rPr>
        <w:t xml:space="preserve">s </w:t>
      </w:r>
      <w:r w:rsidR="00624DE5" w:rsidRPr="00744CE4">
        <w:rPr>
          <w:rFonts w:ascii="Verdana" w:hAnsi="Verdana"/>
          <w:sz w:val="20"/>
          <w:szCs w:val="20"/>
        </w:rPr>
        <w:t>medios de impugnación constitucional promovidos contra sus disposiciones ante la Suprema Corte de Justicia de la Nación</w:t>
      </w:r>
      <w:r w:rsidR="00624DE5" w:rsidRPr="00744CE4">
        <w:rPr>
          <w:rStyle w:val="Refdenotaalpie"/>
          <w:rFonts w:ascii="Verdana" w:hAnsi="Verdana"/>
          <w:sz w:val="20"/>
          <w:szCs w:val="20"/>
        </w:rPr>
        <w:footnoteReference w:id="65"/>
      </w:r>
      <w:r w:rsidRPr="00744CE4">
        <w:rPr>
          <w:rFonts w:ascii="Verdana" w:hAnsi="Verdana"/>
          <w:sz w:val="20"/>
          <w:szCs w:val="20"/>
        </w:rPr>
        <w:t xml:space="preserve">. </w:t>
      </w:r>
      <w:r w:rsidR="006F1B8E" w:rsidRPr="008D0846">
        <w:rPr>
          <w:rStyle w:val="Hipervnculo"/>
          <w:rFonts w:ascii="Verdana" w:hAnsi="Verdana"/>
          <w:color w:val="auto"/>
          <w:sz w:val="20"/>
          <w:szCs w:val="20"/>
          <w:u w:val="none"/>
        </w:rPr>
        <w:t>El 15 de noviembre de 2018 el Pleno de la SCJN resolvió por mayoría, la inconstitucionalidad general de la Ley de Seguridad Interior</w:t>
      </w:r>
      <w:r w:rsidR="009B18E2" w:rsidRPr="008D0846">
        <w:rPr>
          <w:rStyle w:val="Hipervnculo"/>
          <w:rFonts w:ascii="Verdana" w:hAnsi="Verdana"/>
          <w:color w:val="auto"/>
          <w:sz w:val="20"/>
          <w:szCs w:val="20"/>
          <w:u w:val="none"/>
        </w:rPr>
        <w:t>, al concluir, entre otras, que “[…] en esencia, […] dicha Ley resultaba inconstitucional al contener disposiciones que pretendían normalizar la utilización de las Fuerzas Armadas en temas de seguridad pública, lo que es contrario al orden constitucional y convencional […]”</w:t>
      </w:r>
      <w:r w:rsidR="009B18E2" w:rsidRPr="008D0846">
        <w:rPr>
          <w:rStyle w:val="Refdenotaalpie"/>
          <w:rFonts w:ascii="Verdana" w:hAnsi="Verdana"/>
          <w:sz w:val="20"/>
          <w:szCs w:val="20"/>
        </w:rPr>
        <w:footnoteReference w:id="66"/>
      </w:r>
      <w:r w:rsidR="009B18E2" w:rsidRPr="008D0846">
        <w:rPr>
          <w:rStyle w:val="Hipervnculo"/>
          <w:rFonts w:ascii="Verdana" w:hAnsi="Verdana"/>
          <w:color w:val="auto"/>
          <w:sz w:val="20"/>
          <w:szCs w:val="20"/>
          <w:u w:val="none"/>
        </w:rPr>
        <w:t>.</w:t>
      </w:r>
    </w:p>
    <w:p w14:paraId="4CAF54AA" w14:textId="7CFA4632" w:rsidR="00AB1FA1" w:rsidRPr="00432ABC" w:rsidRDefault="002E1C85" w:rsidP="00BE0E64">
      <w:pPr>
        <w:pStyle w:val="Ttulo4"/>
        <w:numPr>
          <w:ilvl w:val="0"/>
          <w:numId w:val="27"/>
        </w:numPr>
        <w:spacing w:before="120" w:after="120"/>
        <w:contextualSpacing w:val="0"/>
        <w:rPr>
          <w:rStyle w:val="nfasissutil"/>
        </w:rPr>
      </w:pPr>
      <w:bookmarkStart w:id="112" w:name="_Toc532995329"/>
      <w:r w:rsidRPr="00BE0E64">
        <w:rPr>
          <w:rStyle w:val="nfasissutil"/>
          <w:u w:val="none"/>
        </w:rPr>
        <w:t>El incremento</w:t>
      </w:r>
      <w:r w:rsidRPr="00DB378B">
        <w:rPr>
          <w:rStyle w:val="nfasissutil"/>
          <w:u w:val="none"/>
        </w:rPr>
        <w:t xml:space="preserve"> de la violencia criminal y las violaciones a los derechos humanos asociadas a la implementación de los “Operativos Conjuntos”</w:t>
      </w:r>
      <w:bookmarkEnd w:id="112"/>
      <w:r w:rsidRPr="00432ABC">
        <w:rPr>
          <w:rStyle w:val="nfasissutil"/>
          <w:u w:val="none"/>
        </w:rPr>
        <w:t xml:space="preserve"> </w:t>
      </w:r>
    </w:p>
    <w:p w14:paraId="0681EE7C" w14:textId="7D4FE5D4" w:rsidR="00BF1258" w:rsidRPr="00744CE4" w:rsidRDefault="002E1C85"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heme="minorHAnsi" w:hAnsi="Verdana" w:cs="Times New Roman"/>
          <w:sz w:val="20"/>
          <w:szCs w:val="20"/>
        </w:rPr>
      </w:pPr>
      <w:r w:rsidRPr="00744CE4">
        <w:rPr>
          <w:rFonts w:ascii="Verdana" w:hAnsi="Verdana"/>
          <w:sz w:val="20"/>
          <w:szCs w:val="20"/>
        </w:rPr>
        <w:lastRenderedPageBreak/>
        <w:t xml:space="preserve">La Corte observa que en el contexto de la implementación de dichas estrategias de </w:t>
      </w:r>
      <w:r w:rsidRPr="00432ABC">
        <w:rPr>
          <w:rFonts w:ascii="Verdana" w:eastAsiaTheme="minorHAnsi" w:hAnsi="Verdana" w:cs="Times New Roman"/>
          <w:sz w:val="20"/>
          <w:szCs w:val="20"/>
        </w:rPr>
        <w:t>seguridad</w:t>
      </w:r>
      <w:r w:rsidRPr="00432ABC">
        <w:rPr>
          <w:rFonts w:ascii="Verdana" w:hAnsi="Verdana"/>
          <w:sz w:val="20"/>
          <w:szCs w:val="20"/>
        </w:rPr>
        <w:t xml:space="preserve"> de combate al narcotráfico y al crimen organizado en México, desde 2010 el </w:t>
      </w:r>
      <w:r w:rsidRPr="00432ABC">
        <w:rPr>
          <w:rFonts w:ascii="Verdana" w:hAnsi="Verdana" w:cs="Cambria"/>
          <w:sz w:val="20"/>
          <w:szCs w:val="20"/>
        </w:rPr>
        <w:t xml:space="preserve">Comité de Derechos Humanos de la ONU manifestó su preocupación por el creciente número de denuncias de violaciones de derechos humanos a manos de elementos castrenses en los lugares en que se encontraban </w:t>
      </w:r>
      <w:r w:rsidR="00AF445C" w:rsidRPr="00432ABC">
        <w:rPr>
          <w:rFonts w:ascii="Verdana" w:hAnsi="Verdana" w:cs="Cambria"/>
          <w:sz w:val="20"/>
          <w:szCs w:val="20"/>
        </w:rPr>
        <w:t xml:space="preserve">desplegados </w:t>
      </w:r>
      <w:r w:rsidRPr="00432ABC">
        <w:rPr>
          <w:rFonts w:ascii="Verdana" w:hAnsi="Verdana" w:cs="Cambria"/>
          <w:sz w:val="20"/>
          <w:szCs w:val="20"/>
        </w:rPr>
        <w:t>para garantizar el orden público, y recomendó que las tareas relacionadas con la segurid</w:t>
      </w:r>
      <w:r w:rsidRPr="002C462C">
        <w:rPr>
          <w:rFonts w:ascii="Verdana" w:hAnsi="Verdana" w:cs="Cambria"/>
          <w:sz w:val="20"/>
          <w:szCs w:val="20"/>
        </w:rPr>
        <w:t>ad pública y las investigaciones de denuncias de violaciones a los derechos humanos fuesen de competencia exclusiva de las autoridades civiles</w:t>
      </w:r>
      <w:r w:rsidR="00DC71C4" w:rsidRPr="00744CE4">
        <w:rPr>
          <w:rFonts w:ascii="Verdana" w:hAnsi="Verdana" w:cs="Cambria"/>
          <w:sz w:val="20"/>
          <w:szCs w:val="20"/>
          <w:vertAlign w:val="superscript"/>
        </w:rPr>
        <w:footnoteReference w:id="67"/>
      </w:r>
      <w:r w:rsidRPr="00744CE4">
        <w:rPr>
          <w:rFonts w:ascii="Verdana" w:hAnsi="Verdana" w:cs="Cambria"/>
          <w:sz w:val="20"/>
          <w:szCs w:val="20"/>
        </w:rPr>
        <w:t xml:space="preserve">. </w:t>
      </w:r>
    </w:p>
    <w:p w14:paraId="64AA5E17" w14:textId="742BE5F2" w:rsidR="002E1C85" w:rsidRPr="00744CE4" w:rsidRDefault="00BF1258"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432ABC">
        <w:rPr>
          <w:rFonts w:ascii="Verdana" w:eastAsiaTheme="minorHAnsi" w:hAnsi="Verdana" w:cs="Times New Roman"/>
          <w:sz w:val="20"/>
          <w:szCs w:val="20"/>
        </w:rPr>
        <w:t>Tras su visita a México en 2013 el Relator Especial sobre las Ejecuciones Extrajudiciales, Sumarias o Arbitrarias de la ONU expresó su preocupación por la persistencia de “niveles alarmantes de violencia” así como el uso excesivo de la fuerza y una falta de rendición de cuentas en México tras el despliegue del Ejército en 2007 para enfrentar a los cárteles del narcotráfico. En este sentido, ciudades de los Estados de Chihuahua y Guerrero habrían sido clasificadas como las más peligrosas del mundo. El Relator Especial señaló que de diciembre de 2006 a noviembre de 2012 se cometieron 102,696 homicidios intencionales,</w:t>
      </w:r>
      <w:r w:rsidRPr="002C462C">
        <w:rPr>
          <w:rFonts w:ascii="Verdana" w:eastAsiaTheme="minorHAnsi" w:hAnsi="Verdana" w:cs="Times New Roman"/>
          <w:sz w:val="20"/>
          <w:szCs w:val="20"/>
        </w:rPr>
        <w:t xml:space="preserve"> de los cuales cerca de 70,000 se encontraban relacionados con el tráfico de drogas, en un escenario de “impunidad sistémica y endémica”</w:t>
      </w:r>
      <w:r w:rsidRPr="00744CE4">
        <w:rPr>
          <w:rStyle w:val="Refdenotaalpie"/>
          <w:rFonts w:ascii="Verdana" w:eastAsiaTheme="minorHAnsi" w:hAnsi="Verdana" w:cs="Times New Roman"/>
          <w:sz w:val="20"/>
          <w:szCs w:val="20"/>
        </w:rPr>
        <w:footnoteReference w:id="68"/>
      </w:r>
      <w:r w:rsidRPr="00744CE4">
        <w:rPr>
          <w:rFonts w:ascii="Verdana" w:eastAsiaTheme="minorHAnsi" w:hAnsi="Verdana" w:cs="Times New Roman"/>
          <w:sz w:val="20"/>
          <w:szCs w:val="20"/>
        </w:rPr>
        <w:t xml:space="preserve">. De acuerdo con el Alto Comisionado de las Naciones Unidas para los Derechos Humanos, hacia el año 2015 esta cifra se </w:t>
      </w:r>
      <w:r w:rsidRPr="00432ABC">
        <w:rPr>
          <w:rFonts w:ascii="Verdana" w:eastAsiaTheme="minorHAnsi" w:hAnsi="Verdana" w:cs="Times New Roman"/>
          <w:sz w:val="20"/>
          <w:szCs w:val="20"/>
        </w:rPr>
        <w:t xml:space="preserve">habría incrementado a </w:t>
      </w:r>
      <w:r w:rsidRPr="00432ABC">
        <w:rPr>
          <w:rFonts w:ascii="Verdana" w:eastAsiaTheme="minorHAnsi" w:hAnsi="Verdana"/>
          <w:color w:val="000000"/>
          <w:sz w:val="20"/>
          <w:szCs w:val="20"/>
          <w:shd w:val="clear" w:color="auto" w:fill="FFFFFF"/>
        </w:rPr>
        <w:t>151,233 personas asesinadas</w:t>
      </w:r>
      <w:r w:rsidRPr="00744CE4">
        <w:rPr>
          <w:rStyle w:val="Refdenotaalpie"/>
          <w:rFonts w:ascii="Verdana" w:eastAsiaTheme="minorHAnsi" w:hAnsi="Verdana"/>
          <w:color w:val="000000"/>
          <w:sz w:val="20"/>
          <w:szCs w:val="20"/>
          <w:shd w:val="clear" w:color="auto" w:fill="FFFFFF"/>
        </w:rPr>
        <w:footnoteReference w:id="69"/>
      </w:r>
      <w:r w:rsidRPr="00744CE4">
        <w:rPr>
          <w:rFonts w:ascii="Verdana" w:eastAsiaTheme="minorHAnsi" w:hAnsi="Verdana"/>
          <w:color w:val="000000"/>
          <w:sz w:val="20"/>
          <w:szCs w:val="20"/>
          <w:shd w:val="clear" w:color="auto" w:fill="FFFFFF"/>
        </w:rPr>
        <w:t>.</w:t>
      </w:r>
    </w:p>
    <w:p w14:paraId="22F041BD" w14:textId="27EB425D" w:rsidR="00DE7633" w:rsidRPr="00744CE4" w:rsidRDefault="002E1C85" w:rsidP="002C462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heme="minorHAnsi" w:hAnsi="Verdana" w:cs="Cambria"/>
          <w:sz w:val="20"/>
          <w:szCs w:val="20"/>
        </w:rPr>
      </w:pPr>
      <w:r w:rsidRPr="00432ABC">
        <w:rPr>
          <w:rFonts w:ascii="Verdana" w:eastAsiaTheme="minorHAnsi" w:hAnsi="Verdana" w:cs="Cambria"/>
          <w:sz w:val="20"/>
          <w:szCs w:val="20"/>
        </w:rPr>
        <w:t xml:space="preserve">Del mismo modo, tras su visita a México en el año 2011, el Grupo de Trabajo sobre Desapariciones Forzadas o Involuntarias de la ONU [GTDFI] constató que la estrategia de militarización para el mantenimiento del orden público llevó aparejado, entre los años 2006 a </w:t>
      </w:r>
      <w:r w:rsidRPr="00432ABC">
        <w:rPr>
          <w:rFonts w:ascii="Verdana" w:eastAsiaTheme="minorHAnsi" w:hAnsi="Verdana" w:cs="Cambria"/>
          <w:sz w:val="20"/>
          <w:szCs w:val="20"/>
        </w:rPr>
        <w:lastRenderedPageBreak/>
        <w:t>2010, el aumento paulatino en el número de quejas recibidas por la Comisión Nacional de los Derechos Humanos [CNDH] relacionadas con la Secretaría de la Defensa Nacional [SEDENA], en particular por detenciones arbitrarias, tortura, tratos crueles inhumanos y degradantes, ejecuciones extrajudiciales y desapariciones forzadas</w:t>
      </w:r>
      <w:r w:rsidR="00DC71C4" w:rsidRPr="00744CE4">
        <w:rPr>
          <w:rFonts w:ascii="Verdana" w:hAnsi="Verdana"/>
          <w:sz w:val="20"/>
          <w:szCs w:val="20"/>
          <w:vertAlign w:val="superscript"/>
        </w:rPr>
        <w:footnoteReference w:id="70"/>
      </w:r>
      <w:r w:rsidR="00DC71C4" w:rsidRPr="00744CE4">
        <w:rPr>
          <w:rFonts w:ascii="Verdana" w:eastAsiaTheme="minorHAnsi" w:hAnsi="Verdana" w:cs="Cambria"/>
          <w:sz w:val="20"/>
          <w:szCs w:val="20"/>
        </w:rPr>
        <w:t>. En este sentido, de acuerdo con los informes anuales de actividades de la CNDH,</w:t>
      </w:r>
      <w:r w:rsidR="00DC71C4" w:rsidRPr="00432ABC">
        <w:rPr>
          <w:rFonts w:ascii="Verdana" w:eastAsiaTheme="minorHAnsi" w:hAnsi="Verdana" w:cs="Cambria"/>
          <w:sz w:val="20"/>
          <w:szCs w:val="20"/>
        </w:rPr>
        <w:t xml:space="preserve"> entre 2007 y 2017 fueron registradas 10,930 quejas contra la SEDENA</w:t>
      </w:r>
      <w:r w:rsidR="00DC71C4" w:rsidRPr="00744CE4">
        <w:rPr>
          <w:rStyle w:val="Refdenotaalpie"/>
          <w:rFonts w:ascii="Verdana" w:eastAsiaTheme="minorHAnsi" w:hAnsi="Verdana" w:cs="Cambria"/>
          <w:sz w:val="20"/>
          <w:szCs w:val="20"/>
        </w:rPr>
        <w:footnoteReference w:id="71"/>
      </w:r>
      <w:r w:rsidR="00DC71C4" w:rsidRPr="00744CE4">
        <w:rPr>
          <w:rFonts w:ascii="Verdana" w:eastAsiaTheme="minorHAnsi" w:hAnsi="Verdana" w:cs="Cambria"/>
          <w:sz w:val="20"/>
          <w:szCs w:val="20"/>
        </w:rPr>
        <w:t xml:space="preserve">, así como </w:t>
      </w:r>
      <w:r w:rsidR="00BF5B41">
        <w:rPr>
          <w:rFonts w:ascii="Verdana" w:eastAsiaTheme="minorHAnsi" w:hAnsi="Verdana" w:cs="Cambria"/>
          <w:sz w:val="20"/>
          <w:szCs w:val="20"/>
        </w:rPr>
        <w:t>2</w:t>
      </w:r>
      <w:r w:rsidR="006A53BB">
        <w:rPr>
          <w:rFonts w:ascii="Verdana" w:eastAsiaTheme="minorHAnsi" w:hAnsi="Verdana" w:cs="Cambria"/>
          <w:sz w:val="20"/>
          <w:szCs w:val="20"/>
        </w:rPr>
        <w:t>,</w:t>
      </w:r>
      <w:r w:rsidR="00BF5B41">
        <w:rPr>
          <w:rFonts w:ascii="Verdana" w:eastAsiaTheme="minorHAnsi" w:hAnsi="Verdana" w:cs="Cambria"/>
          <w:sz w:val="20"/>
          <w:szCs w:val="20"/>
        </w:rPr>
        <w:t xml:space="preserve">881 </w:t>
      </w:r>
      <w:r w:rsidR="00DC71C4" w:rsidRPr="00744CE4">
        <w:rPr>
          <w:rFonts w:ascii="Verdana" w:eastAsiaTheme="minorHAnsi" w:hAnsi="Verdana" w:cs="Cambria"/>
          <w:sz w:val="20"/>
          <w:szCs w:val="20"/>
        </w:rPr>
        <w:t>contra la Secretaría de Marina [SEMAR]</w:t>
      </w:r>
      <w:r w:rsidR="00DC71C4" w:rsidRPr="00744CE4">
        <w:rPr>
          <w:rStyle w:val="Refdenotaalpie"/>
          <w:rFonts w:ascii="Verdana" w:eastAsiaTheme="minorHAnsi" w:hAnsi="Verdana" w:cs="Cambria"/>
          <w:sz w:val="20"/>
          <w:szCs w:val="20"/>
        </w:rPr>
        <w:footnoteReference w:id="72"/>
      </w:r>
      <w:r w:rsidR="00DC71C4" w:rsidRPr="00744CE4">
        <w:rPr>
          <w:rFonts w:ascii="Verdana" w:eastAsiaTheme="minorHAnsi" w:hAnsi="Verdana" w:cs="Cambria"/>
          <w:sz w:val="20"/>
          <w:szCs w:val="20"/>
        </w:rPr>
        <w:t>. De igual forma</w:t>
      </w:r>
      <w:r w:rsidR="00DC71C4" w:rsidRPr="00432ABC">
        <w:rPr>
          <w:rFonts w:ascii="Verdana" w:eastAsiaTheme="minorHAnsi" w:hAnsi="Verdana" w:cs="Cambria"/>
          <w:sz w:val="20"/>
          <w:szCs w:val="20"/>
        </w:rPr>
        <w:t>, durante dicho período la CNDH emitió 121 recomendaciones dirigidas a la SEDENA y 37 a la SEMAR al constatarse violaciones de derechos humanos atribuibles a miembros de las Fuerzas Armadas</w:t>
      </w:r>
      <w:r w:rsidR="00DC71C4" w:rsidRPr="00744CE4">
        <w:rPr>
          <w:rStyle w:val="Refdenotaalpie"/>
          <w:rFonts w:ascii="Verdana" w:eastAsiaTheme="minorHAnsi" w:hAnsi="Verdana" w:cs="Cambria"/>
          <w:sz w:val="20"/>
          <w:szCs w:val="20"/>
        </w:rPr>
        <w:footnoteReference w:id="73"/>
      </w:r>
      <w:r w:rsidR="00DC71C4" w:rsidRPr="00744CE4">
        <w:rPr>
          <w:rFonts w:ascii="Verdana" w:eastAsiaTheme="minorHAnsi" w:hAnsi="Verdana" w:cs="Cambria"/>
          <w:sz w:val="20"/>
          <w:szCs w:val="20"/>
        </w:rPr>
        <w:t>.</w:t>
      </w:r>
    </w:p>
    <w:p w14:paraId="32BDACC8" w14:textId="74B5A180" w:rsidR="00DE7633" w:rsidRPr="00744CE4" w:rsidRDefault="00F80E78" w:rsidP="00DB378B">
      <w:pPr>
        <w:pStyle w:val="Prrafodelista"/>
        <w:numPr>
          <w:ilvl w:val="0"/>
          <w:numId w:val="4"/>
        </w:numPr>
        <w:spacing w:before="120" w:after="120" w:line="240" w:lineRule="auto"/>
        <w:ind w:left="0" w:firstLine="0"/>
        <w:jc w:val="both"/>
        <w:rPr>
          <w:rFonts w:ascii="Verdana" w:hAnsi="Verdana"/>
          <w:sz w:val="20"/>
          <w:szCs w:val="20"/>
        </w:rPr>
      </w:pPr>
      <w:r w:rsidRPr="00744CE4">
        <w:rPr>
          <w:rFonts w:ascii="Verdana" w:hAnsi="Verdana"/>
          <w:sz w:val="20"/>
          <w:szCs w:val="20"/>
        </w:rPr>
        <w:t>Por su parte</w:t>
      </w:r>
      <w:r w:rsidR="00DE7633" w:rsidRPr="00432ABC">
        <w:rPr>
          <w:rFonts w:ascii="Verdana" w:hAnsi="Verdana"/>
          <w:sz w:val="20"/>
          <w:szCs w:val="20"/>
        </w:rPr>
        <w:t xml:space="preserve">, el Comité para la Eliminación de la Discriminación contra la Mujer de la ONU [CEDAW] </w:t>
      </w:r>
      <w:r w:rsidRPr="00432ABC">
        <w:rPr>
          <w:rFonts w:ascii="Verdana" w:hAnsi="Verdana"/>
          <w:sz w:val="20"/>
          <w:szCs w:val="20"/>
        </w:rPr>
        <w:t xml:space="preserve">en 2012 y 2018 informó </w:t>
      </w:r>
      <w:r w:rsidR="00DE7633" w:rsidRPr="00432ABC">
        <w:rPr>
          <w:rFonts w:ascii="Verdana" w:hAnsi="Verdana"/>
          <w:sz w:val="20"/>
          <w:szCs w:val="20"/>
        </w:rPr>
        <w:t>que “la estrategia de seguridad pública para luchar contra la delincuencia organizada, combinada con l</w:t>
      </w:r>
      <w:r w:rsidR="00DE7633" w:rsidRPr="002C462C">
        <w:rPr>
          <w:rFonts w:ascii="Verdana" w:hAnsi="Verdana"/>
          <w:sz w:val="20"/>
          <w:szCs w:val="20"/>
        </w:rPr>
        <w:t>a impunidad y corrupción persistentes</w:t>
      </w:r>
      <w:r w:rsidR="0031586F" w:rsidRPr="00744CE4">
        <w:rPr>
          <w:rFonts w:ascii="Verdana" w:hAnsi="Verdana"/>
          <w:sz w:val="20"/>
          <w:szCs w:val="20"/>
        </w:rPr>
        <w:t xml:space="preserve"> [en México]</w:t>
      </w:r>
      <w:r w:rsidR="00DE7633" w:rsidRPr="00744CE4">
        <w:rPr>
          <w:rFonts w:ascii="Verdana" w:hAnsi="Verdana"/>
          <w:sz w:val="20"/>
          <w:szCs w:val="20"/>
        </w:rPr>
        <w:t xml:space="preserve">, [ha] contribuido a la intensificación de </w:t>
      </w:r>
      <w:r w:rsidRPr="00744CE4">
        <w:rPr>
          <w:rFonts w:ascii="Verdana" w:hAnsi="Verdana"/>
          <w:sz w:val="20"/>
          <w:szCs w:val="20"/>
        </w:rPr>
        <w:t xml:space="preserve">[…] </w:t>
      </w:r>
      <w:r w:rsidR="00DE7633" w:rsidRPr="00744CE4">
        <w:rPr>
          <w:rFonts w:ascii="Verdana" w:hAnsi="Verdana"/>
          <w:sz w:val="20"/>
          <w:szCs w:val="20"/>
        </w:rPr>
        <w:t xml:space="preserve">pautas ya existentes de discriminación y violencia generalizadas contra las mujeres”, así como </w:t>
      </w:r>
      <w:r w:rsidRPr="00744CE4">
        <w:rPr>
          <w:rFonts w:ascii="Verdana" w:hAnsi="Verdana"/>
          <w:sz w:val="20"/>
          <w:szCs w:val="20"/>
        </w:rPr>
        <w:t xml:space="preserve">de </w:t>
      </w:r>
      <w:r w:rsidR="008F2CCF" w:rsidRPr="00744CE4">
        <w:rPr>
          <w:rFonts w:ascii="Verdana" w:hAnsi="Verdana"/>
          <w:sz w:val="20"/>
          <w:szCs w:val="20"/>
        </w:rPr>
        <w:t>“</w:t>
      </w:r>
      <w:r w:rsidR="0016671F" w:rsidRPr="00744CE4">
        <w:rPr>
          <w:rFonts w:ascii="Verdana" w:hAnsi="Verdana"/>
          <w:sz w:val="20"/>
          <w:szCs w:val="20"/>
        </w:rPr>
        <w:t xml:space="preserve">[…] unos niveles cada vez mayores y a </w:t>
      </w:r>
      <w:r w:rsidR="00DE7633" w:rsidRPr="00744CE4">
        <w:rPr>
          <w:rFonts w:ascii="Verdana" w:hAnsi="Verdana"/>
          <w:sz w:val="20"/>
          <w:szCs w:val="20"/>
        </w:rPr>
        <w:t xml:space="preserve">diferentes tipos de violencia por motivos de género como </w:t>
      </w:r>
      <w:r w:rsidRPr="00744CE4">
        <w:rPr>
          <w:rFonts w:ascii="Verdana" w:hAnsi="Verdana"/>
          <w:sz w:val="20"/>
          <w:szCs w:val="20"/>
        </w:rPr>
        <w:t>[…]</w:t>
      </w:r>
      <w:r w:rsidR="00DE7633" w:rsidRPr="00744CE4">
        <w:rPr>
          <w:rFonts w:ascii="Verdana" w:hAnsi="Verdana"/>
          <w:sz w:val="20"/>
          <w:szCs w:val="20"/>
        </w:rPr>
        <w:t xml:space="preserve"> desapariciones forzosas, torturas</w:t>
      </w:r>
      <w:r w:rsidRPr="00744CE4">
        <w:rPr>
          <w:rFonts w:ascii="Verdana" w:hAnsi="Verdana"/>
          <w:sz w:val="20"/>
          <w:szCs w:val="20"/>
        </w:rPr>
        <w:t xml:space="preserve">, </w:t>
      </w:r>
      <w:r w:rsidR="00DE7633" w:rsidRPr="00744CE4">
        <w:rPr>
          <w:rFonts w:ascii="Verdana" w:hAnsi="Verdana"/>
          <w:sz w:val="20"/>
          <w:szCs w:val="20"/>
        </w:rPr>
        <w:t xml:space="preserve">asesinatos, </w:t>
      </w:r>
      <w:r w:rsidRPr="00744CE4">
        <w:rPr>
          <w:rFonts w:ascii="Verdana" w:hAnsi="Verdana"/>
          <w:sz w:val="20"/>
          <w:szCs w:val="20"/>
        </w:rPr>
        <w:t xml:space="preserve">[y] </w:t>
      </w:r>
      <w:r w:rsidR="00DE7633" w:rsidRPr="00744CE4">
        <w:rPr>
          <w:rFonts w:ascii="Verdana" w:hAnsi="Verdana"/>
          <w:sz w:val="20"/>
          <w:szCs w:val="20"/>
        </w:rPr>
        <w:t>en particular</w:t>
      </w:r>
      <w:r w:rsidRPr="00744CE4">
        <w:rPr>
          <w:rFonts w:ascii="Verdana" w:hAnsi="Verdana"/>
          <w:sz w:val="20"/>
          <w:szCs w:val="20"/>
        </w:rPr>
        <w:t>,</w:t>
      </w:r>
      <w:r w:rsidR="00DE7633" w:rsidRPr="00744CE4">
        <w:rPr>
          <w:rFonts w:ascii="Verdana" w:hAnsi="Verdana"/>
          <w:sz w:val="20"/>
          <w:szCs w:val="20"/>
        </w:rPr>
        <w:t xml:space="preserve"> el feminicidio, por </w:t>
      </w:r>
      <w:r w:rsidR="00717A95" w:rsidRPr="00744CE4">
        <w:rPr>
          <w:rFonts w:ascii="Verdana" w:hAnsi="Verdana"/>
          <w:sz w:val="20"/>
          <w:szCs w:val="20"/>
        </w:rPr>
        <w:t xml:space="preserve">parte de </w:t>
      </w:r>
      <w:r w:rsidR="00DE7633" w:rsidRPr="00744CE4">
        <w:rPr>
          <w:rFonts w:ascii="Verdana" w:hAnsi="Verdana"/>
          <w:sz w:val="20"/>
          <w:szCs w:val="20"/>
        </w:rPr>
        <w:t>agentes estatales, incluidos funcionarios encargados de hacer cumplir la ley y fuerzas de seguridad</w:t>
      </w:r>
      <w:r w:rsidR="005203D7" w:rsidRPr="00744CE4">
        <w:rPr>
          <w:rFonts w:ascii="Verdana" w:hAnsi="Verdana"/>
          <w:sz w:val="20"/>
          <w:szCs w:val="20"/>
        </w:rPr>
        <w:t xml:space="preserve"> […]</w:t>
      </w:r>
      <w:r w:rsidR="00DE7633" w:rsidRPr="00744CE4">
        <w:rPr>
          <w:rFonts w:ascii="Verdana" w:hAnsi="Verdana"/>
          <w:sz w:val="20"/>
          <w:szCs w:val="20"/>
        </w:rPr>
        <w:t>”</w:t>
      </w:r>
      <w:r w:rsidR="00DE7633" w:rsidRPr="00744CE4">
        <w:rPr>
          <w:rStyle w:val="Refdenotaalpie"/>
          <w:rFonts w:ascii="Verdana" w:hAnsi="Verdana"/>
          <w:sz w:val="20"/>
          <w:szCs w:val="20"/>
        </w:rPr>
        <w:footnoteReference w:id="74"/>
      </w:r>
      <w:r w:rsidR="00DE7633" w:rsidRPr="00744CE4">
        <w:rPr>
          <w:rFonts w:ascii="Verdana" w:hAnsi="Verdana"/>
          <w:sz w:val="20"/>
          <w:szCs w:val="20"/>
        </w:rPr>
        <w:t>.</w:t>
      </w:r>
      <w:r w:rsidRPr="00744CE4">
        <w:rPr>
          <w:rFonts w:ascii="Verdana" w:hAnsi="Verdana"/>
          <w:sz w:val="20"/>
          <w:szCs w:val="20"/>
        </w:rPr>
        <w:t xml:space="preserve"> </w:t>
      </w:r>
      <w:r w:rsidR="00014477" w:rsidRPr="00432ABC">
        <w:rPr>
          <w:rFonts w:ascii="Verdana" w:hAnsi="Verdana"/>
          <w:sz w:val="20"/>
          <w:szCs w:val="20"/>
        </w:rPr>
        <w:t xml:space="preserve">Por su parte, la CNDH </w:t>
      </w:r>
      <w:r w:rsidRPr="00432ABC">
        <w:rPr>
          <w:rFonts w:ascii="Verdana" w:hAnsi="Verdana"/>
          <w:sz w:val="20"/>
          <w:szCs w:val="20"/>
        </w:rPr>
        <w:t xml:space="preserve">ha dado </w:t>
      </w:r>
      <w:r w:rsidR="00014477" w:rsidRPr="00432ABC">
        <w:rPr>
          <w:rFonts w:ascii="Verdana" w:hAnsi="Verdana"/>
          <w:sz w:val="20"/>
          <w:szCs w:val="20"/>
        </w:rPr>
        <w:t>cuenta de un total de 35,433 personas víctimas de desplazamiento forzado interno [DFI] en México</w:t>
      </w:r>
      <w:r w:rsidRPr="002C462C">
        <w:rPr>
          <w:rFonts w:ascii="Verdana" w:hAnsi="Verdana"/>
          <w:sz w:val="20"/>
          <w:szCs w:val="20"/>
        </w:rPr>
        <w:t xml:space="preserve"> </w:t>
      </w:r>
      <w:r w:rsidR="00E60F03">
        <w:rPr>
          <w:rFonts w:ascii="Verdana" w:hAnsi="Verdana"/>
          <w:sz w:val="20"/>
          <w:szCs w:val="20"/>
        </w:rPr>
        <w:t xml:space="preserve">hacia el </w:t>
      </w:r>
      <w:r w:rsidRPr="002C462C">
        <w:rPr>
          <w:rFonts w:ascii="Verdana" w:hAnsi="Verdana"/>
          <w:sz w:val="20"/>
          <w:szCs w:val="20"/>
        </w:rPr>
        <w:t>año 2016</w:t>
      </w:r>
      <w:r w:rsidR="00014477" w:rsidRPr="002C462C">
        <w:rPr>
          <w:rFonts w:ascii="Verdana" w:hAnsi="Verdana"/>
          <w:sz w:val="20"/>
          <w:szCs w:val="20"/>
        </w:rPr>
        <w:t>, de los cuales 31,798 fueron consecuencia de la violencia criminal y la actuación de las fuerzas de seguridad del Estad</w:t>
      </w:r>
      <w:r w:rsidR="00014477" w:rsidRPr="00744CE4">
        <w:rPr>
          <w:rFonts w:ascii="Verdana" w:hAnsi="Verdana"/>
          <w:sz w:val="20"/>
          <w:szCs w:val="20"/>
        </w:rPr>
        <w:t xml:space="preserve">o. </w:t>
      </w:r>
      <w:r w:rsidR="009D76E7" w:rsidRPr="00744CE4">
        <w:rPr>
          <w:rFonts w:ascii="Verdana" w:hAnsi="Verdana"/>
          <w:sz w:val="20"/>
          <w:szCs w:val="20"/>
        </w:rPr>
        <w:t>E</w:t>
      </w:r>
      <w:r w:rsidR="00014477" w:rsidRPr="00744CE4">
        <w:rPr>
          <w:rFonts w:ascii="Verdana" w:hAnsi="Verdana"/>
          <w:sz w:val="20"/>
          <w:szCs w:val="20"/>
        </w:rPr>
        <w:t xml:space="preserve">l Estado de Chihuahua ocupó el tercer lugar nacional de desplazamientos forzados internos de origen, con un total de 2,008 víctimas, y destacó </w:t>
      </w:r>
      <w:r w:rsidRPr="00744CE4">
        <w:rPr>
          <w:rFonts w:ascii="Verdana" w:hAnsi="Verdana"/>
          <w:sz w:val="20"/>
          <w:szCs w:val="20"/>
        </w:rPr>
        <w:t xml:space="preserve">que este fenómeno </w:t>
      </w:r>
      <w:r w:rsidR="00014477" w:rsidRPr="00744CE4">
        <w:rPr>
          <w:rFonts w:ascii="Verdana" w:hAnsi="Verdana"/>
          <w:sz w:val="20"/>
          <w:szCs w:val="20"/>
        </w:rPr>
        <w:t>“no se ha podido frenar por parte de las autoridades, lo que ha provocado desprotección de las víctimas”</w:t>
      </w:r>
      <w:r w:rsidR="00014477" w:rsidRPr="00744CE4">
        <w:rPr>
          <w:rFonts w:ascii="Verdana" w:hAnsi="Verdana"/>
          <w:sz w:val="20"/>
          <w:szCs w:val="20"/>
          <w:vertAlign w:val="superscript"/>
        </w:rPr>
        <w:footnoteReference w:id="75"/>
      </w:r>
      <w:r w:rsidR="00014477" w:rsidRPr="00744CE4">
        <w:rPr>
          <w:rFonts w:ascii="Verdana" w:hAnsi="Verdana"/>
          <w:sz w:val="20"/>
          <w:szCs w:val="20"/>
        </w:rPr>
        <w:t>.</w:t>
      </w:r>
    </w:p>
    <w:p w14:paraId="64AA5E1B" w14:textId="5BCCA663" w:rsidR="002E1C85" w:rsidRPr="00DB378B" w:rsidRDefault="00B6434F" w:rsidP="00744CE4">
      <w:pPr>
        <w:pStyle w:val="Ttulo4"/>
        <w:numPr>
          <w:ilvl w:val="0"/>
          <w:numId w:val="27"/>
        </w:numPr>
        <w:spacing w:before="120" w:after="120"/>
        <w:contextualSpacing w:val="0"/>
        <w:rPr>
          <w:rStyle w:val="nfasissutil"/>
          <w:sz w:val="22"/>
          <w:szCs w:val="22"/>
          <w:u w:val="none"/>
        </w:rPr>
      </w:pPr>
      <w:bookmarkStart w:id="113" w:name="_Toc532995330"/>
      <w:r w:rsidRPr="00432ABC">
        <w:rPr>
          <w:rStyle w:val="nfasissutil"/>
          <w:u w:val="none"/>
        </w:rPr>
        <w:lastRenderedPageBreak/>
        <w:t>Sobre l</w:t>
      </w:r>
      <w:r w:rsidR="002E1C85" w:rsidRPr="00432ABC">
        <w:rPr>
          <w:rStyle w:val="nfasissutil"/>
          <w:u w:val="none"/>
        </w:rPr>
        <w:t xml:space="preserve">as desapariciones </w:t>
      </w:r>
      <w:r w:rsidRPr="00432ABC">
        <w:rPr>
          <w:rStyle w:val="nfasissutil"/>
          <w:u w:val="none"/>
        </w:rPr>
        <w:t xml:space="preserve">presuntamente </w:t>
      </w:r>
      <w:r w:rsidR="002E1C85" w:rsidRPr="00432ABC">
        <w:rPr>
          <w:rStyle w:val="nfasissutil"/>
          <w:u w:val="none"/>
        </w:rPr>
        <w:t>atribuibles a agentes estatales</w:t>
      </w:r>
      <w:r w:rsidRPr="00432ABC">
        <w:rPr>
          <w:rStyle w:val="nfasissutil"/>
          <w:u w:val="none"/>
        </w:rPr>
        <w:t xml:space="preserve"> en México</w:t>
      </w:r>
      <w:bookmarkEnd w:id="113"/>
    </w:p>
    <w:p w14:paraId="64AA5E1D" w14:textId="642F22A2" w:rsidR="002E1C85" w:rsidRPr="00744CE4" w:rsidRDefault="002E1C85"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744CE4">
        <w:rPr>
          <w:rFonts w:ascii="Verdana" w:hAnsi="Verdana"/>
          <w:sz w:val="20"/>
          <w:szCs w:val="20"/>
        </w:rPr>
        <w:t>En 2011</w:t>
      </w:r>
      <w:r w:rsidR="00E62DC2" w:rsidRPr="00744CE4">
        <w:rPr>
          <w:rFonts w:ascii="Verdana" w:hAnsi="Verdana"/>
          <w:sz w:val="20"/>
          <w:szCs w:val="20"/>
        </w:rPr>
        <w:t xml:space="preserve"> </w:t>
      </w:r>
      <w:r w:rsidRPr="00432ABC">
        <w:rPr>
          <w:rFonts w:ascii="Verdana" w:hAnsi="Verdana"/>
          <w:sz w:val="20"/>
          <w:szCs w:val="20"/>
        </w:rPr>
        <w:t>GTDFI señaló que muchas de las desapariciones en México podrían calificarse como forzadas al haberse constatado la participación directa o indirecta de agentes estatales en su perpetración, entre ellos elementos castrenses</w:t>
      </w:r>
      <w:r w:rsidRPr="00744CE4">
        <w:rPr>
          <w:rFonts w:ascii="Verdana" w:hAnsi="Verdana"/>
          <w:sz w:val="20"/>
          <w:szCs w:val="20"/>
          <w:vertAlign w:val="superscript"/>
        </w:rPr>
        <w:footnoteReference w:id="76"/>
      </w:r>
      <w:r w:rsidRPr="00744CE4">
        <w:rPr>
          <w:rFonts w:ascii="Verdana" w:hAnsi="Verdana"/>
          <w:sz w:val="20"/>
          <w:szCs w:val="20"/>
        </w:rPr>
        <w:t xml:space="preserve">. </w:t>
      </w:r>
      <w:r w:rsidR="002E6AD1" w:rsidRPr="00744CE4">
        <w:rPr>
          <w:rFonts w:ascii="Verdana" w:hAnsi="Verdana"/>
          <w:sz w:val="20"/>
          <w:szCs w:val="20"/>
        </w:rPr>
        <w:t>Por su parte</w:t>
      </w:r>
      <w:r w:rsidRPr="00432ABC">
        <w:rPr>
          <w:rFonts w:ascii="Verdana" w:hAnsi="Verdana"/>
          <w:sz w:val="20"/>
          <w:szCs w:val="20"/>
        </w:rPr>
        <w:t>,</w:t>
      </w:r>
      <w:r w:rsidR="00653878" w:rsidRPr="00432ABC">
        <w:rPr>
          <w:rFonts w:ascii="Verdana" w:hAnsi="Verdana"/>
          <w:sz w:val="20"/>
          <w:szCs w:val="20"/>
        </w:rPr>
        <w:t xml:space="preserve"> </w:t>
      </w:r>
      <w:r w:rsidRPr="00432ABC">
        <w:rPr>
          <w:rFonts w:ascii="Verdana" w:hAnsi="Verdana"/>
          <w:sz w:val="20"/>
          <w:szCs w:val="20"/>
        </w:rPr>
        <w:t>en 2012 el Comité contra la Tortura de la ONU refrendó expresamente dichas conclusiones del GTDFI y de igual forma mostró su preocupación por “el aumento progresivo de</w:t>
      </w:r>
      <w:r w:rsidRPr="002C462C">
        <w:rPr>
          <w:rFonts w:ascii="Verdana" w:hAnsi="Verdana"/>
          <w:sz w:val="20"/>
          <w:szCs w:val="20"/>
        </w:rPr>
        <w:t>l número de desapariciones forzadas presuntamente cometidas por autoridades públicas o grupos criminales o particulares que actuarían con el apoyo directo o indirecto de agentes del Estado, en estados como Coahuila, Guerrero, Chihuahua, Nuevo León y Tamauli</w:t>
      </w:r>
      <w:r w:rsidRPr="00744CE4">
        <w:rPr>
          <w:rFonts w:ascii="Verdana" w:hAnsi="Verdana"/>
          <w:sz w:val="20"/>
          <w:szCs w:val="20"/>
        </w:rPr>
        <w:t>pas”</w:t>
      </w:r>
      <w:r w:rsidRPr="00744CE4">
        <w:rPr>
          <w:rFonts w:ascii="Verdana" w:hAnsi="Verdana"/>
          <w:sz w:val="20"/>
          <w:szCs w:val="20"/>
          <w:vertAlign w:val="superscript"/>
        </w:rPr>
        <w:footnoteReference w:id="77"/>
      </w:r>
      <w:r w:rsidRPr="00744CE4">
        <w:rPr>
          <w:rFonts w:ascii="Verdana" w:hAnsi="Verdana"/>
          <w:sz w:val="20"/>
          <w:szCs w:val="20"/>
        </w:rPr>
        <w:t>.</w:t>
      </w:r>
      <w:r w:rsidR="002E6AD1" w:rsidRPr="00744CE4">
        <w:rPr>
          <w:rFonts w:ascii="Verdana" w:hAnsi="Verdana"/>
          <w:sz w:val="20"/>
          <w:szCs w:val="20"/>
        </w:rPr>
        <w:t xml:space="preserve"> </w:t>
      </w:r>
      <w:r w:rsidR="002E6AD1" w:rsidRPr="00432ABC">
        <w:rPr>
          <w:rFonts w:ascii="Verdana" w:hAnsi="Verdana"/>
          <w:sz w:val="20"/>
          <w:szCs w:val="20"/>
        </w:rPr>
        <w:t xml:space="preserve">En este sentido, </w:t>
      </w:r>
      <w:r w:rsidR="00E9724A" w:rsidRPr="00432ABC">
        <w:rPr>
          <w:rFonts w:ascii="Verdana" w:hAnsi="Verdana"/>
          <w:sz w:val="20"/>
          <w:szCs w:val="20"/>
        </w:rPr>
        <w:t xml:space="preserve">en 2015 el Alto Comisionado de la ONU señaló que </w:t>
      </w:r>
      <w:r w:rsidR="002E6AD1" w:rsidRPr="00432ABC">
        <w:rPr>
          <w:rFonts w:ascii="Verdana" w:hAnsi="Verdana"/>
          <w:sz w:val="20"/>
          <w:szCs w:val="20"/>
        </w:rPr>
        <w:t>en dicho contexto “[…] [p]arte de la violencia puede ser atribuida a los poderosos y despiadados grupos del crimen organizado […]</w:t>
      </w:r>
      <w:r w:rsidR="00220312">
        <w:rPr>
          <w:rFonts w:ascii="Verdana" w:hAnsi="Verdana"/>
          <w:sz w:val="20"/>
          <w:szCs w:val="20"/>
        </w:rPr>
        <w:t>.</w:t>
      </w:r>
      <w:r w:rsidR="002E6AD1" w:rsidRPr="00432ABC">
        <w:rPr>
          <w:rFonts w:ascii="Verdana" w:hAnsi="Verdana"/>
          <w:sz w:val="20"/>
          <w:szCs w:val="20"/>
        </w:rPr>
        <w:t xml:space="preserve"> Sin embargo, muchas desapariciones forzadas, actos d</w:t>
      </w:r>
      <w:r w:rsidR="002E6AD1" w:rsidRPr="002C462C">
        <w:rPr>
          <w:rFonts w:ascii="Verdana" w:hAnsi="Verdana"/>
          <w:sz w:val="20"/>
          <w:szCs w:val="20"/>
        </w:rPr>
        <w:t>e tortura y ejecuciones extrajudiciales presuntamente han sido llevadas a cabo por autoridades federales, estatales y municipales, incluyendo la policía y algunas partes del Ejército, ya sea actuando por sus propios intereses o en colusión con grupos del cr</w:t>
      </w:r>
      <w:r w:rsidR="002E6AD1" w:rsidRPr="00744CE4">
        <w:rPr>
          <w:rFonts w:ascii="Verdana" w:hAnsi="Verdana"/>
          <w:sz w:val="20"/>
          <w:szCs w:val="20"/>
        </w:rPr>
        <w:t>imen organizado […]”</w:t>
      </w:r>
      <w:r w:rsidR="002E6AD1" w:rsidRPr="00744CE4">
        <w:rPr>
          <w:rStyle w:val="Refdenotaalpie"/>
          <w:rFonts w:ascii="Verdana" w:hAnsi="Verdana"/>
          <w:sz w:val="20"/>
          <w:szCs w:val="20"/>
        </w:rPr>
        <w:footnoteReference w:id="78"/>
      </w:r>
      <w:r w:rsidR="002E6AD1" w:rsidRPr="00744CE4">
        <w:rPr>
          <w:rFonts w:ascii="Verdana" w:hAnsi="Verdana"/>
          <w:sz w:val="20"/>
          <w:szCs w:val="20"/>
        </w:rPr>
        <w:t>.</w:t>
      </w:r>
    </w:p>
    <w:p w14:paraId="64AA5E1F" w14:textId="45AB768B" w:rsidR="002E1C85" w:rsidRPr="00432ABC" w:rsidRDefault="002E1C85"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Por su parte, a nivel interno la CNDH ha dado cuenta, en múltiples informes anuales</w:t>
      </w:r>
      <w:r w:rsidR="007A0804" w:rsidRPr="00744CE4">
        <w:rPr>
          <w:rFonts w:ascii="Verdana" w:hAnsi="Verdana"/>
          <w:sz w:val="20"/>
          <w:szCs w:val="20"/>
          <w:vertAlign w:val="superscript"/>
        </w:rPr>
        <w:footnoteReference w:id="79"/>
      </w:r>
      <w:r w:rsidR="007A0804" w:rsidRPr="00744CE4">
        <w:rPr>
          <w:rFonts w:ascii="Verdana" w:hAnsi="Verdana"/>
          <w:sz w:val="20"/>
          <w:szCs w:val="20"/>
        </w:rPr>
        <w:t>,</w:t>
      </w:r>
      <w:r w:rsidR="00E9724A" w:rsidRPr="00744CE4">
        <w:rPr>
          <w:rFonts w:ascii="Verdana" w:hAnsi="Verdana"/>
          <w:sz w:val="20"/>
          <w:szCs w:val="20"/>
        </w:rPr>
        <w:t xml:space="preserve"> en un informe especial</w:t>
      </w:r>
      <w:r w:rsidR="00E9724A" w:rsidRPr="00744CE4">
        <w:rPr>
          <w:rFonts w:ascii="Verdana" w:hAnsi="Verdana"/>
          <w:sz w:val="20"/>
          <w:szCs w:val="20"/>
          <w:vertAlign w:val="superscript"/>
        </w:rPr>
        <w:footnoteReference w:id="80"/>
      </w:r>
      <w:r w:rsidR="00E9724A" w:rsidRPr="00744CE4">
        <w:rPr>
          <w:rFonts w:ascii="Verdana" w:hAnsi="Verdana"/>
          <w:sz w:val="20"/>
          <w:szCs w:val="20"/>
        </w:rPr>
        <w:t xml:space="preserve">, así como en </w:t>
      </w:r>
      <w:r w:rsidR="007A0804" w:rsidRPr="00744CE4">
        <w:rPr>
          <w:rFonts w:ascii="Verdana" w:hAnsi="Verdana"/>
          <w:sz w:val="20"/>
          <w:szCs w:val="20"/>
        </w:rPr>
        <w:t xml:space="preserve">un informe </w:t>
      </w:r>
      <w:r w:rsidR="00E9724A" w:rsidRPr="00432ABC">
        <w:rPr>
          <w:rFonts w:ascii="Verdana" w:hAnsi="Verdana"/>
          <w:sz w:val="20"/>
          <w:szCs w:val="20"/>
        </w:rPr>
        <w:t>dirigido</w:t>
      </w:r>
      <w:r w:rsidR="007A0804" w:rsidRPr="00432ABC">
        <w:rPr>
          <w:rFonts w:ascii="Verdana" w:hAnsi="Verdana"/>
          <w:sz w:val="20"/>
          <w:szCs w:val="20"/>
        </w:rPr>
        <w:t xml:space="preserve"> </w:t>
      </w:r>
      <w:r w:rsidR="00E9724A" w:rsidRPr="00432ABC">
        <w:rPr>
          <w:rFonts w:ascii="Verdana" w:hAnsi="Verdana"/>
          <w:sz w:val="20"/>
          <w:szCs w:val="20"/>
        </w:rPr>
        <w:t>a</w:t>
      </w:r>
      <w:r w:rsidR="007A0804" w:rsidRPr="00432ABC">
        <w:rPr>
          <w:rFonts w:ascii="Verdana" w:hAnsi="Verdana"/>
          <w:sz w:val="20"/>
          <w:szCs w:val="20"/>
        </w:rPr>
        <w:t>l Comité contra las Desapariciones Forzadas de la ONU</w:t>
      </w:r>
      <w:r w:rsidR="007A0804" w:rsidRPr="00744CE4">
        <w:rPr>
          <w:rStyle w:val="Refdenotaalpie"/>
          <w:rFonts w:ascii="Verdana" w:hAnsi="Verdana"/>
          <w:sz w:val="20"/>
          <w:szCs w:val="20"/>
        </w:rPr>
        <w:footnoteReference w:id="81"/>
      </w:r>
      <w:r w:rsidRPr="00744CE4">
        <w:rPr>
          <w:rFonts w:ascii="Verdana" w:hAnsi="Verdana"/>
          <w:sz w:val="20"/>
          <w:szCs w:val="20"/>
        </w:rPr>
        <w:t xml:space="preserve">, de la existencia de dicho contexto generalizado de desapariciones de personas y de la gravedad de </w:t>
      </w:r>
      <w:r w:rsidRPr="00432ABC">
        <w:rPr>
          <w:rFonts w:ascii="Verdana" w:hAnsi="Verdana"/>
          <w:sz w:val="20"/>
          <w:szCs w:val="20"/>
        </w:rPr>
        <w:t>esta problemática asociada al escenario de violencia que enfrenta México, particularmente desde el año 2007 hasta la actualidad. En este sentido, en 2017 la CNDH concluyó la existencia de 29,903 casos de desapariciones registrados desde 2007 hasta octubre de 2016 en las bases de datos oficiales, de los cuales el 82.71% se concentraron en 11 entidades del país, ocupando el estado de Chihuahua el sexto lugar por el mayor número de ellos</w:t>
      </w:r>
      <w:r w:rsidR="00AD0039" w:rsidRPr="00432ABC">
        <w:rPr>
          <w:rFonts w:ascii="Verdana" w:hAnsi="Verdana"/>
          <w:sz w:val="20"/>
          <w:szCs w:val="20"/>
        </w:rPr>
        <w:t>,</w:t>
      </w:r>
      <w:r w:rsidR="00AD0039" w:rsidRPr="00432ABC">
        <w:rPr>
          <w:rFonts w:ascii="Verdana" w:hAnsi="Verdana" w:cs="Cambria"/>
          <w:sz w:val="20"/>
          <w:szCs w:val="20"/>
        </w:rPr>
        <w:t xml:space="preserve"> con 1,933 personas desaparecidas</w:t>
      </w:r>
      <w:r w:rsidRPr="00744CE4">
        <w:rPr>
          <w:rFonts w:ascii="Verdana" w:hAnsi="Verdana"/>
          <w:sz w:val="20"/>
          <w:szCs w:val="20"/>
          <w:vertAlign w:val="superscript"/>
        </w:rPr>
        <w:footnoteReference w:id="82"/>
      </w:r>
      <w:r w:rsidRPr="00744CE4">
        <w:rPr>
          <w:rFonts w:ascii="Verdana" w:hAnsi="Verdana"/>
          <w:sz w:val="20"/>
          <w:szCs w:val="20"/>
        </w:rPr>
        <w:t xml:space="preserve">. </w:t>
      </w:r>
    </w:p>
    <w:p w14:paraId="64AA5E21" w14:textId="789B02CB" w:rsidR="002E1C85" w:rsidRPr="00744CE4" w:rsidRDefault="002E1C85"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La CNDH también señaló que hasta 2015 habría recibido información sobre 260 denuncias por el delito de desaparición forzada de personas</w:t>
      </w:r>
      <w:r w:rsidRPr="00744CE4">
        <w:rPr>
          <w:rFonts w:ascii="Verdana" w:hAnsi="Verdana"/>
          <w:sz w:val="20"/>
          <w:szCs w:val="20"/>
          <w:vertAlign w:val="superscript"/>
        </w:rPr>
        <w:footnoteReference w:id="83"/>
      </w:r>
      <w:r w:rsidRPr="00744CE4">
        <w:rPr>
          <w:rFonts w:ascii="Verdana" w:hAnsi="Verdana"/>
          <w:sz w:val="20"/>
          <w:szCs w:val="20"/>
        </w:rPr>
        <w:t xml:space="preserve">. No obstante, reiteró su preocupación por el </w:t>
      </w:r>
      <w:r w:rsidRPr="00744CE4">
        <w:rPr>
          <w:rFonts w:ascii="Verdana" w:hAnsi="Verdana"/>
          <w:sz w:val="20"/>
          <w:szCs w:val="20"/>
        </w:rPr>
        <w:lastRenderedPageBreak/>
        <w:t>desconocimiento del paradero de las miles de personas desaparecidas en México y destacó que las inconsistencias y deficiencias de la información oficial disponible al respecto han sido un impedimento para dimensionar adecuadamente la magnitud de este problema y determinar con precisión “cuántos de e</w:t>
      </w:r>
      <w:r w:rsidRPr="00432ABC">
        <w:rPr>
          <w:rFonts w:ascii="Verdana" w:hAnsi="Verdana"/>
          <w:sz w:val="20"/>
          <w:szCs w:val="20"/>
        </w:rPr>
        <w:t>sos casos corresponden a desaparición forzada de personas, cuáles son imputables a sujetos vinculados con la delincuencia organizada y el número de víctimas cuyos hechos que propiciaron su ausencia responden a otras causas diferentes a las señaladas”</w:t>
      </w:r>
      <w:r w:rsidRPr="00744CE4">
        <w:rPr>
          <w:rStyle w:val="Refdenotaalpie"/>
          <w:rFonts w:ascii="Verdana" w:hAnsi="Verdana"/>
          <w:sz w:val="20"/>
          <w:szCs w:val="20"/>
        </w:rPr>
        <w:footnoteReference w:id="84"/>
      </w:r>
      <w:r w:rsidRPr="00744CE4">
        <w:rPr>
          <w:rFonts w:ascii="Verdana" w:hAnsi="Verdana"/>
          <w:sz w:val="20"/>
          <w:szCs w:val="20"/>
        </w:rPr>
        <w:t xml:space="preserve">. </w:t>
      </w:r>
    </w:p>
    <w:p w14:paraId="64AA5E23" w14:textId="7C5D8A33" w:rsidR="002E1C85" w:rsidRPr="00DB378B" w:rsidRDefault="002E1C85" w:rsidP="00432ABC">
      <w:pPr>
        <w:pStyle w:val="Ttulo4"/>
        <w:numPr>
          <w:ilvl w:val="0"/>
          <w:numId w:val="27"/>
        </w:numPr>
        <w:spacing w:before="120" w:after="120"/>
        <w:contextualSpacing w:val="0"/>
        <w:rPr>
          <w:rStyle w:val="nfasissutil"/>
          <w:sz w:val="22"/>
          <w:szCs w:val="22"/>
          <w:u w:val="none"/>
        </w:rPr>
      </w:pPr>
      <w:bookmarkStart w:id="114" w:name="_Toc532995331"/>
      <w:r w:rsidRPr="00432ABC">
        <w:rPr>
          <w:rStyle w:val="nfasissutil"/>
          <w:u w:val="none"/>
        </w:rPr>
        <w:t>La respuesta judicial en los casos de desapariciones atribuibles a agentes estatales</w:t>
      </w:r>
      <w:bookmarkEnd w:id="114"/>
      <w:r w:rsidRPr="00432ABC">
        <w:rPr>
          <w:rStyle w:val="nfasissutil"/>
          <w:u w:val="none"/>
        </w:rPr>
        <w:t xml:space="preserve"> </w:t>
      </w:r>
    </w:p>
    <w:p w14:paraId="657ED584" w14:textId="5EC31FA1" w:rsidR="00AD0039" w:rsidRPr="003564A3" w:rsidRDefault="00AD0039"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heme="minorHAnsi" w:hAnsi="Verdana" w:cs="Cambria"/>
          <w:strike/>
          <w:sz w:val="20"/>
          <w:szCs w:val="20"/>
        </w:rPr>
      </w:pPr>
      <w:r w:rsidRPr="00744CE4">
        <w:rPr>
          <w:rFonts w:ascii="Verdana" w:eastAsiaTheme="minorHAnsi" w:hAnsi="Verdana" w:cs="Cambria"/>
          <w:sz w:val="20"/>
          <w:szCs w:val="20"/>
        </w:rPr>
        <w:t>La Corte nota que la Oficina del Alto Comisionado para los Derechos Humanos</w:t>
      </w:r>
      <w:r w:rsidRPr="00744CE4">
        <w:rPr>
          <w:rStyle w:val="Refdenotaalpie"/>
          <w:rFonts w:ascii="Verdana" w:eastAsiaTheme="minorHAnsi" w:hAnsi="Verdana" w:cs="Cambria"/>
          <w:sz w:val="20"/>
          <w:szCs w:val="20"/>
        </w:rPr>
        <w:footnoteReference w:id="85"/>
      </w:r>
      <w:r w:rsidRPr="00744CE4">
        <w:rPr>
          <w:rFonts w:ascii="Verdana" w:eastAsiaTheme="minorHAnsi" w:hAnsi="Verdana" w:cs="Cambria"/>
          <w:sz w:val="20"/>
          <w:szCs w:val="20"/>
        </w:rPr>
        <w:t xml:space="preserve"> y diversos Comités</w:t>
      </w:r>
      <w:r w:rsidRPr="00744CE4">
        <w:rPr>
          <w:rStyle w:val="Refdenotaalpie"/>
          <w:rFonts w:ascii="Verdana" w:eastAsiaTheme="minorHAnsi" w:hAnsi="Verdana" w:cs="Cambria"/>
          <w:sz w:val="20"/>
          <w:szCs w:val="20"/>
        </w:rPr>
        <w:footnoteReference w:id="86"/>
      </w:r>
      <w:r w:rsidRPr="00744CE4">
        <w:rPr>
          <w:rFonts w:ascii="Verdana" w:eastAsiaTheme="minorHAnsi" w:hAnsi="Verdana" w:cs="Cambria"/>
          <w:sz w:val="20"/>
          <w:szCs w:val="20"/>
        </w:rPr>
        <w:t xml:space="preserve"> y procedimientos especiales de la ONU</w:t>
      </w:r>
      <w:r w:rsidRPr="00744CE4">
        <w:rPr>
          <w:rStyle w:val="Refdenotaalpie"/>
          <w:rFonts w:ascii="Verdana" w:eastAsiaTheme="minorHAnsi" w:hAnsi="Verdana" w:cs="Cambria"/>
          <w:sz w:val="20"/>
          <w:szCs w:val="20"/>
        </w:rPr>
        <w:footnoteReference w:id="87"/>
      </w:r>
      <w:r w:rsidRPr="00744CE4">
        <w:rPr>
          <w:rFonts w:ascii="Verdana" w:eastAsiaTheme="minorHAnsi" w:hAnsi="Verdana" w:cs="Cambria"/>
          <w:sz w:val="20"/>
          <w:szCs w:val="20"/>
        </w:rPr>
        <w:t>, han se</w:t>
      </w:r>
      <w:r w:rsidRPr="00432ABC">
        <w:rPr>
          <w:rFonts w:ascii="Verdana" w:eastAsiaTheme="minorHAnsi" w:hAnsi="Verdana" w:cs="Cambria"/>
          <w:sz w:val="20"/>
          <w:szCs w:val="20"/>
        </w:rPr>
        <w:t>ñalado la existencia en México de un patrón estructural y generalizado de impunidad y la falta de acceso a la justicia y reparación para las víctimas de delitos en general, y en particular en los casos de graves violaciones en</w:t>
      </w:r>
      <w:r w:rsidR="008B428C">
        <w:rPr>
          <w:rFonts w:ascii="Verdana" w:eastAsiaTheme="minorHAnsi" w:hAnsi="Verdana" w:cs="Cambria"/>
          <w:sz w:val="20"/>
          <w:szCs w:val="20"/>
        </w:rPr>
        <w:t xml:space="preserve"> las</w:t>
      </w:r>
      <w:r w:rsidRPr="00432ABC">
        <w:rPr>
          <w:rFonts w:ascii="Verdana" w:eastAsiaTheme="minorHAnsi" w:hAnsi="Verdana" w:cs="Cambria"/>
          <w:sz w:val="20"/>
          <w:szCs w:val="20"/>
        </w:rPr>
        <w:t xml:space="preserve"> cuales se presume la participación de agentes estatales a nivel federal y local. </w:t>
      </w:r>
    </w:p>
    <w:p w14:paraId="64AA5E27" w14:textId="1430C0A5" w:rsidR="002E1C85" w:rsidRPr="00432ABC" w:rsidRDefault="00AD0039" w:rsidP="00432ABC">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eastAsiaTheme="minorHAnsi" w:hAnsi="Verdana" w:cs="Cambria"/>
          <w:sz w:val="20"/>
          <w:szCs w:val="20"/>
        </w:rPr>
      </w:pPr>
      <w:r w:rsidRPr="00432ABC">
        <w:rPr>
          <w:rFonts w:ascii="Verdana" w:eastAsiaTheme="minorHAnsi" w:hAnsi="Verdana" w:cs="Cambria"/>
          <w:sz w:val="20"/>
          <w:szCs w:val="20"/>
        </w:rPr>
        <w:t>En cuanto a las falencias en las investigaciones y ausencia de respuesta judicial y reparación en los casos de desapariciones forzadas, el GTDFI</w:t>
      </w:r>
      <w:r w:rsidR="008B428C">
        <w:rPr>
          <w:rFonts w:ascii="Verdana" w:eastAsiaTheme="minorHAnsi" w:hAnsi="Verdana" w:cs="Cambria"/>
          <w:sz w:val="20"/>
          <w:szCs w:val="20"/>
        </w:rPr>
        <w:t>,</w:t>
      </w:r>
      <w:r w:rsidRPr="00432ABC">
        <w:rPr>
          <w:rFonts w:ascii="Verdana" w:eastAsiaTheme="minorHAnsi" w:hAnsi="Verdana" w:cs="Cambria"/>
          <w:sz w:val="20"/>
          <w:szCs w:val="20"/>
        </w:rPr>
        <w:t xml:space="preserve"> </w:t>
      </w:r>
      <w:r w:rsidRPr="002C462C">
        <w:rPr>
          <w:rFonts w:ascii="Verdana" w:eastAsiaTheme="minorHAnsi" w:hAnsi="Verdana" w:cs="Cambria"/>
          <w:bCs/>
          <w:sz w:val="20"/>
          <w:szCs w:val="20"/>
        </w:rPr>
        <w:t>tras su misión a México en 2011</w:t>
      </w:r>
      <w:r w:rsidR="008B428C">
        <w:rPr>
          <w:rFonts w:ascii="Verdana" w:eastAsiaTheme="minorHAnsi" w:hAnsi="Verdana" w:cs="Cambria"/>
          <w:bCs/>
          <w:sz w:val="20"/>
          <w:szCs w:val="20"/>
        </w:rPr>
        <w:t>,</w:t>
      </w:r>
      <w:r w:rsidRPr="002C462C">
        <w:rPr>
          <w:rFonts w:ascii="Verdana" w:eastAsiaTheme="minorHAnsi" w:hAnsi="Verdana" w:cs="Cambria"/>
          <w:bCs/>
          <w:sz w:val="20"/>
          <w:szCs w:val="20"/>
        </w:rPr>
        <w:t xml:space="preserve"> señaló la existencia de un patrón crónico de impunidad y la falta de confianza de las víctimas </w:t>
      </w:r>
      <w:r w:rsidRPr="00744CE4">
        <w:rPr>
          <w:rFonts w:ascii="Verdana" w:eastAsiaTheme="minorHAnsi" w:hAnsi="Verdana" w:cs="Cambria"/>
          <w:sz w:val="20"/>
          <w:szCs w:val="20"/>
        </w:rPr>
        <w:t xml:space="preserve">de desaparición forzada en el sistema de justicia y </w:t>
      </w:r>
      <w:r w:rsidRPr="00744CE4">
        <w:rPr>
          <w:rFonts w:ascii="Verdana" w:eastAsiaTheme="minorHAnsi" w:hAnsi="Verdana" w:cs="Cambria"/>
          <w:bCs/>
          <w:sz w:val="20"/>
          <w:szCs w:val="20"/>
        </w:rPr>
        <w:t>en las autoridades, incluyendo las Fuerzas Armadas</w:t>
      </w:r>
      <w:r w:rsidR="00504CF1">
        <w:rPr>
          <w:rFonts w:ascii="Verdana" w:eastAsiaTheme="minorHAnsi" w:hAnsi="Verdana" w:cs="Cambria"/>
          <w:bCs/>
          <w:sz w:val="20"/>
          <w:szCs w:val="20"/>
        </w:rPr>
        <w:t>,</w:t>
      </w:r>
      <w:r w:rsidRPr="00744CE4">
        <w:rPr>
          <w:rFonts w:ascii="Verdana" w:eastAsiaTheme="minorHAnsi" w:hAnsi="Verdana" w:cs="Cambria"/>
          <w:bCs/>
          <w:sz w:val="20"/>
          <w:szCs w:val="20"/>
        </w:rPr>
        <w:t xml:space="preserve"> donde no se estarían realizando los esfuerzos suficientes para determinar la suerte o el paradero de las personas desaparecidas, sancionar a los responsables y garantizar el derecho a la verdad y la reparación</w:t>
      </w:r>
      <w:r w:rsidR="00504CF1">
        <w:rPr>
          <w:rFonts w:ascii="Verdana" w:eastAsiaTheme="minorHAnsi" w:hAnsi="Verdana" w:cs="Cambria"/>
          <w:bCs/>
          <w:sz w:val="20"/>
          <w:szCs w:val="20"/>
        </w:rPr>
        <w:t>;</w:t>
      </w:r>
      <w:r w:rsidRPr="00744CE4">
        <w:rPr>
          <w:rFonts w:ascii="Verdana" w:eastAsiaTheme="minorHAnsi" w:hAnsi="Verdana" w:cs="Cambria"/>
          <w:bCs/>
          <w:sz w:val="20"/>
          <w:szCs w:val="20"/>
        </w:rPr>
        <w:t xml:space="preserve"> lo cual, a su parecer, era manifestación de la falta de voluntad o incapacidad estatal para realizar </w:t>
      </w:r>
      <w:r w:rsidRPr="00744CE4">
        <w:rPr>
          <w:rFonts w:ascii="Verdana" w:eastAsiaTheme="minorHAnsi" w:hAnsi="Verdana" w:cs="Cambria"/>
          <w:sz w:val="20"/>
          <w:szCs w:val="20"/>
        </w:rPr>
        <w:t>investigaciones efectivas en tales casos</w:t>
      </w:r>
      <w:r w:rsidRPr="00744CE4">
        <w:rPr>
          <w:rFonts w:ascii="Verdana" w:hAnsi="Verdana"/>
          <w:sz w:val="20"/>
          <w:szCs w:val="20"/>
          <w:vertAlign w:val="superscript"/>
        </w:rPr>
        <w:footnoteReference w:id="88"/>
      </w:r>
      <w:r w:rsidRPr="00744CE4">
        <w:rPr>
          <w:rFonts w:ascii="Verdana" w:eastAsiaTheme="minorHAnsi" w:hAnsi="Verdana" w:cs="Cambria"/>
          <w:sz w:val="20"/>
          <w:szCs w:val="20"/>
        </w:rPr>
        <w:t>.</w:t>
      </w:r>
      <w:r w:rsidRPr="00744CE4">
        <w:rPr>
          <w:rFonts w:ascii="Verdana" w:eastAsiaTheme="minorHAnsi" w:hAnsi="Verdana" w:cs="Times New Roman"/>
          <w:sz w:val="20"/>
          <w:szCs w:val="20"/>
        </w:rPr>
        <w:t xml:space="preserve"> </w:t>
      </w:r>
      <w:r w:rsidRPr="00432ABC">
        <w:rPr>
          <w:rFonts w:ascii="Verdana" w:eastAsiaTheme="minorHAnsi" w:hAnsi="Verdana" w:cs="Times New Roman"/>
          <w:sz w:val="20"/>
          <w:szCs w:val="20"/>
        </w:rPr>
        <w:t>E</w:t>
      </w:r>
      <w:r w:rsidRPr="00432ABC">
        <w:rPr>
          <w:rFonts w:ascii="Verdana" w:eastAsiaTheme="minorHAnsi" w:hAnsi="Verdana" w:cs="Cambria"/>
          <w:sz w:val="20"/>
          <w:szCs w:val="20"/>
        </w:rPr>
        <w:t xml:space="preserve">n 2015 el GTDFI </w:t>
      </w:r>
      <w:r w:rsidRPr="00432ABC">
        <w:rPr>
          <w:rFonts w:ascii="Verdana" w:eastAsiaTheme="minorHAnsi" w:hAnsi="Verdana" w:cs="Times New Roman"/>
          <w:sz w:val="20"/>
          <w:szCs w:val="20"/>
        </w:rPr>
        <w:t xml:space="preserve">reiteró sus conclusiones </w:t>
      </w:r>
      <w:r w:rsidRPr="00432ABC">
        <w:rPr>
          <w:rFonts w:ascii="Verdana" w:eastAsiaTheme="minorHAnsi" w:hAnsi="Verdana" w:cs="Times New Roman"/>
          <w:sz w:val="20"/>
          <w:szCs w:val="20"/>
        </w:rPr>
        <w:lastRenderedPageBreak/>
        <w:t>en cuanto a que la impunidad generalizada en México perduraba como patrón crónico y era un factor que propiciaba la reiterada perpetración de las desapariciones forzadas”</w:t>
      </w:r>
      <w:r w:rsidRPr="00744CE4">
        <w:rPr>
          <w:rFonts w:ascii="Verdana" w:hAnsi="Verdana" w:cs="Times New Roman"/>
          <w:sz w:val="20"/>
          <w:szCs w:val="20"/>
          <w:vertAlign w:val="superscript"/>
        </w:rPr>
        <w:footnoteReference w:id="89"/>
      </w:r>
      <w:r w:rsidRPr="00744CE4">
        <w:rPr>
          <w:rFonts w:ascii="Verdana" w:eastAsiaTheme="minorHAnsi" w:hAnsi="Verdana" w:cs="Times New Roman"/>
          <w:sz w:val="20"/>
          <w:szCs w:val="20"/>
        </w:rPr>
        <w:t xml:space="preserve">, mientras que el </w:t>
      </w:r>
      <w:r w:rsidRPr="00744CE4">
        <w:rPr>
          <w:rFonts w:ascii="Verdana" w:eastAsiaTheme="minorHAnsi" w:hAnsi="Verdana" w:cs="Cambria"/>
          <w:sz w:val="20"/>
          <w:szCs w:val="20"/>
        </w:rPr>
        <w:t>Comité contra la De</w:t>
      </w:r>
      <w:r w:rsidRPr="00432ABC">
        <w:rPr>
          <w:rFonts w:ascii="Verdana" w:eastAsiaTheme="minorHAnsi" w:hAnsi="Verdana" w:cs="Cambria"/>
          <w:sz w:val="20"/>
          <w:szCs w:val="20"/>
        </w:rPr>
        <w:t>saparición Forzada de la ONU manifestó su preocupación por la impunidad respecto de los casos denunciados por desaparición forzada, “que se expres[ó] en la casi inexistencia de condenas por este delito”</w:t>
      </w:r>
      <w:r w:rsidRPr="00744CE4">
        <w:rPr>
          <w:rStyle w:val="Refdenotaalpie"/>
          <w:rFonts w:ascii="Verdana" w:eastAsiaTheme="minorHAnsi" w:hAnsi="Verdana" w:cs="Cambria"/>
          <w:sz w:val="20"/>
          <w:szCs w:val="20"/>
        </w:rPr>
        <w:footnoteReference w:id="90"/>
      </w:r>
      <w:r w:rsidRPr="00744CE4">
        <w:rPr>
          <w:rFonts w:ascii="Verdana" w:eastAsiaTheme="minorHAnsi" w:hAnsi="Verdana"/>
          <w:sz w:val="20"/>
          <w:szCs w:val="20"/>
        </w:rPr>
        <w:t>.</w:t>
      </w:r>
      <w:r w:rsidR="002E1C85" w:rsidRPr="00744CE4">
        <w:rPr>
          <w:rFonts w:ascii="Verdana" w:eastAsiaTheme="minorHAnsi" w:hAnsi="Verdana"/>
          <w:sz w:val="20"/>
          <w:szCs w:val="20"/>
        </w:rPr>
        <w:t xml:space="preserve"> </w:t>
      </w:r>
    </w:p>
    <w:p w14:paraId="64AA5E29" w14:textId="613194AE" w:rsidR="002E1C85" w:rsidRPr="00DB378B" w:rsidRDefault="00C27C14" w:rsidP="00432ABC">
      <w:pPr>
        <w:pStyle w:val="Ttulo4"/>
        <w:numPr>
          <w:ilvl w:val="0"/>
          <w:numId w:val="27"/>
        </w:numPr>
        <w:spacing w:before="120" w:after="120"/>
        <w:contextualSpacing w:val="0"/>
        <w:rPr>
          <w:rStyle w:val="nfasissutil"/>
          <w:sz w:val="22"/>
          <w:szCs w:val="22"/>
          <w:u w:val="none"/>
        </w:rPr>
      </w:pPr>
      <w:r w:rsidRPr="00432ABC">
        <w:rPr>
          <w:rStyle w:val="nfasissutil"/>
          <w:u w:val="none"/>
        </w:rPr>
        <w:t xml:space="preserve"> </w:t>
      </w:r>
      <w:bookmarkStart w:id="115" w:name="_Toc532995332"/>
      <w:r w:rsidR="002E1C85" w:rsidRPr="00432ABC">
        <w:rPr>
          <w:rStyle w:val="nfasissutil"/>
          <w:u w:val="none"/>
        </w:rPr>
        <w:t>La situación de violencia e inseguridad en la región donde ocurrieron los hechos y la implementación del Operativo Conjunto Chihuahua</w:t>
      </w:r>
      <w:bookmarkEnd w:id="115"/>
      <w:r w:rsidR="002E1C85" w:rsidRPr="00432ABC">
        <w:rPr>
          <w:rStyle w:val="nfasissutil"/>
          <w:u w:val="none"/>
        </w:rPr>
        <w:t xml:space="preserve"> </w:t>
      </w:r>
    </w:p>
    <w:p w14:paraId="64AA5E2B" w14:textId="66A9EF3A" w:rsidR="002E1C85" w:rsidRPr="00744CE4" w:rsidRDefault="002E1C85" w:rsidP="002C462C">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744CE4">
        <w:rPr>
          <w:rFonts w:ascii="Verdana" w:hAnsi="Verdana"/>
          <w:sz w:val="20"/>
          <w:szCs w:val="20"/>
        </w:rPr>
        <w:t>Los hechos del presente caso tuvieron lugar en el Ejido Benito Juárez, el cual pertenece al municipio de Buenaventura y se localiza en la zona noroeste del Estado de Chihuahua, a su vez fronterizo con los Estados de Texas y Nuevo México en los Estados Unidos de América</w:t>
      </w:r>
      <w:r w:rsidRPr="00744CE4">
        <w:rPr>
          <w:rStyle w:val="Refdenotaalpie"/>
          <w:rFonts w:ascii="Verdana" w:hAnsi="Verdana"/>
          <w:sz w:val="20"/>
          <w:szCs w:val="20"/>
        </w:rPr>
        <w:footnoteReference w:id="91"/>
      </w:r>
      <w:r w:rsidRPr="00744CE4">
        <w:rPr>
          <w:rFonts w:ascii="Verdana" w:hAnsi="Verdana"/>
          <w:sz w:val="20"/>
          <w:szCs w:val="20"/>
        </w:rPr>
        <w:t>. El Ejido Benito Juárez surgió en 1936 a una distancia de 80 kilómetros de la cabecera municipal, Buenaventura, y a 200 kilómetros de la capital estatal, la ciudad de Chihuahua</w:t>
      </w:r>
      <w:r w:rsidRPr="00744CE4">
        <w:rPr>
          <w:rFonts w:ascii="Verdana" w:hAnsi="Verdana"/>
          <w:sz w:val="20"/>
          <w:szCs w:val="20"/>
          <w:vertAlign w:val="superscript"/>
        </w:rPr>
        <w:footnoteReference w:id="92"/>
      </w:r>
      <w:r w:rsidRPr="00744CE4">
        <w:rPr>
          <w:rFonts w:ascii="Verdana" w:hAnsi="Verdana"/>
          <w:sz w:val="20"/>
          <w:szCs w:val="20"/>
        </w:rPr>
        <w:t>. Como parte de dicha entidad, el Ejido Benito Juárez forma parte de una de las principales rutas para el trasiego de drogas, armas y objetos de contrabando, así como para el tránsito de personas migrantes que buscan ingresar de manera irregular desde México hacia dicho país</w:t>
      </w:r>
      <w:r w:rsidRPr="00744CE4">
        <w:rPr>
          <w:rFonts w:ascii="Verdana" w:hAnsi="Verdana"/>
          <w:sz w:val="20"/>
          <w:szCs w:val="20"/>
          <w:vertAlign w:val="superscript"/>
        </w:rPr>
        <w:footnoteReference w:id="93"/>
      </w:r>
      <w:r w:rsidRPr="00744CE4">
        <w:rPr>
          <w:rFonts w:ascii="Verdana" w:hAnsi="Verdana"/>
          <w:sz w:val="20"/>
          <w:szCs w:val="20"/>
        </w:rPr>
        <w:t>. La ubicación del Ejido Benito Juárez es paralela a la carretera Panamericana y se sitúa en los puntos de partida de las brechas hacia distintas poblaciones de la sierra para la recepción y reenvío de estupefacientes hacia los Estados Unidos, tales como Villa Ahumada y la propia cabecera municipal de Buenaventura, lo cual le permite constituir con estas localidades, entre otras, el corredor de drogas del noroeste chihuahuense</w:t>
      </w:r>
      <w:r w:rsidRPr="00744CE4">
        <w:rPr>
          <w:rFonts w:ascii="Verdana" w:hAnsi="Verdana"/>
          <w:sz w:val="20"/>
          <w:szCs w:val="20"/>
          <w:vertAlign w:val="superscript"/>
        </w:rPr>
        <w:footnoteReference w:id="94"/>
      </w:r>
      <w:r w:rsidRPr="00744CE4">
        <w:rPr>
          <w:rFonts w:ascii="Verdana" w:hAnsi="Verdana"/>
          <w:sz w:val="20"/>
          <w:szCs w:val="20"/>
        </w:rPr>
        <w:t>.</w:t>
      </w:r>
    </w:p>
    <w:p w14:paraId="64AA5E2D" w14:textId="2863F6A2" w:rsidR="002E1C85" w:rsidRPr="00744CE4" w:rsidRDefault="002E1C85" w:rsidP="002C462C">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Asimismo, dentro de la demarcación territorial asignada para el desarrollo de las operaciones militares del Ejército mexicano, el Ejido Benito Juárez se encuentra localizado en la delimitación correspondiente a la XI Región Militar “que abarca los [E]stados de Coahuila y Chihuahua y, dentro de ella, [se ubica] en el área correspondiente a la [Quinta] Zona Militar”, situada al norte del Estado de Chihuahua. En relación con dicha delimitación jurisdiccional castrense, la guarnición militar más cercana al Ejido Benito Juárez se sitúa en el munici</w:t>
      </w:r>
      <w:r w:rsidRPr="002C462C">
        <w:rPr>
          <w:rFonts w:ascii="Verdana" w:hAnsi="Verdana"/>
          <w:sz w:val="20"/>
          <w:szCs w:val="20"/>
        </w:rPr>
        <w:t xml:space="preserve">pio de Nuevo Casas Grandes, al noroeste de Buenaventura, en donde radica de manera permanente el 35 Batallón de Infantería del Ejército [en adelante, “el 35 Batallón de Infantería </w:t>
      </w:r>
      <w:r w:rsidR="007748CD" w:rsidRPr="00744CE4">
        <w:rPr>
          <w:rFonts w:ascii="Verdana" w:hAnsi="Verdana"/>
          <w:sz w:val="20"/>
          <w:szCs w:val="20"/>
        </w:rPr>
        <w:t>o</w:t>
      </w:r>
      <w:r w:rsidRPr="00744CE4">
        <w:rPr>
          <w:rFonts w:ascii="Verdana" w:hAnsi="Verdana"/>
          <w:sz w:val="20"/>
          <w:szCs w:val="20"/>
        </w:rPr>
        <w:t xml:space="preserve"> el 35 Batallón”]</w:t>
      </w:r>
      <w:r w:rsidRPr="00744CE4">
        <w:rPr>
          <w:rFonts w:ascii="Verdana" w:hAnsi="Verdana"/>
          <w:sz w:val="20"/>
          <w:szCs w:val="20"/>
          <w:vertAlign w:val="superscript"/>
        </w:rPr>
        <w:footnoteReference w:id="95"/>
      </w:r>
      <w:r w:rsidR="00E67720" w:rsidRPr="00744CE4">
        <w:rPr>
          <w:rFonts w:ascii="Verdana" w:hAnsi="Verdana"/>
          <w:sz w:val="20"/>
          <w:szCs w:val="20"/>
        </w:rPr>
        <w:t>.</w:t>
      </w:r>
    </w:p>
    <w:p w14:paraId="64AA5E2F" w14:textId="1DA5439A"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 xml:space="preserve">En este contexto, la estratégica ubicación geográfica del Ejido Benito Juárez se encuentra inserta en “un corredor natural para el tráfico de drogas” en el que también convergen una serie </w:t>
      </w:r>
      <w:r w:rsidRPr="00432ABC">
        <w:rPr>
          <w:rFonts w:ascii="Verdana" w:hAnsi="Verdana"/>
          <w:sz w:val="20"/>
          <w:szCs w:val="20"/>
        </w:rPr>
        <w:lastRenderedPageBreak/>
        <w:t>de factores geográficos</w:t>
      </w:r>
      <w:r w:rsidRPr="00744CE4">
        <w:rPr>
          <w:rStyle w:val="Refdenotaalpie"/>
          <w:rFonts w:ascii="Verdana" w:hAnsi="Verdana"/>
          <w:sz w:val="20"/>
          <w:szCs w:val="20"/>
        </w:rPr>
        <w:footnoteReference w:id="96"/>
      </w:r>
      <w:r w:rsidRPr="00744CE4">
        <w:rPr>
          <w:rFonts w:ascii="Verdana" w:hAnsi="Verdana"/>
          <w:sz w:val="20"/>
          <w:szCs w:val="20"/>
        </w:rPr>
        <w:t>, sociales, económicos y culturales</w:t>
      </w:r>
      <w:r w:rsidRPr="00744CE4">
        <w:rPr>
          <w:rFonts w:ascii="Verdana" w:hAnsi="Verdana"/>
          <w:sz w:val="20"/>
          <w:szCs w:val="20"/>
          <w:vertAlign w:val="superscript"/>
        </w:rPr>
        <w:footnoteReference w:id="97"/>
      </w:r>
      <w:r w:rsidRPr="00744CE4">
        <w:rPr>
          <w:rFonts w:ascii="Verdana" w:hAnsi="Verdana"/>
          <w:sz w:val="20"/>
          <w:szCs w:val="20"/>
        </w:rPr>
        <w:t>, que han convertido a dicha zona, desde la época de los hechos bajo examen hasta la actualidad, en el escenario propicio en el que desarrollan sus actividades ilícitas distintos cárteles del narcotráfico, rivales entre sí, principalmente las denominadas organizaciones “Carrillo Fuentes” y “Pacífico”. Estas organizac</w:t>
      </w:r>
      <w:r w:rsidRPr="00432ABC">
        <w:rPr>
          <w:rFonts w:ascii="Verdana" w:hAnsi="Verdana"/>
          <w:sz w:val="20"/>
          <w:szCs w:val="20"/>
        </w:rPr>
        <w:t>iones criminales se disputan su control territorial a través de grupos antagónicos de la delincuencia organizada que operan como “brazos armados” de los mismos</w:t>
      </w:r>
      <w:r w:rsidRPr="00744CE4">
        <w:rPr>
          <w:rStyle w:val="Refdenotaalpie"/>
          <w:rFonts w:ascii="Verdana" w:hAnsi="Verdana"/>
          <w:sz w:val="20"/>
          <w:szCs w:val="20"/>
        </w:rPr>
        <w:footnoteReference w:id="98"/>
      </w:r>
      <w:r w:rsidRPr="00744CE4">
        <w:rPr>
          <w:rFonts w:ascii="Verdana" w:hAnsi="Verdana"/>
          <w:sz w:val="20"/>
          <w:szCs w:val="20"/>
        </w:rPr>
        <w:t>. Dentro de este contexto, el Ejido Benito Juárez “se ha caracterizado por ser un bastión de ‘La Línea’, el cual es un brazo armado de la organización [criminal] Carrillo Fuentes”</w:t>
      </w:r>
      <w:r w:rsidRPr="00744CE4">
        <w:rPr>
          <w:rFonts w:ascii="Verdana" w:hAnsi="Verdana"/>
          <w:sz w:val="20"/>
          <w:szCs w:val="20"/>
          <w:vertAlign w:val="superscript"/>
        </w:rPr>
        <w:footnoteReference w:id="99"/>
      </w:r>
      <w:r w:rsidRPr="00744CE4">
        <w:rPr>
          <w:rFonts w:ascii="Verdana" w:hAnsi="Verdana"/>
          <w:sz w:val="20"/>
          <w:szCs w:val="20"/>
        </w:rPr>
        <w:t xml:space="preserve">. </w:t>
      </w:r>
    </w:p>
    <w:p w14:paraId="64AA5E31" w14:textId="4916FA93"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Dentro del marco temporal en que ocurrieron los hechos del caso concreto y hasta el presente, la lucha por el control de estos territorios por parte de las organizaciones criminales ha desencadenado períodos de intensificación de la violencia tales como enfrentamientos armados, homicidios múltiples, agresiones en contra de las autoridades locales y, en general, un incremento paulatino en la incidencia delictiva atribuible a dichas organizaciones</w:t>
      </w:r>
      <w:r w:rsidRPr="00744CE4">
        <w:rPr>
          <w:rFonts w:ascii="Verdana" w:hAnsi="Verdana"/>
          <w:sz w:val="20"/>
          <w:szCs w:val="20"/>
          <w:vertAlign w:val="superscript"/>
        </w:rPr>
        <w:footnoteReference w:id="100"/>
      </w:r>
      <w:r w:rsidRPr="00744CE4">
        <w:rPr>
          <w:rFonts w:ascii="Verdana" w:hAnsi="Verdana"/>
          <w:sz w:val="20"/>
          <w:szCs w:val="20"/>
        </w:rPr>
        <w:t>, lo cual ha motivado operaciones militares a gran escala por parte de las autoridades de seguridad pública del Estado mexicano, incluyendo la zona noroeste de Chihuahua en donde se sitúa el Ejido Benito Juárez</w:t>
      </w:r>
      <w:r w:rsidRPr="00744CE4">
        <w:rPr>
          <w:rStyle w:val="Refdenotaalpie"/>
          <w:rFonts w:ascii="Verdana" w:hAnsi="Verdana"/>
          <w:sz w:val="20"/>
          <w:szCs w:val="20"/>
        </w:rPr>
        <w:footnoteReference w:id="101"/>
      </w:r>
      <w:r w:rsidRPr="00744CE4">
        <w:rPr>
          <w:rFonts w:ascii="Verdana" w:hAnsi="Verdana"/>
          <w:sz w:val="20"/>
          <w:szCs w:val="20"/>
        </w:rPr>
        <w:t>.</w:t>
      </w:r>
    </w:p>
    <w:p w14:paraId="64AA5E33" w14:textId="457FDFB1" w:rsidR="002E1C85" w:rsidRPr="00744CE4" w:rsidRDefault="00C246DF"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En particular, e</w:t>
      </w:r>
      <w:r w:rsidR="004A14E0" w:rsidRPr="00432ABC">
        <w:rPr>
          <w:rFonts w:ascii="Verdana" w:hAnsi="Verdana"/>
          <w:sz w:val="20"/>
          <w:szCs w:val="20"/>
        </w:rPr>
        <w:t>l 28 de marzo de 2008 dio inicio en México el “Operativo Conjunto Chihuahua” como estrategia estatal de seguridad basada en el despliegue de efectivos militares para enfrentar dicho escenario</w:t>
      </w:r>
      <w:r w:rsidR="004A14E0" w:rsidRPr="00744CE4">
        <w:rPr>
          <w:rStyle w:val="Refdenotaalpie"/>
          <w:rFonts w:ascii="Verdana" w:hAnsi="Verdana"/>
          <w:sz w:val="20"/>
          <w:szCs w:val="20"/>
        </w:rPr>
        <w:footnoteReference w:id="102"/>
      </w:r>
      <w:r w:rsidR="004A14E0" w:rsidRPr="00744CE4">
        <w:rPr>
          <w:rFonts w:ascii="Verdana" w:hAnsi="Verdana"/>
          <w:sz w:val="20"/>
          <w:szCs w:val="20"/>
        </w:rPr>
        <w:t>. Su objetivo</w:t>
      </w:r>
      <w:r w:rsidR="002E1C85" w:rsidRPr="00744CE4">
        <w:rPr>
          <w:rFonts w:ascii="Verdana" w:hAnsi="Verdana"/>
          <w:sz w:val="20"/>
          <w:szCs w:val="20"/>
        </w:rPr>
        <w:t xml:space="preserve"> declarado “[fue] el de combatir la inseguridad públi</w:t>
      </w:r>
      <w:r w:rsidR="002E1C85" w:rsidRPr="00432ABC">
        <w:rPr>
          <w:rFonts w:ascii="Verdana" w:hAnsi="Verdana"/>
          <w:sz w:val="20"/>
          <w:szCs w:val="20"/>
        </w:rPr>
        <w:t>ca, así como el elevado número de homicidios vinculados a la delincuencia organizada, derivado principalmente de la disputa que mantenían por el control de la zona las organizaciones Carrillo Fuentes y Pacífico, además de la presencia de algunas células de Los Zetas, especialmente en Ciudad Juárez”</w:t>
      </w:r>
      <w:r w:rsidR="002E1C85" w:rsidRPr="00744CE4">
        <w:rPr>
          <w:rFonts w:ascii="Verdana" w:hAnsi="Verdana"/>
          <w:sz w:val="20"/>
          <w:szCs w:val="20"/>
          <w:vertAlign w:val="superscript"/>
        </w:rPr>
        <w:footnoteReference w:id="103"/>
      </w:r>
      <w:r w:rsidR="002E1C85" w:rsidRPr="00744CE4">
        <w:rPr>
          <w:rFonts w:ascii="Verdana" w:hAnsi="Verdana"/>
          <w:sz w:val="20"/>
          <w:szCs w:val="20"/>
        </w:rPr>
        <w:t>. Dicho “Operativo” tuvo su sede en la Quinta Zona Militar, que abarca la zona norte de Chihuahua, y fue puesto bajo la coordinación del comandante de dicha jurisdicción castrense, cuyo centro de mando se encontraba ubicado en Ciudad Juárez</w:t>
      </w:r>
      <w:r w:rsidR="004A14E0" w:rsidRPr="00744CE4">
        <w:rPr>
          <w:rFonts w:ascii="Verdana" w:hAnsi="Verdana"/>
          <w:sz w:val="20"/>
          <w:szCs w:val="20"/>
          <w:vertAlign w:val="superscript"/>
        </w:rPr>
        <w:footnoteReference w:id="104"/>
      </w:r>
      <w:r w:rsidR="002E1C85" w:rsidRPr="00744CE4">
        <w:rPr>
          <w:rFonts w:ascii="Verdana" w:hAnsi="Verdana"/>
          <w:sz w:val="20"/>
          <w:szCs w:val="20"/>
        </w:rPr>
        <w:t xml:space="preserve"> En su fase inicial contó con la participación de 2,500 efectivos federales, de los cuales 2,026 eran elementos militares y “425 agentes federales y ministerios públicos del fuero federal […]”. Paulatinamente, la presencia de elementos del Ejército en el marco del Operativo Conjunto Chihuahua se incrementó hasta alcanzar en el año 2009 la cifra aproximada de 8,500 soldados y 2,300 agentes federales, tan solo en Ciudad </w:t>
      </w:r>
      <w:r w:rsidR="002E1C85" w:rsidRPr="00744CE4">
        <w:rPr>
          <w:rFonts w:ascii="Verdana" w:hAnsi="Verdana"/>
          <w:sz w:val="20"/>
          <w:szCs w:val="20"/>
        </w:rPr>
        <w:lastRenderedPageBreak/>
        <w:t>Juárez</w:t>
      </w:r>
      <w:r w:rsidR="002E1C85" w:rsidRPr="00744CE4">
        <w:rPr>
          <w:rFonts w:ascii="Verdana" w:hAnsi="Verdana"/>
          <w:sz w:val="20"/>
          <w:szCs w:val="20"/>
          <w:vertAlign w:val="superscript"/>
        </w:rPr>
        <w:footnoteReference w:id="105"/>
      </w:r>
      <w:r w:rsidR="002E1C85" w:rsidRPr="00744CE4">
        <w:rPr>
          <w:rFonts w:ascii="Verdana" w:hAnsi="Verdana"/>
          <w:sz w:val="20"/>
          <w:szCs w:val="20"/>
        </w:rPr>
        <w:t>. Antes de su cambio de denominación en el año 2010, el “Operativo Conjunto Chihuahua” alcanzó la participación 10,000 efectivos de las Fuerzas Armadas en tareas de seguridad en la región</w:t>
      </w:r>
      <w:r w:rsidR="002E1C85" w:rsidRPr="00744CE4">
        <w:rPr>
          <w:rFonts w:ascii="Verdana" w:hAnsi="Verdana"/>
          <w:sz w:val="20"/>
          <w:szCs w:val="20"/>
          <w:vertAlign w:val="superscript"/>
        </w:rPr>
        <w:footnoteReference w:id="106"/>
      </w:r>
      <w:r w:rsidR="002E1C85" w:rsidRPr="00744CE4">
        <w:rPr>
          <w:rFonts w:ascii="Verdana" w:hAnsi="Verdana"/>
          <w:sz w:val="20"/>
          <w:szCs w:val="20"/>
        </w:rPr>
        <w:t>.</w:t>
      </w:r>
    </w:p>
    <w:p w14:paraId="64AA5E35" w14:textId="5F1C1D94"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El 20 de octubre de 2009, en las inmediaciones del municipio de Buenaventura, Chihuahua, tuvo lugar el secuestro y posterior homicidio del Comandante de la Policía Federal José Alfredo Zilli Peña y dos agentes de su corporación que le acompañaban</w:t>
      </w:r>
      <w:r w:rsidRPr="00744CE4">
        <w:rPr>
          <w:rStyle w:val="Refdenotaalpie"/>
          <w:rFonts w:ascii="Verdana" w:hAnsi="Verdana" w:cs="Cambria"/>
          <w:sz w:val="20"/>
          <w:szCs w:val="20"/>
        </w:rPr>
        <w:footnoteReference w:id="107"/>
      </w:r>
      <w:r w:rsidRPr="00744CE4">
        <w:rPr>
          <w:rFonts w:ascii="Verdana" w:hAnsi="Verdana" w:cs="Cambria"/>
          <w:sz w:val="20"/>
          <w:szCs w:val="20"/>
        </w:rPr>
        <w:t>. Tras ello, alrededor de 3 mil efectivos de la Policía Federal y el Ejército que formaban parte del personal del “Operativo Conjunto Chihuahua” fue desplegados en su búsqueda en diversas localidades, tales como Villa Ahumada y el Ejido Benito Juárez</w:t>
      </w:r>
      <w:r w:rsidRPr="00744CE4">
        <w:rPr>
          <w:rFonts w:ascii="Verdana" w:hAnsi="Verdana"/>
          <w:sz w:val="20"/>
          <w:szCs w:val="20"/>
          <w:vertAlign w:val="superscript"/>
        </w:rPr>
        <w:footnoteReference w:id="108"/>
      </w:r>
      <w:r w:rsidRPr="00744CE4">
        <w:rPr>
          <w:rFonts w:ascii="Verdana" w:hAnsi="Verdana" w:cs="Cambria"/>
          <w:sz w:val="20"/>
          <w:szCs w:val="20"/>
        </w:rPr>
        <w:t>. Como parte de sus operaciones, dichos elementos recorrían ranchos, instalaban retenes en carreteras, brechas, arroyos, vigilaban la entrada de los poblados y detenían a varias personas en la comunidad de Benito Juárez por su presunta relación con dichos homicidios. En ese contexto, se denunciaron excesos cometidos por parte de dichos elementos en contra de sus pobladores</w:t>
      </w:r>
      <w:r w:rsidRPr="00744CE4">
        <w:rPr>
          <w:rStyle w:val="Refdenotaalpie"/>
          <w:rFonts w:ascii="Verdana" w:hAnsi="Verdana" w:cs="Cambria"/>
          <w:sz w:val="20"/>
          <w:szCs w:val="20"/>
        </w:rPr>
        <w:footnoteReference w:id="109"/>
      </w:r>
      <w:r w:rsidRPr="00744CE4">
        <w:rPr>
          <w:rFonts w:ascii="Verdana" w:hAnsi="Verdana" w:cs="Cambria"/>
          <w:sz w:val="20"/>
          <w:szCs w:val="20"/>
        </w:rPr>
        <w:t xml:space="preserve">.  </w:t>
      </w:r>
    </w:p>
    <w:p w14:paraId="00D0D65F" w14:textId="745AC4A1" w:rsidR="00350979" w:rsidRPr="00744CE4" w:rsidRDefault="002E1C85" w:rsidP="00DB378B">
      <w:pPr>
        <w:pStyle w:val="Prrafodelista"/>
        <w:widowControl w:val="0"/>
        <w:numPr>
          <w:ilvl w:val="0"/>
          <w:numId w:val="4"/>
        </w:numPr>
        <w:tabs>
          <w:tab w:val="left" w:pos="567"/>
        </w:tabs>
        <w:autoSpaceDE w:val="0"/>
        <w:autoSpaceDN w:val="0"/>
        <w:adjustRightInd w:val="0"/>
        <w:spacing w:before="120" w:after="120" w:line="240" w:lineRule="auto"/>
        <w:ind w:left="0" w:firstLine="0"/>
        <w:contextualSpacing w:val="0"/>
        <w:jc w:val="both"/>
        <w:textAlignment w:val="baseline"/>
        <w:rPr>
          <w:rFonts w:ascii="Verdana" w:hAnsi="Verdana"/>
          <w:i/>
          <w:sz w:val="20"/>
          <w:szCs w:val="20"/>
        </w:rPr>
      </w:pPr>
      <w:r w:rsidRPr="00432ABC">
        <w:rPr>
          <w:rFonts w:ascii="Verdana" w:hAnsi="Verdana"/>
          <w:sz w:val="20"/>
          <w:szCs w:val="20"/>
        </w:rPr>
        <w:t>En enero de 2010, el “Operativo Conjunto Chihuahua” cambió su denominación a “Operación Coordinada Chihuahua”,</w:t>
      </w:r>
      <w:r w:rsidRPr="00432ABC">
        <w:rPr>
          <w:rFonts w:ascii="Verdana" w:hAnsi="Verdana"/>
          <w:sz w:val="20"/>
          <w:szCs w:val="20"/>
          <w:vertAlign w:val="superscript"/>
        </w:rPr>
        <w:t xml:space="preserve"> </w:t>
      </w:r>
      <w:r w:rsidRPr="00432ABC">
        <w:rPr>
          <w:rFonts w:ascii="Verdana" w:hAnsi="Verdana"/>
          <w:sz w:val="20"/>
          <w:szCs w:val="20"/>
        </w:rPr>
        <w:t>“a partir del replanteamiento de la estrategia de intervención de las fuerzas federales en el marco de la [e]strategia [i]ntegral contra la delincuencia or</w:t>
      </w:r>
      <w:r w:rsidRPr="002C462C">
        <w:rPr>
          <w:rFonts w:ascii="Verdana" w:hAnsi="Verdana"/>
          <w:sz w:val="20"/>
          <w:szCs w:val="20"/>
        </w:rPr>
        <w:t>ganizada”</w:t>
      </w:r>
      <w:r w:rsidRPr="00744CE4">
        <w:rPr>
          <w:rFonts w:ascii="Verdana" w:hAnsi="Verdana"/>
          <w:sz w:val="20"/>
          <w:szCs w:val="20"/>
          <w:vertAlign w:val="superscript"/>
        </w:rPr>
        <w:footnoteReference w:id="110"/>
      </w:r>
      <w:r w:rsidRPr="00744CE4">
        <w:rPr>
          <w:rFonts w:ascii="Verdana" w:hAnsi="Verdana"/>
          <w:sz w:val="20"/>
          <w:szCs w:val="20"/>
        </w:rPr>
        <w:t xml:space="preserve"> y fueron destacados adicionalmente 1,300 elementos policiales de la Secretaría de Seguridad Pública Federal a Ciudad Juárez</w:t>
      </w:r>
      <w:r w:rsidRPr="00744CE4">
        <w:rPr>
          <w:rFonts w:ascii="Verdana" w:hAnsi="Verdana"/>
          <w:sz w:val="20"/>
          <w:szCs w:val="20"/>
          <w:vertAlign w:val="superscript"/>
        </w:rPr>
        <w:footnoteReference w:id="111"/>
      </w:r>
      <w:r w:rsidRPr="00744CE4">
        <w:rPr>
          <w:rFonts w:ascii="Verdana" w:hAnsi="Verdana"/>
          <w:sz w:val="20"/>
          <w:szCs w:val="20"/>
        </w:rPr>
        <w:t>.</w:t>
      </w:r>
      <w:r w:rsidRPr="00744CE4">
        <w:rPr>
          <w:rFonts w:ascii="Verdana" w:hAnsi="Verdana"/>
          <w:color w:val="000000" w:themeColor="text1"/>
          <w:sz w:val="20"/>
          <w:szCs w:val="20"/>
        </w:rPr>
        <w:t xml:space="preserve"> Finalmente, e</w:t>
      </w:r>
      <w:r w:rsidRPr="00432ABC">
        <w:rPr>
          <w:rFonts w:ascii="Verdana" w:hAnsi="Verdana"/>
          <w:sz w:val="20"/>
          <w:szCs w:val="20"/>
        </w:rPr>
        <w:t>l 9 de abril de 2010 el mando único de la “Operación Coordinada Chihuahua” fue transferido a la Secretaría de Seguridad Pública Federal, en tanto que los elementos del Ejército mexicano fueron destinados a la frontera con los Estados Unidos de América para desarrollar labores de vigilancia</w:t>
      </w:r>
      <w:r w:rsidRPr="00744CE4">
        <w:rPr>
          <w:rFonts w:ascii="Verdana" w:hAnsi="Verdana"/>
          <w:sz w:val="20"/>
          <w:szCs w:val="20"/>
          <w:vertAlign w:val="superscript"/>
        </w:rPr>
        <w:footnoteReference w:id="112"/>
      </w:r>
      <w:r w:rsidRPr="00744CE4">
        <w:rPr>
          <w:rFonts w:ascii="Verdana" w:hAnsi="Verdana"/>
          <w:sz w:val="20"/>
          <w:szCs w:val="20"/>
        </w:rPr>
        <w:t>. Este cambio de paradigma</w:t>
      </w:r>
      <w:r w:rsidRPr="00744CE4">
        <w:rPr>
          <w:rFonts w:ascii="Verdana" w:hAnsi="Verdana"/>
          <w:bCs/>
          <w:sz w:val="20"/>
          <w:szCs w:val="20"/>
        </w:rPr>
        <w:t xml:space="preserve"> se debió en gran medida a la crítica reproba</w:t>
      </w:r>
      <w:r w:rsidRPr="00432ABC">
        <w:rPr>
          <w:rFonts w:ascii="Verdana" w:hAnsi="Verdana"/>
          <w:bCs/>
          <w:sz w:val="20"/>
          <w:szCs w:val="20"/>
        </w:rPr>
        <w:t>toria de la sociedad civil por la presencia del Ejército en actividades de seguridad pública en los municipios cercanos a Ciudad Juárez y</w:t>
      </w:r>
      <w:r w:rsidR="00A62086" w:rsidRPr="00432ABC">
        <w:rPr>
          <w:rFonts w:ascii="Verdana" w:hAnsi="Verdana"/>
          <w:bCs/>
          <w:sz w:val="20"/>
          <w:szCs w:val="20"/>
        </w:rPr>
        <w:t>, según peritos,</w:t>
      </w:r>
      <w:r w:rsidRPr="00432ABC">
        <w:rPr>
          <w:rFonts w:ascii="Verdana" w:hAnsi="Verdana"/>
          <w:bCs/>
          <w:sz w:val="20"/>
          <w:szCs w:val="20"/>
        </w:rPr>
        <w:t xml:space="preserve"> a las </w:t>
      </w:r>
      <w:r w:rsidR="00A62086" w:rsidRPr="00432ABC">
        <w:rPr>
          <w:rFonts w:ascii="Verdana" w:hAnsi="Verdana"/>
          <w:bCs/>
          <w:sz w:val="20"/>
          <w:szCs w:val="20"/>
        </w:rPr>
        <w:t xml:space="preserve">alegadas </w:t>
      </w:r>
      <w:r w:rsidRPr="00432ABC">
        <w:rPr>
          <w:rFonts w:ascii="Verdana" w:hAnsi="Verdana"/>
          <w:bCs/>
          <w:sz w:val="20"/>
          <w:szCs w:val="20"/>
        </w:rPr>
        <w:t>graves violaciones a los derechos humanos relacionadas con elementos castrenses</w:t>
      </w:r>
      <w:r w:rsidRPr="00744CE4">
        <w:rPr>
          <w:rFonts w:ascii="Verdana" w:hAnsi="Verdana"/>
          <w:bCs/>
          <w:sz w:val="20"/>
          <w:szCs w:val="20"/>
          <w:vertAlign w:val="superscript"/>
        </w:rPr>
        <w:footnoteReference w:id="113"/>
      </w:r>
      <w:r w:rsidRPr="00744CE4">
        <w:rPr>
          <w:rFonts w:ascii="Verdana" w:hAnsi="Verdana"/>
          <w:bCs/>
          <w:sz w:val="20"/>
          <w:szCs w:val="20"/>
        </w:rPr>
        <w:t>.</w:t>
      </w:r>
    </w:p>
    <w:p w14:paraId="64AA5E39" w14:textId="5E2597AD" w:rsidR="002E1C85" w:rsidRPr="00744CE4" w:rsidRDefault="002E1C85" w:rsidP="00DB378B">
      <w:pPr>
        <w:pStyle w:val="Prrafodelista"/>
        <w:numPr>
          <w:ilvl w:val="0"/>
          <w:numId w:val="4"/>
        </w:numPr>
        <w:tabs>
          <w:tab w:val="left" w:pos="567"/>
        </w:tabs>
        <w:spacing w:before="120" w:after="120" w:line="240" w:lineRule="auto"/>
        <w:ind w:left="0" w:firstLine="0"/>
        <w:contextualSpacing w:val="0"/>
        <w:jc w:val="both"/>
        <w:rPr>
          <w:rFonts w:ascii="Verdana" w:hAnsi="Verdana"/>
          <w:sz w:val="20"/>
          <w:szCs w:val="20"/>
        </w:rPr>
      </w:pPr>
      <w:r w:rsidRPr="00432ABC">
        <w:rPr>
          <w:rFonts w:ascii="Verdana" w:hAnsi="Verdana"/>
          <w:sz w:val="20"/>
          <w:szCs w:val="20"/>
        </w:rPr>
        <w:lastRenderedPageBreak/>
        <w:t xml:space="preserve">En suma, durante el período de ejecución del “Operativo Conjunto Chihuahua” la Comisión Estatal de Derechos Humanos de </w:t>
      </w:r>
      <w:r w:rsidRPr="00B71DDF">
        <w:rPr>
          <w:rFonts w:ascii="Verdana" w:hAnsi="Verdana"/>
          <w:sz w:val="20"/>
          <w:szCs w:val="20"/>
        </w:rPr>
        <w:t>Chihuahua</w:t>
      </w:r>
      <w:r w:rsidR="00B71DDF" w:rsidRPr="001D1E2A">
        <w:rPr>
          <w:rFonts w:ascii="Verdana" w:hAnsi="Verdana"/>
          <w:sz w:val="20"/>
          <w:szCs w:val="20"/>
        </w:rPr>
        <w:t xml:space="preserve"> </w:t>
      </w:r>
      <w:r w:rsidR="00B71DDF" w:rsidRPr="008D0846">
        <w:rPr>
          <w:rFonts w:ascii="Verdana" w:hAnsi="Verdana"/>
          <w:sz w:val="20"/>
          <w:szCs w:val="20"/>
        </w:rPr>
        <w:t>[CEDH-Ch]</w:t>
      </w:r>
      <w:r w:rsidRPr="00432ABC">
        <w:rPr>
          <w:rFonts w:ascii="Verdana" w:hAnsi="Verdana"/>
          <w:sz w:val="20"/>
          <w:szCs w:val="20"/>
        </w:rPr>
        <w:t>, entre 2008 y 2011, registró 457 quejas contra elementos de la SEDENA</w:t>
      </w:r>
      <w:r w:rsidRPr="00744CE4">
        <w:rPr>
          <w:rFonts w:ascii="Verdana" w:hAnsi="Verdana"/>
          <w:sz w:val="20"/>
          <w:szCs w:val="20"/>
          <w:vertAlign w:val="superscript"/>
        </w:rPr>
        <w:footnoteReference w:id="114"/>
      </w:r>
      <w:r w:rsidRPr="00744CE4">
        <w:rPr>
          <w:rFonts w:ascii="Verdana" w:hAnsi="Verdana"/>
          <w:sz w:val="20"/>
          <w:szCs w:val="20"/>
        </w:rPr>
        <w:t xml:space="preserve">, </w:t>
      </w:r>
      <w:r w:rsidR="00D70D38" w:rsidRPr="00744CE4">
        <w:rPr>
          <w:rFonts w:ascii="Verdana" w:hAnsi="Verdana"/>
          <w:sz w:val="20"/>
          <w:szCs w:val="20"/>
        </w:rPr>
        <w:t>mismas que fueron remitidas para su resolución a la CNDH por</w:t>
      </w:r>
      <w:r w:rsidR="00D70D38" w:rsidRPr="00432ABC">
        <w:rPr>
          <w:rFonts w:ascii="Verdana" w:hAnsi="Verdana"/>
          <w:sz w:val="20"/>
          <w:szCs w:val="20"/>
        </w:rPr>
        <w:t xml:space="preserve"> tratarse de una autoridad federal, </w:t>
      </w:r>
      <w:r w:rsidRPr="00432ABC">
        <w:rPr>
          <w:rFonts w:ascii="Verdana" w:hAnsi="Verdana"/>
          <w:sz w:val="20"/>
          <w:szCs w:val="20"/>
        </w:rPr>
        <w:t>la mayoría denunciando allanamientos de morada, detenciones arbitrarias, tortura</w:t>
      </w:r>
      <w:r w:rsidR="00206E30" w:rsidRPr="00432ABC">
        <w:rPr>
          <w:rFonts w:ascii="Verdana" w:hAnsi="Verdana"/>
          <w:sz w:val="20"/>
          <w:szCs w:val="20"/>
        </w:rPr>
        <w:t>s</w:t>
      </w:r>
      <w:r w:rsidRPr="00432ABC">
        <w:rPr>
          <w:rFonts w:ascii="Verdana" w:hAnsi="Verdana"/>
          <w:sz w:val="20"/>
          <w:szCs w:val="20"/>
        </w:rPr>
        <w:t>, desapariciones y ejecuciones extrajudiciales</w:t>
      </w:r>
      <w:r w:rsidRPr="00744CE4">
        <w:rPr>
          <w:rFonts w:ascii="Verdana" w:hAnsi="Verdana"/>
          <w:sz w:val="20"/>
          <w:szCs w:val="20"/>
          <w:vertAlign w:val="superscript"/>
        </w:rPr>
        <w:footnoteReference w:id="115"/>
      </w:r>
      <w:r w:rsidRPr="00744CE4">
        <w:rPr>
          <w:rFonts w:ascii="Verdana" w:hAnsi="Verdana"/>
          <w:sz w:val="20"/>
          <w:szCs w:val="20"/>
        </w:rPr>
        <w:t>. Dichas quejas “revelaban patrones de actuación de elementos castrenses, entre los cuales se encontraba la utilización de vehículos asegurados a miembros de la delincuencia organizada en sus operaciones”</w:t>
      </w:r>
      <w:r w:rsidRPr="00744CE4">
        <w:rPr>
          <w:rFonts w:ascii="Verdana" w:hAnsi="Verdana"/>
          <w:sz w:val="20"/>
          <w:szCs w:val="20"/>
          <w:vertAlign w:val="superscript"/>
        </w:rPr>
        <w:footnoteReference w:id="116"/>
      </w:r>
      <w:r w:rsidR="00350979" w:rsidRPr="00744CE4">
        <w:rPr>
          <w:rFonts w:ascii="Verdana" w:hAnsi="Verdana"/>
          <w:sz w:val="20"/>
          <w:szCs w:val="20"/>
        </w:rPr>
        <w:t>.</w:t>
      </w:r>
    </w:p>
    <w:p w14:paraId="64AA5E3B" w14:textId="72ABC9E6" w:rsidR="002E1C85" w:rsidRPr="00744CE4" w:rsidRDefault="0020172F">
      <w:pPr>
        <w:pStyle w:val="Ttulo"/>
        <w:contextualSpacing w:val="0"/>
      </w:pPr>
      <w:bookmarkStart w:id="116" w:name="_Toc526774151"/>
      <w:bookmarkStart w:id="117" w:name="_Toc526777483"/>
      <w:bookmarkStart w:id="118" w:name="_Toc526783762"/>
      <w:r>
        <w:t xml:space="preserve"> </w:t>
      </w:r>
      <w:bookmarkStart w:id="119" w:name="_Toc532995333"/>
      <w:r w:rsidR="00E67720" w:rsidRPr="00432ABC">
        <w:t>Sobre</w:t>
      </w:r>
      <w:r w:rsidR="002E1C85" w:rsidRPr="00432ABC">
        <w:t xml:space="preserve"> Nitza Paola Alvarado Espinoza, Rocío Irene Alvarado Reyes y José Ángel Alvarado Herrera</w:t>
      </w:r>
      <w:r w:rsidR="002E1C85" w:rsidRPr="00744CE4">
        <w:rPr>
          <w:rStyle w:val="Refdenotaalpie"/>
        </w:rPr>
        <w:footnoteReference w:id="117"/>
      </w:r>
      <w:bookmarkEnd w:id="116"/>
      <w:bookmarkEnd w:id="117"/>
      <w:bookmarkEnd w:id="118"/>
      <w:bookmarkEnd w:id="119"/>
    </w:p>
    <w:p w14:paraId="64AA5E3D" w14:textId="62703A26" w:rsidR="002E1C85" w:rsidRPr="00432ABC"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744CE4">
        <w:rPr>
          <w:rFonts w:ascii="Verdana" w:hAnsi="Verdana"/>
          <w:sz w:val="20"/>
          <w:szCs w:val="20"/>
        </w:rPr>
        <w:t>Nitza Paola Alvarado Espinoza nació el 2 de no</w:t>
      </w:r>
      <w:r w:rsidRPr="00432ABC">
        <w:rPr>
          <w:rFonts w:ascii="Verdana" w:hAnsi="Verdana"/>
          <w:sz w:val="20"/>
          <w:szCs w:val="20"/>
        </w:rPr>
        <w:t>viembre de 1978</w:t>
      </w:r>
      <w:r w:rsidRPr="00744CE4">
        <w:rPr>
          <w:rFonts w:ascii="Verdana" w:hAnsi="Verdana"/>
          <w:sz w:val="20"/>
          <w:szCs w:val="20"/>
          <w:vertAlign w:val="superscript"/>
        </w:rPr>
        <w:footnoteReference w:id="118"/>
      </w:r>
      <w:r w:rsidRPr="00744CE4">
        <w:rPr>
          <w:rFonts w:ascii="Verdana" w:hAnsi="Verdana"/>
          <w:sz w:val="20"/>
          <w:szCs w:val="20"/>
        </w:rPr>
        <w:t xml:space="preserve">. Al momento de su desaparición tenía 31 años de edad y presentaba incapacidad permanente consistente en una hemiplejia generada por un infarto cerebral, por lo que </w:t>
      </w:r>
      <w:r w:rsidR="00B1617A">
        <w:rPr>
          <w:rFonts w:ascii="Verdana" w:hAnsi="Verdana"/>
          <w:sz w:val="20"/>
          <w:szCs w:val="20"/>
        </w:rPr>
        <w:t xml:space="preserve">se </w:t>
      </w:r>
      <w:r w:rsidRPr="00744CE4">
        <w:rPr>
          <w:rFonts w:ascii="Verdana" w:hAnsi="Verdana"/>
          <w:sz w:val="20"/>
          <w:szCs w:val="20"/>
        </w:rPr>
        <w:t>encontraba pensionada por el Instituto Mexicano del Seguro Social</w:t>
      </w:r>
      <w:r w:rsidRPr="00744CE4">
        <w:rPr>
          <w:rFonts w:ascii="Verdana" w:hAnsi="Verdana"/>
          <w:sz w:val="20"/>
          <w:szCs w:val="20"/>
          <w:vertAlign w:val="superscript"/>
        </w:rPr>
        <w:footnoteReference w:id="119"/>
      </w:r>
      <w:r w:rsidRPr="00744CE4">
        <w:rPr>
          <w:rFonts w:ascii="Verdana" w:hAnsi="Verdana"/>
          <w:sz w:val="20"/>
          <w:szCs w:val="20"/>
        </w:rPr>
        <w:t>. Los familiares de Nitza Paola Alvarado Espinoza son: i) su madre María de Jesús Espinoza Peinado; ii) su padre Ascensión Alvarado Fabela; iii) sus tres hijas N.S.A.E., M.P.A.E. y D.A.E.; iv) su hermana María de Jesús Alvarado Espinoza, v) su cuñado Rigoberto Ambr</w:t>
      </w:r>
      <w:r w:rsidRPr="00432ABC">
        <w:rPr>
          <w:rFonts w:ascii="Verdana" w:hAnsi="Verdana"/>
          <w:sz w:val="20"/>
          <w:szCs w:val="20"/>
        </w:rPr>
        <w:t xml:space="preserve">iz Marrufo, y vi) sus 4 sobrinos R.A.A., I.A.A.A., J.E.A.A. </w:t>
      </w:r>
      <w:r w:rsidR="00052024" w:rsidRPr="00432ABC">
        <w:rPr>
          <w:rFonts w:ascii="Verdana" w:hAnsi="Verdana"/>
          <w:sz w:val="20"/>
          <w:szCs w:val="20"/>
        </w:rPr>
        <w:t>y</w:t>
      </w:r>
      <w:r w:rsidRPr="00432ABC">
        <w:rPr>
          <w:rFonts w:ascii="Verdana" w:hAnsi="Verdana"/>
          <w:sz w:val="20"/>
          <w:szCs w:val="20"/>
        </w:rPr>
        <w:t xml:space="preserve"> A.Y.A.A.</w:t>
      </w:r>
    </w:p>
    <w:p w14:paraId="64AA5E3F" w14:textId="1587408B" w:rsidR="002E1C85" w:rsidRPr="00432ABC"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C462C">
        <w:rPr>
          <w:rFonts w:ascii="Verdana" w:hAnsi="Verdana"/>
          <w:sz w:val="20"/>
          <w:szCs w:val="20"/>
        </w:rPr>
        <w:t>Rocío Irene Alvarado Reyes nació el 26 de agosto de 199</w:t>
      </w:r>
      <w:r w:rsidR="00B1617A">
        <w:rPr>
          <w:rFonts w:ascii="Verdana" w:hAnsi="Verdana"/>
          <w:sz w:val="20"/>
          <w:szCs w:val="20"/>
        </w:rPr>
        <w:t>1</w:t>
      </w:r>
      <w:r w:rsidRPr="00744CE4">
        <w:rPr>
          <w:rStyle w:val="Refdenotaalpie"/>
          <w:rFonts w:ascii="Verdana" w:hAnsi="Verdana"/>
          <w:sz w:val="20"/>
          <w:szCs w:val="20"/>
        </w:rPr>
        <w:footnoteReference w:id="120"/>
      </w:r>
      <w:r w:rsidRPr="00744CE4">
        <w:rPr>
          <w:rFonts w:ascii="Verdana" w:hAnsi="Verdana"/>
          <w:sz w:val="20"/>
          <w:szCs w:val="20"/>
        </w:rPr>
        <w:t>. Al momento de los hechos tenía 18 años de edad y trabajaba en una tienda de abarrotes</w:t>
      </w:r>
      <w:r w:rsidR="00D16B59">
        <w:rPr>
          <w:rStyle w:val="Refdenotaalpie"/>
          <w:rFonts w:ascii="Verdana" w:hAnsi="Verdana"/>
          <w:sz w:val="20"/>
          <w:szCs w:val="20"/>
        </w:rPr>
        <w:footnoteReference w:id="121"/>
      </w:r>
      <w:r w:rsidRPr="00744CE4">
        <w:rPr>
          <w:rFonts w:ascii="Verdana" w:hAnsi="Verdana"/>
          <w:sz w:val="20"/>
          <w:szCs w:val="20"/>
        </w:rPr>
        <w:t>. Sus familiares son: i) su madre Patricia Reyes Rueda; ii) su hija A.M.U.A; iii) sus dos hermanos A.A.R. y A.R.A.R., y iv) su abuelo Manuel Reyes Lira</w:t>
      </w:r>
      <w:r w:rsidRPr="00432ABC">
        <w:rPr>
          <w:rFonts w:ascii="Verdana" w:hAnsi="Verdana"/>
          <w:sz w:val="20"/>
          <w:szCs w:val="20"/>
        </w:rPr>
        <w:t>.</w:t>
      </w:r>
    </w:p>
    <w:p w14:paraId="64AA5E41" w14:textId="0C7B3835"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José Ángel Alvarado Herrera nació el 24 de marzo de 1979</w:t>
      </w:r>
      <w:r w:rsidRPr="00744CE4">
        <w:rPr>
          <w:rFonts w:ascii="Verdana" w:hAnsi="Verdana"/>
          <w:sz w:val="20"/>
          <w:szCs w:val="20"/>
          <w:vertAlign w:val="superscript"/>
        </w:rPr>
        <w:footnoteReference w:id="122"/>
      </w:r>
      <w:r w:rsidRPr="00744CE4">
        <w:rPr>
          <w:rFonts w:ascii="Verdana" w:hAnsi="Verdana"/>
          <w:sz w:val="20"/>
          <w:szCs w:val="20"/>
        </w:rPr>
        <w:t>. Al momento de los hechos tenía 31 años de edad y trabajaba como supervisor para una empresa de repuestos</w:t>
      </w:r>
      <w:r w:rsidRPr="00744CE4">
        <w:rPr>
          <w:rFonts w:ascii="Verdana" w:hAnsi="Verdana"/>
          <w:sz w:val="20"/>
          <w:szCs w:val="20"/>
          <w:vertAlign w:val="superscript"/>
        </w:rPr>
        <w:footnoteReference w:id="123"/>
      </w:r>
      <w:r w:rsidRPr="00744CE4">
        <w:rPr>
          <w:rFonts w:ascii="Verdana" w:hAnsi="Verdana"/>
          <w:sz w:val="20"/>
          <w:szCs w:val="20"/>
        </w:rPr>
        <w:t>. Sus familiares son: i) su esposa Obdulia Espinoza Beltrán; ii) su madre Concepción Herrera Hernández; ii) su padre José Ángel Alvarado Fa</w:t>
      </w:r>
      <w:r w:rsidR="00B82930" w:rsidRPr="00744CE4">
        <w:rPr>
          <w:rFonts w:ascii="Verdana" w:hAnsi="Verdana"/>
          <w:sz w:val="20"/>
          <w:szCs w:val="20"/>
        </w:rPr>
        <w:t>b</w:t>
      </w:r>
      <w:r w:rsidRPr="00432ABC">
        <w:rPr>
          <w:rFonts w:ascii="Verdana" w:hAnsi="Verdana"/>
          <w:sz w:val="20"/>
          <w:szCs w:val="20"/>
        </w:rPr>
        <w:t>ela; iii)</w:t>
      </w:r>
      <w:r w:rsidR="00493ADB" w:rsidRPr="00432ABC">
        <w:rPr>
          <w:rFonts w:ascii="Verdana" w:hAnsi="Verdana"/>
          <w:sz w:val="20"/>
          <w:szCs w:val="20"/>
        </w:rPr>
        <w:t xml:space="preserve"> </w:t>
      </w:r>
      <w:r w:rsidRPr="00432ABC">
        <w:rPr>
          <w:rFonts w:ascii="Verdana" w:hAnsi="Verdana"/>
          <w:sz w:val="20"/>
          <w:szCs w:val="20"/>
        </w:rPr>
        <w:t>sus tres hijos J.A.E., J.A.A.E. y A.E.B.</w:t>
      </w:r>
      <w:r w:rsidR="00493ADB" w:rsidRPr="00432ABC">
        <w:rPr>
          <w:rFonts w:ascii="Verdana" w:hAnsi="Verdana"/>
          <w:sz w:val="20"/>
          <w:szCs w:val="20"/>
        </w:rPr>
        <w:t xml:space="preserve"> </w:t>
      </w:r>
      <w:r w:rsidR="006D60B9" w:rsidRPr="002C462C">
        <w:rPr>
          <w:rFonts w:ascii="Verdana" w:hAnsi="Verdana"/>
          <w:sz w:val="20"/>
          <w:szCs w:val="20"/>
        </w:rPr>
        <w:t>(A.A.E.)</w:t>
      </w:r>
      <w:r w:rsidR="001C5F0B" w:rsidRPr="00744CE4">
        <w:rPr>
          <w:rStyle w:val="Refdenotaalpie"/>
          <w:rFonts w:ascii="Verdana" w:hAnsi="Verdana"/>
          <w:sz w:val="20"/>
          <w:szCs w:val="20"/>
        </w:rPr>
        <w:footnoteReference w:id="124"/>
      </w:r>
      <w:r w:rsidRPr="00744CE4">
        <w:rPr>
          <w:rFonts w:ascii="Verdana" w:hAnsi="Verdana"/>
          <w:sz w:val="20"/>
          <w:szCs w:val="20"/>
        </w:rPr>
        <w:t xml:space="preserve">; iv) </w:t>
      </w:r>
      <w:r w:rsidRPr="00744CE4">
        <w:rPr>
          <w:rFonts w:ascii="Verdana" w:hAnsi="Verdana"/>
          <w:sz w:val="20"/>
          <w:szCs w:val="20"/>
        </w:rPr>
        <w:lastRenderedPageBreak/>
        <w:t>su hermano Jaime Alvarado Herrera; v) su cuñada Sandra Luz Rueda Quezada; vi) sus cuatro sobrinos J.O.A.R., R.G.A.R., C.N.A.R. y J.E.A.R.; vii) su hermana Rosa Olivia Alvarado Herrera; viii) su cuñado Félix Garcia García; ix) sus cuatro sobrinos Karina Paola Alvarado Espinoza, F.A.H., J.G.A. y A.G.A</w:t>
      </w:r>
      <w:r w:rsidRPr="00744CE4">
        <w:rPr>
          <w:rFonts w:ascii="Verdana" w:hAnsi="Verdana"/>
          <w:sz w:val="20"/>
          <w:szCs w:val="20"/>
          <w:vertAlign w:val="superscript"/>
        </w:rPr>
        <w:footnoteReference w:id="125"/>
      </w:r>
      <w:r w:rsidRPr="00744CE4">
        <w:rPr>
          <w:rFonts w:ascii="Verdana" w:hAnsi="Verdana"/>
          <w:sz w:val="20"/>
          <w:szCs w:val="20"/>
        </w:rPr>
        <w:t>.</w:t>
      </w:r>
    </w:p>
    <w:p w14:paraId="64AA5E43" w14:textId="461AA188"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 xml:space="preserve">De acuerdo con las constancias que obran en el Tribunal, Nitza Paola Alvarado Espinoza y José Ángel Alvarado Herrera eran primos en razón de que los padres de ambos, </w:t>
      </w:r>
      <w:r w:rsidR="00EC08E0" w:rsidRPr="00432ABC">
        <w:rPr>
          <w:rFonts w:ascii="Verdana" w:hAnsi="Verdana"/>
          <w:sz w:val="20"/>
          <w:szCs w:val="20"/>
        </w:rPr>
        <w:t>Ascensión</w:t>
      </w:r>
      <w:r w:rsidRPr="00432ABC">
        <w:rPr>
          <w:rFonts w:ascii="Verdana" w:hAnsi="Verdana"/>
          <w:sz w:val="20"/>
          <w:szCs w:val="20"/>
        </w:rPr>
        <w:t xml:space="preserve"> Alvarado Fa</w:t>
      </w:r>
      <w:r w:rsidR="00B82930" w:rsidRPr="002C462C">
        <w:rPr>
          <w:rFonts w:ascii="Verdana" w:hAnsi="Verdana"/>
          <w:sz w:val="20"/>
          <w:szCs w:val="20"/>
        </w:rPr>
        <w:t>b</w:t>
      </w:r>
      <w:r w:rsidRPr="002C462C">
        <w:rPr>
          <w:rFonts w:ascii="Verdana" w:hAnsi="Verdana"/>
          <w:sz w:val="20"/>
          <w:szCs w:val="20"/>
        </w:rPr>
        <w:t>ela y José Ángel Alvarado Fa</w:t>
      </w:r>
      <w:r w:rsidR="00B82930" w:rsidRPr="00744CE4">
        <w:rPr>
          <w:rFonts w:ascii="Verdana" w:hAnsi="Verdana"/>
          <w:sz w:val="20"/>
          <w:szCs w:val="20"/>
        </w:rPr>
        <w:t>b</w:t>
      </w:r>
      <w:r w:rsidRPr="00744CE4">
        <w:rPr>
          <w:rFonts w:ascii="Verdana" w:hAnsi="Verdana"/>
          <w:sz w:val="20"/>
          <w:szCs w:val="20"/>
        </w:rPr>
        <w:t>ela, respectivamente, son hermanos entre sí</w:t>
      </w:r>
      <w:r w:rsidRPr="00744CE4">
        <w:rPr>
          <w:rStyle w:val="Refdenotaalpie"/>
          <w:rFonts w:ascii="Verdana" w:hAnsi="Verdana"/>
          <w:sz w:val="20"/>
          <w:szCs w:val="20"/>
        </w:rPr>
        <w:footnoteReference w:id="126"/>
      </w:r>
      <w:r w:rsidRPr="00744CE4">
        <w:rPr>
          <w:rFonts w:ascii="Verdana" w:hAnsi="Verdana"/>
          <w:sz w:val="20"/>
          <w:szCs w:val="20"/>
        </w:rPr>
        <w:t xml:space="preserve">. Por su parte, Rocío Irene Alvarado Reyes era </w:t>
      </w:r>
      <w:r w:rsidRPr="008A3009">
        <w:rPr>
          <w:rFonts w:ascii="Verdana" w:hAnsi="Verdana"/>
          <w:sz w:val="20"/>
          <w:szCs w:val="20"/>
        </w:rPr>
        <w:t>sobrina</w:t>
      </w:r>
      <w:r w:rsidR="008A3009" w:rsidRPr="00605079">
        <w:rPr>
          <w:rFonts w:ascii="Verdana" w:hAnsi="Verdana"/>
          <w:sz w:val="20"/>
          <w:szCs w:val="20"/>
        </w:rPr>
        <w:t xml:space="preserve"> segunda</w:t>
      </w:r>
      <w:r w:rsidRPr="00744CE4">
        <w:rPr>
          <w:rFonts w:ascii="Verdana" w:hAnsi="Verdana"/>
          <w:sz w:val="20"/>
          <w:szCs w:val="20"/>
        </w:rPr>
        <w:t xml:space="preserve"> de Nitza Paola y de José Ángel Alvarado en razón de que su padre, Rafael Alvarado Sáenz, era primo de estos dos últimos</w:t>
      </w:r>
      <w:r w:rsidRPr="00744CE4">
        <w:rPr>
          <w:rStyle w:val="Refdenotaalpie"/>
          <w:rFonts w:ascii="Verdana" w:hAnsi="Verdana"/>
          <w:sz w:val="20"/>
          <w:szCs w:val="20"/>
        </w:rPr>
        <w:footnoteReference w:id="127"/>
      </w:r>
      <w:r w:rsidRPr="00744CE4">
        <w:rPr>
          <w:rFonts w:ascii="Verdana" w:hAnsi="Verdana"/>
          <w:sz w:val="20"/>
          <w:szCs w:val="20"/>
        </w:rPr>
        <w:t>.</w:t>
      </w:r>
    </w:p>
    <w:p w14:paraId="64AA5E45" w14:textId="3D883A5B" w:rsidR="002E1C85" w:rsidRPr="00432ABC" w:rsidRDefault="002E1C85">
      <w:pPr>
        <w:pStyle w:val="Ttulo"/>
        <w:contextualSpacing w:val="0"/>
        <w:rPr>
          <w:lang w:val="es-CR"/>
        </w:rPr>
      </w:pPr>
      <w:bookmarkStart w:id="120" w:name="_Toc527561044"/>
      <w:bookmarkStart w:id="121" w:name="_Toc526774152"/>
      <w:bookmarkStart w:id="122" w:name="_Toc526777484"/>
      <w:bookmarkStart w:id="123" w:name="_Toc526783763"/>
      <w:bookmarkStart w:id="124" w:name="_Toc532995334"/>
      <w:r w:rsidRPr="00432ABC">
        <w:t xml:space="preserve">La desaparición de </w:t>
      </w:r>
      <w:r w:rsidRPr="00432ABC">
        <w:rPr>
          <w:lang w:val="es-CR"/>
        </w:rPr>
        <w:t>Nitza Paola Alvarado Espinoza, Rocío Irene Alvarado Reyes y José Ángel Alvarado Herrera el 29 de diciembre de 2009</w:t>
      </w:r>
      <w:bookmarkEnd w:id="120"/>
      <w:bookmarkEnd w:id="121"/>
      <w:bookmarkEnd w:id="122"/>
      <w:bookmarkEnd w:id="123"/>
      <w:bookmarkEnd w:id="124"/>
      <w:r w:rsidRPr="00432ABC">
        <w:rPr>
          <w:lang w:val="es-CR"/>
        </w:rPr>
        <w:t xml:space="preserve"> </w:t>
      </w:r>
    </w:p>
    <w:p w14:paraId="450C3B6A" w14:textId="00C3C880" w:rsidR="00CD559C" w:rsidRPr="00432ABC" w:rsidRDefault="00E34BFF">
      <w:pPr>
        <w:pStyle w:val="Prrafodelista"/>
        <w:widowControl w:val="0"/>
        <w:numPr>
          <w:ilvl w:val="0"/>
          <w:numId w:val="44"/>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rPr>
      </w:pPr>
      <w:bookmarkStart w:id="125" w:name="_Toc526783764"/>
      <w:r>
        <w:rPr>
          <w:rFonts w:ascii="Verdana" w:hAnsi="Verdana"/>
          <w:i/>
          <w:sz w:val="20"/>
          <w:szCs w:val="20"/>
          <w:lang w:val="es-CR"/>
        </w:rPr>
        <w:t xml:space="preserve"> </w:t>
      </w:r>
      <w:bookmarkStart w:id="126" w:name="_Toc532995335"/>
      <w:r w:rsidR="00B6434F" w:rsidRPr="00432ABC">
        <w:rPr>
          <w:rFonts w:ascii="Verdana" w:hAnsi="Verdana"/>
          <w:i/>
          <w:sz w:val="20"/>
          <w:szCs w:val="20"/>
          <w:lang w:val="es-CR"/>
        </w:rPr>
        <w:t>L</w:t>
      </w:r>
      <w:r w:rsidR="002E1C85" w:rsidRPr="00432ABC">
        <w:rPr>
          <w:rFonts w:ascii="Verdana" w:hAnsi="Verdana"/>
          <w:i/>
          <w:sz w:val="20"/>
          <w:szCs w:val="20"/>
        </w:rPr>
        <w:t>a detención de Nitza Paola Alvarado Espinoza y José Ángel Alvarado Herrera</w:t>
      </w:r>
      <w:bookmarkEnd w:id="125"/>
      <w:bookmarkEnd w:id="126"/>
    </w:p>
    <w:p w14:paraId="64AA5E4A" w14:textId="03097252"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C462C">
        <w:rPr>
          <w:rFonts w:ascii="Verdana" w:hAnsi="Verdana"/>
          <w:sz w:val="20"/>
          <w:szCs w:val="20"/>
        </w:rPr>
        <w:t>El 29 de diciembre de 2009, entre las 8:00 y 9:00 de la noche</w:t>
      </w:r>
      <w:r w:rsidRPr="002C462C">
        <w:rPr>
          <w:rFonts w:ascii="Verdana" w:hAnsi="Verdana" w:cs="Arial"/>
          <w:sz w:val="20"/>
          <w:szCs w:val="20"/>
        </w:rPr>
        <w:t xml:space="preserve">, </w:t>
      </w:r>
      <w:r w:rsidRPr="00744CE4">
        <w:rPr>
          <w:rFonts w:ascii="Verdana" w:hAnsi="Verdana"/>
          <w:sz w:val="20"/>
          <w:szCs w:val="20"/>
        </w:rPr>
        <w:t>José Ángel Alvarado Herrera y Nitza Paola Alvarado Espinoza se encontraban a bordo de una camioneta azul marino, doble cabina, estacionada en las afueras de la casa de la madre de Obdulia Espinoza Beltrán, esposa de José Ángel, en el Ejido Benito Juárez. En ese momento, arribaron al lugar dos camionetas particulares</w:t>
      </w:r>
      <w:r w:rsidRPr="00744CE4">
        <w:rPr>
          <w:rStyle w:val="Refdenotaalpie"/>
          <w:rFonts w:ascii="Verdana" w:hAnsi="Verdana"/>
          <w:sz w:val="20"/>
          <w:szCs w:val="20"/>
        </w:rPr>
        <w:footnoteReference w:id="128"/>
      </w:r>
      <w:r w:rsidRPr="00744CE4">
        <w:rPr>
          <w:rFonts w:ascii="Verdana" w:hAnsi="Verdana"/>
          <w:sz w:val="20"/>
          <w:szCs w:val="20"/>
        </w:rPr>
        <w:t>, una de ellas marca Chevrolet, doble cabina, color gris, diésel</w:t>
      </w:r>
      <w:r w:rsidRPr="00744CE4">
        <w:rPr>
          <w:rFonts w:ascii="Verdana" w:hAnsi="Verdana"/>
          <w:sz w:val="20"/>
          <w:szCs w:val="20"/>
          <w:vertAlign w:val="superscript"/>
        </w:rPr>
        <w:footnoteReference w:id="129"/>
      </w:r>
      <w:r w:rsidRPr="00744CE4">
        <w:rPr>
          <w:rFonts w:ascii="Verdana" w:hAnsi="Verdana"/>
          <w:sz w:val="20"/>
          <w:szCs w:val="20"/>
        </w:rPr>
        <w:t>, y la otra marca Hummer, color blanco</w:t>
      </w:r>
      <w:r w:rsidRPr="00744CE4">
        <w:rPr>
          <w:rFonts w:ascii="Verdana" w:hAnsi="Verdana"/>
          <w:sz w:val="20"/>
          <w:szCs w:val="20"/>
          <w:vertAlign w:val="superscript"/>
        </w:rPr>
        <w:footnoteReference w:id="130"/>
      </w:r>
      <w:r w:rsidRPr="00744CE4">
        <w:rPr>
          <w:rFonts w:ascii="Verdana" w:hAnsi="Verdana"/>
          <w:sz w:val="20"/>
          <w:szCs w:val="20"/>
        </w:rPr>
        <w:t>, “caqui o cafe[c]ita”</w:t>
      </w:r>
      <w:r w:rsidRPr="00744CE4">
        <w:rPr>
          <w:rFonts w:ascii="Verdana" w:hAnsi="Verdana"/>
          <w:sz w:val="20"/>
          <w:szCs w:val="20"/>
          <w:vertAlign w:val="superscript"/>
        </w:rPr>
        <w:footnoteReference w:id="131"/>
      </w:r>
      <w:r w:rsidRPr="00744CE4">
        <w:rPr>
          <w:rFonts w:ascii="Verdana" w:hAnsi="Verdana"/>
          <w:sz w:val="20"/>
          <w:szCs w:val="20"/>
        </w:rPr>
        <w:t xml:space="preserve"> [sic], de las cuales descendieron entre ocho y diez personas portando armas largas, cascos y gorras, sin pasamontañas</w:t>
      </w:r>
      <w:r w:rsidRPr="00744CE4">
        <w:rPr>
          <w:rFonts w:ascii="Verdana" w:hAnsi="Verdana"/>
          <w:sz w:val="20"/>
          <w:szCs w:val="20"/>
          <w:vertAlign w:val="superscript"/>
        </w:rPr>
        <w:footnoteReference w:id="132"/>
      </w:r>
      <w:r w:rsidRPr="00744CE4">
        <w:rPr>
          <w:rFonts w:ascii="Verdana" w:hAnsi="Verdana"/>
          <w:sz w:val="20"/>
          <w:szCs w:val="20"/>
        </w:rPr>
        <w:t>, así como uniformes de tipo militar, algunos de color arena camuflado</w:t>
      </w:r>
      <w:r w:rsidRPr="00744CE4">
        <w:rPr>
          <w:rFonts w:ascii="Verdana" w:hAnsi="Verdana"/>
          <w:sz w:val="20"/>
          <w:szCs w:val="20"/>
          <w:vertAlign w:val="superscript"/>
        </w:rPr>
        <w:footnoteReference w:id="133"/>
      </w:r>
      <w:r w:rsidRPr="00744CE4">
        <w:rPr>
          <w:rFonts w:ascii="Verdana" w:hAnsi="Verdana"/>
          <w:sz w:val="20"/>
          <w:szCs w:val="20"/>
        </w:rPr>
        <w:t>, “caqui como “cafe[c]ito”</w:t>
      </w:r>
      <w:r w:rsidRPr="00744CE4">
        <w:rPr>
          <w:rStyle w:val="Refdenotaalpie"/>
          <w:rFonts w:ascii="Verdana" w:hAnsi="Verdana"/>
          <w:sz w:val="20"/>
          <w:szCs w:val="20"/>
        </w:rPr>
        <w:footnoteReference w:id="134"/>
      </w:r>
      <w:r w:rsidRPr="00744CE4">
        <w:rPr>
          <w:rFonts w:ascii="Verdana" w:hAnsi="Verdana"/>
          <w:sz w:val="20"/>
          <w:szCs w:val="20"/>
        </w:rPr>
        <w:t xml:space="preserve"> “de tipo desierto” y botas del mismo color</w:t>
      </w:r>
      <w:r w:rsidRPr="00744CE4">
        <w:rPr>
          <w:rStyle w:val="Refdenotaalpie"/>
          <w:rFonts w:ascii="Verdana" w:hAnsi="Verdana"/>
          <w:sz w:val="20"/>
          <w:szCs w:val="20"/>
        </w:rPr>
        <w:footnoteReference w:id="135"/>
      </w:r>
      <w:r w:rsidRPr="00744CE4">
        <w:rPr>
          <w:rFonts w:ascii="Verdana" w:hAnsi="Verdana"/>
          <w:sz w:val="20"/>
          <w:szCs w:val="20"/>
        </w:rPr>
        <w:t>, y otros de color verde</w:t>
      </w:r>
      <w:r w:rsidRPr="00744CE4">
        <w:rPr>
          <w:rStyle w:val="Refdenotaalpie"/>
          <w:rFonts w:ascii="Verdana" w:hAnsi="Verdana"/>
          <w:sz w:val="20"/>
          <w:szCs w:val="20"/>
        </w:rPr>
        <w:footnoteReference w:id="136"/>
      </w:r>
      <w:r w:rsidRPr="00744CE4">
        <w:rPr>
          <w:rFonts w:ascii="Verdana" w:hAnsi="Verdana"/>
          <w:sz w:val="20"/>
          <w:szCs w:val="20"/>
        </w:rPr>
        <w:t xml:space="preserve"> y quienes los portaban tenían un acento de voz distinto al de los habitantes de la zona</w:t>
      </w:r>
      <w:r w:rsidRPr="00744CE4">
        <w:rPr>
          <w:rStyle w:val="Refdenotaalpie"/>
          <w:rFonts w:ascii="Verdana" w:hAnsi="Verdana"/>
          <w:sz w:val="20"/>
          <w:szCs w:val="20"/>
        </w:rPr>
        <w:footnoteReference w:id="137"/>
      </w:r>
      <w:r w:rsidRPr="00744CE4">
        <w:rPr>
          <w:rFonts w:ascii="Verdana" w:hAnsi="Verdana"/>
          <w:sz w:val="20"/>
          <w:szCs w:val="20"/>
        </w:rPr>
        <w:t xml:space="preserve">. </w:t>
      </w:r>
    </w:p>
    <w:p w14:paraId="64AA5E4C" w14:textId="2696E306"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 xml:space="preserve">Dichos sujetos se dirigieron en su mayoría hacia el lado del conductor, en donde se encontraba Nitza Paola, mientras otro de ellos se dirigió hacia José Ángel, quien había descendido </w:t>
      </w:r>
      <w:r w:rsidRPr="00432ABC">
        <w:rPr>
          <w:rFonts w:ascii="Verdana" w:hAnsi="Verdana"/>
          <w:sz w:val="20"/>
          <w:szCs w:val="20"/>
        </w:rPr>
        <w:lastRenderedPageBreak/>
        <w:t>de la camioneta y se encontraba de pie junto a la cabina. Los elementos procedieron a revisar el vehículo y luego de un intercambio de palabras tomaron a Nitza Paola de los cabellos para obligarla a bajar del mismo y cuando José Ángel intentó defenderla, el sujeto que se encontraba a su lado lo golpeó en la cara con el arma que portaba, tras lo cual subieron a ambos familiares a la parte po</w:t>
      </w:r>
      <w:r w:rsidRPr="002C462C">
        <w:rPr>
          <w:rFonts w:ascii="Verdana" w:hAnsi="Verdana"/>
          <w:sz w:val="20"/>
          <w:szCs w:val="20"/>
        </w:rPr>
        <w:t>sterior de la camioneta doble cabina en que los captores arribaron al lugar de los hechos, retirándose con rumbo desconocido</w:t>
      </w:r>
      <w:r w:rsidRPr="00744CE4">
        <w:rPr>
          <w:rFonts w:ascii="Verdana" w:hAnsi="Verdana"/>
          <w:sz w:val="20"/>
          <w:szCs w:val="20"/>
          <w:vertAlign w:val="superscript"/>
        </w:rPr>
        <w:footnoteReference w:id="138"/>
      </w:r>
      <w:r w:rsidRPr="00744CE4">
        <w:rPr>
          <w:rFonts w:ascii="Verdana" w:hAnsi="Verdana"/>
          <w:sz w:val="20"/>
          <w:szCs w:val="20"/>
        </w:rPr>
        <w:t>.</w:t>
      </w:r>
    </w:p>
    <w:p w14:paraId="64AA5E4E" w14:textId="439E2F88" w:rsidR="00F50ACE"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El 29 de diciembre de 2009, una vez que Obdulia Beltrán, testigo presencial de los hechos, se trasladó a los domicilios de los padres de su esposo José Ángel y de los padres de Nitza Paola para dar cuenta de los hechos a sus familiares, María de Jesús Alvarado Espinoza (hermana de Nitza Paola), su esposo Rigoberto Ambriz y M.P.A.E. (hija de Nitza Paola), arribaron al lugar de los hechos</w:t>
      </w:r>
      <w:r w:rsidRPr="00744CE4">
        <w:rPr>
          <w:rStyle w:val="Refdenotaalpie"/>
          <w:rFonts w:ascii="Verdana" w:hAnsi="Verdana"/>
          <w:sz w:val="20"/>
          <w:szCs w:val="20"/>
        </w:rPr>
        <w:footnoteReference w:id="139"/>
      </w:r>
      <w:r w:rsidRPr="00744CE4">
        <w:rPr>
          <w:rFonts w:ascii="Verdana" w:hAnsi="Verdana"/>
          <w:sz w:val="20"/>
          <w:szCs w:val="20"/>
        </w:rPr>
        <w:t xml:space="preserve"> y observaron que la camioneta de la cual habían sido sustraídos se encontraba con las puertas abiertas, sin llaves, con el estéreo “arrancado” y que en el piso había sangre, junto a la llanta</w:t>
      </w:r>
      <w:r w:rsidRPr="00744CE4">
        <w:rPr>
          <w:rStyle w:val="Refdenotaalpie"/>
          <w:rFonts w:ascii="Verdana" w:hAnsi="Verdana"/>
          <w:sz w:val="20"/>
          <w:szCs w:val="20"/>
        </w:rPr>
        <w:footnoteReference w:id="140"/>
      </w:r>
      <w:r w:rsidRPr="00744CE4">
        <w:rPr>
          <w:rFonts w:ascii="Verdana" w:hAnsi="Verdana"/>
          <w:sz w:val="20"/>
          <w:szCs w:val="20"/>
        </w:rPr>
        <w:t>. Posteriormente, dichos familiares regresaron a la casa de los padres de Nitza Paola y comenzaron su búsqueda por las brechas y calles del Ejido en compañía de un amigo, sin tener éxito</w:t>
      </w:r>
      <w:r w:rsidRPr="00744CE4">
        <w:rPr>
          <w:rStyle w:val="Refdenotaalpie"/>
          <w:rFonts w:ascii="Verdana" w:hAnsi="Verdana"/>
          <w:sz w:val="20"/>
          <w:szCs w:val="20"/>
        </w:rPr>
        <w:footnoteReference w:id="141"/>
      </w:r>
      <w:r w:rsidRPr="00744CE4">
        <w:rPr>
          <w:rFonts w:ascii="Verdana" w:hAnsi="Verdana"/>
          <w:sz w:val="20"/>
          <w:szCs w:val="20"/>
        </w:rPr>
        <w:t xml:space="preserve">. </w:t>
      </w:r>
    </w:p>
    <w:p w14:paraId="69DF396A" w14:textId="05C66399" w:rsidR="00BC673B" w:rsidRPr="00432ABC" w:rsidRDefault="00E34BFF">
      <w:pPr>
        <w:pStyle w:val="Prrafodelista"/>
        <w:widowControl w:val="0"/>
        <w:numPr>
          <w:ilvl w:val="0"/>
          <w:numId w:val="44"/>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rPr>
      </w:pPr>
      <w:bookmarkStart w:id="127" w:name="_Toc526783765"/>
      <w:r>
        <w:rPr>
          <w:rFonts w:ascii="Verdana" w:hAnsi="Verdana"/>
          <w:i/>
          <w:sz w:val="20"/>
          <w:szCs w:val="20"/>
        </w:rPr>
        <w:t xml:space="preserve"> </w:t>
      </w:r>
      <w:bookmarkStart w:id="128" w:name="_Toc532995336"/>
      <w:r w:rsidR="00B6434F" w:rsidRPr="00432ABC">
        <w:rPr>
          <w:rFonts w:ascii="Verdana" w:hAnsi="Verdana"/>
          <w:i/>
          <w:sz w:val="20"/>
          <w:szCs w:val="20"/>
        </w:rPr>
        <w:t>L</w:t>
      </w:r>
      <w:r w:rsidR="002E1C85" w:rsidRPr="00432ABC">
        <w:rPr>
          <w:rFonts w:ascii="Verdana" w:hAnsi="Verdana"/>
          <w:i/>
          <w:sz w:val="20"/>
          <w:szCs w:val="20"/>
        </w:rPr>
        <w:t>a detención de Rocío Irene Alvarado Reyes</w:t>
      </w:r>
      <w:bookmarkEnd w:id="127"/>
      <w:bookmarkEnd w:id="128"/>
    </w:p>
    <w:p w14:paraId="64AA5E53" w14:textId="13BA32CC"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C462C">
        <w:rPr>
          <w:rFonts w:ascii="Verdana" w:hAnsi="Verdana"/>
          <w:sz w:val="20"/>
          <w:szCs w:val="20"/>
        </w:rPr>
        <w:t>El 29 de diciembre de 2009, alrededor de una hora después de la detención de Nitza Paola y José Ángel Alvarado, siendo aproximadamente las 9:00</w:t>
      </w:r>
      <w:r w:rsidRPr="00744CE4">
        <w:rPr>
          <w:rFonts w:ascii="Verdana" w:hAnsi="Verdana"/>
          <w:sz w:val="20"/>
          <w:szCs w:val="20"/>
          <w:vertAlign w:val="superscript"/>
        </w:rPr>
        <w:footnoteReference w:id="142"/>
      </w:r>
      <w:r w:rsidRPr="00744CE4">
        <w:rPr>
          <w:rFonts w:ascii="Verdana" w:hAnsi="Verdana"/>
          <w:sz w:val="20"/>
          <w:szCs w:val="20"/>
        </w:rPr>
        <w:t xml:space="preserve"> o 10:00 de la noche</w:t>
      </w:r>
      <w:r w:rsidRPr="00744CE4">
        <w:rPr>
          <w:rFonts w:ascii="Verdana" w:hAnsi="Verdana"/>
          <w:sz w:val="20"/>
          <w:szCs w:val="20"/>
          <w:vertAlign w:val="superscript"/>
        </w:rPr>
        <w:footnoteReference w:id="143"/>
      </w:r>
      <w:r w:rsidRPr="00744CE4">
        <w:rPr>
          <w:rFonts w:ascii="Verdana" w:hAnsi="Verdana"/>
          <w:sz w:val="20"/>
          <w:szCs w:val="20"/>
        </w:rPr>
        <w:t>, Rocío Irene Alvarado Reyes se encontraba descansando en compañía de sus dos hermanos A.A.R. y A.R.A.R., entonces de 13 y 11 años de edad, respectivamente; de su hija A.M.U.A, de 2 años de edad, y de su madre Patricia Reyes Rueda en su domicilio en el Ejido Benito Juárez. En ese momento, la señora Reyes Rueda escuchó que unas personas arribaron a su domicilio, por lo que procedió a asomarse por la puerta de la cocina en com</w:t>
      </w:r>
      <w:r w:rsidRPr="00432ABC">
        <w:rPr>
          <w:rFonts w:ascii="Verdana" w:hAnsi="Verdana"/>
          <w:sz w:val="20"/>
          <w:szCs w:val="20"/>
        </w:rPr>
        <w:t>pañía de su hija Rocío Irene</w:t>
      </w:r>
      <w:r w:rsidRPr="00744CE4">
        <w:rPr>
          <w:rFonts w:ascii="Verdana" w:hAnsi="Verdana"/>
          <w:sz w:val="20"/>
          <w:szCs w:val="20"/>
          <w:vertAlign w:val="superscript"/>
        </w:rPr>
        <w:footnoteReference w:id="144"/>
      </w:r>
      <w:r w:rsidRPr="00744CE4">
        <w:rPr>
          <w:rFonts w:ascii="Verdana" w:hAnsi="Verdana"/>
          <w:sz w:val="20"/>
          <w:szCs w:val="20"/>
        </w:rPr>
        <w:t xml:space="preserve"> y observó que se trataba de individuos que vestían uniformes con características militares quienes golpearon la puerta de la entrada de la vivienda, y gritaron que ésta les fuera abierta o de lo contrario “la iban a tirar”</w:t>
      </w:r>
      <w:r w:rsidRPr="00744CE4">
        <w:rPr>
          <w:rFonts w:ascii="Verdana" w:hAnsi="Verdana"/>
          <w:sz w:val="20"/>
          <w:szCs w:val="20"/>
          <w:vertAlign w:val="superscript"/>
        </w:rPr>
        <w:footnoteReference w:id="145"/>
      </w:r>
      <w:r w:rsidRPr="00744CE4">
        <w:rPr>
          <w:rFonts w:ascii="Verdana" w:hAnsi="Verdana"/>
          <w:sz w:val="20"/>
          <w:szCs w:val="20"/>
        </w:rPr>
        <w:t>.</w:t>
      </w:r>
    </w:p>
    <w:p w14:paraId="64AA5E55" w14:textId="44E7B3B5"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 xml:space="preserve">Ante dicha exigencia, Rocío Irene y su madre abrieron la puerta de la vivienda y acto seguido </w:t>
      </w:r>
      <w:r w:rsidRPr="00432ABC">
        <w:rPr>
          <w:rFonts w:ascii="Verdana" w:hAnsi="Verdana"/>
          <w:sz w:val="20"/>
          <w:szCs w:val="20"/>
        </w:rPr>
        <w:lastRenderedPageBreak/>
        <w:t>uno de ellos empujó a la señora Reyes Rueda, ingresando entre 8 y 9 personas encapuchadas cuyo acento de voz era “chilang[o]”, distinto del de los lugareños</w:t>
      </w:r>
      <w:r w:rsidRPr="00744CE4">
        <w:rPr>
          <w:rFonts w:ascii="Verdana" w:hAnsi="Verdana"/>
          <w:sz w:val="20"/>
          <w:szCs w:val="20"/>
          <w:vertAlign w:val="superscript"/>
        </w:rPr>
        <w:footnoteReference w:id="146"/>
      </w:r>
      <w:r w:rsidRPr="00744CE4">
        <w:rPr>
          <w:rFonts w:ascii="Verdana" w:hAnsi="Verdana"/>
          <w:sz w:val="20"/>
          <w:szCs w:val="20"/>
        </w:rPr>
        <w:t>, portando vestimenta militar, algunos de ellos de color beige</w:t>
      </w:r>
      <w:r w:rsidRPr="00744CE4">
        <w:rPr>
          <w:rFonts w:ascii="Verdana" w:hAnsi="Verdana"/>
          <w:sz w:val="20"/>
          <w:szCs w:val="20"/>
          <w:vertAlign w:val="superscript"/>
        </w:rPr>
        <w:footnoteReference w:id="147"/>
      </w:r>
      <w:r w:rsidRPr="00744CE4">
        <w:rPr>
          <w:rFonts w:ascii="Verdana" w:hAnsi="Verdana"/>
          <w:sz w:val="20"/>
          <w:szCs w:val="20"/>
        </w:rPr>
        <w:t xml:space="preserve"> o arena del desierto</w:t>
      </w:r>
      <w:r w:rsidRPr="00744CE4">
        <w:rPr>
          <w:rFonts w:ascii="Verdana" w:hAnsi="Verdana"/>
          <w:sz w:val="20"/>
          <w:szCs w:val="20"/>
          <w:vertAlign w:val="superscript"/>
        </w:rPr>
        <w:footnoteReference w:id="148"/>
      </w:r>
      <w:r w:rsidRPr="00744CE4">
        <w:rPr>
          <w:rFonts w:ascii="Verdana" w:hAnsi="Verdana"/>
          <w:sz w:val="20"/>
          <w:szCs w:val="20"/>
        </w:rPr>
        <w:t xml:space="preserve"> y otros con uniformes de color verde y “uniforme verde más oscuro”</w:t>
      </w:r>
      <w:r w:rsidRPr="00744CE4">
        <w:rPr>
          <w:rFonts w:ascii="Verdana" w:hAnsi="Verdana"/>
          <w:sz w:val="20"/>
          <w:szCs w:val="20"/>
          <w:vertAlign w:val="superscript"/>
        </w:rPr>
        <w:footnoteReference w:id="149"/>
      </w:r>
      <w:r w:rsidRPr="00744CE4">
        <w:rPr>
          <w:rFonts w:ascii="Verdana" w:hAnsi="Verdana"/>
          <w:sz w:val="20"/>
          <w:szCs w:val="20"/>
        </w:rPr>
        <w:t>, cascos y armas largas con lámpara</w:t>
      </w:r>
      <w:r w:rsidRPr="00744CE4">
        <w:rPr>
          <w:rFonts w:ascii="Verdana" w:hAnsi="Verdana"/>
          <w:sz w:val="20"/>
          <w:szCs w:val="20"/>
          <w:vertAlign w:val="superscript"/>
        </w:rPr>
        <w:footnoteReference w:id="150"/>
      </w:r>
      <w:r w:rsidRPr="00744CE4">
        <w:rPr>
          <w:rFonts w:ascii="Verdana" w:hAnsi="Verdana"/>
          <w:sz w:val="20"/>
          <w:szCs w:val="20"/>
        </w:rPr>
        <w:t xml:space="preserve"> que tenían inscripta numeración seriada</w:t>
      </w:r>
      <w:r w:rsidRPr="00744CE4">
        <w:rPr>
          <w:rFonts w:ascii="Verdana" w:hAnsi="Verdana"/>
          <w:sz w:val="20"/>
          <w:szCs w:val="20"/>
          <w:vertAlign w:val="superscript"/>
        </w:rPr>
        <w:footnoteReference w:id="151"/>
      </w:r>
      <w:r w:rsidRPr="00744CE4">
        <w:rPr>
          <w:rFonts w:ascii="Verdana" w:hAnsi="Verdana"/>
          <w:sz w:val="20"/>
          <w:szCs w:val="20"/>
        </w:rPr>
        <w:t>, mismos que tras detener a su familiar se retiraron en una camioneta Pick up, diésel, de cabina y media</w:t>
      </w:r>
      <w:r w:rsidRPr="00744CE4">
        <w:rPr>
          <w:rStyle w:val="Refdenotaalpie"/>
          <w:rFonts w:ascii="Verdana" w:hAnsi="Verdana"/>
          <w:sz w:val="20"/>
          <w:szCs w:val="20"/>
        </w:rPr>
        <w:footnoteReference w:id="152"/>
      </w:r>
      <w:r w:rsidRPr="00744CE4">
        <w:rPr>
          <w:rFonts w:ascii="Verdana" w:hAnsi="Verdana"/>
          <w:sz w:val="20"/>
          <w:szCs w:val="20"/>
        </w:rPr>
        <w:t xml:space="preserve"> o doble cabina, color arena</w:t>
      </w:r>
      <w:r w:rsidRPr="00744CE4">
        <w:rPr>
          <w:rStyle w:val="Refdenotaalpie"/>
          <w:rFonts w:ascii="Verdana" w:hAnsi="Verdana"/>
          <w:sz w:val="20"/>
          <w:szCs w:val="20"/>
        </w:rPr>
        <w:footnoteReference w:id="153"/>
      </w:r>
      <w:r w:rsidRPr="00744CE4">
        <w:rPr>
          <w:rFonts w:ascii="Verdana" w:hAnsi="Verdana"/>
          <w:sz w:val="20"/>
          <w:szCs w:val="20"/>
        </w:rPr>
        <w:t>, gris o negra y sin focos</w:t>
      </w:r>
      <w:r w:rsidRPr="00744CE4">
        <w:rPr>
          <w:rStyle w:val="Refdenotaalpie"/>
          <w:rFonts w:ascii="Verdana" w:hAnsi="Verdana"/>
          <w:sz w:val="20"/>
          <w:szCs w:val="20"/>
        </w:rPr>
        <w:footnoteReference w:id="154"/>
      </w:r>
      <w:r w:rsidRPr="00744CE4">
        <w:rPr>
          <w:rFonts w:ascii="Verdana" w:hAnsi="Verdana"/>
          <w:sz w:val="20"/>
          <w:szCs w:val="20"/>
        </w:rPr>
        <w:t>.</w:t>
      </w:r>
    </w:p>
    <w:p w14:paraId="64AA5E57" w14:textId="62307005"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Una vez que Patricia Reyes Rueda les abrió la puerta, dichos elementos entraron al domicilio, se ubicaron en la cocina y las habitaciones</w:t>
      </w:r>
      <w:r w:rsidRPr="00744CE4">
        <w:rPr>
          <w:rFonts w:ascii="Verdana" w:hAnsi="Verdana"/>
          <w:sz w:val="20"/>
          <w:szCs w:val="20"/>
          <w:vertAlign w:val="superscript"/>
        </w:rPr>
        <w:footnoteReference w:id="155"/>
      </w:r>
      <w:r w:rsidRPr="00744CE4">
        <w:rPr>
          <w:rFonts w:ascii="Verdana" w:hAnsi="Verdana"/>
          <w:sz w:val="20"/>
          <w:szCs w:val="20"/>
        </w:rPr>
        <w:t xml:space="preserve"> y comenzaron a revisar los muebles, causando diversos destrozos</w:t>
      </w:r>
      <w:r w:rsidRPr="00744CE4">
        <w:rPr>
          <w:rFonts w:ascii="Verdana" w:hAnsi="Verdana"/>
          <w:sz w:val="20"/>
          <w:szCs w:val="20"/>
          <w:vertAlign w:val="superscript"/>
        </w:rPr>
        <w:footnoteReference w:id="156"/>
      </w:r>
      <w:r w:rsidRPr="00744CE4">
        <w:rPr>
          <w:rFonts w:ascii="Verdana" w:hAnsi="Verdana"/>
          <w:sz w:val="20"/>
          <w:szCs w:val="20"/>
        </w:rPr>
        <w:t>. Le dijeron a Rocío Irene Alvarado que se encontraba detenida</w:t>
      </w:r>
      <w:r w:rsidRPr="00744CE4">
        <w:rPr>
          <w:rFonts w:ascii="Verdana" w:hAnsi="Verdana"/>
          <w:sz w:val="20"/>
          <w:szCs w:val="20"/>
          <w:vertAlign w:val="superscript"/>
        </w:rPr>
        <w:footnoteReference w:id="157"/>
      </w:r>
      <w:r w:rsidRPr="00744CE4">
        <w:rPr>
          <w:rFonts w:ascii="Verdana" w:hAnsi="Verdana"/>
          <w:sz w:val="20"/>
          <w:szCs w:val="20"/>
        </w:rPr>
        <w:t>, le indicaron que se pusiera tenis</w:t>
      </w:r>
      <w:r w:rsidRPr="00744CE4">
        <w:rPr>
          <w:rFonts w:ascii="Verdana" w:hAnsi="Verdana"/>
          <w:sz w:val="20"/>
          <w:szCs w:val="20"/>
          <w:vertAlign w:val="superscript"/>
        </w:rPr>
        <w:footnoteReference w:id="158"/>
      </w:r>
      <w:r w:rsidRPr="00744CE4">
        <w:rPr>
          <w:rFonts w:ascii="Verdana" w:hAnsi="Verdana"/>
          <w:sz w:val="20"/>
          <w:szCs w:val="20"/>
        </w:rPr>
        <w:t>, mientras que a Patricia Reyes y los tres menores de edad les ordenaron que se encerraran en el baño. La señora Reyes Rueda preguntó a los elementos el motivo por el cuál su hija Rocío Irene estaba siendo arrestada, a lo que contestaron ordenándole que guardara silencio</w:t>
      </w:r>
      <w:r w:rsidRPr="00744CE4">
        <w:rPr>
          <w:rStyle w:val="Refdenotaalpie"/>
          <w:rFonts w:ascii="Verdana" w:hAnsi="Verdana"/>
          <w:sz w:val="20"/>
          <w:szCs w:val="20"/>
        </w:rPr>
        <w:footnoteReference w:id="159"/>
      </w:r>
      <w:r w:rsidRPr="00744CE4">
        <w:rPr>
          <w:rFonts w:ascii="Verdana" w:hAnsi="Verdana"/>
          <w:sz w:val="20"/>
          <w:szCs w:val="20"/>
        </w:rPr>
        <w:t xml:space="preserve">. Antes de su partida, Rocío Irene manifestó a sus familiares “que no se </w:t>
      </w:r>
      <w:r w:rsidRPr="00744CE4">
        <w:rPr>
          <w:rFonts w:ascii="Verdana" w:hAnsi="Verdana"/>
          <w:sz w:val="20"/>
          <w:szCs w:val="20"/>
        </w:rPr>
        <w:lastRenderedPageBreak/>
        <w:t>preocuparan”, “que todo iba a estar bien”, y “que enseguida volvería”</w:t>
      </w:r>
      <w:r w:rsidRPr="00744CE4">
        <w:rPr>
          <w:rFonts w:ascii="Verdana" w:hAnsi="Verdana"/>
          <w:sz w:val="20"/>
          <w:szCs w:val="20"/>
          <w:vertAlign w:val="superscript"/>
        </w:rPr>
        <w:footnoteReference w:id="160"/>
      </w:r>
      <w:r w:rsidRPr="00744CE4">
        <w:rPr>
          <w:rFonts w:ascii="Verdana" w:hAnsi="Verdana"/>
          <w:sz w:val="20"/>
          <w:szCs w:val="20"/>
        </w:rPr>
        <w:t>, tras lo cual salió del domicilio a manos de sus captores. A la fecha, el paradero de Rocío Irene Alvarado ha sido desconocido.</w:t>
      </w:r>
    </w:p>
    <w:p w14:paraId="64AA5E59" w14:textId="71EF8C39" w:rsidR="002E1C85" w:rsidRPr="00432ABC" w:rsidRDefault="00F50ACE">
      <w:pPr>
        <w:pStyle w:val="Prrafodelista"/>
        <w:widowControl w:val="0"/>
        <w:numPr>
          <w:ilvl w:val="0"/>
          <w:numId w:val="44"/>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rPr>
      </w:pPr>
      <w:r w:rsidRPr="00432ABC">
        <w:rPr>
          <w:rFonts w:ascii="Verdana" w:hAnsi="Verdana"/>
          <w:i/>
          <w:sz w:val="20"/>
          <w:szCs w:val="20"/>
        </w:rPr>
        <w:t xml:space="preserve"> </w:t>
      </w:r>
      <w:bookmarkStart w:id="129" w:name="_Toc526783766"/>
      <w:bookmarkStart w:id="130" w:name="_Toc532995337"/>
      <w:r w:rsidR="002E1C85" w:rsidRPr="00432ABC">
        <w:rPr>
          <w:rFonts w:ascii="Verdana" w:hAnsi="Verdana"/>
          <w:i/>
          <w:sz w:val="20"/>
          <w:szCs w:val="20"/>
        </w:rPr>
        <w:t>Acciones de búsqueda de las tres presuntas víctimas a partir de su detención</w:t>
      </w:r>
      <w:bookmarkEnd w:id="129"/>
      <w:bookmarkEnd w:id="130"/>
    </w:p>
    <w:p w14:paraId="64AA5E5B" w14:textId="618F8720" w:rsidR="002E1C85" w:rsidRPr="002C462C"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C462C">
        <w:rPr>
          <w:rFonts w:ascii="Verdana" w:hAnsi="Verdana"/>
          <w:sz w:val="20"/>
          <w:szCs w:val="20"/>
        </w:rPr>
        <w:t>Una vez ocurridas las desapariciones de las tres víctimas, los familiares promovieron diversas denuncias y emprendieron actividades de búsqueda para ubicar su paradero.</w:t>
      </w:r>
    </w:p>
    <w:p w14:paraId="64AA5E5D" w14:textId="20DCC93D"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C462C">
        <w:rPr>
          <w:rFonts w:ascii="Verdana" w:hAnsi="Verdana"/>
          <w:sz w:val="20"/>
          <w:szCs w:val="20"/>
        </w:rPr>
        <w:t>En particular, el 29 de diciembre de 2009 luego de la de</w:t>
      </w:r>
      <w:r w:rsidRPr="00744CE4">
        <w:rPr>
          <w:rFonts w:ascii="Verdana" w:hAnsi="Verdana"/>
          <w:sz w:val="20"/>
          <w:szCs w:val="20"/>
        </w:rPr>
        <w:t>tención de Nitza Paola y José Ángel Alvarado, Obdulia Espinoza se dirigió a la casa de sus suegros, en donde dio cuenta de lo sucedido a su cuñado Jaime Alvarado</w:t>
      </w:r>
      <w:r w:rsidRPr="00744CE4">
        <w:rPr>
          <w:rStyle w:val="Refdenotaalpie"/>
          <w:rFonts w:ascii="Verdana" w:hAnsi="Verdana"/>
          <w:sz w:val="20"/>
          <w:szCs w:val="20"/>
        </w:rPr>
        <w:footnoteReference w:id="161"/>
      </w:r>
      <w:r w:rsidRPr="00744CE4">
        <w:rPr>
          <w:rFonts w:ascii="Verdana" w:hAnsi="Verdana"/>
          <w:sz w:val="20"/>
          <w:szCs w:val="20"/>
        </w:rPr>
        <w:t>, quien en compa</w:t>
      </w:r>
      <w:r w:rsidRPr="00744CE4">
        <w:rPr>
          <w:rFonts w:ascii="Verdana" w:hAnsi="Verdana" w:cs="Arial"/>
          <w:sz w:val="20"/>
          <w:szCs w:val="20"/>
        </w:rPr>
        <w:t>ñí</w:t>
      </w:r>
      <w:r w:rsidRPr="00432ABC">
        <w:rPr>
          <w:rFonts w:ascii="Verdana" w:hAnsi="Verdana"/>
          <w:sz w:val="20"/>
          <w:szCs w:val="20"/>
        </w:rPr>
        <w:t>a de su padre José Ángel Alvarado Fa</w:t>
      </w:r>
      <w:r w:rsidR="00B82930" w:rsidRPr="00432ABC">
        <w:rPr>
          <w:rFonts w:ascii="Verdana" w:hAnsi="Verdana"/>
          <w:sz w:val="20"/>
          <w:szCs w:val="20"/>
        </w:rPr>
        <w:t>b</w:t>
      </w:r>
      <w:r w:rsidRPr="00432ABC">
        <w:rPr>
          <w:rFonts w:ascii="Verdana" w:hAnsi="Verdana"/>
          <w:sz w:val="20"/>
          <w:szCs w:val="20"/>
        </w:rPr>
        <w:t xml:space="preserve">ela, salió en su búsqueda y siguieron a un convoy de dos camionetas, una de ellas con las luces apagadas cuyas características no distinguieron y la otra </w:t>
      </w:r>
      <w:r w:rsidR="008C0086" w:rsidRPr="002C462C">
        <w:rPr>
          <w:rFonts w:ascii="Verdana" w:hAnsi="Verdana"/>
          <w:sz w:val="20"/>
          <w:szCs w:val="20"/>
        </w:rPr>
        <w:t xml:space="preserve">marca </w:t>
      </w:r>
      <w:r w:rsidRPr="002C462C">
        <w:rPr>
          <w:rFonts w:ascii="Verdana" w:hAnsi="Verdana"/>
          <w:sz w:val="20"/>
          <w:szCs w:val="20"/>
        </w:rPr>
        <w:t>Hummer</w:t>
      </w:r>
      <w:r w:rsidRPr="00744CE4">
        <w:rPr>
          <w:rStyle w:val="Refdenotaalpie"/>
          <w:rFonts w:ascii="Verdana" w:hAnsi="Verdana"/>
          <w:sz w:val="20"/>
          <w:szCs w:val="20"/>
        </w:rPr>
        <w:footnoteReference w:id="162"/>
      </w:r>
      <w:r w:rsidRPr="00744CE4">
        <w:rPr>
          <w:rFonts w:ascii="Verdana" w:hAnsi="Verdana"/>
          <w:sz w:val="20"/>
          <w:szCs w:val="20"/>
        </w:rPr>
        <w:t>, en el que supusieron que llevaban detenidos a sus familiares, pero al no darles alcance decidieron volver por temor a sufrir una agresión</w:t>
      </w:r>
      <w:r w:rsidRPr="00744CE4">
        <w:rPr>
          <w:rStyle w:val="Refdenotaalpie"/>
          <w:rFonts w:ascii="Verdana" w:hAnsi="Verdana"/>
          <w:sz w:val="20"/>
          <w:szCs w:val="20"/>
        </w:rPr>
        <w:footnoteReference w:id="163"/>
      </w:r>
      <w:r w:rsidRPr="00744CE4">
        <w:rPr>
          <w:rFonts w:ascii="Verdana" w:hAnsi="Verdana"/>
          <w:sz w:val="20"/>
          <w:szCs w:val="20"/>
        </w:rPr>
        <w:t>. Posteriormente, cerca de las 9:30 de la noche, Jorge Loya (amigo de Nitza Paola), Manuel Reyes Lira y Patricia Reyes Rueda</w:t>
      </w:r>
      <w:r w:rsidRPr="00744CE4">
        <w:rPr>
          <w:rStyle w:val="Refdenotaalpie"/>
          <w:rFonts w:ascii="Verdana" w:hAnsi="Verdana"/>
          <w:sz w:val="20"/>
          <w:szCs w:val="20"/>
        </w:rPr>
        <w:footnoteReference w:id="164"/>
      </w:r>
      <w:r w:rsidRPr="00744CE4">
        <w:rPr>
          <w:rFonts w:ascii="Verdana" w:hAnsi="Verdana"/>
          <w:sz w:val="20"/>
          <w:szCs w:val="20"/>
        </w:rPr>
        <w:t xml:space="preserve"> acudieron ante el  Comandante de Seguridad y Vialidad Pública del Ejido Benito Juárez (Policía Seccional), Mario Castro García, para ponerle en conocimiento de los hechos, tras lo cual los elementos de su corporación procedieron a buscar a las tres presuntas víctimas en el poblado sin lograr localizarlos</w:t>
      </w:r>
      <w:r w:rsidRPr="00744CE4">
        <w:rPr>
          <w:rStyle w:val="Refdenotaalpie"/>
          <w:rFonts w:ascii="Verdana" w:hAnsi="Verdana"/>
          <w:sz w:val="20"/>
          <w:szCs w:val="20"/>
        </w:rPr>
        <w:footnoteReference w:id="165"/>
      </w:r>
      <w:r w:rsidRPr="00744CE4">
        <w:rPr>
          <w:rFonts w:ascii="Verdana" w:hAnsi="Verdana"/>
          <w:sz w:val="20"/>
          <w:szCs w:val="20"/>
        </w:rPr>
        <w:t xml:space="preserve">. </w:t>
      </w:r>
    </w:p>
    <w:p w14:paraId="64AA5E5F" w14:textId="23EEC704"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El 29 de diciembre de 2009, luego de poner en conocimiento de sus familiares la detención de Nitza Paola y José Ángel Alvarado, aproximadamente las 10:30 de la noche</w:t>
      </w:r>
      <w:r w:rsidR="005A0D70">
        <w:rPr>
          <w:rFonts w:ascii="Verdana" w:hAnsi="Verdana"/>
          <w:sz w:val="20"/>
          <w:szCs w:val="20"/>
        </w:rPr>
        <w:t>,</w:t>
      </w:r>
      <w:r w:rsidRPr="00432ABC">
        <w:rPr>
          <w:rFonts w:ascii="Verdana" w:hAnsi="Verdana"/>
          <w:sz w:val="20"/>
          <w:szCs w:val="20"/>
        </w:rPr>
        <w:t xml:space="preserve"> la señora Obdulia Espinoza regresó a pernoctar a la casa de su madre, lugar en donde en la vía pública permanecía abandonada la camioneta de Nitza Paola Alvarado de la cual fueron sustraídos sus familiares. Aproximadamente a las 3:00</w:t>
      </w:r>
      <w:r w:rsidRPr="00744CE4">
        <w:rPr>
          <w:rFonts w:ascii="Verdana" w:hAnsi="Verdana"/>
          <w:sz w:val="20"/>
          <w:szCs w:val="20"/>
          <w:vertAlign w:val="superscript"/>
        </w:rPr>
        <w:footnoteReference w:id="166"/>
      </w:r>
      <w:r w:rsidRPr="00744CE4">
        <w:rPr>
          <w:rFonts w:ascii="Verdana" w:hAnsi="Verdana"/>
          <w:sz w:val="20"/>
          <w:szCs w:val="20"/>
        </w:rPr>
        <w:t xml:space="preserve"> o 4:00</w:t>
      </w:r>
      <w:r w:rsidRPr="00744CE4">
        <w:rPr>
          <w:rFonts w:ascii="Verdana" w:hAnsi="Verdana"/>
          <w:sz w:val="20"/>
          <w:szCs w:val="20"/>
          <w:vertAlign w:val="superscript"/>
        </w:rPr>
        <w:footnoteReference w:id="167"/>
      </w:r>
      <w:r w:rsidRPr="00744CE4">
        <w:rPr>
          <w:rFonts w:ascii="Verdana" w:hAnsi="Verdana"/>
          <w:sz w:val="20"/>
          <w:szCs w:val="20"/>
        </w:rPr>
        <w:t xml:space="preserve"> de la mañana del 30 de diciembre siguiente escuchó ruidos, por lo que se asomó a la ventana y se percató de que en la calle se encontraban alrededor </w:t>
      </w:r>
      <w:r w:rsidRPr="00744CE4">
        <w:rPr>
          <w:rFonts w:ascii="Verdana" w:hAnsi="Verdana"/>
          <w:sz w:val="20"/>
          <w:szCs w:val="20"/>
        </w:rPr>
        <w:lastRenderedPageBreak/>
        <w:t>de seis camionetas de la policía ministerial y una grúa y que los elementos que arribaron en las mismas se encontraban tomando fotografías a dicho vehículo, tras lo cual lo “engancharon” para remolcarlo y se lo llevaron del lugar</w:t>
      </w:r>
      <w:r w:rsidRPr="00744CE4">
        <w:rPr>
          <w:rFonts w:ascii="Verdana" w:hAnsi="Verdana"/>
          <w:sz w:val="20"/>
          <w:szCs w:val="20"/>
          <w:vertAlign w:val="superscript"/>
        </w:rPr>
        <w:footnoteReference w:id="168"/>
      </w:r>
      <w:r w:rsidRPr="00744CE4">
        <w:rPr>
          <w:rFonts w:ascii="Verdana" w:hAnsi="Verdana"/>
          <w:sz w:val="20"/>
          <w:szCs w:val="20"/>
        </w:rPr>
        <w:t>.</w:t>
      </w:r>
    </w:p>
    <w:p w14:paraId="64AA5E61" w14:textId="03D004DB"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 xml:space="preserve">El 30 de diciembre de 2009 los familiares realizaron una búsqueda de las tres personas desaparecidas en los municipios de Villa Ahumada y en Nuevo Casas Grandes, </w:t>
      </w:r>
      <w:r w:rsidRPr="00432ABC">
        <w:rPr>
          <w:rFonts w:ascii="Verdana" w:hAnsi="Verdana" w:cs="Arial"/>
          <w:sz w:val="20"/>
          <w:szCs w:val="20"/>
        </w:rPr>
        <w:t>Chihuahua,</w:t>
      </w:r>
      <w:r w:rsidRPr="00432ABC">
        <w:rPr>
          <w:rFonts w:ascii="Verdana" w:hAnsi="Verdana"/>
          <w:sz w:val="20"/>
          <w:szCs w:val="20"/>
        </w:rPr>
        <w:t xml:space="preserve"> específicamente en el 35 Batallón de Infantería y la Agencia Federal de Investigación [AFI], ubicados en esta última localida</w:t>
      </w:r>
      <w:r w:rsidRPr="002C462C">
        <w:rPr>
          <w:rFonts w:ascii="Verdana" w:hAnsi="Verdana"/>
          <w:sz w:val="20"/>
          <w:szCs w:val="20"/>
        </w:rPr>
        <w:t>d</w:t>
      </w:r>
      <w:r w:rsidRPr="00744CE4">
        <w:rPr>
          <w:rStyle w:val="Refdenotaalpie"/>
          <w:rFonts w:ascii="Verdana" w:hAnsi="Verdana"/>
          <w:sz w:val="20"/>
          <w:szCs w:val="20"/>
        </w:rPr>
        <w:footnoteReference w:id="169"/>
      </w:r>
      <w:r w:rsidRPr="00744CE4">
        <w:rPr>
          <w:rFonts w:ascii="Verdana" w:hAnsi="Verdana"/>
          <w:sz w:val="20"/>
          <w:szCs w:val="20"/>
        </w:rPr>
        <w:t xml:space="preserve">. En la sede del 35 Batallón un soldado manifestó a los familiares que allí no se encontraban las personas detenidas y que iban a preguntarle a “un jefe de apellido Luján”, por lo que en caso de que este último tuviese alguna </w:t>
      </w:r>
      <w:r w:rsidRPr="00744CE4">
        <w:rPr>
          <w:rFonts w:ascii="Verdana" w:hAnsi="Verdana" w:cs="Arial"/>
          <w:sz w:val="20"/>
          <w:szCs w:val="20"/>
        </w:rPr>
        <w:t>información con relación a l</w:t>
      </w:r>
      <w:r w:rsidRPr="00432ABC">
        <w:rPr>
          <w:rFonts w:ascii="Verdana" w:hAnsi="Verdana" w:cs="Arial"/>
          <w:sz w:val="20"/>
          <w:szCs w:val="20"/>
        </w:rPr>
        <w:t>os desaparecidos les sería proporcionada</w:t>
      </w:r>
      <w:r w:rsidRPr="00744CE4">
        <w:rPr>
          <w:rStyle w:val="Refdenotaalpie"/>
          <w:rFonts w:ascii="Verdana" w:hAnsi="Verdana" w:cs="Arial"/>
          <w:sz w:val="20"/>
          <w:szCs w:val="20"/>
        </w:rPr>
        <w:footnoteReference w:id="170"/>
      </w:r>
      <w:r w:rsidRPr="00744CE4">
        <w:rPr>
          <w:rFonts w:ascii="Verdana" w:hAnsi="Verdana" w:cs="Arial"/>
          <w:sz w:val="20"/>
          <w:szCs w:val="20"/>
        </w:rPr>
        <w:t>.</w:t>
      </w:r>
      <w:r w:rsidR="005A0D70">
        <w:rPr>
          <w:rFonts w:ascii="Verdana" w:hAnsi="Verdana" w:cs="Arial"/>
          <w:sz w:val="20"/>
          <w:szCs w:val="20"/>
        </w:rPr>
        <w:t xml:space="preserve"> </w:t>
      </w:r>
      <w:r w:rsidRPr="00744CE4">
        <w:rPr>
          <w:rFonts w:ascii="Verdana" w:hAnsi="Verdana" w:cs="Arial"/>
          <w:sz w:val="20"/>
          <w:szCs w:val="20"/>
        </w:rPr>
        <w:t>Posteriormente, los familiares se trasladaron las instalaciones de la AFI, en donde el personal les indicó que los tres desaparecidos no se encontraban allí y que en caso de que se tratase de soldados quienes los hubiesen detenido, serían “puestos a disposición” ante las autoridades dentro de un plazo de 72 horas</w:t>
      </w:r>
      <w:r w:rsidRPr="00744CE4">
        <w:rPr>
          <w:rStyle w:val="Refdenotaalpie"/>
          <w:rFonts w:ascii="Verdana" w:hAnsi="Verdana" w:cs="Arial"/>
          <w:sz w:val="20"/>
          <w:szCs w:val="20"/>
        </w:rPr>
        <w:footnoteReference w:id="171"/>
      </w:r>
      <w:r w:rsidRPr="00744CE4">
        <w:rPr>
          <w:rFonts w:ascii="Verdana" w:hAnsi="Verdana" w:cs="Arial"/>
          <w:sz w:val="20"/>
          <w:szCs w:val="20"/>
        </w:rPr>
        <w:t xml:space="preserve">. </w:t>
      </w:r>
    </w:p>
    <w:p w14:paraId="64AA5E62" w14:textId="638BE86B"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El 31 de diciembre de 2009 María de Jesús Alvarado Espinoza acudió a la Agencia Estatal de Investigación de la PGJE - Chihuahua [AEI - Chihuahua] en Nuevo Casas Grandes, y se percat</w:t>
      </w:r>
      <w:r w:rsidRPr="00432ABC">
        <w:rPr>
          <w:rFonts w:ascii="Verdana" w:hAnsi="Verdana" w:cs="Arial"/>
          <w:sz w:val="20"/>
          <w:szCs w:val="20"/>
        </w:rPr>
        <w:t>ó</w:t>
      </w:r>
      <w:r w:rsidRPr="00432ABC">
        <w:rPr>
          <w:rFonts w:ascii="Verdana" w:hAnsi="Verdana"/>
          <w:sz w:val="20"/>
          <w:szCs w:val="20"/>
        </w:rPr>
        <w:t xml:space="preserve"> de que en el patio de dichas instalaciones se encontraba la camioneta de la cual fueron sustraídos sus familiares el día de los hechos. María de Jesús Alvarado preguntó al personal la razón por la cual dicho vehículo se enco</w:t>
      </w:r>
      <w:r w:rsidRPr="002C462C">
        <w:rPr>
          <w:rFonts w:ascii="Verdana" w:hAnsi="Verdana"/>
          <w:sz w:val="20"/>
          <w:szCs w:val="20"/>
        </w:rPr>
        <w:t>ntraba en tal dependencia y el personal le informó que dicho vehículo “era de los militares” y que no podía serle devuelto. En razón de lo anterior, dicha familiar decidió tomarle fotografías con su teléfono celular a la referida camioneta, por lo que un gu</w:t>
      </w:r>
      <w:r w:rsidRPr="00744CE4">
        <w:rPr>
          <w:rFonts w:ascii="Verdana" w:hAnsi="Verdana"/>
          <w:sz w:val="20"/>
          <w:szCs w:val="20"/>
        </w:rPr>
        <w:t>ardia le pidió que borrara las mismas “si no quería tener problemas con los militares”, que “la iba a meter presa” y pusieron un guardia en la entrada para prohibirle el paso</w:t>
      </w:r>
      <w:r w:rsidRPr="00744CE4">
        <w:rPr>
          <w:rStyle w:val="Refdenotaalpie"/>
          <w:rFonts w:ascii="Verdana" w:hAnsi="Verdana"/>
          <w:sz w:val="20"/>
          <w:szCs w:val="20"/>
        </w:rPr>
        <w:footnoteReference w:id="172"/>
      </w:r>
      <w:r w:rsidRPr="00744CE4">
        <w:rPr>
          <w:rFonts w:ascii="Verdana" w:hAnsi="Verdana"/>
          <w:sz w:val="20"/>
          <w:szCs w:val="20"/>
        </w:rPr>
        <w:t>. Ese mismo día se entrevistó con el Agente de la Policía Ministerial adscrito a la PGJE – Chihuahua, Hora</w:t>
      </w:r>
      <w:r w:rsidR="000A2F6A">
        <w:rPr>
          <w:rFonts w:ascii="Verdana" w:hAnsi="Verdana"/>
          <w:sz w:val="20"/>
          <w:szCs w:val="20"/>
        </w:rPr>
        <w:t>s</w:t>
      </w:r>
      <w:r w:rsidRPr="00744CE4">
        <w:rPr>
          <w:rFonts w:ascii="Verdana" w:hAnsi="Verdana"/>
          <w:sz w:val="20"/>
          <w:szCs w:val="20"/>
        </w:rPr>
        <w:t>io Flores Martínez, quien negó que las tres personas desaparecidas hubieran estado detenidas en dicha corporación</w:t>
      </w:r>
      <w:r w:rsidRPr="00744CE4">
        <w:rPr>
          <w:rStyle w:val="Refdenotaalpie"/>
          <w:rFonts w:ascii="Verdana" w:hAnsi="Verdana"/>
          <w:sz w:val="20"/>
          <w:szCs w:val="20"/>
        </w:rPr>
        <w:footnoteReference w:id="173"/>
      </w:r>
      <w:r w:rsidRPr="00744CE4">
        <w:rPr>
          <w:rFonts w:ascii="Verdana" w:hAnsi="Verdana"/>
          <w:sz w:val="20"/>
          <w:szCs w:val="20"/>
        </w:rPr>
        <w:t xml:space="preserve">. </w:t>
      </w:r>
    </w:p>
    <w:p w14:paraId="64AA5E65" w14:textId="6CA6B9AA" w:rsidR="002E1C85" w:rsidRPr="00432ABC"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744CE4">
        <w:rPr>
          <w:rFonts w:ascii="Verdana" w:hAnsi="Verdana"/>
          <w:sz w:val="20"/>
          <w:szCs w:val="20"/>
        </w:rPr>
        <w:t>Entre los días 31 de diciembre de 2009 y 6 de enero de 2010, los familiares promovieron diversas denuncias, a sa</w:t>
      </w:r>
      <w:r w:rsidRPr="00432ABC">
        <w:rPr>
          <w:rFonts w:ascii="Verdana" w:hAnsi="Verdana"/>
          <w:sz w:val="20"/>
          <w:szCs w:val="20"/>
        </w:rPr>
        <w:t xml:space="preserve">ber: i) denuncias por el delito de privación ilegal de la libertad, ante la </w:t>
      </w:r>
      <w:r w:rsidRPr="00432ABC">
        <w:rPr>
          <w:rFonts w:ascii="Verdana" w:hAnsi="Verdana"/>
          <w:sz w:val="20"/>
          <w:szCs w:val="20"/>
        </w:rPr>
        <w:lastRenderedPageBreak/>
        <w:t>AMP de Buenaventura, dependiente de la PGJE – Chihuahua</w:t>
      </w:r>
      <w:r w:rsidRPr="00744CE4">
        <w:rPr>
          <w:rStyle w:val="Refdenotaalpie"/>
          <w:rFonts w:ascii="Verdana" w:hAnsi="Verdana"/>
          <w:sz w:val="20"/>
          <w:szCs w:val="20"/>
        </w:rPr>
        <w:footnoteReference w:id="174"/>
      </w:r>
      <w:r w:rsidRPr="00744CE4">
        <w:rPr>
          <w:rFonts w:ascii="Verdana" w:hAnsi="Verdana"/>
          <w:sz w:val="20"/>
          <w:szCs w:val="20"/>
        </w:rPr>
        <w:t xml:space="preserve"> (</w:t>
      </w:r>
      <w:r w:rsidR="00205AF7" w:rsidRPr="00744CE4">
        <w:rPr>
          <w:rFonts w:ascii="Verdana" w:hAnsi="Verdana"/>
          <w:i/>
          <w:sz w:val="20"/>
          <w:szCs w:val="20"/>
        </w:rPr>
        <w:t>infra</w:t>
      </w:r>
      <w:r w:rsidRPr="00432ABC">
        <w:rPr>
          <w:rFonts w:ascii="Verdana" w:hAnsi="Verdana"/>
          <w:i/>
          <w:sz w:val="20"/>
          <w:szCs w:val="20"/>
        </w:rPr>
        <w:t xml:space="preserve"> </w:t>
      </w:r>
      <w:r w:rsidRPr="00432ABC">
        <w:rPr>
          <w:rFonts w:ascii="Verdana" w:hAnsi="Verdana"/>
          <w:sz w:val="20"/>
          <w:szCs w:val="20"/>
        </w:rPr>
        <w:t xml:space="preserve">párr. </w:t>
      </w:r>
      <w:r w:rsidR="00AB26DE">
        <w:rPr>
          <w:rFonts w:ascii="Verdana" w:hAnsi="Verdana"/>
          <w:sz w:val="20"/>
          <w:szCs w:val="20"/>
        </w:rPr>
        <w:t>103</w:t>
      </w:r>
      <w:r w:rsidRPr="00432ABC">
        <w:rPr>
          <w:rFonts w:ascii="Verdana" w:hAnsi="Verdana"/>
          <w:sz w:val="20"/>
          <w:szCs w:val="20"/>
        </w:rPr>
        <w:t>); ii) queja ante la CNDH en Ciudad Juárez, Chihuahua, en contra de la SEDENA por la desaparición de sus familiares</w:t>
      </w:r>
      <w:r w:rsidRPr="00744CE4">
        <w:rPr>
          <w:rStyle w:val="Refdenotaalpie"/>
          <w:rFonts w:ascii="Verdana" w:hAnsi="Verdana"/>
          <w:sz w:val="20"/>
          <w:szCs w:val="20"/>
        </w:rPr>
        <w:footnoteReference w:id="175"/>
      </w:r>
      <w:r w:rsidRPr="00744CE4">
        <w:rPr>
          <w:rFonts w:ascii="Verdana" w:hAnsi="Verdana"/>
          <w:sz w:val="20"/>
          <w:szCs w:val="20"/>
        </w:rPr>
        <w:t xml:space="preserve"> (</w:t>
      </w:r>
      <w:r w:rsidR="00205AF7" w:rsidRPr="00744CE4">
        <w:rPr>
          <w:rFonts w:ascii="Verdana" w:hAnsi="Verdana"/>
          <w:i/>
          <w:sz w:val="20"/>
          <w:szCs w:val="20"/>
        </w:rPr>
        <w:t>infra</w:t>
      </w:r>
      <w:r w:rsidRPr="00432ABC">
        <w:rPr>
          <w:rFonts w:ascii="Verdana" w:hAnsi="Verdana"/>
          <w:i/>
          <w:sz w:val="20"/>
          <w:szCs w:val="20"/>
        </w:rPr>
        <w:t xml:space="preserve"> </w:t>
      </w:r>
      <w:r w:rsidRPr="00432ABC">
        <w:rPr>
          <w:rFonts w:ascii="Verdana" w:hAnsi="Verdana"/>
          <w:sz w:val="20"/>
          <w:szCs w:val="20"/>
        </w:rPr>
        <w:t xml:space="preserve">párr. </w:t>
      </w:r>
      <w:r w:rsidR="00AB26DE">
        <w:rPr>
          <w:rFonts w:ascii="Verdana" w:hAnsi="Verdana"/>
          <w:sz w:val="20"/>
          <w:szCs w:val="20"/>
        </w:rPr>
        <w:t>139</w:t>
      </w:r>
      <w:r w:rsidRPr="00432ABC">
        <w:rPr>
          <w:rFonts w:ascii="Verdana" w:hAnsi="Verdana"/>
          <w:sz w:val="20"/>
          <w:szCs w:val="20"/>
        </w:rPr>
        <w:t>); iii) denuncia por la desaparición ante el Programa para la Atención de Quejas y Denuncias sobre el Operativo Conjunto Juárez en Ciudad Juárez, en donde señaló como responsable de la detención de sus familiares al Coronel Élfego José Luján Ruiz, Comandante del 35 Batallón de Infantería del Ejército</w:t>
      </w:r>
      <w:r w:rsidRPr="00744CE4">
        <w:rPr>
          <w:rStyle w:val="Refdenotaalpie"/>
          <w:rFonts w:ascii="Verdana" w:hAnsi="Verdana"/>
          <w:sz w:val="20"/>
          <w:szCs w:val="20"/>
        </w:rPr>
        <w:footnoteReference w:id="176"/>
      </w:r>
      <w:r w:rsidRPr="00744CE4">
        <w:rPr>
          <w:rFonts w:ascii="Verdana" w:hAnsi="Verdana"/>
          <w:sz w:val="20"/>
          <w:szCs w:val="20"/>
        </w:rPr>
        <w:t xml:space="preserve"> (</w:t>
      </w:r>
      <w:r w:rsidR="00205AF7" w:rsidRPr="00744CE4">
        <w:rPr>
          <w:rFonts w:ascii="Verdana" w:hAnsi="Verdana"/>
          <w:i/>
          <w:sz w:val="20"/>
          <w:szCs w:val="20"/>
        </w:rPr>
        <w:t>infra</w:t>
      </w:r>
      <w:r w:rsidRPr="00432ABC">
        <w:rPr>
          <w:rFonts w:ascii="Verdana" w:hAnsi="Verdana"/>
          <w:i/>
          <w:sz w:val="20"/>
          <w:szCs w:val="20"/>
        </w:rPr>
        <w:t xml:space="preserve"> </w:t>
      </w:r>
      <w:r w:rsidRPr="00432ABC">
        <w:rPr>
          <w:rFonts w:ascii="Verdana" w:hAnsi="Verdana"/>
          <w:sz w:val="20"/>
          <w:szCs w:val="20"/>
        </w:rPr>
        <w:t xml:space="preserve">párr. </w:t>
      </w:r>
      <w:r w:rsidR="00AB26DE">
        <w:rPr>
          <w:rFonts w:ascii="Verdana" w:hAnsi="Verdana"/>
          <w:sz w:val="20"/>
          <w:szCs w:val="20"/>
        </w:rPr>
        <w:t>142</w:t>
      </w:r>
      <w:r w:rsidRPr="00432ABC">
        <w:rPr>
          <w:rFonts w:ascii="Verdana" w:hAnsi="Verdana"/>
          <w:sz w:val="20"/>
          <w:szCs w:val="20"/>
        </w:rPr>
        <w:t>); iv) denuncia por las desapariciones ante el AMPF en Ciudad Juárez, Jesús Durazo Hoyos</w:t>
      </w:r>
      <w:r w:rsidRPr="00744CE4">
        <w:rPr>
          <w:rStyle w:val="Refdenotaalpie"/>
          <w:rFonts w:ascii="Verdana" w:hAnsi="Verdana"/>
          <w:sz w:val="20"/>
          <w:szCs w:val="20"/>
        </w:rPr>
        <w:footnoteReference w:id="177"/>
      </w:r>
      <w:r w:rsidRPr="00744CE4">
        <w:rPr>
          <w:rFonts w:ascii="Verdana" w:hAnsi="Verdana"/>
          <w:sz w:val="20"/>
          <w:szCs w:val="20"/>
        </w:rPr>
        <w:t xml:space="preserve"> (</w:t>
      </w:r>
      <w:r w:rsidR="00205AF7" w:rsidRPr="00744CE4">
        <w:rPr>
          <w:rFonts w:ascii="Verdana" w:hAnsi="Verdana"/>
          <w:i/>
          <w:sz w:val="20"/>
          <w:szCs w:val="20"/>
        </w:rPr>
        <w:t>infra</w:t>
      </w:r>
      <w:r w:rsidRPr="00432ABC">
        <w:rPr>
          <w:rFonts w:ascii="Verdana" w:hAnsi="Verdana"/>
          <w:i/>
          <w:sz w:val="20"/>
          <w:szCs w:val="20"/>
        </w:rPr>
        <w:t xml:space="preserve"> </w:t>
      </w:r>
      <w:r w:rsidRPr="00432ABC">
        <w:rPr>
          <w:rFonts w:ascii="Verdana" w:hAnsi="Verdana"/>
          <w:sz w:val="20"/>
          <w:szCs w:val="20"/>
        </w:rPr>
        <w:t xml:space="preserve">párr. </w:t>
      </w:r>
      <w:r w:rsidR="00AB26DE">
        <w:rPr>
          <w:rFonts w:ascii="Verdana" w:hAnsi="Verdana"/>
          <w:sz w:val="20"/>
          <w:szCs w:val="20"/>
        </w:rPr>
        <w:t>107</w:t>
      </w:r>
      <w:r w:rsidRPr="00432ABC">
        <w:rPr>
          <w:rFonts w:ascii="Verdana" w:hAnsi="Verdana"/>
          <w:sz w:val="20"/>
          <w:szCs w:val="20"/>
        </w:rPr>
        <w:t>); v) demanda de amparo indirecto ante el Juez de Distrito de Amparo en Materia Penal en Ciudad Juárez, Chihuahua, por las detenciones ilegales y en contra de diversas autoridades, entre las cuales se encontraba el entonces Comandante del 35 Batallón</w:t>
      </w:r>
      <w:r w:rsidRPr="00432ABC">
        <w:rPr>
          <w:rFonts w:ascii="Verdana" w:hAnsi="Verdana" w:cs="Arial"/>
          <w:sz w:val="20"/>
          <w:szCs w:val="20"/>
        </w:rPr>
        <w:t>, el Coronel Élfego José Luján Ruiz</w:t>
      </w:r>
      <w:r w:rsidRPr="00744CE4">
        <w:rPr>
          <w:rStyle w:val="Refdenotaalpie"/>
          <w:rFonts w:ascii="Verdana" w:hAnsi="Verdana"/>
          <w:sz w:val="20"/>
          <w:szCs w:val="20"/>
        </w:rPr>
        <w:footnoteReference w:id="178"/>
      </w:r>
      <w:r w:rsidRPr="00744CE4">
        <w:rPr>
          <w:rFonts w:ascii="Verdana" w:hAnsi="Verdana"/>
          <w:sz w:val="20"/>
          <w:szCs w:val="20"/>
        </w:rPr>
        <w:t xml:space="preserve"> (</w:t>
      </w:r>
      <w:r w:rsidR="00205AF7" w:rsidRPr="00744CE4">
        <w:rPr>
          <w:rFonts w:ascii="Verdana" w:hAnsi="Verdana"/>
          <w:i/>
          <w:sz w:val="20"/>
          <w:szCs w:val="20"/>
        </w:rPr>
        <w:t xml:space="preserve">infra </w:t>
      </w:r>
      <w:r w:rsidRPr="00432ABC">
        <w:rPr>
          <w:rFonts w:ascii="Verdana" w:hAnsi="Verdana"/>
          <w:sz w:val="20"/>
          <w:szCs w:val="20"/>
        </w:rPr>
        <w:t xml:space="preserve">párr. </w:t>
      </w:r>
      <w:r w:rsidR="00AB26DE">
        <w:rPr>
          <w:rFonts w:ascii="Verdana" w:hAnsi="Verdana"/>
          <w:sz w:val="20"/>
          <w:szCs w:val="20"/>
        </w:rPr>
        <w:t>137</w:t>
      </w:r>
      <w:r w:rsidRPr="00432ABC">
        <w:rPr>
          <w:rFonts w:ascii="Verdana" w:hAnsi="Verdana"/>
          <w:sz w:val="20"/>
          <w:szCs w:val="20"/>
        </w:rPr>
        <w:t>)</w:t>
      </w:r>
      <w:r w:rsidRPr="00432ABC">
        <w:rPr>
          <w:rFonts w:ascii="Verdana" w:hAnsi="Verdana" w:cs="Arial"/>
          <w:sz w:val="20"/>
          <w:szCs w:val="20"/>
        </w:rPr>
        <w:t xml:space="preserve">. </w:t>
      </w:r>
    </w:p>
    <w:p w14:paraId="64AA5E67" w14:textId="3C177707"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C462C">
        <w:rPr>
          <w:rFonts w:ascii="Verdana" w:hAnsi="Verdana"/>
          <w:sz w:val="20"/>
          <w:szCs w:val="20"/>
        </w:rPr>
        <w:t>El 7 de enero de 2010 el General de Brigada Diplomado de Estado Mayor Felipe de Jesús Espitia Hernández, Comandante de la Quinta Zona Militar [5ªZM] a la cual se encontraba jurisdiccionado el 35 Batallón de Infantería, ordenó una exhaustiva investigación de los hechos al Comandante de la Guarnición Militar de Palomas, Chihuahua, el General Jens Pedro Lohmann Iturburu</w:t>
      </w:r>
      <w:r w:rsidRPr="00744CE4">
        <w:rPr>
          <w:rStyle w:val="Refdenotaalpie"/>
          <w:rFonts w:ascii="Verdana" w:hAnsi="Verdana"/>
          <w:sz w:val="20"/>
          <w:szCs w:val="20"/>
        </w:rPr>
        <w:footnoteReference w:id="179"/>
      </w:r>
      <w:r w:rsidRPr="00744CE4">
        <w:rPr>
          <w:rFonts w:ascii="Verdana" w:hAnsi="Verdana"/>
          <w:sz w:val="20"/>
          <w:szCs w:val="20"/>
        </w:rPr>
        <w:t>, quien remitió su informe el 15 de enero siguiente concluyendo que: “[…] no exist[iero]n elementos de juicio para asegurar o suponer la presencia de personal militar en el levantón [sic] ocurrido el 29 de diciembre de 2009 en el Ejido Benito Juárez, M[unici]pio de Buenaventura, Chih[huahua]”</w:t>
      </w:r>
      <w:r w:rsidRPr="00744CE4">
        <w:rPr>
          <w:rStyle w:val="Refdenotaalpie"/>
          <w:rFonts w:ascii="Verdana" w:hAnsi="Verdana"/>
          <w:sz w:val="20"/>
          <w:szCs w:val="20"/>
        </w:rPr>
        <w:footnoteReference w:id="180"/>
      </w:r>
      <w:r w:rsidRPr="00744CE4">
        <w:rPr>
          <w:rFonts w:ascii="Verdana" w:hAnsi="Verdana"/>
          <w:sz w:val="20"/>
          <w:szCs w:val="20"/>
        </w:rPr>
        <w:t xml:space="preserve">. </w:t>
      </w:r>
    </w:p>
    <w:p w14:paraId="64AA5E69" w14:textId="44302630"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El 8 de enero de 2010</w:t>
      </w:r>
      <w:r w:rsidRPr="00744CE4">
        <w:rPr>
          <w:rStyle w:val="Refdenotaalpie"/>
          <w:rFonts w:ascii="Verdana" w:hAnsi="Verdana"/>
          <w:sz w:val="20"/>
          <w:szCs w:val="20"/>
        </w:rPr>
        <w:footnoteReference w:id="181"/>
      </w:r>
      <w:r w:rsidRPr="00744CE4">
        <w:rPr>
          <w:rFonts w:ascii="Verdana" w:hAnsi="Verdana"/>
          <w:sz w:val="20"/>
          <w:szCs w:val="20"/>
        </w:rPr>
        <w:t xml:space="preserve"> María de Jes</w:t>
      </w:r>
      <w:r w:rsidRPr="00744CE4">
        <w:rPr>
          <w:rFonts w:ascii="Verdana" w:hAnsi="Verdana" w:cs="Arial"/>
          <w:sz w:val="20"/>
          <w:szCs w:val="20"/>
        </w:rPr>
        <w:t>ús Alvarado Espino</w:t>
      </w:r>
      <w:r w:rsidRPr="00432ABC">
        <w:rPr>
          <w:rFonts w:ascii="Verdana" w:hAnsi="Verdana" w:cs="Arial"/>
          <w:sz w:val="20"/>
          <w:szCs w:val="20"/>
        </w:rPr>
        <w:t>za, Rosa Olivia Alvarado Herrera, Obdulia Espinoza Beltrán, así como sus representantes Emilia González Tercero, Luz Estela Castro Rodríguez y Gabino Gómez, acompañados del General Lohmann</w:t>
      </w:r>
      <w:r w:rsidRPr="00744CE4">
        <w:rPr>
          <w:rStyle w:val="Refdenotaalpie"/>
          <w:rFonts w:ascii="Verdana" w:hAnsi="Verdana" w:cs="Arial"/>
          <w:sz w:val="20"/>
          <w:szCs w:val="20"/>
        </w:rPr>
        <w:footnoteReference w:id="182"/>
      </w:r>
      <w:r w:rsidRPr="00744CE4">
        <w:rPr>
          <w:rFonts w:ascii="Verdana" w:hAnsi="Verdana" w:cs="Arial"/>
          <w:sz w:val="20"/>
          <w:szCs w:val="20"/>
        </w:rPr>
        <w:t xml:space="preserve"> ingresaron a las instalaciones del 35 Batallón, sin localizar a los desaparecidos. Posteriormente, el General Lohmann y los familiares y representantes acudieron al depósito de vehículos de la AEI - Chihuahua en Nuevo Casas Grandes, en donde se encontraba bajo resguardo la camioneta de Nitza Paola Alvarado. Tras volver n</w:t>
      </w:r>
      <w:r w:rsidRPr="00432ABC">
        <w:rPr>
          <w:rFonts w:ascii="Verdana" w:hAnsi="Verdana" w:cs="Arial"/>
          <w:sz w:val="20"/>
          <w:szCs w:val="20"/>
        </w:rPr>
        <w:t xml:space="preserve">uevamente al 35 Batallón, el General Lohmann preguntó al Mayor Manuel Gutiérrez, </w:t>
      </w:r>
      <w:r w:rsidRPr="00432ABC">
        <w:rPr>
          <w:rFonts w:ascii="Verdana" w:hAnsi="Verdana" w:cs="Arial"/>
          <w:sz w:val="20"/>
          <w:szCs w:val="20"/>
        </w:rPr>
        <w:lastRenderedPageBreak/>
        <w:t>Jefe de la Sección de Personal, Abastecimientos y Ayudantía del 35 Batallón</w:t>
      </w:r>
      <w:r w:rsidRPr="00744CE4">
        <w:rPr>
          <w:rStyle w:val="Refdenotaalpie"/>
          <w:rFonts w:ascii="Verdana" w:hAnsi="Verdana" w:cs="Arial"/>
          <w:sz w:val="20"/>
          <w:szCs w:val="20"/>
        </w:rPr>
        <w:footnoteReference w:id="183"/>
      </w:r>
      <w:r w:rsidRPr="00744CE4">
        <w:rPr>
          <w:rFonts w:ascii="Verdana" w:hAnsi="Verdana" w:cs="Arial"/>
          <w:sz w:val="20"/>
          <w:szCs w:val="20"/>
        </w:rPr>
        <w:t>, si tenía conocimiento del aseguramiento de dicho vehículo, a lo que contestó que el personal de dicha unidad militar no intervino en el mismo</w:t>
      </w:r>
      <w:r w:rsidRPr="00744CE4">
        <w:rPr>
          <w:rStyle w:val="Refdenotaalpie"/>
          <w:rFonts w:ascii="Verdana" w:hAnsi="Verdana" w:cs="Arial"/>
          <w:sz w:val="20"/>
          <w:szCs w:val="20"/>
        </w:rPr>
        <w:footnoteReference w:id="184"/>
      </w:r>
      <w:r w:rsidRPr="00744CE4">
        <w:rPr>
          <w:rFonts w:ascii="Verdana" w:hAnsi="Verdana" w:cs="Arial"/>
          <w:sz w:val="20"/>
          <w:szCs w:val="20"/>
        </w:rPr>
        <w:t xml:space="preserve">. </w:t>
      </w:r>
    </w:p>
    <w:p w14:paraId="64AA5E6B" w14:textId="6B56E237"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cs="Arial"/>
          <w:sz w:val="20"/>
          <w:szCs w:val="20"/>
        </w:rPr>
        <w:t xml:space="preserve">Con motivo de la queja interpuesta por Jaime Alvarado Herrera el 4 de enero de 2010 ante la CNDH, el 9 de enero de 2010 los familiares se trasladaron a la sede de la </w:t>
      </w:r>
      <w:r w:rsidRPr="002C462C">
        <w:rPr>
          <w:rFonts w:ascii="Verdana" w:hAnsi="Verdana"/>
          <w:sz w:val="20"/>
          <w:szCs w:val="20"/>
        </w:rPr>
        <w:t>5ªZM</w:t>
      </w:r>
      <w:r w:rsidRPr="002C462C">
        <w:rPr>
          <w:rFonts w:ascii="Verdana" w:hAnsi="Verdana" w:cs="Arial"/>
          <w:sz w:val="20"/>
          <w:szCs w:val="20"/>
        </w:rPr>
        <w:t xml:space="preserve"> en la Ciudad de Chih</w:t>
      </w:r>
      <w:r w:rsidRPr="00744CE4">
        <w:rPr>
          <w:rFonts w:ascii="Verdana" w:hAnsi="Verdana" w:cs="Arial"/>
          <w:sz w:val="20"/>
          <w:szCs w:val="20"/>
        </w:rPr>
        <w:t>uahua, en donde se reunieron con el General Felipe de Jesús Espitia Hernández, Comandante de dicha jurisdicción castrense y responsable del Operativo Conjunto Chihuahua, así como el Mayor Carlos Sergio López Ruvalcaba, adscrito a la Dirección de Derechos Humanos de la SEDENA, y el Coronel Élfego José Luján Ruiz, Comandante del 35 Batallón de Infantería del Ejército</w:t>
      </w:r>
      <w:r w:rsidRPr="00744CE4">
        <w:rPr>
          <w:rStyle w:val="Refdenotaalpie"/>
          <w:rFonts w:ascii="Verdana" w:hAnsi="Verdana" w:cs="Arial"/>
          <w:sz w:val="20"/>
          <w:szCs w:val="20"/>
        </w:rPr>
        <w:footnoteReference w:id="185"/>
      </w:r>
      <w:r w:rsidRPr="00744CE4">
        <w:rPr>
          <w:rFonts w:ascii="Verdana" w:hAnsi="Verdana" w:cs="Arial"/>
          <w:sz w:val="20"/>
          <w:szCs w:val="20"/>
        </w:rPr>
        <w:t xml:space="preserve">. En dicha reunión, el Coronel Luján y el General Espitia negaron la participación de elementos castrenses bajo su mando en la desaparición de las tres presuntas víctimas y, en cambio, acusaron a </w:t>
      </w:r>
      <w:r w:rsidRPr="00432ABC">
        <w:rPr>
          <w:rFonts w:ascii="Verdana" w:hAnsi="Verdana" w:cs="Times New Roman"/>
          <w:sz w:val="20"/>
          <w:szCs w:val="20"/>
        </w:rPr>
        <w:t xml:space="preserve">María de Jesús Alvarado de </w:t>
      </w:r>
      <w:r w:rsidRPr="00432ABC">
        <w:rPr>
          <w:rFonts w:ascii="Verdana" w:hAnsi="Verdana" w:cs="Arial"/>
          <w:sz w:val="20"/>
          <w:szCs w:val="20"/>
        </w:rPr>
        <w:t xml:space="preserve">dedicarse al </w:t>
      </w:r>
      <w:r w:rsidRPr="00432ABC">
        <w:rPr>
          <w:rFonts w:ascii="Verdana" w:hAnsi="Verdana" w:cs="Times New Roman"/>
          <w:sz w:val="20"/>
          <w:szCs w:val="20"/>
        </w:rPr>
        <w:t>robo a casas habitación</w:t>
      </w:r>
      <w:r w:rsidRPr="002C462C">
        <w:rPr>
          <w:rFonts w:ascii="Verdana" w:hAnsi="Verdana" w:cs="Arial"/>
          <w:sz w:val="20"/>
          <w:szCs w:val="20"/>
        </w:rPr>
        <w:t>, señalando también que José Ángel Alvarado Herrera se dedicaba al robo de vehículos</w:t>
      </w:r>
      <w:r w:rsidRPr="00744CE4">
        <w:rPr>
          <w:rStyle w:val="Refdenotaalpie"/>
          <w:rFonts w:ascii="Verdana" w:hAnsi="Verdana"/>
          <w:sz w:val="20"/>
          <w:szCs w:val="20"/>
        </w:rPr>
        <w:footnoteReference w:id="186"/>
      </w:r>
      <w:r w:rsidRPr="00744CE4">
        <w:rPr>
          <w:rFonts w:ascii="Verdana" w:hAnsi="Verdana" w:cs="Times New Roman"/>
          <w:sz w:val="20"/>
          <w:szCs w:val="20"/>
        </w:rPr>
        <w:t xml:space="preserve">. </w:t>
      </w:r>
    </w:p>
    <w:p w14:paraId="64AA5E6D" w14:textId="7F314872" w:rsidR="002E1C85" w:rsidRPr="00432ABC" w:rsidRDefault="00556FDB">
      <w:pPr>
        <w:pStyle w:val="Ttulo4"/>
        <w:numPr>
          <w:ilvl w:val="0"/>
          <w:numId w:val="74"/>
        </w:numPr>
        <w:spacing w:before="120" w:after="120"/>
        <w:contextualSpacing w:val="0"/>
        <w:rPr>
          <w:rFonts w:cs="Arial"/>
          <w:u w:val="none"/>
        </w:rPr>
      </w:pPr>
      <w:bookmarkStart w:id="131" w:name="_Toc526783767"/>
      <w:r>
        <w:rPr>
          <w:u w:val="none"/>
        </w:rPr>
        <w:t xml:space="preserve"> </w:t>
      </w:r>
      <w:bookmarkStart w:id="132" w:name="_Toc532995338"/>
      <w:r w:rsidR="002E1C85" w:rsidRPr="00744CE4">
        <w:rPr>
          <w:u w:val="none"/>
        </w:rPr>
        <w:t>Sobre la posible ubicación de los tres desaparecidos</w:t>
      </w:r>
      <w:r w:rsidR="002E1C85" w:rsidRPr="00432ABC">
        <w:rPr>
          <w:u w:val="none"/>
        </w:rPr>
        <w:t xml:space="preserve"> en poder de </w:t>
      </w:r>
      <w:r w:rsidR="002E1C85" w:rsidRPr="00432ABC">
        <w:rPr>
          <w:rFonts w:cs="Arial"/>
          <w:u w:val="none"/>
        </w:rPr>
        <w:t>agentes estatales</w:t>
      </w:r>
      <w:bookmarkEnd w:id="131"/>
      <w:bookmarkEnd w:id="132"/>
    </w:p>
    <w:p w14:paraId="64AA5E6F" w14:textId="06C3BE2A" w:rsidR="002E1C85" w:rsidRPr="002C462C"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cs="Arial"/>
          <w:sz w:val="20"/>
          <w:szCs w:val="20"/>
          <w:lang w:eastAsia="ja-JP"/>
        </w:rPr>
      </w:pPr>
      <w:r w:rsidRPr="002C462C">
        <w:rPr>
          <w:rFonts w:ascii="Verdana" w:hAnsi="Verdana"/>
          <w:sz w:val="20"/>
          <w:szCs w:val="20"/>
        </w:rPr>
        <w:t>El 14 de enero de 2010 María de Jesús Alvarado Espinoza declaró ante la CNDH y manifestó que:</w:t>
      </w:r>
    </w:p>
    <w:p w14:paraId="64AA5E71" w14:textId="591A44AC" w:rsidR="002E1C85" w:rsidRPr="008D0846" w:rsidRDefault="00B4529B">
      <w:pPr>
        <w:pStyle w:val="Prrafodelista"/>
        <w:widowControl w:val="0"/>
        <w:numPr>
          <w:ilvl w:val="2"/>
          <w:numId w:val="4"/>
        </w:numPr>
        <w:tabs>
          <w:tab w:val="left" w:pos="567"/>
          <w:tab w:val="num" w:pos="12305"/>
        </w:tabs>
        <w:adjustRightInd w:val="0"/>
        <w:spacing w:before="120" w:after="120" w:line="240" w:lineRule="auto"/>
        <w:ind w:left="567"/>
        <w:contextualSpacing w:val="0"/>
        <w:jc w:val="both"/>
        <w:textAlignment w:val="baseline"/>
        <w:rPr>
          <w:rFonts w:ascii="Verdana" w:hAnsi="Verdana" w:cs="Arial"/>
          <w:sz w:val="18"/>
          <w:szCs w:val="20"/>
          <w:lang w:eastAsia="ja-JP"/>
        </w:rPr>
      </w:pPr>
      <w:r w:rsidRPr="008D0846">
        <w:rPr>
          <w:rFonts w:ascii="Verdana" w:hAnsi="Verdana"/>
          <w:sz w:val="18"/>
          <w:szCs w:val="20"/>
        </w:rPr>
        <w:t>c</w:t>
      </w:r>
      <w:r w:rsidR="002E1C85" w:rsidRPr="008D0846">
        <w:rPr>
          <w:rFonts w:ascii="Verdana" w:hAnsi="Verdana"/>
          <w:sz w:val="18"/>
          <w:szCs w:val="20"/>
        </w:rPr>
        <w:t>uando acudi</w:t>
      </w:r>
      <w:r w:rsidR="002E1C85" w:rsidRPr="008D0846">
        <w:rPr>
          <w:rFonts w:ascii="Verdana" w:hAnsi="Verdana" w:cs="Arial"/>
          <w:sz w:val="18"/>
          <w:szCs w:val="20"/>
        </w:rPr>
        <w:t>ó el 31 de diciembre de 2009 a promover su denuncia ante el Agente Auxiliar del Ministerio Público de Buenaventura adscrito a la PGJE – Chihuahua [AAMP – Buenaventura] por la desaparición de sus familiares, el titular de dicha dependencia, Aarón Enríquez Duarte le manifestó tener conocimiento de que estos se encontraban en el 35 Batallón de Infantería, le pidió “que guardara discreción” [sic] al respecto</w:t>
      </w:r>
      <w:r w:rsidR="002E1C85" w:rsidRPr="008D0846">
        <w:rPr>
          <w:rStyle w:val="Refdenotaalpie"/>
          <w:rFonts w:ascii="Verdana" w:hAnsi="Verdana" w:cs="Arial"/>
          <w:sz w:val="18"/>
          <w:szCs w:val="20"/>
        </w:rPr>
        <w:footnoteReference w:id="187"/>
      </w:r>
      <w:r w:rsidR="002E1C85" w:rsidRPr="008D0846">
        <w:rPr>
          <w:rFonts w:ascii="Verdana" w:hAnsi="Verdana" w:cs="Arial"/>
          <w:sz w:val="18"/>
          <w:szCs w:val="20"/>
        </w:rPr>
        <w:t>, y que enviaría un oficio para solicitar información a dicha unidad militar</w:t>
      </w:r>
      <w:r w:rsidR="002E1C85" w:rsidRPr="008D0846">
        <w:rPr>
          <w:rStyle w:val="Refdenotaalpie"/>
          <w:rFonts w:ascii="Verdana" w:hAnsi="Verdana" w:cs="Arial"/>
          <w:sz w:val="18"/>
          <w:szCs w:val="20"/>
        </w:rPr>
        <w:footnoteReference w:id="188"/>
      </w:r>
      <w:r w:rsidR="002E1C85" w:rsidRPr="008D0846">
        <w:rPr>
          <w:rFonts w:ascii="Verdana" w:hAnsi="Verdana" w:cs="Arial"/>
          <w:sz w:val="18"/>
          <w:szCs w:val="20"/>
        </w:rPr>
        <w:t>, y</w:t>
      </w:r>
    </w:p>
    <w:p w14:paraId="64AA5E73" w14:textId="40987D5D" w:rsidR="002E1C85" w:rsidRPr="008D0846" w:rsidRDefault="00D50E04">
      <w:pPr>
        <w:pStyle w:val="Prrafodelista"/>
        <w:widowControl w:val="0"/>
        <w:numPr>
          <w:ilvl w:val="2"/>
          <w:numId w:val="4"/>
        </w:numPr>
        <w:tabs>
          <w:tab w:val="left" w:pos="567"/>
          <w:tab w:val="num" w:pos="12305"/>
        </w:tabs>
        <w:adjustRightInd w:val="0"/>
        <w:spacing w:before="120" w:after="120" w:line="240" w:lineRule="auto"/>
        <w:ind w:left="567"/>
        <w:contextualSpacing w:val="0"/>
        <w:jc w:val="both"/>
        <w:textAlignment w:val="baseline"/>
        <w:rPr>
          <w:rFonts w:ascii="Verdana" w:hAnsi="Verdana" w:cs="Arial"/>
          <w:sz w:val="18"/>
          <w:szCs w:val="20"/>
          <w:lang w:eastAsia="ja-JP"/>
        </w:rPr>
      </w:pPr>
      <w:r w:rsidRPr="008D0846">
        <w:rPr>
          <w:rFonts w:ascii="Verdana" w:hAnsi="Verdana" w:cs="Arial"/>
          <w:sz w:val="18"/>
          <w:szCs w:val="20"/>
        </w:rPr>
        <w:lastRenderedPageBreak/>
        <w:t>t</w:t>
      </w:r>
      <w:r w:rsidR="002E1C85" w:rsidRPr="008D0846">
        <w:rPr>
          <w:rFonts w:ascii="Verdana" w:hAnsi="Verdana" w:cs="Arial"/>
          <w:sz w:val="18"/>
          <w:szCs w:val="20"/>
        </w:rPr>
        <w:t>ambién señaló que cuando acudió el 6 de enero de 2010 ante el AMPF en Ciudad Juárez para presentar su denuncia por la desaparición de sus familiares, escuch</w:t>
      </w:r>
      <w:r w:rsidR="002E1C85" w:rsidRPr="008D0846">
        <w:rPr>
          <w:rFonts w:ascii="Verdana" w:hAnsi="Verdana" w:cs="Arial"/>
          <w:sz w:val="18"/>
          <w:szCs w:val="20"/>
          <w:lang w:eastAsia="ja-JP"/>
        </w:rPr>
        <w:t>ó una conversación entre el titular de dicha dependencia, Jesús Durazo Hoyos, y su secretaria, en donde ésta afirmaba que las tres personas desaparecidas se encontraban detenidas en las instalaciones de la “guarnición” y la camioneta de la cual fueron sustraídos se hallaba resguardada en la Agencia Estatal de Investigaciones en Nuevo Casas Grandes, dependiente de la PGJE - Chihuahua</w:t>
      </w:r>
      <w:r w:rsidR="002E1C85" w:rsidRPr="008D0846">
        <w:rPr>
          <w:rStyle w:val="Refdenotaalpie"/>
          <w:rFonts w:ascii="Verdana" w:hAnsi="Verdana" w:cs="Arial"/>
          <w:sz w:val="18"/>
          <w:szCs w:val="20"/>
          <w:lang w:eastAsia="ja-JP"/>
        </w:rPr>
        <w:footnoteReference w:id="189"/>
      </w:r>
      <w:r w:rsidR="002E1C85" w:rsidRPr="008D0846">
        <w:rPr>
          <w:rFonts w:ascii="Verdana" w:hAnsi="Verdana" w:cs="Arial"/>
          <w:sz w:val="18"/>
          <w:szCs w:val="20"/>
          <w:lang w:eastAsia="ja-JP"/>
        </w:rPr>
        <w:t>.</w:t>
      </w:r>
      <w:r w:rsidR="002E1C85" w:rsidRPr="008D0846">
        <w:rPr>
          <w:rStyle w:val="Refdenotaalpie"/>
          <w:rFonts w:ascii="Verdana" w:hAnsi="Verdana" w:cs="Arial"/>
          <w:sz w:val="18"/>
          <w:szCs w:val="20"/>
          <w:lang w:eastAsia="ja-JP"/>
        </w:rPr>
        <w:t xml:space="preserve"> </w:t>
      </w:r>
      <w:r w:rsidR="002E1C85" w:rsidRPr="008D0846">
        <w:rPr>
          <w:rFonts w:ascii="Verdana" w:hAnsi="Verdana" w:cs="Arial"/>
          <w:sz w:val="18"/>
          <w:szCs w:val="20"/>
          <w:lang w:eastAsia="ja-JP"/>
        </w:rPr>
        <w:t>En este contexto, afirmó que una vez que dichos funcionarios se percataron de que se encontraba escuchando su conversación, cerraron la puerta del lugar en el que esta se estaba llevando a cabo</w:t>
      </w:r>
      <w:r w:rsidR="002E1C85" w:rsidRPr="008D0846">
        <w:rPr>
          <w:rStyle w:val="Refdenotaalpie"/>
          <w:rFonts w:ascii="Verdana" w:hAnsi="Verdana" w:cs="Arial"/>
          <w:sz w:val="18"/>
          <w:szCs w:val="20"/>
          <w:lang w:eastAsia="ja-JP"/>
        </w:rPr>
        <w:footnoteReference w:id="190"/>
      </w:r>
      <w:r w:rsidR="002E1C85" w:rsidRPr="008D0846">
        <w:rPr>
          <w:rFonts w:ascii="Verdana" w:hAnsi="Verdana" w:cs="Arial"/>
          <w:sz w:val="18"/>
          <w:szCs w:val="20"/>
          <w:lang w:eastAsia="ja-JP"/>
        </w:rPr>
        <w:t xml:space="preserve">. </w:t>
      </w:r>
    </w:p>
    <w:p w14:paraId="64AA5E75" w14:textId="64DCDE9B"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cs="Arial"/>
          <w:sz w:val="20"/>
          <w:szCs w:val="20"/>
          <w:lang w:eastAsia="ja-JP"/>
        </w:rPr>
      </w:pPr>
      <w:r w:rsidRPr="00744CE4">
        <w:rPr>
          <w:rFonts w:ascii="Verdana" w:hAnsi="Verdana" w:cs="Arial"/>
          <w:sz w:val="20"/>
          <w:szCs w:val="20"/>
          <w:lang w:eastAsia="ja-JP"/>
        </w:rPr>
        <w:t>El 4 de enero de 2010 Jaime Alvarado Herrera declaró ante la CNDH que cuando acudió a las oficinas de la Policía Ministerial de Nue</w:t>
      </w:r>
      <w:r w:rsidRPr="00432ABC">
        <w:rPr>
          <w:rFonts w:ascii="Verdana" w:hAnsi="Verdana" w:cs="Arial"/>
          <w:sz w:val="20"/>
          <w:szCs w:val="20"/>
          <w:lang w:eastAsia="ja-JP"/>
        </w:rPr>
        <w:t xml:space="preserve">vo Casas Grandes se entrevistó con un funcionario de dicha dependencia apellidado “Leyva”, a quien le fueron puestos en conocimiento los hechos. Dicho funcionario, a su vez, se comunicó vía telefónica con el </w:t>
      </w:r>
      <w:r w:rsidRPr="00432ABC">
        <w:rPr>
          <w:rFonts w:ascii="Verdana" w:hAnsi="Verdana" w:cs="Arial"/>
          <w:sz w:val="20"/>
          <w:szCs w:val="20"/>
        </w:rPr>
        <w:t>AAMP – Buenaventura,</w:t>
      </w:r>
      <w:r w:rsidRPr="00432ABC">
        <w:rPr>
          <w:rFonts w:ascii="Verdana" w:hAnsi="Verdana" w:cs="Arial"/>
          <w:sz w:val="20"/>
          <w:szCs w:val="20"/>
          <w:lang w:eastAsia="ja-JP"/>
        </w:rPr>
        <w:t xml:space="preserve"> Aarón Enríquez Duarte, mome</w:t>
      </w:r>
      <w:r w:rsidRPr="002C462C">
        <w:rPr>
          <w:rFonts w:ascii="Verdana" w:hAnsi="Verdana" w:cs="Arial"/>
          <w:sz w:val="20"/>
          <w:szCs w:val="20"/>
          <w:lang w:eastAsia="ja-JP"/>
        </w:rPr>
        <w:t>nto en el que este le manifestó que sus tres familiares se encontraban detenidos en las instalaciones del 35 Batallón</w:t>
      </w:r>
      <w:r w:rsidRPr="00744CE4">
        <w:rPr>
          <w:rStyle w:val="Refdenotaalpie"/>
          <w:rFonts w:ascii="Verdana" w:hAnsi="Verdana" w:cs="Arial"/>
          <w:sz w:val="20"/>
          <w:szCs w:val="20"/>
          <w:lang w:eastAsia="ja-JP"/>
        </w:rPr>
        <w:footnoteReference w:id="191"/>
      </w:r>
      <w:r w:rsidRPr="00744CE4">
        <w:rPr>
          <w:rFonts w:ascii="Verdana" w:hAnsi="Verdana" w:cs="Arial"/>
          <w:sz w:val="20"/>
          <w:szCs w:val="20"/>
          <w:lang w:eastAsia="ja-JP"/>
        </w:rPr>
        <w:t>.</w:t>
      </w:r>
    </w:p>
    <w:p w14:paraId="64AA5E77" w14:textId="176E499B" w:rsidR="002E1C85" w:rsidRPr="002C462C"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744CE4">
        <w:rPr>
          <w:rFonts w:ascii="Verdana" w:hAnsi="Verdana" w:cs="Arial"/>
          <w:sz w:val="20"/>
          <w:szCs w:val="20"/>
          <w:lang w:eastAsia="ja-JP"/>
        </w:rPr>
        <w:t xml:space="preserve">Asimismo, el Sargento Primero Conductor del Ejército, Alberto Hernández de la Cruz, quien entre agosto de 2008 y el 16 de enero de 2010 </w:t>
      </w:r>
      <w:r w:rsidRPr="00432ABC">
        <w:rPr>
          <w:rFonts w:ascii="Verdana" w:hAnsi="Verdana" w:cs="Arial"/>
          <w:sz w:val="20"/>
          <w:szCs w:val="20"/>
          <w:lang w:eastAsia="ja-JP"/>
        </w:rPr>
        <w:t>se desempeñó como chofer del Coronel Élfego Luján</w:t>
      </w:r>
      <w:r w:rsidRPr="00432ABC">
        <w:rPr>
          <w:rFonts w:ascii="Verdana" w:hAnsi="Verdana" w:cs="Arial"/>
          <w:sz w:val="20"/>
          <w:szCs w:val="20"/>
        </w:rPr>
        <w:t xml:space="preserve"> </w:t>
      </w:r>
      <w:r w:rsidRPr="00432ABC">
        <w:rPr>
          <w:rFonts w:ascii="Verdana" w:hAnsi="Verdana" w:cs="Arial"/>
          <w:sz w:val="20"/>
          <w:szCs w:val="20"/>
          <w:lang w:eastAsia="ja-JP"/>
        </w:rPr>
        <w:t xml:space="preserve">Ruiz, </w:t>
      </w:r>
      <w:r w:rsidRPr="00432ABC">
        <w:rPr>
          <w:rFonts w:ascii="Verdana" w:hAnsi="Verdana" w:cs="Arial"/>
          <w:sz w:val="20"/>
          <w:szCs w:val="20"/>
        </w:rPr>
        <w:t>Comandante del 35 Batallón</w:t>
      </w:r>
      <w:r w:rsidRPr="00432ABC">
        <w:rPr>
          <w:rFonts w:ascii="Verdana" w:hAnsi="Verdana" w:cs="Arial"/>
          <w:sz w:val="20"/>
          <w:szCs w:val="20"/>
          <w:lang w:eastAsia="ja-JP"/>
        </w:rPr>
        <w:t xml:space="preserve">, rindió su testimonio ante distintas autoridades con relación a las tres desapariciones, a saber: </w:t>
      </w:r>
    </w:p>
    <w:p w14:paraId="3CFCDBF5" w14:textId="2FFD0501" w:rsidR="004562AE" w:rsidRPr="008D0846" w:rsidRDefault="00B4529B">
      <w:pPr>
        <w:pStyle w:val="Prrafodelista"/>
        <w:widowControl w:val="0"/>
        <w:numPr>
          <w:ilvl w:val="2"/>
          <w:numId w:val="4"/>
        </w:numPr>
        <w:tabs>
          <w:tab w:val="left" w:pos="567"/>
          <w:tab w:val="num" w:pos="12305"/>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cs="Arial"/>
          <w:sz w:val="18"/>
          <w:szCs w:val="20"/>
          <w:lang w:eastAsia="ja-JP"/>
        </w:rPr>
        <w:t>e</w:t>
      </w:r>
      <w:r w:rsidR="002E1C85" w:rsidRPr="008D0846">
        <w:rPr>
          <w:rFonts w:ascii="Verdana" w:hAnsi="Verdana" w:cs="Arial"/>
          <w:sz w:val="18"/>
          <w:szCs w:val="20"/>
          <w:lang w:eastAsia="ja-JP"/>
        </w:rPr>
        <w:t xml:space="preserve">l 5 de febrero de 2010 declaró ante el Agente del Ministerio Público Militar “haberse enterado” de </w:t>
      </w:r>
      <w:r w:rsidR="002E1C85" w:rsidRPr="008D0846">
        <w:rPr>
          <w:rFonts w:ascii="Verdana" w:hAnsi="Verdana" w:cs="Arial"/>
          <w:sz w:val="18"/>
          <w:szCs w:val="20"/>
        </w:rPr>
        <w:t>que el Coronel Luján Ruiz con elementos militares que portaban uniformes de desierto y de selva “levantó” en el Ejido Benito Juárez “a una mujer inválida y a un hombre”, características que corresponderían a Nitza Paola y José Ángel Alvarado. Asimismo, señaló en su declaración que tras la desaparición de las tres personas el 35 Batallón fue “intervenido” por el Comandante de la Guarnición Militar de Puerto Palomas, Chihuahua, el General Jens Pedro Lohmann Iturburu, a efecto de indagar el posible paradero de las tres personas desaparecidas, sin lograr localizarlos en sus instalaciones</w:t>
      </w:r>
      <w:r w:rsidR="002E1C85" w:rsidRPr="008D0846">
        <w:rPr>
          <w:rStyle w:val="Refdenotaalpie"/>
          <w:rFonts w:ascii="Verdana" w:hAnsi="Verdana" w:cs="Arial"/>
          <w:sz w:val="18"/>
          <w:szCs w:val="20"/>
        </w:rPr>
        <w:footnoteReference w:id="192"/>
      </w:r>
      <w:r w:rsidR="002E1C85" w:rsidRPr="008D0846">
        <w:rPr>
          <w:rFonts w:ascii="Verdana" w:hAnsi="Verdana" w:cs="Arial"/>
          <w:sz w:val="18"/>
          <w:szCs w:val="20"/>
        </w:rPr>
        <w:t xml:space="preserve">. El Sargento Primero Hernández de la Cruz también señaló que el 13 de enero de 2010, mientras viajaba de regreso al 35 Batallón en compañía del Coronel Luján Ruiz tras realizar una supervisión en Parral, Chihuahua: </w:t>
      </w:r>
    </w:p>
    <w:p w14:paraId="64AA5E7B" w14:textId="17E7CB71" w:rsidR="002E1C85" w:rsidRPr="00744CE4" w:rsidRDefault="002E1C85">
      <w:pPr>
        <w:pStyle w:val="Prrafodelista"/>
        <w:spacing w:before="120" w:after="120" w:line="240" w:lineRule="auto"/>
        <w:contextualSpacing w:val="0"/>
        <w:jc w:val="both"/>
        <w:rPr>
          <w:rFonts w:ascii="Verdana" w:hAnsi="Verdana"/>
          <w:sz w:val="18"/>
          <w:szCs w:val="20"/>
        </w:rPr>
      </w:pPr>
      <w:r w:rsidRPr="00432ABC">
        <w:rPr>
          <w:rFonts w:ascii="Verdana" w:hAnsi="Verdana"/>
          <w:sz w:val="18"/>
          <w:szCs w:val="20"/>
        </w:rPr>
        <w:t xml:space="preserve">“[…] [E]l [C]oronel Luján Ruiz recibió una llamada telefónica en uno de los cuatro teléfonos celulares que él portaba, escuchando que lo alertaban sobre la presencia del Comandante de la Guarnición de </w:t>
      </w:r>
      <w:r w:rsidRPr="00432ABC">
        <w:rPr>
          <w:rFonts w:ascii="Verdana" w:hAnsi="Verdana"/>
          <w:sz w:val="18"/>
          <w:szCs w:val="20"/>
        </w:rPr>
        <w:lastRenderedPageBreak/>
        <w:t>Palomas, [Jens Pedro Lohmann], percatándome que el Coronel Luján Ruiz con notoria preocupación preguntó: ‘</w:t>
      </w:r>
      <w:r w:rsidRPr="002C462C">
        <w:rPr>
          <w:rFonts w:ascii="Verdana" w:hAnsi="Verdana"/>
          <w:i/>
          <w:sz w:val="18"/>
          <w:szCs w:val="20"/>
        </w:rPr>
        <w:t>y que sabes de la basura que les ordene que sacaran, ya la tiraron?</w:t>
      </w:r>
      <w:r w:rsidRPr="002C462C">
        <w:rPr>
          <w:rFonts w:ascii="Verdana" w:hAnsi="Verdana"/>
          <w:sz w:val="18"/>
          <w:szCs w:val="20"/>
        </w:rPr>
        <w:t>’, escuchando que le decían que sí, desconociendo a qu</w:t>
      </w:r>
      <w:r w:rsidRPr="00744CE4">
        <w:rPr>
          <w:rFonts w:ascii="Verdana" w:hAnsi="Verdana"/>
          <w:sz w:val="18"/>
          <w:szCs w:val="20"/>
        </w:rPr>
        <w:t>é se referían con esa pregunta pero me llamó mucho la atención […]”</w:t>
      </w:r>
      <w:r w:rsidRPr="00744CE4">
        <w:rPr>
          <w:rStyle w:val="Refdenotaalpie"/>
          <w:rFonts w:ascii="Verdana" w:hAnsi="Verdana"/>
          <w:sz w:val="18"/>
          <w:szCs w:val="20"/>
        </w:rPr>
        <w:footnoteReference w:id="193"/>
      </w:r>
      <w:r w:rsidR="00D50E04" w:rsidRPr="00744CE4">
        <w:rPr>
          <w:rFonts w:ascii="Verdana" w:hAnsi="Verdana"/>
          <w:sz w:val="18"/>
          <w:szCs w:val="20"/>
        </w:rPr>
        <w:t>;</w:t>
      </w:r>
    </w:p>
    <w:p w14:paraId="64AA5E7D" w14:textId="3649E428" w:rsidR="002E1C85" w:rsidRPr="008D0846" w:rsidRDefault="00D50E04">
      <w:pPr>
        <w:pStyle w:val="Prrafodelista"/>
        <w:widowControl w:val="0"/>
        <w:numPr>
          <w:ilvl w:val="2"/>
          <w:numId w:val="4"/>
        </w:numPr>
        <w:tabs>
          <w:tab w:val="left" w:pos="567"/>
          <w:tab w:val="num" w:pos="12305"/>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cs="Arial"/>
          <w:sz w:val="18"/>
          <w:szCs w:val="20"/>
        </w:rPr>
        <w:t>c</w:t>
      </w:r>
      <w:r w:rsidR="002E1C85" w:rsidRPr="008D0846">
        <w:rPr>
          <w:rFonts w:ascii="Verdana" w:hAnsi="Verdana" w:cs="Arial"/>
          <w:sz w:val="18"/>
          <w:szCs w:val="20"/>
        </w:rPr>
        <w:t>on relación a dicha información, el 20 de diciembre de 2010 el Supremo Tribunal Militar, dentro del recurso de apelación 61/2010 promovido en otros hechos en los que también supuestamente habría participado personal del 35 Batallón al mando del Coronel Luján Ruiz</w:t>
      </w:r>
      <w:r w:rsidR="002E1C85" w:rsidRPr="008D0846">
        <w:rPr>
          <w:rStyle w:val="Refdenotaalpie"/>
          <w:rFonts w:ascii="Verdana" w:hAnsi="Verdana" w:cs="Arial"/>
          <w:sz w:val="18"/>
          <w:szCs w:val="20"/>
        </w:rPr>
        <w:footnoteReference w:id="194"/>
      </w:r>
      <w:r w:rsidR="002E1C85" w:rsidRPr="008D0846">
        <w:rPr>
          <w:rFonts w:ascii="Verdana" w:hAnsi="Verdana" w:cs="Arial"/>
          <w:sz w:val="18"/>
          <w:szCs w:val="20"/>
        </w:rPr>
        <w:t>, valoró el testimonio del Sargento Primero Hernández de la Cruz como “ineficaz en lo que respecta al asunto que nos ocupa [la desaparición de los tres familiares Alvarado] […] ya que trata de asuntos diversos […] hechos que si bien a todas luces son delictivos, no tienen relación con los hechos que nos ocupan” [sic]</w:t>
      </w:r>
      <w:r w:rsidR="002E1C85" w:rsidRPr="008D0846">
        <w:rPr>
          <w:rStyle w:val="Refdenotaalpie"/>
          <w:rFonts w:ascii="Verdana" w:hAnsi="Verdana" w:cs="Arial"/>
          <w:sz w:val="18"/>
          <w:szCs w:val="20"/>
        </w:rPr>
        <w:footnoteReference w:id="195"/>
      </w:r>
      <w:r w:rsidRPr="008D0846">
        <w:rPr>
          <w:rFonts w:ascii="Verdana" w:hAnsi="Verdana" w:cs="Arial"/>
          <w:sz w:val="18"/>
          <w:szCs w:val="20"/>
        </w:rPr>
        <w:t>;</w:t>
      </w:r>
    </w:p>
    <w:p w14:paraId="64AA5E7F" w14:textId="02BB13F6" w:rsidR="002E1C85" w:rsidRPr="008D0846" w:rsidRDefault="00D50E04">
      <w:pPr>
        <w:pStyle w:val="Prrafodelista"/>
        <w:widowControl w:val="0"/>
        <w:numPr>
          <w:ilvl w:val="2"/>
          <w:numId w:val="4"/>
        </w:numPr>
        <w:tabs>
          <w:tab w:val="left" w:pos="567"/>
          <w:tab w:val="num" w:pos="12305"/>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sz w:val="18"/>
          <w:szCs w:val="20"/>
        </w:rPr>
        <w:t>e</w:t>
      </w:r>
      <w:r w:rsidR="002E1C85" w:rsidRPr="008D0846">
        <w:rPr>
          <w:rFonts w:ascii="Verdana" w:hAnsi="Verdana"/>
          <w:sz w:val="18"/>
          <w:szCs w:val="20"/>
        </w:rPr>
        <w:t xml:space="preserve">l 13 de abril de 2011 compareció ante el Agente del Ministerio Público Militar Especial en Ciudad Juárez, Chihuahua y se retractó de su declaración rendida el </w:t>
      </w:r>
      <w:r w:rsidR="002E1C85" w:rsidRPr="008D0846">
        <w:rPr>
          <w:rFonts w:ascii="Verdana" w:hAnsi="Verdana" w:cs="Arial"/>
          <w:sz w:val="18"/>
          <w:szCs w:val="20"/>
          <w:lang w:eastAsia="ja-JP"/>
        </w:rPr>
        <w:t>5 de febrero de 2010 ante el Agente del Ministerio Público Militar (</w:t>
      </w:r>
      <w:r w:rsidR="002E1C85" w:rsidRPr="008D0846">
        <w:rPr>
          <w:rFonts w:ascii="Verdana" w:hAnsi="Verdana" w:cs="Arial"/>
          <w:i/>
          <w:sz w:val="18"/>
          <w:szCs w:val="20"/>
          <w:lang w:eastAsia="ja-JP"/>
        </w:rPr>
        <w:t xml:space="preserve">supra, </w:t>
      </w:r>
      <w:r w:rsidR="002E1C85" w:rsidRPr="008D0846">
        <w:rPr>
          <w:rFonts w:ascii="Verdana" w:hAnsi="Verdana" w:cs="Arial"/>
          <w:sz w:val="18"/>
          <w:szCs w:val="20"/>
          <w:lang w:eastAsia="ja-JP"/>
        </w:rPr>
        <w:t>numeral i). C</w:t>
      </w:r>
      <w:r w:rsidR="002E1C85" w:rsidRPr="008D0846">
        <w:rPr>
          <w:rFonts w:ascii="Verdana" w:hAnsi="Verdana"/>
          <w:sz w:val="18"/>
          <w:szCs w:val="20"/>
        </w:rPr>
        <w:t>on relación a las tres desapariciones manifestó no recordar si salió a algún lugar en compañía del Coronel Luján el día de los hechos; que se enteró por la radio comercial –estación 104.9- cerca de las 7:00 de la mañana de que “levantaron a un hombre inválido y a una mujer en el poblado Benito Juárez”, pero que no recordaba en qué día esto sucedió. Agregó “que no estuvo ahí”; no haberse dado cuenta “de la detención”; “que no supo de eso”; “que no se enteró de eso, ya que él solo se dedicaba a manejar”; “que no tuvo conocimiento del hecho”; que solo lo escuchó por la radio comercial, pero que no vio que hubieran detenido “a un hombre inválido y a una mujer”, “que él nunca manejaba en terracería” y que “nunca” trasladó al Coronel Luján al Ejido Benito Juárez</w:t>
      </w:r>
      <w:r w:rsidR="002E1C85" w:rsidRPr="008D0846">
        <w:rPr>
          <w:rStyle w:val="Refdenotaalpie"/>
          <w:rFonts w:ascii="Verdana" w:hAnsi="Verdana"/>
          <w:sz w:val="18"/>
          <w:szCs w:val="20"/>
        </w:rPr>
        <w:footnoteReference w:id="196"/>
      </w:r>
      <w:r w:rsidRPr="008D0846">
        <w:rPr>
          <w:rFonts w:ascii="Verdana" w:hAnsi="Verdana"/>
          <w:sz w:val="18"/>
          <w:szCs w:val="20"/>
        </w:rPr>
        <w:t>;</w:t>
      </w:r>
    </w:p>
    <w:p w14:paraId="64AA5E81" w14:textId="44A89FF7" w:rsidR="002E1C85" w:rsidRPr="008D0846" w:rsidRDefault="00D50E04">
      <w:pPr>
        <w:pStyle w:val="Prrafodelista"/>
        <w:widowControl w:val="0"/>
        <w:numPr>
          <w:ilvl w:val="2"/>
          <w:numId w:val="4"/>
        </w:numPr>
        <w:tabs>
          <w:tab w:val="left" w:pos="567"/>
          <w:tab w:val="num" w:pos="12305"/>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cs="Arial"/>
          <w:sz w:val="18"/>
          <w:szCs w:val="20"/>
        </w:rPr>
        <w:t>e</w:t>
      </w:r>
      <w:r w:rsidR="002E1C85" w:rsidRPr="008D0846">
        <w:rPr>
          <w:rFonts w:ascii="Verdana" w:hAnsi="Verdana" w:cs="Arial"/>
          <w:sz w:val="18"/>
          <w:szCs w:val="20"/>
        </w:rPr>
        <w:t xml:space="preserve">l 30 de junio de 2014 testificó ante la Unidad Especializada </w:t>
      </w:r>
      <w:r w:rsidR="002E1C85" w:rsidRPr="008D0846">
        <w:rPr>
          <w:rFonts w:ascii="Verdana" w:hAnsi="Verdana"/>
          <w:sz w:val="18"/>
          <w:szCs w:val="20"/>
        </w:rPr>
        <w:t xml:space="preserve">UEBPD – PGR </w:t>
      </w:r>
      <w:r w:rsidR="002E1C85" w:rsidRPr="008D0846">
        <w:rPr>
          <w:rFonts w:ascii="Verdana" w:hAnsi="Verdana" w:cs="Arial"/>
          <w:sz w:val="18"/>
          <w:szCs w:val="20"/>
        </w:rPr>
        <w:t>y se retractó nuevamente de su declaración inicial rendida el 5 de febrero de 2010 ante el Agente del Ministerio Público Militar, mencionando que se había enterado de dicho “levantón” [detención ilegal] a través de la radio comercial sin recordar la fecha en que éste ocurrió y que no refirió anteriormente cómo se había enterado de los hechos porque no se le preguntó expresamente; que desconocía el tipo de invalidez que padecía la mujer que mencionó en dicha declaración; que el Coronel Luján “en ningún momento” le comentó sobre dicho “levantón” y tampoco algún otro miembro del 35 Batallón; que no recibió amenaza, presión o promesa de beneficio económico a cambio de abstenerse de dar detalles de tal “levantón”, y, finalmente, que la conducta de nerviosismo que había observado en el Coronel Luján se debía “[al] estrés que había en el [35] Batallón dada la carga de trabajo que tenía”</w:t>
      </w:r>
      <w:r w:rsidR="002E1C85" w:rsidRPr="008D0846">
        <w:rPr>
          <w:rStyle w:val="Refdenotaalpie"/>
          <w:rFonts w:ascii="Verdana" w:hAnsi="Verdana" w:cs="Arial"/>
          <w:sz w:val="18"/>
          <w:szCs w:val="20"/>
        </w:rPr>
        <w:footnoteReference w:id="197"/>
      </w:r>
      <w:r w:rsidRPr="008D0846">
        <w:rPr>
          <w:rFonts w:ascii="Verdana" w:hAnsi="Verdana" w:cs="Arial"/>
          <w:sz w:val="18"/>
          <w:szCs w:val="20"/>
        </w:rPr>
        <w:t>, y</w:t>
      </w:r>
    </w:p>
    <w:p w14:paraId="64AA5E83" w14:textId="09FB683C" w:rsidR="002E1C85" w:rsidRPr="008D0846" w:rsidRDefault="00D50E04">
      <w:pPr>
        <w:pStyle w:val="Prrafodelista"/>
        <w:widowControl w:val="0"/>
        <w:numPr>
          <w:ilvl w:val="2"/>
          <w:numId w:val="4"/>
        </w:numPr>
        <w:tabs>
          <w:tab w:val="left" w:pos="567"/>
          <w:tab w:val="num" w:pos="12305"/>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sz w:val="18"/>
          <w:szCs w:val="20"/>
        </w:rPr>
        <w:t>r</w:t>
      </w:r>
      <w:r w:rsidR="002E1C85" w:rsidRPr="008D0846">
        <w:rPr>
          <w:rFonts w:ascii="Verdana" w:hAnsi="Verdana"/>
          <w:sz w:val="18"/>
          <w:szCs w:val="20"/>
        </w:rPr>
        <w:t>especto de ésta última declaración, el Agente del Ministerio Público de la Federación adscrito a la Unidad Especializada de Búsqueda de Personas Desaparecidas de la Procuraduría general de la República [UEBPD – PGR], al ejercer acción penal el 31 de marzo de 2014 en contra del Coronel Élfego José Luján por su presunta responsabilidad en la desaparición de las tres presuntas víctimas (</w:t>
      </w:r>
      <w:r w:rsidR="00205AF7" w:rsidRPr="008D0846">
        <w:rPr>
          <w:rFonts w:ascii="Verdana" w:hAnsi="Verdana"/>
          <w:i/>
          <w:sz w:val="18"/>
          <w:szCs w:val="20"/>
        </w:rPr>
        <w:t>infra</w:t>
      </w:r>
      <w:r w:rsidR="002E1C85" w:rsidRPr="008D0846">
        <w:rPr>
          <w:rFonts w:ascii="Verdana" w:hAnsi="Verdana"/>
          <w:i/>
          <w:sz w:val="18"/>
          <w:szCs w:val="20"/>
        </w:rPr>
        <w:t xml:space="preserve"> </w:t>
      </w:r>
      <w:r w:rsidR="002E1C85" w:rsidRPr="008D0846">
        <w:rPr>
          <w:rFonts w:ascii="Verdana" w:hAnsi="Verdana"/>
          <w:sz w:val="18"/>
          <w:szCs w:val="20"/>
        </w:rPr>
        <w:t xml:space="preserve">párr. </w:t>
      </w:r>
      <w:r w:rsidR="00693236" w:rsidRPr="008D0846">
        <w:rPr>
          <w:rFonts w:ascii="Verdana" w:hAnsi="Verdana"/>
          <w:sz w:val="18"/>
          <w:szCs w:val="20"/>
        </w:rPr>
        <w:t>124</w:t>
      </w:r>
      <w:r w:rsidR="002E1C85" w:rsidRPr="008D0846">
        <w:rPr>
          <w:rFonts w:ascii="Verdana" w:hAnsi="Verdana"/>
          <w:sz w:val="18"/>
          <w:szCs w:val="20"/>
        </w:rPr>
        <w:t>) consideró que:</w:t>
      </w:r>
    </w:p>
    <w:p w14:paraId="64AA5E85" w14:textId="147D7C0E" w:rsidR="002E1C85" w:rsidRPr="00744CE4" w:rsidRDefault="002E1C85">
      <w:pPr>
        <w:autoSpaceDE w:val="0"/>
        <w:autoSpaceDN w:val="0"/>
        <w:adjustRightInd w:val="0"/>
        <w:spacing w:before="120" w:after="120" w:line="240" w:lineRule="auto"/>
        <w:ind w:left="720"/>
        <w:jc w:val="both"/>
        <w:rPr>
          <w:rFonts w:ascii="Verdana" w:eastAsiaTheme="minorHAnsi" w:hAnsi="Verdana" w:cs="Cambria"/>
          <w:sz w:val="18"/>
          <w:szCs w:val="20"/>
        </w:rPr>
      </w:pPr>
      <w:r w:rsidRPr="00744CE4">
        <w:rPr>
          <w:rFonts w:ascii="Verdana" w:eastAsiaTheme="minorHAnsi" w:hAnsi="Verdana" w:cs="Cambria"/>
          <w:sz w:val="18"/>
          <w:szCs w:val="20"/>
        </w:rPr>
        <w:t>“[…] [D]ebe desestimarse la pretendida retractación del conductor [</w:t>
      </w:r>
      <w:r w:rsidRPr="00744CE4">
        <w:rPr>
          <w:rFonts w:ascii="Verdana" w:hAnsi="Verdana" w:cs="Arial"/>
          <w:sz w:val="18"/>
          <w:szCs w:val="20"/>
        </w:rPr>
        <w:t>Alberto Hernández de la Cruz</w:t>
      </w:r>
      <w:r w:rsidRPr="00744CE4">
        <w:rPr>
          <w:rFonts w:ascii="Verdana" w:eastAsiaTheme="minorHAnsi" w:hAnsi="Verdana" w:cs="Cambria"/>
          <w:sz w:val="18"/>
          <w:szCs w:val="20"/>
        </w:rPr>
        <w:t xml:space="preserve">] porque no está fortalecida con ningún medio de prueba, además resulta contradictoria con las circunstancias que introduce en su primer declaración y, fundamentalmente, porque la declaración </w:t>
      </w:r>
      <w:r w:rsidRPr="00744CE4">
        <w:rPr>
          <w:rFonts w:ascii="Verdana" w:eastAsiaTheme="minorHAnsi" w:hAnsi="Verdana" w:cs="Cambria"/>
          <w:sz w:val="18"/>
          <w:szCs w:val="20"/>
        </w:rPr>
        <w:lastRenderedPageBreak/>
        <w:t>primaria adquiere un valor preponderante cuando es rendida con cercanía a los hechos, de manera libre y espontánea y desprovista de elementos que afecten su veracidad […]”</w:t>
      </w:r>
      <w:r w:rsidRPr="00744CE4">
        <w:rPr>
          <w:rStyle w:val="Refdenotaalpie"/>
          <w:rFonts w:ascii="Verdana" w:eastAsiaTheme="minorHAnsi" w:hAnsi="Verdana" w:cs="Cambria"/>
          <w:sz w:val="18"/>
          <w:szCs w:val="20"/>
        </w:rPr>
        <w:footnoteReference w:id="198"/>
      </w:r>
      <w:r w:rsidR="00E01110" w:rsidRPr="00744CE4">
        <w:rPr>
          <w:rFonts w:ascii="Verdana" w:eastAsiaTheme="minorHAnsi" w:hAnsi="Verdana" w:cs="Cambria"/>
          <w:sz w:val="18"/>
          <w:szCs w:val="20"/>
        </w:rPr>
        <w:t>.</w:t>
      </w:r>
    </w:p>
    <w:p w14:paraId="64AA5E87" w14:textId="32D1CCC5" w:rsidR="002E1C85" w:rsidRPr="00432ABC"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 xml:space="preserve">En relación con la presunta detención y puesta a disposición de las tres personas desaparecidas por parte de personal militar ante autoridades ministeriales del Estado de Chihuahua, constan en el acervo probatorio diversos testimonios de agentes estatales; a saber: </w:t>
      </w:r>
    </w:p>
    <w:p w14:paraId="64AA5E89" w14:textId="5F608D4D" w:rsidR="002E1C85" w:rsidRPr="008D0846" w:rsidRDefault="00B4529B">
      <w:pPr>
        <w:pStyle w:val="Prrafodelista"/>
        <w:numPr>
          <w:ilvl w:val="2"/>
          <w:numId w:val="4"/>
        </w:numPr>
        <w:spacing w:before="120" w:after="120" w:line="240" w:lineRule="auto"/>
        <w:ind w:left="567"/>
        <w:contextualSpacing w:val="0"/>
        <w:jc w:val="both"/>
        <w:rPr>
          <w:rFonts w:ascii="Verdana" w:hAnsi="Verdana"/>
          <w:sz w:val="18"/>
          <w:szCs w:val="20"/>
        </w:rPr>
      </w:pPr>
      <w:r w:rsidRPr="008D0846">
        <w:rPr>
          <w:rFonts w:ascii="Verdana" w:hAnsi="Verdana"/>
          <w:sz w:val="18"/>
          <w:szCs w:val="20"/>
        </w:rPr>
        <w:t>e</w:t>
      </w:r>
      <w:r w:rsidR="002E1C85" w:rsidRPr="008D0846">
        <w:rPr>
          <w:rFonts w:ascii="Verdana" w:hAnsi="Verdana"/>
          <w:sz w:val="18"/>
          <w:szCs w:val="20"/>
        </w:rPr>
        <w:t>l 30 de diciembre de 2009 Argene Blásquez Morales, encargada de Política Criminal en la PGR - Chihuahua, recibió una llamada telefónica de alguien que se identificó  como “Comandante de la Policía Federal”, quien le indicó que tenía conocimiento de una detención que había realizado personal militar y le solicitó su intervención para poder entrevistar a unas personas que supuestamente estaban detenidas por personal militar, quienes se encontrarían relacionados con la desaparición de unos agentes de su corporación. Ante dicha petición, la señora Blásquez Morales le indicó que acudiera con el AMPF de Nuevo Casas Grandes, dado que en razón de competencia correspondía conocer del asunto a este último. Tras concluir dicha llamada, Argene Blásquez se comunicó con el titular de dicha dependencia, Ramón Iván Sotomayor Siller, para informarle que los supuestos elementos de la Policía Federal “irían con él para plantearle alguna situación institucional respecto a una puesta a disposición que, según ellos, realizaría personal militar”</w:t>
      </w:r>
      <w:r w:rsidR="002E1C85" w:rsidRPr="008D0846">
        <w:rPr>
          <w:rStyle w:val="Refdenotaalpie"/>
          <w:rFonts w:ascii="Verdana" w:hAnsi="Verdana"/>
          <w:sz w:val="18"/>
          <w:szCs w:val="20"/>
        </w:rPr>
        <w:footnoteReference w:id="199"/>
      </w:r>
      <w:r w:rsidR="00D50E04" w:rsidRPr="008D0846">
        <w:rPr>
          <w:rFonts w:ascii="Verdana" w:hAnsi="Verdana"/>
          <w:sz w:val="18"/>
          <w:szCs w:val="20"/>
        </w:rPr>
        <w:t>;</w:t>
      </w:r>
      <w:r w:rsidR="002E1C85" w:rsidRPr="008D0846">
        <w:rPr>
          <w:rFonts w:ascii="Verdana" w:hAnsi="Verdana"/>
          <w:sz w:val="18"/>
          <w:szCs w:val="20"/>
        </w:rPr>
        <w:t xml:space="preserve"> </w:t>
      </w:r>
    </w:p>
    <w:p w14:paraId="64AA5E8B" w14:textId="72809810" w:rsidR="002E1C85" w:rsidRPr="008D0846" w:rsidRDefault="00D50E04">
      <w:pPr>
        <w:pStyle w:val="Prrafodelista"/>
        <w:widowControl w:val="0"/>
        <w:numPr>
          <w:ilvl w:val="2"/>
          <w:numId w:val="4"/>
        </w:numPr>
        <w:tabs>
          <w:tab w:val="left" w:pos="567"/>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sz w:val="18"/>
          <w:szCs w:val="20"/>
        </w:rPr>
        <w:t>a</w:t>
      </w:r>
      <w:r w:rsidR="002E1C85" w:rsidRPr="008D0846">
        <w:rPr>
          <w:rFonts w:ascii="Verdana" w:hAnsi="Verdana"/>
          <w:sz w:val="18"/>
          <w:szCs w:val="20"/>
        </w:rPr>
        <w:t xml:space="preserve">l respecto, Ramón Iván Sotomayor Siller, AMPF en Nuevo Casas Grandes al momento de las 3 desapariciones declaró: </w:t>
      </w:r>
    </w:p>
    <w:p w14:paraId="0F4BFE4A" w14:textId="4A56A249" w:rsidR="00EC08E0" w:rsidRPr="00744CE4" w:rsidRDefault="002E1C85">
      <w:pPr>
        <w:pStyle w:val="Prrafodelista"/>
        <w:autoSpaceDE w:val="0"/>
        <w:autoSpaceDN w:val="0"/>
        <w:adjustRightInd w:val="0"/>
        <w:spacing w:before="120" w:after="120" w:line="240" w:lineRule="auto"/>
        <w:contextualSpacing w:val="0"/>
        <w:jc w:val="both"/>
        <w:rPr>
          <w:rFonts w:ascii="Verdana" w:hAnsi="Verdana"/>
          <w:sz w:val="18"/>
          <w:szCs w:val="20"/>
        </w:rPr>
      </w:pPr>
      <w:r w:rsidRPr="002C462C">
        <w:rPr>
          <w:rFonts w:ascii="Verdana" w:hAnsi="Verdana"/>
          <w:sz w:val="18"/>
          <w:szCs w:val="20"/>
        </w:rPr>
        <w:t>“[…] Me enteré de [la desaparición de las tres presuntas víctimas] hasta el día treinta de [diciembre de 2009], al recibir una llamada del guardia Eduardo Rentería quien me manifestó que la licenciada Argene [Blásquez Morales] me estaba buscando de urgencia […] por lo que de inmediato le marqué de mi celular […] [Argene Blásquez] me manifestó que en el transcurso del día iría un comandante de la Policía Federal de apell</w:t>
      </w:r>
      <w:r w:rsidRPr="00744CE4">
        <w:rPr>
          <w:rFonts w:ascii="Verdana" w:hAnsi="Verdana"/>
          <w:sz w:val="18"/>
          <w:szCs w:val="20"/>
        </w:rPr>
        <w:t>ido “Meza”, para interrogar a tres personas que yo ten[dr]ía a mi disposición, mismas que estaban relacionadas con la desaparición de dos o tres agentes de la [P]olicía [F]ederal, por lo que le manifesté […] que no tenía a nadie detenido, ni a los tres que mencionó ni a ningún otro, y menos puesto a disposición [sic], diciéndome la licenciada Blásquez que entonces en el transcurso los soldados pondrían a disposición a estas personas, reiterándome [su petición] la licenciada Blásquez [para] que le brindara todo el apoyo a los policías federales que irían a entrevistarlos […]”</w:t>
      </w:r>
      <w:r w:rsidRPr="00744CE4">
        <w:rPr>
          <w:rStyle w:val="Refdenotaalpie"/>
          <w:rFonts w:ascii="Verdana" w:hAnsi="Verdana"/>
          <w:sz w:val="18"/>
          <w:szCs w:val="20"/>
        </w:rPr>
        <w:footnoteReference w:id="200"/>
      </w:r>
      <w:r w:rsidR="00D50E04" w:rsidRPr="00744CE4">
        <w:rPr>
          <w:rFonts w:ascii="Verdana" w:hAnsi="Verdana"/>
          <w:sz w:val="18"/>
          <w:szCs w:val="20"/>
        </w:rPr>
        <w:t>;</w:t>
      </w:r>
    </w:p>
    <w:p w14:paraId="64AA5E8F" w14:textId="2D2925C9" w:rsidR="002E1C85" w:rsidRPr="008D0846" w:rsidRDefault="00D50E04">
      <w:pPr>
        <w:pStyle w:val="Prrafodelista"/>
        <w:widowControl w:val="0"/>
        <w:numPr>
          <w:ilvl w:val="2"/>
          <w:numId w:val="4"/>
        </w:numPr>
        <w:tabs>
          <w:tab w:val="left" w:pos="567"/>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sz w:val="18"/>
          <w:szCs w:val="20"/>
        </w:rPr>
        <w:t>e</w:t>
      </w:r>
      <w:r w:rsidR="002E1C85" w:rsidRPr="008D0846">
        <w:rPr>
          <w:rFonts w:ascii="Verdana" w:hAnsi="Verdana"/>
          <w:sz w:val="18"/>
          <w:szCs w:val="20"/>
        </w:rPr>
        <w:t>l 30 de diciembre de 2009 Damaris Baglietto Hernández, Subdelegada de la PGR - Chihuahua se enteró de la desaparición de las presuntas víctimas por una llamada telefónica que recibió de Ramón Iván Sotomayor Siller, AMPF en Nuevo Casas Grandes. En dicha llamada, el agente Sotomayor le informó de la llamada de Argene Blásquez Morales preguntando por las tres personas desaparecidas y que el agente Sotomayor le contestó que ninguno de ellos se encontraba detenido bajo su custodia. También fue informada de que la señora Blásquez indicó al agente Sotomayor que, “entonces”, durante el transcurso de ese día “los soldados” pondrían a su disposición a los detenidos y le pidió que facilitara al “Comandante Meza” el acceso a tales personas para que éste los entrevistara con relación a la desaparición de dos o tres agentes de su corporación</w:t>
      </w:r>
      <w:r w:rsidR="002E1C85" w:rsidRPr="008D0846">
        <w:rPr>
          <w:rStyle w:val="Refdenotaalpie"/>
          <w:rFonts w:ascii="Verdana" w:hAnsi="Verdana"/>
          <w:sz w:val="18"/>
          <w:szCs w:val="20"/>
        </w:rPr>
        <w:footnoteReference w:id="201"/>
      </w:r>
      <w:r w:rsidRPr="008D0846">
        <w:rPr>
          <w:rFonts w:ascii="Verdana" w:hAnsi="Verdana"/>
          <w:sz w:val="18"/>
          <w:szCs w:val="20"/>
        </w:rPr>
        <w:t>;</w:t>
      </w:r>
    </w:p>
    <w:p w14:paraId="64AA5E91" w14:textId="46EEDFFF" w:rsidR="002E1C85" w:rsidRPr="008D0846" w:rsidRDefault="00D50E04">
      <w:pPr>
        <w:pStyle w:val="Prrafodelista"/>
        <w:widowControl w:val="0"/>
        <w:numPr>
          <w:ilvl w:val="2"/>
          <w:numId w:val="4"/>
        </w:numPr>
        <w:tabs>
          <w:tab w:val="left" w:pos="567"/>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sz w:val="18"/>
          <w:szCs w:val="20"/>
        </w:rPr>
        <w:t>e</w:t>
      </w:r>
      <w:r w:rsidR="002E1C85" w:rsidRPr="008D0846">
        <w:rPr>
          <w:rFonts w:ascii="Verdana" w:hAnsi="Verdana"/>
          <w:sz w:val="18"/>
          <w:szCs w:val="20"/>
        </w:rPr>
        <w:t>n la misma comunicación telefónica, tras ser puesta en conocimiento de los hechos, Damaris Baglietto indicó al agente Sotomayor que en caso de presentarse el supuesto “Comandante Meza” para entrevistar a los detenidos le solicitara previamente su oficio de investigación. Tras concluir dicha llamada, Damaris Baglietto se comunicó vía telefónica entre las 15:00 y 17:00 horas</w:t>
      </w:r>
      <w:r w:rsidR="002E1C85" w:rsidRPr="008D0846">
        <w:rPr>
          <w:rStyle w:val="Refdenotaalpie"/>
          <w:rFonts w:ascii="Verdana" w:hAnsi="Verdana"/>
          <w:sz w:val="18"/>
          <w:szCs w:val="20"/>
        </w:rPr>
        <w:footnoteReference w:id="202"/>
      </w:r>
      <w:r w:rsidR="002E1C85" w:rsidRPr="008D0846">
        <w:rPr>
          <w:rFonts w:ascii="Verdana" w:hAnsi="Verdana"/>
          <w:sz w:val="18"/>
          <w:szCs w:val="20"/>
        </w:rPr>
        <w:t xml:space="preserve"> con el Coronel Élfego Luj</w:t>
      </w:r>
      <w:r w:rsidR="002E1C85" w:rsidRPr="008D0846">
        <w:rPr>
          <w:rFonts w:ascii="Verdana" w:hAnsi="Verdana" w:cs="Arial"/>
          <w:sz w:val="18"/>
          <w:szCs w:val="20"/>
        </w:rPr>
        <w:t xml:space="preserve">án, Comandante del 35 Batallón, para solicitarle que “los detenidos” no fuesen remitidos a las instalaciones de la AMPF de Nuevo Casas Grandes dado que “podía [sic] tratarse de gente peligrosa […] y las instalaciones no cuentan con las medidas de seguridad”, y para que en caso de que las tuviera </w:t>
      </w:r>
      <w:r w:rsidR="002E1C85" w:rsidRPr="008D0846">
        <w:rPr>
          <w:rFonts w:ascii="Verdana" w:hAnsi="Verdana" w:cs="Arial"/>
          <w:sz w:val="18"/>
          <w:szCs w:val="20"/>
        </w:rPr>
        <w:lastRenderedPageBreak/>
        <w:t>detenidas y las pusiera a disposición del Ministerio Público de la Federación enviara custodia militar o le apoyara custodiándolas en las instalaciones del 35 Batallón. Sin embargo, el  Coronel Luján le manifestó que no tenía detenido a ninguno de ellos y que los elementos a su mando no habían participado en los hechos</w:t>
      </w:r>
      <w:r w:rsidR="002E1C85" w:rsidRPr="008D0846">
        <w:rPr>
          <w:rStyle w:val="Refdenotaalpie"/>
          <w:rFonts w:ascii="Verdana" w:hAnsi="Verdana" w:cs="Arial"/>
          <w:sz w:val="18"/>
          <w:szCs w:val="20"/>
        </w:rPr>
        <w:footnoteReference w:id="203"/>
      </w:r>
      <w:r w:rsidRPr="008D0846">
        <w:rPr>
          <w:rFonts w:ascii="Verdana" w:hAnsi="Verdana" w:cs="Arial"/>
          <w:sz w:val="18"/>
          <w:szCs w:val="20"/>
        </w:rPr>
        <w:t>;</w:t>
      </w:r>
    </w:p>
    <w:p w14:paraId="64AA5E93" w14:textId="7E5E7F70" w:rsidR="002E1C85" w:rsidRPr="008D0846" w:rsidRDefault="00D50E04">
      <w:pPr>
        <w:pStyle w:val="Prrafodelista"/>
        <w:widowControl w:val="0"/>
        <w:numPr>
          <w:ilvl w:val="2"/>
          <w:numId w:val="4"/>
        </w:numPr>
        <w:tabs>
          <w:tab w:val="left" w:pos="567"/>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sz w:val="18"/>
          <w:szCs w:val="20"/>
        </w:rPr>
        <w:t>c</w:t>
      </w:r>
      <w:r w:rsidR="002E1C85" w:rsidRPr="008D0846">
        <w:rPr>
          <w:rFonts w:ascii="Verdana" w:hAnsi="Verdana"/>
          <w:sz w:val="18"/>
          <w:szCs w:val="20"/>
        </w:rPr>
        <w:t>erca de las 10:30 de la noche de</w:t>
      </w:r>
      <w:r w:rsidR="002E1C85" w:rsidRPr="008D0846">
        <w:rPr>
          <w:rFonts w:ascii="Verdana" w:hAnsi="Verdana" w:cs="Arial"/>
          <w:sz w:val="18"/>
          <w:szCs w:val="20"/>
        </w:rPr>
        <w:t xml:space="preserve">l </w:t>
      </w:r>
      <w:r w:rsidR="002E1C85" w:rsidRPr="008D0846">
        <w:rPr>
          <w:rFonts w:ascii="Verdana" w:hAnsi="Verdana"/>
          <w:sz w:val="18"/>
          <w:szCs w:val="20"/>
        </w:rPr>
        <w:t>30 de diciembre de 2009, se presentaron ante Ramón Iván Sotomayor Siller, AMPF en Nuevo Casas Grandes, tres personas vestidas de civil en dos vehículos compactos, uno marca Chevrolet Aveo y otro tipo Monza, armados con carabinas AR-15, con botas y pantalón táctico color azul, chamarra de civil y gorra, no portando consigo gafete alguno de identificación, aunque reconoció a uno de ellos como un elemento de la Policía Federal porque en una fecha previa había acudido a “poner a disposición” en dicha agencia investigadora un vehículo con reporte de robo relacionado con otros hechos</w:t>
      </w:r>
      <w:r w:rsidR="002E1C85" w:rsidRPr="008D0846">
        <w:rPr>
          <w:rStyle w:val="Refdenotaalpie"/>
          <w:rFonts w:ascii="Verdana" w:hAnsi="Verdana"/>
          <w:sz w:val="18"/>
          <w:szCs w:val="20"/>
        </w:rPr>
        <w:footnoteReference w:id="204"/>
      </w:r>
      <w:r w:rsidR="002E1C85" w:rsidRPr="008D0846">
        <w:rPr>
          <w:rFonts w:ascii="Verdana" w:hAnsi="Verdana"/>
          <w:sz w:val="18"/>
          <w:szCs w:val="20"/>
        </w:rPr>
        <w:t>. Uno de los elementos se identificó como el “Comandante Meza” de la Policía Federal, presuntamente de la Unidad de Inteligencia, y solicitó al agente Sotomayor Siller entrevistar a las tres personas supuestamente detenidas con relación a la desaparición de tres elementos de dicha corporación, mencionando los nombres de Nitza Paola, José Ángel y Rocío Irene Alvarado</w:t>
      </w:r>
      <w:r w:rsidR="002E1C85" w:rsidRPr="008D0846">
        <w:rPr>
          <w:rStyle w:val="Refdenotaalpie"/>
          <w:rFonts w:ascii="Verdana" w:hAnsi="Verdana"/>
          <w:sz w:val="18"/>
          <w:szCs w:val="20"/>
        </w:rPr>
        <w:footnoteReference w:id="205"/>
      </w:r>
      <w:r w:rsidR="002E1C85" w:rsidRPr="008D0846">
        <w:rPr>
          <w:rFonts w:ascii="Verdana" w:hAnsi="Verdana"/>
          <w:sz w:val="18"/>
          <w:szCs w:val="20"/>
        </w:rPr>
        <w:t>. El agente Sotomayor le respondi</w:t>
      </w:r>
      <w:r w:rsidR="002E1C85" w:rsidRPr="008D0846">
        <w:rPr>
          <w:rFonts w:ascii="Verdana" w:hAnsi="Verdana" w:cs="Arial"/>
          <w:sz w:val="18"/>
          <w:szCs w:val="20"/>
        </w:rPr>
        <w:t>ó</w:t>
      </w:r>
      <w:r w:rsidR="002E1C85" w:rsidRPr="008D0846">
        <w:rPr>
          <w:rFonts w:ascii="Verdana" w:hAnsi="Verdana"/>
          <w:sz w:val="18"/>
          <w:szCs w:val="20"/>
        </w:rPr>
        <w:t xml:space="preserve"> que ninguna de las tres personas se encontraba bajo su custodia, por lo que dicho “comandante” le solicitó que se comunicara a la “guarnición militar” para saber en qué momento serían “puestos a disposición”, a lo cual el agente Sotomayor se negó argumentando que no podía acceder a su petición hasta en tanto le fuesen eventualmente entregados para su custodia por las autoridades correspondientes. Enseguida, los supuestos elementos de la Policía Federal se retiraron de dichas instalaciones</w:t>
      </w:r>
      <w:r w:rsidR="002E1C85" w:rsidRPr="008D0846">
        <w:rPr>
          <w:rStyle w:val="Refdenotaalpie"/>
          <w:rFonts w:ascii="Verdana" w:hAnsi="Verdana"/>
          <w:sz w:val="18"/>
          <w:szCs w:val="20"/>
        </w:rPr>
        <w:footnoteReference w:id="206"/>
      </w:r>
      <w:r w:rsidRPr="008D0846">
        <w:rPr>
          <w:rFonts w:ascii="Verdana" w:hAnsi="Verdana"/>
          <w:sz w:val="18"/>
          <w:szCs w:val="20"/>
        </w:rPr>
        <w:t xml:space="preserve">, y </w:t>
      </w:r>
    </w:p>
    <w:p w14:paraId="64AA5E95" w14:textId="0A4BE05B" w:rsidR="002E1C85" w:rsidRPr="008D0846" w:rsidRDefault="00D50E04">
      <w:pPr>
        <w:pStyle w:val="Prrafodelista"/>
        <w:widowControl w:val="0"/>
        <w:numPr>
          <w:ilvl w:val="2"/>
          <w:numId w:val="4"/>
        </w:numPr>
        <w:tabs>
          <w:tab w:val="left" w:pos="567"/>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sz w:val="18"/>
          <w:szCs w:val="20"/>
        </w:rPr>
        <w:t>a</w:t>
      </w:r>
      <w:r w:rsidR="002E1C85" w:rsidRPr="008D0846">
        <w:rPr>
          <w:rFonts w:ascii="Verdana" w:hAnsi="Verdana"/>
          <w:sz w:val="18"/>
          <w:szCs w:val="20"/>
        </w:rPr>
        <w:t>proximadamente a las 12:45 horas del 2 de enero de 2010, los tres supuestos elementos de la Policía Federal acudieron nuevamente a la AMPF en Nuevo Casas Grandes preguntando una vez más por los tres detenidos presuntamente por el Ejército. Dichas personas fueron atendidas por Juan Ciro Valiente, agente federal de investigación, quien informó de su presencia al agente Sotomayor Siller, y este le ordenó informar a los supuestos elementos de la Policía Federal que no tenía a nadie detenido, por lo que no podía ayudarles. Acto seguido, las tres personas se retiraron de dicha dependencia</w:t>
      </w:r>
      <w:r w:rsidR="002E1C85" w:rsidRPr="008D0846">
        <w:rPr>
          <w:rStyle w:val="Refdenotaalpie"/>
          <w:rFonts w:ascii="Verdana" w:hAnsi="Verdana"/>
          <w:sz w:val="18"/>
          <w:szCs w:val="20"/>
        </w:rPr>
        <w:footnoteReference w:id="207"/>
      </w:r>
      <w:r w:rsidR="002E1C85" w:rsidRPr="008D0846">
        <w:rPr>
          <w:rFonts w:ascii="Verdana" w:hAnsi="Verdana"/>
          <w:sz w:val="18"/>
          <w:szCs w:val="20"/>
        </w:rPr>
        <w:t>.</w:t>
      </w:r>
    </w:p>
    <w:p w14:paraId="64AA5E97" w14:textId="3A3BF530" w:rsidR="002E1C85" w:rsidRPr="00432ABC"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744CE4">
        <w:rPr>
          <w:rFonts w:ascii="Verdana" w:hAnsi="Verdana"/>
          <w:sz w:val="20"/>
          <w:szCs w:val="20"/>
        </w:rPr>
        <w:t>Con relación a la identificación y ubicac</w:t>
      </w:r>
      <w:r w:rsidRPr="00432ABC">
        <w:rPr>
          <w:rFonts w:ascii="Verdana" w:hAnsi="Verdana"/>
          <w:sz w:val="20"/>
          <w:szCs w:val="20"/>
        </w:rPr>
        <w:t xml:space="preserve">ión del supuesto “Comandante Meza” de la Policía Federal: </w:t>
      </w:r>
    </w:p>
    <w:p w14:paraId="64AA5E99" w14:textId="37A43EFC" w:rsidR="002E1C85" w:rsidRPr="008D0846" w:rsidRDefault="00AC6FFB">
      <w:pPr>
        <w:pStyle w:val="Prrafodelista"/>
        <w:widowControl w:val="0"/>
        <w:numPr>
          <w:ilvl w:val="2"/>
          <w:numId w:val="4"/>
        </w:numPr>
        <w:tabs>
          <w:tab w:val="left" w:pos="567"/>
          <w:tab w:val="num" w:pos="12305"/>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sz w:val="18"/>
          <w:szCs w:val="20"/>
        </w:rPr>
        <w:t>e</w:t>
      </w:r>
      <w:r w:rsidR="002E1C85" w:rsidRPr="008D0846">
        <w:rPr>
          <w:rFonts w:ascii="Verdana" w:hAnsi="Verdana"/>
          <w:sz w:val="18"/>
          <w:szCs w:val="20"/>
        </w:rPr>
        <w:t>l 22 de enero de 2010 el Comandante de la 5ªZM solicitó al Comisario de la Policía Federal en el Estado de Chihuahua sobre</w:t>
      </w:r>
      <w:r w:rsidR="00AB26DE" w:rsidRPr="008D0846">
        <w:rPr>
          <w:rFonts w:ascii="Verdana" w:hAnsi="Verdana"/>
          <w:sz w:val="18"/>
          <w:szCs w:val="20"/>
        </w:rPr>
        <w:t>:</w:t>
      </w:r>
      <w:r w:rsidR="002E1C85" w:rsidRPr="008D0846">
        <w:rPr>
          <w:rFonts w:ascii="Verdana" w:hAnsi="Verdana"/>
          <w:sz w:val="18"/>
          <w:szCs w:val="20"/>
        </w:rPr>
        <w:t xml:space="preserve"> los elementos cargo del supuesto “Comandante Meza”</w:t>
      </w:r>
      <w:r w:rsidR="00AB26DE" w:rsidRPr="008D0846">
        <w:rPr>
          <w:rFonts w:ascii="Verdana" w:hAnsi="Verdana"/>
          <w:sz w:val="18"/>
          <w:szCs w:val="20"/>
        </w:rPr>
        <w:t>;</w:t>
      </w:r>
      <w:r w:rsidR="002E1C85" w:rsidRPr="008D0846">
        <w:rPr>
          <w:rFonts w:ascii="Verdana" w:hAnsi="Verdana"/>
          <w:sz w:val="18"/>
          <w:szCs w:val="20"/>
        </w:rPr>
        <w:t xml:space="preserve"> la comisión que dichos elementos desempeñaban el 30 de diciembre de 2009 en Nuevo Casas Grandes</w:t>
      </w:r>
      <w:r w:rsidR="00AB26DE" w:rsidRPr="008D0846">
        <w:rPr>
          <w:rFonts w:ascii="Verdana" w:hAnsi="Verdana"/>
          <w:sz w:val="18"/>
          <w:szCs w:val="20"/>
        </w:rPr>
        <w:t>;</w:t>
      </w:r>
      <w:r w:rsidR="002E1C85" w:rsidRPr="008D0846">
        <w:rPr>
          <w:rFonts w:ascii="Verdana" w:hAnsi="Verdana"/>
          <w:sz w:val="18"/>
          <w:szCs w:val="20"/>
        </w:rPr>
        <w:t xml:space="preserve"> qué información tenían respecto de la detención de los tres desaparecidos</w:t>
      </w:r>
      <w:r w:rsidR="00AB26DE" w:rsidRPr="008D0846">
        <w:rPr>
          <w:rFonts w:ascii="Verdana" w:hAnsi="Verdana"/>
          <w:sz w:val="18"/>
          <w:szCs w:val="20"/>
        </w:rPr>
        <w:t>,</w:t>
      </w:r>
      <w:r w:rsidR="002E1C85" w:rsidRPr="008D0846">
        <w:rPr>
          <w:rFonts w:ascii="Verdana" w:hAnsi="Verdana"/>
          <w:sz w:val="18"/>
          <w:szCs w:val="20"/>
        </w:rPr>
        <w:t xml:space="preserve"> y porqué deseaban entrevistarlos. El 27 de enero de 2010 el Comisario de la Policía Federal respondió que no existía ningún elemento con nivel de mando de apellido “Meza” en dicha corporación</w:t>
      </w:r>
      <w:r w:rsidR="002E1C85" w:rsidRPr="008D0846">
        <w:rPr>
          <w:rStyle w:val="Refdenotaalpie"/>
          <w:rFonts w:ascii="Verdana" w:hAnsi="Verdana"/>
          <w:sz w:val="18"/>
          <w:szCs w:val="20"/>
        </w:rPr>
        <w:footnoteReference w:id="208"/>
      </w:r>
      <w:r w:rsidR="002E1C85" w:rsidRPr="008D0846">
        <w:rPr>
          <w:rFonts w:ascii="Verdana" w:hAnsi="Verdana"/>
          <w:sz w:val="18"/>
          <w:szCs w:val="20"/>
        </w:rPr>
        <w:t>. Tras recibir dicha respuesta, el Comandante de la 5ªZM informó a las autoridades militares radicadas en la Ciudad de México que la Policía Federal se encontraba ocultando información sobre la existencia del supuesto “Comandante Meza”, en vista de la información proporcionada por Argene Blásquez Morales con relación a la conversación telefónica que sostuvo con tal “elemento”</w:t>
      </w:r>
      <w:r w:rsidR="002E1C85" w:rsidRPr="008D0846">
        <w:rPr>
          <w:rStyle w:val="Refdenotaalpie"/>
          <w:rFonts w:ascii="Verdana" w:hAnsi="Verdana"/>
          <w:sz w:val="18"/>
          <w:szCs w:val="20"/>
        </w:rPr>
        <w:footnoteReference w:id="209"/>
      </w:r>
      <w:r w:rsidR="00D50E04" w:rsidRPr="008D0846">
        <w:rPr>
          <w:rFonts w:ascii="Verdana" w:hAnsi="Verdana"/>
          <w:sz w:val="18"/>
          <w:szCs w:val="20"/>
        </w:rPr>
        <w:t>;</w:t>
      </w:r>
    </w:p>
    <w:p w14:paraId="64AA5E9B" w14:textId="33112975" w:rsidR="002E1C85" w:rsidRPr="008D0846" w:rsidRDefault="00D50E04">
      <w:pPr>
        <w:pStyle w:val="Prrafodelista"/>
        <w:widowControl w:val="0"/>
        <w:numPr>
          <w:ilvl w:val="2"/>
          <w:numId w:val="4"/>
        </w:numPr>
        <w:tabs>
          <w:tab w:val="left" w:pos="567"/>
        </w:tabs>
        <w:adjustRightInd w:val="0"/>
        <w:spacing w:before="120" w:after="120" w:line="240" w:lineRule="auto"/>
        <w:ind w:left="567"/>
        <w:contextualSpacing w:val="0"/>
        <w:jc w:val="both"/>
        <w:textAlignment w:val="baseline"/>
        <w:rPr>
          <w:rFonts w:ascii="Verdana" w:hAnsi="Verdana"/>
          <w:sz w:val="18"/>
          <w:szCs w:val="20"/>
        </w:rPr>
      </w:pPr>
      <w:r w:rsidRPr="008D0846">
        <w:rPr>
          <w:rFonts w:ascii="Verdana" w:hAnsi="Verdana"/>
          <w:sz w:val="18"/>
          <w:szCs w:val="20"/>
        </w:rPr>
        <w:lastRenderedPageBreak/>
        <w:t>m</w:t>
      </w:r>
      <w:r w:rsidR="002E1C85" w:rsidRPr="008D0846">
        <w:rPr>
          <w:rFonts w:ascii="Verdana" w:hAnsi="Verdana"/>
          <w:sz w:val="18"/>
          <w:szCs w:val="20"/>
        </w:rPr>
        <w:t xml:space="preserve">ediante declaraciones de 30 de marzo de 2011 ante el Agente del Ministerio Público Militar Auxiliar en Hermosillo y de 17 de abril de 2018 por </w:t>
      </w:r>
      <w:r w:rsidR="002E2B86" w:rsidRPr="008D0846">
        <w:rPr>
          <w:rFonts w:ascii="Verdana" w:hAnsi="Verdana"/>
          <w:i/>
          <w:sz w:val="18"/>
        </w:rPr>
        <w:t>affidávit</w:t>
      </w:r>
      <w:r w:rsidR="002E1C85" w:rsidRPr="008D0846">
        <w:rPr>
          <w:rFonts w:ascii="Verdana" w:hAnsi="Verdana"/>
          <w:sz w:val="18"/>
          <w:szCs w:val="20"/>
        </w:rPr>
        <w:t xml:space="preserve"> ante la Corte, </w:t>
      </w:r>
      <w:r w:rsidR="002E1C85" w:rsidRPr="008D0846">
        <w:rPr>
          <w:rFonts w:ascii="Verdana" w:eastAsiaTheme="minorHAnsi" w:hAnsi="Verdana" w:cs="Times New Roman"/>
          <w:sz w:val="18"/>
          <w:szCs w:val="20"/>
        </w:rPr>
        <w:t>Argene Blásquez Morales testificó</w:t>
      </w:r>
      <w:r w:rsidR="002E1C85" w:rsidRPr="008D0846">
        <w:rPr>
          <w:rFonts w:ascii="Verdana" w:hAnsi="Verdana"/>
          <w:sz w:val="18"/>
          <w:szCs w:val="20"/>
        </w:rPr>
        <w:t xml:space="preserve"> que no le constaba que elementos castrenses hubiesen realizado las detenciones de los tres desaparecidos </w:t>
      </w:r>
      <w:r w:rsidR="002E1C85" w:rsidRPr="008D0846">
        <w:rPr>
          <w:rFonts w:ascii="Verdana" w:hAnsi="Verdana" w:cs="Arial"/>
          <w:sz w:val="18"/>
          <w:szCs w:val="20"/>
        </w:rPr>
        <w:t>dado que al momento de los hechos ella se encontraba físicamente en Ciudad Juárez y solamente se enteró de los mismos por la propia información que el supuesto “Comandante Meza” le manifestó por teléfono. Agregó que no cuestionó que la persona que se comunicó con ella telefónicamente y se identificó como el “Comandante Meza” efectivamente fuese elemento de la Policía Federal en virtud de que el número telefónico en el cual recibió dicha llamada “lo tenían varias autoridades, entre ellos muchos de la Policía Federal” y que dicho número se encontraba relacionado con sus funciones institucionales</w:t>
      </w:r>
      <w:r w:rsidR="002E1C85" w:rsidRPr="008D0846">
        <w:rPr>
          <w:rStyle w:val="Refdenotaalpie"/>
          <w:rFonts w:ascii="Verdana" w:hAnsi="Verdana" w:cs="Arial"/>
          <w:sz w:val="18"/>
          <w:szCs w:val="20"/>
        </w:rPr>
        <w:footnoteReference w:id="210"/>
      </w:r>
      <w:r w:rsidRPr="008D0846">
        <w:rPr>
          <w:rFonts w:ascii="Verdana" w:hAnsi="Verdana" w:cs="Arial"/>
          <w:sz w:val="18"/>
          <w:szCs w:val="20"/>
        </w:rPr>
        <w:t>, y</w:t>
      </w:r>
    </w:p>
    <w:p w14:paraId="64AA5E9C" w14:textId="58F55EDC" w:rsidR="002E1C85" w:rsidRPr="008D0846" w:rsidRDefault="00D50E04">
      <w:pPr>
        <w:pStyle w:val="Prrafodelista"/>
        <w:numPr>
          <w:ilvl w:val="2"/>
          <w:numId w:val="4"/>
        </w:numPr>
        <w:spacing w:before="120" w:after="120" w:line="240" w:lineRule="auto"/>
        <w:ind w:left="567"/>
        <w:contextualSpacing w:val="0"/>
        <w:jc w:val="both"/>
        <w:rPr>
          <w:rFonts w:ascii="Verdana" w:hAnsi="Verdana"/>
          <w:i/>
          <w:sz w:val="18"/>
          <w:szCs w:val="20"/>
        </w:rPr>
      </w:pPr>
      <w:r w:rsidRPr="008D0846">
        <w:rPr>
          <w:rFonts w:ascii="Verdana" w:hAnsi="Verdana"/>
          <w:sz w:val="18"/>
          <w:szCs w:val="20"/>
        </w:rPr>
        <w:t>f</w:t>
      </w:r>
      <w:r w:rsidR="002E1C85" w:rsidRPr="008D0846">
        <w:rPr>
          <w:rFonts w:ascii="Verdana" w:hAnsi="Verdana"/>
          <w:sz w:val="18"/>
          <w:szCs w:val="20"/>
        </w:rPr>
        <w:t>inalmente, de acuerdo con las constancias que obran en el expediente, no obstante una serie de diligencias llevadas a cabo por distintas autoridades en los procesos internos, no se desprende la identificación y ubicación del supuesto “Comandante Meza de la Policía Federal” y de los dos sujetos que lo acompañaban, por lo que no existe constancia de su testimonio con relación a las tres desapariciones</w:t>
      </w:r>
      <w:r w:rsidR="002E1C85" w:rsidRPr="008D0846">
        <w:rPr>
          <w:rStyle w:val="Refdenotaalpie"/>
          <w:rFonts w:ascii="Verdana" w:hAnsi="Verdana"/>
          <w:sz w:val="18"/>
          <w:szCs w:val="20"/>
        </w:rPr>
        <w:footnoteReference w:id="211"/>
      </w:r>
      <w:r w:rsidR="002E1C85" w:rsidRPr="008D0846">
        <w:rPr>
          <w:rFonts w:ascii="Verdana" w:hAnsi="Verdana"/>
          <w:sz w:val="18"/>
          <w:szCs w:val="20"/>
        </w:rPr>
        <w:t xml:space="preserve">. </w:t>
      </w:r>
    </w:p>
    <w:p w14:paraId="64AA5E9F" w14:textId="3470342A" w:rsidR="002E1C85" w:rsidRPr="00432ABC" w:rsidRDefault="00556FDB">
      <w:pPr>
        <w:pStyle w:val="Ttulo4"/>
        <w:numPr>
          <w:ilvl w:val="0"/>
          <w:numId w:val="74"/>
        </w:numPr>
        <w:spacing w:before="120" w:after="120"/>
        <w:contextualSpacing w:val="0"/>
        <w:rPr>
          <w:u w:val="none"/>
        </w:rPr>
      </w:pPr>
      <w:r>
        <w:rPr>
          <w:u w:val="none"/>
        </w:rPr>
        <w:t xml:space="preserve"> </w:t>
      </w:r>
      <w:bookmarkStart w:id="133" w:name="_Toc532995339"/>
      <w:r w:rsidR="002E1C85" w:rsidRPr="00432ABC">
        <w:rPr>
          <w:u w:val="none"/>
        </w:rPr>
        <w:t>Sobre la alegada llamada de auxilio realizada por Nitza Paola Alvarado</w:t>
      </w:r>
      <w:bookmarkEnd w:id="133"/>
      <w:r w:rsidR="002E1C85" w:rsidRPr="00432ABC">
        <w:rPr>
          <w:u w:val="none"/>
        </w:rPr>
        <w:t xml:space="preserve">      </w:t>
      </w:r>
    </w:p>
    <w:p w14:paraId="64AA5EA1" w14:textId="12E6A4F6"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cs="Arial"/>
          <w:sz w:val="20"/>
          <w:szCs w:val="20"/>
          <w:lang w:eastAsia="ja-JP"/>
        </w:rPr>
      </w:pPr>
      <w:r w:rsidRPr="002C462C">
        <w:rPr>
          <w:rFonts w:ascii="Verdana" w:hAnsi="Verdana" w:cs="Arial"/>
          <w:sz w:val="20"/>
          <w:szCs w:val="20"/>
          <w:lang w:eastAsia="ja-JP"/>
        </w:rPr>
        <w:t xml:space="preserve">Aproximadamente a las </w:t>
      </w:r>
      <w:r w:rsidR="00AB26DE">
        <w:rPr>
          <w:rFonts w:ascii="Verdana" w:hAnsi="Verdana" w:cs="Arial"/>
          <w:sz w:val="20"/>
          <w:szCs w:val="20"/>
          <w:lang w:eastAsia="ja-JP"/>
        </w:rPr>
        <w:t>17</w:t>
      </w:r>
      <w:r w:rsidRPr="002C462C">
        <w:rPr>
          <w:rFonts w:ascii="Verdana" w:hAnsi="Verdana" w:cs="Arial"/>
          <w:sz w:val="20"/>
          <w:szCs w:val="20"/>
          <w:lang w:eastAsia="ja-JP"/>
        </w:rPr>
        <w:t>:30 del 3 de febrero de 2010 una vecina del Ejido Benito Juárez de nombre Juana Bustamante Ramos recibió una llamada telefónica en la cual escuchó a una mujer llorando a quien reconoció como Nitza Paola Alvarado que le decía: “ayúdame, ayúdame, no me dejes aquí por favor”; luego escuchó por el auricular la voz de un hombre “con tono chilango” quien aparentemente le dijo a otra persona que se encontraba</w:t>
      </w:r>
      <w:r w:rsidRPr="00744CE4">
        <w:rPr>
          <w:rFonts w:ascii="Verdana" w:hAnsi="Verdana" w:cs="Arial"/>
          <w:sz w:val="20"/>
          <w:szCs w:val="20"/>
          <w:lang w:eastAsia="ja-JP"/>
        </w:rPr>
        <w:t xml:space="preserve"> en dicho lugar: “</w:t>
      </w:r>
      <w:r w:rsidRPr="00744CE4">
        <w:rPr>
          <w:rFonts w:ascii="Verdana" w:hAnsi="Verdana" w:cs="Arial"/>
          <w:i/>
          <w:sz w:val="20"/>
          <w:szCs w:val="20"/>
          <w:lang w:eastAsia="ja-JP"/>
        </w:rPr>
        <w:t xml:space="preserve">para qué la dejastes a la verga” </w:t>
      </w:r>
      <w:r w:rsidRPr="00744CE4">
        <w:rPr>
          <w:rFonts w:ascii="Verdana" w:hAnsi="Verdana" w:cs="Arial"/>
          <w:sz w:val="20"/>
          <w:szCs w:val="20"/>
          <w:lang w:eastAsia="ja-JP"/>
        </w:rPr>
        <w:t>[sic], tras lo cual colgaron el teléfono</w:t>
      </w:r>
      <w:r w:rsidRPr="00744CE4">
        <w:rPr>
          <w:rFonts w:ascii="Verdana" w:hAnsi="Verdana" w:cs="Arial"/>
          <w:sz w:val="20"/>
          <w:szCs w:val="20"/>
          <w:vertAlign w:val="superscript"/>
          <w:lang w:eastAsia="ja-JP"/>
        </w:rPr>
        <w:footnoteReference w:id="212"/>
      </w:r>
      <w:r w:rsidRPr="00744CE4">
        <w:rPr>
          <w:rFonts w:ascii="Verdana" w:hAnsi="Verdana" w:cs="Arial"/>
          <w:sz w:val="20"/>
          <w:szCs w:val="20"/>
          <w:lang w:eastAsia="ja-JP"/>
        </w:rPr>
        <w:t xml:space="preserve">. </w:t>
      </w:r>
    </w:p>
    <w:p w14:paraId="64AA5EA3" w14:textId="35532C69" w:rsidR="002E1C85" w:rsidRPr="00744CE4" w:rsidRDefault="002E1C85" w:rsidP="00DB378B">
      <w:pPr>
        <w:widowControl w:val="0"/>
        <w:numPr>
          <w:ilvl w:val="0"/>
          <w:numId w:val="4"/>
        </w:numPr>
        <w:tabs>
          <w:tab w:val="left" w:pos="567"/>
          <w:tab w:val="num" w:pos="12305"/>
        </w:tabs>
        <w:adjustRightInd w:val="0"/>
        <w:spacing w:before="120" w:after="120" w:line="240" w:lineRule="auto"/>
        <w:ind w:left="0" w:firstLine="0"/>
        <w:jc w:val="both"/>
        <w:textAlignment w:val="baseline"/>
        <w:rPr>
          <w:rFonts w:ascii="Verdana" w:hAnsi="Verdana" w:cs="Arial"/>
          <w:sz w:val="20"/>
          <w:szCs w:val="20"/>
          <w:lang w:eastAsia="ja-JP"/>
        </w:rPr>
      </w:pPr>
      <w:r w:rsidRPr="00432ABC">
        <w:rPr>
          <w:rFonts w:ascii="Verdana" w:hAnsi="Verdana" w:cs="Arial"/>
          <w:sz w:val="20"/>
          <w:szCs w:val="20"/>
          <w:lang w:eastAsia="ja-JP"/>
        </w:rPr>
        <w:t>Los días 12 y 22 de febrero de 2010 María de Jesús Alvarado compareció ante los agentes del Ministerio Público de la PGJE - Chihuahua y de la Federación en Ciudad Juárez, respectivamente, a efecto de hacer de su conocimiento dicha llamada</w:t>
      </w:r>
      <w:r w:rsidRPr="00744CE4">
        <w:rPr>
          <w:rStyle w:val="Refdenotaalpie"/>
          <w:rFonts w:ascii="Verdana" w:hAnsi="Verdana" w:cs="Arial"/>
          <w:sz w:val="20"/>
          <w:szCs w:val="20"/>
          <w:lang w:eastAsia="ja-JP"/>
        </w:rPr>
        <w:footnoteReference w:id="213"/>
      </w:r>
      <w:r w:rsidRPr="00744CE4">
        <w:rPr>
          <w:rFonts w:ascii="Verdana" w:hAnsi="Verdana" w:cs="Arial"/>
          <w:sz w:val="20"/>
          <w:szCs w:val="20"/>
          <w:lang w:eastAsia="ja-JP"/>
        </w:rPr>
        <w:t xml:space="preserve">. Asimismo, el 13 de febrero de 2010 Juana Bustamente testificó ante </w:t>
      </w:r>
      <w:r w:rsidRPr="00744CE4">
        <w:rPr>
          <w:rFonts w:ascii="Verdana" w:hAnsi="Verdana"/>
          <w:sz w:val="20"/>
          <w:szCs w:val="20"/>
        </w:rPr>
        <w:t>el primero de ellos</w:t>
      </w:r>
      <w:r w:rsidRPr="00744CE4">
        <w:rPr>
          <w:rStyle w:val="Refdenotaalpie"/>
          <w:rFonts w:ascii="Verdana" w:hAnsi="Verdana"/>
          <w:sz w:val="20"/>
          <w:szCs w:val="20"/>
        </w:rPr>
        <w:footnoteReference w:id="214"/>
      </w:r>
      <w:r w:rsidRPr="00744CE4">
        <w:rPr>
          <w:rFonts w:ascii="Verdana" w:hAnsi="Verdana" w:cs="Arial"/>
          <w:sz w:val="20"/>
          <w:szCs w:val="20"/>
          <w:lang w:eastAsia="ja-JP"/>
        </w:rPr>
        <w:t>.</w:t>
      </w:r>
    </w:p>
    <w:p w14:paraId="61787C26" w14:textId="55BB3AFD" w:rsidR="00EC08E0" w:rsidRPr="00432ABC" w:rsidRDefault="002E1C85" w:rsidP="00DB378B">
      <w:pPr>
        <w:pStyle w:val="Prrafodelista"/>
        <w:widowControl w:val="0"/>
        <w:numPr>
          <w:ilvl w:val="0"/>
          <w:numId w:val="4"/>
        </w:numPr>
        <w:tabs>
          <w:tab w:val="left" w:pos="567"/>
        </w:tabs>
        <w:adjustRightInd w:val="0"/>
        <w:spacing w:before="120" w:after="120" w:line="240" w:lineRule="auto"/>
        <w:ind w:left="0" w:firstLine="0"/>
        <w:contextualSpacing w:val="0"/>
        <w:jc w:val="both"/>
        <w:textAlignment w:val="baseline"/>
        <w:rPr>
          <w:rFonts w:ascii="Verdana" w:hAnsi="Verdana"/>
          <w:sz w:val="20"/>
          <w:szCs w:val="20"/>
          <w:lang w:val="es-AR"/>
        </w:rPr>
      </w:pPr>
      <w:r w:rsidRPr="00432ABC">
        <w:rPr>
          <w:rFonts w:ascii="Verdana" w:hAnsi="Verdana" w:cs="Arial"/>
          <w:sz w:val="20"/>
          <w:szCs w:val="20"/>
          <w:lang w:eastAsia="ja-JP"/>
        </w:rPr>
        <w:t>En el marco de las investigaciones internas se practicaron una serie de diligencias para la ubicación del número telefónico y lugar desde el cual fue realizada dicha llamada</w:t>
      </w:r>
      <w:r w:rsidRPr="00744CE4">
        <w:rPr>
          <w:rStyle w:val="Refdenotaalpie"/>
          <w:rFonts w:ascii="Verdana" w:hAnsi="Verdana" w:cs="Arial"/>
          <w:sz w:val="20"/>
          <w:szCs w:val="20"/>
          <w:lang w:eastAsia="ja-JP"/>
        </w:rPr>
        <w:footnoteReference w:id="215"/>
      </w:r>
      <w:r w:rsidRPr="00744CE4">
        <w:rPr>
          <w:rFonts w:ascii="Verdana" w:hAnsi="Verdana" w:cs="Arial"/>
          <w:sz w:val="20"/>
          <w:szCs w:val="20"/>
          <w:lang w:eastAsia="ja-JP"/>
        </w:rPr>
        <w:t xml:space="preserve">, con base en </w:t>
      </w:r>
      <w:r w:rsidRPr="00744CE4">
        <w:rPr>
          <w:rFonts w:ascii="Verdana" w:hAnsi="Verdana" w:cs="Arial"/>
          <w:sz w:val="20"/>
          <w:szCs w:val="20"/>
          <w:lang w:eastAsia="ja-JP"/>
        </w:rPr>
        <w:lastRenderedPageBreak/>
        <w:t xml:space="preserve">las cuales la Policía Federal Ministerial realizó un informe el </w:t>
      </w:r>
      <w:r w:rsidRPr="00744CE4">
        <w:rPr>
          <w:rFonts w:ascii="Verdana" w:hAnsi="Verdana"/>
          <w:sz w:val="20"/>
          <w:szCs w:val="20"/>
        </w:rPr>
        <w:t xml:space="preserve">28 de junio de 2010 </w:t>
      </w:r>
      <w:r w:rsidRPr="00744CE4">
        <w:rPr>
          <w:rFonts w:ascii="Verdana" w:hAnsi="Verdana" w:cs="Arial"/>
          <w:sz w:val="20"/>
          <w:szCs w:val="20"/>
          <w:lang w:eastAsia="ja-JP"/>
        </w:rPr>
        <w:t xml:space="preserve">en el que concluyó que se trató de una llamada “extorsiva” </w:t>
      </w:r>
      <w:r w:rsidRPr="00432ABC">
        <w:rPr>
          <w:rFonts w:ascii="Verdana" w:hAnsi="Verdana" w:cs="Arial"/>
          <w:sz w:val="20"/>
          <w:szCs w:val="20"/>
          <w:lang w:eastAsia="ja-JP"/>
        </w:rPr>
        <w:t>realizada desde un número telefónico empleado previamente en otros eventos de extorsión desde las cercanías del Centro de Readaptación Social Femenil de Santa Martha Acatitla ubicado en la Ciudad de México</w:t>
      </w:r>
      <w:r w:rsidRPr="00744CE4">
        <w:rPr>
          <w:rStyle w:val="Refdenotaalpie"/>
          <w:rFonts w:ascii="Verdana" w:hAnsi="Verdana" w:cs="Arial"/>
          <w:sz w:val="20"/>
          <w:szCs w:val="20"/>
          <w:lang w:eastAsia="ja-JP"/>
        </w:rPr>
        <w:footnoteReference w:id="216"/>
      </w:r>
      <w:r w:rsidRPr="00744CE4">
        <w:rPr>
          <w:rFonts w:ascii="Verdana" w:hAnsi="Verdana" w:cs="Arial"/>
          <w:sz w:val="20"/>
          <w:szCs w:val="20"/>
          <w:lang w:eastAsia="ja-JP"/>
        </w:rPr>
        <w:t xml:space="preserve">. Finalmente, en vista de dicha información la </w:t>
      </w:r>
      <w:r w:rsidRPr="00744CE4">
        <w:rPr>
          <w:rFonts w:ascii="Verdana" w:hAnsi="Verdana"/>
          <w:sz w:val="20"/>
          <w:szCs w:val="20"/>
          <w:lang w:val="es-AR"/>
        </w:rPr>
        <w:t>FEV</w:t>
      </w:r>
      <w:r w:rsidRPr="00432ABC">
        <w:rPr>
          <w:rFonts w:ascii="Verdana" w:hAnsi="Verdana"/>
          <w:sz w:val="20"/>
          <w:szCs w:val="20"/>
          <w:lang w:val="es-AR"/>
        </w:rPr>
        <w:t>IMTRA - PGR determinó que:</w:t>
      </w:r>
    </w:p>
    <w:p w14:paraId="64AA5EA7" w14:textId="6C455B53" w:rsidR="002E1C85" w:rsidRPr="00744CE4" w:rsidRDefault="002E1C85">
      <w:pPr>
        <w:pStyle w:val="Prrafodelista"/>
        <w:spacing w:before="120" w:after="120" w:line="240" w:lineRule="auto"/>
        <w:ind w:left="567"/>
        <w:contextualSpacing w:val="0"/>
        <w:jc w:val="both"/>
        <w:rPr>
          <w:rFonts w:ascii="Verdana" w:hAnsi="Verdana"/>
          <w:sz w:val="18"/>
          <w:szCs w:val="20"/>
          <w:lang w:val="es-AR"/>
        </w:rPr>
      </w:pPr>
      <w:r w:rsidRPr="00432ABC">
        <w:rPr>
          <w:rFonts w:ascii="Verdana" w:hAnsi="Verdana"/>
          <w:sz w:val="18"/>
          <w:szCs w:val="20"/>
          <w:lang w:val="es-AR"/>
        </w:rPr>
        <w:t xml:space="preserve">“[…] [L]a llamada telefónica en [la] que al parecer la joven Nitza Paola Alvarado Espinoza se comunicó pidiendo auxilio [ha] quedado descartada una vez efectuado el rastreo de esta llamada, se confirmó que la misma [se trató] de </w:t>
      </w:r>
      <w:r w:rsidRPr="002C462C">
        <w:rPr>
          <w:rFonts w:ascii="Verdana" w:hAnsi="Verdana"/>
          <w:sz w:val="18"/>
          <w:szCs w:val="20"/>
          <w:lang w:val="es-AR"/>
        </w:rPr>
        <w:t xml:space="preserve">una llamada derivada de </w:t>
      </w:r>
      <w:r w:rsidR="004562AE" w:rsidRPr="00744CE4">
        <w:rPr>
          <w:rFonts w:ascii="Verdana" w:hAnsi="Verdana"/>
          <w:sz w:val="18"/>
          <w:szCs w:val="20"/>
          <w:lang w:val="es-AR"/>
        </w:rPr>
        <w:t>[una] extorsión telefónica [….]</w:t>
      </w:r>
    </w:p>
    <w:p w14:paraId="0F6DABAB" w14:textId="5844FCA1" w:rsidR="00350979" w:rsidRPr="00DB378B" w:rsidRDefault="002E1C85">
      <w:pPr>
        <w:pStyle w:val="Prrafodelista"/>
        <w:spacing w:before="120" w:after="120" w:line="240" w:lineRule="auto"/>
        <w:ind w:left="567"/>
        <w:contextualSpacing w:val="0"/>
        <w:jc w:val="both"/>
        <w:rPr>
          <w:rFonts w:ascii="Verdana" w:hAnsi="Verdana"/>
        </w:rPr>
      </w:pPr>
      <w:r w:rsidRPr="00744CE4">
        <w:rPr>
          <w:rFonts w:ascii="Verdana" w:hAnsi="Verdana"/>
          <w:sz w:val="18"/>
          <w:szCs w:val="20"/>
        </w:rPr>
        <w:t>[S]e concluyó que la llamada telefónica recibida […] a las 17:30 horas el 03 de febrero de 2010 no fue realizada por la joven desaparecida Nitza Paola Alvarado Espinoza, con lo que quedó cerrada esta […] línea de investigación”</w:t>
      </w:r>
      <w:r w:rsidRPr="00744CE4">
        <w:rPr>
          <w:rStyle w:val="Refdenotaalpie"/>
          <w:rFonts w:ascii="Verdana" w:hAnsi="Verdana"/>
          <w:sz w:val="18"/>
          <w:szCs w:val="20"/>
        </w:rPr>
        <w:footnoteReference w:id="217"/>
      </w:r>
      <w:r w:rsidR="004562AE" w:rsidRPr="00744CE4">
        <w:rPr>
          <w:rFonts w:ascii="Verdana" w:hAnsi="Verdana"/>
          <w:sz w:val="18"/>
          <w:szCs w:val="20"/>
        </w:rPr>
        <w:t xml:space="preserve">.     </w:t>
      </w:r>
    </w:p>
    <w:p w14:paraId="7D5F7A50" w14:textId="0A375230" w:rsidR="00350979" w:rsidRPr="00744CE4" w:rsidRDefault="0020172F">
      <w:pPr>
        <w:pStyle w:val="Prrafodelista"/>
        <w:keepNext/>
        <w:keepLines/>
        <w:widowControl w:val="0"/>
        <w:numPr>
          <w:ilvl w:val="0"/>
          <w:numId w:val="42"/>
        </w:numPr>
        <w:adjustRightInd w:val="0"/>
        <w:spacing w:before="120" w:after="120" w:line="240" w:lineRule="auto"/>
        <w:ind w:left="714" w:hanging="357"/>
        <w:contextualSpacing w:val="0"/>
        <w:jc w:val="both"/>
        <w:textAlignment w:val="baseline"/>
        <w:outlineLvl w:val="1"/>
        <w:rPr>
          <w:rFonts w:ascii="Verdana" w:hAnsi="Verdana"/>
          <w:b/>
          <w:i/>
          <w:sz w:val="20"/>
          <w:szCs w:val="20"/>
          <w:lang w:val="es-AR"/>
        </w:rPr>
      </w:pPr>
      <w:bookmarkStart w:id="134" w:name="_Toc526774153"/>
      <w:bookmarkStart w:id="135" w:name="_Toc526777485"/>
      <w:bookmarkStart w:id="136" w:name="_Toc526783768"/>
      <w:bookmarkStart w:id="137" w:name="_Toc527561052"/>
      <w:r>
        <w:rPr>
          <w:rFonts w:ascii="Verdana" w:hAnsi="Verdana"/>
          <w:b/>
          <w:i/>
          <w:sz w:val="20"/>
          <w:szCs w:val="20"/>
          <w:lang w:val="es-AR"/>
        </w:rPr>
        <w:t xml:space="preserve"> </w:t>
      </w:r>
      <w:bookmarkStart w:id="138" w:name="_Toc532995340"/>
      <w:r w:rsidR="002E1C85" w:rsidRPr="00744CE4">
        <w:rPr>
          <w:rFonts w:ascii="Verdana" w:hAnsi="Verdana"/>
          <w:b/>
          <w:i/>
          <w:sz w:val="20"/>
          <w:szCs w:val="20"/>
          <w:lang w:val="es-AR"/>
        </w:rPr>
        <w:t>Investigaciones</w:t>
      </w:r>
      <w:bookmarkEnd w:id="134"/>
      <w:bookmarkEnd w:id="135"/>
      <w:bookmarkEnd w:id="136"/>
      <w:bookmarkEnd w:id="137"/>
      <w:bookmarkEnd w:id="138"/>
      <w:r w:rsidR="002E1C85" w:rsidRPr="00744CE4">
        <w:rPr>
          <w:rFonts w:ascii="Verdana" w:hAnsi="Verdana"/>
          <w:b/>
          <w:i/>
          <w:sz w:val="20"/>
          <w:szCs w:val="20"/>
          <w:lang w:val="es-AR"/>
        </w:rPr>
        <w:t xml:space="preserve"> </w:t>
      </w:r>
      <w:r w:rsidR="002E1C85" w:rsidRPr="00744CE4">
        <w:rPr>
          <w:rFonts w:ascii="Verdana" w:hAnsi="Verdana"/>
          <w:b/>
          <w:i/>
          <w:sz w:val="20"/>
          <w:szCs w:val="20"/>
          <w:lang w:val="es-AR"/>
        </w:rPr>
        <w:tab/>
      </w:r>
    </w:p>
    <w:p w14:paraId="52E43BEF" w14:textId="52DB9714" w:rsidR="00350979" w:rsidRPr="00432ABC" w:rsidRDefault="00A10160">
      <w:pPr>
        <w:pStyle w:val="Prrafodelista"/>
        <w:widowControl w:val="0"/>
        <w:numPr>
          <w:ilvl w:val="0"/>
          <w:numId w:val="45"/>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u w:val="single"/>
        </w:rPr>
      </w:pPr>
      <w:bookmarkStart w:id="139" w:name="_Toc526783769"/>
      <w:bookmarkStart w:id="140" w:name="_Toc527561054"/>
      <w:r>
        <w:rPr>
          <w:rStyle w:val="nfasissutil"/>
          <w:rFonts w:ascii="Verdana" w:hAnsi="Verdana"/>
          <w:i/>
          <w:sz w:val="20"/>
          <w:szCs w:val="20"/>
        </w:rPr>
        <w:t xml:space="preserve"> </w:t>
      </w:r>
      <w:bookmarkStart w:id="141" w:name="_Toc532995341"/>
      <w:r w:rsidR="002E1C85" w:rsidRPr="00432ABC">
        <w:rPr>
          <w:rStyle w:val="nfasissutil"/>
          <w:rFonts w:ascii="Verdana" w:hAnsi="Verdana"/>
          <w:i/>
          <w:sz w:val="20"/>
          <w:szCs w:val="20"/>
        </w:rPr>
        <w:t>Procuraduría General de Ju</w:t>
      </w:r>
      <w:r w:rsidR="00F50ACE" w:rsidRPr="00432ABC">
        <w:rPr>
          <w:rStyle w:val="nfasissutil"/>
          <w:rFonts w:ascii="Verdana" w:hAnsi="Verdana"/>
          <w:i/>
          <w:sz w:val="20"/>
          <w:szCs w:val="20"/>
        </w:rPr>
        <w:t xml:space="preserve">sticia del Estado de Chihuahua </w:t>
      </w:r>
      <w:r w:rsidR="002E1C85" w:rsidRPr="00432ABC">
        <w:rPr>
          <w:rStyle w:val="nfasissutil"/>
          <w:rFonts w:ascii="Verdana" w:hAnsi="Verdana"/>
          <w:i/>
          <w:sz w:val="20"/>
          <w:szCs w:val="20"/>
        </w:rPr>
        <w:t>[PGJE – Chihuahua]</w:t>
      </w:r>
      <w:bookmarkEnd w:id="139"/>
      <w:bookmarkEnd w:id="140"/>
      <w:bookmarkEnd w:id="141"/>
      <w:r w:rsidR="002E1C85" w:rsidRPr="00432ABC">
        <w:rPr>
          <w:rFonts w:ascii="Verdana" w:hAnsi="Verdana"/>
          <w:i/>
          <w:sz w:val="20"/>
          <w:szCs w:val="20"/>
          <w:lang w:val="es-AR"/>
        </w:rPr>
        <w:t xml:space="preserve"> </w:t>
      </w:r>
    </w:p>
    <w:p w14:paraId="18DC16D2" w14:textId="20B9584D" w:rsidR="00350979" w:rsidRPr="00744CE4" w:rsidRDefault="002E1C85" w:rsidP="00DB378B">
      <w:pPr>
        <w:pStyle w:val="Prrafodelista"/>
        <w:widowControl w:val="0"/>
        <w:numPr>
          <w:ilvl w:val="0"/>
          <w:numId w:val="4"/>
        </w:numPr>
        <w:tabs>
          <w:tab w:val="left" w:pos="567"/>
        </w:tabs>
        <w:adjustRightInd w:val="0"/>
        <w:spacing w:before="120" w:after="120" w:line="240" w:lineRule="auto"/>
        <w:ind w:left="0" w:firstLine="0"/>
        <w:contextualSpacing w:val="0"/>
        <w:jc w:val="both"/>
        <w:textAlignment w:val="baseline"/>
        <w:rPr>
          <w:rFonts w:ascii="Verdana" w:hAnsi="Verdana"/>
          <w:sz w:val="20"/>
          <w:szCs w:val="20"/>
        </w:rPr>
      </w:pPr>
      <w:r w:rsidRPr="002C462C">
        <w:rPr>
          <w:rFonts w:ascii="Verdana" w:hAnsi="Verdana"/>
          <w:sz w:val="20"/>
          <w:szCs w:val="20"/>
          <w:lang w:val="es-AR"/>
        </w:rPr>
        <w:t>El 31 de diciembre de 2009 Mar</w:t>
      </w:r>
      <w:r w:rsidR="002A013F">
        <w:rPr>
          <w:rFonts w:ascii="Verdana" w:hAnsi="Verdana"/>
          <w:sz w:val="20"/>
          <w:szCs w:val="20"/>
          <w:lang w:val="es-AR"/>
        </w:rPr>
        <w:t>í</w:t>
      </w:r>
      <w:r w:rsidRPr="002C462C">
        <w:rPr>
          <w:rFonts w:ascii="Verdana" w:hAnsi="Verdana"/>
          <w:sz w:val="20"/>
          <w:szCs w:val="20"/>
          <w:lang w:val="es-AR"/>
        </w:rPr>
        <w:t>a de Jesús Alvarado y Patricia Reyes promovieron sus respectivas denuncias por la desaparición de sus familiares ante el Agente Auxiliar del Ministerio Público de Buenaventura, Chihuahua [AAMP - Buenaventura], Aarón Enríquez Duarte. Ambas denuncias fueron radicadas conjuntamente por el delito de privación ilegal de la libertad bajo la Carpeta de In</w:t>
      </w:r>
      <w:r w:rsidRPr="00744CE4">
        <w:rPr>
          <w:rFonts w:ascii="Verdana" w:hAnsi="Verdana"/>
          <w:sz w:val="20"/>
          <w:szCs w:val="20"/>
          <w:lang w:val="es-AR"/>
        </w:rPr>
        <w:t>vestigación 124/2009-5326</w:t>
      </w:r>
      <w:r w:rsidRPr="00744CE4">
        <w:rPr>
          <w:rStyle w:val="Refdenotaalpie"/>
          <w:rFonts w:ascii="Verdana" w:hAnsi="Verdana"/>
          <w:sz w:val="20"/>
          <w:szCs w:val="20"/>
          <w:lang w:val="es-AR"/>
        </w:rPr>
        <w:footnoteReference w:id="218"/>
      </w:r>
      <w:r w:rsidRPr="00744CE4">
        <w:rPr>
          <w:rFonts w:ascii="Verdana" w:hAnsi="Verdana"/>
          <w:sz w:val="20"/>
          <w:szCs w:val="20"/>
          <w:lang w:val="es-AR"/>
        </w:rPr>
        <w:t xml:space="preserve"> y posteriormente asignadas a la Unidad Especial de Investigación de Personas Ausentes y Extraviadas [</w:t>
      </w:r>
      <w:r w:rsidRPr="00744CE4">
        <w:rPr>
          <w:rFonts w:ascii="Verdana" w:hAnsi="Verdana"/>
          <w:sz w:val="20"/>
          <w:szCs w:val="20"/>
        </w:rPr>
        <w:t>UEIPAE – Chihuahua]</w:t>
      </w:r>
      <w:r w:rsidRPr="00744CE4">
        <w:rPr>
          <w:rStyle w:val="Refdenotaalpie"/>
          <w:rFonts w:ascii="Verdana" w:hAnsi="Verdana"/>
          <w:sz w:val="20"/>
          <w:szCs w:val="20"/>
          <w:lang w:val="es-AR"/>
        </w:rPr>
        <w:footnoteReference w:id="219"/>
      </w:r>
      <w:r w:rsidRPr="00744CE4">
        <w:rPr>
          <w:rFonts w:ascii="Verdana" w:hAnsi="Verdana"/>
          <w:sz w:val="20"/>
          <w:szCs w:val="20"/>
          <w:lang w:val="es-AR"/>
        </w:rPr>
        <w:t xml:space="preserve">. </w:t>
      </w:r>
    </w:p>
    <w:p w14:paraId="64AA5EB1" w14:textId="06A98574" w:rsidR="002E1C85" w:rsidRPr="00432ABC" w:rsidRDefault="002E1C85" w:rsidP="00DB378B">
      <w:pPr>
        <w:pStyle w:val="Prrafodelista"/>
        <w:widowControl w:val="0"/>
        <w:numPr>
          <w:ilvl w:val="0"/>
          <w:numId w:val="4"/>
        </w:numPr>
        <w:tabs>
          <w:tab w:val="left" w:pos="567"/>
        </w:tabs>
        <w:adjustRightInd w:val="0"/>
        <w:spacing w:before="120" w:after="120" w:line="240" w:lineRule="auto"/>
        <w:ind w:left="0" w:firstLine="0"/>
        <w:contextualSpacing w:val="0"/>
        <w:jc w:val="both"/>
        <w:textAlignment w:val="baseline"/>
        <w:rPr>
          <w:rFonts w:ascii="Verdana" w:hAnsi="Verdana"/>
          <w:sz w:val="20"/>
          <w:szCs w:val="20"/>
        </w:rPr>
      </w:pPr>
      <w:r w:rsidRPr="00432ABC">
        <w:rPr>
          <w:rFonts w:ascii="Verdana" w:hAnsi="Verdana"/>
          <w:sz w:val="20"/>
          <w:szCs w:val="20"/>
        </w:rPr>
        <w:t xml:space="preserve">En el marco de dicha investigación, tuvieron lugar, entre otras, las siguientes diligencias:  </w:t>
      </w:r>
    </w:p>
    <w:p w14:paraId="64AA5EB3" w14:textId="3D8C1686" w:rsidR="002E1C85" w:rsidRPr="008D0846" w:rsidRDefault="00B4529B">
      <w:pPr>
        <w:pStyle w:val="Prrafodelista"/>
        <w:numPr>
          <w:ilvl w:val="0"/>
          <w:numId w:val="11"/>
        </w:numPr>
        <w:spacing w:before="120" w:after="120" w:line="240" w:lineRule="auto"/>
        <w:ind w:left="568" w:hanging="284"/>
        <w:contextualSpacing w:val="0"/>
        <w:jc w:val="both"/>
        <w:rPr>
          <w:rFonts w:ascii="Verdana" w:hAnsi="Verdana" w:cs="Cambria"/>
          <w:sz w:val="18"/>
          <w:szCs w:val="20"/>
        </w:rPr>
      </w:pPr>
      <w:r w:rsidRPr="008D0846">
        <w:rPr>
          <w:rFonts w:ascii="Verdana" w:hAnsi="Verdana" w:cs="Cambria"/>
          <w:sz w:val="18"/>
          <w:szCs w:val="20"/>
        </w:rPr>
        <w:t>e</w:t>
      </w:r>
      <w:r w:rsidR="002E1C85" w:rsidRPr="008D0846">
        <w:rPr>
          <w:rFonts w:ascii="Verdana" w:hAnsi="Verdana" w:cs="Cambria"/>
          <w:sz w:val="18"/>
          <w:szCs w:val="20"/>
        </w:rPr>
        <w:t xml:space="preserve">l 5 de enero de 2010 la Policía Ministerial de la Agencia Estatal de Investigación de la PGJE – Chihuahua [AEI - Chihuahua], a pedimento del </w:t>
      </w:r>
      <w:r w:rsidR="002E1C85" w:rsidRPr="008D0846">
        <w:rPr>
          <w:rFonts w:ascii="Verdana" w:hAnsi="Verdana"/>
          <w:sz w:val="18"/>
          <w:szCs w:val="20"/>
          <w:lang w:val="es-AR"/>
        </w:rPr>
        <w:t>AAMP - Buenaventura</w:t>
      </w:r>
      <w:r w:rsidR="002E1C85" w:rsidRPr="008D0846">
        <w:rPr>
          <w:rFonts w:ascii="Verdana" w:hAnsi="Verdana" w:cs="Cambria"/>
          <w:sz w:val="18"/>
          <w:szCs w:val="20"/>
        </w:rPr>
        <w:t xml:space="preserve"> para el esclarecimiento de los hechos</w:t>
      </w:r>
      <w:r w:rsidR="002E1C85" w:rsidRPr="008D0846">
        <w:rPr>
          <w:rStyle w:val="Refdenotaalpie"/>
          <w:rFonts w:ascii="Verdana" w:hAnsi="Verdana" w:cs="Cambria"/>
          <w:sz w:val="18"/>
          <w:szCs w:val="20"/>
        </w:rPr>
        <w:footnoteReference w:id="220"/>
      </w:r>
      <w:r w:rsidR="002E1C85" w:rsidRPr="008D0846">
        <w:rPr>
          <w:rFonts w:ascii="Verdana" w:hAnsi="Verdana" w:cs="Cambria"/>
          <w:sz w:val="18"/>
          <w:szCs w:val="20"/>
        </w:rPr>
        <w:t>, remitió un acta de aviso al Ministerio Público por la comisión de hechos delictuosos; cuatro actas de entrevistas realizadas a testigos de los hechos; un acta de cadena y eslabones de custodia de evidencias, y una serie de fotografías tomadas a la camioneta de donde fueron sustraídos por sus captores Nitza Paola y José Ángel Alvarado el 29 de diciembre de 2009</w:t>
      </w:r>
      <w:r w:rsidR="002E1C85" w:rsidRPr="008D0846">
        <w:rPr>
          <w:rStyle w:val="Refdenotaalpie"/>
          <w:rFonts w:ascii="Verdana" w:hAnsi="Verdana" w:cs="Cambria"/>
          <w:sz w:val="18"/>
          <w:szCs w:val="20"/>
        </w:rPr>
        <w:footnoteReference w:id="221"/>
      </w:r>
      <w:r w:rsidR="00D50E04" w:rsidRPr="008D0846">
        <w:rPr>
          <w:rFonts w:ascii="Verdana" w:hAnsi="Verdana" w:cs="Cambria"/>
          <w:sz w:val="18"/>
          <w:szCs w:val="20"/>
        </w:rPr>
        <w:t>;</w:t>
      </w:r>
    </w:p>
    <w:p w14:paraId="64AA5EB5" w14:textId="5FD49313" w:rsidR="002E1C85" w:rsidRPr="008D0846" w:rsidRDefault="00D50E04">
      <w:pPr>
        <w:pStyle w:val="Prrafodelista"/>
        <w:numPr>
          <w:ilvl w:val="0"/>
          <w:numId w:val="11"/>
        </w:numPr>
        <w:spacing w:before="120" w:after="120" w:line="240" w:lineRule="auto"/>
        <w:ind w:left="568" w:hanging="284"/>
        <w:contextualSpacing w:val="0"/>
        <w:jc w:val="both"/>
        <w:rPr>
          <w:rFonts w:ascii="Verdana" w:hAnsi="Verdana"/>
          <w:sz w:val="18"/>
          <w:szCs w:val="20"/>
        </w:rPr>
      </w:pPr>
      <w:r w:rsidRPr="008D0846">
        <w:rPr>
          <w:rFonts w:ascii="Verdana" w:hAnsi="Verdana"/>
          <w:sz w:val="18"/>
          <w:szCs w:val="20"/>
        </w:rPr>
        <w:t>e</w:t>
      </w:r>
      <w:r w:rsidR="002E1C85" w:rsidRPr="008D0846">
        <w:rPr>
          <w:rFonts w:ascii="Verdana" w:hAnsi="Verdana"/>
          <w:sz w:val="18"/>
          <w:szCs w:val="20"/>
        </w:rPr>
        <w:t xml:space="preserve">l 12 de febrero de 2010 María de Jesús Alvarado compareció ante el AMP de la PGJE - Chihuahua para </w:t>
      </w:r>
      <w:r w:rsidR="00F825CC" w:rsidRPr="008D0846">
        <w:rPr>
          <w:rFonts w:ascii="Verdana" w:hAnsi="Verdana"/>
          <w:sz w:val="18"/>
          <w:szCs w:val="20"/>
        </w:rPr>
        <w:t>hacer de su</w:t>
      </w:r>
      <w:r w:rsidR="002E1C85" w:rsidRPr="008D0846">
        <w:rPr>
          <w:rFonts w:ascii="Verdana" w:hAnsi="Verdana"/>
          <w:sz w:val="18"/>
          <w:szCs w:val="20"/>
        </w:rPr>
        <w:t xml:space="preserve"> conocimiento la llamada de auxilio supuestamente realizada por Nitza Paola Alvarado </w:t>
      </w:r>
      <w:r w:rsidR="002E1C85" w:rsidRPr="008D0846">
        <w:rPr>
          <w:rFonts w:ascii="Verdana" w:hAnsi="Verdana"/>
          <w:sz w:val="18"/>
          <w:szCs w:val="20"/>
        </w:rPr>
        <w:lastRenderedPageBreak/>
        <w:t>(</w:t>
      </w:r>
      <w:r w:rsidR="002E1C85" w:rsidRPr="008D0846">
        <w:rPr>
          <w:rFonts w:ascii="Verdana" w:hAnsi="Verdana"/>
          <w:i/>
          <w:sz w:val="18"/>
          <w:szCs w:val="20"/>
        </w:rPr>
        <w:t>supra</w:t>
      </w:r>
      <w:r w:rsidR="002E1C85" w:rsidRPr="008D0846">
        <w:rPr>
          <w:rFonts w:ascii="Verdana" w:hAnsi="Verdana"/>
          <w:sz w:val="18"/>
          <w:szCs w:val="20"/>
        </w:rPr>
        <w:t xml:space="preserve"> párr. </w:t>
      </w:r>
      <w:r w:rsidR="00F825CC" w:rsidRPr="008D0846">
        <w:rPr>
          <w:rFonts w:ascii="Verdana" w:hAnsi="Verdana"/>
          <w:sz w:val="18"/>
          <w:szCs w:val="20"/>
        </w:rPr>
        <w:t>10</w:t>
      </w:r>
      <w:r w:rsidR="007E2CF6" w:rsidRPr="008D0846">
        <w:rPr>
          <w:rFonts w:ascii="Verdana" w:hAnsi="Verdana"/>
          <w:sz w:val="18"/>
          <w:szCs w:val="20"/>
        </w:rPr>
        <w:t>1</w:t>
      </w:r>
      <w:r w:rsidR="002E1C85" w:rsidRPr="008D0846">
        <w:rPr>
          <w:rFonts w:ascii="Verdana" w:hAnsi="Verdana"/>
          <w:sz w:val="18"/>
          <w:szCs w:val="20"/>
        </w:rPr>
        <w:t>)</w:t>
      </w:r>
      <w:r w:rsidR="002E1C85" w:rsidRPr="008D0846">
        <w:rPr>
          <w:rStyle w:val="Refdenotaalpie"/>
          <w:rFonts w:ascii="Verdana" w:hAnsi="Verdana" w:cs="Cambria"/>
          <w:sz w:val="18"/>
          <w:szCs w:val="20"/>
        </w:rPr>
        <w:footnoteReference w:id="222"/>
      </w:r>
      <w:r w:rsidR="002E1C85" w:rsidRPr="008D0846">
        <w:rPr>
          <w:rFonts w:ascii="Verdana" w:hAnsi="Verdana"/>
          <w:sz w:val="18"/>
          <w:szCs w:val="20"/>
        </w:rPr>
        <w:t>. El 13 de febrero de 2010 Juana Bustamante rindió su declaración ante tal autoridad, señalando que identificó en dicha llamada la voz de Nitza Paola Alvarado pidiendo auxilio</w:t>
      </w:r>
      <w:r w:rsidR="002E1C85" w:rsidRPr="008D0846">
        <w:rPr>
          <w:rStyle w:val="Refdenotaalpie"/>
          <w:rFonts w:ascii="Verdana" w:hAnsi="Verdana" w:cs="Cambria"/>
          <w:sz w:val="18"/>
          <w:szCs w:val="20"/>
        </w:rPr>
        <w:footnoteReference w:id="223"/>
      </w:r>
      <w:r w:rsidRPr="008D0846">
        <w:rPr>
          <w:rFonts w:ascii="Verdana" w:hAnsi="Verdana"/>
          <w:sz w:val="18"/>
          <w:szCs w:val="20"/>
        </w:rPr>
        <w:t>;</w:t>
      </w:r>
    </w:p>
    <w:p w14:paraId="64AA5EB6" w14:textId="286F7D03" w:rsidR="002E1C85" w:rsidRPr="008D0846" w:rsidRDefault="00D50E04">
      <w:pPr>
        <w:widowControl w:val="0"/>
        <w:numPr>
          <w:ilvl w:val="0"/>
          <w:numId w:val="11"/>
        </w:numPr>
        <w:tabs>
          <w:tab w:val="left" w:pos="567"/>
        </w:tabs>
        <w:adjustRightInd w:val="0"/>
        <w:spacing w:before="120" w:after="120" w:line="240" w:lineRule="auto"/>
        <w:ind w:left="567" w:hanging="284"/>
        <w:jc w:val="both"/>
        <w:textAlignment w:val="baseline"/>
        <w:rPr>
          <w:rFonts w:ascii="Verdana" w:hAnsi="Verdana" w:cs="Cambria"/>
          <w:sz w:val="18"/>
          <w:szCs w:val="20"/>
        </w:rPr>
      </w:pPr>
      <w:r w:rsidRPr="008D0846">
        <w:rPr>
          <w:rFonts w:ascii="Verdana" w:hAnsi="Verdana" w:cs="Cambria"/>
          <w:sz w:val="18"/>
          <w:szCs w:val="20"/>
        </w:rPr>
        <w:t>e</w:t>
      </w:r>
      <w:r w:rsidR="002E1C85" w:rsidRPr="008D0846">
        <w:rPr>
          <w:rFonts w:ascii="Verdana" w:hAnsi="Verdana" w:cs="Cambria"/>
          <w:sz w:val="18"/>
          <w:szCs w:val="20"/>
        </w:rPr>
        <w:t>l 9 de febrero de 2010 el representante legal de la empresa Teléfonos de México S.A.</w:t>
      </w:r>
      <w:r w:rsidR="007E2CF6" w:rsidRPr="008D0846">
        <w:rPr>
          <w:rFonts w:ascii="Verdana" w:hAnsi="Verdana" w:cs="Cambria"/>
          <w:sz w:val="18"/>
          <w:szCs w:val="20"/>
        </w:rPr>
        <w:t xml:space="preserve"> </w:t>
      </w:r>
      <w:r w:rsidR="002E1C85" w:rsidRPr="008D0846">
        <w:rPr>
          <w:rFonts w:ascii="Verdana" w:hAnsi="Verdana" w:cs="Cambria"/>
          <w:sz w:val="18"/>
          <w:szCs w:val="20"/>
        </w:rPr>
        <w:t xml:space="preserve">de C.V. </w:t>
      </w:r>
      <w:r w:rsidR="00F825CC" w:rsidRPr="008D0846">
        <w:rPr>
          <w:rFonts w:ascii="Verdana" w:hAnsi="Verdana" w:cs="Cambria"/>
          <w:sz w:val="18"/>
          <w:szCs w:val="20"/>
        </w:rPr>
        <w:t>(</w:t>
      </w:r>
      <w:r w:rsidR="002E1C85" w:rsidRPr="008D0846">
        <w:rPr>
          <w:rFonts w:ascii="Verdana" w:hAnsi="Verdana" w:cs="Cambria"/>
          <w:sz w:val="18"/>
          <w:szCs w:val="20"/>
        </w:rPr>
        <w:t>TELMEX</w:t>
      </w:r>
      <w:r w:rsidR="00F825CC" w:rsidRPr="008D0846">
        <w:rPr>
          <w:rFonts w:ascii="Verdana" w:hAnsi="Verdana" w:cs="Cambria"/>
          <w:sz w:val="18"/>
          <w:szCs w:val="20"/>
        </w:rPr>
        <w:t>)</w:t>
      </w:r>
      <w:r w:rsidR="002E1C85" w:rsidRPr="008D0846">
        <w:rPr>
          <w:rFonts w:ascii="Verdana" w:hAnsi="Verdana" w:cs="Cambria"/>
          <w:sz w:val="18"/>
          <w:szCs w:val="20"/>
        </w:rPr>
        <w:t xml:space="preserve"> remitió el informe sobre el nombre y domicilio del titular, así como del número al cual fue recibida la supuesta llamada de auxilio de Nitza Paola</w:t>
      </w:r>
      <w:r w:rsidR="002E1C85" w:rsidRPr="008D0846">
        <w:rPr>
          <w:rStyle w:val="Refdenotaalpie"/>
          <w:rFonts w:ascii="Verdana" w:hAnsi="Verdana" w:cs="Cambria"/>
          <w:sz w:val="18"/>
          <w:szCs w:val="20"/>
        </w:rPr>
        <w:footnoteReference w:id="224"/>
      </w:r>
      <w:r w:rsidR="002E1C85" w:rsidRPr="008D0846">
        <w:rPr>
          <w:rFonts w:ascii="Verdana" w:hAnsi="Verdana" w:cs="Cambria"/>
          <w:sz w:val="18"/>
          <w:szCs w:val="20"/>
        </w:rPr>
        <w:t>. De los datos recabados se obtuvo el número telefónico desde el cual fue realizada dicha llamada</w:t>
      </w:r>
      <w:r w:rsidR="002E1C85" w:rsidRPr="008D0846">
        <w:rPr>
          <w:rStyle w:val="Refdenotaalpie"/>
          <w:rFonts w:ascii="Verdana" w:hAnsi="Verdana" w:cs="Cambria"/>
          <w:sz w:val="18"/>
          <w:szCs w:val="20"/>
        </w:rPr>
        <w:footnoteReference w:id="225"/>
      </w:r>
      <w:r w:rsidRPr="008D0846">
        <w:rPr>
          <w:rFonts w:ascii="Verdana" w:hAnsi="Verdana" w:cs="Cambria"/>
          <w:sz w:val="18"/>
          <w:szCs w:val="20"/>
        </w:rPr>
        <w:t>;</w:t>
      </w:r>
    </w:p>
    <w:p w14:paraId="64AA5EB9" w14:textId="3E31CA04" w:rsidR="002E1C85" w:rsidRPr="008D0846" w:rsidRDefault="00D50E04">
      <w:pPr>
        <w:pStyle w:val="Prrafodelista"/>
        <w:widowControl w:val="0"/>
        <w:numPr>
          <w:ilvl w:val="0"/>
          <w:numId w:val="11"/>
        </w:numPr>
        <w:tabs>
          <w:tab w:val="left" w:pos="567"/>
        </w:tabs>
        <w:adjustRightInd w:val="0"/>
        <w:spacing w:before="120" w:after="120" w:line="240" w:lineRule="auto"/>
        <w:ind w:left="567" w:hanging="284"/>
        <w:contextualSpacing w:val="0"/>
        <w:jc w:val="both"/>
        <w:textAlignment w:val="baseline"/>
        <w:rPr>
          <w:rFonts w:ascii="Verdana" w:hAnsi="Verdana" w:cs="Cambria"/>
          <w:sz w:val="18"/>
          <w:szCs w:val="20"/>
        </w:rPr>
      </w:pPr>
      <w:r w:rsidRPr="008D0846">
        <w:rPr>
          <w:rFonts w:ascii="Verdana" w:hAnsi="Verdana"/>
          <w:sz w:val="18"/>
          <w:szCs w:val="20"/>
        </w:rPr>
        <w:t>e</w:t>
      </w:r>
      <w:r w:rsidR="002E1C85" w:rsidRPr="008D0846">
        <w:rPr>
          <w:rFonts w:ascii="Verdana" w:hAnsi="Verdana"/>
          <w:sz w:val="18"/>
          <w:szCs w:val="20"/>
        </w:rPr>
        <w:t>l 15 de febrero de 2010 María de Jesús Alvarado Espinoza solicitó a la UEIPAE - Chihuahua</w:t>
      </w:r>
      <w:r w:rsidR="002E1C85" w:rsidRPr="008D0846" w:rsidDel="0017553F">
        <w:rPr>
          <w:rFonts w:ascii="Verdana" w:hAnsi="Verdana"/>
          <w:sz w:val="18"/>
          <w:szCs w:val="20"/>
        </w:rPr>
        <w:t xml:space="preserve"> </w:t>
      </w:r>
      <w:r w:rsidR="002E1C85" w:rsidRPr="008D0846">
        <w:rPr>
          <w:rFonts w:ascii="Verdana" w:hAnsi="Verdana"/>
          <w:sz w:val="18"/>
          <w:szCs w:val="20"/>
        </w:rPr>
        <w:t>la devolución del vehículo del cual fueron sustraídos sus familiares el 29 de diciembre de 2009</w:t>
      </w:r>
      <w:r w:rsidR="002E1C85" w:rsidRPr="008D0846">
        <w:rPr>
          <w:rStyle w:val="Refdenotaalpie"/>
          <w:rFonts w:ascii="Verdana" w:hAnsi="Verdana"/>
          <w:sz w:val="18"/>
          <w:szCs w:val="20"/>
        </w:rPr>
        <w:footnoteReference w:id="226"/>
      </w:r>
      <w:r w:rsidR="002E1C85" w:rsidRPr="008D0846">
        <w:rPr>
          <w:rFonts w:ascii="Verdana" w:hAnsi="Verdana"/>
          <w:sz w:val="18"/>
          <w:szCs w:val="20"/>
        </w:rPr>
        <w:t>, mismo que le fue devuelto el 16 de febrero de 2010 tras acreditar su propiedad</w:t>
      </w:r>
      <w:r w:rsidR="002E1C85" w:rsidRPr="008D0846">
        <w:rPr>
          <w:rStyle w:val="Refdenotaalpie"/>
          <w:rFonts w:ascii="Verdana" w:hAnsi="Verdana"/>
          <w:sz w:val="18"/>
          <w:szCs w:val="20"/>
        </w:rPr>
        <w:footnoteReference w:id="227"/>
      </w:r>
      <w:r w:rsidRPr="008D0846">
        <w:rPr>
          <w:rFonts w:ascii="Verdana" w:hAnsi="Verdana"/>
          <w:sz w:val="18"/>
          <w:szCs w:val="20"/>
        </w:rPr>
        <w:t>;</w:t>
      </w:r>
    </w:p>
    <w:p w14:paraId="64AA5EBB" w14:textId="171FD72B" w:rsidR="002E1C85" w:rsidRPr="008D0846" w:rsidRDefault="002E1C85">
      <w:pPr>
        <w:widowControl w:val="0"/>
        <w:numPr>
          <w:ilvl w:val="0"/>
          <w:numId w:val="11"/>
        </w:numPr>
        <w:tabs>
          <w:tab w:val="left" w:pos="567"/>
        </w:tabs>
        <w:adjustRightInd w:val="0"/>
        <w:spacing w:before="120" w:after="120" w:line="240" w:lineRule="auto"/>
        <w:ind w:left="567" w:hanging="283"/>
        <w:jc w:val="both"/>
        <w:textAlignment w:val="baseline"/>
        <w:rPr>
          <w:rFonts w:ascii="Verdana" w:hAnsi="Verdana"/>
          <w:sz w:val="18"/>
          <w:szCs w:val="20"/>
        </w:rPr>
      </w:pPr>
      <w:r w:rsidRPr="008D0846">
        <w:rPr>
          <w:rFonts w:ascii="Verdana" w:hAnsi="Verdana" w:cs="Cambria"/>
          <w:sz w:val="18"/>
          <w:szCs w:val="20"/>
        </w:rPr>
        <w:t>A solicitud de la PGJE - Chihuahua</w:t>
      </w:r>
      <w:r w:rsidRPr="008D0846">
        <w:rPr>
          <w:rStyle w:val="Refdenotaalpie"/>
          <w:rFonts w:ascii="Verdana" w:hAnsi="Verdana" w:cs="Cambria"/>
          <w:sz w:val="18"/>
          <w:szCs w:val="20"/>
        </w:rPr>
        <w:footnoteReference w:id="228"/>
      </w:r>
      <w:r w:rsidRPr="008D0846">
        <w:rPr>
          <w:rFonts w:ascii="Verdana" w:hAnsi="Verdana" w:cs="Cambria"/>
          <w:sz w:val="18"/>
          <w:szCs w:val="20"/>
        </w:rPr>
        <w:t>, el representante legal de la empresa telefónica Pegaso Comunicaciones y Sistemas S.A. de C.V., informó que no era posible proporcionar los datos personales del número telefónico del cual fue realizada la supuesta llamada de auxilio de Nitza Paola Alvarado toda vez que la misma había sido adquirida mediante el plan de prepago</w:t>
      </w:r>
      <w:r w:rsidRPr="008D0846">
        <w:rPr>
          <w:rStyle w:val="Refdenotaalpie"/>
          <w:rFonts w:ascii="Verdana" w:hAnsi="Verdana" w:cs="Cambria"/>
          <w:sz w:val="18"/>
          <w:szCs w:val="20"/>
        </w:rPr>
        <w:footnoteReference w:id="229"/>
      </w:r>
      <w:r w:rsidR="00D50E04" w:rsidRPr="008D0846">
        <w:rPr>
          <w:rFonts w:ascii="Verdana" w:hAnsi="Verdana" w:cs="Cambria"/>
          <w:sz w:val="18"/>
          <w:szCs w:val="20"/>
        </w:rPr>
        <w:t>;</w:t>
      </w:r>
    </w:p>
    <w:p w14:paraId="64AA5EBD" w14:textId="5D20BB07" w:rsidR="002E1C85" w:rsidRPr="008D0846" w:rsidRDefault="00D50E04">
      <w:pPr>
        <w:widowControl w:val="0"/>
        <w:numPr>
          <w:ilvl w:val="0"/>
          <w:numId w:val="11"/>
        </w:numPr>
        <w:tabs>
          <w:tab w:val="left" w:pos="567"/>
        </w:tabs>
        <w:autoSpaceDE w:val="0"/>
        <w:autoSpaceDN w:val="0"/>
        <w:adjustRightInd w:val="0"/>
        <w:spacing w:before="120" w:after="120" w:line="240" w:lineRule="auto"/>
        <w:ind w:left="567" w:hanging="283"/>
        <w:jc w:val="both"/>
        <w:textAlignment w:val="baseline"/>
        <w:rPr>
          <w:rFonts w:ascii="Verdana" w:hAnsi="Verdana"/>
          <w:sz w:val="18"/>
          <w:szCs w:val="20"/>
        </w:rPr>
      </w:pPr>
      <w:r w:rsidRPr="008D0846">
        <w:rPr>
          <w:rFonts w:ascii="Verdana" w:hAnsi="Verdana" w:cs="Arial"/>
          <w:sz w:val="18"/>
          <w:szCs w:val="20"/>
        </w:rPr>
        <w:t>e</w:t>
      </w:r>
      <w:r w:rsidR="002E1C85" w:rsidRPr="008D0846">
        <w:rPr>
          <w:rFonts w:ascii="Verdana" w:hAnsi="Verdana" w:cs="Arial"/>
          <w:sz w:val="18"/>
          <w:szCs w:val="20"/>
        </w:rPr>
        <w:t xml:space="preserve">l 31 de agosto de 2010 se realizó un rastreo en diversos sitios del Ejido Benito Juárez “de posibles elementos o información relevante en torno a la investigación”, </w:t>
      </w:r>
      <w:r w:rsidR="002E1C85" w:rsidRPr="008D0846">
        <w:rPr>
          <w:rFonts w:ascii="Verdana" w:hAnsi="Verdana"/>
          <w:sz w:val="18"/>
          <w:szCs w:val="20"/>
        </w:rPr>
        <w:t>obteniendo resultados negativos tras dichas exploraciones</w:t>
      </w:r>
      <w:r w:rsidR="002E1C85" w:rsidRPr="008D0846">
        <w:rPr>
          <w:rStyle w:val="Refdenotaalpie"/>
          <w:rFonts w:ascii="Verdana" w:hAnsi="Verdana"/>
          <w:sz w:val="18"/>
          <w:szCs w:val="20"/>
        </w:rPr>
        <w:footnoteReference w:id="230"/>
      </w:r>
      <w:r w:rsidRPr="008D0846">
        <w:rPr>
          <w:rFonts w:ascii="Verdana" w:hAnsi="Verdana" w:cs="Arial"/>
          <w:sz w:val="18"/>
          <w:szCs w:val="20"/>
        </w:rPr>
        <w:t>, y</w:t>
      </w:r>
    </w:p>
    <w:p w14:paraId="64AA5EBF" w14:textId="4BB3D322" w:rsidR="002E1C85" w:rsidRPr="008D0846" w:rsidRDefault="00D50E04">
      <w:pPr>
        <w:widowControl w:val="0"/>
        <w:numPr>
          <w:ilvl w:val="0"/>
          <w:numId w:val="11"/>
        </w:numPr>
        <w:tabs>
          <w:tab w:val="left" w:pos="567"/>
        </w:tabs>
        <w:adjustRightInd w:val="0"/>
        <w:spacing w:before="120" w:after="120" w:line="240" w:lineRule="auto"/>
        <w:ind w:left="567" w:hanging="283"/>
        <w:jc w:val="both"/>
        <w:textAlignment w:val="baseline"/>
        <w:rPr>
          <w:rFonts w:ascii="Verdana" w:hAnsi="Verdana" w:cs="Arial"/>
          <w:sz w:val="18"/>
          <w:szCs w:val="20"/>
          <w:lang w:bidi="he-IL"/>
        </w:rPr>
      </w:pPr>
      <w:r w:rsidRPr="008D0846">
        <w:rPr>
          <w:rFonts w:ascii="Verdana" w:hAnsi="Verdana"/>
          <w:sz w:val="18"/>
          <w:szCs w:val="20"/>
        </w:rPr>
        <w:t>l</w:t>
      </w:r>
      <w:r w:rsidR="002E1C85" w:rsidRPr="008D0846">
        <w:rPr>
          <w:rFonts w:ascii="Verdana" w:hAnsi="Verdana"/>
          <w:sz w:val="18"/>
          <w:szCs w:val="20"/>
        </w:rPr>
        <w:t>os días 1 de febrero</w:t>
      </w:r>
      <w:r w:rsidR="002E1C85" w:rsidRPr="008D0846">
        <w:rPr>
          <w:rStyle w:val="Refdenotaalpie"/>
          <w:rFonts w:ascii="Verdana" w:hAnsi="Verdana"/>
          <w:sz w:val="18"/>
          <w:szCs w:val="20"/>
        </w:rPr>
        <w:footnoteReference w:id="231"/>
      </w:r>
      <w:r w:rsidR="002E1C85" w:rsidRPr="008D0846">
        <w:rPr>
          <w:rFonts w:ascii="Verdana" w:hAnsi="Verdana"/>
          <w:sz w:val="18"/>
          <w:szCs w:val="20"/>
        </w:rPr>
        <w:t>, 23 de febrero</w:t>
      </w:r>
      <w:r w:rsidR="002E1C85" w:rsidRPr="008D0846">
        <w:rPr>
          <w:rStyle w:val="Refdenotaalpie"/>
          <w:rFonts w:ascii="Verdana" w:hAnsi="Verdana"/>
          <w:sz w:val="18"/>
          <w:szCs w:val="20"/>
        </w:rPr>
        <w:footnoteReference w:id="232"/>
      </w:r>
      <w:r w:rsidR="002E1C85" w:rsidRPr="008D0846">
        <w:rPr>
          <w:rFonts w:ascii="Verdana" w:hAnsi="Verdana"/>
          <w:sz w:val="18"/>
          <w:szCs w:val="20"/>
        </w:rPr>
        <w:t xml:space="preserve"> y 16 de junio de 2011</w:t>
      </w:r>
      <w:r w:rsidR="002E1C85" w:rsidRPr="008D0846">
        <w:rPr>
          <w:rStyle w:val="Refdenotaalpie"/>
          <w:rFonts w:ascii="Verdana" w:hAnsi="Verdana"/>
          <w:sz w:val="18"/>
          <w:szCs w:val="20"/>
        </w:rPr>
        <w:footnoteReference w:id="233"/>
      </w:r>
      <w:r w:rsidR="002E1C85" w:rsidRPr="008D0846">
        <w:rPr>
          <w:rFonts w:ascii="Verdana" w:hAnsi="Verdana"/>
          <w:sz w:val="18"/>
          <w:szCs w:val="20"/>
        </w:rPr>
        <w:t xml:space="preserve"> la PGJE – Chihuahua solicitó colaboración a distintas autoridades para descender a rappel y realizar prospecciones en distintos </w:t>
      </w:r>
      <w:r w:rsidR="002E1C85" w:rsidRPr="008D0846">
        <w:rPr>
          <w:rFonts w:ascii="Verdana" w:hAnsi="Verdana"/>
          <w:sz w:val="18"/>
          <w:szCs w:val="20"/>
        </w:rPr>
        <w:lastRenderedPageBreak/>
        <w:t>lugares de interés para la posible localización de los restos de las tres víctimas desaparecidas</w:t>
      </w:r>
      <w:r w:rsidR="002E1C85" w:rsidRPr="008D0846">
        <w:rPr>
          <w:rFonts w:ascii="Verdana" w:hAnsi="Verdana" w:cs="Arial"/>
          <w:sz w:val="18"/>
          <w:szCs w:val="20"/>
        </w:rPr>
        <w:t>. Dichas dependencias respondieron que no contaban con el equipo requerido para tales prospecciones</w:t>
      </w:r>
      <w:r w:rsidR="002E1C85" w:rsidRPr="008D0846">
        <w:rPr>
          <w:rStyle w:val="Refdenotaalpie"/>
          <w:rFonts w:ascii="Verdana" w:hAnsi="Verdana" w:cs="Arial"/>
          <w:sz w:val="18"/>
          <w:szCs w:val="20"/>
        </w:rPr>
        <w:footnoteReference w:id="234"/>
      </w:r>
      <w:r w:rsidR="002E1C85" w:rsidRPr="008D0846">
        <w:rPr>
          <w:rFonts w:ascii="Verdana" w:hAnsi="Verdana" w:cs="Arial"/>
          <w:sz w:val="18"/>
          <w:szCs w:val="20"/>
        </w:rPr>
        <w:t xml:space="preserve">. </w:t>
      </w:r>
    </w:p>
    <w:p w14:paraId="7E576A22" w14:textId="23BC23FD" w:rsidR="00754453" w:rsidRPr="002C462C" w:rsidRDefault="002E1C85" w:rsidP="00DB378B">
      <w:pPr>
        <w:pStyle w:val="Prrafodelista"/>
        <w:widowControl w:val="0"/>
        <w:numPr>
          <w:ilvl w:val="0"/>
          <w:numId w:val="4"/>
        </w:numPr>
        <w:tabs>
          <w:tab w:val="left" w:pos="567"/>
        </w:tabs>
        <w:adjustRightInd w:val="0"/>
        <w:spacing w:before="120" w:after="120" w:line="240" w:lineRule="auto"/>
        <w:ind w:left="0" w:firstLine="0"/>
        <w:contextualSpacing w:val="0"/>
        <w:jc w:val="both"/>
        <w:textAlignment w:val="baseline"/>
        <w:rPr>
          <w:rFonts w:ascii="Verdana" w:hAnsi="Verdana"/>
          <w:sz w:val="20"/>
          <w:szCs w:val="20"/>
        </w:rPr>
      </w:pPr>
      <w:r w:rsidRPr="00432ABC">
        <w:rPr>
          <w:rFonts w:ascii="Verdana" w:hAnsi="Verdana"/>
          <w:sz w:val="20"/>
          <w:szCs w:val="20"/>
        </w:rPr>
        <w:t xml:space="preserve">El 28 de mayo de 2012 la Fiscalía General del Estado de Chihuahua  [FGE, antes PGJE – Chihuahua] declinó su competencia a favor de la Delegación Estatal de la Procuraduría General de la República en Chihuahua [PGR - Chihuahua], por tratarse de hechos de desaparición forzada de personas, entonces previsto en el artículo 215-A del Código de Procedimientos Penales Federal [sic], al considerar que:  </w:t>
      </w:r>
    </w:p>
    <w:p w14:paraId="64AA5EC3" w14:textId="581BB3E8" w:rsidR="002E1C85" w:rsidRPr="00744CE4" w:rsidRDefault="002E1C85">
      <w:pPr>
        <w:pStyle w:val="Prrafodelista"/>
        <w:autoSpaceDE w:val="0"/>
        <w:autoSpaceDN w:val="0"/>
        <w:adjustRightInd w:val="0"/>
        <w:spacing w:before="120" w:after="120" w:line="240" w:lineRule="auto"/>
        <w:ind w:left="567"/>
        <w:contextualSpacing w:val="0"/>
        <w:jc w:val="both"/>
        <w:rPr>
          <w:rFonts w:ascii="Verdana" w:hAnsi="Verdana"/>
          <w:sz w:val="18"/>
          <w:szCs w:val="20"/>
        </w:rPr>
      </w:pPr>
      <w:r w:rsidRPr="002C462C">
        <w:rPr>
          <w:rFonts w:ascii="Verdana" w:hAnsi="Verdana"/>
          <w:sz w:val="18"/>
          <w:szCs w:val="20"/>
        </w:rPr>
        <w:t>“[…] [quienes] privaron de la libertad a [las tres víctimas desaparecidas] est[aban] organizados, siguieron un procedi</w:t>
      </w:r>
      <w:r w:rsidRPr="00744CE4">
        <w:rPr>
          <w:rFonts w:ascii="Verdana" w:hAnsi="Verdana"/>
          <w:sz w:val="18"/>
          <w:szCs w:val="20"/>
        </w:rPr>
        <w:t xml:space="preserve">miento, t[uvieron] la </w:t>
      </w:r>
      <w:r w:rsidR="00205AF7" w:rsidRPr="008D0846">
        <w:rPr>
          <w:rFonts w:ascii="Verdana" w:hAnsi="Verdana"/>
          <w:sz w:val="18"/>
          <w:szCs w:val="20"/>
        </w:rPr>
        <w:t>infra</w:t>
      </w:r>
      <w:r w:rsidRPr="00744CE4">
        <w:rPr>
          <w:rFonts w:ascii="Verdana" w:hAnsi="Verdana"/>
          <w:sz w:val="18"/>
          <w:szCs w:val="20"/>
        </w:rPr>
        <w:t>estructura, recursos económicos y logística básica, por lo tanto, existi[ó] por [esa] autoridad la presunción, siguiendo los indicios desprendiéndose [sic] que dicho acto delictivo fue llevado a cabo por elementos castrenses […]”</w:t>
      </w:r>
      <w:r w:rsidRPr="00744CE4">
        <w:rPr>
          <w:rStyle w:val="Refdenotaalpie"/>
          <w:rFonts w:ascii="Verdana" w:hAnsi="Verdana"/>
          <w:sz w:val="18"/>
          <w:szCs w:val="20"/>
        </w:rPr>
        <w:footnoteReference w:id="235"/>
      </w:r>
      <w:r w:rsidR="004562AE" w:rsidRPr="00744CE4">
        <w:rPr>
          <w:rFonts w:ascii="Verdana" w:hAnsi="Verdana"/>
          <w:sz w:val="18"/>
          <w:szCs w:val="20"/>
        </w:rPr>
        <w:t>.</w:t>
      </w:r>
    </w:p>
    <w:p w14:paraId="64AA5EC5" w14:textId="0A336346" w:rsidR="00F50ACE"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rPr>
      </w:pPr>
      <w:r w:rsidRPr="00432ABC">
        <w:rPr>
          <w:rFonts w:ascii="Verdana" w:hAnsi="Verdana"/>
          <w:sz w:val="20"/>
          <w:szCs w:val="20"/>
        </w:rPr>
        <w:t xml:space="preserve">Como resultado de dicha declinatoria de competencia, la Carpeta de Investigación </w:t>
      </w:r>
      <w:r w:rsidRPr="00432ABC">
        <w:rPr>
          <w:rFonts w:ascii="Verdana" w:hAnsi="Verdana"/>
          <w:sz w:val="20"/>
          <w:szCs w:val="20"/>
          <w:lang w:val="es-AR"/>
        </w:rPr>
        <w:t xml:space="preserve">124/2009-5326 se integró a la Averiguación Previa AP/PGR/CHIH/JUA/467/2012 radicada ante la Delegación Estatal de la </w:t>
      </w:r>
      <w:r w:rsidRPr="00432ABC">
        <w:rPr>
          <w:rFonts w:ascii="Verdana" w:hAnsi="Verdana"/>
          <w:sz w:val="20"/>
          <w:szCs w:val="20"/>
        </w:rPr>
        <w:t>PGR - Chihuahua</w:t>
      </w:r>
      <w:r w:rsidRPr="00432ABC">
        <w:rPr>
          <w:rFonts w:ascii="Verdana" w:hAnsi="Verdana"/>
          <w:sz w:val="20"/>
          <w:szCs w:val="20"/>
          <w:lang w:val="es-AR"/>
        </w:rPr>
        <w:t>, previamente iniciada el 13 de febrero de 2012 por los delitos de desaparición forzada, abuso de autoridad y “lo que result[are]”</w:t>
      </w:r>
      <w:r w:rsidRPr="00744CE4">
        <w:rPr>
          <w:rStyle w:val="Refdenotaalpie"/>
          <w:rFonts w:ascii="Verdana" w:hAnsi="Verdana"/>
          <w:sz w:val="20"/>
          <w:szCs w:val="20"/>
          <w:lang w:val="es-AR"/>
        </w:rPr>
        <w:footnoteReference w:id="236"/>
      </w:r>
      <w:r w:rsidRPr="00744CE4">
        <w:rPr>
          <w:rFonts w:ascii="Verdana" w:hAnsi="Verdana"/>
          <w:sz w:val="20"/>
          <w:szCs w:val="20"/>
          <w:lang w:val="es-AR"/>
        </w:rPr>
        <w:t xml:space="preserve">. </w:t>
      </w:r>
    </w:p>
    <w:p w14:paraId="64AA5EC7" w14:textId="39D1A0A0" w:rsidR="002E1C85" w:rsidRPr="00432ABC" w:rsidRDefault="00A10160">
      <w:pPr>
        <w:pStyle w:val="Prrafodelista"/>
        <w:widowControl w:val="0"/>
        <w:numPr>
          <w:ilvl w:val="0"/>
          <w:numId w:val="45"/>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rPr>
      </w:pPr>
      <w:bookmarkStart w:id="142" w:name="_Toc526783770"/>
      <w:r>
        <w:rPr>
          <w:rFonts w:ascii="Verdana" w:hAnsi="Verdana"/>
          <w:i/>
          <w:sz w:val="20"/>
          <w:szCs w:val="20"/>
        </w:rPr>
        <w:t xml:space="preserve"> </w:t>
      </w:r>
      <w:bookmarkStart w:id="143" w:name="_Toc532995342"/>
      <w:r w:rsidR="002E1C85" w:rsidRPr="00432ABC">
        <w:rPr>
          <w:rFonts w:ascii="Verdana" w:hAnsi="Verdana"/>
          <w:i/>
          <w:sz w:val="20"/>
          <w:szCs w:val="20"/>
        </w:rPr>
        <w:t>Procuraduría General de la República, Delegación Chi</w:t>
      </w:r>
      <w:r w:rsidR="00F50ACE" w:rsidRPr="00432ABC">
        <w:rPr>
          <w:rFonts w:ascii="Verdana" w:hAnsi="Verdana"/>
          <w:i/>
          <w:sz w:val="20"/>
          <w:szCs w:val="20"/>
        </w:rPr>
        <w:t xml:space="preserve">huahua </w:t>
      </w:r>
      <w:r w:rsidR="002E1C85" w:rsidRPr="00432ABC">
        <w:rPr>
          <w:rFonts w:ascii="Verdana" w:hAnsi="Verdana"/>
          <w:i/>
          <w:sz w:val="20"/>
          <w:szCs w:val="20"/>
        </w:rPr>
        <w:t>[PGR - Chihuahua]</w:t>
      </w:r>
      <w:bookmarkEnd w:id="142"/>
      <w:bookmarkEnd w:id="143"/>
    </w:p>
    <w:p w14:paraId="64AA5EC9" w14:textId="604CBF67" w:rsidR="002E1C85" w:rsidRPr="00744CE4" w:rsidRDefault="002E1C85" w:rsidP="00DB378B">
      <w:pPr>
        <w:widowControl w:val="0"/>
        <w:numPr>
          <w:ilvl w:val="0"/>
          <w:numId w:val="4"/>
        </w:numPr>
        <w:tabs>
          <w:tab w:val="left" w:pos="426"/>
          <w:tab w:val="left" w:pos="567"/>
        </w:tabs>
        <w:adjustRightInd w:val="0"/>
        <w:spacing w:before="120" w:after="120" w:line="240" w:lineRule="auto"/>
        <w:ind w:left="0" w:firstLine="0"/>
        <w:jc w:val="both"/>
        <w:textAlignment w:val="baseline"/>
        <w:rPr>
          <w:rFonts w:ascii="Verdana" w:hAnsi="Verdana"/>
          <w:sz w:val="20"/>
          <w:szCs w:val="20"/>
          <w:lang w:val="es-AR"/>
        </w:rPr>
      </w:pPr>
      <w:r w:rsidRPr="002C462C">
        <w:rPr>
          <w:rFonts w:ascii="Verdana" w:hAnsi="Verdana"/>
          <w:sz w:val="20"/>
          <w:szCs w:val="20"/>
          <w:lang w:val="es-AR"/>
        </w:rPr>
        <w:t>El 6 de enero de 2010 Patricia Reyes Rueda promovió una denuncia ante titular de la Séptima Agencia del Ministerio Público de la Federación en Ciudad Juárez [7ªAMPF], dependiente de la PGR – Chihuahua, por la desaparición de sus familiares a manos elementos del Ejército, dando inicio a la Averiguación Previa No. AP/PGR/CHIH/27/2010-VII p</w:t>
      </w:r>
      <w:r w:rsidRPr="00744CE4">
        <w:rPr>
          <w:rFonts w:ascii="Verdana" w:hAnsi="Verdana"/>
          <w:sz w:val="20"/>
          <w:szCs w:val="20"/>
          <w:lang w:val="es-AR"/>
        </w:rPr>
        <w:t>or el “delito de abuso de autoridad y/o lo que resulte”</w:t>
      </w:r>
      <w:r w:rsidRPr="00744CE4">
        <w:rPr>
          <w:rStyle w:val="Refdenotaalpie"/>
          <w:rFonts w:ascii="Verdana" w:hAnsi="Verdana"/>
          <w:sz w:val="20"/>
          <w:szCs w:val="20"/>
          <w:lang w:val="es-AR"/>
        </w:rPr>
        <w:footnoteReference w:id="237"/>
      </w:r>
      <w:r w:rsidRPr="00744CE4">
        <w:rPr>
          <w:rFonts w:ascii="Verdana" w:hAnsi="Verdana"/>
          <w:sz w:val="20"/>
          <w:szCs w:val="20"/>
          <w:lang w:val="es-AR"/>
        </w:rPr>
        <w:t>. En la misma fecha compareció María de Jesús Alvarado Espinoza ante dicha autoridad y rindió su testimonio sobre los hechos</w:t>
      </w:r>
      <w:r w:rsidRPr="00744CE4">
        <w:rPr>
          <w:rStyle w:val="Refdenotaalpie"/>
          <w:rFonts w:ascii="Verdana" w:hAnsi="Verdana"/>
          <w:sz w:val="20"/>
          <w:szCs w:val="20"/>
          <w:lang w:val="es-AR"/>
        </w:rPr>
        <w:footnoteReference w:id="238"/>
      </w:r>
      <w:r w:rsidRPr="00744CE4">
        <w:rPr>
          <w:rFonts w:ascii="Verdana" w:hAnsi="Verdana"/>
          <w:sz w:val="20"/>
          <w:szCs w:val="20"/>
          <w:lang w:val="es-AR"/>
        </w:rPr>
        <w:t>.</w:t>
      </w:r>
    </w:p>
    <w:p w14:paraId="64AA5ECB" w14:textId="480C02E1" w:rsidR="002E1C85" w:rsidRPr="00432ABC" w:rsidRDefault="002E1C85" w:rsidP="00DB378B">
      <w:pPr>
        <w:widowControl w:val="0"/>
        <w:numPr>
          <w:ilvl w:val="0"/>
          <w:numId w:val="4"/>
        </w:numPr>
        <w:tabs>
          <w:tab w:val="left" w:pos="426"/>
          <w:tab w:val="left" w:pos="567"/>
        </w:tabs>
        <w:adjustRightInd w:val="0"/>
        <w:spacing w:before="120" w:after="120" w:line="240" w:lineRule="auto"/>
        <w:ind w:left="0" w:firstLine="0"/>
        <w:jc w:val="both"/>
        <w:textAlignment w:val="baseline"/>
        <w:rPr>
          <w:rFonts w:ascii="Verdana" w:hAnsi="Verdana"/>
          <w:sz w:val="20"/>
          <w:szCs w:val="20"/>
          <w:lang w:val="es-AR"/>
        </w:rPr>
      </w:pPr>
      <w:r w:rsidRPr="00432ABC">
        <w:rPr>
          <w:rFonts w:ascii="Verdana" w:hAnsi="Verdana"/>
          <w:sz w:val="20"/>
          <w:szCs w:val="20"/>
          <w:lang w:val="es-AR"/>
        </w:rPr>
        <w:t xml:space="preserve">Entre los días 13 de enero y el 2 de marzo de 2010, la PGR – Chihuahua llevó a cabo una serie de diligencias, entre las cuales se destacan: </w:t>
      </w:r>
    </w:p>
    <w:p w14:paraId="64AA5ECD" w14:textId="4CB7A627" w:rsidR="002E1C85" w:rsidRPr="008D0846" w:rsidRDefault="00AC6FFB">
      <w:pPr>
        <w:pStyle w:val="Prrafodelista"/>
        <w:widowControl w:val="0"/>
        <w:numPr>
          <w:ilvl w:val="2"/>
          <w:numId w:val="4"/>
        </w:numPr>
        <w:tabs>
          <w:tab w:val="left" w:pos="426"/>
        </w:tabs>
        <w:adjustRightInd w:val="0"/>
        <w:spacing w:before="120" w:after="120" w:line="240" w:lineRule="auto"/>
        <w:ind w:left="888"/>
        <w:contextualSpacing w:val="0"/>
        <w:jc w:val="both"/>
        <w:textAlignment w:val="baseline"/>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13 de enero de 2010, el titular de la 7ªAMPF</w:t>
      </w:r>
      <w:r w:rsidR="002E1C85" w:rsidRPr="008D0846" w:rsidDel="0033472D">
        <w:rPr>
          <w:rFonts w:ascii="Verdana" w:hAnsi="Verdana"/>
          <w:sz w:val="18"/>
          <w:szCs w:val="20"/>
          <w:lang w:val="es-AR"/>
        </w:rPr>
        <w:t xml:space="preserve"> </w:t>
      </w:r>
      <w:r w:rsidR="002E1C85" w:rsidRPr="008D0846">
        <w:rPr>
          <w:rFonts w:ascii="Verdana" w:hAnsi="Verdana"/>
          <w:sz w:val="18"/>
          <w:szCs w:val="20"/>
          <w:lang w:val="es-AR"/>
        </w:rPr>
        <w:t>solicitó al Delegado Estatal de la PGR - Chihuahua declinar su competencia para investigar la desaparición de las tres víctimas al considerar que:</w:t>
      </w:r>
    </w:p>
    <w:p w14:paraId="64AA5ECF" w14:textId="3A0BEFB2" w:rsidR="002E1C85" w:rsidRPr="00432ABC" w:rsidRDefault="002E1C85">
      <w:pPr>
        <w:pStyle w:val="Prrafodelista"/>
        <w:autoSpaceDE w:val="0"/>
        <w:autoSpaceDN w:val="0"/>
        <w:adjustRightInd w:val="0"/>
        <w:spacing w:before="120" w:after="120" w:line="240" w:lineRule="auto"/>
        <w:ind w:left="1182"/>
        <w:contextualSpacing w:val="0"/>
        <w:jc w:val="both"/>
        <w:rPr>
          <w:rFonts w:ascii="Verdana" w:hAnsi="Verdana"/>
          <w:sz w:val="18"/>
          <w:szCs w:val="20"/>
          <w:lang w:val="es-AR"/>
        </w:rPr>
      </w:pPr>
      <w:r w:rsidRPr="002C462C">
        <w:rPr>
          <w:rFonts w:ascii="Verdana" w:hAnsi="Verdana"/>
          <w:sz w:val="18"/>
          <w:szCs w:val="20"/>
          <w:lang w:val="es-AR"/>
        </w:rPr>
        <w:t xml:space="preserve">[…] [Se] desprend[ió] de los hechos denunciados que se trat[ó] de una acción en donde al parecer intervinieron [e]lementos de la Secretaría de la Defensa Nacional; en tal virtud y a </w:t>
      </w:r>
      <w:r w:rsidR="003027E1">
        <w:rPr>
          <w:rFonts w:ascii="Verdana" w:hAnsi="Verdana"/>
          <w:sz w:val="18"/>
          <w:szCs w:val="20"/>
          <w:lang w:val="es-AR"/>
        </w:rPr>
        <w:t>e</w:t>
      </w:r>
      <w:r w:rsidRPr="002C462C">
        <w:rPr>
          <w:rFonts w:ascii="Verdana" w:hAnsi="Verdana"/>
          <w:sz w:val="18"/>
          <w:szCs w:val="20"/>
          <w:lang w:val="es-AR"/>
        </w:rPr>
        <w:t>fecto de dar cumplimiento a lo dispuesto en el artículo 57 [f]racc</w:t>
      </w:r>
      <w:r w:rsidRPr="00744CE4">
        <w:rPr>
          <w:rFonts w:ascii="Verdana" w:hAnsi="Verdana"/>
          <w:sz w:val="18"/>
          <w:szCs w:val="20"/>
          <w:lang w:val="es-AR"/>
        </w:rPr>
        <w:t>ión II del Código de Justicia Militar […] la autoridad competente para conocer dichos hechos lo es la Procuraduría General de Justicia Militar […]</w:t>
      </w:r>
      <w:r w:rsidRPr="00744CE4">
        <w:rPr>
          <w:rStyle w:val="Refdenotaalpie"/>
          <w:rFonts w:ascii="Verdana" w:hAnsi="Verdana"/>
          <w:sz w:val="18"/>
          <w:szCs w:val="20"/>
          <w:lang w:val="es-AR"/>
        </w:rPr>
        <w:footnoteReference w:id="239"/>
      </w:r>
      <w:r w:rsidR="00D50E04" w:rsidRPr="00744CE4">
        <w:rPr>
          <w:rFonts w:ascii="Verdana" w:hAnsi="Verdana"/>
          <w:sz w:val="18"/>
          <w:szCs w:val="20"/>
          <w:lang w:val="es-AR"/>
        </w:rPr>
        <w:t>;</w:t>
      </w:r>
      <w:r w:rsidR="004562AE" w:rsidRPr="00744CE4">
        <w:rPr>
          <w:rFonts w:ascii="Verdana" w:hAnsi="Verdana"/>
          <w:sz w:val="18"/>
          <w:szCs w:val="20"/>
          <w:lang w:val="es-AR"/>
        </w:rPr>
        <w:t xml:space="preserve"> </w:t>
      </w:r>
    </w:p>
    <w:p w14:paraId="64AA5ED1" w14:textId="0F66B4A4" w:rsidR="002E1C85" w:rsidRPr="008D0846" w:rsidRDefault="00D50E04">
      <w:pPr>
        <w:pStyle w:val="Prrafodelista"/>
        <w:widowControl w:val="0"/>
        <w:numPr>
          <w:ilvl w:val="2"/>
          <w:numId w:val="4"/>
        </w:numPr>
        <w:tabs>
          <w:tab w:val="left" w:pos="426"/>
        </w:tabs>
        <w:autoSpaceDE w:val="0"/>
        <w:autoSpaceDN w:val="0"/>
        <w:adjustRightInd w:val="0"/>
        <w:spacing w:before="120" w:after="120" w:line="240" w:lineRule="auto"/>
        <w:ind w:left="888"/>
        <w:contextualSpacing w:val="0"/>
        <w:jc w:val="both"/>
        <w:textAlignment w:val="baseline"/>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 xml:space="preserve">l 10 de febrero de 2010 el Encargado del Despacho de la PGR - Chihuahua autorizó la consulta de incompetencia solicitada y ordenó la remisión de la averiguación previa al Procurador de Justicia </w:t>
      </w:r>
      <w:r w:rsidR="002E1C85" w:rsidRPr="008D0846">
        <w:rPr>
          <w:rFonts w:ascii="Verdana" w:hAnsi="Verdana"/>
          <w:sz w:val="18"/>
          <w:szCs w:val="20"/>
          <w:lang w:val="es-AR"/>
        </w:rPr>
        <w:lastRenderedPageBreak/>
        <w:t>Militar, misma que se verificó el 20 de febrero de 2010 en favor de la Guarnición Militar de Ciudad Juárez, Chihuahua</w:t>
      </w:r>
      <w:r w:rsidR="002E1C85" w:rsidRPr="008D0846">
        <w:rPr>
          <w:rStyle w:val="Refdenotaalpie"/>
          <w:rFonts w:ascii="Verdana" w:hAnsi="Verdana"/>
          <w:sz w:val="18"/>
          <w:szCs w:val="20"/>
          <w:lang w:val="es-AR"/>
        </w:rPr>
        <w:footnoteReference w:id="240"/>
      </w:r>
      <w:r w:rsidRPr="008D0846">
        <w:rPr>
          <w:rFonts w:ascii="Verdana" w:hAnsi="Verdana"/>
          <w:sz w:val="18"/>
          <w:szCs w:val="20"/>
          <w:lang w:val="es-AR"/>
        </w:rPr>
        <w:t>, y</w:t>
      </w:r>
    </w:p>
    <w:p w14:paraId="64AA5ED3" w14:textId="76F743C5" w:rsidR="002E1C85" w:rsidRPr="008D0846" w:rsidRDefault="00D50E04">
      <w:pPr>
        <w:pStyle w:val="Prrafodelista"/>
        <w:widowControl w:val="0"/>
        <w:numPr>
          <w:ilvl w:val="2"/>
          <w:numId w:val="4"/>
        </w:numPr>
        <w:tabs>
          <w:tab w:val="left" w:pos="426"/>
        </w:tabs>
        <w:autoSpaceDE w:val="0"/>
        <w:autoSpaceDN w:val="0"/>
        <w:adjustRightInd w:val="0"/>
        <w:spacing w:before="120" w:after="120" w:line="240" w:lineRule="auto"/>
        <w:ind w:left="888"/>
        <w:contextualSpacing w:val="0"/>
        <w:jc w:val="both"/>
        <w:textAlignment w:val="baseline"/>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 xml:space="preserve">l 15 de febrero de 2010 se dio inicio al Acta Circunstanciada AC/PGR/CHIH/NCG/219/2010-C ante el AMPF adscrito a Nuevo Casas Grandes, Chihuahua, con motivo del </w:t>
      </w:r>
      <w:r w:rsidR="003027E1" w:rsidRPr="008D0846">
        <w:rPr>
          <w:rFonts w:ascii="Verdana" w:hAnsi="Verdana"/>
          <w:sz w:val="18"/>
          <w:szCs w:val="20"/>
          <w:lang w:val="es-AR"/>
        </w:rPr>
        <w:t>o</w:t>
      </w:r>
      <w:r w:rsidR="002E1C85" w:rsidRPr="008D0846">
        <w:rPr>
          <w:rFonts w:ascii="Verdana" w:hAnsi="Verdana"/>
          <w:sz w:val="18"/>
          <w:szCs w:val="20"/>
          <w:lang w:val="es-AR"/>
        </w:rPr>
        <w:t>ficio remitido por el Secretario Técnico del Subprocurador de Control Regional, Procedimientos Penales y Amparo de la PGR – Chihuahua, para investigar la desaparición de las tres personas</w:t>
      </w:r>
      <w:r w:rsidR="002E1C85" w:rsidRPr="008D0846">
        <w:rPr>
          <w:rStyle w:val="Refdenotaalpie"/>
          <w:rFonts w:ascii="Verdana" w:hAnsi="Verdana"/>
          <w:sz w:val="18"/>
          <w:szCs w:val="20"/>
          <w:lang w:val="es-AR"/>
        </w:rPr>
        <w:footnoteReference w:id="241"/>
      </w:r>
      <w:r w:rsidR="002E1C85" w:rsidRPr="008D0846">
        <w:rPr>
          <w:rFonts w:ascii="Verdana" w:hAnsi="Verdana"/>
          <w:sz w:val="18"/>
          <w:szCs w:val="20"/>
          <w:lang w:val="es-AR"/>
        </w:rPr>
        <w:t>. En el marco de dicha investigación, el 1 de marzo de 2010 el titular de la Agencia Única de Nuevo Casas Grandes de la PGR -  Chihuahua solicitó a la Agencia Federal de Investigación en dicha localidad que se abocara al esclarecimiento de la identidad de quienes participaron en los hechos, y pidió al 35 Batallón de Infantería que informara si existían registros de detención por parte de elementos de dicha unidad castrense con relación a las tres personas desaparecidas. Ambas instituciones respondieron que no contaban con registro alguno de información en el sentido que les fue requerido</w:t>
      </w:r>
      <w:r w:rsidR="002E1C85" w:rsidRPr="008D0846">
        <w:rPr>
          <w:rStyle w:val="Refdenotaalpie"/>
          <w:rFonts w:ascii="Verdana" w:hAnsi="Verdana"/>
          <w:sz w:val="18"/>
          <w:szCs w:val="20"/>
          <w:lang w:val="es-AR"/>
        </w:rPr>
        <w:footnoteReference w:id="242"/>
      </w:r>
      <w:r w:rsidR="002E1C85" w:rsidRPr="008D0846">
        <w:rPr>
          <w:rFonts w:ascii="Verdana" w:hAnsi="Verdana"/>
          <w:sz w:val="18"/>
          <w:szCs w:val="20"/>
          <w:lang w:val="es-AR"/>
        </w:rPr>
        <w:t xml:space="preserve">. </w:t>
      </w:r>
    </w:p>
    <w:p w14:paraId="64AA5ED5" w14:textId="62BA2925"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744CE4">
        <w:rPr>
          <w:rFonts w:ascii="Verdana" w:hAnsi="Verdana" w:cs="Times New Roman"/>
          <w:sz w:val="20"/>
          <w:szCs w:val="20"/>
          <w:lang w:val="es-AR"/>
        </w:rPr>
        <w:t>Finalmente, e</w:t>
      </w:r>
      <w:r w:rsidRPr="00432ABC">
        <w:rPr>
          <w:rFonts w:ascii="Verdana" w:hAnsi="Verdana" w:cs="Times New Roman"/>
          <w:sz w:val="20"/>
          <w:szCs w:val="20"/>
        </w:rPr>
        <w:t xml:space="preserve">l 22 de octubre de 2010 se ordenó la remisión de dicha acta circunstanciada a la </w:t>
      </w:r>
      <w:r w:rsidRPr="00432ABC">
        <w:rPr>
          <w:rFonts w:ascii="Verdana" w:hAnsi="Verdana" w:cs="Times New Roman"/>
          <w:sz w:val="20"/>
          <w:szCs w:val="20"/>
          <w:lang w:val="es-AR"/>
        </w:rPr>
        <w:t>Fiscalía Especial de Delitos de Violencia contra las Mujeres y Trata de Personas [</w:t>
      </w:r>
      <w:r w:rsidRPr="00432ABC">
        <w:rPr>
          <w:rFonts w:ascii="Verdana" w:hAnsi="Verdana" w:cs="Times New Roman"/>
          <w:sz w:val="20"/>
          <w:szCs w:val="20"/>
        </w:rPr>
        <w:t>FEVIMTRA – PGR] en razón de que para entonces esa autoridad se encontraba investigando los hechos dentro de la averiguación previa AP/PGR/FEVIMTRA/TRA/009/2010</w:t>
      </w:r>
      <w:r w:rsidRPr="00744CE4">
        <w:rPr>
          <w:rStyle w:val="Refdenotaalpie"/>
          <w:rFonts w:ascii="Verdana" w:hAnsi="Verdana" w:cs="Times New Roman"/>
          <w:sz w:val="20"/>
          <w:szCs w:val="20"/>
        </w:rPr>
        <w:footnoteReference w:id="243"/>
      </w:r>
      <w:r w:rsidRPr="00744CE4">
        <w:rPr>
          <w:rFonts w:ascii="Verdana" w:hAnsi="Verdana" w:cs="Times New Roman"/>
          <w:sz w:val="20"/>
          <w:szCs w:val="20"/>
        </w:rPr>
        <w:t>.</w:t>
      </w:r>
    </w:p>
    <w:p w14:paraId="64AA5ED7" w14:textId="20DD5AF0" w:rsidR="002E1C85" w:rsidRPr="00432ABC" w:rsidRDefault="00A10160">
      <w:pPr>
        <w:pStyle w:val="Prrafodelista"/>
        <w:widowControl w:val="0"/>
        <w:numPr>
          <w:ilvl w:val="0"/>
          <w:numId w:val="45"/>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rPr>
      </w:pPr>
      <w:bookmarkStart w:id="144" w:name="_Toc526783771"/>
      <w:r>
        <w:rPr>
          <w:rFonts w:ascii="Verdana" w:hAnsi="Verdana"/>
          <w:i/>
          <w:sz w:val="20"/>
          <w:szCs w:val="20"/>
        </w:rPr>
        <w:t xml:space="preserve"> </w:t>
      </w:r>
      <w:bookmarkStart w:id="145" w:name="_Toc532995343"/>
      <w:r w:rsidR="002E1C85" w:rsidRPr="00432ABC">
        <w:rPr>
          <w:rFonts w:ascii="Verdana" w:hAnsi="Verdana"/>
          <w:i/>
          <w:sz w:val="20"/>
          <w:szCs w:val="20"/>
        </w:rPr>
        <w:t>Procuraduría General de Justicia Militar [PGJM]</w:t>
      </w:r>
      <w:bookmarkEnd w:id="144"/>
      <w:bookmarkEnd w:id="145"/>
    </w:p>
    <w:p w14:paraId="64AA5ED9" w14:textId="2A46DD4B"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432ABC">
        <w:rPr>
          <w:rFonts w:ascii="Verdana" w:hAnsi="Verdana"/>
          <w:sz w:val="20"/>
          <w:szCs w:val="20"/>
          <w:lang w:val="es-AR"/>
        </w:rPr>
        <w:t>El 15 de enero de 2010 el Agente del Ministerio Público Militar adscrito a la Quinta Zona Militar [AMPM - 5ªZM] dio inicio a la Averiguación Previa 5ZM/04/2010 en atención al Oficio 2673</w:t>
      </w:r>
      <w:r w:rsidR="00675C75">
        <w:rPr>
          <w:rFonts w:ascii="Verdana" w:hAnsi="Verdana"/>
          <w:sz w:val="20"/>
          <w:szCs w:val="20"/>
          <w:lang w:val="es-AR"/>
        </w:rPr>
        <w:t>,</w:t>
      </w:r>
      <w:r w:rsidRPr="00432ABC">
        <w:rPr>
          <w:rFonts w:ascii="Verdana" w:hAnsi="Verdana"/>
          <w:sz w:val="20"/>
          <w:szCs w:val="20"/>
          <w:lang w:val="es-AR"/>
        </w:rPr>
        <w:t xml:space="preserve"> mediante el cual el Subjefe Administrativo del Estado Mayor</w:t>
      </w:r>
      <w:r w:rsidRPr="002C462C">
        <w:rPr>
          <w:rFonts w:ascii="Verdana" w:hAnsi="Verdana"/>
          <w:sz w:val="20"/>
          <w:szCs w:val="20"/>
          <w:lang w:val="es-AR"/>
        </w:rPr>
        <w:t xml:space="preserve"> de la Defensa Nacional remitió “incidente” [sic] en que se da cuenta de la desaparición de las tres víctimas</w:t>
      </w:r>
      <w:r w:rsidRPr="00744CE4">
        <w:rPr>
          <w:rStyle w:val="Refdenotaalpie"/>
          <w:rFonts w:ascii="Verdana" w:hAnsi="Verdana"/>
          <w:sz w:val="20"/>
          <w:szCs w:val="20"/>
          <w:lang w:val="es-AR"/>
        </w:rPr>
        <w:footnoteReference w:id="244"/>
      </w:r>
      <w:r w:rsidRPr="00744CE4">
        <w:rPr>
          <w:rFonts w:ascii="Verdana" w:hAnsi="Verdana"/>
          <w:sz w:val="20"/>
          <w:szCs w:val="20"/>
          <w:lang w:val="es-AR"/>
        </w:rPr>
        <w:t xml:space="preserve">. </w:t>
      </w:r>
    </w:p>
    <w:p w14:paraId="64AA5EDB" w14:textId="66F4DE0B" w:rsidR="002E1C85" w:rsidRPr="00432ABC"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432ABC">
        <w:rPr>
          <w:rFonts w:ascii="Verdana" w:hAnsi="Verdana"/>
          <w:sz w:val="20"/>
          <w:szCs w:val="20"/>
          <w:lang w:val="es-AR"/>
        </w:rPr>
        <w:t xml:space="preserve">Dentro de la Averiguación Previa 5ZM/04/2010, el AMPM-5ªZM realizó, entre otras, las siguientes diligencias: </w:t>
      </w:r>
    </w:p>
    <w:p w14:paraId="64AA5EDD" w14:textId="4C9C685B" w:rsidR="002E1C85" w:rsidRPr="008D0846" w:rsidRDefault="00AC6FFB">
      <w:pPr>
        <w:pStyle w:val="Prrafodelista"/>
        <w:numPr>
          <w:ilvl w:val="1"/>
          <w:numId w:val="1"/>
        </w:numPr>
        <w:spacing w:before="120" w:after="120" w:line="240" w:lineRule="auto"/>
        <w:ind w:left="567" w:hanging="284"/>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15 de enero de 2010 el Comandante del 35 Batallón informó al Comandante de la 5ªZM que los elementos a su cargo no realizaron ninguna detención el día de las desapariciones y que únicamente el 26 de diciembre de 2009 –tres días antes de los hechos-, se realizó el aseguramiento de un vehículo con drogas y armamento en su interior en un camino del poblado de Ricardo Flores Magón hacia el Ejido Benito Juárez</w:t>
      </w:r>
      <w:r w:rsidR="002E1C85" w:rsidRPr="008D0846">
        <w:rPr>
          <w:rStyle w:val="Refdenotaalpie"/>
          <w:rFonts w:ascii="Verdana" w:hAnsi="Verdana"/>
          <w:sz w:val="18"/>
          <w:szCs w:val="20"/>
          <w:lang w:val="es-AR"/>
        </w:rPr>
        <w:footnoteReference w:id="245"/>
      </w:r>
      <w:r w:rsidR="00D50E04" w:rsidRPr="008D0846">
        <w:rPr>
          <w:rFonts w:ascii="Verdana" w:hAnsi="Verdana"/>
          <w:sz w:val="18"/>
          <w:szCs w:val="20"/>
          <w:lang w:val="es-AR"/>
        </w:rPr>
        <w:t>;</w:t>
      </w:r>
    </w:p>
    <w:p w14:paraId="64AA5EDF" w14:textId="06EFE10B" w:rsidR="002E1C85" w:rsidRPr="008D0846" w:rsidRDefault="00D50E04">
      <w:pPr>
        <w:pStyle w:val="Prrafodelista"/>
        <w:numPr>
          <w:ilvl w:val="1"/>
          <w:numId w:val="1"/>
        </w:numPr>
        <w:spacing w:before="120" w:after="120" w:line="240" w:lineRule="auto"/>
        <w:ind w:left="567" w:hanging="284"/>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 xml:space="preserve">l 2 de marzo de 2010 los Comandantes del 23º Batallón de Infantería y 20º Regimiento de Caballería Motorizada remitieron al AMPM-5ªZM las fotografías del tipo de uniforme que usaron </w:t>
      </w:r>
      <w:r w:rsidR="004B2EAB" w:rsidRPr="008D0846">
        <w:rPr>
          <w:rFonts w:ascii="Verdana" w:hAnsi="Verdana"/>
          <w:sz w:val="18"/>
          <w:szCs w:val="20"/>
          <w:lang w:val="es-AR"/>
        </w:rPr>
        <w:t xml:space="preserve">entre los días 29 al 31 de diciembre de 2009 </w:t>
      </w:r>
      <w:r w:rsidR="002E1C85" w:rsidRPr="008D0846">
        <w:rPr>
          <w:rFonts w:ascii="Verdana" w:hAnsi="Verdana"/>
          <w:sz w:val="18"/>
          <w:szCs w:val="20"/>
          <w:lang w:val="es-AR"/>
        </w:rPr>
        <w:t xml:space="preserve">los elementos de dichas unidades </w:t>
      </w:r>
      <w:r w:rsidR="004B2EAB" w:rsidRPr="008D0846">
        <w:rPr>
          <w:rFonts w:ascii="Verdana" w:hAnsi="Verdana"/>
          <w:sz w:val="18"/>
          <w:szCs w:val="20"/>
          <w:lang w:val="es-AR"/>
        </w:rPr>
        <w:t xml:space="preserve">operativas </w:t>
      </w:r>
      <w:r w:rsidR="002E1C85" w:rsidRPr="008D0846">
        <w:rPr>
          <w:rFonts w:ascii="Verdana" w:hAnsi="Verdana"/>
          <w:sz w:val="18"/>
          <w:szCs w:val="20"/>
          <w:lang w:val="es-AR"/>
        </w:rPr>
        <w:t xml:space="preserve">jurisdiccionadas a la Quinta </w:t>
      </w:r>
      <w:r w:rsidR="002E1C85" w:rsidRPr="008D0846">
        <w:rPr>
          <w:rFonts w:ascii="Verdana" w:hAnsi="Verdana"/>
          <w:sz w:val="18"/>
          <w:szCs w:val="20"/>
          <w:lang w:val="es-AR"/>
        </w:rPr>
        <w:lastRenderedPageBreak/>
        <w:t>Zona Militar, y la relación del personal militar en funciones entre tales fechas</w:t>
      </w:r>
      <w:r w:rsidR="002E1C85" w:rsidRPr="008D0846">
        <w:rPr>
          <w:rStyle w:val="Refdenotaalpie"/>
          <w:rFonts w:ascii="Verdana" w:hAnsi="Verdana"/>
          <w:sz w:val="18"/>
          <w:szCs w:val="20"/>
          <w:lang w:val="es-AR"/>
        </w:rPr>
        <w:footnoteReference w:id="246"/>
      </w:r>
      <w:r w:rsidR="002E1C85" w:rsidRPr="008D0846">
        <w:rPr>
          <w:rFonts w:ascii="Verdana" w:hAnsi="Verdana"/>
          <w:sz w:val="18"/>
          <w:szCs w:val="20"/>
          <w:lang w:val="es-AR"/>
        </w:rPr>
        <w:t xml:space="preserve">. El 20 de marzo </w:t>
      </w:r>
      <w:r w:rsidR="001B5EC0" w:rsidRPr="008D0846">
        <w:rPr>
          <w:rFonts w:ascii="Verdana" w:hAnsi="Verdana"/>
          <w:sz w:val="18"/>
          <w:szCs w:val="20"/>
          <w:lang w:val="es-AR"/>
        </w:rPr>
        <w:t>de 2010</w:t>
      </w:r>
      <w:r w:rsidR="002E1C85" w:rsidRPr="008D0846">
        <w:rPr>
          <w:rFonts w:ascii="Verdana" w:hAnsi="Verdana"/>
          <w:sz w:val="18"/>
          <w:szCs w:val="20"/>
          <w:lang w:val="es-AR"/>
        </w:rPr>
        <w:t xml:space="preserve"> el Comandante del 35 Batallón remitió las listas de personal de la unidad bajo su mando</w:t>
      </w:r>
      <w:r w:rsidR="002E1C85" w:rsidRPr="008D0846">
        <w:rPr>
          <w:rStyle w:val="Refdenotaalpie"/>
          <w:rFonts w:ascii="Verdana" w:hAnsi="Verdana"/>
          <w:sz w:val="18"/>
          <w:szCs w:val="20"/>
          <w:lang w:val="es-AR"/>
        </w:rPr>
        <w:footnoteReference w:id="247"/>
      </w:r>
      <w:r w:rsidRPr="008D0846">
        <w:rPr>
          <w:rFonts w:ascii="Verdana" w:hAnsi="Verdana"/>
          <w:sz w:val="18"/>
          <w:szCs w:val="20"/>
          <w:lang w:val="es-AR"/>
        </w:rPr>
        <w:t>;</w:t>
      </w:r>
    </w:p>
    <w:p w14:paraId="64AA5EE1" w14:textId="1A07E563" w:rsidR="002E1C85" w:rsidRPr="008D0846" w:rsidRDefault="00D50E04">
      <w:pPr>
        <w:pStyle w:val="Prrafodelista"/>
        <w:numPr>
          <w:ilvl w:val="1"/>
          <w:numId w:val="1"/>
        </w:numPr>
        <w:tabs>
          <w:tab w:val="left" w:pos="426"/>
        </w:tabs>
        <w:spacing w:before="120" w:after="120" w:line="240" w:lineRule="auto"/>
        <w:ind w:left="567" w:hanging="284"/>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9 de marzo de 2010 se realizó inspección ministerial del Hotel Los Arcos en el Ejido Benito Juárez, sitio en el que el 26 de diciembre de 2009 pernoctaron efectivos del 35 Batallón</w:t>
      </w:r>
      <w:r w:rsidR="00E83B1D" w:rsidRPr="008D0846">
        <w:rPr>
          <w:rStyle w:val="Refdenotaalpie"/>
          <w:rFonts w:ascii="Verdana" w:hAnsi="Verdana"/>
          <w:sz w:val="18"/>
          <w:szCs w:val="20"/>
          <w:lang w:val="es-AR"/>
        </w:rPr>
        <w:footnoteReference w:id="248"/>
      </w:r>
      <w:r w:rsidR="00E83B1D" w:rsidRPr="008D0846">
        <w:rPr>
          <w:rFonts w:ascii="Verdana" w:hAnsi="Verdana"/>
          <w:sz w:val="18"/>
          <w:szCs w:val="20"/>
          <w:lang w:val="es-AR"/>
        </w:rPr>
        <w:t xml:space="preserve">. </w:t>
      </w:r>
      <w:r w:rsidR="002E1C85" w:rsidRPr="008D0846">
        <w:rPr>
          <w:rFonts w:ascii="Verdana" w:hAnsi="Verdana"/>
          <w:sz w:val="18"/>
          <w:szCs w:val="20"/>
          <w:lang w:val="es-AR"/>
        </w:rPr>
        <w:t>En la misma fecha, rindieron su declaración Verónica Colomo Reyes, Patricia Reyes Rueda, Manuel Reyes Lira y Marissa Reyes Rueda, familiares de los desaparecidos</w:t>
      </w:r>
      <w:r w:rsidR="002E1C85" w:rsidRPr="008D0846">
        <w:rPr>
          <w:rStyle w:val="Refdenotaalpie"/>
          <w:rFonts w:ascii="Verdana" w:hAnsi="Verdana"/>
          <w:sz w:val="18"/>
          <w:szCs w:val="20"/>
          <w:lang w:val="es-AR"/>
        </w:rPr>
        <w:footnoteReference w:id="249"/>
      </w:r>
      <w:r w:rsidR="002E1C85" w:rsidRPr="008D0846">
        <w:rPr>
          <w:rFonts w:ascii="Verdana" w:hAnsi="Verdana"/>
          <w:sz w:val="18"/>
          <w:szCs w:val="20"/>
          <w:lang w:val="es-AR"/>
        </w:rPr>
        <w:t>. Asimismo, testificaron Ernesto Luján Romero, Director de Seguridad Pública en Buenaventura, y Mario Castro García y José Bejarano García, Comandante y Agentes de Seguridad Pública y Vialidad del Ejido Benito Juárez, respectivamente</w:t>
      </w:r>
      <w:r w:rsidR="002E1C85" w:rsidRPr="008D0846">
        <w:rPr>
          <w:rStyle w:val="Refdenotaalpie"/>
          <w:rFonts w:ascii="Verdana" w:hAnsi="Verdana"/>
          <w:sz w:val="18"/>
          <w:szCs w:val="20"/>
          <w:lang w:val="es-AR"/>
        </w:rPr>
        <w:footnoteReference w:id="250"/>
      </w:r>
      <w:r w:rsidRPr="008D0846">
        <w:rPr>
          <w:rFonts w:ascii="Verdana" w:hAnsi="Verdana"/>
          <w:sz w:val="18"/>
          <w:szCs w:val="20"/>
          <w:lang w:val="es-AR"/>
        </w:rPr>
        <w:t>, y</w:t>
      </w:r>
    </w:p>
    <w:p w14:paraId="64AA5EE3" w14:textId="3F496B1E" w:rsidR="002E1C85" w:rsidRPr="008D0846" w:rsidRDefault="00D50E04">
      <w:pPr>
        <w:pStyle w:val="Prrafodelista"/>
        <w:numPr>
          <w:ilvl w:val="1"/>
          <w:numId w:val="1"/>
        </w:numPr>
        <w:tabs>
          <w:tab w:val="left" w:pos="426"/>
        </w:tabs>
        <w:spacing w:before="120" w:after="120" w:line="240" w:lineRule="auto"/>
        <w:ind w:left="567" w:hanging="284"/>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12 de marzo de 2010 rindieron su declaración Damaris Baglietto Hernández, Subdelegada de Procedimientos Penales “C” de la PGR – Chihuahua; Ramón Iván Sotomayor Siller, AMPF en Nuevo Casas Grandes, y Juan Ciro Valiente, Agente Federal de Investigación en Nuevo Casas Grandes, con relación al supuesto “Comandante Meza” de la Policía Federal</w:t>
      </w:r>
      <w:r w:rsidR="002E1C85" w:rsidRPr="008D0846">
        <w:rPr>
          <w:rStyle w:val="Refdenotaalpie"/>
          <w:rFonts w:ascii="Verdana" w:hAnsi="Verdana"/>
          <w:sz w:val="18"/>
          <w:szCs w:val="20"/>
          <w:lang w:val="es-AR"/>
        </w:rPr>
        <w:footnoteReference w:id="251"/>
      </w:r>
      <w:r w:rsidR="002E1C85" w:rsidRPr="008D0846">
        <w:rPr>
          <w:rFonts w:ascii="Verdana" w:hAnsi="Verdana"/>
          <w:sz w:val="18"/>
          <w:szCs w:val="20"/>
          <w:lang w:val="es-AR"/>
        </w:rPr>
        <w:t xml:space="preserve">. </w:t>
      </w:r>
    </w:p>
    <w:p w14:paraId="64AA5EE5" w14:textId="2DDFE2E0"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744CE4">
        <w:rPr>
          <w:rFonts w:ascii="Verdana" w:hAnsi="Verdana"/>
          <w:sz w:val="20"/>
          <w:szCs w:val="20"/>
          <w:lang w:val="es-AR"/>
        </w:rPr>
        <w:t>Con motivo de la declinatoria de competencia por razón de fuero en favor de la jurisdicción militar acordada el 20 de febrero de 2010 dentro de la Averiguación Previa AP/PGR/CHIH/27/2010-VII (</w:t>
      </w:r>
      <w:r w:rsidRPr="00432ABC">
        <w:rPr>
          <w:rFonts w:ascii="Verdana" w:hAnsi="Verdana"/>
          <w:i/>
          <w:sz w:val="20"/>
          <w:szCs w:val="20"/>
          <w:lang w:val="es-AR"/>
        </w:rPr>
        <w:t xml:space="preserve">supra </w:t>
      </w:r>
      <w:r w:rsidRPr="00432ABC">
        <w:rPr>
          <w:rFonts w:ascii="Verdana" w:hAnsi="Verdana"/>
          <w:sz w:val="20"/>
          <w:szCs w:val="20"/>
          <w:lang w:val="es-AR"/>
        </w:rPr>
        <w:t xml:space="preserve">párr. </w:t>
      </w:r>
      <w:r w:rsidR="00D838DD">
        <w:rPr>
          <w:rFonts w:ascii="Verdana" w:hAnsi="Verdana"/>
          <w:sz w:val="20"/>
          <w:szCs w:val="20"/>
          <w:lang w:val="es-AR"/>
        </w:rPr>
        <w:t>107</w:t>
      </w:r>
      <w:r w:rsidRPr="00432ABC">
        <w:rPr>
          <w:rFonts w:ascii="Verdana" w:hAnsi="Verdana"/>
          <w:sz w:val="20"/>
          <w:szCs w:val="20"/>
          <w:lang w:val="es-AR"/>
        </w:rPr>
        <w:t xml:space="preserve">), el 26 de febrero de 2010 fue iniciada </w:t>
      </w:r>
      <w:r w:rsidRPr="00432ABC">
        <w:rPr>
          <w:rFonts w:ascii="Verdana" w:hAnsi="Verdana"/>
          <w:sz w:val="20"/>
          <w:szCs w:val="20"/>
        </w:rPr>
        <w:t xml:space="preserve">la Averiguación Previa GN/CD.JUAREZ/079/2010 </w:t>
      </w:r>
      <w:r w:rsidRPr="002C462C">
        <w:rPr>
          <w:rFonts w:ascii="Verdana" w:hAnsi="Verdana"/>
          <w:sz w:val="20"/>
          <w:szCs w:val="20"/>
          <w:lang w:val="es-AR"/>
        </w:rPr>
        <w:t>ante el Agente del Ministerio Público Militar adscrito a la Guarnición Militar en Ciudad Juárez [AMPM – GMCJ] por el “delito de abuso de autoridad en contra de quien result[ara] responsable”</w:t>
      </w:r>
      <w:r w:rsidRPr="00744CE4">
        <w:rPr>
          <w:rStyle w:val="Refdenotaalpie"/>
          <w:rFonts w:ascii="Verdana" w:hAnsi="Verdana"/>
          <w:sz w:val="20"/>
          <w:szCs w:val="20"/>
          <w:lang w:val="es-AR"/>
        </w:rPr>
        <w:footnoteReference w:id="252"/>
      </w:r>
      <w:r w:rsidRPr="00744CE4">
        <w:rPr>
          <w:rFonts w:ascii="Verdana" w:hAnsi="Verdana"/>
          <w:sz w:val="20"/>
          <w:szCs w:val="20"/>
          <w:lang w:val="es-AR"/>
        </w:rPr>
        <w:t xml:space="preserve">. </w:t>
      </w:r>
    </w:p>
    <w:p w14:paraId="64AA5EE7" w14:textId="471B12D5"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432ABC">
        <w:rPr>
          <w:rFonts w:ascii="Verdana" w:hAnsi="Verdana"/>
          <w:sz w:val="20"/>
          <w:szCs w:val="20"/>
          <w:lang w:val="es-AR"/>
        </w:rPr>
        <w:t xml:space="preserve">El 22 de marzo de 2010 el AMPM–GMCJ ordenó la acumulación de la Averiguación Previa 5ZM/04/2010 a la Averiguación Previa </w:t>
      </w:r>
      <w:r w:rsidRPr="00432ABC">
        <w:rPr>
          <w:rFonts w:ascii="Verdana" w:hAnsi="Verdana"/>
          <w:sz w:val="20"/>
          <w:szCs w:val="20"/>
        </w:rPr>
        <w:t>GN/CD.JUAREZ/079/2010 en razón de “tratarse de los mismos hechos de materia de la investigación”, es decir la desaparición de las tres víctimas</w:t>
      </w:r>
      <w:r w:rsidRPr="00744CE4">
        <w:rPr>
          <w:rStyle w:val="Refdenotaalpie"/>
          <w:rFonts w:ascii="Verdana" w:hAnsi="Verdana"/>
          <w:sz w:val="20"/>
          <w:szCs w:val="20"/>
        </w:rPr>
        <w:footnoteReference w:id="253"/>
      </w:r>
      <w:r w:rsidRPr="00744CE4">
        <w:rPr>
          <w:rFonts w:ascii="Verdana" w:hAnsi="Verdana"/>
          <w:sz w:val="20"/>
          <w:szCs w:val="20"/>
        </w:rPr>
        <w:t xml:space="preserve">. </w:t>
      </w:r>
    </w:p>
    <w:p w14:paraId="64AA5EE9" w14:textId="4795D79A"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432ABC">
        <w:rPr>
          <w:rFonts w:ascii="Verdana" w:hAnsi="Verdana"/>
          <w:sz w:val="20"/>
          <w:szCs w:val="20"/>
        </w:rPr>
        <w:t xml:space="preserve">El 8 de abril de 2010 el </w:t>
      </w:r>
      <w:r w:rsidRPr="00432ABC">
        <w:rPr>
          <w:rFonts w:ascii="Verdana" w:hAnsi="Verdana"/>
          <w:sz w:val="20"/>
          <w:szCs w:val="20"/>
          <w:lang w:val="es-AR"/>
        </w:rPr>
        <w:t>AMPM–GMCJ</w:t>
      </w:r>
      <w:r w:rsidRPr="00432ABC" w:rsidDel="0048281E">
        <w:rPr>
          <w:rFonts w:ascii="Verdana" w:hAnsi="Verdana"/>
          <w:sz w:val="20"/>
          <w:szCs w:val="20"/>
        </w:rPr>
        <w:t xml:space="preserve"> </w:t>
      </w:r>
      <w:r w:rsidRPr="00432ABC">
        <w:rPr>
          <w:rFonts w:ascii="Verdana" w:hAnsi="Verdana"/>
          <w:sz w:val="20"/>
          <w:szCs w:val="20"/>
          <w:lang w:val="es-AR"/>
        </w:rPr>
        <w:t xml:space="preserve">ordenó declinar la Averiguación Previa </w:t>
      </w:r>
      <w:r w:rsidRPr="002C462C">
        <w:rPr>
          <w:rFonts w:ascii="Verdana" w:hAnsi="Verdana"/>
          <w:sz w:val="20"/>
          <w:szCs w:val="20"/>
        </w:rPr>
        <w:t>GN/CDJUAREZ/079/2010 al Ministerio Público Especial de la Procuraduría General de Justicia Militar [</w:t>
      </w:r>
      <w:r w:rsidRPr="002C462C">
        <w:rPr>
          <w:rFonts w:ascii="Verdana" w:hAnsi="Verdana"/>
          <w:sz w:val="20"/>
          <w:szCs w:val="20"/>
          <w:lang w:val="es-AR"/>
        </w:rPr>
        <w:t>AMPME-PGJM</w:t>
      </w:r>
      <w:r w:rsidRPr="00744CE4">
        <w:rPr>
          <w:rFonts w:ascii="Verdana" w:hAnsi="Verdana"/>
          <w:sz w:val="20"/>
          <w:szCs w:val="20"/>
        </w:rPr>
        <w:t>] para su prosecución y determinación</w:t>
      </w:r>
      <w:r w:rsidRPr="00744CE4">
        <w:rPr>
          <w:rStyle w:val="Refdenotaalpie"/>
          <w:rFonts w:ascii="Verdana" w:hAnsi="Verdana"/>
          <w:sz w:val="20"/>
          <w:szCs w:val="20"/>
        </w:rPr>
        <w:footnoteReference w:id="254"/>
      </w:r>
      <w:r w:rsidRPr="00744CE4">
        <w:rPr>
          <w:rFonts w:ascii="Verdana" w:hAnsi="Verdana"/>
          <w:sz w:val="20"/>
          <w:szCs w:val="20"/>
        </w:rPr>
        <w:t>.</w:t>
      </w:r>
      <w:r w:rsidRPr="00744CE4">
        <w:rPr>
          <w:rFonts w:ascii="Verdana" w:hAnsi="Verdana"/>
          <w:sz w:val="20"/>
          <w:szCs w:val="20"/>
          <w:lang w:val="es-AR"/>
        </w:rPr>
        <w:t xml:space="preserve"> </w:t>
      </w:r>
      <w:r w:rsidRPr="00432ABC">
        <w:rPr>
          <w:rFonts w:ascii="Verdana" w:hAnsi="Verdana"/>
          <w:sz w:val="20"/>
          <w:szCs w:val="20"/>
          <w:lang w:val="es-AR"/>
        </w:rPr>
        <w:t xml:space="preserve">Con motivo de dicha declinatoria, </w:t>
      </w:r>
      <w:r w:rsidRPr="00432ABC">
        <w:rPr>
          <w:rFonts w:ascii="Verdana" w:hAnsi="Verdana"/>
          <w:sz w:val="20"/>
          <w:szCs w:val="20"/>
          <w:lang w:val="es-AR"/>
        </w:rPr>
        <w:lastRenderedPageBreak/>
        <w:t>el 16 de abril de 2010 esta última autoridad dio inicio a la Averiguación Previa PGJM/AMPME/CDJUAREZ/196-II/2010</w:t>
      </w:r>
      <w:r w:rsidRPr="00744CE4">
        <w:rPr>
          <w:rStyle w:val="Refdenotaalpie"/>
          <w:rFonts w:ascii="Verdana" w:hAnsi="Verdana"/>
          <w:sz w:val="20"/>
          <w:szCs w:val="20"/>
        </w:rPr>
        <w:footnoteReference w:id="255"/>
      </w:r>
      <w:r w:rsidRPr="00744CE4">
        <w:rPr>
          <w:rFonts w:ascii="Verdana" w:hAnsi="Verdana"/>
          <w:sz w:val="20"/>
          <w:szCs w:val="20"/>
        </w:rPr>
        <w:t xml:space="preserve">. </w:t>
      </w:r>
    </w:p>
    <w:p w14:paraId="64AA5EEB" w14:textId="005CECA4"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432ABC">
        <w:rPr>
          <w:rFonts w:ascii="Verdana" w:hAnsi="Verdana"/>
          <w:sz w:val="20"/>
          <w:szCs w:val="20"/>
        </w:rPr>
        <w:t xml:space="preserve"> Tras ser radicada dicha investigación, el </w:t>
      </w:r>
      <w:r w:rsidRPr="00432ABC">
        <w:rPr>
          <w:rFonts w:ascii="Verdana" w:hAnsi="Verdana"/>
          <w:sz w:val="20"/>
          <w:szCs w:val="20"/>
          <w:lang w:val="es-AR"/>
        </w:rPr>
        <w:t>AMPME - PGJM</w:t>
      </w:r>
      <w:r w:rsidRPr="00432ABC">
        <w:rPr>
          <w:rFonts w:ascii="Verdana" w:hAnsi="Verdana"/>
          <w:sz w:val="20"/>
          <w:szCs w:val="20"/>
        </w:rPr>
        <w:t xml:space="preserve"> realizó diversas diligencias, entre las que se des</w:t>
      </w:r>
      <w:r w:rsidRPr="002C462C">
        <w:rPr>
          <w:rFonts w:ascii="Verdana" w:hAnsi="Verdana"/>
          <w:sz w:val="20"/>
          <w:szCs w:val="20"/>
        </w:rPr>
        <w:t xml:space="preserve">tacan: </w:t>
      </w:r>
    </w:p>
    <w:p w14:paraId="64AA5EED" w14:textId="3D3E3E6D" w:rsidR="002E1C85" w:rsidRPr="008D0846" w:rsidRDefault="00AC6FFB">
      <w:pPr>
        <w:pStyle w:val="Prrafodelista"/>
        <w:numPr>
          <w:ilvl w:val="0"/>
          <w:numId w:val="3"/>
        </w:numPr>
        <w:autoSpaceDE w:val="0"/>
        <w:autoSpaceDN w:val="0"/>
        <w:adjustRightInd w:val="0"/>
        <w:spacing w:before="120" w:after="120" w:line="240" w:lineRule="auto"/>
        <w:contextualSpacing w:val="0"/>
        <w:jc w:val="both"/>
        <w:rPr>
          <w:rFonts w:ascii="Verdana" w:hAnsi="Verdana"/>
          <w:sz w:val="18"/>
          <w:lang w:val="es-AR"/>
        </w:rPr>
      </w:pPr>
      <w:r w:rsidRPr="008D0846">
        <w:rPr>
          <w:rFonts w:ascii="Verdana" w:hAnsi="Verdana"/>
          <w:sz w:val="18"/>
          <w:szCs w:val="20"/>
          <w:lang w:val="es-AR"/>
        </w:rPr>
        <w:t>e</w:t>
      </w:r>
      <w:r w:rsidR="002E1C85" w:rsidRPr="008D0846">
        <w:rPr>
          <w:rFonts w:ascii="Verdana" w:hAnsi="Verdana"/>
          <w:sz w:val="18"/>
          <w:lang w:val="es-AR"/>
        </w:rPr>
        <w:t>n vía de exhorto, el 14 de mayo de 2010 el AMPM-5ªZM realizó inspección ministerial en las instalaciones del 35 Batallón de Infantería en Nuevo Casas Grandes, sin lograr localizar a los tres desaparecidos</w:t>
      </w:r>
      <w:r w:rsidR="002E1C85" w:rsidRPr="008D0846">
        <w:rPr>
          <w:rStyle w:val="Refdenotaalpie"/>
          <w:rFonts w:ascii="Verdana" w:hAnsi="Verdana"/>
          <w:sz w:val="18"/>
          <w:szCs w:val="20"/>
          <w:lang w:val="es-AR"/>
        </w:rPr>
        <w:footnoteReference w:id="256"/>
      </w:r>
      <w:r w:rsidR="00D50E04" w:rsidRPr="008D0846">
        <w:rPr>
          <w:rFonts w:ascii="Verdana" w:hAnsi="Verdana"/>
          <w:sz w:val="18"/>
          <w:szCs w:val="20"/>
          <w:lang w:val="es-AR"/>
        </w:rPr>
        <w:t>;</w:t>
      </w:r>
    </w:p>
    <w:p w14:paraId="64AA5EEF" w14:textId="1A344C87" w:rsidR="002E1C85" w:rsidRPr="008D0846" w:rsidRDefault="00D50E04">
      <w:pPr>
        <w:pStyle w:val="Prrafodelista"/>
        <w:numPr>
          <w:ilvl w:val="0"/>
          <w:numId w:val="3"/>
        </w:numPr>
        <w:autoSpaceDE w:val="0"/>
        <w:autoSpaceDN w:val="0"/>
        <w:adjustRightInd w:val="0"/>
        <w:spacing w:before="120" w:after="120" w:line="240" w:lineRule="auto"/>
        <w:ind w:left="709"/>
        <w:contextualSpacing w:val="0"/>
        <w:jc w:val="both"/>
        <w:rPr>
          <w:rFonts w:ascii="Verdana" w:hAnsi="Verdana"/>
          <w:sz w:val="18"/>
          <w:szCs w:val="20"/>
          <w:lang w:val="es-AR"/>
        </w:rPr>
      </w:pPr>
      <w:r w:rsidRPr="008D0846">
        <w:rPr>
          <w:rFonts w:ascii="Verdana" w:hAnsi="Verdana"/>
          <w:sz w:val="18"/>
          <w:szCs w:val="20"/>
          <w:lang w:val="es-AR"/>
        </w:rPr>
        <w:t>m</w:t>
      </w:r>
      <w:r w:rsidR="001F49E1" w:rsidRPr="008D0846">
        <w:rPr>
          <w:rFonts w:ascii="Verdana" w:hAnsi="Verdana"/>
          <w:sz w:val="18"/>
          <w:szCs w:val="20"/>
          <w:lang w:val="es-AR"/>
        </w:rPr>
        <w:t>ediante c</w:t>
      </w:r>
      <w:r w:rsidR="002E1C85" w:rsidRPr="008D0846">
        <w:rPr>
          <w:rFonts w:ascii="Verdana" w:hAnsi="Verdana"/>
          <w:sz w:val="18"/>
          <w:szCs w:val="20"/>
          <w:lang w:val="es-AR"/>
        </w:rPr>
        <w:t xml:space="preserve">orreogramas de fechas 23 y 24 de mayo de 2010 el Comandante </w:t>
      </w:r>
      <w:r w:rsidR="002E1C85" w:rsidRPr="008D0846">
        <w:rPr>
          <w:rFonts w:ascii="Verdana" w:hAnsi="Verdana"/>
          <w:sz w:val="18"/>
          <w:szCs w:val="20"/>
        </w:rPr>
        <w:t xml:space="preserve">y el Estado Mayor, respectivamente, </w:t>
      </w:r>
      <w:r w:rsidR="002E1C85" w:rsidRPr="008D0846">
        <w:rPr>
          <w:rFonts w:ascii="Verdana" w:hAnsi="Verdana"/>
          <w:sz w:val="18"/>
          <w:szCs w:val="20"/>
          <w:lang w:val="es-AR"/>
        </w:rPr>
        <w:t xml:space="preserve">de la </w:t>
      </w:r>
      <w:r w:rsidR="002E1C85" w:rsidRPr="008D0846">
        <w:rPr>
          <w:rFonts w:ascii="Verdana" w:hAnsi="Verdana"/>
          <w:sz w:val="18"/>
          <w:szCs w:val="20"/>
        </w:rPr>
        <w:t xml:space="preserve">5ªZM </w:t>
      </w:r>
      <w:r w:rsidR="002E1C85" w:rsidRPr="008D0846">
        <w:rPr>
          <w:rFonts w:ascii="Verdana" w:hAnsi="Verdana"/>
          <w:sz w:val="18"/>
          <w:szCs w:val="20"/>
          <w:lang w:val="es-AR"/>
        </w:rPr>
        <w:t>informaron que el personal militar jurisdiccionado a dicha circunscripción castrense no realizó operaciones de intercepción los días 29, 30 y 31 de diciembre de 2009 en los caminos de “primer y segundo orden” hacia el Ejido Benito Juárez y que no contaban con vehículos Hummer color blanco o amarillo y/o camionetas de redilas asegurados en dicho Cuartel General</w:t>
      </w:r>
      <w:r w:rsidR="002E1C85" w:rsidRPr="008D0846">
        <w:rPr>
          <w:rStyle w:val="Refdenotaalpie"/>
          <w:rFonts w:ascii="Verdana" w:hAnsi="Verdana"/>
          <w:sz w:val="18"/>
          <w:szCs w:val="20"/>
          <w:lang w:val="es-AR"/>
        </w:rPr>
        <w:footnoteReference w:id="257"/>
      </w:r>
      <w:r w:rsidRPr="008D0846">
        <w:rPr>
          <w:rFonts w:ascii="Verdana" w:hAnsi="Verdana"/>
          <w:sz w:val="18"/>
          <w:szCs w:val="20"/>
          <w:lang w:val="es-AR"/>
        </w:rPr>
        <w:t>;</w:t>
      </w:r>
      <w:r w:rsidR="002E1C85" w:rsidRPr="008D0846">
        <w:rPr>
          <w:rFonts w:ascii="Verdana" w:hAnsi="Verdana"/>
          <w:sz w:val="18"/>
          <w:szCs w:val="20"/>
          <w:lang w:val="es-AR"/>
        </w:rPr>
        <w:t xml:space="preserve"> </w:t>
      </w:r>
    </w:p>
    <w:p w14:paraId="64AA5EF1" w14:textId="613F7F86" w:rsidR="002E1C85" w:rsidRPr="008D0846" w:rsidRDefault="00D50E04">
      <w:pPr>
        <w:pStyle w:val="Prrafodelista"/>
        <w:numPr>
          <w:ilvl w:val="0"/>
          <w:numId w:val="3"/>
        </w:numPr>
        <w:autoSpaceDE w:val="0"/>
        <w:autoSpaceDN w:val="0"/>
        <w:adjustRightInd w:val="0"/>
        <w:spacing w:before="120" w:after="120" w:line="240" w:lineRule="auto"/>
        <w:ind w:left="709"/>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 xml:space="preserve">l 24 de mayo de 2010 testificó ante el AMPM – 5ªZM el Agente Auxiliar del Ministerio Público de la PGJE – Chihuahua en Buenaventura, Aarón Enríquez Duarte, con relación a su conocimiento de las tres detenciones </w:t>
      </w:r>
      <w:r w:rsidR="002E1C85" w:rsidRPr="008D0846">
        <w:rPr>
          <w:rFonts w:ascii="Verdana" w:hAnsi="Verdana"/>
          <w:sz w:val="18"/>
          <w:szCs w:val="20"/>
        </w:rPr>
        <w:t>a manos de elementos del Ejército</w:t>
      </w:r>
      <w:r w:rsidR="002E1C85" w:rsidRPr="008D0846">
        <w:rPr>
          <w:rStyle w:val="Refdenotaalpie"/>
          <w:rFonts w:ascii="Verdana" w:hAnsi="Verdana"/>
          <w:sz w:val="18"/>
          <w:szCs w:val="20"/>
        </w:rPr>
        <w:footnoteReference w:id="258"/>
      </w:r>
      <w:r w:rsidRPr="008D0846">
        <w:rPr>
          <w:rFonts w:ascii="Verdana" w:hAnsi="Verdana"/>
          <w:sz w:val="18"/>
          <w:szCs w:val="20"/>
        </w:rPr>
        <w:t>;</w:t>
      </w:r>
    </w:p>
    <w:p w14:paraId="64AA5EF3" w14:textId="5A7D057C" w:rsidR="002E1C85" w:rsidRPr="008D0846" w:rsidRDefault="00D50E04">
      <w:pPr>
        <w:pStyle w:val="Prrafodelista"/>
        <w:numPr>
          <w:ilvl w:val="0"/>
          <w:numId w:val="3"/>
        </w:numPr>
        <w:autoSpaceDE w:val="0"/>
        <w:autoSpaceDN w:val="0"/>
        <w:adjustRightInd w:val="0"/>
        <w:spacing w:before="120" w:after="120" w:line="240" w:lineRule="auto"/>
        <w:ind w:left="709"/>
        <w:contextualSpacing w:val="0"/>
        <w:jc w:val="both"/>
        <w:rPr>
          <w:rFonts w:ascii="Verdana" w:hAnsi="Verdana"/>
          <w:sz w:val="18"/>
          <w:szCs w:val="20"/>
          <w:lang w:val="es-AR"/>
        </w:rPr>
      </w:pPr>
      <w:r w:rsidRPr="008D0846">
        <w:rPr>
          <w:rFonts w:ascii="Verdana" w:hAnsi="Verdana"/>
          <w:sz w:val="18"/>
          <w:szCs w:val="20"/>
          <w:lang w:val="es-AR"/>
        </w:rPr>
        <w:t>m</w:t>
      </w:r>
      <w:r w:rsidR="002E1C85" w:rsidRPr="008D0846">
        <w:rPr>
          <w:rFonts w:ascii="Verdana" w:hAnsi="Verdana"/>
          <w:sz w:val="18"/>
          <w:szCs w:val="20"/>
          <w:lang w:val="es-AR"/>
        </w:rPr>
        <w:t xml:space="preserve">ediante </w:t>
      </w:r>
      <w:r w:rsidR="00524D40" w:rsidRPr="008D0846">
        <w:rPr>
          <w:rFonts w:ascii="Verdana" w:hAnsi="Verdana"/>
          <w:sz w:val="18"/>
          <w:szCs w:val="20"/>
          <w:lang w:val="es-AR"/>
        </w:rPr>
        <w:t>o</w:t>
      </w:r>
      <w:r w:rsidR="002E1C85" w:rsidRPr="008D0846">
        <w:rPr>
          <w:rFonts w:ascii="Verdana" w:hAnsi="Verdana"/>
          <w:sz w:val="18"/>
          <w:szCs w:val="20"/>
          <w:lang w:val="es-AR"/>
        </w:rPr>
        <w:t>ficio de 6 de noviembre de 2010 el Comandante del 35 Batallón remitió al AMPME - PGJM la relación sobre los nombres y grado militar del personal de dicha unidad castrense que integró los “servicios de arma y económicos” los días 29, 30 y 31 de diciembre de 2009</w:t>
      </w:r>
      <w:r w:rsidR="002E1C85" w:rsidRPr="008D0846">
        <w:rPr>
          <w:rStyle w:val="Refdenotaalpie"/>
          <w:rFonts w:ascii="Verdana" w:hAnsi="Verdana"/>
          <w:sz w:val="18"/>
          <w:szCs w:val="20"/>
          <w:lang w:val="es-AR"/>
        </w:rPr>
        <w:footnoteReference w:id="259"/>
      </w:r>
      <w:r w:rsidRPr="008D0846">
        <w:rPr>
          <w:rFonts w:ascii="Verdana" w:hAnsi="Verdana"/>
          <w:sz w:val="18"/>
          <w:szCs w:val="20"/>
          <w:lang w:val="es-AR"/>
        </w:rPr>
        <w:t>;</w:t>
      </w:r>
    </w:p>
    <w:p w14:paraId="64AA5EF5" w14:textId="3859A480" w:rsidR="002E1C85" w:rsidRPr="008D0846" w:rsidRDefault="00D50E04">
      <w:pPr>
        <w:pStyle w:val="Prrafodelista"/>
        <w:numPr>
          <w:ilvl w:val="0"/>
          <w:numId w:val="3"/>
        </w:numPr>
        <w:autoSpaceDE w:val="0"/>
        <w:autoSpaceDN w:val="0"/>
        <w:adjustRightInd w:val="0"/>
        <w:spacing w:before="120" w:after="120" w:line="240" w:lineRule="auto"/>
        <w:ind w:left="709"/>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30 de marzo de 2011 y en vía de exhorto al AMPM adscrito a la Cuarta Zona Militar, rindió su testimonio Argene Blásquez Morales, Encargada de Política Criminal de la PGR – Chihuahua, sobre la comunicación telefónica que sostuvo con el presunto “Comandante Meza” de la Policía Federal (</w:t>
      </w:r>
      <w:r w:rsidR="002E1C85" w:rsidRPr="008D0846">
        <w:rPr>
          <w:rFonts w:ascii="Verdana" w:hAnsi="Verdana"/>
          <w:i/>
          <w:sz w:val="18"/>
          <w:szCs w:val="20"/>
          <w:lang w:val="es-AR"/>
        </w:rPr>
        <w:t>supra</w:t>
      </w:r>
      <w:r w:rsidR="002E1C85" w:rsidRPr="008D0846">
        <w:rPr>
          <w:rFonts w:ascii="Verdana" w:hAnsi="Verdana"/>
          <w:sz w:val="18"/>
          <w:szCs w:val="20"/>
          <w:lang w:val="es-AR"/>
        </w:rPr>
        <w:t xml:space="preserve"> párr. </w:t>
      </w:r>
      <w:r w:rsidR="00524D40" w:rsidRPr="008D0846">
        <w:rPr>
          <w:rFonts w:ascii="Verdana" w:hAnsi="Verdana"/>
          <w:sz w:val="18"/>
          <w:szCs w:val="20"/>
          <w:lang w:val="es-AR"/>
        </w:rPr>
        <w:t>99</w:t>
      </w:r>
      <w:r w:rsidR="002E1C85" w:rsidRPr="008D0846">
        <w:rPr>
          <w:rFonts w:ascii="Verdana" w:hAnsi="Verdana"/>
          <w:sz w:val="18"/>
          <w:szCs w:val="20"/>
          <w:lang w:val="es-AR"/>
        </w:rPr>
        <w:t>)</w:t>
      </w:r>
      <w:r w:rsidR="002E1C85" w:rsidRPr="008D0846">
        <w:rPr>
          <w:rStyle w:val="Refdenotaalpie"/>
          <w:rFonts w:ascii="Verdana" w:hAnsi="Verdana"/>
          <w:sz w:val="18"/>
          <w:szCs w:val="20"/>
          <w:lang w:val="es-AR"/>
        </w:rPr>
        <w:footnoteReference w:id="260"/>
      </w:r>
      <w:r w:rsidR="00CE0080" w:rsidRPr="008D0846">
        <w:rPr>
          <w:rFonts w:ascii="Verdana" w:hAnsi="Verdana"/>
          <w:sz w:val="18"/>
          <w:szCs w:val="20"/>
          <w:lang w:val="es-AR"/>
        </w:rPr>
        <w:t>;</w:t>
      </w:r>
    </w:p>
    <w:p w14:paraId="64AA5EF7" w14:textId="059B3335" w:rsidR="002E1C85" w:rsidRPr="008D0846" w:rsidRDefault="00CE0080">
      <w:pPr>
        <w:pStyle w:val="Prrafodelista"/>
        <w:numPr>
          <w:ilvl w:val="0"/>
          <w:numId w:val="3"/>
        </w:numPr>
        <w:autoSpaceDE w:val="0"/>
        <w:autoSpaceDN w:val="0"/>
        <w:adjustRightInd w:val="0"/>
        <w:spacing w:before="120" w:after="120" w:line="240" w:lineRule="auto"/>
        <w:ind w:left="709"/>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2 de abril de 2011 el Comandante del 35 Batallón remitió al AMPME – PGJM copias certificadas de la documentación relacionada con el control de salidas de elementos y vehículos castrenses</w:t>
      </w:r>
      <w:r w:rsidR="002E1C85" w:rsidRPr="008D0846">
        <w:rPr>
          <w:rStyle w:val="Refdenotaalpie"/>
          <w:rFonts w:ascii="Verdana" w:hAnsi="Verdana"/>
          <w:sz w:val="18"/>
          <w:szCs w:val="20"/>
          <w:lang w:val="es-AR"/>
        </w:rPr>
        <w:footnoteReference w:id="261"/>
      </w:r>
      <w:r w:rsidR="002E1C85" w:rsidRPr="008D0846">
        <w:rPr>
          <w:rFonts w:ascii="Verdana" w:hAnsi="Verdana"/>
          <w:sz w:val="18"/>
          <w:szCs w:val="20"/>
          <w:lang w:val="es-AR"/>
        </w:rPr>
        <w:t>, así como del tipo de uniformes utilizado por el personar militar de dicha unidad al momento de las desapariciones</w:t>
      </w:r>
      <w:r w:rsidR="002E1C85" w:rsidRPr="008D0846">
        <w:rPr>
          <w:rStyle w:val="Refdenotaalpie"/>
          <w:rFonts w:ascii="Verdana" w:hAnsi="Verdana"/>
          <w:sz w:val="18"/>
          <w:szCs w:val="20"/>
          <w:lang w:val="es-AR"/>
        </w:rPr>
        <w:footnoteReference w:id="262"/>
      </w:r>
      <w:r w:rsidR="002E1C85" w:rsidRPr="008D0846">
        <w:rPr>
          <w:rFonts w:ascii="Verdana" w:hAnsi="Verdana"/>
          <w:sz w:val="18"/>
          <w:szCs w:val="20"/>
          <w:lang w:val="es-AR"/>
        </w:rPr>
        <w:t xml:space="preserve">. El 13 de abril </w:t>
      </w:r>
      <w:r w:rsidR="00524D40" w:rsidRPr="008D0846">
        <w:rPr>
          <w:rFonts w:ascii="Verdana" w:hAnsi="Verdana"/>
          <w:sz w:val="18"/>
          <w:szCs w:val="20"/>
          <w:lang w:val="es-AR"/>
        </w:rPr>
        <w:t>de 2011</w:t>
      </w:r>
      <w:r w:rsidR="002E1C85" w:rsidRPr="008D0846">
        <w:rPr>
          <w:rFonts w:ascii="Verdana" w:hAnsi="Verdana"/>
          <w:sz w:val="18"/>
          <w:szCs w:val="20"/>
          <w:lang w:val="es-AR"/>
        </w:rPr>
        <w:t xml:space="preserve"> rindió su testimonio el Sargento Primero Conductor del 35 Batallón de Infantería, Alberto Hernández de la Cruz, en la que se retractó de su testimonio rendido el 5 de febrero de 2010 ante el Agente del Ministerio Público Militar (</w:t>
      </w:r>
      <w:r w:rsidR="002E1C85" w:rsidRPr="008D0846">
        <w:rPr>
          <w:rFonts w:ascii="Verdana" w:hAnsi="Verdana"/>
          <w:i/>
          <w:sz w:val="18"/>
          <w:szCs w:val="20"/>
          <w:lang w:val="es-AR"/>
        </w:rPr>
        <w:t xml:space="preserve">supra </w:t>
      </w:r>
      <w:r w:rsidR="002E1C85" w:rsidRPr="008D0846">
        <w:rPr>
          <w:rFonts w:ascii="Verdana" w:hAnsi="Verdana"/>
          <w:sz w:val="18"/>
          <w:szCs w:val="20"/>
          <w:lang w:val="es-AR"/>
        </w:rPr>
        <w:t xml:space="preserve">párr. </w:t>
      </w:r>
      <w:r w:rsidR="00524D40" w:rsidRPr="008D0846">
        <w:rPr>
          <w:rFonts w:ascii="Verdana" w:hAnsi="Verdana"/>
          <w:sz w:val="18"/>
          <w:szCs w:val="20"/>
          <w:lang w:val="es-AR"/>
        </w:rPr>
        <w:t>97</w:t>
      </w:r>
      <w:r w:rsidR="002E1C85" w:rsidRPr="008D0846">
        <w:rPr>
          <w:rFonts w:ascii="Verdana" w:hAnsi="Verdana"/>
          <w:sz w:val="18"/>
          <w:szCs w:val="20"/>
          <w:lang w:val="es-AR"/>
        </w:rPr>
        <w:t>)</w:t>
      </w:r>
      <w:r w:rsidR="002E1C85" w:rsidRPr="008D0846">
        <w:rPr>
          <w:rStyle w:val="Refdenotaalpie"/>
          <w:rFonts w:ascii="Verdana" w:hAnsi="Verdana"/>
          <w:sz w:val="18"/>
          <w:szCs w:val="20"/>
          <w:lang w:val="es-AR"/>
        </w:rPr>
        <w:footnoteReference w:id="263"/>
      </w:r>
      <w:r w:rsidRPr="008D0846">
        <w:rPr>
          <w:rFonts w:ascii="Verdana" w:hAnsi="Verdana"/>
          <w:sz w:val="18"/>
          <w:szCs w:val="20"/>
          <w:lang w:val="es-AR"/>
        </w:rPr>
        <w:t>, y</w:t>
      </w:r>
    </w:p>
    <w:p w14:paraId="64AA5EF9" w14:textId="49547086" w:rsidR="002E1C85" w:rsidRPr="008D0846" w:rsidRDefault="00CE0080">
      <w:pPr>
        <w:pStyle w:val="Prrafodelista"/>
        <w:numPr>
          <w:ilvl w:val="0"/>
          <w:numId w:val="3"/>
        </w:numPr>
        <w:autoSpaceDE w:val="0"/>
        <w:autoSpaceDN w:val="0"/>
        <w:adjustRightInd w:val="0"/>
        <w:spacing w:before="120" w:after="120" w:line="240" w:lineRule="auto"/>
        <w:ind w:left="709"/>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12 de septiembre de 2011 el apoderado legal de la CNDH presentó denuncia de hechos ante el AMPM en cumplimiento de la Recomendación 43/11</w:t>
      </w:r>
      <w:r w:rsidR="002E1C85" w:rsidRPr="008D0846">
        <w:rPr>
          <w:rStyle w:val="Refdenotaalpie"/>
          <w:rFonts w:ascii="Verdana" w:hAnsi="Verdana"/>
          <w:sz w:val="18"/>
          <w:szCs w:val="20"/>
          <w:lang w:val="es-AR"/>
        </w:rPr>
        <w:footnoteReference w:id="264"/>
      </w:r>
      <w:r w:rsidR="002E1C85" w:rsidRPr="008D0846">
        <w:rPr>
          <w:rFonts w:ascii="Verdana" w:hAnsi="Verdana"/>
          <w:sz w:val="18"/>
          <w:szCs w:val="20"/>
          <w:lang w:val="es-AR"/>
        </w:rPr>
        <w:t xml:space="preserve">. </w:t>
      </w:r>
    </w:p>
    <w:p w14:paraId="64AA5EFB" w14:textId="3D2CF67D" w:rsidR="002E1C85" w:rsidRPr="00432ABC"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744CE4">
        <w:rPr>
          <w:rFonts w:ascii="Verdana" w:hAnsi="Verdana"/>
          <w:sz w:val="20"/>
          <w:szCs w:val="20"/>
          <w:lang w:val="es-AR"/>
        </w:rPr>
        <w:t>El 29 de diciembre de 2011 el II AMPM de la PGJM</w:t>
      </w:r>
      <w:r w:rsidRPr="00432ABC">
        <w:rPr>
          <w:rFonts w:ascii="Verdana" w:hAnsi="Verdana"/>
          <w:sz w:val="20"/>
          <w:szCs w:val="20"/>
          <w:lang w:val="es-AR"/>
        </w:rPr>
        <w:t xml:space="preserve"> determinó el cierre de la Averiguación </w:t>
      </w:r>
      <w:r w:rsidRPr="00432ABC">
        <w:rPr>
          <w:rFonts w:ascii="Verdana" w:hAnsi="Verdana"/>
          <w:sz w:val="20"/>
          <w:szCs w:val="20"/>
          <w:lang w:val="es-AR"/>
        </w:rPr>
        <w:lastRenderedPageBreak/>
        <w:t>Previa PGJM/AMPME/CDJUAREZ/196-II/2010 y ordenó la remisión de dicha indagatoria al AMPF de la PGR al considerar que con relación a la desaparición de las tres personas:</w:t>
      </w:r>
    </w:p>
    <w:p w14:paraId="64AA5EFD" w14:textId="68F4D74B" w:rsidR="002E1C85" w:rsidRPr="00744CE4" w:rsidRDefault="002E1C85">
      <w:pPr>
        <w:spacing w:before="120" w:after="120" w:line="240" w:lineRule="auto"/>
        <w:ind w:left="567"/>
        <w:jc w:val="both"/>
        <w:rPr>
          <w:rFonts w:ascii="Verdana" w:hAnsi="Verdana"/>
          <w:sz w:val="18"/>
          <w:szCs w:val="20"/>
          <w:lang w:val="es-AR"/>
        </w:rPr>
      </w:pPr>
      <w:r w:rsidRPr="00432ABC">
        <w:rPr>
          <w:rFonts w:ascii="Verdana" w:hAnsi="Verdana"/>
          <w:sz w:val="18"/>
          <w:szCs w:val="20"/>
          <w:lang w:val="es-AR"/>
        </w:rPr>
        <w:t xml:space="preserve">“[…] [N]o existen pruebas de que el personal militar haya efectuado tales ilícitos, por lo que en el presente caso a juicio de esta Representación Social Militar no se infringió la disciplina militar y la ley, sin embargo en dichas conductas es muy probable que se encuentren involucradas personas que </w:t>
      </w:r>
      <w:r w:rsidRPr="002C462C">
        <w:rPr>
          <w:rFonts w:ascii="Verdana" w:hAnsi="Verdana"/>
          <w:sz w:val="18"/>
          <w:szCs w:val="20"/>
          <w:lang w:val="es-AR"/>
        </w:rPr>
        <w:t>se dedican a distintas actividades de narcotráfico […]”</w:t>
      </w:r>
      <w:r w:rsidRPr="00744CE4">
        <w:rPr>
          <w:rStyle w:val="Refdenotaalpie"/>
          <w:rFonts w:ascii="Verdana" w:hAnsi="Verdana"/>
          <w:sz w:val="18"/>
          <w:szCs w:val="20"/>
          <w:lang w:val="es-AR"/>
        </w:rPr>
        <w:footnoteReference w:id="265"/>
      </w:r>
      <w:r w:rsidR="004562AE" w:rsidRPr="00744CE4">
        <w:rPr>
          <w:rFonts w:ascii="Verdana" w:hAnsi="Verdana"/>
          <w:sz w:val="18"/>
          <w:szCs w:val="20"/>
          <w:lang w:val="es-AR"/>
        </w:rPr>
        <w:t>.</w:t>
      </w:r>
    </w:p>
    <w:p w14:paraId="64AA5EFF" w14:textId="0AB63FC8" w:rsidR="002E1C85" w:rsidRPr="00432ABC" w:rsidRDefault="00A10160">
      <w:pPr>
        <w:pStyle w:val="Prrafodelista"/>
        <w:widowControl w:val="0"/>
        <w:numPr>
          <w:ilvl w:val="0"/>
          <w:numId w:val="45"/>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rPr>
      </w:pPr>
      <w:bookmarkStart w:id="146" w:name="_Toc526783772"/>
      <w:r>
        <w:rPr>
          <w:rFonts w:ascii="Verdana" w:hAnsi="Verdana"/>
          <w:i/>
          <w:sz w:val="20"/>
          <w:szCs w:val="20"/>
        </w:rPr>
        <w:t xml:space="preserve"> </w:t>
      </w:r>
      <w:bookmarkStart w:id="147" w:name="_Toc532995344"/>
      <w:r w:rsidR="002E1C85" w:rsidRPr="00432ABC">
        <w:rPr>
          <w:rFonts w:ascii="Verdana" w:hAnsi="Verdana"/>
          <w:i/>
          <w:sz w:val="20"/>
          <w:szCs w:val="20"/>
        </w:rPr>
        <w:t>Procuraduría General de la República – Fiscalía Especial de Delitos de Violencia contra las Mujeres y Trata de Personas [FEVIMTRA - PGR]</w:t>
      </w:r>
      <w:bookmarkEnd w:id="146"/>
      <w:bookmarkEnd w:id="147"/>
    </w:p>
    <w:p w14:paraId="64AA5F01" w14:textId="0E529BAA"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i/>
          <w:sz w:val="20"/>
          <w:szCs w:val="20"/>
          <w:lang w:val="es-AR"/>
        </w:rPr>
      </w:pPr>
      <w:r w:rsidRPr="00432ABC">
        <w:rPr>
          <w:rFonts w:ascii="Verdana" w:hAnsi="Verdana"/>
          <w:sz w:val="20"/>
          <w:szCs w:val="20"/>
          <w:lang w:val="es-AR"/>
        </w:rPr>
        <w:t xml:space="preserve">El 8 de marzo de 2010 la FEVIMTRA-PGR dio inicio a la averiguación previa AP/PGR/FEVIMTRA/TRA/009/2010 en atención al </w:t>
      </w:r>
      <w:r w:rsidR="002E3298">
        <w:rPr>
          <w:rFonts w:ascii="Verdana" w:hAnsi="Verdana"/>
          <w:sz w:val="20"/>
          <w:szCs w:val="20"/>
          <w:lang w:val="es-AR"/>
        </w:rPr>
        <w:t>O</w:t>
      </w:r>
      <w:r w:rsidRPr="00432ABC">
        <w:rPr>
          <w:rFonts w:ascii="Verdana" w:hAnsi="Verdana"/>
          <w:sz w:val="20"/>
          <w:szCs w:val="20"/>
          <w:lang w:val="es-AR"/>
        </w:rPr>
        <w:t>ficio UPDDH/911/1240/2010 remitido por el titular de la Unidad para la Promoción y Defensa de los Derechos Humanos de la Secretaría de Gobernación [UPDDH - SEGOB], por el delito de la privaci</w:t>
      </w:r>
      <w:r w:rsidRPr="002C462C">
        <w:rPr>
          <w:rFonts w:ascii="Verdana" w:hAnsi="Verdana"/>
          <w:sz w:val="20"/>
          <w:szCs w:val="20"/>
          <w:lang w:val="es-AR"/>
        </w:rPr>
        <w:t>ón ilegal de la libertad “y lo que resulte” en perjuicio de las tres personas desaparecidas y en contra de quien o quienes resulten responsables</w:t>
      </w:r>
      <w:r w:rsidRPr="00744CE4">
        <w:rPr>
          <w:rStyle w:val="Refdenotaalpie"/>
          <w:rFonts w:ascii="Verdana" w:hAnsi="Verdana"/>
          <w:sz w:val="20"/>
          <w:szCs w:val="20"/>
          <w:lang w:val="es-AR"/>
        </w:rPr>
        <w:footnoteReference w:id="266"/>
      </w:r>
      <w:r w:rsidRPr="00744CE4">
        <w:rPr>
          <w:rFonts w:ascii="Verdana" w:hAnsi="Verdana"/>
          <w:sz w:val="20"/>
          <w:szCs w:val="20"/>
          <w:lang w:val="es-AR"/>
        </w:rPr>
        <w:t xml:space="preserve">. </w:t>
      </w:r>
    </w:p>
    <w:p w14:paraId="64AA5F03" w14:textId="2F4F2FAA" w:rsidR="002E1C85" w:rsidRPr="00432ABC"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432ABC">
        <w:rPr>
          <w:rFonts w:ascii="Verdana" w:hAnsi="Verdana"/>
          <w:sz w:val="20"/>
          <w:szCs w:val="20"/>
          <w:lang w:val="es-AR"/>
        </w:rPr>
        <w:t>En cuanto se refiere a la investigación ante la FEVIMTRA – PGR relacionada con la desaparición de las 3 personas tuvieron lugar, entre otras, las siguientes diligencias:</w:t>
      </w:r>
    </w:p>
    <w:p w14:paraId="64AA5F05" w14:textId="592B8D30" w:rsidR="002E1C85" w:rsidRPr="008D0846" w:rsidRDefault="00AC6FFB">
      <w:pPr>
        <w:pStyle w:val="Prrafodelista"/>
        <w:numPr>
          <w:ilvl w:val="2"/>
          <w:numId w:val="4"/>
        </w:numPr>
        <w:spacing w:before="120" w:after="120" w:line="240" w:lineRule="auto"/>
        <w:ind w:left="567" w:hanging="181"/>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n atención a lo ordenado por la AMPF el 4 de junio de 2010</w:t>
      </w:r>
      <w:r w:rsidR="002E1C85" w:rsidRPr="008D0846">
        <w:rPr>
          <w:rStyle w:val="Refdenotaalpie"/>
          <w:rFonts w:ascii="Verdana" w:hAnsi="Verdana"/>
          <w:sz w:val="18"/>
          <w:szCs w:val="20"/>
          <w:lang w:val="es-AR"/>
        </w:rPr>
        <w:footnoteReference w:id="267"/>
      </w:r>
      <w:r w:rsidR="002E1C85" w:rsidRPr="008D0846">
        <w:rPr>
          <w:rFonts w:ascii="Verdana" w:hAnsi="Verdana"/>
          <w:sz w:val="18"/>
          <w:szCs w:val="20"/>
          <w:lang w:val="es-AR"/>
        </w:rPr>
        <w:t xml:space="preserve">, el 9 de junio siguiente se realizó la inspección ministerial del sitio en que fueron privados de su libertad </w:t>
      </w:r>
      <w:r w:rsidR="002E1C85" w:rsidRPr="008D0846">
        <w:rPr>
          <w:rFonts w:ascii="Verdana" w:hAnsi="Verdana"/>
          <w:sz w:val="18"/>
          <w:szCs w:val="20"/>
        </w:rPr>
        <w:t>Nitza Paola y Jose Ángel Alvarado</w:t>
      </w:r>
      <w:r w:rsidR="002E1C85" w:rsidRPr="008D0846">
        <w:rPr>
          <w:rFonts w:ascii="Verdana" w:hAnsi="Verdana"/>
          <w:sz w:val="18"/>
          <w:szCs w:val="20"/>
          <w:lang w:val="es-AR"/>
        </w:rPr>
        <w:t xml:space="preserve"> el Ejido Benito Juárez, del domicilio del que fue sustraída Rocío Irene Alvarado, así como de las instalaciones de la Agencia Estatal de Investigaciones de la PGJE - Chihuahua en Nuevo Casas Grandes</w:t>
      </w:r>
      <w:r w:rsidR="002E1C85" w:rsidRPr="008D0846">
        <w:rPr>
          <w:rStyle w:val="Refdenotaalpie"/>
          <w:rFonts w:ascii="Verdana" w:hAnsi="Verdana"/>
          <w:sz w:val="18"/>
          <w:szCs w:val="20"/>
          <w:lang w:val="es-AR"/>
        </w:rPr>
        <w:footnoteReference w:id="268"/>
      </w:r>
      <w:r w:rsidR="002E1C85" w:rsidRPr="008D0846">
        <w:rPr>
          <w:rFonts w:ascii="Verdana" w:hAnsi="Verdana"/>
          <w:sz w:val="18"/>
          <w:szCs w:val="20"/>
          <w:lang w:val="es-AR"/>
        </w:rPr>
        <w:t>. En la misma fecha, fueron recabadas la declaraciones de Hora</w:t>
      </w:r>
      <w:r w:rsidR="00915638" w:rsidRPr="008D0846">
        <w:rPr>
          <w:rFonts w:ascii="Verdana" w:hAnsi="Verdana"/>
          <w:sz w:val="18"/>
          <w:szCs w:val="20"/>
          <w:lang w:val="es-AR"/>
        </w:rPr>
        <w:t>s</w:t>
      </w:r>
      <w:r w:rsidR="002E1C85" w:rsidRPr="008D0846">
        <w:rPr>
          <w:rFonts w:ascii="Verdana" w:hAnsi="Verdana"/>
          <w:sz w:val="18"/>
          <w:szCs w:val="20"/>
          <w:lang w:val="es-AR"/>
        </w:rPr>
        <w:t>io Flores Martínez y Francisco Calvillo, agentes ministeriales de esta última dependencia, quienes manifestaron que tras el aseguramiento por parte de policías ministeriales de la camioneta que conducía Nitza Paola Alvarado el día de su desaparición se presentaron elementos de la Policía Federal y del Ejército Mexicano preguntando por qué razón había sido asegurado dicho vehículo y recabando los datos sobre el mismo (</w:t>
      </w:r>
      <w:r w:rsidR="002E1C85" w:rsidRPr="008D0846">
        <w:rPr>
          <w:rFonts w:ascii="Verdana" w:hAnsi="Verdana"/>
          <w:i/>
          <w:sz w:val="18"/>
          <w:szCs w:val="20"/>
          <w:lang w:val="es-AR"/>
        </w:rPr>
        <w:t xml:space="preserve">supra </w:t>
      </w:r>
      <w:r w:rsidR="002E1C85" w:rsidRPr="008D0846">
        <w:rPr>
          <w:rFonts w:ascii="Verdana" w:hAnsi="Verdana"/>
          <w:sz w:val="18"/>
          <w:szCs w:val="20"/>
          <w:lang w:val="es-AR"/>
        </w:rPr>
        <w:t xml:space="preserve">párr. </w:t>
      </w:r>
      <w:r w:rsidR="00915638" w:rsidRPr="008D0846">
        <w:rPr>
          <w:rFonts w:ascii="Verdana" w:hAnsi="Verdana"/>
          <w:sz w:val="18"/>
          <w:szCs w:val="20"/>
          <w:lang w:val="es-AR"/>
        </w:rPr>
        <w:t>90</w:t>
      </w:r>
      <w:r w:rsidR="002E1C85" w:rsidRPr="008D0846">
        <w:rPr>
          <w:rFonts w:ascii="Verdana" w:hAnsi="Verdana"/>
          <w:sz w:val="18"/>
          <w:szCs w:val="20"/>
          <w:lang w:val="es-AR"/>
        </w:rPr>
        <w:t>)</w:t>
      </w:r>
      <w:r w:rsidR="002E1C85" w:rsidRPr="008D0846">
        <w:rPr>
          <w:rStyle w:val="Refdenotaalpie"/>
          <w:rFonts w:ascii="Verdana" w:hAnsi="Verdana"/>
          <w:sz w:val="18"/>
          <w:szCs w:val="20"/>
          <w:lang w:val="es-AR"/>
        </w:rPr>
        <w:footnoteReference w:id="269"/>
      </w:r>
      <w:r w:rsidR="00CE0080" w:rsidRPr="008D0846">
        <w:rPr>
          <w:rFonts w:ascii="Verdana" w:hAnsi="Verdana"/>
          <w:sz w:val="18"/>
          <w:szCs w:val="20"/>
          <w:lang w:val="es-AR"/>
        </w:rPr>
        <w:t>;</w:t>
      </w:r>
    </w:p>
    <w:p w14:paraId="64AA5F07" w14:textId="62832476" w:rsidR="002E1C85" w:rsidRPr="008D0846" w:rsidRDefault="00CE0080">
      <w:pPr>
        <w:pStyle w:val="Prrafodelista"/>
        <w:numPr>
          <w:ilvl w:val="2"/>
          <w:numId w:val="4"/>
        </w:numPr>
        <w:spacing w:before="120" w:after="120" w:line="240" w:lineRule="auto"/>
        <w:ind w:left="567"/>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10 de junio de 2010 fue recabado el testimonio de Obdulia Espinoza Beltrán sobre la desaparición de sus familiares</w:t>
      </w:r>
      <w:r w:rsidR="002E1C85" w:rsidRPr="008D0846">
        <w:rPr>
          <w:rStyle w:val="Refdenotaalpie"/>
          <w:rFonts w:ascii="Verdana" w:hAnsi="Verdana"/>
          <w:sz w:val="18"/>
          <w:szCs w:val="20"/>
          <w:lang w:val="es-AR"/>
        </w:rPr>
        <w:footnoteReference w:id="270"/>
      </w:r>
      <w:r w:rsidR="002E1C85" w:rsidRPr="008D0846">
        <w:rPr>
          <w:rFonts w:ascii="Verdana" w:hAnsi="Verdana"/>
          <w:sz w:val="18"/>
          <w:szCs w:val="20"/>
          <w:lang w:val="es-AR"/>
        </w:rPr>
        <w:t xml:space="preserve">. Asimismo, se recabaron las declaraciones de Jesús Durazo Hoyos, </w:t>
      </w:r>
      <w:r w:rsidR="002E1C85" w:rsidRPr="008D0846">
        <w:rPr>
          <w:rFonts w:ascii="Verdana" w:hAnsi="Verdana"/>
          <w:sz w:val="18"/>
          <w:szCs w:val="20"/>
        </w:rPr>
        <w:t>AMPF en Ciudad Juárez</w:t>
      </w:r>
      <w:r w:rsidR="002E1C85" w:rsidRPr="008D0846">
        <w:rPr>
          <w:rFonts w:ascii="Verdana" w:hAnsi="Verdana"/>
          <w:sz w:val="18"/>
          <w:szCs w:val="20"/>
          <w:lang w:val="es-AR"/>
        </w:rPr>
        <w:t xml:space="preserve">, y de su secretaria Guadalupe Angélica Escobedo Domínguez, quienes negaron tener conocimiento o haber hecho comentario alguno a los familiares sobre el paradero de las tres personas </w:t>
      </w:r>
      <w:r w:rsidR="002E1C85" w:rsidRPr="008D0846">
        <w:rPr>
          <w:rFonts w:ascii="Verdana" w:hAnsi="Verdana"/>
          <w:sz w:val="18"/>
          <w:szCs w:val="20"/>
          <w:lang w:val="es-AR"/>
        </w:rPr>
        <w:lastRenderedPageBreak/>
        <w:t xml:space="preserve">desaparecidas al momento en que </w:t>
      </w:r>
      <w:r w:rsidR="002E1C85" w:rsidRPr="008D0846">
        <w:rPr>
          <w:rFonts w:ascii="Verdana" w:hAnsi="Verdana"/>
          <w:sz w:val="18"/>
          <w:szCs w:val="20"/>
        </w:rPr>
        <w:t>Patricia Reyes Rueda y María de Jesús Alvarado Espinoza promovieron sus respectivas denuncias</w:t>
      </w:r>
      <w:r w:rsidR="002E1C85" w:rsidRPr="008D0846">
        <w:rPr>
          <w:rStyle w:val="Refdenotaalpie"/>
          <w:rFonts w:ascii="Verdana" w:hAnsi="Verdana"/>
          <w:sz w:val="18"/>
          <w:szCs w:val="20"/>
          <w:lang w:val="es-AR"/>
        </w:rPr>
        <w:t xml:space="preserve"> </w:t>
      </w:r>
      <w:r w:rsidR="002E1C85" w:rsidRPr="008D0846">
        <w:rPr>
          <w:rFonts w:ascii="Verdana" w:hAnsi="Verdana"/>
          <w:sz w:val="18"/>
          <w:szCs w:val="20"/>
        </w:rPr>
        <w:t>el 6 de enero de 2010</w:t>
      </w:r>
      <w:r w:rsidR="002E1C85" w:rsidRPr="008D0846">
        <w:rPr>
          <w:rStyle w:val="Refdenotaalpie"/>
          <w:rFonts w:ascii="Verdana" w:hAnsi="Verdana"/>
          <w:sz w:val="18"/>
          <w:szCs w:val="20"/>
          <w:lang w:val="es-AR"/>
        </w:rPr>
        <w:footnoteReference w:id="271"/>
      </w:r>
      <w:r w:rsidRPr="008D0846">
        <w:rPr>
          <w:rFonts w:ascii="Verdana" w:hAnsi="Verdana"/>
          <w:sz w:val="18"/>
          <w:szCs w:val="20"/>
          <w:lang w:val="es-AR"/>
        </w:rPr>
        <w:t>;</w:t>
      </w:r>
    </w:p>
    <w:p w14:paraId="64AA5F09" w14:textId="610BD09B" w:rsidR="002E1C85" w:rsidRPr="008D0846" w:rsidRDefault="00CE0080">
      <w:pPr>
        <w:pStyle w:val="Prrafodelista"/>
        <w:numPr>
          <w:ilvl w:val="2"/>
          <w:numId w:val="4"/>
        </w:numPr>
        <w:spacing w:before="120" w:after="120" w:line="240" w:lineRule="auto"/>
        <w:ind w:left="567"/>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27 de julio de 2010 se solicitó al Procurador General de Justicia Militar su colaboración para desahogar una serie de diligencias en las instalaciones del 35 Batallón</w:t>
      </w:r>
      <w:r w:rsidR="002E1C85" w:rsidRPr="008D0846">
        <w:rPr>
          <w:rStyle w:val="Refdenotaalpie"/>
          <w:rFonts w:ascii="Verdana" w:hAnsi="Verdana"/>
          <w:sz w:val="18"/>
          <w:szCs w:val="20"/>
          <w:lang w:val="es-AR"/>
        </w:rPr>
        <w:footnoteReference w:id="272"/>
      </w:r>
      <w:r w:rsidR="002E1C85" w:rsidRPr="008D0846">
        <w:rPr>
          <w:rFonts w:ascii="Verdana" w:hAnsi="Verdana"/>
          <w:sz w:val="18"/>
          <w:szCs w:val="20"/>
          <w:lang w:val="es-AR"/>
        </w:rPr>
        <w:t>. Ante la falta de respuesta de dicha autoridad castrense, la AMPF de la FEVIMTRA reiteró la solicitud de auxilio ministerial los días 3 de agosto y 28 de septiembre de 2010</w:t>
      </w:r>
      <w:r w:rsidR="002E1C85" w:rsidRPr="008D0846">
        <w:rPr>
          <w:rStyle w:val="Refdenotaalpie"/>
          <w:rFonts w:ascii="Verdana" w:hAnsi="Verdana"/>
          <w:sz w:val="18"/>
          <w:szCs w:val="20"/>
          <w:lang w:val="es-AR"/>
        </w:rPr>
        <w:footnoteReference w:id="273"/>
      </w:r>
      <w:r w:rsidRPr="008D0846">
        <w:rPr>
          <w:rFonts w:ascii="Verdana" w:hAnsi="Verdana"/>
          <w:sz w:val="18"/>
          <w:szCs w:val="20"/>
          <w:lang w:val="es-AR"/>
        </w:rPr>
        <w:t>;</w:t>
      </w:r>
    </w:p>
    <w:p w14:paraId="64AA5F0B" w14:textId="074905A4" w:rsidR="002E1C85" w:rsidRPr="008D0846" w:rsidRDefault="00CE0080">
      <w:pPr>
        <w:pStyle w:val="Prrafodelista"/>
        <w:numPr>
          <w:ilvl w:val="2"/>
          <w:numId w:val="4"/>
        </w:numPr>
        <w:spacing w:before="120" w:after="120" w:line="240" w:lineRule="auto"/>
        <w:ind w:left="567"/>
        <w:contextualSpacing w:val="0"/>
        <w:jc w:val="both"/>
        <w:rPr>
          <w:rFonts w:ascii="Verdana" w:hAnsi="Verdana"/>
          <w:sz w:val="18"/>
          <w:szCs w:val="20"/>
          <w:lang w:val="es-AR"/>
        </w:rPr>
      </w:pPr>
      <w:r w:rsidRPr="008D0846">
        <w:rPr>
          <w:rFonts w:ascii="Verdana" w:hAnsi="Verdana"/>
          <w:sz w:val="18"/>
          <w:szCs w:val="20"/>
          <w:lang w:val="es-AR"/>
        </w:rPr>
        <w:t>a</w:t>
      </w:r>
      <w:r w:rsidR="002E1C85" w:rsidRPr="008D0846">
        <w:rPr>
          <w:rFonts w:ascii="Verdana" w:hAnsi="Verdana"/>
          <w:sz w:val="18"/>
          <w:szCs w:val="20"/>
          <w:lang w:val="es-AR"/>
        </w:rPr>
        <w:t xml:space="preserve"> petición de la AMPF de la FEVIMTRA – PGR de 3 de agosto de 2010</w:t>
      </w:r>
      <w:r w:rsidR="002E1C85" w:rsidRPr="008D0846">
        <w:rPr>
          <w:rStyle w:val="Refdenotaalpie"/>
          <w:rFonts w:ascii="Verdana" w:hAnsi="Verdana"/>
          <w:sz w:val="18"/>
          <w:szCs w:val="20"/>
          <w:lang w:val="es-AR"/>
        </w:rPr>
        <w:footnoteReference w:id="274"/>
      </w:r>
      <w:r w:rsidR="002E1C85" w:rsidRPr="008D0846">
        <w:rPr>
          <w:rFonts w:ascii="Verdana" w:hAnsi="Verdana"/>
          <w:sz w:val="18"/>
          <w:szCs w:val="20"/>
          <w:lang w:val="es-AR"/>
        </w:rPr>
        <w:t xml:space="preserve">, la </w:t>
      </w:r>
      <w:r w:rsidR="00F90623" w:rsidRPr="008D0846">
        <w:rPr>
          <w:rFonts w:ascii="Verdana" w:hAnsi="Verdana"/>
          <w:sz w:val="18"/>
          <w:szCs w:val="20"/>
          <w:lang w:val="es-AR"/>
        </w:rPr>
        <w:t>Comisión Nacional Bancaria y de Valores (</w:t>
      </w:r>
      <w:r w:rsidR="002E1C85" w:rsidRPr="008D0846">
        <w:rPr>
          <w:rFonts w:ascii="Verdana" w:hAnsi="Verdana"/>
          <w:sz w:val="18"/>
          <w:szCs w:val="20"/>
          <w:lang w:val="es-AR"/>
        </w:rPr>
        <w:t>CNBV</w:t>
      </w:r>
      <w:r w:rsidR="00F90623" w:rsidRPr="008D0846">
        <w:rPr>
          <w:rFonts w:ascii="Verdana" w:hAnsi="Verdana"/>
          <w:sz w:val="18"/>
          <w:szCs w:val="20"/>
          <w:lang w:val="es-AR"/>
        </w:rPr>
        <w:t>)</w:t>
      </w:r>
      <w:r w:rsidR="002E1C85" w:rsidRPr="008D0846">
        <w:rPr>
          <w:rFonts w:ascii="Verdana" w:hAnsi="Verdana"/>
          <w:sz w:val="18"/>
          <w:szCs w:val="20"/>
          <w:lang w:val="es-AR"/>
        </w:rPr>
        <w:t xml:space="preserve"> remitió anexa a los oficios de respuesta de 31 de agosto de 2010</w:t>
      </w:r>
      <w:r w:rsidR="002E1C85" w:rsidRPr="008D0846">
        <w:rPr>
          <w:rStyle w:val="Refdenotaalpie"/>
          <w:rFonts w:ascii="Verdana" w:hAnsi="Verdana"/>
          <w:sz w:val="18"/>
          <w:szCs w:val="20"/>
          <w:lang w:val="es-AR"/>
        </w:rPr>
        <w:footnoteReference w:id="275"/>
      </w:r>
      <w:r w:rsidR="002E1C85" w:rsidRPr="008D0846">
        <w:rPr>
          <w:rFonts w:ascii="Verdana" w:hAnsi="Verdana"/>
          <w:sz w:val="18"/>
          <w:szCs w:val="20"/>
          <w:lang w:val="es-AR"/>
        </w:rPr>
        <w:t xml:space="preserve"> y 12 de enero de 2011</w:t>
      </w:r>
      <w:r w:rsidR="002E1C85" w:rsidRPr="008D0846">
        <w:rPr>
          <w:rStyle w:val="Refdenotaalpie"/>
          <w:rFonts w:ascii="Verdana" w:hAnsi="Verdana"/>
          <w:sz w:val="18"/>
          <w:szCs w:val="20"/>
          <w:lang w:val="es-AR"/>
        </w:rPr>
        <w:footnoteReference w:id="276"/>
      </w:r>
      <w:r w:rsidR="002E1C85" w:rsidRPr="008D0846">
        <w:rPr>
          <w:rFonts w:ascii="Verdana" w:hAnsi="Verdana"/>
          <w:sz w:val="18"/>
          <w:szCs w:val="20"/>
          <w:lang w:val="es-AR"/>
        </w:rPr>
        <w:t xml:space="preserve"> información sobre la eventual existencia de cuentas bancarias a nombre de cualquiera de las tres personas desaparecidas en el Sistema Bancario Nacional con la finalidad de obtener mayores datos para ubicar su paradero</w:t>
      </w:r>
      <w:r w:rsidRPr="008D0846">
        <w:rPr>
          <w:rFonts w:ascii="Verdana" w:hAnsi="Verdana"/>
          <w:sz w:val="18"/>
          <w:szCs w:val="20"/>
          <w:lang w:val="es-AR"/>
        </w:rPr>
        <w:t>;</w:t>
      </w:r>
    </w:p>
    <w:p w14:paraId="64AA5F0D" w14:textId="08308CEF" w:rsidR="002E1C85" w:rsidRPr="008D0846" w:rsidRDefault="00CE0080">
      <w:pPr>
        <w:pStyle w:val="Prrafodelista"/>
        <w:numPr>
          <w:ilvl w:val="2"/>
          <w:numId w:val="4"/>
        </w:numPr>
        <w:spacing w:before="120" w:after="120" w:line="240" w:lineRule="auto"/>
        <w:ind w:left="567"/>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n atención a la solicitud realizada el 10 de agosto de 2010</w:t>
      </w:r>
      <w:r w:rsidR="002E1C85" w:rsidRPr="008D0846">
        <w:rPr>
          <w:rStyle w:val="Refdenotaalpie"/>
          <w:rFonts w:ascii="Verdana" w:hAnsi="Verdana"/>
          <w:sz w:val="18"/>
          <w:szCs w:val="20"/>
          <w:lang w:val="es-AR"/>
        </w:rPr>
        <w:footnoteReference w:id="277"/>
      </w:r>
      <w:r w:rsidR="00675C75" w:rsidRPr="008D0846">
        <w:rPr>
          <w:rFonts w:ascii="Verdana" w:hAnsi="Verdana"/>
          <w:sz w:val="18"/>
          <w:szCs w:val="20"/>
          <w:lang w:val="es-AR"/>
        </w:rPr>
        <w:t>,</w:t>
      </w:r>
      <w:r w:rsidR="002E1C85" w:rsidRPr="008D0846">
        <w:rPr>
          <w:rFonts w:ascii="Verdana" w:hAnsi="Verdana"/>
          <w:sz w:val="18"/>
          <w:szCs w:val="20"/>
          <w:lang w:val="es-AR"/>
        </w:rPr>
        <w:t xml:space="preserve"> la Secretaría de Seguridad Pública Municipal de Juárez informó que no contaba con copia íntegra de las videograbaciones de las cámaras que se encontraban en los municipios de Buenaventura y Nuevo Casas Grandes los días 29 y 30 de diciembre de 2009, dado que no competía al Centro de Emergencias y Respuesta Inmediata del Estado de Chihuahua, dependiente de dicha entidad</w:t>
      </w:r>
      <w:r w:rsidR="002E1C85" w:rsidRPr="008D0846">
        <w:rPr>
          <w:rStyle w:val="Refdenotaalpie"/>
          <w:rFonts w:ascii="Verdana" w:hAnsi="Verdana"/>
          <w:sz w:val="18"/>
          <w:szCs w:val="20"/>
          <w:lang w:val="es-AR"/>
        </w:rPr>
        <w:footnoteReference w:id="278"/>
      </w:r>
      <w:r w:rsidRPr="008D0846">
        <w:rPr>
          <w:rFonts w:ascii="Verdana" w:hAnsi="Verdana"/>
          <w:sz w:val="18"/>
          <w:szCs w:val="20"/>
          <w:lang w:val="es-AR"/>
        </w:rPr>
        <w:t>;</w:t>
      </w:r>
    </w:p>
    <w:p w14:paraId="64AA5F0F" w14:textId="6501A871" w:rsidR="002E1C85" w:rsidRPr="008D0846" w:rsidRDefault="00CE0080">
      <w:pPr>
        <w:pStyle w:val="Prrafodelista"/>
        <w:numPr>
          <w:ilvl w:val="2"/>
          <w:numId w:val="4"/>
        </w:numPr>
        <w:spacing w:before="120" w:after="120" w:line="240" w:lineRule="auto"/>
        <w:ind w:left="567"/>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26 de agosto de 2010</w:t>
      </w:r>
      <w:r w:rsidR="002E1C85" w:rsidRPr="008D0846">
        <w:rPr>
          <w:rFonts w:ascii="Verdana" w:hAnsi="Verdana"/>
          <w:sz w:val="18"/>
          <w:szCs w:val="20"/>
        </w:rPr>
        <w:t xml:space="preserve"> se recabaron los testimonios de</w:t>
      </w:r>
      <w:r w:rsidR="002E1C85" w:rsidRPr="008D0846">
        <w:rPr>
          <w:rFonts w:ascii="Verdana" w:hAnsi="Verdana"/>
          <w:sz w:val="18"/>
          <w:szCs w:val="20"/>
          <w:lang w:val="es-AR"/>
        </w:rPr>
        <w:t xml:space="preserve"> Felipe Morales Avitia y Emmanuel Peralta Robles, Agentes de Seguridad Pública y Tránsito en el Ejido Benito Juárez, quienes presenciaron el aseguramiento de la camioneta que conducía Nitza Paola Alvarado el día de su desaparición</w:t>
      </w:r>
      <w:r w:rsidR="002E1C85" w:rsidRPr="008D0846">
        <w:rPr>
          <w:rFonts w:ascii="Verdana" w:hAnsi="Verdana"/>
          <w:sz w:val="18"/>
          <w:szCs w:val="20"/>
          <w:vertAlign w:val="superscript"/>
          <w:lang w:val="es-AR"/>
        </w:rPr>
        <w:footnoteReference w:id="279"/>
      </w:r>
      <w:r w:rsidR="002E1C85" w:rsidRPr="008D0846">
        <w:rPr>
          <w:rFonts w:ascii="Verdana" w:hAnsi="Verdana"/>
          <w:sz w:val="18"/>
          <w:szCs w:val="20"/>
          <w:lang w:val="es-AR"/>
        </w:rPr>
        <w:t>.  El 25 de octubre de 2010 Aarón Enríquez Duarte, AAMP en Buenaventura, compareció ante la FEVIMTRA</w:t>
      </w:r>
      <w:r w:rsidR="002E1C85" w:rsidRPr="008D0846">
        <w:rPr>
          <w:rStyle w:val="Refdenotaalpie"/>
          <w:rFonts w:ascii="Verdana" w:hAnsi="Verdana"/>
          <w:sz w:val="18"/>
          <w:szCs w:val="20"/>
        </w:rPr>
        <w:footnoteReference w:id="280"/>
      </w:r>
      <w:r w:rsidRPr="008D0846">
        <w:rPr>
          <w:rFonts w:ascii="Verdana" w:hAnsi="Verdana"/>
          <w:sz w:val="18"/>
          <w:szCs w:val="20"/>
        </w:rPr>
        <w:t>;</w:t>
      </w:r>
    </w:p>
    <w:p w14:paraId="64AA5F11" w14:textId="5CD09F8D" w:rsidR="002E1C85" w:rsidRPr="008D0846" w:rsidRDefault="00CE0080">
      <w:pPr>
        <w:pStyle w:val="Prrafodelista"/>
        <w:numPr>
          <w:ilvl w:val="2"/>
          <w:numId w:val="4"/>
        </w:numPr>
        <w:spacing w:before="120" w:after="120" w:line="240" w:lineRule="auto"/>
        <w:ind w:left="567"/>
        <w:contextualSpacing w:val="0"/>
        <w:jc w:val="both"/>
        <w:rPr>
          <w:rFonts w:ascii="Verdana" w:hAnsi="Verdana"/>
          <w:sz w:val="18"/>
          <w:szCs w:val="20"/>
          <w:lang w:val="es-AR"/>
        </w:rPr>
      </w:pPr>
      <w:r w:rsidRPr="008D0846">
        <w:rPr>
          <w:rFonts w:ascii="Verdana" w:hAnsi="Verdana"/>
          <w:sz w:val="18"/>
          <w:szCs w:val="20"/>
          <w:lang w:val="es-AR"/>
        </w:rPr>
        <w:lastRenderedPageBreak/>
        <w:t>e</w:t>
      </w:r>
      <w:r w:rsidR="002E1C85" w:rsidRPr="008D0846">
        <w:rPr>
          <w:rFonts w:ascii="Verdana" w:hAnsi="Verdana"/>
          <w:sz w:val="18"/>
          <w:szCs w:val="20"/>
          <w:lang w:val="es-AR"/>
        </w:rPr>
        <w:t>l 4 de enero de 2011 la Policía Federal rindió ante la FEVIMTRA un informe policial de investigación en el cual señaló que en el Estado de Chihuahua operaban diversos grupos pertenecientes a la delincuencia organizada lo</w:t>
      </w:r>
      <w:r w:rsidR="008631C6" w:rsidRPr="008D0846">
        <w:rPr>
          <w:rFonts w:ascii="Verdana" w:hAnsi="Verdana"/>
          <w:sz w:val="18"/>
          <w:szCs w:val="20"/>
          <w:lang w:val="es-AR"/>
        </w:rPr>
        <w:t>s</w:t>
      </w:r>
      <w:r w:rsidR="002E1C85" w:rsidRPr="008D0846">
        <w:rPr>
          <w:rFonts w:ascii="Verdana" w:hAnsi="Verdana"/>
          <w:sz w:val="18"/>
          <w:szCs w:val="20"/>
          <w:lang w:val="es-AR"/>
        </w:rPr>
        <w:t xml:space="preserve"> cuales utilizaban “artículos” parecidos a los empleados por las Fuerzas Armadas y otras corporaciones policiacas y que los vehículos empleados en la detención de las tres personas desaparecidas descritos por los familiares son usualmente utilizados por las organizaciones criminales. Por tanto, dicho informe concluyó que “e[ra] altamente probable [que las tres personas desaparecidas] h[ubiera]n sido víctimas de miembros de la delincuencia organizada”</w:t>
      </w:r>
      <w:r w:rsidR="002E1C85" w:rsidRPr="008D0846">
        <w:rPr>
          <w:rStyle w:val="Refdenotaalpie"/>
          <w:rFonts w:ascii="Verdana" w:hAnsi="Verdana"/>
          <w:sz w:val="18"/>
          <w:szCs w:val="20"/>
          <w:lang w:val="es-AR"/>
        </w:rPr>
        <w:footnoteReference w:id="281"/>
      </w:r>
      <w:r w:rsidRPr="008D0846">
        <w:rPr>
          <w:rFonts w:ascii="Verdana" w:hAnsi="Verdana"/>
          <w:sz w:val="18"/>
          <w:szCs w:val="20"/>
          <w:lang w:val="es-AR"/>
        </w:rPr>
        <w:t>;</w:t>
      </w:r>
    </w:p>
    <w:p w14:paraId="64AA5F12" w14:textId="3D054E5E" w:rsidR="002E1C85" w:rsidRPr="008D0846" w:rsidRDefault="00CE0080">
      <w:pPr>
        <w:pStyle w:val="Prrafodelista"/>
        <w:numPr>
          <w:ilvl w:val="2"/>
          <w:numId w:val="4"/>
        </w:numPr>
        <w:spacing w:before="120" w:after="120" w:line="240" w:lineRule="auto"/>
        <w:ind w:left="567"/>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rPr>
        <w:t xml:space="preserve">l 13 de junio de 2011 </w:t>
      </w:r>
      <w:r w:rsidR="002E1C85" w:rsidRPr="008D0846">
        <w:rPr>
          <w:rFonts w:ascii="Verdana" w:hAnsi="Verdana"/>
          <w:sz w:val="18"/>
          <w:szCs w:val="20"/>
          <w:lang w:val="es-AR"/>
        </w:rPr>
        <w:t xml:space="preserve">se giraron oficios </w:t>
      </w:r>
      <w:r w:rsidR="00183A31" w:rsidRPr="008D0846">
        <w:rPr>
          <w:rFonts w:ascii="Verdana" w:hAnsi="Verdana"/>
          <w:sz w:val="18"/>
          <w:szCs w:val="20"/>
          <w:lang w:val="es-AR"/>
        </w:rPr>
        <w:t xml:space="preserve">a </w:t>
      </w:r>
      <w:r w:rsidR="002E1C85" w:rsidRPr="008D0846">
        <w:rPr>
          <w:rFonts w:ascii="Verdana" w:hAnsi="Verdana"/>
          <w:sz w:val="18"/>
          <w:szCs w:val="20"/>
          <w:lang w:val="es-AR"/>
        </w:rPr>
        <w:t>los titulares de Servicios Periciales de las 32 entidades federativas a efecto de que informaran sobre la existencia de registros de necropsias, levantamientos de cadáveres o inhumaciones en fosa común de cuerpos no identificados que pudieran corresponder a las tres personas desaparecidas, recibiéndose respuesta negativa en todos los casos</w:t>
      </w:r>
      <w:r w:rsidR="002E1C85" w:rsidRPr="008D0846">
        <w:rPr>
          <w:rStyle w:val="Refdenotaalpie"/>
          <w:rFonts w:ascii="Verdana" w:hAnsi="Verdana"/>
          <w:sz w:val="18"/>
          <w:szCs w:val="20"/>
          <w:lang w:val="es-AR"/>
        </w:rPr>
        <w:footnoteReference w:id="282"/>
      </w:r>
      <w:r w:rsidRPr="008D0846">
        <w:rPr>
          <w:rFonts w:ascii="Verdana" w:hAnsi="Verdana"/>
          <w:sz w:val="18"/>
          <w:szCs w:val="20"/>
          <w:lang w:val="es-AR"/>
        </w:rPr>
        <w:t>;</w:t>
      </w:r>
    </w:p>
    <w:p w14:paraId="64AA5F15" w14:textId="44660558" w:rsidR="002E1C85" w:rsidRPr="008D0846" w:rsidRDefault="00CE0080">
      <w:pPr>
        <w:pStyle w:val="Prrafodelista"/>
        <w:widowControl w:val="0"/>
        <w:numPr>
          <w:ilvl w:val="2"/>
          <w:numId w:val="4"/>
        </w:numPr>
        <w:tabs>
          <w:tab w:val="left" w:pos="567"/>
        </w:tabs>
        <w:adjustRightInd w:val="0"/>
        <w:spacing w:before="120" w:after="120" w:line="240" w:lineRule="auto"/>
        <w:ind w:left="567"/>
        <w:contextualSpacing w:val="0"/>
        <w:jc w:val="both"/>
        <w:textAlignment w:val="baseline"/>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9 de agosto de 2011 la AMPF de la FEVIMTRA</w:t>
      </w:r>
      <w:r w:rsidR="00897D06" w:rsidRPr="008D0846">
        <w:rPr>
          <w:rFonts w:ascii="Verdana" w:hAnsi="Verdana"/>
          <w:sz w:val="18"/>
          <w:szCs w:val="20"/>
          <w:lang w:val="es-AR"/>
        </w:rPr>
        <w:t>-PGR</w:t>
      </w:r>
      <w:r w:rsidR="002E1C85" w:rsidRPr="008D0846">
        <w:rPr>
          <w:rFonts w:ascii="Verdana" w:hAnsi="Verdana"/>
          <w:sz w:val="18"/>
          <w:szCs w:val="20"/>
          <w:lang w:val="es-AR"/>
        </w:rPr>
        <w:t xml:space="preserve"> en compañía de personal de la PGR – Chihuahua, de la AFI</w:t>
      </w:r>
      <w:r w:rsidR="002E1C85" w:rsidRPr="008D0846">
        <w:rPr>
          <w:rFonts w:ascii="Verdana" w:hAnsi="Verdana"/>
          <w:sz w:val="18"/>
          <w:szCs w:val="20"/>
          <w:lang w:val="es-AR"/>
        </w:rPr>
        <w:tab/>
        <w:t xml:space="preserve"> y de autoridades ministeriales del Estado de Chihuahua realizó una inspección ministerial en un “tiro de mina” ubicado en los alrededores del Ejido Benito Juárez</w:t>
      </w:r>
      <w:r w:rsidR="002E1C85" w:rsidRPr="008D0846">
        <w:rPr>
          <w:rStyle w:val="Refdenotaalpie"/>
          <w:rFonts w:ascii="Verdana" w:hAnsi="Verdana"/>
          <w:sz w:val="18"/>
          <w:szCs w:val="20"/>
          <w:lang w:val="es-AR"/>
        </w:rPr>
        <w:footnoteReference w:id="283"/>
      </w:r>
      <w:r w:rsidR="002E1C85" w:rsidRPr="008D0846">
        <w:rPr>
          <w:rFonts w:ascii="Verdana" w:hAnsi="Verdana"/>
          <w:sz w:val="18"/>
          <w:szCs w:val="20"/>
          <w:lang w:val="es-AR"/>
        </w:rPr>
        <w:t>. En dicha diligencia fueron localizados restos humanos, los cuales fueron trasladados al Servicio Médico Forense de Chihuahua para su resguardo. Tras una serie de análisis se determinó que se trataba de cuatro personas del sexo masculino y que ninguno de dichos restos correspondía a las tres personas desaparecidas</w:t>
      </w:r>
      <w:r w:rsidR="002E1C85" w:rsidRPr="008D0846">
        <w:rPr>
          <w:rStyle w:val="Refdenotaalpie"/>
          <w:rFonts w:ascii="Verdana" w:hAnsi="Verdana"/>
          <w:sz w:val="18"/>
          <w:szCs w:val="20"/>
          <w:lang w:val="es-AR"/>
        </w:rPr>
        <w:footnoteReference w:id="284"/>
      </w:r>
      <w:r w:rsidRPr="008D0846">
        <w:rPr>
          <w:rFonts w:ascii="Verdana" w:hAnsi="Verdana"/>
          <w:sz w:val="18"/>
          <w:szCs w:val="20"/>
          <w:lang w:val="es-AR"/>
        </w:rPr>
        <w:t>, y</w:t>
      </w:r>
    </w:p>
    <w:p w14:paraId="64AA5F17" w14:textId="3B93767D" w:rsidR="002E1C85" w:rsidRPr="008D0846" w:rsidRDefault="00CE0080">
      <w:pPr>
        <w:pStyle w:val="Prrafodelista"/>
        <w:numPr>
          <w:ilvl w:val="2"/>
          <w:numId w:val="4"/>
        </w:numPr>
        <w:spacing w:before="120" w:after="120" w:line="240" w:lineRule="auto"/>
        <w:ind w:left="567"/>
        <w:contextualSpacing w:val="0"/>
        <w:jc w:val="both"/>
        <w:rPr>
          <w:rFonts w:ascii="Verdana" w:hAnsi="Verdana"/>
          <w:sz w:val="18"/>
          <w:szCs w:val="20"/>
          <w:lang w:val="es-AR"/>
        </w:rPr>
      </w:pPr>
      <w:r w:rsidRPr="008D0846">
        <w:rPr>
          <w:rFonts w:ascii="Verdana" w:hAnsi="Verdana"/>
          <w:sz w:val="18"/>
          <w:szCs w:val="20"/>
          <w:lang w:val="es-AR"/>
        </w:rPr>
        <w:t>e</w:t>
      </w:r>
      <w:r w:rsidR="002E1C85" w:rsidRPr="008D0846">
        <w:rPr>
          <w:rFonts w:ascii="Verdana" w:hAnsi="Verdana"/>
          <w:sz w:val="18"/>
          <w:szCs w:val="20"/>
          <w:lang w:val="es-AR"/>
        </w:rPr>
        <w:t>l 8 de septiembre de 2011 la CNDH formuló ante la PGR denuncia de hechos en contra del personal de la SEDENA y de la SSP por los delitos de desaparición forzada de personas y abuso de autoridad en cumplimiento de la Recomendación 43/2011 emitida el 13 de junio de 2011. Dicha denuncia fue agregada al expediente por estar relacionada con la investigación llevada a cabo por la FEVIMTRA</w:t>
      </w:r>
      <w:r w:rsidR="002E1C85" w:rsidRPr="008D0846">
        <w:rPr>
          <w:rStyle w:val="Refdenotaalpie"/>
          <w:rFonts w:ascii="Verdana" w:hAnsi="Verdana"/>
          <w:sz w:val="18"/>
          <w:szCs w:val="20"/>
          <w:lang w:val="es-AR"/>
        </w:rPr>
        <w:footnoteReference w:id="285"/>
      </w:r>
      <w:r w:rsidR="002E1C85" w:rsidRPr="008D0846">
        <w:rPr>
          <w:rFonts w:ascii="Verdana" w:hAnsi="Verdana"/>
          <w:sz w:val="18"/>
          <w:szCs w:val="20"/>
          <w:lang w:val="es-AR"/>
        </w:rPr>
        <w:t xml:space="preserve">. </w:t>
      </w:r>
    </w:p>
    <w:p w14:paraId="64AA5F19" w14:textId="51E9EE92"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744CE4">
        <w:rPr>
          <w:rFonts w:ascii="Verdana" w:hAnsi="Verdana"/>
          <w:sz w:val="20"/>
          <w:szCs w:val="20"/>
          <w:lang w:val="es-AR"/>
        </w:rPr>
        <w:t>El 30 de septiembre de 2011 la FEVIMTRA–PGR acordó declinar su competencia en favor del Subprocurador de Control Regional, Procedimientos Penales y Amparo de la PGR - Chihuahua para c</w:t>
      </w:r>
      <w:r w:rsidRPr="00432ABC">
        <w:rPr>
          <w:rFonts w:ascii="Verdana" w:hAnsi="Verdana"/>
          <w:sz w:val="20"/>
          <w:szCs w:val="20"/>
          <w:lang w:val="es-AR"/>
        </w:rPr>
        <w:t>onocer del caso en vista de la denuncia presentada por la CNDH y al considerar que la naturaleza de los hechos investigados relacionados con la desaparición de las tres personas “no refleja[ron] hechos de violencia en contra de una mujer o una niña basado en su género”</w:t>
      </w:r>
      <w:r w:rsidRPr="00744CE4">
        <w:rPr>
          <w:rStyle w:val="Refdenotaalpie"/>
          <w:rFonts w:ascii="Verdana" w:hAnsi="Verdana"/>
          <w:sz w:val="20"/>
          <w:szCs w:val="20"/>
          <w:lang w:val="es-AR"/>
        </w:rPr>
        <w:footnoteReference w:id="286"/>
      </w:r>
      <w:r w:rsidRPr="00744CE4">
        <w:rPr>
          <w:rFonts w:ascii="Verdana" w:hAnsi="Verdana"/>
          <w:sz w:val="20"/>
          <w:szCs w:val="20"/>
          <w:lang w:val="es-AR"/>
        </w:rPr>
        <w:t xml:space="preserve">. </w:t>
      </w:r>
    </w:p>
    <w:p w14:paraId="64AA5F1B" w14:textId="3CA6EC7C" w:rsidR="002E1C85" w:rsidRPr="002C462C"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lang w:val="es-AR"/>
        </w:rPr>
      </w:pPr>
      <w:r w:rsidRPr="00432ABC">
        <w:rPr>
          <w:rFonts w:ascii="Verdana" w:hAnsi="Verdana"/>
          <w:sz w:val="20"/>
          <w:szCs w:val="20"/>
          <w:lang w:val="es-AR"/>
        </w:rPr>
        <w:t>En el acuerdo de declinatoria, la FEVIMTRA</w:t>
      </w:r>
      <w:r w:rsidR="00897D06">
        <w:rPr>
          <w:rFonts w:ascii="Verdana" w:hAnsi="Verdana"/>
          <w:sz w:val="20"/>
          <w:szCs w:val="20"/>
          <w:lang w:val="es-AR"/>
        </w:rPr>
        <w:t>-PGR</w:t>
      </w:r>
      <w:r w:rsidRPr="00432ABC">
        <w:rPr>
          <w:rFonts w:ascii="Verdana" w:hAnsi="Verdana"/>
          <w:sz w:val="20"/>
          <w:szCs w:val="20"/>
          <w:lang w:val="es-AR"/>
        </w:rPr>
        <w:t xml:space="preserve"> destacó el establecimiento de tres líneas de </w:t>
      </w:r>
      <w:r w:rsidRPr="00432ABC">
        <w:rPr>
          <w:rFonts w:ascii="Verdana" w:hAnsi="Verdana"/>
          <w:sz w:val="20"/>
          <w:szCs w:val="20"/>
          <w:lang w:val="es-AR"/>
        </w:rPr>
        <w:lastRenderedPageBreak/>
        <w:t xml:space="preserve">investigación, a saber: </w:t>
      </w:r>
      <w:r w:rsidRPr="00432ABC">
        <w:rPr>
          <w:rFonts w:ascii="Verdana" w:hAnsi="Verdana"/>
          <w:sz w:val="20"/>
          <w:szCs w:val="20"/>
        </w:rPr>
        <w:t>1. La probable injerencia del Ejército mexicano en la desaparición de las tres víctimas; 2. El rastro de la llamada telefónica supuestamente realizada por Nitza Paola Alvarado el 3 de febrero de 2010, y 3. La probable participación de la delincuencia organizada en los hechos.</w:t>
      </w:r>
      <w:r w:rsidRPr="002C462C">
        <w:rPr>
          <w:rFonts w:ascii="Verdana" w:hAnsi="Verdana"/>
          <w:sz w:val="20"/>
          <w:szCs w:val="20"/>
          <w:lang w:val="es-AR"/>
        </w:rPr>
        <w:t xml:space="preserve"> Asimismo, resaltó:</w:t>
      </w:r>
    </w:p>
    <w:p w14:paraId="64AA5F1D" w14:textId="34895896" w:rsidR="002E1C85" w:rsidRPr="00744CE4" w:rsidRDefault="002E1C85">
      <w:pPr>
        <w:pStyle w:val="Prrafodelista"/>
        <w:autoSpaceDE w:val="0"/>
        <w:autoSpaceDN w:val="0"/>
        <w:adjustRightInd w:val="0"/>
        <w:spacing w:before="120" w:after="120" w:line="240" w:lineRule="auto"/>
        <w:ind w:left="567"/>
        <w:contextualSpacing w:val="0"/>
        <w:jc w:val="both"/>
        <w:rPr>
          <w:rFonts w:ascii="Verdana" w:hAnsi="Verdana"/>
          <w:sz w:val="18"/>
          <w:szCs w:val="20"/>
          <w:highlight w:val="yellow"/>
          <w:lang w:val="es-AR"/>
        </w:rPr>
      </w:pPr>
      <w:r w:rsidRPr="002C462C">
        <w:rPr>
          <w:rFonts w:ascii="Verdana" w:hAnsi="Verdana"/>
          <w:sz w:val="18"/>
          <w:szCs w:val="20"/>
          <w:lang w:val="es-AR"/>
        </w:rPr>
        <w:t>“[…] el hermetismo permanente del Ejército Mexicano para colaborar con la FEVIMTRA en el</w:t>
      </w:r>
      <w:r w:rsidRPr="00744CE4">
        <w:rPr>
          <w:rFonts w:ascii="Verdana" w:hAnsi="Verdana"/>
          <w:sz w:val="18"/>
          <w:szCs w:val="20"/>
          <w:lang w:val="es-AR"/>
        </w:rPr>
        <w:t xml:space="preserve"> esclarecimiento de </w:t>
      </w:r>
      <w:r w:rsidR="00E93E9D" w:rsidRPr="00744CE4">
        <w:rPr>
          <w:rFonts w:ascii="Verdana" w:hAnsi="Verdana"/>
          <w:sz w:val="18"/>
          <w:szCs w:val="20"/>
          <w:lang w:val="es-AR"/>
        </w:rPr>
        <w:t>[</w:t>
      </w:r>
      <w:r w:rsidRPr="00744CE4">
        <w:rPr>
          <w:rFonts w:ascii="Verdana" w:hAnsi="Verdana"/>
          <w:sz w:val="18"/>
          <w:szCs w:val="20"/>
          <w:lang w:val="es-AR"/>
        </w:rPr>
        <w:t>los</w:t>
      </w:r>
      <w:r w:rsidR="00E93E9D" w:rsidRPr="00744CE4">
        <w:rPr>
          <w:rFonts w:ascii="Verdana" w:hAnsi="Verdana"/>
          <w:sz w:val="18"/>
          <w:szCs w:val="20"/>
          <w:lang w:val="es-AR"/>
        </w:rPr>
        <w:t>]</w:t>
      </w:r>
      <w:r w:rsidRPr="00744CE4">
        <w:rPr>
          <w:rFonts w:ascii="Verdana" w:hAnsi="Verdana"/>
          <w:sz w:val="18"/>
          <w:szCs w:val="20"/>
          <w:lang w:val="es-AR"/>
        </w:rPr>
        <w:t xml:space="preserve"> hechos [como] un factor que de alguna manera restringió el horizonte de posibilidades en el seguimiento de las investigaciones hacia ese [f]uero” y la falta de indicios que revelaran la participación de miembros de la delincuencia organizada en los hechos “pues no puede estigmatizarse [a] la población del Municipio de Buenaventura por el solo hecho de ser parte del Estado de Chihuahua, zona de alto riesgo por el alto índice delincuencial”</w:t>
      </w:r>
      <w:r w:rsidRPr="00744CE4">
        <w:rPr>
          <w:rStyle w:val="Refdenotaalpie"/>
          <w:rFonts w:ascii="Verdana" w:hAnsi="Verdana"/>
          <w:sz w:val="18"/>
          <w:szCs w:val="20"/>
          <w:lang w:val="es-AR"/>
        </w:rPr>
        <w:footnoteReference w:id="287"/>
      </w:r>
      <w:r w:rsidRPr="00744CE4">
        <w:rPr>
          <w:rFonts w:ascii="Verdana" w:hAnsi="Verdana"/>
          <w:sz w:val="18"/>
          <w:szCs w:val="20"/>
          <w:lang w:val="es-AR"/>
        </w:rPr>
        <w:t xml:space="preserve">. </w:t>
      </w:r>
    </w:p>
    <w:p w14:paraId="64AA5F1F" w14:textId="2E4F286D" w:rsidR="002E1C85" w:rsidRPr="00432ABC" w:rsidRDefault="004562AE">
      <w:pPr>
        <w:autoSpaceDE w:val="0"/>
        <w:autoSpaceDN w:val="0"/>
        <w:adjustRightInd w:val="0"/>
        <w:spacing w:before="120" w:after="120" w:line="240" w:lineRule="auto"/>
        <w:ind w:left="567"/>
        <w:jc w:val="both"/>
        <w:rPr>
          <w:rFonts w:ascii="Verdana" w:hAnsi="Verdana"/>
          <w:sz w:val="18"/>
          <w:szCs w:val="20"/>
          <w:lang w:val="es-AR"/>
        </w:rPr>
      </w:pPr>
      <w:r w:rsidRPr="00432ABC">
        <w:rPr>
          <w:rFonts w:ascii="Verdana" w:hAnsi="Verdana"/>
          <w:sz w:val="18"/>
          <w:szCs w:val="20"/>
          <w:lang w:val="es-AR"/>
        </w:rPr>
        <w:t>[…]</w:t>
      </w:r>
    </w:p>
    <w:p w14:paraId="64AA5F21" w14:textId="43FF0BB5" w:rsidR="002E1C85" w:rsidRPr="00744CE4" w:rsidRDefault="002E1C85">
      <w:pPr>
        <w:autoSpaceDE w:val="0"/>
        <w:autoSpaceDN w:val="0"/>
        <w:adjustRightInd w:val="0"/>
        <w:spacing w:before="120" w:after="120" w:line="240" w:lineRule="auto"/>
        <w:ind w:left="567"/>
        <w:jc w:val="both"/>
        <w:rPr>
          <w:rFonts w:ascii="Verdana" w:hAnsi="Verdana"/>
          <w:sz w:val="18"/>
          <w:szCs w:val="20"/>
          <w:lang w:val="es-AR"/>
        </w:rPr>
      </w:pPr>
      <w:r w:rsidRPr="00432ABC">
        <w:rPr>
          <w:rFonts w:ascii="Verdana" w:hAnsi="Verdana"/>
          <w:sz w:val="18"/>
          <w:szCs w:val="20"/>
          <w:lang w:val="es-AR"/>
        </w:rPr>
        <w:t>Tampoco se descarta la participación del Ejército Mexicano en los [hechos], pues existe un señalamiento directo en su contra por Obdulia Espinoza Beltrán y Patricia Reyes Rueda, testigos presenciales de los mismos, y la apatía en la colaboración sobre la investigación que han mostrado las aut</w:t>
      </w:r>
      <w:r w:rsidRPr="002C462C">
        <w:rPr>
          <w:rFonts w:ascii="Verdana" w:hAnsi="Verdana"/>
          <w:sz w:val="18"/>
          <w:szCs w:val="20"/>
          <w:lang w:val="es-AR"/>
        </w:rPr>
        <w:t>oridades militares para con la FEVIMTRA, si bien no delata su probable participación, tampoco abona credibilidad a las pocas actuaciones ministeriales que de ellos se conocen […]</w:t>
      </w:r>
      <w:r w:rsidRPr="00744CE4">
        <w:rPr>
          <w:rStyle w:val="Refdenotaalpie"/>
          <w:rFonts w:ascii="Verdana" w:hAnsi="Verdana"/>
          <w:sz w:val="18"/>
          <w:szCs w:val="20"/>
          <w:lang w:val="es-AR"/>
        </w:rPr>
        <w:footnoteReference w:id="288"/>
      </w:r>
      <w:r w:rsidRPr="00744CE4">
        <w:rPr>
          <w:rFonts w:ascii="Verdana" w:hAnsi="Verdana"/>
          <w:sz w:val="18"/>
          <w:szCs w:val="20"/>
          <w:lang w:val="es-AR"/>
        </w:rPr>
        <w:t xml:space="preserve">. </w:t>
      </w:r>
    </w:p>
    <w:p w14:paraId="64AA5F23" w14:textId="5CDE2285" w:rsidR="002E1C85" w:rsidRPr="00432ABC" w:rsidRDefault="00A10160">
      <w:pPr>
        <w:pStyle w:val="Prrafodelista"/>
        <w:widowControl w:val="0"/>
        <w:numPr>
          <w:ilvl w:val="0"/>
          <w:numId w:val="45"/>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rPr>
      </w:pPr>
      <w:bookmarkStart w:id="148" w:name="_Toc526783773"/>
      <w:r>
        <w:rPr>
          <w:rFonts w:ascii="Verdana" w:hAnsi="Verdana"/>
          <w:i/>
          <w:sz w:val="20"/>
          <w:szCs w:val="20"/>
        </w:rPr>
        <w:t xml:space="preserve"> </w:t>
      </w:r>
      <w:bookmarkStart w:id="149" w:name="_Toc532995345"/>
      <w:r w:rsidR="002E1C85" w:rsidRPr="00432ABC">
        <w:rPr>
          <w:rFonts w:ascii="Verdana" w:hAnsi="Verdana"/>
          <w:i/>
          <w:sz w:val="20"/>
          <w:szCs w:val="20"/>
        </w:rPr>
        <w:t>Subprocuraduría de Control Regional Procedimientos Penales y Amparo</w:t>
      </w:r>
      <w:r w:rsidR="00F50ACE" w:rsidRPr="00432ABC">
        <w:rPr>
          <w:rFonts w:ascii="Verdana" w:hAnsi="Verdana"/>
          <w:i/>
          <w:sz w:val="20"/>
          <w:szCs w:val="20"/>
        </w:rPr>
        <w:t xml:space="preserve"> </w:t>
      </w:r>
      <w:r w:rsidR="002E1C85" w:rsidRPr="00432ABC">
        <w:rPr>
          <w:rFonts w:ascii="Verdana" w:hAnsi="Verdana"/>
          <w:i/>
          <w:sz w:val="20"/>
          <w:szCs w:val="20"/>
        </w:rPr>
        <w:t>en Ciudad Juárez, PGR – Chihuahua</w:t>
      </w:r>
      <w:bookmarkEnd w:id="148"/>
      <w:bookmarkEnd w:id="149"/>
    </w:p>
    <w:p w14:paraId="64AA5F25" w14:textId="764D3580" w:rsidR="002E1C85" w:rsidRPr="00432ABC"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lang w:val="es-AR"/>
        </w:rPr>
      </w:pPr>
      <w:r w:rsidRPr="002C462C">
        <w:rPr>
          <w:rFonts w:ascii="Verdana" w:hAnsi="Verdana" w:cs="Cambria"/>
          <w:sz w:val="20"/>
          <w:szCs w:val="20"/>
        </w:rPr>
        <w:t xml:space="preserve">En el marco de la averiguación previa </w:t>
      </w:r>
      <w:r w:rsidRPr="002C462C">
        <w:rPr>
          <w:rFonts w:ascii="Verdana" w:hAnsi="Verdana" w:cs="Cambria"/>
          <w:sz w:val="20"/>
          <w:szCs w:val="20"/>
          <w:lang w:val="es-AR"/>
        </w:rPr>
        <w:t xml:space="preserve">AP/PGR/CHIH/JUA/467/2012-XI-A </w:t>
      </w:r>
      <w:r w:rsidRPr="00744CE4">
        <w:rPr>
          <w:rFonts w:ascii="Verdana" w:hAnsi="Verdana" w:cs="Cambria"/>
          <w:sz w:val="20"/>
          <w:szCs w:val="20"/>
        </w:rPr>
        <w:t>(o “467/2012”)</w:t>
      </w:r>
      <w:r w:rsidRPr="00744CE4">
        <w:rPr>
          <w:rFonts w:ascii="Verdana" w:hAnsi="Verdana" w:cs="Cambria"/>
          <w:sz w:val="20"/>
          <w:szCs w:val="20"/>
          <w:lang w:val="es-AR"/>
        </w:rPr>
        <w:t xml:space="preserve"> iniciada el 13 de febrero de 2012 por el Agente del Ministerio Público de la Federación adscrito a la Quinta Mesa Investigadora en Ciudad Juárez [5ªAMPF - PGR] por los delitos de privación ilegal de la libertad, abuso de autoridad y/o lo que resulte</w:t>
      </w:r>
      <w:r w:rsidRPr="00744CE4">
        <w:rPr>
          <w:rFonts w:ascii="Verdana" w:hAnsi="Verdana" w:cs="Cambria"/>
          <w:sz w:val="20"/>
          <w:szCs w:val="20"/>
          <w:vertAlign w:val="superscript"/>
          <w:lang w:val="es-AR"/>
        </w:rPr>
        <w:footnoteReference w:id="289"/>
      </w:r>
      <w:r w:rsidRPr="00744CE4">
        <w:rPr>
          <w:rFonts w:ascii="Verdana" w:hAnsi="Verdana" w:cs="Cambria"/>
          <w:sz w:val="20"/>
          <w:szCs w:val="20"/>
          <w:lang w:val="es-AR"/>
        </w:rPr>
        <w:t xml:space="preserve">, </w:t>
      </w:r>
      <w:r w:rsidRPr="00744CE4">
        <w:rPr>
          <w:rFonts w:ascii="Verdana" w:hAnsi="Verdana" w:cs="Cambria"/>
          <w:sz w:val="20"/>
          <w:szCs w:val="20"/>
        </w:rPr>
        <w:t xml:space="preserve">se realizaron las siguientes diligencias:  </w:t>
      </w:r>
    </w:p>
    <w:p w14:paraId="64AA5F27" w14:textId="1672420A" w:rsidR="002E1C85" w:rsidRPr="008D0846" w:rsidRDefault="00B4529B">
      <w:pPr>
        <w:pStyle w:val="Prrafodelista"/>
        <w:widowControl w:val="0"/>
        <w:numPr>
          <w:ilvl w:val="2"/>
          <w:numId w:val="4"/>
        </w:numPr>
        <w:tabs>
          <w:tab w:val="left" w:pos="567"/>
        </w:tabs>
        <w:adjustRightInd w:val="0"/>
        <w:spacing w:before="120" w:after="120" w:line="240" w:lineRule="auto"/>
        <w:ind w:left="567"/>
        <w:contextualSpacing w:val="0"/>
        <w:jc w:val="both"/>
        <w:textAlignment w:val="baseline"/>
        <w:rPr>
          <w:rFonts w:ascii="Verdana" w:hAnsi="Verdana" w:cs="Cambria"/>
          <w:sz w:val="18"/>
          <w:szCs w:val="20"/>
        </w:rPr>
      </w:pPr>
      <w:r w:rsidRPr="008D0846">
        <w:rPr>
          <w:rFonts w:ascii="Verdana" w:hAnsi="Verdana" w:cs="Cambria"/>
          <w:sz w:val="18"/>
          <w:szCs w:val="20"/>
          <w:lang w:val="es-AR"/>
        </w:rPr>
        <w:t>s</w:t>
      </w:r>
      <w:r w:rsidR="002E1C85" w:rsidRPr="008D0846">
        <w:rPr>
          <w:rFonts w:ascii="Verdana" w:hAnsi="Verdana" w:cs="Cambria"/>
          <w:sz w:val="18"/>
          <w:szCs w:val="20"/>
        </w:rPr>
        <w:t>e recabaron diversas declaraciones testimoniales de familiares de los desaparecidos y de elementos castrenses</w:t>
      </w:r>
      <w:r w:rsidR="002E1C85" w:rsidRPr="008D0846">
        <w:rPr>
          <w:rFonts w:ascii="Verdana" w:hAnsi="Verdana"/>
          <w:sz w:val="18"/>
          <w:szCs w:val="20"/>
          <w:vertAlign w:val="superscript"/>
        </w:rPr>
        <w:footnoteReference w:id="290"/>
      </w:r>
      <w:r w:rsidR="002E1C85" w:rsidRPr="008D0846">
        <w:rPr>
          <w:rFonts w:ascii="Verdana" w:hAnsi="Verdana" w:cs="Cambria"/>
          <w:sz w:val="18"/>
          <w:szCs w:val="20"/>
        </w:rPr>
        <w:t xml:space="preserve">. Entre las anteriores, se encuentra la declaración vertida el 13 de junio de 2013 por el Coronel Élfego José Luján Ruiz, Comandante del 35 Batallón al momento de los hechos, quien negó su participación y la de su unidad en las 3 desapariciones, señalando además que: ni el </w:t>
      </w:r>
      <w:r w:rsidR="00183A31" w:rsidRPr="008D0846">
        <w:rPr>
          <w:rFonts w:ascii="Verdana" w:hAnsi="Verdana" w:cs="Cambria"/>
          <w:sz w:val="18"/>
          <w:szCs w:val="20"/>
        </w:rPr>
        <w:t>M</w:t>
      </w:r>
      <w:r w:rsidR="002E1C85" w:rsidRPr="008D0846">
        <w:rPr>
          <w:rFonts w:ascii="Verdana" w:hAnsi="Verdana" w:cs="Cambria"/>
          <w:sz w:val="18"/>
          <w:szCs w:val="20"/>
        </w:rPr>
        <w:t xml:space="preserve">unicipio de Buenaventura ni el Ejido Benito Juárez se encontraban bajo su jurisdicción; que el 35 Batallón llevaba a cabo patrullajes en dicha zona cuando así se lo ordenaba su superior, el Comandante de la </w:t>
      </w:r>
      <w:r w:rsidR="002E1C85" w:rsidRPr="008D0846">
        <w:rPr>
          <w:rFonts w:ascii="Verdana" w:hAnsi="Verdana"/>
          <w:sz w:val="18"/>
          <w:szCs w:val="20"/>
        </w:rPr>
        <w:t>5ªZM</w:t>
      </w:r>
      <w:r w:rsidR="002E1C85" w:rsidRPr="008D0846">
        <w:rPr>
          <w:rFonts w:ascii="Verdana" w:hAnsi="Verdana" w:cs="Cambria"/>
          <w:sz w:val="18"/>
          <w:szCs w:val="20"/>
        </w:rPr>
        <w:t xml:space="preserve">; que uno de sus subalternos le informó sobre las desapariciones vía telefónica; que se elaboró una tarjeta informativa al respecto y, finalmente, que no se realizaron operaciones de búsqueda de los </w:t>
      </w:r>
      <w:r w:rsidR="002E1C85" w:rsidRPr="008D0846">
        <w:rPr>
          <w:rFonts w:ascii="Verdana" w:hAnsi="Verdana" w:cs="Cambria"/>
          <w:sz w:val="18"/>
          <w:szCs w:val="20"/>
        </w:rPr>
        <w:lastRenderedPageBreak/>
        <w:t>desaparecidos por no haber sido ordenado por sus superiores</w:t>
      </w:r>
      <w:r w:rsidR="002E1C85" w:rsidRPr="008D0846">
        <w:rPr>
          <w:rFonts w:ascii="Verdana" w:hAnsi="Verdana"/>
          <w:sz w:val="18"/>
          <w:szCs w:val="20"/>
          <w:vertAlign w:val="superscript"/>
        </w:rPr>
        <w:footnoteReference w:id="291"/>
      </w:r>
      <w:r w:rsidR="00CE0080" w:rsidRPr="008D0846">
        <w:rPr>
          <w:rFonts w:ascii="Verdana" w:hAnsi="Verdana" w:cs="Cambria"/>
          <w:sz w:val="18"/>
          <w:szCs w:val="20"/>
        </w:rPr>
        <w:t>, y</w:t>
      </w:r>
      <w:r w:rsidR="002E1C85" w:rsidRPr="008D0846">
        <w:rPr>
          <w:rFonts w:ascii="Verdana" w:hAnsi="Verdana" w:cs="Cambria"/>
          <w:sz w:val="18"/>
          <w:szCs w:val="20"/>
        </w:rPr>
        <w:t xml:space="preserve"> </w:t>
      </w:r>
    </w:p>
    <w:p w14:paraId="64AA5F29" w14:textId="77B964E3" w:rsidR="002E1C85" w:rsidRPr="008D0846" w:rsidRDefault="00CE0080">
      <w:pPr>
        <w:pStyle w:val="Prrafodelista"/>
        <w:widowControl w:val="0"/>
        <w:numPr>
          <w:ilvl w:val="2"/>
          <w:numId w:val="4"/>
        </w:numPr>
        <w:tabs>
          <w:tab w:val="left" w:pos="567"/>
        </w:tabs>
        <w:adjustRightInd w:val="0"/>
        <w:spacing w:before="120" w:after="120" w:line="240" w:lineRule="auto"/>
        <w:ind w:left="567"/>
        <w:contextualSpacing w:val="0"/>
        <w:jc w:val="both"/>
        <w:textAlignment w:val="baseline"/>
        <w:rPr>
          <w:rFonts w:ascii="Verdana" w:hAnsi="Verdana" w:cs="Cambria"/>
          <w:sz w:val="18"/>
          <w:szCs w:val="20"/>
        </w:rPr>
      </w:pPr>
      <w:r w:rsidRPr="008D0846">
        <w:rPr>
          <w:rFonts w:ascii="Verdana" w:hAnsi="Verdana" w:cs="Cambria"/>
          <w:sz w:val="18"/>
          <w:szCs w:val="20"/>
        </w:rPr>
        <w:t>e</w:t>
      </w:r>
      <w:r w:rsidR="002E1C85" w:rsidRPr="008D0846">
        <w:rPr>
          <w:rFonts w:ascii="Verdana" w:hAnsi="Verdana" w:cs="Cambria"/>
          <w:sz w:val="18"/>
          <w:szCs w:val="20"/>
        </w:rPr>
        <w:t>l 18 de junio de 2013 rindió su declaración el General Jens Pedro Lohmann Iturburu, Comandante de la Guarnición Militar de Palomas, Chihuahua, quien señaló, entre otras cosas, que su superior (el Comandante de la XI Región Militar) le ordenó llevar a cabo la investigación sobre los hechos del 29 de diciembre de 2009, dando inicio a la misma el 9 de enero de 2010 (</w:t>
      </w:r>
      <w:r w:rsidR="002E1C85" w:rsidRPr="008D0846">
        <w:rPr>
          <w:rFonts w:ascii="Verdana" w:hAnsi="Verdana" w:cs="Cambria"/>
          <w:i/>
          <w:sz w:val="18"/>
          <w:szCs w:val="20"/>
        </w:rPr>
        <w:t>supra</w:t>
      </w:r>
      <w:r w:rsidR="002E1C85" w:rsidRPr="008D0846">
        <w:rPr>
          <w:rFonts w:ascii="Verdana" w:hAnsi="Verdana" w:cs="Cambria"/>
          <w:sz w:val="18"/>
          <w:szCs w:val="20"/>
        </w:rPr>
        <w:t xml:space="preserve"> párrs. </w:t>
      </w:r>
      <w:r w:rsidR="00D473E4" w:rsidRPr="008D0846">
        <w:rPr>
          <w:rFonts w:ascii="Verdana" w:hAnsi="Verdana" w:cs="Cambria"/>
          <w:sz w:val="18"/>
          <w:szCs w:val="20"/>
        </w:rPr>
        <w:t>92</w:t>
      </w:r>
      <w:r w:rsidR="002E1C85" w:rsidRPr="008D0846">
        <w:rPr>
          <w:rFonts w:ascii="Verdana" w:hAnsi="Verdana" w:cs="Cambria"/>
          <w:sz w:val="18"/>
          <w:szCs w:val="20"/>
        </w:rPr>
        <w:t xml:space="preserve"> </w:t>
      </w:r>
      <w:r w:rsidR="00D473E4" w:rsidRPr="008D0846">
        <w:rPr>
          <w:rFonts w:ascii="Verdana" w:hAnsi="Verdana" w:cs="Cambria"/>
          <w:sz w:val="18"/>
          <w:szCs w:val="20"/>
        </w:rPr>
        <w:t>y</w:t>
      </w:r>
      <w:r w:rsidR="002E1C85" w:rsidRPr="008D0846">
        <w:rPr>
          <w:rFonts w:ascii="Verdana" w:hAnsi="Verdana" w:cs="Cambria"/>
          <w:sz w:val="18"/>
          <w:szCs w:val="20"/>
        </w:rPr>
        <w:t xml:space="preserve"> </w:t>
      </w:r>
      <w:r w:rsidR="00D473E4" w:rsidRPr="008D0846">
        <w:rPr>
          <w:rFonts w:ascii="Verdana" w:hAnsi="Verdana" w:cs="Cambria"/>
          <w:sz w:val="18"/>
          <w:szCs w:val="20"/>
        </w:rPr>
        <w:t>93</w:t>
      </w:r>
      <w:r w:rsidR="002E1C85" w:rsidRPr="008D0846">
        <w:rPr>
          <w:rFonts w:ascii="Verdana" w:hAnsi="Verdana" w:cs="Cambria"/>
          <w:sz w:val="18"/>
          <w:szCs w:val="20"/>
        </w:rPr>
        <w:t>) y que la instrucción que recibió fue la de determinar si en dicha desaparición intervinieron miembros del ejército, por lo que su trabajo concluyó al no encontrar ninguna referencia o alusión al involucramiento de personal militar</w:t>
      </w:r>
      <w:r w:rsidR="002E1C85" w:rsidRPr="008D0846">
        <w:rPr>
          <w:rFonts w:ascii="Verdana" w:hAnsi="Verdana"/>
          <w:sz w:val="18"/>
          <w:szCs w:val="20"/>
          <w:vertAlign w:val="superscript"/>
        </w:rPr>
        <w:footnoteReference w:id="292"/>
      </w:r>
      <w:r w:rsidR="002E1C85" w:rsidRPr="008D0846">
        <w:rPr>
          <w:rFonts w:ascii="Verdana" w:hAnsi="Verdana" w:cs="Cambria"/>
          <w:sz w:val="18"/>
          <w:szCs w:val="20"/>
        </w:rPr>
        <w:t>.</w:t>
      </w:r>
    </w:p>
    <w:p w14:paraId="64AA5F2B" w14:textId="1E604AE2"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i/>
          <w:sz w:val="20"/>
          <w:szCs w:val="20"/>
        </w:rPr>
      </w:pPr>
      <w:r w:rsidRPr="00744CE4">
        <w:rPr>
          <w:rFonts w:ascii="Verdana" w:hAnsi="Verdana" w:cs="Cambria"/>
          <w:sz w:val="20"/>
          <w:szCs w:val="20"/>
        </w:rPr>
        <w:t>Finalmente, el 30 de junio de 2013 la Subprocuraduría de Control Regional, Procedimientos Penales y Amparo declinó su competencia para conocer de la Averigua</w:t>
      </w:r>
      <w:r w:rsidRPr="00432ABC">
        <w:rPr>
          <w:rFonts w:ascii="Verdana" w:hAnsi="Verdana" w:cs="Cambria"/>
          <w:sz w:val="20"/>
          <w:szCs w:val="20"/>
        </w:rPr>
        <w:t xml:space="preserve">ción Previa 467/2012 en favor de otra unidad de la PGR </w:t>
      </w:r>
      <w:r w:rsidRPr="00432ABC">
        <w:rPr>
          <w:rFonts w:ascii="Verdana" w:hAnsi="Verdana"/>
          <w:sz w:val="20"/>
          <w:szCs w:val="20"/>
          <w:lang w:val="es-AR"/>
        </w:rPr>
        <w:t>–</w:t>
      </w:r>
      <w:r w:rsidRPr="00432ABC">
        <w:rPr>
          <w:rFonts w:ascii="Verdana" w:hAnsi="Verdana" w:cs="Cambria"/>
          <w:sz w:val="20"/>
          <w:szCs w:val="20"/>
        </w:rPr>
        <w:t xml:space="preserve">la Subprocuraduría de Derechos Humanos, Prevención del Delito y Servicios a la Comunidad–, </w:t>
      </w:r>
      <w:r w:rsidRPr="00A10160">
        <w:rPr>
          <w:rFonts w:ascii="Verdana" w:hAnsi="Verdana" w:cs="Cambria"/>
          <w:sz w:val="20"/>
          <w:szCs w:val="20"/>
        </w:rPr>
        <w:t>ya que consideró que esta última contaba con los recursos humanos especializados para conocer del delito de desaparición forzada de personas</w:t>
      </w:r>
      <w:r w:rsidRPr="008D0846">
        <w:rPr>
          <w:rFonts w:ascii="Verdana" w:hAnsi="Verdana" w:cs="Cambria"/>
          <w:sz w:val="20"/>
          <w:szCs w:val="20"/>
          <w:vertAlign w:val="superscript"/>
        </w:rPr>
        <w:footnoteReference w:id="293"/>
      </w:r>
      <w:r w:rsidRPr="008D0846">
        <w:rPr>
          <w:rFonts w:ascii="Verdana" w:hAnsi="Verdana" w:cs="Cambria"/>
          <w:sz w:val="20"/>
          <w:szCs w:val="20"/>
        </w:rPr>
        <w:t>. Dicha declinatoria fue aprobada el 18 de julio de 2013</w:t>
      </w:r>
      <w:r w:rsidRPr="008D0846">
        <w:rPr>
          <w:rFonts w:ascii="Verdana" w:hAnsi="Verdana" w:cs="Cambria"/>
          <w:sz w:val="20"/>
          <w:szCs w:val="20"/>
          <w:vertAlign w:val="superscript"/>
        </w:rPr>
        <w:footnoteReference w:id="294"/>
      </w:r>
      <w:r w:rsidRPr="008D0846">
        <w:rPr>
          <w:rFonts w:ascii="Verdana" w:hAnsi="Verdana" w:cs="Cambria"/>
          <w:sz w:val="20"/>
          <w:szCs w:val="20"/>
        </w:rPr>
        <w:t>.</w:t>
      </w:r>
    </w:p>
    <w:p w14:paraId="64AA5F2D" w14:textId="6F75C97C" w:rsidR="002E1C85" w:rsidRPr="00432ABC" w:rsidRDefault="00A10160">
      <w:pPr>
        <w:pStyle w:val="Prrafodelista"/>
        <w:widowControl w:val="0"/>
        <w:numPr>
          <w:ilvl w:val="0"/>
          <w:numId w:val="45"/>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rPr>
      </w:pPr>
      <w:bookmarkStart w:id="150" w:name="_Toc526783774"/>
      <w:r>
        <w:rPr>
          <w:rFonts w:ascii="Verdana" w:hAnsi="Verdana"/>
          <w:i/>
          <w:sz w:val="20"/>
          <w:szCs w:val="20"/>
        </w:rPr>
        <w:t xml:space="preserve"> </w:t>
      </w:r>
      <w:bookmarkStart w:id="151" w:name="_Toc532995346"/>
      <w:r w:rsidR="002E1C85" w:rsidRPr="00744CE4">
        <w:rPr>
          <w:rFonts w:ascii="Verdana" w:hAnsi="Verdana"/>
          <w:i/>
          <w:sz w:val="20"/>
          <w:szCs w:val="20"/>
        </w:rPr>
        <w:t>Subprocuraduría de Derechos Humanos, Prevención del Delito y Servicios a la Comunidad</w:t>
      </w:r>
      <w:r w:rsidR="002E1C85" w:rsidRPr="00432ABC" w:rsidDel="006E51FC">
        <w:rPr>
          <w:rFonts w:ascii="Verdana" w:hAnsi="Verdana"/>
          <w:i/>
          <w:sz w:val="20"/>
          <w:szCs w:val="20"/>
        </w:rPr>
        <w:t xml:space="preserve"> </w:t>
      </w:r>
      <w:r w:rsidR="002E1C85" w:rsidRPr="00432ABC">
        <w:rPr>
          <w:rFonts w:ascii="Verdana" w:hAnsi="Verdana"/>
          <w:i/>
          <w:sz w:val="20"/>
          <w:szCs w:val="20"/>
        </w:rPr>
        <w:t>de la Procuraduría General de la República [PGR]</w:t>
      </w:r>
      <w:bookmarkEnd w:id="150"/>
      <w:bookmarkEnd w:id="151"/>
    </w:p>
    <w:p w14:paraId="64AA5F2F" w14:textId="6F2581A9" w:rsidR="002E1C85" w:rsidRPr="00432ABC" w:rsidRDefault="00556FDB">
      <w:pPr>
        <w:pStyle w:val="Ttulo4"/>
        <w:numPr>
          <w:ilvl w:val="0"/>
          <w:numId w:val="58"/>
        </w:numPr>
        <w:spacing w:before="120" w:after="120"/>
        <w:contextualSpacing w:val="0"/>
        <w:rPr>
          <w:u w:val="none"/>
        </w:rPr>
      </w:pPr>
      <w:r>
        <w:rPr>
          <w:u w:val="none"/>
        </w:rPr>
        <w:t xml:space="preserve"> </w:t>
      </w:r>
      <w:bookmarkStart w:id="152" w:name="_Toc532995347"/>
      <w:r w:rsidR="002E1C85" w:rsidRPr="00432ABC">
        <w:rPr>
          <w:u w:val="none"/>
        </w:rPr>
        <w:t>Averiguación Previa AP/PGR/SDHAVSC/M5/66/2013</w:t>
      </w:r>
      <w:bookmarkEnd w:id="152"/>
    </w:p>
    <w:p w14:paraId="64AA5F31" w14:textId="633B039C"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2C462C">
        <w:rPr>
          <w:rFonts w:ascii="Verdana" w:hAnsi="Verdana" w:cs="Cambria"/>
          <w:sz w:val="20"/>
          <w:szCs w:val="20"/>
        </w:rPr>
        <w:t>El 4 de abril de 2013 la Dirección General de Atención de la Subprocuraduría  de Derechos Humanos</w:t>
      </w:r>
      <w:r w:rsidR="00183A31">
        <w:rPr>
          <w:rFonts w:ascii="Verdana" w:hAnsi="Verdana" w:cs="Cambria"/>
          <w:sz w:val="20"/>
          <w:szCs w:val="20"/>
        </w:rPr>
        <w:t xml:space="preserve"> </w:t>
      </w:r>
      <w:r w:rsidRPr="00744CE4">
        <w:rPr>
          <w:rFonts w:ascii="Verdana" w:hAnsi="Verdana" w:cs="Cambria"/>
          <w:sz w:val="20"/>
          <w:szCs w:val="20"/>
        </w:rPr>
        <w:t>de la PGR</w:t>
      </w:r>
      <w:r w:rsidR="00183A31">
        <w:rPr>
          <w:rFonts w:ascii="Verdana" w:hAnsi="Verdana" w:cs="Cambria"/>
          <w:sz w:val="20"/>
          <w:szCs w:val="20"/>
        </w:rPr>
        <w:t>,</w:t>
      </w:r>
      <w:r w:rsidRPr="00744CE4">
        <w:rPr>
          <w:rFonts w:ascii="Verdana" w:hAnsi="Verdana" w:cs="Cambria"/>
          <w:sz w:val="20"/>
          <w:szCs w:val="20"/>
        </w:rPr>
        <w:t xml:space="preserve"> inició la averiguación previa AP/PGR/SDHAVSC/M5/66/2013 (o “66/2013”), a partir de las copias simples de las denuncias de Patricia Reyes Rueda y María de Jesús Alvarado Espinoza que dieron origen a las averiguaciones previas AP/PGR/CHIH/JUA/27/2010-VII-A y </w:t>
      </w:r>
      <w:r w:rsidRPr="00744CE4">
        <w:rPr>
          <w:rFonts w:ascii="Verdana" w:hAnsi="Verdana"/>
          <w:sz w:val="20"/>
          <w:szCs w:val="20"/>
          <w:lang w:val="es-AR"/>
        </w:rPr>
        <w:t>124/2009-5326</w:t>
      </w:r>
      <w:r w:rsidRPr="00744CE4">
        <w:rPr>
          <w:rFonts w:ascii="Verdana" w:hAnsi="Verdana" w:cs="Cambria"/>
          <w:sz w:val="20"/>
          <w:szCs w:val="20"/>
          <w:vertAlign w:val="superscript"/>
        </w:rPr>
        <w:footnoteReference w:id="295"/>
      </w:r>
      <w:r w:rsidRPr="00744CE4">
        <w:rPr>
          <w:rFonts w:ascii="Verdana" w:hAnsi="Verdana" w:cs="Cambria"/>
          <w:sz w:val="20"/>
          <w:szCs w:val="20"/>
        </w:rPr>
        <w:t>. Dicha denuncia fue turnada a la Unidad Especializada de Búsqueda de Personas Desaparecidas [UEBPD - PGR] (también dependiente de dicha Subprocuraduría) para el desarrollo de las investigaciones</w:t>
      </w:r>
      <w:r w:rsidRPr="00744CE4">
        <w:rPr>
          <w:rStyle w:val="Refdenotaalpie"/>
          <w:rFonts w:ascii="Verdana" w:hAnsi="Verdana" w:cs="Cambria"/>
          <w:sz w:val="20"/>
          <w:szCs w:val="20"/>
        </w:rPr>
        <w:footnoteReference w:id="296"/>
      </w:r>
      <w:r w:rsidRPr="00744CE4">
        <w:rPr>
          <w:rFonts w:ascii="Verdana" w:hAnsi="Verdana" w:cs="Cambria"/>
          <w:sz w:val="20"/>
          <w:szCs w:val="20"/>
        </w:rPr>
        <w:t xml:space="preserve">. </w:t>
      </w:r>
    </w:p>
    <w:p w14:paraId="64AA5F33" w14:textId="31AF2A4C"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 xml:space="preserve">Con motivo de la tramitación de la indagatoria 66/2013, el 31 de marzo de 2014 la UEBDP - PGR determinó ejercer la acción penal contra del Coronel Élfego José Luján Ruiz </w:t>
      </w:r>
      <w:r w:rsidRPr="00432ABC">
        <w:rPr>
          <w:rFonts w:ascii="Verdana" w:hAnsi="Verdana"/>
          <w:sz w:val="20"/>
          <w:szCs w:val="20"/>
          <w:lang w:val="es-AR"/>
        </w:rPr>
        <w:t>–</w:t>
      </w:r>
      <w:r w:rsidRPr="00432ABC">
        <w:rPr>
          <w:rFonts w:ascii="Verdana" w:hAnsi="Verdana" w:cs="Cambria"/>
          <w:sz w:val="20"/>
          <w:szCs w:val="20"/>
        </w:rPr>
        <w:t>Comandante del 35 Batallón al momento de las tres desapariciones</w:t>
      </w:r>
      <w:r w:rsidRPr="002C462C">
        <w:rPr>
          <w:rFonts w:ascii="Verdana" w:hAnsi="Verdana"/>
          <w:sz w:val="20"/>
          <w:szCs w:val="20"/>
          <w:lang w:val="es-AR"/>
        </w:rPr>
        <w:t xml:space="preserve">– </w:t>
      </w:r>
      <w:r w:rsidRPr="002C462C">
        <w:rPr>
          <w:rFonts w:ascii="Verdana" w:hAnsi="Verdana" w:cs="Cambria"/>
          <w:sz w:val="20"/>
          <w:szCs w:val="20"/>
        </w:rPr>
        <w:t>al acreditar su probable responsabilidad por el delito de des</w:t>
      </w:r>
      <w:r w:rsidRPr="00744CE4">
        <w:rPr>
          <w:rFonts w:ascii="Verdana" w:hAnsi="Verdana" w:cs="Cambria"/>
          <w:sz w:val="20"/>
          <w:szCs w:val="20"/>
        </w:rPr>
        <w:t>aparición forzada y solicitó al juez federal de primera instancia en turno expedir la respectiva orden de aprehensión</w:t>
      </w:r>
      <w:r w:rsidRPr="00744CE4">
        <w:rPr>
          <w:rFonts w:ascii="Verdana" w:hAnsi="Verdana" w:cs="Cambria"/>
          <w:sz w:val="20"/>
          <w:szCs w:val="20"/>
          <w:vertAlign w:val="superscript"/>
        </w:rPr>
        <w:footnoteReference w:id="297"/>
      </w:r>
      <w:r w:rsidRPr="00744CE4">
        <w:rPr>
          <w:rFonts w:ascii="Verdana" w:hAnsi="Verdana" w:cs="Cambria"/>
          <w:sz w:val="20"/>
          <w:szCs w:val="20"/>
        </w:rPr>
        <w:t xml:space="preserve">. </w:t>
      </w:r>
    </w:p>
    <w:p w14:paraId="64AA5F35" w14:textId="5E71F6BF" w:rsidR="002E1C85" w:rsidRPr="00432ABC"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Al solicitar la orden de aprehensión en contra del Coronel Luján, el AMPF de la UEBDP – PGR consideró que se había quedado acreditado el dominio de dicho mando castrense sobre la organización (es decir, el 35 Batallón) y la existencia de declaraciones que daban cuenta de que, en ejercicio de dicho dominio:</w:t>
      </w:r>
    </w:p>
    <w:p w14:paraId="64AA5F37" w14:textId="762EB27D" w:rsidR="002E1C85" w:rsidRPr="002C462C" w:rsidRDefault="002E1C85">
      <w:pPr>
        <w:pStyle w:val="Prrafodelista"/>
        <w:autoSpaceDE w:val="0"/>
        <w:autoSpaceDN w:val="0"/>
        <w:adjustRightInd w:val="0"/>
        <w:spacing w:before="120" w:after="120" w:line="240" w:lineRule="auto"/>
        <w:ind w:left="567"/>
        <w:contextualSpacing w:val="0"/>
        <w:jc w:val="both"/>
        <w:rPr>
          <w:rFonts w:ascii="Verdana" w:hAnsi="Verdana" w:cs="Cambria"/>
          <w:sz w:val="18"/>
          <w:szCs w:val="18"/>
        </w:rPr>
      </w:pPr>
      <w:r w:rsidRPr="00432ABC">
        <w:rPr>
          <w:rFonts w:ascii="Verdana" w:hAnsi="Verdana" w:cs="Cambria"/>
          <w:sz w:val="18"/>
          <w:szCs w:val="18"/>
        </w:rPr>
        <w:t xml:space="preserve">“[había] cre[ado] y promovi[do] entre sus subordinados una práctica de abuso constituida por allanamientos a domicilios, detenciones arbitrarias, apropiación indebida de animales, armas, droga y </w:t>
      </w:r>
      <w:r w:rsidRPr="00432ABC">
        <w:rPr>
          <w:rFonts w:ascii="Verdana" w:hAnsi="Verdana" w:cs="Cambria"/>
          <w:sz w:val="18"/>
          <w:szCs w:val="18"/>
        </w:rPr>
        <w:lastRenderedPageBreak/>
        <w:t>vehículos, tortura, homicidio, ejecuciones sumarias, ocultamiento de cadáveres mediante in</w:t>
      </w:r>
      <w:r w:rsidR="004562AE" w:rsidRPr="002C462C">
        <w:rPr>
          <w:rFonts w:ascii="Verdana" w:hAnsi="Verdana" w:cs="Cambria"/>
          <w:sz w:val="18"/>
          <w:szCs w:val="18"/>
        </w:rPr>
        <w:t xml:space="preserve">humación ilícita, entre otros. </w:t>
      </w:r>
    </w:p>
    <w:p w14:paraId="64AA5F39" w14:textId="50F86A6E" w:rsidR="002E1C85" w:rsidRPr="00744CE4" w:rsidRDefault="002E1C85">
      <w:pPr>
        <w:autoSpaceDE w:val="0"/>
        <w:autoSpaceDN w:val="0"/>
        <w:adjustRightInd w:val="0"/>
        <w:spacing w:before="120" w:after="120" w:line="240" w:lineRule="auto"/>
        <w:ind w:left="567"/>
        <w:jc w:val="both"/>
        <w:rPr>
          <w:rFonts w:ascii="Verdana" w:hAnsi="Verdana" w:cs="Cambria"/>
          <w:sz w:val="18"/>
          <w:szCs w:val="18"/>
        </w:rPr>
      </w:pPr>
      <w:r w:rsidRPr="002C462C">
        <w:rPr>
          <w:rFonts w:ascii="Verdana" w:hAnsi="Verdana" w:cs="Cambria"/>
          <w:sz w:val="18"/>
          <w:szCs w:val="18"/>
        </w:rPr>
        <w:t>Asimismo, consideró la</w:t>
      </w:r>
      <w:r w:rsidRPr="00744CE4">
        <w:rPr>
          <w:rFonts w:ascii="Verdana" w:hAnsi="Verdana" w:cs="Cambria"/>
          <w:sz w:val="18"/>
          <w:szCs w:val="18"/>
        </w:rPr>
        <w:t xml:space="preserve"> existencia de indicios de que el 35 Batallón utilizaba vehículos particulares para realizar detenciones ilegales lo cual </w:t>
      </w:r>
      <w:r w:rsidRPr="00744CE4">
        <w:rPr>
          <w:rFonts w:ascii="Verdana" w:hAnsi="Verdana"/>
          <w:sz w:val="18"/>
          <w:szCs w:val="18"/>
          <w:lang w:val="es-AR"/>
        </w:rPr>
        <w:t>–</w:t>
      </w:r>
      <w:r w:rsidRPr="00744CE4">
        <w:rPr>
          <w:rFonts w:ascii="Verdana" w:hAnsi="Verdana" w:cs="Cambria"/>
          <w:sz w:val="18"/>
          <w:szCs w:val="18"/>
        </w:rPr>
        <w:t>a juicio de la PGR</w:t>
      </w:r>
      <w:r w:rsidRPr="00744CE4">
        <w:rPr>
          <w:rFonts w:ascii="Verdana" w:hAnsi="Verdana"/>
          <w:sz w:val="18"/>
          <w:szCs w:val="18"/>
          <w:lang w:val="es-AR"/>
        </w:rPr>
        <w:t>–</w:t>
      </w:r>
      <w:r w:rsidRPr="00744CE4">
        <w:rPr>
          <w:rFonts w:ascii="Verdana" w:hAnsi="Verdana" w:cs="Cambria"/>
          <w:sz w:val="18"/>
          <w:szCs w:val="18"/>
        </w:rPr>
        <w:t xml:space="preserve"> fortalecía las declaraciones de los testigos de las desapariciones respecto de que quienes las llevaron a cabo portaban uniformes y armamento de tipo militar y se transportaron en vehículos particulares […]</w:t>
      </w:r>
      <w:r w:rsidRPr="00744CE4">
        <w:rPr>
          <w:rStyle w:val="Refdenotaalpie"/>
          <w:rFonts w:ascii="Verdana" w:hAnsi="Verdana" w:cs="Cambria"/>
          <w:sz w:val="18"/>
          <w:szCs w:val="18"/>
        </w:rPr>
        <w:footnoteReference w:id="298"/>
      </w:r>
      <w:r w:rsidR="00813B72" w:rsidRPr="00744CE4">
        <w:rPr>
          <w:rFonts w:ascii="Verdana" w:hAnsi="Verdana" w:cs="Cambria"/>
          <w:sz w:val="18"/>
          <w:szCs w:val="18"/>
        </w:rPr>
        <w:t>”.</w:t>
      </w:r>
    </w:p>
    <w:p w14:paraId="64AA5F3B" w14:textId="1199C76F"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 xml:space="preserve">Con motivo de dicha consignación, el 31 de marzo de 2014 se aperturó la Causa Penal 22/2014-III ante el Juez Séptimo de Distrito en Materia Penal de Ciudad Juárez, Chihuahua [J7ºDtto – Chihuahua], autoridad judicial de primera instancia del fuero penal federal en conocimiento. En la misma fecha, dicho juzgador negó la orden de aprehensión en contra del Coronel Luján al considerar que no se acreditó el tercero de los elementos del cuerpo del delito, esto es, que </w:t>
      </w:r>
      <w:r w:rsidR="00FA09C9" w:rsidRPr="002C462C">
        <w:rPr>
          <w:rFonts w:ascii="Verdana" w:hAnsi="Verdana" w:cs="Cambria"/>
          <w:sz w:val="20"/>
          <w:szCs w:val="20"/>
        </w:rPr>
        <w:t xml:space="preserve">dicho mando militar hubiera </w:t>
      </w:r>
      <w:r w:rsidRPr="002C462C">
        <w:rPr>
          <w:rFonts w:ascii="Verdana" w:hAnsi="Verdana" w:cs="Cambria"/>
          <w:sz w:val="20"/>
          <w:szCs w:val="20"/>
        </w:rPr>
        <w:t>propici</w:t>
      </w:r>
      <w:r w:rsidR="00FA09C9" w:rsidRPr="00744CE4">
        <w:rPr>
          <w:rFonts w:ascii="Verdana" w:hAnsi="Verdana" w:cs="Cambria"/>
          <w:sz w:val="20"/>
          <w:szCs w:val="20"/>
        </w:rPr>
        <w:t xml:space="preserve">ado </w:t>
      </w:r>
      <w:r w:rsidRPr="00744CE4">
        <w:rPr>
          <w:rFonts w:ascii="Verdana" w:hAnsi="Verdana" w:cs="Cambria"/>
          <w:sz w:val="20"/>
          <w:szCs w:val="20"/>
        </w:rPr>
        <w:t>o manten</w:t>
      </w:r>
      <w:r w:rsidR="00FA09C9" w:rsidRPr="00744CE4">
        <w:rPr>
          <w:rFonts w:ascii="Verdana" w:hAnsi="Verdana" w:cs="Cambria"/>
          <w:sz w:val="20"/>
          <w:szCs w:val="20"/>
        </w:rPr>
        <w:t xml:space="preserve">ido </w:t>
      </w:r>
      <w:r w:rsidRPr="00744CE4">
        <w:rPr>
          <w:rFonts w:ascii="Verdana" w:hAnsi="Verdana" w:cs="Cambria"/>
          <w:sz w:val="20"/>
          <w:szCs w:val="20"/>
        </w:rPr>
        <w:t xml:space="preserve">dolosamente el ocultamiento de </w:t>
      </w:r>
      <w:r w:rsidR="00FA09C9" w:rsidRPr="00744CE4">
        <w:rPr>
          <w:rFonts w:ascii="Verdana" w:hAnsi="Verdana" w:cs="Cambria"/>
          <w:sz w:val="20"/>
          <w:szCs w:val="20"/>
        </w:rPr>
        <w:t xml:space="preserve">los tres desaparecidos, dado que, en concepto de dicho </w:t>
      </w:r>
      <w:r w:rsidR="0037541A">
        <w:rPr>
          <w:rFonts w:ascii="Verdana" w:hAnsi="Verdana" w:cs="Cambria"/>
          <w:sz w:val="20"/>
          <w:szCs w:val="20"/>
        </w:rPr>
        <w:t>j</w:t>
      </w:r>
      <w:r w:rsidR="00FA09C9" w:rsidRPr="00744CE4">
        <w:rPr>
          <w:rFonts w:ascii="Verdana" w:hAnsi="Verdana" w:cs="Cambria"/>
          <w:sz w:val="20"/>
          <w:szCs w:val="20"/>
        </w:rPr>
        <w:t xml:space="preserve">uez, </w:t>
      </w:r>
      <w:r w:rsidRPr="00744CE4">
        <w:rPr>
          <w:rFonts w:ascii="Verdana" w:hAnsi="Verdana" w:cs="Cambria"/>
          <w:sz w:val="20"/>
          <w:szCs w:val="20"/>
        </w:rPr>
        <w:t xml:space="preserve">no se demostró </w:t>
      </w:r>
      <w:r w:rsidR="00FA09C9" w:rsidRPr="00744CE4">
        <w:rPr>
          <w:rFonts w:ascii="Verdana" w:hAnsi="Verdana" w:cs="Cambria"/>
          <w:sz w:val="20"/>
          <w:szCs w:val="20"/>
        </w:rPr>
        <w:t xml:space="preserve">que </w:t>
      </w:r>
      <w:r w:rsidRPr="00744CE4">
        <w:rPr>
          <w:rFonts w:ascii="Verdana" w:hAnsi="Verdana" w:cs="Cambria"/>
          <w:sz w:val="20"/>
          <w:szCs w:val="20"/>
        </w:rPr>
        <w:t xml:space="preserve">elementos del Ejército Mexicano </w:t>
      </w:r>
      <w:r w:rsidR="00FA09C9" w:rsidRPr="00744CE4">
        <w:rPr>
          <w:rFonts w:ascii="Verdana" w:hAnsi="Verdana" w:cs="Cambria"/>
          <w:sz w:val="20"/>
          <w:szCs w:val="20"/>
        </w:rPr>
        <w:t xml:space="preserve">hubiesen realizados </w:t>
      </w:r>
      <w:r w:rsidR="0037541A">
        <w:rPr>
          <w:rFonts w:ascii="Verdana" w:hAnsi="Verdana" w:cs="Cambria"/>
          <w:sz w:val="20"/>
          <w:szCs w:val="20"/>
        </w:rPr>
        <w:t>las</w:t>
      </w:r>
      <w:r w:rsidR="00FA09C9" w:rsidRPr="00744CE4">
        <w:rPr>
          <w:rFonts w:ascii="Verdana" w:hAnsi="Verdana" w:cs="Cambria"/>
          <w:sz w:val="20"/>
          <w:szCs w:val="20"/>
        </w:rPr>
        <w:t xml:space="preserve"> detenciones </w:t>
      </w:r>
      <w:r w:rsidRPr="00744CE4">
        <w:rPr>
          <w:rFonts w:ascii="Verdana" w:hAnsi="Verdana" w:cs="Cambria"/>
          <w:sz w:val="20"/>
          <w:szCs w:val="20"/>
        </w:rPr>
        <w:t xml:space="preserve">por orden del </w:t>
      </w:r>
      <w:r w:rsidR="00FA09C9" w:rsidRPr="00744CE4">
        <w:rPr>
          <w:rFonts w:ascii="Verdana" w:hAnsi="Verdana" w:cs="Cambria"/>
          <w:sz w:val="20"/>
          <w:szCs w:val="20"/>
        </w:rPr>
        <w:t xml:space="preserve">Coronel Luján </w:t>
      </w:r>
      <w:r w:rsidRPr="00744CE4">
        <w:rPr>
          <w:rFonts w:ascii="Verdana" w:hAnsi="Verdana" w:cs="Cambria"/>
          <w:sz w:val="20"/>
          <w:szCs w:val="20"/>
        </w:rPr>
        <w:t xml:space="preserve">ni que este </w:t>
      </w:r>
      <w:r w:rsidR="00FA09C9" w:rsidRPr="00744CE4">
        <w:rPr>
          <w:rFonts w:ascii="Verdana" w:hAnsi="Verdana" w:cs="Cambria"/>
          <w:sz w:val="20"/>
          <w:szCs w:val="20"/>
        </w:rPr>
        <w:t xml:space="preserve">Comandante </w:t>
      </w:r>
      <w:r w:rsidRPr="00744CE4">
        <w:rPr>
          <w:rFonts w:ascii="Verdana" w:hAnsi="Verdana" w:cs="Cambria"/>
          <w:sz w:val="20"/>
          <w:szCs w:val="20"/>
        </w:rPr>
        <w:t>tuviera conocimiento del paradero de las víctimas</w:t>
      </w:r>
      <w:r w:rsidRPr="00744CE4">
        <w:rPr>
          <w:rFonts w:ascii="Verdana" w:hAnsi="Verdana" w:cs="Cambria"/>
          <w:sz w:val="20"/>
          <w:szCs w:val="20"/>
          <w:vertAlign w:val="superscript"/>
        </w:rPr>
        <w:footnoteReference w:id="299"/>
      </w:r>
      <w:r w:rsidRPr="00744CE4">
        <w:rPr>
          <w:rFonts w:ascii="Verdana" w:hAnsi="Verdana" w:cs="Cambria"/>
          <w:sz w:val="20"/>
          <w:szCs w:val="20"/>
        </w:rPr>
        <w:t xml:space="preserve">. </w:t>
      </w:r>
    </w:p>
    <w:p w14:paraId="64AA5F3D" w14:textId="241D3D0E"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 xml:space="preserve">El </w:t>
      </w:r>
      <w:r w:rsidR="00571663" w:rsidRPr="00432ABC">
        <w:rPr>
          <w:rFonts w:ascii="Verdana" w:hAnsi="Verdana" w:cs="Cambria"/>
          <w:sz w:val="20"/>
          <w:szCs w:val="20"/>
        </w:rPr>
        <w:t xml:space="preserve">31 de marzo de </w:t>
      </w:r>
      <w:r w:rsidRPr="00432ABC">
        <w:rPr>
          <w:rFonts w:ascii="Verdana" w:hAnsi="Verdana" w:cs="Cambria"/>
          <w:sz w:val="20"/>
          <w:szCs w:val="20"/>
        </w:rPr>
        <w:t xml:space="preserve"> 2014</w:t>
      </w:r>
      <w:r w:rsidR="00571663" w:rsidRPr="00432ABC">
        <w:rPr>
          <w:rFonts w:ascii="Verdana" w:hAnsi="Verdana" w:cs="Cambria"/>
          <w:sz w:val="20"/>
          <w:szCs w:val="20"/>
        </w:rPr>
        <w:t xml:space="preserve"> </w:t>
      </w:r>
      <w:r w:rsidR="00C523B1" w:rsidRPr="00432ABC">
        <w:rPr>
          <w:rFonts w:ascii="Verdana" w:hAnsi="Verdana" w:cs="Cambria"/>
          <w:sz w:val="20"/>
          <w:szCs w:val="20"/>
        </w:rPr>
        <w:t xml:space="preserve">el AMPF adscrito al Juzgado de Distrito resolutor, </w:t>
      </w:r>
      <w:r w:rsidR="00571663" w:rsidRPr="00432ABC">
        <w:rPr>
          <w:rFonts w:ascii="Verdana" w:hAnsi="Verdana" w:cs="Cambria"/>
          <w:sz w:val="20"/>
          <w:szCs w:val="20"/>
        </w:rPr>
        <w:t>al momento de ser notificado de la negativa de la o</w:t>
      </w:r>
      <w:r w:rsidR="00571663" w:rsidRPr="002C462C">
        <w:rPr>
          <w:rFonts w:ascii="Verdana" w:hAnsi="Verdana" w:cs="Cambria"/>
          <w:sz w:val="20"/>
          <w:szCs w:val="20"/>
        </w:rPr>
        <w:t xml:space="preserve">rden de aprehensión solicitada, </w:t>
      </w:r>
      <w:r w:rsidRPr="00744CE4">
        <w:rPr>
          <w:rFonts w:ascii="Verdana" w:hAnsi="Verdana" w:cs="Cambria"/>
          <w:sz w:val="20"/>
          <w:szCs w:val="20"/>
        </w:rPr>
        <w:t xml:space="preserve">presentó recurso de apelación contra la sentencia antes referida, el cual fue sustanciado </w:t>
      </w:r>
      <w:r w:rsidR="00571663" w:rsidRPr="00744CE4">
        <w:rPr>
          <w:rFonts w:ascii="Verdana" w:hAnsi="Verdana" w:cs="Cambria"/>
          <w:sz w:val="20"/>
          <w:szCs w:val="20"/>
        </w:rPr>
        <w:t xml:space="preserve">el 3 de abril de 2014 </w:t>
      </w:r>
      <w:r w:rsidRPr="00744CE4">
        <w:rPr>
          <w:rFonts w:ascii="Verdana" w:hAnsi="Verdana" w:cs="Cambria"/>
          <w:sz w:val="20"/>
          <w:szCs w:val="20"/>
        </w:rPr>
        <w:t>bajo el Toca Penal 94/2014 ante el Cuarto Tribunal Unitario del Decimoséptimo Circuito en Chihuahua [4ºTU/17ºC – Chihuahua], autoridad judicial de alzada del fuero penal federal en conocimiento</w:t>
      </w:r>
      <w:r w:rsidRPr="00744CE4">
        <w:rPr>
          <w:rFonts w:ascii="Verdana" w:hAnsi="Verdana" w:cs="Cambria"/>
          <w:sz w:val="20"/>
          <w:szCs w:val="20"/>
          <w:vertAlign w:val="superscript"/>
        </w:rPr>
        <w:footnoteReference w:id="300"/>
      </w:r>
      <w:r w:rsidRPr="00744CE4">
        <w:rPr>
          <w:rFonts w:ascii="Verdana" w:hAnsi="Verdana" w:cs="Cambria"/>
          <w:sz w:val="20"/>
          <w:szCs w:val="20"/>
        </w:rPr>
        <w:t xml:space="preserve">.  </w:t>
      </w:r>
    </w:p>
    <w:p w14:paraId="64AA5F3F" w14:textId="09B57C77"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 xml:space="preserve">El </w:t>
      </w:r>
      <w:r w:rsidRPr="00432ABC">
        <w:rPr>
          <w:rFonts w:ascii="Verdana" w:hAnsi="Verdana"/>
          <w:sz w:val="20"/>
          <w:szCs w:val="20"/>
        </w:rPr>
        <w:t>27 de junio de 2014 d</w:t>
      </w:r>
      <w:r w:rsidRPr="00432ABC">
        <w:rPr>
          <w:rFonts w:ascii="Verdana" w:hAnsi="Verdana" w:cs="Cambria"/>
          <w:sz w:val="20"/>
          <w:szCs w:val="20"/>
        </w:rPr>
        <w:t xml:space="preserve">icho Tribunal </w:t>
      </w:r>
      <w:r w:rsidR="00BB6FEA" w:rsidRPr="00432ABC">
        <w:rPr>
          <w:rFonts w:ascii="Verdana" w:hAnsi="Verdana" w:cs="Cambria"/>
          <w:sz w:val="20"/>
          <w:szCs w:val="20"/>
        </w:rPr>
        <w:t xml:space="preserve">Unitario </w:t>
      </w:r>
      <w:r w:rsidRPr="00432ABC">
        <w:rPr>
          <w:rFonts w:ascii="Verdana" w:hAnsi="Verdana" w:cs="Cambria"/>
          <w:sz w:val="20"/>
          <w:szCs w:val="20"/>
        </w:rPr>
        <w:t>resolvió el recurso interpuesto y confirmó</w:t>
      </w:r>
      <w:r w:rsidR="0037541A">
        <w:rPr>
          <w:rFonts w:ascii="Verdana" w:hAnsi="Verdana" w:cs="Cambria"/>
          <w:sz w:val="20"/>
          <w:szCs w:val="20"/>
        </w:rPr>
        <w:t xml:space="preserve"> la</w:t>
      </w:r>
      <w:r w:rsidRPr="00432ABC">
        <w:rPr>
          <w:rFonts w:ascii="Verdana" w:hAnsi="Verdana" w:cs="Cambria"/>
          <w:sz w:val="20"/>
          <w:szCs w:val="20"/>
        </w:rPr>
        <w:t xml:space="preserve"> negativa de orden de aprehensión impugnada</w:t>
      </w:r>
      <w:r w:rsidR="004E7A49">
        <w:rPr>
          <w:rFonts w:ascii="Verdana" w:hAnsi="Verdana" w:cs="Cambria"/>
          <w:sz w:val="20"/>
          <w:szCs w:val="20"/>
        </w:rPr>
        <w:t>,</w:t>
      </w:r>
      <w:r w:rsidRPr="00432ABC">
        <w:rPr>
          <w:rFonts w:ascii="Verdana" w:hAnsi="Verdana" w:cs="Cambria"/>
          <w:sz w:val="20"/>
          <w:szCs w:val="20"/>
        </w:rPr>
        <w:t xml:space="preserve"> ya que consideró que, contrario a lo </w:t>
      </w:r>
      <w:r w:rsidRPr="002C462C">
        <w:rPr>
          <w:rFonts w:ascii="Verdana" w:hAnsi="Verdana" w:cs="Cambria"/>
          <w:sz w:val="20"/>
          <w:szCs w:val="20"/>
        </w:rPr>
        <w:t xml:space="preserve">afirmado por </w:t>
      </w:r>
      <w:r w:rsidR="00B43A86" w:rsidRPr="00744CE4">
        <w:rPr>
          <w:rFonts w:ascii="Verdana" w:hAnsi="Verdana" w:cs="Cambria"/>
          <w:sz w:val="20"/>
          <w:szCs w:val="20"/>
        </w:rPr>
        <w:t>el AMPF</w:t>
      </w:r>
      <w:r w:rsidRPr="00744CE4">
        <w:rPr>
          <w:rFonts w:ascii="Verdana" w:hAnsi="Verdana" w:cs="Cambria"/>
          <w:sz w:val="20"/>
          <w:szCs w:val="20"/>
        </w:rPr>
        <w:t>, el juez de distrito de primera instancia sí valoró correctamente la totalidad de las pruebas presentadas al dictar su resolución y que, con base en dicha valoración, había determinado que no eran suficientes para acreditar uno de los elementos del cuerpo del delito</w:t>
      </w:r>
      <w:r w:rsidRPr="00744CE4">
        <w:rPr>
          <w:rFonts w:ascii="Verdana" w:hAnsi="Verdana" w:cs="Cambria"/>
          <w:sz w:val="20"/>
          <w:szCs w:val="20"/>
          <w:vertAlign w:val="superscript"/>
        </w:rPr>
        <w:footnoteReference w:id="301"/>
      </w:r>
      <w:r w:rsidRPr="00744CE4">
        <w:rPr>
          <w:rFonts w:ascii="Verdana" w:hAnsi="Verdana" w:cs="Cambria"/>
          <w:sz w:val="20"/>
          <w:szCs w:val="20"/>
        </w:rPr>
        <w:t xml:space="preserve">.  </w:t>
      </w:r>
    </w:p>
    <w:p w14:paraId="64AA5F41" w14:textId="41996884"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 xml:space="preserve">El 11 de septiembre de 2014 la representante de las víctimas, Luz Estela Castro Rodríguez, presentó demanda de amparo indirecto en contra de la sentencia de apelación del Toca Penal 22/2014. Dicha demanda fue substanciada bajo el rubro </w:t>
      </w:r>
      <w:r w:rsidRPr="00432ABC">
        <w:rPr>
          <w:rFonts w:ascii="Verdana" w:hAnsi="Verdana"/>
          <w:sz w:val="20"/>
          <w:szCs w:val="20"/>
        </w:rPr>
        <w:t xml:space="preserve">21/2014 ante </w:t>
      </w:r>
      <w:r w:rsidRPr="00432ABC">
        <w:rPr>
          <w:rFonts w:ascii="Verdana" w:hAnsi="Verdana" w:cs="Cambria"/>
          <w:sz w:val="20"/>
          <w:szCs w:val="20"/>
        </w:rPr>
        <w:t>el Tercer Tribunal Unitario del Decimoséptimo Circuito [3ºTU/17ºC – Chihuahua], autoridad judicial de primera instancia de amparo en materia penal en conocimiento</w:t>
      </w:r>
      <w:r w:rsidRPr="00744CE4">
        <w:rPr>
          <w:rStyle w:val="Refdenotaalpie"/>
          <w:rFonts w:ascii="Verdana" w:hAnsi="Verdana" w:cs="Cambria"/>
          <w:sz w:val="20"/>
          <w:szCs w:val="20"/>
        </w:rPr>
        <w:footnoteReference w:id="302"/>
      </w:r>
      <w:r w:rsidRPr="00744CE4">
        <w:rPr>
          <w:rFonts w:ascii="Verdana" w:hAnsi="Verdana" w:cs="Cambria"/>
          <w:sz w:val="20"/>
          <w:szCs w:val="20"/>
        </w:rPr>
        <w:t xml:space="preserve">. </w:t>
      </w:r>
    </w:p>
    <w:p w14:paraId="64AA5F43" w14:textId="3B4625AC"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El 17 de septiembre de 2014 el 3ºTU/17ºC – Chihuahua desechó la demanda por no tenerse acreditada la personalidad de Luz Estela Castro Rodríguez como coadyuvante dentro de la Averiguación Previa 66/2013 toda vez que su nombre correspondía a persona distinta de quien le era reconocido tal carácter</w:t>
      </w:r>
      <w:r w:rsidRPr="00744CE4">
        <w:rPr>
          <w:rStyle w:val="Refdenotaalpie"/>
          <w:rFonts w:ascii="Verdana" w:hAnsi="Verdana" w:cs="Cambria"/>
          <w:sz w:val="20"/>
          <w:szCs w:val="20"/>
        </w:rPr>
        <w:footnoteReference w:id="303"/>
      </w:r>
      <w:r w:rsidRPr="00744CE4">
        <w:rPr>
          <w:rFonts w:ascii="Verdana" w:hAnsi="Verdana" w:cs="Cambria"/>
          <w:sz w:val="20"/>
          <w:szCs w:val="20"/>
        </w:rPr>
        <w:t xml:space="preserve">. Contra el desechamiento de demanda, el 29 de septiembre de 2014 la representante Luz Estela Castro promovió el recurso de Queja 328/2014 ante el Tribunal </w:t>
      </w:r>
      <w:r w:rsidRPr="00744CE4">
        <w:rPr>
          <w:rFonts w:ascii="Verdana" w:hAnsi="Verdana" w:cs="Cambria"/>
          <w:sz w:val="20"/>
          <w:szCs w:val="20"/>
        </w:rPr>
        <w:lastRenderedPageBreak/>
        <w:t>Colegiado del Décimo Séptimo Circuito, tribunal de alzada en conocimiento de dicho recurso</w:t>
      </w:r>
      <w:r w:rsidRPr="00744CE4">
        <w:rPr>
          <w:rStyle w:val="Refdenotaalpie"/>
          <w:rFonts w:ascii="Verdana" w:hAnsi="Verdana" w:cs="Cambria"/>
          <w:sz w:val="20"/>
          <w:szCs w:val="20"/>
        </w:rPr>
        <w:footnoteReference w:id="304"/>
      </w:r>
      <w:r w:rsidRPr="00744CE4">
        <w:rPr>
          <w:rFonts w:ascii="Verdana" w:hAnsi="Verdana" w:cs="Cambria"/>
          <w:sz w:val="20"/>
          <w:szCs w:val="20"/>
        </w:rPr>
        <w:t>. El 21 de noviembre de 2014 dicho Colegiado revisor consideró fundada la queja promovida y ordenó que se admitiera la demanda de amparo por no existir causal notoria y manifiesta de improcedencia</w:t>
      </w:r>
      <w:r w:rsidRPr="00744CE4">
        <w:rPr>
          <w:rStyle w:val="Refdenotaalpie"/>
          <w:rFonts w:ascii="Verdana" w:hAnsi="Verdana" w:cs="Cambria"/>
          <w:sz w:val="20"/>
          <w:szCs w:val="20"/>
        </w:rPr>
        <w:footnoteReference w:id="305"/>
      </w:r>
      <w:r w:rsidRPr="00744CE4">
        <w:rPr>
          <w:rFonts w:ascii="Verdana" w:hAnsi="Verdana" w:cs="Cambria"/>
          <w:sz w:val="20"/>
          <w:szCs w:val="20"/>
        </w:rPr>
        <w:t xml:space="preserve">. Como resultado </w:t>
      </w:r>
      <w:r w:rsidR="00A17573">
        <w:rPr>
          <w:rFonts w:ascii="Verdana" w:hAnsi="Verdana" w:cs="Cambria"/>
          <w:sz w:val="20"/>
          <w:szCs w:val="20"/>
        </w:rPr>
        <w:t xml:space="preserve">de </w:t>
      </w:r>
      <w:r w:rsidRPr="00744CE4">
        <w:rPr>
          <w:rFonts w:ascii="Verdana" w:hAnsi="Verdana" w:cs="Cambria"/>
          <w:sz w:val="20"/>
          <w:szCs w:val="20"/>
        </w:rPr>
        <w:t>dicha resolución, el 5 de diciembre de 2014 el 3ºTU/17ºC – Chihuahua admitió la demanda de amparo en cuestión</w:t>
      </w:r>
      <w:r w:rsidRPr="00744CE4">
        <w:rPr>
          <w:rStyle w:val="Refdenotaalpie"/>
          <w:rFonts w:ascii="Verdana" w:hAnsi="Verdana" w:cs="Cambria"/>
          <w:sz w:val="20"/>
          <w:szCs w:val="20"/>
        </w:rPr>
        <w:footnoteReference w:id="306"/>
      </w:r>
      <w:r w:rsidRPr="00744CE4">
        <w:rPr>
          <w:rFonts w:ascii="Verdana" w:hAnsi="Verdana" w:cs="Cambria"/>
          <w:sz w:val="20"/>
          <w:szCs w:val="20"/>
        </w:rPr>
        <w:t xml:space="preserve">. </w:t>
      </w:r>
    </w:p>
    <w:p w14:paraId="64AA5F45" w14:textId="17F515E0"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El 31 de diciembre de 2014 el 3ºTU/17ºC – Chihuahua emitió resolución sobre el fondo del amparo indirecto promovido, negando la protección constitucional solicitada. Como fundamento de su resolución, el magistrado del Tribunal Unitario señaló que era erróneo que la magistrada del 4ºTU/17ºC – Chihuahua (tribunal de alzada que confirmó la negativa de orden de aprehensión en contra del Coronel Luján) hubiera considerado que el delito fuera de naturaleza transitoria (como afirmó la representante de las víctimas). También resolvió que era infundado que dicha juzgadora de segunda instancia hubiera omitido analizar el caso de acuerdo con los parámetros internacionales de la desaparición forzada y que hubiera valorado indeb</w:t>
      </w:r>
      <w:r w:rsidRPr="002C462C">
        <w:rPr>
          <w:rFonts w:ascii="Verdana" w:hAnsi="Verdana" w:cs="Cambria"/>
          <w:sz w:val="20"/>
          <w:szCs w:val="20"/>
        </w:rPr>
        <w:t>idamente las pruebas que se le presentaron</w:t>
      </w:r>
      <w:r w:rsidRPr="00744CE4">
        <w:rPr>
          <w:rStyle w:val="Refdenotaalpie"/>
          <w:rFonts w:ascii="Verdana" w:hAnsi="Verdana" w:cs="Cambria"/>
          <w:sz w:val="20"/>
          <w:szCs w:val="20"/>
        </w:rPr>
        <w:footnoteReference w:id="307"/>
      </w:r>
      <w:r w:rsidRPr="00744CE4">
        <w:rPr>
          <w:rFonts w:ascii="Verdana" w:hAnsi="Verdana" w:cs="Cambria"/>
          <w:sz w:val="20"/>
          <w:szCs w:val="20"/>
        </w:rPr>
        <w:t xml:space="preserve">. </w:t>
      </w:r>
    </w:p>
    <w:p w14:paraId="64AA5F47" w14:textId="72E1126E"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El 21 de enero de 2015 la representante Luz Estela Castro interpuso el recurso de revisión en contra de dicha determinación que negó el amparo solicitado. Dicho recurso fue radicado en el Tribunal Colegiado del Decimoséptimo Circuito bajo el Toca 80/2015</w:t>
      </w:r>
      <w:r w:rsidR="005324FF" w:rsidRPr="00744CE4">
        <w:rPr>
          <w:rStyle w:val="Refdenotaalpie"/>
          <w:rFonts w:ascii="Verdana" w:hAnsi="Verdana" w:cs="Cambria"/>
          <w:sz w:val="20"/>
          <w:szCs w:val="20"/>
        </w:rPr>
        <w:footnoteReference w:id="308"/>
      </w:r>
      <w:r w:rsidRPr="00744CE4">
        <w:rPr>
          <w:rFonts w:ascii="Verdana" w:hAnsi="Verdana" w:cs="Cambria"/>
          <w:sz w:val="20"/>
          <w:szCs w:val="20"/>
        </w:rPr>
        <w:t>.</w:t>
      </w:r>
    </w:p>
    <w:p w14:paraId="64AA5F49" w14:textId="24305218"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744CE4">
        <w:rPr>
          <w:rFonts w:ascii="Verdana" w:hAnsi="Verdana" w:cs="Cambria"/>
          <w:sz w:val="20"/>
          <w:szCs w:val="20"/>
        </w:rPr>
        <w:t>El 9 de junio de 2016 el Tribunal Colegiado del Decimoséptimo Circuito en Chihuahua, autoridad judicial de segunda instancia de amparo en materia penal en conocimiento</w:t>
      </w:r>
      <w:r w:rsidR="008B2460" w:rsidRPr="00432ABC">
        <w:rPr>
          <w:rFonts w:ascii="Verdana" w:hAnsi="Verdana" w:cs="Cambria"/>
          <w:sz w:val="20"/>
          <w:szCs w:val="20"/>
        </w:rPr>
        <w:t>,</w:t>
      </w:r>
      <w:r w:rsidRPr="00432ABC">
        <w:rPr>
          <w:rFonts w:ascii="Verdana" w:hAnsi="Verdana" w:cs="Cambria"/>
          <w:sz w:val="20"/>
          <w:szCs w:val="20"/>
        </w:rPr>
        <w:t xml:space="preserve"> revocó la sentencia de amparo emitida el 31 de diciembre de 2014</w:t>
      </w:r>
      <w:r w:rsidR="00C523B1" w:rsidRPr="00432ABC">
        <w:rPr>
          <w:rFonts w:ascii="Verdana" w:hAnsi="Verdana" w:cs="Cambria"/>
          <w:sz w:val="20"/>
          <w:szCs w:val="20"/>
        </w:rPr>
        <w:t>,</w:t>
      </w:r>
      <w:r w:rsidRPr="00432ABC">
        <w:rPr>
          <w:rFonts w:ascii="Verdana" w:hAnsi="Verdana" w:cs="Cambria"/>
          <w:sz w:val="20"/>
          <w:szCs w:val="20"/>
        </w:rPr>
        <w:t xml:space="preserve"> al considerar que no fueron analizadas la totalidad de las pruebas aportadas por la fiscalía y ordenó al 4ºTU/17ºC – Chihuahua</w:t>
      </w:r>
      <w:r w:rsidRPr="002C462C" w:rsidDel="009E0C0F">
        <w:rPr>
          <w:rFonts w:ascii="Verdana" w:hAnsi="Verdana" w:cs="Cambria"/>
          <w:sz w:val="20"/>
          <w:szCs w:val="20"/>
        </w:rPr>
        <w:t xml:space="preserve"> </w:t>
      </w:r>
      <w:r w:rsidRPr="002C462C">
        <w:rPr>
          <w:rFonts w:ascii="Verdana" w:hAnsi="Verdana" w:cs="Cambria"/>
          <w:sz w:val="20"/>
          <w:szCs w:val="20"/>
        </w:rPr>
        <w:t>que hiciera una nueva valoración y emitiera una nueva sentencia</w:t>
      </w:r>
      <w:r w:rsidRPr="00744CE4">
        <w:rPr>
          <w:rFonts w:ascii="Verdana" w:hAnsi="Verdana" w:cs="Cambria"/>
          <w:sz w:val="20"/>
          <w:szCs w:val="20"/>
          <w:vertAlign w:val="superscript"/>
        </w:rPr>
        <w:footnoteReference w:id="309"/>
      </w:r>
      <w:r w:rsidRPr="00744CE4">
        <w:rPr>
          <w:rFonts w:ascii="Verdana" w:hAnsi="Verdana" w:cs="Cambria"/>
          <w:sz w:val="20"/>
          <w:szCs w:val="20"/>
        </w:rPr>
        <w:t xml:space="preserve">. </w:t>
      </w:r>
      <w:r w:rsidR="00944652" w:rsidRPr="00744CE4">
        <w:rPr>
          <w:rFonts w:ascii="Verdana" w:hAnsi="Verdana" w:cs="Cambria"/>
          <w:sz w:val="20"/>
          <w:szCs w:val="20"/>
        </w:rPr>
        <w:t>En</w:t>
      </w:r>
      <w:r w:rsidR="009E3FEC" w:rsidRPr="00432ABC">
        <w:rPr>
          <w:rFonts w:ascii="Verdana" w:hAnsi="Verdana" w:cs="Cambria"/>
          <w:sz w:val="20"/>
          <w:szCs w:val="20"/>
        </w:rPr>
        <w:t xml:space="preserve"> consecuencia</w:t>
      </w:r>
      <w:r w:rsidR="00944652" w:rsidRPr="00432ABC">
        <w:rPr>
          <w:rFonts w:ascii="Verdana" w:hAnsi="Verdana" w:cs="Cambria"/>
          <w:sz w:val="20"/>
          <w:szCs w:val="20"/>
        </w:rPr>
        <w:t>, el 7 de octubre d</w:t>
      </w:r>
      <w:r w:rsidR="00226174" w:rsidRPr="00432ABC">
        <w:rPr>
          <w:rFonts w:ascii="Verdana" w:hAnsi="Verdana" w:cs="Cambria"/>
          <w:sz w:val="20"/>
          <w:szCs w:val="20"/>
        </w:rPr>
        <w:t>e 2016</w:t>
      </w:r>
      <w:r w:rsidR="00944652" w:rsidRPr="00432ABC">
        <w:rPr>
          <w:rFonts w:ascii="Verdana" w:hAnsi="Verdana" w:cs="Cambria"/>
          <w:sz w:val="20"/>
          <w:szCs w:val="20"/>
        </w:rPr>
        <w:t xml:space="preserve"> la magistrada del 4ºTU/17ºC – Chihuahua emitió una nueva </w:t>
      </w:r>
      <w:r w:rsidR="00007A5D" w:rsidRPr="00432ABC">
        <w:rPr>
          <w:rFonts w:ascii="Verdana" w:hAnsi="Verdana" w:cs="Cambria"/>
          <w:sz w:val="20"/>
          <w:szCs w:val="20"/>
        </w:rPr>
        <w:t>resolución</w:t>
      </w:r>
      <w:r w:rsidR="00C97A23" w:rsidRPr="002C462C">
        <w:rPr>
          <w:rFonts w:ascii="Verdana" w:hAnsi="Verdana" w:cs="Cambria"/>
          <w:sz w:val="20"/>
          <w:szCs w:val="20"/>
        </w:rPr>
        <w:t xml:space="preserve"> </w:t>
      </w:r>
      <w:r w:rsidR="00007A5D" w:rsidRPr="002C462C">
        <w:rPr>
          <w:rFonts w:ascii="Verdana" w:hAnsi="Verdana" w:cs="Cambria"/>
          <w:sz w:val="20"/>
          <w:szCs w:val="20"/>
        </w:rPr>
        <w:t xml:space="preserve">dando cumplimiento a lo ordenado y confirmó </w:t>
      </w:r>
      <w:r w:rsidR="00C97A23" w:rsidRPr="00744CE4">
        <w:rPr>
          <w:rFonts w:ascii="Verdana" w:hAnsi="Verdana" w:cs="Cambria"/>
          <w:sz w:val="20"/>
          <w:szCs w:val="20"/>
        </w:rPr>
        <w:t>la resolución de 31 de marzo de 2014 dictada por el Juez Séptimo de Distrito en el Estado de Chihuahua, negando la orden de aprehensión en contra de Élfego Luján Ruiz</w:t>
      </w:r>
      <w:r w:rsidR="00C97A23" w:rsidRPr="00744CE4">
        <w:rPr>
          <w:rFonts w:ascii="Verdana" w:hAnsi="Verdana" w:cs="Cambria"/>
          <w:b/>
          <w:bCs/>
          <w:sz w:val="20"/>
          <w:szCs w:val="20"/>
        </w:rPr>
        <w:t xml:space="preserve"> </w:t>
      </w:r>
      <w:r w:rsidR="00C97A23" w:rsidRPr="00744CE4">
        <w:rPr>
          <w:rFonts w:ascii="Verdana" w:hAnsi="Verdana" w:cs="Cambria"/>
          <w:sz w:val="20"/>
          <w:szCs w:val="20"/>
        </w:rPr>
        <w:t xml:space="preserve">por el delito de </w:t>
      </w:r>
      <w:r w:rsidR="00C97A23" w:rsidRPr="00744CE4">
        <w:rPr>
          <w:rFonts w:ascii="Verdana" w:hAnsi="Verdana" w:cs="Cambria"/>
          <w:bCs/>
          <w:sz w:val="20"/>
          <w:szCs w:val="20"/>
        </w:rPr>
        <w:t>desaparición</w:t>
      </w:r>
      <w:r w:rsidR="00C97A23" w:rsidRPr="00744CE4">
        <w:rPr>
          <w:rFonts w:ascii="Verdana" w:hAnsi="Verdana" w:cs="Cambria"/>
          <w:b/>
          <w:bCs/>
          <w:sz w:val="20"/>
          <w:szCs w:val="20"/>
        </w:rPr>
        <w:t xml:space="preserve"> </w:t>
      </w:r>
      <w:r w:rsidR="00C97A23" w:rsidRPr="00744CE4">
        <w:rPr>
          <w:rFonts w:ascii="Verdana" w:hAnsi="Verdana" w:cs="Cambria"/>
          <w:sz w:val="20"/>
          <w:szCs w:val="20"/>
        </w:rPr>
        <w:t>forzada de persona</w:t>
      </w:r>
      <w:r w:rsidR="00226174" w:rsidRPr="00744CE4">
        <w:rPr>
          <w:rFonts w:ascii="Verdana" w:hAnsi="Verdana" w:cs="Cambria"/>
          <w:sz w:val="20"/>
          <w:szCs w:val="20"/>
        </w:rPr>
        <w:t xml:space="preserve"> (</w:t>
      </w:r>
      <w:r w:rsidR="00226174" w:rsidRPr="00744CE4">
        <w:rPr>
          <w:rFonts w:ascii="Verdana" w:hAnsi="Verdana" w:cs="Cambria"/>
          <w:i/>
          <w:sz w:val="20"/>
          <w:szCs w:val="20"/>
        </w:rPr>
        <w:t>supra</w:t>
      </w:r>
      <w:r w:rsidR="00226174" w:rsidRPr="00744CE4">
        <w:rPr>
          <w:rFonts w:ascii="Verdana" w:hAnsi="Verdana" w:cs="Cambria"/>
          <w:sz w:val="20"/>
          <w:szCs w:val="20"/>
        </w:rPr>
        <w:t xml:space="preserve"> párr. </w:t>
      </w:r>
      <w:r w:rsidR="00AF7A29">
        <w:rPr>
          <w:rFonts w:ascii="Verdana" w:hAnsi="Verdana" w:cs="Cambria"/>
          <w:sz w:val="20"/>
          <w:szCs w:val="20"/>
        </w:rPr>
        <w:t>126</w:t>
      </w:r>
      <w:r w:rsidR="00226174" w:rsidRPr="00744CE4">
        <w:rPr>
          <w:rFonts w:ascii="Verdana" w:hAnsi="Verdana" w:cs="Cambria"/>
          <w:sz w:val="20"/>
          <w:szCs w:val="20"/>
        </w:rPr>
        <w:t>)</w:t>
      </w:r>
      <w:r w:rsidR="00C97A23" w:rsidRPr="00744CE4">
        <w:rPr>
          <w:rStyle w:val="Refdenotaalpie"/>
          <w:rFonts w:ascii="Verdana" w:hAnsi="Verdana" w:cs="Cambria"/>
          <w:sz w:val="20"/>
          <w:szCs w:val="20"/>
        </w:rPr>
        <w:footnoteReference w:id="310"/>
      </w:r>
      <w:r w:rsidR="00226174" w:rsidRPr="00744CE4">
        <w:rPr>
          <w:rFonts w:ascii="Verdana" w:hAnsi="Verdana" w:cs="Cambria"/>
          <w:sz w:val="20"/>
          <w:szCs w:val="20"/>
        </w:rPr>
        <w:t>.</w:t>
      </w:r>
      <w:r w:rsidR="00007A5D" w:rsidRPr="00744CE4">
        <w:rPr>
          <w:rFonts w:ascii="Verdana" w:hAnsi="Verdana" w:cs="Cambria"/>
          <w:sz w:val="20"/>
          <w:szCs w:val="20"/>
        </w:rPr>
        <w:t xml:space="preserve"> Al no ser impugnada dicha resolución de cumplimiento, </w:t>
      </w:r>
      <w:r w:rsidR="00574F72" w:rsidRPr="008D0846">
        <w:rPr>
          <w:rFonts w:ascii="Verdana" w:hAnsi="Verdana" w:cs="Cambria"/>
          <w:sz w:val="20"/>
          <w:szCs w:val="20"/>
        </w:rPr>
        <w:t>quedó firme</w:t>
      </w:r>
      <w:r w:rsidR="00007A5D" w:rsidRPr="00744CE4">
        <w:rPr>
          <w:rFonts w:ascii="Verdana" w:hAnsi="Verdana" w:cs="Cambria"/>
          <w:sz w:val="20"/>
          <w:szCs w:val="20"/>
        </w:rPr>
        <w:t xml:space="preserve"> el 7 de noviembre de 2016</w:t>
      </w:r>
      <w:r w:rsidR="00007A5D" w:rsidRPr="00744CE4">
        <w:rPr>
          <w:rStyle w:val="Refdenotaalpie"/>
          <w:rFonts w:ascii="Verdana" w:hAnsi="Verdana" w:cs="Cambria"/>
          <w:sz w:val="20"/>
          <w:szCs w:val="20"/>
        </w:rPr>
        <w:footnoteReference w:id="311"/>
      </w:r>
      <w:r w:rsidR="00007A5D" w:rsidRPr="00744CE4">
        <w:rPr>
          <w:rFonts w:ascii="Verdana" w:hAnsi="Verdana" w:cs="Cambria"/>
          <w:sz w:val="20"/>
          <w:szCs w:val="20"/>
        </w:rPr>
        <w:t xml:space="preserve">. </w:t>
      </w:r>
    </w:p>
    <w:p w14:paraId="64AA5F4B" w14:textId="186C50A6" w:rsidR="002E1C85" w:rsidRPr="00432ABC" w:rsidRDefault="00556FDB">
      <w:pPr>
        <w:pStyle w:val="Ttulo4"/>
        <w:numPr>
          <w:ilvl w:val="0"/>
          <w:numId w:val="58"/>
        </w:numPr>
        <w:spacing w:before="120" w:after="120"/>
        <w:contextualSpacing w:val="0"/>
        <w:rPr>
          <w:u w:val="none"/>
        </w:rPr>
      </w:pPr>
      <w:r>
        <w:rPr>
          <w:u w:val="none"/>
        </w:rPr>
        <w:t xml:space="preserve"> </w:t>
      </w:r>
      <w:bookmarkStart w:id="153" w:name="_Toc532995348"/>
      <w:r w:rsidR="002E1C85" w:rsidRPr="00432ABC">
        <w:rPr>
          <w:u w:val="none"/>
        </w:rPr>
        <w:t>Averiguación Previa AP/PGR/SDHPDSC/UEBPD/M5/50/2013</w:t>
      </w:r>
      <w:bookmarkEnd w:id="153"/>
      <w:r w:rsidR="002E1C85" w:rsidRPr="00432ABC">
        <w:rPr>
          <w:u w:val="none"/>
        </w:rPr>
        <w:t xml:space="preserve"> </w:t>
      </w:r>
    </w:p>
    <w:p w14:paraId="64AA5F4D" w14:textId="1A19BAAB"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 xml:space="preserve">A fin de continuar con la búsqueda de los 3 desaparecidos e investigar la probable participación de otros servidores públicos en los hechos, en el pliego de consignación de 31 de marzo de 2014 la Subprocuraduría de Derechos Humanos, Prevención del Delito y </w:t>
      </w:r>
      <w:r w:rsidRPr="002C462C">
        <w:rPr>
          <w:rFonts w:ascii="Verdana" w:hAnsi="Verdana" w:cs="Cambria"/>
          <w:sz w:val="20"/>
          <w:szCs w:val="20"/>
        </w:rPr>
        <w:t xml:space="preserve">Servicios </w:t>
      </w:r>
      <w:r w:rsidR="00AF7A29">
        <w:rPr>
          <w:rFonts w:ascii="Verdana" w:hAnsi="Verdana" w:cs="Cambria"/>
          <w:sz w:val="20"/>
          <w:szCs w:val="20"/>
        </w:rPr>
        <w:t xml:space="preserve">a la Comunidad </w:t>
      </w:r>
      <w:r w:rsidRPr="002C462C">
        <w:rPr>
          <w:rFonts w:ascii="Verdana" w:hAnsi="Verdana" w:cs="Cambria"/>
          <w:sz w:val="20"/>
          <w:szCs w:val="20"/>
        </w:rPr>
        <w:t>de la PGR también ordenó un “desglose” de la investigación</w:t>
      </w:r>
      <w:r w:rsidRPr="00744CE4">
        <w:rPr>
          <w:rStyle w:val="Refdenotaalpie"/>
          <w:rFonts w:ascii="Verdana" w:hAnsi="Verdana" w:cs="Cambria"/>
          <w:sz w:val="20"/>
          <w:szCs w:val="20"/>
        </w:rPr>
        <w:footnoteReference w:id="312"/>
      </w:r>
      <w:r w:rsidRPr="00744CE4">
        <w:rPr>
          <w:rFonts w:ascii="Verdana" w:hAnsi="Verdana" w:cs="Cambria"/>
          <w:sz w:val="20"/>
          <w:szCs w:val="20"/>
        </w:rPr>
        <w:t xml:space="preserve">, </w:t>
      </w:r>
    </w:p>
    <w:p w14:paraId="64AA5F4F" w14:textId="6AF9E38F"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744CE4">
        <w:rPr>
          <w:rFonts w:ascii="Verdana" w:hAnsi="Verdana" w:cs="Arial"/>
          <w:sz w:val="20"/>
          <w:szCs w:val="20"/>
        </w:rPr>
        <w:t>Con motivo de dicho desglose, el 1 de abril de 2014</w:t>
      </w:r>
      <w:r w:rsidRPr="00432ABC">
        <w:rPr>
          <w:rFonts w:ascii="Verdana" w:hAnsi="Verdana" w:cs="Cambria"/>
          <w:sz w:val="20"/>
          <w:szCs w:val="20"/>
        </w:rPr>
        <w:t xml:space="preserve"> fue radicada ante la Unidad Especializada </w:t>
      </w:r>
      <w:r w:rsidRPr="00432ABC">
        <w:rPr>
          <w:rFonts w:ascii="Verdana" w:hAnsi="Verdana" w:cs="Cambria"/>
          <w:sz w:val="20"/>
          <w:szCs w:val="20"/>
        </w:rPr>
        <w:lastRenderedPageBreak/>
        <w:t>de Búsqueda de Personas Desaparecidas [UEBDP – PGR] una nueva Averiguación Previa bajo el rubro AP/PGR/SDHPDSC/UEBPD/M5/50/2013 (o “50/2013”)</w:t>
      </w:r>
      <w:r w:rsidRPr="00744CE4">
        <w:rPr>
          <w:rFonts w:ascii="Verdana" w:hAnsi="Verdana" w:cs="Cambria"/>
          <w:sz w:val="20"/>
          <w:szCs w:val="20"/>
          <w:vertAlign w:val="superscript"/>
        </w:rPr>
        <w:footnoteReference w:id="313"/>
      </w:r>
      <w:r w:rsidRPr="00744CE4">
        <w:rPr>
          <w:rFonts w:ascii="Verdana" w:hAnsi="Verdana" w:cs="Cambria"/>
          <w:sz w:val="20"/>
          <w:szCs w:val="20"/>
        </w:rPr>
        <w:t>. En dicha indagatoria</w:t>
      </w:r>
      <w:r w:rsidRPr="00744CE4">
        <w:rPr>
          <w:rFonts w:ascii="Verdana" w:hAnsi="Verdana"/>
          <w:sz w:val="20"/>
          <w:szCs w:val="20"/>
          <w:lang w:val="es-AR"/>
        </w:rPr>
        <w:t>, la PGR acumuló todas las diligencias y actuaciones ministeriales realizadas desde las primeras denuncias con motivo de los hechos de las 3 desapariciones y continuó con las investi</w:t>
      </w:r>
      <w:r w:rsidRPr="00432ABC">
        <w:rPr>
          <w:rFonts w:ascii="Verdana" w:hAnsi="Verdana"/>
          <w:sz w:val="20"/>
          <w:szCs w:val="20"/>
          <w:lang w:val="es-AR"/>
        </w:rPr>
        <w:t xml:space="preserve">gaciones tras la consignación de la Averiguación Previa </w:t>
      </w:r>
      <w:r w:rsidRPr="00432ABC">
        <w:rPr>
          <w:rFonts w:ascii="Verdana" w:hAnsi="Verdana" w:cs="Cambria"/>
          <w:sz w:val="20"/>
          <w:szCs w:val="20"/>
        </w:rPr>
        <w:t>66/2013</w:t>
      </w:r>
      <w:r w:rsidRPr="00744CE4">
        <w:rPr>
          <w:rStyle w:val="Refdenotaalpie"/>
          <w:rFonts w:ascii="Verdana" w:hAnsi="Verdana" w:cs="Arial"/>
          <w:sz w:val="20"/>
          <w:szCs w:val="20"/>
        </w:rPr>
        <w:footnoteReference w:id="314"/>
      </w:r>
      <w:r w:rsidRPr="00744CE4">
        <w:rPr>
          <w:rFonts w:ascii="Verdana" w:hAnsi="Verdana" w:cs="Arial"/>
          <w:sz w:val="20"/>
          <w:szCs w:val="20"/>
        </w:rPr>
        <w:t xml:space="preserve">. </w:t>
      </w:r>
    </w:p>
    <w:p w14:paraId="64AA5F51" w14:textId="6CE58CC2" w:rsidR="002E1C85" w:rsidRPr="00432ABC"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Arial"/>
          <w:sz w:val="20"/>
          <w:szCs w:val="20"/>
        </w:rPr>
      </w:pPr>
      <w:r w:rsidRPr="00432ABC">
        <w:rPr>
          <w:rFonts w:ascii="Verdana" w:hAnsi="Verdana" w:cs="Arial"/>
          <w:sz w:val="20"/>
          <w:szCs w:val="20"/>
        </w:rPr>
        <w:t>Tras su apertura, en averiguación previa 50/2013 se encuentran, entre otras, las siguientes diligencias:</w:t>
      </w:r>
    </w:p>
    <w:p w14:paraId="51210960" w14:textId="6CCA167E" w:rsidR="00762AD6" w:rsidRPr="008D0846" w:rsidRDefault="00AC6FFB">
      <w:pPr>
        <w:pStyle w:val="Prrafodelista"/>
        <w:numPr>
          <w:ilvl w:val="0"/>
          <w:numId w:val="2"/>
        </w:numPr>
        <w:autoSpaceDE w:val="0"/>
        <w:autoSpaceDN w:val="0"/>
        <w:adjustRightInd w:val="0"/>
        <w:spacing w:before="120" w:after="120" w:line="240" w:lineRule="auto"/>
        <w:ind w:left="567" w:hanging="283"/>
        <w:contextualSpacing w:val="0"/>
        <w:jc w:val="both"/>
        <w:rPr>
          <w:rFonts w:ascii="Verdana" w:hAnsi="Verdana" w:cs="Arial"/>
          <w:sz w:val="18"/>
          <w:szCs w:val="20"/>
        </w:rPr>
      </w:pPr>
      <w:r w:rsidRPr="008D0846">
        <w:rPr>
          <w:rFonts w:ascii="Verdana" w:hAnsi="Verdana" w:cs="Arial"/>
          <w:sz w:val="18"/>
          <w:szCs w:val="20"/>
        </w:rPr>
        <w:t>i</w:t>
      </w:r>
      <w:r w:rsidR="002E1C85" w:rsidRPr="008D0846">
        <w:rPr>
          <w:rFonts w:ascii="Verdana" w:hAnsi="Verdana" w:cs="Arial"/>
          <w:sz w:val="18"/>
          <w:szCs w:val="20"/>
        </w:rPr>
        <w:t xml:space="preserve">nspección ministerial de 14 y 15 de mayo de 2014 en un lugar también denominado “Tiro de Mina” en el Ejido Benito Juárez, Chihuahua, en </w:t>
      </w:r>
      <w:r w:rsidR="00AF7A29" w:rsidRPr="008D0846">
        <w:rPr>
          <w:rFonts w:ascii="Verdana" w:hAnsi="Verdana" w:cs="Arial"/>
          <w:sz w:val="18"/>
          <w:szCs w:val="20"/>
        </w:rPr>
        <w:t>e</w:t>
      </w:r>
      <w:r w:rsidR="002E1C85" w:rsidRPr="008D0846">
        <w:rPr>
          <w:rFonts w:ascii="Verdana" w:hAnsi="Verdana" w:cs="Arial"/>
          <w:sz w:val="18"/>
          <w:szCs w:val="20"/>
        </w:rPr>
        <w:t xml:space="preserve">l que la PGR recuperó restos óseos humanos.  Tras su análisis forense, </w:t>
      </w:r>
      <w:r w:rsidR="002E1C85" w:rsidRPr="008D0846">
        <w:rPr>
          <w:rFonts w:ascii="Verdana" w:hAnsi="Verdana"/>
          <w:sz w:val="18"/>
          <w:szCs w:val="20"/>
        </w:rPr>
        <w:t>se determinó que dichos restos no correspondían a ninguno de los 3 desaparecidos</w:t>
      </w:r>
      <w:r w:rsidR="002E1C85" w:rsidRPr="008D0846">
        <w:rPr>
          <w:rStyle w:val="Refdenotaalpie"/>
          <w:rFonts w:ascii="Verdana" w:hAnsi="Verdana" w:cs="Arial"/>
          <w:sz w:val="18"/>
          <w:szCs w:val="20"/>
        </w:rPr>
        <w:footnoteReference w:id="315"/>
      </w:r>
      <w:r w:rsidR="00CE0080" w:rsidRPr="008D0846">
        <w:rPr>
          <w:rFonts w:ascii="Verdana" w:hAnsi="Verdana" w:cs="Arial"/>
          <w:sz w:val="18"/>
          <w:szCs w:val="20"/>
        </w:rPr>
        <w:t>;</w:t>
      </w:r>
    </w:p>
    <w:p w14:paraId="64AA5F55" w14:textId="11BF2593" w:rsidR="002E1C85" w:rsidRPr="008D0846" w:rsidRDefault="00CE0080">
      <w:pPr>
        <w:pStyle w:val="Prrafodelista"/>
        <w:numPr>
          <w:ilvl w:val="0"/>
          <w:numId w:val="2"/>
        </w:numPr>
        <w:autoSpaceDE w:val="0"/>
        <w:autoSpaceDN w:val="0"/>
        <w:adjustRightInd w:val="0"/>
        <w:spacing w:before="120" w:after="120" w:line="240" w:lineRule="auto"/>
        <w:ind w:left="567" w:hanging="283"/>
        <w:contextualSpacing w:val="0"/>
        <w:jc w:val="both"/>
        <w:rPr>
          <w:rFonts w:ascii="Verdana" w:hAnsi="Verdana" w:cs="Arial"/>
          <w:sz w:val="18"/>
          <w:szCs w:val="20"/>
        </w:rPr>
      </w:pPr>
      <w:r w:rsidRPr="008D0846">
        <w:rPr>
          <w:rFonts w:ascii="Verdana" w:hAnsi="Verdana" w:cs="Arial"/>
          <w:sz w:val="18"/>
          <w:szCs w:val="20"/>
        </w:rPr>
        <w:t>e</w:t>
      </w:r>
      <w:r w:rsidR="002E1C85" w:rsidRPr="008D0846">
        <w:rPr>
          <w:rFonts w:ascii="Verdana" w:hAnsi="Verdana" w:cs="Arial"/>
          <w:sz w:val="18"/>
          <w:szCs w:val="20"/>
        </w:rPr>
        <w:t>l 21 de octubre de 2014 la Directora de Atención a Requerimientos Judiciales, Ministeriales e Institucionales de la Secretaría de Gobernación [DARJMI - SEGOB] remitió lista de todos los elementos de la corporación de apellido “Meza” que estuvieron activos entre diciembre de 2009 y enero de 2010</w:t>
      </w:r>
      <w:r w:rsidR="002E1C85" w:rsidRPr="008D0846">
        <w:rPr>
          <w:rStyle w:val="Refdenotaalpie"/>
          <w:rFonts w:ascii="Verdana" w:hAnsi="Verdana" w:cs="Arial"/>
          <w:sz w:val="18"/>
          <w:szCs w:val="20"/>
        </w:rPr>
        <w:footnoteReference w:id="316"/>
      </w:r>
      <w:r w:rsidR="002E1C85" w:rsidRPr="008D0846">
        <w:rPr>
          <w:rFonts w:ascii="Verdana" w:hAnsi="Verdana" w:cs="Arial"/>
          <w:sz w:val="18"/>
          <w:szCs w:val="20"/>
        </w:rPr>
        <w:t>. El 11 de noviembre siguiente la DARJMI - SEGOB informó que no encontró que alguno de los elementos de apellido “Meza” hubieran sido comisionados, asignados o hubieran cambiado su adscripción en Chihuahua entre diciembre de 2009 y enero de 2010</w:t>
      </w:r>
      <w:r w:rsidR="002E1C85" w:rsidRPr="008D0846">
        <w:rPr>
          <w:rStyle w:val="Refdenotaalpie"/>
          <w:rFonts w:ascii="Verdana" w:hAnsi="Verdana" w:cs="Arial"/>
          <w:sz w:val="18"/>
          <w:szCs w:val="20"/>
        </w:rPr>
        <w:footnoteReference w:id="317"/>
      </w:r>
      <w:r w:rsidRPr="008D0846">
        <w:rPr>
          <w:rFonts w:ascii="Verdana" w:hAnsi="Verdana" w:cs="Arial"/>
          <w:sz w:val="18"/>
          <w:szCs w:val="20"/>
        </w:rPr>
        <w:t>;</w:t>
      </w:r>
    </w:p>
    <w:p w14:paraId="64AA5F57" w14:textId="07DDFB64" w:rsidR="002E1C85" w:rsidRPr="008D0846" w:rsidRDefault="00CE0080">
      <w:pPr>
        <w:pStyle w:val="Prrafodelista"/>
        <w:numPr>
          <w:ilvl w:val="0"/>
          <w:numId w:val="2"/>
        </w:numPr>
        <w:spacing w:before="120" w:after="120" w:line="240" w:lineRule="auto"/>
        <w:ind w:left="567"/>
        <w:contextualSpacing w:val="0"/>
        <w:jc w:val="both"/>
        <w:rPr>
          <w:rFonts w:ascii="Verdana" w:hAnsi="Verdana" w:cs="Arial"/>
          <w:sz w:val="18"/>
          <w:szCs w:val="20"/>
        </w:rPr>
      </w:pPr>
      <w:r w:rsidRPr="008D0846">
        <w:rPr>
          <w:rFonts w:ascii="Verdana" w:hAnsi="Verdana" w:cs="Arial"/>
          <w:sz w:val="18"/>
          <w:szCs w:val="20"/>
        </w:rPr>
        <w:t>i</w:t>
      </w:r>
      <w:r w:rsidR="002E1C85" w:rsidRPr="008D0846">
        <w:rPr>
          <w:rFonts w:ascii="Verdana" w:hAnsi="Verdana" w:cs="Arial"/>
          <w:sz w:val="18"/>
          <w:szCs w:val="20"/>
        </w:rPr>
        <w:t xml:space="preserve">nspección ministerial de 4 de diciembre de 2014 llevada a cabo por el AMPF, Víctor Cruz Martínez, en compañía del entonces titular de la </w:t>
      </w:r>
      <w:r w:rsidR="002E1C85" w:rsidRPr="008D0846">
        <w:rPr>
          <w:rFonts w:ascii="Verdana" w:hAnsi="Verdana" w:cs="Cambria"/>
          <w:sz w:val="18"/>
          <w:szCs w:val="20"/>
        </w:rPr>
        <w:t>UEBPD - PGR</w:t>
      </w:r>
      <w:r w:rsidR="002E1C85" w:rsidRPr="008D0846">
        <w:rPr>
          <w:rFonts w:ascii="Verdana" w:hAnsi="Verdana" w:cs="Arial"/>
          <w:sz w:val="18"/>
          <w:szCs w:val="20"/>
        </w:rPr>
        <w:t>, Salomón Baltazar Samayoa, sobre el vehículo marca Chevrolet, Silverado, modelo 2002, color gris, placas de circulación 6RMW08 del Estado de Texas, E.U.A., que se encontraba bajo administración del Servicio de Administración y Enajenación de Bienes de la Secretaría de Hacienda y Crédito Público</w:t>
      </w:r>
      <w:r w:rsidR="002E1C85" w:rsidRPr="008D0846">
        <w:rPr>
          <w:rStyle w:val="Refdenotaalpie"/>
          <w:rFonts w:ascii="Verdana" w:hAnsi="Verdana" w:cs="Arial"/>
          <w:sz w:val="18"/>
          <w:szCs w:val="20"/>
        </w:rPr>
        <w:footnoteReference w:id="318"/>
      </w:r>
      <w:r w:rsidRPr="008D0846">
        <w:rPr>
          <w:rFonts w:ascii="Verdana" w:hAnsi="Verdana" w:cs="Arial"/>
          <w:sz w:val="18"/>
          <w:szCs w:val="20"/>
        </w:rPr>
        <w:t>;</w:t>
      </w:r>
    </w:p>
    <w:p w14:paraId="2B91A358" w14:textId="6A01E8FE" w:rsidR="00762AD6" w:rsidRPr="008D0846" w:rsidRDefault="00995D47">
      <w:pPr>
        <w:pStyle w:val="Prrafodelista"/>
        <w:numPr>
          <w:ilvl w:val="0"/>
          <w:numId w:val="2"/>
        </w:numPr>
        <w:autoSpaceDE w:val="0"/>
        <w:autoSpaceDN w:val="0"/>
        <w:adjustRightInd w:val="0"/>
        <w:spacing w:before="120" w:after="120" w:line="240" w:lineRule="auto"/>
        <w:ind w:left="567"/>
        <w:contextualSpacing w:val="0"/>
        <w:jc w:val="both"/>
        <w:rPr>
          <w:rFonts w:ascii="Verdana" w:hAnsi="Verdana"/>
          <w:sz w:val="18"/>
          <w:szCs w:val="20"/>
        </w:rPr>
      </w:pPr>
      <w:r>
        <w:rPr>
          <w:rFonts w:ascii="Verdana" w:hAnsi="Verdana" w:cs="Arial"/>
          <w:sz w:val="18"/>
          <w:szCs w:val="20"/>
        </w:rPr>
        <w:t>i</w:t>
      </w:r>
      <w:r w:rsidR="002E1C85" w:rsidRPr="008D0846">
        <w:rPr>
          <w:rFonts w:ascii="Verdana" w:hAnsi="Verdana" w:cs="Arial"/>
          <w:sz w:val="18"/>
          <w:szCs w:val="20"/>
        </w:rPr>
        <w:t xml:space="preserve">nspecciones ministeriales de 4 de marzo de 2015 llevadas a cabo por el AMPF, Víctor Cruz Martínez, en compañía del titular de la </w:t>
      </w:r>
      <w:r w:rsidR="002E1C85" w:rsidRPr="008D0846">
        <w:rPr>
          <w:rFonts w:ascii="Verdana" w:hAnsi="Verdana" w:cs="Cambria"/>
          <w:sz w:val="18"/>
          <w:szCs w:val="20"/>
        </w:rPr>
        <w:t>UEBPD - PGR</w:t>
      </w:r>
      <w:r w:rsidR="002E1C85" w:rsidRPr="008D0846">
        <w:rPr>
          <w:rFonts w:ascii="Verdana" w:hAnsi="Verdana" w:cs="Arial"/>
          <w:sz w:val="18"/>
          <w:szCs w:val="20"/>
        </w:rPr>
        <w:t>, Salomón Baltazar Samayoa con el objeto de tener acceso a los archivos fotográficos y registros documentales de los detenidos por el 35 Batallón de Infantería; fecha en la cual les fue negado dicho acceso</w:t>
      </w:r>
      <w:r w:rsidR="002E1C85" w:rsidRPr="008D0846">
        <w:rPr>
          <w:rStyle w:val="Refdenotaalpie"/>
          <w:rFonts w:ascii="Verdana" w:hAnsi="Verdana" w:cs="Arial"/>
          <w:sz w:val="18"/>
          <w:szCs w:val="20"/>
        </w:rPr>
        <w:footnoteReference w:id="319"/>
      </w:r>
      <w:r w:rsidR="002E1C85" w:rsidRPr="008D0846">
        <w:rPr>
          <w:rFonts w:ascii="Verdana" w:hAnsi="Verdana" w:cs="Arial"/>
          <w:sz w:val="18"/>
          <w:szCs w:val="20"/>
        </w:rPr>
        <w:t>. El 26 de marzo siguiente se les indicó que no existía un registro documental ni fotográfico de detenidos en el 35 Batallón</w:t>
      </w:r>
      <w:r w:rsidR="002E1C85" w:rsidRPr="008D0846">
        <w:rPr>
          <w:rStyle w:val="Refdenotaalpie"/>
          <w:rFonts w:ascii="Verdana" w:hAnsi="Verdana" w:cs="Arial"/>
          <w:sz w:val="18"/>
          <w:szCs w:val="20"/>
        </w:rPr>
        <w:footnoteReference w:id="320"/>
      </w:r>
      <w:r w:rsidR="002E1C85" w:rsidRPr="008D0846">
        <w:rPr>
          <w:rFonts w:ascii="Verdana" w:hAnsi="Verdana" w:cs="Arial"/>
          <w:sz w:val="18"/>
          <w:szCs w:val="20"/>
        </w:rPr>
        <w:t>;</w:t>
      </w:r>
    </w:p>
    <w:p w14:paraId="517266B2" w14:textId="4D8703F0" w:rsidR="00762AD6" w:rsidRPr="008D0846" w:rsidRDefault="00CE0080">
      <w:pPr>
        <w:pStyle w:val="Prrafodelista"/>
        <w:numPr>
          <w:ilvl w:val="0"/>
          <w:numId w:val="2"/>
        </w:numPr>
        <w:spacing w:before="120" w:after="120" w:line="240" w:lineRule="auto"/>
        <w:ind w:left="567"/>
        <w:contextualSpacing w:val="0"/>
        <w:jc w:val="both"/>
        <w:rPr>
          <w:rFonts w:ascii="Verdana" w:hAnsi="Verdana"/>
          <w:sz w:val="18"/>
          <w:szCs w:val="20"/>
        </w:rPr>
      </w:pPr>
      <w:r w:rsidRPr="008D0846">
        <w:rPr>
          <w:rFonts w:ascii="Verdana" w:hAnsi="Verdana"/>
          <w:sz w:val="18"/>
          <w:szCs w:val="20"/>
        </w:rPr>
        <w:t>e</w:t>
      </w:r>
      <w:r w:rsidR="002E1C85" w:rsidRPr="008D0846">
        <w:rPr>
          <w:rFonts w:ascii="Verdana" w:hAnsi="Verdana"/>
          <w:sz w:val="18"/>
          <w:szCs w:val="20"/>
        </w:rPr>
        <w:t>l 12 de marzo de 2015 rindieron declaración Gabriel Flores Meza y David Meza Espinosa en carácter de testigos (en razón de apellidarse “Meza” y aparecer en la lista remitida por la Policía Federal)</w:t>
      </w:r>
      <w:r w:rsidR="002E1C85" w:rsidRPr="008D0846">
        <w:rPr>
          <w:rStyle w:val="Refdenotaalpie"/>
          <w:rFonts w:ascii="Verdana" w:hAnsi="Verdana" w:cs="Arial"/>
          <w:sz w:val="18"/>
          <w:szCs w:val="20"/>
        </w:rPr>
        <w:footnoteReference w:id="321"/>
      </w:r>
      <w:r w:rsidR="002E1C85" w:rsidRPr="008D0846">
        <w:rPr>
          <w:rFonts w:ascii="Verdana" w:hAnsi="Verdana"/>
          <w:sz w:val="18"/>
          <w:szCs w:val="20"/>
        </w:rPr>
        <w:t xml:space="preserve">, </w:t>
      </w:r>
      <w:r w:rsidR="002E1C85" w:rsidRPr="008D0846">
        <w:rPr>
          <w:rFonts w:ascii="Verdana" w:hAnsi="Verdana"/>
          <w:sz w:val="18"/>
          <w:szCs w:val="20"/>
        </w:rPr>
        <w:lastRenderedPageBreak/>
        <w:t>quienes negaron haber participado en algún tipo de investigación sobre robo de vehículos, la muerte de los 3 elementos de la Policía Federal o tener conocimiento sobre 3 desapariciones</w:t>
      </w:r>
      <w:r w:rsidR="002E1C85" w:rsidRPr="008D0846">
        <w:rPr>
          <w:rStyle w:val="Refdenotaalpie"/>
          <w:rFonts w:ascii="Verdana" w:hAnsi="Verdana" w:cs="Arial"/>
          <w:sz w:val="18"/>
          <w:szCs w:val="20"/>
        </w:rPr>
        <w:footnoteReference w:id="322"/>
      </w:r>
      <w:r w:rsidR="002E1C85" w:rsidRPr="008D0846">
        <w:rPr>
          <w:rFonts w:ascii="Verdana" w:hAnsi="Verdana"/>
          <w:sz w:val="18"/>
          <w:szCs w:val="20"/>
        </w:rPr>
        <w:t xml:space="preserve">, e </w:t>
      </w:r>
    </w:p>
    <w:p w14:paraId="27F37E1A" w14:textId="4FAEFA88" w:rsidR="00762AD6" w:rsidRPr="008D0846" w:rsidRDefault="00CE0080">
      <w:pPr>
        <w:pStyle w:val="Prrafodelista"/>
        <w:numPr>
          <w:ilvl w:val="0"/>
          <w:numId w:val="2"/>
        </w:numPr>
        <w:spacing w:before="120" w:after="120" w:line="240" w:lineRule="auto"/>
        <w:ind w:left="567"/>
        <w:contextualSpacing w:val="0"/>
        <w:jc w:val="both"/>
        <w:rPr>
          <w:rFonts w:ascii="Verdana" w:hAnsi="Verdana"/>
          <w:sz w:val="18"/>
          <w:szCs w:val="20"/>
        </w:rPr>
      </w:pPr>
      <w:r w:rsidRPr="008D0846">
        <w:rPr>
          <w:rFonts w:ascii="Verdana" w:hAnsi="Verdana" w:cs="Arial"/>
          <w:sz w:val="18"/>
          <w:szCs w:val="20"/>
        </w:rPr>
        <w:t>i</w:t>
      </w:r>
      <w:r w:rsidR="002E1C85" w:rsidRPr="008D0846">
        <w:rPr>
          <w:rFonts w:ascii="Verdana" w:hAnsi="Verdana" w:cs="Arial"/>
          <w:sz w:val="18"/>
          <w:szCs w:val="20"/>
        </w:rPr>
        <w:t>nspección ministerial de 25 de marzo de 2015 para la localización de fosas clandestinas en los municipios de Buenaventura y Janos, Chihuahua, sin lograr localizar a los desaparecidos</w:t>
      </w:r>
      <w:r w:rsidR="002E1C85" w:rsidRPr="008D0846">
        <w:rPr>
          <w:rStyle w:val="Refdenotaalpie"/>
          <w:rFonts w:ascii="Verdana" w:hAnsi="Verdana" w:cs="Arial"/>
          <w:sz w:val="18"/>
          <w:szCs w:val="20"/>
        </w:rPr>
        <w:footnoteReference w:id="323"/>
      </w:r>
      <w:r w:rsidR="002E1C85" w:rsidRPr="008D0846">
        <w:rPr>
          <w:rFonts w:ascii="Verdana" w:hAnsi="Verdana" w:cs="Arial"/>
          <w:sz w:val="18"/>
          <w:szCs w:val="20"/>
        </w:rPr>
        <w:t>.</w:t>
      </w:r>
    </w:p>
    <w:p w14:paraId="64AA5F5F" w14:textId="7DEBAAA4" w:rsidR="002E1C85" w:rsidRPr="002C462C" w:rsidRDefault="00556FDB">
      <w:pPr>
        <w:pStyle w:val="Ttulo4"/>
        <w:numPr>
          <w:ilvl w:val="0"/>
          <w:numId w:val="58"/>
        </w:numPr>
        <w:spacing w:before="120" w:after="120"/>
        <w:contextualSpacing w:val="0"/>
        <w:rPr>
          <w:u w:val="none"/>
          <w:lang w:val="es-AR"/>
        </w:rPr>
      </w:pPr>
      <w:r>
        <w:rPr>
          <w:u w:val="none"/>
        </w:rPr>
        <w:t xml:space="preserve"> </w:t>
      </w:r>
      <w:bookmarkStart w:id="154" w:name="_Toc532995349"/>
      <w:r w:rsidR="002E1C85" w:rsidRPr="00432ABC">
        <w:rPr>
          <w:u w:val="none"/>
        </w:rPr>
        <w:t xml:space="preserve">Juzgado Sexto de Distrito de Amparo en Materia Penal en Ciudad Juárez </w:t>
      </w:r>
      <w:r w:rsidR="00AF0775" w:rsidRPr="00432ABC">
        <w:rPr>
          <w:u w:val="none"/>
          <w:lang w:val="es-AR"/>
        </w:rPr>
        <w:t>[Juicio</w:t>
      </w:r>
      <w:r w:rsidR="002E1C85" w:rsidRPr="00432ABC">
        <w:rPr>
          <w:u w:val="none"/>
          <w:lang w:val="es-AR"/>
        </w:rPr>
        <w:t xml:space="preserve"> de Amparo </w:t>
      </w:r>
      <w:r w:rsidR="002E1C85" w:rsidRPr="00432ABC">
        <w:rPr>
          <w:u w:val="none"/>
        </w:rPr>
        <w:t>09/2010-I]</w:t>
      </w:r>
      <w:bookmarkEnd w:id="154"/>
    </w:p>
    <w:p w14:paraId="64AA5F61" w14:textId="5120F849"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sz w:val="20"/>
          <w:szCs w:val="20"/>
        </w:rPr>
      </w:pPr>
      <w:r w:rsidRPr="002C462C">
        <w:rPr>
          <w:rFonts w:ascii="Verdana" w:hAnsi="Verdana"/>
          <w:sz w:val="20"/>
          <w:szCs w:val="20"/>
        </w:rPr>
        <w:t xml:space="preserve">El 6 de enero de 2010 </w:t>
      </w:r>
      <w:r w:rsidRPr="00744CE4">
        <w:rPr>
          <w:rFonts w:ascii="Verdana" w:hAnsi="Verdana"/>
          <w:sz w:val="20"/>
          <w:szCs w:val="20"/>
          <w:lang w:val="es-AR"/>
        </w:rPr>
        <w:t>José Ángel Alvarado Fa</w:t>
      </w:r>
      <w:r w:rsidR="00B82930" w:rsidRPr="00744CE4">
        <w:rPr>
          <w:rFonts w:ascii="Verdana" w:hAnsi="Verdana"/>
          <w:sz w:val="20"/>
          <w:szCs w:val="20"/>
          <w:lang w:val="es-AR"/>
        </w:rPr>
        <w:t>b</w:t>
      </w:r>
      <w:r w:rsidRPr="00744CE4">
        <w:rPr>
          <w:rFonts w:ascii="Verdana" w:hAnsi="Verdana"/>
          <w:sz w:val="20"/>
          <w:szCs w:val="20"/>
          <w:lang w:val="es-AR"/>
        </w:rPr>
        <w:t>ela</w:t>
      </w:r>
      <w:r w:rsidRPr="00744CE4">
        <w:rPr>
          <w:rFonts w:ascii="Verdana" w:hAnsi="Verdana"/>
          <w:sz w:val="20"/>
          <w:szCs w:val="20"/>
        </w:rPr>
        <w:t xml:space="preserve">, padre de Jose Ángel Alvarado Herrera, </w:t>
      </w:r>
      <w:r w:rsidRPr="00744CE4">
        <w:rPr>
          <w:rFonts w:ascii="Verdana" w:hAnsi="Verdana"/>
          <w:sz w:val="20"/>
          <w:szCs w:val="20"/>
          <w:lang w:val="es-AR"/>
        </w:rPr>
        <w:t>promovió juicio de amparo en Ciudad Juárez, Chihuahua, solicitando la suspensión provisional y definitiva de “la detención ilegal y fuera de procedimiento judicial” de Nitza Paola y José Ángel Alvarado</w:t>
      </w:r>
      <w:r w:rsidRPr="00744CE4">
        <w:rPr>
          <w:rStyle w:val="Refdenotaalpie"/>
          <w:rFonts w:ascii="Verdana" w:hAnsi="Verdana"/>
          <w:sz w:val="20"/>
          <w:szCs w:val="20"/>
          <w:lang w:val="es-AR"/>
        </w:rPr>
        <w:footnoteReference w:id="324"/>
      </w:r>
      <w:r w:rsidRPr="00744CE4">
        <w:rPr>
          <w:rFonts w:ascii="Verdana" w:hAnsi="Verdana"/>
          <w:sz w:val="20"/>
          <w:szCs w:val="20"/>
          <w:lang w:val="es-AR"/>
        </w:rPr>
        <w:t xml:space="preserve">. </w:t>
      </w:r>
      <w:r w:rsidRPr="00744CE4">
        <w:rPr>
          <w:rFonts w:ascii="Verdana" w:hAnsi="Verdana"/>
          <w:sz w:val="20"/>
          <w:szCs w:val="20"/>
        </w:rPr>
        <w:t>Dicha demanda fue radicada ante el Juzgado Sexto de Distrito de Amparo en Materia Penal en Ciudad Juárez bajo el rubro 09/2010-I y ordenó a las autoridades</w:t>
      </w:r>
      <w:r w:rsidRPr="00432ABC">
        <w:rPr>
          <w:rFonts w:ascii="Verdana" w:hAnsi="Verdana"/>
          <w:sz w:val="20"/>
          <w:szCs w:val="20"/>
        </w:rPr>
        <w:t xml:space="preserve"> responsables que en el término de 24 horas remitieran las constancias que acreditaran la flagrancia o urgencia de la detención de </w:t>
      </w:r>
      <w:r w:rsidRPr="00432ABC">
        <w:rPr>
          <w:rFonts w:ascii="Verdana" w:hAnsi="Verdana"/>
          <w:sz w:val="20"/>
          <w:szCs w:val="20"/>
          <w:lang w:val="es-AR"/>
        </w:rPr>
        <w:t>Nitza Paola y José Ángel Alvarado</w:t>
      </w:r>
      <w:r w:rsidRPr="00432ABC" w:rsidDel="007A0BC1">
        <w:rPr>
          <w:rFonts w:ascii="Verdana" w:hAnsi="Verdana"/>
          <w:sz w:val="20"/>
          <w:szCs w:val="20"/>
        </w:rPr>
        <w:t xml:space="preserve"> </w:t>
      </w:r>
      <w:r w:rsidRPr="00432ABC">
        <w:rPr>
          <w:rFonts w:ascii="Verdana" w:hAnsi="Verdana"/>
          <w:sz w:val="20"/>
          <w:szCs w:val="20"/>
        </w:rPr>
        <w:t>o de lo contrario ordenaran su libertad inmediata</w:t>
      </w:r>
      <w:r w:rsidRPr="00744CE4">
        <w:rPr>
          <w:rStyle w:val="Refdenotaalpie"/>
          <w:rFonts w:ascii="Verdana" w:hAnsi="Verdana"/>
          <w:sz w:val="20"/>
          <w:szCs w:val="20"/>
        </w:rPr>
        <w:footnoteReference w:id="325"/>
      </w:r>
      <w:r w:rsidRPr="00744CE4">
        <w:rPr>
          <w:rFonts w:ascii="Verdana" w:hAnsi="Verdana"/>
          <w:sz w:val="20"/>
          <w:szCs w:val="20"/>
        </w:rPr>
        <w:t>.</w:t>
      </w:r>
    </w:p>
    <w:p w14:paraId="64AA5F63" w14:textId="541121EF"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i/>
          <w:sz w:val="20"/>
          <w:szCs w:val="20"/>
        </w:rPr>
      </w:pPr>
      <w:r w:rsidRPr="00432ABC">
        <w:rPr>
          <w:rFonts w:ascii="Verdana" w:hAnsi="Verdana"/>
          <w:sz w:val="20"/>
          <w:szCs w:val="20"/>
        </w:rPr>
        <w:t xml:space="preserve">El 7 de enero de 2010 </w:t>
      </w:r>
      <w:r w:rsidRPr="00432ABC">
        <w:rPr>
          <w:rFonts w:ascii="Verdana" w:hAnsi="Verdana" w:cs="Arial"/>
          <w:sz w:val="20"/>
          <w:szCs w:val="20"/>
        </w:rPr>
        <w:t xml:space="preserve">dicho juzgador </w:t>
      </w:r>
      <w:r w:rsidRPr="00432ABC">
        <w:rPr>
          <w:rFonts w:ascii="Verdana" w:hAnsi="Verdana"/>
          <w:sz w:val="20"/>
          <w:szCs w:val="20"/>
        </w:rPr>
        <w:t xml:space="preserve">federal </w:t>
      </w:r>
      <w:r w:rsidRPr="00432ABC">
        <w:rPr>
          <w:rFonts w:ascii="Verdana" w:hAnsi="Verdana" w:cs="Arial"/>
          <w:sz w:val="20"/>
          <w:szCs w:val="20"/>
        </w:rPr>
        <w:t xml:space="preserve">requirió la presentación de </w:t>
      </w:r>
      <w:r w:rsidRPr="002C462C">
        <w:rPr>
          <w:rFonts w:ascii="Verdana" w:hAnsi="Verdana"/>
          <w:sz w:val="20"/>
          <w:szCs w:val="20"/>
        </w:rPr>
        <w:t>Nitza Paola y José Ángel Alvarado</w:t>
      </w:r>
      <w:r w:rsidRPr="002C462C">
        <w:rPr>
          <w:rFonts w:ascii="Verdana" w:hAnsi="Verdana" w:cs="Arial"/>
          <w:sz w:val="20"/>
          <w:szCs w:val="20"/>
        </w:rPr>
        <w:t xml:space="preserve"> o información sobre su ubicación a efecto de que ratificaran la petición. Al no ser esto posible, </w:t>
      </w:r>
      <w:r w:rsidR="009B16DF" w:rsidRPr="00744CE4">
        <w:rPr>
          <w:rFonts w:ascii="Verdana" w:hAnsi="Verdana" w:cs="Arial"/>
          <w:sz w:val="20"/>
          <w:szCs w:val="20"/>
        </w:rPr>
        <w:t>6 de mayo de 2010 ordenó suspender el procedimiento</w:t>
      </w:r>
      <w:r w:rsidR="009B16DF" w:rsidRPr="00744CE4">
        <w:rPr>
          <w:rStyle w:val="Refdenotaalpie"/>
          <w:rFonts w:ascii="Verdana" w:hAnsi="Verdana" w:cs="Arial"/>
          <w:sz w:val="20"/>
          <w:szCs w:val="20"/>
        </w:rPr>
        <w:footnoteReference w:id="326"/>
      </w:r>
      <w:r w:rsidR="009B16DF" w:rsidRPr="00744CE4">
        <w:rPr>
          <w:rFonts w:ascii="Verdana" w:hAnsi="Verdana" w:cs="Arial"/>
          <w:sz w:val="20"/>
          <w:szCs w:val="20"/>
        </w:rPr>
        <w:t xml:space="preserve">. El </w:t>
      </w:r>
      <w:r w:rsidRPr="00744CE4">
        <w:rPr>
          <w:rFonts w:ascii="Verdana" w:hAnsi="Verdana" w:cs="Arial"/>
          <w:sz w:val="20"/>
          <w:szCs w:val="20"/>
        </w:rPr>
        <w:t>17 de mayo de 2011 el juez de con</w:t>
      </w:r>
      <w:r w:rsidRPr="00432ABC">
        <w:rPr>
          <w:rFonts w:ascii="Verdana" w:hAnsi="Verdana" w:cs="Arial"/>
          <w:sz w:val="20"/>
          <w:szCs w:val="20"/>
        </w:rPr>
        <w:t xml:space="preserve">ocimiento resolvió </w:t>
      </w:r>
      <w:r w:rsidR="00015B51" w:rsidRPr="00432ABC">
        <w:rPr>
          <w:rFonts w:ascii="Verdana" w:hAnsi="Verdana" w:cs="Arial"/>
          <w:sz w:val="20"/>
          <w:szCs w:val="20"/>
        </w:rPr>
        <w:t xml:space="preserve">que </w:t>
      </w:r>
      <w:r w:rsidR="009B16DF" w:rsidRPr="00432ABC">
        <w:rPr>
          <w:rFonts w:ascii="Verdana" w:hAnsi="Verdana" w:cs="Arial"/>
          <w:sz w:val="20"/>
          <w:szCs w:val="20"/>
        </w:rPr>
        <w:t xml:space="preserve">dado </w:t>
      </w:r>
      <w:r w:rsidR="00F04A0F">
        <w:rPr>
          <w:rFonts w:ascii="Verdana" w:hAnsi="Verdana" w:cs="Arial"/>
          <w:sz w:val="20"/>
          <w:szCs w:val="20"/>
        </w:rPr>
        <w:t xml:space="preserve">que </w:t>
      </w:r>
      <w:r w:rsidR="009B16DF" w:rsidRPr="00432ABC">
        <w:rPr>
          <w:rFonts w:ascii="Verdana" w:hAnsi="Verdana" w:cs="Arial"/>
          <w:sz w:val="20"/>
          <w:szCs w:val="20"/>
        </w:rPr>
        <w:t>había transcurrido un año desde la suspensión de dicho procedimiento y la imposibilidad de localizar a ambos quejosos</w:t>
      </w:r>
      <w:r w:rsidR="00082E4D" w:rsidRPr="002C462C">
        <w:rPr>
          <w:rFonts w:ascii="Verdana" w:hAnsi="Verdana" w:cs="Arial"/>
          <w:sz w:val="20"/>
          <w:szCs w:val="20"/>
        </w:rPr>
        <w:t>,</w:t>
      </w:r>
      <w:r w:rsidR="009B16DF" w:rsidRPr="002C462C">
        <w:rPr>
          <w:rFonts w:ascii="Verdana" w:hAnsi="Verdana" w:cs="Arial"/>
          <w:sz w:val="20"/>
          <w:szCs w:val="20"/>
        </w:rPr>
        <w:t xml:space="preserve"> se tuvo</w:t>
      </w:r>
      <w:r w:rsidR="00015B51" w:rsidRPr="00744CE4">
        <w:rPr>
          <w:rFonts w:ascii="Verdana" w:hAnsi="Verdana" w:cs="Arial"/>
          <w:sz w:val="20"/>
          <w:szCs w:val="20"/>
        </w:rPr>
        <w:t xml:space="preserve"> por no presentada la demanda de </w:t>
      </w:r>
      <w:r w:rsidRPr="00744CE4">
        <w:rPr>
          <w:rFonts w:ascii="Verdana" w:hAnsi="Verdana"/>
          <w:sz w:val="20"/>
          <w:szCs w:val="20"/>
        </w:rPr>
        <w:t>amparo</w:t>
      </w:r>
      <w:r w:rsidRPr="00744CE4">
        <w:rPr>
          <w:rStyle w:val="Refdenotaalpie"/>
          <w:rFonts w:ascii="Verdana" w:hAnsi="Verdana"/>
          <w:sz w:val="20"/>
          <w:szCs w:val="20"/>
        </w:rPr>
        <w:footnoteReference w:id="327"/>
      </w:r>
      <w:r w:rsidRPr="00744CE4">
        <w:rPr>
          <w:rFonts w:ascii="Verdana" w:hAnsi="Verdana"/>
          <w:sz w:val="20"/>
          <w:szCs w:val="20"/>
        </w:rPr>
        <w:t>.</w:t>
      </w:r>
    </w:p>
    <w:p w14:paraId="64AA5F65" w14:textId="4CC9E44F" w:rsidR="002E1C85" w:rsidRPr="00432ABC" w:rsidRDefault="00105D06">
      <w:pPr>
        <w:pStyle w:val="Prrafodelista"/>
        <w:widowControl w:val="0"/>
        <w:numPr>
          <w:ilvl w:val="0"/>
          <w:numId w:val="45"/>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rPr>
      </w:pPr>
      <w:bookmarkStart w:id="155" w:name="_Toc526783775"/>
      <w:r>
        <w:rPr>
          <w:rFonts w:ascii="Verdana" w:hAnsi="Verdana"/>
          <w:i/>
          <w:sz w:val="20"/>
          <w:szCs w:val="20"/>
        </w:rPr>
        <w:t xml:space="preserve"> </w:t>
      </w:r>
      <w:bookmarkStart w:id="156" w:name="_Toc532995350"/>
      <w:r w:rsidR="002E1C85" w:rsidRPr="00432ABC">
        <w:rPr>
          <w:rFonts w:ascii="Verdana" w:hAnsi="Verdana"/>
          <w:i/>
          <w:sz w:val="20"/>
          <w:szCs w:val="20"/>
        </w:rPr>
        <w:t>Otros procedimientos</w:t>
      </w:r>
      <w:bookmarkEnd w:id="155"/>
      <w:bookmarkEnd w:id="156"/>
    </w:p>
    <w:p w14:paraId="64AA5F67" w14:textId="0455ED2D" w:rsidR="002E1C85" w:rsidRPr="00432ABC" w:rsidRDefault="00556FDB">
      <w:pPr>
        <w:pStyle w:val="Ttulo4"/>
        <w:numPr>
          <w:ilvl w:val="0"/>
          <w:numId w:val="60"/>
        </w:numPr>
        <w:spacing w:before="120" w:after="120"/>
        <w:contextualSpacing w:val="0"/>
        <w:rPr>
          <w:u w:val="none"/>
        </w:rPr>
      </w:pPr>
      <w:r>
        <w:rPr>
          <w:u w:val="none"/>
        </w:rPr>
        <w:t xml:space="preserve"> </w:t>
      </w:r>
      <w:bookmarkStart w:id="157" w:name="_Toc532995351"/>
      <w:r w:rsidR="002E1C85" w:rsidRPr="00432ABC">
        <w:rPr>
          <w:u w:val="none"/>
        </w:rPr>
        <w:t>Comisión Nacional de los Derechos Humanos [CNDH]</w:t>
      </w:r>
      <w:r w:rsidR="00E33422" w:rsidRPr="008D0846">
        <w:rPr>
          <w:rStyle w:val="Refdenotaalpie"/>
          <w:u w:val="none"/>
        </w:rPr>
        <w:footnoteReference w:id="328"/>
      </w:r>
      <w:bookmarkEnd w:id="157"/>
      <w:r w:rsidR="002E1C85" w:rsidRPr="008D0846">
        <w:rPr>
          <w:u w:val="none"/>
        </w:rPr>
        <w:t xml:space="preserve"> </w:t>
      </w:r>
    </w:p>
    <w:p w14:paraId="30D5C501" w14:textId="665444EB" w:rsidR="00813B72" w:rsidRPr="00744CE4" w:rsidRDefault="002E1C85" w:rsidP="00DB378B">
      <w:pPr>
        <w:pStyle w:val="Prrafodelista"/>
        <w:widowControl w:val="0"/>
        <w:numPr>
          <w:ilvl w:val="0"/>
          <w:numId w:val="4"/>
        </w:numPr>
        <w:tabs>
          <w:tab w:val="left" w:pos="567"/>
        </w:tabs>
        <w:adjustRightInd w:val="0"/>
        <w:spacing w:before="120" w:after="120" w:line="240" w:lineRule="auto"/>
        <w:ind w:left="0" w:firstLine="0"/>
        <w:contextualSpacing w:val="0"/>
        <w:jc w:val="both"/>
        <w:textAlignment w:val="baseline"/>
        <w:rPr>
          <w:rFonts w:ascii="Verdana" w:hAnsi="Verdana" w:cs="Arial"/>
          <w:sz w:val="20"/>
          <w:szCs w:val="20"/>
        </w:rPr>
      </w:pPr>
      <w:r w:rsidRPr="002C462C">
        <w:rPr>
          <w:rFonts w:ascii="Verdana" w:hAnsi="Verdana" w:cs="Arial"/>
          <w:sz w:val="20"/>
          <w:szCs w:val="20"/>
        </w:rPr>
        <w:t>El 4 de enero de 2010 Jaime Alvarado Herrera presentó una queja ante la CNDH en Ciudad Juárez, Chihuahua, en contra de la SEDENA por la desaparición de sus familiares</w:t>
      </w:r>
      <w:r w:rsidRPr="00744CE4">
        <w:rPr>
          <w:rFonts w:ascii="Verdana" w:hAnsi="Verdana"/>
          <w:sz w:val="20"/>
          <w:szCs w:val="20"/>
          <w:vertAlign w:val="superscript"/>
        </w:rPr>
        <w:footnoteReference w:id="329"/>
      </w:r>
      <w:r w:rsidRPr="00744CE4">
        <w:rPr>
          <w:rFonts w:ascii="Verdana" w:hAnsi="Verdana" w:cs="Arial"/>
          <w:sz w:val="20"/>
          <w:szCs w:val="20"/>
        </w:rPr>
        <w:t xml:space="preserve">. </w:t>
      </w:r>
    </w:p>
    <w:p w14:paraId="45ECC9DC" w14:textId="49E4D3BF" w:rsidR="00762AD6" w:rsidRPr="00744CE4" w:rsidRDefault="002E1C85" w:rsidP="00DB378B">
      <w:pPr>
        <w:pStyle w:val="Prrafodelista"/>
        <w:widowControl w:val="0"/>
        <w:numPr>
          <w:ilvl w:val="0"/>
          <w:numId w:val="4"/>
        </w:numPr>
        <w:tabs>
          <w:tab w:val="left" w:pos="567"/>
        </w:tabs>
        <w:adjustRightInd w:val="0"/>
        <w:spacing w:before="120" w:after="120" w:line="240" w:lineRule="auto"/>
        <w:ind w:left="0" w:firstLine="0"/>
        <w:contextualSpacing w:val="0"/>
        <w:jc w:val="both"/>
        <w:textAlignment w:val="baseline"/>
        <w:rPr>
          <w:rFonts w:ascii="Verdana" w:hAnsi="Verdana" w:cs="Arial"/>
          <w:sz w:val="20"/>
          <w:szCs w:val="20"/>
        </w:rPr>
      </w:pPr>
      <w:r w:rsidRPr="00432ABC">
        <w:rPr>
          <w:rFonts w:ascii="Verdana" w:hAnsi="Verdana" w:cs="Arial"/>
          <w:sz w:val="20"/>
          <w:szCs w:val="20"/>
        </w:rPr>
        <w:t xml:space="preserve">El 30 de junio de 2011 la CNDH emitió la Recomendación 43/11 dirigida a los titulares de la </w:t>
      </w:r>
      <w:r w:rsidRPr="00432ABC">
        <w:rPr>
          <w:rFonts w:ascii="Verdana" w:hAnsi="Verdana" w:cs="Arial"/>
          <w:sz w:val="20"/>
          <w:szCs w:val="20"/>
        </w:rPr>
        <w:lastRenderedPageBreak/>
        <w:t>SEDENA y de la Secretaría de Seguridad Pública Federal [SSPF], así como del Gobernador de Chihuahua, en la que determinó la participación de agentes estatales de la SEDENA y de la Policía Federal en la detención arbitraria y desaparición forzada de las tres víctimas</w:t>
      </w:r>
      <w:r w:rsidRPr="00744CE4">
        <w:rPr>
          <w:rFonts w:ascii="Verdana" w:hAnsi="Verdana"/>
          <w:sz w:val="20"/>
          <w:szCs w:val="20"/>
          <w:vertAlign w:val="superscript"/>
        </w:rPr>
        <w:footnoteReference w:id="330"/>
      </w:r>
      <w:r w:rsidRPr="00744CE4">
        <w:rPr>
          <w:rFonts w:ascii="Verdana" w:hAnsi="Verdana" w:cs="Arial"/>
          <w:sz w:val="20"/>
          <w:szCs w:val="20"/>
        </w:rPr>
        <w:t xml:space="preserve">. Para arriba a dichas conclusiones, la CNDH tomó en cuenta: </w:t>
      </w:r>
    </w:p>
    <w:p w14:paraId="64AA5F6C" w14:textId="06DF5610" w:rsidR="002E1C85" w:rsidRPr="008D0846" w:rsidRDefault="00B4529B">
      <w:pPr>
        <w:pStyle w:val="Prrafodelista"/>
        <w:widowControl w:val="0"/>
        <w:numPr>
          <w:ilvl w:val="2"/>
          <w:numId w:val="4"/>
        </w:numPr>
        <w:tabs>
          <w:tab w:val="left" w:pos="567"/>
        </w:tabs>
        <w:adjustRightInd w:val="0"/>
        <w:spacing w:before="120" w:after="120" w:line="240" w:lineRule="auto"/>
        <w:ind w:left="567" w:hanging="181"/>
        <w:contextualSpacing w:val="0"/>
        <w:jc w:val="both"/>
        <w:textAlignment w:val="baseline"/>
        <w:rPr>
          <w:rFonts w:ascii="Verdana" w:hAnsi="Verdana" w:cs="Arial"/>
          <w:sz w:val="18"/>
          <w:szCs w:val="20"/>
        </w:rPr>
      </w:pPr>
      <w:r w:rsidRPr="008D0846">
        <w:rPr>
          <w:rFonts w:ascii="Verdana" w:hAnsi="Verdana" w:cs="Arial"/>
          <w:sz w:val="18"/>
          <w:szCs w:val="20"/>
        </w:rPr>
        <w:t>e</w:t>
      </w:r>
      <w:r w:rsidR="002E1C85" w:rsidRPr="008D0846">
        <w:rPr>
          <w:rFonts w:ascii="Verdana" w:hAnsi="Verdana" w:cs="Arial"/>
          <w:sz w:val="18"/>
          <w:szCs w:val="20"/>
        </w:rPr>
        <w:t xml:space="preserve">l contexto de militarización en Buenaventura, Chihuahua; </w:t>
      </w:r>
    </w:p>
    <w:p w14:paraId="64AA5F6D" w14:textId="06CE2646" w:rsidR="002E1C85" w:rsidRPr="008D0846" w:rsidRDefault="00D60ADB">
      <w:pPr>
        <w:pStyle w:val="Prrafodelista"/>
        <w:widowControl w:val="0"/>
        <w:numPr>
          <w:ilvl w:val="2"/>
          <w:numId w:val="4"/>
        </w:numPr>
        <w:tabs>
          <w:tab w:val="left" w:pos="567"/>
        </w:tabs>
        <w:adjustRightInd w:val="0"/>
        <w:spacing w:before="120" w:after="120" w:line="240" w:lineRule="auto"/>
        <w:ind w:left="567" w:hanging="181"/>
        <w:contextualSpacing w:val="0"/>
        <w:jc w:val="both"/>
        <w:textAlignment w:val="baseline"/>
        <w:rPr>
          <w:rFonts w:ascii="Verdana" w:hAnsi="Verdana" w:cs="Arial"/>
          <w:sz w:val="18"/>
          <w:szCs w:val="20"/>
        </w:rPr>
      </w:pPr>
      <w:r w:rsidRPr="008D0846">
        <w:rPr>
          <w:rFonts w:ascii="Verdana" w:hAnsi="Verdana" w:cs="Arial"/>
          <w:sz w:val="18"/>
          <w:szCs w:val="20"/>
        </w:rPr>
        <w:t>l</w:t>
      </w:r>
      <w:r w:rsidR="002E1C85" w:rsidRPr="008D0846">
        <w:rPr>
          <w:rFonts w:ascii="Verdana" w:hAnsi="Verdana" w:cs="Arial"/>
          <w:sz w:val="18"/>
          <w:szCs w:val="20"/>
        </w:rPr>
        <w:t xml:space="preserve">os testimonios de los familiares presentes al momento de los hechos; </w:t>
      </w:r>
    </w:p>
    <w:p w14:paraId="64AA5F6E" w14:textId="2D9F105D" w:rsidR="002E1C85" w:rsidRPr="008D0846" w:rsidRDefault="00D60ADB">
      <w:pPr>
        <w:pStyle w:val="Prrafodelista"/>
        <w:widowControl w:val="0"/>
        <w:numPr>
          <w:ilvl w:val="2"/>
          <w:numId w:val="4"/>
        </w:numPr>
        <w:tabs>
          <w:tab w:val="left" w:pos="567"/>
        </w:tabs>
        <w:adjustRightInd w:val="0"/>
        <w:spacing w:before="120" w:after="120" w:line="240" w:lineRule="auto"/>
        <w:ind w:left="567" w:hanging="181"/>
        <w:contextualSpacing w:val="0"/>
        <w:jc w:val="both"/>
        <w:textAlignment w:val="baseline"/>
        <w:rPr>
          <w:rFonts w:ascii="Verdana" w:hAnsi="Verdana" w:cs="Arial"/>
          <w:sz w:val="18"/>
          <w:szCs w:val="20"/>
        </w:rPr>
      </w:pPr>
      <w:r w:rsidRPr="008D0846">
        <w:rPr>
          <w:rFonts w:ascii="Verdana" w:hAnsi="Verdana" w:cs="Arial"/>
          <w:sz w:val="18"/>
          <w:szCs w:val="20"/>
        </w:rPr>
        <w:t>l</w:t>
      </w:r>
      <w:r w:rsidR="002E1C85" w:rsidRPr="008D0846">
        <w:rPr>
          <w:rFonts w:ascii="Verdana" w:hAnsi="Verdana" w:cs="Arial"/>
          <w:sz w:val="18"/>
          <w:szCs w:val="20"/>
        </w:rPr>
        <w:t xml:space="preserve">as declaraciones de distintos funcionarios públicos, y la falta de pruebas que acreditaran las acciones realizadas por los agentes estatales el día de los hechos y desvirtuaran los señalamientos de su posible participación en los mismos, y finalmente, </w:t>
      </w:r>
    </w:p>
    <w:p w14:paraId="64AA5F70" w14:textId="6A9C2133" w:rsidR="002E1C85" w:rsidRPr="008D0846" w:rsidRDefault="00D60ADB">
      <w:pPr>
        <w:pStyle w:val="Prrafodelista"/>
        <w:widowControl w:val="0"/>
        <w:numPr>
          <w:ilvl w:val="2"/>
          <w:numId w:val="4"/>
        </w:numPr>
        <w:tabs>
          <w:tab w:val="left" w:pos="567"/>
        </w:tabs>
        <w:adjustRightInd w:val="0"/>
        <w:spacing w:before="120" w:after="120" w:line="240" w:lineRule="auto"/>
        <w:ind w:left="567" w:hanging="181"/>
        <w:contextualSpacing w:val="0"/>
        <w:jc w:val="both"/>
        <w:textAlignment w:val="baseline"/>
        <w:rPr>
          <w:rFonts w:ascii="Verdana" w:hAnsi="Verdana" w:cs="Arial"/>
          <w:sz w:val="18"/>
          <w:szCs w:val="20"/>
        </w:rPr>
      </w:pPr>
      <w:r w:rsidRPr="008D0846">
        <w:rPr>
          <w:rFonts w:ascii="Verdana" w:hAnsi="Verdana" w:cs="Arial"/>
          <w:sz w:val="18"/>
          <w:szCs w:val="20"/>
        </w:rPr>
        <w:t>l</w:t>
      </w:r>
      <w:r w:rsidR="002E1C85" w:rsidRPr="008D0846">
        <w:rPr>
          <w:rFonts w:ascii="Verdana" w:hAnsi="Verdana" w:cs="Arial"/>
          <w:sz w:val="18"/>
          <w:szCs w:val="20"/>
        </w:rPr>
        <w:t>a falta de acciones para el esclarecimiento de los hechos y la identificación de los responsables, no obstante la existencia de diversas investigaciones en el fuero local, federal y militar.</w:t>
      </w:r>
    </w:p>
    <w:p w14:paraId="64AA5F72" w14:textId="02B28111"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Arial"/>
          <w:sz w:val="20"/>
          <w:szCs w:val="20"/>
        </w:rPr>
      </w:pPr>
      <w:r w:rsidRPr="00744CE4">
        <w:rPr>
          <w:rFonts w:ascii="Verdana" w:hAnsi="Verdana" w:cs="Arial"/>
          <w:sz w:val="20"/>
          <w:szCs w:val="20"/>
        </w:rPr>
        <w:t>La Recomendación 43/11 no fue aceptada por la SSPF</w:t>
      </w:r>
      <w:r w:rsidRPr="00744CE4">
        <w:rPr>
          <w:rStyle w:val="Refdenotaalpie"/>
          <w:rFonts w:ascii="Verdana" w:hAnsi="Verdana" w:cs="Arial"/>
          <w:sz w:val="20"/>
          <w:szCs w:val="20"/>
        </w:rPr>
        <w:footnoteReference w:id="331"/>
      </w:r>
      <w:r w:rsidRPr="00744CE4">
        <w:rPr>
          <w:rFonts w:ascii="Verdana" w:hAnsi="Verdana" w:cs="Arial"/>
          <w:sz w:val="20"/>
          <w:szCs w:val="20"/>
        </w:rPr>
        <w:t>, pero sí fue aceptada por el Gobierno del Estado de Chihuahua</w:t>
      </w:r>
      <w:r w:rsidRPr="00744CE4">
        <w:rPr>
          <w:rStyle w:val="Refdenotaalpie"/>
          <w:rFonts w:ascii="Verdana" w:hAnsi="Verdana" w:cs="Arial"/>
          <w:sz w:val="20"/>
          <w:szCs w:val="20"/>
        </w:rPr>
        <w:footnoteReference w:id="332"/>
      </w:r>
      <w:r w:rsidRPr="00744CE4">
        <w:rPr>
          <w:rFonts w:ascii="Verdana" w:hAnsi="Verdana" w:cs="Arial"/>
          <w:sz w:val="20"/>
          <w:szCs w:val="20"/>
        </w:rPr>
        <w:t xml:space="preserve"> y por la SEDENA</w:t>
      </w:r>
      <w:r w:rsidRPr="00744CE4">
        <w:rPr>
          <w:rStyle w:val="Refdenotaalpie"/>
          <w:rFonts w:ascii="Verdana" w:hAnsi="Verdana" w:cs="Arial"/>
          <w:sz w:val="20"/>
          <w:szCs w:val="20"/>
        </w:rPr>
        <w:footnoteReference w:id="333"/>
      </w:r>
      <w:r w:rsidRPr="00744CE4">
        <w:rPr>
          <w:rFonts w:ascii="Verdana" w:hAnsi="Verdana" w:cs="Arial"/>
          <w:sz w:val="20"/>
          <w:szCs w:val="20"/>
        </w:rPr>
        <w:t>. En vista de dicha aceptación, el 14 de noviembre de 2012 la SEDENA entregó a Obdulia Espinoza Beltrán, Patricia Reyes Rueda y Ascensión Alvarado Fa</w:t>
      </w:r>
      <w:r w:rsidR="00B82930" w:rsidRPr="00744CE4">
        <w:rPr>
          <w:rFonts w:ascii="Verdana" w:hAnsi="Verdana" w:cs="Arial"/>
          <w:sz w:val="20"/>
          <w:szCs w:val="20"/>
        </w:rPr>
        <w:t>b</w:t>
      </w:r>
      <w:r w:rsidRPr="00432ABC">
        <w:rPr>
          <w:rFonts w:ascii="Verdana" w:hAnsi="Verdana" w:cs="Arial"/>
          <w:sz w:val="20"/>
          <w:szCs w:val="20"/>
        </w:rPr>
        <w:t xml:space="preserve">ela (en su carácter de legítimos beneficiarios de los </w:t>
      </w:r>
      <w:r w:rsidR="00640618">
        <w:rPr>
          <w:rFonts w:ascii="Verdana" w:hAnsi="Verdana" w:cs="Arial"/>
          <w:sz w:val="20"/>
          <w:szCs w:val="20"/>
        </w:rPr>
        <w:t>3</w:t>
      </w:r>
      <w:r w:rsidRPr="00432ABC">
        <w:rPr>
          <w:rFonts w:ascii="Verdana" w:hAnsi="Verdana" w:cs="Arial"/>
          <w:sz w:val="20"/>
          <w:szCs w:val="20"/>
        </w:rPr>
        <w:t xml:space="preserve"> desaparecidos), la  cantidad de $182,003.60 (ciento ochenta y dos mil tres pesos 60/100, moneda nacional) por concepto de apoyo económico, aclarando en el respectivo convenio suscrito con cada uno de los referidos beneficiarios que tal entrega se hacía como acto de buena fe y sin que ello implicara un reconocimiento de responsabilidad en las 3 desapariciones</w:t>
      </w:r>
      <w:r w:rsidRPr="00744CE4">
        <w:rPr>
          <w:rFonts w:ascii="Verdana" w:hAnsi="Verdana"/>
          <w:sz w:val="20"/>
          <w:szCs w:val="20"/>
          <w:vertAlign w:val="superscript"/>
        </w:rPr>
        <w:footnoteReference w:id="334"/>
      </w:r>
      <w:r w:rsidRPr="00744CE4">
        <w:rPr>
          <w:rFonts w:ascii="Verdana" w:hAnsi="Verdana" w:cs="Arial"/>
          <w:sz w:val="20"/>
          <w:szCs w:val="20"/>
        </w:rPr>
        <w:t>.</w:t>
      </w:r>
    </w:p>
    <w:p w14:paraId="64AA5F74" w14:textId="214A548F" w:rsidR="002E1C85" w:rsidRPr="00432ABC" w:rsidRDefault="00556FDB">
      <w:pPr>
        <w:pStyle w:val="Ttulo4"/>
        <w:numPr>
          <w:ilvl w:val="0"/>
          <w:numId w:val="60"/>
        </w:numPr>
        <w:spacing w:before="120" w:after="120"/>
        <w:contextualSpacing w:val="0"/>
        <w:rPr>
          <w:u w:val="none"/>
          <w:lang w:val="es-AR"/>
        </w:rPr>
      </w:pPr>
      <w:r>
        <w:rPr>
          <w:u w:val="none"/>
          <w:lang w:val="es-AR"/>
        </w:rPr>
        <w:t xml:space="preserve"> </w:t>
      </w:r>
      <w:bookmarkStart w:id="158" w:name="_Toc532995352"/>
      <w:r w:rsidR="002E1C85" w:rsidRPr="00432ABC">
        <w:rPr>
          <w:u w:val="none"/>
          <w:lang w:val="es-AR"/>
        </w:rPr>
        <w:t>Programa para la Atención de Quejas y Denuncias sobre el Operativo Conjunto Juárez [Queja 886/09]</w:t>
      </w:r>
      <w:bookmarkEnd w:id="158"/>
    </w:p>
    <w:p w14:paraId="64AA5F76" w14:textId="006FECFB" w:rsidR="002E1C85" w:rsidRPr="00744CE4" w:rsidRDefault="002E1C85"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i/>
          <w:sz w:val="20"/>
          <w:szCs w:val="20"/>
        </w:rPr>
      </w:pPr>
      <w:r w:rsidRPr="00432ABC">
        <w:rPr>
          <w:rFonts w:ascii="Verdana" w:hAnsi="Verdana"/>
          <w:sz w:val="20"/>
          <w:szCs w:val="20"/>
        </w:rPr>
        <w:t>El 4 de enero de 2010 Patricia Reyes Rueda promovió en las oficinas del Programa para la Atención de Quejas y Denuncias sobre el Operativo Conjunto Juárez en Ciudad Juárez, Chihuahua, una denuncia en contra de elementos militares “destacamentados en el Estado” [sic] y de “Élfido o Elfidio Luján” por la desaparición de su</w:t>
      </w:r>
      <w:r w:rsidRPr="002C462C">
        <w:rPr>
          <w:rFonts w:ascii="Verdana" w:hAnsi="Verdana"/>
          <w:sz w:val="20"/>
          <w:szCs w:val="20"/>
        </w:rPr>
        <w:t>s familiares, la cual fue radicada bajo el rubro 886/09</w:t>
      </w:r>
      <w:r w:rsidRPr="00744CE4">
        <w:rPr>
          <w:rStyle w:val="Refdenotaalpie"/>
          <w:rFonts w:ascii="Verdana" w:hAnsi="Verdana"/>
          <w:sz w:val="20"/>
          <w:szCs w:val="20"/>
        </w:rPr>
        <w:footnoteReference w:id="335"/>
      </w:r>
      <w:r w:rsidRPr="00744CE4">
        <w:rPr>
          <w:rFonts w:ascii="Verdana" w:hAnsi="Verdana"/>
          <w:sz w:val="20"/>
          <w:szCs w:val="20"/>
        </w:rPr>
        <w:t xml:space="preserve">. No obstante, a la fecha se desconoce la determinación final que recayó a dicha demanda por no existir constancia alguna ante el Tribunal que dé cuenta de la </w:t>
      </w:r>
      <w:r w:rsidR="00BE37DC" w:rsidRPr="00432ABC">
        <w:rPr>
          <w:rFonts w:ascii="Verdana" w:hAnsi="Verdana"/>
          <w:sz w:val="20"/>
          <w:szCs w:val="20"/>
        </w:rPr>
        <w:t xml:space="preserve">existencia de la </w:t>
      </w:r>
      <w:r w:rsidRPr="00432ABC">
        <w:rPr>
          <w:rFonts w:ascii="Verdana" w:hAnsi="Verdana"/>
          <w:sz w:val="20"/>
          <w:szCs w:val="20"/>
        </w:rPr>
        <w:t>misma</w:t>
      </w:r>
      <w:r w:rsidR="00423288" w:rsidRPr="00744CE4">
        <w:rPr>
          <w:rStyle w:val="Refdenotaalpie"/>
          <w:rFonts w:ascii="Verdana" w:hAnsi="Verdana"/>
          <w:sz w:val="20"/>
          <w:szCs w:val="20"/>
        </w:rPr>
        <w:footnoteReference w:id="336"/>
      </w:r>
      <w:r w:rsidRPr="00744CE4">
        <w:rPr>
          <w:rFonts w:ascii="Verdana" w:hAnsi="Verdana"/>
          <w:sz w:val="20"/>
          <w:szCs w:val="20"/>
        </w:rPr>
        <w:t>.</w:t>
      </w:r>
    </w:p>
    <w:p w14:paraId="64AA5F78" w14:textId="57153F5F" w:rsidR="002E1C85" w:rsidRPr="002C462C" w:rsidRDefault="0020172F">
      <w:pPr>
        <w:pStyle w:val="Prrafodelista"/>
        <w:keepNext/>
        <w:keepLines/>
        <w:widowControl w:val="0"/>
        <w:numPr>
          <w:ilvl w:val="0"/>
          <w:numId w:val="42"/>
        </w:numPr>
        <w:adjustRightInd w:val="0"/>
        <w:spacing w:before="120" w:after="120" w:line="240" w:lineRule="auto"/>
        <w:ind w:left="714" w:hanging="357"/>
        <w:contextualSpacing w:val="0"/>
        <w:jc w:val="both"/>
        <w:textAlignment w:val="baseline"/>
        <w:outlineLvl w:val="1"/>
        <w:rPr>
          <w:rFonts w:ascii="Verdana" w:hAnsi="Verdana"/>
          <w:b/>
          <w:i/>
          <w:sz w:val="20"/>
          <w:szCs w:val="20"/>
        </w:rPr>
      </w:pPr>
      <w:bookmarkStart w:id="159" w:name="_Toc526774154"/>
      <w:bookmarkStart w:id="160" w:name="_Toc526777486"/>
      <w:bookmarkStart w:id="161" w:name="_Toc526783776"/>
      <w:r>
        <w:rPr>
          <w:rFonts w:ascii="Verdana" w:hAnsi="Verdana"/>
          <w:b/>
          <w:i/>
          <w:sz w:val="20"/>
          <w:szCs w:val="20"/>
        </w:rPr>
        <w:t xml:space="preserve"> </w:t>
      </w:r>
      <w:bookmarkStart w:id="162" w:name="_Toc532995353"/>
      <w:r w:rsidR="001E5246" w:rsidRPr="00432ABC">
        <w:rPr>
          <w:rFonts w:ascii="Verdana" w:hAnsi="Verdana"/>
          <w:b/>
          <w:i/>
          <w:sz w:val="20"/>
          <w:szCs w:val="20"/>
        </w:rPr>
        <w:t xml:space="preserve">Sobre </w:t>
      </w:r>
      <w:r w:rsidR="001E5246" w:rsidRPr="00432ABC">
        <w:rPr>
          <w:rFonts w:ascii="Verdana" w:hAnsi="Verdana"/>
          <w:b/>
          <w:i/>
          <w:sz w:val="20"/>
          <w:szCs w:val="20"/>
          <w:lang w:val="es-CR"/>
        </w:rPr>
        <w:t>las</w:t>
      </w:r>
      <w:r w:rsidR="002E1C85" w:rsidRPr="00432ABC">
        <w:rPr>
          <w:rFonts w:ascii="Verdana" w:hAnsi="Verdana"/>
          <w:b/>
          <w:i/>
          <w:sz w:val="20"/>
          <w:szCs w:val="20"/>
          <w:lang w:val="es-CR"/>
        </w:rPr>
        <w:t xml:space="preserve"> amenazas y hostigamientos recibidos por los familiares</w:t>
      </w:r>
      <w:r w:rsidR="008D71A5">
        <w:rPr>
          <w:rFonts w:ascii="Verdana" w:hAnsi="Verdana"/>
          <w:b/>
          <w:i/>
          <w:sz w:val="20"/>
          <w:szCs w:val="20"/>
          <w:lang w:val="es-CR"/>
        </w:rPr>
        <w:t>,</w:t>
      </w:r>
      <w:r w:rsidR="008D1822" w:rsidRPr="00432ABC">
        <w:rPr>
          <w:rFonts w:ascii="Verdana" w:hAnsi="Verdana"/>
          <w:b/>
          <w:i/>
          <w:sz w:val="20"/>
          <w:szCs w:val="20"/>
          <w:lang w:val="es-CR"/>
        </w:rPr>
        <w:t xml:space="preserve"> los desplazamientos de </w:t>
      </w:r>
      <w:r w:rsidR="00D156DC">
        <w:rPr>
          <w:rFonts w:ascii="Verdana" w:hAnsi="Verdana"/>
          <w:b/>
          <w:i/>
          <w:sz w:val="20"/>
          <w:szCs w:val="20"/>
          <w:lang w:val="es-CR"/>
        </w:rPr>
        <w:t>é</w:t>
      </w:r>
      <w:r w:rsidR="008D1822" w:rsidRPr="00432ABC">
        <w:rPr>
          <w:rFonts w:ascii="Verdana" w:hAnsi="Verdana"/>
          <w:b/>
          <w:i/>
          <w:sz w:val="20"/>
          <w:szCs w:val="20"/>
          <w:lang w:val="es-CR"/>
        </w:rPr>
        <w:t xml:space="preserve">stos </w:t>
      </w:r>
      <w:r w:rsidR="002E1C85" w:rsidRPr="002C462C">
        <w:rPr>
          <w:rFonts w:ascii="Verdana" w:hAnsi="Verdana"/>
          <w:b/>
          <w:i/>
          <w:sz w:val="20"/>
          <w:szCs w:val="20"/>
          <w:lang w:val="es-CR"/>
        </w:rPr>
        <w:t>una vez ocurridas las tres desapariciones</w:t>
      </w:r>
      <w:bookmarkEnd w:id="159"/>
      <w:bookmarkEnd w:id="160"/>
      <w:bookmarkEnd w:id="161"/>
      <w:r w:rsidR="008D71A5">
        <w:rPr>
          <w:rFonts w:ascii="Verdana" w:hAnsi="Verdana"/>
          <w:b/>
          <w:i/>
          <w:sz w:val="20"/>
          <w:szCs w:val="20"/>
          <w:lang w:val="es-CR"/>
        </w:rPr>
        <w:t xml:space="preserve"> y las Medidas Provisionales</w:t>
      </w:r>
      <w:bookmarkEnd w:id="162"/>
    </w:p>
    <w:p w14:paraId="3388272D" w14:textId="56167FC0" w:rsidR="008D1822" w:rsidRPr="00744CE4" w:rsidRDefault="00E34BFF">
      <w:pPr>
        <w:pStyle w:val="Prrafodelista"/>
        <w:widowControl w:val="0"/>
        <w:numPr>
          <w:ilvl w:val="0"/>
          <w:numId w:val="55"/>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hAnsi="Verdana"/>
          <w:i/>
          <w:sz w:val="20"/>
          <w:szCs w:val="20"/>
          <w:lang w:val="es-AR"/>
        </w:rPr>
      </w:pPr>
      <w:r>
        <w:rPr>
          <w:rFonts w:ascii="Verdana" w:hAnsi="Verdana"/>
          <w:i/>
          <w:sz w:val="20"/>
          <w:szCs w:val="20"/>
          <w:lang w:val="es-CR"/>
        </w:rPr>
        <w:t xml:space="preserve"> </w:t>
      </w:r>
      <w:bookmarkStart w:id="163" w:name="_Toc532995354"/>
      <w:r w:rsidR="008D1822" w:rsidRPr="00744CE4">
        <w:rPr>
          <w:rFonts w:ascii="Verdana" w:hAnsi="Verdana"/>
          <w:i/>
          <w:sz w:val="20"/>
          <w:szCs w:val="20"/>
          <w:lang w:val="es-CR"/>
        </w:rPr>
        <w:t xml:space="preserve">Las amenazas y hostigamientos recibidos por los </w:t>
      </w:r>
      <w:r w:rsidR="008D1822" w:rsidRPr="00744CE4">
        <w:rPr>
          <w:rFonts w:ascii="Verdana" w:hAnsi="Verdana"/>
          <w:i/>
          <w:sz w:val="20"/>
          <w:szCs w:val="20"/>
          <w:lang w:val="es-AR"/>
        </w:rPr>
        <w:t>familiares</w:t>
      </w:r>
      <w:bookmarkEnd w:id="163"/>
      <w:r w:rsidR="008D1822" w:rsidRPr="00744CE4">
        <w:rPr>
          <w:rFonts w:ascii="Verdana" w:hAnsi="Verdana"/>
          <w:i/>
          <w:sz w:val="20"/>
          <w:szCs w:val="20"/>
          <w:lang w:val="es-AR"/>
        </w:rPr>
        <w:t xml:space="preserve"> </w:t>
      </w:r>
    </w:p>
    <w:p w14:paraId="6B26949E" w14:textId="63E20C59" w:rsidR="008D1822" w:rsidRPr="00744CE4" w:rsidRDefault="008D1822"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744CE4">
        <w:rPr>
          <w:rFonts w:ascii="Verdana" w:hAnsi="Verdana" w:cs="Cambria"/>
          <w:sz w:val="20"/>
          <w:szCs w:val="20"/>
        </w:rPr>
        <w:lastRenderedPageBreak/>
        <w:t>Primeramente, e</w:t>
      </w:r>
      <w:r w:rsidRPr="00744CE4">
        <w:rPr>
          <w:rFonts w:ascii="Verdana" w:eastAsiaTheme="minorHAnsi" w:hAnsi="Verdana" w:cs="Cambria"/>
          <w:sz w:val="20"/>
          <w:szCs w:val="20"/>
        </w:rPr>
        <w:t xml:space="preserve">l 13 de mayo de 2010 la </w:t>
      </w:r>
      <w:r w:rsidR="007B2885">
        <w:rPr>
          <w:rFonts w:ascii="Verdana" w:eastAsiaTheme="minorHAnsi" w:hAnsi="Verdana" w:cs="Cambria"/>
          <w:sz w:val="20"/>
          <w:szCs w:val="20"/>
        </w:rPr>
        <w:t xml:space="preserve">Comisión Interamericana </w:t>
      </w:r>
      <w:r w:rsidRPr="00744CE4">
        <w:rPr>
          <w:rFonts w:ascii="Verdana" w:eastAsiaTheme="minorHAnsi" w:hAnsi="Verdana" w:cs="Cambria"/>
          <w:sz w:val="20"/>
          <w:szCs w:val="20"/>
        </w:rPr>
        <w:t>sometió a la Corte una solicitud de medidas provisionales, con el propósito de que el Estado protegiera la vida e integridad personal de Nitza Paola, Rocío Irene y José Ángel Alvarado</w:t>
      </w:r>
      <w:r w:rsidRPr="00744CE4">
        <w:rPr>
          <w:rStyle w:val="Refdenotaalpie"/>
          <w:rFonts w:ascii="Verdana" w:hAnsi="Verdana" w:cs="Cambria"/>
          <w:sz w:val="20"/>
          <w:szCs w:val="20"/>
        </w:rPr>
        <w:footnoteReference w:id="337"/>
      </w:r>
      <w:r w:rsidRPr="00744CE4">
        <w:rPr>
          <w:rFonts w:ascii="Verdana" w:eastAsiaTheme="minorHAnsi" w:hAnsi="Verdana" w:cs="Cambria"/>
          <w:sz w:val="20"/>
          <w:szCs w:val="20"/>
        </w:rPr>
        <w:t>. Mediante Resolución de 26 de mayo de 2010 la Corte ordenó al Estado adoptar, de forma inmediata, todas las medidas que fueran necesarias para dar con el paradero de las víctimas y, seguidamente, proteger su vida, integridad y libertad personal</w:t>
      </w:r>
      <w:r w:rsidRPr="00744CE4">
        <w:rPr>
          <w:rFonts w:ascii="Verdana" w:hAnsi="Verdana"/>
          <w:sz w:val="20"/>
          <w:szCs w:val="20"/>
          <w:vertAlign w:val="superscript"/>
        </w:rPr>
        <w:footnoteReference w:id="338"/>
      </w:r>
      <w:r w:rsidRPr="00744CE4">
        <w:rPr>
          <w:rFonts w:ascii="Verdana" w:hAnsi="Verdana" w:cs="Cambria"/>
          <w:sz w:val="20"/>
          <w:szCs w:val="20"/>
        </w:rPr>
        <w:t xml:space="preserve">. Mediante Resolución de 26 de noviembre de 2010 la Corte determinó mantener las medidas a falta de resultados concretos por parte de las autoridades estatales y, a partir de la información recibida sobre actos de hostigamiento a familiares se consideró que </w:t>
      </w:r>
      <w:r w:rsidRPr="00432ABC">
        <w:rPr>
          <w:rFonts w:ascii="Verdana" w:hAnsi="Verdana" w:cs="Cambria"/>
          <w:sz w:val="20"/>
          <w:szCs w:val="20"/>
        </w:rPr>
        <w:t>24 miembros de la familia se encontraban en una situación de riesgo y resolvió ampliarlas en su favor</w:t>
      </w:r>
      <w:r w:rsidRPr="00744CE4">
        <w:rPr>
          <w:rStyle w:val="Refdenotaalpie"/>
          <w:rFonts w:ascii="Verdana" w:hAnsi="Verdana" w:cs="Cambria"/>
          <w:sz w:val="20"/>
          <w:szCs w:val="20"/>
        </w:rPr>
        <w:footnoteReference w:id="339"/>
      </w:r>
      <w:r w:rsidRPr="00744CE4">
        <w:rPr>
          <w:rFonts w:ascii="Verdana" w:hAnsi="Verdana" w:cs="Cambria"/>
          <w:sz w:val="20"/>
          <w:szCs w:val="20"/>
        </w:rPr>
        <w:t xml:space="preserve">. </w:t>
      </w:r>
    </w:p>
    <w:p w14:paraId="2DC0002D" w14:textId="7200AE69" w:rsidR="00BD656C" w:rsidRPr="00432ABC" w:rsidRDefault="008D1822"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744CE4">
        <w:rPr>
          <w:rFonts w:ascii="Verdana" w:hAnsi="Verdana" w:cs="Times New Roman"/>
          <w:sz w:val="20"/>
          <w:szCs w:val="20"/>
        </w:rPr>
        <w:t>E</w:t>
      </w:r>
      <w:r w:rsidRPr="00432ABC">
        <w:rPr>
          <w:rFonts w:ascii="Verdana" w:hAnsi="Verdana" w:cs="Times New Roman"/>
          <w:sz w:val="20"/>
          <w:szCs w:val="20"/>
        </w:rPr>
        <w:t xml:space="preserve">l 29 de enero de 2011 </w:t>
      </w:r>
      <w:r w:rsidR="00894E31" w:rsidRPr="00432ABC">
        <w:rPr>
          <w:rFonts w:ascii="Verdana" w:hAnsi="Verdana" w:cs="Cambria"/>
          <w:sz w:val="20"/>
          <w:szCs w:val="20"/>
        </w:rPr>
        <w:t>José</w:t>
      </w:r>
      <w:r w:rsidRPr="00432ABC">
        <w:rPr>
          <w:rFonts w:ascii="Verdana" w:hAnsi="Verdana" w:cs="Cambria"/>
          <w:sz w:val="20"/>
          <w:szCs w:val="20"/>
        </w:rPr>
        <w:t xml:space="preserve"> Ángel Alvarado Fabela (padre de José Ángel Alvarado Herrera) recibió una llamada telefónica a su celular en la cual le dijeron: </w:t>
      </w:r>
    </w:p>
    <w:p w14:paraId="2072823E" w14:textId="77777777" w:rsidR="008D1822" w:rsidRPr="00744CE4" w:rsidRDefault="008D1822">
      <w:pPr>
        <w:widowControl w:val="0"/>
        <w:tabs>
          <w:tab w:val="left" w:pos="567"/>
        </w:tabs>
        <w:adjustRightInd w:val="0"/>
        <w:spacing w:before="120" w:after="120" w:line="240" w:lineRule="auto"/>
        <w:ind w:left="720"/>
        <w:jc w:val="both"/>
        <w:textAlignment w:val="baseline"/>
        <w:rPr>
          <w:rFonts w:ascii="Verdana" w:hAnsi="Verdana" w:cs="Cambria"/>
          <w:sz w:val="20"/>
          <w:szCs w:val="20"/>
        </w:rPr>
      </w:pPr>
      <w:r w:rsidRPr="002C462C">
        <w:rPr>
          <w:rFonts w:ascii="Verdana" w:hAnsi="Verdana"/>
          <w:sz w:val="20"/>
          <w:szCs w:val="20"/>
        </w:rPr>
        <w:t>“</w:t>
      </w:r>
      <w:r w:rsidRPr="002C462C">
        <w:rPr>
          <w:rFonts w:ascii="Verdana" w:hAnsi="Verdana"/>
          <w:sz w:val="18"/>
          <w:szCs w:val="20"/>
        </w:rPr>
        <w:t xml:space="preserve">nosotros tenemos a tu hijo y está vivo, te vamos a matar como a un perro a ti y a tus hijos, tienes </w:t>
      </w:r>
      <w:r w:rsidRPr="00744CE4">
        <w:rPr>
          <w:rFonts w:ascii="Verdana" w:hAnsi="Verdana"/>
          <w:sz w:val="18"/>
          <w:szCs w:val="20"/>
        </w:rPr>
        <w:t>doce horas para dejar la casa y la ciudad, si no los matamos a todos porque están hablando demasiado”</w:t>
      </w:r>
      <w:r w:rsidRPr="00744CE4">
        <w:rPr>
          <w:rStyle w:val="Refdenotaalpie"/>
          <w:rFonts w:ascii="Verdana" w:hAnsi="Verdana"/>
          <w:sz w:val="18"/>
          <w:szCs w:val="20"/>
        </w:rPr>
        <w:footnoteReference w:id="340"/>
      </w:r>
      <w:r w:rsidRPr="00744CE4">
        <w:rPr>
          <w:rFonts w:ascii="Verdana" w:hAnsi="Verdana"/>
          <w:sz w:val="18"/>
          <w:szCs w:val="20"/>
        </w:rPr>
        <w:t>.</w:t>
      </w:r>
    </w:p>
    <w:p w14:paraId="3BEA3845" w14:textId="3969E632" w:rsidR="008D1822" w:rsidRPr="00744CE4" w:rsidRDefault="008D1822"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El 16 de marzo de 2011 la CNDH promovió ante el Director de Derechos Humanos de la SEDENA una extensión de las medidas cautelares implementadas en el marco de las MC-55-10 otorgadas el 4 de marzo de 2010 por la Comisión Interamericana. Dicha solicitud estuvo motivada a que la CNDH tuvo información de las amenazas de muerte recibidas que los familiares atribuyeron a elementos del Ejército</w:t>
      </w:r>
      <w:r w:rsidRPr="00744CE4">
        <w:rPr>
          <w:rStyle w:val="Refdenotaalpie"/>
          <w:rFonts w:ascii="Verdana" w:hAnsi="Verdana" w:cs="Cambria"/>
          <w:sz w:val="20"/>
          <w:szCs w:val="20"/>
        </w:rPr>
        <w:footnoteReference w:id="341"/>
      </w:r>
      <w:r w:rsidRPr="00744CE4">
        <w:rPr>
          <w:rFonts w:ascii="Verdana" w:hAnsi="Verdana" w:cs="Cambria"/>
          <w:sz w:val="20"/>
          <w:szCs w:val="20"/>
        </w:rPr>
        <w:t>. La extensión de las medidas cautelares fue otorgada por la SEDENA el 19 de marzo de 2011</w:t>
      </w:r>
      <w:r w:rsidRPr="00744CE4">
        <w:rPr>
          <w:rStyle w:val="Refdenotaalpie"/>
          <w:rFonts w:ascii="Verdana" w:hAnsi="Verdana" w:cs="Cambria"/>
          <w:sz w:val="20"/>
          <w:szCs w:val="20"/>
        </w:rPr>
        <w:footnoteReference w:id="342"/>
      </w:r>
      <w:r w:rsidR="00894E31">
        <w:rPr>
          <w:rFonts w:ascii="Verdana" w:hAnsi="Verdana" w:cs="Cambria"/>
          <w:sz w:val="20"/>
          <w:szCs w:val="20"/>
        </w:rPr>
        <w:t>.</w:t>
      </w:r>
    </w:p>
    <w:p w14:paraId="21B5010F" w14:textId="1F2FEA8E" w:rsidR="008D1822" w:rsidRPr="00744CE4" w:rsidRDefault="008D1822" w:rsidP="00DB378B">
      <w:pPr>
        <w:pStyle w:val="Prrafodelista"/>
        <w:numPr>
          <w:ilvl w:val="0"/>
          <w:numId w:val="4"/>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744CE4">
        <w:rPr>
          <w:rFonts w:ascii="Verdana" w:hAnsi="Verdana" w:cs="Cambria"/>
          <w:sz w:val="20"/>
          <w:szCs w:val="20"/>
        </w:rPr>
        <w:t xml:space="preserve">Mediante Resolución de 15 de mayo de 2011 la Corte </w:t>
      </w:r>
      <w:r w:rsidRPr="00432ABC">
        <w:rPr>
          <w:rFonts w:ascii="Verdana" w:hAnsi="Verdana" w:cs="Arial"/>
          <w:sz w:val="20"/>
          <w:szCs w:val="20"/>
        </w:rPr>
        <w:t>determinó que, dados los acontecimientos informados –que revelaban una situación de extrema gravedad y urgencia– el Estado debía adoptar las medidas necesarias para proteger la vida y la integridad personal de otros 9 familiares</w:t>
      </w:r>
      <w:r w:rsidRPr="00744CE4">
        <w:rPr>
          <w:rStyle w:val="Refdenotaalpie"/>
          <w:rFonts w:ascii="Verdana" w:hAnsi="Verdana" w:cs="Arial"/>
          <w:sz w:val="20"/>
          <w:szCs w:val="20"/>
        </w:rPr>
        <w:footnoteReference w:id="343"/>
      </w:r>
      <w:r w:rsidRPr="00744CE4">
        <w:rPr>
          <w:rFonts w:ascii="Verdana" w:hAnsi="Verdana" w:cs="Arial"/>
          <w:sz w:val="20"/>
          <w:szCs w:val="20"/>
        </w:rPr>
        <w:t>, además de reiterar las medidas respecto del resto de los beneficiarios y de ordenar al Estado que éstas se planificaran e implementaran con la participación de los beneficiarios</w:t>
      </w:r>
      <w:r w:rsidRPr="00744CE4">
        <w:rPr>
          <w:rFonts w:ascii="Verdana" w:hAnsi="Verdana"/>
          <w:sz w:val="20"/>
          <w:szCs w:val="20"/>
          <w:vertAlign w:val="superscript"/>
        </w:rPr>
        <w:footnoteReference w:id="344"/>
      </w:r>
      <w:r w:rsidRPr="00744CE4">
        <w:rPr>
          <w:rFonts w:ascii="Verdana" w:hAnsi="Verdana" w:cs="Arial"/>
          <w:sz w:val="20"/>
          <w:szCs w:val="20"/>
        </w:rPr>
        <w:t>. En este sentido, el 28 de junio de 2011 se celebró una audiencia pública en la Corte IDH con la participación de las partes y la Comisión</w:t>
      </w:r>
      <w:r w:rsidRPr="00744CE4">
        <w:rPr>
          <w:rStyle w:val="Refdenotaalpie"/>
          <w:rFonts w:ascii="Verdana" w:hAnsi="Verdana" w:cs="Arial"/>
          <w:sz w:val="20"/>
          <w:szCs w:val="20"/>
        </w:rPr>
        <w:footnoteReference w:id="345"/>
      </w:r>
      <w:r w:rsidRPr="00744CE4">
        <w:rPr>
          <w:rFonts w:ascii="Verdana" w:hAnsi="Verdana" w:cs="Arial"/>
          <w:sz w:val="20"/>
          <w:szCs w:val="20"/>
        </w:rPr>
        <w:t xml:space="preserve">. </w:t>
      </w:r>
    </w:p>
    <w:p w14:paraId="37F665A8" w14:textId="1C3279A3" w:rsidR="008D1822" w:rsidRPr="00744CE4" w:rsidRDefault="008D1822"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432ABC">
        <w:rPr>
          <w:rFonts w:ascii="Verdana" w:hAnsi="Verdana" w:cs="Cambria"/>
          <w:sz w:val="20"/>
          <w:szCs w:val="20"/>
        </w:rPr>
        <w:t xml:space="preserve">El 14 de julio de 2011 en Ciudad Juárez, Chihuahua, Jaime Alvarado acudió a la casa de su hermano José Ángel Alvarado </w:t>
      </w:r>
      <w:r w:rsidR="00B85CF1" w:rsidRPr="00432ABC">
        <w:rPr>
          <w:rFonts w:ascii="Verdana" w:hAnsi="Verdana" w:cs="Cambria"/>
          <w:sz w:val="20"/>
          <w:szCs w:val="20"/>
        </w:rPr>
        <w:t xml:space="preserve">Herrera </w:t>
      </w:r>
      <w:r w:rsidRPr="00432ABC">
        <w:rPr>
          <w:rFonts w:ascii="Verdana" w:hAnsi="Verdana" w:cs="Cambria"/>
          <w:sz w:val="20"/>
          <w:szCs w:val="20"/>
        </w:rPr>
        <w:t xml:space="preserve">tras recibir una </w:t>
      </w:r>
      <w:r w:rsidRPr="00432ABC">
        <w:rPr>
          <w:rFonts w:ascii="Verdana" w:hAnsi="Verdana"/>
          <w:sz w:val="20"/>
          <w:szCs w:val="20"/>
        </w:rPr>
        <w:t>llamada en la cual le dijeron que estaban robando dicha vivienda, por lo que se desplazó para averiguar qué había sucedido. Al circular a bordo de una bicicleta de regreso hacia su domicilio, una camio</w:t>
      </w:r>
      <w:r w:rsidRPr="002C462C">
        <w:rPr>
          <w:rFonts w:ascii="Verdana" w:hAnsi="Verdana"/>
          <w:sz w:val="20"/>
          <w:szCs w:val="20"/>
        </w:rPr>
        <w:t xml:space="preserve">neta Chevrolet gris lo </w:t>
      </w:r>
      <w:r w:rsidRPr="00744CE4">
        <w:rPr>
          <w:rFonts w:ascii="Verdana" w:hAnsi="Verdana" w:cs="Cambria"/>
          <w:sz w:val="20"/>
          <w:szCs w:val="20"/>
        </w:rPr>
        <w:t>atropelló, según manifestó, intencionalmente</w:t>
      </w:r>
      <w:r w:rsidRPr="00744CE4">
        <w:rPr>
          <w:rStyle w:val="Refdenotaalpie"/>
          <w:rFonts w:ascii="Verdana" w:hAnsi="Verdana" w:cs="Cambria"/>
          <w:sz w:val="20"/>
          <w:szCs w:val="20"/>
        </w:rPr>
        <w:footnoteReference w:id="346"/>
      </w:r>
      <w:r w:rsidRPr="00744CE4">
        <w:rPr>
          <w:rFonts w:ascii="Verdana" w:hAnsi="Verdana" w:cs="Cambria"/>
          <w:sz w:val="20"/>
          <w:szCs w:val="20"/>
        </w:rPr>
        <w:t xml:space="preserve">. </w:t>
      </w:r>
    </w:p>
    <w:p w14:paraId="02A6A345" w14:textId="77777777" w:rsidR="008D1822" w:rsidRPr="00744CE4" w:rsidRDefault="008D1822"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744CE4">
        <w:rPr>
          <w:rFonts w:ascii="Verdana" w:hAnsi="Verdana" w:cs="Cambria"/>
          <w:sz w:val="20"/>
          <w:szCs w:val="20"/>
        </w:rPr>
        <w:lastRenderedPageBreak/>
        <w:t xml:space="preserve">Por estos hechos, el 5 de </w:t>
      </w:r>
      <w:r w:rsidRPr="00432ABC">
        <w:rPr>
          <w:rFonts w:ascii="Verdana" w:hAnsi="Verdana" w:cs="Cambria"/>
          <w:sz w:val="20"/>
          <w:szCs w:val="20"/>
        </w:rPr>
        <w:t>marzo de 2013 se inició la carpeta de investigación 2216/3760/2013 en la FGE – Chihuahua, la cual concluyó que no se encontraron elementos que permitieran establecer un vínculo directo entre dichos hechos y la desaparición de las 3 presuntas víctimas</w:t>
      </w:r>
      <w:r w:rsidRPr="00744CE4">
        <w:rPr>
          <w:rStyle w:val="Refdenotaalpie"/>
          <w:rFonts w:ascii="Verdana" w:hAnsi="Verdana" w:cs="Cambria"/>
          <w:sz w:val="20"/>
          <w:szCs w:val="20"/>
        </w:rPr>
        <w:footnoteReference w:id="347"/>
      </w:r>
      <w:r w:rsidRPr="00744CE4">
        <w:rPr>
          <w:rFonts w:ascii="Verdana" w:hAnsi="Verdana" w:cs="Cambria"/>
          <w:sz w:val="20"/>
          <w:szCs w:val="20"/>
        </w:rPr>
        <w:t xml:space="preserve">. </w:t>
      </w:r>
    </w:p>
    <w:p w14:paraId="4DD23B3F" w14:textId="31FFA9CD" w:rsidR="008D1822" w:rsidRPr="00744CE4" w:rsidRDefault="008D1822" w:rsidP="00DB378B">
      <w:pPr>
        <w:widowControl w:val="0"/>
        <w:numPr>
          <w:ilvl w:val="0"/>
          <w:numId w:val="4"/>
        </w:numPr>
        <w:tabs>
          <w:tab w:val="left" w:pos="567"/>
        </w:tabs>
        <w:adjustRightInd w:val="0"/>
        <w:spacing w:before="120" w:after="120" w:line="240" w:lineRule="auto"/>
        <w:ind w:left="0" w:firstLine="0"/>
        <w:jc w:val="both"/>
        <w:textAlignment w:val="baseline"/>
        <w:rPr>
          <w:rFonts w:ascii="Verdana" w:hAnsi="Verdana" w:cs="Cambria"/>
          <w:sz w:val="20"/>
          <w:szCs w:val="20"/>
        </w:rPr>
      </w:pPr>
      <w:r w:rsidRPr="00744CE4">
        <w:rPr>
          <w:rFonts w:ascii="Verdana" w:hAnsi="Verdana" w:cs="Cambria"/>
          <w:sz w:val="20"/>
          <w:szCs w:val="20"/>
        </w:rPr>
        <w:t>El 28 de agosto de 2011 aproximadamente a las 12:00 horas, una vecina de Jaime Alvarado escuchó ruidos provenientes de la casa de este último</w:t>
      </w:r>
      <w:r w:rsidR="00B25027">
        <w:rPr>
          <w:rFonts w:ascii="Verdana" w:hAnsi="Verdana" w:cs="Cambria"/>
          <w:sz w:val="20"/>
          <w:szCs w:val="20"/>
        </w:rPr>
        <w:t>,</w:t>
      </w:r>
      <w:r w:rsidRPr="00744CE4">
        <w:rPr>
          <w:rFonts w:ascii="Verdana" w:hAnsi="Verdana" w:cs="Cambria"/>
          <w:sz w:val="20"/>
          <w:szCs w:val="20"/>
        </w:rPr>
        <w:t xml:space="preserve"> ubicada en Ciudad J</w:t>
      </w:r>
      <w:r w:rsidRPr="00432ABC">
        <w:rPr>
          <w:rFonts w:ascii="Verdana" w:hAnsi="Verdana" w:cs="Cambria"/>
          <w:sz w:val="20"/>
          <w:szCs w:val="20"/>
        </w:rPr>
        <w:t>uárez, Chihuahua, por lo que contactó a Sandra Luz Rueda Quezada (esposa de Jaime Alvarado) para avisarle que le estaban robando su casa personas que identificó como “ministeriales que hablaban en claves […] que hablan por radio”</w:t>
      </w:r>
      <w:r w:rsidRPr="00744CE4">
        <w:rPr>
          <w:rStyle w:val="Refdenotaalpie"/>
          <w:rFonts w:ascii="Verdana" w:hAnsi="Verdana" w:cs="Cambria"/>
          <w:sz w:val="20"/>
          <w:szCs w:val="20"/>
        </w:rPr>
        <w:footnoteReference w:id="348"/>
      </w:r>
      <w:r w:rsidRPr="00744CE4">
        <w:rPr>
          <w:rFonts w:ascii="Verdana" w:hAnsi="Verdana" w:cs="Cambria"/>
          <w:sz w:val="20"/>
          <w:szCs w:val="20"/>
        </w:rPr>
        <w:t xml:space="preserve">. Sandra Luz Rueda manifestó que cuando entró a dicha vivienda: </w:t>
      </w:r>
    </w:p>
    <w:p w14:paraId="1537CE09" w14:textId="77777777" w:rsidR="008D1822" w:rsidRPr="00744CE4" w:rsidRDefault="008D1822">
      <w:pPr>
        <w:pStyle w:val="Prrafodelista"/>
        <w:autoSpaceDE w:val="0"/>
        <w:autoSpaceDN w:val="0"/>
        <w:adjustRightInd w:val="0"/>
        <w:spacing w:before="120" w:after="120" w:line="240" w:lineRule="auto"/>
        <w:contextualSpacing w:val="0"/>
        <w:jc w:val="both"/>
        <w:rPr>
          <w:rFonts w:ascii="Verdana" w:hAnsi="Verdana" w:cs="Cambria"/>
          <w:sz w:val="18"/>
          <w:szCs w:val="20"/>
        </w:rPr>
      </w:pPr>
      <w:r w:rsidRPr="00432ABC">
        <w:rPr>
          <w:rFonts w:ascii="Verdana" w:hAnsi="Verdana" w:cs="Cambria"/>
          <w:sz w:val="18"/>
          <w:szCs w:val="20"/>
        </w:rPr>
        <w:t xml:space="preserve">“estaba un desorden del polvo de talco del niño tirado por todos lados como que para borrar huellas […] Luego encontré un papel pegado en la pared con </w:t>
      </w:r>
      <w:r w:rsidRPr="00432ABC">
        <w:rPr>
          <w:rFonts w:ascii="Verdana" w:hAnsi="Verdana" w:cs="Cambria"/>
          <w:i/>
          <w:sz w:val="18"/>
          <w:szCs w:val="20"/>
        </w:rPr>
        <w:t xml:space="preserve">tape </w:t>
      </w:r>
      <w:r w:rsidRPr="00432ABC">
        <w:rPr>
          <w:rFonts w:ascii="Verdana" w:hAnsi="Verdana" w:cs="Cambria"/>
          <w:sz w:val="18"/>
          <w:szCs w:val="20"/>
        </w:rPr>
        <w:t>ahí en la mera cocina ahí estaba, y el papel […] ese papel yo</w:t>
      </w:r>
      <w:r w:rsidRPr="002C462C">
        <w:rPr>
          <w:rFonts w:ascii="Verdana" w:hAnsi="Verdana" w:cs="Cambria"/>
          <w:sz w:val="18"/>
          <w:szCs w:val="20"/>
        </w:rPr>
        <w:t xml:space="preserve"> lo encontré y no lo agarré, lo dejé hasta que llegaron los policías”</w:t>
      </w:r>
      <w:r w:rsidRPr="00744CE4">
        <w:rPr>
          <w:rStyle w:val="Refdenotaalpie"/>
          <w:rFonts w:ascii="Verdana" w:hAnsi="Verdana" w:cs="Cambria"/>
          <w:sz w:val="18"/>
          <w:szCs w:val="20"/>
        </w:rPr>
        <w:footnoteReference w:id="349"/>
      </w:r>
      <w:r w:rsidRPr="00744CE4">
        <w:rPr>
          <w:rFonts w:ascii="Verdana" w:hAnsi="Verdana" w:cs="Cambria"/>
          <w:sz w:val="18"/>
          <w:szCs w:val="20"/>
        </w:rPr>
        <w:t>.</w:t>
      </w:r>
    </w:p>
    <w:p w14:paraId="18E7FA33" w14:textId="543FE0A2" w:rsidR="008D1822" w:rsidRPr="00744CE4" w:rsidRDefault="008D1822">
      <w:pPr>
        <w:pStyle w:val="Prrafodelista"/>
        <w:spacing w:before="120" w:after="120" w:line="240" w:lineRule="auto"/>
        <w:contextualSpacing w:val="0"/>
        <w:jc w:val="both"/>
        <w:rPr>
          <w:rFonts w:ascii="Verdana" w:hAnsi="Verdana" w:cs="Cambria"/>
          <w:sz w:val="18"/>
          <w:szCs w:val="20"/>
        </w:rPr>
      </w:pPr>
      <w:r w:rsidRPr="00744CE4">
        <w:rPr>
          <w:rFonts w:ascii="Verdana" w:hAnsi="Verdana" w:cs="Cambria"/>
          <w:sz w:val="18"/>
          <w:szCs w:val="20"/>
        </w:rPr>
        <w:t xml:space="preserve"> </w:t>
      </w:r>
      <w:r w:rsidRPr="00432ABC">
        <w:rPr>
          <w:rFonts w:ascii="Verdana" w:hAnsi="Verdana" w:cs="Cambria"/>
          <w:sz w:val="18"/>
          <w:szCs w:val="20"/>
        </w:rPr>
        <w:t>Dicho papel decía: “</w:t>
      </w:r>
      <w:r w:rsidRPr="00432ABC">
        <w:rPr>
          <w:rFonts w:ascii="Verdana" w:hAnsi="Verdana" w:cs="Cambria,Italic"/>
          <w:iCs/>
          <w:sz w:val="18"/>
          <w:szCs w:val="20"/>
        </w:rPr>
        <w:t xml:space="preserve">porque te quisimos quebrar y no se pudo pero ya te tenemos culero y te va a cargar la verga a ti y a tu pinche familia atte ya sabes </w:t>
      </w:r>
      <w:r w:rsidR="001F49E1" w:rsidRPr="00432ABC">
        <w:rPr>
          <w:rFonts w:ascii="Verdana" w:hAnsi="Verdana" w:cs="Cambria,Italic"/>
          <w:iCs/>
          <w:sz w:val="18"/>
          <w:szCs w:val="20"/>
        </w:rPr>
        <w:t>quién</w:t>
      </w:r>
      <w:r w:rsidRPr="00432ABC">
        <w:rPr>
          <w:rFonts w:ascii="Verdana" w:hAnsi="Verdana" w:cs="Cambria,Italic"/>
          <w:iCs/>
          <w:sz w:val="18"/>
          <w:szCs w:val="20"/>
        </w:rPr>
        <w:t xml:space="preserve">” </w:t>
      </w:r>
      <w:r w:rsidRPr="00432ABC">
        <w:rPr>
          <w:rFonts w:ascii="Verdana" w:hAnsi="Verdana" w:cs="Cambria"/>
          <w:sz w:val="18"/>
          <w:szCs w:val="20"/>
        </w:rPr>
        <w:t>[sic]</w:t>
      </w:r>
      <w:r w:rsidRPr="00744CE4">
        <w:rPr>
          <w:rStyle w:val="Refdenotaalpie"/>
          <w:rFonts w:ascii="Verdana" w:hAnsi="Verdana" w:cs="Cambria"/>
          <w:sz w:val="18"/>
          <w:szCs w:val="20"/>
        </w:rPr>
        <w:footnoteReference w:id="350"/>
      </w:r>
      <w:r w:rsidRPr="00744CE4">
        <w:rPr>
          <w:rFonts w:ascii="Verdana" w:hAnsi="Verdana" w:cs="Cambria"/>
          <w:sz w:val="18"/>
          <w:szCs w:val="20"/>
        </w:rPr>
        <w:t>.</w:t>
      </w:r>
    </w:p>
    <w:p w14:paraId="16764295" w14:textId="77777777" w:rsidR="008D1822" w:rsidRPr="00744CE4" w:rsidRDefault="008D1822"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744CE4">
        <w:rPr>
          <w:rFonts w:ascii="Verdana" w:hAnsi="Verdana" w:cs="Cambria"/>
          <w:sz w:val="20"/>
          <w:szCs w:val="20"/>
        </w:rPr>
        <w:t>Como consecuenc</w:t>
      </w:r>
      <w:r w:rsidRPr="00432ABC">
        <w:rPr>
          <w:rFonts w:ascii="Verdana" w:hAnsi="Verdana" w:cs="Cambria"/>
          <w:sz w:val="20"/>
          <w:szCs w:val="20"/>
        </w:rPr>
        <w:t>ia de estos hechos, el 31 de agosto de 2011 la CNDH solicitó a la FGE - Chihuahua la adopción de medidas cautelares en favor de Jaime Alvarado Herrera y su núcleo familiar</w:t>
      </w:r>
      <w:r w:rsidRPr="00744CE4">
        <w:rPr>
          <w:rStyle w:val="Refdenotaalpie"/>
          <w:rFonts w:ascii="Verdana" w:hAnsi="Verdana" w:cs="Cambria"/>
          <w:sz w:val="20"/>
          <w:szCs w:val="20"/>
        </w:rPr>
        <w:footnoteReference w:id="351"/>
      </w:r>
      <w:r w:rsidRPr="00744CE4">
        <w:rPr>
          <w:rFonts w:ascii="Verdana" w:hAnsi="Verdana" w:cs="Cambria"/>
          <w:sz w:val="20"/>
          <w:szCs w:val="20"/>
        </w:rPr>
        <w:t>. No obstante, el Director General de Derechos Humanos de la SSPF, en su respuesta  a dicha solicitud, contestó que “no [era] posible atender su petición en razón de que la misma prejuzga la existencia de actos de hostigamiento por parte de elementos de la Secretaria de Seguridad Publica [Federal] sin que se aporte evidencia o indicio alg</w:t>
      </w:r>
      <w:r w:rsidRPr="00432ABC">
        <w:rPr>
          <w:rFonts w:ascii="Verdana" w:hAnsi="Verdana" w:cs="Cambria"/>
          <w:sz w:val="20"/>
          <w:szCs w:val="20"/>
        </w:rPr>
        <w:t>uno de tales acciones”</w:t>
      </w:r>
      <w:r w:rsidRPr="00744CE4">
        <w:rPr>
          <w:rStyle w:val="Refdenotaalpie"/>
          <w:rFonts w:ascii="Verdana" w:hAnsi="Verdana" w:cs="Cambria"/>
          <w:sz w:val="20"/>
          <w:szCs w:val="20"/>
        </w:rPr>
        <w:footnoteReference w:id="352"/>
      </w:r>
      <w:r w:rsidRPr="00744CE4">
        <w:rPr>
          <w:rFonts w:ascii="Verdana" w:hAnsi="Verdana" w:cs="Cambria"/>
          <w:sz w:val="20"/>
          <w:szCs w:val="20"/>
        </w:rPr>
        <w:t>. Asimismo, se inició ante la PGR - Chihuahua la Averiguación Previa AP/PGR/CHIH/JUA/2758/2011 para investigar dichos hechos</w:t>
      </w:r>
      <w:r w:rsidRPr="00744CE4">
        <w:rPr>
          <w:rStyle w:val="Refdenotaalpie"/>
          <w:rFonts w:ascii="Verdana" w:hAnsi="Verdana" w:cs="Cambria"/>
          <w:sz w:val="20"/>
          <w:szCs w:val="20"/>
        </w:rPr>
        <w:footnoteReference w:id="353"/>
      </w:r>
      <w:r w:rsidRPr="00744CE4">
        <w:rPr>
          <w:rFonts w:ascii="Verdana" w:hAnsi="Verdana" w:cs="Cambria"/>
          <w:sz w:val="20"/>
          <w:szCs w:val="20"/>
        </w:rPr>
        <w:t>.</w:t>
      </w:r>
    </w:p>
    <w:p w14:paraId="51E50F9E" w14:textId="0D732B7F" w:rsidR="008D1822" w:rsidRPr="00432ABC" w:rsidRDefault="00E34BFF">
      <w:pPr>
        <w:pStyle w:val="Prrafodelista"/>
        <w:widowControl w:val="0"/>
        <w:numPr>
          <w:ilvl w:val="0"/>
          <w:numId w:val="55"/>
        </w:numPr>
        <w:tabs>
          <w:tab w:val="left" w:pos="567"/>
        </w:tabs>
        <w:autoSpaceDE w:val="0"/>
        <w:autoSpaceDN w:val="0"/>
        <w:adjustRightInd w:val="0"/>
        <w:spacing w:before="120" w:after="120" w:line="240" w:lineRule="auto"/>
        <w:ind w:left="1560" w:hanging="426"/>
        <w:contextualSpacing w:val="0"/>
        <w:jc w:val="both"/>
        <w:textAlignment w:val="baseline"/>
        <w:outlineLvl w:val="2"/>
        <w:rPr>
          <w:rFonts w:ascii="Verdana" w:eastAsiaTheme="minorHAnsi" w:hAnsi="Verdana" w:cs="Arial"/>
          <w:sz w:val="20"/>
          <w:szCs w:val="20"/>
          <w:lang w:val="es-AR"/>
        </w:rPr>
      </w:pPr>
      <w:r>
        <w:rPr>
          <w:rFonts w:ascii="Verdana" w:eastAsiaTheme="minorHAnsi" w:hAnsi="Verdana" w:cs="Cambria"/>
          <w:i/>
          <w:sz w:val="20"/>
          <w:szCs w:val="20"/>
        </w:rPr>
        <w:t xml:space="preserve"> </w:t>
      </w:r>
      <w:bookmarkStart w:id="164" w:name="_Toc532995355"/>
      <w:r w:rsidR="008D1822" w:rsidRPr="00432ABC">
        <w:rPr>
          <w:rFonts w:ascii="Verdana" w:eastAsiaTheme="minorHAnsi" w:hAnsi="Verdana" w:cs="Cambria"/>
          <w:i/>
          <w:sz w:val="20"/>
          <w:szCs w:val="20"/>
        </w:rPr>
        <w:t xml:space="preserve">Los desplazamientos de los familiares y </w:t>
      </w:r>
      <w:r w:rsidR="008D1822" w:rsidRPr="00432ABC">
        <w:rPr>
          <w:rFonts w:ascii="Verdana" w:hAnsi="Verdana" w:cs="Cambria"/>
          <w:i/>
          <w:sz w:val="20"/>
          <w:szCs w:val="20"/>
        </w:rPr>
        <w:t xml:space="preserve">las </w:t>
      </w:r>
      <w:r w:rsidR="008D1822" w:rsidRPr="00432ABC">
        <w:rPr>
          <w:rFonts w:ascii="Verdana" w:eastAsiaTheme="minorHAnsi" w:hAnsi="Verdana" w:cs="Cambria"/>
          <w:i/>
          <w:sz w:val="20"/>
          <w:szCs w:val="20"/>
        </w:rPr>
        <w:t>amenazas en su contra</w:t>
      </w:r>
      <w:bookmarkEnd w:id="164"/>
      <w:r w:rsidR="008D1822" w:rsidRPr="00432ABC">
        <w:rPr>
          <w:rFonts w:ascii="Verdana" w:eastAsiaTheme="minorHAnsi" w:hAnsi="Verdana" w:cs="Cambria"/>
          <w:i/>
          <w:sz w:val="20"/>
          <w:szCs w:val="20"/>
        </w:rPr>
        <w:t xml:space="preserve"> </w:t>
      </w:r>
    </w:p>
    <w:p w14:paraId="5B94F0CC" w14:textId="02071C23" w:rsidR="008D1822" w:rsidRPr="002C462C" w:rsidRDefault="00556FDB">
      <w:pPr>
        <w:pStyle w:val="Ttulo4"/>
        <w:numPr>
          <w:ilvl w:val="0"/>
          <w:numId w:val="62"/>
        </w:numPr>
        <w:spacing w:before="120" w:after="120"/>
        <w:contextualSpacing w:val="0"/>
        <w:rPr>
          <w:u w:val="none"/>
          <w:lang w:val="es-AR"/>
        </w:rPr>
      </w:pPr>
      <w:r>
        <w:rPr>
          <w:u w:val="none"/>
          <w:lang w:val="es-AR"/>
        </w:rPr>
        <w:t xml:space="preserve"> </w:t>
      </w:r>
      <w:bookmarkStart w:id="165" w:name="_Toc532995356"/>
      <w:r w:rsidR="008D1822" w:rsidRPr="002C462C">
        <w:rPr>
          <w:u w:val="none"/>
          <w:lang w:val="es-AR"/>
        </w:rPr>
        <w:t>Grupo familiar de Nitza Paola Alvarado Espinoza</w:t>
      </w:r>
      <w:bookmarkEnd w:id="165"/>
    </w:p>
    <w:p w14:paraId="5866F18B" w14:textId="0C461F88" w:rsidR="008D1822" w:rsidRPr="00744CE4" w:rsidRDefault="008D1822" w:rsidP="00DB378B">
      <w:pPr>
        <w:pStyle w:val="Prrafodelista"/>
        <w:widowControl w:val="0"/>
        <w:numPr>
          <w:ilvl w:val="0"/>
          <w:numId w:val="4"/>
        </w:numPr>
        <w:tabs>
          <w:tab w:val="left" w:pos="567"/>
        </w:tabs>
        <w:autoSpaceDE w:val="0"/>
        <w:autoSpaceDN w:val="0"/>
        <w:adjustRightInd w:val="0"/>
        <w:spacing w:before="120" w:after="120" w:line="240" w:lineRule="auto"/>
        <w:ind w:left="0" w:firstLine="0"/>
        <w:contextualSpacing w:val="0"/>
        <w:jc w:val="both"/>
        <w:textAlignment w:val="baseline"/>
        <w:rPr>
          <w:rFonts w:ascii="Verdana" w:hAnsi="Verdana"/>
          <w:sz w:val="20"/>
          <w:szCs w:val="20"/>
          <w:lang w:val="es-AR"/>
        </w:rPr>
      </w:pPr>
      <w:r w:rsidRPr="00744CE4">
        <w:rPr>
          <w:rFonts w:ascii="Verdana" w:hAnsi="Verdana"/>
          <w:sz w:val="20"/>
          <w:szCs w:val="20"/>
          <w:lang w:val="es-AR"/>
        </w:rPr>
        <w:t>Una vez ocurridas las tres desapariciones y por el temor a que se repitieran hechos similares, el grupo familiar de Nitza Paola Alvarado (</w:t>
      </w:r>
      <w:r w:rsidRPr="00744CE4">
        <w:rPr>
          <w:rFonts w:ascii="Verdana" w:hAnsi="Verdana"/>
          <w:i/>
          <w:sz w:val="20"/>
          <w:szCs w:val="20"/>
          <w:lang w:val="es-AR"/>
        </w:rPr>
        <w:t>supra</w:t>
      </w:r>
      <w:r w:rsidRPr="00744CE4">
        <w:rPr>
          <w:rFonts w:ascii="Verdana" w:hAnsi="Verdana"/>
          <w:sz w:val="20"/>
          <w:szCs w:val="20"/>
          <w:lang w:val="es-AR"/>
        </w:rPr>
        <w:t xml:space="preserve">, párr. </w:t>
      </w:r>
      <w:r w:rsidR="008D71A5">
        <w:rPr>
          <w:rFonts w:ascii="Verdana" w:hAnsi="Verdana"/>
          <w:sz w:val="20"/>
          <w:szCs w:val="20"/>
          <w:lang w:val="es-AR"/>
        </w:rPr>
        <w:t>76</w:t>
      </w:r>
      <w:r w:rsidRPr="00744CE4">
        <w:rPr>
          <w:rFonts w:ascii="Verdana" w:hAnsi="Verdana"/>
          <w:sz w:val="20"/>
          <w:szCs w:val="20"/>
          <w:lang w:val="es-AR"/>
        </w:rPr>
        <w:t xml:space="preserve">), se desplazó del Ejido Benito Juárez, lugar en donde residían, de la siguiente manera: </w:t>
      </w:r>
    </w:p>
    <w:p w14:paraId="309C04E1" w14:textId="6A135424" w:rsidR="008D1822" w:rsidRPr="008D0846" w:rsidRDefault="008D71A5">
      <w:pPr>
        <w:pStyle w:val="Prrafodelista"/>
        <w:widowControl w:val="0"/>
        <w:numPr>
          <w:ilvl w:val="2"/>
          <w:numId w:val="4"/>
        </w:numPr>
        <w:tabs>
          <w:tab w:val="left" w:pos="567"/>
        </w:tabs>
        <w:autoSpaceDE w:val="0"/>
        <w:autoSpaceDN w:val="0"/>
        <w:adjustRightInd w:val="0"/>
        <w:spacing w:before="120" w:after="120" w:line="240" w:lineRule="auto"/>
        <w:ind w:left="567"/>
        <w:contextualSpacing w:val="0"/>
        <w:jc w:val="both"/>
        <w:textAlignment w:val="baseline"/>
        <w:rPr>
          <w:rFonts w:ascii="Verdana" w:hAnsi="Verdana"/>
          <w:sz w:val="18"/>
          <w:lang w:val="es-AR"/>
        </w:rPr>
      </w:pPr>
      <w:r w:rsidRPr="008D0846">
        <w:rPr>
          <w:rFonts w:ascii="Verdana" w:hAnsi="Verdana" w:cs="Arial"/>
          <w:sz w:val="18"/>
          <w:szCs w:val="20"/>
          <w:lang w:val="es-AR"/>
        </w:rPr>
        <w:t>N.S.A.E.</w:t>
      </w:r>
      <w:r w:rsidR="008D1822" w:rsidRPr="008D0846">
        <w:rPr>
          <w:rFonts w:ascii="Verdana" w:hAnsi="Verdana" w:cs="Arial"/>
          <w:sz w:val="18"/>
          <w:szCs w:val="20"/>
          <w:lang w:val="es-AR"/>
        </w:rPr>
        <w:t>,</w:t>
      </w:r>
      <w:r w:rsidRPr="008D0846">
        <w:rPr>
          <w:rFonts w:ascii="Verdana" w:hAnsi="Verdana" w:cs="Arial"/>
          <w:sz w:val="18"/>
          <w:szCs w:val="20"/>
          <w:lang w:val="es-AR"/>
        </w:rPr>
        <w:t xml:space="preserve"> M.P.A.E., y D.A.E.,</w:t>
      </w:r>
      <w:r w:rsidR="008D1822" w:rsidRPr="008D0846">
        <w:rPr>
          <w:rFonts w:ascii="Verdana" w:hAnsi="Verdana" w:cs="Arial"/>
          <w:sz w:val="18"/>
          <w:szCs w:val="20"/>
          <w:lang w:val="es-AR"/>
        </w:rPr>
        <w:t xml:space="preserve"> hijas de Nitza Paola Alvarado se trasladaron a Ciudad Juárez en compañía de su abuelo Ascención Alvarado Fa</w:t>
      </w:r>
      <w:r w:rsidR="00B82930" w:rsidRPr="008D0846">
        <w:rPr>
          <w:rFonts w:ascii="Verdana" w:hAnsi="Verdana" w:cs="Arial"/>
          <w:sz w:val="18"/>
          <w:szCs w:val="20"/>
          <w:lang w:val="es-AR"/>
        </w:rPr>
        <w:t>b</w:t>
      </w:r>
      <w:r w:rsidR="008D1822" w:rsidRPr="008D0846">
        <w:rPr>
          <w:rFonts w:ascii="Verdana" w:hAnsi="Verdana" w:cs="Arial"/>
          <w:sz w:val="18"/>
          <w:szCs w:val="20"/>
          <w:lang w:val="es-AR"/>
        </w:rPr>
        <w:t>ela, su tía María de Jesús Alvarado, el esposo de ésta, Rigoberto Ambriz y los 4 hijos de estos</w:t>
      </w:r>
      <w:r w:rsidR="008D1822" w:rsidRPr="008D0846">
        <w:rPr>
          <w:rStyle w:val="Refdenotaalpie"/>
          <w:rFonts w:ascii="Verdana" w:hAnsi="Verdana" w:cs="Arial"/>
          <w:sz w:val="18"/>
          <w:szCs w:val="20"/>
          <w:lang w:val="es-AR"/>
        </w:rPr>
        <w:footnoteReference w:id="354"/>
      </w:r>
      <w:r w:rsidR="008D1822" w:rsidRPr="008D0846">
        <w:rPr>
          <w:rFonts w:ascii="Verdana" w:hAnsi="Verdana" w:cs="Arial"/>
          <w:sz w:val="18"/>
          <w:szCs w:val="20"/>
          <w:lang w:val="es-AR"/>
        </w:rPr>
        <w:t>. Desde esta ciudad, se trasladaron en compañía de sus abuelos maternos a la ciudad de Cuernavaca, en donde radicaron por el término de 6 meses, entre enero y junio de 2010, bajo el cuidado de una tía</w:t>
      </w:r>
      <w:r w:rsidR="008D1822" w:rsidRPr="008D0846">
        <w:rPr>
          <w:rStyle w:val="Refdenotaalpie"/>
          <w:rFonts w:ascii="Verdana" w:hAnsi="Verdana" w:cs="Arial"/>
          <w:sz w:val="18"/>
          <w:szCs w:val="20"/>
          <w:lang w:val="es-AR"/>
        </w:rPr>
        <w:footnoteReference w:id="355"/>
      </w:r>
      <w:r w:rsidR="008D1822" w:rsidRPr="008D0846">
        <w:rPr>
          <w:rFonts w:ascii="Verdana" w:hAnsi="Verdana" w:cs="Arial"/>
          <w:sz w:val="18"/>
          <w:szCs w:val="20"/>
          <w:lang w:val="es-AR"/>
        </w:rPr>
        <w:t xml:space="preserve">; </w:t>
      </w:r>
    </w:p>
    <w:p w14:paraId="3577D355" w14:textId="26B623C2" w:rsidR="008D1822" w:rsidRPr="008D0846" w:rsidRDefault="00D60ADB">
      <w:pPr>
        <w:pStyle w:val="Prrafodelista"/>
        <w:widowControl w:val="0"/>
        <w:numPr>
          <w:ilvl w:val="2"/>
          <w:numId w:val="4"/>
        </w:numPr>
        <w:tabs>
          <w:tab w:val="left" w:pos="567"/>
        </w:tabs>
        <w:autoSpaceDE w:val="0"/>
        <w:autoSpaceDN w:val="0"/>
        <w:adjustRightInd w:val="0"/>
        <w:spacing w:before="120" w:after="120" w:line="240" w:lineRule="auto"/>
        <w:ind w:left="567"/>
        <w:contextualSpacing w:val="0"/>
        <w:jc w:val="both"/>
        <w:textAlignment w:val="baseline"/>
        <w:rPr>
          <w:rFonts w:ascii="Verdana" w:hAnsi="Verdana"/>
          <w:sz w:val="18"/>
          <w:lang w:val="es-AR"/>
        </w:rPr>
      </w:pPr>
      <w:r w:rsidRPr="008D0846">
        <w:rPr>
          <w:rFonts w:ascii="Verdana" w:hAnsi="Verdana" w:cs="Arial"/>
          <w:sz w:val="18"/>
          <w:szCs w:val="20"/>
          <w:lang w:val="es-AR"/>
        </w:rPr>
        <w:lastRenderedPageBreak/>
        <w:t>t</w:t>
      </w:r>
      <w:r w:rsidR="008D1822" w:rsidRPr="008D0846">
        <w:rPr>
          <w:rFonts w:ascii="Verdana" w:hAnsi="Verdana" w:cs="Arial"/>
          <w:sz w:val="18"/>
          <w:szCs w:val="20"/>
          <w:lang w:val="es-AR"/>
        </w:rPr>
        <w:t>rascurrido dicho período de tiempo las tres hijas de Nitza Paola Alvarado, así como María de Jesús Alvarado, Rigoberto Ambriz Marrufo, los hijos de éstos, María de Jesús Espinoza y Ascención Alvarado Fabela (abuelos maternos) se desplazaron hacia Culiacán, estado de Sinaloa, por alrededor de un mes</w:t>
      </w:r>
      <w:r w:rsidR="008D1822" w:rsidRPr="008D0846">
        <w:rPr>
          <w:rStyle w:val="Refdenotaalpie"/>
          <w:rFonts w:ascii="Verdana" w:hAnsi="Verdana" w:cs="Arial"/>
          <w:sz w:val="18"/>
          <w:szCs w:val="20"/>
          <w:lang w:val="es-AR"/>
        </w:rPr>
        <w:footnoteReference w:id="356"/>
      </w:r>
      <w:r w:rsidR="008D1822" w:rsidRPr="008D0846">
        <w:rPr>
          <w:rFonts w:ascii="Verdana" w:hAnsi="Verdana" w:cs="Arial"/>
          <w:sz w:val="18"/>
          <w:szCs w:val="20"/>
          <w:lang w:val="es-AR"/>
        </w:rPr>
        <w:t>. Posteriormente, se trasladaron a la ciudad de Hermosillo, estado de Sonora, en donde radicaron alrededor de 2 años y medio</w:t>
      </w:r>
      <w:r w:rsidR="008D1822" w:rsidRPr="008D0846">
        <w:rPr>
          <w:rStyle w:val="Refdenotaalpie"/>
          <w:rFonts w:ascii="Verdana" w:hAnsi="Verdana" w:cs="Arial"/>
          <w:sz w:val="18"/>
          <w:szCs w:val="20"/>
          <w:lang w:val="es-AR"/>
        </w:rPr>
        <w:footnoteReference w:id="357"/>
      </w:r>
      <w:r w:rsidR="008D1822" w:rsidRPr="008D0846">
        <w:rPr>
          <w:rFonts w:ascii="Verdana" w:hAnsi="Verdana" w:cs="Arial"/>
          <w:sz w:val="18"/>
          <w:szCs w:val="20"/>
          <w:lang w:val="es-AR"/>
        </w:rPr>
        <w:t xml:space="preserve"> o 3 años</w:t>
      </w:r>
      <w:r w:rsidR="008D1822" w:rsidRPr="008D0846">
        <w:rPr>
          <w:rStyle w:val="Refdenotaalpie"/>
          <w:rFonts w:ascii="Verdana" w:hAnsi="Verdana" w:cs="Arial"/>
          <w:sz w:val="18"/>
          <w:szCs w:val="20"/>
          <w:lang w:val="es-AR"/>
        </w:rPr>
        <w:footnoteReference w:id="358"/>
      </w:r>
      <w:r w:rsidRPr="008D0846">
        <w:rPr>
          <w:rFonts w:ascii="Verdana" w:hAnsi="Verdana" w:cs="Arial"/>
          <w:sz w:val="18"/>
          <w:szCs w:val="20"/>
          <w:lang w:val="es-AR"/>
        </w:rPr>
        <w:t>;</w:t>
      </w:r>
    </w:p>
    <w:p w14:paraId="1B91302D" w14:textId="614F365E" w:rsidR="008D1822" w:rsidRPr="008D0846" w:rsidRDefault="00D60ADB">
      <w:pPr>
        <w:pStyle w:val="Prrafodelista"/>
        <w:widowControl w:val="0"/>
        <w:numPr>
          <w:ilvl w:val="2"/>
          <w:numId w:val="4"/>
        </w:numPr>
        <w:tabs>
          <w:tab w:val="left" w:pos="567"/>
        </w:tabs>
        <w:autoSpaceDE w:val="0"/>
        <w:autoSpaceDN w:val="0"/>
        <w:adjustRightInd w:val="0"/>
        <w:spacing w:before="120" w:after="120" w:line="240" w:lineRule="auto"/>
        <w:ind w:left="567"/>
        <w:contextualSpacing w:val="0"/>
        <w:jc w:val="both"/>
        <w:textAlignment w:val="baseline"/>
        <w:rPr>
          <w:rFonts w:ascii="Verdana" w:hAnsi="Verdana"/>
          <w:sz w:val="18"/>
          <w:lang w:val="es-AR"/>
        </w:rPr>
      </w:pPr>
      <w:r w:rsidRPr="008D0846">
        <w:rPr>
          <w:rFonts w:ascii="Verdana" w:hAnsi="Verdana" w:cs="Arial"/>
          <w:sz w:val="18"/>
          <w:szCs w:val="20"/>
          <w:lang w:val="es-AR"/>
        </w:rPr>
        <w:t>t</w:t>
      </w:r>
      <w:r w:rsidR="008D1822" w:rsidRPr="008D0846">
        <w:rPr>
          <w:rFonts w:ascii="Verdana" w:hAnsi="Verdana" w:cs="Arial"/>
          <w:sz w:val="18"/>
          <w:szCs w:val="20"/>
          <w:lang w:val="es-AR"/>
        </w:rPr>
        <w:t>ranscurrido este tiempo, las tres hijas de Nitza Paola Alvarado residieron cerca de un año en la ciudad de Chihuahua, entre los meses de octubre de 2012 a septiembre de 2013</w:t>
      </w:r>
      <w:r w:rsidR="008D1822" w:rsidRPr="008D0846">
        <w:rPr>
          <w:rStyle w:val="Refdenotaalpie"/>
          <w:rFonts w:ascii="Verdana" w:hAnsi="Verdana" w:cs="Arial"/>
          <w:sz w:val="18"/>
          <w:szCs w:val="20"/>
          <w:lang w:val="es-AR"/>
        </w:rPr>
        <w:footnoteReference w:id="359"/>
      </w:r>
      <w:r w:rsidR="008D1822" w:rsidRPr="008D0846">
        <w:rPr>
          <w:rFonts w:ascii="Verdana" w:hAnsi="Verdana" w:cs="Arial"/>
          <w:sz w:val="18"/>
          <w:szCs w:val="20"/>
          <w:lang w:val="es-AR"/>
        </w:rPr>
        <w:t xml:space="preserve">. Posteriormente, se dirigieron hacia Ciudad Juárez, en donde permanecieron alrededor de 2 días con miras a preparar su salida del territorio mexicano y dirigirse hacia los Estados Unidos de América </w:t>
      </w:r>
      <w:r w:rsidR="00631985" w:rsidRPr="008D0846">
        <w:rPr>
          <w:rFonts w:ascii="Verdana" w:hAnsi="Verdana" w:cs="Arial"/>
          <w:sz w:val="18"/>
          <w:szCs w:val="20"/>
          <w:lang w:val="es-AR"/>
        </w:rPr>
        <w:t>(</w:t>
      </w:r>
      <w:r w:rsidR="008D1822" w:rsidRPr="008D0846">
        <w:rPr>
          <w:rFonts w:ascii="Verdana" w:hAnsi="Verdana" w:cs="Arial"/>
          <w:sz w:val="18"/>
          <w:szCs w:val="20"/>
          <w:lang w:val="es-AR"/>
        </w:rPr>
        <w:t>EUA</w:t>
      </w:r>
      <w:r w:rsidR="00631985" w:rsidRPr="008D0846">
        <w:rPr>
          <w:rFonts w:ascii="Verdana" w:hAnsi="Verdana" w:cs="Arial"/>
          <w:sz w:val="18"/>
          <w:szCs w:val="20"/>
          <w:lang w:val="es-AR"/>
        </w:rPr>
        <w:t>)</w:t>
      </w:r>
      <w:r w:rsidR="008D1822" w:rsidRPr="008D0846">
        <w:rPr>
          <w:rStyle w:val="Refdenotaalpie"/>
          <w:rFonts w:ascii="Verdana" w:hAnsi="Verdana" w:cs="Arial"/>
          <w:sz w:val="18"/>
          <w:szCs w:val="20"/>
          <w:lang w:val="es-AR"/>
        </w:rPr>
        <w:footnoteReference w:id="360"/>
      </w:r>
      <w:r w:rsidR="008D1822" w:rsidRPr="008D0846">
        <w:rPr>
          <w:rFonts w:ascii="Verdana" w:hAnsi="Verdana" w:cs="Arial"/>
          <w:sz w:val="18"/>
          <w:szCs w:val="20"/>
          <w:lang w:val="es-AR"/>
        </w:rPr>
        <w:t xml:space="preserve">; </w:t>
      </w:r>
    </w:p>
    <w:p w14:paraId="7DE939D9" w14:textId="7703E802" w:rsidR="008D1822" w:rsidRPr="008D0846" w:rsidRDefault="00D60ADB">
      <w:pPr>
        <w:pStyle w:val="Prrafodelista"/>
        <w:widowControl w:val="0"/>
        <w:numPr>
          <w:ilvl w:val="2"/>
          <w:numId w:val="4"/>
        </w:numPr>
        <w:tabs>
          <w:tab w:val="left" w:pos="567"/>
        </w:tabs>
        <w:autoSpaceDE w:val="0"/>
        <w:autoSpaceDN w:val="0"/>
        <w:adjustRightInd w:val="0"/>
        <w:spacing w:before="120" w:after="120" w:line="240" w:lineRule="auto"/>
        <w:ind w:left="567"/>
        <w:contextualSpacing w:val="0"/>
        <w:jc w:val="both"/>
        <w:textAlignment w:val="baseline"/>
        <w:rPr>
          <w:rFonts w:ascii="Verdana" w:hAnsi="Verdana"/>
          <w:sz w:val="18"/>
          <w:lang w:val="es-AR"/>
        </w:rPr>
      </w:pPr>
      <w:r w:rsidRPr="008D0846">
        <w:rPr>
          <w:rFonts w:ascii="Verdana" w:hAnsi="Verdana" w:cs="Arial"/>
          <w:sz w:val="18"/>
          <w:szCs w:val="20"/>
          <w:lang w:val="es-AR"/>
        </w:rPr>
        <w:t>f</w:t>
      </w:r>
      <w:r w:rsidR="008D1822" w:rsidRPr="008D0846">
        <w:rPr>
          <w:rFonts w:ascii="Verdana" w:hAnsi="Verdana" w:cs="Arial"/>
          <w:sz w:val="18"/>
          <w:szCs w:val="20"/>
          <w:lang w:val="es-AR"/>
        </w:rPr>
        <w:t xml:space="preserve">inalmente, </w:t>
      </w:r>
      <w:r w:rsidR="008D1822" w:rsidRPr="008D0846">
        <w:rPr>
          <w:rFonts w:ascii="Verdana" w:hAnsi="Verdana" w:cs="Arial"/>
          <w:sz w:val="18"/>
          <w:szCs w:val="20"/>
        </w:rPr>
        <w:t>Ascención Alvarado Fa</w:t>
      </w:r>
      <w:r w:rsidR="00B82930" w:rsidRPr="008D0846">
        <w:rPr>
          <w:rFonts w:ascii="Verdana" w:hAnsi="Verdana" w:cs="Arial"/>
          <w:sz w:val="18"/>
          <w:szCs w:val="20"/>
        </w:rPr>
        <w:t>b</w:t>
      </w:r>
      <w:r w:rsidR="008D1822" w:rsidRPr="008D0846">
        <w:rPr>
          <w:rFonts w:ascii="Verdana" w:hAnsi="Verdana" w:cs="Arial"/>
          <w:sz w:val="18"/>
          <w:szCs w:val="20"/>
        </w:rPr>
        <w:t xml:space="preserve">ela y Maria de Jesús Espinoza Peinado (padre y madre de Nitza Paola Alvarado); María de Jesús Alvarado Espinoza (hermana); Rigoberto Ambriz Marrufo (esposo de María de Jesús Alvarado); los 4 hijos menores de edad estos últimos, R.A.A., I.A.A.A., J.E.A.A. y A.Y.A.A, y </w:t>
      </w:r>
      <w:r w:rsidR="00F80866" w:rsidRPr="008D0846">
        <w:rPr>
          <w:rFonts w:ascii="Verdana" w:hAnsi="Verdana" w:cs="Arial"/>
          <w:sz w:val="18"/>
          <w:szCs w:val="20"/>
        </w:rPr>
        <w:t>N.S.A.E</w:t>
      </w:r>
      <w:r w:rsidR="008D1822" w:rsidRPr="008D0846">
        <w:rPr>
          <w:rFonts w:ascii="Verdana" w:hAnsi="Verdana" w:cs="Arial"/>
          <w:sz w:val="18"/>
          <w:szCs w:val="20"/>
        </w:rPr>
        <w:t xml:space="preserve">, </w:t>
      </w:r>
      <w:r w:rsidR="00F80866" w:rsidRPr="008D0846">
        <w:rPr>
          <w:rFonts w:ascii="Verdana" w:hAnsi="Verdana" w:cs="Arial"/>
          <w:sz w:val="18"/>
          <w:szCs w:val="20"/>
        </w:rPr>
        <w:t>M.P.A.E.</w:t>
      </w:r>
      <w:r w:rsidR="008D1822" w:rsidRPr="008D0846">
        <w:rPr>
          <w:rFonts w:ascii="Verdana" w:hAnsi="Verdana" w:cs="Arial"/>
          <w:sz w:val="18"/>
          <w:szCs w:val="20"/>
        </w:rPr>
        <w:t xml:space="preserve"> y </w:t>
      </w:r>
      <w:r w:rsidR="00F80866" w:rsidRPr="008D0846">
        <w:rPr>
          <w:rFonts w:ascii="Verdana" w:hAnsi="Verdana" w:cs="Arial"/>
          <w:sz w:val="18"/>
          <w:szCs w:val="20"/>
        </w:rPr>
        <w:t>D.A.E.</w:t>
      </w:r>
      <w:r w:rsidR="008D1822" w:rsidRPr="008D0846">
        <w:rPr>
          <w:rFonts w:ascii="Verdana" w:hAnsi="Verdana" w:cs="Arial"/>
          <w:sz w:val="18"/>
          <w:szCs w:val="20"/>
        </w:rPr>
        <w:t xml:space="preserve">, (hijas de Nitza Paola Alvarado) </w:t>
      </w:r>
      <w:r w:rsidR="008D1822" w:rsidRPr="008D0846">
        <w:rPr>
          <w:rFonts w:ascii="Verdana" w:hAnsi="Verdana" w:cs="Arial"/>
          <w:sz w:val="18"/>
          <w:szCs w:val="20"/>
          <w:lang w:val="es-AR"/>
        </w:rPr>
        <w:t>se trasladaron en septiembre de 2013 hacia la ciudad de El Paso, estado de Texas, EUA, y solicitaron asilo ante las autoridades de dicho país</w:t>
      </w:r>
      <w:r w:rsidR="008D1822" w:rsidRPr="008D0846">
        <w:rPr>
          <w:rFonts w:ascii="Verdana" w:hAnsi="Verdana" w:cs="Arial"/>
          <w:sz w:val="18"/>
          <w:szCs w:val="20"/>
          <w:vertAlign w:val="superscript"/>
        </w:rPr>
        <w:footnoteReference w:id="361"/>
      </w:r>
      <w:r w:rsidR="008D1822" w:rsidRPr="008D0846">
        <w:rPr>
          <w:rFonts w:ascii="Verdana" w:hAnsi="Verdana" w:cs="Arial"/>
          <w:sz w:val="18"/>
          <w:szCs w:val="20"/>
        </w:rPr>
        <w:t xml:space="preserve">. </w:t>
      </w:r>
      <w:r w:rsidR="008D1822" w:rsidRPr="008D0846">
        <w:rPr>
          <w:rFonts w:ascii="Verdana" w:hAnsi="Verdana" w:cs="Arial"/>
          <w:sz w:val="18"/>
          <w:szCs w:val="20"/>
          <w:lang w:val="es-AR"/>
        </w:rPr>
        <w:t>Finalmente, en 2015 fue concedida la residencia permanente a las 3 hijas de Nitza Paola Alvarado</w:t>
      </w:r>
      <w:r w:rsidR="008D1822" w:rsidRPr="008D0846">
        <w:rPr>
          <w:rStyle w:val="Refdenotaalpie"/>
          <w:rFonts w:ascii="Verdana" w:hAnsi="Verdana" w:cs="Arial"/>
          <w:sz w:val="18"/>
          <w:szCs w:val="20"/>
          <w:lang w:val="es-AR"/>
        </w:rPr>
        <w:footnoteReference w:id="362"/>
      </w:r>
      <w:r w:rsidRPr="008D0846">
        <w:rPr>
          <w:rFonts w:ascii="Verdana" w:hAnsi="Verdana" w:cs="Arial"/>
          <w:sz w:val="18"/>
          <w:szCs w:val="20"/>
          <w:lang w:val="es-AR"/>
        </w:rPr>
        <w:t>, y</w:t>
      </w:r>
    </w:p>
    <w:p w14:paraId="775D4306" w14:textId="54C8BEA8" w:rsidR="008D1822" w:rsidRPr="008D0846" w:rsidRDefault="00D60ADB">
      <w:pPr>
        <w:pStyle w:val="Prrafodelista"/>
        <w:widowControl w:val="0"/>
        <w:numPr>
          <w:ilvl w:val="2"/>
          <w:numId w:val="4"/>
        </w:numPr>
        <w:tabs>
          <w:tab w:val="left" w:pos="567"/>
        </w:tabs>
        <w:autoSpaceDE w:val="0"/>
        <w:autoSpaceDN w:val="0"/>
        <w:adjustRightInd w:val="0"/>
        <w:spacing w:before="120" w:after="120" w:line="240" w:lineRule="auto"/>
        <w:ind w:left="567"/>
        <w:contextualSpacing w:val="0"/>
        <w:jc w:val="both"/>
        <w:textAlignment w:val="baseline"/>
        <w:rPr>
          <w:rFonts w:ascii="Verdana" w:hAnsi="Verdana" w:cs="Arial"/>
          <w:sz w:val="18"/>
          <w:szCs w:val="20"/>
          <w:lang w:val="es-AR"/>
        </w:rPr>
      </w:pPr>
      <w:r w:rsidRPr="008D0846">
        <w:rPr>
          <w:rFonts w:ascii="Verdana" w:hAnsi="Verdana" w:cs="Arial"/>
          <w:sz w:val="18"/>
          <w:szCs w:val="20"/>
          <w:lang w:val="es-AR"/>
        </w:rPr>
        <w:t>p</w:t>
      </w:r>
      <w:r w:rsidR="008D1822" w:rsidRPr="008D0846">
        <w:rPr>
          <w:rFonts w:ascii="Verdana" w:hAnsi="Verdana" w:cs="Arial"/>
          <w:sz w:val="18"/>
          <w:szCs w:val="20"/>
          <w:lang w:val="es-AR"/>
        </w:rPr>
        <w:t>or su parte, en el caso de María de Jesús Espinoza Peinado, Ascensión Alvarado Fabela, Rigoberto Ambriz Marrufo y sus 4 hijos, quienes también pidieron asilo político en EUA, radican actualmente en la ciudad de Odessa, estado de Texas, EUA</w:t>
      </w:r>
      <w:r w:rsidR="008D1822" w:rsidRPr="008D0846">
        <w:rPr>
          <w:rStyle w:val="Refdenotaalpie"/>
          <w:rFonts w:ascii="Verdana" w:hAnsi="Verdana" w:cs="Arial"/>
          <w:sz w:val="18"/>
          <w:szCs w:val="20"/>
          <w:lang w:val="es-AR"/>
        </w:rPr>
        <w:footnoteReference w:id="363"/>
      </w:r>
      <w:r w:rsidR="008D1822" w:rsidRPr="008D0846">
        <w:rPr>
          <w:rFonts w:ascii="Verdana" w:hAnsi="Verdana" w:cs="Arial"/>
          <w:sz w:val="18"/>
          <w:szCs w:val="20"/>
          <w:lang w:val="es-AR"/>
        </w:rPr>
        <w:t xml:space="preserve">. Toda vez que María de Jesús Alvarado Espinoza (quien también radicaba con sus familiares en Odessa, Texas) acudió a declarar ante la Corte Interamericana en la audiencia pública del presente caso el 26 de abril de 2018, al salir del territorio de los </w:t>
      </w:r>
      <w:r w:rsidR="00672362" w:rsidRPr="008D0846">
        <w:rPr>
          <w:rFonts w:ascii="Verdana" w:hAnsi="Verdana" w:cs="Arial"/>
          <w:sz w:val="18"/>
          <w:szCs w:val="20"/>
          <w:lang w:val="es-AR"/>
        </w:rPr>
        <w:t>EUA</w:t>
      </w:r>
      <w:r w:rsidR="008D1822" w:rsidRPr="008D0846">
        <w:rPr>
          <w:rFonts w:ascii="Verdana" w:hAnsi="Verdana" w:cs="Arial"/>
          <w:sz w:val="18"/>
          <w:szCs w:val="20"/>
          <w:lang w:val="es-AR"/>
        </w:rPr>
        <w:t xml:space="preserve"> le fue denegado el reingreso a dicho país y perdió su solicitud de asilo, entonces pendiente de resolución</w:t>
      </w:r>
      <w:r w:rsidR="008D1822" w:rsidRPr="008D0846">
        <w:rPr>
          <w:rStyle w:val="Refdenotaalpie"/>
          <w:rFonts w:ascii="Verdana" w:hAnsi="Verdana" w:cs="Arial"/>
          <w:sz w:val="18"/>
          <w:szCs w:val="20"/>
          <w:lang w:val="es-AR"/>
        </w:rPr>
        <w:footnoteReference w:id="364"/>
      </w:r>
      <w:r w:rsidR="008D1822" w:rsidRPr="008D0846">
        <w:rPr>
          <w:rFonts w:ascii="Verdana" w:hAnsi="Verdana" w:cs="Arial"/>
          <w:sz w:val="18"/>
          <w:szCs w:val="20"/>
          <w:lang w:val="es-AR"/>
        </w:rPr>
        <w:t xml:space="preserve">. </w:t>
      </w:r>
    </w:p>
    <w:p w14:paraId="4FE12D7F" w14:textId="38C80861" w:rsidR="008D1822" w:rsidRPr="00432ABC" w:rsidRDefault="00556FDB">
      <w:pPr>
        <w:pStyle w:val="Ttulo4"/>
        <w:numPr>
          <w:ilvl w:val="0"/>
          <w:numId w:val="62"/>
        </w:numPr>
        <w:spacing w:before="120" w:after="120"/>
        <w:contextualSpacing w:val="0"/>
        <w:rPr>
          <w:rFonts w:eastAsiaTheme="minorHAnsi" w:cs="Arial"/>
          <w:u w:val="none"/>
          <w:lang w:val="es-AR"/>
        </w:rPr>
      </w:pPr>
      <w:r>
        <w:rPr>
          <w:rFonts w:eastAsiaTheme="minorHAnsi" w:cs="Arial"/>
          <w:u w:val="none"/>
          <w:lang w:val="es-AR"/>
        </w:rPr>
        <w:t xml:space="preserve"> </w:t>
      </w:r>
      <w:bookmarkStart w:id="166" w:name="_Toc532995357"/>
      <w:r w:rsidR="008D1822" w:rsidRPr="00744CE4">
        <w:rPr>
          <w:rFonts w:eastAsiaTheme="minorHAnsi" w:cs="Arial"/>
          <w:u w:val="none"/>
          <w:lang w:val="es-AR"/>
        </w:rPr>
        <w:t>Grupo familiar de Rocío Irene Alvarado Reyes</w:t>
      </w:r>
      <w:bookmarkEnd w:id="166"/>
      <w:r w:rsidR="008D1822" w:rsidRPr="00432ABC">
        <w:rPr>
          <w:rFonts w:cs="Arial"/>
          <w:u w:val="none"/>
          <w:lang w:val="es-AR"/>
        </w:rPr>
        <w:t xml:space="preserve">  </w:t>
      </w:r>
    </w:p>
    <w:p w14:paraId="3BD047DF" w14:textId="0ADD9769" w:rsidR="008D1822" w:rsidRPr="002C462C" w:rsidRDefault="008D1822" w:rsidP="00DB378B">
      <w:pPr>
        <w:pStyle w:val="Prrafodelista"/>
        <w:widowControl w:val="0"/>
        <w:numPr>
          <w:ilvl w:val="0"/>
          <w:numId w:val="4"/>
        </w:numPr>
        <w:tabs>
          <w:tab w:val="left" w:pos="567"/>
        </w:tabs>
        <w:autoSpaceDE w:val="0"/>
        <w:autoSpaceDN w:val="0"/>
        <w:adjustRightInd w:val="0"/>
        <w:spacing w:before="120" w:after="120" w:line="240" w:lineRule="auto"/>
        <w:ind w:left="0" w:firstLine="0"/>
        <w:contextualSpacing w:val="0"/>
        <w:jc w:val="both"/>
        <w:textAlignment w:val="baseline"/>
        <w:rPr>
          <w:rFonts w:ascii="Verdana" w:hAnsi="Verdana"/>
          <w:sz w:val="20"/>
          <w:lang w:val="es-AR"/>
        </w:rPr>
      </w:pPr>
      <w:r w:rsidRPr="00432ABC">
        <w:rPr>
          <w:rFonts w:ascii="Verdana" w:hAnsi="Verdana" w:cs="Arial"/>
          <w:sz w:val="20"/>
          <w:szCs w:val="20"/>
          <w:lang w:val="es-AR"/>
        </w:rPr>
        <w:t xml:space="preserve">Por su parte, tras la desaparición de Rocío Irene Alvarado su grupo familiar </w:t>
      </w:r>
      <w:r w:rsidR="008D71A5">
        <w:rPr>
          <w:rFonts w:ascii="Verdana" w:hAnsi="Verdana" w:cs="Arial"/>
          <w:sz w:val="20"/>
          <w:szCs w:val="20"/>
          <w:lang w:val="es-AR"/>
        </w:rPr>
        <w:t>(</w:t>
      </w:r>
      <w:r w:rsidR="008D71A5" w:rsidRPr="008D0846">
        <w:rPr>
          <w:rFonts w:ascii="Verdana" w:hAnsi="Verdana" w:cs="Arial"/>
          <w:i/>
          <w:sz w:val="20"/>
          <w:szCs w:val="20"/>
          <w:lang w:val="es-AR"/>
        </w:rPr>
        <w:t>supra</w:t>
      </w:r>
      <w:r w:rsidR="008D71A5">
        <w:rPr>
          <w:rFonts w:ascii="Verdana" w:hAnsi="Verdana" w:cs="Arial"/>
          <w:sz w:val="20"/>
          <w:szCs w:val="20"/>
          <w:lang w:val="es-AR"/>
        </w:rPr>
        <w:t xml:space="preserve">, párr. 77) </w:t>
      </w:r>
      <w:r w:rsidRPr="00432ABC">
        <w:rPr>
          <w:rFonts w:ascii="Verdana" w:hAnsi="Verdana" w:cs="Arial"/>
          <w:sz w:val="20"/>
          <w:szCs w:val="20"/>
          <w:lang w:val="es-AR"/>
        </w:rPr>
        <w:t>se desplazó del Ejido Benito Juárez, lugar en el que residían; a saber:</w:t>
      </w:r>
    </w:p>
    <w:p w14:paraId="0A43CFAF" w14:textId="16B5B6A7" w:rsidR="008D1822" w:rsidRPr="008D0846" w:rsidRDefault="00B4529B">
      <w:pPr>
        <w:pStyle w:val="Prrafodelista"/>
        <w:widowControl w:val="0"/>
        <w:numPr>
          <w:ilvl w:val="2"/>
          <w:numId w:val="4"/>
        </w:numPr>
        <w:tabs>
          <w:tab w:val="left" w:pos="567"/>
        </w:tabs>
        <w:autoSpaceDE w:val="0"/>
        <w:autoSpaceDN w:val="0"/>
        <w:adjustRightInd w:val="0"/>
        <w:spacing w:before="120" w:after="120" w:line="240" w:lineRule="auto"/>
        <w:ind w:left="567"/>
        <w:contextualSpacing w:val="0"/>
        <w:jc w:val="both"/>
        <w:textAlignment w:val="baseline"/>
        <w:rPr>
          <w:rFonts w:ascii="Verdana" w:hAnsi="Verdana"/>
          <w:sz w:val="18"/>
          <w:lang w:val="es-AR"/>
        </w:rPr>
      </w:pPr>
      <w:r w:rsidRPr="008D0846">
        <w:rPr>
          <w:rFonts w:ascii="Verdana" w:eastAsia="Calibri" w:hAnsi="Verdana"/>
          <w:bCs/>
          <w:sz w:val="18"/>
          <w:szCs w:val="20"/>
          <w:lang w:val="es-AR"/>
        </w:rPr>
        <w:t>t</w:t>
      </w:r>
      <w:r w:rsidR="008D1822" w:rsidRPr="008D0846">
        <w:rPr>
          <w:rFonts w:ascii="Verdana" w:eastAsia="Calibri" w:hAnsi="Verdana"/>
          <w:bCs/>
          <w:sz w:val="18"/>
          <w:szCs w:val="20"/>
          <w:lang w:val="es-AR"/>
        </w:rPr>
        <w:t>rascurrido un mes de</w:t>
      </w:r>
      <w:r w:rsidR="008D1822" w:rsidRPr="008D0846">
        <w:rPr>
          <w:rFonts w:ascii="Verdana" w:hAnsi="Verdana" w:cs="Arial"/>
          <w:sz w:val="18"/>
          <w:szCs w:val="20"/>
          <w:lang w:val="es-AR"/>
        </w:rPr>
        <w:t xml:space="preserve"> la desaparición de Rocío Irene Alvarado, su madre, Patricia Reyes Rueda, se desplazó del Ejido Benito Juárez en compañía de sus hijos A.A.R. y A.R.A.R. (hermanos de Rocío </w:t>
      </w:r>
      <w:r w:rsidR="008D1822" w:rsidRPr="008D0846">
        <w:rPr>
          <w:rFonts w:ascii="Verdana" w:eastAsia="Calibri" w:hAnsi="Verdana"/>
          <w:bCs/>
          <w:sz w:val="18"/>
          <w:szCs w:val="20"/>
          <w:lang w:val="es-AR"/>
        </w:rPr>
        <w:t>Irene Alvarado</w:t>
      </w:r>
      <w:r w:rsidR="008D1822" w:rsidRPr="008D0846">
        <w:rPr>
          <w:rFonts w:ascii="Verdana" w:hAnsi="Verdana" w:cs="Arial"/>
          <w:sz w:val="18"/>
          <w:szCs w:val="20"/>
          <w:lang w:val="es-AR"/>
        </w:rPr>
        <w:t xml:space="preserve">), así como de su nieta A.M.U.A. (hija de Rocío </w:t>
      </w:r>
      <w:r w:rsidR="008D1822" w:rsidRPr="008D0846">
        <w:rPr>
          <w:rFonts w:ascii="Verdana" w:eastAsia="Calibri" w:hAnsi="Verdana"/>
          <w:bCs/>
          <w:sz w:val="18"/>
          <w:szCs w:val="20"/>
          <w:lang w:val="es-AR"/>
        </w:rPr>
        <w:t>Irene Alvarado</w:t>
      </w:r>
      <w:r w:rsidR="008D1822" w:rsidRPr="008D0846">
        <w:rPr>
          <w:rFonts w:ascii="Verdana" w:hAnsi="Verdana" w:cs="Arial"/>
          <w:sz w:val="18"/>
          <w:szCs w:val="20"/>
          <w:lang w:val="es-AR"/>
        </w:rPr>
        <w:t>), por miedo a que se repitieran hechos similares, estableciéndose en la ciudad de Chihuahua durante un año. Con posterioridad, regresó al Ejido Benito Juárez, vendió su anterior vivienda y construyó un nuevo hogar al que se mudó con su familia. En dicho lugar radicó hasta el año 2016</w:t>
      </w:r>
      <w:r w:rsidR="008D1822" w:rsidRPr="008D0846">
        <w:rPr>
          <w:rStyle w:val="Refdenotaalpie"/>
          <w:rFonts w:ascii="Verdana" w:hAnsi="Verdana" w:cs="Arial"/>
          <w:sz w:val="18"/>
          <w:szCs w:val="20"/>
          <w:lang w:val="es-AR"/>
        </w:rPr>
        <w:footnoteReference w:id="365"/>
      </w:r>
      <w:r w:rsidR="00D60ADB" w:rsidRPr="008D0846">
        <w:rPr>
          <w:rFonts w:ascii="Verdana" w:hAnsi="Verdana" w:cs="Arial"/>
          <w:sz w:val="18"/>
          <w:szCs w:val="20"/>
          <w:lang w:val="es-AR"/>
        </w:rPr>
        <w:t>, y</w:t>
      </w:r>
      <w:r w:rsidR="008D1822" w:rsidRPr="008D0846">
        <w:rPr>
          <w:rFonts w:ascii="Verdana" w:hAnsi="Verdana" w:cs="Arial"/>
          <w:sz w:val="18"/>
          <w:szCs w:val="20"/>
          <w:lang w:val="es-AR"/>
        </w:rPr>
        <w:t xml:space="preserve"> </w:t>
      </w:r>
    </w:p>
    <w:p w14:paraId="66832FEF" w14:textId="34470860" w:rsidR="008D1822" w:rsidRPr="008D0846" w:rsidRDefault="00D60ADB">
      <w:pPr>
        <w:pStyle w:val="Prrafodelista"/>
        <w:widowControl w:val="0"/>
        <w:numPr>
          <w:ilvl w:val="2"/>
          <w:numId w:val="4"/>
        </w:numPr>
        <w:tabs>
          <w:tab w:val="left" w:pos="567"/>
        </w:tabs>
        <w:autoSpaceDE w:val="0"/>
        <w:autoSpaceDN w:val="0"/>
        <w:adjustRightInd w:val="0"/>
        <w:spacing w:before="120" w:after="120" w:line="240" w:lineRule="auto"/>
        <w:ind w:left="567"/>
        <w:contextualSpacing w:val="0"/>
        <w:jc w:val="both"/>
        <w:textAlignment w:val="baseline"/>
        <w:rPr>
          <w:rFonts w:ascii="Verdana" w:hAnsi="Verdana" w:cs="Arial"/>
          <w:sz w:val="18"/>
          <w:szCs w:val="20"/>
          <w:lang w:val="es-AR"/>
        </w:rPr>
      </w:pPr>
      <w:r w:rsidRPr="008D0846">
        <w:rPr>
          <w:rFonts w:ascii="Verdana" w:hAnsi="Verdana" w:cs="Arial"/>
          <w:sz w:val="18"/>
          <w:szCs w:val="20"/>
          <w:lang w:val="es-AR"/>
        </w:rPr>
        <w:t>e</w:t>
      </w:r>
      <w:r w:rsidR="008D1822" w:rsidRPr="008D0846">
        <w:rPr>
          <w:rFonts w:ascii="Verdana" w:hAnsi="Verdana" w:cs="Arial"/>
          <w:sz w:val="18"/>
          <w:szCs w:val="20"/>
          <w:lang w:val="es-AR"/>
        </w:rPr>
        <w:t xml:space="preserve">n 2016 Patricia Reyes se trasladó junto con su hijo A.A.R. y su nieta A.M.U.A. a la ciudad de Chihuahua a una vivienda consensuada y proporcionada por el Gobierno del Estado de Chihuahua en el marco de las medidas provisionales otorgadas por la Corte y de las cuales su grupo familiar es beneficiario hasta </w:t>
      </w:r>
      <w:r w:rsidR="008D1822" w:rsidRPr="008D0846">
        <w:rPr>
          <w:rFonts w:ascii="Verdana" w:hAnsi="Verdana" w:cs="Arial"/>
          <w:sz w:val="18"/>
          <w:szCs w:val="20"/>
          <w:lang w:val="es-AR"/>
        </w:rPr>
        <w:lastRenderedPageBreak/>
        <w:t>la fecha. Transcurrido un año, debido a que la familia no logró adaptarse, regresaron voluntariamente al Ejido Benito Juárez</w:t>
      </w:r>
      <w:r w:rsidR="008D1822" w:rsidRPr="008D0846">
        <w:rPr>
          <w:rStyle w:val="Refdenotaalpie"/>
          <w:rFonts w:ascii="Verdana" w:hAnsi="Verdana" w:cs="Arial"/>
          <w:sz w:val="18"/>
          <w:szCs w:val="20"/>
          <w:lang w:val="es-AR"/>
        </w:rPr>
        <w:footnoteReference w:id="366"/>
      </w:r>
      <w:r w:rsidR="008D1822" w:rsidRPr="008D0846">
        <w:rPr>
          <w:rFonts w:ascii="Verdana" w:hAnsi="Verdana" w:cs="Arial"/>
          <w:sz w:val="18"/>
          <w:szCs w:val="20"/>
          <w:lang w:val="es-AR"/>
        </w:rPr>
        <w:t>.</w:t>
      </w:r>
    </w:p>
    <w:p w14:paraId="51D2C8FA" w14:textId="27C84517" w:rsidR="008D1822" w:rsidRPr="00432ABC" w:rsidRDefault="00556FDB">
      <w:pPr>
        <w:pStyle w:val="Ttulo4"/>
        <w:numPr>
          <w:ilvl w:val="0"/>
          <w:numId w:val="62"/>
        </w:numPr>
        <w:spacing w:before="120" w:after="120"/>
        <w:contextualSpacing w:val="0"/>
        <w:rPr>
          <w:u w:val="none"/>
          <w:lang w:val="es-AR"/>
        </w:rPr>
      </w:pPr>
      <w:r>
        <w:rPr>
          <w:u w:val="none"/>
          <w:lang w:val="es-AR"/>
        </w:rPr>
        <w:t xml:space="preserve"> </w:t>
      </w:r>
      <w:bookmarkStart w:id="167" w:name="_Toc532995358"/>
      <w:r w:rsidR="008D1822" w:rsidRPr="00744CE4">
        <w:rPr>
          <w:u w:val="none"/>
          <w:lang w:val="es-AR"/>
        </w:rPr>
        <w:t>Grupo familiar de José Ángel Alv</w:t>
      </w:r>
      <w:r w:rsidR="008D1822" w:rsidRPr="00432ABC">
        <w:rPr>
          <w:u w:val="none"/>
          <w:lang w:val="es-AR"/>
        </w:rPr>
        <w:t>arado Herrera</w:t>
      </w:r>
      <w:bookmarkEnd w:id="167"/>
    </w:p>
    <w:p w14:paraId="09B06ED8" w14:textId="72FE7985" w:rsidR="008D1822" w:rsidRPr="002C462C" w:rsidRDefault="008D1822" w:rsidP="00DB378B">
      <w:pPr>
        <w:pStyle w:val="Prrafodelista"/>
        <w:widowControl w:val="0"/>
        <w:numPr>
          <w:ilvl w:val="0"/>
          <w:numId w:val="4"/>
        </w:numPr>
        <w:tabs>
          <w:tab w:val="left" w:pos="567"/>
        </w:tabs>
        <w:autoSpaceDE w:val="0"/>
        <w:autoSpaceDN w:val="0"/>
        <w:adjustRightInd w:val="0"/>
        <w:spacing w:before="120" w:after="120" w:line="240" w:lineRule="auto"/>
        <w:ind w:left="0" w:firstLine="0"/>
        <w:contextualSpacing w:val="0"/>
        <w:jc w:val="both"/>
        <w:textAlignment w:val="baseline"/>
        <w:rPr>
          <w:rFonts w:ascii="Verdana" w:hAnsi="Verdana" w:cs="Cambria"/>
          <w:sz w:val="20"/>
          <w:szCs w:val="20"/>
        </w:rPr>
      </w:pPr>
      <w:r w:rsidRPr="00432ABC">
        <w:rPr>
          <w:rFonts w:ascii="Verdana" w:hAnsi="Verdana" w:cs="Cambria"/>
          <w:sz w:val="20"/>
          <w:szCs w:val="20"/>
        </w:rPr>
        <w:t>Como consecuencia de las amenazas recibidas vía telefónica por José Ángel Alvarado Fabela el 29 de enero de 2011 (</w:t>
      </w:r>
      <w:r w:rsidRPr="00432ABC">
        <w:rPr>
          <w:rFonts w:ascii="Verdana" w:hAnsi="Verdana" w:cs="Cambria"/>
          <w:i/>
          <w:sz w:val="20"/>
          <w:szCs w:val="20"/>
        </w:rPr>
        <w:t xml:space="preserve">supra </w:t>
      </w:r>
      <w:r w:rsidRPr="00432ABC">
        <w:rPr>
          <w:rFonts w:ascii="Verdana" w:hAnsi="Verdana" w:cs="Cambria"/>
          <w:sz w:val="20"/>
          <w:szCs w:val="20"/>
        </w:rPr>
        <w:t xml:space="preserve">párr. </w:t>
      </w:r>
      <w:r w:rsidR="001C7B22">
        <w:rPr>
          <w:rFonts w:ascii="Verdana" w:hAnsi="Verdana" w:cs="Cambria"/>
          <w:sz w:val="20"/>
          <w:szCs w:val="20"/>
        </w:rPr>
        <w:t>144</w:t>
      </w:r>
      <w:r w:rsidR="001C7B22" w:rsidRPr="00432ABC">
        <w:rPr>
          <w:rFonts w:ascii="Verdana" w:hAnsi="Verdana" w:cs="Cambria"/>
          <w:sz w:val="20"/>
          <w:szCs w:val="20"/>
        </w:rPr>
        <w:t xml:space="preserve">), </w:t>
      </w:r>
      <w:r w:rsidRPr="00432ABC">
        <w:rPr>
          <w:rFonts w:ascii="Verdana" w:hAnsi="Verdana" w:cs="Cambria"/>
          <w:sz w:val="20"/>
          <w:szCs w:val="20"/>
        </w:rPr>
        <w:t xml:space="preserve">los integrantes del grupo familiar de </w:t>
      </w:r>
      <w:r w:rsidRPr="00432ABC">
        <w:rPr>
          <w:rFonts w:ascii="Verdana" w:hAnsi="Verdana"/>
          <w:sz w:val="20"/>
          <w:szCs w:val="20"/>
          <w:lang w:val="es-AR"/>
        </w:rPr>
        <w:t>José Ángel Alvarado Herrera, quienes residían en Ciudad Juárez,</w:t>
      </w:r>
      <w:r w:rsidRPr="002C462C">
        <w:rPr>
          <w:rFonts w:ascii="Verdana" w:hAnsi="Verdana" w:cs="Cambria"/>
          <w:sz w:val="20"/>
          <w:szCs w:val="20"/>
        </w:rPr>
        <w:t xml:space="preserve"> decidieron huir por temor ese mismo día. Por consiguiente</w:t>
      </w:r>
      <w:r w:rsidR="00F80866">
        <w:rPr>
          <w:rFonts w:ascii="Verdana" w:hAnsi="Verdana" w:cs="Cambria"/>
          <w:sz w:val="20"/>
          <w:szCs w:val="20"/>
        </w:rPr>
        <w:t xml:space="preserve"> (</w:t>
      </w:r>
      <w:r w:rsidR="00F80866" w:rsidRPr="008D0846">
        <w:rPr>
          <w:rFonts w:ascii="Verdana" w:hAnsi="Verdana" w:cs="Cambria"/>
          <w:i/>
          <w:sz w:val="20"/>
          <w:szCs w:val="20"/>
        </w:rPr>
        <w:t>supra</w:t>
      </w:r>
      <w:r w:rsidR="00F80866">
        <w:rPr>
          <w:rFonts w:ascii="Verdana" w:hAnsi="Verdana" w:cs="Cambria"/>
          <w:sz w:val="20"/>
          <w:szCs w:val="20"/>
        </w:rPr>
        <w:t xml:space="preserve"> párr. 78)</w:t>
      </w:r>
      <w:r w:rsidRPr="002C462C">
        <w:rPr>
          <w:rFonts w:ascii="Verdana" w:hAnsi="Verdana" w:cs="Cambria"/>
          <w:sz w:val="20"/>
          <w:szCs w:val="20"/>
        </w:rPr>
        <w:t>:</w:t>
      </w:r>
    </w:p>
    <w:p w14:paraId="1ACF9535" w14:textId="2039FA8F" w:rsidR="008D1822" w:rsidRPr="008D0846" w:rsidRDefault="008D1822">
      <w:pPr>
        <w:pStyle w:val="Prrafodelista"/>
        <w:widowControl w:val="0"/>
        <w:numPr>
          <w:ilvl w:val="2"/>
          <w:numId w:val="4"/>
        </w:numPr>
        <w:tabs>
          <w:tab w:val="left" w:pos="567"/>
        </w:tabs>
        <w:autoSpaceDE w:val="0"/>
        <w:autoSpaceDN w:val="0"/>
        <w:adjustRightInd w:val="0"/>
        <w:spacing w:before="120" w:after="120" w:line="240" w:lineRule="auto"/>
        <w:ind w:left="567"/>
        <w:contextualSpacing w:val="0"/>
        <w:jc w:val="both"/>
        <w:textAlignment w:val="baseline"/>
        <w:rPr>
          <w:rFonts w:ascii="Verdana" w:hAnsi="Verdana"/>
          <w:strike/>
          <w:sz w:val="18"/>
        </w:rPr>
      </w:pPr>
      <w:r w:rsidRPr="008D0846">
        <w:rPr>
          <w:rFonts w:ascii="Verdana" w:hAnsi="Verdana" w:cs="Cambria"/>
          <w:sz w:val="18"/>
          <w:szCs w:val="20"/>
        </w:rPr>
        <w:t>José Ángel Alvarado Fabela (padre), Concepción Herrera (madre) Obdulia Espinoza Beltrán (esposa), J.A.E, J.A.A.E y A.E.B (hijos); Jaime Alvarado Herrera (hermano); Sandra Luz Rueda Quezada (cuñada, esposa de Jaime Alvarado), J.O.A.R, R.G.A.R, C.N.A.R, J.E.A.R. (sobrinos, hijos de Jaime Alvarado y Sandra Luz Rueda); Rosa Olivia Alvarado Herrera (hermana), Félix García García (cuñado, esposo de Rosa Olivia Alvarado), y Karina Paola Alvarado Espinoza, F.A.H y J.G.A (sobrinos, hijos de Rosa Olivia Alvarado y Félix García) se desplazaron al Ejido Benito Juárez</w:t>
      </w:r>
      <w:r w:rsidRPr="008D0846">
        <w:rPr>
          <w:rStyle w:val="Refdenotaalpie"/>
          <w:rFonts w:ascii="Verdana" w:hAnsi="Verdana" w:cs="Cambria"/>
          <w:sz w:val="18"/>
          <w:szCs w:val="20"/>
        </w:rPr>
        <w:footnoteReference w:id="367"/>
      </w:r>
      <w:r w:rsidR="00D60ADB" w:rsidRPr="008D0846">
        <w:rPr>
          <w:rFonts w:ascii="Verdana" w:hAnsi="Verdana" w:cs="Cambria"/>
          <w:sz w:val="18"/>
          <w:szCs w:val="20"/>
        </w:rPr>
        <w:t>;</w:t>
      </w:r>
      <w:r w:rsidRPr="008D0846">
        <w:rPr>
          <w:rFonts w:ascii="Verdana" w:hAnsi="Verdana" w:cs="Cambria"/>
          <w:strike/>
          <w:sz w:val="18"/>
          <w:szCs w:val="20"/>
        </w:rPr>
        <w:t xml:space="preserve"> </w:t>
      </w:r>
    </w:p>
    <w:p w14:paraId="188107E3" w14:textId="6A9ED3C5" w:rsidR="008D1822" w:rsidRPr="008D0846" w:rsidRDefault="00D60ADB">
      <w:pPr>
        <w:pStyle w:val="Prrafodelista"/>
        <w:widowControl w:val="0"/>
        <w:numPr>
          <w:ilvl w:val="2"/>
          <w:numId w:val="4"/>
        </w:numPr>
        <w:tabs>
          <w:tab w:val="left" w:pos="567"/>
        </w:tabs>
        <w:autoSpaceDE w:val="0"/>
        <w:autoSpaceDN w:val="0"/>
        <w:adjustRightInd w:val="0"/>
        <w:spacing w:before="120" w:after="120" w:line="240" w:lineRule="auto"/>
        <w:ind w:left="567"/>
        <w:contextualSpacing w:val="0"/>
        <w:jc w:val="both"/>
        <w:textAlignment w:val="baseline"/>
        <w:rPr>
          <w:rFonts w:ascii="Verdana" w:hAnsi="Verdana"/>
          <w:sz w:val="18"/>
        </w:rPr>
      </w:pPr>
      <w:r w:rsidRPr="008D0846">
        <w:rPr>
          <w:rFonts w:ascii="Verdana" w:hAnsi="Verdana"/>
          <w:sz w:val="18"/>
          <w:szCs w:val="20"/>
        </w:rPr>
        <w:t>d</w:t>
      </w:r>
      <w:r w:rsidR="008D1822" w:rsidRPr="008D0846">
        <w:rPr>
          <w:rFonts w:ascii="Verdana" w:hAnsi="Verdana"/>
          <w:sz w:val="18"/>
          <w:szCs w:val="20"/>
          <w:lang w:val="es-AR"/>
        </w:rPr>
        <w:t>e igual forma, Rosa Olivia Alvarado Herrera, Félix García García, Karina Paola Alvarado Espinoza, F.A.H. y J.G.A., regresaron a Ciudad Juárez y rentaron una casa para vivir, puesto que ya no volvieron a habitar la vivienda de su propiedad en dicha ciudad debido al temor que padecían por las amenazas recibidas</w:t>
      </w:r>
      <w:r w:rsidR="008D1822" w:rsidRPr="008D0846">
        <w:rPr>
          <w:rStyle w:val="Refdenotaalpie"/>
          <w:rFonts w:ascii="Verdana" w:hAnsi="Verdana"/>
          <w:sz w:val="18"/>
          <w:szCs w:val="20"/>
          <w:lang w:val="es-AR"/>
        </w:rPr>
        <w:footnoteReference w:id="368"/>
      </w:r>
      <w:r w:rsidR="008D1822" w:rsidRPr="008D0846">
        <w:rPr>
          <w:rFonts w:ascii="Verdana" w:hAnsi="Verdana"/>
          <w:sz w:val="18"/>
          <w:szCs w:val="20"/>
          <w:lang w:val="es-AR"/>
        </w:rPr>
        <w:t>. Con posterioridad, Jaime Alvarado, su esposa Sandra Luz Rueda y los 4 hijos de éstos también volvieron a Ciudad Juárez, habitando en la misma vivienda alquilada</w:t>
      </w:r>
      <w:r w:rsidR="008D1822" w:rsidRPr="008D0846">
        <w:rPr>
          <w:rStyle w:val="Refdenotaalpie"/>
          <w:rFonts w:ascii="Verdana" w:hAnsi="Verdana"/>
          <w:sz w:val="18"/>
          <w:szCs w:val="20"/>
          <w:lang w:val="es-AR"/>
        </w:rPr>
        <w:footnoteReference w:id="369"/>
      </w:r>
      <w:r w:rsidR="008D1822" w:rsidRPr="008D0846">
        <w:rPr>
          <w:rFonts w:ascii="Verdana" w:hAnsi="Verdana"/>
          <w:sz w:val="18"/>
          <w:szCs w:val="20"/>
          <w:lang w:val="es-AR"/>
        </w:rPr>
        <w:t>.</w:t>
      </w:r>
    </w:p>
    <w:p w14:paraId="269E3D41" w14:textId="1F908551" w:rsidR="008D1822" w:rsidRPr="00432ABC" w:rsidRDefault="008D1822" w:rsidP="00DB378B">
      <w:pPr>
        <w:pStyle w:val="Prrafodelista"/>
        <w:numPr>
          <w:ilvl w:val="0"/>
          <w:numId w:val="4"/>
        </w:numPr>
        <w:spacing w:before="120" w:after="120" w:line="240" w:lineRule="auto"/>
        <w:ind w:left="0" w:firstLine="0"/>
        <w:contextualSpacing w:val="0"/>
        <w:jc w:val="both"/>
        <w:rPr>
          <w:rFonts w:ascii="Verdana" w:hAnsi="Verdana"/>
          <w:sz w:val="20"/>
        </w:rPr>
      </w:pPr>
      <w:r w:rsidRPr="00432ABC">
        <w:rPr>
          <w:rFonts w:ascii="Verdana" w:hAnsi="Verdana"/>
          <w:sz w:val="20"/>
          <w:szCs w:val="20"/>
          <w:lang w:val="es-AR"/>
        </w:rPr>
        <w:t>Tras el atropellamiento de Jaime Alvarado y el allanamiento de su domicilio familiar ocurridos en 2011 en Ciudad Juárez (</w:t>
      </w:r>
      <w:r w:rsidRPr="00432ABC">
        <w:rPr>
          <w:rFonts w:ascii="Verdana" w:hAnsi="Verdana"/>
          <w:i/>
          <w:sz w:val="20"/>
          <w:szCs w:val="20"/>
          <w:lang w:val="es-AR"/>
        </w:rPr>
        <w:t>supra</w:t>
      </w:r>
      <w:r w:rsidRPr="00432ABC">
        <w:rPr>
          <w:rFonts w:ascii="Verdana" w:hAnsi="Verdana"/>
          <w:sz w:val="20"/>
          <w:szCs w:val="20"/>
          <w:lang w:val="es-AR"/>
        </w:rPr>
        <w:t xml:space="preserve">, párrs. </w:t>
      </w:r>
      <w:r w:rsidR="00083228">
        <w:rPr>
          <w:rFonts w:ascii="Verdana" w:hAnsi="Verdana"/>
          <w:sz w:val="20"/>
          <w:szCs w:val="20"/>
          <w:lang w:val="es-AR"/>
        </w:rPr>
        <w:t>14</w:t>
      </w:r>
      <w:r w:rsidR="00F80866">
        <w:rPr>
          <w:rFonts w:ascii="Verdana" w:hAnsi="Verdana"/>
          <w:sz w:val="20"/>
          <w:szCs w:val="20"/>
          <w:lang w:val="es-AR"/>
        </w:rPr>
        <w:t>7</w:t>
      </w:r>
      <w:r w:rsidR="00083228">
        <w:rPr>
          <w:rFonts w:ascii="Verdana" w:hAnsi="Verdana"/>
          <w:sz w:val="20"/>
          <w:szCs w:val="20"/>
          <w:lang w:val="es-AR"/>
        </w:rPr>
        <w:t xml:space="preserve"> y 14</w:t>
      </w:r>
      <w:r w:rsidR="00F80866">
        <w:rPr>
          <w:rFonts w:ascii="Verdana" w:hAnsi="Verdana"/>
          <w:sz w:val="20"/>
          <w:szCs w:val="20"/>
          <w:lang w:val="es-AR"/>
        </w:rPr>
        <w:t>9</w:t>
      </w:r>
      <w:r w:rsidR="00083228" w:rsidRPr="00432ABC">
        <w:rPr>
          <w:rFonts w:ascii="Verdana" w:hAnsi="Verdana"/>
          <w:sz w:val="20"/>
          <w:szCs w:val="20"/>
          <w:lang w:val="es-AR"/>
        </w:rPr>
        <w:t xml:space="preserve">), </w:t>
      </w:r>
      <w:r w:rsidRPr="00432ABC">
        <w:rPr>
          <w:rFonts w:ascii="Verdana" w:hAnsi="Verdana"/>
          <w:sz w:val="20"/>
          <w:szCs w:val="20"/>
          <w:lang w:val="es-AR"/>
        </w:rPr>
        <w:t>dicho familiar se trasladó a Hermosillo, Sonora, en donde radicó durante un año separado de su esposa e hijos, quienes continuaron residiendo en Ciudad Juárez</w:t>
      </w:r>
      <w:r w:rsidR="00021452">
        <w:rPr>
          <w:rFonts w:ascii="Verdana" w:hAnsi="Verdana"/>
          <w:sz w:val="20"/>
          <w:szCs w:val="20"/>
          <w:lang w:val="es-AR"/>
        </w:rPr>
        <w:t>, Chihuahua</w:t>
      </w:r>
      <w:r w:rsidRPr="00744CE4">
        <w:rPr>
          <w:rStyle w:val="Refdenotaalpie"/>
          <w:rFonts w:ascii="Verdana" w:hAnsi="Verdana"/>
          <w:sz w:val="20"/>
          <w:szCs w:val="20"/>
          <w:lang w:val="es-AR"/>
        </w:rPr>
        <w:footnoteReference w:id="370"/>
      </w:r>
      <w:r w:rsidR="00021452">
        <w:rPr>
          <w:rFonts w:ascii="Verdana" w:hAnsi="Verdana"/>
          <w:sz w:val="20"/>
          <w:szCs w:val="20"/>
          <w:lang w:val="es-AR"/>
        </w:rPr>
        <w:t>.</w:t>
      </w:r>
    </w:p>
    <w:p w14:paraId="71F0573F" w14:textId="6C063D8B" w:rsidR="008D1822" w:rsidRPr="000E4E05" w:rsidRDefault="008D1822" w:rsidP="00DB378B">
      <w:pPr>
        <w:pStyle w:val="Prrafodelista"/>
        <w:numPr>
          <w:ilvl w:val="0"/>
          <w:numId w:val="4"/>
        </w:numPr>
        <w:spacing w:before="120" w:after="120" w:line="240" w:lineRule="auto"/>
        <w:ind w:left="0" w:firstLine="0"/>
        <w:contextualSpacing w:val="0"/>
        <w:jc w:val="both"/>
        <w:rPr>
          <w:rFonts w:ascii="Verdana" w:hAnsi="Verdana"/>
          <w:sz w:val="20"/>
        </w:rPr>
      </w:pPr>
      <w:r w:rsidRPr="00432ABC">
        <w:rPr>
          <w:rFonts w:ascii="Verdana" w:hAnsi="Verdana"/>
          <w:sz w:val="20"/>
          <w:szCs w:val="20"/>
          <w:lang w:val="es-AR"/>
        </w:rPr>
        <w:t>Finalmente y como consecuencia del homicidio de F.A.H. (hijo de Rosa Olivia Alvarado) ocurrido el 6 de febrero de 2018</w:t>
      </w:r>
      <w:r w:rsidRPr="00744CE4">
        <w:rPr>
          <w:rStyle w:val="Refdenotaalpie"/>
          <w:rFonts w:ascii="Verdana" w:hAnsi="Verdana"/>
          <w:sz w:val="20"/>
          <w:szCs w:val="20"/>
          <w:lang w:val="es-AR"/>
        </w:rPr>
        <w:footnoteReference w:id="371"/>
      </w:r>
      <w:r w:rsidRPr="00744CE4">
        <w:rPr>
          <w:rFonts w:ascii="Verdana" w:hAnsi="Verdana"/>
          <w:sz w:val="20"/>
          <w:szCs w:val="20"/>
          <w:lang w:val="es-AR"/>
        </w:rPr>
        <w:t>, y de las amenazas vertidas en contra de Jaime Alvarado en el Ejido Benito Juárez tras acudir a su funeral</w:t>
      </w:r>
      <w:r w:rsidRPr="00744CE4">
        <w:rPr>
          <w:rStyle w:val="Refdenotaalpie"/>
          <w:rFonts w:ascii="Verdana" w:hAnsi="Verdana"/>
          <w:sz w:val="20"/>
          <w:szCs w:val="20"/>
          <w:lang w:val="es-AR"/>
        </w:rPr>
        <w:footnoteReference w:id="372"/>
      </w:r>
      <w:r w:rsidRPr="00744CE4">
        <w:rPr>
          <w:rFonts w:ascii="Verdana" w:hAnsi="Verdana"/>
          <w:sz w:val="20"/>
          <w:szCs w:val="20"/>
          <w:lang w:val="es-AR"/>
        </w:rPr>
        <w:t xml:space="preserve">, José Ángel Alvarado Fabela, Jaime Alvarado, </w:t>
      </w:r>
      <w:r w:rsidRPr="00744CE4">
        <w:rPr>
          <w:rFonts w:ascii="Verdana" w:hAnsi="Verdana"/>
          <w:sz w:val="20"/>
          <w:szCs w:val="20"/>
          <w:lang w:val="es-AR"/>
        </w:rPr>
        <w:lastRenderedPageBreak/>
        <w:t>Sandra Luz Rueda y J.E.A.R. (de 7 años de edad e hijo de estos dos últimos), se trasladaron a un refugio brindado por la Comisión Estatal de Víctimas</w:t>
      </w:r>
      <w:r w:rsidRPr="000E4E05">
        <w:rPr>
          <w:rStyle w:val="Refdenotaalpie"/>
          <w:rFonts w:ascii="Verdana" w:hAnsi="Verdana"/>
          <w:sz w:val="20"/>
          <w:szCs w:val="20"/>
          <w:lang w:val="es-AR"/>
        </w:rPr>
        <w:footnoteReference w:id="373"/>
      </w:r>
      <w:r w:rsidRPr="000E4E05">
        <w:rPr>
          <w:rFonts w:ascii="Verdana" w:hAnsi="Verdana"/>
          <w:sz w:val="20"/>
          <w:szCs w:val="20"/>
          <w:lang w:val="es-AR"/>
        </w:rPr>
        <w:t>.</w:t>
      </w:r>
    </w:p>
    <w:p w14:paraId="1299C663" w14:textId="29E94153" w:rsidR="008D1822" w:rsidRPr="008D0846" w:rsidRDefault="008D1822" w:rsidP="00DB378B">
      <w:pPr>
        <w:pStyle w:val="Prrafodelista"/>
        <w:numPr>
          <w:ilvl w:val="0"/>
          <w:numId w:val="4"/>
        </w:numPr>
        <w:spacing w:before="120" w:after="120" w:line="240" w:lineRule="auto"/>
        <w:ind w:left="0" w:firstLine="0"/>
        <w:contextualSpacing w:val="0"/>
        <w:jc w:val="both"/>
        <w:rPr>
          <w:rFonts w:ascii="Verdana" w:hAnsi="Verdana"/>
          <w:strike/>
          <w:sz w:val="20"/>
        </w:rPr>
      </w:pPr>
      <w:r w:rsidRPr="00432ABC">
        <w:rPr>
          <w:rFonts w:ascii="Verdana" w:hAnsi="Verdana"/>
          <w:sz w:val="20"/>
          <w:szCs w:val="20"/>
          <w:lang w:val="es-AR"/>
        </w:rPr>
        <w:t xml:space="preserve">Por su parte, </w:t>
      </w:r>
      <w:r w:rsidRPr="00432ABC">
        <w:rPr>
          <w:rFonts w:ascii="Verdana" w:hAnsi="Verdana" w:cs="Arial"/>
          <w:sz w:val="20"/>
          <w:szCs w:val="20"/>
          <w:lang w:val="es-AR"/>
        </w:rPr>
        <w:t xml:space="preserve">Reyna Guadalupe y Cindy Nallely Alvarado Rueda, hijas de Jaime Alvarado y Sandra Luz Rueda, </w:t>
      </w:r>
      <w:r w:rsidRPr="000E4E05">
        <w:rPr>
          <w:rFonts w:ascii="Verdana" w:hAnsi="Verdana" w:cs="Arial"/>
          <w:sz w:val="20"/>
          <w:szCs w:val="20"/>
          <w:lang w:val="es-AR"/>
        </w:rPr>
        <w:t xml:space="preserve">actualmente </w:t>
      </w:r>
      <w:r w:rsidRPr="007E2CF6">
        <w:rPr>
          <w:rFonts w:ascii="Verdana" w:hAnsi="Verdana" w:cs="Arial"/>
          <w:sz w:val="20"/>
          <w:szCs w:val="20"/>
          <w:lang w:val="es-AR"/>
        </w:rPr>
        <w:t xml:space="preserve">viven en </w:t>
      </w:r>
      <w:r w:rsidR="007E2CF6">
        <w:rPr>
          <w:rFonts w:ascii="Verdana" w:hAnsi="Verdana" w:cs="Arial"/>
          <w:sz w:val="20"/>
          <w:szCs w:val="20"/>
          <w:lang w:val="es-AR"/>
        </w:rPr>
        <w:t>[suprimido]</w:t>
      </w:r>
      <w:r w:rsidRPr="00432ABC">
        <w:rPr>
          <w:rFonts w:ascii="Verdana" w:hAnsi="Verdana" w:cs="Arial"/>
          <w:sz w:val="20"/>
          <w:szCs w:val="20"/>
          <w:lang w:val="es-AR"/>
        </w:rPr>
        <w:t xml:space="preserve">, mientras que otro de sus hijos, J.O.A.R. (testigo del homicidio de F.A.H.) </w:t>
      </w:r>
      <w:r w:rsidRPr="000E4E05">
        <w:rPr>
          <w:rFonts w:ascii="Verdana" w:hAnsi="Verdana" w:cs="Arial"/>
          <w:sz w:val="20"/>
          <w:szCs w:val="20"/>
          <w:lang w:val="es-AR"/>
        </w:rPr>
        <w:t xml:space="preserve">radica en </w:t>
      </w:r>
      <w:r w:rsidR="007E2CF6">
        <w:rPr>
          <w:rFonts w:ascii="Verdana" w:hAnsi="Verdana" w:cs="Arial"/>
          <w:sz w:val="20"/>
          <w:szCs w:val="20"/>
          <w:lang w:val="es-AR"/>
        </w:rPr>
        <w:t>[suprimido]</w:t>
      </w:r>
      <w:r w:rsidRPr="00432ABC">
        <w:rPr>
          <w:rFonts w:ascii="Verdana" w:hAnsi="Verdana" w:cs="Arial"/>
          <w:sz w:val="20"/>
          <w:szCs w:val="20"/>
          <w:lang w:val="es-AR"/>
        </w:rPr>
        <w:t xml:space="preserve">, Chihuahua. </w:t>
      </w:r>
      <w:r w:rsidRPr="00192C1D">
        <w:rPr>
          <w:rFonts w:ascii="Verdana" w:hAnsi="Verdana" w:cs="Arial"/>
          <w:sz w:val="20"/>
          <w:szCs w:val="20"/>
          <w:lang w:val="es-AR"/>
        </w:rPr>
        <w:t xml:space="preserve">Asimismo </w:t>
      </w:r>
      <w:r w:rsidRPr="000E4E05">
        <w:rPr>
          <w:rFonts w:ascii="Verdana" w:hAnsi="Verdana" w:cs="Arial"/>
          <w:sz w:val="20"/>
          <w:szCs w:val="20"/>
          <w:lang w:val="es-AR"/>
        </w:rPr>
        <w:t xml:space="preserve">Rosa Olivia Alvarado Herrera se desplazó hacia la </w:t>
      </w:r>
      <w:r w:rsidRPr="00192C1D">
        <w:rPr>
          <w:rFonts w:ascii="Verdana" w:hAnsi="Verdana" w:cs="Arial"/>
          <w:sz w:val="20"/>
          <w:szCs w:val="20"/>
          <w:lang w:val="es-AR"/>
        </w:rPr>
        <w:t xml:space="preserve">ciudad de El Paso, estado de Texas, EUA, </w:t>
      </w:r>
      <w:r w:rsidRPr="000E4E05">
        <w:rPr>
          <w:rFonts w:ascii="Verdana" w:hAnsi="Verdana" w:cs="Arial"/>
          <w:sz w:val="20"/>
          <w:szCs w:val="20"/>
          <w:lang w:val="es-AR"/>
        </w:rPr>
        <w:t>en compañía de su esposo Félix García García y del hijo de ambos, A.G.A., en donde se encuentran actualmente</w:t>
      </w:r>
      <w:r w:rsidRPr="002C462C">
        <w:rPr>
          <w:rFonts w:ascii="Verdana" w:hAnsi="Verdana" w:cs="Arial"/>
          <w:sz w:val="20"/>
          <w:szCs w:val="20"/>
          <w:lang w:val="es-AR"/>
        </w:rPr>
        <w:t xml:space="preserve"> radicando a la espera de que se resuelvan las solicitud</w:t>
      </w:r>
      <w:r w:rsidRPr="00744CE4">
        <w:rPr>
          <w:rFonts w:ascii="Verdana" w:hAnsi="Verdana" w:cs="Arial"/>
          <w:sz w:val="20"/>
          <w:szCs w:val="20"/>
          <w:lang w:val="es-AR"/>
        </w:rPr>
        <w:t xml:space="preserve">es de asilo que formularon en dicho país como consecuencia de la situación de riesgo provocada a raíz del homicidio de F.A.H., mientras que otra de sus hijas, </w:t>
      </w:r>
      <w:r w:rsidRPr="000E4E05">
        <w:rPr>
          <w:rFonts w:ascii="Verdana" w:hAnsi="Verdana" w:cs="Arial"/>
          <w:sz w:val="20"/>
          <w:szCs w:val="20"/>
          <w:lang w:val="es-AR"/>
        </w:rPr>
        <w:t xml:space="preserve">Karina Paola Alvarado Alvarado, permanece radicando en </w:t>
      </w:r>
      <w:r w:rsidR="007E2CF6">
        <w:rPr>
          <w:rFonts w:ascii="Verdana" w:hAnsi="Verdana" w:cs="Arial"/>
          <w:sz w:val="20"/>
          <w:szCs w:val="20"/>
          <w:lang w:val="es-AR"/>
        </w:rPr>
        <w:t>[suprimido]</w:t>
      </w:r>
      <w:r w:rsidRPr="000E4E05">
        <w:rPr>
          <w:rStyle w:val="Refdenotaalpie"/>
          <w:rFonts w:ascii="Verdana" w:hAnsi="Verdana" w:cs="Arial"/>
          <w:sz w:val="20"/>
          <w:szCs w:val="20"/>
          <w:lang w:val="es-AR"/>
        </w:rPr>
        <w:footnoteReference w:id="374"/>
      </w:r>
      <w:r w:rsidRPr="000E4E05">
        <w:rPr>
          <w:rFonts w:ascii="Verdana" w:hAnsi="Verdana" w:cs="Arial"/>
          <w:sz w:val="20"/>
          <w:szCs w:val="20"/>
          <w:lang w:val="es-AR"/>
        </w:rPr>
        <w:t xml:space="preserve">. </w:t>
      </w:r>
    </w:p>
    <w:p w14:paraId="73800281" w14:textId="5D7E7751" w:rsidR="00754453" w:rsidRPr="00DB378B" w:rsidRDefault="008D1822" w:rsidP="00DB378B">
      <w:pPr>
        <w:pStyle w:val="Prrafodelista"/>
        <w:numPr>
          <w:ilvl w:val="0"/>
          <w:numId w:val="4"/>
        </w:numPr>
        <w:spacing w:before="120" w:after="120" w:line="240" w:lineRule="auto"/>
        <w:ind w:left="0" w:firstLine="0"/>
        <w:contextualSpacing w:val="0"/>
        <w:jc w:val="both"/>
        <w:rPr>
          <w:rFonts w:ascii="Verdana" w:hAnsi="Verdana"/>
        </w:rPr>
      </w:pPr>
      <w:r w:rsidRPr="00432ABC">
        <w:rPr>
          <w:rFonts w:ascii="Verdana" w:hAnsi="Verdana"/>
          <w:sz w:val="20"/>
          <w:szCs w:val="20"/>
          <w:lang w:val="es-AR"/>
        </w:rPr>
        <w:t xml:space="preserve">En el trámite de medidas provisionales, esta Corte se pronunció además respecto de </w:t>
      </w:r>
      <w:r w:rsidR="00AC6FFB" w:rsidRPr="00432ABC">
        <w:rPr>
          <w:rFonts w:ascii="Verdana" w:hAnsi="Verdana"/>
          <w:sz w:val="20"/>
          <w:szCs w:val="20"/>
          <w:lang w:val="es-AR"/>
        </w:rPr>
        <w:t>la situación de</w:t>
      </w:r>
      <w:r w:rsidRPr="002C462C">
        <w:rPr>
          <w:rFonts w:ascii="Verdana" w:hAnsi="Verdana"/>
          <w:sz w:val="20"/>
          <w:szCs w:val="20"/>
          <w:lang w:val="es-AR"/>
        </w:rPr>
        <w:t xml:space="preserve"> riesgo y desplazamientos de los familiares, mediante Resoluciones de fechas 23 de noviembre de 2012; 23 de junio de 2015; 14 de noviembre de 2017</w:t>
      </w:r>
      <w:r w:rsidR="00AC6FFB" w:rsidRPr="002C462C">
        <w:rPr>
          <w:rFonts w:ascii="Verdana" w:hAnsi="Verdana"/>
          <w:sz w:val="20"/>
          <w:szCs w:val="20"/>
          <w:lang w:val="es-AR"/>
        </w:rPr>
        <w:t>,</w:t>
      </w:r>
      <w:r w:rsidRPr="00744CE4">
        <w:rPr>
          <w:rFonts w:ascii="Verdana" w:hAnsi="Verdana"/>
          <w:sz w:val="20"/>
          <w:szCs w:val="20"/>
          <w:lang w:val="es-AR"/>
        </w:rPr>
        <w:t xml:space="preserve"> y 14 de marzo de 2018</w:t>
      </w:r>
      <w:r w:rsidRPr="00DB378B">
        <w:rPr>
          <w:rFonts w:ascii="Verdana" w:hAnsi="Verdana"/>
          <w:vertAlign w:val="superscript"/>
          <w:lang w:val="es-AR"/>
        </w:rPr>
        <w:footnoteReference w:id="375"/>
      </w:r>
      <w:r w:rsidRPr="00744CE4">
        <w:rPr>
          <w:rFonts w:ascii="Verdana" w:hAnsi="Verdana"/>
          <w:sz w:val="20"/>
          <w:szCs w:val="20"/>
          <w:lang w:val="es-AR"/>
        </w:rPr>
        <w:t xml:space="preserve">. </w:t>
      </w:r>
      <w:bookmarkStart w:id="168" w:name="_Toc526774155"/>
      <w:bookmarkStart w:id="169" w:name="_Toc526777487"/>
      <w:bookmarkStart w:id="170" w:name="_Toc526783777"/>
    </w:p>
    <w:p w14:paraId="64AA5F92" w14:textId="5133B702" w:rsidR="002E1C85" w:rsidRPr="00813B72" w:rsidRDefault="00BD5BB5" w:rsidP="0057411A">
      <w:pPr>
        <w:pStyle w:val="Ttulo1"/>
      </w:pPr>
      <w:bookmarkStart w:id="171" w:name="_Toc532995359"/>
      <w:r w:rsidRPr="00BD5BB5">
        <w:t>VII</w:t>
      </w:r>
      <w:r w:rsidRPr="00BD5BB5">
        <w:br/>
        <w:t>FONDO</w:t>
      </w:r>
      <w:bookmarkEnd w:id="168"/>
      <w:bookmarkEnd w:id="169"/>
      <w:bookmarkEnd w:id="170"/>
      <w:bookmarkEnd w:id="171"/>
    </w:p>
    <w:p w14:paraId="64AA5F94" w14:textId="747BDA7A" w:rsidR="002E1C85" w:rsidRPr="00813B72" w:rsidRDefault="002E1C85" w:rsidP="00C90B3F">
      <w:pPr>
        <w:pStyle w:val="Prrafodelista"/>
        <w:numPr>
          <w:ilvl w:val="0"/>
          <w:numId w:val="4"/>
        </w:numPr>
        <w:spacing w:before="120" w:after="120" w:line="240" w:lineRule="auto"/>
        <w:ind w:left="0" w:firstLine="0"/>
        <w:contextualSpacing w:val="0"/>
        <w:jc w:val="both"/>
        <w:rPr>
          <w:rFonts w:ascii="Verdana" w:hAnsi="Verdana" w:cs="Arial"/>
          <w:sz w:val="20"/>
          <w:szCs w:val="20"/>
          <w:lang w:val="es-CR" w:eastAsia="es-CR"/>
        </w:rPr>
      </w:pPr>
      <w:r w:rsidRPr="002E1C85">
        <w:rPr>
          <w:rFonts w:ascii="Verdana" w:hAnsi="Verdana"/>
          <w:sz w:val="20"/>
          <w:szCs w:val="20"/>
        </w:rPr>
        <w:t xml:space="preserve">El presente caso se relaciona con la alegada responsabilidad del Estado mexicano con motivo de la desaparición forzada de </w:t>
      </w:r>
      <w:r w:rsidRPr="002E1C85">
        <w:rPr>
          <w:rFonts w:ascii="Verdana" w:hAnsi="Verdana" w:cs="Arial"/>
          <w:sz w:val="20"/>
          <w:szCs w:val="20"/>
          <w:lang w:val="es-CR" w:eastAsia="es-CR"/>
        </w:rPr>
        <w:t xml:space="preserve">Nitza Paola Alvarado Espinoza, José Ángel Alvarado y Rocio Irene Alvarado Reyes, por parte de agentes estatales en el Ejido Benito Juárez, Estado de Chihuahua, México, desde el 29 de diciembre de 2009, en el contexto de la implementación del Operativo Conjunto Chihuahua y la alegada lucha contra el crimen organizado en la zona. Asimismo, trata sobre los distintos factores de impunidad que según se alega han derivado en la falta de esclarecimiento de los hechos y sanción a los responsables. Asimismo, con posterioridad a las desapariciones se presentaron distintos actos de hostigamiento o amenazas en perjuicio de los familiares de los desaparecidos, quienes se vieron en la necesidad de desplazarse de su lugar de origen, lo cual habría repercutido en otras afectaciones conexas. </w:t>
      </w:r>
    </w:p>
    <w:p w14:paraId="64AA5F96" w14:textId="22395CA4" w:rsidR="002E1C85" w:rsidRPr="00813B72" w:rsidRDefault="002E1C85" w:rsidP="00C90B3F">
      <w:pPr>
        <w:pStyle w:val="Prrafodelista"/>
        <w:widowControl w:val="0"/>
        <w:numPr>
          <w:ilvl w:val="0"/>
          <w:numId w:val="4"/>
        </w:numPr>
        <w:tabs>
          <w:tab w:val="left" w:pos="567"/>
        </w:tabs>
        <w:adjustRightInd w:val="0"/>
        <w:spacing w:before="120" w:after="120" w:line="240" w:lineRule="auto"/>
        <w:ind w:left="0" w:firstLine="0"/>
        <w:contextualSpacing w:val="0"/>
        <w:jc w:val="both"/>
        <w:textAlignment w:val="baseline"/>
        <w:rPr>
          <w:rFonts w:ascii="Verdana" w:hAnsi="Verdana" w:cs="Verdana"/>
          <w:color w:val="000000"/>
          <w:sz w:val="20"/>
          <w:szCs w:val="20"/>
        </w:rPr>
      </w:pPr>
      <w:r w:rsidRPr="002E1C85">
        <w:rPr>
          <w:rFonts w:ascii="Verdana" w:hAnsi="Verdana" w:cs="Times New Roman"/>
          <w:sz w:val="20"/>
          <w:szCs w:val="20"/>
        </w:rPr>
        <w:t>En</w:t>
      </w:r>
      <w:r w:rsidRPr="002E1C85">
        <w:rPr>
          <w:rFonts w:ascii="Verdana" w:hAnsi="Verdana" w:cs="Arial"/>
          <w:sz w:val="20"/>
          <w:szCs w:val="20"/>
          <w:lang w:val="es-CR" w:eastAsia="es-CR"/>
        </w:rPr>
        <w:t xml:space="preserve"> vista de lo anterior, y tomando en cuenta el reconocimiento parcial de responsabilidad del Estado, corresponde a la Corte determinar el alcance de las violaciones acreditadas. Para ello, la Corte procederá a analizar los argumentos presentados por las partes y la Comisión, y desarrollará las consideraciones de derecho pertinentes relacionadas con los derechos</w:t>
      </w:r>
      <w:r w:rsidRPr="002E1C85">
        <w:rPr>
          <w:rFonts w:ascii="Verdana" w:eastAsia="Calibri" w:hAnsi="Verdana" w:cs="Arial"/>
          <w:sz w:val="20"/>
          <w:szCs w:val="20"/>
          <w:lang w:val="es-CR" w:eastAsia="es-CR"/>
        </w:rPr>
        <w:t>:</w:t>
      </w:r>
      <w:r w:rsidRPr="002E1C85">
        <w:rPr>
          <w:rFonts w:ascii="Verdana" w:hAnsi="Verdana" w:cs="Arial"/>
          <w:sz w:val="20"/>
          <w:szCs w:val="20"/>
          <w:lang w:val="es-CR" w:eastAsia="es-CR"/>
        </w:rPr>
        <w:t xml:space="preserve"> i) al reconocimiento a la personalidad jurídica (artículo 3</w:t>
      </w:r>
      <w:r w:rsidRPr="002E1C85">
        <w:rPr>
          <w:rFonts w:ascii="Verdana" w:hAnsi="Verdana" w:cs="Arial"/>
          <w:sz w:val="20"/>
          <w:szCs w:val="20"/>
          <w:lang w:eastAsia="es-CR"/>
        </w:rPr>
        <w:t>)</w:t>
      </w:r>
      <w:r w:rsidRPr="002E1C85">
        <w:rPr>
          <w:rFonts w:ascii="Verdana" w:hAnsi="Verdana" w:cs="Arial"/>
          <w:sz w:val="20"/>
          <w:szCs w:val="20"/>
          <w:lang w:val="es-CR" w:eastAsia="es-CR"/>
        </w:rPr>
        <w:t>, vida (artículo 4</w:t>
      </w:r>
      <w:r w:rsidR="00E01110">
        <w:rPr>
          <w:rFonts w:ascii="Verdana" w:hAnsi="Verdana" w:cs="Arial"/>
          <w:sz w:val="20"/>
          <w:szCs w:val="20"/>
          <w:lang w:val="es-CR" w:eastAsia="es-CR"/>
        </w:rPr>
        <w:t xml:space="preserve">), </w:t>
      </w:r>
      <w:r w:rsidRPr="002E1C85">
        <w:rPr>
          <w:rFonts w:ascii="Verdana" w:hAnsi="Verdana" w:cs="Arial"/>
          <w:sz w:val="20"/>
          <w:szCs w:val="20"/>
          <w:lang w:val="es-CR" w:eastAsia="es-CR"/>
        </w:rPr>
        <w:t>integridad personal (artículo 5) y libertad personal  (artículo 7), todos ellos de la Convención Americana, y I.</w:t>
      </w:r>
      <w:r w:rsidR="009B18E2">
        <w:rPr>
          <w:rFonts w:ascii="Verdana" w:hAnsi="Verdana" w:cs="Arial"/>
          <w:sz w:val="20"/>
          <w:szCs w:val="20"/>
          <w:lang w:val="es-CR" w:eastAsia="es-CR"/>
        </w:rPr>
        <w:t>a</w:t>
      </w:r>
      <w:r w:rsidRPr="002E1C85">
        <w:rPr>
          <w:rFonts w:ascii="Verdana" w:hAnsi="Verdana" w:cs="Arial"/>
          <w:sz w:val="20"/>
          <w:szCs w:val="20"/>
          <w:lang w:val="es-CR" w:eastAsia="es-CR"/>
        </w:rPr>
        <w:t xml:space="preserve"> de la Convención Interamericana sobre Desaparición Forzada de Personas</w:t>
      </w:r>
      <w:r w:rsidR="00CC61EB">
        <w:rPr>
          <w:rFonts w:ascii="Verdana" w:hAnsi="Verdana" w:cs="Arial"/>
          <w:sz w:val="20"/>
          <w:szCs w:val="20"/>
          <w:lang w:val="es-CR" w:eastAsia="es-CR"/>
        </w:rPr>
        <w:t xml:space="preserve"> (Convención sobre Desaparición Forzada)</w:t>
      </w:r>
      <w:r w:rsidRPr="002E1C85">
        <w:rPr>
          <w:rFonts w:ascii="Verdana" w:hAnsi="Verdana" w:cs="Arial"/>
          <w:sz w:val="20"/>
          <w:szCs w:val="20"/>
          <w:lang w:val="es-CR" w:eastAsia="es-CR"/>
        </w:rPr>
        <w:t xml:space="preserve">; ii) </w:t>
      </w:r>
      <w:r w:rsidRPr="002E1C85">
        <w:rPr>
          <w:rFonts w:ascii="Verdana" w:hAnsi="Verdana" w:cs="Verdana"/>
          <w:color w:val="000000"/>
          <w:sz w:val="20"/>
          <w:szCs w:val="20"/>
        </w:rPr>
        <w:t xml:space="preserve">Asimismo, analizará los derechos a las garantías judiciales y protección judicial (artículos </w:t>
      </w:r>
      <w:r w:rsidRPr="002E1C85">
        <w:rPr>
          <w:rFonts w:ascii="Verdana" w:hAnsi="Verdana"/>
          <w:sz w:val="20"/>
          <w:szCs w:val="20"/>
          <w:lang w:val="es-AR"/>
        </w:rPr>
        <w:t>8 y 25</w:t>
      </w:r>
      <w:r w:rsidRPr="002E1C85">
        <w:rPr>
          <w:rFonts w:ascii="Verdana" w:hAnsi="Verdana" w:cs="Verdana"/>
          <w:color w:val="000000"/>
          <w:sz w:val="20"/>
          <w:szCs w:val="20"/>
        </w:rPr>
        <w:t>)</w:t>
      </w:r>
      <w:r w:rsidR="009A2DB4">
        <w:rPr>
          <w:rFonts w:ascii="Verdana" w:hAnsi="Verdana" w:cs="Verdana"/>
          <w:color w:val="000000"/>
          <w:sz w:val="20"/>
          <w:szCs w:val="20"/>
        </w:rPr>
        <w:t>, así como la adopción de medidas internas (artículo 2)</w:t>
      </w:r>
      <w:r w:rsidRPr="002E1C85">
        <w:rPr>
          <w:rFonts w:ascii="Verdana" w:hAnsi="Verdana" w:cs="Verdana"/>
          <w:color w:val="000000"/>
          <w:sz w:val="20"/>
          <w:szCs w:val="20"/>
        </w:rPr>
        <w:t>,</w:t>
      </w:r>
      <w:r w:rsidR="009B18E2">
        <w:rPr>
          <w:rFonts w:ascii="Verdana" w:hAnsi="Verdana" w:cs="Verdana"/>
          <w:color w:val="000000"/>
          <w:sz w:val="20"/>
          <w:szCs w:val="20"/>
        </w:rPr>
        <w:t xml:space="preserve"> </w:t>
      </w:r>
      <w:r w:rsidR="00CC61EB" w:rsidRPr="003564A3">
        <w:rPr>
          <w:rFonts w:ascii="Verdana" w:hAnsi="Verdana" w:cs="Verdana"/>
          <w:color w:val="000000"/>
          <w:sz w:val="20"/>
          <w:szCs w:val="20"/>
        </w:rPr>
        <w:t>a la luz de los artículos I.b y IX de la Convención sobre Desaparición Forzada;</w:t>
      </w:r>
      <w:r w:rsidRPr="002E1C85">
        <w:rPr>
          <w:rFonts w:ascii="Verdana" w:hAnsi="Verdana" w:cs="Verdana"/>
          <w:color w:val="000000"/>
          <w:sz w:val="20"/>
          <w:szCs w:val="20"/>
        </w:rPr>
        <w:t xml:space="preserve"> iii) Respecto de los familiares también analizará los alegados derechos a la integridad personal (artículo 5), </w:t>
      </w:r>
      <w:r w:rsidRPr="002E1C85">
        <w:rPr>
          <w:rFonts w:ascii="Verdana" w:hAnsi="Verdana"/>
          <w:sz w:val="20"/>
          <w:szCs w:val="20"/>
        </w:rPr>
        <w:t>de circulación y de residencia (artículo 22), a la protección a la familia (artículo 17), a la protección de la honra y de la dignidad (artículo 11) y del niño (artículo 19), todos</w:t>
      </w:r>
      <w:r w:rsidRPr="002E1C85">
        <w:rPr>
          <w:rFonts w:ascii="Verdana" w:hAnsi="Verdana" w:cs="Verdana"/>
          <w:color w:val="000000"/>
          <w:sz w:val="20"/>
          <w:szCs w:val="20"/>
        </w:rPr>
        <w:t xml:space="preserve"> ellos en relación con el artículo 1.1 de la Convención Americana sobre Derechos Humanos.</w:t>
      </w:r>
    </w:p>
    <w:p w14:paraId="64AA5FC8" w14:textId="014A16EA" w:rsidR="002E1C85" w:rsidRPr="00813B72" w:rsidRDefault="002E1C85" w:rsidP="0057411A">
      <w:pPr>
        <w:pStyle w:val="Ttulo1"/>
      </w:pPr>
      <w:bookmarkStart w:id="172" w:name="_Toc526774158"/>
      <w:bookmarkStart w:id="173" w:name="_Toc526777490"/>
      <w:bookmarkStart w:id="174" w:name="_Toc526783780"/>
      <w:bookmarkStart w:id="175" w:name="_Toc532995360"/>
      <w:r w:rsidRPr="00813B72">
        <w:t>VII.</w:t>
      </w:r>
      <w:bookmarkEnd w:id="172"/>
      <w:bookmarkEnd w:id="173"/>
      <w:bookmarkEnd w:id="174"/>
      <w:r w:rsidR="00B37F3B">
        <w:t>1</w:t>
      </w:r>
      <w:bookmarkEnd w:id="175"/>
    </w:p>
    <w:p w14:paraId="1A1D7CB1" w14:textId="0DA3BC93" w:rsidR="00D57D47" w:rsidRPr="00813B72" w:rsidRDefault="002E1C85" w:rsidP="0057411A">
      <w:pPr>
        <w:pStyle w:val="Ttulo1"/>
      </w:pPr>
      <w:bookmarkStart w:id="176" w:name="_Toc526774159"/>
      <w:bookmarkStart w:id="177" w:name="_Toc526777491"/>
      <w:bookmarkStart w:id="178" w:name="_Toc526783781"/>
      <w:bookmarkStart w:id="179" w:name="_Toc527561075"/>
      <w:bookmarkStart w:id="180" w:name="_Toc532995361"/>
      <w:r w:rsidRPr="00813B72">
        <w:lastRenderedPageBreak/>
        <w:t>DERECHOS AL RECONOCIMIENTO A LA PERSONALIDAD JURÍDICA, A LA VIDA, A LA INTEGRIDAD PERSONAL Y A LA LIBERTAD PERSONAL (ARTÍCULOS 3</w:t>
      </w:r>
      <w:r w:rsidR="00574F72">
        <w:rPr>
          <w:rStyle w:val="Refdenotaalpie"/>
        </w:rPr>
        <w:footnoteReference w:id="376"/>
      </w:r>
      <w:r w:rsidRPr="00813B72">
        <w:t>, 4</w:t>
      </w:r>
      <w:r w:rsidR="00574F72">
        <w:rPr>
          <w:rStyle w:val="Refdenotaalpie"/>
        </w:rPr>
        <w:footnoteReference w:id="377"/>
      </w:r>
      <w:r w:rsidRPr="00813B72">
        <w:t>, 5</w:t>
      </w:r>
      <w:r w:rsidR="00574F72">
        <w:rPr>
          <w:rStyle w:val="Refdenotaalpie"/>
        </w:rPr>
        <w:footnoteReference w:id="378"/>
      </w:r>
      <w:r w:rsidRPr="00813B72">
        <w:t xml:space="preserve"> Y</w:t>
      </w:r>
      <w:r w:rsidR="007E2CF6">
        <w:t xml:space="preserve"> </w:t>
      </w:r>
      <w:r w:rsidRPr="00813B72">
        <w:t>7</w:t>
      </w:r>
      <w:r w:rsidR="00574F72">
        <w:rPr>
          <w:rStyle w:val="Refdenotaalpie"/>
        </w:rPr>
        <w:footnoteReference w:id="379"/>
      </w:r>
      <w:r w:rsidRPr="00813B72">
        <w:t xml:space="preserve"> DE LA CONVENCIÓN AMERICANA, Y I.A</w:t>
      </w:r>
      <w:r w:rsidR="00574F72">
        <w:rPr>
          <w:rStyle w:val="Refdenotaalpie"/>
        </w:rPr>
        <w:footnoteReference w:id="380"/>
      </w:r>
      <w:r w:rsidRPr="00813B72">
        <w:t xml:space="preserve"> DE LA CONVENCIÓN INTERAMERICANA SOBRE DESAPARICIÓN FORZADA DE PERSONAS)</w:t>
      </w:r>
      <w:bookmarkEnd w:id="176"/>
      <w:bookmarkEnd w:id="177"/>
      <w:bookmarkEnd w:id="178"/>
      <w:bookmarkEnd w:id="179"/>
      <w:bookmarkEnd w:id="180"/>
      <w:r w:rsidR="0068190B">
        <w:t xml:space="preserve"> </w:t>
      </w:r>
    </w:p>
    <w:p w14:paraId="2FE5CDCD" w14:textId="78EE00FA" w:rsidR="00350979" w:rsidRPr="00350979" w:rsidRDefault="00556FDB" w:rsidP="00744CE4">
      <w:pPr>
        <w:pStyle w:val="Ttulo2"/>
        <w:numPr>
          <w:ilvl w:val="0"/>
          <w:numId w:val="36"/>
        </w:numPr>
        <w:spacing w:before="120" w:after="120"/>
      </w:pPr>
      <w:bookmarkStart w:id="181" w:name="_Toc526774160"/>
      <w:bookmarkStart w:id="182" w:name="_Toc526777492"/>
      <w:bookmarkStart w:id="183" w:name="_Toc526783782"/>
      <w:r>
        <w:t xml:space="preserve"> </w:t>
      </w:r>
      <w:bookmarkStart w:id="184" w:name="_Toc532995362"/>
      <w:r w:rsidR="00350979" w:rsidRPr="005E3DBE">
        <w:t xml:space="preserve">Argumentos </w:t>
      </w:r>
      <w:r w:rsidR="00CB7A58">
        <w:t>las partes</w:t>
      </w:r>
      <w:r w:rsidR="00350979" w:rsidRPr="005E3DBE">
        <w:t xml:space="preserve"> y de la</w:t>
      </w:r>
      <w:r w:rsidR="00CB7A58">
        <w:t xml:space="preserve"> Comisión</w:t>
      </w:r>
      <w:bookmarkEnd w:id="184"/>
    </w:p>
    <w:bookmarkEnd w:id="181"/>
    <w:bookmarkEnd w:id="182"/>
    <w:bookmarkEnd w:id="183"/>
    <w:p w14:paraId="64AA5FCE" w14:textId="533A98F3" w:rsidR="002E1C85" w:rsidRPr="00A56CF7" w:rsidRDefault="002E1C85"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 xml:space="preserve">La </w:t>
      </w:r>
      <w:r w:rsidRPr="00813B72">
        <w:rPr>
          <w:rFonts w:ascii="Verdana" w:hAnsi="Verdana"/>
          <w:b/>
          <w:i/>
          <w:sz w:val="20"/>
          <w:szCs w:val="20"/>
        </w:rPr>
        <w:t>Comisión</w:t>
      </w:r>
      <w:bookmarkStart w:id="185" w:name="_Toc510702281"/>
      <w:r w:rsidRPr="00813B72">
        <w:rPr>
          <w:rFonts w:ascii="Verdana" w:hAnsi="Verdana"/>
          <w:b/>
          <w:i/>
          <w:sz w:val="20"/>
          <w:szCs w:val="20"/>
        </w:rPr>
        <w:t xml:space="preserve"> </w:t>
      </w:r>
      <w:r w:rsidRPr="00813B72">
        <w:rPr>
          <w:rFonts w:ascii="Verdana" w:hAnsi="Verdana"/>
          <w:sz w:val="20"/>
          <w:szCs w:val="20"/>
        </w:rPr>
        <w:t xml:space="preserve">concluyó en su Informe </w:t>
      </w:r>
      <w:r w:rsidR="006C737D">
        <w:rPr>
          <w:rFonts w:ascii="Verdana" w:hAnsi="Verdana"/>
          <w:sz w:val="20"/>
          <w:szCs w:val="20"/>
        </w:rPr>
        <w:t xml:space="preserve">de Fondo </w:t>
      </w:r>
      <w:r w:rsidRPr="00813B72">
        <w:rPr>
          <w:rFonts w:ascii="Verdana" w:hAnsi="Verdana"/>
          <w:sz w:val="20"/>
          <w:szCs w:val="20"/>
        </w:rPr>
        <w:t xml:space="preserve">que </w:t>
      </w:r>
      <w:r w:rsidRPr="00813B72">
        <w:rPr>
          <w:rFonts w:ascii="Verdana" w:hAnsi="Verdana" w:cs="Cambria"/>
          <w:sz w:val="20"/>
          <w:szCs w:val="20"/>
          <w:lang w:val="es-EC"/>
        </w:rPr>
        <w:t>en el caso concreto se encuentran acreditados los elementos que permiten calificar lo sucedido a Nitza Paola, José Ángel y Rocío Irene Alvarado como desaparición forzada de personas</w:t>
      </w:r>
      <w:r w:rsidRPr="008D0846">
        <w:rPr>
          <w:rFonts w:ascii="Verdana" w:hAnsi="Verdana" w:cs="Cambria"/>
          <w:sz w:val="20"/>
          <w:szCs w:val="20"/>
          <w:lang w:val="es-EC"/>
        </w:rPr>
        <w:t>.</w:t>
      </w:r>
      <w:r w:rsidRPr="007E2CF6">
        <w:rPr>
          <w:rFonts w:ascii="Verdana" w:hAnsi="Verdana" w:cs="Cambria"/>
          <w:sz w:val="20"/>
          <w:szCs w:val="20"/>
        </w:rPr>
        <w:t xml:space="preserve"> </w:t>
      </w:r>
      <w:r w:rsidRPr="00813B72">
        <w:rPr>
          <w:rFonts w:ascii="Verdana" w:hAnsi="Verdana" w:cs="Cambria"/>
          <w:sz w:val="20"/>
          <w:szCs w:val="20"/>
          <w:lang w:val="es-EC"/>
        </w:rPr>
        <w:t xml:space="preserve">Con respecto a los elementos de la privación de la libertad y la intervención directa de agentes estatales o la aquiescencia de éstos, la Comisión </w:t>
      </w:r>
      <w:r w:rsidRPr="00813B72">
        <w:rPr>
          <w:rFonts w:ascii="Verdana" w:hAnsi="Verdana" w:cs="Cambria"/>
          <w:sz w:val="20"/>
          <w:szCs w:val="20"/>
        </w:rPr>
        <w:t>alegó que las declaraciones de los testigos presenciales son consistentes al señalar que sus familiares fueron detenidos por personas que portaban armas largas y vestían uniformes militares</w:t>
      </w:r>
      <w:r w:rsidRPr="008D0846">
        <w:rPr>
          <w:rFonts w:ascii="Verdana" w:hAnsi="Verdana" w:cs="Cambria"/>
          <w:sz w:val="20"/>
          <w:szCs w:val="20"/>
        </w:rPr>
        <w:t>.</w:t>
      </w:r>
      <w:r w:rsidRPr="00813B72">
        <w:rPr>
          <w:rFonts w:ascii="Verdana" w:hAnsi="Verdana" w:cs="Cambria"/>
          <w:b/>
          <w:sz w:val="20"/>
          <w:szCs w:val="20"/>
        </w:rPr>
        <w:t xml:space="preserve"> </w:t>
      </w:r>
      <w:r w:rsidRPr="00813B72">
        <w:rPr>
          <w:rFonts w:ascii="Verdana" w:hAnsi="Verdana" w:cs="Cambria"/>
          <w:sz w:val="20"/>
          <w:szCs w:val="20"/>
        </w:rPr>
        <w:t xml:space="preserve">La Comisión consideró que existen elementos que apuntan a la intervención directa de agentes estatales tales como: i) la alta presencia de miembros del ejército como consecuencia del </w:t>
      </w:r>
      <w:r w:rsidR="004C4CF1">
        <w:rPr>
          <w:rFonts w:ascii="Verdana" w:hAnsi="Verdana" w:cs="Cambria"/>
          <w:sz w:val="20"/>
          <w:szCs w:val="20"/>
        </w:rPr>
        <w:t>“</w:t>
      </w:r>
      <w:r w:rsidRPr="00813B72">
        <w:rPr>
          <w:rFonts w:ascii="Verdana" w:hAnsi="Verdana" w:cs="Cambria"/>
          <w:sz w:val="20"/>
          <w:szCs w:val="20"/>
        </w:rPr>
        <w:t>Operativo Conjunto Chihuahua</w:t>
      </w:r>
      <w:r w:rsidR="004C4CF1">
        <w:rPr>
          <w:rFonts w:ascii="Verdana" w:hAnsi="Verdana" w:cs="Cambria"/>
          <w:sz w:val="20"/>
          <w:szCs w:val="20"/>
        </w:rPr>
        <w:t>”</w:t>
      </w:r>
      <w:r w:rsidRPr="00813B72">
        <w:rPr>
          <w:rFonts w:ascii="Verdana" w:hAnsi="Verdana" w:cs="Cambria"/>
          <w:sz w:val="20"/>
          <w:szCs w:val="20"/>
        </w:rPr>
        <w:t xml:space="preserve"> en la zona geográfica en que ocurrieron los hechos; ii) la consistencia de los testimonios indicando que quienes detuvieron a sus familiares portaban vestimenta, armamento y utilizaban lenguaje que identificaron como propio de miembros del Ejército; iii) las declaraciones de funcionarios públicos</w:t>
      </w:r>
      <w:r w:rsidR="006C737D">
        <w:rPr>
          <w:rFonts w:ascii="Verdana" w:hAnsi="Verdana" w:cs="Cambria"/>
          <w:sz w:val="20"/>
          <w:szCs w:val="20"/>
        </w:rPr>
        <w:t xml:space="preserve">, las cuales </w:t>
      </w:r>
      <w:r w:rsidRPr="00813B72">
        <w:rPr>
          <w:rFonts w:ascii="Verdana" w:hAnsi="Verdana" w:cs="Cambria"/>
          <w:sz w:val="20"/>
          <w:szCs w:val="20"/>
        </w:rPr>
        <w:t xml:space="preserve">tomadas en su conjunto proporcionan fuertes elementos que apuntan a que las tres presuntas víctimas se encontraban detenidas en el 35 Batallón de Infantería o en la “guarnición militar”, destacando en particular los testimonios del Sargento Conductor Alberto Hernández, Argene Blá[s]quez, Ramón Iván Sotomayor Siller y Damaris Baglietto, agentes estatales, y iv) las consideraciones de la FEVIMTRA – PGR sobre la existencia de indicios suficientes en el sentido de que quienes llevaron a cabo las detenciones fueron miembros del Ejército. </w:t>
      </w:r>
      <w:r w:rsidRPr="00A56CF7">
        <w:rPr>
          <w:rFonts w:ascii="Verdana" w:hAnsi="Verdana" w:cs="Cambria"/>
          <w:sz w:val="20"/>
          <w:szCs w:val="20"/>
        </w:rPr>
        <w:t>Con base en dichas consideraciones</w:t>
      </w:r>
      <w:r w:rsidR="00A56CF7">
        <w:rPr>
          <w:rFonts w:ascii="Verdana" w:hAnsi="Verdana" w:cs="Cambria"/>
          <w:sz w:val="20"/>
          <w:szCs w:val="20"/>
        </w:rPr>
        <w:t xml:space="preserve">, </w:t>
      </w:r>
      <w:r w:rsidR="00A56CF7" w:rsidRPr="00C90B3F">
        <w:rPr>
          <w:rFonts w:ascii="Verdana" w:hAnsi="Verdana" w:cs="Cambria"/>
          <w:i/>
          <w:sz w:val="20"/>
          <w:szCs w:val="20"/>
        </w:rPr>
        <w:t>inter alia</w:t>
      </w:r>
      <w:r w:rsidR="00A56CF7">
        <w:rPr>
          <w:rFonts w:ascii="Verdana" w:hAnsi="Verdana" w:cs="Cambria"/>
          <w:sz w:val="20"/>
          <w:szCs w:val="20"/>
        </w:rPr>
        <w:t xml:space="preserve">, </w:t>
      </w:r>
      <w:r w:rsidRPr="00A56CF7">
        <w:rPr>
          <w:rFonts w:ascii="Verdana" w:hAnsi="Verdana" w:cs="Cambria"/>
          <w:sz w:val="20"/>
          <w:szCs w:val="20"/>
        </w:rPr>
        <w:t>concluyó que el Estado violó</w:t>
      </w:r>
      <w:r w:rsidRPr="00A56CF7">
        <w:rPr>
          <w:rFonts w:ascii="Verdana" w:hAnsi="Verdana" w:cs="Cambria"/>
          <w:b/>
          <w:i/>
          <w:sz w:val="20"/>
          <w:szCs w:val="20"/>
        </w:rPr>
        <w:t xml:space="preserve"> </w:t>
      </w:r>
      <w:r w:rsidRPr="00A56CF7">
        <w:rPr>
          <w:rFonts w:ascii="Verdana" w:hAnsi="Verdana" w:cs="Cambria"/>
          <w:sz w:val="20"/>
          <w:szCs w:val="20"/>
        </w:rPr>
        <w:t>los artículos 3, 4, 5 y 7, en relación con el 1.1 de la Convención, y I.a de la Convención Americana sobre Desaparición Forzada de Personas.</w:t>
      </w:r>
      <w:bookmarkEnd w:id="185"/>
    </w:p>
    <w:p w14:paraId="64AA5FD0" w14:textId="2D5BB45F" w:rsidR="002E1C85" w:rsidRPr="00813B72" w:rsidRDefault="002E1C85"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813B72">
        <w:rPr>
          <w:rFonts w:ascii="Verdana" w:eastAsia="Times New Roman" w:hAnsi="Verdana" w:cs="Times New Roman"/>
          <w:sz w:val="20"/>
          <w:szCs w:val="20"/>
          <w:lang w:val="es-ES"/>
        </w:rPr>
        <w:t xml:space="preserve">Las </w:t>
      </w:r>
      <w:r w:rsidR="00C96C12">
        <w:rPr>
          <w:rFonts w:ascii="Verdana" w:eastAsia="Times New Roman" w:hAnsi="Verdana" w:cs="Times New Roman"/>
          <w:b/>
          <w:i/>
          <w:sz w:val="20"/>
          <w:szCs w:val="20"/>
          <w:lang w:val="es-ES"/>
        </w:rPr>
        <w:t>R</w:t>
      </w:r>
      <w:r w:rsidRPr="00813B72">
        <w:rPr>
          <w:rFonts w:ascii="Verdana" w:eastAsia="Times New Roman" w:hAnsi="Verdana" w:cs="Times New Roman"/>
          <w:b/>
          <w:i/>
          <w:sz w:val="20"/>
          <w:szCs w:val="20"/>
          <w:lang w:val="es-ES"/>
        </w:rPr>
        <w:t>epresentantes</w:t>
      </w:r>
      <w:r w:rsidRPr="00813B72">
        <w:rPr>
          <w:rFonts w:ascii="Verdana" w:eastAsia="Times New Roman" w:hAnsi="Verdana" w:cs="Times New Roman"/>
          <w:sz w:val="20"/>
          <w:szCs w:val="20"/>
          <w:lang w:val="es-ES"/>
        </w:rPr>
        <w:t xml:space="preserve"> señalaron que coincidían con los argumentos realizados por la Comisión en su Informe en cuanto a que el Estado mexicano es responsable por la desaparición forzada de las tres presuntas víctimas</w:t>
      </w:r>
      <w:r w:rsidRPr="008D0846">
        <w:rPr>
          <w:rFonts w:ascii="Verdana" w:eastAsia="Times New Roman" w:hAnsi="Verdana" w:cs="Times New Roman"/>
          <w:sz w:val="20"/>
          <w:szCs w:val="20"/>
          <w:lang w:val="es-ES"/>
        </w:rPr>
        <w:t>.</w:t>
      </w:r>
      <w:r w:rsidRPr="00813B72">
        <w:rPr>
          <w:rFonts w:ascii="Verdana" w:eastAsia="Times New Roman" w:hAnsi="Verdana" w:cs="Times New Roman"/>
          <w:b/>
          <w:sz w:val="20"/>
          <w:szCs w:val="20"/>
          <w:lang w:val="es-ES"/>
        </w:rPr>
        <w:t xml:space="preserve"> </w:t>
      </w:r>
      <w:r w:rsidRPr="00813B72">
        <w:rPr>
          <w:rFonts w:ascii="Verdana" w:eastAsia="Times New Roman" w:hAnsi="Verdana" w:cs="Times New Roman"/>
          <w:sz w:val="20"/>
          <w:szCs w:val="20"/>
          <w:lang w:val="es-ES"/>
        </w:rPr>
        <w:t>En particular, señalaron que</w:t>
      </w:r>
      <w:r w:rsidRPr="00813B72">
        <w:rPr>
          <w:rFonts w:ascii="Verdana" w:eastAsia="Times New Roman" w:hAnsi="Verdana" w:cs="Times New Roman"/>
          <w:b/>
          <w:sz w:val="20"/>
          <w:szCs w:val="20"/>
          <w:lang w:val="es-ES"/>
        </w:rPr>
        <w:t xml:space="preserve"> </w:t>
      </w:r>
      <w:r w:rsidRPr="00813B72">
        <w:rPr>
          <w:rFonts w:ascii="Verdana" w:eastAsia="Times New Roman" w:hAnsi="Verdana" w:cs="Times New Roman"/>
          <w:sz w:val="20"/>
          <w:szCs w:val="20"/>
          <w:lang w:val="es-ES"/>
        </w:rPr>
        <w:t xml:space="preserve">en el presente caso se demostró </w:t>
      </w:r>
      <w:r w:rsidRPr="00813B72">
        <w:rPr>
          <w:rFonts w:ascii="Verdana" w:hAnsi="Verdana" w:cs="Arial"/>
          <w:sz w:val="20"/>
          <w:szCs w:val="20"/>
        </w:rPr>
        <w:t>que al menos 8 militares uniformados y con armas largas detuvieron a los tres desaparecidos siendo, en su concepto, “particularmente relevante que los dos momentos de las detenciones arbitrarias se dieron usando la fuerza”</w:t>
      </w:r>
      <w:r w:rsidRPr="008D0846">
        <w:rPr>
          <w:rFonts w:ascii="Verdana" w:hAnsi="Verdana" w:cs="Arial"/>
          <w:sz w:val="20"/>
          <w:szCs w:val="20"/>
        </w:rPr>
        <w:t>.</w:t>
      </w:r>
      <w:r w:rsidRPr="00813B72">
        <w:rPr>
          <w:rFonts w:ascii="Verdana" w:hAnsi="Verdana" w:cs="Arial"/>
          <w:b/>
          <w:sz w:val="20"/>
          <w:szCs w:val="20"/>
        </w:rPr>
        <w:t xml:space="preserve"> </w:t>
      </w:r>
      <w:r w:rsidRPr="00813B72">
        <w:rPr>
          <w:rFonts w:ascii="Verdana" w:hAnsi="Verdana" w:cs="Arial"/>
          <w:sz w:val="20"/>
          <w:szCs w:val="20"/>
        </w:rPr>
        <w:t>Agregaron que en relación con los artículos 5 y 7 de la Convención “existe una obligación adicional del Estado de proteger a personas con discapacidades”, como era el caso de Nitza Paola y José Ángel Alvarado</w:t>
      </w:r>
      <w:r w:rsidRPr="008D0846">
        <w:rPr>
          <w:rFonts w:ascii="Verdana" w:hAnsi="Verdana" w:cs="Arial"/>
          <w:sz w:val="20"/>
          <w:szCs w:val="20"/>
        </w:rPr>
        <w:t>.</w:t>
      </w:r>
      <w:r w:rsidRPr="00813B72">
        <w:rPr>
          <w:rFonts w:ascii="Verdana" w:hAnsi="Verdana" w:cs="Arial"/>
          <w:b/>
          <w:sz w:val="20"/>
          <w:szCs w:val="20"/>
        </w:rPr>
        <w:t xml:space="preserve"> </w:t>
      </w:r>
      <w:r w:rsidRPr="00813B72">
        <w:rPr>
          <w:rFonts w:ascii="Verdana" w:hAnsi="Verdana" w:cs="Arial"/>
          <w:sz w:val="20"/>
          <w:szCs w:val="20"/>
        </w:rPr>
        <w:t>Alegaron que en los casos de desapariciones forzadas cometidas dentro de contextos de prácticas sistemáticas es razonable inferir la violación del artículo 4 de la Convención y que en el caso concreto “han trascurrido 8 años y 5 meses sin que se tengan noticias de las [presuntas] víctimas que, desde un inicio, fueron criminalizadas por las Fuerzas Armadas al vincularlas a ellas y a sus familiares con grupos del crimen organizado” y que</w:t>
      </w:r>
      <w:r w:rsidRPr="00813B72">
        <w:rPr>
          <w:rFonts w:ascii="Verdana" w:hAnsi="Verdana" w:cs="Arial"/>
          <w:b/>
          <w:sz w:val="20"/>
          <w:szCs w:val="20"/>
        </w:rPr>
        <w:t xml:space="preserve"> </w:t>
      </w:r>
      <w:r w:rsidRPr="00813B72">
        <w:rPr>
          <w:rFonts w:ascii="Verdana" w:hAnsi="Verdana" w:cs="Arial"/>
          <w:sz w:val="20"/>
          <w:szCs w:val="20"/>
        </w:rPr>
        <w:t>en el contexto mexicano en general y el de Chihuahua en particular son muy pocas las personas que se encuentran con vida</w:t>
      </w:r>
      <w:r w:rsidR="00BE3F88">
        <w:rPr>
          <w:rFonts w:ascii="Verdana" w:hAnsi="Verdana" w:cs="Arial"/>
          <w:sz w:val="20"/>
          <w:szCs w:val="20"/>
        </w:rPr>
        <w:t>.</w:t>
      </w:r>
    </w:p>
    <w:p w14:paraId="64AA5FD4" w14:textId="07D93486" w:rsidR="002E1C85" w:rsidRPr="00813B72" w:rsidRDefault="002E1C85"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813B72">
        <w:rPr>
          <w:rFonts w:ascii="Verdana" w:eastAsia="Times New Roman" w:hAnsi="Verdana" w:cs="Times New Roman"/>
          <w:sz w:val="20"/>
          <w:szCs w:val="20"/>
          <w:lang w:val="es-ES"/>
        </w:rPr>
        <w:t xml:space="preserve">El </w:t>
      </w:r>
      <w:r w:rsidRPr="00813B72">
        <w:rPr>
          <w:rFonts w:ascii="Verdana" w:eastAsia="Times New Roman" w:hAnsi="Verdana" w:cs="Times New Roman"/>
          <w:b/>
          <w:i/>
          <w:sz w:val="20"/>
          <w:szCs w:val="20"/>
          <w:lang w:val="es-ES"/>
        </w:rPr>
        <w:t>Estado</w:t>
      </w:r>
      <w:r w:rsidRPr="00813B72">
        <w:rPr>
          <w:rFonts w:ascii="Verdana" w:eastAsia="Times New Roman" w:hAnsi="Verdana" w:cs="Times New Roman"/>
          <w:sz w:val="20"/>
          <w:szCs w:val="20"/>
          <w:lang w:val="es-ES"/>
        </w:rPr>
        <w:t xml:space="preserve"> alegó que en el caso concreto no existe prueba directa ni indicios sólidos para </w:t>
      </w:r>
      <w:r w:rsidRPr="00813B72">
        <w:rPr>
          <w:rFonts w:ascii="Verdana" w:eastAsia="Times New Roman" w:hAnsi="Verdana" w:cs="Times New Roman"/>
          <w:sz w:val="20"/>
          <w:szCs w:val="20"/>
          <w:lang w:val="es-ES"/>
        </w:rPr>
        <w:lastRenderedPageBreak/>
        <w:t>atribuir las tres desapariciones al Estado</w:t>
      </w:r>
      <w:r>
        <w:rPr>
          <w:rFonts w:ascii="Verdana" w:hAnsi="Verdana"/>
          <w:sz w:val="20"/>
          <w:lang w:val="es-ES"/>
        </w:rPr>
        <w:t>.</w:t>
      </w:r>
      <w:r w:rsidR="00AC6FFB">
        <w:rPr>
          <w:rFonts w:ascii="Verdana" w:hAnsi="Verdana"/>
          <w:sz w:val="20"/>
          <w:szCs w:val="20"/>
          <w:lang w:val="es-ES"/>
        </w:rPr>
        <w:t xml:space="preserve"> </w:t>
      </w:r>
      <w:r w:rsidRPr="00813B72">
        <w:rPr>
          <w:rFonts w:ascii="Verdana" w:hAnsi="Verdana"/>
          <w:sz w:val="20"/>
          <w:szCs w:val="20"/>
          <w:lang w:val="es-ES"/>
        </w:rPr>
        <w:t xml:space="preserve">En este sentido, </w:t>
      </w:r>
      <w:r w:rsidRPr="00813B72">
        <w:rPr>
          <w:rFonts w:ascii="Verdana" w:hAnsi="Verdana"/>
          <w:sz w:val="20"/>
          <w:szCs w:val="20"/>
        </w:rPr>
        <w:t xml:space="preserve">controvirtió el escenario contextual e indiciario que presentaron la Comisión y los representantes para atribuirle la responsabilidad internacional por la autoría directa de las desapariciones a agentes estatales, con base en las siguientes consideraciones principales: i) alegó en su defensa que no existen elementos que acrediten la existencia de un patrón sistemático de desapariciones vinculadas a la implementación del Operativo Conjunto Chihuahua y, en cambio, sí se encuentra identificado “un claro contexto en Chihuahua […] que indica la presencia del crimen organizado en la región y la comisión de actividades ilícitas en contra de la población […] [empleando] prácticas […] para evadirse de la acción de la justicia, incluyendo un claro uso de uniformes de fuerzas de seguridad”, así como “levantones” (privaciones ilegales de la libertad) por lo que “el hecho de que grupos armados porten uniformes tipo militar o hayan demostrado actitudes semejantes a elementos castrenses, de ninguna forma se traduce </w:t>
      </w:r>
      <w:r w:rsidRPr="00813B72">
        <w:rPr>
          <w:rFonts w:ascii="Verdana" w:hAnsi="Verdana"/>
          <w:i/>
          <w:sz w:val="20"/>
          <w:szCs w:val="20"/>
        </w:rPr>
        <w:t xml:space="preserve">ipso facto </w:t>
      </w:r>
      <w:r w:rsidRPr="00813B72">
        <w:rPr>
          <w:rFonts w:ascii="Verdana" w:hAnsi="Verdana"/>
          <w:sz w:val="20"/>
          <w:szCs w:val="20"/>
        </w:rPr>
        <w:t>en una prueba contundente que permita atribuir [las desapariciones] a agentes estatales. Agregó que “es[a] realidad forma parte innegable del contexto que se vivía en el [E]stado de Chihuahua en la época de los hechos [que] no debe evadirse”; ii) sostuvo que el “Operativo Conjunto Chihuahua” se enfocó en Ciudad Juárez y no en el Ejido Benito Juárez; que “no se desprende evidencia que apunte a la existencia de una política del Estado para cometer ilícitos en perjuicio de la población en general”; que el 35 Batallón de Infantería no formaba parte directamente de dicho “Operativo” y no fue instalado con motivo del mismo, sino que dicha unidad militar ya se encontraba establecida con anterioridad a las desapariciones y tiene su base permanente en Nuevo Casas Grandes, Chihuahua, y que a la fecha en que ocurrieron las desapariciones del caso concreto no había elementos militares desplegados en el Ejido Benito Juárez; iii)  consideró que existen elementos específicos de las tres desapariciones “que se vinculan con actividades ilícitas propias de la delincuencia organizada”, tales como los asesinatos de Rafael y Alfredo Alvarado Sáenz (padre y tío de Rocío Irene Alvarado) “ocurrido[s] poco más de un año antes” de las desapariciones, los cuales “constituye[n] un antecedente inmediato a los hechos […] [que] debe ser tomado como parte del contexto” para sustentar la hipótesis de la autoría de los hechos a miembros del crimen organizado</w:t>
      </w:r>
      <w:r w:rsidRPr="008D0846">
        <w:rPr>
          <w:rFonts w:ascii="Verdana" w:hAnsi="Verdana"/>
          <w:sz w:val="20"/>
          <w:szCs w:val="20"/>
        </w:rPr>
        <w:t xml:space="preserve">. </w:t>
      </w:r>
    </w:p>
    <w:p w14:paraId="64AA5FD6" w14:textId="2D1C39D2" w:rsidR="002E1C85" w:rsidRPr="00813B72" w:rsidRDefault="002E1C85"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813B72">
        <w:rPr>
          <w:rFonts w:ascii="Verdana" w:eastAsia="Times New Roman" w:hAnsi="Verdana" w:cs="Times New Roman"/>
          <w:sz w:val="20"/>
          <w:szCs w:val="20"/>
          <w:lang w:val="es-ES"/>
        </w:rPr>
        <w:t xml:space="preserve">En cuanto a los elementos de la alegada desaparición forzada, como señaló en su reconocimiento, el </w:t>
      </w:r>
      <w:r w:rsidRPr="00C96C12">
        <w:rPr>
          <w:rFonts w:ascii="Verdana" w:eastAsia="Times New Roman" w:hAnsi="Verdana" w:cs="Times New Roman"/>
          <w:sz w:val="20"/>
          <w:szCs w:val="20"/>
          <w:lang w:val="es-ES"/>
        </w:rPr>
        <w:t>Estado</w:t>
      </w:r>
      <w:r w:rsidRPr="00813B72">
        <w:rPr>
          <w:rFonts w:ascii="Verdana" w:eastAsia="Times New Roman" w:hAnsi="Verdana" w:cs="Times New Roman"/>
          <w:sz w:val="20"/>
          <w:szCs w:val="20"/>
          <w:lang w:val="es-ES"/>
        </w:rPr>
        <w:t xml:space="preserve"> no negó la privación de la libertad perpetrada por un grupo de individuos que portaban vestimenta “tipo militar”. No obstante,</w:t>
      </w:r>
      <w:r w:rsidRPr="00813B72">
        <w:rPr>
          <w:rFonts w:ascii="Verdana" w:eastAsia="Times New Roman" w:hAnsi="Verdana" w:cs="Times New Roman"/>
          <w:b/>
          <w:sz w:val="20"/>
          <w:szCs w:val="20"/>
          <w:lang w:val="es-ES"/>
        </w:rPr>
        <w:t xml:space="preserve"> </w:t>
      </w:r>
      <w:r w:rsidRPr="00813B72">
        <w:rPr>
          <w:rFonts w:ascii="Verdana" w:eastAsia="Times New Roman" w:hAnsi="Verdana" w:cs="Times New Roman"/>
          <w:sz w:val="20"/>
          <w:szCs w:val="20"/>
          <w:lang w:val="es-ES"/>
        </w:rPr>
        <w:t xml:space="preserve">alegó la existencia de contradicciones en las declaraciones de los testigos presenciales en cuanto a las descripciones que realizaron sobre las características y color de la vestimenta que portaban los captores, así como de los vehículos utilizados en la detención de las presuntas víctimas. En este sentido, agregó que no existen pruebas directas ni indicios suficientes para concluir que las desapariciones fuesen perpetradas por agentes estatales o que hubo aquiescencia en la detención y negativa a brindar información sobre la suerte o paradero de las presuntas víctimas. Agregó que las autoridades son consistentes en negar que hubieran brindado información a los familiares en el sentido de que les constara que las detenciones fueron perpetradas por agentes estatales o que </w:t>
      </w:r>
      <w:r w:rsidRPr="00813B72">
        <w:rPr>
          <w:rFonts w:ascii="Verdana" w:eastAsia="Times New Roman" w:hAnsi="Verdana" w:cs="Times New Roman"/>
          <w:sz w:val="20"/>
          <w:szCs w:val="20"/>
        </w:rPr>
        <w:t xml:space="preserve">se encontraran en poder de éstos. Por tanto, alegó que </w:t>
      </w:r>
      <w:r w:rsidRPr="00813B72">
        <w:rPr>
          <w:rFonts w:ascii="Verdana" w:eastAsia="Times New Roman" w:hAnsi="Verdana" w:cs="Times New Roman"/>
          <w:sz w:val="20"/>
          <w:szCs w:val="20"/>
          <w:lang w:val="es-ES"/>
        </w:rPr>
        <w:t xml:space="preserve">en ningún momento manifestaron a los familiares que las personas desaparecidas se encontraban detenidas en el 35 Batallón, sino que con base en la información proporcionada por los familiares al momento de realizar sus acciones de búsqueda y promover sus denuncias afirmando que quienes llevaron a cabo las detenciones eran militares, dichos funcionarios expresaron que “en caso de que la detención hubiera sido realizada por militares […] lo más probable es que se encontraran en el Batallón referido […] circunstancia que se traduce en una referenciación y no en una afirmación” </w:t>
      </w:r>
      <w:r w:rsidRPr="008D0846">
        <w:rPr>
          <w:rFonts w:ascii="Verdana" w:eastAsia="Times New Roman" w:hAnsi="Verdana" w:cs="Times New Roman"/>
          <w:sz w:val="20"/>
          <w:szCs w:val="20"/>
          <w:lang w:val="es-ES"/>
        </w:rPr>
        <w:t>(CE., f. 626, párr. 922)</w:t>
      </w:r>
      <w:r w:rsidRPr="00813B72">
        <w:rPr>
          <w:rFonts w:ascii="Verdana" w:eastAsia="Times New Roman" w:hAnsi="Verdana" w:cs="Times New Roman"/>
          <w:sz w:val="20"/>
          <w:szCs w:val="20"/>
          <w:lang w:val="es-ES"/>
        </w:rPr>
        <w:t>, o “que preguntaran en dichas instalaciones</w:t>
      </w:r>
      <w:r w:rsidR="007E2CF6">
        <w:rPr>
          <w:rFonts w:ascii="Verdana" w:eastAsia="Times New Roman" w:hAnsi="Verdana" w:cs="Times New Roman"/>
          <w:sz w:val="20"/>
          <w:szCs w:val="20"/>
          <w:lang w:val="es-ES"/>
        </w:rPr>
        <w:t>”</w:t>
      </w:r>
      <w:r w:rsidRPr="008D0846">
        <w:rPr>
          <w:rFonts w:ascii="Verdana" w:eastAsia="Times New Roman" w:hAnsi="Verdana" w:cs="Times New Roman"/>
          <w:sz w:val="20"/>
          <w:szCs w:val="20"/>
          <w:lang w:val="es-ES"/>
        </w:rPr>
        <w:t>.</w:t>
      </w:r>
      <w:r w:rsidRPr="00813B72">
        <w:rPr>
          <w:rFonts w:ascii="Verdana" w:eastAsia="Times New Roman" w:hAnsi="Verdana" w:cs="Times New Roman"/>
          <w:b/>
          <w:sz w:val="20"/>
          <w:szCs w:val="20"/>
          <w:lang w:val="es-ES"/>
        </w:rPr>
        <w:t xml:space="preserve"> </w:t>
      </w:r>
      <w:r w:rsidRPr="00813B72">
        <w:rPr>
          <w:rFonts w:ascii="Verdana" w:eastAsia="Times New Roman" w:hAnsi="Verdana" w:cs="Times New Roman"/>
          <w:sz w:val="20"/>
          <w:szCs w:val="20"/>
          <w:lang w:val="es-ES"/>
        </w:rPr>
        <w:t>Con base en tales alegaciones, el Estado concluyó que al no acreditarse dos de los elementos constitutivos de la desaparición forzada no le son atribuibles la desapariciones del caso concreto y, en consecuencia, no es internacionalmente responsable por violaciones a los artículos 3, 4, 5 y 7, en relación con el 1 de la Convención, y I.a de la CIDFP</w:t>
      </w:r>
      <w:r w:rsidRPr="008D0846">
        <w:rPr>
          <w:rFonts w:ascii="Verdana" w:eastAsia="Times New Roman" w:hAnsi="Verdana" w:cs="Times New Roman"/>
          <w:sz w:val="20"/>
          <w:szCs w:val="20"/>
          <w:lang w:val="es-ES"/>
        </w:rPr>
        <w:t>.</w:t>
      </w:r>
    </w:p>
    <w:p w14:paraId="64AA5FD8" w14:textId="6546C8C7" w:rsidR="002E1C85" w:rsidRPr="00813B72" w:rsidRDefault="00556FDB" w:rsidP="002C462C">
      <w:pPr>
        <w:pStyle w:val="Ttulo2"/>
        <w:numPr>
          <w:ilvl w:val="0"/>
          <w:numId w:val="36"/>
        </w:numPr>
        <w:spacing w:before="120" w:after="120"/>
      </w:pPr>
      <w:bookmarkStart w:id="186" w:name="_Toc526774161"/>
      <w:bookmarkStart w:id="187" w:name="_Toc526777493"/>
      <w:bookmarkStart w:id="188" w:name="_Toc526783784"/>
      <w:r>
        <w:t xml:space="preserve"> </w:t>
      </w:r>
      <w:bookmarkStart w:id="189" w:name="_Toc532995363"/>
      <w:r w:rsidR="002E1C85" w:rsidRPr="00813B72">
        <w:t>Consideraciones de la Corte</w:t>
      </w:r>
      <w:bookmarkEnd w:id="186"/>
      <w:bookmarkEnd w:id="187"/>
      <w:bookmarkEnd w:id="188"/>
      <w:bookmarkEnd w:id="189"/>
    </w:p>
    <w:p w14:paraId="64AA5FDA" w14:textId="7025EF3A" w:rsidR="002E1C85" w:rsidRPr="00813B72" w:rsidRDefault="002E1C85" w:rsidP="002C462C">
      <w:pPr>
        <w:pStyle w:val="Prrafodelista"/>
        <w:widowControl w:val="0"/>
        <w:numPr>
          <w:ilvl w:val="0"/>
          <w:numId w:val="4"/>
        </w:numPr>
        <w:tabs>
          <w:tab w:val="left" w:pos="567"/>
        </w:tabs>
        <w:adjustRightInd w:val="0"/>
        <w:spacing w:before="120" w:after="120" w:line="240" w:lineRule="auto"/>
        <w:ind w:left="0" w:firstLine="0"/>
        <w:contextualSpacing w:val="0"/>
        <w:jc w:val="both"/>
        <w:textAlignment w:val="baseline"/>
        <w:rPr>
          <w:rFonts w:ascii="Verdana" w:hAnsi="Verdana"/>
          <w:b/>
          <w:sz w:val="20"/>
          <w:szCs w:val="20"/>
        </w:rPr>
      </w:pPr>
      <w:r w:rsidRPr="00813B72">
        <w:rPr>
          <w:rFonts w:ascii="Verdana" w:hAnsi="Verdana"/>
          <w:sz w:val="20"/>
          <w:szCs w:val="20"/>
        </w:rPr>
        <w:t>A la luz del reconocimiento parcial de responsabilidad, el contexto del caso y los hechos probados (</w:t>
      </w:r>
      <w:r w:rsidR="00205AF7" w:rsidRPr="00205AF7">
        <w:rPr>
          <w:rFonts w:ascii="Verdana" w:hAnsi="Verdana"/>
          <w:i/>
          <w:sz w:val="20"/>
          <w:szCs w:val="20"/>
        </w:rPr>
        <w:t xml:space="preserve">supra </w:t>
      </w:r>
      <w:r w:rsidR="00BE3F88">
        <w:rPr>
          <w:rFonts w:ascii="Verdana" w:hAnsi="Verdana"/>
          <w:sz w:val="20"/>
          <w:szCs w:val="20"/>
        </w:rPr>
        <w:t>Caps. IV y VI</w:t>
      </w:r>
      <w:r w:rsidRPr="00813B72">
        <w:rPr>
          <w:rFonts w:ascii="Verdana" w:hAnsi="Verdana"/>
          <w:sz w:val="20"/>
          <w:szCs w:val="20"/>
        </w:rPr>
        <w:t xml:space="preserve">), la Corte advierte que existe controversia entre las partes sobre si en el presente caso se acreditó que las presuntas desapariciones forzadas son atribuibles al </w:t>
      </w:r>
      <w:r w:rsidRPr="00813B72">
        <w:rPr>
          <w:rFonts w:ascii="Verdana" w:hAnsi="Verdana"/>
          <w:sz w:val="20"/>
          <w:szCs w:val="20"/>
        </w:rPr>
        <w:lastRenderedPageBreak/>
        <w:t xml:space="preserve">Estado. Para ello, en primer término la Corte establecerá el marco general desde el cual realizará su análisis y posteriormente abordará los aspectos controvertidos relacionados con los elementos constitutivos de la desaparición forzada. Finalmente, en su caso, determinará las responsabilidades correspondientes relacionadas con las alegadas vulneraciones de los artículos 3, 4, 5 y 7 de la Convención y I.a de la </w:t>
      </w:r>
      <w:r w:rsidR="00BE3F88">
        <w:rPr>
          <w:rFonts w:ascii="Verdana" w:hAnsi="Verdana"/>
          <w:sz w:val="20"/>
          <w:szCs w:val="20"/>
        </w:rPr>
        <w:t>Convención Interamericana de Desaparición Forzada de Personas [</w:t>
      </w:r>
      <w:r w:rsidRPr="00813B72">
        <w:rPr>
          <w:rFonts w:ascii="Verdana" w:hAnsi="Verdana"/>
          <w:sz w:val="20"/>
          <w:szCs w:val="20"/>
        </w:rPr>
        <w:t>CIDFP</w:t>
      </w:r>
      <w:r w:rsidR="00BE3F88">
        <w:rPr>
          <w:rFonts w:ascii="Verdana" w:hAnsi="Verdana"/>
          <w:sz w:val="20"/>
          <w:szCs w:val="20"/>
        </w:rPr>
        <w:t>].</w:t>
      </w:r>
    </w:p>
    <w:p w14:paraId="64AA5FDC" w14:textId="32566349" w:rsidR="002E1C85" w:rsidRPr="00C90B3F" w:rsidRDefault="00E34BFF">
      <w:pPr>
        <w:pStyle w:val="Ttulo3"/>
        <w:numPr>
          <w:ilvl w:val="0"/>
          <w:numId w:val="40"/>
        </w:numPr>
        <w:spacing w:before="120" w:after="120"/>
        <w:ind w:left="1560" w:hanging="426"/>
        <w:contextualSpacing w:val="0"/>
        <w:rPr>
          <w:b w:val="0"/>
        </w:rPr>
      </w:pPr>
      <w:bookmarkStart w:id="190" w:name="_Toc526783785"/>
      <w:r>
        <w:rPr>
          <w:b w:val="0"/>
        </w:rPr>
        <w:t xml:space="preserve"> </w:t>
      </w:r>
      <w:bookmarkStart w:id="191" w:name="_Toc532995364"/>
      <w:r w:rsidR="002E1C85" w:rsidRPr="00C90B3F">
        <w:rPr>
          <w:b w:val="0"/>
        </w:rPr>
        <w:t>La desaparición forzada como violación pluriofensiva y continuada de derechos humanos</w:t>
      </w:r>
      <w:bookmarkEnd w:id="190"/>
      <w:r w:rsidR="003C71F3" w:rsidRPr="00C90B3F">
        <w:rPr>
          <w:b w:val="0"/>
        </w:rPr>
        <w:t xml:space="preserve"> y su determinación</w:t>
      </w:r>
      <w:bookmarkEnd w:id="191"/>
      <w:r w:rsidR="003C71F3" w:rsidRPr="00C90B3F">
        <w:rPr>
          <w:b w:val="0"/>
        </w:rPr>
        <w:t xml:space="preserve"> </w:t>
      </w:r>
    </w:p>
    <w:p w14:paraId="651DFF2C" w14:textId="6E4C9313" w:rsidR="003C71F3" w:rsidRDefault="003C71F3" w:rsidP="00DB378B">
      <w:pPr>
        <w:pStyle w:val="PrrafodeSentencia"/>
        <w:numPr>
          <w:ilvl w:val="0"/>
          <w:numId w:val="4"/>
        </w:numPr>
        <w:spacing w:before="120" w:after="120"/>
        <w:ind w:left="0" w:firstLine="0"/>
      </w:pPr>
      <w:bookmarkStart w:id="192" w:name="_Ref525052714"/>
      <w:r>
        <w:t>La Corte ha desarrollado en su jurisprudencia el carácter pluriofensivo de la desaparición forzada, así como su naturaleza permanente o continua, la cual se prolonga mientras no se conozca el paradero de la persona desaparecida o se identifiquen con certeza sus restos</w:t>
      </w:r>
      <w:r>
        <w:rPr>
          <w:rStyle w:val="Refdenotaalpie"/>
          <w:color w:val="000000" w:themeColor="text1"/>
          <w:spacing w:val="0"/>
        </w:rPr>
        <w:footnoteReference w:id="381"/>
      </w:r>
      <w:r>
        <w:t>.</w:t>
      </w:r>
      <w:bookmarkEnd w:id="192"/>
      <w:r>
        <w:t xml:space="preserve"> </w:t>
      </w:r>
    </w:p>
    <w:p w14:paraId="4AD3381D" w14:textId="746821F7" w:rsidR="003C71F3" w:rsidRDefault="003C71F3" w:rsidP="00DB378B">
      <w:pPr>
        <w:pStyle w:val="PrrafodeSentencia"/>
        <w:numPr>
          <w:ilvl w:val="0"/>
          <w:numId w:val="4"/>
        </w:numPr>
        <w:spacing w:before="120" w:after="120"/>
        <w:ind w:left="0" w:firstLine="0"/>
      </w:pPr>
      <w:r>
        <w:t>En tal sentido, el análisis de la desaparición forzada debe abarcar la totalidad del conjunto de los hechos que se presentan a consideración del Tribunal. Solo de este modo el análisis legal de la desaparición forzada es consecuente con la compleja violación a derechos humanos que esta conlleva</w:t>
      </w:r>
      <w:r>
        <w:rPr>
          <w:rStyle w:val="Refdenotaalpie"/>
          <w:spacing w:val="0"/>
        </w:rPr>
        <w:footnoteReference w:id="382"/>
      </w:r>
      <w:r>
        <w:t xml:space="preserve">, con su carácter permanente y con la necesidad de considerar el contexto en que ocurrieron los hechos, a fin de analizar sus efectos prolongados en el tiempo y enfocar integralmente sus consecuencias, teniendo en cuenta el </w:t>
      </w:r>
      <w:r>
        <w:rPr>
          <w:i/>
        </w:rPr>
        <w:t>corpus juris</w:t>
      </w:r>
      <w:r>
        <w:t xml:space="preserve"> de protección tanto interamericano como internacional</w:t>
      </w:r>
      <w:r>
        <w:rPr>
          <w:rStyle w:val="Refdenotaalpie"/>
          <w:spacing w:val="0"/>
        </w:rPr>
        <w:footnoteReference w:id="383"/>
      </w:r>
      <w:r>
        <w:t>.</w:t>
      </w:r>
      <w:bookmarkStart w:id="193" w:name="_Ref468462777"/>
      <w:bookmarkEnd w:id="193"/>
    </w:p>
    <w:p w14:paraId="64AA5FE6" w14:textId="0675317B" w:rsidR="001F1E18"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Calibri" w:hAnsi="Verdana" w:cs="Times New Roman"/>
          <w:sz w:val="20"/>
          <w:szCs w:val="20"/>
        </w:rPr>
      </w:pPr>
      <w:r w:rsidRPr="00813B72">
        <w:rPr>
          <w:rFonts w:ascii="Verdana" w:hAnsi="Verdana"/>
          <w:sz w:val="20"/>
          <w:szCs w:val="20"/>
        </w:rPr>
        <w:t xml:space="preserve">En vista de determinados alegatos del Estado en el sentido de que </w:t>
      </w:r>
      <w:r w:rsidRPr="00813B72">
        <w:rPr>
          <w:rFonts w:ascii="Verdana" w:hAnsi="Verdana" w:cs="Times New Roman"/>
          <w:sz w:val="20"/>
          <w:szCs w:val="20"/>
        </w:rPr>
        <w:t>“no hay prueba directa ni indicios sólidos para atribuirle la desaparición”</w:t>
      </w:r>
      <w:r w:rsidRPr="00813B72">
        <w:rPr>
          <w:rFonts w:ascii="Verdana" w:eastAsia="Times New Roman" w:hAnsi="Verdana" w:cs="Times New Roman"/>
          <w:sz w:val="20"/>
          <w:szCs w:val="20"/>
          <w:lang w:val="es-ES"/>
        </w:rPr>
        <w:t xml:space="preserve"> </w:t>
      </w:r>
      <w:r w:rsidRPr="00813B72">
        <w:rPr>
          <w:rFonts w:ascii="Verdana" w:hAnsi="Verdana" w:cs="Times New Roman"/>
          <w:sz w:val="20"/>
          <w:szCs w:val="20"/>
        </w:rPr>
        <w:t xml:space="preserve">de las presuntas víctimas del caso concreto </w:t>
      </w:r>
      <w:r w:rsidRPr="00813B72">
        <w:rPr>
          <w:rFonts w:ascii="Verdana" w:eastAsia="Times New Roman" w:hAnsi="Verdana" w:cs="Times New Roman"/>
          <w:sz w:val="20"/>
          <w:szCs w:val="20"/>
          <w:lang w:val="es-ES"/>
        </w:rPr>
        <w:t>(</w:t>
      </w:r>
      <w:r w:rsidRPr="00813B72">
        <w:rPr>
          <w:rFonts w:ascii="Verdana" w:eastAsia="Times New Roman" w:hAnsi="Verdana" w:cs="Times New Roman"/>
          <w:i/>
          <w:sz w:val="20"/>
          <w:szCs w:val="20"/>
          <w:lang w:val="es-ES"/>
        </w:rPr>
        <w:t xml:space="preserve">supra </w:t>
      </w:r>
      <w:r w:rsidRPr="00813B72">
        <w:rPr>
          <w:rFonts w:ascii="Verdana" w:eastAsia="Times New Roman" w:hAnsi="Verdana" w:cs="Times New Roman"/>
          <w:sz w:val="20"/>
          <w:szCs w:val="20"/>
          <w:lang w:val="es-ES"/>
        </w:rPr>
        <w:t xml:space="preserve">párr. </w:t>
      </w:r>
      <w:r w:rsidR="004E691C">
        <w:rPr>
          <w:rFonts w:ascii="Verdana" w:eastAsia="Times New Roman" w:hAnsi="Verdana" w:cs="Times New Roman"/>
          <w:sz w:val="20"/>
          <w:szCs w:val="20"/>
          <w:lang w:val="es-ES"/>
        </w:rPr>
        <w:t>162</w:t>
      </w:r>
      <w:r w:rsidRPr="00813B72">
        <w:rPr>
          <w:rFonts w:ascii="Verdana" w:eastAsia="Times New Roman" w:hAnsi="Verdana" w:cs="Times New Roman"/>
          <w:sz w:val="20"/>
          <w:szCs w:val="20"/>
          <w:lang w:val="es-ES"/>
        </w:rPr>
        <w:t>), e</w:t>
      </w:r>
      <w:r w:rsidRPr="00813B72">
        <w:rPr>
          <w:rFonts w:ascii="Verdana" w:hAnsi="Verdana"/>
          <w:sz w:val="20"/>
          <w:szCs w:val="20"/>
        </w:rPr>
        <w:t xml:space="preserve">l Tribunal estima pertinente recordar su jurisprudencia respecto a los criterios aplicables a la valoración de la prueba en casos como el presente. </w:t>
      </w:r>
    </w:p>
    <w:p w14:paraId="64AA5FE8" w14:textId="23513C90"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Calibri" w:hAnsi="Verdana" w:cs="Times New Roman"/>
          <w:sz w:val="20"/>
          <w:szCs w:val="20"/>
        </w:rPr>
      </w:pPr>
      <w:r w:rsidRPr="00813B72">
        <w:rPr>
          <w:rFonts w:ascii="Verdana" w:hAnsi="Verdana"/>
          <w:sz w:val="20"/>
          <w:szCs w:val="20"/>
        </w:rPr>
        <w:t>Sobre este punto, la Corte ha establecido de manera constante, desde su primer caso contencioso, que para un tribunal internacional los criterios de valoración de la prueba son menos rígidos que en los sistemas legales internos y ha sostenido que puede evaluar libremente las pruebas. Por tanto, la jurisdicción internacional de los derechos humanos no debe confundirse con la jurisdicción penal, ya que los Estados no comparecen ante la Corte como sujetos de acción penal, por lo que para efectos de establecer que se ha producido una violación de los derechos consagrados en la Convención no es requisito que se pruebe, como sucede en el derecho penal interno, la responsabilidad del Estado más allá de toda duda razonable ni que se identifique individualmente a los agentes a quienes se atribuyen los hechos violatorios, sino que es suficiente demostrar que se han verificado acciones u omisiones que hayan permitido la perpetración de esas violaciones o que exista una obligación del Estado que haya sido incumplida por éste</w:t>
      </w:r>
      <w:r w:rsidRPr="00813B72">
        <w:rPr>
          <w:rStyle w:val="Refdenotaalpie"/>
          <w:rFonts w:ascii="Verdana" w:hAnsi="Verdana"/>
          <w:sz w:val="20"/>
          <w:szCs w:val="20"/>
        </w:rPr>
        <w:footnoteReference w:id="384"/>
      </w:r>
      <w:r w:rsidRPr="00813B72">
        <w:rPr>
          <w:rFonts w:ascii="Verdana" w:hAnsi="Verdana"/>
          <w:sz w:val="20"/>
          <w:szCs w:val="20"/>
        </w:rPr>
        <w:t>.</w:t>
      </w:r>
    </w:p>
    <w:p w14:paraId="64AA5FEC" w14:textId="68AC2090"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Por otra parte, el Tribunal reitera, como lo ha hecho en casos anteriores, que debe aplicar una valoración de la prueba que tenga en cuenta la gravedad de la atribución de responsabilidad internacional a un Estado y que, sin perjuicio de ello, sea capaz de crear la convicción de la verdad de los hechos alegados</w:t>
      </w:r>
      <w:r w:rsidRPr="00813B72">
        <w:rPr>
          <w:rStyle w:val="Refdenotaalpie"/>
          <w:rFonts w:ascii="Verdana" w:hAnsi="Verdana"/>
          <w:sz w:val="20"/>
          <w:szCs w:val="20"/>
        </w:rPr>
        <w:footnoteReference w:id="385"/>
      </w:r>
      <w:r w:rsidRPr="00813B72">
        <w:rPr>
          <w:rFonts w:ascii="Verdana" w:hAnsi="Verdana"/>
          <w:sz w:val="20"/>
          <w:szCs w:val="20"/>
        </w:rPr>
        <w:t xml:space="preserve">, máxime la naturaleza de los bienes jurídicos protegidos sobre los que recae el esclarecimiento de estos hechos. Para ello, en los casos de desaparición forzada de personas es legítimo y resulta de especial importancia el uso de la prueba circunstancial, los indicios y las presunciones para demostrar la concurrencia de cualquiera de los elementos de la </w:t>
      </w:r>
      <w:r w:rsidRPr="00813B72">
        <w:rPr>
          <w:rFonts w:ascii="Verdana" w:hAnsi="Verdana"/>
          <w:sz w:val="20"/>
          <w:szCs w:val="20"/>
        </w:rPr>
        <w:lastRenderedPageBreak/>
        <w:t>desaparición forzada, ya que esta forma específica de violación se caracteriza por procurar la supresión de todo elemento que permita comprobar la detención, el paradero y la suerte de las víctimas</w:t>
      </w:r>
      <w:r w:rsidRPr="00813B72">
        <w:rPr>
          <w:rStyle w:val="Refdenotaalpie"/>
          <w:rFonts w:ascii="Verdana" w:hAnsi="Verdana"/>
          <w:sz w:val="20"/>
          <w:szCs w:val="20"/>
        </w:rPr>
        <w:footnoteReference w:id="386"/>
      </w:r>
      <w:r w:rsidRPr="00813B72">
        <w:rPr>
          <w:rFonts w:ascii="Verdana" w:hAnsi="Verdana"/>
          <w:sz w:val="20"/>
          <w:szCs w:val="20"/>
        </w:rPr>
        <w:t>. En concordancia con este criterio, la Corte atribuye un alto valor probatorio a las declaraciones de los testigos, dentro del contexto y de las circunstancias de un caso de desaparición forzada, con todas las dificultades que de ésta se derivan, donde los medios de prueba son esencialmente testimonios indirectos y circunstanciales en razón de la propia naturaleza de este delito, sumadas a inferencias lógicas pertinentes</w:t>
      </w:r>
      <w:r w:rsidRPr="00813B72">
        <w:rPr>
          <w:rStyle w:val="Refdenotaalpie"/>
          <w:rFonts w:ascii="Verdana" w:hAnsi="Verdana"/>
          <w:sz w:val="20"/>
          <w:szCs w:val="20"/>
        </w:rPr>
        <w:footnoteReference w:id="387"/>
      </w:r>
      <w:r w:rsidRPr="00813B72">
        <w:rPr>
          <w:rFonts w:ascii="Verdana" w:hAnsi="Verdana"/>
          <w:sz w:val="20"/>
          <w:szCs w:val="20"/>
        </w:rPr>
        <w:t>, así como su vinculación a una práctica general de desapariciones</w:t>
      </w:r>
      <w:r w:rsidRPr="00813B72">
        <w:rPr>
          <w:rStyle w:val="Refdenotaalpie"/>
          <w:rFonts w:ascii="Verdana" w:hAnsi="Verdana"/>
          <w:sz w:val="20"/>
          <w:szCs w:val="20"/>
        </w:rPr>
        <w:footnoteReference w:id="388"/>
      </w:r>
      <w:r w:rsidRPr="00813B72">
        <w:rPr>
          <w:rFonts w:ascii="Verdana" w:hAnsi="Verdana"/>
          <w:sz w:val="20"/>
          <w:szCs w:val="20"/>
        </w:rPr>
        <w:t>.</w:t>
      </w:r>
    </w:p>
    <w:p w14:paraId="64AA5FEE" w14:textId="792AFD64"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AR"/>
        </w:rPr>
      </w:pPr>
      <w:r w:rsidRPr="00813B72">
        <w:rPr>
          <w:rFonts w:ascii="Verdana" w:hAnsi="Verdana"/>
          <w:sz w:val="20"/>
          <w:szCs w:val="20"/>
          <w:lang w:val="es-AR"/>
        </w:rPr>
        <w:t>En este sentido, l</w:t>
      </w:r>
      <w:r w:rsidRPr="00813B72">
        <w:rPr>
          <w:rFonts w:ascii="Verdana" w:hAnsi="Verdana"/>
          <w:sz w:val="20"/>
          <w:szCs w:val="20"/>
          <w:lang w:val="es-CR"/>
        </w:rPr>
        <w:t xml:space="preserve">a Corte ha señalado que aunque exista un contexto </w:t>
      </w:r>
      <w:r w:rsidRPr="00813B72">
        <w:rPr>
          <w:rFonts w:ascii="Verdana" w:hAnsi="Verdana"/>
          <w:sz w:val="20"/>
          <w:szCs w:val="20"/>
          <w:lang w:val="es-ES"/>
        </w:rPr>
        <w:t xml:space="preserve">de práctica sistemática y generalizada de desaparición forzada, para la determinación de la ocurrencia de una desaparición forzada se requiere la existencia de otros elementos que permitan corroborar que la persona fue privada de su libertad con la participación de agentes estatales o por particulares que actuaran </w:t>
      </w:r>
      <w:r w:rsidRPr="00813B72">
        <w:rPr>
          <w:rFonts w:ascii="Verdana" w:hAnsi="Verdana"/>
          <w:sz w:val="20"/>
          <w:szCs w:val="20"/>
          <w:lang w:val="es-CR"/>
        </w:rPr>
        <w:t>con la autorización, el apoyo o la aquiescencia del Estado. Así, este Tribunal ha determinado que “</w:t>
      </w:r>
      <w:r w:rsidRPr="00813B72">
        <w:rPr>
          <w:rFonts w:ascii="Verdana" w:eastAsia="Verdana" w:hAnsi="Verdana" w:cs="Verdana"/>
          <w:sz w:val="20"/>
          <w:szCs w:val="20"/>
          <w:highlight w:val="white"/>
          <w:lang w:val="es-CR"/>
        </w:rPr>
        <w:t>la sola comprobación de la práctica de desapariciones no basta, en ausencia de toda otra prueba, aún circunstancial o indirecta, para demostrar que una persona cuyo paradero se desconoce fue víctima de ella</w:t>
      </w:r>
      <w:r w:rsidRPr="00813B72">
        <w:rPr>
          <w:rFonts w:ascii="Verdana" w:eastAsia="Verdana" w:hAnsi="Verdana" w:cs="Verdana"/>
          <w:sz w:val="20"/>
          <w:szCs w:val="20"/>
          <w:lang w:val="es-CR"/>
        </w:rPr>
        <w:t>”</w:t>
      </w:r>
      <w:r w:rsidRPr="00813B72">
        <w:rPr>
          <w:rFonts w:ascii="Verdana" w:eastAsia="Verdana" w:hAnsi="Verdana" w:cs="Verdana"/>
          <w:sz w:val="20"/>
          <w:szCs w:val="20"/>
          <w:vertAlign w:val="superscript"/>
          <w:lang w:val="es-CR"/>
        </w:rPr>
        <w:footnoteReference w:id="389"/>
      </w:r>
      <w:r w:rsidRPr="00813B72">
        <w:rPr>
          <w:rFonts w:ascii="Verdana" w:eastAsia="Verdana" w:hAnsi="Verdana" w:cs="Verdana"/>
          <w:sz w:val="20"/>
          <w:szCs w:val="20"/>
          <w:lang w:val="es-CR"/>
        </w:rPr>
        <w:t>.</w:t>
      </w:r>
    </w:p>
    <w:p w14:paraId="64AA5FF0" w14:textId="6A38360F" w:rsidR="002E1C85" w:rsidRPr="00C90B3F"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 xml:space="preserve">En virtud de lo anterior, a continuación el Tribunal determinará con base en los distintos elementos de prueba a la luz de los aspectos controvertidos por las partes y la Comisión si se satisfacen los elementos constitutivos de la desaparición forzada en el caso concreto. </w:t>
      </w:r>
      <w:r w:rsidR="000B786A" w:rsidRPr="00C90B3F">
        <w:rPr>
          <w:rFonts w:ascii="Verdana" w:hAnsi="Verdana"/>
          <w:sz w:val="20"/>
          <w:szCs w:val="20"/>
        </w:rPr>
        <w:t xml:space="preserve">A saber: a) </w:t>
      </w:r>
      <w:r w:rsidR="000B786A">
        <w:rPr>
          <w:rFonts w:ascii="Verdana" w:hAnsi="Verdana"/>
          <w:sz w:val="20"/>
          <w:szCs w:val="20"/>
        </w:rPr>
        <w:t>l</w:t>
      </w:r>
      <w:r w:rsidR="000B786A" w:rsidRPr="00C90B3F">
        <w:rPr>
          <w:rFonts w:ascii="Verdana" w:hAnsi="Verdana"/>
          <w:sz w:val="20"/>
          <w:szCs w:val="20"/>
        </w:rPr>
        <w:t xml:space="preserve">a privación de la libertad; b) la intervención o aquiescencia de agentes estatales en los hechos, y c) la negativa de reconocer la detención o falta de proveer información y de revelar la suerte o el paradero de la persona interesada, para luego arribar a la conclusión general. </w:t>
      </w:r>
    </w:p>
    <w:p w14:paraId="64AA5FF2" w14:textId="1812543E" w:rsidR="002E1C85" w:rsidRPr="00C90B3F" w:rsidRDefault="00E34BFF">
      <w:pPr>
        <w:pStyle w:val="Ttulo3"/>
        <w:numPr>
          <w:ilvl w:val="0"/>
          <w:numId w:val="40"/>
        </w:numPr>
        <w:spacing w:before="120" w:after="120"/>
        <w:ind w:left="1560" w:hanging="426"/>
        <w:contextualSpacing w:val="0"/>
        <w:rPr>
          <w:b w:val="0"/>
        </w:rPr>
      </w:pPr>
      <w:bookmarkStart w:id="194" w:name="_Toc526783786"/>
      <w:r>
        <w:rPr>
          <w:b w:val="0"/>
        </w:rPr>
        <w:t xml:space="preserve"> </w:t>
      </w:r>
      <w:bookmarkStart w:id="195" w:name="_Toc532995365"/>
      <w:r w:rsidR="002E1C85" w:rsidRPr="00C90B3F">
        <w:rPr>
          <w:b w:val="0"/>
        </w:rPr>
        <w:t>Sobre las desapariciones forzadas en el presente caso</w:t>
      </w:r>
      <w:bookmarkEnd w:id="194"/>
      <w:bookmarkEnd w:id="195"/>
      <w:r w:rsidR="002E1C85" w:rsidRPr="00C90B3F">
        <w:rPr>
          <w:b w:val="0"/>
        </w:rPr>
        <w:t xml:space="preserve"> </w:t>
      </w:r>
    </w:p>
    <w:p w14:paraId="64AA5FF4" w14:textId="2D7981CE" w:rsidR="002E1C85" w:rsidRPr="0057411A" w:rsidRDefault="00556FDB">
      <w:pPr>
        <w:pStyle w:val="Ttulo4"/>
        <w:numPr>
          <w:ilvl w:val="0"/>
          <w:numId w:val="64"/>
        </w:numPr>
        <w:spacing w:before="120" w:after="120"/>
        <w:contextualSpacing w:val="0"/>
        <w:rPr>
          <w:u w:val="none"/>
        </w:rPr>
      </w:pPr>
      <w:r>
        <w:rPr>
          <w:u w:val="none"/>
        </w:rPr>
        <w:t xml:space="preserve"> </w:t>
      </w:r>
      <w:bookmarkStart w:id="196" w:name="_Toc532995366"/>
      <w:r w:rsidR="002E1C85" w:rsidRPr="0057411A">
        <w:rPr>
          <w:u w:val="none"/>
        </w:rPr>
        <w:t>La privación de la libertad de las tres presuntas víctimas</w:t>
      </w:r>
      <w:bookmarkEnd w:id="196"/>
      <w:r w:rsidR="002E1C85" w:rsidRPr="0057411A">
        <w:rPr>
          <w:u w:val="none"/>
        </w:rPr>
        <w:t xml:space="preserve"> </w:t>
      </w:r>
    </w:p>
    <w:p w14:paraId="64AA5FF6" w14:textId="614115E7" w:rsidR="002E1C85" w:rsidRPr="00CC714A"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9418F7">
        <w:rPr>
          <w:rFonts w:ascii="Verdana" w:hAnsi="Verdana"/>
          <w:sz w:val="20"/>
          <w:szCs w:val="20"/>
        </w:rPr>
        <w:t xml:space="preserve">La Corte recuerda que al analizar un supuesto de desaparición forzada se debe tener en cuenta que la privación de la libertad del individuo solo debe ser entendida como el inicio de la configuración de una </w:t>
      </w:r>
      <w:r w:rsidRPr="00CC714A">
        <w:rPr>
          <w:rFonts w:ascii="Verdana" w:hAnsi="Verdana"/>
          <w:sz w:val="20"/>
          <w:szCs w:val="20"/>
        </w:rPr>
        <w:t>violación compleja que se prolonga en el tiempo hasta que se conoce la suerte y el parad</w:t>
      </w:r>
      <w:r w:rsidRPr="00C57FCB">
        <w:rPr>
          <w:rFonts w:ascii="Verdana" w:hAnsi="Verdana"/>
          <w:sz w:val="20"/>
          <w:szCs w:val="20"/>
        </w:rPr>
        <w:t>ero de la víctima (</w:t>
      </w:r>
      <w:r w:rsidRPr="00C57FCB">
        <w:rPr>
          <w:rFonts w:ascii="Verdana" w:hAnsi="Verdana"/>
          <w:i/>
          <w:sz w:val="20"/>
          <w:szCs w:val="20"/>
        </w:rPr>
        <w:t>supra</w:t>
      </w:r>
      <w:r w:rsidRPr="009417B1">
        <w:rPr>
          <w:rFonts w:ascii="Verdana" w:hAnsi="Verdana"/>
          <w:sz w:val="20"/>
          <w:szCs w:val="20"/>
        </w:rPr>
        <w:t xml:space="preserve"> párr. </w:t>
      </w:r>
      <w:r w:rsidR="00B85007">
        <w:rPr>
          <w:rFonts w:ascii="Verdana" w:hAnsi="Verdana"/>
          <w:sz w:val="20"/>
          <w:szCs w:val="20"/>
        </w:rPr>
        <w:t>165</w:t>
      </w:r>
      <w:r w:rsidRPr="009417B1">
        <w:rPr>
          <w:rFonts w:ascii="Verdana" w:hAnsi="Verdana"/>
          <w:sz w:val="20"/>
          <w:szCs w:val="20"/>
        </w:rPr>
        <w:t>), y por tanto resulta indistinta la manera que adquiere la privación de la libertad a los fines de la caracterización de una desaparición forzada, es decir, cualquier forma de p</w:t>
      </w:r>
      <w:r w:rsidRPr="00BD656C">
        <w:rPr>
          <w:rFonts w:ascii="Verdana" w:hAnsi="Verdana"/>
          <w:sz w:val="20"/>
          <w:szCs w:val="20"/>
        </w:rPr>
        <w:t>rivación de libertad satisface este primer requisito</w:t>
      </w:r>
      <w:r w:rsidRPr="00CC714A">
        <w:rPr>
          <w:rStyle w:val="Refdenotaalpie"/>
          <w:rFonts w:ascii="Verdana" w:hAnsi="Verdana"/>
          <w:sz w:val="20"/>
          <w:szCs w:val="20"/>
        </w:rPr>
        <w:footnoteReference w:id="390"/>
      </w:r>
      <w:r w:rsidRPr="00CC714A">
        <w:rPr>
          <w:rFonts w:ascii="Verdana" w:hAnsi="Verdana"/>
          <w:sz w:val="20"/>
          <w:szCs w:val="20"/>
        </w:rPr>
        <w:t>. Sobre este particular, el Grupo de Trabajo sobre las Desapariciones Forzadas e Involuntarias de Personas [GTDFI] de la ONU ha aclarado que “la desaparición forzada puede iniciarse con una detención ilegal o con un arresto o detención inicialment</w:t>
      </w:r>
      <w:r w:rsidRPr="00C57FCB">
        <w:rPr>
          <w:rFonts w:ascii="Verdana" w:hAnsi="Verdana"/>
          <w:sz w:val="20"/>
          <w:szCs w:val="20"/>
        </w:rPr>
        <w:t>e legal</w:t>
      </w:r>
      <w:r w:rsidR="008D1C67">
        <w:rPr>
          <w:rFonts w:ascii="Verdana" w:hAnsi="Verdana"/>
          <w:sz w:val="20"/>
          <w:szCs w:val="20"/>
        </w:rPr>
        <w:t>”</w:t>
      </w:r>
      <w:r w:rsidRPr="00C57FCB">
        <w:rPr>
          <w:rFonts w:ascii="Verdana" w:hAnsi="Verdana"/>
          <w:sz w:val="20"/>
          <w:szCs w:val="20"/>
        </w:rPr>
        <w:t>,</w:t>
      </w:r>
      <w:r w:rsidR="00EE7C7E" w:rsidRPr="00C57FCB">
        <w:rPr>
          <w:rFonts w:ascii="Verdana" w:hAnsi="Verdana"/>
          <w:sz w:val="20"/>
          <w:szCs w:val="20"/>
        </w:rPr>
        <w:t xml:space="preserve"> </w:t>
      </w:r>
      <w:r w:rsidRPr="009417B1">
        <w:rPr>
          <w:rFonts w:ascii="Verdana" w:hAnsi="Verdana"/>
          <w:sz w:val="20"/>
          <w:szCs w:val="20"/>
        </w:rPr>
        <w:t>criterio que ha sido recogido en casos precedentes por este Tribunal</w:t>
      </w:r>
      <w:r w:rsidRPr="00CC714A">
        <w:rPr>
          <w:rStyle w:val="Refdenotaalpie"/>
          <w:rFonts w:ascii="Verdana" w:hAnsi="Verdana"/>
          <w:sz w:val="20"/>
          <w:szCs w:val="20"/>
        </w:rPr>
        <w:footnoteReference w:id="391"/>
      </w:r>
      <w:r w:rsidRPr="00CC714A">
        <w:rPr>
          <w:rFonts w:ascii="Verdana" w:hAnsi="Verdana"/>
          <w:sz w:val="20"/>
          <w:szCs w:val="20"/>
        </w:rPr>
        <w:t xml:space="preserve">.  </w:t>
      </w:r>
    </w:p>
    <w:p w14:paraId="64AA5FF8" w14:textId="1B1137A0" w:rsidR="002E1C85" w:rsidRPr="009418F7"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C57FCB">
        <w:rPr>
          <w:rFonts w:ascii="Verdana" w:hAnsi="Verdana"/>
          <w:sz w:val="20"/>
          <w:szCs w:val="20"/>
        </w:rPr>
        <w:t>En este sentido, a la luz de las manifestaciones de las partes y de la Comisión, del reconocimiento expreso del Estado y de lo est</w:t>
      </w:r>
      <w:r w:rsidRPr="009417B1">
        <w:rPr>
          <w:rFonts w:ascii="Verdana" w:hAnsi="Verdana"/>
          <w:sz w:val="20"/>
          <w:szCs w:val="20"/>
        </w:rPr>
        <w:t xml:space="preserve">ablecido en el capítulo de hechos, la Corte considera suficientemente acreditado que el 29 de diciembre de 2009 las presuntas víctimas fueron privadas </w:t>
      </w:r>
      <w:r w:rsidRPr="009417B1">
        <w:rPr>
          <w:rFonts w:ascii="Verdana" w:hAnsi="Verdana"/>
          <w:sz w:val="20"/>
          <w:szCs w:val="20"/>
        </w:rPr>
        <w:lastRenderedPageBreak/>
        <w:t xml:space="preserve">de la libertad en el Ejido Benito Juárez por un grupo de sujetos que portaban armamento y vestimenta con </w:t>
      </w:r>
      <w:r w:rsidRPr="00BD656C">
        <w:rPr>
          <w:rFonts w:ascii="Verdana" w:hAnsi="Verdana"/>
          <w:sz w:val="20"/>
          <w:szCs w:val="20"/>
        </w:rPr>
        <w:t>características militares y viajaban en dos camionetas particulares, quienes perpetraron en un primer momento las detenciones de Nitza Paola y José Ángel Alvarado, para posteriormente trasladarse al domicilio de Rocío Irene Alvarado y privarla de su libert</w:t>
      </w:r>
      <w:r w:rsidRPr="009418F7">
        <w:rPr>
          <w:rFonts w:ascii="Verdana" w:hAnsi="Verdana"/>
          <w:sz w:val="20"/>
          <w:szCs w:val="20"/>
        </w:rPr>
        <w:t>ad, tras lo cual huyeron con rumbo desconocido (</w:t>
      </w:r>
      <w:r w:rsidRPr="009418F7">
        <w:rPr>
          <w:rFonts w:ascii="Verdana" w:hAnsi="Verdana"/>
          <w:i/>
          <w:sz w:val="20"/>
          <w:szCs w:val="20"/>
        </w:rPr>
        <w:t>supra</w:t>
      </w:r>
      <w:r w:rsidRPr="009418F7">
        <w:rPr>
          <w:rFonts w:ascii="Verdana" w:hAnsi="Verdana"/>
          <w:sz w:val="20"/>
          <w:szCs w:val="20"/>
        </w:rPr>
        <w:t xml:space="preserve"> párrs. </w:t>
      </w:r>
      <w:r w:rsidR="00500F81">
        <w:rPr>
          <w:rFonts w:ascii="Verdana" w:hAnsi="Verdana"/>
          <w:sz w:val="20"/>
          <w:szCs w:val="20"/>
        </w:rPr>
        <w:t>80 a 85</w:t>
      </w:r>
      <w:r w:rsidRPr="009418F7">
        <w:rPr>
          <w:rFonts w:ascii="Verdana" w:hAnsi="Verdana"/>
          <w:sz w:val="20"/>
          <w:szCs w:val="20"/>
        </w:rPr>
        <w:t>). En consecuencia, el Tribunal considera satisfecho el primer requisito exigido para el inicio de la configuración de este grave ilícito internacional.</w:t>
      </w:r>
    </w:p>
    <w:p w14:paraId="64AA5FFA" w14:textId="276D88D9" w:rsidR="002E1C85" w:rsidRPr="0057411A" w:rsidRDefault="00556FDB">
      <w:pPr>
        <w:pStyle w:val="Ttulo4"/>
        <w:numPr>
          <w:ilvl w:val="0"/>
          <w:numId w:val="64"/>
        </w:numPr>
        <w:spacing w:before="120" w:after="120"/>
        <w:contextualSpacing w:val="0"/>
        <w:rPr>
          <w:u w:val="none"/>
        </w:rPr>
      </w:pPr>
      <w:r>
        <w:rPr>
          <w:u w:val="none"/>
        </w:rPr>
        <w:t xml:space="preserve"> </w:t>
      </w:r>
      <w:bookmarkStart w:id="197" w:name="_Toc532995367"/>
      <w:r w:rsidR="002E1C85" w:rsidRPr="0057411A">
        <w:rPr>
          <w:u w:val="none"/>
        </w:rPr>
        <w:t>La intervención o aquiescencia de agentes estatales en los hechos</w:t>
      </w:r>
      <w:bookmarkEnd w:id="197"/>
      <w:r w:rsidR="002E1C85" w:rsidRPr="0057411A">
        <w:rPr>
          <w:u w:val="none"/>
        </w:rPr>
        <w:t xml:space="preserve">  </w:t>
      </w:r>
    </w:p>
    <w:p w14:paraId="622F468B" w14:textId="772E0511" w:rsidR="000B786A" w:rsidRPr="00171268"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9418F7">
        <w:rPr>
          <w:rFonts w:ascii="Verdana" w:hAnsi="Verdana"/>
          <w:sz w:val="20"/>
          <w:szCs w:val="20"/>
        </w:rPr>
        <w:t xml:space="preserve">Corresponde al Tribunal abordar los aspectos que en el presente caso se mantienen controvertidos y determinar si se acredita la responsabilidad estatal en las </w:t>
      </w:r>
      <w:r w:rsidR="00265E6C" w:rsidRPr="009418F7">
        <w:rPr>
          <w:rFonts w:ascii="Verdana" w:hAnsi="Verdana"/>
          <w:sz w:val="20"/>
          <w:szCs w:val="20"/>
        </w:rPr>
        <w:t>alegadas</w:t>
      </w:r>
      <w:r w:rsidRPr="009418F7">
        <w:rPr>
          <w:rFonts w:ascii="Verdana" w:hAnsi="Verdana"/>
          <w:sz w:val="20"/>
          <w:szCs w:val="20"/>
        </w:rPr>
        <w:t xml:space="preserve"> desapariciones. Para este propósito, el Tribunal reitera la procedencia en utilizar prueba indiciaria y presunciones para demostrar la concurrencia de cualquiera de los elementos de la desaparición forzada (</w:t>
      </w:r>
      <w:r w:rsidRPr="009418F7">
        <w:rPr>
          <w:rFonts w:ascii="Verdana" w:hAnsi="Verdana"/>
          <w:i/>
          <w:sz w:val="20"/>
          <w:szCs w:val="20"/>
        </w:rPr>
        <w:t xml:space="preserve">supra </w:t>
      </w:r>
      <w:r w:rsidRPr="009418F7">
        <w:rPr>
          <w:rFonts w:ascii="Verdana" w:hAnsi="Verdana"/>
          <w:sz w:val="20"/>
          <w:szCs w:val="20"/>
        </w:rPr>
        <w:t xml:space="preserve">párr. </w:t>
      </w:r>
      <w:r w:rsidR="000D3ED4">
        <w:rPr>
          <w:rFonts w:ascii="Verdana" w:hAnsi="Verdana"/>
          <w:sz w:val="20"/>
          <w:szCs w:val="20"/>
        </w:rPr>
        <w:t>169</w:t>
      </w:r>
      <w:r w:rsidRPr="009418F7">
        <w:rPr>
          <w:rFonts w:ascii="Verdana" w:hAnsi="Verdana"/>
          <w:sz w:val="20"/>
          <w:szCs w:val="20"/>
        </w:rPr>
        <w:t xml:space="preserve">). </w:t>
      </w:r>
      <w:r w:rsidR="000B786A" w:rsidRPr="000B786A">
        <w:rPr>
          <w:rFonts w:ascii="Verdana" w:hAnsi="Verdana"/>
          <w:sz w:val="20"/>
          <w:szCs w:val="20"/>
        </w:rPr>
        <w:t>Para dicho análisis, la Corte considerará: i) el contexto acreditado</w:t>
      </w:r>
      <w:r w:rsidR="000B786A" w:rsidRPr="000B786A">
        <w:rPr>
          <w:rFonts w:ascii="Verdana" w:hAnsi="Verdana"/>
          <w:sz w:val="20"/>
          <w:szCs w:val="20"/>
          <w:lang w:val="es-CR"/>
        </w:rPr>
        <w:t xml:space="preserve">; </w:t>
      </w:r>
      <w:r w:rsidR="000B786A" w:rsidRPr="00171268">
        <w:rPr>
          <w:rFonts w:ascii="Verdana" w:hAnsi="Verdana"/>
          <w:sz w:val="20"/>
          <w:szCs w:val="20"/>
        </w:rPr>
        <w:t>ii) la participación de las fuerzas armadas en labores de seguridad; iii) las declaraciones de los testigos presenciales y referenciales sobre las circunstancias que rodearon las detenciones de sus familiares</w:t>
      </w:r>
      <w:r w:rsidR="002F2492">
        <w:rPr>
          <w:rFonts w:ascii="Verdana" w:hAnsi="Verdana"/>
          <w:sz w:val="20"/>
          <w:szCs w:val="20"/>
        </w:rPr>
        <w:t>,</w:t>
      </w:r>
      <w:r w:rsidR="000B786A" w:rsidRPr="00171268">
        <w:rPr>
          <w:rFonts w:ascii="Verdana" w:hAnsi="Verdana"/>
          <w:sz w:val="20"/>
          <w:szCs w:val="20"/>
        </w:rPr>
        <w:t xml:space="preserve"> y iv) las conclusiones a la que arribaron distintos órganos y autoridades con relación a la autoría de los hechos.</w:t>
      </w:r>
    </w:p>
    <w:p w14:paraId="64AA5FFD" w14:textId="75CB48E8" w:rsidR="002E1C85" w:rsidRPr="007E592E" w:rsidRDefault="00556FDB">
      <w:pPr>
        <w:pStyle w:val="Ttulo5"/>
        <w:numPr>
          <w:ilvl w:val="0"/>
          <w:numId w:val="20"/>
        </w:numPr>
        <w:spacing w:before="120" w:after="120"/>
        <w:contextualSpacing w:val="0"/>
      </w:pPr>
      <w:r>
        <w:t xml:space="preserve"> </w:t>
      </w:r>
      <w:bookmarkStart w:id="198" w:name="_Toc532995368"/>
      <w:r w:rsidR="002E1C85" w:rsidRPr="005E3DBE">
        <w:t xml:space="preserve">Sobre el </w:t>
      </w:r>
      <w:r w:rsidR="002E1C85" w:rsidRPr="00AD4631">
        <w:t>contexto en que ocurrieron los hechos del caso</w:t>
      </w:r>
      <w:bookmarkEnd w:id="198"/>
    </w:p>
    <w:p w14:paraId="64AA5FFF" w14:textId="56DE3384" w:rsidR="001F1E18" w:rsidRPr="009418F7" w:rsidRDefault="0098540D"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
          <w:sz w:val="20"/>
          <w:szCs w:val="20"/>
        </w:rPr>
      </w:pPr>
      <w:r w:rsidRPr="009418F7">
        <w:rPr>
          <w:rFonts w:ascii="Verdana" w:hAnsi="Verdana"/>
          <w:sz w:val="20"/>
          <w:szCs w:val="20"/>
        </w:rPr>
        <w:t>E</w:t>
      </w:r>
      <w:r w:rsidR="002E1C85" w:rsidRPr="009418F7">
        <w:rPr>
          <w:rFonts w:ascii="Verdana" w:hAnsi="Verdana"/>
          <w:sz w:val="20"/>
          <w:szCs w:val="20"/>
        </w:rPr>
        <w:t>n el presente caso la Corte constató que en la época en que ocurrieron los hechos existía en el estado de Chihuahua un contexto de alta presencia militar, particularmente en el Ejido Benito Juárez, con motivo de la implementación del “Operativo Conjunto Chihuahua” como estrategia de respuesta estatal a la violencia criminal imperante en la zona (</w:t>
      </w:r>
      <w:r w:rsidR="002E1C85" w:rsidRPr="009418F7">
        <w:rPr>
          <w:rFonts w:ascii="Verdana" w:hAnsi="Verdana"/>
          <w:i/>
          <w:sz w:val="20"/>
          <w:szCs w:val="20"/>
        </w:rPr>
        <w:t>supra</w:t>
      </w:r>
      <w:r w:rsidR="002E1C85" w:rsidRPr="009418F7">
        <w:rPr>
          <w:rFonts w:ascii="Verdana" w:hAnsi="Verdana"/>
          <w:sz w:val="20"/>
          <w:szCs w:val="20"/>
        </w:rPr>
        <w:t xml:space="preserve"> párr. </w:t>
      </w:r>
      <w:r w:rsidR="00321DA9">
        <w:rPr>
          <w:rFonts w:ascii="Verdana" w:hAnsi="Verdana"/>
          <w:sz w:val="20"/>
          <w:szCs w:val="20"/>
        </w:rPr>
        <w:t>72</w:t>
      </w:r>
      <w:r w:rsidR="002E1C85" w:rsidRPr="009418F7">
        <w:rPr>
          <w:rFonts w:ascii="Verdana" w:hAnsi="Verdana"/>
          <w:sz w:val="20"/>
          <w:szCs w:val="20"/>
        </w:rPr>
        <w:t>)</w:t>
      </w:r>
      <w:r w:rsidR="006A3F76" w:rsidRPr="009418F7">
        <w:rPr>
          <w:rStyle w:val="Refdenotaalpie"/>
          <w:rFonts w:ascii="Verdana" w:hAnsi="Verdana"/>
          <w:sz w:val="20"/>
          <w:szCs w:val="20"/>
        </w:rPr>
        <w:footnoteReference w:id="392"/>
      </w:r>
      <w:r w:rsidR="002E1C85" w:rsidRPr="009418F7">
        <w:rPr>
          <w:rFonts w:ascii="Verdana" w:hAnsi="Verdana"/>
          <w:sz w:val="20"/>
          <w:szCs w:val="20"/>
        </w:rPr>
        <w:t>, así como de las acciones de búsqueda para localizar a los responsables de la muerte de tres agentes de la Policía Federal, en los q</w:t>
      </w:r>
      <w:r w:rsidR="002E1C85" w:rsidRPr="00CC714A">
        <w:rPr>
          <w:rFonts w:ascii="Verdana" w:hAnsi="Verdana"/>
          <w:sz w:val="20"/>
          <w:szCs w:val="20"/>
        </w:rPr>
        <w:t>ue el Estado atribuyó la autoría a integrantes de la delincuencia organizada (</w:t>
      </w:r>
      <w:r w:rsidR="002E1C85" w:rsidRPr="00C57FCB">
        <w:rPr>
          <w:rFonts w:ascii="Verdana" w:hAnsi="Verdana"/>
          <w:i/>
          <w:sz w:val="20"/>
          <w:szCs w:val="20"/>
        </w:rPr>
        <w:t>supra</w:t>
      </w:r>
      <w:r w:rsidR="005C780B" w:rsidRPr="00C57FCB">
        <w:rPr>
          <w:rFonts w:ascii="Verdana" w:hAnsi="Verdana"/>
          <w:i/>
          <w:sz w:val="20"/>
          <w:szCs w:val="20"/>
        </w:rPr>
        <w:t xml:space="preserve"> </w:t>
      </w:r>
      <w:r w:rsidR="002E1C85" w:rsidRPr="00C57FCB">
        <w:rPr>
          <w:rFonts w:ascii="Verdana" w:hAnsi="Verdana"/>
          <w:sz w:val="20"/>
          <w:szCs w:val="20"/>
        </w:rPr>
        <w:t>párr.</w:t>
      </w:r>
      <w:r w:rsidR="00321DA9">
        <w:rPr>
          <w:rFonts w:ascii="Verdana" w:hAnsi="Verdana"/>
          <w:sz w:val="20"/>
          <w:szCs w:val="20"/>
        </w:rPr>
        <w:t xml:space="preserve"> 73</w:t>
      </w:r>
      <w:r w:rsidR="002E1C85" w:rsidRPr="00C57FCB">
        <w:rPr>
          <w:rFonts w:ascii="Verdana" w:hAnsi="Verdana"/>
          <w:sz w:val="20"/>
          <w:szCs w:val="20"/>
        </w:rPr>
        <w:t xml:space="preserve">). En dicho contexto, los efectivos militares desplegados con este propósito asumían funciones relacionadas con el control del orden público y recurrían, entre otros métodos de investigación, a la detención </w:t>
      </w:r>
      <w:r w:rsidR="002E1C85" w:rsidRPr="009417B1">
        <w:rPr>
          <w:rFonts w:ascii="Verdana" w:hAnsi="Verdana"/>
          <w:sz w:val="20"/>
          <w:szCs w:val="20"/>
        </w:rPr>
        <w:t>de pobladores que se sospechaba se encontraban asociados con actividades delictivas y con los homicidios referidos (</w:t>
      </w:r>
      <w:r w:rsidR="002E1C85" w:rsidRPr="00BD656C">
        <w:rPr>
          <w:rFonts w:ascii="Verdana" w:hAnsi="Verdana"/>
          <w:i/>
          <w:sz w:val="20"/>
          <w:szCs w:val="20"/>
        </w:rPr>
        <w:t xml:space="preserve">supra </w:t>
      </w:r>
      <w:r w:rsidR="002E1C85" w:rsidRPr="00BD656C">
        <w:rPr>
          <w:rFonts w:ascii="Verdana" w:hAnsi="Verdana"/>
          <w:sz w:val="20"/>
          <w:szCs w:val="20"/>
        </w:rPr>
        <w:t xml:space="preserve">párr. </w:t>
      </w:r>
      <w:r w:rsidR="00321DA9">
        <w:rPr>
          <w:rFonts w:ascii="Verdana" w:hAnsi="Verdana"/>
          <w:sz w:val="20"/>
          <w:szCs w:val="20"/>
        </w:rPr>
        <w:t>73</w:t>
      </w:r>
      <w:r w:rsidR="002E1C85" w:rsidRPr="00BD656C">
        <w:rPr>
          <w:rFonts w:ascii="Verdana" w:hAnsi="Verdana"/>
          <w:sz w:val="20"/>
          <w:szCs w:val="20"/>
        </w:rPr>
        <w:t>).</w:t>
      </w:r>
      <w:r w:rsidR="004F3090" w:rsidRPr="00BD656C">
        <w:rPr>
          <w:rFonts w:ascii="Verdana" w:hAnsi="Verdana" w:cs="Times New Roman"/>
          <w:sz w:val="20"/>
          <w:szCs w:val="20"/>
        </w:rPr>
        <w:t xml:space="preserve"> </w:t>
      </w:r>
    </w:p>
    <w:p w14:paraId="64AA6003" w14:textId="7D50B0D1" w:rsidR="001F1E18" w:rsidRPr="009418F7"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9418F7">
        <w:rPr>
          <w:rFonts w:ascii="Verdana" w:hAnsi="Verdana"/>
          <w:sz w:val="20"/>
          <w:szCs w:val="20"/>
        </w:rPr>
        <w:t xml:space="preserve">Al respecto, por una parte, la Corte toma nota de los argumentos del Estado con relación a la alta complejidad del contexto de violencia que sucedía en la zona, respecto de la cual requería </w:t>
      </w:r>
      <w:r w:rsidRPr="009418F7">
        <w:rPr>
          <w:rFonts w:ascii="Verdana" w:hAnsi="Verdana" w:cs="Times New Roman"/>
          <w:sz w:val="20"/>
          <w:szCs w:val="20"/>
        </w:rPr>
        <w:t>“la impl</w:t>
      </w:r>
      <w:r w:rsidR="00E728D7" w:rsidRPr="009418F7">
        <w:rPr>
          <w:rFonts w:ascii="Verdana" w:hAnsi="Verdana" w:cs="Times New Roman"/>
          <w:sz w:val="20"/>
          <w:szCs w:val="20"/>
        </w:rPr>
        <w:t>eme</w:t>
      </w:r>
      <w:r w:rsidRPr="009418F7">
        <w:rPr>
          <w:rFonts w:ascii="Verdana" w:hAnsi="Verdana" w:cs="Times New Roman"/>
          <w:sz w:val="20"/>
          <w:szCs w:val="20"/>
        </w:rPr>
        <w:t>ntación de acciones de seguridad y el despliegue legítimo del uso de la fuerza por parte del Estado”. No obstante, el Tribunal constata también que la implementación de las estrategias estatales de combate al crimen organizado basadas en el despliegue de efectivos militares en distintas zonas del territorio mexicano han sido materia de monitoreo constante y expresiones de alerta y preocupación por parte de distintos organismos internacionales y mecanismos especiales nacionales e internacionales (</w:t>
      </w:r>
      <w:r w:rsidRPr="009418F7">
        <w:rPr>
          <w:rFonts w:ascii="Verdana" w:hAnsi="Verdana" w:cs="Times New Roman"/>
          <w:i/>
          <w:sz w:val="20"/>
          <w:szCs w:val="20"/>
        </w:rPr>
        <w:t>supra</w:t>
      </w:r>
      <w:r w:rsidRPr="009418F7">
        <w:rPr>
          <w:rFonts w:ascii="Verdana" w:hAnsi="Verdana" w:cs="Times New Roman"/>
          <w:sz w:val="20"/>
          <w:szCs w:val="20"/>
        </w:rPr>
        <w:t xml:space="preserve"> párrs. </w:t>
      </w:r>
      <w:r w:rsidR="001442FB">
        <w:rPr>
          <w:rFonts w:ascii="Verdana" w:hAnsi="Verdana" w:cs="Times New Roman"/>
          <w:sz w:val="20"/>
          <w:szCs w:val="20"/>
        </w:rPr>
        <w:t>59 a 67</w:t>
      </w:r>
      <w:r w:rsidRPr="009418F7">
        <w:rPr>
          <w:rFonts w:ascii="Verdana" w:hAnsi="Verdana" w:cs="Times New Roman"/>
          <w:sz w:val="20"/>
          <w:szCs w:val="20"/>
        </w:rPr>
        <w:t xml:space="preserve">). Tales alertas, </w:t>
      </w:r>
      <w:r w:rsidRPr="008A3009">
        <w:rPr>
          <w:rFonts w:ascii="Verdana" w:hAnsi="Verdana" w:cs="Times New Roman"/>
          <w:sz w:val="20"/>
          <w:szCs w:val="20"/>
        </w:rPr>
        <w:t>que no fueron controvertidas</w:t>
      </w:r>
      <w:r w:rsidR="008A3009" w:rsidRPr="00AD4631">
        <w:rPr>
          <w:rFonts w:ascii="Verdana" w:hAnsi="Verdana" w:cs="Times New Roman"/>
          <w:sz w:val="20"/>
          <w:szCs w:val="20"/>
        </w:rPr>
        <w:t xml:space="preserve"> </w:t>
      </w:r>
      <w:r w:rsidRPr="00605079">
        <w:rPr>
          <w:rFonts w:ascii="Verdana" w:hAnsi="Verdana" w:cs="Times New Roman"/>
          <w:sz w:val="20"/>
          <w:szCs w:val="20"/>
        </w:rPr>
        <w:t xml:space="preserve">por el Estado </w:t>
      </w:r>
      <w:r w:rsidR="008A3009" w:rsidRPr="00AD4631">
        <w:rPr>
          <w:rFonts w:ascii="Verdana" w:hAnsi="Verdana" w:cs="Times New Roman"/>
          <w:sz w:val="20"/>
          <w:szCs w:val="20"/>
        </w:rPr>
        <w:t xml:space="preserve">mediante </w:t>
      </w:r>
      <w:r w:rsidRPr="00605079">
        <w:rPr>
          <w:rFonts w:ascii="Verdana" w:hAnsi="Verdana" w:cs="Times New Roman"/>
          <w:sz w:val="20"/>
          <w:szCs w:val="20"/>
        </w:rPr>
        <w:t xml:space="preserve">prueba </w:t>
      </w:r>
      <w:r w:rsidR="008A3009" w:rsidRPr="00AD4631">
        <w:rPr>
          <w:rFonts w:ascii="Verdana" w:hAnsi="Verdana" w:cs="Times New Roman"/>
          <w:sz w:val="20"/>
          <w:szCs w:val="20"/>
        </w:rPr>
        <w:t xml:space="preserve">que </w:t>
      </w:r>
      <w:r w:rsidRPr="00605079">
        <w:rPr>
          <w:rFonts w:ascii="Verdana" w:hAnsi="Verdana" w:cs="Times New Roman"/>
          <w:sz w:val="20"/>
          <w:szCs w:val="20"/>
        </w:rPr>
        <w:t>desvirtuar</w:t>
      </w:r>
      <w:r w:rsidR="008A3009" w:rsidRPr="00AD4631">
        <w:rPr>
          <w:rFonts w:ascii="Verdana" w:hAnsi="Verdana" w:cs="Times New Roman"/>
          <w:sz w:val="20"/>
          <w:szCs w:val="20"/>
        </w:rPr>
        <w:t>a</w:t>
      </w:r>
      <w:r w:rsidRPr="008A3009">
        <w:rPr>
          <w:rFonts w:ascii="Verdana" w:hAnsi="Verdana" w:cs="Times New Roman"/>
          <w:sz w:val="20"/>
          <w:szCs w:val="20"/>
        </w:rPr>
        <w:t xml:space="preserve"> su contenido</w:t>
      </w:r>
      <w:r w:rsidRPr="009418F7">
        <w:rPr>
          <w:rFonts w:ascii="Verdana" w:hAnsi="Verdana" w:cs="Times New Roman"/>
          <w:sz w:val="20"/>
          <w:szCs w:val="20"/>
        </w:rPr>
        <w:t xml:space="preserve">, han dado cuenta de </w:t>
      </w:r>
      <w:r w:rsidR="00884EB2" w:rsidRPr="009418F7">
        <w:rPr>
          <w:rFonts w:ascii="Verdana" w:hAnsi="Verdana" w:cs="Times New Roman"/>
          <w:sz w:val="20"/>
          <w:szCs w:val="20"/>
        </w:rPr>
        <w:t xml:space="preserve">alegadas </w:t>
      </w:r>
      <w:r w:rsidRPr="009418F7">
        <w:rPr>
          <w:rFonts w:ascii="Verdana" w:hAnsi="Verdana" w:cs="Times New Roman"/>
          <w:sz w:val="20"/>
          <w:szCs w:val="20"/>
        </w:rPr>
        <w:t>graves violaciones a los derechos humanos asociadas a la actuación de elementos castrenses en el marco de dichas estrategias, entre las cuales se encontraban desapariciones forzadas, detenciones arbitrarias y ejecuciones extrajudiciales</w:t>
      </w:r>
      <w:r w:rsidRPr="009418F7">
        <w:rPr>
          <w:rFonts w:ascii="Verdana" w:hAnsi="Verdana"/>
          <w:sz w:val="20"/>
          <w:szCs w:val="20"/>
        </w:rPr>
        <w:t>, así como la impunidad crónica, como patrones estructurales comunes en los casos en que ha sido comprobada la participación de agentes estatales</w:t>
      </w:r>
      <w:r w:rsidRPr="009418F7">
        <w:rPr>
          <w:rFonts w:ascii="Verdana" w:hAnsi="Verdana" w:cs="Times New Roman"/>
          <w:sz w:val="20"/>
          <w:szCs w:val="20"/>
        </w:rPr>
        <w:t>, constituyendo un fenómeno de especial gravedad en entidades tales como Chihuahua (</w:t>
      </w:r>
      <w:r w:rsidRPr="009418F7">
        <w:rPr>
          <w:rFonts w:ascii="Verdana" w:hAnsi="Verdana" w:cs="Times New Roman"/>
          <w:i/>
          <w:sz w:val="20"/>
          <w:szCs w:val="20"/>
        </w:rPr>
        <w:t xml:space="preserve">supra </w:t>
      </w:r>
      <w:r w:rsidRPr="009418F7">
        <w:rPr>
          <w:rFonts w:ascii="Verdana" w:hAnsi="Verdana" w:cs="Times New Roman"/>
          <w:sz w:val="20"/>
          <w:szCs w:val="20"/>
        </w:rPr>
        <w:t xml:space="preserve">párrs. </w:t>
      </w:r>
      <w:r w:rsidR="00E2037B">
        <w:rPr>
          <w:rFonts w:ascii="Verdana" w:hAnsi="Verdana" w:cs="Times New Roman"/>
          <w:sz w:val="20"/>
          <w:szCs w:val="20"/>
        </w:rPr>
        <w:t>59 a 65</w:t>
      </w:r>
      <w:r w:rsidRPr="009418F7">
        <w:rPr>
          <w:rFonts w:ascii="Verdana" w:hAnsi="Verdana" w:cs="Times New Roman"/>
          <w:sz w:val="20"/>
          <w:szCs w:val="20"/>
        </w:rPr>
        <w:t xml:space="preserve">). </w:t>
      </w:r>
      <w:r w:rsidR="00867562" w:rsidRPr="009418F7">
        <w:rPr>
          <w:rFonts w:ascii="Verdana" w:hAnsi="Verdana" w:cs="Times New Roman"/>
          <w:sz w:val="20"/>
          <w:szCs w:val="20"/>
        </w:rPr>
        <w:t xml:space="preserve">En virtud de ello, este Tribunal estima </w:t>
      </w:r>
      <w:r w:rsidR="00867562" w:rsidRPr="009418F7">
        <w:rPr>
          <w:rFonts w:ascii="Verdana" w:hAnsi="Verdana"/>
          <w:sz w:val="20"/>
          <w:szCs w:val="20"/>
        </w:rPr>
        <w:t>que el Estado no aportó prueba en contrario, más allá de sus alegaciones, que desvirtuara dicho escenario contextual. En consecuencia, se acreditó el contexto aludido, el cual constituye un elemento relevante para el análisis del presente caso.</w:t>
      </w:r>
    </w:p>
    <w:p w14:paraId="060970B4" w14:textId="562E8D5F" w:rsidR="00DA7DBA" w:rsidRPr="0036073A" w:rsidRDefault="00556FDB">
      <w:pPr>
        <w:pStyle w:val="Ttulo5"/>
        <w:numPr>
          <w:ilvl w:val="0"/>
          <w:numId w:val="20"/>
        </w:numPr>
        <w:spacing w:before="120" w:after="120"/>
        <w:contextualSpacing w:val="0"/>
      </w:pPr>
      <w:r>
        <w:lastRenderedPageBreak/>
        <w:t xml:space="preserve"> </w:t>
      </w:r>
      <w:bookmarkStart w:id="199" w:name="_Toc532995369"/>
      <w:r w:rsidR="00DA7DBA" w:rsidRPr="0036073A">
        <w:t xml:space="preserve">Sobre la participación de </w:t>
      </w:r>
      <w:r w:rsidR="003C68CF" w:rsidRPr="008D0846">
        <w:t xml:space="preserve">las </w:t>
      </w:r>
      <w:r w:rsidR="00E2037B" w:rsidRPr="0036073A">
        <w:t>F</w:t>
      </w:r>
      <w:r w:rsidR="00DA7DBA" w:rsidRPr="0036073A">
        <w:t xml:space="preserve">uerzas </w:t>
      </w:r>
      <w:r w:rsidR="00E2037B" w:rsidRPr="0036073A">
        <w:t>A</w:t>
      </w:r>
      <w:r w:rsidR="00DA7DBA" w:rsidRPr="0036073A">
        <w:t xml:space="preserve">rmadas en labores de </w:t>
      </w:r>
      <w:r w:rsidR="00E2037B" w:rsidRPr="0036073A">
        <w:t>S</w:t>
      </w:r>
      <w:r w:rsidR="00DA7DBA" w:rsidRPr="0036073A">
        <w:t xml:space="preserve">eguridad </w:t>
      </w:r>
      <w:r w:rsidR="00E2037B" w:rsidRPr="0036073A">
        <w:t>C</w:t>
      </w:r>
      <w:r w:rsidR="00DA7DBA" w:rsidRPr="0036073A">
        <w:t>iudadana</w:t>
      </w:r>
      <w:r w:rsidR="000B786A" w:rsidRPr="008D0846">
        <w:rPr>
          <w:rStyle w:val="Refdenotaalpie"/>
        </w:rPr>
        <w:footnoteReference w:id="393"/>
      </w:r>
      <w:bookmarkEnd w:id="199"/>
    </w:p>
    <w:p w14:paraId="468F590F" w14:textId="18A77201" w:rsidR="00DA7DBA" w:rsidRPr="00DA7DBA" w:rsidRDefault="00867562"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Pr>
          <w:rFonts w:ascii="Verdana" w:hAnsi="Verdana" w:cs="Arial"/>
          <w:sz w:val="20"/>
          <w:szCs w:val="20"/>
        </w:rPr>
        <w:t>L</w:t>
      </w:r>
      <w:r w:rsidRPr="002E1C85">
        <w:rPr>
          <w:rFonts w:ascii="Verdana" w:hAnsi="Verdana" w:cs="Arial"/>
          <w:sz w:val="20"/>
          <w:szCs w:val="20"/>
        </w:rPr>
        <w:t>a Corte</w:t>
      </w:r>
      <w:r w:rsidRPr="002E1C85">
        <w:rPr>
          <w:rFonts w:ascii="Verdana" w:hAnsi="Verdana"/>
          <w:sz w:val="20"/>
          <w:szCs w:val="20"/>
          <w:lang w:val="es-CR"/>
        </w:rPr>
        <w:t xml:space="preserve"> recuerda</w:t>
      </w:r>
      <w:r w:rsidRPr="002E1C85">
        <w:rPr>
          <w:rFonts w:ascii="Verdana" w:hAnsi="Verdana" w:cs="Arial"/>
          <w:sz w:val="20"/>
          <w:szCs w:val="20"/>
        </w:rPr>
        <w:t xml:space="preserve"> </w:t>
      </w:r>
      <w:r>
        <w:rPr>
          <w:rFonts w:ascii="Verdana" w:hAnsi="Verdana" w:cs="Arial"/>
          <w:sz w:val="20"/>
          <w:szCs w:val="20"/>
        </w:rPr>
        <w:t>que a</w:t>
      </w:r>
      <w:r w:rsidR="00DA7DBA" w:rsidRPr="002E1C85">
        <w:rPr>
          <w:rFonts w:ascii="Verdana" w:hAnsi="Verdana" w:cs="Arial"/>
          <w:sz w:val="20"/>
          <w:szCs w:val="20"/>
        </w:rPr>
        <w:t xml:space="preserve"> la luz de las obligaciones establecidas en los artículos 1.1 y 2 de la Convención, </w:t>
      </w:r>
      <w:r w:rsidR="00DA7DBA" w:rsidRPr="002E1C85">
        <w:rPr>
          <w:rFonts w:ascii="Verdana" w:hAnsi="Verdana"/>
          <w:sz w:val="20"/>
          <w:szCs w:val="20"/>
          <w:lang w:val="es-CR"/>
        </w:rPr>
        <w:t xml:space="preserve">los Estados </w:t>
      </w:r>
      <w:r>
        <w:rPr>
          <w:rFonts w:ascii="Verdana" w:hAnsi="Verdana"/>
          <w:sz w:val="20"/>
          <w:szCs w:val="20"/>
          <w:lang w:val="es-CR"/>
        </w:rPr>
        <w:t xml:space="preserve">deben </w:t>
      </w:r>
      <w:r w:rsidR="00DA7DBA" w:rsidRPr="002E1C85">
        <w:rPr>
          <w:rFonts w:ascii="Verdana" w:hAnsi="Verdana"/>
          <w:sz w:val="20"/>
          <w:szCs w:val="20"/>
          <w:lang w:val="es-CR"/>
        </w:rPr>
        <w:t>garantizar la seguridad y mantener el orden público, así como perseguir los delitos cometidos en su jurisdicción</w:t>
      </w:r>
      <w:r w:rsidR="002F099F" w:rsidRPr="002F099F">
        <w:rPr>
          <w:rFonts w:ascii="Verdana" w:hAnsi="Verdana"/>
          <w:sz w:val="20"/>
          <w:szCs w:val="20"/>
          <w:vertAlign w:val="superscript"/>
          <w:lang w:val="es-CR"/>
        </w:rPr>
        <w:footnoteReference w:id="394"/>
      </w:r>
      <w:r w:rsidR="008B1A9A">
        <w:rPr>
          <w:rFonts w:ascii="Verdana" w:hAnsi="Verdana"/>
          <w:sz w:val="20"/>
          <w:szCs w:val="20"/>
          <w:lang w:val="es-CR"/>
        </w:rPr>
        <w:t>.</w:t>
      </w:r>
      <w:r w:rsidR="00BB0467">
        <w:rPr>
          <w:rFonts w:ascii="Verdana" w:hAnsi="Verdana"/>
          <w:sz w:val="20"/>
          <w:szCs w:val="20"/>
          <w:lang w:val="es-CR"/>
        </w:rPr>
        <w:t xml:space="preserve"> </w:t>
      </w:r>
      <w:r w:rsidR="00DA7DBA" w:rsidRPr="00DA7DBA">
        <w:rPr>
          <w:rFonts w:ascii="Verdana" w:hAnsi="Verdana"/>
          <w:sz w:val="20"/>
          <w:szCs w:val="20"/>
        </w:rPr>
        <w:t>En particular, el artículo 32.2 de la Convención Americana dispone que “[l]os derechos de cada persona están limitados por los derechos de los demás, por la seguridad de todos y por las justas exigencias del bien común, en una sociedad democrática”</w:t>
      </w:r>
      <w:r w:rsidR="00350912">
        <w:rPr>
          <w:rStyle w:val="Refdenotaalpie"/>
          <w:rFonts w:ascii="Verdana" w:hAnsi="Verdana"/>
          <w:sz w:val="20"/>
          <w:szCs w:val="20"/>
        </w:rPr>
        <w:footnoteReference w:id="395"/>
      </w:r>
      <w:r w:rsidR="00DA7DBA" w:rsidRPr="00DA7DBA">
        <w:rPr>
          <w:rFonts w:ascii="Verdana" w:hAnsi="Verdana"/>
          <w:sz w:val="20"/>
          <w:szCs w:val="20"/>
        </w:rPr>
        <w:t>.</w:t>
      </w:r>
      <w:r w:rsidR="00DA7DBA" w:rsidRPr="00DA7DBA">
        <w:rPr>
          <w:rFonts w:ascii="Verdana" w:eastAsiaTheme="minorHAnsi" w:hAnsi="Verdana" w:cs="Consolas"/>
          <w:sz w:val="20"/>
          <w:szCs w:val="20"/>
        </w:rPr>
        <w:t xml:space="preserve"> </w:t>
      </w:r>
    </w:p>
    <w:p w14:paraId="04585E7B" w14:textId="346246CD" w:rsidR="00DA7DBA" w:rsidRPr="00813B72" w:rsidRDefault="00DA7DB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2E1C85">
        <w:rPr>
          <w:rFonts w:ascii="Verdana" w:hAnsi="Verdana"/>
          <w:sz w:val="20"/>
          <w:szCs w:val="20"/>
        </w:rPr>
        <w:t>En atención a lo anterior, el Tribunal estima que por su naturaleza y com</w:t>
      </w:r>
      <w:r>
        <w:rPr>
          <w:rFonts w:ascii="Verdana" w:hAnsi="Verdana"/>
          <w:sz w:val="20"/>
          <w:szCs w:val="20"/>
        </w:rPr>
        <w:t xml:space="preserve">plejidad, el crimen organizado </w:t>
      </w:r>
      <w:r w:rsidRPr="002E1C85">
        <w:rPr>
          <w:rFonts w:ascii="Verdana" w:hAnsi="Verdana"/>
          <w:sz w:val="20"/>
          <w:szCs w:val="20"/>
        </w:rPr>
        <w:t>en sus distintas formas constituye por sí mismo una grave amenaza para la comunidad int</w:t>
      </w:r>
      <w:r>
        <w:rPr>
          <w:rFonts w:ascii="Verdana" w:hAnsi="Verdana"/>
          <w:sz w:val="20"/>
          <w:szCs w:val="20"/>
        </w:rPr>
        <w:t>ernacional, toda vez que atenta</w:t>
      </w:r>
      <w:r w:rsidRPr="002E1C85">
        <w:rPr>
          <w:rFonts w:ascii="Verdana" w:hAnsi="Verdana"/>
          <w:sz w:val="20"/>
          <w:szCs w:val="20"/>
        </w:rPr>
        <w:t xml:space="preserve"> contra la seguridad, estabilidad y gobernabilidad democrática de los Estados, obstaculiza su desarrollo e impide la vigencia de los derechos humanos de las personas sujetas a su jurisdicción</w:t>
      </w:r>
      <w:r w:rsidRPr="00E41AD7">
        <w:rPr>
          <w:rStyle w:val="Refdenotaalpie"/>
          <w:rFonts w:ascii="Verdana" w:hAnsi="Verdana"/>
          <w:sz w:val="20"/>
          <w:szCs w:val="20"/>
        </w:rPr>
        <w:footnoteReference w:id="396"/>
      </w:r>
      <w:r w:rsidRPr="00E41AD7">
        <w:rPr>
          <w:rFonts w:ascii="Verdana" w:hAnsi="Verdana"/>
          <w:sz w:val="20"/>
          <w:szCs w:val="20"/>
        </w:rPr>
        <w:t>.</w:t>
      </w:r>
      <w:r w:rsidRPr="002E1C85">
        <w:rPr>
          <w:rFonts w:ascii="Verdana" w:hAnsi="Verdana"/>
          <w:sz w:val="20"/>
          <w:szCs w:val="20"/>
        </w:rPr>
        <w:t xml:space="preserve"> No obstante, para enfrentar dicha problemática es preciso que los Estados actúen en todo momento dentro de los límites y conforme a los procedimientos que permit</w:t>
      </w:r>
      <w:r>
        <w:rPr>
          <w:rFonts w:ascii="Verdana" w:hAnsi="Verdana"/>
          <w:sz w:val="20"/>
          <w:szCs w:val="20"/>
        </w:rPr>
        <w:t>a</w:t>
      </w:r>
      <w:r w:rsidRPr="002E1C85">
        <w:rPr>
          <w:rFonts w:ascii="Verdana" w:hAnsi="Verdana"/>
          <w:sz w:val="20"/>
          <w:szCs w:val="20"/>
        </w:rPr>
        <w:t>n preservar tanto la seguridad pública como los derechos humanos</w:t>
      </w:r>
      <w:r w:rsidRPr="00953725">
        <w:rPr>
          <w:rFonts w:ascii="Verdana" w:hAnsi="Verdana"/>
          <w:sz w:val="20"/>
          <w:szCs w:val="20"/>
          <w:vertAlign w:val="superscript"/>
        </w:rPr>
        <w:footnoteReference w:id="397"/>
      </w:r>
      <w:r w:rsidRPr="00953725">
        <w:rPr>
          <w:rFonts w:ascii="Verdana" w:hAnsi="Verdana"/>
          <w:sz w:val="20"/>
          <w:szCs w:val="20"/>
        </w:rPr>
        <w:t>.</w:t>
      </w:r>
      <w:r w:rsidRPr="002E1C85">
        <w:rPr>
          <w:rFonts w:ascii="Verdana" w:hAnsi="Verdana"/>
          <w:sz w:val="20"/>
          <w:szCs w:val="20"/>
        </w:rPr>
        <w:t xml:space="preserve"> Lo anterior implica que en la adopción de med</w:t>
      </w:r>
      <w:r>
        <w:rPr>
          <w:rFonts w:ascii="Verdana" w:hAnsi="Verdana"/>
          <w:sz w:val="20"/>
          <w:szCs w:val="20"/>
        </w:rPr>
        <w:t>idas frente a quienes se presume que atenta</w:t>
      </w:r>
      <w:r w:rsidRPr="002E1C85">
        <w:rPr>
          <w:rFonts w:ascii="Verdana" w:hAnsi="Verdana"/>
          <w:sz w:val="20"/>
          <w:szCs w:val="20"/>
        </w:rPr>
        <w:t xml:space="preserve">n en contra de la seguridad </w:t>
      </w:r>
      <w:r w:rsidR="00AC6FFB">
        <w:rPr>
          <w:rFonts w:ascii="Verdana" w:hAnsi="Verdana"/>
          <w:sz w:val="20"/>
          <w:szCs w:val="20"/>
        </w:rPr>
        <w:t>inter</w:t>
      </w:r>
      <w:r w:rsidR="00FB4F36">
        <w:rPr>
          <w:rFonts w:ascii="Verdana" w:hAnsi="Verdana"/>
          <w:sz w:val="20"/>
          <w:szCs w:val="20"/>
        </w:rPr>
        <w:t>na</w:t>
      </w:r>
      <w:r w:rsidR="00AC6FFB">
        <w:rPr>
          <w:rFonts w:ascii="Verdana" w:hAnsi="Verdana"/>
          <w:sz w:val="20"/>
          <w:szCs w:val="20"/>
        </w:rPr>
        <w:t xml:space="preserve"> </w:t>
      </w:r>
      <w:r w:rsidRPr="002E1C85">
        <w:rPr>
          <w:rFonts w:ascii="Verdana" w:hAnsi="Verdana"/>
          <w:sz w:val="20"/>
          <w:szCs w:val="20"/>
        </w:rPr>
        <w:t>o del orden público, los Estados no pueden invocar la existencia de</w:t>
      </w:r>
      <w:r w:rsidRPr="002E1C85">
        <w:rPr>
          <w:rFonts w:ascii="Verdana" w:hAnsi="Verdana"/>
          <w:sz w:val="20"/>
          <w:szCs w:val="20"/>
          <w:lang w:val="es-CR"/>
        </w:rPr>
        <w:t xml:space="preserve"> situaciones excepcionales</w:t>
      </w:r>
      <w:r w:rsidRPr="002E1C85">
        <w:rPr>
          <w:rFonts w:ascii="Verdana" w:hAnsi="Verdana"/>
          <w:sz w:val="20"/>
          <w:szCs w:val="20"/>
        </w:rPr>
        <w:t xml:space="preserve"> como medio para suprimir o denegar derechos garantizados por la Convención, </w:t>
      </w:r>
      <w:r w:rsidRPr="002E1C85">
        <w:rPr>
          <w:rFonts w:ascii="Verdana" w:hAnsi="Verdana"/>
          <w:sz w:val="20"/>
          <w:szCs w:val="20"/>
        </w:rPr>
        <w:lastRenderedPageBreak/>
        <w:t>desnaturalizarlo</w:t>
      </w:r>
      <w:r>
        <w:rPr>
          <w:rFonts w:ascii="Verdana" w:hAnsi="Verdana"/>
          <w:sz w:val="20"/>
          <w:szCs w:val="20"/>
        </w:rPr>
        <w:t>s</w:t>
      </w:r>
      <w:r w:rsidRPr="002E1C85">
        <w:rPr>
          <w:rFonts w:ascii="Verdana" w:hAnsi="Verdana"/>
          <w:sz w:val="20"/>
          <w:szCs w:val="20"/>
        </w:rPr>
        <w:t xml:space="preserve"> o privarlo</w:t>
      </w:r>
      <w:r>
        <w:rPr>
          <w:rFonts w:ascii="Verdana" w:hAnsi="Verdana"/>
          <w:sz w:val="20"/>
          <w:szCs w:val="20"/>
        </w:rPr>
        <w:t>s</w:t>
      </w:r>
      <w:r w:rsidRPr="002E1C85">
        <w:rPr>
          <w:rFonts w:ascii="Verdana" w:hAnsi="Verdana"/>
          <w:sz w:val="20"/>
          <w:szCs w:val="20"/>
        </w:rPr>
        <w:t xml:space="preserve"> de contenido real, </w:t>
      </w:r>
      <w:r w:rsidRPr="002E1C85">
        <w:rPr>
          <w:rFonts w:ascii="Verdana" w:hAnsi="Verdana"/>
          <w:sz w:val="20"/>
          <w:szCs w:val="20"/>
          <w:lang w:val="es-CR"/>
        </w:rPr>
        <w:t xml:space="preserve">o como justificación para </w:t>
      </w:r>
      <w:r w:rsidRPr="002E1C85">
        <w:rPr>
          <w:rFonts w:ascii="Verdana" w:hAnsi="Verdana"/>
          <w:sz w:val="20"/>
          <w:szCs w:val="20"/>
          <w:lang w:val="es-CO"/>
        </w:rPr>
        <w:t>practicar o tolerar</w:t>
      </w:r>
      <w:r w:rsidRPr="002E1C85">
        <w:rPr>
          <w:rFonts w:ascii="Verdana" w:hAnsi="Verdana"/>
          <w:sz w:val="20"/>
          <w:szCs w:val="20"/>
          <w:lang w:val="es-CR"/>
        </w:rPr>
        <w:t xml:space="preserve"> actos contrarios a normas imperativas de derecho internacional, tales como </w:t>
      </w:r>
      <w:r w:rsidRPr="00EF71F8">
        <w:rPr>
          <w:rFonts w:ascii="Verdana" w:hAnsi="Verdana"/>
          <w:sz w:val="20"/>
          <w:szCs w:val="20"/>
          <w:lang w:val="es-CO"/>
        </w:rPr>
        <w:t xml:space="preserve">la </w:t>
      </w:r>
      <w:r w:rsidRPr="00E16D4C">
        <w:rPr>
          <w:rFonts w:ascii="Verdana" w:hAnsi="Verdana"/>
          <w:sz w:val="20"/>
          <w:szCs w:val="20"/>
          <w:lang w:val="es-CO"/>
        </w:rPr>
        <w:t>tortura, desapariciones forzadas y ejecuciones extrajudiciales, entre otras graves violaciones</w:t>
      </w:r>
      <w:r w:rsidR="00477D27" w:rsidRPr="00EF71F8">
        <w:rPr>
          <w:rFonts w:ascii="Verdana" w:hAnsi="Verdana"/>
          <w:sz w:val="20"/>
          <w:szCs w:val="20"/>
          <w:vertAlign w:val="superscript"/>
          <w:lang w:val="es-CR"/>
        </w:rPr>
        <w:footnoteReference w:id="398"/>
      </w:r>
      <w:r w:rsidRPr="00EF71F8">
        <w:rPr>
          <w:rFonts w:ascii="Verdana" w:hAnsi="Verdana"/>
          <w:sz w:val="20"/>
          <w:szCs w:val="20"/>
        </w:rPr>
        <w:t>.</w:t>
      </w:r>
      <w:r w:rsidRPr="002E1C85">
        <w:rPr>
          <w:rFonts w:ascii="Verdana" w:hAnsi="Verdana"/>
          <w:sz w:val="20"/>
          <w:szCs w:val="20"/>
        </w:rPr>
        <w:t xml:space="preserve">   </w:t>
      </w:r>
    </w:p>
    <w:p w14:paraId="5023BDC7" w14:textId="578FEFD7" w:rsidR="00DA7DBA" w:rsidRPr="002632D2" w:rsidRDefault="00DA7DB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mnestyTradeGothic"/>
          <w:sz w:val="20"/>
          <w:szCs w:val="20"/>
          <w:lang w:val="es-CR"/>
        </w:rPr>
      </w:pPr>
      <w:r w:rsidRPr="002632D2">
        <w:rPr>
          <w:rFonts w:ascii="Verdana" w:hAnsi="Verdana" w:cs="Arial"/>
          <w:sz w:val="20"/>
          <w:szCs w:val="20"/>
          <w:lang w:val="es-CR"/>
        </w:rPr>
        <w:t xml:space="preserve">En concreto, este Tribunal se ha referido en distintas ocasiones a la participación de </w:t>
      </w:r>
      <w:r w:rsidR="00867562" w:rsidRPr="00A6589D">
        <w:rPr>
          <w:rFonts w:ascii="Verdana" w:hAnsi="Verdana" w:cs="Arial"/>
          <w:sz w:val="20"/>
          <w:szCs w:val="20"/>
          <w:lang w:val="es-CR"/>
        </w:rPr>
        <w:t>f</w:t>
      </w:r>
      <w:r w:rsidRPr="002632D2">
        <w:rPr>
          <w:rFonts w:ascii="Verdana" w:hAnsi="Verdana" w:cs="Arial"/>
          <w:sz w:val="20"/>
          <w:szCs w:val="20"/>
          <w:lang w:val="es-CR"/>
        </w:rPr>
        <w:t xml:space="preserve">uerzas </w:t>
      </w:r>
      <w:r w:rsidR="00867562" w:rsidRPr="002632D2">
        <w:rPr>
          <w:rFonts w:ascii="Verdana" w:hAnsi="Verdana" w:cs="Arial"/>
          <w:sz w:val="20"/>
          <w:szCs w:val="20"/>
          <w:lang w:val="es-CR"/>
        </w:rPr>
        <w:t>a</w:t>
      </w:r>
      <w:r w:rsidRPr="002632D2">
        <w:rPr>
          <w:rFonts w:ascii="Verdana" w:hAnsi="Verdana" w:cs="Arial"/>
          <w:sz w:val="20"/>
          <w:szCs w:val="20"/>
          <w:lang w:val="es-CR"/>
        </w:rPr>
        <w:t xml:space="preserve">rmadas en </w:t>
      </w:r>
      <w:r w:rsidR="00836E1E" w:rsidRPr="002632D2">
        <w:rPr>
          <w:rFonts w:ascii="Verdana" w:hAnsi="Verdana" w:cs="Arial"/>
          <w:sz w:val="20"/>
          <w:szCs w:val="20"/>
          <w:lang w:val="es-CR"/>
        </w:rPr>
        <w:t>la</w:t>
      </w:r>
      <w:r w:rsidRPr="002632D2">
        <w:rPr>
          <w:rFonts w:ascii="Verdana" w:hAnsi="Verdana" w:cs="Arial"/>
          <w:sz w:val="20"/>
          <w:szCs w:val="20"/>
          <w:lang w:val="es-CR"/>
        </w:rPr>
        <w:t xml:space="preserve"> alteración del orden público. En este sentido, </w:t>
      </w:r>
      <w:r w:rsidRPr="002632D2">
        <w:rPr>
          <w:rFonts w:ascii="Verdana" w:hAnsi="Verdana" w:cs="Arial"/>
          <w:sz w:val="20"/>
          <w:szCs w:val="20"/>
        </w:rPr>
        <w:t xml:space="preserve">el Tribunal recuerda que en el </w:t>
      </w:r>
      <w:r w:rsidRPr="002632D2">
        <w:rPr>
          <w:rFonts w:ascii="Verdana" w:hAnsi="Verdana" w:cs="Arial"/>
          <w:i/>
          <w:sz w:val="20"/>
          <w:szCs w:val="20"/>
        </w:rPr>
        <w:t>Caso Montero Aranguren y otros Vs. Venezuela</w:t>
      </w:r>
      <w:r w:rsidRPr="002632D2">
        <w:rPr>
          <w:rFonts w:ascii="Verdana" w:hAnsi="Verdana" w:cs="Arial"/>
          <w:sz w:val="20"/>
          <w:szCs w:val="20"/>
        </w:rPr>
        <w:t xml:space="preserve"> estableció que</w:t>
      </w:r>
      <w:r w:rsidRPr="002632D2">
        <w:rPr>
          <w:rFonts w:ascii="Verdana" w:hAnsi="Verdana" w:cs="AmnestyTradeGothic"/>
          <w:sz w:val="20"/>
          <w:szCs w:val="20"/>
        </w:rPr>
        <w:t xml:space="preserve"> si bien los Estados partes de la Convención podrían desplegar a las </w:t>
      </w:r>
      <w:r w:rsidR="00E2037B">
        <w:rPr>
          <w:rFonts w:ascii="Verdana" w:hAnsi="Verdana" w:cs="AmnestyTradeGothic"/>
          <w:sz w:val="20"/>
          <w:szCs w:val="20"/>
        </w:rPr>
        <w:t>f</w:t>
      </w:r>
      <w:r w:rsidRPr="002632D2">
        <w:rPr>
          <w:rFonts w:ascii="Verdana" w:hAnsi="Verdana" w:cs="AmnestyTradeGothic"/>
          <w:sz w:val="20"/>
          <w:szCs w:val="20"/>
        </w:rPr>
        <w:t xml:space="preserve">uerzas </w:t>
      </w:r>
      <w:r w:rsidR="00E2037B">
        <w:rPr>
          <w:rFonts w:ascii="Verdana" w:hAnsi="Verdana" w:cs="AmnestyTradeGothic"/>
          <w:sz w:val="20"/>
          <w:szCs w:val="20"/>
        </w:rPr>
        <w:t>a</w:t>
      </w:r>
      <w:r w:rsidRPr="002632D2">
        <w:rPr>
          <w:rFonts w:ascii="Verdana" w:hAnsi="Verdana" w:cs="AmnestyTradeGothic"/>
          <w:sz w:val="20"/>
          <w:szCs w:val="20"/>
        </w:rPr>
        <w:t>rmadas para desempeñar tareas ajenas a las propiamente relacionadas con conflictos armados, dicho empleo debe limitarse al máximo y responder a criterios de estricta excepcionalidad para enfrentar situaciones de criminalidad o violencia interna</w:t>
      </w:r>
      <w:r w:rsidR="00E2037B">
        <w:rPr>
          <w:rFonts w:ascii="Verdana" w:hAnsi="Verdana" w:cs="AmnestyTradeGothic"/>
          <w:sz w:val="20"/>
          <w:szCs w:val="20"/>
        </w:rPr>
        <w:t>,</w:t>
      </w:r>
      <w:r w:rsidRPr="002632D2">
        <w:rPr>
          <w:rFonts w:ascii="Verdana" w:hAnsi="Verdana"/>
          <w:sz w:val="20"/>
          <w:szCs w:val="20"/>
        </w:rPr>
        <w:t xml:space="preserve"> dado que el entrenamiento que reciben las fuerzas militares está dirigido a derrotar al enemigo y no a la protección y control de civiles, entrenamiento que es propio de los entes policiales</w:t>
      </w:r>
      <w:r w:rsidR="00B84A50" w:rsidRPr="00C90B3F">
        <w:rPr>
          <w:rFonts w:ascii="Verdana" w:hAnsi="Verdana" w:cs="AmnestyTradeGothic"/>
          <w:sz w:val="20"/>
          <w:szCs w:val="20"/>
          <w:vertAlign w:val="superscript"/>
          <w:lang w:val="es-CR"/>
        </w:rPr>
        <w:footnoteReference w:id="399"/>
      </w:r>
      <w:r w:rsidRPr="00A6589D">
        <w:rPr>
          <w:rFonts w:ascii="Verdana" w:hAnsi="Verdana" w:cs="AmnestyTradeGothic"/>
          <w:sz w:val="20"/>
          <w:szCs w:val="20"/>
        </w:rPr>
        <w:t xml:space="preserve">. </w:t>
      </w:r>
    </w:p>
    <w:p w14:paraId="13E70818" w14:textId="254D6FF4" w:rsidR="00AC6FFB" w:rsidRPr="00B93CB5" w:rsidRDefault="00836E1E"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mnestyTradeGothic"/>
          <w:sz w:val="20"/>
          <w:szCs w:val="20"/>
          <w:lang w:val="es-CR"/>
        </w:rPr>
      </w:pPr>
      <w:r>
        <w:rPr>
          <w:rFonts w:ascii="Verdana" w:hAnsi="Verdana" w:cs="AmnestyTradeGothic"/>
          <w:sz w:val="20"/>
          <w:szCs w:val="20"/>
        </w:rPr>
        <w:t xml:space="preserve">En </w:t>
      </w:r>
      <w:r w:rsidR="00DA7DBA" w:rsidRPr="002E1C85">
        <w:rPr>
          <w:rFonts w:ascii="Verdana" w:hAnsi="Verdana" w:cs="AmnestyTradeGothic"/>
          <w:sz w:val="20"/>
          <w:szCs w:val="20"/>
        </w:rPr>
        <w:t xml:space="preserve">el caso </w:t>
      </w:r>
      <w:r w:rsidR="00DA7DBA" w:rsidRPr="002E1C85">
        <w:rPr>
          <w:rFonts w:ascii="Verdana" w:hAnsi="Verdana" w:cs="Arial"/>
          <w:i/>
          <w:sz w:val="20"/>
          <w:szCs w:val="20"/>
        </w:rPr>
        <w:t xml:space="preserve">Cabrera García y Montiel Flores Vs. </w:t>
      </w:r>
      <w:r w:rsidR="00DA7DBA" w:rsidRPr="002E1C85">
        <w:rPr>
          <w:rFonts w:ascii="Verdana" w:hAnsi="Verdana" w:cs="Arial"/>
          <w:i/>
          <w:sz w:val="20"/>
          <w:szCs w:val="20"/>
          <w:lang w:val="es-CR"/>
        </w:rPr>
        <w:t>México,</w:t>
      </w:r>
      <w:r w:rsidR="00DA7DBA" w:rsidRPr="002E1C85">
        <w:rPr>
          <w:rFonts w:ascii="Verdana" w:hAnsi="Verdana" w:cs="Arial"/>
          <w:sz w:val="20"/>
          <w:szCs w:val="20"/>
          <w:lang w:val="es-CR"/>
        </w:rPr>
        <w:t xml:space="preserve"> la Corte estableció que </w:t>
      </w:r>
      <w:r w:rsidR="00DA7DBA" w:rsidRPr="002E1C85">
        <w:rPr>
          <w:rFonts w:ascii="Verdana" w:hAnsi="Verdana" w:cs="AmnestyTradeGothic"/>
          <w:sz w:val="20"/>
          <w:szCs w:val="20"/>
          <w:lang w:val="es-CR"/>
        </w:rPr>
        <w:t xml:space="preserve">la intervención de </w:t>
      </w:r>
      <w:r w:rsidR="00E2037B">
        <w:rPr>
          <w:rFonts w:ascii="Verdana" w:hAnsi="Verdana" w:cs="AmnestyTradeGothic"/>
          <w:sz w:val="20"/>
          <w:szCs w:val="20"/>
          <w:lang w:val="es-CR"/>
        </w:rPr>
        <w:t>f</w:t>
      </w:r>
      <w:r w:rsidR="00DA7DBA" w:rsidRPr="002E1C85">
        <w:rPr>
          <w:rFonts w:ascii="Verdana" w:hAnsi="Verdana" w:cs="AmnestyTradeGothic"/>
          <w:sz w:val="20"/>
          <w:szCs w:val="20"/>
          <w:lang w:val="es-CR"/>
        </w:rPr>
        <w:t xml:space="preserve">uerzas </w:t>
      </w:r>
      <w:r w:rsidR="00E2037B">
        <w:rPr>
          <w:rFonts w:ascii="Verdana" w:hAnsi="Verdana" w:cs="AmnestyTradeGothic"/>
          <w:sz w:val="20"/>
          <w:szCs w:val="20"/>
          <w:lang w:val="es-CR"/>
        </w:rPr>
        <w:t>a</w:t>
      </w:r>
      <w:r w:rsidR="00DA7DBA" w:rsidRPr="002E1C85">
        <w:rPr>
          <w:rFonts w:ascii="Verdana" w:hAnsi="Verdana" w:cs="AmnestyTradeGothic"/>
          <w:sz w:val="20"/>
          <w:szCs w:val="20"/>
          <w:lang w:val="es-CR"/>
        </w:rPr>
        <w:t>rmadas en actividades de seguridad pública debe atender a criterios de estricta proporcionalidad, excepcionalidad y debida diligencia en la salvaguarda de las garantías convencionales</w:t>
      </w:r>
      <w:r w:rsidR="00E2037B">
        <w:rPr>
          <w:rFonts w:ascii="Verdana" w:hAnsi="Verdana" w:cs="AmnestyTradeGothic"/>
          <w:sz w:val="20"/>
          <w:szCs w:val="20"/>
          <w:lang w:val="es-CR"/>
        </w:rPr>
        <w:t>,</w:t>
      </w:r>
      <w:r w:rsidR="00DA7DBA" w:rsidRPr="002E1C85">
        <w:rPr>
          <w:rFonts w:ascii="Verdana" w:hAnsi="Verdana" w:cs="AmnestyTradeGothic"/>
          <w:sz w:val="20"/>
          <w:szCs w:val="20"/>
          <w:lang w:val="es-CR"/>
        </w:rPr>
        <w:t xml:space="preserve"> dado que el régimen propio de las fuerzas militares no se concilia con las funciones propias de las autoridades civiles; asimismo, indicó que puede implicar la introducción de un riesgo para los derechos humanos y recordó lo señalado por los Relatores Especiales de la ONU sobre Tortura</w:t>
      </w:r>
      <w:r w:rsidR="00E2037B">
        <w:rPr>
          <w:rFonts w:ascii="Verdana" w:hAnsi="Verdana" w:cs="AmnestyTradeGothic"/>
          <w:sz w:val="20"/>
          <w:szCs w:val="20"/>
          <w:lang w:val="es-CR"/>
        </w:rPr>
        <w:t>,</w:t>
      </w:r>
      <w:r w:rsidR="00DA7DBA" w:rsidRPr="002E1C85">
        <w:rPr>
          <w:rFonts w:ascii="Verdana" w:hAnsi="Verdana" w:cs="AmnestyTradeGothic"/>
          <w:sz w:val="20"/>
          <w:szCs w:val="20"/>
          <w:lang w:val="es-CR"/>
        </w:rPr>
        <w:t xml:space="preserve"> sobre Ejecuciones Extrajudiciales y sobre Independencia de Jueces y Abogados, en el sentido de que “las funciones de investigación de la policía judicial </w:t>
      </w:r>
      <w:r w:rsidR="00DA7DBA">
        <w:rPr>
          <w:rFonts w:ascii="Verdana" w:hAnsi="Verdana" w:cs="AmnestyTradeGothic"/>
          <w:sz w:val="20"/>
          <w:szCs w:val="20"/>
          <w:lang w:val="es-CR"/>
        </w:rPr>
        <w:t xml:space="preserve">[o ministerial] </w:t>
      </w:r>
      <w:r w:rsidR="00DA7DBA" w:rsidRPr="002E1C85">
        <w:rPr>
          <w:rFonts w:ascii="Verdana" w:hAnsi="Verdana" w:cs="AmnestyTradeGothic"/>
          <w:sz w:val="20"/>
          <w:szCs w:val="20"/>
          <w:lang w:val="es-CR"/>
        </w:rPr>
        <w:t>deberían estar a cargo de un entidad civil”</w:t>
      </w:r>
      <w:r w:rsidR="00BC4199" w:rsidRPr="00BC4199">
        <w:rPr>
          <w:rFonts w:ascii="Verdana" w:hAnsi="Verdana" w:cs="AmnestyTradeGothic"/>
          <w:sz w:val="20"/>
          <w:szCs w:val="20"/>
          <w:vertAlign w:val="superscript"/>
          <w:lang w:val="es-CR"/>
        </w:rPr>
        <w:footnoteReference w:id="400"/>
      </w:r>
      <w:r w:rsidR="00DA7DBA" w:rsidRPr="002E1C85">
        <w:rPr>
          <w:rFonts w:ascii="Verdana" w:hAnsi="Verdana" w:cs="AmnestyTradeGothic"/>
          <w:sz w:val="20"/>
          <w:szCs w:val="20"/>
          <w:lang w:val="es-CR"/>
        </w:rPr>
        <w:t>.</w:t>
      </w:r>
      <w:r w:rsidR="00AC6FFB">
        <w:rPr>
          <w:rFonts w:ascii="Verdana" w:hAnsi="Verdana" w:cs="AmnestyTradeGothic"/>
          <w:sz w:val="20"/>
          <w:szCs w:val="20"/>
          <w:lang w:val="es-CR"/>
        </w:rPr>
        <w:t xml:space="preserve"> </w:t>
      </w:r>
      <w:r w:rsidR="00AC6FFB" w:rsidRPr="00C90B3F">
        <w:rPr>
          <w:rFonts w:ascii="Verdana" w:hAnsi="Verdana"/>
          <w:sz w:val="20"/>
          <w:szCs w:val="20"/>
        </w:rPr>
        <w:t xml:space="preserve">Lo anterior fue reiterado </w:t>
      </w:r>
      <w:r w:rsidR="00AC6FFB" w:rsidRPr="00476440">
        <w:rPr>
          <w:rFonts w:ascii="Verdana" w:hAnsi="Verdana"/>
          <w:sz w:val="20"/>
          <w:szCs w:val="20"/>
        </w:rPr>
        <w:t xml:space="preserve">también </w:t>
      </w:r>
      <w:r w:rsidR="00AC6FFB" w:rsidRPr="00C90B3F">
        <w:rPr>
          <w:rFonts w:ascii="Verdana" w:hAnsi="Verdana"/>
          <w:sz w:val="20"/>
          <w:szCs w:val="20"/>
        </w:rPr>
        <w:t xml:space="preserve">en el caso </w:t>
      </w:r>
      <w:r w:rsidR="00AC6FFB" w:rsidRPr="00C90B3F">
        <w:rPr>
          <w:rFonts w:ascii="Verdana" w:hAnsi="Verdana"/>
          <w:i/>
          <w:sz w:val="20"/>
          <w:szCs w:val="20"/>
        </w:rPr>
        <w:t>Osorio Rivera</w:t>
      </w:r>
      <w:r w:rsidR="00AC6FFB">
        <w:rPr>
          <w:rFonts w:ascii="Verdana" w:hAnsi="Verdana"/>
          <w:i/>
          <w:sz w:val="20"/>
          <w:szCs w:val="20"/>
        </w:rPr>
        <w:t xml:space="preserve"> Vs. Perú</w:t>
      </w:r>
      <w:r w:rsidR="00AC6FFB" w:rsidRPr="00C90B3F">
        <w:rPr>
          <w:rFonts w:ascii="Verdana" w:hAnsi="Verdana"/>
          <w:sz w:val="20"/>
          <w:szCs w:val="20"/>
        </w:rPr>
        <w:t>, en el supuesto de otorgar a las Fuerzas Armadas funciones dirigidas a la restricción de la libertad personal de civiles</w:t>
      </w:r>
      <w:r w:rsidR="00AC6FFB" w:rsidRPr="0026594C">
        <w:rPr>
          <w:iCs/>
          <w:vertAlign w:val="superscript"/>
          <w:lang w:val="es-EC"/>
        </w:rPr>
        <w:footnoteReference w:id="401"/>
      </w:r>
      <w:r w:rsidR="00AC6FFB" w:rsidRPr="00C90B3F">
        <w:rPr>
          <w:rFonts w:ascii="Verdana" w:hAnsi="Verdana"/>
          <w:iCs/>
          <w:sz w:val="20"/>
          <w:szCs w:val="20"/>
          <w:lang w:val="es-EC"/>
        </w:rPr>
        <w:t>.</w:t>
      </w:r>
    </w:p>
    <w:p w14:paraId="20960C52" w14:textId="142CB049" w:rsidR="00DA7DBA" w:rsidRPr="00813B72" w:rsidRDefault="0021349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i/>
          <w:sz w:val="20"/>
          <w:szCs w:val="20"/>
          <w:lang w:val="es-CO"/>
        </w:rPr>
      </w:pPr>
      <w:r w:rsidRPr="00BB267D">
        <w:rPr>
          <w:rFonts w:ascii="Verdana" w:hAnsi="Verdana"/>
          <w:sz w:val="20"/>
          <w:szCs w:val="20"/>
          <w:lang w:val="es-CR"/>
        </w:rPr>
        <w:t xml:space="preserve">Adicionalmente, </w:t>
      </w:r>
      <w:r>
        <w:rPr>
          <w:rFonts w:ascii="Verdana" w:hAnsi="Verdana"/>
          <w:sz w:val="20"/>
          <w:szCs w:val="20"/>
          <w:lang w:val="es-CR"/>
        </w:rPr>
        <w:t xml:space="preserve">sobre este tema </w:t>
      </w:r>
      <w:r w:rsidRPr="00BB267D">
        <w:rPr>
          <w:rFonts w:ascii="Verdana" w:hAnsi="Verdana"/>
          <w:sz w:val="20"/>
          <w:szCs w:val="20"/>
          <w:lang w:val="es-ES_tradnl"/>
        </w:rPr>
        <w:t xml:space="preserve">se han pronunciado </w:t>
      </w:r>
      <w:r w:rsidRPr="00BB267D">
        <w:rPr>
          <w:rFonts w:ascii="Verdana" w:hAnsi="Verdana"/>
          <w:color w:val="000000"/>
          <w:sz w:val="20"/>
          <w:szCs w:val="20"/>
          <w:shd w:val="clear" w:color="auto" w:fill="FFFFFF"/>
          <w:lang w:val="es-CR"/>
        </w:rPr>
        <w:t xml:space="preserve">el </w:t>
      </w:r>
      <w:r w:rsidRPr="00BB267D">
        <w:rPr>
          <w:rFonts w:ascii="Verdana" w:hAnsi="Verdana"/>
          <w:color w:val="000000"/>
          <w:sz w:val="20"/>
          <w:szCs w:val="20"/>
          <w:shd w:val="clear" w:color="auto" w:fill="FFFFFF"/>
          <w:lang w:val="es-ES_tradnl"/>
        </w:rPr>
        <w:t>Comité de Derechos Humanos</w:t>
      </w:r>
      <w:r w:rsidRPr="00BB267D">
        <w:rPr>
          <w:rFonts w:ascii="Verdana" w:hAnsi="Verdana"/>
          <w:color w:val="000000"/>
          <w:sz w:val="20"/>
          <w:szCs w:val="20"/>
          <w:shd w:val="clear" w:color="auto" w:fill="FFFFFF"/>
          <w:vertAlign w:val="superscript"/>
          <w:lang w:val="es-ES_tradnl"/>
        </w:rPr>
        <w:footnoteReference w:id="402"/>
      </w:r>
      <w:r w:rsidRPr="00BB267D">
        <w:rPr>
          <w:rFonts w:ascii="Verdana" w:hAnsi="Verdana"/>
          <w:color w:val="000000"/>
          <w:sz w:val="20"/>
          <w:szCs w:val="20"/>
          <w:shd w:val="clear" w:color="auto" w:fill="FFFFFF"/>
          <w:lang w:val="es-ES_tradnl"/>
        </w:rPr>
        <w:t>,</w:t>
      </w:r>
      <w:r w:rsidRPr="00BB267D">
        <w:rPr>
          <w:rFonts w:ascii="Verdana" w:hAnsi="Verdana"/>
          <w:color w:val="000000"/>
          <w:sz w:val="20"/>
          <w:szCs w:val="20"/>
          <w:shd w:val="clear" w:color="auto" w:fill="FFFFFF"/>
          <w:lang w:val="es-CO"/>
        </w:rPr>
        <w:t xml:space="preserve"> el </w:t>
      </w:r>
      <w:r w:rsidRPr="00BB267D">
        <w:rPr>
          <w:rFonts w:ascii="Verdana" w:hAnsi="Verdana"/>
          <w:color w:val="000000"/>
          <w:sz w:val="20"/>
          <w:szCs w:val="20"/>
          <w:shd w:val="clear" w:color="auto" w:fill="FFFFFF"/>
          <w:lang w:val="es-CO"/>
        </w:rPr>
        <w:lastRenderedPageBreak/>
        <w:t>Comité contra la Tortura y otros Tratos o Penas Crueles, Inhumanos o Degradantes</w:t>
      </w:r>
      <w:r w:rsidRPr="00BB267D">
        <w:rPr>
          <w:rFonts w:ascii="Verdana" w:hAnsi="Verdana"/>
          <w:color w:val="000000"/>
          <w:sz w:val="20"/>
          <w:szCs w:val="20"/>
          <w:shd w:val="clear" w:color="auto" w:fill="FFFFFF"/>
          <w:vertAlign w:val="superscript"/>
          <w:lang w:val="es-ES_tradnl"/>
        </w:rPr>
        <w:footnoteReference w:id="403"/>
      </w:r>
      <w:r w:rsidRPr="00BB267D">
        <w:rPr>
          <w:rFonts w:ascii="Verdana" w:hAnsi="Verdana"/>
          <w:color w:val="000000"/>
          <w:sz w:val="20"/>
          <w:szCs w:val="20"/>
          <w:shd w:val="clear" w:color="auto" w:fill="FFFFFF"/>
          <w:lang w:val="es-CO"/>
        </w:rPr>
        <w:t>, el Grupo de Trabajo sobre Desapariciones Forzadas o Involuntarias</w:t>
      </w:r>
      <w:r w:rsidRPr="00BB267D">
        <w:rPr>
          <w:rFonts w:ascii="Verdana" w:hAnsi="Verdana"/>
          <w:color w:val="000000"/>
          <w:sz w:val="20"/>
          <w:szCs w:val="20"/>
          <w:shd w:val="clear" w:color="auto" w:fill="FFFFFF"/>
          <w:vertAlign w:val="superscript"/>
          <w:lang w:val="es-CR"/>
        </w:rPr>
        <w:footnoteReference w:id="404"/>
      </w:r>
      <w:r w:rsidRPr="00BB267D">
        <w:rPr>
          <w:rFonts w:ascii="Verdana" w:hAnsi="Verdana"/>
          <w:color w:val="000000"/>
          <w:sz w:val="20"/>
          <w:szCs w:val="20"/>
          <w:shd w:val="clear" w:color="auto" w:fill="FFFFFF"/>
          <w:lang w:val="es-CO"/>
        </w:rPr>
        <w:t>,</w:t>
      </w:r>
      <w:r w:rsidRPr="00BB267D">
        <w:rPr>
          <w:rFonts w:ascii="Verdana" w:hAnsi="Verdana"/>
          <w:color w:val="000000"/>
          <w:sz w:val="20"/>
          <w:szCs w:val="20"/>
          <w:shd w:val="clear" w:color="auto" w:fill="FFFFFF"/>
          <w:lang w:val="es-ES_tradnl"/>
        </w:rPr>
        <w:t xml:space="preserve"> </w:t>
      </w:r>
      <w:r w:rsidRPr="006E709F">
        <w:rPr>
          <w:rFonts w:ascii="Verdana" w:hAnsi="Verdana"/>
          <w:color w:val="000000"/>
          <w:sz w:val="20"/>
          <w:szCs w:val="20"/>
          <w:shd w:val="clear" w:color="auto" w:fill="FFFFFF"/>
          <w:lang w:val="es-ES_tradnl"/>
        </w:rPr>
        <w:t xml:space="preserve">conjuntamente </w:t>
      </w:r>
      <w:r w:rsidRPr="00BB267D">
        <w:rPr>
          <w:rFonts w:ascii="Verdana" w:hAnsi="Verdana"/>
          <w:color w:val="000000"/>
          <w:sz w:val="20"/>
          <w:szCs w:val="20"/>
          <w:shd w:val="clear" w:color="auto" w:fill="FFFFFF"/>
          <w:lang w:val="es-ES_tradnl"/>
        </w:rPr>
        <w:t xml:space="preserve">los Relatores Especiales sobre </w:t>
      </w:r>
      <w:r w:rsidRPr="006E709F">
        <w:rPr>
          <w:rFonts w:ascii="Verdana" w:hAnsi="Verdana"/>
          <w:color w:val="000000"/>
          <w:sz w:val="20"/>
          <w:szCs w:val="20"/>
          <w:shd w:val="clear" w:color="auto" w:fill="FFFFFF"/>
          <w:lang w:val="es-ES_tradnl"/>
        </w:rPr>
        <w:t>la T</w:t>
      </w:r>
      <w:r w:rsidRPr="00BB267D">
        <w:rPr>
          <w:rFonts w:ascii="Verdana" w:hAnsi="Verdana"/>
          <w:color w:val="000000"/>
          <w:sz w:val="20"/>
          <w:szCs w:val="20"/>
          <w:shd w:val="clear" w:color="auto" w:fill="FFFFFF"/>
          <w:lang w:val="es-ES_tradnl"/>
        </w:rPr>
        <w:t xml:space="preserve">ortura y </w:t>
      </w:r>
      <w:r w:rsidRPr="006E709F">
        <w:rPr>
          <w:rFonts w:ascii="Verdana" w:hAnsi="Verdana"/>
          <w:color w:val="000000"/>
          <w:sz w:val="20"/>
          <w:szCs w:val="20"/>
          <w:shd w:val="clear" w:color="auto" w:fill="FFFFFF"/>
          <w:lang w:val="es-ES_tradnl"/>
        </w:rPr>
        <w:t xml:space="preserve">sobre </w:t>
      </w:r>
      <w:r w:rsidRPr="00BB267D">
        <w:rPr>
          <w:rFonts w:ascii="Verdana" w:hAnsi="Verdana"/>
          <w:color w:val="000000"/>
          <w:sz w:val="20"/>
          <w:szCs w:val="20"/>
          <w:shd w:val="clear" w:color="auto" w:fill="FFFFFF"/>
          <w:lang w:val="es-ES_tradnl"/>
        </w:rPr>
        <w:t xml:space="preserve">las </w:t>
      </w:r>
      <w:r w:rsidRPr="006E709F">
        <w:rPr>
          <w:rFonts w:ascii="Verdana" w:hAnsi="Verdana"/>
          <w:color w:val="000000"/>
          <w:sz w:val="20"/>
          <w:szCs w:val="20"/>
          <w:shd w:val="clear" w:color="auto" w:fill="FFFFFF"/>
          <w:lang w:val="es-ES_tradnl"/>
        </w:rPr>
        <w:t>E</w:t>
      </w:r>
      <w:r w:rsidRPr="00BB267D">
        <w:rPr>
          <w:rFonts w:ascii="Verdana" w:hAnsi="Verdana"/>
          <w:color w:val="000000"/>
          <w:sz w:val="20"/>
          <w:szCs w:val="20"/>
          <w:shd w:val="clear" w:color="auto" w:fill="FFFFFF"/>
          <w:lang w:val="es-ES_tradnl"/>
        </w:rPr>
        <w:t xml:space="preserve">jecuciones </w:t>
      </w:r>
      <w:r w:rsidRPr="006E709F">
        <w:rPr>
          <w:rFonts w:ascii="Verdana" w:hAnsi="Verdana"/>
          <w:color w:val="000000"/>
          <w:sz w:val="20"/>
          <w:szCs w:val="20"/>
          <w:shd w:val="clear" w:color="auto" w:fill="FFFFFF"/>
          <w:lang w:val="es-ES_tradnl"/>
        </w:rPr>
        <w:t>E</w:t>
      </w:r>
      <w:r w:rsidRPr="00BB267D">
        <w:rPr>
          <w:rFonts w:ascii="Verdana" w:hAnsi="Verdana"/>
          <w:color w:val="000000"/>
          <w:sz w:val="20"/>
          <w:szCs w:val="20"/>
          <w:shd w:val="clear" w:color="auto" w:fill="FFFFFF"/>
          <w:lang w:val="es-ES_tradnl"/>
        </w:rPr>
        <w:t xml:space="preserve">xtrajudiciales, </w:t>
      </w:r>
      <w:r w:rsidRPr="006E709F">
        <w:rPr>
          <w:rFonts w:ascii="Verdana" w:hAnsi="Verdana"/>
          <w:color w:val="000000"/>
          <w:sz w:val="20"/>
          <w:szCs w:val="20"/>
          <w:shd w:val="clear" w:color="auto" w:fill="FFFFFF"/>
          <w:lang w:val="es-ES_tradnl"/>
        </w:rPr>
        <w:t>S</w:t>
      </w:r>
      <w:r w:rsidRPr="00BB267D">
        <w:rPr>
          <w:rFonts w:ascii="Verdana" w:hAnsi="Verdana"/>
          <w:color w:val="000000"/>
          <w:sz w:val="20"/>
          <w:szCs w:val="20"/>
          <w:shd w:val="clear" w:color="auto" w:fill="FFFFFF"/>
          <w:lang w:val="es-ES_tradnl"/>
        </w:rPr>
        <w:t xml:space="preserve">umarias o </w:t>
      </w:r>
      <w:r w:rsidRPr="006E709F">
        <w:rPr>
          <w:rFonts w:ascii="Verdana" w:hAnsi="Verdana"/>
          <w:color w:val="000000"/>
          <w:sz w:val="20"/>
          <w:szCs w:val="20"/>
          <w:shd w:val="clear" w:color="auto" w:fill="FFFFFF"/>
          <w:lang w:val="es-ES_tradnl"/>
        </w:rPr>
        <w:t>A</w:t>
      </w:r>
      <w:r w:rsidRPr="00BB267D">
        <w:rPr>
          <w:rFonts w:ascii="Verdana" w:hAnsi="Verdana"/>
          <w:color w:val="000000"/>
          <w:sz w:val="20"/>
          <w:szCs w:val="20"/>
          <w:shd w:val="clear" w:color="auto" w:fill="FFFFFF"/>
          <w:lang w:val="es-ES_tradnl"/>
        </w:rPr>
        <w:t>rbitrarias</w:t>
      </w:r>
      <w:r w:rsidRPr="00BB267D">
        <w:rPr>
          <w:rFonts w:ascii="Verdana" w:hAnsi="Verdana"/>
          <w:color w:val="000000"/>
          <w:sz w:val="20"/>
          <w:szCs w:val="20"/>
          <w:shd w:val="clear" w:color="auto" w:fill="FFFFFF"/>
          <w:vertAlign w:val="superscript"/>
          <w:lang w:val="es-ES_tradnl"/>
        </w:rPr>
        <w:footnoteReference w:id="405"/>
      </w:r>
      <w:r w:rsidRPr="00BB267D">
        <w:rPr>
          <w:rFonts w:ascii="Verdana" w:hAnsi="Verdana"/>
          <w:color w:val="000000"/>
          <w:sz w:val="20"/>
          <w:szCs w:val="20"/>
          <w:shd w:val="clear" w:color="auto" w:fill="FFFFFF"/>
          <w:lang w:val="es-ES_tradnl"/>
        </w:rPr>
        <w:t>,</w:t>
      </w:r>
      <w:r w:rsidRPr="00BB267D">
        <w:rPr>
          <w:rFonts w:ascii="Verdana" w:hAnsi="Verdana"/>
          <w:color w:val="000000"/>
          <w:sz w:val="20"/>
          <w:szCs w:val="20"/>
          <w:shd w:val="clear" w:color="auto" w:fill="FFFFFF"/>
          <w:lang w:val="es-CO"/>
        </w:rPr>
        <w:t xml:space="preserve"> la Oficina en Colombia del Alto Comisionado </w:t>
      </w:r>
      <w:r w:rsidRPr="006E709F">
        <w:rPr>
          <w:rFonts w:ascii="Verdana" w:hAnsi="Verdana"/>
          <w:color w:val="000000"/>
          <w:sz w:val="20"/>
          <w:szCs w:val="20"/>
          <w:shd w:val="clear" w:color="auto" w:fill="FFFFFF"/>
          <w:lang w:val="es-CO"/>
        </w:rPr>
        <w:t xml:space="preserve">de las Naciones Unidas </w:t>
      </w:r>
      <w:r w:rsidRPr="00BB267D">
        <w:rPr>
          <w:rFonts w:ascii="Verdana" w:hAnsi="Verdana"/>
          <w:color w:val="000000"/>
          <w:sz w:val="20"/>
          <w:szCs w:val="20"/>
          <w:shd w:val="clear" w:color="auto" w:fill="FFFFFF"/>
          <w:lang w:val="es-CO"/>
        </w:rPr>
        <w:t>para los Derechos Humanos</w:t>
      </w:r>
      <w:r w:rsidRPr="00BB267D">
        <w:rPr>
          <w:rFonts w:ascii="Verdana" w:hAnsi="Verdana"/>
          <w:color w:val="000000"/>
          <w:sz w:val="20"/>
          <w:szCs w:val="20"/>
          <w:shd w:val="clear" w:color="auto" w:fill="FFFFFF"/>
          <w:vertAlign w:val="superscript"/>
          <w:lang w:val="es-CR"/>
        </w:rPr>
        <w:footnoteReference w:id="406"/>
      </w:r>
      <w:r w:rsidRPr="006E709F">
        <w:rPr>
          <w:rFonts w:ascii="Verdana" w:hAnsi="Verdana"/>
          <w:color w:val="000000"/>
          <w:sz w:val="20"/>
          <w:szCs w:val="20"/>
          <w:shd w:val="clear" w:color="auto" w:fill="FFFFFF"/>
          <w:lang w:val="es-CO"/>
        </w:rPr>
        <w:t xml:space="preserve">, así como </w:t>
      </w:r>
      <w:r w:rsidRPr="00BB267D">
        <w:rPr>
          <w:rFonts w:ascii="Verdana" w:hAnsi="Verdana"/>
          <w:color w:val="000000"/>
          <w:sz w:val="20"/>
          <w:szCs w:val="20"/>
          <w:shd w:val="clear" w:color="auto" w:fill="FFFFFF"/>
          <w:lang w:val="es-CO"/>
        </w:rPr>
        <w:t>la Comisión Interamericana de Derechos Humanos</w:t>
      </w:r>
      <w:r w:rsidRPr="00BB267D">
        <w:rPr>
          <w:rFonts w:ascii="Verdana" w:hAnsi="Verdana"/>
          <w:color w:val="000000"/>
          <w:sz w:val="20"/>
          <w:szCs w:val="20"/>
          <w:shd w:val="clear" w:color="auto" w:fill="FFFFFF"/>
          <w:vertAlign w:val="superscript"/>
          <w:lang w:val="es-CR"/>
        </w:rPr>
        <w:footnoteReference w:id="407"/>
      </w:r>
      <w:r w:rsidRPr="00BB267D">
        <w:rPr>
          <w:rFonts w:ascii="Verdana" w:hAnsi="Verdana"/>
          <w:color w:val="000000"/>
          <w:sz w:val="20"/>
          <w:szCs w:val="20"/>
          <w:shd w:val="clear" w:color="auto" w:fill="FFFFFF"/>
          <w:lang w:val="es-CO"/>
        </w:rPr>
        <w:t xml:space="preserve">, entre otros. </w:t>
      </w:r>
      <w:r w:rsidRPr="00BB267D">
        <w:rPr>
          <w:rFonts w:ascii="Verdana" w:hAnsi="Verdana"/>
          <w:sz w:val="20"/>
          <w:szCs w:val="20"/>
          <w:lang w:val="es-CO"/>
        </w:rPr>
        <w:t xml:space="preserve">Dichos organismos y procedimientos especiales </w:t>
      </w:r>
      <w:r w:rsidRPr="006E709F">
        <w:rPr>
          <w:rFonts w:ascii="Verdana" w:hAnsi="Verdana"/>
          <w:sz w:val="20"/>
          <w:szCs w:val="20"/>
          <w:lang w:val="es-CO"/>
        </w:rPr>
        <w:t xml:space="preserve">internacionales </w:t>
      </w:r>
      <w:r w:rsidRPr="00BB267D">
        <w:rPr>
          <w:rFonts w:ascii="Verdana" w:hAnsi="Verdana"/>
          <w:sz w:val="20"/>
          <w:szCs w:val="20"/>
          <w:lang w:val="es-CO"/>
        </w:rPr>
        <w:t>coinciden en señalar</w:t>
      </w:r>
      <w:r>
        <w:rPr>
          <w:rFonts w:ascii="Verdana" w:hAnsi="Verdana"/>
          <w:sz w:val="20"/>
          <w:szCs w:val="20"/>
          <w:lang w:val="es-CO"/>
        </w:rPr>
        <w:t xml:space="preserve"> en que </w:t>
      </w:r>
      <w:r w:rsidRPr="006E709F">
        <w:rPr>
          <w:rFonts w:ascii="Verdana" w:hAnsi="Verdana"/>
          <w:sz w:val="20"/>
          <w:szCs w:val="20"/>
          <w:lang w:val="es-CR"/>
        </w:rPr>
        <w:t xml:space="preserve">la participación de las </w:t>
      </w:r>
      <w:r w:rsidR="0077587B">
        <w:rPr>
          <w:rFonts w:ascii="Verdana" w:hAnsi="Verdana"/>
          <w:sz w:val="20"/>
          <w:szCs w:val="20"/>
          <w:lang w:val="es-CR"/>
        </w:rPr>
        <w:t>f</w:t>
      </w:r>
      <w:r w:rsidRPr="006E709F">
        <w:rPr>
          <w:rFonts w:ascii="Verdana" w:hAnsi="Verdana"/>
          <w:sz w:val="20"/>
          <w:szCs w:val="20"/>
          <w:lang w:val="es-CR"/>
        </w:rPr>
        <w:t xml:space="preserve">uerzas </w:t>
      </w:r>
      <w:r w:rsidR="0077587B">
        <w:rPr>
          <w:rFonts w:ascii="Verdana" w:hAnsi="Verdana"/>
          <w:sz w:val="20"/>
          <w:szCs w:val="20"/>
          <w:lang w:val="es-CR"/>
        </w:rPr>
        <w:t>a</w:t>
      </w:r>
      <w:r w:rsidRPr="006E709F">
        <w:rPr>
          <w:rFonts w:ascii="Verdana" w:hAnsi="Verdana"/>
          <w:sz w:val="20"/>
          <w:szCs w:val="20"/>
          <w:lang w:val="es-CR"/>
        </w:rPr>
        <w:t xml:space="preserve">rmadas en labores de policía judicial </w:t>
      </w:r>
      <w:r>
        <w:rPr>
          <w:rFonts w:ascii="Verdana" w:hAnsi="Verdana"/>
          <w:sz w:val="20"/>
          <w:szCs w:val="20"/>
          <w:lang w:val="es-CR"/>
        </w:rPr>
        <w:t xml:space="preserve">o ministerial </w:t>
      </w:r>
      <w:r w:rsidRPr="006E709F">
        <w:rPr>
          <w:rFonts w:ascii="Verdana" w:hAnsi="Verdana"/>
          <w:sz w:val="20"/>
          <w:szCs w:val="20"/>
          <w:lang w:val="es-CR"/>
        </w:rPr>
        <w:t>puede resultar contrario a determinados principios del Estado de Derecho</w:t>
      </w:r>
      <w:r w:rsidRPr="006E709F">
        <w:rPr>
          <w:rFonts w:ascii="Verdana" w:hAnsi="Verdana"/>
          <w:sz w:val="20"/>
          <w:szCs w:val="20"/>
          <w:lang w:val="es-CO"/>
        </w:rPr>
        <w:t xml:space="preserve"> tales como la separación de poderes, independencia y autonomía de los tribunales judiciales y la subordinación a las autoridades civiles</w:t>
      </w:r>
      <w:r>
        <w:rPr>
          <w:rFonts w:ascii="Verdana" w:hAnsi="Verdana"/>
          <w:sz w:val="20"/>
          <w:szCs w:val="20"/>
          <w:lang w:val="es-CO"/>
        </w:rPr>
        <w:t>.</w:t>
      </w:r>
      <w:r w:rsidRPr="006A0593">
        <w:rPr>
          <w:rFonts w:ascii="Verdana" w:hAnsi="Verdana"/>
          <w:sz w:val="20"/>
          <w:szCs w:val="20"/>
          <w:lang w:val="es-CR"/>
        </w:rPr>
        <w:t xml:space="preserve"> </w:t>
      </w:r>
      <w:r>
        <w:rPr>
          <w:rFonts w:ascii="Verdana" w:hAnsi="Verdana"/>
          <w:sz w:val="20"/>
          <w:szCs w:val="20"/>
          <w:lang w:val="es-CR"/>
        </w:rPr>
        <w:t xml:space="preserve">Por tanto, concuerdan en </w:t>
      </w:r>
      <w:r w:rsidRPr="00BE0411">
        <w:rPr>
          <w:rFonts w:ascii="Verdana" w:hAnsi="Verdana"/>
          <w:sz w:val="20"/>
          <w:szCs w:val="20"/>
          <w:lang w:val="es-CR"/>
        </w:rPr>
        <w:t xml:space="preserve">la necesidad de implementar mecanismos de rendición de cuentas a través de cuerpos independientes de todas las fuerzas de seguridad relacionadas con operativos y tareas </w:t>
      </w:r>
      <w:r>
        <w:rPr>
          <w:rFonts w:ascii="Verdana" w:hAnsi="Verdana"/>
          <w:sz w:val="20"/>
          <w:szCs w:val="20"/>
          <w:lang w:val="es-CR"/>
        </w:rPr>
        <w:t>de orden público</w:t>
      </w:r>
      <w:r>
        <w:rPr>
          <w:rStyle w:val="Refdenotaalpie"/>
          <w:rFonts w:ascii="Verdana" w:hAnsi="Verdana"/>
          <w:lang w:val="es-CR"/>
        </w:rPr>
        <w:footnoteReference w:id="408"/>
      </w:r>
      <w:r w:rsidR="00DA7DBA" w:rsidRPr="002E1C85">
        <w:rPr>
          <w:rFonts w:ascii="Verdana" w:hAnsi="Verdana"/>
          <w:sz w:val="20"/>
          <w:szCs w:val="20"/>
          <w:lang w:val="es-CR"/>
        </w:rPr>
        <w:t>.</w:t>
      </w:r>
    </w:p>
    <w:p w14:paraId="09C497C2" w14:textId="7D50EF1E" w:rsidR="0077587B" w:rsidRDefault="00DA7DB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lang w:val="es-CR"/>
        </w:rPr>
      </w:pPr>
      <w:r w:rsidRPr="00474897">
        <w:rPr>
          <w:rFonts w:ascii="Verdana" w:hAnsi="Verdana"/>
          <w:sz w:val="20"/>
          <w:szCs w:val="20"/>
        </w:rPr>
        <w:t>En vista de lo anterior</w:t>
      </w:r>
      <w:r w:rsidRPr="00474897">
        <w:rPr>
          <w:rFonts w:ascii="Verdana" w:hAnsi="Verdana"/>
          <w:sz w:val="20"/>
        </w:rPr>
        <w:t xml:space="preserve">, </w:t>
      </w:r>
      <w:r w:rsidRPr="00474897">
        <w:rPr>
          <w:rFonts w:ascii="Verdana" w:hAnsi="Verdana"/>
          <w:sz w:val="20"/>
          <w:lang w:val="es-CR"/>
        </w:rPr>
        <w:t xml:space="preserve">como regla general, </w:t>
      </w:r>
      <w:r w:rsidR="00836E1E" w:rsidRPr="00474897">
        <w:rPr>
          <w:rFonts w:ascii="Verdana" w:hAnsi="Verdana"/>
          <w:sz w:val="20"/>
          <w:lang w:val="es-CR"/>
        </w:rPr>
        <w:t xml:space="preserve">la Corte reafirma que </w:t>
      </w:r>
      <w:r w:rsidRPr="00474897">
        <w:rPr>
          <w:rFonts w:ascii="Verdana" w:hAnsi="Verdana"/>
          <w:sz w:val="20"/>
        </w:rPr>
        <w:t xml:space="preserve">el mantenimiento del orden público interno y la seguridad </w:t>
      </w:r>
      <w:r w:rsidR="00171268">
        <w:rPr>
          <w:rFonts w:ascii="Verdana" w:hAnsi="Verdana"/>
          <w:sz w:val="20"/>
        </w:rPr>
        <w:t xml:space="preserve">ciudadana </w:t>
      </w:r>
      <w:r w:rsidRPr="00A6589D">
        <w:rPr>
          <w:rFonts w:ascii="Verdana" w:hAnsi="Verdana"/>
          <w:sz w:val="20"/>
          <w:lang w:val="es-CR"/>
        </w:rPr>
        <w:t>debe</w:t>
      </w:r>
      <w:r w:rsidR="004234EB">
        <w:rPr>
          <w:rFonts w:ascii="Verdana" w:hAnsi="Verdana"/>
          <w:sz w:val="20"/>
          <w:lang w:val="es-CR"/>
        </w:rPr>
        <w:t>n</w:t>
      </w:r>
      <w:r w:rsidRPr="00A6589D">
        <w:rPr>
          <w:rFonts w:ascii="Verdana" w:hAnsi="Verdana"/>
          <w:sz w:val="20"/>
          <w:lang w:val="es-CR"/>
        </w:rPr>
        <w:t xml:space="preserve"> estar primariamente reservad</w:t>
      </w:r>
      <w:r w:rsidR="004234EB">
        <w:rPr>
          <w:rFonts w:ascii="Verdana" w:hAnsi="Verdana"/>
          <w:sz w:val="20"/>
          <w:lang w:val="es-CR"/>
        </w:rPr>
        <w:t>os</w:t>
      </w:r>
      <w:r w:rsidRPr="00A6589D">
        <w:rPr>
          <w:rFonts w:ascii="Verdana" w:hAnsi="Verdana"/>
          <w:sz w:val="20"/>
          <w:lang w:val="es-CR"/>
        </w:rPr>
        <w:t xml:space="preserve"> a los cuerpos </w:t>
      </w:r>
      <w:r w:rsidRPr="00717A95">
        <w:rPr>
          <w:rFonts w:ascii="Verdana" w:hAnsi="Verdana"/>
          <w:sz w:val="20"/>
        </w:rPr>
        <w:t xml:space="preserve">policiales </w:t>
      </w:r>
      <w:r w:rsidRPr="00717A95">
        <w:rPr>
          <w:rFonts w:ascii="Verdana" w:hAnsi="Verdana"/>
          <w:sz w:val="20"/>
          <w:lang w:val="es-CR"/>
        </w:rPr>
        <w:t>civiles</w:t>
      </w:r>
      <w:r w:rsidR="003C68CF" w:rsidRPr="00474897">
        <w:rPr>
          <w:rStyle w:val="Refdenotaalpie"/>
          <w:rFonts w:ascii="Verdana" w:hAnsi="Verdana"/>
          <w:sz w:val="20"/>
          <w:lang w:val="es-CR"/>
        </w:rPr>
        <w:footnoteReference w:id="409"/>
      </w:r>
      <w:r w:rsidRPr="00474897">
        <w:rPr>
          <w:rFonts w:ascii="Verdana" w:hAnsi="Verdana"/>
          <w:sz w:val="20"/>
        </w:rPr>
        <w:t>.</w:t>
      </w:r>
      <w:r w:rsidRPr="00474897">
        <w:rPr>
          <w:rFonts w:ascii="Verdana" w:hAnsi="Verdana"/>
          <w:sz w:val="20"/>
          <w:lang w:val="es-CR"/>
        </w:rPr>
        <w:t xml:space="preserve"> </w:t>
      </w:r>
      <w:r w:rsidRPr="00CB680E">
        <w:rPr>
          <w:rFonts w:ascii="Verdana" w:hAnsi="Verdana"/>
          <w:sz w:val="20"/>
          <w:lang w:val="es-CR"/>
        </w:rPr>
        <w:t xml:space="preserve">No obstante, </w:t>
      </w:r>
      <w:r w:rsidR="00F67B06" w:rsidRPr="00AD4631">
        <w:rPr>
          <w:rFonts w:ascii="Verdana" w:hAnsi="Verdana"/>
          <w:sz w:val="20"/>
          <w:lang w:val="es-CR"/>
        </w:rPr>
        <w:t xml:space="preserve">cuando excepcionalmente intervengan en tareas de seguridad, </w:t>
      </w:r>
      <w:r w:rsidR="00F67B06" w:rsidRPr="00AD4631">
        <w:rPr>
          <w:rFonts w:ascii="Verdana" w:hAnsi="Verdana"/>
          <w:sz w:val="20"/>
          <w:lang w:val="es-CR"/>
        </w:rPr>
        <w:lastRenderedPageBreak/>
        <w:t xml:space="preserve">la </w:t>
      </w:r>
      <w:r w:rsidR="00171268" w:rsidRPr="002E7B1B">
        <w:rPr>
          <w:rFonts w:ascii="Verdana" w:hAnsi="Verdana"/>
          <w:sz w:val="20"/>
          <w:lang w:val="es-CR"/>
        </w:rPr>
        <w:t xml:space="preserve">participación de las </w:t>
      </w:r>
      <w:r w:rsidR="004234EB" w:rsidRPr="002E7B1B">
        <w:rPr>
          <w:rFonts w:ascii="Verdana" w:hAnsi="Verdana"/>
          <w:sz w:val="20"/>
          <w:lang w:val="es-CR"/>
        </w:rPr>
        <w:t>f</w:t>
      </w:r>
      <w:r w:rsidR="00171268" w:rsidRPr="002E7B1B">
        <w:rPr>
          <w:rFonts w:ascii="Verdana" w:hAnsi="Verdana"/>
          <w:sz w:val="20"/>
          <w:lang w:val="es-CR"/>
        </w:rPr>
        <w:t>uerzas a</w:t>
      </w:r>
      <w:r w:rsidRPr="00CB680E">
        <w:rPr>
          <w:rFonts w:ascii="Verdana" w:hAnsi="Verdana"/>
          <w:sz w:val="20"/>
          <w:lang w:val="es-CR"/>
        </w:rPr>
        <w:t>r</w:t>
      </w:r>
      <w:r w:rsidR="001F49E1" w:rsidRPr="00CB680E">
        <w:rPr>
          <w:rFonts w:ascii="Verdana" w:hAnsi="Verdana"/>
          <w:sz w:val="20"/>
          <w:lang w:val="es-CR"/>
        </w:rPr>
        <w:t xml:space="preserve">madas </w:t>
      </w:r>
      <w:r w:rsidR="00B93CB5" w:rsidRPr="00CB680E">
        <w:rPr>
          <w:rFonts w:ascii="Verdana" w:hAnsi="Verdana" w:cs="Arial"/>
          <w:sz w:val="20"/>
          <w:szCs w:val="20"/>
          <w:lang w:val="es-CR"/>
        </w:rPr>
        <w:t>debe</w:t>
      </w:r>
      <w:r w:rsidRPr="00CB680E">
        <w:rPr>
          <w:rFonts w:ascii="Verdana" w:hAnsi="Verdana"/>
          <w:sz w:val="20"/>
          <w:lang w:val="es-CR"/>
        </w:rPr>
        <w:t xml:space="preserve"> ser:</w:t>
      </w:r>
      <w:r w:rsidRPr="00717A95">
        <w:rPr>
          <w:rFonts w:ascii="Verdana" w:hAnsi="Verdana"/>
          <w:sz w:val="20"/>
          <w:lang w:val="es-CR"/>
        </w:rPr>
        <w:t xml:space="preserve"> </w:t>
      </w:r>
    </w:p>
    <w:p w14:paraId="05785520" w14:textId="086B090A" w:rsidR="0077587B" w:rsidRDefault="00DA7DBA" w:rsidP="00AD4631">
      <w:pPr>
        <w:widowControl w:val="0"/>
        <w:tabs>
          <w:tab w:val="left" w:pos="567"/>
        </w:tabs>
        <w:autoSpaceDE w:val="0"/>
        <w:autoSpaceDN w:val="0"/>
        <w:adjustRightInd w:val="0"/>
        <w:spacing w:before="120" w:after="120" w:line="240" w:lineRule="auto"/>
        <w:ind w:left="567"/>
        <w:contextualSpacing/>
        <w:jc w:val="both"/>
        <w:textAlignment w:val="baseline"/>
        <w:rPr>
          <w:rFonts w:ascii="Verdana" w:hAnsi="Verdana"/>
          <w:sz w:val="20"/>
          <w:lang w:val="es-CR"/>
        </w:rPr>
      </w:pPr>
      <w:r w:rsidRPr="00717A95">
        <w:rPr>
          <w:rFonts w:ascii="Verdana" w:hAnsi="Verdana"/>
          <w:sz w:val="20"/>
          <w:lang w:val="es-CR"/>
        </w:rPr>
        <w:t xml:space="preserve">a) </w:t>
      </w:r>
      <w:r w:rsidR="00C56E31">
        <w:rPr>
          <w:rFonts w:ascii="Verdana" w:hAnsi="Verdana"/>
          <w:i/>
          <w:sz w:val="20"/>
          <w:lang w:val="es-CR"/>
        </w:rPr>
        <w:t>E</w:t>
      </w:r>
      <w:r w:rsidRPr="008D0846">
        <w:rPr>
          <w:rFonts w:ascii="Verdana" w:hAnsi="Verdana"/>
          <w:i/>
          <w:sz w:val="20"/>
          <w:lang w:val="es-CR"/>
        </w:rPr>
        <w:t>xtraordinaria</w:t>
      </w:r>
      <w:r w:rsidRPr="00717A95">
        <w:rPr>
          <w:rFonts w:ascii="Verdana" w:hAnsi="Verdana"/>
          <w:sz w:val="20"/>
          <w:lang w:val="es-CR"/>
        </w:rPr>
        <w:t xml:space="preserve">, </w:t>
      </w:r>
      <w:r w:rsidRPr="005203D7">
        <w:rPr>
          <w:rFonts w:ascii="Verdana" w:hAnsi="Verdana"/>
          <w:sz w:val="20"/>
        </w:rPr>
        <w:t xml:space="preserve">de manera que </w:t>
      </w:r>
      <w:r w:rsidR="004234EB">
        <w:rPr>
          <w:rFonts w:ascii="Verdana" w:hAnsi="Verdana"/>
          <w:sz w:val="20"/>
        </w:rPr>
        <w:t xml:space="preserve">toda </w:t>
      </w:r>
      <w:r w:rsidRPr="000B786A">
        <w:rPr>
          <w:rFonts w:ascii="Verdana" w:hAnsi="Verdana"/>
          <w:sz w:val="20"/>
        </w:rPr>
        <w:t>intervención se encuentre justificada y resulte excepcional, temporal y restringida a lo</w:t>
      </w:r>
      <w:r w:rsidRPr="000B786A">
        <w:rPr>
          <w:rFonts w:ascii="Verdana" w:eastAsiaTheme="minorHAnsi" w:hAnsi="Verdana"/>
          <w:sz w:val="20"/>
          <w:lang w:val="es-CR"/>
        </w:rPr>
        <w:t xml:space="preserve"> estrictamente </w:t>
      </w:r>
      <w:r w:rsidRPr="000B786A">
        <w:rPr>
          <w:rFonts w:ascii="Verdana" w:hAnsi="Verdana"/>
          <w:sz w:val="20"/>
          <w:lang w:val="es-CR"/>
        </w:rPr>
        <w:t>necesario en las circunstancias del caso</w:t>
      </w:r>
      <w:r w:rsidR="00DE2DF6" w:rsidRPr="00C90B3F">
        <w:rPr>
          <w:rFonts w:ascii="Verdana" w:hAnsi="Verdana"/>
          <w:sz w:val="20"/>
          <w:vertAlign w:val="superscript"/>
          <w:lang w:val="es-CR"/>
        </w:rPr>
        <w:footnoteReference w:id="410"/>
      </w:r>
      <w:r w:rsidRPr="00474897">
        <w:rPr>
          <w:rFonts w:ascii="Verdana" w:hAnsi="Verdana"/>
          <w:sz w:val="20"/>
          <w:lang w:val="es-CR"/>
        </w:rPr>
        <w:t xml:space="preserve">; </w:t>
      </w:r>
    </w:p>
    <w:p w14:paraId="3AC9E037" w14:textId="0D468AC5" w:rsidR="0077587B" w:rsidRDefault="00DA7DBA" w:rsidP="00AD4631">
      <w:pPr>
        <w:widowControl w:val="0"/>
        <w:tabs>
          <w:tab w:val="left" w:pos="567"/>
        </w:tabs>
        <w:autoSpaceDE w:val="0"/>
        <w:autoSpaceDN w:val="0"/>
        <w:adjustRightInd w:val="0"/>
        <w:spacing w:before="120" w:after="120" w:line="240" w:lineRule="auto"/>
        <w:ind w:left="567"/>
        <w:contextualSpacing/>
        <w:jc w:val="both"/>
        <w:textAlignment w:val="baseline"/>
        <w:rPr>
          <w:rFonts w:ascii="Verdana" w:hAnsi="Verdana"/>
          <w:sz w:val="20"/>
        </w:rPr>
      </w:pPr>
      <w:r w:rsidRPr="00474897">
        <w:rPr>
          <w:rFonts w:ascii="Verdana" w:hAnsi="Verdana"/>
          <w:sz w:val="20"/>
          <w:lang w:val="es-CR"/>
        </w:rPr>
        <w:t xml:space="preserve">b) </w:t>
      </w:r>
      <w:r w:rsidR="00C56E31">
        <w:rPr>
          <w:rFonts w:ascii="Verdana" w:hAnsi="Verdana"/>
          <w:i/>
          <w:sz w:val="20"/>
          <w:lang w:val="es-CR"/>
        </w:rPr>
        <w:t>S</w:t>
      </w:r>
      <w:r w:rsidRPr="008D0846">
        <w:rPr>
          <w:rFonts w:ascii="Verdana" w:hAnsi="Verdana"/>
          <w:i/>
          <w:sz w:val="20"/>
          <w:lang w:val="es-CR"/>
        </w:rPr>
        <w:t>ubordinada</w:t>
      </w:r>
      <w:r w:rsidRPr="00474897">
        <w:rPr>
          <w:rFonts w:ascii="Verdana" w:hAnsi="Verdana"/>
          <w:sz w:val="20"/>
        </w:rPr>
        <w:t xml:space="preserve"> </w:t>
      </w:r>
      <w:r w:rsidRPr="008D0846">
        <w:rPr>
          <w:rFonts w:ascii="Verdana" w:hAnsi="Verdana"/>
          <w:i/>
          <w:sz w:val="20"/>
        </w:rPr>
        <w:t>y</w:t>
      </w:r>
      <w:r w:rsidRPr="00474897">
        <w:rPr>
          <w:rFonts w:ascii="Verdana" w:hAnsi="Verdana"/>
          <w:sz w:val="20"/>
        </w:rPr>
        <w:t xml:space="preserve"> </w:t>
      </w:r>
      <w:r w:rsidRPr="008D0846">
        <w:rPr>
          <w:rFonts w:ascii="Verdana" w:hAnsi="Verdana"/>
          <w:i/>
          <w:sz w:val="20"/>
        </w:rPr>
        <w:t>complementaria</w:t>
      </w:r>
      <w:r w:rsidR="004234EB">
        <w:rPr>
          <w:rFonts w:ascii="Verdana" w:hAnsi="Verdana"/>
          <w:i/>
          <w:sz w:val="20"/>
        </w:rPr>
        <w:t>,</w:t>
      </w:r>
      <w:r w:rsidRPr="00474897">
        <w:rPr>
          <w:rFonts w:ascii="Verdana" w:hAnsi="Verdana"/>
          <w:sz w:val="20"/>
        </w:rPr>
        <w:t xml:space="preserve"> a las labores de las corporaciones civiles, sin que sus labores puedan extenderse a las facultades propias de las instituciones de procuración de justicia o policía judicial</w:t>
      </w:r>
      <w:r w:rsidR="00DE2DF6" w:rsidRPr="00C90B3F">
        <w:rPr>
          <w:rFonts w:ascii="Verdana" w:hAnsi="Verdana"/>
          <w:sz w:val="20"/>
        </w:rPr>
        <w:t xml:space="preserve"> o ministerial</w:t>
      </w:r>
      <w:r w:rsidR="00DE2DF6" w:rsidRPr="00C90B3F">
        <w:rPr>
          <w:rFonts w:ascii="Verdana" w:hAnsi="Verdana"/>
          <w:sz w:val="20"/>
          <w:vertAlign w:val="superscript"/>
          <w:lang w:val="es-CR"/>
        </w:rPr>
        <w:footnoteReference w:id="411"/>
      </w:r>
      <w:r w:rsidRPr="00474897">
        <w:rPr>
          <w:rFonts w:ascii="Verdana" w:hAnsi="Verdana"/>
          <w:sz w:val="20"/>
        </w:rPr>
        <w:t xml:space="preserve">; </w:t>
      </w:r>
    </w:p>
    <w:p w14:paraId="3B2726FA" w14:textId="75211C6F" w:rsidR="0077587B" w:rsidRDefault="00DA7DBA" w:rsidP="00AD4631">
      <w:pPr>
        <w:widowControl w:val="0"/>
        <w:tabs>
          <w:tab w:val="left" w:pos="567"/>
        </w:tabs>
        <w:autoSpaceDE w:val="0"/>
        <w:autoSpaceDN w:val="0"/>
        <w:adjustRightInd w:val="0"/>
        <w:spacing w:before="120" w:after="120" w:line="240" w:lineRule="auto"/>
        <w:ind w:left="567"/>
        <w:contextualSpacing/>
        <w:jc w:val="both"/>
        <w:textAlignment w:val="baseline"/>
        <w:rPr>
          <w:rFonts w:ascii="Verdana" w:hAnsi="Verdana"/>
          <w:sz w:val="20"/>
        </w:rPr>
      </w:pPr>
      <w:r w:rsidRPr="00474897">
        <w:rPr>
          <w:rFonts w:ascii="Verdana" w:hAnsi="Verdana"/>
          <w:sz w:val="20"/>
        </w:rPr>
        <w:t xml:space="preserve">c) </w:t>
      </w:r>
      <w:r w:rsidR="00C56E31">
        <w:rPr>
          <w:rFonts w:ascii="Verdana" w:eastAsia="Calibri" w:hAnsi="Verdana"/>
          <w:i/>
          <w:sz w:val="20"/>
        </w:rPr>
        <w:t>R</w:t>
      </w:r>
      <w:r w:rsidRPr="008D0846">
        <w:rPr>
          <w:rFonts w:ascii="Verdana" w:eastAsia="Calibri" w:hAnsi="Verdana"/>
          <w:i/>
          <w:sz w:val="20"/>
        </w:rPr>
        <w:t>egulada</w:t>
      </w:r>
      <w:r w:rsidRPr="00474897">
        <w:rPr>
          <w:rFonts w:ascii="Verdana" w:eastAsia="Calibri" w:hAnsi="Verdana"/>
          <w:sz w:val="20"/>
        </w:rPr>
        <w:t>, mediante me</w:t>
      </w:r>
      <w:r w:rsidR="00CF654C">
        <w:rPr>
          <w:rFonts w:ascii="Verdana" w:eastAsia="Calibri" w:hAnsi="Verdana"/>
          <w:sz w:val="20"/>
        </w:rPr>
        <w:t>canismos</w:t>
      </w:r>
      <w:r w:rsidRPr="00474897">
        <w:rPr>
          <w:rFonts w:ascii="Verdana" w:eastAsia="Calibri" w:hAnsi="Verdana"/>
          <w:sz w:val="20"/>
        </w:rPr>
        <w:t xml:space="preserve"> legales y </w:t>
      </w:r>
      <w:r w:rsidRPr="00474897">
        <w:rPr>
          <w:rFonts w:ascii="Verdana" w:hAnsi="Verdana"/>
          <w:sz w:val="20"/>
        </w:rPr>
        <w:t>protocolos sobre el uso de la fuerza, bajo los principios de excepcionalidad, proporcionalidad y absoluta necesidad</w:t>
      </w:r>
      <w:r w:rsidR="00DE2DF6" w:rsidRPr="00C90B3F">
        <w:rPr>
          <w:rFonts w:ascii="Verdana" w:hAnsi="Verdana"/>
          <w:sz w:val="20"/>
          <w:vertAlign w:val="superscript"/>
          <w:lang w:val="es-CR"/>
        </w:rPr>
        <w:footnoteReference w:id="412"/>
      </w:r>
      <w:r w:rsidR="00836E1E" w:rsidRPr="00474897">
        <w:rPr>
          <w:rFonts w:ascii="Verdana" w:hAnsi="Verdana"/>
          <w:sz w:val="20"/>
        </w:rPr>
        <w:t xml:space="preserve"> y </w:t>
      </w:r>
      <w:r w:rsidR="00171268">
        <w:rPr>
          <w:rFonts w:ascii="Verdana" w:hAnsi="Verdana"/>
          <w:sz w:val="20"/>
        </w:rPr>
        <w:t xml:space="preserve">de acuerdo con </w:t>
      </w:r>
      <w:r w:rsidR="00145DF2">
        <w:rPr>
          <w:rFonts w:ascii="Verdana" w:hAnsi="Verdana"/>
          <w:sz w:val="20"/>
        </w:rPr>
        <w:t>la</w:t>
      </w:r>
      <w:r w:rsidR="00836E1E" w:rsidRPr="00474897">
        <w:rPr>
          <w:rFonts w:ascii="Verdana" w:hAnsi="Verdana"/>
          <w:sz w:val="20"/>
        </w:rPr>
        <w:t xml:space="preserve"> respectiva capacitación</w:t>
      </w:r>
      <w:r w:rsidR="00171268">
        <w:rPr>
          <w:rFonts w:ascii="Verdana" w:eastAsiaTheme="minorHAnsi" w:hAnsi="Verdana" w:cs="Arial"/>
          <w:sz w:val="20"/>
          <w:szCs w:val="20"/>
          <w:lang w:val="es-CR"/>
        </w:rPr>
        <w:t xml:space="preserve"> en la mater</w:t>
      </w:r>
      <w:r w:rsidR="00D63425">
        <w:rPr>
          <w:rFonts w:ascii="Verdana" w:eastAsiaTheme="minorHAnsi" w:hAnsi="Verdana" w:cs="Arial"/>
          <w:sz w:val="20"/>
          <w:szCs w:val="20"/>
          <w:lang w:val="es-CR"/>
        </w:rPr>
        <w:t>i</w:t>
      </w:r>
      <w:r w:rsidR="00171268">
        <w:rPr>
          <w:rFonts w:ascii="Verdana" w:eastAsiaTheme="minorHAnsi" w:hAnsi="Verdana" w:cs="Arial"/>
          <w:sz w:val="20"/>
          <w:szCs w:val="20"/>
          <w:lang w:val="es-CR"/>
        </w:rPr>
        <w:t>a</w:t>
      </w:r>
      <w:r w:rsidR="00DE2DF6" w:rsidRPr="00C90B3F">
        <w:rPr>
          <w:rFonts w:ascii="Verdana" w:hAnsi="Verdana"/>
          <w:sz w:val="20"/>
          <w:vertAlign w:val="superscript"/>
          <w:lang w:val="es-CR"/>
        </w:rPr>
        <w:footnoteReference w:id="413"/>
      </w:r>
      <w:r w:rsidR="00516109">
        <w:rPr>
          <w:rFonts w:ascii="Verdana" w:hAnsi="Verdana"/>
          <w:sz w:val="20"/>
        </w:rPr>
        <w:t>, y</w:t>
      </w:r>
      <w:r w:rsidRPr="00474897">
        <w:rPr>
          <w:rFonts w:ascii="Verdana" w:hAnsi="Verdana"/>
          <w:sz w:val="20"/>
        </w:rPr>
        <w:t xml:space="preserve"> </w:t>
      </w:r>
    </w:p>
    <w:p w14:paraId="49D24A75" w14:textId="124CCAA2" w:rsidR="00DA7DBA" w:rsidRPr="00474897" w:rsidRDefault="00DA7DBA" w:rsidP="00AD4631">
      <w:pPr>
        <w:widowControl w:val="0"/>
        <w:tabs>
          <w:tab w:val="left" w:pos="567"/>
        </w:tabs>
        <w:autoSpaceDE w:val="0"/>
        <w:autoSpaceDN w:val="0"/>
        <w:adjustRightInd w:val="0"/>
        <w:spacing w:before="120" w:after="120" w:line="240" w:lineRule="auto"/>
        <w:ind w:left="567"/>
        <w:contextualSpacing/>
        <w:jc w:val="both"/>
        <w:textAlignment w:val="baseline"/>
        <w:rPr>
          <w:rFonts w:ascii="Verdana" w:hAnsi="Verdana"/>
          <w:sz w:val="20"/>
          <w:lang w:val="es-CR"/>
        </w:rPr>
      </w:pPr>
      <w:r w:rsidRPr="00474897">
        <w:rPr>
          <w:rFonts w:ascii="Verdana" w:hAnsi="Verdana"/>
          <w:sz w:val="20"/>
        </w:rPr>
        <w:t xml:space="preserve">d) </w:t>
      </w:r>
      <w:r w:rsidR="00C56E31">
        <w:rPr>
          <w:rFonts w:ascii="Verdana" w:hAnsi="Verdana"/>
          <w:i/>
          <w:sz w:val="20"/>
        </w:rPr>
        <w:t>F</w:t>
      </w:r>
      <w:r w:rsidRPr="008D0846">
        <w:rPr>
          <w:rFonts w:ascii="Verdana" w:hAnsi="Verdana"/>
          <w:i/>
          <w:sz w:val="20"/>
        </w:rPr>
        <w:t>iscalizada</w:t>
      </w:r>
      <w:r w:rsidR="004234EB">
        <w:rPr>
          <w:rFonts w:ascii="Verdana" w:hAnsi="Verdana"/>
          <w:i/>
          <w:sz w:val="20"/>
        </w:rPr>
        <w:t>,</w:t>
      </w:r>
      <w:r w:rsidRPr="00474897">
        <w:rPr>
          <w:rFonts w:ascii="Verdana" w:hAnsi="Verdana"/>
          <w:sz w:val="20"/>
        </w:rPr>
        <w:t xml:space="preserve"> por órganos civiles competentes, independientes y técnicamente capaces</w:t>
      </w:r>
      <w:r w:rsidR="00DE2DF6" w:rsidRPr="00C90B3F">
        <w:rPr>
          <w:rFonts w:ascii="Verdana" w:hAnsi="Verdana"/>
          <w:sz w:val="20"/>
          <w:vertAlign w:val="superscript"/>
          <w:lang w:val="es-CR"/>
        </w:rPr>
        <w:footnoteReference w:id="414"/>
      </w:r>
      <w:r w:rsidR="00171268">
        <w:rPr>
          <w:rFonts w:ascii="Verdana" w:hAnsi="Verdana"/>
          <w:sz w:val="20"/>
        </w:rPr>
        <w:t>.</w:t>
      </w:r>
    </w:p>
    <w:p w14:paraId="6E441C26" w14:textId="0311DB96" w:rsidR="0044158A" w:rsidRPr="003564A3" w:rsidRDefault="0044158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lang w:val="es-CR"/>
        </w:rPr>
      </w:pPr>
      <w:r w:rsidRPr="00C90B3F">
        <w:rPr>
          <w:rFonts w:ascii="Verdana" w:hAnsi="Verdana"/>
          <w:sz w:val="20"/>
          <w:szCs w:val="20"/>
        </w:rPr>
        <w:t>Asimismo</w:t>
      </w:r>
      <w:r>
        <w:rPr>
          <w:rFonts w:ascii="Verdana" w:hAnsi="Verdana"/>
          <w:sz w:val="20"/>
          <w:szCs w:val="20"/>
          <w:lang w:val="es-CR"/>
        </w:rPr>
        <w:t xml:space="preserve">, la Corte reitera su jurisprudencia en el sentido que el Estado debe brindar recursos sencillos y </w:t>
      </w:r>
      <w:r w:rsidR="00396ABC">
        <w:rPr>
          <w:rFonts w:ascii="Verdana" w:hAnsi="Verdana"/>
          <w:sz w:val="20"/>
          <w:szCs w:val="20"/>
          <w:lang w:val="es-CR"/>
        </w:rPr>
        <w:t>expeditos</w:t>
      </w:r>
      <w:r>
        <w:rPr>
          <w:rFonts w:ascii="Verdana" w:hAnsi="Verdana"/>
          <w:sz w:val="20"/>
          <w:szCs w:val="20"/>
          <w:lang w:val="es-CR"/>
        </w:rPr>
        <w:t xml:space="preserve"> para denunciar la violación de los derechos humanos, así como </w:t>
      </w:r>
      <w:r w:rsidR="00EC2511">
        <w:rPr>
          <w:rFonts w:ascii="Verdana" w:hAnsi="Verdana"/>
          <w:sz w:val="20"/>
          <w:szCs w:val="20"/>
          <w:lang w:val="es-CR"/>
        </w:rPr>
        <w:t xml:space="preserve">que </w:t>
      </w:r>
      <w:r w:rsidR="00B93CB5">
        <w:rPr>
          <w:rFonts w:ascii="Verdana" w:hAnsi="Verdana"/>
          <w:sz w:val="20"/>
          <w:szCs w:val="20"/>
          <w:lang w:val="es-CR"/>
        </w:rPr>
        <w:t>tales denuncias</w:t>
      </w:r>
      <w:r>
        <w:rPr>
          <w:rFonts w:ascii="Verdana" w:hAnsi="Verdana"/>
          <w:sz w:val="20"/>
          <w:szCs w:val="20"/>
          <w:lang w:val="es-CR"/>
        </w:rPr>
        <w:t xml:space="preserve"> debe</w:t>
      </w:r>
      <w:r w:rsidR="00B93CB5">
        <w:rPr>
          <w:rFonts w:ascii="Verdana" w:hAnsi="Verdana"/>
          <w:sz w:val="20"/>
          <w:szCs w:val="20"/>
          <w:lang w:val="es-CR"/>
        </w:rPr>
        <w:t>n</w:t>
      </w:r>
      <w:r>
        <w:rPr>
          <w:rFonts w:ascii="Verdana" w:hAnsi="Verdana"/>
          <w:sz w:val="20"/>
          <w:szCs w:val="20"/>
          <w:lang w:val="es-CR"/>
        </w:rPr>
        <w:t xml:space="preserve"> ser </w:t>
      </w:r>
      <w:r>
        <w:rPr>
          <w:rFonts w:ascii="Verdana" w:hAnsi="Verdana" w:cs="Arial"/>
          <w:sz w:val="20"/>
          <w:szCs w:val="20"/>
        </w:rPr>
        <w:t>v</w:t>
      </w:r>
      <w:r w:rsidRPr="002E1C85">
        <w:rPr>
          <w:rFonts w:ascii="Verdana" w:hAnsi="Verdana" w:cs="Arial"/>
          <w:sz w:val="20"/>
          <w:szCs w:val="20"/>
        </w:rPr>
        <w:t>entilada</w:t>
      </w:r>
      <w:r w:rsidR="00EC2511">
        <w:rPr>
          <w:rFonts w:ascii="Verdana" w:hAnsi="Verdana" w:cs="Arial"/>
          <w:sz w:val="20"/>
          <w:szCs w:val="20"/>
        </w:rPr>
        <w:t>s</w:t>
      </w:r>
      <w:r w:rsidRPr="002E1C85">
        <w:rPr>
          <w:rFonts w:ascii="Verdana" w:hAnsi="Verdana" w:cs="Arial"/>
          <w:sz w:val="20"/>
          <w:szCs w:val="20"/>
        </w:rPr>
        <w:t xml:space="preserve"> ante la jurisdicción ordinaria</w:t>
      </w:r>
      <w:r w:rsidR="00D421E6">
        <w:rPr>
          <w:rFonts w:ascii="Verdana" w:hAnsi="Verdana" w:cs="Arial"/>
          <w:sz w:val="20"/>
          <w:szCs w:val="20"/>
        </w:rPr>
        <w:t xml:space="preserve"> y no militar</w:t>
      </w:r>
      <w:r w:rsidR="00474897" w:rsidRPr="00C90B3F">
        <w:rPr>
          <w:rStyle w:val="Refdenotaalpie"/>
          <w:rFonts w:ascii="Verdana" w:hAnsi="Verdana" w:cs="Arial"/>
          <w:sz w:val="20"/>
          <w:szCs w:val="20"/>
        </w:rPr>
        <w:footnoteReference w:id="415"/>
      </w:r>
      <w:r w:rsidRPr="00474897">
        <w:rPr>
          <w:rFonts w:ascii="Verdana" w:hAnsi="Verdana" w:cs="Arial"/>
          <w:sz w:val="20"/>
          <w:szCs w:val="20"/>
        </w:rPr>
        <w:t>,</w:t>
      </w:r>
      <w:r w:rsidRPr="002E1C85">
        <w:rPr>
          <w:rFonts w:ascii="Verdana" w:hAnsi="Verdana" w:cs="Arial"/>
          <w:sz w:val="20"/>
          <w:szCs w:val="20"/>
        </w:rPr>
        <w:t xml:space="preserve"> l</w:t>
      </w:r>
      <w:r w:rsidR="00EC5E73">
        <w:rPr>
          <w:rFonts w:ascii="Verdana" w:hAnsi="Verdana" w:cs="Arial"/>
          <w:sz w:val="20"/>
          <w:szCs w:val="20"/>
        </w:rPr>
        <w:t>as</w:t>
      </w:r>
      <w:r w:rsidRPr="002E1C85">
        <w:rPr>
          <w:rFonts w:ascii="Verdana" w:hAnsi="Verdana" w:cs="Arial"/>
          <w:sz w:val="20"/>
          <w:szCs w:val="20"/>
        </w:rPr>
        <w:t xml:space="preserve"> cual</w:t>
      </w:r>
      <w:r w:rsidR="00EC5E73">
        <w:rPr>
          <w:rFonts w:ascii="Verdana" w:hAnsi="Verdana" w:cs="Arial"/>
          <w:sz w:val="20"/>
          <w:szCs w:val="20"/>
        </w:rPr>
        <w:t>es</w:t>
      </w:r>
      <w:r w:rsidRPr="002E1C85">
        <w:rPr>
          <w:rFonts w:ascii="Verdana" w:hAnsi="Verdana" w:cs="Arial"/>
          <w:sz w:val="20"/>
          <w:szCs w:val="20"/>
        </w:rPr>
        <w:t xml:space="preserve"> </w:t>
      </w:r>
      <w:r w:rsidRPr="002E1C85">
        <w:rPr>
          <w:rFonts w:ascii="Verdana" w:hAnsi="Verdana" w:cs="Arial"/>
          <w:sz w:val="20"/>
          <w:szCs w:val="20"/>
        </w:rPr>
        <w:lastRenderedPageBreak/>
        <w:t>deberá</w:t>
      </w:r>
      <w:r w:rsidR="00EC5E73">
        <w:rPr>
          <w:rFonts w:ascii="Verdana" w:hAnsi="Verdana" w:cs="Arial"/>
          <w:sz w:val="20"/>
          <w:szCs w:val="20"/>
        </w:rPr>
        <w:t>n</w:t>
      </w:r>
      <w:r w:rsidRPr="002E1C85">
        <w:rPr>
          <w:rFonts w:ascii="Verdana" w:hAnsi="Verdana" w:cs="Arial"/>
          <w:sz w:val="20"/>
          <w:szCs w:val="20"/>
        </w:rPr>
        <w:t xml:space="preserve"> ser </w:t>
      </w:r>
      <w:r w:rsidR="00B93CB5" w:rsidRPr="00B93CB5">
        <w:rPr>
          <w:rFonts w:ascii="Verdana" w:hAnsi="Verdana" w:cs="Arial"/>
          <w:sz w:val="20"/>
          <w:szCs w:val="20"/>
        </w:rPr>
        <w:t xml:space="preserve">efectivamente </w:t>
      </w:r>
      <w:r w:rsidRPr="002E1C85">
        <w:rPr>
          <w:rFonts w:ascii="Verdana" w:hAnsi="Verdana" w:cs="Arial"/>
          <w:sz w:val="20"/>
          <w:szCs w:val="20"/>
        </w:rPr>
        <w:t>investi</w:t>
      </w:r>
      <w:r w:rsidR="00D421E6">
        <w:rPr>
          <w:rFonts w:ascii="Verdana" w:hAnsi="Verdana" w:cs="Arial"/>
          <w:sz w:val="20"/>
          <w:szCs w:val="20"/>
        </w:rPr>
        <w:t>gad</w:t>
      </w:r>
      <w:r w:rsidR="00EC5E73">
        <w:rPr>
          <w:rFonts w:ascii="Verdana" w:hAnsi="Verdana" w:cs="Arial"/>
          <w:sz w:val="20"/>
          <w:szCs w:val="20"/>
        </w:rPr>
        <w:t>as</w:t>
      </w:r>
      <w:r w:rsidR="00D421E6">
        <w:rPr>
          <w:rFonts w:ascii="Verdana" w:hAnsi="Verdana" w:cs="Arial"/>
          <w:sz w:val="20"/>
          <w:szCs w:val="20"/>
        </w:rPr>
        <w:t xml:space="preserve"> y, en su </w:t>
      </w:r>
      <w:r w:rsidR="00D421E6" w:rsidRPr="00CC714A">
        <w:rPr>
          <w:rFonts w:ascii="Verdana" w:hAnsi="Verdana" w:cs="Arial"/>
          <w:sz w:val="20"/>
          <w:szCs w:val="20"/>
        </w:rPr>
        <w:t>caso, sancionado</w:t>
      </w:r>
      <w:r w:rsidR="00EC5E73">
        <w:rPr>
          <w:rFonts w:ascii="Verdana" w:hAnsi="Verdana" w:cs="Arial"/>
          <w:sz w:val="20"/>
          <w:szCs w:val="20"/>
        </w:rPr>
        <w:t>s los responsables</w:t>
      </w:r>
      <w:r w:rsidR="00474897" w:rsidRPr="00474897">
        <w:rPr>
          <w:rFonts w:ascii="Verdana" w:hAnsi="Verdana" w:cs="Arial"/>
          <w:sz w:val="20"/>
          <w:szCs w:val="20"/>
          <w:vertAlign w:val="superscript"/>
          <w:lang w:val="es-CR"/>
        </w:rPr>
        <w:footnoteReference w:id="416"/>
      </w:r>
      <w:r w:rsidR="00D421E6" w:rsidRPr="00855B75">
        <w:rPr>
          <w:rFonts w:ascii="Verdana" w:hAnsi="Verdana" w:cs="Arial"/>
          <w:sz w:val="20"/>
          <w:szCs w:val="20"/>
        </w:rPr>
        <w:t xml:space="preserve">. </w:t>
      </w:r>
    </w:p>
    <w:p w14:paraId="09869F7B" w14:textId="7B2B8B31" w:rsidR="00B93CB5" w:rsidRPr="00B93CB5" w:rsidRDefault="00836E1E"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DE7633">
        <w:rPr>
          <w:rFonts w:ascii="Verdana" w:hAnsi="Verdana"/>
          <w:sz w:val="20"/>
        </w:rPr>
        <w:t xml:space="preserve">En </w:t>
      </w:r>
      <w:r w:rsidRPr="00C57FCB">
        <w:rPr>
          <w:rFonts w:ascii="Verdana" w:hAnsi="Verdana"/>
          <w:sz w:val="20"/>
          <w:szCs w:val="20"/>
        </w:rPr>
        <w:t>el</w:t>
      </w:r>
      <w:r w:rsidRPr="00DE7633">
        <w:rPr>
          <w:rFonts w:ascii="Verdana" w:hAnsi="Verdana"/>
          <w:sz w:val="20"/>
        </w:rPr>
        <w:t xml:space="preserve"> presente caso, las alegadas detenciones se habrían producido por parte de elementos de las fuerzas armadas en el marco del </w:t>
      </w:r>
      <w:r w:rsidR="0063523A" w:rsidRPr="00DE7633">
        <w:rPr>
          <w:rFonts w:ascii="Verdana" w:hAnsi="Verdana"/>
          <w:sz w:val="20"/>
        </w:rPr>
        <w:t>“</w:t>
      </w:r>
      <w:r w:rsidR="00B93CB5" w:rsidRPr="00C90B3F">
        <w:rPr>
          <w:rFonts w:ascii="Verdana" w:hAnsi="Verdana"/>
          <w:sz w:val="20"/>
          <w:szCs w:val="20"/>
        </w:rPr>
        <w:t>Operativo Conjunto</w:t>
      </w:r>
      <w:r w:rsidR="0063523A" w:rsidRPr="00DE7633">
        <w:rPr>
          <w:rFonts w:ascii="Verdana" w:hAnsi="Verdana"/>
          <w:sz w:val="20"/>
        </w:rPr>
        <w:t xml:space="preserve"> Chihuahua”</w:t>
      </w:r>
      <w:r w:rsidRPr="00DE7633">
        <w:rPr>
          <w:rFonts w:ascii="Verdana" w:hAnsi="Verdana"/>
          <w:sz w:val="20"/>
        </w:rPr>
        <w:t>, por medio del</w:t>
      </w:r>
      <w:r w:rsidRPr="00C50883">
        <w:rPr>
          <w:rFonts w:ascii="Verdana" w:hAnsi="Verdana"/>
          <w:sz w:val="20"/>
        </w:rPr>
        <w:t xml:space="preserve"> cual se habr</w:t>
      </w:r>
      <w:r w:rsidRPr="00AB7EF2">
        <w:rPr>
          <w:rFonts w:ascii="Verdana" w:hAnsi="Verdana"/>
          <w:sz w:val="20"/>
        </w:rPr>
        <w:t xml:space="preserve">ía incrementado la presencia militar en la zona a partir </w:t>
      </w:r>
      <w:r w:rsidR="0063523A" w:rsidRPr="00C76D12">
        <w:rPr>
          <w:rFonts w:ascii="Verdana" w:hAnsi="Verdana"/>
          <w:sz w:val="20"/>
        </w:rPr>
        <w:t>de octubre de</w:t>
      </w:r>
      <w:r w:rsidRPr="00624DE5">
        <w:rPr>
          <w:rFonts w:ascii="Verdana" w:hAnsi="Verdana"/>
          <w:sz w:val="20"/>
        </w:rPr>
        <w:t xml:space="preserve"> 2009</w:t>
      </w:r>
      <w:r w:rsidR="00B93CB5" w:rsidRPr="00C90B3F">
        <w:rPr>
          <w:rFonts w:ascii="Verdana" w:hAnsi="Verdana"/>
          <w:sz w:val="20"/>
          <w:szCs w:val="20"/>
        </w:rPr>
        <w:t>,</w:t>
      </w:r>
      <w:r w:rsidR="002B53FB" w:rsidRPr="00DE7633">
        <w:rPr>
          <w:rFonts w:ascii="Verdana" w:hAnsi="Verdana"/>
          <w:sz w:val="20"/>
        </w:rPr>
        <w:t xml:space="preserve"> habiéndose inclusive advertido </w:t>
      </w:r>
      <w:r w:rsidR="00B93CB5" w:rsidRPr="00C90B3F">
        <w:rPr>
          <w:rFonts w:ascii="Verdana" w:hAnsi="Verdana"/>
          <w:sz w:val="20"/>
          <w:szCs w:val="20"/>
        </w:rPr>
        <w:t xml:space="preserve">por diversos testigos el </w:t>
      </w:r>
      <w:r w:rsidR="002B53FB" w:rsidRPr="00DE7633">
        <w:rPr>
          <w:rFonts w:ascii="Verdana" w:hAnsi="Verdana"/>
          <w:sz w:val="20"/>
        </w:rPr>
        <w:t xml:space="preserve">recorrido </w:t>
      </w:r>
      <w:r w:rsidR="000346C2">
        <w:rPr>
          <w:rFonts w:ascii="Verdana" w:hAnsi="Verdana"/>
          <w:sz w:val="20"/>
          <w:szCs w:val="20"/>
        </w:rPr>
        <w:t>−</w:t>
      </w:r>
      <w:r w:rsidR="002B53FB" w:rsidRPr="00DE7633">
        <w:rPr>
          <w:rFonts w:ascii="Verdana" w:hAnsi="Verdana"/>
          <w:sz w:val="20"/>
        </w:rPr>
        <w:t xml:space="preserve">días antes </w:t>
      </w:r>
      <w:r w:rsidR="00B93CB5" w:rsidRPr="00C90B3F">
        <w:rPr>
          <w:rFonts w:ascii="Verdana" w:hAnsi="Verdana"/>
          <w:sz w:val="20"/>
          <w:szCs w:val="20"/>
        </w:rPr>
        <w:t>de las desapariciones</w:t>
      </w:r>
      <w:r w:rsidR="000346C2">
        <w:rPr>
          <w:rFonts w:ascii="Verdana" w:hAnsi="Verdana"/>
          <w:sz w:val="20"/>
          <w:szCs w:val="20"/>
        </w:rPr>
        <w:t xml:space="preserve">− </w:t>
      </w:r>
      <w:r w:rsidR="00B93CB5" w:rsidRPr="00C90B3F">
        <w:rPr>
          <w:rFonts w:ascii="Verdana" w:hAnsi="Verdana"/>
          <w:sz w:val="20"/>
          <w:szCs w:val="20"/>
        </w:rPr>
        <w:t xml:space="preserve">de fuerzas militares </w:t>
      </w:r>
      <w:r w:rsidR="00726A5A">
        <w:rPr>
          <w:rFonts w:ascii="Verdana" w:hAnsi="Verdana"/>
          <w:sz w:val="20"/>
          <w:szCs w:val="20"/>
        </w:rPr>
        <w:t xml:space="preserve">en el Ejido Benito Juárez </w:t>
      </w:r>
      <w:r w:rsidR="00726A5A">
        <w:rPr>
          <w:rFonts w:ascii="Verdana" w:hAnsi="Verdana"/>
          <w:sz w:val="20"/>
        </w:rPr>
        <w:t xml:space="preserve">a bordo de una de </w:t>
      </w:r>
      <w:r w:rsidR="002B53FB" w:rsidRPr="00DE7633">
        <w:rPr>
          <w:rFonts w:ascii="Verdana" w:hAnsi="Verdana"/>
          <w:sz w:val="20"/>
        </w:rPr>
        <w:t>la</w:t>
      </w:r>
      <w:r w:rsidR="00726A5A">
        <w:rPr>
          <w:rFonts w:ascii="Verdana" w:hAnsi="Verdana"/>
          <w:sz w:val="20"/>
        </w:rPr>
        <w:t>s</w:t>
      </w:r>
      <w:r w:rsidR="002B53FB" w:rsidRPr="00DE7633">
        <w:rPr>
          <w:rFonts w:ascii="Verdana" w:hAnsi="Verdana"/>
          <w:sz w:val="20"/>
        </w:rPr>
        <w:t xml:space="preserve"> camioneta</w:t>
      </w:r>
      <w:r w:rsidR="00726A5A">
        <w:rPr>
          <w:rFonts w:ascii="Verdana" w:hAnsi="Verdana"/>
          <w:sz w:val="20"/>
        </w:rPr>
        <w:t>s</w:t>
      </w:r>
      <w:r w:rsidR="002B53FB" w:rsidRPr="00DE7633">
        <w:rPr>
          <w:rFonts w:ascii="Verdana" w:hAnsi="Verdana"/>
          <w:sz w:val="20"/>
        </w:rPr>
        <w:t xml:space="preserve"> involucrada</w:t>
      </w:r>
      <w:r w:rsidR="00726A5A">
        <w:rPr>
          <w:rFonts w:ascii="Verdana" w:hAnsi="Verdana"/>
          <w:sz w:val="20"/>
        </w:rPr>
        <w:t>s</w:t>
      </w:r>
      <w:r w:rsidR="002B53FB" w:rsidRPr="00DE7633">
        <w:rPr>
          <w:rFonts w:ascii="Verdana" w:hAnsi="Verdana"/>
          <w:sz w:val="20"/>
        </w:rPr>
        <w:t xml:space="preserve"> en las detenciones (</w:t>
      </w:r>
      <w:r w:rsidR="00F40CA4" w:rsidRPr="00BB0467">
        <w:rPr>
          <w:rFonts w:ascii="Verdana" w:hAnsi="Verdana"/>
          <w:i/>
          <w:sz w:val="20"/>
          <w:szCs w:val="20"/>
        </w:rPr>
        <w:t xml:space="preserve">supra </w:t>
      </w:r>
      <w:r w:rsidR="008308B3">
        <w:rPr>
          <w:rFonts w:ascii="Verdana" w:hAnsi="Verdana"/>
          <w:sz w:val="20"/>
          <w:szCs w:val="20"/>
        </w:rPr>
        <w:t xml:space="preserve">párr. 73 </w:t>
      </w:r>
      <w:r w:rsidR="00B93CB5" w:rsidRPr="003564A3">
        <w:rPr>
          <w:rFonts w:ascii="Verdana" w:hAnsi="Verdana"/>
          <w:i/>
          <w:sz w:val="20"/>
          <w:szCs w:val="20"/>
        </w:rPr>
        <w:t xml:space="preserve">e </w:t>
      </w:r>
      <w:r w:rsidR="002B53FB" w:rsidRPr="00BB0467">
        <w:rPr>
          <w:rFonts w:ascii="Verdana" w:hAnsi="Verdana"/>
          <w:i/>
          <w:sz w:val="20"/>
        </w:rPr>
        <w:t>infra</w:t>
      </w:r>
      <w:r w:rsidR="00AD5CFC">
        <w:rPr>
          <w:rFonts w:ascii="Verdana" w:hAnsi="Verdana"/>
          <w:i/>
          <w:sz w:val="20"/>
        </w:rPr>
        <w:t xml:space="preserve"> </w:t>
      </w:r>
      <w:r w:rsidR="008308B3">
        <w:rPr>
          <w:rFonts w:ascii="Verdana" w:hAnsi="Verdana"/>
          <w:sz w:val="20"/>
        </w:rPr>
        <w:t>párr</w:t>
      </w:r>
      <w:r w:rsidR="00AD5CFC">
        <w:rPr>
          <w:rFonts w:ascii="Verdana" w:hAnsi="Verdana"/>
          <w:sz w:val="20"/>
        </w:rPr>
        <w:t>.</w:t>
      </w:r>
      <w:r w:rsidR="002B53FB" w:rsidRPr="00DE7633">
        <w:rPr>
          <w:rFonts w:ascii="Verdana" w:hAnsi="Verdana"/>
          <w:sz w:val="20"/>
        </w:rPr>
        <w:t xml:space="preserve"> </w:t>
      </w:r>
      <w:r w:rsidR="008308B3">
        <w:rPr>
          <w:rFonts w:ascii="Verdana" w:hAnsi="Verdana"/>
          <w:sz w:val="20"/>
        </w:rPr>
        <w:t>186</w:t>
      </w:r>
      <w:r w:rsidR="002B53FB" w:rsidRPr="00DE7633">
        <w:rPr>
          <w:rFonts w:ascii="Verdana" w:hAnsi="Verdana"/>
          <w:sz w:val="20"/>
        </w:rPr>
        <w:t>).</w:t>
      </w:r>
      <w:r w:rsidR="002B53FB">
        <w:rPr>
          <w:rFonts w:ascii="Verdana" w:hAnsi="Verdana"/>
          <w:sz w:val="20"/>
          <w:szCs w:val="20"/>
        </w:rPr>
        <w:t xml:space="preserve"> </w:t>
      </w:r>
    </w:p>
    <w:p w14:paraId="1E6CE0DA" w14:textId="4A527640" w:rsidR="0044158A" w:rsidRPr="0044158A" w:rsidRDefault="00B93CB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C90B3F">
        <w:rPr>
          <w:rFonts w:ascii="Verdana" w:hAnsi="Verdana"/>
          <w:sz w:val="20"/>
          <w:szCs w:val="20"/>
        </w:rPr>
        <w:t xml:space="preserve">La Corte constata que la implementación del </w:t>
      </w:r>
      <w:r w:rsidR="005238CF">
        <w:rPr>
          <w:rFonts w:ascii="Verdana" w:hAnsi="Verdana"/>
          <w:sz w:val="20"/>
          <w:szCs w:val="20"/>
        </w:rPr>
        <w:t>“O</w:t>
      </w:r>
      <w:r w:rsidRPr="00C90B3F">
        <w:rPr>
          <w:rFonts w:ascii="Verdana" w:hAnsi="Verdana"/>
          <w:sz w:val="20"/>
          <w:szCs w:val="20"/>
        </w:rPr>
        <w:t xml:space="preserve">perativo </w:t>
      </w:r>
      <w:r w:rsidR="005238CF">
        <w:rPr>
          <w:rFonts w:ascii="Verdana" w:hAnsi="Verdana"/>
          <w:sz w:val="20"/>
          <w:szCs w:val="20"/>
        </w:rPr>
        <w:t>C</w:t>
      </w:r>
      <w:r w:rsidRPr="00C90B3F">
        <w:rPr>
          <w:rFonts w:ascii="Verdana" w:hAnsi="Verdana"/>
          <w:sz w:val="20"/>
          <w:szCs w:val="20"/>
        </w:rPr>
        <w:t>onjunto</w:t>
      </w:r>
      <w:r w:rsidR="005238CF">
        <w:rPr>
          <w:rFonts w:ascii="Verdana" w:hAnsi="Verdana"/>
          <w:sz w:val="20"/>
          <w:szCs w:val="20"/>
        </w:rPr>
        <w:t>”</w:t>
      </w:r>
      <w:r w:rsidRPr="00C90B3F">
        <w:rPr>
          <w:rFonts w:ascii="Verdana" w:hAnsi="Verdana"/>
          <w:sz w:val="20"/>
          <w:szCs w:val="20"/>
        </w:rPr>
        <w:t xml:space="preserve"> materia de este caso, no contaba con una regulación o aplicación que previera la excepcionalidad y temporalidad de la </w:t>
      </w:r>
      <w:r w:rsidR="005238CF">
        <w:rPr>
          <w:rFonts w:ascii="Verdana" w:hAnsi="Verdana"/>
          <w:sz w:val="20"/>
          <w:szCs w:val="20"/>
        </w:rPr>
        <w:t>actua</w:t>
      </w:r>
      <w:r w:rsidR="005238CF" w:rsidRPr="00C90B3F">
        <w:rPr>
          <w:rFonts w:ascii="Verdana" w:hAnsi="Verdana"/>
          <w:sz w:val="20"/>
          <w:szCs w:val="20"/>
        </w:rPr>
        <w:t xml:space="preserve">ción </w:t>
      </w:r>
      <w:r w:rsidRPr="00C90B3F">
        <w:rPr>
          <w:rFonts w:ascii="Verdana" w:hAnsi="Verdana"/>
          <w:sz w:val="20"/>
          <w:szCs w:val="20"/>
        </w:rPr>
        <w:t xml:space="preserve">militar, así como demás salvaguardias frente </w:t>
      </w:r>
      <w:r w:rsidR="000346C2">
        <w:rPr>
          <w:rFonts w:ascii="Verdana" w:hAnsi="Verdana"/>
          <w:sz w:val="20"/>
          <w:szCs w:val="20"/>
        </w:rPr>
        <w:t xml:space="preserve">a </w:t>
      </w:r>
      <w:r w:rsidRPr="00C90B3F">
        <w:rPr>
          <w:rFonts w:ascii="Verdana" w:hAnsi="Verdana"/>
          <w:sz w:val="20"/>
          <w:szCs w:val="20"/>
        </w:rPr>
        <w:t>este tipo de intervenciones (</w:t>
      </w:r>
      <w:r w:rsidR="00F40CA4" w:rsidRPr="00F40CA4">
        <w:rPr>
          <w:rFonts w:ascii="Verdana" w:hAnsi="Verdana"/>
          <w:i/>
          <w:sz w:val="20"/>
          <w:szCs w:val="20"/>
        </w:rPr>
        <w:t xml:space="preserve">supra </w:t>
      </w:r>
      <w:r w:rsidRPr="00C90B3F">
        <w:rPr>
          <w:rFonts w:ascii="Verdana" w:hAnsi="Verdana"/>
          <w:sz w:val="20"/>
          <w:szCs w:val="20"/>
        </w:rPr>
        <w:t xml:space="preserve">párr. </w:t>
      </w:r>
      <w:r w:rsidR="00B04C0B">
        <w:rPr>
          <w:rFonts w:ascii="Verdana" w:hAnsi="Verdana"/>
          <w:sz w:val="20"/>
          <w:szCs w:val="20"/>
        </w:rPr>
        <w:t>182 a 183</w:t>
      </w:r>
      <w:r w:rsidRPr="00C90B3F">
        <w:rPr>
          <w:rFonts w:ascii="Verdana" w:hAnsi="Verdana"/>
          <w:sz w:val="20"/>
          <w:szCs w:val="20"/>
        </w:rPr>
        <w:t>), menos aún con una fiscalización independiente de sus operaciones, como quedó demostrado</w:t>
      </w:r>
      <w:r w:rsidR="00DC15D5">
        <w:rPr>
          <w:rFonts w:ascii="Verdana" w:hAnsi="Verdana"/>
          <w:sz w:val="20"/>
          <w:szCs w:val="20"/>
        </w:rPr>
        <w:t>, entre otras</w:t>
      </w:r>
      <w:r w:rsidR="0048046E">
        <w:rPr>
          <w:rFonts w:ascii="Verdana" w:hAnsi="Verdana"/>
          <w:sz w:val="20"/>
          <w:szCs w:val="20"/>
        </w:rPr>
        <w:t xml:space="preserve"> probanzas</w:t>
      </w:r>
      <w:r w:rsidR="00DC15D5">
        <w:rPr>
          <w:rFonts w:ascii="Verdana" w:hAnsi="Verdana"/>
          <w:sz w:val="20"/>
          <w:szCs w:val="20"/>
        </w:rPr>
        <w:t>,</w:t>
      </w:r>
      <w:r w:rsidRPr="00C90B3F">
        <w:rPr>
          <w:rFonts w:ascii="Verdana" w:hAnsi="Verdana"/>
          <w:sz w:val="20"/>
          <w:szCs w:val="20"/>
        </w:rPr>
        <w:t xml:space="preserve"> con la Queja </w:t>
      </w:r>
      <w:r w:rsidR="0066676A">
        <w:rPr>
          <w:rFonts w:ascii="Verdana" w:hAnsi="Verdana"/>
          <w:sz w:val="20"/>
          <w:szCs w:val="20"/>
        </w:rPr>
        <w:t>886/</w:t>
      </w:r>
      <w:r w:rsidR="00DF55D6">
        <w:rPr>
          <w:rFonts w:ascii="Verdana" w:hAnsi="Verdana"/>
          <w:sz w:val="20"/>
          <w:szCs w:val="20"/>
        </w:rPr>
        <w:t xml:space="preserve">09 </w:t>
      </w:r>
      <w:r w:rsidRPr="00C90B3F">
        <w:rPr>
          <w:rFonts w:ascii="Verdana" w:hAnsi="Verdana"/>
          <w:sz w:val="20"/>
          <w:szCs w:val="20"/>
        </w:rPr>
        <w:t xml:space="preserve">interpuesta ante el propio </w:t>
      </w:r>
      <w:r w:rsidR="00DF55D6">
        <w:rPr>
          <w:rFonts w:ascii="Verdana" w:hAnsi="Verdana"/>
          <w:sz w:val="20"/>
          <w:szCs w:val="20"/>
        </w:rPr>
        <w:t>“</w:t>
      </w:r>
      <w:r w:rsidR="0048046E">
        <w:rPr>
          <w:rFonts w:ascii="Verdana" w:hAnsi="Verdana"/>
          <w:sz w:val="20"/>
          <w:szCs w:val="20"/>
        </w:rPr>
        <w:t>P</w:t>
      </w:r>
      <w:r w:rsidR="00DF55D6">
        <w:rPr>
          <w:rFonts w:ascii="Verdana" w:hAnsi="Verdana"/>
          <w:sz w:val="20"/>
          <w:szCs w:val="20"/>
        </w:rPr>
        <w:t>rograma</w:t>
      </w:r>
      <w:r w:rsidR="008472CA">
        <w:rPr>
          <w:rFonts w:ascii="Verdana" w:hAnsi="Verdana"/>
          <w:sz w:val="20"/>
          <w:szCs w:val="20"/>
        </w:rPr>
        <w:t xml:space="preserve"> de Atención y Quejas” </w:t>
      </w:r>
      <w:r w:rsidRPr="00C90B3F">
        <w:rPr>
          <w:rFonts w:ascii="Verdana" w:hAnsi="Verdana"/>
          <w:sz w:val="20"/>
          <w:szCs w:val="20"/>
        </w:rPr>
        <w:t xml:space="preserve">del </w:t>
      </w:r>
      <w:r w:rsidR="008472CA">
        <w:rPr>
          <w:rFonts w:ascii="Verdana" w:hAnsi="Verdana"/>
          <w:sz w:val="20"/>
          <w:szCs w:val="20"/>
        </w:rPr>
        <w:t>“</w:t>
      </w:r>
      <w:r w:rsidRPr="00C90B3F">
        <w:rPr>
          <w:rFonts w:ascii="Verdana" w:hAnsi="Verdana"/>
          <w:sz w:val="20"/>
          <w:szCs w:val="20"/>
        </w:rPr>
        <w:t>Operativo</w:t>
      </w:r>
      <w:r w:rsidR="008472CA">
        <w:rPr>
          <w:rFonts w:ascii="Verdana" w:hAnsi="Verdana"/>
          <w:sz w:val="20"/>
          <w:szCs w:val="20"/>
        </w:rPr>
        <w:t>”</w:t>
      </w:r>
      <w:r w:rsidRPr="00C90B3F">
        <w:rPr>
          <w:rFonts w:ascii="Verdana" w:hAnsi="Verdana"/>
          <w:sz w:val="20"/>
          <w:szCs w:val="20"/>
        </w:rPr>
        <w:t xml:space="preserve"> y la remisión del caso a la jurisdicción militar (</w:t>
      </w:r>
      <w:r w:rsidR="00F40CA4" w:rsidRPr="00F40CA4">
        <w:rPr>
          <w:rFonts w:ascii="Verdana" w:hAnsi="Verdana"/>
          <w:i/>
          <w:sz w:val="20"/>
          <w:szCs w:val="20"/>
        </w:rPr>
        <w:t xml:space="preserve">supra </w:t>
      </w:r>
      <w:r w:rsidR="000346C2">
        <w:rPr>
          <w:rFonts w:ascii="Verdana" w:hAnsi="Verdana"/>
          <w:sz w:val="20"/>
          <w:szCs w:val="20"/>
        </w:rPr>
        <w:t xml:space="preserve">párr. </w:t>
      </w:r>
      <w:r w:rsidR="006F7298">
        <w:rPr>
          <w:rFonts w:ascii="Verdana" w:hAnsi="Verdana"/>
          <w:sz w:val="20"/>
          <w:szCs w:val="20"/>
        </w:rPr>
        <w:t>1</w:t>
      </w:r>
      <w:r w:rsidR="000346C2">
        <w:rPr>
          <w:rFonts w:ascii="Verdana" w:hAnsi="Verdana"/>
          <w:sz w:val="20"/>
          <w:szCs w:val="20"/>
        </w:rPr>
        <w:t>1</w:t>
      </w:r>
      <w:r w:rsidR="006F7298">
        <w:rPr>
          <w:rFonts w:ascii="Verdana" w:hAnsi="Verdana"/>
          <w:sz w:val="20"/>
          <w:szCs w:val="20"/>
        </w:rPr>
        <w:t>2</w:t>
      </w:r>
      <w:r w:rsidRPr="00C90B3F">
        <w:rPr>
          <w:rFonts w:ascii="Verdana" w:hAnsi="Verdana"/>
          <w:sz w:val="20"/>
          <w:szCs w:val="20"/>
        </w:rPr>
        <w:t xml:space="preserve"> </w:t>
      </w:r>
      <w:r w:rsidRPr="008D0846">
        <w:rPr>
          <w:rFonts w:ascii="Verdana" w:hAnsi="Verdana"/>
          <w:sz w:val="20"/>
          <w:szCs w:val="20"/>
        </w:rPr>
        <w:t>e</w:t>
      </w:r>
      <w:r w:rsidRPr="003564A3">
        <w:rPr>
          <w:rFonts w:ascii="Verdana" w:hAnsi="Verdana"/>
          <w:i/>
          <w:sz w:val="20"/>
          <w:szCs w:val="20"/>
        </w:rPr>
        <w:t xml:space="preserve"> infra</w:t>
      </w:r>
      <w:r w:rsidRPr="00C90B3F">
        <w:rPr>
          <w:rFonts w:ascii="Verdana" w:hAnsi="Verdana"/>
          <w:sz w:val="20"/>
          <w:szCs w:val="20"/>
        </w:rPr>
        <w:t xml:space="preserve"> </w:t>
      </w:r>
      <w:r w:rsidR="000346C2">
        <w:rPr>
          <w:rFonts w:ascii="Verdana" w:hAnsi="Verdana"/>
          <w:sz w:val="20"/>
          <w:szCs w:val="20"/>
        </w:rPr>
        <w:t>párrs. 231 a 236</w:t>
      </w:r>
      <w:r w:rsidRPr="00C90B3F">
        <w:rPr>
          <w:rFonts w:ascii="Verdana" w:hAnsi="Verdana"/>
          <w:sz w:val="20"/>
          <w:szCs w:val="20"/>
        </w:rPr>
        <w:t xml:space="preserve">). </w:t>
      </w:r>
    </w:p>
    <w:p w14:paraId="64AA6007" w14:textId="107DBF9A" w:rsidR="002E1C85" w:rsidRPr="0036073A" w:rsidRDefault="00330086">
      <w:pPr>
        <w:pStyle w:val="Ttulo5"/>
        <w:numPr>
          <w:ilvl w:val="0"/>
          <w:numId w:val="20"/>
        </w:numPr>
        <w:spacing w:before="120" w:after="120"/>
        <w:contextualSpacing w:val="0"/>
      </w:pPr>
      <w:r w:rsidRPr="0036073A">
        <w:t xml:space="preserve"> </w:t>
      </w:r>
      <w:bookmarkStart w:id="200" w:name="_Toc532995370"/>
      <w:r w:rsidR="002E1C85" w:rsidRPr="0036073A">
        <w:t>Las declaraciones de los testigos presenciales y referenciales sobre los hechos</w:t>
      </w:r>
      <w:bookmarkEnd w:id="200"/>
    </w:p>
    <w:p w14:paraId="64AA6009" w14:textId="3A27DDD9" w:rsidR="002E1C85" w:rsidRPr="002B53FB"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La Corte recuerda que es un hecho probado que en el marco de los procedimientos internos se recabaron testimonios presenciales de familiares que identificaron como autores de la detención de los desaparecidos a elementos del Ejército por el tipo de vestimenta y armamento que portaban los captores (</w:t>
      </w:r>
      <w:r w:rsidRPr="00813B72">
        <w:rPr>
          <w:rFonts w:ascii="Verdana" w:hAnsi="Verdana"/>
          <w:i/>
          <w:sz w:val="20"/>
          <w:szCs w:val="20"/>
        </w:rPr>
        <w:t>supra</w:t>
      </w:r>
      <w:r w:rsidRPr="00813B72">
        <w:rPr>
          <w:rFonts w:ascii="Verdana" w:hAnsi="Verdana"/>
          <w:sz w:val="20"/>
          <w:szCs w:val="20"/>
        </w:rPr>
        <w:t xml:space="preserve"> párrs. </w:t>
      </w:r>
      <w:r w:rsidR="00283EEF">
        <w:rPr>
          <w:rFonts w:ascii="Verdana" w:hAnsi="Verdana"/>
          <w:sz w:val="20"/>
          <w:szCs w:val="20"/>
        </w:rPr>
        <w:t>80 y 84</w:t>
      </w:r>
      <w:r w:rsidRPr="00813B72">
        <w:rPr>
          <w:rFonts w:ascii="Verdana" w:hAnsi="Verdana"/>
          <w:sz w:val="20"/>
          <w:szCs w:val="20"/>
        </w:rPr>
        <w:t>). Adicionalmente, el Tribunal constata que los familiares refirieron en diversas declaraciones haber identificado dicha vestimenta militar, la cual es correspondiente a la empleada por algunas unidades del Ejército (</w:t>
      </w:r>
      <w:r w:rsidRPr="00813B72">
        <w:rPr>
          <w:rFonts w:ascii="Verdana" w:hAnsi="Verdana"/>
          <w:i/>
          <w:sz w:val="20"/>
          <w:szCs w:val="20"/>
        </w:rPr>
        <w:t>supra</w:t>
      </w:r>
      <w:r w:rsidRPr="00813B72">
        <w:rPr>
          <w:rFonts w:ascii="Verdana" w:hAnsi="Verdana"/>
          <w:sz w:val="20"/>
          <w:szCs w:val="20"/>
        </w:rPr>
        <w:t xml:space="preserve"> párr. </w:t>
      </w:r>
      <w:r w:rsidR="00283EEF">
        <w:rPr>
          <w:rFonts w:ascii="Verdana" w:hAnsi="Verdana"/>
          <w:sz w:val="20"/>
          <w:szCs w:val="20"/>
        </w:rPr>
        <w:t>111</w:t>
      </w:r>
      <w:r w:rsidRPr="00813B72">
        <w:rPr>
          <w:rFonts w:ascii="Verdana" w:hAnsi="Verdana"/>
          <w:sz w:val="20"/>
          <w:szCs w:val="20"/>
        </w:rPr>
        <w:t>), así como una de las camionetas utilizadas por quienes detuvieron a los tres desaparecidos; a saber:</w:t>
      </w:r>
    </w:p>
    <w:p w14:paraId="64AA600A" w14:textId="11B86BE2" w:rsidR="00265E6C" w:rsidRPr="00485172" w:rsidRDefault="002E1C85" w:rsidP="00DB378B">
      <w:pPr>
        <w:pStyle w:val="Prrafodelista"/>
        <w:numPr>
          <w:ilvl w:val="1"/>
          <w:numId w:val="12"/>
        </w:numPr>
        <w:spacing w:before="120" w:after="120" w:line="240" w:lineRule="auto"/>
        <w:ind w:left="720" w:right="4"/>
        <w:contextualSpacing w:val="0"/>
        <w:jc w:val="both"/>
        <w:rPr>
          <w:rFonts w:ascii="Verdana" w:hAnsi="Verdana"/>
          <w:sz w:val="18"/>
          <w:szCs w:val="20"/>
        </w:rPr>
      </w:pPr>
      <w:r w:rsidRPr="00485172">
        <w:rPr>
          <w:rFonts w:ascii="Verdana" w:hAnsi="Verdana"/>
          <w:sz w:val="18"/>
          <w:szCs w:val="20"/>
        </w:rPr>
        <w:t>Patricia Reyes Rueda y su hijo A.A.R. señalaron que una vez que los elementos salieron de su domicilio tras haber aprehendido a Rocío Irene Alvarado, se asomaron por una ventana y observaron la camioneta en la cual fue introducida su familiar, la cual reconocieron como el mismo vehículo en que habían visto circular a elementos del Ejército en el Ejido Benito Juárez previo a que ocurriera dicha detención</w:t>
      </w:r>
      <w:r w:rsidRPr="00485172">
        <w:rPr>
          <w:rStyle w:val="Refdenotaalpie"/>
          <w:rFonts w:ascii="Verdana" w:hAnsi="Verdana"/>
          <w:sz w:val="18"/>
          <w:szCs w:val="20"/>
        </w:rPr>
        <w:footnoteReference w:id="417"/>
      </w:r>
      <w:r w:rsidR="00D60ADB" w:rsidRPr="00485172">
        <w:rPr>
          <w:rFonts w:ascii="Verdana" w:hAnsi="Verdana"/>
          <w:sz w:val="18"/>
          <w:szCs w:val="20"/>
        </w:rPr>
        <w:t>;</w:t>
      </w:r>
    </w:p>
    <w:p w14:paraId="64AA600B" w14:textId="4CC30AE5" w:rsidR="00265E6C" w:rsidRPr="00485172" w:rsidRDefault="00D60ADB" w:rsidP="00DB378B">
      <w:pPr>
        <w:pStyle w:val="Prrafodelista"/>
        <w:numPr>
          <w:ilvl w:val="1"/>
          <w:numId w:val="12"/>
        </w:numPr>
        <w:spacing w:before="120" w:after="120" w:line="240" w:lineRule="auto"/>
        <w:ind w:left="720" w:right="4"/>
        <w:contextualSpacing w:val="0"/>
        <w:jc w:val="both"/>
        <w:rPr>
          <w:rFonts w:ascii="Verdana" w:hAnsi="Verdana"/>
          <w:sz w:val="18"/>
          <w:szCs w:val="20"/>
        </w:rPr>
      </w:pPr>
      <w:r w:rsidRPr="00485172">
        <w:rPr>
          <w:rFonts w:ascii="Verdana" w:hAnsi="Verdana"/>
          <w:sz w:val="18"/>
          <w:szCs w:val="20"/>
        </w:rPr>
        <w:t>a</w:t>
      </w:r>
      <w:r w:rsidR="002E1C85" w:rsidRPr="00485172">
        <w:rPr>
          <w:rFonts w:ascii="Verdana" w:hAnsi="Verdana"/>
          <w:sz w:val="18"/>
          <w:szCs w:val="20"/>
        </w:rPr>
        <w:t>simismo, Marissa Reyes Rueda y Manuel Reyes Lira (tía y abuelo de Rocío Irene Alvarado) declararon que una vez que Patricia Reyes les dio aviso vía telefónica de la detención de Rocío Irene Alvarado se trasladaron al lugar de los hechos y su familiar les comentó que “los soldados habían llegado en una troca particular”. Con base en la descripción que les hicieron los testigos presenciales, ambos familiares reconocieron a dicho vehículo como la camioneta gris en que días antes de los hechos habían observado circular a elementos del Ejército Mexicano en el Ejido Benito Juárez</w:t>
      </w:r>
      <w:r w:rsidR="002E1C85" w:rsidRPr="00485172">
        <w:rPr>
          <w:rStyle w:val="Refdenotaalpie"/>
          <w:rFonts w:ascii="Verdana" w:hAnsi="Verdana"/>
          <w:sz w:val="18"/>
          <w:szCs w:val="20"/>
        </w:rPr>
        <w:footnoteReference w:id="418"/>
      </w:r>
      <w:r w:rsidRPr="00485172">
        <w:rPr>
          <w:rFonts w:ascii="Verdana" w:hAnsi="Verdana"/>
          <w:sz w:val="18"/>
          <w:szCs w:val="20"/>
        </w:rPr>
        <w:t>, y</w:t>
      </w:r>
    </w:p>
    <w:p w14:paraId="64AA600D" w14:textId="58FC9730" w:rsidR="002E1C85" w:rsidRPr="00485172" w:rsidRDefault="00D60ADB" w:rsidP="00DB378B">
      <w:pPr>
        <w:pStyle w:val="Prrafodelista"/>
        <w:numPr>
          <w:ilvl w:val="1"/>
          <w:numId w:val="12"/>
        </w:numPr>
        <w:spacing w:before="120" w:after="120" w:line="240" w:lineRule="auto"/>
        <w:ind w:left="720" w:right="4"/>
        <w:contextualSpacing w:val="0"/>
        <w:jc w:val="both"/>
        <w:rPr>
          <w:rFonts w:ascii="Verdana" w:hAnsi="Verdana"/>
          <w:sz w:val="18"/>
          <w:szCs w:val="18"/>
        </w:rPr>
      </w:pPr>
      <w:r w:rsidRPr="00485172">
        <w:rPr>
          <w:rFonts w:ascii="Verdana" w:hAnsi="Verdana"/>
          <w:sz w:val="18"/>
          <w:szCs w:val="18"/>
        </w:rPr>
        <w:lastRenderedPageBreak/>
        <w:t>e</w:t>
      </w:r>
      <w:r w:rsidR="002E1C85" w:rsidRPr="00485172">
        <w:rPr>
          <w:rFonts w:ascii="Verdana" w:hAnsi="Verdana"/>
          <w:sz w:val="18"/>
          <w:szCs w:val="18"/>
        </w:rPr>
        <w:t xml:space="preserve">l 27 de octubre de 2014 Patricia Reyes Rueda y Obdulia Espinoza Beltrán comparecieron ante el AMPF adscrito a la UEBPD - PGR. En dicha diligencia la autoridad investigadora les mostró el dictamen pericial con fotografías de </w:t>
      </w:r>
      <w:r w:rsidR="00347E4D" w:rsidRPr="00485172">
        <w:rPr>
          <w:rFonts w:ascii="Verdana" w:hAnsi="Verdana"/>
          <w:sz w:val="18"/>
          <w:szCs w:val="18"/>
        </w:rPr>
        <w:t xml:space="preserve">fecha </w:t>
      </w:r>
      <w:r w:rsidR="002E1C85" w:rsidRPr="00485172">
        <w:rPr>
          <w:rFonts w:ascii="Verdana" w:hAnsi="Verdana"/>
          <w:sz w:val="18"/>
          <w:szCs w:val="18"/>
        </w:rPr>
        <w:t>16 de octubre de 2014 practicado a una camioneta tipo Pick Up, doble cabina, color gris, que había estado bajo custodia del 35 Batallón de Infantería del Ejército del 1 de junio de 2009 al 10 de febrero de 2010 con motivo de un aseguramiento relacionado con actos ilícitos materia de otra investigación criminal. Tras observar dichas fotografías, ambas testigos señalaron que se trataba del mismo vehículo utilizado por los captores el día de los hechos para sustraer a sus familiares</w:t>
      </w:r>
      <w:r w:rsidR="002E1C85" w:rsidRPr="00485172">
        <w:rPr>
          <w:rFonts w:ascii="Verdana" w:hAnsi="Verdana"/>
          <w:sz w:val="18"/>
          <w:szCs w:val="18"/>
          <w:vertAlign w:val="superscript"/>
        </w:rPr>
        <w:footnoteReference w:id="419"/>
      </w:r>
      <w:r w:rsidR="002E1C85" w:rsidRPr="00485172">
        <w:rPr>
          <w:rFonts w:ascii="Verdana" w:hAnsi="Verdana"/>
          <w:sz w:val="18"/>
          <w:szCs w:val="18"/>
        </w:rPr>
        <w:t>. Asimismo, después de observar una serie de fotografías de elementos del Ejército vestidos con uniformes de color beige y verde y portando cascos correspondientes a los utilizados por el personal del 23º Batallón de Infantería y 20º Regimiento de Caballería Motorizada del Ejército el día de la desaparición de sus familiares y remitidas por sus respectivos comandantes en el marco de las investigaciones (</w:t>
      </w:r>
      <w:r w:rsidR="002E1C85" w:rsidRPr="00485172">
        <w:rPr>
          <w:rFonts w:ascii="Verdana" w:hAnsi="Verdana"/>
          <w:i/>
          <w:sz w:val="18"/>
          <w:szCs w:val="18"/>
        </w:rPr>
        <w:t>supra</w:t>
      </w:r>
      <w:r w:rsidR="002E1C85" w:rsidRPr="00485172">
        <w:rPr>
          <w:rFonts w:ascii="Verdana" w:hAnsi="Verdana"/>
          <w:sz w:val="18"/>
          <w:szCs w:val="18"/>
        </w:rPr>
        <w:t xml:space="preserve"> párr.</w:t>
      </w:r>
      <w:r w:rsidR="00CC7C68" w:rsidRPr="00485172">
        <w:rPr>
          <w:rFonts w:ascii="Verdana" w:hAnsi="Verdana"/>
          <w:sz w:val="18"/>
          <w:szCs w:val="18"/>
        </w:rPr>
        <w:t xml:space="preserve"> 111</w:t>
      </w:r>
      <w:r w:rsidR="002E1C85" w:rsidRPr="00485172">
        <w:rPr>
          <w:rFonts w:ascii="Verdana" w:hAnsi="Verdana"/>
          <w:sz w:val="18"/>
          <w:szCs w:val="18"/>
        </w:rPr>
        <w:t xml:space="preserve">, </w:t>
      </w:r>
      <w:r w:rsidR="00CC7C68" w:rsidRPr="00485172">
        <w:rPr>
          <w:rFonts w:ascii="Verdana" w:hAnsi="Verdana"/>
          <w:sz w:val="18"/>
          <w:szCs w:val="18"/>
        </w:rPr>
        <w:t>numeral ii</w:t>
      </w:r>
      <w:r w:rsidR="002E1C85" w:rsidRPr="00485172">
        <w:rPr>
          <w:rFonts w:ascii="Verdana" w:hAnsi="Verdana"/>
          <w:sz w:val="18"/>
          <w:szCs w:val="18"/>
        </w:rPr>
        <w:t>)</w:t>
      </w:r>
      <w:r w:rsidR="002E1C85" w:rsidRPr="00485172">
        <w:rPr>
          <w:rStyle w:val="Refdenotaalpie"/>
          <w:rFonts w:ascii="Verdana" w:hAnsi="Verdana"/>
          <w:sz w:val="18"/>
          <w:szCs w:val="18"/>
        </w:rPr>
        <w:footnoteReference w:id="420"/>
      </w:r>
      <w:r w:rsidR="002E1C85" w:rsidRPr="00485172">
        <w:rPr>
          <w:rFonts w:ascii="Verdana" w:hAnsi="Verdana"/>
          <w:sz w:val="18"/>
          <w:szCs w:val="18"/>
        </w:rPr>
        <w:t>, Obdulia Espinoza señaló que quienes detuvieron a Nitza Paola y José Ángel Alvarado portaban uniformes “beige con manchas cafés” mientras que Patricia Reyes indicó que quienes detuvieron a su hija Rocío Irene vestían uniforme “pixelado verde” en su mayoría, y dos o tres de estos portaban “uniforme claro con café”, como los que aparecían en las fotografías que les fueron mostradas</w:t>
      </w:r>
      <w:r w:rsidR="002E1C85" w:rsidRPr="00485172">
        <w:rPr>
          <w:rStyle w:val="Refdenotaalpie"/>
          <w:rFonts w:ascii="Verdana" w:hAnsi="Verdana"/>
          <w:sz w:val="18"/>
          <w:szCs w:val="18"/>
        </w:rPr>
        <w:footnoteReference w:id="421"/>
      </w:r>
      <w:r w:rsidR="002E1C85" w:rsidRPr="00485172">
        <w:rPr>
          <w:rFonts w:ascii="Verdana" w:hAnsi="Verdana"/>
          <w:sz w:val="18"/>
          <w:szCs w:val="18"/>
        </w:rPr>
        <w:t>.</w:t>
      </w:r>
    </w:p>
    <w:p w14:paraId="64AA600F" w14:textId="24F254A7"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En vista de las objeciones del Estado respecto de posibles contradicciones en los testimonios de los familiares sobre los detalles precisos en el color y características de la vestimenta que portaban los captores, así como de los vehículos utilizados en la detención de los desaparecidos (</w:t>
      </w:r>
      <w:r w:rsidRPr="00813B72">
        <w:rPr>
          <w:rFonts w:ascii="Verdana" w:hAnsi="Verdana"/>
          <w:i/>
          <w:sz w:val="20"/>
          <w:szCs w:val="20"/>
        </w:rPr>
        <w:t xml:space="preserve">supra </w:t>
      </w:r>
      <w:r w:rsidRPr="00813B72">
        <w:rPr>
          <w:rFonts w:ascii="Verdana" w:hAnsi="Verdana"/>
          <w:sz w:val="20"/>
          <w:szCs w:val="20"/>
        </w:rPr>
        <w:t xml:space="preserve">párr. </w:t>
      </w:r>
      <w:r w:rsidR="000420E5">
        <w:rPr>
          <w:rFonts w:ascii="Verdana" w:hAnsi="Verdana"/>
          <w:sz w:val="20"/>
          <w:szCs w:val="20"/>
        </w:rPr>
        <w:t>163</w:t>
      </w:r>
      <w:r w:rsidRPr="00813B72">
        <w:rPr>
          <w:rFonts w:ascii="Verdana" w:hAnsi="Verdana"/>
          <w:sz w:val="20"/>
          <w:szCs w:val="20"/>
        </w:rPr>
        <w:t>), el Tribunal estima pertinente reiterar, como lo ha hecho en casos anteriores</w:t>
      </w:r>
      <w:r w:rsidRPr="00813B72">
        <w:rPr>
          <w:rStyle w:val="Refdenotaalpie"/>
          <w:rFonts w:ascii="Verdana" w:hAnsi="Verdana"/>
          <w:sz w:val="20"/>
          <w:szCs w:val="20"/>
        </w:rPr>
        <w:footnoteReference w:id="422"/>
      </w:r>
      <w:r w:rsidRPr="00813B72">
        <w:rPr>
          <w:rFonts w:ascii="Verdana" w:hAnsi="Verdana"/>
          <w:sz w:val="20"/>
          <w:szCs w:val="20"/>
        </w:rPr>
        <w:t xml:space="preserve">, que es razonable considerar que los familiares no tengan un registro exacto y pormenorizado de las circunstancias que rodean este tipo de hechos, </w:t>
      </w:r>
      <w:r w:rsidRPr="00AD4631">
        <w:rPr>
          <w:rFonts w:ascii="Verdana" w:hAnsi="Verdana"/>
          <w:sz w:val="20"/>
          <w:szCs w:val="20"/>
        </w:rPr>
        <w:t>p</w:t>
      </w:r>
      <w:r w:rsidR="002D68EF" w:rsidRPr="00AD4631">
        <w:rPr>
          <w:rFonts w:ascii="Verdana" w:hAnsi="Verdana"/>
          <w:sz w:val="20"/>
          <w:szCs w:val="20"/>
        </w:rPr>
        <w:t>or</w:t>
      </w:r>
      <w:r w:rsidRPr="00813B72">
        <w:rPr>
          <w:rFonts w:ascii="Verdana" w:hAnsi="Verdana"/>
          <w:i/>
          <w:sz w:val="20"/>
          <w:szCs w:val="20"/>
        </w:rPr>
        <w:t xml:space="preserve"> </w:t>
      </w:r>
      <w:r w:rsidRPr="00813B72">
        <w:rPr>
          <w:rFonts w:ascii="Verdana" w:hAnsi="Verdana"/>
          <w:sz w:val="20"/>
          <w:szCs w:val="20"/>
        </w:rPr>
        <w:t xml:space="preserve">su naturaleza traumática para las víctimas. Por tanto, se torna indispensable tomar en cuenta al examinar testimonios vertidos en casos similares la especial situación de tensión, estrés u otras circunstancias particulares que puedan afectar al declarante, en donde ciertas imprecisiones y desorientación resultan razonables y no desacreditan el dicho de los testigos en tanto resulten consistentes en los hechos principales que </w:t>
      </w:r>
      <w:r w:rsidRPr="00813B72">
        <w:rPr>
          <w:rFonts w:ascii="Verdana" w:hAnsi="Verdana"/>
          <w:sz w:val="20"/>
          <w:szCs w:val="20"/>
        </w:rPr>
        <w:lastRenderedPageBreak/>
        <w:t xml:space="preserve">relatan y contienen. </w:t>
      </w:r>
    </w:p>
    <w:p w14:paraId="64AA6011" w14:textId="677520F3"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 xml:space="preserve">En este sentido, el Tribunal observa que los testigos presenciales Obdulia Espinoza Beltrán, Patricia Reyes Rueda, A.R.A.R. y A.A.R. son consistentes en señalar: i) que el 29 de diciembre de 2009 un grupo de entre 8 y 10 elementos que portaban uniformes y armamento con características militares privaron de la libertad a los desaparecidos, y  ii) que tras perpetrar las detenciones, los elementos abordaron dos vehículos, uno de ellos una camioneta tipo Pick Up, doble cabina, y la otra una marca Hummer, en los cuales huyeron con rumbo desconocido llevando consigo a las presuntas víctimas </w:t>
      </w:r>
      <w:r w:rsidRPr="00312F00">
        <w:rPr>
          <w:rFonts w:ascii="Verdana" w:hAnsi="Verdana"/>
          <w:sz w:val="20"/>
          <w:szCs w:val="20"/>
        </w:rPr>
        <w:t>(</w:t>
      </w:r>
      <w:r w:rsidRPr="00E40B4F">
        <w:rPr>
          <w:rFonts w:ascii="Verdana" w:hAnsi="Verdana"/>
          <w:i/>
          <w:sz w:val="20"/>
          <w:szCs w:val="20"/>
        </w:rPr>
        <w:t>supra</w:t>
      </w:r>
      <w:r w:rsidRPr="00312F00">
        <w:rPr>
          <w:rFonts w:ascii="Verdana" w:hAnsi="Verdana"/>
          <w:sz w:val="20"/>
          <w:szCs w:val="20"/>
        </w:rPr>
        <w:t xml:space="preserve">, párrs. </w:t>
      </w:r>
      <w:r w:rsidR="0061057A" w:rsidRPr="008D0846">
        <w:rPr>
          <w:rFonts w:ascii="Verdana" w:hAnsi="Verdana"/>
          <w:sz w:val="20"/>
          <w:szCs w:val="20"/>
        </w:rPr>
        <w:t>80</w:t>
      </w:r>
      <w:r w:rsidR="009520C7" w:rsidRPr="00312F00">
        <w:rPr>
          <w:rFonts w:ascii="Verdana" w:hAnsi="Verdana"/>
          <w:sz w:val="20"/>
          <w:szCs w:val="20"/>
        </w:rPr>
        <w:t xml:space="preserve"> y 8</w:t>
      </w:r>
      <w:r w:rsidR="00312F00" w:rsidRPr="008D0846">
        <w:rPr>
          <w:rFonts w:ascii="Verdana" w:hAnsi="Verdana"/>
          <w:sz w:val="20"/>
          <w:szCs w:val="20"/>
        </w:rPr>
        <w:t>5</w:t>
      </w:r>
      <w:r w:rsidR="007B3520" w:rsidRPr="00312F00">
        <w:rPr>
          <w:rFonts w:ascii="Verdana" w:hAnsi="Verdana"/>
          <w:sz w:val="20"/>
          <w:szCs w:val="20"/>
        </w:rPr>
        <w:t>).</w:t>
      </w:r>
      <w:r w:rsidR="007B3520" w:rsidRPr="00813B72">
        <w:rPr>
          <w:rFonts w:ascii="Verdana" w:hAnsi="Verdana"/>
          <w:sz w:val="20"/>
          <w:szCs w:val="20"/>
        </w:rPr>
        <w:t xml:space="preserve"> </w:t>
      </w:r>
      <w:r w:rsidRPr="00813B72">
        <w:rPr>
          <w:rFonts w:ascii="Verdana" w:hAnsi="Verdana"/>
          <w:sz w:val="20"/>
          <w:szCs w:val="20"/>
        </w:rPr>
        <w:t>Asimismo, Patricia Reyes Rueda, A.R.A.R., Manuel Reyes Lira y Marissa Reyes Rueda coinciden en sus testimonios al identificar a una de las camionetas particulares que en algún momento estuvo bajo custodia estatal, particularmente en inmediaciones del Ejército (</w:t>
      </w:r>
      <w:r w:rsidRPr="00813B72">
        <w:rPr>
          <w:rFonts w:ascii="Verdana" w:hAnsi="Verdana"/>
          <w:i/>
          <w:sz w:val="20"/>
          <w:szCs w:val="20"/>
        </w:rPr>
        <w:t>supra</w:t>
      </w:r>
      <w:r w:rsidRPr="00813B72">
        <w:rPr>
          <w:rFonts w:ascii="Verdana" w:hAnsi="Verdana"/>
          <w:sz w:val="20"/>
          <w:szCs w:val="20"/>
        </w:rPr>
        <w:t xml:space="preserve"> párr</w:t>
      </w:r>
      <w:r w:rsidR="00F3343E">
        <w:rPr>
          <w:rFonts w:ascii="Verdana" w:hAnsi="Verdana"/>
          <w:sz w:val="20"/>
          <w:szCs w:val="20"/>
        </w:rPr>
        <w:t>. 186</w:t>
      </w:r>
      <w:r w:rsidRPr="00813B72">
        <w:rPr>
          <w:rFonts w:ascii="Verdana" w:hAnsi="Verdana"/>
          <w:sz w:val="20"/>
          <w:szCs w:val="20"/>
        </w:rPr>
        <w:t>) como uno de los vehículos utilizados en la privación de la libertad de sus familiares y en la que con anterioridad a los hechos habían visto circular a elementos uniformados del Ejército en el Ejido Benito Juárez. En consecuencia, la Corte concluye que dichas declaraciones testimoniales resultan indicios adicionales válidos</w:t>
      </w:r>
      <w:r w:rsidR="004B47BE">
        <w:rPr>
          <w:rFonts w:ascii="Verdana" w:hAnsi="Verdana"/>
          <w:sz w:val="20"/>
          <w:szCs w:val="20"/>
        </w:rPr>
        <w:t>,</w:t>
      </w:r>
      <w:r w:rsidRPr="00813B72">
        <w:rPr>
          <w:rFonts w:ascii="Verdana" w:hAnsi="Verdana"/>
          <w:sz w:val="20"/>
          <w:szCs w:val="20"/>
        </w:rPr>
        <w:t xml:space="preserve"> en tanto los hechos que describen son consistentes y contribuyen a determinar la participación de agentes estatales en la desaparición de las tres presuntas víctimas.</w:t>
      </w:r>
    </w:p>
    <w:p w14:paraId="21C1845A" w14:textId="2AE6BDDE" w:rsidR="00083819"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 xml:space="preserve">Con relación al alegato del Estado respecto de la </w:t>
      </w:r>
      <w:r w:rsidR="00A125F7">
        <w:rPr>
          <w:rFonts w:ascii="Verdana" w:hAnsi="Verdana"/>
          <w:sz w:val="20"/>
          <w:szCs w:val="20"/>
        </w:rPr>
        <w:t xml:space="preserve">hipótesis de la </w:t>
      </w:r>
      <w:r w:rsidR="00CC6F07">
        <w:rPr>
          <w:rFonts w:ascii="Verdana" w:hAnsi="Verdana"/>
          <w:sz w:val="20"/>
          <w:szCs w:val="20"/>
        </w:rPr>
        <w:t xml:space="preserve">autoría de los hechos por parte de la </w:t>
      </w:r>
      <w:r w:rsidRPr="00813B72">
        <w:rPr>
          <w:rFonts w:ascii="Verdana" w:hAnsi="Verdana"/>
          <w:sz w:val="20"/>
          <w:szCs w:val="20"/>
        </w:rPr>
        <w:t>delincuencia organizada</w:t>
      </w:r>
      <w:r w:rsidRPr="00813B72">
        <w:rPr>
          <w:rStyle w:val="Refdenotaalpie"/>
          <w:rFonts w:ascii="Verdana" w:hAnsi="Verdana"/>
          <w:sz w:val="20"/>
          <w:szCs w:val="20"/>
        </w:rPr>
        <w:footnoteReference w:id="423"/>
      </w:r>
      <w:r w:rsidR="00A125F7">
        <w:rPr>
          <w:rFonts w:ascii="Verdana" w:hAnsi="Verdana"/>
          <w:sz w:val="20"/>
          <w:szCs w:val="20"/>
        </w:rPr>
        <w:t xml:space="preserve"> y no de agentes estatales</w:t>
      </w:r>
      <w:r w:rsidRPr="00813B72">
        <w:rPr>
          <w:rFonts w:ascii="Verdana" w:hAnsi="Verdana"/>
          <w:sz w:val="20"/>
          <w:szCs w:val="20"/>
        </w:rPr>
        <w:t xml:space="preserve">, </w:t>
      </w:r>
      <w:r w:rsidR="00A125F7">
        <w:rPr>
          <w:rFonts w:ascii="Verdana" w:hAnsi="Verdana"/>
          <w:sz w:val="20"/>
          <w:szCs w:val="20"/>
        </w:rPr>
        <w:t xml:space="preserve">la Corte observa que </w:t>
      </w:r>
      <w:r w:rsidRPr="00813B72">
        <w:rPr>
          <w:rFonts w:ascii="Verdana" w:hAnsi="Verdana"/>
          <w:sz w:val="20"/>
          <w:szCs w:val="20"/>
        </w:rPr>
        <w:t xml:space="preserve">el Estado </w:t>
      </w:r>
      <w:r w:rsidR="00A125F7">
        <w:rPr>
          <w:rFonts w:ascii="Verdana" w:hAnsi="Verdana"/>
          <w:sz w:val="20"/>
          <w:szCs w:val="20"/>
        </w:rPr>
        <w:t xml:space="preserve">se basó en algunos elementos </w:t>
      </w:r>
      <w:r w:rsidR="00CC6F07">
        <w:rPr>
          <w:rFonts w:ascii="Verdana" w:hAnsi="Verdana"/>
          <w:sz w:val="20"/>
          <w:szCs w:val="20"/>
        </w:rPr>
        <w:t>de presunción</w:t>
      </w:r>
      <w:r w:rsidR="00A125F7">
        <w:rPr>
          <w:rStyle w:val="Refdenotaalpie"/>
          <w:rFonts w:ascii="Verdana" w:hAnsi="Verdana"/>
          <w:sz w:val="20"/>
          <w:szCs w:val="20"/>
        </w:rPr>
        <w:footnoteReference w:id="424"/>
      </w:r>
      <w:r w:rsidR="00A125F7">
        <w:rPr>
          <w:rFonts w:ascii="Verdana" w:hAnsi="Verdana"/>
          <w:sz w:val="20"/>
          <w:szCs w:val="20"/>
        </w:rPr>
        <w:t xml:space="preserve"> </w:t>
      </w:r>
      <w:r w:rsidRPr="00813B72">
        <w:rPr>
          <w:rFonts w:ascii="Verdana" w:hAnsi="Verdana"/>
          <w:sz w:val="20"/>
          <w:szCs w:val="20"/>
        </w:rPr>
        <w:t xml:space="preserve">a partir de los supuestos antecedentes personales de </w:t>
      </w:r>
      <w:r w:rsidR="00A125F7">
        <w:rPr>
          <w:rFonts w:ascii="Verdana" w:hAnsi="Verdana"/>
          <w:sz w:val="20"/>
          <w:szCs w:val="20"/>
        </w:rPr>
        <w:t xml:space="preserve">alguna de </w:t>
      </w:r>
      <w:r w:rsidRPr="00813B72">
        <w:rPr>
          <w:rFonts w:ascii="Verdana" w:hAnsi="Verdana"/>
          <w:sz w:val="20"/>
          <w:szCs w:val="20"/>
        </w:rPr>
        <w:t>las víctimas y sus familiares</w:t>
      </w:r>
      <w:r w:rsidR="00CC6F07" w:rsidRPr="00CC6F07">
        <w:rPr>
          <w:rFonts w:ascii="Verdana" w:hAnsi="Verdana"/>
          <w:sz w:val="20"/>
          <w:szCs w:val="20"/>
        </w:rPr>
        <w:t xml:space="preserve"> </w:t>
      </w:r>
      <w:r w:rsidR="00CC6F07" w:rsidRPr="00813B72">
        <w:rPr>
          <w:rFonts w:ascii="Verdana" w:hAnsi="Verdana"/>
          <w:sz w:val="20"/>
          <w:szCs w:val="20"/>
        </w:rPr>
        <w:t>con miembros del grupo criminal “La Línea”</w:t>
      </w:r>
      <w:r w:rsidR="00A125F7">
        <w:rPr>
          <w:rFonts w:ascii="Verdana" w:hAnsi="Verdana"/>
          <w:sz w:val="20"/>
          <w:szCs w:val="20"/>
        </w:rPr>
        <w:t xml:space="preserve">, los cuales </w:t>
      </w:r>
      <w:r w:rsidR="00CC6F07">
        <w:rPr>
          <w:rFonts w:ascii="Verdana" w:hAnsi="Verdana"/>
          <w:sz w:val="20"/>
          <w:szCs w:val="20"/>
        </w:rPr>
        <w:t>resultan</w:t>
      </w:r>
      <w:r w:rsidR="00A125F7">
        <w:rPr>
          <w:rFonts w:ascii="Verdana" w:hAnsi="Verdana"/>
          <w:sz w:val="20"/>
          <w:szCs w:val="20"/>
        </w:rPr>
        <w:t xml:space="preserve"> insuficientes y no son con</w:t>
      </w:r>
      <w:r w:rsidR="00CC6F07">
        <w:rPr>
          <w:rFonts w:ascii="Verdana" w:hAnsi="Verdana"/>
          <w:sz w:val="20"/>
          <w:szCs w:val="20"/>
        </w:rPr>
        <w:t>sistentes</w:t>
      </w:r>
      <w:r w:rsidR="00171268">
        <w:rPr>
          <w:rFonts w:ascii="Verdana" w:hAnsi="Verdana"/>
          <w:sz w:val="20"/>
          <w:szCs w:val="20"/>
        </w:rPr>
        <w:t xml:space="preserve"> para</w:t>
      </w:r>
      <w:r w:rsidR="00A125F7">
        <w:rPr>
          <w:rFonts w:ascii="Verdana" w:hAnsi="Verdana"/>
          <w:sz w:val="20"/>
          <w:szCs w:val="20"/>
        </w:rPr>
        <w:t xml:space="preserve"> desvirtuar las otras líneas de investigación</w:t>
      </w:r>
      <w:r w:rsidRPr="00813B72">
        <w:rPr>
          <w:rFonts w:ascii="Verdana" w:hAnsi="Verdana"/>
          <w:sz w:val="20"/>
          <w:szCs w:val="20"/>
        </w:rPr>
        <w:t xml:space="preserve">. </w:t>
      </w:r>
      <w:r w:rsidR="00A125F7">
        <w:rPr>
          <w:rFonts w:ascii="Verdana" w:hAnsi="Verdana"/>
          <w:sz w:val="20"/>
          <w:szCs w:val="20"/>
        </w:rPr>
        <w:t>Al respecto, l</w:t>
      </w:r>
      <w:r w:rsidRPr="00813B72">
        <w:rPr>
          <w:rFonts w:ascii="Verdana" w:hAnsi="Verdana"/>
          <w:sz w:val="20"/>
          <w:szCs w:val="20"/>
        </w:rPr>
        <w:t>a Corte nota que</w:t>
      </w:r>
      <w:r w:rsidR="00C844C0">
        <w:rPr>
          <w:rFonts w:ascii="Verdana" w:hAnsi="Verdana"/>
          <w:sz w:val="20"/>
          <w:szCs w:val="20"/>
        </w:rPr>
        <w:t>,</w:t>
      </w:r>
      <w:r w:rsidRPr="00813B72">
        <w:rPr>
          <w:rFonts w:ascii="Verdana" w:hAnsi="Verdana"/>
          <w:sz w:val="20"/>
          <w:szCs w:val="20"/>
        </w:rPr>
        <w:t xml:space="preserve"> </w:t>
      </w:r>
      <w:r w:rsidR="00CC6F07">
        <w:rPr>
          <w:rFonts w:ascii="Verdana" w:hAnsi="Verdana"/>
          <w:sz w:val="20"/>
          <w:szCs w:val="20"/>
        </w:rPr>
        <w:t>inclusive a nivel interno</w:t>
      </w:r>
      <w:r w:rsidR="00C844C0">
        <w:rPr>
          <w:rFonts w:ascii="Verdana" w:hAnsi="Verdana"/>
          <w:sz w:val="20"/>
          <w:szCs w:val="20"/>
        </w:rPr>
        <w:t>,</w:t>
      </w:r>
      <w:r w:rsidR="00CC6F07">
        <w:rPr>
          <w:rFonts w:ascii="Verdana" w:hAnsi="Verdana"/>
          <w:sz w:val="20"/>
          <w:szCs w:val="20"/>
        </w:rPr>
        <w:t xml:space="preserve"> dicha línea de investigación no ha derivado en ningún resultado hasta el momento, por lo que resulta contradictorio </w:t>
      </w:r>
      <w:r w:rsidRPr="00813B72">
        <w:rPr>
          <w:rFonts w:ascii="Verdana" w:hAnsi="Verdana"/>
          <w:sz w:val="20"/>
          <w:szCs w:val="20"/>
        </w:rPr>
        <w:t xml:space="preserve">ampararse en la inefectividad de las </w:t>
      </w:r>
      <w:r w:rsidR="00CC6F07">
        <w:rPr>
          <w:rFonts w:ascii="Verdana" w:hAnsi="Verdana"/>
          <w:sz w:val="20"/>
          <w:szCs w:val="20"/>
        </w:rPr>
        <w:t xml:space="preserve">investigaciones para </w:t>
      </w:r>
      <w:r w:rsidR="00605079">
        <w:rPr>
          <w:rFonts w:ascii="Verdana" w:hAnsi="Verdana"/>
          <w:sz w:val="20"/>
          <w:szCs w:val="20"/>
        </w:rPr>
        <w:t xml:space="preserve">descartar o contravertir la otra tesis. </w:t>
      </w:r>
      <w:r w:rsidRPr="00813B72">
        <w:rPr>
          <w:rFonts w:ascii="Verdana" w:hAnsi="Verdana"/>
          <w:sz w:val="20"/>
          <w:szCs w:val="20"/>
        </w:rPr>
        <w:t>(</w:t>
      </w:r>
      <w:r w:rsidR="00205AF7" w:rsidRPr="00205AF7">
        <w:rPr>
          <w:rFonts w:ascii="Verdana" w:hAnsi="Verdana"/>
          <w:i/>
          <w:sz w:val="20"/>
          <w:szCs w:val="20"/>
        </w:rPr>
        <w:t>infra</w:t>
      </w:r>
      <w:r w:rsidRPr="00813B72">
        <w:rPr>
          <w:rFonts w:ascii="Verdana" w:hAnsi="Verdana"/>
          <w:sz w:val="20"/>
          <w:szCs w:val="20"/>
        </w:rPr>
        <w:t xml:space="preserve">, párr. </w:t>
      </w:r>
      <w:r w:rsidR="006B5D55">
        <w:rPr>
          <w:rFonts w:ascii="Verdana" w:hAnsi="Verdana"/>
          <w:sz w:val="20"/>
          <w:szCs w:val="20"/>
        </w:rPr>
        <w:t>246</w:t>
      </w:r>
      <w:r w:rsidRPr="00813B72">
        <w:rPr>
          <w:rFonts w:ascii="Verdana" w:hAnsi="Verdana"/>
          <w:sz w:val="20"/>
          <w:szCs w:val="20"/>
        </w:rPr>
        <w:t>)</w:t>
      </w:r>
      <w:r w:rsidRPr="00813B72">
        <w:rPr>
          <w:rStyle w:val="Refdenotaalpie"/>
          <w:rFonts w:ascii="Verdana" w:hAnsi="Verdana"/>
          <w:sz w:val="20"/>
          <w:szCs w:val="20"/>
        </w:rPr>
        <w:footnoteReference w:id="425"/>
      </w:r>
      <w:r w:rsidRPr="00813B72">
        <w:rPr>
          <w:rFonts w:ascii="Verdana" w:hAnsi="Verdana"/>
          <w:sz w:val="20"/>
          <w:szCs w:val="20"/>
        </w:rPr>
        <w:t>.</w:t>
      </w:r>
    </w:p>
    <w:p w14:paraId="64AA6017" w14:textId="5445A6BD" w:rsidR="002E1C85" w:rsidRPr="00CB680E" w:rsidRDefault="00083819"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De igual modo, el Tribunal nota que el Estado alegó en su defensa para atribuir las tres desapariciones a miembros del crimen organizado que “como parte de la forma de actuar de las organizaciones delictivas asentadas en el territorio del estado de Chihuahua se encontraba el uso o empleo de uniformes, insignias y pertrechos oficiales pertenecientes a las distintas dependencias federales inherentes al ámbito de la seguridad pública”. Para sustentar dicho alegato, ofreció ante el Tribunal una estadística sobre los aseguramientos de uniformes, armamento y pertrechos apócrifos de fuerzas de seguridad decomisados a la delincuencia organizada en el estado de Chihuahua en el período comprendido entre el 1 de diciembre de 2006 y el 12 de octubre de 2017</w:t>
      </w:r>
      <w:r w:rsidRPr="00813B72">
        <w:rPr>
          <w:rStyle w:val="Refdenotaalpie"/>
          <w:rFonts w:ascii="Verdana" w:hAnsi="Verdana"/>
          <w:sz w:val="20"/>
          <w:szCs w:val="20"/>
        </w:rPr>
        <w:footnoteReference w:id="426"/>
      </w:r>
      <w:r w:rsidRPr="00813B72">
        <w:rPr>
          <w:rFonts w:ascii="Verdana" w:hAnsi="Verdana"/>
          <w:sz w:val="20"/>
          <w:szCs w:val="20"/>
        </w:rPr>
        <w:t xml:space="preserve">. No obstante, a pregunta expresa de la Corte en la audiencia pública, el Estado reconoció que en casi 11 años sólo había sido detenida una persona en el Municipio de Buenaventura (al </w:t>
      </w:r>
      <w:r w:rsidRPr="00F67B06">
        <w:rPr>
          <w:rFonts w:ascii="Verdana" w:hAnsi="Verdana"/>
          <w:sz w:val="20"/>
          <w:szCs w:val="20"/>
        </w:rPr>
        <w:lastRenderedPageBreak/>
        <w:t>que pertenece el Ejido Benito Juárez) por e</w:t>
      </w:r>
      <w:r w:rsidRPr="00BA46BA">
        <w:rPr>
          <w:rFonts w:ascii="Verdana" w:hAnsi="Verdana"/>
          <w:sz w:val="20"/>
          <w:szCs w:val="20"/>
        </w:rPr>
        <w:t>ste tipo de eventos. En vista de tal información, el Tribunal considera no probado que dicho patrón de excepcionalidad hubiere concurrido en el presente caso.</w:t>
      </w:r>
    </w:p>
    <w:p w14:paraId="64AA6019" w14:textId="5F5294B8" w:rsidR="002E1C85" w:rsidRPr="00F67B06" w:rsidRDefault="002E1C85" w:rsidP="00702B7F">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F67B06">
        <w:rPr>
          <w:rFonts w:ascii="Verdana" w:hAnsi="Verdana"/>
          <w:sz w:val="20"/>
          <w:szCs w:val="20"/>
        </w:rPr>
        <w:t>Adicionalmente, la Corte nota que en el acervo probatorio constan otros elementos que apuntan hacia la posible participación estatal: i) la declaración de Alberto Hernández de la Cruz, Sargento Primero Conductor, chofer del Comandante del 35 Batallón al momento de los hechos, testificando haber escuchado que dicho jefe militar y elementos bajo su mando participaron en la detención en el Ejido Benito Juárez “de una mujer inválida y un hombre”, infiriendo que dicha expresión se encontraba relacionada las desapariciones de Nitza Paola y José Ángel Alvarado (</w:t>
      </w:r>
      <w:r w:rsidRPr="00F67B06">
        <w:rPr>
          <w:rFonts w:ascii="Verdana" w:hAnsi="Verdana"/>
          <w:i/>
          <w:sz w:val="20"/>
          <w:szCs w:val="20"/>
        </w:rPr>
        <w:t xml:space="preserve">supra </w:t>
      </w:r>
      <w:r w:rsidRPr="00F67B06">
        <w:rPr>
          <w:rFonts w:ascii="Verdana" w:hAnsi="Verdana"/>
          <w:sz w:val="20"/>
          <w:szCs w:val="20"/>
        </w:rPr>
        <w:t xml:space="preserve">párr. </w:t>
      </w:r>
      <w:r w:rsidR="00702B7F" w:rsidRPr="00F67B06">
        <w:rPr>
          <w:rFonts w:ascii="Verdana" w:hAnsi="Verdana"/>
          <w:sz w:val="20"/>
          <w:szCs w:val="20"/>
        </w:rPr>
        <w:t>97, numeral i</w:t>
      </w:r>
      <w:r w:rsidRPr="00F67B06">
        <w:rPr>
          <w:rFonts w:ascii="Verdana" w:hAnsi="Verdana"/>
          <w:sz w:val="20"/>
          <w:szCs w:val="20"/>
        </w:rPr>
        <w:t xml:space="preserve">); ii) Los testimonios de María de Jesús y Jaime Alvarado, refiriendo </w:t>
      </w:r>
      <w:r w:rsidRPr="00F67B06">
        <w:rPr>
          <w:rFonts w:ascii="Verdana" w:hAnsi="Verdana" w:cs="Arial"/>
          <w:sz w:val="20"/>
          <w:szCs w:val="20"/>
        </w:rPr>
        <w:t xml:space="preserve">que agentes estatales les indicaron que tenían conocimiento de que </w:t>
      </w:r>
      <w:r w:rsidRPr="00F67B06">
        <w:rPr>
          <w:rFonts w:ascii="Verdana" w:hAnsi="Verdana"/>
          <w:sz w:val="20"/>
          <w:szCs w:val="20"/>
        </w:rPr>
        <w:t>sus familiares habían sido detenidos por elementos del 35 Batallón de Infantería y se encontraban bajo custodia estatal (</w:t>
      </w:r>
      <w:r w:rsidRPr="00F67B06">
        <w:rPr>
          <w:rFonts w:ascii="Verdana" w:hAnsi="Verdana"/>
          <w:i/>
          <w:sz w:val="20"/>
          <w:szCs w:val="20"/>
        </w:rPr>
        <w:t xml:space="preserve">supra </w:t>
      </w:r>
      <w:r w:rsidRPr="00F67B06">
        <w:rPr>
          <w:rFonts w:ascii="Verdana" w:hAnsi="Verdana"/>
          <w:sz w:val="20"/>
          <w:szCs w:val="20"/>
        </w:rPr>
        <w:t xml:space="preserve">párrs. </w:t>
      </w:r>
      <w:r w:rsidR="00702B7F" w:rsidRPr="00F67B06">
        <w:rPr>
          <w:rFonts w:ascii="Verdana" w:hAnsi="Verdana"/>
          <w:sz w:val="20"/>
          <w:szCs w:val="20"/>
        </w:rPr>
        <w:t>9</w:t>
      </w:r>
      <w:r w:rsidR="006B5D55" w:rsidRPr="00F67B06">
        <w:rPr>
          <w:rFonts w:ascii="Verdana" w:hAnsi="Verdana"/>
          <w:sz w:val="20"/>
          <w:szCs w:val="20"/>
        </w:rPr>
        <w:t>0</w:t>
      </w:r>
      <w:r w:rsidR="00702B7F" w:rsidRPr="00F67B06">
        <w:rPr>
          <w:rFonts w:ascii="Verdana" w:hAnsi="Verdana"/>
          <w:sz w:val="20"/>
          <w:szCs w:val="20"/>
        </w:rPr>
        <w:t xml:space="preserve"> a 9</w:t>
      </w:r>
      <w:r w:rsidR="006B5D55" w:rsidRPr="00F67B06">
        <w:rPr>
          <w:rFonts w:ascii="Verdana" w:hAnsi="Verdana"/>
          <w:sz w:val="20"/>
          <w:szCs w:val="20"/>
        </w:rPr>
        <w:t>4</w:t>
      </w:r>
      <w:r w:rsidRPr="00F67B06">
        <w:rPr>
          <w:rFonts w:ascii="Verdana" w:hAnsi="Verdana"/>
          <w:sz w:val="20"/>
          <w:szCs w:val="20"/>
        </w:rPr>
        <w:t>), y iii) los testimonios de Argene Blásquez, Ramón Iván Sotomayor Siller y Damaris Baglietto Hernández, agentes estatales, quienes declararon que durante las gestiones que el supuesto “Comandante Meza” de la Policía Federal realizó ante ellos para entrevistar a los ahora desaparecidos manifestó que tenía conocimiento de que elementos del Ejército habían realizado dichas detenciones (</w:t>
      </w:r>
      <w:r w:rsidRPr="00F67B06">
        <w:rPr>
          <w:rFonts w:ascii="Verdana" w:hAnsi="Verdana"/>
          <w:i/>
          <w:sz w:val="20"/>
          <w:szCs w:val="20"/>
        </w:rPr>
        <w:t>supra</w:t>
      </w:r>
      <w:r w:rsidRPr="00F67B06">
        <w:rPr>
          <w:rFonts w:ascii="Verdana" w:hAnsi="Verdana"/>
          <w:sz w:val="20"/>
          <w:szCs w:val="20"/>
        </w:rPr>
        <w:t xml:space="preserve"> párr. </w:t>
      </w:r>
      <w:r w:rsidR="00702B7F" w:rsidRPr="00F67B06">
        <w:rPr>
          <w:rFonts w:ascii="Verdana" w:hAnsi="Verdana"/>
          <w:sz w:val="20"/>
          <w:szCs w:val="20"/>
        </w:rPr>
        <w:t>9</w:t>
      </w:r>
      <w:r w:rsidR="006B5D55" w:rsidRPr="00F67B06">
        <w:rPr>
          <w:rFonts w:ascii="Verdana" w:hAnsi="Verdana"/>
          <w:sz w:val="20"/>
          <w:szCs w:val="20"/>
        </w:rPr>
        <w:t>8</w:t>
      </w:r>
      <w:r w:rsidRPr="00F67B06">
        <w:rPr>
          <w:rFonts w:ascii="Verdana" w:hAnsi="Verdana"/>
          <w:sz w:val="20"/>
          <w:szCs w:val="20"/>
        </w:rPr>
        <w:t>). Con relación a la apreciación de dichos testimonios, la Corte nota que los mismos fueron desestimados repetidamente en instancias internas por considerarlos “probatoriamente insuficientes” sin haber brindado una motivación razonable al respecto, fragmentando el acervo indiciario y restando su eficacia bajo las reglas de la valoración de la prueba aplicables en casos de desaparición forzada. En particular, el Tribunal nota que en el caso del señalado testigo Sargento Primero</w:t>
      </w:r>
      <w:r w:rsidR="00605079" w:rsidRPr="00AD4631">
        <w:rPr>
          <w:rFonts w:ascii="Verdana" w:hAnsi="Verdana"/>
          <w:sz w:val="20"/>
          <w:szCs w:val="20"/>
        </w:rPr>
        <w:t>,</w:t>
      </w:r>
      <w:r w:rsidRPr="00F67B06">
        <w:rPr>
          <w:rFonts w:ascii="Verdana" w:hAnsi="Verdana"/>
          <w:sz w:val="20"/>
          <w:szCs w:val="20"/>
        </w:rPr>
        <w:t xml:space="preserve"> el Estado no brindó prueba de haber realizado investigación alguna para determinar el motivo </w:t>
      </w:r>
      <w:r w:rsidR="00605079" w:rsidRPr="00AD4631">
        <w:rPr>
          <w:rFonts w:ascii="Verdana" w:hAnsi="Verdana"/>
          <w:sz w:val="20"/>
          <w:szCs w:val="20"/>
        </w:rPr>
        <w:t xml:space="preserve">por el cual se retractó con posterioridad </w:t>
      </w:r>
      <w:r w:rsidRPr="00CB680E">
        <w:rPr>
          <w:rFonts w:ascii="Verdana" w:hAnsi="Verdana"/>
          <w:sz w:val="20"/>
          <w:szCs w:val="20"/>
        </w:rPr>
        <w:t>y verificar la veracidad de la información contenida en sus testimonios (</w:t>
      </w:r>
      <w:r w:rsidRPr="00CB680E">
        <w:rPr>
          <w:rFonts w:ascii="Verdana" w:hAnsi="Verdana"/>
          <w:i/>
          <w:sz w:val="20"/>
          <w:szCs w:val="20"/>
        </w:rPr>
        <w:t>supra</w:t>
      </w:r>
      <w:r w:rsidRPr="00CB680E">
        <w:rPr>
          <w:rFonts w:ascii="Verdana" w:hAnsi="Verdana"/>
          <w:sz w:val="20"/>
          <w:szCs w:val="20"/>
        </w:rPr>
        <w:t xml:space="preserve"> párr. </w:t>
      </w:r>
      <w:r w:rsidR="00AC2EDB" w:rsidRPr="00F67B06">
        <w:rPr>
          <w:rFonts w:ascii="Verdana" w:hAnsi="Verdana"/>
          <w:sz w:val="20"/>
          <w:szCs w:val="20"/>
        </w:rPr>
        <w:t>97</w:t>
      </w:r>
      <w:r w:rsidRPr="00F67B06">
        <w:rPr>
          <w:rFonts w:ascii="Verdana" w:hAnsi="Verdana"/>
          <w:sz w:val="20"/>
          <w:szCs w:val="20"/>
        </w:rPr>
        <w:t xml:space="preserve">), especialmente dadas las siguientes circunstancias: </w:t>
      </w:r>
    </w:p>
    <w:p w14:paraId="64AA601A" w14:textId="4A0082D7" w:rsidR="00265E6C" w:rsidRPr="00F67B06" w:rsidRDefault="00B4529B">
      <w:pPr>
        <w:pStyle w:val="Prrafodelista"/>
        <w:numPr>
          <w:ilvl w:val="0"/>
          <w:numId w:val="23"/>
        </w:numPr>
        <w:spacing w:before="120" w:after="120" w:line="240" w:lineRule="auto"/>
        <w:ind w:right="4"/>
        <w:contextualSpacing w:val="0"/>
        <w:jc w:val="both"/>
        <w:rPr>
          <w:rFonts w:ascii="Verdana" w:hAnsi="Verdana"/>
          <w:sz w:val="18"/>
          <w:szCs w:val="20"/>
        </w:rPr>
      </w:pPr>
      <w:r w:rsidRPr="00F67B06">
        <w:rPr>
          <w:rFonts w:ascii="Verdana" w:hAnsi="Verdana"/>
          <w:sz w:val="18"/>
          <w:szCs w:val="20"/>
        </w:rPr>
        <w:t>t</w:t>
      </w:r>
      <w:r w:rsidR="002E1C85" w:rsidRPr="00F67B06">
        <w:rPr>
          <w:rFonts w:ascii="Verdana" w:hAnsi="Verdana"/>
          <w:sz w:val="18"/>
          <w:szCs w:val="20"/>
        </w:rPr>
        <w:t>ras rendir dicho testigo su primera declaración ante la jurisdicción castrense el 5 de febrero de 2010 dentro de un proceso relacionado con otros hechos delictivos en los cuales supuestamente habrían participado agentes estatales (</w:t>
      </w:r>
      <w:r w:rsidR="002E1C85" w:rsidRPr="00F67B06">
        <w:rPr>
          <w:rFonts w:ascii="Verdana" w:hAnsi="Verdana"/>
          <w:i/>
          <w:sz w:val="18"/>
          <w:szCs w:val="20"/>
        </w:rPr>
        <w:t>supra</w:t>
      </w:r>
      <w:r w:rsidR="002E1C85" w:rsidRPr="00F67B06">
        <w:rPr>
          <w:rFonts w:ascii="Verdana" w:hAnsi="Verdana"/>
          <w:sz w:val="18"/>
          <w:szCs w:val="20"/>
        </w:rPr>
        <w:t xml:space="preserve"> párr. </w:t>
      </w:r>
      <w:r w:rsidR="00C96E7F" w:rsidRPr="00F67B06">
        <w:rPr>
          <w:rFonts w:ascii="Verdana" w:hAnsi="Verdana"/>
          <w:sz w:val="18"/>
          <w:szCs w:val="20"/>
        </w:rPr>
        <w:t>97, numeral i</w:t>
      </w:r>
      <w:r w:rsidR="002E1C85" w:rsidRPr="00F67B06">
        <w:rPr>
          <w:rFonts w:ascii="Verdana" w:hAnsi="Verdana"/>
          <w:sz w:val="18"/>
          <w:szCs w:val="20"/>
        </w:rPr>
        <w:t>), el Supremo Tribunal Militar calificó su testimonio como “ineficaz” y descartó en su totalidad el contenido del mismo sin tomar en consideración la eventual importancia de la información vertida en dicho testimonio para el esclarecimiento de las 3 desapariciones como pudiera ser la identificación de un posible patrón de actuación de los perpetradores de ambos hechos y brindara, eventualmente, indicios sobre la probable autoría de los mismos-, máxime que la misma fue rendida solo 38 días después de que tales desapariciones ocurrieron (</w:t>
      </w:r>
      <w:r w:rsidR="002E1C85" w:rsidRPr="00F67B06">
        <w:rPr>
          <w:rFonts w:ascii="Verdana" w:hAnsi="Verdana"/>
          <w:i/>
          <w:sz w:val="18"/>
          <w:szCs w:val="20"/>
        </w:rPr>
        <w:t>supra</w:t>
      </w:r>
      <w:r w:rsidR="002E1C85" w:rsidRPr="00F67B06">
        <w:rPr>
          <w:rFonts w:ascii="Verdana" w:hAnsi="Verdana"/>
          <w:sz w:val="18"/>
          <w:szCs w:val="20"/>
        </w:rPr>
        <w:t xml:space="preserve"> párr. </w:t>
      </w:r>
      <w:r w:rsidR="00AC2EDB" w:rsidRPr="00F67B06">
        <w:rPr>
          <w:rFonts w:ascii="Verdana" w:hAnsi="Verdana"/>
          <w:sz w:val="18"/>
          <w:szCs w:val="20"/>
        </w:rPr>
        <w:t>97, numeral ii</w:t>
      </w:r>
      <w:r w:rsidR="002E1C85" w:rsidRPr="00F67B06">
        <w:rPr>
          <w:rFonts w:ascii="Verdana" w:hAnsi="Verdana"/>
          <w:sz w:val="18"/>
          <w:szCs w:val="20"/>
        </w:rPr>
        <w:t>)</w:t>
      </w:r>
      <w:r w:rsidR="00C57FCB" w:rsidRPr="00F67B06">
        <w:rPr>
          <w:rFonts w:ascii="Verdana" w:hAnsi="Verdana"/>
          <w:sz w:val="18"/>
          <w:szCs w:val="20"/>
        </w:rPr>
        <w:t>,</w:t>
      </w:r>
      <w:r w:rsidR="002E1C85" w:rsidRPr="00F67B06">
        <w:rPr>
          <w:rFonts w:ascii="Verdana" w:hAnsi="Verdana"/>
          <w:sz w:val="18"/>
          <w:szCs w:val="20"/>
        </w:rPr>
        <w:t xml:space="preserve"> y </w:t>
      </w:r>
    </w:p>
    <w:p w14:paraId="64AA601C" w14:textId="0BF61B79" w:rsidR="002E1C85" w:rsidRPr="00BA46BA" w:rsidRDefault="00D60ADB">
      <w:pPr>
        <w:pStyle w:val="Prrafodelista"/>
        <w:numPr>
          <w:ilvl w:val="0"/>
          <w:numId w:val="23"/>
        </w:numPr>
        <w:spacing w:before="120" w:after="120" w:line="240" w:lineRule="auto"/>
        <w:ind w:right="4"/>
        <w:contextualSpacing w:val="0"/>
        <w:jc w:val="both"/>
        <w:rPr>
          <w:rFonts w:ascii="Verdana" w:hAnsi="Verdana"/>
          <w:sz w:val="18"/>
          <w:szCs w:val="20"/>
        </w:rPr>
      </w:pPr>
      <w:r w:rsidRPr="00F67B06">
        <w:rPr>
          <w:rFonts w:ascii="Verdana" w:hAnsi="Verdana"/>
          <w:sz w:val="18"/>
          <w:szCs w:val="20"/>
        </w:rPr>
        <w:t>q</w:t>
      </w:r>
      <w:r w:rsidR="002E1C85" w:rsidRPr="00F67B06">
        <w:rPr>
          <w:rFonts w:ascii="Verdana" w:hAnsi="Verdana"/>
          <w:sz w:val="18"/>
          <w:szCs w:val="20"/>
        </w:rPr>
        <w:t>ue aproximadamente 14 meses después de rendida su declaración inicial dicho testigo se retractó de ésta ante el agente del ministerio público del fuero militar con base en un interrogatorio formulado por la autoridad ministerial castrense y sin proporcionar un motivo justificado aparente</w:t>
      </w:r>
      <w:r w:rsidR="00505CF4" w:rsidRPr="00F67B06">
        <w:rPr>
          <w:rFonts w:ascii="Verdana" w:hAnsi="Verdana"/>
          <w:sz w:val="18"/>
          <w:szCs w:val="20"/>
        </w:rPr>
        <w:t xml:space="preserve"> (</w:t>
      </w:r>
      <w:r w:rsidR="00505CF4" w:rsidRPr="00F67B06">
        <w:rPr>
          <w:rFonts w:ascii="Verdana" w:hAnsi="Verdana"/>
          <w:i/>
          <w:sz w:val="18"/>
          <w:szCs w:val="20"/>
        </w:rPr>
        <w:t>supra</w:t>
      </w:r>
      <w:r w:rsidR="00505CF4" w:rsidRPr="00F67B06">
        <w:rPr>
          <w:rFonts w:ascii="Verdana" w:hAnsi="Verdana"/>
          <w:sz w:val="18"/>
          <w:szCs w:val="20"/>
        </w:rPr>
        <w:t xml:space="preserve"> párr. 97, numeral iii)</w:t>
      </w:r>
      <w:r w:rsidR="002E1C85" w:rsidRPr="00BA46BA">
        <w:rPr>
          <w:rStyle w:val="Refdenotaalpie"/>
          <w:rFonts w:ascii="Verdana" w:hAnsi="Verdana"/>
          <w:sz w:val="18"/>
          <w:szCs w:val="20"/>
        </w:rPr>
        <w:footnoteReference w:id="427"/>
      </w:r>
      <w:r w:rsidR="002E1C85" w:rsidRPr="00BA46BA">
        <w:rPr>
          <w:rFonts w:ascii="Verdana" w:hAnsi="Verdana"/>
          <w:sz w:val="18"/>
          <w:szCs w:val="20"/>
        </w:rPr>
        <w:t xml:space="preserve">. </w:t>
      </w:r>
    </w:p>
    <w:p w14:paraId="64AA601E" w14:textId="14DB020B" w:rsidR="002E1C85" w:rsidRPr="00F67B06"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CB680E">
        <w:rPr>
          <w:rFonts w:ascii="Verdana" w:hAnsi="Verdana"/>
          <w:sz w:val="20"/>
          <w:szCs w:val="20"/>
        </w:rPr>
        <w:t xml:space="preserve">En vista de lo anterior, el Tribunal considera que los referidos testimonios de los familiares y agentes estatales a la luz del contexto imperante en la época de los </w:t>
      </w:r>
      <w:r w:rsidRPr="00F67B06">
        <w:rPr>
          <w:rFonts w:ascii="Verdana" w:hAnsi="Verdana"/>
          <w:sz w:val="20"/>
          <w:szCs w:val="20"/>
        </w:rPr>
        <w:t>hechos, conducen de manera contundente en acreditar la participación de agentes estatales en las detenciones materia de análisis.</w:t>
      </w:r>
    </w:p>
    <w:p w14:paraId="64AA6020" w14:textId="18A51194" w:rsidR="002E1C85" w:rsidRPr="00F67B06" w:rsidRDefault="00DC15D5">
      <w:pPr>
        <w:pStyle w:val="Ttulo5"/>
        <w:numPr>
          <w:ilvl w:val="0"/>
          <w:numId w:val="20"/>
        </w:numPr>
        <w:spacing w:before="120" w:after="120"/>
        <w:contextualSpacing w:val="0"/>
        <w:rPr>
          <w:i w:val="0"/>
        </w:rPr>
      </w:pPr>
      <w:r w:rsidRPr="00F67B06">
        <w:t xml:space="preserve"> </w:t>
      </w:r>
      <w:bookmarkStart w:id="201" w:name="_Toc532995371"/>
      <w:r w:rsidR="002E1C85" w:rsidRPr="00F67B06">
        <w:t xml:space="preserve">Las </w:t>
      </w:r>
      <w:r w:rsidR="00C07BB7" w:rsidRPr="00F67B06">
        <w:t xml:space="preserve">observaciones </w:t>
      </w:r>
      <w:r w:rsidR="002E1C85" w:rsidRPr="00F67B06">
        <w:t>de distintos órganos a nivel interno</w:t>
      </w:r>
      <w:bookmarkEnd w:id="201"/>
      <w:r w:rsidR="002E1C85" w:rsidRPr="00F67B06">
        <w:t xml:space="preserve">  </w:t>
      </w:r>
    </w:p>
    <w:p w14:paraId="64AA6022" w14:textId="13C245A6" w:rsidR="002E1C85" w:rsidRPr="00BA46BA"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Cambria"/>
          <w:sz w:val="20"/>
          <w:szCs w:val="20"/>
        </w:rPr>
      </w:pPr>
      <w:r w:rsidRPr="00F67B06">
        <w:rPr>
          <w:rFonts w:ascii="Verdana" w:hAnsi="Verdana"/>
          <w:sz w:val="20"/>
          <w:szCs w:val="20"/>
        </w:rPr>
        <w:t>Tal y como se señaló en el capítulo respectivo</w:t>
      </w:r>
      <w:r w:rsidR="006B5D55" w:rsidRPr="00F67B06">
        <w:rPr>
          <w:rFonts w:ascii="Verdana" w:hAnsi="Verdana"/>
          <w:sz w:val="20"/>
          <w:szCs w:val="20"/>
        </w:rPr>
        <w:t xml:space="preserve"> (</w:t>
      </w:r>
      <w:r w:rsidR="006B5D55" w:rsidRPr="00F67B06">
        <w:rPr>
          <w:rFonts w:ascii="Verdana" w:hAnsi="Verdana"/>
          <w:i/>
          <w:sz w:val="20"/>
          <w:szCs w:val="20"/>
        </w:rPr>
        <w:t>supra</w:t>
      </w:r>
      <w:r w:rsidR="006B5D55" w:rsidRPr="00F67B06">
        <w:rPr>
          <w:rFonts w:ascii="Verdana" w:hAnsi="Verdana"/>
          <w:sz w:val="20"/>
          <w:szCs w:val="20"/>
        </w:rPr>
        <w:t xml:space="preserve"> párrs. 103 a 142)</w:t>
      </w:r>
      <w:r w:rsidRPr="00F67B06">
        <w:rPr>
          <w:rFonts w:ascii="Verdana" w:hAnsi="Verdana"/>
          <w:sz w:val="20"/>
          <w:szCs w:val="20"/>
        </w:rPr>
        <w:t xml:space="preserve">, la Corte recuerda que distintos órganos examinaron la probable participación de un alto mando militar del 35 Batallón de Infantería, y de elementos bajo sus órdenes en la desaparición forzada de las tres </w:t>
      </w:r>
      <w:r w:rsidRPr="00F67B06">
        <w:rPr>
          <w:rFonts w:ascii="Verdana" w:hAnsi="Verdana"/>
          <w:sz w:val="20"/>
          <w:szCs w:val="20"/>
        </w:rPr>
        <w:lastRenderedPageBreak/>
        <w:t>presuntas víctimas, entre los cuales se encontraron: i) la Procuraduría General de Justicia Militar (</w:t>
      </w:r>
      <w:r w:rsidRPr="00F67B06">
        <w:rPr>
          <w:rFonts w:ascii="Verdana" w:hAnsi="Verdana"/>
          <w:i/>
          <w:sz w:val="20"/>
          <w:szCs w:val="20"/>
        </w:rPr>
        <w:t>supra</w:t>
      </w:r>
      <w:r w:rsidRPr="00F67B06">
        <w:rPr>
          <w:rFonts w:ascii="Verdana" w:hAnsi="Verdana"/>
          <w:sz w:val="20"/>
          <w:szCs w:val="20"/>
        </w:rPr>
        <w:t xml:space="preserve"> párrs. </w:t>
      </w:r>
      <w:r w:rsidR="00F60E21" w:rsidRPr="00F67B06">
        <w:rPr>
          <w:rFonts w:ascii="Verdana" w:hAnsi="Verdana"/>
          <w:sz w:val="20"/>
          <w:szCs w:val="20"/>
        </w:rPr>
        <w:t>1</w:t>
      </w:r>
      <w:r w:rsidR="006B5D55" w:rsidRPr="00F67B06">
        <w:rPr>
          <w:rFonts w:ascii="Verdana" w:hAnsi="Verdana"/>
          <w:sz w:val="20"/>
          <w:szCs w:val="20"/>
        </w:rPr>
        <w:t>10</w:t>
      </w:r>
      <w:r w:rsidR="00F60E21" w:rsidRPr="00F67B06">
        <w:rPr>
          <w:rFonts w:ascii="Verdana" w:hAnsi="Verdana"/>
          <w:sz w:val="20"/>
          <w:szCs w:val="20"/>
        </w:rPr>
        <w:t xml:space="preserve"> a 11</w:t>
      </w:r>
      <w:r w:rsidR="006B5D55" w:rsidRPr="00F67B06">
        <w:rPr>
          <w:rFonts w:ascii="Verdana" w:hAnsi="Verdana"/>
          <w:sz w:val="20"/>
          <w:szCs w:val="20"/>
        </w:rPr>
        <w:t>6</w:t>
      </w:r>
      <w:r w:rsidRPr="00F67B06">
        <w:rPr>
          <w:rFonts w:ascii="Verdana" w:hAnsi="Verdana"/>
          <w:sz w:val="20"/>
          <w:szCs w:val="20"/>
        </w:rPr>
        <w:t>); ii) la FEVIMTRA (</w:t>
      </w:r>
      <w:r w:rsidRPr="00F67B06">
        <w:rPr>
          <w:rFonts w:ascii="Verdana" w:hAnsi="Verdana"/>
          <w:i/>
          <w:sz w:val="20"/>
          <w:szCs w:val="20"/>
        </w:rPr>
        <w:t xml:space="preserve">supra </w:t>
      </w:r>
      <w:r w:rsidRPr="00F67B06">
        <w:rPr>
          <w:rFonts w:ascii="Verdana" w:hAnsi="Verdana"/>
          <w:sz w:val="20"/>
          <w:szCs w:val="20"/>
        </w:rPr>
        <w:t>párr.</w:t>
      </w:r>
      <w:r w:rsidR="006B5D55" w:rsidRPr="00F67B06">
        <w:rPr>
          <w:rFonts w:ascii="Verdana" w:hAnsi="Verdana"/>
          <w:sz w:val="20"/>
          <w:szCs w:val="20"/>
        </w:rPr>
        <w:t xml:space="preserve"> </w:t>
      </w:r>
      <w:r w:rsidR="00F60E21" w:rsidRPr="00F67B06">
        <w:rPr>
          <w:rFonts w:ascii="Verdana" w:hAnsi="Verdana"/>
          <w:sz w:val="20"/>
          <w:szCs w:val="20"/>
        </w:rPr>
        <w:t>1</w:t>
      </w:r>
      <w:r w:rsidR="006B5D55" w:rsidRPr="00F67B06">
        <w:rPr>
          <w:rFonts w:ascii="Verdana" w:hAnsi="Verdana"/>
          <w:sz w:val="20"/>
          <w:szCs w:val="20"/>
        </w:rPr>
        <w:t>20</w:t>
      </w:r>
      <w:r w:rsidRPr="00F67B06">
        <w:rPr>
          <w:rFonts w:ascii="Verdana" w:hAnsi="Verdana"/>
          <w:sz w:val="20"/>
          <w:szCs w:val="20"/>
        </w:rPr>
        <w:t>); iii) la CNDH (</w:t>
      </w:r>
      <w:r w:rsidRPr="00F67B06">
        <w:rPr>
          <w:rFonts w:ascii="Verdana" w:hAnsi="Verdana"/>
          <w:i/>
          <w:sz w:val="20"/>
          <w:szCs w:val="20"/>
        </w:rPr>
        <w:t>supra</w:t>
      </w:r>
      <w:r w:rsidRPr="00F67B06">
        <w:rPr>
          <w:rFonts w:ascii="Verdana" w:hAnsi="Verdana"/>
          <w:sz w:val="20"/>
          <w:szCs w:val="20"/>
        </w:rPr>
        <w:t xml:space="preserve"> párr</w:t>
      </w:r>
      <w:r w:rsidR="006B5D55" w:rsidRPr="00F67B06">
        <w:rPr>
          <w:rFonts w:ascii="Verdana" w:hAnsi="Verdana"/>
          <w:sz w:val="20"/>
          <w:szCs w:val="20"/>
        </w:rPr>
        <w:t>s</w:t>
      </w:r>
      <w:r w:rsidRPr="00F67B06">
        <w:rPr>
          <w:rFonts w:ascii="Verdana" w:hAnsi="Verdana"/>
          <w:sz w:val="20"/>
          <w:szCs w:val="20"/>
        </w:rPr>
        <w:t xml:space="preserve">. </w:t>
      </w:r>
      <w:r w:rsidR="00F60E21" w:rsidRPr="00F67B06">
        <w:rPr>
          <w:rFonts w:ascii="Verdana" w:hAnsi="Verdana"/>
          <w:sz w:val="20"/>
          <w:szCs w:val="20"/>
        </w:rPr>
        <w:t>13</w:t>
      </w:r>
      <w:r w:rsidR="006B5D55" w:rsidRPr="00F67B06">
        <w:rPr>
          <w:rFonts w:ascii="Verdana" w:hAnsi="Verdana"/>
          <w:sz w:val="20"/>
          <w:szCs w:val="20"/>
        </w:rPr>
        <w:t>9</w:t>
      </w:r>
      <w:r w:rsidR="00F60E21" w:rsidRPr="00F67B06">
        <w:rPr>
          <w:rFonts w:ascii="Verdana" w:hAnsi="Verdana"/>
          <w:sz w:val="20"/>
          <w:szCs w:val="20"/>
        </w:rPr>
        <w:t xml:space="preserve"> a 1</w:t>
      </w:r>
      <w:r w:rsidR="006B5D55" w:rsidRPr="00F67B06">
        <w:rPr>
          <w:rFonts w:ascii="Verdana" w:hAnsi="Verdana"/>
          <w:sz w:val="20"/>
          <w:szCs w:val="20"/>
        </w:rPr>
        <w:t>41</w:t>
      </w:r>
      <w:r w:rsidRPr="00F67B06">
        <w:rPr>
          <w:rFonts w:ascii="Verdana" w:hAnsi="Verdana"/>
          <w:sz w:val="20"/>
          <w:szCs w:val="20"/>
        </w:rPr>
        <w:t>); iv) distintos órganos del Poder Judicial de la Federación (</w:t>
      </w:r>
      <w:r w:rsidRPr="00F67B06">
        <w:rPr>
          <w:rFonts w:ascii="Verdana" w:hAnsi="Verdana"/>
          <w:i/>
          <w:sz w:val="20"/>
          <w:szCs w:val="20"/>
        </w:rPr>
        <w:t xml:space="preserve">supra </w:t>
      </w:r>
      <w:r w:rsidRPr="00F67B06">
        <w:rPr>
          <w:rFonts w:ascii="Verdana" w:hAnsi="Verdana"/>
          <w:sz w:val="20"/>
          <w:szCs w:val="20"/>
        </w:rPr>
        <w:t xml:space="preserve">párrs. </w:t>
      </w:r>
      <w:r w:rsidR="00F60E21" w:rsidRPr="00F67B06">
        <w:rPr>
          <w:rFonts w:ascii="Verdana" w:hAnsi="Verdana"/>
          <w:sz w:val="20"/>
          <w:szCs w:val="20"/>
        </w:rPr>
        <w:t>12</w:t>
      </w:r>
      <w:r w:rsidR="006B5D55" w:rsidRPr="00F67B06">
        <w:rPr>
          <w:rFonts w:ascii="Verdana" w:hAnsi="Verdana"/>
          <w:sz w:val="20"/>
          <w:szCs w:val="20"/>
        </w:rPr>
        <w:t>6</w:t>
      </w:r>
      <w:r w:rsidR="00F60E21" w:rsidRPr="00F67B06">
        <w:rPr>
          <w:rFonts w:ascii="Verdana" w:hAnsi="Verdana"/>
          <w:sz w:val="20"/>
          <w:szCs w:val="20"/>
        </w:rPr>
        <w:t xml:space="preserve"> a 1</w:t>
      </w:r>
      <w:r w:rsidR="006B5D55" w:rsidRPr="00F67B06">
        <w:rPr>
          <w:rFonts w:ascii="Verdana" w:hAnsi="Verdana"/>
          <w:sz w:val="20"/>
          <w:szCs w:val="20"/>
        </w:rPr>
        <w:t>33</w:t>
      </w:r>
      <w:r w:rsidRPr="00F67B06">
        <w:rPr>
          <w:rFonts w:ascii="Verdana" w:hAnsi="Verdana"/>
          <w:sz w:val="20"/>
          <w:szCs w:val="20"/>
        </w:rPr>
        <w:t>); v) la UEBPD - PGR (</w:t>
      </w:r>
      <w:r w:rsidRPr="00F67B06">
        <w:rPr>
          <w:rFonts w:ascii="Verdana" w:hAnsi="Verdana"/>
          <w:i/>
          <w:sz w:val="20"/>
          <w:szCs w:val="20"/>
        </w:rPr>
        <w:t xml:space="preserve">supra </w:t>
      </w:r>
      <w:r w:rsidRPr="00F67B06">
        <w:rPr>
          <w:rFonts w:ascii="Verdana" w:hAnsi="Verdana"/>
          <w:sz w:val="20"/>
          <w:szCs w:val="20"/>
        </w:rPr>
        <w:t>párr</w:t>
      </w:r>
      <w:r w:rsidR="006B5D55" w:rsidRPr="00F67B06">
        <w:rPr>
          <w:rFonts w:ascii="Verdana" w:hAnsi="Verdana"/>
          <w:sz w:val="20"/>
          <w:szCs w:val="20"/>
        </w:rPr>
        <w:t>s</w:t>
      </w:r>
      <w:r w:rsidRPr="00F67B06">
        <w:rPr>
          <w:rFonts w:ascii="Verdana" w:hAnsi="Verdana"/>
          <w:sz w:val="20"/>
          <w:szCs w:val="20"/>
        </w:rPr>
        <w:t xml:space="preserve">. </w:t>
      </w:r>
      <w:r w:rsidR="00F60E21" w:rsidRPr="00F67B06">
        <w:rPr>
          <w:rFonts w:ascii="Verdana" w:hAnsi="Verdana"/>
          <w:sz w:val="20"/>
          <w:szCs w:val="20"/>
        </w:rPr>
        <w:t>1</w:t>
      </w:r>
      <w:r w:rsidR="006B5D55" w:rsidRPr="00F67B06">
        <w:rPr>
          <w:rFonts w:ascii="Verdana" w:hAnsi="Verdana"/>
          <w:sz w:val="20"/>
          <w:szCs w:val="20"/>
        </w:rPr>
        <w:t>23</w:t>
      </w:r>
      <w:r w:rsidR="00F60E21" w:rsidRPr="00F67B06">
        <w:rPr>
          <w:rFonts w:ascii="Verdana" w:hAnsi="Verdana"/>
          <w:sz w:val="20"/>
          <w:szCs w:val="20"/>
        </w:rPr>
        <w:t xml:space="preserve"> a 1</w:t>
      </w:r>
      <w:r w:rsidR="006B5D55" w:rsidRPr="00F67B06">
        <w:rPr>
          <w:rFonts w:ascii="Verdana" w:hAnsi="Verdana"/>
          <w:sz w:val="20"/>
          <w:szCs w:val="20"/>
        </w:rPr>
        <w:t>25</w:t>
      </w:r>
      <w:r w:rsidRPr="00F67B06">
        <w:rPr>
          <w:rFonts w:ascii="Verdana" w:hAnsi="Verdana"/>
          <w:sz w:val="20"/>
          <w:szCs w:val="20"/>
        </w:rPr>
        <w:t>), y vi) el Equipo Internacional de Peritos</w:t>
      </w:r>
      <w:r w:rsidR="00C368C2" w:rsidRPr="00AD4631">
        <w:rPr>
          <w:rFonts w:ascii="Verdana" w:hAnsi="Verdana"/>
          <w:sz w:val="20"/>
          <w:szCs w:val="20"/>
        </w:rPr>
        <w:t>, en asistecia de la Fiscalía</w:t>
      </w:r>
      <w:r w:rsidR="000E5226" w:rsidRPr="00F67B06">
        <w:rPr>
          <w:rStyle w:val="Refdenotaalpie"/>
          <w:rFonts w:ascii="Verdana" w:hAnsi="Verdana"/>
          <w:sz w:val="20"/>
          <w:szCs w:val="20"/>
        </w:rPr>
        <w:footnoteReference w:id="428"/>
      </w:r>
      <w:r w:rsidRPr="00F67B06">
        <w:rPr>
          <w:rFonts w:ascii="Verdana" w:hAnsi="Verdana"/>
          <w:sz w:val="20"/>
          <w:szCs w:val="20"/>
        </w:rPr>
        <w:t xml:space="preserve">. </w:t>
      </w:r>
    </w:p>
    <w:p w14:paraId="1EA631D6" w14:textId="6CE48EEB" w:rsidR="009E2594"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Cambria"/>
          <w:sz w:val="20"/>
          <w:szCs w:val="20"/>
        </w:rPr>
      </w:pPr>
      <w:r w:rsidRPr="00813B72">
        <w:rPr>
          <w:rFonts w:ascii="Verdana" w:hAnsi="Verdana"/>
          <w:sz w:val="20"/>
          <w:szCs w:val="20"/>
        </w:rPr>
        <w:t>La Corte advierte que la FEVIMTRA en su acuerdo de declinatoria de 30 de septiembre de 2011 no descartó la hipótesis de la participación de elementos militares en las tres desapariciones y destacó el hermetismo y falta de colaboración del Ejército, lo cual constituyó un obstáculo permanente en las investigaciones (</w:t>
      </w:r>
      <w:r w:rsidRPr="00813B72">
        <w:rPr>
          <w:rFonts w:ascii="Verdana" w:hAnsi="Verdana"/>
          <w:i/>
          <w:sz w:val="20"/>
          <w:szCs w:val="20"/>
        </w:rPr>
        <w:t xml:space="preserve">supra </w:t>
      </w:r>
      <w:r w:rsidRPr="00813B72">
        <w:rPr>
          <w:rFonts w:ascii="Verdana" w:hAnsi="Verdana"/>
          <w:sz w:val="20"/>
          <w:szCs w:val="20"/>
        </w:rPr>
        <w:t>párr</w:t>
      </w:r>
      <w:r w:rsidR="006B5D55">
        <w:rPr>
          <w:rFonts w:ascii="Verdana" w:hAnsi="Verdana"/>
          <w:sz w:val="20"/>
          <w:szCs w:val="20"/>
        </w:rPr>
        <w:t>s</w:t>
      </w:r>
      <w:r w:rsidRPr="00813B72">
        <w:rPr>
          <w:rFonts w:ascii="Verdana" w:hAnsi="Verdana"/>
          <w:sz w:val="20"/>
          <w:szCs w:val="20"/>
        </w:rPr>
        <w:t xml:space="preserve">. </w:t>
      </w:r>
      <w:r w:rsidR="00D55B52">
        <w:rPr>
          <w:rFonts w:ascii="Verdana" w:hAnsi="Verdana"/>
          <w:sz w:val="20"/>
          <w:szCs w:val="20"/>
        </w:rPr>
        <w:t>11</w:t>
      </w:r>
      <w:r w:rsidR="006B5D55">
        <w:rPr>
          <w:rFonts w:ascii="Verdana" w:hAnsi="Verdana"/>
          <w:sz w:val="20"/>
          <w:szCs w:val="20"/>
        </w:rPr>
        <w:t>9 a 120</w:t>
      </w:r>
      <w:r w:rsidRPr="00813B72">
        <w:rPr>
          <w:rFonts w:ascii="Verdana" w:hAnsi="Verdana"/>
          <w:sz w:val="20"/>
          <w:szCs w:val="20"/>
        </w:rPr>
        <w:t xml:space="preserve">). Asimismo, el 31 de marzo de 2014 el Ministerio Público adscrito a </w:t>
      </w:r>
      <w:r w:rsidRPr="00813B72">
        <w:rPr>
          <w:rFonts w:ascii="Verdana" w:hAnsi="Verdana" w:cs="Cambria"/>
          <w:sz w:val="20"/>
          <w:szCs w:val="20"/>
        </w:rPr>
        <w:t xml:space="preserve">la </w:t>
      </w:r>
      <w:r w:rsidRPr="00813B72">
        <w:rPr>
          <w:rFonts w:ascii="Verdana" w:hAnsi="Verdana"/>
          <w:sz w:val="20"/>
          <w:szCs w:val="20"/>
        </w:rPr>
        <w:t>UEBPD – PGR ejercitó acción penal en contra del Comandante del 35 Batallón al considerar acreditada su participación en las desapariciones y solicitó la orden de aprehensión respectiva (</w:t>
      </w:r>
      <w:r w:rsidRPr="00813B72">
        <w:rPr>
          <w:rFonts w:ascii="Verdana" w:hAnsi="Verdana"/>
          <w:i/>
          <w:sz w:val="20"/>
          <w:szCs w:val="20"/>
        </w:rPr>
        <w:t xml:space="preserve">supra </w:t>
      </w:r>
      <w:r w:rsidRPr="00813B72">
        <w:rPr>
          <w:rFonts w:ascii="Verdana" w:hAnsi="Verdana"/>
          <w:sz w:val="20"/>
          <w:szCs w:val="20"/>
        </w:rPr>
        <w:t xml:space="preserve">párr. </w:t>
      </w:r>
      <w:r w:rsidR="0063219C">
        <w:rPr>
          <w:rFonts w:ascii="Verdana" w:hAnsi="Verdana"/>
          <w:sz w:val="20"/>
          <w:szCs w:val="20"/>
        </w:rPr>
        <w:t>124</w:t>
      </w:r>
      <w:r w:rsidRPr="00813B72">
        <w:rPr>
          <w:rFonts w:ascii="Verdana" w:hAnsi="Verdana"/>
          <w:sz w:val="20"/>
          <w:szCs w:val="20"/>
        </w:rPr>
        <w:t>). De igual modo, el Equipo Internacional de Peritos consideró que la privación ilegal de la libertad de [las presuntas víctimas] pudo [haber sido] realizada por miembros del Ejército en el marco del “Operativo Conjunto Chihuahua”</w:t>
      </w:r>
      <w:r w:rsidRPr="00813B72">
        <w:rPr>
          <w:rStyle w:val="Refdenotaalpie"/>
          <w:rFonts w:ascii="Verdana" w:hAnsi="Verdana"/>
          <w:sz w:val="20"/>
          <w:szCs w:val="20"/>
        </w:rPr>
        <w:footnoteReference w:id="429"/>
      </w:r>
      <w:r w:rsidRPr="00813B72">
        <w:rPr>
          <w:rFonts w:ascii="Verdana" w:hAnsi="Verdana"/>
          <w:sz w:val="20"/>
          <w:szCs w:val="20"/>
        </w:rPr>
        <w:t xml:space="preserve">. </w:t>
      </w:r>
    </w:p>
    <w:p w14:paraId="64AA6026" w14:textId="258E47E5" w:rsidR="00CC7DF1"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No obstante, el Tribunal nota que el Estado alegó en su defensa que los órganos internos “ya se ha[bían] pronunciado sobre la no atribución de la desaparici[ones] […] a agentes estatales”, señalando como base de sus argumentos las resoluciones emitidas por el Juez Séptimo de Distrito (</w:t>
      </w:r>
      <w:r w:rsidRPr="00813B72">
        <w:rPr>
          <w:rFonts w:ascii="Verdana" w:hAnsi="Verdana"/>
          <w:i/>
          <w:sz w:val="20"/>
          <w:szCs w:val="20"/>
        </w:rPr>
        <w:t xml:space="preserve">supra </w:t>
      </w:r>
      <w:r w:rsidRPr="00813B72">
        <w:rPr>
          <w:rFonts w:ascii="Verdana" w:hAnsi="Verdana"/>
          <w:sz w:val="20"/>
          <w:szCs w:val="20"/>
        </w:rPr>
        <w:t xml:space="preserve">párr. </w:t>
      </w:r>
      <w:r w:rsidR="009079AD">
        <w:rPr>
          <w:rFonts w:ascii="Verdana" w:hAnsi="Verdana"/>
          <w:sz w:val="20"/>
          <w:szCs w:val="20"/>
        </w:rPr>
        <w:t>126</w:t>
      </w:r>
      <w:r w:rsidRPr="00813B72">
        <w:rPr>
          <w:rFonts w:ascii="Verdana" w:hAnsi="Verdana"/>
          <w:sz w:val="20"/>
          <w:szCs w:val="20"/>
        </w:rPr>
        <w:t>); el Cuarto Tribunal Unitario de Decimoséptimo Circuito (</w:t>
      </w:r>
      <w:r w:rsidRPr="00813B72">
        <w:rPr>
          <w:rFonts w:ascii="Verdana" w:hAnsi="Verdana"/>
          <w:i/>
          <w:sz w:val="20"/>
          <w:szCs w:val="20"/>
        </w:rPr>
        <w:t>supra</w:t>
      </w:r>
      <w:r w:rsidRPr="00813B72">
        <w:rPr>
          <w:rFonts w:ascii="Verdana" w:hAnsi="Verdana"/>
          <w:sz w:val="20"/>
          <w:szCs w:val="20"/>
        </w:rPr>
        <w:t xml:space="preserve"> párr. </w:t>
      </w:r>
      <w:r w:rsidR="00820F1E">
        <w:rPr>
          <w:rFonts w:ascii="Verdana" w:hAnsi="Verdana"/>
          <w:sz w:val="20"/>
          <w:szCs w:val="20"/>
        </w:rPr>
        <w:t>128</w:t>
      </w:r>
      <w:r w:rsidRPr="00813B72">
        <w:rPr>
          <w:rFonts w:ascii="Verdana" w:hAnsi="Verdana"/>
          <w:sz w:val="20"/>
          <w:szCs w:val="20"/>
        </w:rPr>
        <w:t>), y el Tercer Tribunal Unitario del Decimoséptimo Circuito (</w:t>
      </w:r>
      <w:r w:rsidRPr="00813B72">
        <w:rPr>
          <w:rFonts w:ascii="Verdana" w:hAnsi="Verdana"/>
          <w:i/>
          <w:sz w:val="20"/>
          <w:szCs w:val="20"/>
        </w:rPr>
        <w:t xml:space="preserve">supra, </w:t>
      </w:r>
      <w:r w:rsidRPr="00813B72">
        <w:rPr>
          <w:rFonts w:ascii="Verdana" w:hAnsi="Verdana"/>
          <w:sz w:val="20"/>
          <w:szCs w:val="20"/>
        </w:rPr>
        <w:t xml:space="preserve">párr. </w:t>
      </w:r>
      <w:r w:rsidR="002D7CBA">
        <w:rPr>
          <w:rFonts w:ascii="Verdana" w:hAnsi="Verdana"/>
          <w:sz w:val="20"/>
          <w:szCs w:val="20"/>
        </w:rPr>
        <w:t>131</w:t>
      </w:r>
      <w:r w:rsidRPr="00813B72">
        <w:rPr>
          <w:rFonts w:ascii="Verdana" w:hAnsi="Verdana"/>
          <w:sz w:val="20"/>
          <w:szCs w:val="20"/>
        </w:rPr>
        <w:t>) en donde, frente a la solicitud de orden de aprehensión por parte del M</w:t>
      </w:r>
      <w:r w:rsidR="002D7CBA">
        <w:rPr>
          <w:rFonts w:ascii="Verdana" w:hAnsi="Verdana"/>
          <w:sz w:val="20"/>
          <w:szCs w:val="20"/>
        </w:rPr>
        <w:t xml:space="preserve">inisterio </w:t>
      </w:r>
      <w:r w:rsidRPr="00813B72">
        <w:rPr>
          <w:rFonts w:ascii="Verdana" w:hAnsi="Verdana"/>
          <w:sz w:val="20"/>
          <w:szCs w:val="20"/>
        </w:rPr>
        <w:t>P</w:t>
      </w:r>
      <w:r w:rsidR="002D7CBA">
        <w:rPr>
          <w:rFonts w:ascii="Verdana" w:hAnsi="Verdana"/>
          <w:sz w:val="20"/>
          <w:szCs w:val="20"/>
        </w:rPr>
        <w:t>úblico</w:t>
      </w:r>
      <w:r w:rsidRPr="00813B72">
        <w:rPr>
          <w:rFonts w:ascii="Verdana" w:hAnsi="Verdana"/>
          <w:sz w:val="20"/>
          <w:szCs w:val="20"/>
        </w:rPr>
        <w:t>, dichos órganos judiciales determinaron la falta de elementos para acreditar la responsabilidad penal del entonces Comandante del 35 Batallón por su presunta participación en las tres desapariciones</w:t>
      </w:r>
      <w:r w:rsidRPr="00813B72">
        <w:rPr>
          <w:rStyle w:val="Refdenotaalpie"/>
          <w:rFonts w:ascii="Verdana" w:hAnsi="Verdana"/>
          <w:sz w:val="20"/>
          <w:szCs w:val="20"/>
        </w:rPr>
        <w:footnoteReference w:id="430"/>
      </w:r>
      <w:r w:rsidRPr="00DB378B">
        <w:rPr>
          <w:rFonts w:ascii="Verdana" w:hAnsi="Verdana"/>
          <w:sz w:val="20"/>
          <w:szCs w:val="20"/>
        </w:rPr>
        <w:t>.</w:t>
      </w:r>
      <w:r w:rsidRPr="00813B72">
        <w:rPr>
          <w:rFonts w:ascii="Verdana" w:hAnsi="Verdana"/>
          <w:b/>
          <w:sz w:val="20"/>
          <w:szCs w:val="20"/>
        </w:rPr>
        <w:t xml:space="preserve"> </w:t>
      </w:r>
    </w:p>
    <w:p w14:paraId="64AA6028" w14:textId="4C0E21FF" w:rsidR="00CC7DF1"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 xml:space="preserve">Al respecto, el Tribunal recuerda que una resolución </w:t>
      </w:r>
      <w:r w:rsidR="00FA2980">
        <w:rPr>
          <w:rFonts w:ascii="Verdana" w:hAnsi="Verdana"/>
          <w:sz w:val="20"/>
          <w:szCs w:val="20"/>
        </w:rPr>
        <w:t>denega</w:t>
      </w:r>
      <w:r w:rsidR="00FA2980" w:rsidRPr="00813B72">
        <w:rPr>
          <w:rFonts w:ascii="Verdana" w:hAnsi="Verdana"/>
          <w:sz w:val="20"/>
          <w:szCs w:val="20"/>
        </w:rPr>
        <w:t xml:space="preserve">toria </w:t>
      </w:r>
      <w:r w:rsidRPr="00813B72">
        <w:rPr>
          <w:rFonts w:ascii="Verdana" w:hAnsi="Verdana"/>
          <w:sz w:val="20"/>
          <w:szCs w:val="20"/>
        </w:rPr>
        <w:t xml:space="preserve">de orden de aprehensión de un individuo no constituye </w:t>
      </w:r>
      <w:r w:rsidRPr="00813B72">
        <w:rPr>
          <w:rFonts w:ascii="Verdana" w:hAnsi="Verdana"/>
          <w:i/>
          <w:sz w:val="20"/>
          <w:szCs w:val="20"/>
        </w:rPr>
        <w:t>per se</w:t>
      </w:r>
      <w:r w:rsidRPr="00813B72">
        <w:rPr>
          <w:rFonts w:ascii="Verdana" w:hAnsi="Verdana"/>
          <w:sz w:val="20"/>
          <w:szCs w:val="20"/>
        </w:rPr>
        <w:t xml:space="preserve"> un factor para afirmar la falta de responsabilidad internacional del Estado, dada la diferencia en el estándar o requisito probatorio en materia penal y el exigido en el derecho internacional de los derechos humanos en casos como el presente (</w:t>
      </w:r>
      <w:r w:rsidRPr="00813B72">
        <w:rPr>
          <w:rFonts w:ascii="Verdana" w:hAnsi="Verdana"/>
          <w:i/>
          <w:sz w:val="20"/>
          <w:szCs w:val="20"/>
        </w:rPr>
        <w:t xml:space="preserve">supra </w:t>
      </w:r>
      <w:r w:rsidRPr="00813B72">
        <w:rPr>
          <w:rFonts w:ascii="Verdana" w:hAnsi="Verdana"/>
          <w:sz w:val="20"/>
          <w:szCs w:val="20"/>
        </w:rPr>
        <w:t xml:space="preserve">párr. </w:t>
      </w:r>
      <w:r w:rsidR="000D4A6F">
        <w:rPr>
          <w:rFonts w:ascii="Verdana" w:hAnsi="Verdana"/>
          <w:sz w:val="20"/>
          <w:szCs w:val="20"/>
        </w:rPr>
        <w:t>168</w:t>
      </w:r>
      <w:r w:rsidRPr="00813B72">
        <w:rPr>
          <w:rFonts w:ascii="Verdana" w:hAnsi="Verdana"/>
          <w:sz w:val="20"/>
          <w:szCs w:val="20"/>
        </w:rPr>
        <w:t>). De igual modo, cabe recordar que no compete al Tribunal analizar las hipótesis de autoría individual manejadas durante la investigación de los hechos y en consecuencia determinar responsabilidades individuales, cuya definición compete a los tribunales penales internos</w:t>
      </w:r>
      <w:r w:rsidRPr="00813B72">
        <w:rPr>
          <w:rStyle w:val="Refdenotaalpie"/>
          <w:rFonts w:ascii="Verdana" w:hAnsi="Verdana"/>
          <w:sz w:val="20"/>
          <w:szCs w:val="20"/>
        </w:rPr>
        <w:footnoteReference w:id="431"/>
      </w:r>
      <w:r w:rsidRPr="00813B72">
        <w:rPr>
          <w:rFonts w:ascii="Verdana" w:hAnsi="Verdana"/>
          <w:sz w:val="20"/>
          <w:szCs w:val="20"/>
        </w:rPr>
        <w:t xml:space="preserve">, por </w:t>
      </w:r>
      <w:r w:rsidRPr="00813B72">
        <w:rPr>
          <w:rFonts w:ascii="Verdana" w:hAnsi="Verdana"/>
          <w:sz w:val="20"/>
          <w:szCs w:val="20"/>
        </w:rPr>
        <w:lastRenderedPageBreak/>
        <w:t>lo que los procesos y decisiones de orden penal pueden constituir únicamente hechos a ser considerados por la Corte para evaluar la responsabilidad estatal o su alcance en un caso concreto.</w:t>
      </w:r>
    </w:p>
    <w:p w14:paraId="64AA602A" w14:textId="227970FF" w:rsidR="00CC7DF1"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 xml:space="preserve">Sin perjuicio de lo anterior, la Corte nota que </w:t>
      </w:r>
      <w:r w:rsidRPr="00813B72">
        <w:rPr>
          <w:rFonts w:ascii="Verdana" w:hAnsi="Verdana" w:cs="Cambria"/>
          <w:sz w:val="20"/>
          <w:szCs w:val="20"/>
        </w:rPr>
        <w:t xml:space="preserve">mediante sentencia de 9 de junio de 2016 el Tribunal Colegiado del Decimoséptimo Circuito en Chihuahua revocó </w:t>
      </w:r>
      <w:r w:rsidR="006839A8">
        <w:rPr>
          <w:rFonts w:ascii="Verdana" w:hAnsi="Verdana" w:cs="Cambria"/>
          <w:sz w:val="20"/>
          <w:szCs w:val="20"/>
        </w:rPr>
        <w:t>en</w:t>
      </w:r>
      <w:r w:rsidR="006839A8" w:rsidRPr="00813B72">
        <w:rPr>
          <w:rFonts w:ascii="Verdana" w:hAnsi="Verdana" w:cs="Cambria"/>
          <w:sz w:val="20"/>
          <w:szCs w:val="20"/>
        </w:rPr>
        <w:t xml:space="preserve"> favor de las presuntas víctimas del caso </w:t>
      </w:r>
      <w:r w:rsidRPr="00813B72">
        <w:rPr>
          <w:rFonts w:ascii="Verdana" w:hAnsi="Verdana" w:cs="Cambria"/>
          <w:sz w:val="20"/>
          <w:szCs w:val="20"/>
        </w:rPr>
        <w:t xml:space="preserve">la sentencia de amparo, al considerar que </w:t>
      </w:r>
      <w:r w:rsidR="006839A8" w:rsidRPr="00813B72">
        <w:rPr>
          <w:rFonts w:ascii="Verdana" w:hAnsi="Verdana" w:cs="Cambria"/>
          <w:sz w:val="20"/>
          <w:szCs w:val="20"/>
        </w:rPr>
        <w:t xml:space="preserve">al negar la referida orden de aprehensión </w:t>
      </w:r>
      <w:r w:rsidR="00EC5119" w:rsidRPr="00501F84">
        <w:rPr>
          <w:rFonts w:ascii="Verdana" w:hAnsi="Verdana" w:cs="Cambria"/>
          <w:sz w:val="20"/>
          <w:szCs w:val="20"/>
        </w:rPr>
        <w:t>en contra de</w:t>
      </w:r>
      <w:r w:rsidR="00EC5119">
        <w:rPr>
          <w:rFonts w:ascii="Verdana" w:hAnsi="Verdana" w:cs="Cambria"/>
          <w:sz w:val="20"/>
          <w:szCs w:val="20"/>
        </w:rPr>
        <w:t xml:space="preserve"> un alto mando militar</w:t>
      </w:r>
      <w:r w:rsidR="00EC5119" w:rsidRPr="00813B72">
        <w:rPr>
          <w:rFonts w:ascii="Verdana" w:hAnsi="Verdana" w:cs="Cambria"/>
          <w:sz w:val="20"/>
          <w:szCs w:val="20"/>
        </w:rPr>
        <w:t xml:space="preserve"> </w:t>
      </w:r>
      <w:r w:rsidR="00B5493C">
        <w:rPr>
          <w:rFonts w:ascii="Verdana" w:hAnsi="Verdana" w:cs="Cambria"/>
          <w:sz w:val="20"/>
          <w:szCs w:val="20"/>
        </w:rPr>
        <w:t>el juez de conocimiento n</w:t>
      </w:r>
      <w:r w:rsidR="00B5493C" w:rsidRPr="00813B72">
        <w:rPr>
          <w:rFonts w:ascii="Verdana" w:hAnsi="Verdana" w:cs="Cambria"/>
          <w:sz w:val="20"/>
          <w:szCs w:val="20"/>
        </w:rPr>
        <w:t>o</w:t>
      </w:r>
      <w:r w:rsidRPr="00813B72">
        <w:rPr>
          <w:rFonts w:ascii="Verdana" w:hAnsi="Verdana" w:cs="Cambria"/>
          <w:sz w:val="20"/>
          <w:szCs w:val="20"/>
        </w:rPr>
        <w:t xml:space="preserve"> anali</w:t>
      </w:r>
      <w:r w:rsidR="00B5493C">
        <w:rPr>
          <w:rFonts w:ascii="Verdana" w:hAnsi="Verdana" w:cs="Cambria"/>
          <w:sz w:val="20"/>
          <w:szCs w:val="20"/>
        </w:rPr>
        <w:t>zó</w:t>
      </w:r>
      <w:r w:rsidRPr="00813B72">
        <w:rPr>
          <w:rFonts w:ascii="Verdana" w:hAnsi="Verdana" w:cs="Cambria"/>
          <w:sz w:val="20"/>
          <w:szCs w:val="20"/>
        </w:rPr>
        <w:t xml:space="preserve"> la totalidad de las pruebas aportadas por la fiscalía</w:t>
      </w:r>
      <w:r w:rsidR="00501F84">
        <w:rPr>
          <w:rFonts w:ascii="Verdana" w:hAnsi="Verdana" w:cs="Cambria"/>
          <w:sz w:val="20"/>
          <w:szCs w:val="20"/>
        </w:rPr>
        <w:t>.</w:t>
      </w:r>
      <w:r w:rsidR="006839A8">
        <w:rPr>
          <w:rFonts w:ascii="Verdana" w:hAnsi="Verdana" w:cs="Cambria"/>
          <w:sz w:val="20"/>
          <w:szCs w:val="20"/>
        </w:rPr>
        <w:t xml:space="preserve"> </w:t>
      </w:r>
      <w:r w:rsidR="001B0C3E">
        <w:rPr>
          <w:rFonts w:ascii="Verdana" w:hAnsi="Verdana" w:cs="Cambria"/>
          <w:sz w:val="20"/>
          <w:szCs w:val="20"/>
        </w:rPr>
        <w:t xml:space="preserve">En </w:t>
      </w:r>
      <w:r w:rsidR="00501F84">
        <w:rPr>
          <w:rFonts w:ascii="Verdana" w:hAnsi="Verdana" w:cs="Cambria"/>
          <w:sz w:val="20"/>
          <w:szCs w:val="20"/>
        </w:rPr>
        <w:t xml:space="preserve">consecuencia, </w:t>
      </w:r>
      <w:r w:rsidR="00501F84" w:rsidRPr="00501F84">
        <w:rPr>
          <w:rFonts w:ascii="Verdana" w:hAnsi="Verdana" w:cs="Cambria"/>
          <w:sz w:val="20"/>
          <w:szCs w:val="20"/>
        </w:rPr>
        <w:t xml:space="preserve">el 7 de octubre de 2016 </w:t>
      </w:r>
      <w:r w:rsidR="00501F84">
        <w:rPr>
          <w:rFonts w:ascii="Verdana" w:hAnsi="Verdana" w:cs="Cambria"/>
          <w:sz w:val="20"/>
          <w:szCs w:val="20"/>
        </w:rPr>
        <w:t xml:space="preserve">se dictó </w:t>
      </w:r>
      <w:r w:rsidR="00501F84" w:rsidRPr="00501F84">
        <w:rPr>
          <w:rFonts w:ascii="Verdana" w:hAnsi="Verdana" w:cs="Cambria"/>
          <w:sz w:val="20"/>
          <w:szCs w:val="20"/>
        </w:rPr>
        <w:t>una nueva resolución</w:t>
      </w:r>
      <w:r w:rsidR="007D669B">
        <w:rPr>
          <w:rFonts w:ascii="Verdana" w:hAnsi="Verdana" w:cs="Cambria"/>
          <w:sz w:val="20"/>
          <w:szCs w:val="20"/>
        </w:rPr>
        <w:t xml:space="preserve"> en la cual se realizó el análisis de </w:t>
      </w:r>
      <w:r w:rsidR="00F1547C">
        <w:rPr>
          <w:rFonts w:ascii="Verdana" w:hAnsi="Verdana" w:cs="Cambria"/>
          <w:sz w:val="20"/>
          <w:szCs w:val="20"/>
        </w:rPr>
        <w:t>tale</w:t>
      </w:r>
      <w:r w:rsidR="00B5493C">
        <w:rPr>
          <w:rFonts w:ascii="Verdana" w:hAnsi="Verdana" w:cs="Cambria"/>
          <w:sz w:val="20"/>
          <w:szCs w:val="20"/>
        </w:rPr>
        <w:t xml:space="preserve">s </w:t>
      </w:r>
      <w:r w:rsidR="007D669B">
        <w:rPr>
          <w:rFonts w:ascii="Verdana" w:hAnsi="Verdana" w:cs="Cambria"/>
          <w:sz w:val="20"/>
          <w:szCs w:val="20"/>
        </w:rPr>
        <w:t xml:space="preserve">pruebas, y se negó una vez </w:t>
      </w:r>
      <w:r w:rsidR="001343C1">
        <w:rPr>
          <w:rFonts w:ascii="Verdana" w:hAnsi="Verdana" w:cs="Cambria"/>
          <w:sz w:val="20"/>
          <w:szCs w:val="20"/>
        </w:rPr>
        <w:t xml:space="preserve">más </w:t>
      </w:r>
      <w:r w:rsidR="00F1547C">
        <w:rPr>
          <w:rFonts w:ascii="Verdana" w:hAnsi="Verdana" w:cs="Cambria"/>
          <w:sz w:val="20"/>
          <w:szCs w:val="20"/>
        </w:rPr>
        <w:t>la</w:t>
      </w:r>
      <w:r w:rsidR="00501F84" w:rsidRPr="00501F84">
        <w:rPr>
          <w:rFonts w:ascii="Verdana" w:hAnsi="Verdana" w:cs="Cambria"/>
          <w:sz w:val="20"/>
          <w:szCs w:val="20"/>
        </w:rPr>
        <w:t xml:space="preserve"> orden de aprehensión, </w:t>
      </w:r>
      <w:r w:rsidR="001343C1">
        <w:rPr>
          <w:rFonts w:ascii="Verdana" w:hAnsi="Verdana" w:cs="Cambria"/>
          <w:sz w:val="20"/>
          <w:szCs w:val="20"/>
        </w:rPr>
        <w:t>decisión que</w:t>
      </w:r>
      <w:r w:rsidR="00501F84">
        <w:rPr>
          <w:rFonts w:ascii="Verdana" w:hAnsi="Verdana" w:cs="Cambria"/>
          <w:sz w:val="20"/>
          <w:szCs w:val="20"/>
        </w:rPr>
        <w:t xml:space="preserve"> adquirió definitividad </w:t>
      </w:r>
      <w:r w:rsidR="00501F84" w:rsidRPr="00501F84">
        <w:rPr>
          <w:rFonts w:ascii="Verdana" w:hAnsi="Verdana" w:cs="Cambria"/>
          <w:sz w:val="20"/>
          <w:szCs w:val="20"/>
        </w:rPr>
        <w:t>el 7 de noviembre de 2016</w:t>
      </w:r>
      <w:r w:rsidR="00501F84">
        <w:rPr>
          <w:rFonts w:ascii="Verdana" w:hAnsi="Verdana" w:cs="Cambria"/>
          <w:sz w:val="20"/>
          <w:szCs w:val="20"/>
        </w:rPr>
        <w:t xml:space="preserve"> (</w:t>
      </w:r>
      <w:r w:rsidR="00501F84" w:rsidRPr="008D0846">
        <w:rPr>
          <w:rFonts w:ascii="Verdana" w:hAnsi="Verdana" w:cs="Cambria"/>
          <w:i/>
          <w:sz w:val="20"/>
          <w:szCs w:val="20"/>
        </w:rPr>
        <w:t>supra</w:t>
      </w:r>
      <w:r w:rsidR="00501F84">
        <w:rPr>
          <w:rFonts w:ascii="Verdana" w:hAnsi="Verdana" w:cs="Cambria"/>
          <w:sz w:val="20"/>
          <w:szCs w:val="20"/>
        </w:rPr>
        <w:t xml:space="preserve"> párr. 133).</w:t>
      </w:r>
    </w:p>
    <w:p w14:paraId="64AA602B" w14:textId="59572287"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 xml:space="preserve">Adicionalmente, la Corte toma nota de la Recomendación 43/11 emitida por la </w:t>
      </w:r>
      <w:r w:rsidR="006B5D55">
        <w:rPr>
          <w:rFonts w:ascii="Verdana" w:hAnsi="Verdana"/>
          <w:sz w:val="20"/>
          <w:szCs w:val="20"/>
        </w:rPr>
        <w:t>CNDH</w:t>
      </w:r>
      <w:r w:rsidRPr="00813B72">
        <w:rPr>
          <w:rFonts w:ascii="Verdana" w:hAnsi="Verdana"/>
          <w:sz w:val="20"/>
          <w:szCs w:val="20"/>
        </w:rPr>
        <w:t xml:space="preserve"> (</w:t>
      </w:r>
      <w:r w:rsidRPr="00813B72">
        <w:rPr>
          <w:rFonts w:ascii="Verdana" w:hAnsi="Verdana"/>
          <w:i/>
          <w:sz w:val="20"/>
          <w:szCs w:val="20"/>
        </w:rPr>
        <w:t>supra</w:t>
      </w:r>
      <w:r w:rsidRPr="00813B72">
        <w:rPr>
          <w:rFonts w:ascii="Verdana" w:hAnsi="Verdana"/>
          <w:sz w:val="20"/>
          <w:szCs w:val="20"/>
        </w:rPr>
        <w:t xml:space="preserve">, párr. </w:t>
      </w:r>
      <w:r w:rsidR="003345B9">
        <w:rPr>
          <w:rFonts w:ascii="Verdana" w:hAnsi="Verdana"/>
          <w:sz w:val="20"/>
          <w:szCs w:val="20"/>
        </w:rPr>
        <w:t>140</w:t>
      </w:r>
      <w:r w:rsidR="003345B9" w:rsidRPr="00813B72">
        <w:rPr>
          <w:rFonts w:ascii="Verdana" w:hAnsi="Verdana"/>
          <w:sz w:val="20"/>
          <w:szCs w:val="20"/>
        </w:rPr>
        <w:t xml:space="preserve">), </w:t>
      </w:r>
      <w:r w:rsidRPr="00813B72">
        <w:rPr>
          <w:rFonts w:ascii="Verdana" w:hAnsi="Verdana"/>
          <w:sz w:val="20"/>
          <w:szCs w:val="20"/>
        </w:rPr>
        <w:t>en la cual concluyó</w:t>
      </w:r>
      <w:r w:rsidR="006B5D55">
        <w:rPr>
          <w:rFonts w:ascii="Verdana" w:hAnsi="Verdana"/>
          <w:sz w:val="20"/>
          <w:szCs w:val="20"/>
        </w:rPr>
        <w:t xml:space="preserve"> que</w:t>
      </w:r>
      <w:r w:rsidRPr="00813B72">
        <w:rPr>
          <w:rFonts w:ascii="Verdana" w:hAnsi="Verdana"/>
          <w:sz w:val="20"/>
          <w:szCs w:val="20"/>
        </w:rPr>
        <w:t>:</w:t>
      </w:r>
    </w:p>
    <w:p w14:paraId="64AA602E" w14:textId="7ED471E0" w:rsidR="002E1C85" w:rsidRPr="00813B72" w:rsidRDefault="002E1C85">
      <w:pPr>
        <w:pStyle w:val="Prrafodelista"/>
        <w:autoSpaceDE w:val="0"/>
        <w:autoSpaceDN w:val="0"/>
        <w:adjustRightInd w:val="0"/>
        <w:spacing w:before="120" w:after="120" w:line="240" w:lineRule="auto"/>
        <w:ind w:right="4"/>
        <w:contextualSpacing w:val="0"/>
        <w:jc w:val="both"/>
        <w:rPr>
          <w:rFonts w:ascii="Verdana" w:hAnsi="Verdana" w:cs="Cambria"/>
          <w:sz w:val="18"/>
          <w:szCs w:val="20"/>
        </w:rPr>
      </w:pPr>
      <w:r w:rsidRPr="00813B72">
        <w:rPr>
          <w:rFonts w:ascii="Verdana" w:hAnsi="Verdana" w:cs="Cambria"/>
          <w:sz w:val="18"/>
          <w:szCs w:val="20"/>
        </w:rPr>
        <w:t>“[…] los servidores públicos de la Secretaría de la Defensa Nacional que participaron en el operativo efectuado el 29 de diciembre de 2009, actualizaron los supuestos previstos en el artículo II de la Convención Interamericana sobre Desaparición Forzada de Personas […]”</w:t>
      </w:r>
      <w:r w:rsidR="00813B72">
        <w:rPr>
          <w:rFonts w:ascii="Verdana" w:hAnsi="Verdana" w:cs="Cambria"/>
          <w:sz w:val="18"/>
          <w:szCs w:val="20"/>
        </w:rPr>
        <w:t>.</w:t>
      </w:r>
    </w:p>
    <w:p w14:paraId="64AA6030" w14:textId="590B087D"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cs="Times New Roman"/>
          <w:sz w:val="20"/>
          <w:szCs w:val="20"/>
        </w:rPr>
        <w:t>Al respecto, si bien el Estado controvirtió ante la Corte dichas conclusiones señalando que “el análisis realizado por la CNDH no es suficiente para acreditar que efectivamente elementos del Ejército u otras autoridades mexicanas participaron en la[s] desaparici[ones], dicha “Recomendación” fue aceptada por la SEDENA a nivel interno, en el marco de la cual otorgó una suma de dinero a los familiares “sin que ello impli[cara] un reconocimiento de responsabilidad” de los hechos (</w:t>
      </w:r>
      <w:r w:rsidRPr="00813B72">
        <w:rPr>
          <w:rFonts w:ascii="Verdana" w:hAnsi="Verdana" w:cs="Times New Roman"/>
          <w:i/>
          <w:sz w:val="20"/>
          <w:szCs w:val="20"/>
        </w:rPr>
        <w:t xml:space="preserve">supra </w:t>
      </w:r>
      <w:r w:rsidRPr="00813B72">
        <w:rPr>
          <w:rFonts w:ascii="Verdana" w:hAnsi="Verdana" w:cs="Times New Roman"/>
          <w:sz w:val="20"/>
          <w:szCs w:val="20"/>
        </w:rPr>
        <w:t>párr.</w:t>
      </w:r>
      <w:r w:rsidR="009658DE">
        <w:rPr>
          <w:rFonts w:ascii="Verdana" w:hAnsi="Verdana" w:cs="Times New Roman"/>
          <w:sz w:val="20"/>
          <w:szCs w:val="20"/>
        </w:rPr>
        <w:t xml:space="preserve"> </w:t>
      </w:r>
      <w:r w:rsidR="001343C1">
        <w:rPr>
          <w:rFonts w:ascii="Verdana" w:hAnsi="Verdana" w:cs="Times New Roman"/>
          <w:sz w:val="20"/>
          <w:szCs w:val="20"/>
        </w:rPr>
        <w:t>141</w:t>
      </w:r>
      <w:r w:rsidRPr="00813B72">
        <w:rPr>
          <w:rFonts w:ascii="Verdana" w:hAnsi="Verdana" w:cs="Times New Roman"/>
          <w:sz w:val="20"/>
          <w:szCs w:val="20"/>
        </w:rPr>
        <w:t>). Por los elementos de análisis y las conclusiones a las que en ella se arribaron, en concepto del Tribunal dicha “Recomendación” y su aceptación por parte de la SEDENA constituyen elementos adicionales relevantes sobre la participación de agentes estatales en los hechos</w:t>
      </w:r>
      <w:r w:rsidRPr="00813B72">
        <w:rPr>
          <w:rFonts w:ascii="Verdana" w:hAnsi="Verdana"/>
          <w:sz w:val="20"/>
          <w:szCs w:val="20"/>
        </w:rPr>
        <w:t>.</w:t>
      </w:r>
      <w:r w:rsidRPr="00813B72">
        <w:rPr>
          <w:rFonts w:ascii="Verdana" w:hAnsi="Verdana" w:cs="Times New Roman"/>
          <w:sz w:val="20"/>
          <w:szCs w:val="20"/>
        </w:rPr>
        <w:t xml:space="preserve"> </w:t>
      </w:r>
    </w:p>
    <w:p w14:paraId="64AA6032" w14:textId="55DA5361" w:rsidR="00903628" w:rsidRPr="00563842" w:rsidRDefault="00556FDB">
      <w:pPr>
        <w:pStyle w:val="Ttulo4"/>
        <w:numPr>
          <w:ilvl w:val="0"/>
          <w:numId w:val="64"/>
        </w:numPr>
        <w:spacing w:before="120" w:after="120"/>
        <w:contextualSpacing w:val="0"/>
        <w:rPr>
          <w:u w:val="none"/>
        </w:rPr>
      </w:pPr>
      <w:r>
        <w:rPr>
          <w:u w:val="none"/>
        </w:rPr>
        <w:t xml:space="preserve"> </w:t>
      </w:r>
      <w:bookmarkStart w:id="202" w:name="_Toc532995372"/>
      <w:r w:rsidR="00400310" w:rsidRPr="00563842">
        <w:rPr>
          <w:u w:val="none"/>
        </w:rPr>
        <w:t>La negativa de reconocer la detención o falta de proveer información y de revelar la suerte o el paradero de la persona interesada</w:t>
      </w:r>
      <w:bookmarkEnd w:id="202"/>
    </w:p>
    <w:p w14:paraId="64AA6034" w14:textId="36FF106E"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De acuerdo con la jurisprudencia de esta Corte, una de las características de la desaparición forzada, a diferencia de la ejecución extrajudicial, es que conlleva la negativa del Estado de reconocer que la víctima está bajo su control y de proporcionar información al respecto, con el propósito de generar incertidumbre acerca de su paradero, vida o muerte, de provocar intimidación y supresión de derechos</w:t>
      </w:r>
      <w:r w:rsidRPr="00813B72">
        <w:rPr>
          <w:rStyle w:val="Refdenotaalpie"/>
          <w:rFonts w:ascii="Verdana" w:hAnsi="Verdana"/>
          <w:sz w:val="20"/>
          <w:szCs w:val="20"/>
        </w:rPr>
        <w:footnoteReference w:id="432"/>
      </w:r>
      <w:r w:rsidRPr="00813B72">
        <w:rPr>
          <w:rFonts w:ascii="Verdana" w:hAnsi="Verdana"/>
          <w:sz w:val="20"/>
          <w:szCs w:val="20"/>
        </w:rPr>
        <w:t>.</w:t>
      </w:r>
    </w:p>
    <w:p w14:paraId="64AA6036" w14:textId="2A709195"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13B72">
        <w:rPr>
          <w:rFonts w:ascii="Verdana" w:hAnsi="Verdana"/>
          <w:sz w:val="20"/>
          <w:szCs w:val="20"/>
        </w:rPr>
        <w:t xml:space="preserve">Sobre este elemento de la desaparición forzada en el caso concreto, la Corte nota que tras la detención de las 3 víctimas los familiares iniciaron diversas denuncias y acciones de búsqueda en donde, no obstante la información proporcionada a estos por diversos agentes estatales, los funcionarios negaron que los detenidos se encontraran bajo custodia estatal o en dependencias oficiales y les informaron que no tenían información sobre su paradero, entre los cuales se encuentran:    </w:t>
      </w:r>
    </w:p>
    <w:p w14:paraId="64AA6037" w14:textId="0B3B33C8" w:rsidR="00CC7DF1" w:rsidRPr="006E5414" w:rsidRDefault="002E1C85">
      <w:pPr>
        <w:pStyle w:val="Prrafodelista"/>
        <w:numPr>
          <w:ilvl w:val="1"/>
          <w:numId w:val="4"/>
        </w:numPr>
        <w:spacing w:before="120" w:after="120" w:line="240" w:lineRule="auto"/>
        <w:ind w:left="709" w:right="4"/>
        <w:contextualSpacing w:val="0"/>
        <w:jc w:val="both"/>
        <w:rPr>
          <w:rFonts w:ascii="Verdana" w:hAnsi="Verdana"/>
          <w:sz w:val="18"/>
          <w:szCs w:val="18"/>
        </w:rPr>
      </w:pPr>
      <w:r w:rsidRPr="006E5414">
        <w:rPr>
          <w:rFonts w:ascii="Verdana" w:hAnsi="Verdana"/>
          <w:sz w:val="18"/>
          <w:szCs w:val="18"/>
        </w:rPr>
        <w:t>El 30 de diciembre de 2009 los familiares acudieron a las instalaciones del 35 Batallón, en donde un soldado les manifestó que no se encontraban allí detenidos sus familiares</w:t>
      </w:r>
      <w:r w:rsidR="00861B23" w:rsidRPr="006E5414">
        <w:rPr>
          <w:rFonts w:ascii="Verdana" w:hAnsi="Verdana"/>
          <w:sz w:val="18"/>
          <w:szCs w:val="18"/>
        </w:rPr>
        <w:t xml:space="preserve">. </w:t>
      </w:r>
      <w:r w:rsidRPr="006E5414">
        <w:rPr>
          <w:rFonts w:ascii="Verdana" w:hAnsi="Verdana"/>
          <w:sz w:val="18"/>
          <w:szCs w:val="18"/>
        </w:rPr>
        <w:t>Tras ello, el mismo día los familiares acudieron a las instalaciones de la Agencia Federal de Investigaciones, recibiendo la misma respuesta negativa (</w:t>
      </w:r>
      <w:r w:rsidRPr="006E5414">
        <w:rPr>
          <w:rFonts w:ascii="Verdana" w:hAnsi="Verdana"/>
          <w:i/>
          <w:sz w:val="18"/>
          <w:szCs w:val="18"/>
        </w:rPr>
        <w:t>supra</w:t>
      </w:r>
      <w:r w:rsidRPr="006E5414">
        <w:rPr>
          <w:rFonts w:ascii="Verdana" w:hAnsi="Verdana"/>
          <w:sz w:val="18"/>
          <w:szCs w:val="18"/>
        </w:rPr>
        <w:t xml:space="preserve"> párr. </w:t>
      </w:r>
      <w:r w:rsidR="00861B23" w:rsidRPr="006E5414">
        <w:rPr>
          <w:rFonts w:ascii="Verdana" w:hAnsi="Verdana"/>
          <w:sz w:val="18"/>
          <w:szCs w:val="18"/>
        </w:rPr>
        <w:t>89</w:t>
      </w:r>
      <w:r w:rsidRPr="006E5414">
        <w:rPr>
          <w:rFonts w:ascii="Verdana" w:hAnsi="Verdana"/>
          <w:sz w:val="18"/>
          <w:szCs w:val="18"/>
        </w:rPr>
        <w:t>)</w:t>
      </w:r>
      <w:r w:rsidR="00D60ADB" w:rsidRPr="006E5414">
        <w:rPr>
          <w:rFonts w:ascii="Verdana" w:hAnsi="Verdana"/>
          <w:sz w:val="18"/>
          <w:szCs w:val="18"/>
        </w:rPr>
        <w:t>, y</w:t>
      </w:r>
    </w:p>
    <w:p w14:paraId="12D7D772" w14:textId="6278CE4E" w:rsidR="00861B23" w:rsidRPr="006E5414" w:rsidRDefault="00D60ADB">
      <w:pPr>
        <w:pStyle w:val="Prrafodelista"/>
        <w:numPr>
          <w:ilvl w:val="1"/>
          <w:numId w:val="4"/>
        </w:numPr>
        <w:spacing w:before="120" w:after="120" w:line="240" w:lineRule="auto"/>
        <w:ind w:left="709" w:right="4"/>
        <w:contextualSpacing w:val="0"/>
        <w:jc w:val="both"/>
        <w:rPr>
          <w:rFonts w:ascii="Verdana" w:hAnsi="Verdana"/>
          <w:sz w:val="18"/>
          <w:szCs w:val="20"/>
        </w:rPr>
      </w:pPr>
      <w:r w:rsidRPr="006E5414">
        <w:rPr>
          <w:rFonts w:ascii="Verdana" w:hAnsi="Verdana"/>
          <w:sz w:val="18"/>
          <w:szCs w:val="20"/>
        </w:rPr>
        <w:t>e</w:t>
      </w:r>
      <w:r w:rsidR="002E1C85" w:rsidRPr="006E5414">
        <w:rPr>
          <w:rFonts w:ascii="Verdana" w:hAnsi="Verdana"/>
          <w:sz w:val="18"/>
          <w:szCs w:val="20"/>
        </w:rPr>
        <w:t>l 8 de enero de 2010 los familiares acudieron al 35 Batallón acompañados del General Lohmann, en donde el Mayor Manuel Gutiérrez negó la participación de elementos de dicha unidad militar en las detenciones y aseguramiento de la camioneta de Nitza Paola Alvarado (</w:t>
      </w:r>
      <w:r w:rsidR="002E1C85" w:rsidRPr="006E5414">
        <w:rPr>
          <w:rFonts w:ascii="Verdana" w:hAnsi="Verdana"/>
          <w:i/>
          <w:sz w:val="18"/>
          <w:szCs w:val="20"/>
        </w:rPr>
        <w:t>supra</w:t>
      </w:r>
      <w:r w:rsidR="002E1C85" w:rsidRPr="006E5414">
        <w:rPr>
          <w:rFonts w:ascii="Verdana" w:hAnsi="Verdana"/>
          <w:sz w:val="18"/>
          <w:szCs w:val="20"/>
        </w:rPr>
        <w:t xml:space="preserve"> párr. </w:t>
      </w:r>
      <w:r w:rsidR="00861B23" w:rsidRPr="006E5414">
        <w:rPr>
          <w:rFonts w:ascii="Verdana" w:hAnsi="Verdana"/>
          <w:sz w:val="18"/>
          <w:szCs w:val="20"/>
        </w:rPr>
        <w:t>93</w:t>
      </w:r>
      <w:r w:rsidR="002E1C85" w:rsidRPr="006E5414">
        <w:rPr>
          <w:rFonts w:ascii="Verdana" w:hAnsi="Verdana"/>
          <w:sz w:val="18"/>
          <w:szCs w:val="20"/>
        </w:rPr>
        <w:t>), y,</w:t>
      </w:r>
      <w:r w:rsidR="00903628" w:rsidRPr="006E5414">
        <w:rPr>
          <w:rFonts w:ascii="Verdana" w:hAnsi="Verdana"/>
          <w:sz w:val="18"/>
          <w:szCs w:val="20"/>
        </w:rPr>
        <w:t xml:space="preserve"> </w:t>
      </w:r>
    </w:p>
    <w:p w14:paraId="64AA6039" w14:textId="4EA23F64" w:rsidR="002E1C85" w:rsidRPr="006E5414" w:rsidRDefault="002E1C85">
      <w:pPr>
        <w:pStyle w:val="Prrafodelista"/>
        <w:numPr>
          <w:ilvl w:val="1"/>
          <w:numId w:val="4"/>
        </w:numPr>
        <w:spacing w:before="120" w:after="120" w:line="240" w:lineRule="auto"/>
        <w:ind w:left="709" w:right="4"/>
        <w:contextualSpacing w:val="0"/>
        <w:jc w:val="both"/>
        <w:rPr>
          <w:rFonts w:ascii="Verdana" w:hAnsi="Verdana"/>
          <w:sz w:val="18"/>
          <w:szCs w:val="20"/>
        </w:rPr>
      </w:pPr>
      <w:r w:rsidRPr="006E5414">
        <w:rPr>
          <w:rFonts w:ascii="Verdana" w:hAnsi="Verdana"/>
          <w:sz w:val="18"/>
          <w:szCs w:val="20"/>
        </w:rPr>
        <w:t>El 9 de enero de 2010 los familiares se reunieron con los comandantes de la Quinta Región Militar y del 35 Batallón, en donde estos últimos negaron la participación de elementos militares en las detenciones y acusaron a uno de los desaparecidos y a María de Jesús Alvarado de dedicarse a actividades ilícitas (</w:t>
      </w:r>
      <w:r w:rsidRPr="006E5414">
        <w:rPr>
          <w:rFonts w:ascii="Verdana" w:hAnsi="Verdana"/>
          <w:i/>
          <w:sz w:val="18"/>
          <w:szCs w:val="20"/>
        </w:rPr>
        <w:t>supra</w:t>
      </w:r>
      <w:r w:rsidRPr="006E5414">
        <w:rPr>
          <w:rFonts w:ascii="Verdana" w:hAnsi="Verdana"/>
          <w:sz w:val="18"/>
          <w:szCs w:val="20"/>
        </w:rPr>
        <w:t xml:space="preserve"> párr. </w:t>
      </w:r>
      <w:r w:rsidR="00861B23" w:rsidRPr="006E5414">
        <w:rPr>
          <w:rFonts w:ascii="Verdana" w:hAnsi="Verdana"/>
          <w:sz w:val="18"/>
          <w:szCs w:val="20"/>
        </w:rPr>
        <w:t>94</w:t>
      </w:r>
      <w:r w:rsidRPr="006E5414">
        <w:rPr>
          <w:rFonts w:ascii="Verdana" w:hAnsi="Verdana"/>
          <w:sz w:val="18"/>
          <w:szCs w:val="20"/>
        </w:rPr>
        <w:t xml:space="preserve">). </w:t>
      </w:r>
    </w:p>
    <w:p w14:paraId="64AA6042" w14:textId="20FC69AE" w:rsidR="002E1C85" w:rsidRPr="00754453" w:rsidRDefault="009C4097"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754453">
        <w:rPr>
          <w:rFonts w:ascii="Verdana" w:hAnsi="Verdana"/>
          <w:sz w:val="20"/>
          <w:szCs w:val="20"/>
        </w:rPr>
        <w:t xml:space="preserve">Adicionalmente, el Tribunal nota que constan en el acervo probatorio distintos elementos </w:t>
      </w:r>
      <w:r w:rsidRPr="00754453">
        <w:rPr>
          <w:rFonts w:ascii="Verdana" w:hAnsi="Verdana"/>
          <w:sz w:val="20"/>
          <w:szCs w:val="20"/>
        </w:rPr>
        <w:lastRenderedPageBreak/>
        <w:t xml:space="preserve">que </w:t>
      </w:r>
      <w:r w:rsidR="00E53B76" w:rsidRPr="00754453">
        <w:rPr>
          <w:rFonts w:ascii="Verdana" w:hAnsi="Verdana"/>
          <w:sz w:val="20"/>
          <w:szCs w:val="20"/>
        </w:rPr>
        <w:t xml:space="preserve">pudieron haber </w:t>
      </w:r>
      <w:r w:rsidRPr="00754453">
        <w:rPr>
          <w:rFonts w:ascii="Verdana" w:hAnsi="Verdana"/>
          <w:sz w:val="20"/>
          <w:szCs w:val="20"/>
        </w:rPr>
        <w:t>constitu</w:t>
      </w:r>
      <w:r w:rsidR="00E53B76" w:rsidRPr="00754453">
        <w:rPr>
          <w:rFonts w:ascii="Verdana" w:hAnsi="Verdana"/>
          <w:sz w:val="20"/>
          <w:szCs w:val="20"/>
        </w:rPr>
        <w:t>ido</w:t>
      </w:r>
      <w:r w:rsidRPr="00754453">
        <w:rPr>
          <w:rFonts w:ascii="Verdana" w:hAnsi="Verdana"/>
          <w:sz w:val="20"/>
          <w:szCs w:val="20"/>
        </w:rPr>
        <w:t xml:space="preserve"> mecanismos de encubrimiento </w:t>
      </w:r>
      <w:r w:rsidR="00E53B76" w:rsidRPr="00754453">
        <w:rPr>
          <w:rFonts w:ascii="Verdana" w:hAnsi="Verdana"/>
          <w:sz w:val="20"/>
          <w:szCs w:val="20"/>
        </w:rPr>
        <w:t>en la investigación de las desapariciones</w:t>
      </w:r>
      <w:r w:rsidRPr="00754453">
        <w:rPr>
          <w:rFonts w:ascii="Verdana" w:hAnsi="Verdana"/>
          <w:sz w:val="20"/>
          <w:szCs w:val="20"/>
        </w:rPr>
        <w:t>, por ejemplo: a) la falta oportuna de diligencias de inspección por parte de las autoridades en las instalaciones del 35 Batallón para localizar a los desaparecidos</w:t>
      </w:r>
      <w:r w:rsidR="009D0360" w:rsidRPr="00754453">
        <w:rPr>
          <w:rFonts w:ascii="Verdana" w:hAnsi="Verdana"/>
          <w:sz w:val="20"/>
          <w:szCs w:val="20"/>
        </w:rPr>
        <w:t>;</w:t>
      </w:r>
      <w:r w:rsidRPr="00754453">
        <w:rPr>
          <w:rFonts w:ascii="Verdana" w:hAnsi="Verdana"/>
          <w:sz w:val="20"/>
          <w:szCs w:val="20"/>
        </w:rPr>
        <w:t xml:space="preserve"> b) la negativa del </w:t>
      </w:r>
      <w:r w:rsidR="009D0360" w:rsidRPr="00754453">
        <w:rPr>
          <w:rFonts w:ascii="Verdana" w:hAnsi="Verdana"/>
          <w:sz w:val="20"/>
          <w:szCs w:val="20"/>
        </w:rPr>
        <w:t xml:space="preserve">Comisario de la Policía Federal </w:t>
      </w:r>
      <w:r w:rsidRPr="00754453">
        <w:rPr>
          <w:rFonts w:ascii="Verdana" w:hAnsi="Verdana"/>
          <w:sz w:val="20"/>
          <w:szCs w:val="20"/>
        </w:rPr>
        <w:t xml:space="preserve">sobre la existencia del </w:t>
      </w:r>
      <w:r w:rsidR="009D0360" w:rsidRPr="00754453">
        <w:rPr>
          <w:rFonts w:ascii="Verdana" w:hAnsi="Verdana"/>
          <w:sz w:val="20"/>
          <w:szCs w:val="20"/>
        </w:rPr>
        <w:t>supuesto “Comandante Meza”</w:t>
      </w:r>
      <w:r w:rsidRPr="00754453">
        <w:rPr>
          <w:rFonts w:ascii="Verdana" w:hAnsi="Verdana"/>
          <w:sz w:val="20"/>
          <w:szCs w:val="20"/>
        </w:rPr>
        <w:t xml:space="preserve"> (</w:t>
      </w:r>
      <w:r w:rsidRPr="00754453">
        <w:rPr>
          <w:rFonts w:ascii="Verdana" w:hAnsi="Verdana"/>
          <w:i/>
          <w:sz w:val="20"/>
          <w:szCs w:val="20"/>
        </w:rPr>
        <w:t>supra</w:t>
      </w:r>
      <w:r w:rsidRPr="00754453">
        <w:rPr>
          <w:rFonts w:ascii="Verdana" w:hAnsi="Verdana"/>
          <w:sz w:val="20"/>
          <w:szCs w:val="20"/>
        </w:rPr>
        <w:t xml:space="preserve"> párr. </w:t>
      </w:r>
      <w:r w:rsidR="005162E5">
        <w:rPr>
          <w:rFonts w:ascii="Verdana" w:hAnsi="Verdana"/>
          <w:sz w:val="20"/>
          <w:szCs w:val="20"/>
        </w:rPr>
        <w:t>99</w:t>
      </w:r>
      <w:r w:rsidRPr="00754453">
        <w:rPr>
          <w:rFonts w:ascii="Verdana" w:hAnsi="Verdana"/>
          <w:sz w:val="20"/>
          <w:szCs w:val="20"/>
        </w:rPr>
        <w:t>)</w:t>
      </w:r>
      <w:r w:rsidR="009D0360" w:rsidRPr="00754453">
        <w:rPr>
          <w:rFonts w:ascii="Verdana" w:hAnsi="Verdana"/>
          <w:sz w:val="20"/>
          <w:szCs w:val="20"/>
        </w:rPr>
        <w:t>;</w:t>
      </w:r>
      <w:r w:rsidRPr="00754453">
        <w:rPr>
          <w:rFonts w:ascii="Verdana" w:hAnsi="Verdana"/>
          <w:sz w:val="20"/>
          <w:szCs w:val="20"/>
        </w:rPr>
        <w:t xml:space="preserve"> c) </w:t>
      </w:r>
      <w:r w:rsidR="009D0360" w:rsidRPr="00754453">
        <w:rPr>
          <w:rFonts w:ascii="Verdana" w:hAnsi="Verdana"/>
          <w:sz w:val="20"/>
          <w:szCs w:val="20"/>
        </w:rPr>
        <w:t>La falta de colaboración y “hermetismo permanente del Ejército Mexicano” señalados por la FEVIMTRA en su acuerdo de declinatoria (</w:t>
      </w:r>
      <w:r w:rsidR="009D0360" w:rsidRPr="00754453">
        <w:rPr>
          <w:rFonts w:ascii="Verdana" w:hAnsi="Verdana"/>
          <w:i/>
          <w:sz w:val="20"/>
          <w:szCs w:val="20"/>
        </w:rPr>
        <w:t>supra</w:t>
      </w:r>
      <w:r w:rsidR="009D0360" w:rsidRPr="00754453">
        <w:rPr>
          <w:rFonts w:ascii="Verdana" w:hAnsi="Verdana"/>
          <w:sz w:val="20"/>
          <w:szCs w:val="20"/>
        </w:rPr>
        <w:t xml:space="preserve"> párr. </w:t>
      </w:r>
      <w:r w:rsidR="002170A3">
        <w:rPr>
          <w:rFonts w:ascii="Verdana" w:hAnsi="Verdana"/>
          <w:sz w:val="20"/>
          <w:szCs w:val="20"/>
        </w:rPr>
        <w:t>120</w:t>
      </w:r>
      <w:r w:rsidR="009D0360" w:rsidRPr="00754453">
        <w:rPr>
          <w:rFonts w:ascii="Verdana" w:hAnsi="Verdana"/>
          <w:sz w:val="20"/>
          <w:szCs w:val="20"/>
        </w:rPr>
        <w:t>);</w:t>
      </w:r>
      <w:r w:rsidRPr="00754453">
        <w:rPr>
          <w:rFonts w:ascii="Verdana" w:hAnsi="Verdana"/>
          <w:sz w:val="20"/>
          <w:szCs w:val="20"/>
        </w:rPr>
        <w:t xml:space="preserve"> d) </w:t>
      </w:r>
      <w:r w:rsidR="00E53B76" w:rsidRPr="00754453">
        <w:rPr>
          <w:rFonts w:ascii="Verdana" w:hAnsi="Verdana"/>
          <w:sz w:val="20"/>
          <w:szCs w:val="20"/>
        </w:rPr>
        <w:t>l</w:t>
      </w:r>
      <w:r w:rsidR="009D0360" w:rsidRPr="00754453">
        <w:rPr>
          <w:rFonts w:ascii="Verdana" w:hAnsi="Verdana"/>
          <w:sz w:val="20"/>
          <w:szCs w:val="20"/>
        </w:rPr>
        <w:t xml:space="preserve">a </w:t>
      </w:r>
      <w:r w:rsidRPr="00754453">
        <w:rPr>
          <w:rFonts w:ascii="Verdana" w:hAnsi="Verdana"/>
          <w:sz w:val="20"/>
          <w:szCs w:val="20"/>
        </w:rPr>
        <w:t>negativa del Ejército</w:t>
      </w:r>
      <w:r w:rsidR="009D0360" w:rsidRPr="00754453">
        <w:rPr>
          <w:rFonts w:ascii="Verdana" w:hAnsi="Verdana"/>
          <w:sz w:val="20"/>
          <w:szCs w:val="20"/>
        </w:rPr>
        <w:t>, tanto a los familiares como en la investigación de los hechos,</w:t>
      </w:r>
      <w:r w:rsidR="00A03DD6">
        <w:rPr>
          <w:rFonts w:ascii="Verdana" w:hAnsi="Verdana"/>
          <w:sz w:val="20"/>
          <w:szCs w:val="20"/>
        </w:rPr>
        <w:t xml:space="preserve"> de</w:t>
      </w:r>
      <w:r w:rsidR="009D0360" w:rsidRPr="00754453">
        <w:rPr>
          <w:rFonts w:ascii="Verdana" w:hAnsi="Verdana"/>
          <w:sz w:val="20"/>
          <w:szCs w:val="20"/>
        </w:rPr>
        <w:t xml:space="preserve"> tener bajo su custodia a los tres desaparecidos</w:t>
      </w:r>
      <w:r w:rsidRPr="00754453">
        <w:rPr>
          <w:rFonts w:ascii="Verdana" w:hAnsi="Verdana"/>
          <w:sz w:val="20"/>
          <w:szCs w:val="20"/>
        </w:rPr>
        <w:t xml:space="preserve">, señalada por el </w:t>
      </w:r>
      <w:r w:rsidR="00B61253" w:rsidRPr="00754453">
        <w:rPr>
          <w:rFonts w:ascii="Verdana" w:hAnsi="Verdana"/>
          <w:sz w:val="20"/>
          <w:szCs w:val="20"/>
        </w:rPr>
        <w:t xml:space="preserve">Equipo Internacional de Peritos en su informe </w:t>
      </w:r>
      <w:r w:rsidRPr="00754453">
        <w:rPr>
          <w:rFonts w:ascii="Verdana" w:hAnsi="Verdana"/>
          <w:sz w:val="20"/>
          <w:szCs w:val="20"/>
        </w:rPr>
        <w:t>(</w:t>
      </w:r>
      <w:r w:rsidRPr="00754453">
        <w:rPr>
          <w:rFonts w:ascii="Verdana" w:hAnsi="Verdana"/>
          <w:i/>
          <w:sz w:val="20"/>
          <w:szCs w:val="20"/>
        </w:rPr>
        <w:t>supra</w:t>
      </w:r>
      <w:r w:rsidRPr="00754453">
        <w:rPr>
          <w:rFonts w:ascii="Verdana" w:hAnsi="Verdana"/>
          <w:sz w:val="20"/>
          <w:szCs w:val="20"/>
        </w:rPr>
        <w:t xml:space="preserve"> párr. </w:t>
      </w:r>
      <w:r w:rsidR="002170A3">
        <w:rPr>
          <w:rFonts w:ascii="Verdana" w:hAnsi="Verdana"/>
          <w:sz w:val="20"/>
          <w:szCs w:val="20"/>
        </w:rPr>
        <w:t>194</w:t>
      </w:r>
      <w:r w:rsidRPr="00754453">
        <w:rPr>
          <w:rFonts w:ascii="Verdana" w:hAnsi="Verdana"/>
          <w:sz w:val="20"/>
          <w:szCs w:val="20"/>
        </w:rPr>
        <w:t>)</w:t>
      </w:r>
      <w:r w:rsidR="009D0360" w:rsidRPr="00754453">
        <w:rPr>
          <w:rFonts w:ascii="Verdana" w:hAnsi="Verdana"/>
          <w:sz w:val="20"/>
          <w:szCs w:val="20"/>
        </w:rPr>
        <w:t xml:space="preserve">; </w:t>
      </w:r>
      <w:r w:rsidRPr="00754453">
        <w:rPr>
          <w:rFonts w:ascii="Verdana" w:hAnsi="Verdana"/>
          <w:sz w:val="20"/>
          <w:szCs w:val="20"/>
        </w:rPr>
        <w:t xml:space="preserve">e) </w:t>
      </w:r>
      <w:r w:rsidR="00E53B76" w:rsidRPr="00754453">
        <w:rPr>
          <w:rFonts w:ascii="Verdana" w:hAnsi="Verdana"/>
          <w:sz w:val="20"/>
          <w:szCs w:val="20"/>
        </w:rPr>
        <w:t>e</w:t>
      </w:r>
      <w:r w:rsidR="009D0360" w:rsidRPr="00754453">
        <w:rPr>
          <w:rFonts w:ascii="Verdana" w:hAnsi="Verdana"/>
          <w:sz w:val="20"/>
          <w:szCs w:val="20"/>
        </w:rPr>
        <w:t xml:space="preserve">l sometimiento de las investigaciones durante un prolongado tiempo a la jurisdicción militar </w:t>
      </w:r>
      <w:r w:rsidR="00A03DD6">
        <w:rPr>
          <w:rFonts w:ascii="Verdana" w:hAnsi="Verdana"/>
          <w:sz w:val="20"/>
          <w:szCs w:val="20"/>
        </w:rPr>
        <w:t>−</w:t>
      </w:r>
      <w:r w:rsidR="009D0360" w:rsidRPr="00754453">
        <w:rPr>
          <w:rFonts w:ascii="Verdana" w:hAnsi="Verdana"/>
          <w:sz w:val="20"/>
          <w:szCs w:val="20"/>
        </w:rPr>
        <w:t>del 15 de enero de 2010 al 29 de diciembre de 2011</w:t>
      </w:r>
      <w:r w:rsidR="00A03DD6">
        <w:rPr>
          <w:rFonts w:ascii="Verdana" w:hAnsi="Verdana"/>
          <w:sz w:val="20"/>
          <w:szCs w:val="20"/>
        </w:rPr>
        <w:t>−</w:t>
      </w:r>
      <w:r w:rsidR="009D0360" w:rsidRPr="00754453">
        <w:rPr>
          <w:rFonts w:ascii="Verdana" w:hAnsi="Verdana"/>
          <w:sz w:val="20"/>
          <w:szCs w:val="20"/>
        </w:rPr>
        <w:t xml:space="preserve">, a pesar de la reiterada jurisprudencia de este Tribunal </w:t>
      </w:r>
      <w:r w:rsidR="00400310">
        <w:rPr>
          <w:rFonts w:ascii="Verdana" w:hAnsi="Verdana"/>
          <w:sz w:val="20"/>
          <w:szCs w:val="20"/>
        </w:rPr>
        <w:t xml:space="preserve">al </w:t>
      </w:r>
      <w:r w:rsidR="009D0360" w:rsidRPr="00754453">
        <w:rPr>
          <w:rFonts w:ascii="Verdana" w:hAnsi="Verdana"/>
          <w:sz w:val="20"/>
          <w:szCs w:val="20"/>
        </w:rPr>
        <w:t>respecto</w:t>
      </w:r>
      <w:r w:rsidR="002170A3">
        <w:rPr>
          <w:rFonts w:ascii="Verdana" w:hAnsi="Verdana"/>
          <w:sz w:val="20"/>
          <w:szCs w:val="20"/>
        </w:rPr>
        <w:t xml:space="preserve"> (</w:t>
      </w:r>
      <w:r w:rsidR="002170A3">
        <w:rPr>
          <w:rFonts w:ascii="Verdana" w:hAnsi="Verdana"/>
          <w:i/>
          <w:sz w:val="20"/>
          <w:szCs w:val="20"/>
        </w:rPr>
        <w:t xml:space="preserve">supra, </w:t>
      </w:r>
      <w:r w:rsidR="002170A3">
        <w:rPr>
          <w:rFonts w:ascii="Verdana" w:hAnsi="Verdana"/>
          <w:sz w:val="20"/>
          <w:szCs w:val="20"/>
        </w:rPr>
        <w:t>párrs. 110 a 116</w:t>
      </w:r>
      <w:r w:rsidR="00A03DD6">
        <w:rPr>
          <w:rFonts w:ascii="Verdana" w:hAnsi="Verdana"/>
          <w:sz w:val="20"/>
          <w:szCs w:val="20"/>
        </w:rPr>
        <w:t xml:space="preserve"> e </w:t>
      </w:r>
      <w:r w:rsidR="00A03DD6">
        <w:rPr>
          <w:rFonts w:ascii="Verdana" w:hAnsi="Verdana"/>
          <w:i/>
          <w:sz w:val="20"/>
          <w:szCs w:val="20"/>
        </w:rPr>
        <w:t>infra</w:t>
      </w:r>
      <w:r w:rsidR="00A03DD6">
        <w:rPr>
          <w:rFonts w:ascii="Verdana" w:hAnsi="Verdana"/>
          <w:sz w:val="20"/>
          <w:szCs w:val="20"/>
        </w:rPr>
        <w:t xml:space="preserve"> párrs. 231 a 239</w:t>
      </w:r>
      <w:r w:rsidR="002170A3">
        <w:rPr>
          <w:rFonts w:ascii="Verdana" w:hAnsi="Verdana"/>
          <w:sz w:val="20"/>
          <w:szCs w:val="20"/>
        </w:rPr>
        <w:t>),</w:t>
      </w:r>
      <w:r w:rsidR="009D0360" w:rsidRPr="00754453">
        <w:rPr>
          <w:rFonts w:ascii="Verdana" w:hAnsi="Verdana"/>
          <w:sz w:val="20"/>
          <w:szCs w:val="20"/>
        </w:rPr>
        <w:t xml:space="preserve"> y </w:t>
      </w:r>
      <w:r w:rsidRPr="00754453">
        <w:rPr>
          <w:rFonts w:ascii="Verdana" w:hAnsi="Verdana"/>
          <w:sz w:val="20"/>
          <w:szCs w:val="20"/>
        </w:rPr>
        <w:t xml:space="preserve">f) </w:t>
      </w:r>
      <w:r w:rsidR="00E53B76" w:rsidRPr="00754453">
        <w:rPr>
          <w:rFonts w:ascii="Verdana" w:hAnsi="Verdana"/>
          <w:sz w:val="20"/>
          <w:szCs w:val="20"/>
        </w:rPr>
        <w:t>l</w:t>
      </w:r>
      <w:r w:rsidRPr="00754453">
        <w:rPr>
          <w:rFonts w:ascii="Verdana" w:hAnsi="Verdana"/>
          <w:sz w:val="20"/>
          <w:szCs w:val="20"/>
        </w:rPr>
        <w:t>as amenazas y hostigamiento recibidos por los familiares por su papel dinámico en la búsqueda de verdad y justicia, así como la falta de investigación diligente y efectiva para identificar a sus autores (</w:t>
      </w:r>
      <w:r w:rsidR="00282B69">
        <w:rPr>
          <w:rFonts w:ascii="Verdana" w:hAnsi="Verdana"/>
          <w:i/>
          <w:sz w:val="20"/>
          <w:szCs w:val="20"/>
        </w:rPr>
        <w:t xml:space="preserve">supra </w:t>
      </w:r>
      <w:r w:rsidR="00282B69">
        <w:rPr>
          <w:rFonts w:ascii="Verdana" w:hAnsi="Verdana"/>
          <w:sz w:val="20"/>
          <w:szCs w:val="20"/>
        </w:rPr>
        <w:t xml:space="preserve">párrs. 143 a 150, e </w:t>
      </w:r>
      <w:r w:rsidR="00205AF7" w:rsidRPr="00205AF7">
        <w:rPr>
          <w:rFonts w:ascii="Verdana" w:hAnsi="Verdana"/>
          <w:i/>
          <w:sz w:val="20"/>
          <w:szCs w:val="20"/>
        </w:rPr>
        <w:t>infra</w:t>
      </w:r>
      <w:r w:rsidRPr="00754453">
        <w:rPr>
          <w:rFonts w:ascii="Verdana" w:hAnsi="Verdana"/>
          <w:sz w:val="20"/>
          <w:szCs w:val="20"/>
        </w:rPr>
        <w:t xml:space="preserve"> párr</w:t>
      </w:r>
      <w:r w:rsidR="00282B69">
        <w:rPr>
          <w:rFonts w:ascii="Verdana" w:hAnsi="Verdana"/>
          <w:sz w:val="20"/>
          <w:szCs w:val="20"/>
        </w:rPr>
        <w:t>s</w:t>
      </w:r>
      <w:r w:rsidRPr="00754453">
        <w:rPr>
          <w:rFonts w:ascii="Verdana" w:hAnsi="Verdana"/>
          <w:sz w:val="20"/>
          <w:szCs w:val="20"/>
        </w:rPr>
        <w:t xml:space="preserve">. </w:t>
      </w:r>
      <w:r w:rsidR="00282B69">
        <w:rPr>
          <w:rFonts w:ascii="Verdana" w:hAnsi="Verdana"/>
          <w:sz w:val="20"/>
          <w:szCs w:val="20"/>
        </w:rPr>
        <w:t xml:space="preserve">255 </w:t>
      </w:r>
      <w:r w:rsidR="00A03DD6">
        <w:rPr>
          <w:rFonts w:ascii="Verdana" w:hAnsi="Verdana"/>
          <w:sz w:val="20"/>
          <w:szCs w:val="20"/>
        </w:rPr>
        <w:t>y</w:t>
      </w:r>
      <w:r w:rsidR="00282B69">
        <w:rPr>
          <w:rFonts w:ascii="Verdana" w:hAnsi="Verdana"/>
          <w:sz w:val="20"/>
          <w:szCs w:val="20"/>
        </w:rPr>
        <w:t xml:space="preserve"> 256</w:t>
      </w:r>
      <w:r w:rsidRPr="00754453">
        <w:rPr>
          <w:rFonts w:ascii="Verdana" w:hAnsi="Verdana"/>
          <w:sz w:val="20"/>
          <w:szCs w:val="20"/>
        </w:rPr>
        <w:t>).</w:t>
      </w:r>
    </w:p>
    <w:p w14:paraId="64AA6044" w14:textId="0AE9B1BE" w:rsidR="002E1C85" w:rsidRPr="00813B72"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754453">
        <w:rPr>
          <w:rFonts w:ascii="Verdana" w:hAnsi="Verdana"/>
          <w:sz w:val="20"/>
          <w:szCs w:val="20"/>
        </w:rPr>
        <w:t>En vista de todo</w:t>
      </w:r>
      <w:r w:rsidRPr="00813B72">
        <w:rPr>
          <w:rFonts w:ascii="Verdana" w:hAnsi="Verdana"/>
          <w:sz w:val="20"/>
          <w:szCs w:val="20"/>
        </w:rPr>
        <w:t xml:space="preserve"> lo anterior, el Tribunal considera acreditado el tercer elemento constitutivo para calificar una desaparición forzada, consistente en la negativa de las autoridades de reconocer la detención o revelar la suerte o paradero de las tres víctimas.</w:t>
      </w:r>
    </w:p>
    <w:p w14:paraId="64AA6046" w14:textId="7596F513" w:rsidR="002E1C85" w:rsidRPr="00605079" w:rsidRDefault="00E34BFF">
      <w:pPr>
        <w:pStyle w:val="Ttulo3"/>
        <w:numPr>
          <w:ilvl w:val="0"/>
          <w:numId w:val="40"/>
        </w:numPr>
        <w:spacing w:before="120" w:after="120"/>
        <w:ind w:left="1560" w:hanging="426"/>
        <w:contextualSpacing w:val="0"/>
        <w:rPr>
          <w:b w:val="0"/>
        </w:rPr>
      </w:pPr>
      <w:bookmarkStart w:id="203" w:name="_Toc526783787"/>
      <w:r>
        <w:rPr>
          <w:b w:val="0"/>
        </w:rPr>
        <w:t xml:space="preserve"> </w:t>
      </w:r>
      <w:bookmarkStart w:id="204" w:name="_Toc532995373"/>
      <w:r w:rsidR="002E1C85" w:rsidRPr="00605079">
        <w:rPr>
          <w:b w:val="0"/>
        </w:rPr>
        <w:t xml:space="preserve">Conclusión </w:t>
      </w:r>
      <w:bookmarkEnd w:id="203"/>
      <w:r w:rsidR="0012321F" w:rsidRPr="00605079">
        <w:rPr>
          <w:b w:val="0"/>
        </w:rPr>
        <w:t>g</w:t>
      </w:r>
      <w:r w:rsidR="006455AF" w:rsidRPr="00605079">
        <w:rPr>
          <w:b w:val="0"/>
        </w:rPr>
        <w:t>eneral</w:t>
      </w:r>
      <w:bookmarkEnd w:id="204"/>
      <w:r w:rsidR="002E1C85" w:rsidRPr="00605079">
        <w:rPr>
          <w:b w:val="0"/>
        </w:rPr>
        <w:t xml:space="preserve"> </w:t>
      </w:r>
    </w:p>
    <w:p w14:paraId="706FAF67" w14:textId="2189AA75" w:rsidR="00AD5F81" w:rsidRPr="00F67B06" w:rsidRDefault="006455AF"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Calibri" w:hAnsi="Verdana" w:cs="Times New Roman"/>
          <w:sz w:val="20"/>
          <w:szCs w:val="20"/>
        </w:rPr>
      </w:pPr>
      <w:r w:rsidRPr="00C368C2">
        <w:rPr>
          <w:rFonts w:ascii="Verdana" w:eastAsia="Times New Roman" w:hAnsi="Verdana"/>
          <w:sz w:val="20"/>
          <w:szCs w:val="20"/>
          <w:lang w:val="es-ES"/>
        </w:rPr>
        <w:t>La Corte constató</w:t>
      </w:r>
      <w:r w:rsidR="0098157E" w:rsidRPr="00C368C2">
        <w:rPr>
          <w:rFonts w:ascii="Verdana" w:eastAsia="Times New Roman" w:hAnsi="Verdana"/>
          <w:sz w:val="20"/>
          <w:szCs w:val="20"/>
          <w:lang w:val="es-ES"/>
        </w:rPr>
        <w:t xml:space="preserve"> </w:t>
      </w:r>
      <w:r w:rsidRPr="00C368C2">
        <w:rPr>
          <w:rFonts w:ascii="Verdana" w:eastAsia="Times New Roman" w:hAnsi="Verdana"/>
          <w:sz w:val="20"/>
          <w:szCs w:val="20"/>
          <w:lang w:val="es-ES"/>
        </w:rPr>
        <w:t>que</w:t>
      </w:r>
      <w:r w:rsidR="00AD5F81" w:rsidRPr="00C368C2">
        <w:rPr>
          <w:rFonts w:ascii="Verdana" w:eastAsia="Times New Roman" w:hAnsi="Verdana"/>
          <w:sz w:val="20"/>
          <w:szCs w:val="20"/>
          <w:lang w:val="es-ES"/>
        </w:rPr>
        <w:t xml:space="preserve"> </w:t>
      </w:r>
      <w:r w:rsidR="00AD5F81" w:rsidRPr="00C368C2">
        <w:rPr>
          <w:rFonts w:ascii="Verdana" w:hAnsi="Verdana" w:cs="Arial"/>
          <w:sz w:val="20"/>
          <w:szCs w:val="20"/>
          <w:lang w:val="es-CR"/>
        </w:rPr>
        <w:t>e</w:t>
      </w:r>
      <w:r w:rsidRPr="00C368C2">
        <w:rPr>
          <w:rFonts w:ascii="Verdana" w:hAnsi="Verdana" w:cs="Arial"/>
          <w:sz w:val="20"/>
          <w:szCs w:val="20"/>
          <w:lang w:val="es-CR"/>
        </w:rPr>
        <w:t>l incremento en</w:t>
      </w:r>
      <w:r w:rsidR="00AD5F81" w:rsidRPr="00C368C2">
        <w:rPr>
          <w:rFonts w:ascii="Verdana" w:hAnsi="Verdana" w:cs="Arial"/>
          <w:sz w:val="20"/>
          <w:szCs w:val="20"/>
          <w:lang w:val="es-CR"/>
        </w:rPr>
        <w:t xml:space="preserve"> la participación del </w:t>
      </w:r>
      <w:r w:rsidR="0098157E" w:rsidRPr="00C368C2">
        <w:rPr>
          <w:rFonts w:ascii="Verdana" w:hAnsi="Verdana" w:cs="Arial"/>
          <w:sz w:val="20"/>
          <w:szCs w:val="20"/>
          <w:lang w:val="es-CR"/>
        </w:rPr>
        <w:t>E</w:t>
      </w:r>
      <w:r w:rsidR="00AD5F81" w:rsidRPr="00F67B06">
        <w:rPr>
          <w:rFonts w:ascii="Verdana" w:hAnsi="Verdana" w:cs="Arial"/>
          <w:sz w:val="20"/>
          <w:szCs w:val="20"/>
          <w:lang w:val="es-CR"/>
        </w:rPr>
        <w:t>jército en las labores de seguridad ciudadana ha sido un patrón constante en México desde el año 2006 (</w:t>
      </w:r>
      <w:r w:rsidR="00AD5F81" w:rsidRPr="00F67B06">
        <w:rPr>
          <w:rFonts w:ascii="Verdana" w:hAnsi="Verdana" w:cs="Arial"/>
          <w:i/>
          <w:sz w:val="20"/>
          <w:szCs w:val="20"/>
          <w:lang w:val="es-CR"/>
        </w:rPr>
        <w:t>supra</w:t>
      </w:r>
      <w:r w:rsidR="00AD5F81" w:rsidRPr="00F67B06">
        <w:rPr>
          <w:rFonts w:ascii="Verdana" w:hAnsi="Verdana" w:cs="Arial"/>
          <w:sz w:val="20"/>
          <w:szCs w:val="20"/>
          <w:lang w:val="es-CR"/>
        </w:rPr>
        <w:t>, párr</w:t>
      </w:r>
      <w:r w:rsidR="0098157E" w:rsidRPr="00F67B06">
        <w:rPr>
          <w:rFonts w:ascii="Verdana" w:hAnsi="Verdana" w:cs="Arial"/>
          <w:sz w:val="20"/>
          <w:szCs w:val="20"/>
          <w:lang w:val="es-CR"/>
        </w:rPr>
        <w:t>s</w:t>
      </w:r>
      <w:r w:rsidR="00AD5F81" w:rsidRPr="00F67B06">
        <w:rPr>
          <w:rFonts w:ascii="Verdana" w:hAnsi="Verdana" w:cs="Arial"/>
          <w:sz w:val="20"/>
          <w:szCs w:val="20"/>
          <w:lang w:val="es-CR"/>
        </w:rPr>
        <w:t xml:space="preserve">. </w:t>
      </w:r>
      <w:r w:rsidR="00A03DD6" w:rsidRPr="00BA46BA">
        <w:rPr>
          <w:rFonts w:ascii="Verdana" w:hAnsi="Verdana" w:cs="Arial"/>
          <w:sz w:val="20"/>
          <w:szCs w:val="20"/>
          <w:lang w:val="es-CR"/>
        </w:rPr>
        <w:t>175 y 176</w:t>
      </w:r>
      <w:r w:rsidR="00AD5F81" w:rsidRPr="00CB680E">
        <w:rPr>
          <w:rFonts w:ascii="Verdana" w:hAnsi="Verdana" w:cs="Arial"/>
          <w:sz w:val="20"/>
          <w:szCs w:val="20"/>
          <w:lang w:val="es-CR"/>
        </w:rPr>
        <w:t xml:space="preserve">). En dicho escenario, el empleo de </w:t>
      </w:r>
      <w:r w:rsidRPr="00CB680E">
        <w:rPr>
          <w:rFonts w:ascii="Verdana" w:hAnsi="Verdana" w:cs="Arial"/>
          <w:sz w:val="20"/>
          <w:szCs w:val="20"/>
          <w:lang w:val="es-CR"/>
        </w:rPr>
        <w:t xml:space="preserve">las </w:t>
      </w:r>
      <w:r w:rsidR="00AD5F81" w:rsidRPr="00CB680E">
        <w:rPr>
          <w:rFonts w:ascii="Verdana" w:hAnsi="Verdana" w:cs="Arial"/>
          <w:sz w:val="20"/>
          <w:szCs w:val="20"/>
          <w:lang w:val="es-CR"/>
        </w:rPr>
        <w:t xml:space="preserve">fuerzas castrenses en la lucha contra la delincuencia </w:t>
      </w:r>
      <w:r w:rsidR="0012321F" w:rsidRPr="00605079">
        <w:rPr>
          <w:rFonts w:ascii="Verdana" w:hAnsi="Verdana" w:cs="Arial"/>
          <w:sz w:val="20"/>
          <w:szCs w:val="20"/>
          <w:lang w:val="es-CR"/>
        </w:rPr>
        <w:t>se convirtió en una práctica</w:t>
      </w:r>
      <w:r w:rsidR="00AD5F81" w:rsidRPr="00605079">
        <w:rPr>
          <w:rFonts w:ascii="Verdana" w:hAnsi="Verdana" w:cs="Arial"/>
          <w:sz w:val="20"/>
          <w:szCs w:val="20"/>
          <w:lang w:val="es-CR"/>
        </w:rPr>
        <w:t xml:space="preserve"> recurrente mediante la implementación de los denominados “</w:t>
      </w:r>
      <w:r w:rsidR="0098157E" w:rsidRPr="00605079">
        <w:rPr>
          <w:rFonts w:ascii="Verdana" w:hAnsi="Verdana" w:cs="Arial"/>
          <w:sz w:val="20"/>
          <w:szCs w:val="20"/>
        </w:rPr>
        <w:t>O</w:t>
      </w:r>
      <w:r w:rsidR="00AD5F81" w:rsidRPr="00605079">
        <w:rPr>
          <w:rFonts w:ascii="Verdana" w:hAnsi="Verdana" w:cs="Arial"/>
          <w:sz w:val="20"/>
          <w:szCs w:val="20"/>
          <w:lang w:val="es-CR"/>
        </w:rPr>
        <w:t xml:space="preserve">perativos </w:t>
      </w:r>
      <w:r w:rsidR="0098157E" w:rsidRPr="00605079">
        <w:rPr>
          <w:rFonts w:ascii="Verdana" w:hAnsi="Verdana" w:cs="Arial"/>
          <w:sz w:val="20"/>
          <w:szCs w:val="20"/>
          <w:lang w:val="es-CR"/>
        </w:rPr>
        <w:t>C</w:t>
      </w:r>
      <w:r w:rsidR="00AD5F81" w:rsidRPr="00605079">
        <w:rPr>
          <w:rFonts w:ascii="Verdana" w:hAnsi="Verdana" w:cs="Arial"/>
          <w:sz w:val="20"/>
          <w:szCs w:val="20"/>
          <w:lang w:val="es-CR"/>
        </w:rPr>
        <w:t>onjuntos” en cuya intervención concurrían efectivos policiales y militares (</w:t>
      </w:r>
      <w:r w:rsidR="00AD5F81" w:rsidRPr="00605079">
        <w:rPr>
          <w:rFonts w:ascii="Verdana" w:hAnsi="Verdana" w:cs="Arial"/>
          <w:i/>
          <w:sz w:val="20"/>
          <w:szCs w:val="20"/>
          <w:lang w:val="es-CR"/>
        </w:rPr>
        <w:t xml:space="preserve">supra </w:t>
      </w:r>
      <w:r w:rsidR="00AD5F81" w:rsidRPr="00605079">
        <w:rPr>
          <w:rFonts w:ascii="Verdana" w:hAnsi="Verdana" w:cs="Arial"/>
          <w:sz w:val="20"/>
          <w:szCs w:val="20"/>
          <w:lang w:val="es-CR"/>
        </w:rPr>
        <w:t xml:space="preserve">párr. </w:t>
      </w:r>
      <w:r w:rsidR="00A03DD6" w:rsidRPr="00605079">
        <w:rPr>
          <w:rFonts w:ascii="Verdana" w:hAnsi="Verdana" w:cs="Arial"/>
          <w:sz w:val="20"/>
          <w:szCs w:val="20"/>
          <w:lang w:val="es-CR"/>
        </w:rPr>
        <w:t>175</w:t>
      </w:r>
      <w:r w:rsidR="00AD5F81" w:rsidRPr="00605079">
        <w:rPr>
          <w:rFonts w:ascii="Verdana" w:hAnsi="Verdana" w:cs="Arial"/>
          <w:sz w:val="20"/>
          <w:szCs w:val="20"/>
          <w:lang w:val="es-CR"/>
        </w:rPr>
        <w:t>).</w:t>
      </w:r>
      <w:r w:rsidR="00AC0EC0" w:rsidRPr="00605079">
        <w:rPr>
          <w:rFonts w:ascii="Verdana" w:hAnsi="Verdana" w:cs="Arial"/>
          <w:sz w:val="20"/>
          <w:szCs w:val="20"/>
          <w:lang w:val="es-CR"/>
        </w:rPr>
        <w:t xml:space="preserve"> Lo anterior, sin haberse acreditado, para efectos del caso concreto, que se hubieran respetado salvaguardias </w:t>
      </w:r>
      <w:r w:rsidR="007A7DCA" w:rsidRPr="00AD4631">
        <w:rPr>
          <w:rFonts w:ascii="Verdana" w:hAnsi="Verdana" w:cs="Arial"/>
          <w:sz w:val="20"/>
          <w:szCs w:val="20"/>
          <w:lang w:val="es-CR"/>
        </w:rPr>
        <w:t>para la participación de las fuerzas armadas</w:t>
      </w:r>
      <w:r w:rsidR="002E7B1B">
        <w:rPr>
          <w:rFonts w:ascii="Verdana" w:hAnsi="Verdana" w:cs="Arial"/>
          <w:sz w:val="20"/>
          <w:szCs w:val="20"/>
          <w:lang w:val="es-CR"/>
        </w:rPr>
        <w:t>,</w:t>
      </w:r>
      <w:r w:rsidR="007A7DCA" w:rsidRPr="00AD4631">
        <w:rPr>
          <w:rFonts w:ascii="Verdana" w:hAnsi="Verdana" w:cs="Arial"/>
          <w:sz w:val="20"/>
          <w:szCs w:val="20"/>
          <w:lang w:val="es-CR"/>
        </w:rPr>
        <w:t xml:space="preserve"> </w:t>
      </w:r>
      <w:r w:rsidR="00AC0EC0" w:rsidRPr="00605079">
        <w:rPr>
          <w:rFonts w:ascii="Verdana" w:hAnsi="Verdana" w:cs="Arial"/>
          <w:sz w:val="20"/>
          <w:szCs w:val="20"/>
          <w:lang w:val="es-CR"/>
        </w:rPr>
        <w:t>tales como la: excepcionalidad, temporalidad y estricta necesidad del operativo conjunto, así como una adecuada regulación y protocolos de actuación para tales tareas ni su fiscalización</w:t>
      </w:r>
      <w:r w:rsidRPr="00605079">
        <w:rPr>
          <w:rFonts w:ascii="Verdana" w:hAnsi="Verdana" w:cs="Arial"/>
          <w:sz w:val="20"/>
          <w:szCs w:val="20"/>
          <w:lang w:val="es-CR"/>
        </w:rPr>
        <w:t>, e inclusive ventilándose los hechos denunciados en el fuero militar</w:t>
      </w:r>
      <w:r w:rsidR="00AC0EC0" w:rsidRPr="00C368C2">
        <w:rPr>
          <w:rFonts w:ascii="Verdana" w:hAnsi="Verdana" w:cs="Arial"/>
          <w:sz w:val="20"/>
          <w:szCs w:val="20"/>
          <w:lang w:val="es-CR"/>
        </w:rPr>
        <w:t xml:space="preserve"> </w:t>
      </w:r>
      <w:r w:rsidRPr="00C368C2">
        <w:rPr>
          <w:rFonts w:ascii="Verdana" w:hAnsi="Verdana" w:cs="Arial"/>
          <w:sz w:val="20"/>
          <w:szCs w:val="20"/>
          <w:lang w:val="es-CR"/>
        </w:rPr>
        <w:t xml:space="preserve">por un periodo de tiempo considerable </w:t>
      </w:r>
      <w:r w:rsidR="00AC0EC0" w:rsidRPr="00F67B06">
        <w:rPr>
          <w:rFonts w:ascii="Verdana" w:hAnsi="Verdana" w:cs="Arial"/>
          <w:sz w:val="20"/>
          <w:szCs w:val="20"/>
          <w:lang w:val="es-CR"/>
        </w:rPr>
        <w:t>(</w:t>
      </w:r>
      <w:r w:rsidR="00AC0EC0" w:rsidRPr="00F67B06">
        <w:rPr>
          <w:rFonts w:ascii="Verdana" w:hAnsi="Verdana" w:cs="Arial"/>
          <w:i/>
          <w:sz w:val="20"/>
          <w:szCs w:val="20"/>
          <w:lang w:val="es-CR"/>
        </w:rPr>
        <w:t>supra</w:t>
      </w:r>
      <w:r w:rsidR="00AC0EC0" w:rsidRPr="00F67B06">
        <w:rPr>
          <w:rFonts w:ascii="Verdana" w:hAnsi="Verdana" w:cs="Arial"/>
          <w:sz w:val="20"/>
          <w:szCs w:val="20"/>
          <w:lang w:val="es-CR"/>
        </w:rPr>
        <w:t xml:space="preserve"> </w:t>
      </w:r>
      <w:r w:rsidR="0098157E" w:rsidRPr="00F67B06">
        <w:rPr>
          <w:rFonts w:ascii="Verdana" w:hAnsi="Verdana" w:cs="Arial"/>
          <w:sz w:val="20"/>
          <w:szCs w:val="20"/>
          <w:lang w:val="es-CR"/>
        </w:rPr>
        <w:t>párr. 185</w:t>
      </w:r>
      <w:r w:rsidR="00AC0EC0" w:rsidRPr="00F67B06">
        <w:rPr>
          <w:rFonts w:ascii="Verdana" w:hAnsi="Verdana" w:cs="Arial"/>
          <w:sz w:val="20"/>
          <w:szCs w:val="20"/>
          <w:lang w:val="es-CR"/>
        </w:rPr>
        <w:t xml:space="preserve">). </w:t>
      </w:r>
    </w:p>
    <w:p w14:paraId="64AA604A" w14:textId="2C00185E" w:rsidR="00903628" w:rsidRPr="00C90B3F" w:rsidRDefault="002E1C85"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Calibri" w:hAnsi="Verdana" w:cs="Times New Roman"/>
          <w:sz w:val="20"/>
          <w:szCs w:val="20"/>
        </w:rPr>
      </w:pPr>
      <w:r w:rsidRPr="00813B72">
        <w:rPr>
          <w:rFonts w:ascii="Verdana" w:eastAsia="Calibri" w:hAnsi="Verdana" w:cs="Times New Roman"/>
          <w:sz w:val="20"/>
          <w:szCs w:val="20"/>
        </w:rPr>
        <w:t>En vista de</w:t>
      </w:r>
      <w:r w:rsidR="00A64184">
        <w:rPr>
          <w:rFonts w:ascii="Verdana" w:eastAsia="Calibri" w:hAnsi="Verdana" w:cs="Times New Roman"/>
          <w:sz w:val="20"/>
          <w:szCs w:val="20"/>
        </w:rPr>
        <w:t xml:space="preserve">l </w:t>
      </w:r>
      <w:r w:rsidR="00F8355E">
        <w:rPr>
          <w:rFonts w:ascii="Verdana" w:eastAsia="Calibri" w:hAnsi="Verdana" w:cs="Times New Roman"/>
          <w:sz w:val="20"/>
          <w:szCs w:val="20"/>
        </w:rPr>
        <w:t xml:space="preserve">análisis </w:t>
      </w:r>
      <w:r w:rsidRPr="00813B72">
        <w:rPr>
          <w:rFonts w:ascii="Verdana" w:eastAsia="Calibri" w:hAnsi="Verdana" w:cs="Times New Roman"/>
          <w:sz w:val="20"/>
          <w:szCs w:val="20"/>
        </w:rPr>
        <w:t xml:space="preserve">expuesto, </w:t>
      </w:r>
      <w:r w:rsidRPr="00813B72">
        <w:rPr>
          <w:rFonts w:ascii="Verdana" w:hAnsi="Verdana"/>
          <w:sz w:val="20"/>
          <w:szCs w:val="20"/>
        </w:rPr>
        <w:t>la Corte concluye que el Estado mexicano es internacionalmente responsable por la desaparición forzada de Nitza Paola Alvarado Espinoza, José Ángel Alvarado Herrera y Rocío Irene Alvarado Reyes, en violación de los derechos al reconocimiento de la personalidad jurídica, a la vida, a la integridad personal y a la libertad personal establecidos, respectivamente, de conformidad con los artículos 3, 4.1, 5.1, 5.2 y 7 de la Convención Americana, en relación con lo dispuesto en el artículo 1.1 de la misma, así como del artículo I. a) de la Convención Interamericana sobre Desaparición Forzada de Personas.</w:t>
      </w:r>
    </w:p>
    <w:p w14:paraId="64AA604B" w14:textId="3A4E5C13" w:rsidR="00903628" w:rsidRPr="00BD5BB5" w:rsidRDefault="00903628">
      <w:pPr>
        <w:pStyle w:val="Ttulo1"/>
      </w:pPr>
      <w:bookmarkStart w:id="205" w:name="_Toc526774162"/>
      <w:bookmarkStart w:id="206" w:name="_Toc526777494"/>
      <w:bookmarkStart w:id="207" w:name="_Toc526783788"/>
      <w:bookmarkStart w:id="208" w:name="_Toc532995374"/>
      <w:bookmarkStart w:id="209" w:name="_Toc522815023"/>
      <w:r w:rsidRPr="00BD5BB5">
        <w:t>VII.</w:t>
      </w:r>
      <w:bookmarkEnd w:id="205"/>
      <w:bookmarkEnd w:id="206"/>
      <w:bookmarkEnd w:id="207"/>
      <w:r w:rsidR="00B37F3B">
        <w:t>2</w:t>
      </w:r>
      <w:bookmarkEnd w:id="208"/>
    </w:p>
    <w:p w14:paraId="05E180E7" w14:textId="3135C98B" w:rsidR="00F834CA" w:rsidRPr="00813B72" w:rsidRDefault="00903628" w:rsidP="00A64BE6">
      <w:pPr>
        <w:pStyle w:val="Ttulo1"/>
      </w:pPr>
      <w:bookmarkStart w:id="210" w:name="_Toc526774163"/>
      <w:bookmarkStart w:id="211" w:name="_Toc526777495"/>
      <w:bookmarkStart w:id="212" w:name="_Toc526783789"/>
      <w:bookmarkStart w:id="213" w:name="_Toc527561085"/>
      <w:bookmarkStart w:id="214" w:name="_Toc532995375"/>
      <w:r w:rsidRPr="00BD5BB5">
        <w:lastRenderedPageBreak/>
        <w:t>DERECHOS A LAS GARANTÍAS JUDICIALES Y PROTECCIÓN JUDICIAL</w:t>
      </w:r>
      <w:bookmarkStart w:id="215" w:name="_Toc526774164"/>
      <w:bookmarkStart w:id="216" w:name="_Toc526777496"/>
      <w:bookmarkStart w:id="217" w:name="_Toc526780853"/>
      <w:bookmarkStart w:id="218" w:name="_Toc526783790"/>
      <w:bookmarkStart w:id="219" w:name="_Toc526785097"/>
      <w:bookmarkStart w:id="220" w:name="_Toc527561086"/>
      <w:bookmarkEnd w:id="210"/>
      <w:bookmarkEnd w:id="211"/>
      <w:bookmarkEnd w:id="212"/>
      <w:bookmarkEnd w:id="213"/>
      <w:r w:rsidR="00A64BE6">
        <w:t xml:space="preserve"> </w:t>
      </w:r>
      <w:r w:rsidR="00F834CA" w:rsidRPr="00BD5BB5">
        <w:t>Y DEBER DE ADOPTAR MEDIDAS</w:t>
      </w:r>
      <w:bookmarkStart w:id="221" w:name="_Toc526774165"/>
      <w:bookmarkStart w:id="222" w:name="_Toc526777497"/>
      <w:bookmarkStart w:id="223" w:name="_Toc526780854"/>
      <w:bookmarkStart w:id="224" w:name="_Toc526783791"/>
      <w:bookmarkStart w:id="225" w:name="_Toc526785098"/>
      <w:bookmarkStart w:id="226" w:name="_Toc527561087"/>
      <w:bookmarkEnd w:id="215"/>
      <w:bookmarkEnd w:id="216"/>
      <w:bookmarkEnd w:id="217"/>
      <w:bookmarkEnd w:id="218"/>
      <w:bookmarkEnd w:id="219"/>
      <w:bookmarkEnd w:id="220"/>
      <w:r w:rsidR="00A64BE6">
        <w:t xml:space="preserve"> </w:t>
      </w:r>
      <w:r w:rsidR="00F834CA" w:rsidRPr="00BD5BB5">
        <w:t>(ARTICULOS 8</w:t>
      </w:r>
      <w:r w:rsidR="00416548">
        <w:rPr>
          <w:rStyle w:val="Refdenotaalpie"/>
        </w:rPr>
        <w:footnoteReference w:id="433"/>
      </w:r>
      <w:r w:rsidR="00F834CA" w:rsidRPr="00BD5BB5">
        <w:t xml:space="preserve">, </w:t>
      </w:r>
      <w:r w:rsidRPr="00BD5BB5">
        <w:t>25</w:t>
      </w:r>
      <w:r w:rsidR="00416548">
        <w:rPr>
          <w:rStyle w:val="Refdenotaalpie"/>
        </w:rPr>
        <w:footnoteReference w:id="434"/>
      </w:r>
      <w:r w:rsidR="00F834CA" w:rsidRPr="00BD5BB5">
        <w:t xml:space="preserve"> Y 2</w:t>
      </w:r>
      <w:r w:rsidR="00416548">
        <w:rPr>
          <w:rStyle w:val="Refdenotaalpie"/>
        </w:rPr>
        <w:footnoteReference w:id="435"/>
      </w:r>
      <w:r w:rsidRPr="00BD5BB5">
        <w:t>)</w:t>
      </w:r>
      <w:bookmarkEnd w:id="209"/>
      <w:bookmarkEnd w:id="221"/>
      <w:bookmarkEnd w:id="222"/>
      <w:bookmarkEnd w:id="223"/>
      <w:bookmarkEnd w:id="224"/>
      <w:bookmarkEnd w:id="225"/>
      <w:bookmarkEnd w:id="226"/>
      <w:r w:rsidR="006A3D06">
        <w:t>, AS</w:t>
      </w:r>
      <w:r w:rsidR="006A3D06" w:rsidRPr="00BD5BB5">
        <w:t>Í</w:t>
      </w:r>
      <w:r w:rsidR="006A3D06">
        <w:t xml:space="preserve"> COMO I.b y IX</w:t>
      </w:r>
      <w:r w:rsidR="004032E8">
        <w:rPr>
          <w:rStyle w:val="Refdenotaalpie"/>
        </w:rPr>
        <w:footnoteReference w:id="436"/>
      </w:r>
      <w:r w:rsidR="006A3D06">
        <w:t xml:space="preserve"> DE LA CIDFP</w:t>
      </w:r>
      <w:r w:rsidR="00A64BE6">
        <w:t>,</w:t>
      </w:r>
      <w:r w:rsidR="006A3D06">
        <w:t xml:space="preserve"> Y 7</w:t>
      </w:r>
      <w:r w:rsidR="00A64BE6">
        <w:t>.</w:t>
      </w:r>
      <w:r w:rsidR="006A3D06">
        <w:t>b</w:t>
      </w:r>
      <w:r w:rsidR="004032E8">
        <w:rPr>
          <w:rStyle w:val="Refdenotaalpie"/>
        </w:rPr>
        <w:footnoteReference w:id="437"/>
      </w:r>
      <w:r w:rsidR="006A3D06">
        <w:t xml:space="preserve"> DE LA CONVENCI</w:t>
      </w:r>
      <w:r w:rsidR="006A3D06" w:rsidRPr="00BD5BB5">
        <w:t>Ó</w:t>
      </w:r>
      <w:r w:rsidR="006A3D06">
        <w:t xml:space="preserve">N </w:t>
      </w:r>
      <w:r w:rsidR="00A64BE6">
        <w:t xml:space="preserve">DE </w:t>
      </w:r>
      <w:r w:rsidR="006A3D06">
        <w:t>BELEM DO PAR</w:t>
      </w:r>
      <w:r w:rsidR="00A64BE6">
        <w:t>Á</w:t>
      </w:r>
      <w:bookmarkEnd w:id="214"/>
      <w:r w:rsidR="006A3D06">
        <w:t xml:space="preserve"> </w:t>
      </w:r>
    </w:p>
    <w:p w14:paraId="6AE46882" w14:textId="6247E3F1" w:rsidR="00F834CA" w:rsidRPr="00F834CA" w:rsidRDefault="00556FDB" w:rsidP="00744CE4">
      <w:pPr>
        <w:pStyle w:val="Ttulo2"/>
        <w:numPr>
          <w:ilvl w:val="0"/>
          <w:numId w:val="18"/>
        </w:numPr>
        <w:spacing w:before="120" w:after="120"/>
      </w:pPr>
      <w:bookmarkStart w:id="227" w:name="_Toc522815024"/>
      <w:bookmarkStart w:id="228" w:name="_Toc526774166"/>
      <w:bookmarkStart w:id="229" w:name="_Toc526777498"/>
      <w:bookmarkStart w:id="230" w:name="_Toc526783792"/>
      <w:r>
        <w:t xml:space="preserve"> </w:t>
      </w:r>
      <w:bookmarkStart w:id="231" w:name="_Toc532995376"/>
      <w:r w:rsidR="00903628" w:rsidRPr="00F834CA">
        <w:t>Argumentos de las partes y de la Comisión</w:t>
      </w:r>
      <w:bookmarkEnd w:id="227"/>
      <w:bookmarkEnd w:id="228"/>
      <w:bookmarkEnd w:id="229"/>
      <w:bookmarkEnd w:id="230"/>
      <w:bookmarkEnd w:id="231"/>
    </w:p>
    <w:p w14:paraId="64AA6052" w14:textId="12F13A39" w:rsidR="00201EE6" w:rsidRPr="00813B72" w:rsidRDefault="00903628"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FC6219">
        <w:rPr>
          <w:rFonts w:ascii="Verdana" w:eastAsia="SimSun" w:hAnsi="Verdana" w:cs="Arial"/>
          <w:sz w:val="20"/>
          <w:szCs w:val="20"/>
          <w:lang w:val="es-CR" w:eastAsia="es-CR"/>
        </w:rPr>
        <w:t xml:space="preserve">La </w:t>
      </w:r>
      <w:r w:rsidRPr="00F834CA">
        <w:rPr>
          <w:rFonts w:ascii="Verdana" w:eastAsia="SimSun" w:hAnsi="Verdana" w:cs="Arial"/>
          <w:b/>
          <w:i/>
          <w:sz w:val="20"/>
          <w:szCs w:val="20"/>
          <w:lang w:val="es-CR" w:eastAsia="es-CR"/>
        </w:rPr>
        <w:t>Comisión</w:t>
      </w:r>
      <w:r w:rsidRPr="00FC6219">
        <w:rPr>
          <w:rFonts w:ascii="Verdana" w:eastAsia="SimSun" w:hAnsi="Verdana" w:cs="Arial"/>
          <w:sz w:val="20"/>
          <w:szCs w:val="20"/>
          <w:lang w:val="es-CR" w:eastAsia="es-CR"/>
        </w:rPr>
        <w:t xml:space="preserve"> alegó que el Estado violó las garantías y la protección judicial (artículos 8.1</w:t>
      </w:r>
      <w:r w:rsidRPr="00FC6219">
        <w:rPr>
          <w:rFonts w:ascii="Times New Roman" w:hAnsi="Times New Roman" w:cs="Times New Roman"/>
          <w:sz w:val="20"/>
          <w:szCs w:val="20"/>
          <w:lang w:eastAsia="es-MX"/>
        </w:rPr>
        <w:t xml:space="preserve"> </w:t>
      </w:r>
      <w:r w:rsidRPr="00FC6219">
        <w:rPr>
          <w:rFonts w:ascii="Verdana" w:eastAsia="SimSun" w:hAnsi="Verdana" w:cs="Arial"/>
          <w:sz w:val="20"/>
          <w:szCs w:val="20"/>
          <w:lang w:val="es-CR" w:eastAsia="es-CR"/>
        </w:rPr>
        <w:t xml:space="preserve">y 25.1 de la Convención) en relación con la obligación de respetar los derechos humanos y el deber de adoptar disposiciones de derecho interno (artículos 1.1 y 2 de la Convención) y el artículo I.b) y IX de la Convención Interamericana sobre Desaparición Forzada de Personas. </w:t>
      </w:r>
      <w:r>
        <w:rPr>
          <w:rFonts w:ascii="Verdana" w:eastAsia="SimSun" w:hAnsi="Verdana" w:cs="Arial"/>
          <w:sz w:val="20"/>
          <w:szCs w:val="20"/>
          <w:lang w:val="es-CR" w:eastAsia="es-CR"/>
        </w:rPr>
        <w:t xml:space="preserve">En primer lugar, </w:t>
      </w:r>
      <w:r w:rsidRPr="00FC6219">
        <w:rPr>
          <w:rFonts w:ascii="Verdana" w:hAnsi="Verdana"/>
          <w:sz w:val="20"/>
          <w:szCs w:val="20"/>
        </w:rPr>
        <w:t>observó que la demanda de amparo presentada por José Ángel Alvarado Fa</w:t>
      </w:r>
      <w:r w:rsidR="00B82930">
        <w:rPr>
          <w:rFonts w:ascii="Verdana" w:hAnsi="Verdana"/>
          <w:sz w:val="20"/>
          <w:szCs w:val="20"/>
        </w:rPr>
        <w:t>b</w:t>
      </w:r>
      <w:r w:rsidRPr="00FC6219">
        <w:rPr>
          <w:rFonts w:ascii="Verdana" w:hAnsi="Verdana"/>
          <w:sz w:val="20"/>
          <w:szCs w:val="20"/>
        </w:rPr>
        <w:t>ela “no activó una búsqueda inmediata”, además, dicho recurso fue desechado por no haber sido ratificado por las víctimas. Por otra parte, alegó que la falta de investigación de los hechos como una desaparición forzada impactó la misma, afectando la diligencia e inmediatez requerida en estos casos</w:t>
      </w:r>
      <w:r w:rsidR="00DC394A" w:rsidRPr="00201EE6">
        <w:rPr>
          <w:rFonts w:ascii="Verdana" w:hAnsi="Verdana"/>
          <w:sz w:val="20"/>
          <w:szCs w:val="20"/>
        </w:rPr>
        <w:t>;</w:t>
      </w:r>
      <w:r w:rsidR="00DC394A">
        <w:rPr>
          <w:rFonts w:ascii="Verdana" w:hAnsi="Verdana"/>
          <w:sz w:val="20"/>
          <w:szCs w:val="20"/>
        </w:rPr>
        <w:t xml:space="preserve"> c</w:t>
      </w:r>
      <w:r w:rsidRPr="00FC6219">
        <w:rPr>
          <w:rFonts w:ascii="Verdana" w:hAnsi="Verdana"/>
          <w:sz w:val="20"/>
          <w:szCs w:val="20"/>
        </w:rPr>
        <w:t>uestión que, en parte, atribuyó a la falta de legislación en dicha materia.</w:t>
      </w:r>
    </w:p>
    <w:p w14:paraId="64AA6054" w14:textId="2DDFE935" w:rsidR="00201EE6" w:rsidRPr="00813B72" w:rsidRDefault="005E68E6"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Pr>
          <w:rFonts w:ascii="Verdana" w:hAnsi="Verdana"/>
          <w:sz w:val="20"/>
          <w:szCs w:val="20"/>
        </w:rPr>
        <w:t>La Comisión a</w:t>
      </w:r>
      <w:r w:rsidR="00903628" w:rsidRPr="00C45A4E">
        <w:rPr>
          <w:rFonts w:ascii="Verdana" w:hAnsi="Verdana"/>
          <w:sz w:val="20"/>
          <w:szCs w:val="20"/>
        </w:rPr>
        <w:t xml:space="preserve">rgumentó, que el Estado incumplió el deber de investigar con la debida diligencia la alegada desaparición. Al respecto, señaló que hubo una falta de una respuesta inmediata, pues el Estado no inició </w:t>
      </w:r>
      <w:r w:rsidR="00903628" w:rsidRPr="00C45A4E">
        <w:rPr>
          <w:rFonts w:ascii="Verdana" w:hAnsi="Verdana"/>
          <w:i/>
          <w:sz w:val="20"/>
          <w:szCs w:val="20"/>
        </w:rPr>
        <w:t xml:space="preserve">ex officio </w:t>
      </w:r>
      <w:r w:rsidR="00903628" w:rsidRPr="00C45A4E">
        <w:rPr>
          <w:rFonts w:ascii="Verdana" w:hAnsi="Verdana"/>
          <w:sz w:val="20"/>
          <w:szCs w:val="20"/>
        </w:rPr>
        <w:t xml:space="preserve">y sin dilación, una investigación seria, imparcial y efectiva. Además, señaló que el caso fue sometido a la jurisdicción militar durante un lapso de un año y diez meses </w:t>
      </w:r>
      <w:r w:rsidR="00DC394A" w:rsidRPr="00201EE6">
        <w:rPr>
          <w:rFonts w:ascii="Verdana" w:hAnsi="Verdana"/>
          <w:sz w:val="20"/>
          <w:szCs w:val="20"/>
        </w:rPr>
        <w:t>–</w:t>
      </w:r>
      <w:r w:rsidR="00903628" w:rsidRPr="00C45A4E">
        <w:rPr>
          <w:rFonts w:ascii="Verdana" w:hAnsi="Verdana"/>
          <w:sz w:val="20"/>
          <w:szCs w:val="20"/>
        </w:rPr>
        <w:t>con base en el artículo 57.II.a del Código de Justicia Militar vigente en ese momento</w:t>
      </w:r>
      <w:r w:rsidR="00DC394A" w:rsidRPr="00201EE6">
        <w:rPr>
          <w:rFonts w:ascii="Verdana" w:hAnsi="Verdana"/>
          <w:sz w:val="20"/>
          <w:szCs w:val="20"/>
        </w:rPr>
        <w:t>–</w:t>
      </w:r>
      <w:r w:rsidR="00903628" w:rsidRPr="00C45A4E">
        <w:rPr>
          <w:rFonts w:ascii="Verdana" w:hAnsi="Verdana"/>
          <w:sz w:val="20"/>
          <w:szCs w:val="20"/>
        </w:rPr>
        <w:t xml:space="preserve"> a pesar de que esta Corte ha sostenido que el conocimiento de crímenes que acarrean violaciones de derechos humanos por autoridades militares “es </w:t>
      </w:r>
      <w:r w:rsidR="00903628" w:rsidRPr="00C45A4E">
        <w:rPr>
          <w:rFonts w:ascii="Verdana" w:hAnsi="Verdana"/>
          <w:i/>
          <w:sz w:val="20"/>
          <w:szCs w:val="20"/>
        </w:rPr>
        <w:t>per se</w:t>
      </w:r>
      <w:r w:rsidR="00903628" w:rsidRPr="00C45A4E">
        <w:rPr>
          <w:rFonts w:ascii="Verdana" w:hAnsi="Verdana"/>
          <w:sz w:val="20"/>
          <w:szCs w:val="20"/>
        </w:rPr>
        <w:t xml:space="preserve"> contrario al derecho de las víctimas o sus familiares a ser oídos por un tribunal competente, independiente e imparcial”. También,</w:t>
      </w:r>
      <w:r w:rsidR="00903628" w:rsidRPr="00C45A4E">
        <w:rPr>
          <w:rFonts w:ascii="Verdana" w:eastAsia="SimSun" w:hAnsi="Verdana" w:cs="Arial"/>
          <w:sz w:val="20"/>
          <w:szCs w:val="20"/>
          <w:lang w:val="es-CR" w:eastAsia="es-CR"/>
        </w:rPr>
        <w:t xml:space="preserve"> hizo notar deficiencias en la forma en la que las autoridades estatales llevaron a cabo las investigaciones, y que incidieron en la falta de resultados concretos. Además, argumentó que “cuando han surgido elementos que requerían de una respuesta inmediata como la llamada presuntamente de Nitza Paola […] las autoridades a cargo de la investigación demoraron injustificadamente la práctica de pruebas y el análisis de resultados”.</w:t>
      </w:r>
      <w:r w:rsidR="00903628">
        <w:rPr>
          <w:rFonts w:ascii="Verdana" w:eastAsia="SimSun" w:hAnsi="Verdana" w:cs="Arial"/>
          <w:sz w:val="20"/>
          <w:szCs w:val="20"/>
          <w:lang w:val="es-CR" w:eastAsia="es-CR"/>
        </w:rPr>
        <w:t xml:space="preserve"> </w:t>
      </w:r>
      <w:r w:rsidR="00903628" w:rsidRPr="00B2077F">
        <w:rPr>
          <w:rFonts w:ascii="Verdana" w:eastAsia="SimSun" w:hAnsi="Verdana" w:cs="Arial"/>
          <w:sz w:val="20"/>
          <w:szCs w:val="20"/>
          <w:lang w:val="es-CR" w:eastAsia="es-CR"/>
        </w:rPr>
        <w:t xml:space="preserve">Por último, señaló que desde que el Estado tuvo conocimiento de los hechos a la fecha han transcurrido </w:t>
      </w:r>
      <w:r w:rsidR="00903628">
        <w:rPr>
          <w:rFonts w:ascii="Verdana" w:eastAsia="SimSun" w:hAnsi="Verdana" w:cs="Arial"/>
          <w:sz w:val="20"/>
          <w:szCs w:val="20"/>
          <w:lang w:val="es-CR" w:eastAsia="es-CR"/>
        </w:rPr>
        <w:t>más de ocho años</w:t>
      </w:r>
      <w:r w:rsidR="00903628" w:rsidRPr="00B2077F">
        <w:rPr>
          <w:rFonts w:ascii="Verdana" w:eastAsia="SimSun" w:hAnsi="Verdana" w:cs="Arial"/>
          <w:sz w:val="20"/>
          <w:szCs w:val="20"/>
          <w:lang w:val="es-CR" w:eastAsia="es-CR"/>
        </w:rPr>
        <w:t xml:space="preserve">, en </w:t>
      </w:r>
      <w:r w:rsidR="00903628" w:rsidRPr="00B2077F">
        <w:rPr>
          <w:rFonts w:ascii="Verdana" w:eastAsia="SimSun" w:hAnsi="Verdana" w:cs="Arial"/>
          <w:sz w:val="20"/>
          <w:szCs w:val="20"/>
          <w:lang w:val="es-CR" w:eastAsia="es-CR"/>
        </w:rPr>
        <w:lastRenderedPageBreak/>
        <w:t>los que existieron varios periodos de inactividad</w:t>
      </w:r>
      <w:r w:rsidR="00903628" w:rsidRPr="00B2077F">
        <w:rPr>
          <w:rFonts w:ascii="Verdana" w:eastAsia="SimSun" w:hAnsi="Verdana" w:cs="Arial"/>
          <w:sz w:val="20"/>
          <w:szCs w:val="20"/>
          <w:vertAlign w:val="superscript"/>
          <w:lang w:val="es-CR" w:eastAsia="es-CR"/>
        </w:rPr>
        <w:footnoteReference w:id="438"/>
      </w:r>
      <w:r w:rsidR="00903628" w:rsidRPr="00B2077F">
        <w:rPr>
          <w:rFonts w:ascii="Verdana" w:eastAsia="SimSun" w:hAnsi="Verdana" w:cs="Arial"/>
          <w:sz w:val="20"/>
          <w:szCs w:val="20"/>
          <w:lang w:val="es-CR" w:eastAsia="es-CR"/>
        </w:rPr>
        <w:t xml:space="preserve"> y en los que “autoridades en el marco de la justicia penal militar obstaculizaron en varias oportunidades la práctica de prueba relacionada con la posible responsabilidad del Ejército en los hechos”, sin que el Estado hubiera podido demostrar las razones por las cuales la complejidad del caso ha afectado el desarrollo de las investigaciones</w:t>
      </w:r>
      <w:r w:rsidR="00903628">
        <w:rPr>
          <w:rFonts w:ascii="Verdana" w:eastAsia="SimSun" w:hAnsi="Verdana" w:cs="Arial"/>
          <w:sz w:val="20"/>
          <w:szCs w:val="20"/>
          <w:lang w:val="es-CR" w:eastAsia="es-CR"/>
        </w:rPr>
        <w:t>, por lo</w:t>
      </w:r>
      <w:r w:rsidR="00903628" w:rsidRPr="00B2077F">
        <w:rPr>
          <w:rFonts w:ascii="Verdana" w:eastAsia="SimSun" w:hAnsi="Verdana" w:cs="Arial"/>
          <w:sz w:val="20"/>
          <w:szCs w:val="20"/>
          <w:lang w:val="es-CR" w:eastAsia="es-CR"/>
        </w:rPr>
        <w:t xml:space="preserve"> que el Estado incumplió con la garantía de plazo razonable en la investigación de la alegada desaparición.</w:t>
      </w:r>
    </w:p>
    <w:p w14:paraId="64AA6056" w14:textId="653F812A" w:rsidR="00201EE6" w:rsidRPr="00813B72" w:rsidRDefault="00903628"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sz w:val="20"/>
          <w:szCs w:val="20"/>
        </w:rPr>
        <w:t xml:space="preserve">Las </w:t>
      </w:r>
      <w:r w:rsidRPr="00F834CA">
        <w:rPr>
          <w:rFonts w:ascii="Verdana" w:hAnsi="Verdana"/>
          <w:b/>
          <w:i/>
          <w:sz w:val="20"/>
          <w:szCs w:val="20"/>
        </w:rPr>
        <w:t>Representantes</w:t>
      </w:r>
      <w:r w:rsidRPr="00201EE6">
        <w:rPr>
          <w:rFonts w:ascii="Verdana" w:hAnsi="Verdana"/>
          <w:sz w:val="20"/>
          <w:szCs w:val="20"/>
        </w:rPr>
        <w:t xml:space="preserve"> coincidieron con la Comisión respecto a que “el Estado ha violado el derecho de las víctimas a obtener justicia mediante una investigación adecuada y diligente, que conlleve a la ubicación de su paradero”; que el Estado no garantizó el acceso de las víctimas “a recursos jurídicos efectivos que los ampararan contra la violación a sus derechos humanos” por lo que solicitaron “armonizar la Ley de Amparo con la LGDF y […] asegurar que los jueces de </w:t>
      </w:r>
      <w:r w:rsidR="005E68E6">
        <w:rPr>
          <w:rFonts w:ascii="Verdana" w:hAnsi="Verdana"/>
          <w:sz w:val="20"/>
          <w:szCs w:val="20"/>
        </w:rPr>
        <w:t>d</w:t>
      </w:r>
      <w:r w:rsidRPr="00201EE6">
        <w:rPr>
          <w:rFonts w:ascii="Verdana" w:hAnsi="Verdana"/>
          <w:sz w:val="20"/>
          <w:szCs w:val="20"/>
        </w:rPr>
        <w:t xml:space="preserve">istrito cuenten con recursos para emprender operaciones de búsqueda eficaces, que no se limiten a la tramitación de oficios administrativos”; </w:t>
      </w:r>
      <w:r w:rsidRPr="00201EE6">
        <w:rPr>
          <w:rFonts w:ascii="Verdana" w:hAnsi="Verdana" w:cs="Helvetica"/>
          <w:sz w:val="20"/>
          <w:szCs w:val="20"/>
        </w:rPr>
        <w:t>que</w:t>
      </w:r>
      <w:r w:rsidRPr="00201EE6">
        <w:rPr>
          <w:rFonts w:ascii="Verdana" w:hAnsi="Verdana"/>
          <w:sz w:val="20"/>
          <w:szCs w:val="20"/>
        </w:rPr>
        <w:t xml:space="preserve"> “el Estado Mexicano no cumplió con su obligación […] para el avance de acciones de búsqueda inmediata”,</w:t>
      </w:r>
      <w:r w:rsidRPr="00201EE6">
        <w:rPr>
          <w:rFonts w:ascii="Verdana" w:eastAsia="SimSun" w:hAnsi="Verdana" w:cs="Arial"/>
          <w:sz w:val="20"/>
          <w:szCs w:val="20"/>
          <w:lang w:val="es-CR" w:eastAsia="es-CR"/>
        </w:rPr>
        <w:t xml:space="preserve"> destacando que no resguardaron la escena del crimen, ni recolectaron evidencia, así como tampoco investigaron la totalidad de los hechos, ni recabaron oportunamente todas las declaraciones de testigos.</w:t>
      </w:r>
      <w:r w:rsidR="003335FE">
        <w:rPr>
          <w:rFonts w:ascii="Verdana" w:hAnsi="Verdana"/>
          <w:sz w:val="20"/>
          <w:szCs w:val="20"/>
        </w:rPr>
        <w:t xml:space="preserve"> </w:t>
      </w:r>
      <w:r w:rsidRPr="00201EE6">
        <w:rPr>
          <w:rFonts w:ascii="Verdana" w:eastAsia="SimSun" w:hAnsi="Verdana" w:cs="Arial"/>
          <w:sz w:val="20"/>
          <w:szCs w:val="20"/>
          <w:lang w:val="es-CR" w:eastAsia="es-CR"/>
        </w:rPr>
        <w:t>Señalaron que la investigación llevada a cabo por el Estado fue fragmentada, negligente y parcial. Para demostrar su argumento señalaron que: a) salvo las acciones realizadas por un par de agentes</w:t>
      </w:r>
      <w:r>
        <w:rPr>
          <w:rStyle w:val="Refdenotaalpie"/>
          <w:rFonts w:ascii="Verdana" w:eastAsia="SimSun" w:hAnsi="Verdana" w:cs="Arial"/>
          <w:sz w:val="20"/>
          <w:szCs w:val="20"/>
          <w:lang w:val="es-CR" w:eastAsia="es-CR"/>
        </w:rPr>
        <w:footnoteReference w:id="439"/>
      </w:r>
      <w:r w:rsidRPr="00201EE6">
        <w:rPr>
          <w:rFonts w:ascii="Verdana" w:eastAsia="SimSun" w:hAnsi="Verdana" w:cs="Arial"/>
          <w:sz w:val="20"/>
          <w:szCs w:val="20"/>
          <w:lang w:val="es-CR" w:eastAsia="es-CR"/>
        </w:rPr>
        <w:t>, no se llevaron a cabo acciones inmediatas de búsqueda (especialmente por parte de las autoridades ministeriales); b) no existió protección inmediata de los testigos; c) la búsqueda en vida se limitó a un intercambio de oficios interinstitucionales; d) se han realizado en total 15 diligencias de búsqueda en campo, la mayoría entre los años 2013 a 2015; y, e) no se investigó con seriedad la presunta llamada telefónica de Nitza Paola, pues se desestimó alegando que se había tratado de una llamada extorsiva a pesar de que no se exigió alguna retribución económica</w:t>
      </w:r>
      <w:r w:rsidR="00201EE6">
        <w:rPr>
          <w:rFonts w:ascii="Verdana" w:eastAsia="SimSun" w:hAnsi="Verdana" w:cs="Arial"/>
          <w:sz w:val="20"/>
          <w:szCs w:val="20"/>
          <w:lang w:val="es-CR" w:eastAsia="es-CR"/>
        </w:rPr>
        <w:t>.</w:t>
      </w:r>
    </w:p>
    <w:p w14:paraId="712023ED" w14:textId="002F20FC" w:rsidR="00AF6974" w:rsidRPr="00813B72" w:rsidRDefault="00903628" w:rsidP="002C462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sz w:val="20"/>
          <w:szCs w:val="20"/>
        </w:rPr>
        <w:t xml:space="preserve">En ese sentido, consideraron que –respecto de Nitza Paola y Rocío Irene– “su condición de género las colocaba en una situación de vulnerabilidad que se agudiza frente a las </w:t>
      </w:r>
      <w:r w:rsidR="00DC394A">
        <w:rPr>
          <w:rFonts w:ascii="Verdana" w:hAnsi="Verdana"/>
          <w:sz w:val="20"/>
          <w:szCs w:val="20"/>
        </w:rPr>
        <w:t>f</w:t>
      </w:r>
      <w:r w:rsidRPr="00201EE6">
        <w:rPr>
          <w:rFonts w:ascii="Verdana" w:hAnsi="Verdana"/>
          <w:sz w:val="20"/>
          <w:szCs w:val="20"/>
        </w:rPr>
        <w:t xml:space="preserve">uerzas </w:t>
      </w:r>
      <w:r w:rsidR="00DC394A">
        <w:rPr>
          <w:rFonts w:ascii="Verdana" w:hAnsi="Verdana"/>
          <w:sz w:val="20"/>
          <w:szCs w:val="20"/>
        </w:rPr>
        <w:t>a</w:t>
      </w:r>
      <w:r w:rsidRPr="00201EE6">
        <w:rPr>
          <w:rFonts w:ascii="Verdana" w:hAnsi="Verdana"/>
          <w:sz w:val="20"/>
          <w:szCs w:val="20"/>
        </w:rPr>
        <w:t xml:space="preserve">rmadas en el contexto de violencia generalizada contra las mujeres en el país”. En ese sentido consideraron que, </w:t>
      </w:r>
      <w:r w:rsidRPr="00201EE6">
        <w:rPr>
          <w:rFonts w:ascii="Verdana" w:hAnsi="Verdana" w:cs="Helvetica"/>
          <w:sz w:val="20"/>
          <w:szCs w:val="20"/>
        </w:rPr>
        <w:t xml:space="preserve">al </w:t>
      </w:r>
      <w:r w:rsidRPr="00201EE6">
        <w:rPr>
          <w:rFonts w:ascii="Verdana" w:hAnsi="Verdana"/>
          <w:sz w:val="20"/>
          <w:szCs w:val="20"/>
        </w:rPr>
        <w:t>no haber adoptado medidas de prevención y protección adecuadas, el Estado violó los derechos establecidos en los artículos 8.1 y 1.1 de la Convención</w:t>
      </w:r>
      <w:r w:rsidR="00DC394A">
        <w:rPr>
          <w:rFonts w:ascii="Verdana" w:hAnsi="Verdana"/>
          <w:sz w:val="20"/>
          <w:szCs w:val="20"/>
        </w:rPr>
        <w:t>,</w:t>
      </w:r>
      <w:r w:rsidRPr="00201EE6">
        <w:rPr>
          <w:rFonts w:ascii="Verdana" w:hAnsi="Verdana"/>
          <w:sz w:val="20"/>
          <w:szCs w:val="20"/>
        </w:rPr>
        <w:t xml:space="preserve"> en relación con  el artículo 7 de la Convención Interamericana para prevenir, sancionar y erradicar la violencia contra la mujer (Convención de Belem do Pará) en </w:t>
      </w:r>
      <w:r w:rsidR="00DC394A">
        <w:rPr>
          <w:rFonts w:ascii="Verdana" w:hAnsi="Verdana"/>
          <w:sz w:val="20"/>
          <w:szCs w:val="20"/>
        </w:rPr>
        <w:t xml:space="preserve">su </w:t>
      </w:r>
      <w:r w:rsidRPr="00201EE6">
        <w:rPr>
          <w:rFonts w:ascii="Verdana" w:hAnsi="Verdana"/>
          <w:sz w:val="20"/>
          <w:szCs w:val="20"/>
        </w:rPr>
        <w:t>perjuicio</w:t>
      </w:r>
      <w:r w:rsidR="00DC394A">
        <w:rPr>
          <w:rFonts w:ascii="Verdana" w:hAnsi="Verdana"/>
          <w:sz w:val="20"/>
          <w:szCs w:val="20"/>
        </w:rPr>
        <w:t>.</w:t>
      </w:r>
    </w:p>
    <w:p w14:paraId="64AA605A" w14:textId="7E7241FC" w:rsidR="00201EE6" w:rsidRPr="00813B72" w:rsidRDefault="00903628" w:rsidP="002C462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sz w:val="20"/>
          <w:szCs w:val="20"/>
        </w:rPr>
        <w:t xml:space="preserve">El </w:t>
      </w:r>
      <w:r w:rsidRPr="00F834CA">
        <w:rPr>
          <w:rFonts w:ascii="Verdana" w:hAnsi="Verdana"/>
          <w:b/>
          <w:i/>
          <w:sz w:val="20"/>
          <w:szCs w:val="20"/>
        </w:rPr>
        <w:t>Estado</w:t>
      </w:r>
      <w:r w:rsidRPr="00201EE6">
        <w:rPr>
          <w:rFonts w:ascii="Verdana" w:hAnsi="Verdana"/>
          <w:sz w:val="20"/>
          <w:szCs w:val="20"/>
        </w:rPr>
        <w:t xml:space="preserve"> por su parte, reconoció su responsabilidad respecto de deficiencias legislativas alegadas y por el conocimiento del caso por autoridades de la justicia militar, pero las consideró como subsanadas (</w:t>
      </w:r>
      <w:r w:rsidRPr="00201EE6">
        <w:rPr>
          <w:rFonts w:ascii="Verdana" w:hAnsi="Verdana"/>
          <w:i/>
          <w:sz w:val="20"/>
          <w:szCs w:val="20"/>
        </w:rPr>
        <w:t>supra</w:t>
      </w:r>
      <w:r w:rsidRPr="00201EE6">
        <w:rPr>
          <w:rFonts w:ascii="Verdana" w:hAnsi="Verdana"/>
          <w:sz w:val="20"/>
          <w:szCs w:val="20"/>
        </w:rPr>
        <w:t xml:space="preserve"> párrs. 1</w:t>
      </w:r>
      <w:r w:rsidR="00E879B2">
        <w:rPr>
          <w:rFonts w:ascii="Verdana" w:hAnsi="Verdana"/>
          <w:sz w:val="20"/>
          <w:szCs w:val="20"/>
        </w:rPr>
        <w:t>9</w:t>
      </w:r>
      <w:r w:rsidRPr="00201EE6">
        <w:rPr>
          <w:rFonts w:ascii="Verdana" w:hAnsi="Verdana"/>
          <w:sz w:val="20"/>
          <w:szCs w:val="20"/>
        </w:rPr>
        <w:t xml:space="preserve"> a 2</w:t>
      </w:r>
      <w:r w:rsidR="00E879B2">
        <w:rPr>
          <w:rFonts w:ascii="Verdana" w:hAnsi="Verdana"/>
          <w:sz w:val="20"/>
          <w:szCs w:val="20"/>
        </w:rPr>
        <w:t>2</w:t>
      </w:r>
      <w:r w:rsidRPr="00201EE6">
        <w:rPr>
          <w:rFonts w:ascii="Verdana" w:hAnsi="Verdana"/>
          <w:sz w:val="20"/>
          <w:szCs w:val="20"/>
        </w:rPr>
        <w:t>). Afirmó que</w:t>
      </w:r>
      <w:r w:rsidR="00E879B2">
        <w:rPr>
          <w:rFonts w:ascii="Verdana" w:hAnsi="Verdana"/>
          <w:sz w:val="20"/>
          <w:szCs w:val="20"/>
        </w:rPr>
        <w:t>,</w:t>
      </w:r>
      <w:r w:rsidRPr="00201EE6">
        <w:rPr>
          <w:rFonts w:ascii="Verdana" w:hAnsi="Verdana"/>
          <w:sz w:val="20"/>
          <w:szCs w:val="20"/>
        </w:rPr>
        <w:t xml:space="preserve"> </w:t>
      </w:r>
      <w:r w:rsidR="00DC394A" w:rsidRPr="00201EE6">
        <w:rPr>
          <w:rFonts w:ascii="Verdana" w:hAnsi="Verdana"/>
          <w:sz w:val="20"/>
          <w:szCs w:val="20"/>
        </w:rPr>
        <w:t>–</w:t>
      </w:r>
      <w:r w:rsidRPr="00201EE6">
        <w:rPr>
          <w:rFonts w:ascii="Verdana" w:hAnsi="Verdana"/>
          <w:sz w:val="20"/>
          <w:szCs w:val="20"/>
        </w:rPr>
        <w:t xml:space="preserve">contrario a lo señalado por la Comisión y las </w:t>
      </w:r>
      <w:r w:rsidR="00DC394A">
        <w:rPr>
          <w:rFonts w:ascii="Verdana" w:hAnsi="Verdana"/>
          <w:sz w:val="20"/>
          <w:szCs w:val="20"/>
        </w:rPr>
        <w:t>r</w:t>
      </w:r>
      <w:r w:rsidRPr="00201EE6">
        <w:rPr>
          <w:rFonts w:ascii="Verdana" w:hAnsi="Verdana"/>
          <w:sz w:val="20"/>
          <w:szCs w:val="20"/>
        </w:rPr>
        <w:t>epresentantes</w:t>
      </w:r>
      <w:r w:rsidR="00DC394A" w:rsidRPr="00201EE6">
        <w:rPr>
          <w:rFonts w:ascii="Verdana" w:hAnsi="Verdana"/>
          <w:sz w:val="20"/>
          <w:szCs w:val="20"/>
        </w:rPr>
        <w:t>–</w:t>
      </w:r>
      <w:r w:rsidRPr="00201EE6">
        <w:rPr>
          <w:rFonts w:ascii="Verdana" w:hAnsi="Verdana"/>
          <w:sz w:val="20"/>
          <w:szCs w:val="20"/>
        </w:rPr>
        <w:t xml:space="preserve"> las autoridades actuaron sin dilación, pues iniciaron las diligencias de investigación y acciones de búsqueda, de manera inmediata. Señaló que </w:t>
      </w:r>
      <w:r w:rsidRPr="00201EE6">
        <w:rPr>
          <w:rFonts w:ascii="Verdana" w:eastAsia="SimSun" w:hAnsi="Verdana" w:cs="Arial"/>
          <w:sz w:val="20"/>
          <w:szCs w:val="20"/>
          <w:lang w:val="es-CR" w:eastAsia="es-CR"/>
        </w:rPr>
        <w:t>la multiplicidad de investigaciones simultáneas derivaron de las distintas denuncias presentadas por los familiares ante diversas autoridades; que las declinaciones por incompetencia y acumulaciones de expedientes requieren de un estudio especializado, recaudación de pruebas y análisis de las competencias, por lo que requieren de tiempo; y que, si bien es cierto que las investigaciones no han arrojado resultados definitivos, “el Estado ha agotado todas las líneas lógicas para esclarecer los hechos”, a pesar la complejidad derivada de la presencia de grupos de la delincuencia organizada en la región y la utilización por parte de éstos de uniformes y armas de uso exclusivo del ejército para evadirse de la justicia. Argumentó, también, que “inició y continuó sus investigaciones tomando en cuenta</w:t>
      </w:r>
      <w:r w:rsidR="00DC394A">
        <w:rPr>
          <w:rFonts w:ascii="Verdana" w:eastAsia="SimSun" w:hAnsi="Verdana" w:cs="Arial"/>
          <w:sz w:val="20"/>
          <w:szCs w:val="20"/>
          <w:lang w:val="es-CR" w:eastAsia="es-CR"/>
        </w:rPr>
        <w:t>:</w:t>
      </w:r>
      <w:r w:rsidRPr="00201EE6">
        <w:rPr>
          <w:rFonts w:ascii="Verdana" w:eastAsia="SimSun" w:hAnsi="Verdana" w:cs="Arial"/>
          <w:sz w:val="20"/>
          <w:szCs w:val="20"/>
          <w:lang w:val="es-CR" w:eastAsia="es-CR"/>
        </w:rPr>
        <w:t xml:space="preserve"> 1) la complejidad de [los] hechos y el contexto en que ocurrieron; y 2) valoró los posibles patrones de violaciones de derechos humanos que, en otros casos, en esa época se habrían cometido”. Respecto de la presunta llamada telefónica de Nitza </w:t>
      </w:r>
      <w:r w:rsidRPr="00201EE6">
        <w:rPr>
          <w:rFonts w:ascii="Verdana" w:eastAsia="SimSun" w:hAnsi="Verdana" w:cs="Arial"/>
          <w:sz w:val="20"/>
          <w:szCs w:val="20"/>
          <w:lang w:val="es-CR" w:eastAsia="es-CR"/>
        </w:rPr>
        <w:lastRenderedPageBreak/>
        <w:t>Paola, argumentó que la denuncia fue presentada diez días después de los hechos y que las autoridades federales tuvieron conocimiento de los mismos habiendo transcurrido 56 días, pero que a pesar de ello, la investigación fue exhaustiva.</w:t>
      </w:r>
    </w:p>
    <w:p w14:paraId="64AA605C" w14:textId="70712196" w:rsidR="00903628" w:rsidRPr="00813B72" w:rsidRDefault="00903628" w:rsidP="002C462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eastAsia="SimSun" w:hAnsi="Verdana" w:cs="Arial"/>
          <w:sz w:val="20"/>
          <w:szCs w:val="20"/>
          <w:lang w:val="es-CR" w:eastAsia="es-CR"/>
        </w:rPr>
        <w:t>El Estado concluyó que, atendiendo a la complejidad y gravedad de los hechos, ha sido diligente en sus investigaciones</w:t>
      </w:r>
      <w:r w:rsidR="00DC394A">
        <w:rPr>
          <w:rFonts w:ascii="Verdana" w:eastAsia="SimSun" w:hAnsi="Verdana" w:cs="Arial"/>
          <w:sz w:val="20"/>
          <w:szCs w:val="20"/>
          <w:lang w:val="es-CR" w:eastAsia="es-CR"/>
        </w:rPr>
        <w:t>,</w:t>
      </w:r>
      <w:r w:rsidRPr="00201EE6">
        <w:rPr>
          <w:rFonts w:ascii="Verdana" w:eastAsia="SimSun" w:hAnsi="Verdana" w:cs="Arial"/>
          <w:sz w:val="20"/>
          <w:szCs w:val="20"/>
          <w:lang w:val="es-CR" w:eastAsia="es-CR"/>
        </w:rPr>
        <w:t xml:space="preserve"> lo que no se ha incumplido por no haber obtenido un resultado satisfactorio, pues la obligación de llevar a cabo una investigación es de medios y no de resultados; y que dadas las circunstancias particulares, tampoco debe considerársele “responsable internacionalmente por haber cometido violaciones a la garantía procesal sobre el plazo razonable”. </w:t>
      </w:r>
    </w:p>
    <w:p w14:paraId="64AA605E" w14:textId="7EDD03F0" w:rsidR="00903628" w:rsidRPr="00813B72" w:rsidRDefault="00556FDB">
      <w:pPr>
        <w:pStyle w:val="Ttulo2"/>
        <w:numPr>
          <w:ilvl w:val="0"/>
          <w:numId w:val="18"/>
        </w:numPr>
        <w:spacing w:before="120" w:after="120"/>
      </w:pPr>
      <w:bookmarkStart w:id="232" w:name="_Toc522815025"/>
      <w:bookmarkStart w:id="233" w:name="_Toc526774167"/>
      <w:bookmarkStart w:id="234" w:name="_Toc526777499"/>
      <w:bookmarkStart w:id="235" w:name="_Toc526783793"/>
      <w:r>
        <w:t xml:space="preserve"> </w:t>
      </w:r>
      <w:bookmarkStart w:id="236" w:name="_Toc532995377"/>
      <w:r w:rsidR="00903628" w:rsidRPr="00F834CA">
        <w:t>Consideraciones de la Corte</w:t>
      </w:r>
      <w:bookmarkEnd w:id="232"/>
      <w:bookmarkEnd w:id="233"/>
      <w:bookmarkEnd w:id="234"/>
      <w:bookmarkEnd w:id="235"/>
      <w:bookmarkEnd w:id="236"/>
    </w:p>
    <w:p w14:paraId="64AA6060" w14:textId="53C6E0AC" w:rsidR="00201EE6" w:rsidRPr="00813B72" w:rsidRDefault="00DB421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Pr>
          <w:rFonts w:ascii="Verdana" w:eastAsia="SimSun" w:hAnsi="Verdana" w:cs="Arial"/>
          <w:sz w:val="20"/>
          <w:szCs w:val="20"/>
          <w:lang w:val="es-CR" w:eastAsia="es-CR"/>
        </w:rPr>
        <w:t>D</w:t>
      </w:r>
      <w:r w:rsidR="00903628" w:rsidRPr="0045518D">
        <w:rPr>
          <w:rFonts w:ascii="Verdana" w:eastAsia="SimSun" w:hAnsi="Verdana" w:cs="Arial"/>
          <w:sz w:val="20"/>
          <w:szCs w:val="20"/>
          <w:lang w:val="es-CR" w:eastAsia="es-CR"/>
        </w:rPr>
        <w:t>esde su primera sentencia esta Corte ha destacado la importancia del deber estatal de investigar y sancionar las violaciones de derechos humanos</w:t>
      </w:r>
      <w:r w:rsidR="00903628" w:rsidRPr="00461A40">
        <w:rPr>
          <w:rFonts w:ascii="Verdana" w:eastAsia="SimSun" w:hAnsi="Verdana" w:cs="Arial"/>
          <w:sz w:val="20"/>
          <w:szCs w:val="20"/>
          <w:vertAlign w:val="superscript"/>
          <w:lang w:val="es-CR" w:eastAsia="es-CR"/>
        </w:rPr>
        <w:footnoteReference w:id="440"/>
      </w:r>
      <w:r w:rsidR="00903628" w:rsidRPr="0045518D">
        <w:rPr>
          <w:rFonts w:ascii="Verdana" w:eastAsia="SimSun" w:hAnsi="Verdana" w:cs="Arial"/>
          <w:sz w:val="20"/>
          <w:szCs w:val="20"/>
          <w:lang w:val="es-CR" w:eastAsia="es-CR"/>
        </w:rPr>
        <w:t xml:space="preserve">, el cual adquiere particular importancia ante la gravedad de los </w:t>
      </w:r>
      <w:r w:rsidR="00903628" w:rsidRPr="007568BA">
        <w:rPr>
          <w:rFonts w:ascii="Verdana" w:eastAsia="SimSun" w:hAnsi="Verdana" w:cs="Arial"/>
          <w:sz w:val="20"/>
          <w:szCs w:val="20"/>
          <w:lang w:val="es-CR" w:eastAsia="es-CR"/>
        </w:rPr>
        <w:t>delitos</w:t>
      </w:r>
      <w:r w:rsidR="00903628" w:rsidRPr="0045518D">
        <w:rPr>
          <w:rFonts w:ascii="Verdana" w:eastAsia="SimSun" w:hAnsi="Verdana" w:cs="Arial"/>
          <w:sz w:val="20"/>
          <w:szCs w:val="20"/>
          <w:lang w:val="es-CR" w:eastAsia="es-CR"/>
        </w:rPr>
        <w:t xml:space="preserve"> cometidos y la naturaleza de los derechos lesionados</w:t>
      </w:r>
      <w:r w:rsidR="00903628" w:rsidRPr="00461A40">
        <w:rPr>
          <w:rFonts w:ascii="Verdana" w:eastAsia="SimSun" w:hAnsi="Verdana" w:cs="Arial"/>
          <w:sz w:val="20"/>
          <w:szCs w:val="20"/>
          <w:vertAlign w:val="superscript"/>
          <w:lang w:val="es-CR" w:eastAsia="es-CR"/>
        </w:rPr>
        <w:footnoteReference w:id="441"/>
      </w:r>
      <w:r w:rsidR="00903628" w:rsidRPr="0045518D">
        <w:rPr>
          <w:rFonts w:ascii="Verdana" w:eastAsia="SimSun" w:hAnsi="Verdana" w:cs="Arial"/>
          <w:sz w:val="20"/>
          <w:szCs w:val="20"/>
          <w:lang w:val="es-CR" w:eastAsia="es-CR"/>
        </w:rPr>
        <w:t>. Dicha obligación también se desprende de otros instrumentos interamericanos. Así, en casos de desapariciones forzadas, la obligación de investigar se ve reforzada por el artículo I.b</w:t>
      </w:r>
      <w:r w:rsidR="00903628" w:rsidRPr="00DB378B">
        <w:rPr>
          <w:rFonts w:ascii="Verdana" w:eastAsia="SimSun" w:hAnsi="Verdana" w:cs="Arial"/>
          <w:b/>
          <w:sz w:val="20"/>
          <w:szCs w:val="20"/>
          <w:lang w:val="es-CR" w:eastAsia="es-CR"/>
        </w:rPr>
        <w:t xml:space="preserve"> </w:t>
      </w:r>
      <w:r w:rsidR="00CC61EB" w:rsidRPr="003564A3">
        <w:rPr>
          <w:rFonts w:ascii="Verdana" w:eastAsia="SimSun" w:hAnsi="Verdana" w:cs="Arial"/>
          <w:sz w:val="20"/>
          <w:szCs w:val="20"/>
          <w:lang w:val="es-CR" w:eastAsia="es-CR"/>
        </w:rPr>
        <w:t xml:space="preserve">y IX </w:t>
      </w:r>
      <w:r w:rsidR="00903628" w:rsidRPr="0045518D">
        <w:rPr>
          <w:rFonts w:ascii="Verdana" w:eastAsia="SimSun" w:hAnsi="Verdana" w:cs="Arial"/>
          <w:sz w:val="20"/>
          <w:szCs w:val="20"/>
          <w:lang w:val="es-CR" w:eastAsia="es-CR"/>
        </w:rPr>
        <w:t>de la Convención Interamericana sobre Desaparición Forzada, en vigor p</w:t>
      </w:r>
      <w:r>
        <w:rPr>
          <w:rFonts w:ascii="Verdana" w:eastAsia="SimSun" w:hAnsi="Verdana" w:cs="Arial"/>
          <w:sz w:val="20"/>
          <w:szCs w:val="20"/>
          <w:lang w:val="es-CR" w:eastAsia="es-CR"/>
        </w:rPr>
        <w:t>ara el Estado desde el 9 de abril</w:t>
      </w:r>
      <w:r w:rsidR="00903628" w:rsidRPr="0045518D">
        <w:rPr>
          <w:rFonts w:ascii="Verdana" w:eastAsia="SimSun" w:hAnsi="Verdana" w:cs="Arial"/>
          <w:sz w:val="20"/>
          <w:szCs w:val="20"/>
          <w:lang w:val="es-CR" w:eastAsia="es-CR"/>
        </w:rPr>
        <w:t xml:space="preserve"> de 2002</w:t>
      </w:r>
      <w:r w:rsidR="00903628" w:rsidRPr="00343208">
        <w:rPr>
          <w:rFonts w:ascii="Verdana" w:hAnsi="Verdana"/>
          <w:sz w:val="20"/>
          <w:szCs w:val="20"/>
          <w:vertAlign w:val="superscript"/>
        </w:rPr>
        <w:footnoteReference w:id="442"/>
      </w:r>
      <w:r w:rsidR="00903628" w:rsidRPr="0045518D">
        <w:rPr>
          <w:rFonts w:ascii="Verdana" w:eastAsia="SimSun" w:hAnsi="Verdana" w:cs="Arial"/>
          <w:sz w:val="20"/>
          <w:szCs w:val="20"/>
          <w:lang w:val="es-CR" w:eastAsia="es-CR"/>
        </w:rPr>
        <w:t>.</w:t>
      </w:r>
    </w:p>
    <w:p w14:paraId="64AA6062" w14:textId="550D80FC"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eastAsia="SimSun" w:hAnsi="Verdana" w:cs="Arial"/>
          <w:sz w:val="20"/>
          <w:szCs w:val="20"/>
          <w:lang w:val="es-CR" w:eastAsia="es-CR"/>
        </w:rPr>
        <w:t xml:space="preserve">Cabe recordar que este Tribunal ha </w:t>
      </w:r>
      <w:r w:rsidR="00DB421A">
        <w:rPr>
          <w:rFonts w:ascii="Verdana" w:eastAsia="SimSun" w:hAnsi="Verdana" w:cs="Arial"/>
          <w:sz w:val="20"/>
          <w:szCs w:val="20"/>
          <w:lang w:val="es-CR" w:eastAsia="es-CR"/>
        </w:rPr>
        <w:t>señalado</w:t>
      </w:r>
      <w:r w:rsidRPr="00201EE6">
        <w:rPr>
          <w:rFonts w:ascii="Verdana" w:eastAsia="SimSun" w:hAnsi="Verdana" w:cs="Arial"/>
          <w:sz w:val="20"/>
          <w:szCs w:val="20"/>
          <w:lang w:val="es-CR" w:eastAsia="es-CR"/>
        </w:rPr>
        <w:t xml:space="preserve"> que “las diligencias realizadas para la investigación de los hechos deben ser valoradas en su conjunto y no compete a la Corte, en principio, resolver la procedencia de las medidas de investigación”</w:t>
      </w:r>
      <w:r w:rsidRPr="00A568D3">
        <w:rPr>
          <w:vertAlign w:val="superscript"/>
          <w:lang w:val="es-CR" w:eastAsia="es-CR"/>
        </w:rPr>
        <w:footnoteReference w:id="443"/>
      </w:r>
      <w:r w:rsidRPr="00201EE6">
        <w:rPr>
          <w:rFonts w:ascii="Verdana" w:eastAsia="SimSun" w:hAnsi="Verdana" w:cs="Arial"/>
          <w:sz w:val="20"/>
          <w:szCs w:val="20"/>
          <w:lang w:val="es-CR" w:eastAsia="es-CR"/>
        </w:rPr>
        <w:t>. En efecto, no le incumbe al Tribunal “sustituir a la jurisdicción interna estableciendo las modalidades específicas de investigación y juzgamiento en un caso concreto para obtener un mejor o más eficaz resultado, sino constatar si en los pasos efectivamente dados a nivel interno se violaron o no obligaciones internacionales del Estado derivadas […] de la Convención”</w:t>
      </w:r>
      <w:r w:rsidRPr="00A568D3">
        <w:rPr>
          <w:vertAlign w:val="superscript"/>
          <w:lang w:val="es-CR" w:eastAsia="es-CR"/>
        </w:rPr>
        <w:footnoteReference w:id="444"/>
      </w:r>
      <w:r w:rsidRPr="00201EE6">
        <w:rPr>
          <w:rFonts w:ascii="Verdana" w:eastAsia="SimSun" w:hAnsi="Verdana" w:cs="Arial"/>
          <w:sz w:val="20"/>
          <w:szCs w:val="20"/>
          <w:lang w:val="es-CR" w:eastAsia="es-CR"/>
        </w:rPr>
        <w:t>.</w:t>
      </w:r>
    </w:p>
    <w:p w14:paraId="64AA6064" w14:textId="71122E9F" w:rsidR="00903628"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eastAsia="SimSun" w:hAnsi="Verdana" w:cs="Arial"/>
          <w:sz w:val="20"/>
          <w:szCs w:val="20"/>
          <w:lang w:val="es-CR" w:eastAsia="es-CR"/>
        </w:rPr>
        <w:t xml:space="preserve">A continuación, a la luz de la controversia persistente en el presente caso, este Tribunal analizará los alegatos de las partes respecto de la violación al derecho a las garantías judiciales de conformidad con </w:t>
      </w:r>
      <w:r w:rsidR="00DB421A">
        <w:rPr>
          <w:rFonts w:ascii="Verdana" w:eastAsia="SimSun" w:hAnsi="Verdana" w:cs="Arial"/>
          <w:sz w:val="20"/>
          <w:szCs w:val="20"/>
          <w:lang w:val="es-CR" w:eastAsia="es-CR"/>
        </w:rPr>
        <w:t xml:space="preserve">los siguientes acápites: </w:t>
      </w:r>
      <w:r w:rsidRPr="00201EE6">
        <w:rPr>
          <w:rFonts w:ascii="Verdana" w:eastAsia="SimSun" w:hAnsi="Verdana" w:cs="Arial"/>
          <w:sz w:val="20"/>
          <w:szCs w:val="20"/>
          <w:lang w:val="es-CR" w:eastAsia="es-CR"/>
        </w:rPr>
        <w:t>1) La alegada falta de debida diligencia en la investigación de la</w:t>
      </w:r>
      <w:r w:rsidR="00D4502B">
        <w:rPr>
          <w:rFonts w:ascii="Verdana" w:eastAsia="SimSun" w:hAnsi="Verdana" w:cs="Arial"/>
          <w:sz w:val="20"/>
          <w:szCs w:val="20"/>
          <w:lang w:val="es-CR" w:eastAsia="es-CR"/>
        </w:rPr>
        <w:t>s</w:t>
      </w:r>
      <w:r w:rsidRPr="00201EE6">
        <w:rPr>
          <w:rFonts w:ascii="Verdana" w:eastAsia="SimSun" w:hAnsi="Verdana" w:cs="Arial"/>
          <w:sz w:val="20"/>
          <w:szCs w:val="20"/>
          <w:lang w:val="es-CR" w:eastAsia="es-CR"/>
        </w:rPr>
        <w:t xml:space="preserve"> de</w:t>
      </w:r>
      <w:r w:rsidR="00DB421A">
        <w:rPr>
          <w:rFonts w:ascii="Verdana" w:eastAsia="SimSun" w:hAnsi="Verdana" w:cs="Arial"/>
          <w:sz w:val="20"/>
          <w:szCs w:val="20"/>
          <w:lang w:val="es-CR" w:eastAsia="es-CR"/>
        </w:rPr>
        <w:t>saparici</w:t>
      </w:r>
      <w:r w:rsidR="00D4502B">
        <w:rPr>
          <w:rFonts w:ascii="Verdana" w:eastAsia="SimSun" w:hAnsi="Verdana" w:cs="Arial"/>
          <w:sz w:val="20"/>
          <w:szCs w:val="20"/>
          <w:lang w:val="es-CR" w:eastAsia="es-CR"/>
        </w:rPr>
        <w:t>o</w:t>
      </w:r>
      <w:r w:rsidR="00DB421A">
        <w:rPr>
          <w:rFonts w:ascii="Verdana" w:eastAsia="SimSun" w:hAnsi="Verdana" w:cs="Arial"/>
          <w:sz w:val="20"/>
          <w:szCs w:val="20"/>
          <w:lang w:val="es-CR" w:eastAsia="es-CR"/>
        </w:rPr>
        <w:t>n</w:t>
      </w:r>
      <w:r w:rsidR="00D4502B">
        <w:rPr>
          <w:rFonts w:ascii="Verdana" w:eastAsia="SimSun" w:hAnsi="Verdana" w:cs="Arial"/>
          <w:sz w:val="20"/>
          <w:szCs w:val="20"/>
          <w:lang w:val="es-CR" w:eastAsia="es-CR"/>
        </w:rPr>
        <w:t>es</w:t>
      </w:r>
      <w:r w:rsidR="00DB421A">
        <w:rPr>
          <w:rFonts w:ascii="Verdana" w:eastAsia="SimSun" w:hAnsi="Verdana" w:cs="Arial"/>
          <w:sz w:val="20"/>
          <w:szCs w:val="20"/>
          <w:lang w:val="es-CR" w:eastAsia="es-CR"/>
        </w:rPr>
        <w:t xml:space="preserve"> y de las amenazas</w:t>
      </w:r>
      <w:r w:rsidR="00137905">
        <w:rPr>
          <w:rFonts w:ascii="Verdana" w:eastAsia="SimSun" w:hAnsi="Verdana" w:cs="Arial"/>
          <w:sz w:val="20"/>
          <w:szCs w:val="20"/>
          <w:lang w:val="es-CR" w:eastAsia="es-CR"/>
        </w:rPr>
        <w:t>, y</w:t>
      </w:r>
      <w:r w:rsidR="00DB421A">
        <w:rPr>
          <w:rFonts w:ascii="Verdana" w:eastAsia="SimSun" w:hAnsi="Verdana" w:cs="Arial"/>
          <w:sz w:val="20"/>
          <w:szCs w:val="20"/>
          <w:lang w:val="es-CR" w:eastAsia="es-CR"/>
        </w:rPr>
        <w:t xml:space="preserve"> </w:t>
      </w:r>
      <w:r w:rsidRPr="00201EE6">
        <w:rPr>
          <w:rFonts w:ascii="Verdana" w:eastAsia="SimSun" w:hAnsi="Verdana" w:cs="Arial"/>
          <w:sz w:val="20"/>
          <w:szCs w:val="20"/>
          <w:lang w:val="es-CR" w:eastAsia="es-CR"/>
        </w:rPr>
        <w:t>2) La alegada falta de adopción de normas o implementación de medidas necesarias para o</w:t>
      </w:r>
      <w:r w:rsidR="00DB421A">
        <w:rPr>
          <w:rFonts w:ascii="Verdana" w:eastAsia="SimSun" w:hAnsi="Verdana" w:cs="Arial"/>
          <w:sz w:val="20"/>
          <w:szCs w:val="20"/>
          <w:lang w:val="es-CR" w:eastAsia="es-CR"/>
        </w:rPr>
        <w:t xml:space="preserve">frecer respuesta inmediata. </w:t>
      </w:r>
    </w:p>
    <w:p w14:paraId="64AA6066" w14:textId="48F82F4E" w:rsidR="00903628" w:rsidRPr="00350979" w:rsidRDefault="00E34BFF">
      <w:pPr>
        <w:pStyle w:val="Ttulo3"/>
        <w:numPr>
          <w:ilvl w:val="0"/>
          <w:numId w:val="19"/>
        </w:numPr>
        <w:spacing w:before="120" w:after="120"/>
        <w:ind w:left="1560" w:hanging="426"/>
        <w:contextualSpacing w:val="0"/>
        <w:rPr>
          <w:b w:val="0"/>
        </w:rPr>
      </w:pPr>
      <w:bookmarkStart w:id="237" w:name="_Toc522815026"/>
      <w:bookmarkStart w:id="238" w:name="_Toc526774168"/>
      <w:bookmarkStart w:id="239" w:name="_Toc526777500"/>
      <w:bookmarkStart w:id="240" w:name="_Toc526783794"/>
      <w:r>
        <w:rPr>
          <w:b w:val="0"/>
        </w:rPr>
        <w:t xml:space="preserve"> </w:t>
      </w:r>
      <w:bookmarkStart w:id="241" w:name="_Toc532995378"/>
      <w:r w:rsidR="00903628" w:rsidRPr="00350979">
        <w:rPr>
          <w:b w:val="0"/>
        </w:rPr>
        <w:t>Sobre la debida diligencia</w:t>
      </w:r>
      <w:bookmarkEnd w:id="237"/>
      <w:bookmarkEnd w:id="238"/>
      <w:bookmarkEnd w:id="239"/>
      <w:bookmarkEnd w:id="240"/>
      <w:bookmarkEnd w:id="241"/>
      <w:r w:rsidR="00903628" w:rsidRPr="00350979">
        <w:rPr>
          <w:b w:val="0"/>
        </w:rPr>
        <w:t xml:space="preserve"> </w:t>
      </w:r>
    </w:p>
    <w:p w14:paraId="5A1D7403" w14:textId="740711FF" w:rsidR="002729EC" w:rsidRPr="0057411A" w:rsidRDefault="00556FDB">
      <w:pPr>
        <w:pStyle w:val="Ttulo4"/>
        <w:numPr>
          <w:ilvl w:val="0"/>
          <w:numId w:val="79"/>
        </w:numPr>
        <w:spacing w:before="120" w:after="120"/>
        <w:contextualSpacing w:val="0"/>
        <w:rPr>
          <w:u w:val="none"/>
        </w:rPr>
      </w:pPr>
      <w:bookmarkStart w:id="242" w:name="_Toc522815027"/>
      <w:bookmarkStart w:id="243" w:name="_Toc526777501"/>
      <w:bookmarkStart w:id="244" w:name="_Toc526783795"/>
      <w:r>
        <w:rPr>
          <w:u w:val="none"/>
        </w:rPr>
        <w:t xml:space="preserve"> </w:t>
      </w:r>
      <w:bookmarkStart w:id="245" w:name="_Toc532995379"/>
      <w:r w:rsidR="00903628" w:rsidRPr="0057411A">
        <w:rPr>
          <w:u w:val="none"/>
        </w:rPr>
        <w:t>Sobre la investigación de la desaparición</w:t>
      </w:r>
      <w:bookmarkStart w:id="246" w:name="_Toc522815028"/>
      <w:bookmarkEnd w:id="242"/>
      <w:bookmarkEnd w:id="243"/>
      <w:bookmarkEnd w:id="244"/>
      <w:bookmarkEnd w:id="245"/>
    </w:p>
    <w:p w14:paraId="64AA606B" w14:textId="2AC68894" w:rsidR="00201EE6" w:rsidRPr="00813B72" w:rsidRDefault="00556FDB">
      <w:pPr>
        <w:pStyle w:val="Ttulo5"/>
        <w:numPr>
          <w:ilvl w:val="0"/>
          <w:numId w:val="76"/>
        </w:numPr>
        <w:spacing w:before="120" w:after="120"/>
        <w:contextualSpacing w:val="0"/>
      </w:pPr>
      <w:bookmarkStart w:id="247" w:name="_Toc526777655"/>
      <w:bookmarkStart w:id="248" w:name="_Toc526778138"/>
      <w:bookmarkStart w:id="249" w:name="_Toc526779390"/>
      <w:bookmarkStart w:id="250" w:name="_Toc526780859"/>
      <w:bookmarkStart w:id="251" w:name="_Toc526783796"/>
      <w:r>
        <w:rPr>
          <w:lang w:val="es-CR"/>
        </w:rPr>
        <w:t xml:space="preserve"> </w:t>
      </w:r>
      <w:bookmarkStart w:id="252" w:name="_Toc532995380"/>
      <w:r w:rsidR="00903628" w:rsidRPr="000A4090">
        <w:rPr>
          <w:lang w:val="es-CR"/>
        </w:rPr>
        <w:t>Actuación inmediata</w:t>
      </w:r>
      <w:bookmarkStart w:id="253" w:name="_Toc522815029"/>
      <w:bookmarkEnd w:id="246"/>
      <w:r w:rsidR="00F834CA" w:rsidRPr="000A4090">
        <w:rPr>
          <w:lang w:val="es-CR"/>
        </w:rPr>
        <w:t xml:space="preserve"> (</w:t>
      </w:r>
      <w:bookmarkEnd w:id="253"/>
      <w:r w:rsidR="00F834CA" w:rsidRPr="000A4090">
        <w:rPr>
          <w:lang w:val="es-CR"/>
        </w:rPr>
        <w:t>en los primeros momentos)</w:t>
      </w:r>
      <w:bookmarkEnd w:id="247"/>
      <w:bookmarkEnd w:id="248"/>
      <w:bookmarkEnd w:id="249"/>
      <w:bookmarkEnd w:id="250"/>
      <w:bookmarkEnd w:id="251"/>
      <w:bookmarkEnd w:id="252"/>
    </w:p>
    <w:p w14:paraId="64AA606D" w14:textId="6B379A15"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7568BA">
        <w:rPr>
          <w:rFonts w:ascii="Verdana" w:eastAsia="SimSun" w:hAnsi="Verdana" w:cs="Arial"/>
          <w:sz w:val="20"/>
          <w:szCs w:val="20"/>
          <w:lang w:val="es-CR" w:eastAsia="es-CR"/>
        </w:rPr>
        <w:t>La Corte reitera que la obligación de investigar violaciones de derechos humanos se encuentra dentro de las medidas positivas que deben adoptar los Estados para garantizar los derechos reconocidos en la Convención</w:t>
      </w:r>
      <w:r w:rsidRPr="00343208">
        <w:rPr>
          <w:rFonts w:ascii="Verdana" w:eastAsia="SimSun" w:hAnsi="Verdana" w:cs="Arial"/>
          <w:sz w:val="20"/>
          <w:szCs w:val="20"/>
          <w:vertAlign w:val="superscript"/>
          <w:lang w:val="es-CR" w:eastAsia="es-CR"/>
        </w:rPr>
        <w:footnoteReference w:id="445"/>
      </w:r>
      <w:r w:rsidRPr="007568BA">
        <w:rPr>
          <w:rFonts w:ascii="Verdana" w:eastAsia="SimSun" w:hAnsi="Verdana" w:cs="Arial"/>
          <w:sz w:val="20"/>
          <w:szCs w:val="20"/>
          <w:lang w:val="es-CR" w:eastAsia="es-CR"/>
        </w:rPr>
        <w:t xml:space="preserve">. A la luz de ese deber, una vez que las autoridades estatales tengan conocimiento del hecho, deben iniciar </w:t>
      </w:r>
      <w:r w:rsidRPr="00343208">
        <w:rPr>
          <w:rFonts w:ascii="Verdana" w:eastAsia="SimSun" w:hAnsi="Verdana" w:cs="Arial"/>
          <w:i/>
          <w:sz w:val="20"/>
          <w:szCs w:val="20"/>
          <w:lang w:val="es-CR" w:eastAsia="es-CR"/>
        </w:rPr>
        <w:t>ex officio</w:t>
      </w:r>
      <w:r w:rsidRPr="007568BA">
        <w:rPr>
          <w:rFonts w:ascii="Verdana" w:eastAsia="SimSun" w:hAnsi="Verdana" w:cs="Arial"/>
          <w:sz w:val="20"/>
          <w:szCs w:val="20"/>
          <w:lang w:val="es-CR" w:eastAsia="es-CR"/>
        </w:rPr>
        <w:t xml:space="preserve"> y sin dilación una investigación </w:t>
      </w:r>
      <w:r w:rsidRPr="007568BA">
        <w:rPr>
          <w:rFonts w:ascii="Verdana" w:eastAsia="SimSun" w:hAnsi="Verdana" w:cs="Arial"/>
          <w:sz w:val="20"/>
          <w:szCs w:val="20"/>
          <w:lang w:val="es-CR" w:eastAsia="es-CR"/>
        </w:rPr>
        <w:lastRenderedPageBreak/>
        <w:t>seria, imparcial y efectiva</w:t>
      </w:r>
      <w:r w:rsidRPr="007568BA">
        <w:rPr>
          <w:rFonts w:ascii="Verdana" w:eastAsia="SimSun" w:hAnsi="Verdana" w:cs="Arial"/>
          <w:sz w:val="20"/>
          <w:szCs w:val="20"/>
          <w:vertAlign w:val="superscript"/>
          <w:lang w:val="es-CR" w:eastAsia="es-CR"/>
        </w:rPr>
        <w:footnoteReference w:id="446"/>
      </w:r>
      <w:r w:rsidRPr="007568BA">
        <w:rPr>
          <w:rFonts w:ascii="Verdana" w:eastAsia="SimSun" w:hAnsi="Verdana" w:cs="Arial"/>
          <w:sz w:val="20"/>
          <w:szCs w:val="20"/>
          <w:lang w:val="es-CR" w:eastAsia="es-CR"/>
        </w:rPr>
        <w:t xml:space="preserve">. </w:t>
      </w:r>
    </w:p>
    <w:p w14:paraId="64AA606F" w14:textId="6BDA86CA" w:rsidR="00201EE6" w:rsidRPr="00813B72" w:rsidRDefault="00B726A6"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Pr>
          <w:rFonts w:ascii="Verdana" w:hAnsi="Verdana"/>
          <w:sz w:val="20"/>
          <w:szCs w:val="20"/>
          <w:lang w:val="es-CR"/>
        </w:rPr>
        <w:t>En el presente caso e</w:t>
      </w:r>
      <w:r w:rsidR="00903628" w:rsidRPr="00201EE6">
        <w:rPr>
          <w:rFonts w:ascii="Verdana" w:hAnsi="Verdana"/>
          <w:sz w:val="20"/>
          <w:szCs w:val="20"/>
          <w:lang w:val="es-CR"/>
        </w:rPr>
        <w:t>xiste</w:t>
      </w:r>
      <w:r w:rsidR="00903628" w:rsidRPr="00201EE6">
        <w:rPr>
          <w:rFonts w:ascii="Verdana" w:eastAsia="Times New Roman" w:hAnsi="Verdana" w:cs="Times New Roman"/>
          <w:color w:val="000000"/>
          <w:sz w:val="20"/>
          <w:szCs w:val="20"/>
          <w:lang w:eastAsia="es-MX"/>
        </w:rPr>
        <w:t xml:space="preserve"> evidencia de un contexto generalizado de violencia que afectaba a la población de la región, y que derivó de la lucha entre organizaciones criminales y la alta presencia de efectivos del ejército y policía federal (</w:t>
      </w:r>
      <w:r w:rsidR="00903628" w:rsidRPr="00201EE6">
        <w:rPr>
          <w:rFonts w:ascii="Verdana" w:eastAsia="Times New Roman" w:hAnsi="Verdana" w:cs="Times New Roman"/>
          <w:i/>
          <w:color w:val="000000"/>
          <w:sz w:val="20"/>
          <w:szCs w:val="20"/>
          <w:lang w:eastAsia="es-MX"/>
        </w:rPr>
        <w:t>supra</w:t>
      </w:r>
      <w:r w:rsidR="00903628" w:rsidRPr="00201EE6">
        <w:rPr>
          <w:rFonts w:ascii="Verdana" w:eastAsia="Times New Roman" w:hAnsi="Verdana" w:cs="Times New Roman"/>
          <w:color w:val="000000"/>
          <w:sz w:val="20"/>
          <w:szCs w:val="20"/>
          <w:lang w:eastAsia="es-MX"/>
        </w:rPr>
        <w:t xml:space="preserve"> párr. </w:t>
      </w:r>
      <w:r w:rsidR="00500479">
        <w:rPr>
          <w:rFonts w:ascii="Verdana" w:eastAsia="Times New Roman" w:hAnsi="Verdana" w:cs="Times New Roman"/>
          <w:color w:val="000000"/>
          <w:sz w:val="20"/>
          <w:szCs w:val="20"/>
          <w:lang w:eastAsia="es-MX"/>
        </w:rPr>
        <w:t>70</w:t>
      </w:r>
      <w:r w:rsidR="00903628" w:rsidRPr="00201EE6">
        <w:rPr>
          <w:rFonts w:ascii="Verdana" w:eastAsia="Times New Roman" w:hAnsi="Verdana" w:cs="Times New Roman"/>
          <w:color w:val="000000"/>
          <w:sz w:val="20"/>
          <w:szCs w:val="20"/>
          <w:lang w:eastAsia="es-MX"/>
        </w:rPr>
        <w:t>). También hay evidencia del incremento en las violaciones de derechos humanos por parte de agentes estatales (</w:t>
      </w:r>
      <w:r w:rsidR="00205AF7" w:rsidRPr="00205AF7">
        <w:rPr>
          <w:rFonts w:ascii="Verdana" w:hAnsi="Verdana"/>
          <w:i/>
          <w:color w:val="000000"/>
          <w:sz w:val="20"/>
          <w:szCs w:val="20"/>
        </w:rPr>
        <w:t xml:space="preserve">supra </w:t>
      </w:r>
      <w:r w:rsidR="00903628" w:rsidRPr="00201EE6">
        <w:rPr>
          <w:rFonts w:ascii="Verdana" w:hAnsi="Verdana"/>
          <w:color w:val="000000"/>
          <w:sz w:val="20"/>
          <w:szCs w:val="20"/>
        </w:rPr>
        <w:t xml:space="preserve">párr. </w:t>
      </w:r>
      <w:r w:rsidR="00500479">
        <w:rPr>
          <w:rFonts w:ascii="Verdana" w:hAnsi="Verdana"/>
          <w:color w:val="000000"/>
          <w:sz w:val="20"/>
          <w:szCs w:val="20"/>
        </w:rPr>
        <w:t>61</w:t>
      </w:r>
      <w:r w:rsidR="00903628" w:rsidRPr="00201EE6">
        <w:rPr>
          <w:rFonts w:ascii="Verdana" w:hAnsi="Verdana"/>
          <w:color w:val="000000"/>
          <w:sz w:val="20"/>
          <w:szCs w:val="20"/>
        </w:rPr>
        <w:t>)</w:t>
      </w:r>
      <w:r w:rsidR="00903628" w:rsidRPr="00201EE6">
        <w:rPr>
          <w:rFonts w:ascii="Verdana" w:eastAsia="Times New Roman" w:hAnsi="Verdana" w:cs="Times New Roman"/>
          <w:color w:val="000000"/>
          <w:sz w:val="20"/>
          <w:szCs w:val="20"/>
          <w:lang w:eastAsia="es-MX"/>
        </w:rPr>
        <w:t xml:space="preserve">, coincidente con el incremento de su presencia en </w:t>
      </w:r>
      <w:r w:rsidR="00500479">
        <w:rPr>
          <w:rFonts w:ascii="Verdana" w:eastAsia="Times New Roman" w:hAnsi="Verdana" w:cs="Times New Roman"/>
          <w:color w:val="000000"/>
          <w:sz w:val="20"/>
          <w:szCs w:val="20"/>
          <w:lang w:eastAsia="es-MX"/>
        </w:rPr>
        <w:t>la entidad federativa</w:t>
      </w:r>
      <w:r w:rsidR="00903628" w:rsidRPr="00201EE6">
        <w:rPr>
          <w:rFonts w:ascii="Verdana" w:eastAsia="Times New Roman" w:hAnsi="Verdana" w:cs="Times New Roman"/>
          <w:color w:val="000000"/>
          <w:sz w:val="20"/>
          <w:szCs w:val="20"/>
          <w:lang w:eastAsia="es-MX"/>
        </w:rPr>
        <w:t xml:space="preserve"> a partir del inicio del </w:t>
      </w:r>
      <w:r w:rsidR="00903628" w:rsidRPr="00201EE6">
        <w:rPr>
          <w:rFonts w:ascii="Verdana" w:hAnsi="Verdana"/>
          <w:color w:val="000000"/>
          <w:sz w:val="20"/>
          <w:szCs w:val="20"/>
        </w:rPr>
        <w:t>“Operativo Conjunto Chihuahua”</w:t>
      </w:r>
      <w:r w:rsidR="00903628" w:rsidRPr="00201EE6">
        <w:rPr>
          <w:rFonts w:ascii="Verdana" w:eastAsia="Times New Roman" w:hAnsi="Verdana" w:cs="Times New Roman"/>
          <w:color w:val="000000"/>
          <w:sz w:val="20"/>
          <w:szCs w:val="20"/>
          <w:lang w:eastAsia="es-MX"/>
        </w:rPr>
        <w:t xml:space="preserve"> en marzo de 2008 (</w:t>
      </w:r>
      <w:r w:rsidR="00903628" w:rsidRPr="00201EE6">
        <w:rPr>
          <w:rFonts w:ascii="Verdana" w:eastAsia="Times New Roman" w:hAnsi="Verdana" w:cs="Times New Roman"/>
          <w:i/>
          <w:color w:val="000000"/>
          <w:sz w:val="20"/>
          <w:szCs w:val="20"/>
          <w:lang w:eastAsia="es-MX"/>
        </w:rPr>
        <w:t>s</w:t>
      </w:r>
      <w:r w:rsidR="00903628" w:rsidRPr="00201EE6">
        <w:rPr>
          <w:rFonts w:ascii="Verdana" w:hAnsi="Verdana"/>
          <w:i/>
          <w:sz w:val="20"/>
          <w:szCs w:val="20"/>
        </w:rPr>
        <w:t>upra</w:t>
      </w:r>
      <w:r w:rsidR="00903628" w:rsidRPr="00201EE6">
        <w:rPr>
          <w:rFonts w:ascii="Verdana" w:hAnsi="Verdana"/>
          <w:sz w:val="20"/>
          <w:szCs w:val="20"/>
        </w:rPr>
        <w:t xml:space="preserve"> párrs. </w:t>
      </w:r>
      <w:r w:rsidR="00533C16">
        <w:rPr>
          <w:rFonts w:ascii="Verdana" w:hAnsi="Verdana"/>
          <w:sz w:val="20"/>
          <w:szCs w:val="20"/>
        </w:rPr>
        <w:t>68</w:t>
      </w:r>
      <w:r w:rsidR="00903628" w:rsidRPr="00201EE6">
        <w:rPr>
          <w:rFonts w:ascii="Verdana" w:hAnsi="Verdana"/>
          <w:sz w:val="20"/>
          <w:szCs w:val="20"/>
        </w:rPr>
        <w:t xml:space="preserve"> </w:t>
      </w:r>
      <w:r w:rsidR="00533C16">
        <w:rPr>
          <w:rFonts w:ascii="Verdana" w:hAnsi="Verdana"/>
          <w:sz w:val="20"/>
          <w:szCs w:val="20"/>
        </w:rPr>
        <w:t>a</w:t>
      </w:r>
      <w:r w:rsidR="00903628" w:rsidRPr="00201EE6">
        <w:rPr>
          <w:rFonts w:ascii="Verdana" w:hAnsi="Verdana"/>
          <w:sz w:val="20"/>
          <w:szCs w:val="20"/>
        </w:rPr>
        <w:t xml:space="preserve"> 7</w:t>
      </w:r>
      <w:r w:rsidR="00533C16">
        <w:rPr>
          <w:rFonts w:ascii="Verdana" w:hAnsi="Verdana"/>
          <w:sz w:val="20"/>
          <w:szCs w:val="20"/>
        </w:rPr>
        <w:t>5</w:t>
      </w:r>
      <w:r w:rsidR="00903628" w:rsidRPr="00201EE6">
        <w:rPr>
          <w:rFonts w:ascii="Verdana" w:hAnsi="Verdana"/>
          <w:sz w:val="20"/>
          <w:szCs w:val="20"/>
        </w:rPr>
        <w:t>)</w:t>
      </w:r>
      <w:r w:rsidR="00903628" w:rsidRPr="00201EE6">
        <w:rPr>
          <w:rFonts w:ascii="Verdana" w:eastAsia="Times New Roman" w:hAnsi="Verdana" w:cs="Times New Roman"/>
          <w:color w:val="000000"/>
          <w:sz w:val="20"/>
          <w:szCs w:val="20"/>
          <w:lang w:eastAsia="es-MX"/>
        </w:rPr>
        <w:t xml:space="preserve">. </w:t>
      </w:r>
    </w:p>
    <w:p w14:paraId="64AA6071" w14:textId="7C4E82CC"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eastAsia="Times New Roman" w:hAnsi="Verdana" w:cs="Times New Roman"/>
          <w:color w:val="000000"/>
          <w:sz w:val="20"/>
          <w:szCs w:val="20"/>
          <w:lang w:eastAsia="es-MX"/>
        </w:rPr>
        <w:t xml:space="preserve">La Corte observa que desde el primer reporte </w:t>
      </w:r>
      <w:r w:rsidR="00B726A6">
        <w:rPr>
          <w:rFonts w:ascii="Verdana" w:eastAsia="Times New Roman" w:hAnsi="Verdana" w:cs="Times New Roman"/>
          <w:color w:val="000000"/>
          <w:sz w:val="20"/>
          <w:szCs w:val="20"/>
          <w:lang w:eastAsia="es-MX"/>
        </w:rPr>
        <w:t xml:space="preserve">sobre la desaparición realizado </w:t>
      </w:r>
      <w:r w:rsidRPr="00201EE6">
        <w:rPr>
          <w:rFonts w:ascii="Verdana" w:eastAsia="Times New Roman" w:hAnsi="Verdana" w:cs="Times New Roman"/>
          <w:color w:val="000000"/>
          <w:sz w:val="20"/>
          <w:szCs w:val="20"/>
          <w:lang w:eastAsia="es-MX"/>
        </w:rPr>
        <w:t>por los familiares se despr</w:t>
      </w:r>
      <w:r w:rsidR="00B726A6">
        <w:rPr>
          <w:rFonts w:ascii="Verdana" w:eastAsia="Times New Roman" w:hAnsi="Verdana" w:cs="Times New Roman"/>
          <w:color w:val="000000"/>
          <w:sz w:val="20"/>
          <w:szCs w:val="20"/>
          <w:lang w:eastAsia="es-MX"/>
        </w:rPr>
        <w:t>ende el señalamiento de que la misma</w:t>
      </w:r>
      <w:r w:rsidRPr="00201EE6">
        <w:rPr>
          <w:rFonts w:ascii="Verdana" w:eastAsia="Times New Roman" w:hAnsi="Verdana" w:cs="Times New Roman"/>
          <w:color w:val="000000"/>
          <w:sz w:val="20"/>
          <w:szCs w:val="20"/>
          <w:lang w:eastAsia="es-MX"/>
        </w:rPr>
        <w:t xml:space="preserve"> </w:t>
      </w:r>
      <w:r w:rsidR="00B726A6">
        <w:rPr>
          <w:rFonts w:ascii="Verdana" w:eastAsia="Times New Roman" w:hAnsi="Verdana" w:cs="Times New Roman"/>
          <w:color w:val="000000"/>
          <w:sz w:val="20"/>
          <w:szCs w:val="20"/>
          <w:lang w:eastAsia="es-MX"/>
        </w:rPr>
        <w:t xml:space="preserve">habría sido </w:t>
      </w:r>
      <w:r w:rsidRPr="00201EE6">
        <w:rPr>
          <w:rFonts w:ascii="Verdana" w:eastAsia="Times New Roman" w:hAnsi="Verdana" w:cs="Times New Roman"/>
          <w:color w:val="000000"/>
          <w:sz w:val="20"/>
          <w:szCs w:val="20"/>
          <w:lang w:eastAsia="es-MX"/>
        </w:rPr>
        <w:t>ejecutada por un grupo con características militares (</w:t>
      </w:r>
      <w:r w:rsidRPr="00201EE6">
        <w:rPr>
          <w:rFonts w:ascii="Verdana" w:eastAsia="Times New Roman" w:hAnsi="Verdana" w:cs="Times New Roman"/>
          <w:i/>
          <w:color w:val="000000"/>
          <w:sz w:val="20"/>
          <w:szCs w:val="20"/>
          <w:lang w:eastAsia="es-MX"/>
        </w:rPr>
        <w:t>supra</w:t>
      </w:r>
      <w:r w:rsidRPr="00201EE6">
        <w:rPr>
          <w:rFonts w:ascii="Verdana" w:eastAsia="Times New Roman" w:hAnsi="Verdana" w:cs="Times New Roman"/>
          <w:color w:val="000000"/>
          <w:sz w:val="20"/>
          <w:szCs w:val="20"/>
          <w:lang w:eastAsia="es-MX"/>
        </w:rPr>
        <w:t xml:space="preserve"> párr</w:t>
      </w:r>
      <w:r w:rsidR="00533C16">
        <w:rPr>
          <w:rFonts w:ascii="Verdana" w:eastAsia="Times New Roman" w:hAnsi="Verdana" w:cs="Times New Roman"/>
          <w:color w:val="000000"/>
          <w:sz w:val="20"/>
          <w:szCs w:val="20"/>
          <w:lang w:eastAsia="es-MX"/>
        </w:rPr>
        <w:t>s</w:t>
      </w:r>
      <w:r w:rsidRPr="00201EE6">
        <w:rPr>
          <w:rFonts w:ascii="Verdana" w:eastAsia="Times New Roman" w:hAnsi="Verdana" w:cs="Times New Roman"/>
          <w:color w:val="000000"/>
          <w:sz w:val="20"/>
          <w:szCs w:val="20"/>
          <w:lang w:eastAsia="es-MX"/>
        </w:rPr>
        <w:t>. 8</w:t>
      </w:r>
      <w:r w:rsidR="00500479">
        <w:rPr>
          <w:rFonts w:ascii="Verdana" w:eastAsia="Times New Roman" w:hAnsi="Verdana" w:cs="Times New Roman"/>
          <w:color w:val="000000"/>
          <w:sz w:val="20"/>
          <w:szCs w:val="20"/>
          <w:lang w:eastAsia="es-MX"/>
        </w:rPr>
        <w:t>7</w:t>
      </w:r>
      <w:r w:rsidR="00533C16">
        <w:rPr>
          <w:rFonts w:ascii="Verdana" w:eastAsia="Times New Roman" w:hAnsi="Verdana" w:cs="Times New Roman"/>
          <w:color w:val="000000"/>
          <w:sz w:val="20"/>
          <w:szCs w:val="20"/>
          <w:lang w:eastAsia="es-MX"/>
        </w:rPr>
        <w:t xml:space="preserve"> y 89</w:t>
      </w:r>
      <w:r w:rsidRPr="00201EE6">
        <w:rPr>
          <w:rFonts w:ascii="Verdana" w:eastAsia="Times New Roman" w:hAnsi="Verdana" w:cs="Times New Roman"/>
          <w:color w:val="000000"/>
          <w:sz w:val="20"/>
          <w:szCs w:val="20"/>
          <w:lang w:eastAsia="es-MX"/>
        </w:rPr>
        <w:t>), y tal afirmación fue reiterada en las distintas denuncias</w:t>
      </w:r>
      <w:r w:rsidR="00B726A6">
        <w:rPr>
          <w:rFonts w:ascii="Verdana" w:eastAsia="Times New Roman" w:hAnsi="Verdana" w:cs="Times New Roman"/>
          <w:color w:val="000000"/>
          <w:sz w:val="20"/>
          <w:szCs w:val="20"/>
          <w:lang w:eastAsia="es-MX"/>
        </w:rPr>
        <w:t xml:space="preserve"> presentadas ante las diversas </w:t>
      </w:r>
      <w:r w:rsidRPr="00201EE6">
        <w:rPr>
          <w:rFonts w:ascii="Verdana" w:eastAsia="Times New Roman" w:hAnsi="Verdana" w:cs="Times New Roman"/>
          <w:color w:val="000000"/>
          <w:sz w:val="20"/>
          <w:szCs w:val="20"/>
          <w:lang w:eastAsia="es-MX"/>
        </w:rPr>
        <w:t>autoridades en los siguientes días (</w:t>
      </w:r>
      <w:r w:rsidRPr="00201EE6">
        <w:rPr>
          <w:rFonts w:ascii="Verdana" w:eastAsia="Times New Roman" w:hAnsi="Verdana" w:cs="Times New Roman"/>
          <w:i/>
          <w:color w:val="000000"/>
          <w:sz w:val="20"/>
          <w:szCs w:val="20"/>
          <w:lang w:eastAsia="es-MX"/>
        </w:rPr>
        <w:t>supra</w:t>
      </w:r>
      <w:r w:rsidRPr="00201EE6">
        <w:rPr>
          <w:rFonts w:ascii="Verdana" w:eastAsia="Times New Roman" w:hAnsi="Verdana" w:cs="Times New Roman"/>
          <w:color w:val="000000"/>
          <w:sz w:val="20"/>
          <w:szCs w:val="20"/>
          <w:lang w:eastAsia="es-MX"/>
        </w:rPr>
        <w:t xml:space="preserve"> párrs. 12</w:t>
      </w:r>
      <w:r w:rsidR="00C50DEA">
        <w:rPr>
          <w:rFonts w:ascii="Verdana" w:eastAsia="Times New Roman" w:hAnsi="Verdana" w:cs="Times New Roman"/>
          <w:color w:val="000000"/>
          <w:sz w:val="20"/>
          <w:szCs w:val="20"/>
          <w:lang w:eastAsia="es-MX"/>
        </w:rPr>
        <w:t>1</w:t>
      </w:r>
      <w:r w:rsidRPr="00201EE6">
        <w:rPr>
          <w:rFonts w:ascii="Verdana" w:eastAsia="Times New Roman" w:hAnsi="Verdana" w:cs="Times New Roman"/>
          <w:color w:val="000000"/>
          <w:sz w:val="20"/>
          <w:szCs w:val="20"/>
          <w:lang w:eastAsia="es-MX"/>
        </w:rPr>
        <w:t>, 1</w:t>
      </w:r>
      <w:r w:rsidR="00C50DEA">
        <w:rPr>
          <w:rFonts w:ascii="Verdana" w:eastAsia="Times New Roman" w:hAnsi="Verdana" w:cs="Times New Roman"/>
          <w:color w:val="000000"/>
          <w:sz w:val="20"/>
          <w:szCs w:val="20"/>
          <w:lang w:eastAsia="es-MX"/>
        </w:rPr>
        <w:t>23</w:t>
      </w:r>
      <w:r w:rsidRPr="00201EE6">
        <w:rPr>
          <w:rFonts w:ascii="Verdana" w:eastAsia="Times New Roman" w:hAnsi="Verdana" w:cs="Times New Roman"/>
          <w:color w:val="000000"/>
          <w:sz w:val="20"/>
          <w:szCs w:val="20"/>
          <w:lang w:eastAsia="es-MX"/>
        </w:rPr>
        <w:t xml:space="preserve"> y 13</w:t>
      </w:r>
      <w:r w:rsidR="00C50DEA">
        <w:rPr>
          <w:rFonts w:ascii="Verdana" w:eastAsia="Times New Roman" w:hAnsi="Verdana" w:cs="Times New Roman"/>
          <w:color w:val="000000"/>
          <w:sz w:val="20"/>
          <w:szCs w:val="20"/>
          <w:lang w:eastAsia="es-MX"/>
        </w:rPr>
        <w:t>4</w:t>
      </w:r>
      <w:r w:rsidRPr="00201EE6">
        <w:rPr>
          <w:rFonts w:ascii="Verdana" w:eastAsia="Times New Roman" w:hAnsi="Verdana" w:cs="Times New Roman"/>
          <w:color w:val="000000"/>
          <w:sz w:val="20"/>
          <w:szCs w:val="20"/>
          <w:lang w:eastAsia="es-MX"/>
        </w:rPr>
        <w:t xml:space="preserve">). </w:t>
      </w:r>
    </w:p>
    <w:p w14:paraId="64AA6073" w14:textId="4AEB2538" w:rsidR="00201EE6" w:rsidRPr="00813B72" w:rsidRDefault="00B726A6"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Pr>
          <w:rFonts w:ascii="Verdana" w:eastAsia="Times New Roman" w:hAnsi="Verdana" w:cs="Times New Roman"/>
          <w:color w:val="000000"/>
          <w:sz w:val="20"/>
          <w:szCs w:val="20"/>
          <w:lang w:eastAsia="es-MX"/>
        </w:rPr>
        <w:t>En este sentido</w:t>
      </w:r>
      <w:r w:rsidR="00903628" w:rsidRPr="00201EE6">
        <w:rPr>
          <w:rFonts w:ascii="Verdana" w:eastAsia="Times New Roman" w:hAnsi="Verdana" w:cs="Times New Roman"/>
          <w:color w:val="000000"/>
          <w:sz w:val="20"/>
          <w:szCs w:val="20"/>
          <w:lang w:eastAsia="es-MX"/>
        </w:rPr>
        <w:t xml:space="preserve">, la primera autoridad en tener conocimiento de los hechos fue </w:t>
      </w:r>
      <w:r w:rsidR="00903628" w:rsidRPr="00201EE6">
        <w:rPr>
          <w:rFonts w:ascii="Verdana" w:hAnsi="Verdana"/>
          <w:color w:val="000000"/>
          <w:sz w:val="20"/>
          <w:szCs w:val="20"/>
        </w:rPr>
        <w:t>el Comandante de la Policía Seccional en el poblado Benito Juárez, Mario Castro García</w:t>
      </w:r>
      <w:r w:rsidR="00903628" w:rsidRPr="00201EE6">
        <w:rPr>
          <w:rStyle w:val="Refdenotaalpie"/>
          <w:rFonts w:ascii="Verdana" w:hAnsi="Verdana"/>
          <w:color w:val="000000"/>
          <w:sz w:val="20"/>
          <w:szCs w:val="20"/>
        </w:rPr>
        <w:t>,</w:t>
      </w:r>
      <w:r w:rsidR="00903628" w:rsidRPr="00201EE6">
        <w:rPr>
          <w:rFonts w:ascii="Verdana" w:hAnsi="Verdana"/>
          <w:color w:val="000000"/>
          <w:sz w:val="20"/>
          <w:szCs w:val="20"/>
        </w:rPr>
        <w:t xml:space="preserve"> quien la misma noche del 29 y la madrugada del 30 de diciembre de 2009 </w:t>
      </w:r>
      <w:r w:rsidR="00533C16" w:rsidRPr="00201EE6">
        <w:rPr>
          <w:rFonts w:ascii="Verdana" w:hAnsi="Verdana"/>
          <w:sz w:val="20"/>
          <w:szCs w:val="20"/>
        </w:rPr>
        <w:t>–</w:t>
      </w:r>
      <w:r w:rsidR="00903628" w:rsidRPr="00201EE6">
        <w:rPr>
          <w:rFonts w:ascii="Verdana" w:hAnsi="Verdana"/>
          <w:color w:val="000000"/>
          <w:sz w:val="20"/>
          <w:szCs w:val="20"/>
        </w:rPr>
        <w:t>en compañía de elementos de su corporación</w:t>
      </w:r>
      <w:r w:rsidR="00533C16" w:rsidRPr="00201EE6">
        <w:rPr>
          <w:rFonts w:ascii="Verdana" w:hAnsi="Verdana"/>
          <w:sz w:val="20"/>
          <w:szCs w:val="20"/>
        </w:rPr>
        <w:t>–</w:t>
      </w:r>
      <w:r w:rsidR="00903628" w:rsidRPr="00201EE6">
        <w:rPr>
          <w:rFonts w:ascii="Verdana" w:hAnsi="Verdana"/>
          <w:color w:val="000000"/>
          <w:sz w:val="20"/>
          <w:szCs w:val="20"/>
        </w:rPr>
        <w:t xml:space="preserve"> (</w:t>
      </w:r>
      <w:r w:rsidR="00903628" w:rsidRPr="00201EE6">
        <w:rPr>
          <w:rFonts w:ascii="Verdana" w:hAnsi="Verdana"/>
          <w:i/>
          <w:color w:val="000000"/>
          <w:sz w:val="20"/>
          <w:szCs w:val="20"/>
        </w:rPr>
        <w:t>supra</w:t>
      </w:r>
      <w:r w:rsidR="00903628" w:rsidRPr="00201EE6">
        <w:rPr>
          <w:rFonts w:ascii="Verdana" w:hAnsi="Verdana"/>
          <w:color w:val="000000"/>
          <w:sz w:val="20"/>
          <w:szCs w:val="20"/>
        </w:rPr>
        <w:t xml:space="preserve"> párr</w:t>
      </w:r>
      <w:r w:rsidR="00500479">
        <w:rPr>
          <w:rFonts w:ascii="Verdana" w:hAnsi="Verdana"/>
          <w:color w:val="000000"/>
          <w:sz w:val="20"/>
          <w:szCs w:val="20"/>
        </w:rPr>
        <w:t>s</w:t>
      </w:r>
      <w:r w:rsidR="00903628" w:rsidRPr="00201EE6">
        <w:rPr>
          <w:rFonts w:ascii="Verdana" w:hAnsi="Verdana"/>
          <w:color w:val="000000"/>
          <w:sz w:val="20"/>
          <w:szCs w:val="20"/>
        </w:rPr>
        <w:t xml:space="preserve">. </w:t>
      </w:r>
      <w:r w:rsidR="00500479">
        <w:rPr>
          <w:rFonts w:ascii="Verdana" w:hAnsi="Verdana"/>
          <w:color w:val="000000"/>
          <w:sz w:val="20"/>
          <w:szCs w:val="20"/>
        </w:rPr>
        <w:t>87 y 88</w:t>
      </w:r>
      <w:r w:rsidR="00903628" w:rsidRPr="00201EE6">
        <w:rPr>
          <w:rFonts w:ascii="Verdana" w:hAnsi="Verdana"/>
          <w:color w:val="000000"/>
          <w:sz w:val="20"/>
          <w:szCs w:val="20"/>
        </w:rPr>
        <w:t xml:space="preserve">) y, posteriormente, </w:t>
      </w:r>
      <w:r w:rsidR="00903628" w:rsidRPr="00201EE6">
        <w:rPr>
          <w:rFonts w:ascii="Verdana" w:eastAsia="Times New Roman" w:hAnsi="Verdana" w:cs="Times New Roman"/>
          <w:color w:val="000000"/>
          <w:sz w:val="20"/>
          <w:szCs w:val="20"/>
          <w:lang w:eastAsia="es-MX"/>
        </w:rPr>
        <w:t xml:space="preserve">el </w:t>
      </w:r>
      <w:r w:rsidR="00903628" w:rsidRPr="00201EE6">
        <w:rPr>
          <w:rFonts w:ascii="Verdana" w:hAnsi="Verdana"/>
          <w:color w:val="000000"/>
          <w:sz w:val="20"/>
          <w:szCs w:val="20"/>
        </w:rPr>
        <w:t>Agente Ministerial de la Agencia Estatal de Investigación en Nuevo Casas Grandes, Oscar Arias Campo</w:t>
      </w:r>
      <w:r w:rsidR="00903628">
        <w:rPr>
          <w:rStyle w:val="Refdenotaalpie"/>
          <w:rFonts w:ascii="Verdana" w:eastAsia="Times New Roman" w:hAnsi="Verdana" w:cs="Times New Roman"/>
          <w:color w:val="000000"/>
          <w:sz w:val="20"/>
          <w:szCs w:val="20"/>
          <w:lang w:eastAsia="es-MX"/>
        </w:rPr>
        <w:footnoteReference w:id="447"/>
      </w:r>
      <w:r w:rsidR="00903628" w:rsidRPr="00201EE6">
        <w:rPr>
          <w:rFonts w:ascii="Verdana" w:hAnsi="Verdana"/>
          <w:color w:val="000000"/>
          <w:sz w:val="20"/>
          <w:szCs w:val="20"/>
        </w:rPr>
        <w:t>,</w:t>
      </w:r>
      <w:r w:rsidR="00903628" w:rsidRPr="00201EE6">
        <w:rPr>
          <w:rFonts w:ascii="Verdana" w:eastAsia="Times New Roman" w:hAnsi="Verdana" w:cs="Times New Roman"/>
          <w:color w:val="000000"/>
          <w:sz w:val="20"/>
          <w:szCs w:val="20"/>
          <w:lang w:eastAsia="es-MX"/>
        </w:rPr>
        <w:t xml:space="preserve"> </w:t>
      </w:r>
      <w:r w:rsidR="00903628" w:rsidRPr="00201EE6">
        <w:rPr>
          <w:rFonts w:ascii="Verdana" w:hAnsi="Verdana"/>
          <w:color w:val="000000"/>
          <w:sz w:val="20"/>
          <w:szCs w:val="20"/>
        </w:rPr>
        <w:t>iniciaron labores de búsqueda, concretamente, “un operativo que consistía en [la] revisión de vehículos”</w:t>
      </w:r>
      <w:r w:rsidR="00903628">
        <w:rPr>
          <w:rStyle w:val="Refdenotaalpie"/>
          <w:rFonts w:ascii="Verdana" w:hAnsi="Verdana"/>
          <w:color w:val="000000"/>
          <w:sz w:val="20"/>
          <w:szCs w:val="20"/>
        </w:rPr>
        <w:footnoteReference w:id="448"/>
      </w:r>
      <w:r w:rsidR="00903628" w:rsidRPr="00201EE6">
        <w:rPr>
          <w:rFonts w:ascii="Verdana" w:hAnsi="Verdana"/>
          <w:color w:val="000000"/>
          <w:sz w:val="20"/>
          <w:szCs w:val="20"/>
        </w:rPr>
        <w:t xml:space="preserve">. </w:t>
      </w:r>
    </w:p>
    <w:p w14:paraId="64AA6075" w14:textId="20AE52B9"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color w:val="000000"/>
          <w:sz w:val="20"/>
          <w:szCs w:val="20"/>
        </w:rPr>
        <w:t xml:space="preserve">Durante la realización de dicho operativo, los agentes llevaron a cabo las siguientes actuaciones: a) la </w:t>
      </w:r>
      <w:r w:rsidRPr="00201EE6">
        <w:rPr>
          <w:rFonts w:ascii="Verdana" w:hAnsi="Verdana"/>
          <w:sz w:val="20"/>
          <w:szCs w:val="20"/>
        </w:rPr>
        <w:t>Policía Seccional del poblado Benito Juárez</w:t>
      </w:r>
      <w:r w:rsidRPr="00201EE6" w:rsidDel="00763E69">
        <w:rPr>
          <w:rFonts w:ascii="Verdana" w:hAnsi="Verdana"/>
          <w:color w:val="000000"/>
          <w:sz w:val="20"/>
          <w:szCs w:val="20"/>
        </w:rPr>
        <w:t xml:space="preserve"> </w:t>
      </w:r>
      <w:r w:rsidRPr="00201EE6">
        <w:rPr>
          <w:rFonts w:ascii="Verdana" w:hAnsi="Verdana"/>
          <w:color w:val="000000"/>
          <w:sz w:val="20"/>
          <w:szCs w:val="20"/>
        </w:rPr>
        <w:t>llevó a cabo el descubrimiento y resguardo de una fogata en la que, aparentemente, se habían quemado un chaleco y una pistola</w:t>
      </w:r>
      <w:r>
        <w:rPr>
          <w:rStyle w:val="Refdenotaalpie"/>
          <w:rFonts w:ascii="Verdana" w:hAnsi="Verdana"/>
          <w:color w:val="000000"/>
          <w:sz w:val="20"/>
          <w:szCs w:val="20"/>
        </w:rPr>
        <w:footnoteReference w:id="449"/>
      </w:r>
      <w:r w:rsidRPr="00201EE6">
        <w:rPr>
          <w:rFonts w:ascii="Verdana" w:hAnsi="Verdana"/>
          <w:color w:val="000000"/>
          <w:sz w:val="20"/>
          <w:szCs w:val="20"/>
        </w:rPr>
        <w:t xml:space="preserve">, y posteriormente las puso a disposición de la autoridad ministerial, quien </w:t>
      </w:r>
      <w:r w:rsidRPr="00201EE6">
        <w:rPr>
          <w:rFonts w:ascii="Verdana" w:eastAsia="Times New Roman" w:hAnsi="Verdana" w:cs="Times New Roman"/>
          <w:color w:val="000000"/>
          <w:sz w:val="20"/>
          <w:szCs w:val="20"/>
          <w:lang w:eastAsia="es-MX"/>
        </w:rPr>
        <w:t>tomó evidencia fotográfica y recolectó los artículos quemados</w:t>
      </w:r>
      <w:r w:rsidRPr="00201EE6">
        <w:rPr>
          <w:rFonts w:ascii="Verdana" w:hAnsi="Verdana"/>
          <w:color w:val="000000"/>
          <w:sz w:val="20"/>
          <w:szCs w:val="20"/>
        </w:rPr>
        <w:t xml:space="preserve">; b) la </w:t>
      </w:r>
      <w:r w:rsidRPr="00201EE6">
        <w:rPr>
          <w:rFonts w:ascii="Verdana" w:hAnsi="Verdana"/>
          <w:sz w:val="20"/>
          <w:szCs w:val="20"/>
        </w:rPr>
        <w:t>Policía Seccional</w:t>
      </w:r>
      <w:r w:rsidRPr="00201EE6" w:rsidDel="00A70B76">
        <w:rPr>
          <w:rFonts w:ascii="Verdana" w:hAnsi="Verdana"/>
          <w:color w:val="000000"/>
          <w:sz w:val="20"/>
          <w:szCs w:val="20"/>
        </w:rPr>
        <w:t xml:space="preserve"> </w:t>
      </w:r>
      <w:r w:rsidRPr="00201EE6">
        <w:rPr>
          <w:rFonts w:ascii="Verdana" w:hAnsi="Verdana"/>
          <w:color w:val="000000"/>
          <w:sz w:val="20"/>
          <w:szCs w:val="20"/>
        </w:rPr>
        <w:t xml:space="preserve">llevó a cabo el descubrimiento y aseguramiento del vehículo tipo pick up del que los captores sustrajeron a Nitza Paola y José Ángel Alvarado, y después lo puso a disposición de la autoridad ministerial, quien </w:t>
      </w:r>
      <w:r w:rsidRPr="00201EE6">
        <w:rPr>
          <w:rFonts w:ascii="Verdana" w:eastAsia="Times New Roman" w:hAnsi="Verdana" w:cs="Times New Roman"/>
          <w:color w:val="000000"/>
          <w:sz w:val="20"/>
          <w:szCs w:val="20"/>
          <w:lang w:eastAsia="es-MX"/>
        </w:rPr>
        <w:t>tomó una serie fotográfica y a petición del Comandante Castro</w:t>
      </w:r>
      <w:r>
        <w:rPr>
          <w:rStyle w:val="Refdenotaalpie"/>
          <w:rFonts w:ascii="Verdana" w:eastAsia="Times New Roman" w:hAnsi="Verdana" w:cs="Times New Roman"/>
          <w:color w:val="000000"/>
          <w:sz w:val="20"/>
          <w:szCs w:val="20"/>
          <w:lang w:eastAsia="es-MX"/>
        </w:rPr>
        <w:footnoteReference w:id="450"/>
      </w:r>
      <w:r w:rsidRPr="00201EE6">
        <w:rPr>
          <w:rFonts w:ascii="Verdana" w:eastAsia="Times New Roman" w:hAnsi="Verdana" w:cs="Times New Roman"/>
          <w:color w:val="000000"/>
          <w:sz w:val="20"/>
          <w:szCs w:val="20"/>
          <w:lang w:eastAsia="es-MX"/>
        </w:rPr>
        <w:t xml:space="preserve">, llevó a cabo el traslado de la camioneta asegurada a los patios de la Agencia Estatal de Investigación de Nuevo Casas Grandes, Chihuahua, para su resguardo, siendo escoltado </w:t>
      </w:r>
      <w:r w:rsidRPr="00201EE6">
        <w:rPr>
          <w:rFonts w:ascii="Verdana" w:hAnsi="Verdana"/>
          <w:color w:val="000000"/>
          <w:sz w:val="20"/>
          <w:szCs w:val="20"/>
        </w:rPr>
        <w:t xml:space="preserve">por la </w:t>
      </w:r>
      <w:r w:rsidRPr="00201EE6">
        <w:rPr>
          <w:rFonts w:ascii="Verdana" w:hAnsi="Verdana"/>
          <w:sz w:val="20"/>
          <w:szCs w:val="20"/>
        </w:rPr>
        <w:t>Policía Seccional</w:t>
      </w:r>
      <w:r w:rsidR="00500479">
        <w:rPr>
          <w:rFonts w:ascii="Verdana" w:hAnsi="Verdana"/>
          <w:color w:val="000000"/>
          <w:sz w:val="20"/>
          <w:szCs w:val="20"/>
        </w:rPr>
        <w:t>,</w:t>
      </w:r>
      <w:r w:rsidRPr="00201EE6">
        <w:rPr>
          <w:rFonts w:ascii="Verdana" w:hAnsi="Verdana"/>
          <w:color w:val="000000"/>
          <w:sz w:val="20"/>
          <w:szCs w:val="20"/>
        </w:rPr>
        <w:t xml:space="preserve"> y </w:t>
      </w:r>
      <w:r w:rsidR="005738A1">
        <w:rPr>
          <w:rFonts w:ascii="Verdana" w:hAnsi="Verdana"/>
          <w:color w:val="000000"/>
          <w:sz w:val="20"/>
          <w:szCs w:val="20"/>
        </w:rPr>
        <w:t>c</w:t>
      </w:r>
      <w:r w:rsidRPr="00201EE6">
        <w:rPr>
          <w:rFonts w:ascii="Verdana" w:hAnsi="Verdana"/>
          <w:color w:val="000000"/>
          <w:sz w:val="20"/>
          <w:szCs w:val="20"/>
        </w:rPr>
        <w:t xml:space="preserve">) la </w:t>
      </w:r>
      <w:r w:rsidRPr="00201EE6">
        <w:rPr>
          <w:rFonts w:ascii="Verdana" w:hAnsi="Verdana"/>
          <w:sz w:val="20"/>
          <w:szCs w:val="20"/>
        </w:rPr>
        <w:t xml:space="preserve">Policía Seccional </w:t>
      </w:r>
      <w:r w:rsidRPr="00201EE6">
        <w:rPr>
          <w:rFonts w:ascii="Verdana" w:hAnsi="Verdana"/>
          <w:color w:val="000000"/>
          <w:sz w:val="20"/>
          <w:szCs w:val="20"/>
        </w:rPr>
        <w:t xml:space="preserve">llevó a cabo revisiones por brechas o “lugares sospechosos”, mientras que la autoridad ministerial </w:t>
      </w:r>
      <w:r w:rsidRPr="00201EE6">
        <w:rPr>
          <w:rFonts w:ascii="Verdana" w:eastAsia="Times New Roman" w:hAnsi="Verdana" w:cs="Times New Roman"/>
          <w:color w:val="000000"/>
          <w:sz w:val="20"/>
          <w:szCs w:val="20"/>
          <w:lang w:eastAsia="es-MX"/>
        </w:rPr>
        <w:t>hizo recorridos por el pueblo para buscar vehículos o personas sospechosas.</w:t>
      </w:r>
      <w:r w:rsidRPr="00201EE6">
        <w:rPr>
          <w:rFonts w:ascii="Verdana" w:hAnsi="Verdana"/>
          <w:color w:val="000000"/>
          <w:sz w:val="20"/>
          <w:szCs w:val="20"/>
        </w:rPr>
        <w:t xml:space="preserve"> También consta que el día 30 de diciembre se suspendieron las labores de búsqueda de la policía a petición de</w:t>
      </w:r>
      <w:r w:rsidR="00B726A6">
        <w:rPr>
          <w:rFonts w:ascii="Verdana" w:hAnsi="Verdana"/>
          <w:color w:val="000000"/>
          <w:sz w:val="20"/>
          <w:szCs w:val="20"/>
        </w:rPr>
        <w:t xml:space="preserve"> un familiar</w:t>
      </w:r>
      <w:r w:rsidRPr="00201EE6">
        <w:rPr>
          <w:rFonts w:ascii="Verdana" w:hAnsi="Verdana"/>
          <w:color w:val="000000"/>
          <w:sz w:val="20"/>
          <w:szCs w:val="20"/>
        </w:rPr>
        <w:t xml:space="preserve"> </w:t>
      </w:r>
      <w:r w:rsidR="00B726A6">
        <w:rPr>
          <w:rFonts w:ascii="Verdana" w:hAnsi="Verdana"/>
          <w:color w:val="000000"/>
          <w:sz w:val="20"/>
          <w:szCs w:val="20"/>
        </w:rPr>
        <w:t>(</w:t>
      </w:r>
      <w:r w:rsidRPr="00B726A6">
        <w:rPr>
          <w:rFonts w:ascii="Verdana" w:hAnsi="Verdana"/>
          <w:color w:val="000000"/>
          <w:sz w:val="20"/>
          <w:szCs w:val="20"/>
        </w:rPr>
        <w:t>Manuel Reyes</w:t>
      </w:r>
      <w:r w:rsidR="00B726A6">
        <w:rPr>
          <w:rFonts w:ascii="Verdana" w:hAnsi="Verdana"/>
          <w:color w:val="000000"/>
          <w:sz w:val="20"/>
          <w:szCs w:val="20"/>
        </w:rPr>
        <w:t>)</w:t>
      </w:r>
      <w:r w:rsidRPr="00201EE6">
        <w:rPr>
          <w:rFonts w:ascii="Verdana" w:hAnsi="Verdana"/>
          <w:color w:val="000000"/>
          <w:sz w:val="20"/>
          <w:szCs w:val="20"/>
        </w:rPr>
        <w:t>, por la supuesta localización de las víctimas</w:t>
      </w:r>
      <w:r>
        <w:rPr>
          <w:rStyle w:val="Refdenotaalpie"/>
          <w:rFonts w:ascii="Verdana" w:hAnsi="Verdana"/>
          <w:color w:val="000000"/>
          <w:sz w:val="20"/>
          <w:szCs w:val="20"/>
        </w:rPr>
        <w:footnoteReference w:id="451"/>
      </w:r>
      <w:r w:rsidRPr="00201EE6">
        <w:rPr>
          <w:rFonts w:ascii="Verdana" w:hAnsi="Verdana"/>
          <w:color w:val="000000"/>
          <w:sz w:val="20"/>
          <w:szCs w:val="20"/>
        </w:rPr>
        <w:t>.</w:t>
      </w:r>
    </w:p>
    <w:p w14:paraId="64AA6077" w14:textId="5F5D2CDD"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sz w:val="20"/>
          <w:szCs w:val="20"/>
          <w:lang w:val="es-EC"/>
        </w:rPr>
        <w:t xml:space="preserve">Este Tribunal observa que las diligencias llevadas a cabo por el agente </w:t>
      </w:r>
      <w:r w:rsidR="00B726A6">
        <w:rPr>
          <w:rFonts w:ascii="Verdana" w:hAnsi="Verdana"/>
          <w:sz w:val="20"/>
          <w:szCs w:val="20"/>
          <w:lang w:val="es-EC"/>
        </w:rPr>
        <w:t xml:space="preserve">ministerial </w:t>
      </w:r>
      <w:r w:rsidRPr="00201EE6">
        <w:rPr>
          <w:rFonts w:ascii="Verdana" w:hAnsi="Verdana"/>
          <w:sz w:val="20"/>
          <w:szCs w:val="20"/>
          <w:lang w:val="es-EC"/>
        </w:rPr>
        <w:t xml:space="preserve">Arias </w:t>
      </w:r>
      <w:r w:rsidR="000C30AB">
        <w:rPr>
          <w:rFonts w:ascii="Verdana" w:hAnsi="Verdana"/>
          <w:sz w:val="20"/>
          <w:szCs w:val="20"/>
          <w:lang w:val="es-EC"/>
        </w:rPr>
        <w:t>Oc</w:t>
      </w:r>
      <w:r w:rsidRPr="00201EE6">
        <w:rPr>
          <w:rFonts w:ascii="Verdana" w:hAnsi="Verdana"/>
          <w:sz w:val="20"/>
          <w:szCs w:val="20"/>
          <w:lang w:val="es-EC"/>
        </w:rPr>
        <w:t xml:space="preserve">ampo, si bien las realizó el mismo día en que tuvo conocimiento de los hechos, no implicaron una respuesta inmediata y oficiosa tendiente a la localización de las víctimas o la determinación de los responsables. Por el contrario, de la propia acta levantada por éste se desprende que la evidencia e información recolectada se pondría a disposición del ministerio público, posteriormente, “si éste </w:t>
      </w:r>
      <w:r w:rsidR="00C87F01">
        <w:rPr>
          <w:rFonts w:ascii="Verdana" w:hAnsi="Verdana"/>
          <w:sz w:val="20"/>
          <w:szCs w:val="20"/>
          <w:lang w:val="es-EC"/>
        </w:rPr>
        <w:t>[</w:t>
      </w:r>
      <w:r w:rsidRPr="00201EE6">
        <w:rPr>
          <w:rFonts w:ascii="Verdana" w:hAnsi="Verdana"/>
          <w:sz w:val="20"/>
          <w:szCs w:val="20"/>
          <w:lang w:val="es-EC"/>
        </w:rPr>
        <w:t>se</w:t>
      </w:r>
      <w:r w:rsidR="00C87F01">
        <w:rPr>
          <w:rFonts w:ascii="Verdana" w:hAnsi="Verdana"/>
          <w:sz w:val="20"/>
          <w:szCs w:val="20"/>
          <w:lang w:val="es-EC"/>
        </w:rPr>
        <w:t>]</w:t>
      </w:r>
      <w:r w:rsidRPr="00201EE6">
        <w:rPr>
          <w:rFonts w:ascii="Verdana" w:hAnsi="Verdana"/>
          <w:sz w:val="20"/>
          <w:szCs w:val="20"/>
          <w:lang w:val="es-EC"/>
        </w:rPr>
        <w:t xml:space="preserve"> las requería”</w:t>
      </w:r>
      <w:r>
        <w:rPr>
          <w:rStyle w:val="Refdenotaalpie"/>
          <w:rFonts w:ascii="Verdana" w:hAnsi="Verdana"/>
          <w:sz w:val="20"/>
          <w:szCs w:val="20"/>
          <w:lang w:val="es-EC"/>
        </w:rPr>
        <w:footnoteReference w:id="452"/>
      </w:r>
      <w:r w:rsidRPr="00201EE6">
        <w:rPr>
          <w:rFonts w:ascii="Verdana" w:hAnsi="Verdana"/>
          <w:sz w:val="20"/>
          <w:szCs w:val="20"/>
          <w:lang w:val="es-EC"/>
        </w:rPr>
        <w:t xml:space="preserve">. De hecho, consta en el expediente que dicho material fue remitido al </w:t>
      </w:r>
      <w:r w:rsidR="00C87F01">
        <w:rPr>
          <w:rFonts w:ascii="Verdana" w:hAnsi="Verdana"/>
          <w:sz w:val="20"/>
          <w:szCs w:val="20"/>
          <w:lang w:val="es-EC"/>
        </w:rPr>
        <w:t>AMP-Buenaventura</w:t>
      </w:r>
      <w:r w:rsidRPr="00201EE6">
        <w:rPr>
          <w:rFonts w:ascii="Verdana" w:hAnsi="Verdana"/>
          <w:sz w:val="20"/>
          <w:szCs w:val="20"/>
          <w:lang w:val="es-EC"/>
        </w:rPr>
        <w:t>, hasta el 5 de enero de 2010 (</w:t>
      </w:r>
      <w:r w:rsidRPr="00201EE6">
        <w:rPr>
          <w:rFonts w:ascii="Verdana" w:hAnsi="Verdana"/>
          <w:i/>
          <w:sz w:val="20"/>
          <w:szCs w:val="20"/>
          <w:lang w:val="es-EC"/>
        </w:rPr>
        <w:t>supra</w:t>
      </w:r>
      <w:r w:rsidRPr="00201EE6">
        <w:rPr>
          <w:rFonts w:ascii="Verdana" w:hAnsi="Verdana"/>
          <w:sz w:val="20"/>
          <w:szCs w:val="20"/>
          <w:lang w:val="es-EC"/>
        </w:rPr>
        <w:t xml:space="preserve"> párr. 1</w:t>
      </w:r>
      <w:r w:rsidR="00C87F01">
        <w:rPr>
          <w:rFonts w:ascii="Verdana" w:hAnsi="Verdana"/>
          <w:sz w:val="20"/>
          <w:szCs w:val="20"/>
          <w:lang w:val="es-EC"/>
        </w:rPr>
        <w:t>0</w:t>
      </w:r>
      <w:r w:rsidRPr="00201EE6">
        <w:rPr>
          <w:rFonts w:ascii="Verdana" w:hAnsi="Verdana"/>
          <w:sz w:val="20"/>
          <w:szCs w:val="20"/>
          <w:lang w:val="es-EC"/>
        </w:rPr>
        <w:t xml:space="preserve">4); es decir, seis días después de tener conocimiento de los hechos, y con posterioridad también, a la presentación </w:t>
      </w:r>
      <w:r w:rsidRPr="00201EE6">
        <w:rPr>
          <w:rFonts w:ascii="Verdana" w:hAnsi="Verdana"/>
          <w:sz w:val="20"/>
          <w:szCs w:val="20"/>
          <w:lang w:val="es-EC"/>
        </w:rPr>
        <w:lastRenderedPageBreak/>
        <w:t xml:space="preserve">de las denuncias de Patricia Reyes Rueda y María de Jesús </w:t>
      </w:r>
      <w:r w:rsidR="00C87F01">
        <w:rPr>
          <w:rFonts w:ascii="Verdana" w:hAnsi="Verdana"/>
          <w:sz w:val="20"/>
          <w:szCs w:val="20"/>
          <w:lang w:val="es-EC"/>
        </w:rPr>
        <w:t xml:space="preserve">Alvarado </w:t>
      </w:r>
      <w:r w:rsidRPr="00201EE6">
        <w:rPr>
          <w:rFonts w:ascii="Verdana" w:hAnsi="Verdana"/>
          <w:sz w:val="20"/>
          <w:szCs w:val="20"/>
          <w:lang w:val="es-EC"/>
        </w:rPr>
        <w:t>Espinoza ante dicha autoridad (</w:t>
      </w:r>
      <w:r w:rsidRPr="00201EE6">
        <w:rPr>
          <w:rFonts w:ascii="Verdana" w:hAnsi="Verdana"/>
          <w:i/>
          <w:sz w:val="20"/>
          <w:szCs w:val="20"/>
          <w:lang w:val="es-EC"/>
        </w:rPr>
        <w:t>supra</w:t>
      </w:r>
      <w:r w:rsidRPr="00201EE6">
        <w:rPr>
          <w:rFonts w:ascii="Verdana" w:hAnsi="Verdana"/>
          <w:sz w:val="20"/>
          <w:szCs w:val="20"/>
          <w:lang w:val="es-EC"/>
        </w:rPr>
        <w:t xml:space="preserve"> párr. 1</w:t>
      </w:r>
      <w:r w:rsidR="00C87F01">
        <w:rPr>
          <w:rFonts w:ascii="Verdana" w:hAnsi="Verdana"/>
          <w:sz w:val="20"/>
          <w:szCs w:val="20"/>
          <w:lang w:val="es-EC"/>
        </w:rPr>
        <w:t>03</w:t>
      </w:r>
      <w:r w:rsidRPr="00201EE6">
        <w:rPr>
          <w:rFonts w:ascii="Verdana" w:hAnsi="Verdana"/>
          <w:sz w:val="20"/>
          <w:szCs w:val="20"/>
          <w:lang w:val="es-EC"/>
        </w:rPr>
        <w:t xml:space="preserve">). </w:t>
      </w:r>
    </w:p>
    <w:p w14:paraId="64AA6079" w14:textId="2211003A"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E53B76">
        <w:rPr>
          <w:rFonts w:ascii="Verdana" w:eastAsia="SimSun" w:hAnsi="Verdana" w:cs="Arial"/>
          <w:sz w:val="20"/>
          <w:szCs w:val="20"/>
          <w:lang w:eastAsia="es-CR"/>
        </w:rPr>
        <w:t xml:space="preserve">Por otro lado, este Tribunal observa que las autoridades que conocieron de primera mano </w:t>
      </w:r>
      <w:r w:rsidR="00E53B76" w:rsidRPr="003F7726">
        <w:rPr>
          <w:rFonts w:ascii="Verdana" w:eastAsia="SimSun" w:hAnsi="Verdana" w:cs="Arial"/>
          <w:sz w:val="20"/>
          <w:szCs w:val="20"/>
          <w:lang w:eastAsia="es-CR"/>
        </w:rPr>
        <w:t xml:space="preserve">incurrieron en diversas omisiones, </w:t>
      </w:r>
      <w:r w:rsidR="00E53B76" w:rsidRPr="003F7726">
        <w:rPr>
          <w:rFonts w:ascii="Verdana" w:eastAsia="SimSun" w:hAnsi="Verdana" w:cs="Arial"/>
          <w:i/>
          <w:sz w:val="20"/>
          <w:szCs w:val="20"/>
          <w:lang w:eastAsia="es-CR"/>
        </w:rPr>
        <w:t>inter alia</w:t>
      </w:r>
      <w:r w:rsidR="00E53B76" w:rsidRPr="003F7726">
        <w:rPr>
          <w:rFonts w:ascii="Verdana" w:eastAsia="SimSun" w:hAnsi="Verdana" w:cs="Arial"/>
          <w:sz w:val="20"/>
          <w:szCs w:val="20"/>
          <w:lang w:eastAsia="es-CR"/>
        </w:rPr>
        <w:t xml:space="preserve">: falta de </w:t>
      </w:r>
      <w:r w:rsidRPr="00CE6C12">
        <w:rPr>
          <w:rFonts w:ascii="Verdana" w:eastAsia="SimSun" w:hAnsi="Verdana" w:cs="Arial"/>
          <w:sz w:val="20"/>
          <w:szCs w:val="20"/>
          <w:lang w:eastAsia="es-CR"/>
        </w:rPr>
        <w:t>asegura</w:t>
      </w:r>
      <w:r w:rsidR="00E53B76" w:rsidRPr="003F7726">
        <w:rPr>
          <w:rFonts w:ascii="Verdana" w:eastAsia="SimSun" w:hAnsi="Verdana" w:cs="Arial"/>
          <w:sz w:val="20"/>
          <w:szCs w:val="20"/>
          <w:lang w:eastAsia="es-CR"/>
        </w:rPr>
        <w:t>miento de la</w:t>
      </w:r>
      <w:r w:rsidR="0092168C">
        <w:rPr>
          <w:rFonts w:ascii="Verdana" w:eastAsia="SimSun" w:hAnsi="Verdana" w:cs="Arial"/>
          <w:sz w:val="20"/>
          <w:szCs w:val="20"/>
          <w:lang w:eastAsia="es-CR"/>
        </w:rPr>
        <w:t>s</w:t>
      </w:r>
      <w:r w:rsidR="00E53B76" w:rsidRPr="003F7726">
        <w:rPr>
          <w:rFonts w:ascii="Verdana" w:eastAsia="SimSun" w:hAnsi="Verdana" w:cs="Arial"/>
          <w:sz w:val="20"/>
          <w:szCs w:val="20"/>
          <w:lang w:eastAsia="es-CR"/>
        </w:rPr>
        <w:t xml:space="preserve"> </w:t>
      </w:r>
      <w:r w:rsidRPr="0021124B">
        <w:rPr>
          <w:rFonts w:ascii="Verdana" w:eastAsia="SimSun" w:hAnsi="Verdana" w:cs="Arial"/>
          <w:sz w:val="20"/>
          <w:szCs w:val="20"/>
          <w:lang w:eastAsia="es-CR"/>
        </w:rPr>
        <w:t>e</w:t>
      </w:r>
      <w:r w:rsidRPr="006A3F76">
        <w:rPr>
          <w:rFonts w:ascii="Verdana" w:eastAsia="SimSun" w:hAnsi="Verdana" w:cs="Arial"/>
          <w:sz w:val="20"/>
          <w:szCs w:val="20"/>
          <w:lang w:eastAsia="es-CR"/>
        </w:rPr>
        <w:t xml:space="preserve">scenas del crimen </w:t>
      </w:r>
      <w:r w:rsidR="00E53B76" w:rsidRPr="003F7726">
        <w:rPr>
          <w:rFonts w:ascii="Verdana" w:eastAsia="SimSun" w:hAnsi="Verdana" w:cs="Arial"/>
          <w:sz w:val="20"/>
          <w:szCs w:val="20"/>
          <w:lang w:eastAsia="es-CR"/>
        </w:rPr>
        <w:t xml:space="preserve">y </w:t>
      </w:r>
      <w:r w:rsidRPr="00CE6C12">
        <w:rPr>
          <w:rFonts w:ascii="Verdana" w:eastAsia="SimSun" w:hAnsi="Verdana" w:cs="Arial"/>
          <w:sz w:val="20"/>
          <w:szCs w:val="20"/>
          <w:lang w:eastAsia="es-CR"/>
        </w:rPr>
        <w:t>recolección de evidencia adicional en las inmediaciones de la zona de fogata o de la camioneta</w:t>
      </w:r>
      <w:r w:rsidR="00E53B76" w:rsidRPr="003F7726">
        <w:rPr>
          <w:rFonts w:ascii="Verdana" w:eastAsia="SimSun" w:hAnsi="Verdana" w:cs="Arial"/>
          <w:sz w:val="20"/>
          <w:szCs w:val="20"/>
          <w:lang w:eastAsia="es-CR"/>
        </w:rPr>
        <w:t xml:space="preserve"> y su interior</w:t>
      </w:r>
      <w:r w:rsidRPr="0021124B">
        <w:rPr>
          <w:rFonts w:ascii="Verdana" w:eastAsia="SimSun" w:hAnsi="Verdana" w:cs="Arial"/>
          <w:sz w:val="20"/>
          <w:szCs w:val="20"/>
          <w:lang w:eastAsia="es-CR"/>
        </w:rPr>
        <w:t xml:space="preserve"> (</w:t>
      </w:r>
      <w:r w:rsidRPr="0021124B">
        <w:rPr>
          <w:rFonts w:ascii="Verdana" w:eastAsia="SimSun" w:hAnsi="Verdana" w:cs="Arial"/>
          <w:i/>
          <w:sz w:val="20"/>
          <w:szCs w:val="20"/>
          <w:lang w:eastAsia="es-CR"/>
        </w:rPr>
        <w:t>supra</w:t>
      </w:r>
      <w:r w:rsidRPr="006A3F76">
        <w:rPr>
          <w:rFonts w:ascii="Verdana" w:eastAsia="SimSun" w:hAnsi="Verdana" w:cs="Arial"/>
          <w:sz w:val="20"/>
          <w:szCs w:val="20"/>
          <w:lang w:eastAsia="es-CR"/>
        </w:rPr>
        <w:t xml:space="preserve"> párr. </w:t>
      </w:r>
      <w:r w:rsidR="0092168C">
        <w:rPr>
          <w:rFonts w:ascii="Verdana" w:eastAsia="SimSun" w:hAnsi="Verdana" w:cs="Arial"/>
          <w:sz w:val="20"/>
          <w:szCs w:val="20"/>
          <w:lang w:eastAsia="es-CR"/>
        </w:rPr>
        <w:t>219</w:t>
      </w:r>
      <w:r w:rsidRPr="006A3F76">
        <w:rPr>
          <w:rFonts w:ascii="Verdana" w:eastAsia="SimSun" w:hAnsi="Verdana" w:cs="Arial"/>
          <w:sz w:val="20"/>
          <w:szCs w:val="20"/>
          <w:lang w:eastAsia="es-CR"/>
        </w:rPr>
        <w:t>)</w:t>
      </w:r>
      <w:r w:rsidR="00E53B76" w:rsidRPr="003F7726">
        <w:rPr>
          <w:rFonts w:ascii="Verdana" w:eastAsia="SimSun" w:hAnsi="Verdana" w:cs="Arial"/>
          <w:sz w:val="20"/>
          <w:szCs w:val="20"/>
          <w:lang w:eastAsia="es-CR"/>
        </w:rPr>
        <w:t>;</w:t>
      </w:r>
      <w:r w:rsidRPr="00CE6C12">
        <w:rPr>
          <w:rFonts w:ascii="Verdana" w:eastAsia="SimSun" w:hAnsi="Verdana" w:cs="Arial"/>
          <w:sz w:val="20"/>
          <w:szCs w:val="20"/>
          <w:lang w:eastAsia="es-CR"/>
        </w:rPr>
        <w:t xml:space="preserve"> </w:t>
      </w:r>
      <w:r w:rsidR="00E53B76" w:rsidRPr="003F7726">
        <w:rPr>
          <w:rFonts w:ascii="Verdana" w:eastAsia="SimSun" w:hAnsi="Verdana" w:cs="Arial"/>
          <w:sz w:val="20"/>
          <w:szCs w:val="20"/>
          <w:lang w:eastAsia="es-CR"/>
        </w:rPr>
        <w:t xml:space="preserve">no consta que se haya </w:t>
      </w:r>
      <w:r w:rsidRPr="00CE6C12">
        <w:rPr>
          <w:rFonts w:ascii="Verdana" w:eastAsia="SimSun" w:hAnsi="Verdana" w:cs="Arial"/>
          <w:sz w:val="20"/>
          <w:szCs w:val="20"/>
          <w:lang w:eastAsia="es-CR"/>
        </w:rPr>
        <w:t>asegurado el domicilio de Rocío Ire</w:t>
      </w:r>
      <w:r w:rsidRPr="0021124B">
        <w:rPr>
          <w:rFonts w:ascii="Verdana" w:eastAsia="SimSun" w:hAnsi="Verdana" w:cs="Arial"/>
          <w:sz w:val="20"/>
          <w:szCs w:val="20"/>
          <w:lang w:eastAsia="es-CR"/>
        </w:rPr>
        <w:t>ne</w:t>
      </w:r>
      <w:r w:rsidR="00813B72">
        <w:rPr>
          <w:rFonts w:ascii="Verdana" w:eastAsia="SimSun" w:hAnsi="Verdana" w:cs="Arial"/>
          <w:sz w:val="20"/>
          <w:szCs w:val="20"/>
          <w:lang w:eastAsia="es-CR"/>
        </w:rPr>
        <w:t xml:space="preserve"> </w:t>
      </w:r>
      <w:r w:rsidR="0092168C">
        <w:rPr>
          <w:rFonts w:ascii="Verdana" w:eastAsia="SimSun" w:hAnsi="Verdana" w:cs="Arial"/>
          <w:sz w:val="20"/>
          <w:szCs w:val="20"/>
          <w:lang w:eastAsia="es-CR"/>
        </w:rPr>
        <w:t xml:space="preserve">de </w:t>
      </w:r>
      <w:r w:rsidR="00813B72">
        <w:rPr>
          <w:rFonts w:ascii="Verdana" w:eastAsia="SimSun" w:hAnsi="Verdana" w:cs="Arial"/>
          <w:sz w:val="20"/>
          <w:szCs w:val="20"/>
          <w:lang w:eastAsia="es-CR"/>
        </w:rPr>
        <w:t xml:space="preserve">dónde </w:t>
      </w:r>
      <w:r w:rsidR="00E53B76" w:rsidRPr="003F7726">
        <w:rPr>
          <w:rFonts w:ascii="Verdana" w:eastAsia="SimSun" w:hAnsi="Verdana" w:cs="Arial"/>
          <w:sz w:val="20"/>
          <w:szCs w:val="20"/>
          <w:lang w:eastAsia="es-CR"/>
        </w:rPr>
        <w:t>la sustrajeron</w:t>
      </w:r>
      <w:r w:rsidRPr="00E53B76">
        <w:rPr>
          <w:rFonts w:ascii="Verdana" w:eastAsia="SimSun" w:hAnsi="Verdana" w:cs="Arial"/>
          <w:sz w:val="20"/>
          <w:szCs w:val="20"/>
          <w:lang w:eastAsia="es-CR"/>
        </w:rPr>
        <w:t xml:space="preserve">, ni recolectado evidencia </w:t>
      </w:r>
      <w:r w:rsidR="00E53B76" w:rsidRPr="003F7726">
        <w:rPr>
          <w:rFonts w:ascii="Verdana" w:eastAsia="SimSun" w:hAnsi="Verdana" w:cs="Arial"/>
          <w:sz w:val="20"/>
          <w:szCs w:val="20"/>
          <w:lang w:eastAsia="es-CR"/>
        </w:rPr>
        <w:t>en</w:t>
      </w:r>
      <w:r w:rsidRPr="00E53B76">
        <w:rPr>
          <w:rFonts w:ascii="Verdana" w:eastAsia="SimSun" w:hAnsi="Verdana" w:cs="Arial"/>
          <w:sz w:val="20"/>
          <w:szCs w:val="20"/>
          <w:lang w:eastAsia="es-CR"/>
        </w:rPr>
        <w:t xml:space="preserve"> sus inmediaciones</w:t>
      </w:r>
      <w:r w:rsidR="0092168C">
        <w:rPr>
          <w:rFonts w:ascii="Verdana" w:eastAsia="SimSun" w:hAnsi="Verdana" w:cs="Arial"/>
          <w:sz w:val="20"/>
          <w:szCs w:val="20"/>
          <w:lang w:eastAsia="es-CR"/>
        </w:rPr>
        <w:t>, y</w:t>
      </w:r>
      <w:r w:rsidRPr="006A3F76">
        <w:rPr>
          <w:rFonts w:ascii="Verdana" w:eastAsia="SimSun" w:hAnsi="Verdana" w:cs="Arial"/>
          <w:sz w:val="20"/>
          <w:szCs w:val="20"/>
          <w:lang w:eastAsia="es-CR"/>
        </w:rPr>
        <w:t xml:space="preserve"> </w:t>
      </w:r>
      <w:r w:rsidR="00E53B76" w:rsidRPr="003F7726">
        <w:rPr>
          <w:rFonts w:ascii="Verdana" w:eastAsia="SimSun" w:hAnsi="Verdana" w:cs="Arial"/>
          <w:sz w:val="20"/>
          <w:szCs w:val="20"/>
          <w:lang w:eastAsia="es-CR"/>
        </w:rPr>
        <w:t xml:space="preserve">falta de identificación de </w:t>
      </w:r>
      <w:r w:rsidRPr="00E53B76">
        <w:rPr>
          <w:rFonts w:ascii="Verdana" w:eastAsia="SimSun" w:hAnsi="Verdana" w:cs="Arial"/>
          <w:sz w:val="20"/>
          <w:szCs w:val="20"/>
          <w:lang w:eastAsia="es-CR"/>
        </w:rPr>
        <w:t>los posibles tes</w:t>
      </w:r>
      <w:r w:rsidRPr="00CE6C12">
        <w:rPr>
          <w:rFonts w:ascii="Verdana" w:eastAsia="SimSun" w:hAnsi="Verdana" w:cs="Arial"/>
          <w:sz w:val="20"/>
          <w:szCs w:val="20"/>
          <w:lang w:eastAsia="es-CR"/>
        </w:rPr>
        <w:t>tigos de los hechos distintos a los familiares (como serían los vecinos)</w:t>
      </w:r>
      <w:r w:rsidRPr="00E53B76">
        <w:rPr>
          <w:rStyle w:val="Refdenotaalpie"/>
          <w:rFonts w:ascii="Verdana" w:eastAsia="SimSun" w:hAnsi="Verdana" w:cs="Arial"/>
          <w:sz w:val="20"/>
          <w:szCs w:val="20"/>
          <w:lang w:eastAsia="es-CR"/>
        </w:rPr>
        <w:footnoteReference w:id="453"/>
      </w:r>
      <w:r w:rsidRPr="00E53B76">
        <w:rPr>
          <w:rFonts w:ascii="Verdana" w:eastAsia="SimSun" w:hAnsi="Verdana" w:cs="Arial"/>
          <w:sz w:val="20"/>
          <w:szCs w:val="20"/>
          <w:lang w:eastAsia="es-CR"/>
        </w:rPr>
        <w:t>.</w:t>
      </w:r>
    </w:p>
    <w:p w14:paraId="64AA607B" w14:textId="66E23BAD"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eastAsia="SimSun" w:hAnsi="Verdana" w:cs="Arial"/>
          <w:sz w:val="20"/>
          <w:szCs w:val="20"/>
          <w:lang w:eastAsia="es-CR"/>
        </w:rPr>
        <w:t xml:space="preserve">Lo anterior, es contrario a lo sostenido previamente por la Corte respecto de </w:t>
      </w:r>
      <w:r w:rsidRPr="00201EE6">
        <w:rPr>
          <w:rFonts w:ascii="Verdana" w:hAnsi="Verdana"/>
          <w:sz w:val="20"/>
          <w:szCs w:val="20"/>
        </w:rPr>
        <w:t xml:space="preserve">los principios rectores que es preciso observar en investigaciones penales relativas a violaciones de derechos humanos, y que pueden incluir, </w:t>
      </w:r>
      <w:r w:rsidRPr="00201EE6">
        <w:rPr>
          <w:rFonts w:ascii="Verdana" w:hAnsi="Verdana"/>
          <w:i/>
          <w:iCs/>
          <w:sz w:val="20"/>
          <w:szCs w:val="20"/>
        </w:rPr>
        <w:t>inter alia</w:t>
      </w:r>
      <w:r w:rsidRPr="00201EE6">
        <w:rPr>
          <w:rFonts w:ascii="Verdana" w:hAnsi="Verdana"/>
          <w:sz w:val="20"/>
          <w:szCs w:val="20"/>
        </w:rPr>
        <w:t>: recuperar y preservar el material probatorio con el fin de ayudar en cualquier potencial investigación penal de los responsables; identificar posibles testigos y obtener sus declaraciones, y determinar la causa, forma, lugar y momento del hecho investigado. Además, es necesario investigar exhaustivamente la escena del crimen, y se deben realizar análisis en forma rigurosa, por profesionales competentes y empleando los procedimientos más apropiados</w:t>
      </w:r>
      <w:r w:rsidRPr="0051645B">
        <w:rPr>
          <w:rStyle w:val="Refdenotaalpie"/>
          <w:rFonts w:ascii="Verdana" w:hAnsi="Verdana"/>
          <w:sz w:val="20"/>
          <w:szCs w:val="20"/>
        </w:rPr>
        <w:footnoteReference w:id="454"/>
      </w:r>
      <w:r w:rsidRPr="00201EE6">
        <w:rPr>
          <w:rFonts w:ascii="Verdana" w:hAnsi="Verdana"/>
          <w:sz w:val="20"/>
          <w:szCs w:val="20"/>
        </w:rPr>
        <w:t>. Dichas deficiencias incidieron directamente en el desarrollo y resultado de las investigaciones, ya que sobre ese primer momento no se cuenta en el expediente con hallazgos de huellas, restos o indicios que pudieran llevar a los perpetradores.</w:t>
      </w:r>
    </w:p>
    <w:p w14:paraId="64AA607D" w14:textId="20C8F291" w:rsidR="00201EE6" w:rsidRPr="00813B72" w:rsidRDefault="00B726A6"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Pr>
          <w:rFonts w:ascii="Verdana" w:hAnsi="Verdana"/>
          <w:sz w:val="20"/>
          <w:szCs w:val="20"/>
          <w:lang w:val="es-EC"/>
        </w:rPr>
        <w:t xml:space="preserve">La Corte también encuentra que, las actuaciones </w:t>
      </w:r>
      <w:r w:rsidR="00BB0467" w:rsidRPr="008D0846">
        <w:rPr>
          <w:rFonts w:ascii="Verdana" w:hAnsi="Verdana"/>
          <w:sz w:val="20"/>
          <w:szCs w:val="20"/>
          <w:lang w:val="es-EC"/>
        </w:rPr>
        <w:t>ante el Ministerio Público</w:t>
      </w:r>
      <w:r w:rsidR="00BB0467">
        <w:rPr>
          <w:rFonts w:ascii="Verdana" w:hAnsi="Verdana"/>
          <w:sz w:val="20"/>
          <w:szCs w:val="20"/>
          <w:lang w:val="es-EC"/>
        </w:rPr>
        <w:t xml:space="preserve"> </w:t>
      </w:r>
      <w:r>
        <w:rPr>
          <w:rFonts w:ascii="Verdana" w:hAnsi="Verdana"/>
          <w:sz w:val="20"/>
          <w:szCs w:val="20"/>
          <w:lang w:val="es-EC"/>
        </w:rPr>
        <w:t xml:space="preserve">en </w:t>
      </w:r>
      <w:r w:rsidR="00903628" w:rsidRPr="00201EE6">
        <w:rPr>
          <w:rFonts w:ascii="Verdana" w:hAnsi="Verdana"/>
          <w:sz w:val="20"/>
          <w:szCs w:val="20"/>
          <w:lang w:val="es-EC"/>
        </w:rPr>
        <w:t xml:space="preserve">las primeras horas se limitaron a algunos recorridos o patrullajes con el objeto de localizar personas o vehículos sospechosos y el aseguramiento </w:t>
      </w:r>
      <w:r w:rsidR="00CE6735">
        <w:rPr>
          <w:rFonts w:ascii="Verdana" w:hAnsi="Verdana"/>
          <w:sz w:val="20"/>
          <w:szCs w:val="20"/>
          <w:lang w:val="es-EC"/>
        </w:rPr>
        <w:t xml:space="preserve">de </w:t>
      </w:r>
      <w:r w:rsidR="00903628" w:rsidRPr="00201EE6">
        <w:rPr>
          <w:rFonts w:ascii="Verdana" w:hAnsi="Verdana"/>
          <w:sz w:val="20"/>
          <w:szCs w:val="20"/>
          <w:lang w:val="es-EC"/>
        </w:rPr>
        <w:t xml:space="preserve">objetos; pues no existe constancia de alguna labor de búsqueda en instalaciones militares a pesar </w:t>
      </w:r>
      <w:r w:rsidR="00CE6735">
        <w:rPr>
          <w:rFonts w:ascii="Verdana" w:hAnsi="Verdana"/>
          <w:sz w:val="20"/>
          <w:szCs w:val="20"/>
          <w:lang w:val="es-EC"/>
        </w:rPr>
        <w:t xml:space="preserve">de </w:t>
      </w:r>
      <w:r w:rsidR="00903628" w:rsidRPr="00201EE6">
        <w:rPr>
          <w:rFonts w:ascii="Verdana" w:hAnsi="Verdana"/>
          <w:sz w:val="20"/>
          <w:szCs w:val="20"/>
          <w:lang w:val="es-EC"/>
        </w:rPr>
        <w:t>que, desde el primer momento, las declaraciones de los familiares indicaban la probable participación de miembros de dicha corporación. Según consta en el expediente, hasta el 7 de enero de 2010 se llevó a cabo la primera diligencia de búsqueda de las víctimas en el interior del 35 Batallón de Infantería, que resultó infructuosa; es decir, nueve días después de los hechos</w:t>
      </w:r>
      <w:r w:rsidR="00903628">
        <w:rPr>
          <w:rStyle w:val="Refdenotaalpie"/>
          <w:rFonts w:ascii="Verdana" w:hAnsi="Verdana"/>
          <w:sz w:val="20"/>
          <w:szCs w:val="20"/>
          <w:lang w:val="es-EC"/>
        </w:rPr>
        <w:footnoteReference w:id="455"/>
      </w:r>
      <w:r w:rsidR="00903628" w:rsidRPr="00201EE6">
        <w:rPr>
          <w:rFonts w:ascii="Verdana" w:hAnsi="Verdana"/>
          <w:sz w:val="20"/>
          <w:szCs w:val="20"/>
          <w:lang w:val="es-EC"/>
        </w:rPr>
        <w:t xml:space="preserve">. Posteriormente, el 10 de enero de 2010 se constituyeron físicamente en dichas instalaciones </w:t>
      </w:r>
      <w:r w:rsidR="00CE5C45">
        <w:rPr>
          <w:rFonts w:ascii="Verdana" w:hAnsi="Verdana"/>
          <w:sz w:val="20"/>
          <w:szCs w:val="20"/>
          <w:lang w:val="es-EC"/>
        </w:rPr>
        <w:t xml:space="preserve">los </w:t>
      </w:r>
      <w:r w:rsidR="00903628" w:rsidRPr="00201EE6">
        <w:rPr>
          <w:rFonts w:ascii="Verdana" w:hAnsi="Verdana"/>
          <w:sz w:val="20"/>
          <w:szCs w:val="20"/>
          <w:lang w:val="es-EC"/>
        </w:rPr>
        <w:t>visitadores de la CNDH</w:t>
      </w:r>
      <w:r w:rsidR="00CE6735">
        <w:rPr>
          <w:rFonts w:ascii="Verdana" w:hAnsi="Verdana"/>
          <w:sz w:val="20"/>
          <w:szCs w:val="20"/>
          <w:lang w:val="es-EC"/>
        </w:rPr>
        <w:t xml:space="preserve"> y de la CEDH</w:t>
      </w:r>
      <w:r w:rsidR="00CA21EB">
        <w:rPr>
          <w:rFonts w:ascii="Verdana" w:hAnsi="Verdana"/>
          <w:sz w:val="20"/>
          <w:szCs w:val="20"/>
          <w:lang w:val="es-EC"/>
        </w:rPr>
        <w:t>-</w:t>
      </w:r>
      <w:r w:rsidR="00CE6735">
        <w:rPr>
          <w:rFonts w:ascii="Verdana" w:hAnsi="Verdana"/>
          <w:sz w:val="20"/>
          <w:szCs w:val="20"/>
          <w:lang w:val="es-EC"/>
        </w:rPr>
        <w:t>Ch</w:t>
      </w:r>
      <w:r w:rsidR="00903628" w:rsidRPr="00201EE6">
        <w:rPr>
          <w:rFonts w:ascii="Verdana" w:hAnsi="Verdana"/>
          <w:sz w:val="20"/>
          <w:szCs w:val="20"/>
          <w:lang w:val="es-EC"/>
        </w:rPr>
        <w:t>, quienes también dejaron constancia que las víctimas no se encontraban en ese lugar</w:t>
      </w:r>
      <w:r w:rsidR="00903628">
        <w:rPr>
          <w:rStyle w:val="Refdenotaalpie"/>
          <w:rFonts w:ascii="Verdana" w:hAnsi="Verdana"/>
          <w:sz w:val="20"/>
          <w:szCs w:val="20"/>
          <w:lang w:val="es-EC"/>
        </w:rPr>
        <w:footnoteReference w:id="456"/>
      </w:r>
      <w:r w:rsidR="00903628" w:rsidRPr="00201EE6">
        <w:rPr>
          <w:rFonts w:ascii="Verdana" w:hAnsi="Verdana"/>
          <w:sz w:val="20"/>
          <w:szCs w:val="20"/>
          <w:lang w:val="es-EC"/>
        </w:rPr>
        <w:t xml:space="preserve">. </w:t>
      </w:r>
    </w:p>
    <w:p w14:paraId="507B3555" w14:textId="3AC518C3" w:rsidR="00B726A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sz w:val="20"/>
          <w:szCs w:val="20"/>
          <w:lang w:val="es-EC"/>
        </w:rPr>
        <w:t>Cabe señalar que ninguna de las primeras autoridades en acudir al 35 Batallón, de acuerdo con la legislación interna, contaba con la facultad de investigar delitos, pues la misma se encuentra reservada para las autoridades ministeriales. En este caso, la primera diligencia de búsqueda realizada dentro del marco de una investigación penal se verificó el 14 de mayo de 2010 (</w:t>
      </w:r>
      <w:r w:rsidR="00FA59AC">
        <w:rPr>
          <w:rFonts w:ascii="Verdana" w:hAnsi="Verdana"/>
          <w:sz w:val="20"/>
          <w:szCs w:val="20"/>
          <w:lang w:val="es-EC"/>
        </w:rPr>
        <w:t xml:space="preserve">5 </w:t>
      </w:r>
      <w:r w:rsidR="00B726A6">
        <w:rPr>
          <w:rFonts w:ascii="Verdana" w:hAnsi="Verdana"/>
          <w:sz w:val="20"/>
          <w:szCs w:val="20"/>
          <w:lang w:val="es-EC"/>
        </w:rPr>
        <w:t xml:space="preserve">meses y medio después </w:t>
      </w:r>
      <w:r w:rsidRPr="00201EE6">
        <w:rPr>
          <w:rFonts w:ascii="Verdana" w:hAnsi="Verdana"/>
          <w:sz w:val="20"/>
          <w:szCs w:val="20"/>
          <w:lang w:val="es-EC"/>
        </w:rPr>
        <w:t>de la</w:t>
      </w:r>
      <w:r w:rsidR="00B726A6">
        <w:rPr>
          <w:rFonts w:ascii="Verdana" w:hAnsi="Verdana"/>
          <w:sz w:val="20"/>
          <w:szCs w:val="20"/>
          <w:lang w:val="es-EC"/>
        </w:rPr>
        <w:t>s desapariciones</w:t>
      </w:r>
      <w:r w:rsidRPr="00201EE6">
        <w:rPr>
          <w:rFonts w:ascii="Verdana" w:hAnsi="Verdana"/>
          <w:sz w:val="20"/>
          <w:szCs w:val="20"/>
          <w:lang w:val="es-EC"/>
        </w:rPr>
        <w:t>)</w:t>
      </w:r>
      <w:r w:rsidR="004A3F07">
        <w:rPr>
          <w:rFonts w:ascii="Verdana" w:hAnsi="Verdana"/>
          <w:sz w:val="20"/>
          <w:szCs w:val="20"/>
          <w:lang w:val="es-EC"/>
        </w:rPr>
        <w:t>,</w:t>
      </w:r>
      <w:r w:rsidRPr="00201EE6">
        <w:rPr>
          <w:rFonts w:ascii="Verdana" w:hAnsi="Verdana"/>
          <w:sz w:val="20"/>
          <w:szCs w:val="20"/>
          <w:lang w:val="es-EC"/>
        </w:rPr>
        <w:t xml:space="preserve"> y estuvo a cargo del Agente del Ministerio Público Militar </w:t>
      </w:r>
      <w:r w:rsidR="004A3F07">
        <w:rPr>
          <w:rFonts w:ascii="Verdana" w:hAnsi="Verdana"/>
          <w:sz w:val="20"/>
          <w:szCs w:val="20"/>
          <w:lang w:val="es-EC"/>
        </w:rPr>
        <w:t>a</w:t>
      </w:r>
      <w:r w:rsidRPr="00201EE6">
        <w:rPr>
          <w:rFonts w:ascii="Verdana" w:hAnsi="Verdana"/>
          <w:sz w:val="20"/>
          <w:szCs w:val="20"/>
          <w:lang w:val="es-EC"/>
        </w:rPr>
        <w:t>dscrito a la Quinta Zona Militar, Mayor de Justicia Militar y Licenciado Gustavo Horacio Leal Estevez. En dicha diligencia, el personal actuante también dejó constancia que las víctimas no se encontraban en las instalaciones del 35 Batallón Militar (</w:t>
      </w:r>
      <w:r w:rsidRPr="00201EE6">
        <w:rPr>
          <w:rFonts w:ascii="Verdana" w:hAnsi="Verdana"/>
          <w:i/>
          <w:sz w:val="20"/>
          <w:szCs w:val="20"/>
          <w:lang w:val="es-EC"/>
        </w:rPr>
        <w:t>supra</w:t>
      </w:r>
      <w:r w:rsidRPr="00201EE6">
        <w:rPr>
          <w:rFonts w:ascii="Verdana" w:hAnsi="Verdana"/>
          <w:sz w:val="20"/>
          <w:szCs w:val="20"/>
          <w:lang w:val="es-EC"/>
        </w:rPr>
        <w:t xml:space="preserve"> párr. 1</w:t>
      </w:r>
      <w:r w:rsidR="004A3F07">
        <w:rPr>
          <w:rFonts w:ascii="Verdana" w:hAnsi="Verdana"/>
          <w:sz w:val="20"/>
          <w:szCs w:val="20"/>
          <w:lang w:val="es-EC"/>
        </w:rPr>
        <w:t>15</w:t>
      </w:r>
      <w:r w:rsidRPr="00201EE6">
        <w:rPr>
          <w:rFonts w:ascii="Verdana" w:hAnsi="Verdana"/>
          <w:sz w:val="20"/>
          <w:szCs w:val="20"/>
          <w:lang w:val="es-EC"/>
        </w:rPr>
        <w:t>).</w:t>
      </w:r>
    </w:p>
    <w:p w14:paraId="4FB792E8" w14:textId="4CA8BD48" w:rsidR="00B726A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sz w:val="20"/>
          <w:szCs w:val="20"/>
          <w:lang w:val="es-EC"/>
        </w:rPr>
        <w:t xml:space="preserve">Esta Corte </w:t>
      </w:r>
      <w:r w:rsidR="00B726A6">
        <w:rPr>
          <w:rFonts w:ascii="Verdana" w:hAnsi="Verdana"/>
          <w:sz w:val="20"/>
          <w:szCs w:val="20"/>
          <w:lang w:val="es-EC"/>
        </w:rPr>
        <w:t>estima</w:t>
      </w:r>
      <w:r w:rsidRPr="00201EE6">
        <w:rPr>
          <w:rFonts w:ascii="Verdana" w:hAnsi="Verdana"/>
          <w:sz w:val="20"/>
          <w:szCs w:val="20"/>
          <w:lang w:val="es-EC"/>
        </w:rPr>
        <w:t xml:space="preserve"> que las anteriores diligencias de búsqueda de las víctimas no se dieron con la oportunidad que el caso requería, pues entre la fecha de la desaparición y la realización de la primera </w:t>
      </w:r>
      <w:r w:rsidR="00B726A6">
        <w:rPr>
          <w:rFonts w:ascii="Verdana" w:hAnsi="Verdana"/>
          <w:sz w:val="20"/>
          <w:szCs w:val="20"/>
          <w:lang w:val="es-EC"/>
        </w:rPr>
        <w:t xml:space="preserve">visita (a cargo de </w:t>
      </w:r>
      <w:r w:rsidRPr="00201EE6">
        <w:rPr>
          <w:rFonts w:ascii="Verdana" w:hAnsi="Verdana"/>
          <w:sz w:val="20"/>
          <w:szCs w:val="20"/>
          <w:lang w:val="es-EC"/>
        </w:rPr>
        <w:t>autoridad no ministerial) transcurrieron nueve días; un plazo ex</w:t>
      </w:r>
      <w:r w:rsidR="00B726A6">
        <w:rPr>
          <w:rFonts w:ascii="Verdana" w:hAnsi="Verdana"/>
          <w:sz w:val="20"/>
          <w:szCs w:val="20"/>
          <w:lang w:val="es-EC"/>
        </w:rPr>
        <w:t>cesivo</w:t>
      </w:r>
      <w:r w:rsidRPr="00201EE6">
        <w:rPr>
          <w:rFonts w:ascii="Verdana" w:hAnsi="Verdana"/>
          <w:sz w:val="20"/>
          <w:szCs w:val="20"/>
          <w:lang w:val="es-EC"/>
        </w:rPr>
        <w:t xml:space="preserve"> si se toma en cuenta el riesgo en el que se encontraba la vida e integridad de las víctimas, dada la naturaleza de las violaciones y la posibilidad de que hubieran sido cometidas por agentes estatales, tiempo que, por tanto, resultaba muy valioso para su localización. Sin embargo, ante la actuación tardía de las autoridades la posibilidad de encontrar a las víctimas o determinar a los </w:t>
      </w:r>
      <w:r w:rsidRPr="00201EE6">
        <w:rPr>
          <w:rFonts w:ascii="Verdana" w:hAnsi="Verdana"/>
          <w:sz w:val="20"/>
          <w:szCs w:val="20"/>
          <w:lang w:val="es-EC"/>
        </w:rPr>
        <w:lastRenderedPageBreak/>
        <w:t xml:space="preserve">perpetradores disminuyó considerablemente y de forma irreparable. </w:t>
      </w:r>
    </w:p>
    <w:p w14:paraId="6650BA8B" w14:textId="3653D193" w:rsidR="008A16E0" w:rsidRPr="00813B72" w:rsidRDefault="00B726A6"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Pr>
          <w:rFonts w:ascii="Verdana" w:hAnsi="Verdana"/>
          <w:sz w:val="20"/>
          <w:szCs w:val="20"/>
          <w:lang w:val="es-EC"/>
        </w:rPr>
        <w:t>A</w:t>
      </w:r>
      <w:r w:rsidR="00903628" w:rsidRPr="00201EE6">
        <w:rPr>
          <w:rFonts w:ascii="Verdana" w:hAnsi="Verdana"/>
          <w:sz w:val="20"/>
          <w:szCs w:val="20"/>
          <w:lang w:val="es-EC"/>
        </w:rPr>
        <w:t xml:space="preserve">demás, </w:t>
      </w:r>
      <w:r w:rsidR="008A16E0">
        <w:rPr>
          <w:rFonts w:ascii="Verdana" w:hAnsi="Verdana"/>
          <w:sz w:val="20"/>
          <w:szCs w:val="20"/>
          <w:lang w:val="es-EC"/>
        </w:rPr>
        <w:t xml:space="preserve">se desprende que </w:t>
      </w:r>
      <w:r w:rsidR="00903628" w:rsidRPr="00201EE6">
        <w:rPr>
          <w:rFonts w:ascii="Verdana" w:hAnsi="Verdana"/>
          <w:sz w:val="20"/>
          <w:szCs w:val="20"/>
          <w:lang w:val="es-EC"/>
        </w:rPr>
        <w:t>las actuaciones no fueron ni exhaustivas ni eficaces, ya que las autoridades se limitaron a certificar que las víctimas no se encontraban presentes en el lugar en ese momento, omitiendo recolectar evidencia que pudiera dar cuenta de su posible paso por dichas instalaciones en algún momento posterior a su desaparición; es decir, entrevistas directas con el personal del 35 Batallón, revisión de bitácoras o registros existentes, entre otras, lo que denota una falta de diligencia.</w:t>
      </w:r>
    </w:p>
    <w:p w14:paraId="64AA6086" w14:textId="2D218C9D"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sz w:val="20"/>
          <w:szCs w:val="20"/>
          <w:lang w:val="es-EC"/>
        </w:rPr>
        <w:t xml:space="preserve">En este orden de ideas, la Corte considera que el Estado no actuó con </w:t>
      </w:r>
      <w:r w:rsidR="008A16E0">
        <w:rPr>
          <w:rFonts w:ascii="Verdana" w:hAnsi="Verdana"/>
          <w:sz w:val="20"/>
          <w:szCs w:val="20"/>
          <w:lang w:val="es-EC"/>
        </w:rPr>
        <w:t xml:space="preserve">debida diligencia </w:t>
      </w:r>
      <w:r w:rsidRPr="00201EE6">
        <w:rPr>
          <w:rFonts w:ascii="Verdana" w:hAnsi="Verdana"/>
          <w:sz w:val="20"/>
          <w:szCs w:val="20"/>
          <w:lang w:val="es-EC"/>
        </w:rPr>
        <w:t>dentro de las primeras horas y días luego de las denuncias de desaparición, dejando perder horas valiosas</w:t>
      </w:r>
      <w:r w:rsidR="008A16E0">
        <w:rPr>
          <w:rFonts w:ascii="Verdana" w:hAnsi="Verdana"/>
          <w:sz w:val="20"/>
          <w:szCs w:val="20"/>
          <w:lang w:val="es-EC"/>
        </w:rPr>
        <w:t xml:space="preserve"> para efectos de este tipo de casos</w:t>
      </w:r>
      <w:r w:rsidRPr="00201EE6">
        <w:rPr>
          <w:rFonts w:ascii="Verdana" w:hAnsi="Verdana"/>
          <w:sz w:val="20"/>
          <w:szCs w:val="20"/>
          <w:lang w:val="es-EC"/>
        </w:rPr>
        <w:t xml:space="preserve">. </w:t>
      </w:r>
    </w:p>
    <w:p w14:paraId="64AA6088" w14:textId="2D4A3685" w:rsidR="00201EE6" w:rsidRPr="00813B72" w:rsidRDefault="00556FDB">
      <w:pPr>
        <w:pStyle w:val="Ttulo5"/>
        <w:numPr>
          <w:ilvl w:val="0"/>
          <w:numId w:val="76"/>
        </w:numPr>
        <w:spacing w:before="120" w:after="120"/>
        <w:contextualSpacing w:val="0"/>
        <w:rPr>
          <w:lang w:val="es-CR"/>
        </w:rPr>
      </w:pPr>
      <w:bookmarkStart w:id="254" w:name="_Toc522815030"/>
      <w:bookmarkStart w:id="255" w:name="_Toc526777656"/>
      <w:bookmarkStart w:id="256" w:name="_Toc526778139"/>
      <w:bookmarkStart w:id="257" w:name="_Toc526779391"/>
      <w:bookmarkStart w:id="258" w:name="_Toc526780860"/>
      <w:bookmarkStart w:id="259" w:name="_Toc526783797"/>
      <w:r>
        <w:rPr>
          <w:lang w:val="es-CR"/>
        </w:rPr>
        <w:t xml:space="preserve"> </w:t>
      </w:r>
      <w:bookmarkStart w:id="260" w:name="_Toc532995381"/>
      <w:r w:rsidR="00903628" w:rsidRPr="0008123D">
        <w:rPr>
          <w:lang w:val="es-CR"/>
        </w:rPr>
        <w:t>Sobre la supuesta llamada de Nitza Paola</w:t>
      </w:r>
      <w:bookmarkEnd w:id="254"/>
      <w:bookmarkEnd w:id="255"/>
      <w:bookmarkEnd w:id="256"/>
      <w:bookmarkEnd w:id="257"/>
      <w:bookmarkEnd w:id="258"/>
      <w:bookmarkEnd w:id="259"/>
      <w:r w:rsidR="00386077">
        <w:rPr>
          <w:lang w:val="es-CR"/>
        </w:rPr>
        <w:t xml:space="preserve"> </w:t>
      </w:r>
      <w:r w:rsidR="00386077" w:rsidRPr="008D0846">
        <w:rPr>
          <w:lang w:val="es-CR"/>
        </w:rPr>
        <w:t>Alvarado Espinoza</w:t>
      </w:r>
      <w:bookmarkEnd w:id="260"/>
    </w:p>
    <w:p w14:paraId="64AA608A" w14:textId="67144F20" w:rsidR="00903628"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Pr>
          <w:rFonts w:ascii="Verdana" w:hAnsi="Verdana"/>
          <w:sz w:val="20"/>
          <w:szCs w:val="20"/>
          <w:lang w:val="es-ES_tradnl"/>
        </w:rPr>
        <w:t>Respecto</w:t>
      </w:r>
      <w:r w:rsidRPr="004338F3">
        <w:rPr>
          <w:rFonts w:ascii="Verdana" w:hAnsi="Verdana"/>
          <w:sz w:val="20"/>
          <w:szCs w:val="20"/>
          <w:lang w:val="es-ES_tradnl"/>
        </w:rPr>
        <w:t xml:space="preserve"> a la supuesta llamada de auxilio de Nitza Paola</w:t>
      </w:r>
      <w:r w:rsidR="00386077">
        <w:rPr>
          <w:rFonts w:ascii="Verdana" w:hAnsi="Verdana"/>
          <w:sz w:val="20"/>
          <w:szCs w:val="20"/>
          <w:lang w:val="es-ES_tradnl"/>
        </w:rPr>
        <w:t xml:space="preserve"> </w:t>
      </w:r>
      <w:r w:rsidR="00386077" w:rsidRPr="008D0846">
        <w:rPr>
          <w:rFonts w:ascii="Verdana" w:hAnsi="Verdana"/>
          <w:sz w:val="20"/>
          <w:szCs w:val="20"/>
          <w:lang w:val="es-ES_tradnl"/>
        </w:rPr>
        <w:t>Alvarado Espinoza</w:t>
      </w:r>
      <w:r w:rsidR="005E3DBE">
        <w:rPr>
          <w:rFonts w:ascii="Verdana" w:hAnsi="Verdana"/>
          <w:sz w:val="20"/>
          <w:szCs w:val="20"/>
          <w:lang w:val="es-ES_tradnl"/>
        </w:rPr>
        <w:t>,</w:t>
      </w:r>
      <w:r w:rsidRPr="004338F3">
        <w:rPr>
          <w:rFonts w:ascii="Verdana" w:hAnsi="Verdana"/>
          <w:sz w:val="20"/>
          <w:szCs w:val="20"/>
          <w:lang w:val="es-ES_tradnl"/>
        </w:rPr>
        <w:t xml:space="preserve"> al teléfono de una amiga el 3 de febrero de 2010</w:t>
      </w:r>
      <w:r>
        <w:rPr>
          <w:rFonts w:ascii="Verdana" w:hAnsi="Verdana"/>
          <w:sz w:val="20"/>
          <w:szCs w:val="20"/>
          <w:lang w:val="es-ES_tradnl"/>
        </w:rPr>
        <w:t xml:space="preserve"> (</w:t>
      </w:r>
      <w:r w:rsidRPr="007568BA">
        <w:rPr>
          <w:rFonts w:ascii="Verdana" w:hAnsi="Verdana"/>
          <w:i/>
          <w:sz w:val="20"/>
          <w:szCs w:val="20"/>
          <w:lang w:val="es-ES_tradnl"/>
        </w:rPr>
        <w:t>supra</w:t>
      </w:r>
      <w:r>
        <w:rPr>
          <w:rFonts w:ascii="Verdana" w:hAnsi="Verdana"/>
          <w:sz w:val="20"/>
          <w:szCs w:val="20"/>
          <w:lang w:val="es-ES_tradnl"/>
        </w:rPr>
        <w:t xml:space="preserve"> párr. 1</w:t>
      </w:r>
      <w:r w:rsidR="004A3F07">
        <w:rPr>
          <w:rFonts w:ascii="Verdana" w:hAnsi="Verdana"/>
          <w:sz w:val="20"/>
          <w:szCs w:val="20"/>
          <w:lang w:val="es-ES_tradnl"/>
        </w:rPr>
        <w:t>0</w:t>
      </w:r>
      <w:r>
        <w:rPr>
          <w:rFonts w:ascii="Verdana" w:hAnsi="Verdana"/>
          <w:sz w:val="20"/>
          <w:szCs w:val="20"/>
          <w:lang w:val="es-ES_tradnl"/>
        </w:rPr>
        <w:t>0)</w:t>
      </w:r>
      <w:r w:rsidR="00B93CB5">
        <w:rPr>
          <w:rFonts w:ascii="Verdana" w:hAnsi="Verdana"/>
          <w:sz w:val="20"/>
          <w:szCs w:val="20"/>
          <w:lang w:val="es-ES_tradnl"/>
        </w:rPr>
        <w:t>,</w:t>
      </w:r>
      <w:r w:rsidRPr="004338F3">
        <w:rPr>
          <w:rFonts w:ascii="Verdana" w:hAnsi="Verdana"/>
          <w:sz w:val="20"/>
          <w:szCs w:val="20"/>
          <w:lang w:val="es-ES_tradnl"/>
        </w:rPr>
        <w:t xml:space="preserve"> </w:t>
      </w:r>
      <w:r w:rsidR="00B93CB5">
        <w:rPr>
          <w:rFonts w:ascii="Verdana" w:hAnsi="Verdana"/>
          <w:sz w:val="20"/>
          <w:szCs w:val="20"/>
          <w:lang w:val="es-ES_tradnl"/>
        </w:rPr>
        <w:t xml:space="preserve">la Corte nota que </w:t>
      </w:r>
      <w:r w:rsidRPr="004338F3">
        <w:rPr>
          <w:rFonts w:ascii="Verdana" w:hAnsi="Verdana"/>
          <w:sz w:val="20"/>
          <w:szCs w:val="20"/>
          <w:lang w:val="es-ES_tradnl"/>
        </w:rPr>
        <w:t>tras una investigación iniciada por la PGJE-Chihuahua</w:t>
      </w:r>
      <w:r>
        <w:rPr>
          <w:rFonts w:ascii="Verdana" w:hAnsi="Verdana"/>
          <w:sz w:val="20"/>
          <w:szCs w:val="20"/>
          <w:lang w:val="es-ES_tradnl"/>
        </w:rPr>
        <w:t xml:space="preserve"> </w:t>
      </w:r>
      <w:r w:rsidRPr="004338F3">
        <w:rPr>
          <w:rFonts w:ascii="Verdana" w:hAnsi="Verdana"/>
          <w:sz w:val="20"/>
          <w:szCs w:val="20"/>
          <w:lang w:val="es-ES_tradnl"/>
        </w:rPr>
        <w:t xml:space="preserve">y continuada por FEVIMTRA </w:t>
      </w:r>
      <w:r w:rsidR="00B93CB5">
        <w:rPr>
          <w:rFonts w:ascii="Verdana" w:hAnsi="Verdana"/>
          <w:sz w:val="20"/>
          <w:szCs w:val="20"/>
          <w:lang w:val="es-ES_tradnl"/>
        </w:rPr>
        <w:t>esta</w:t>
      </w:r>
      <w:r w:rsidRPr="004338F3">
        <w:rPr>
          <w:rFonts w:ascii="Verdana" w:hAnsi="Verdana"/>
          <w:sz w:val="20"/>
          <w:szCs w:val="20"/>
          <w:lang w:val="es-ES_tradnl"/>
        </w:rPr>
        <w:t xml:space="preserve"> fue descartad</w:t>
      </w:r>
      <w:r w:rsidR="005E3DBE">
        <w:rPr>
          <w:rFonts w:ascii="Verdana" w:hAnsi="Verdana"/>
          <w:sz w:val="20"/>
          <w:szCs w:val="20"/>
          <w:lang w:val="es-ES_tradnl"/>
        </w:rPr>
        <w:t>a</w:t>
      </w:r>
      <w:r w:rsidRPr="004338F3">
        <w:rPr>
          <w:rFonts w:ascii="Verdana" w:hAnsi="Verdana"/>
          <w:sz w:val="20"/>
          <w:szCs w:val="20"/>
          <w:lang w:val="es-ES_tradnl"/>
        </w:rPr>
        <w:t xml:space="preserve"> por la autoridad investigadora como relevante para la investigación</w:t>
      </w:r>
      <w:r w:rsidR="00B93CB5">
        <w:rPr>
          <w:rFonts w:ascii="Verdana" w:hAnsi="Verdana"/>
          <w:sz w:val="20"/>
          <w:szCs w:val="20"/>
          <w:lang w:val="es-ES_tradnl"/>
        </w:rPr>
        <w:t>,</w:t>
      </w:r>
      <w:r w:rsidRPr="004338F3">
        <w:rPr>
          <w:rFonts w:ascii="Verdana" w:hAnsi="Verdana"/>
          <w:sz w:val="20"/>
          <w:szCs w:val="20"/>
          <w:lang w:val="es-ES_tradnl"/>
        </w:rPr>
        <w:t xml:space="preserve"> pues consideró que se trató de una llamada de extorsión, ajena a las circunstancias que rodean el</w:t>
      </w:r>
      <w:r>
        <w:rPr>
          <w:rFonts w:ascii="Verdana" w:hAnsi="Verdana"/>
          <w:sz w:val="20"/>
          <w:szCs w:val="20"/>
          <w:lang w:val="es-ES_tradnl"/>
        </w:rPr>
        <w:t xml:space="preserve"> caso (</w:t>
      </w:r>
      <w:r w:rsidRPr="007568BA">
        <w:rPr>
          <w:rFonts w:ascii="Verdana" w:hAnsi="Verdana"/>
          <w:i/>
          <w:sz w:val="20"/>
          <w:szCs w:val="20"/>
          <w:lang w:val="es-ES_tradnl"/>
        </w:rPr>
        <w:t>supra</w:t>
      </w:r>
      <w:r>
        <w:rPr>
          <w:rFonts w:ascii="Verdana" w:hAnsi="Verdana"/>
          <w:sz w:val="20"/>
          <w:szCs w:val="20"/>
          <w:lang w:val="es-ES_tradnl"/>
        </w:rPr>
        <w:t xml:space="preserve"> párr</w:t>
      </w:r>
      <w:r w:rsidR="00C76877">
        <w:rPr>
          <w:rFonts w:ascii="Verdana" w:hAnsi="Verdana"/>
          <w:sz w:val="20"/>
          <w:szCs w:val="20"/>
          <w:lang w:val="es-ES_tradnl"/>
        </w:rPr>
        <w:t>s</w:t>
      </w:r>
      <w:r>
        <w:rPr>
          <w:rFonts w:ascii="Verdana" w:hAnsi="Verdana"/>
          <w:sz w:val="20"/>
          <w:szCs w:val="20"/>
          <w:lang w:val="es-ES_tradnl"/>
        </w:rPr>
        <w:t xml:space="preserve">. </w:t>
      </w:r>
      <w:r w:rsidR="00C76877">
        <w:rPr>
          <w:rFonts w:ascii="Verdana" w:hAnsi="Verdana"/>
          <w:sz w:val="20"/>
          <w:szCs w:val="20"/>
          <w:lang w:val="es-ES_tradnl"/>
        </w:rPr>
        <w:t xml:space="preserve">101 y </w:t>
      </w:r>
      <w:r w:rsidR="004A3F07">
        <w:rPr>
          <w:rFonts w:ascii="Verdana" w:hAnsi="Verdana"/>
          <w:sz w:val="20"/>
          <w:szCs w:val="20"/>
          <w:lang w:val="es-ES_tradnl"/>
        </w:rPr>
        <w:t>102</w:t>
      </w:r>
      <w:r>
        <w:rPr>
          <w:rFonts w:ascii="Verdana" w:hAnsi="Verdana"/>
          <w:sz w:val="20"/>
          <w:szCs w:val="20"/>
          <w:lang w:val="es-ES_tradnl"/>
        </w:rPr>
        <w:t>).</w:t>
      </w:r>
    </w:p>
    <w:p w14:paraId="64AA608C" w14:textId="48EF55C4"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sidRPr="00912336">
        <w:rPr>
          <w:rFonts w:ascii="Verdana" w:hAnsi="Verdana"/>
          <w:sz w:val="20"/>
          <w:szCs w:val="20"/>
          <w:lang w:val="es-ES_tradnl"/>
        </w:rPr>
        <w:t>La Corte observa que las autoridades desplegaron un número considerable de acciones encaminadas a determinar el origen de dicha llamada y su vinculación con la investigación</w:t>
      </w:r>
      <w:r>
        <w:rPr>
          <w:rStyle w:val="Refdenotaalpie"/>
          <w:rFonts w:ascii="Verdana" w:hAnsi="Verdana"/>
          <w:sz w:val="20"/>
          <w:szCs w:val="20"/>
          <w:lang w:val="es-ES_tradnl"/>
        </w:rPr>
        <w:footnoteReference w:id="457"/>
      </w:r>
      <w:r w:rsidRPr="00912336">
        <w:rPr>
          <w:rFonts w:ascii="Verdana" w:hAnsi="Verdana"/>
          <w:sz w:val="20"/>
          <w:szCs w:val="20"/>
          <w:lang w:val="es-ES_tradnl"/>
        </w:rPr>
        <w:t xml:space="preserve"> y que las mismas </w:t>
      </w:r>
      <w:r w:rsidR="00FE7D5B">
        <w:rPr>
          <w:rFonts w:ascii="Verdana" w:hAnsi="Verdana"/>
          <w:sz w:val="20"/>
          <w:szCs w:val="20"/>
          <w:lang w:val="es-ES_tradnl"/>
        </w:rPr>
        <w:t xml:space="preserve">se </w:t>
      </w:r>
      <w:r w:rsidRPr="00912336">
        <w:rPr>
          <w:rFonts w:ascii="Verdana" w:hAnsi="Verdana"/>
          <w:sz w:val="20"/>
          <w:szCs w:val="20"/>
          <w:lang w:val="es-ES_tradnl"/>
        </w:rPr>
        <w:t xml:space="preserve">iniciaron en el momento en que tuvieron conocimiento </w:t>
      </w:r>
      <w:r>
        <w:rPr>
          <w:rFonts w:ascii="Verdana" w:hAnsi="Verdana"/>
          <w:sz w:val="20"/>
          <w:szCs w:val="20"/>
          <w:lang w:val="es-ES_tradnl"/>
        </w:rPr>
        <w:t>del hecho</w:t>
      </w:r>
      <w:r w:rsidRPr="00912336">
        <w:rPr>
          <w:rFonts w:ascii="Verdana" w:hAnsi="Verdana"/>
          <w:sz w:val="20"/>
          <w:szCs w:val="20"/>
          <w:lang w:val="es-ES_tradnl"/>
        </w:rPr>
        <w:t>. Igualmente, constata que la denuncia correspondiente fue presentada</w:t>
      </w:r>
      <w:r>
        <w:rPr>
          <w:rFonts w:ascii="Verdana" w:hAnsi="Verdana"/>
          <w:sz w:val="20"/>
          <w:szCs w:val="20"/>
          <w:lang w:val="es-ES_tradnl"/>
        </w:rPr>
        <w:t xml:space="preserve"> por María de Jesús Alvarado </w:t>
      </w:r>
      <w:r>
        <w:rPr>
          <w:rFonts w:ascii="Verdana" w:hAnsi="Verdana" w:cs="Cambria"/>
          <w:sz w:val="20"/>
          <w:szCs w:val="20"/>
        </w:rPr>
        <w:t>ante el Agente del Ministerio Público de la PGJE - Chihuahua</w:t>
      </w:r>
      <w:r w:rsidRPr="00912336">
        <w:rPr>
          <w:rFonts w:ascii="Verdana" w:hAnsi="Verdana"/>
          <w:sz w:val="20"/>
          <w:szCs w:val="20"/>
          <w:lang w:val="es-ES_tradnl"/>
        </w:rPr>
        <w:t xml:space="preserve"> </w:t>
      </w:r>
      <w:r w:rsidR="00D74301">
        <w:rPr>
          <w:rFonts w:ascii="Verdana" w:hAnsi="Verdana"/>
          <w:sz w:val="20"/>
          <w:szCs w:val="20"/>
          <w:lang w:val="es-ES_tradnl"/>
        </w:rPr>
        <w:t>9</w:t>
      </w:r>
      <w:r w:rsidRPr="00912336">
        <w:rPr>
          <w:rFonts w:ascii="Verdana" w:hAnsi="Verdana"/>
          <w:sz w:val="20"/>
          <w:szCs w:val="20"/>
          <w:lang w:val="es-ES_tradnl"/>
        </w:rPr>
        <w:t xml:space="preserve"> días después de </w:t>
      </w:r>
      <w:r>
        <w:rPr>
          <w:rFonts w:ascii="Verdana" w:hAnsi="Verdana"/>
          <w:sz w:val="20"/>
          <w:szCs w:val="20"/>
          <w:lang w:val="es-ES_tradnl"/>
        </w:rPr>
        <w:t>que la llamada fuera recibida</w:t>
      </w:r>
      <w:r w:rsidR="00CE5C45">
        <w:rPr>
          <w:rFonts w:ascii="Verdana" w:hAnsi="Verdana"/>
          <w:sz w:val="20"/>
          <w:szCs w:val="20"/>
          <w:lang w:val="es-ES_tradnl"/>
        </w:rPr>
        <w:t>,</w:t>
      </w:r>
      <w:r w:rsidRPr="00912336">
        <w:rPr>
          <w:rFonts w:ascii="Verdana" w:hAnsi="Verdana"/>
          <w:sz w:val="20"/>
          <w:szCs w:val="20"/>
          <w:lang w:val="es-ES_tradnl"/>
        </w:rPr>
        <w:t xml:space="preserve"> y que la autoridad</w:t>
      </w:r>
      <w:r>
        <w:rPr>
          <w:rFonts w:ascii="Verdana" w:hAnsi="Verdana"/>
          <w:sz w:val="20"/>
          <w:szCs w:val="20"/>
          <w:lang w:val="es-ES_tradnl"/>
        </w:rPr>
        <w:t xml:space="preserve"> ministerial</w:t>
      </w:r>
      <w:r w:rsidRPr="00912336">
        <w:rPr>
          <w:rFonts w:ascii="Verdana" w:hAnsi="Verdana"/>
          <w:sz w:val="20"/>
          <w:szCs w:val="20"/>
          <w:lang w:val="es-ES_tradnl"/>
        </w:rPr>
        <w:t xml:space="preserve"> federal tuvo conocimiento de ella </w:t>
      </w:r>
      <w:r w:rsidR="00D74301">
        <w:rPr>
          <w:rFonts w:ascii="Verdana" w:hAnsi="Verdana"/>
          <w:sz w:val="20"/>
          <w:szCs w:val="20"/>
          <w:lang w:val="es-ES_tradnl"/>
        </w:rPr>
        <w:t>19</w:t>
      </w:r>
      <w:r w:rsidRPr="00912336">
        <w:rPr>
          <w:rFonts w:ascii="Verdana" w:hAnsi="Verdana"/>
          <w:sz w:val="20"/>
          <w:szCs w:val="20"/>
          <w:lang w:val="es-ES_tradnl"/>
        </w:rPr>
        <w:t xml:space="preserve"> días después</w:t>
      </w:r>
      <w:r>
        <w:rPr>
          <w:rFonts w:ascii="Verdana" w:hAnsi="Verdana"/>
          <w:sz w:val="20"/>
          <w:szCs w:val="20"/>
          <w:lang w:val="es-ES_tradnl"/>
        </w:rPr>
        <w:t xml:space="preserve"> (</w:t>
      </w:r>
      <w:r w:rsidRPr="00343208">
        <w:rPr>
          <w:rFonts w:ascii="Verdana" w:hAnsi="Verdana"/>
          <w:i/>
          <w:sz w:val="20"/>
          <w:szCs w:val="20"/>
          <w:lang w:val="es-ES_tradnl"/>
        </w:rPr>
        <w:t>supra</w:t>
      </w:r>
      <w:r>
        <w:rPr>
          <w:rFonts w:ascii="Verdana" w:hAnsi="Verdana"/>
          <w:sz w:val="20"/>
          <w:szCs w:val="20"/>
          <w:lang w:val="es-ES_tradnl"/>
        </w:rPr>
        <w:t xml:space="preserve"> párr</w:t>
      </w:r>
      <w:r w:rsidR="00834D48">
        <w:rPr>
          <w:rFonts w:ascii="Verdana" w:hAnsi="Verdana"/>
          <w:sz w:val="20"/>
          <w:szCs w:val="20"/>
          <w:lang w:val="es-ES_tradnl"/>
        </w:rPr>
        <w:t>s</w:t>
      </w:r>
      <w:r>
        <w:rPr>
          <w:rFonts w:ascii="Verdana" w:hAnsi="Verdana"/>
          <w:sz w:val="20"/>
          <w:szCs w:val="20"/>
          <w:lang w:val="es-ES_tradnl"/>
        </w:rPr>
        <w:t>.</w:t>
      </w:r>
      <w:r w:rsidR="00834D48">
        <w:rPr>
          <w:rFonts w:ascii="Verdana" w:hAnsi="Verdana"/>
          <w:sz w:val="20"/>
          <w:szCs w:val="20"/>
          <w:lang w:val="es-ES_tradnl"/>
        </w:rPr>
        <w:t xml:space="preserve"> 101 y 102</w:t>
      </w:r>
      <w:r>
        <w:rPr>
          <w:rFonts w:ascii="Verdana" w:hAnsi="Verdana"/>
          <w:sz w:val="20"/>
          <w:szCs w:val="20"/>
          <w:lang w:val="es-ES_tradnl"/>
        </w:rPr>
        <w:t>)</w:t>
      </w:r>
      <w:r w:rsidRPr="00912336">
        <w:rPr>
          <w:rFonts w:ascii="Verdana" w:hAnsi="Verdana"/>
          <w:sz w:val="20"/>
          <w:szCs w:val="20"/>
          <w:lang w:val="es-ES_tradnl"/>
        </w:rPr>
        <w:t xml:space="preserve">. </w:t>
      </w:r>
      <w:r>
        <w:rPr>
          <w:rFonts w:ascii="Verdana" w:hAnsi="Verdana"/>
          <w:sz w:val="20"/>
          <w:szCs w:val="20"/>
          <w:lang w:val="es-ES_tradnl"/>
        </w:rPr>
        <w:t>A pesar de que las autoridades tuvieron conocimiento de que la denuncia no fue inmediata, su actuación –por una parte– se limitó al envío de oficios de requerimiento a las distintas compañías telefónicas y a diversas autoridades (</w:t>
      </w:r>
      <w:r w:rsidRPr="00343208">
        <w:rPr>
          <w:rFonts w:ascii="Verdana" w:hAnsi="Verdana"/>
          <w:i/>
          <w:sz w:val="20"/>
          <w:szCs w:val="20"/>
          <w:lang w:val="es-ES_tradnl"/>
        </w:rPr>
        <w:t>supra</w:t>
      </w:r>
      <w:r>
        <w:rPr>
          <w:rFonts w:ascii="Verdana" w:hAnsi="Verdana"/>
          <w:sz w:val="20"/>
          <w:szCs w:val="20"/>
          <w:lang w:val="es-ES_tradnl"/>
        </w:rPr>
        <w:t xml:space="preserve"> párr. </w:t>
      </w:r>
      <w:r w:rsidR="00834D48">
        <w:rPr>
          <w:rFonts w:ascii="Verdana" w:hAnsi="Verdana"/>
          <w:sz w:val="20"/>
          <w:szCs w:val="20"/>
          <w:lang w:val="es-ES_tradnl"/>
        </w:rPr>
        <w:t>104</w:t>
      </w:r>
      <w:r>
        <w:rPr>
          <w:rFonts w:ascii="Verdana" w:hAnsi="Verdana"/>
          <w:sz w:val="20"/>
          <w:szCs w:val="20"/>
          <w:lang w:val="es-ES_tradnl"/>
        </w:rPr>
        <w:t xml:space="preserve">), quedando sujeta la investigación </w:t>
      </w:r>
      <w:r w:rsidR="00423761" w:rsidRPr="00201EE6">
        <w:rPr>
          <w:rFonts w:ascii="Verdana" w:hAnsi="Verdana"/>
          <w:sz w:val="20"/>
          <w:szCs w:val="20"/>
        </w:rPr>
        <w:t>–</w:t>
      </w:r>
      <w:r>
        <w:rPr>
          <w:rFonts w:ascii="Verdana" w:hAnsi="Verdana"/>
          <w:sz w:val="20"/>
          <w:szCs w:val="20"/>
          <w:lang w:val="es-ES_tradnl"/>
        </w:rPr>
        <w:t>que por la gravedad de las violaciones denunciadas requería una actuación pronta y efectiva</w:t>
      </w:r>
      <w:r w:rsidR="00423761" w:rsidRPr="00201EE6">
        <w:rPr>
          <w:rFonts w:ascii="Verdana" w:hAnsi="Verdana"/>
          <w:sz w:val="20"/>
          <w:szCs w:val="20"/>
        </w:rPr>
        <w:t>–</w:t>
      </w:r>
      <w:r>
        <w:rPr>
          <w:rFonts w:ascii="Verdana" w:hAnsi="Verdana"/>
          <w:sz w:val="20"/>
          <w:szCs w:val="20"/>
          <w:lang w:val="es-ES_tradnl"/>
        </w:rPr>
        <w:t xml:space="preserve"> a los plazos de respuesta de las entidades requeridas, cuestión que el propio Estado admitió. Así, al no haber llevado a cabo una investigación con la </w:t>
      </w:r>
      <w:r w:rsidR="008A16E0">
        <w:rPr>
          <w:rFonts w:ascii="Verdana" w:hAnsi="Verdana"/>
          <w:sz w:val="20"/>
          <w:szCs w:val="20"/>
          <w:lang w:val="es-ES_tradnl"/>
        </w:rPr>
        <w:t>expedites</w:t>
      </w:r>
      <w:r>
        <w:rPr>
          <w:rFonts w:ascii="Verdana" w:hAnsi="Verdana"/>
          <w:sz w:val="20"/>
          <w:szCs w:val="20"/>
          <w:lang w:val="es-ES_tradnl"/>
        </w:rPr>
        <w:t xml:space="preserve"> que el caso requería, la probabilidad </w:t>
      </w:r>
      <w:r w:rsidR="00834D48">
        <w:rPr>
          <w:rFonts w:ascii="Verdana" w:hAnsi="Verdana"/>
          <w:sz w:val="20"/>
          <w:szCs w:val="20"/>
          <w:lang w:val="es-ES_tradnl"/>
        </w:rPr>
        <w:t>d</w:t>
      </w:r>
      <w:r w:rsidR="008A16E0">
        <w:rPr>
          <w:rFonts w:ascii="Verdana" w:hAnsi="Verdana"/>
          <w:sz w:val="20"/>
          <w:szCs w:val="20"/>
          <w:lang w:val="es-ES_tradnl"/>
        </w:rPr>
        <w:t>e</w:t>
      </w:r>
      <w:r>
        <w:rPr>
          <w:rFonts w:ascii="Verdana" w:hAnsi="Verdana"/>
          <w:sz w:val="20"/>
          <w:szCs w:val="20"/>
          <w:lang w:val="es-ES_tradnl"/>
        </w:rPr>
        <w:t xml:space="preserve"> </w:t>
      </w:r>
      <w:r w:rsidR="008A16E0">
        <w:rPr>
          <w:rFonts w:ascii="Verdana" w:hAnsi="Verdana"/>
          <w:sz w:val="20"/>
          <w:szCs w:val="20"/>
          <w:lang w:val="es-ES_tradnl"/>
        </w:rPr>
        <w:t xml:space="preserve">poder </w:t>
      </w:r>
      <w:r>
        <w:rPr>
          <w:rFonts w:ascii="Verdana" w:hAnsi="Verdana"/>
          <w:sz w:val="20"/>
          <w:szCs w:val="20"/>
          <w:lang w:val="es-ES_tradnl"/>
        </w:rPr>
        <w:t xml:space="preserve">localizar a –por lo menos– una de las </w:t>
      </w:r>
      <w:r w:rsidR="008A16E0">
        <w:rPr>
          <w:rFonts w:ascii="Verdana" w:hAnsi="Verdana"/>
          <w:sz w:val="20"/>
          <w:szCs w:val="20"/>
          <w:lang w:val="es-ES_tradnl"/>
        </w:rPr>
        <w:t>personas desaparecidas</w:t>
      </w:r>
      <w:r>
        <w:rPr>
          <w:rFonts w:ascii="Verdana" w:hAnsi="Verdana"/>
          <w:sz w:val="20"/>
          <w:szCs w:val="20"/>
          <w:lang w:val="es-ES_tradnl"/>
        </w:rPr>
        <w:t xml:space="preserve"> y a sus posibles captores disminuyó considerablemente con el paso del tiempo.</w:t>
      </w:r>
    </w:p>
    <w:p w14:paraId="0B7CFD65" w14:textId="20BA1181" w:rsidR="008A16E0" w:rsidRPr="007D40AC"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sidRPr="00201EE6">
        <w:rPr>
          <w:rFonts w:ascii="Verdana" w:hAnsi="Verdana"/>
          <w:sz w:val="20"/>
          <w:szCs w:val="20"/>
          <w:lang w:val="es-ES_tradnl"/>
        </w:rPr>
        <w:t xml:space="preserve">Por otra parte, la Corte observa que la investigación del Estado respecto de este hecho no fue lo suficientemente exhaustiva pues sus conclusiones en cuanto al carácter extorsivo de la llamada no se basan en evidencia cierta, que permita identificar la autoría de la llamada y su motivación, </w:t>
      </w:r>
      <w:r w:rsidRPr="00CE5C45">
        <w:rPr>
          <w:rFonts w:ascii="Verdana" w:hAnsi="Verdana"/>
          <w:sz w:val="20"/>
          <w:szCs w:val="20"/>
          <w:lang w:val="es-ES_tradnl"/>
        </w:rPr>
        <w:t xml:space="preserve">sino que se basan en los informes obtenidos respecto a que el número telefónico del que provino la llamada habría sido utilizado para realizar extorsiones, lo que no era suficientemente conclusivo para cerrar una investigación. Ello si se toma en cuenta que, además, </w:t>
      </w:r>
      <w:r w:rsidRPr="00D4438D">
        <w:rPr>
          <w:rFonts w:ascii="Verdana" w:hAnsi="Verdana"/>
          <w:sz w:val="20"/>
          <w:szCs w:val="20"/>
          <w:lang w:val="es-ES_tradnl"/>
        </w:rPr>
        <w:t>en ningún momento se exigió un pago, elemento indispensable para la existencia de una extorsión</w:t>
      </w:r>
      <w:r w:rsidRPr="00201EE6">
        <w:rPr>
          <w:rFonts w:ascii="Verdana" w:hAnsi="Verdana"/>
          <w:sz w:val="20"/>
          <w:szCs w:val="20"/>
          <w:lang w:val="es-ES_tradnl"/>
        </w:rPr>
        <w:t xml:space="preserve">. Por lo que el Estado </w:t>
      </w:r>
      <w:r w:rsidR="008A16E0">
        <w:rPr>
          <w:rFonts w:ascii="Verdana" w:hAnsi="Verdana"/>
          <w:sz w:val="20"/>
          <w:szCs w:val="20"/>
          <w:lang w:val="es-ES_tradnl"/>
        </w:rPr>
        <w:t>incumplió su deber de debida diligencias en este respecto</w:t>
      </w:r>
      <w:r w:rsidRPr="00201EE6">
        <w:rPr>
          <w:rFonts w:ascii="Verdana" w:hAnsi="Verdana"/>
          <w:sz w:val="20"/>
          <w:szCs w:val="20"/>
          <w:lang w:val="es-ES_tradnl"/>
        </w:rPr>
        <w:t xml:space="preserve">. </w:t>
      </w:r>
      <w:r w:rsidRPr="007D40AC">
        <w:rPr>
          <w:rFonts w:ascii="Verdana" w:hAnsi="Verdana"/>
          <w:sz w:val="20"/>
          <w:szCs w:val="20"/>
          <w:lang w:val="es-ES_tradnl"/>
        </w:rPr>
        <w:t xml:space="preserve">  </w:t>
      </w:r>
    </w:p>
    <w:p w14:paraId="64AA608E" w14:textId="34E99952" w:rsidR="00903628" w:rsidRPr="008A16E0" w:rsidRDefault="0008123D">
      <w:pPr>
        <w:pStyle w:val="Ttulo5"/>
        <w:numPr>
          <w:ilvl w:val="0"/>
          <w:numId w:val="76"/>
        </w:numPr>
        <w:spacing w:before="120" w:after="120"/>
        <w:contextualSpacing w:val="0"/>
        <w:rPr>
          <w:lang w:val="es-CR"/>
        </w:rPr>
      </w:pPr>
      <w:bookmarkStart w:id="261" w:name="_Toc522815031"/>
      <w:r>
        <w:rPr>
          <w:lang w:val="es-CR"/>
        </w:rPr>
        <w:t xml:space="preserve"> </w:t>
      </w:r>
      <w:bookmarkStart w:id="262" w:name="_Toc526777657"/>
      <w:bookmarkStart w:id="263" w:name="_Toc526778140"/>
      <w:bookmarkStart w:id="264" w:name="_Toc526779392"/>
      <w:bookmarkStart w:id="265" w:name="_Toc526780861"/>
      <w:bookmarkStart w:id="266" w:name="_Toc526783798"/>
      <w:bookmarkStart w:id="267" w:name="_Toc532995382"/>
      <w:r w:rsidR="00903628" w:rsidRPr="008A16E0">
        <w:rPr>
          <w:lang w:val="es-CR"/>
        </w:rPr>
        <w:t>Sobre la investigación por la jurisdicción militar</w:t>
      </w:r>
      <w:bookmarkEnd w:id="261"/>
      <w:bookmarkEnd w:id="262"/>
      <w:bookmarkEnd w:id="263"/>
      <w:bookmarkEnd w:id="264"/>
      <w:bookmarkEnd w:id="265"/>
      <w:bookmarkEnd w:id="266"/>
      <w:bookmarkEnd w:id="267"/>
    </w:p>
    <w:p w14:paraId="64AA6090" w14:textId="0BD9F12F"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bookmarkStart w:id="268" w:name="_Toc526777658"/>
      <w:bookmarkStart w:id="269" w:name="_Toc526778141"/>
      <w:bookmarkStart w:id="270" w:name="_Toc526779393"/>
      <w:bookmarkStart w:id="271" w:name="_Toc526780862"/>
      <w:bookmarkStart w:id="272" w:name="_Toc526783799"/>
      <w:bookmarkEnd w:id="268"/>
      <w:bookmarkEnd w:id="269"/>
      <w:bookmarkEnd w:id="270"/>
      <w:bookmarkEnd w:id="271"/>
      <w:bookmarkEnd w:id="272"/>
      <w:r>
        <w:rPr>
          <w:rFonts w:ascii="Verdana" w:hAnsi="Verdana"/>
          <w:sz w:val="20"/>
          <w:szCs w:val="20"/>
          <w:lang w:val="es-ES_tradnl"/>
        </w:rPr>
        <w:t>La Corte observa que desde el 15 de enero de 2010 y hasta el 29 de diciembre de 2011 el caso fue investigado por autoridades militares (</w:t>
      </w:r>
      <w:r w:rsidRPr="007568BA">
        <w:rPr>
          <w:rFonts w:ascii="Verdana" w:hAnsi="Verdana"/>
          <w:i/>
          <w:sz w:val="20"/>
          <w:szCs w:val="20"/>
          <w:lang w:val="es-ES_tradnl"/>
        </w:rPr>
        <w:t>supra</w:t>
      </w:r>
      <w:r w:rsidR="00563842">
        <w:rPr>
          <w:rFonts w:ascii="Verdana" w:hAnsi="Verdana"/>
          <w:sz w:val="20"/>
          <w:szCs w:val="20"/>
          <w:lang w:val="es-ES_tradnl"/>
        </w:rPr>
        <w:t xml:space="preserve"> párrs. </w:t>
      </w:r>
      <w:r w:rsidR="00C625E8">
        <w:rPr>
          <w:rFonts w:ascii="Verdana" w:hAnsi="Verdana"/>
          <w:sz w:val="20"/>
          <w:szCs w:val="20"/>
          <w:lang w:val="es-ES_tradnl"/>
        </w:rPr>
        <w:t>110</w:t>
      </w:r>
      <w:r w:rsidR="00563842">
        <w:rPr>
          <w:rFonts w:ascii="Verdana" w:hAnsi="Verdana"/>
          <w:sz w:val="20"/>
          <w:szCs w:val="20"/>
          <w:lang w:val="es-ES_tradnl"/>
        </w:rPr>
        <w:t xml:space="preserve"> a </w:t>
      </w:r>
      <w:r w:rsidR="00C625E8">
        <w:rPr>
          <w:rFonts w:ascii="Verdana" w:hAnsi="Verdana"/>
          <w:sz w:val="20"/>
          <w:szCs w:val="20"/>
          <w:lang w:val="es-ES_tradnl"/>
        </w:rPr>
        <w:t>116</w:t>
      </w:r>
      <w:r>
        <w:rPr>
          <w:rFonts w:ascii="Verdana" w:hAnsi="Verdana"/>
          <w:sz w:val="20"/>
          <w:szCs w:val="20"/>
          <w:lang w:val="es-ES_tradnl"/>
        </w:rPr>
        <w:t>). Es</w:t>
      </w:r>
      <w:r w:rsidR="008A16E0">
        <w:rPr>
          <w:rFonts w:ascii="Verdana" w:hAnsi="Verdana"/>
          <w:sz w:val="20"/>
          <w:szCs w:val="20"/>
          <w:lang w:val="es-ES_tradnl"/>
        </w:rPr>
        <w:t xml:space="preserve"> decir</w:t>
      </w:r>
      <w:r>
        <w:rPr>
          <w:rFonts w:ascii="Verdana" w:hAnsi="Verdana"/>
          <w:sz w:val="20"/>
          <w:szCs w:val="20"/>
          <w:lang w:val="es-ES_tradnl"/>
        </w:rPr>
        <w:t>, por espacio de un año y once meses el desarrollo de las indagatorias estuvo a cargo de la jurisdicción militar. Al respecto, como ya se señaló, el Estado reconoció su responsabilidad internacional en l</w:t>
      </w:r>
      <w:r>
        <w:rPr>
          <w:rFonts w:ascii="Verdana" w:eastAsia="Times New Roman" w:hAnsi="Verdana" w:cs="Times New Roman"/>
          <w:sz w:val="20"/>
          <w:szCs w:val="20"/>
          <w:lang w:val="es-ES"/>
        </w:rPr>
        <w:t xml:space="preserve">a violación de los </w:t>
      </w:r>
      <w:r w:rsidRPr="007431DF">
        <w:rPr>
          <w:rFonts w:ascii="Verdana" w:eastAsia="Times New Roman" w:hAnsi="Verdana" w:cs="Times New Roman"/>
          <w:sz w:val="20"/>
          <w:szCs w:val="20"/>
          <w:lang w:val="es-ES"/>
        </w:rPr>
        <w:t>artículo</w:t>
      </w:r>
      <w:r>
        <w:rPr>
          <w:rFonts w:ascii="Verdana" w:eastAsia="Times New Roman" w:hAnsi="Verdana" w:cs="Times New Roman"/>
          <w:sz w:val="20"/>
          <w:szCs w:val="20"/>
          <w:lang w:val="es-ES"/>
        </w:rPr>
        <w:t>s</w:t>
      </w:r>
      <w:r w:rsidRPr="007431DF">
        <w:rPr>
          <w:rFonts w:ascii="Verdana" w:eastAsia="Times New Roman" w:hAnsi="Verdana" w:cs="Times New Roman"/>
          <w:sz w:val="20"/>
          <w:szCs w:val="20"/>
          <w:lang w:val="es-ES"/>
        </w:rPr>
        <w:t xml:space="preserve"> 8 y 25 de la Convención, así como </w:t>
      </w:r>
      <w:r w:rsidR="00C625E8">
        <w:rPr>
          <w:rFonts w:ascii="Verdana" w:eastAsia="Times New Roman" w:hAnsi="Verdana" w:cs="Times New Roman"/>
          <w:sz w:val="20"/>
          <w:szCs w:val="20"/>
          <w:lang w:val="es-ES"/>
        </w:rPr>
        <w:t>d</w:t>
      </w:r>
      <w:r w:rsidRPr="007431DF">
        <w:rPr>
          <w:rFonts w:ascii="Verdana" w:eastAsia="Times New Roman" w:hAnsi="Verdana" w:cs="Times New Roman"/>
          <w:sz w:val="20"/>
          <w:szCs w:val="20"/>
          <w:lang w:val="es-ES"/>
        </w:rPr>
        <w:t>el artículo 2 del mismo instrumento</w:t>
      </w:r>
      <w:r>
        <w:rPr>
          <w:rFonts w:ascii="Verdana" w:eastAsia="Times New Roman" w:hAnsi="Verdana" w:cs="Times New Roman"/>
          <w:sz w:val="20"/>
          <w:szCs w:val="20"/>
          <w:lang w:val="es-ES"/>
        </w:rPr>
        <w:t xml:space="preserve"> por este aspecto (</w:t>
      </w:r>
      <w:r w:rsidRPr="007568BA">
        <w:rPr>
          <w:rFonts w:ascii="Verdana" w:eastAsia="Times New Roman" w:hAnsi="Verdana" w:cs="Times New Roman"/>
          <w:i/>
          <w:sz w:val="20"/>
          <w:szCs w:val="20"/>
          <w:lang w:val="es-ES"/>
        </w:rPr>
        <w:t>supra</w:t>
      </w:r>
      <w:r>
        <w:rPr>
          <w:rFonts w:ascii="Verdana" w:eastAsia="Times New Roman" w:hAnsi="Verdana" w:cs="Times New Roman"/>
          <w:sz w:val="20"/>
          <w:szCs w:val="20"/>
          <w:lang w:val="es-ES"/>
        </w:rPr>
        <w:t xml:space="preserve"> párr. 2</w:t>
      </w:r>
      <w:r w:rsidR="00C625E8">
        <w:rPr>
          <w:rFonts w:ascii="Verdana" w:eastAsia="Times New Roman" w:hAnsi="Verdana" w:cs="Times New Roman"/>
          <w:sz w:val="20"/>
          <w:szCs w:val="20"/>
          <w:lang w:val="es-ES"/>
        </w:rPr>
        <w:t>1</w:t>
      </w:r>
      <w:r>
        <w:rPr>
          <w:rFonts w:ascii="Verdana" w:eastAsia="Times New Roman" w:hAnsi="Verdana" w:cs="Times New Roman"/>
          <w:sz w:val="20"/>
          <w:szCs w:val="20"/>
          <w:lang w:val="es-ES"/>
        </w:rPr>
        <w:t xml:space="preserve">). Dada la admisión de responsabilidad en la evidente violación a este derecho, esta Corte solamente se referirá a algunos aspectos </w:t>
      </w:r>
      <w:r w:rsidR="008A16E0">
        <w:rPr>
          <w:rFonts w:ascii="Verdana" w:eastAsia="Times New Roman" w:hAnsi="Verdana" w:cs="Times New Roman"/>
          <w:sz w:val="20"/>
          <w:szCs w:val="20"/>
          <w:lang w:val="es-ES"/>
        </w:rPr>
        <w:t>puntuales sobre el alcance de</w:t>
      </w:r>
      <w:r>
        <w:rPr>
          <w:rFonts w:ascii="Verdana" w:eastAsia="Times New Roman" w:hAnsi="Verdana" w:cs="Times New Roman"/>
          <w:sz w:val="20"/>
          <w:szCs w:val="20"/>
          <w:lang w:val="es-ES"/>
        </w:rPr>
        <w:t xml:space="preserve"> la violación.</w:t>
      </w:r>
      <w:r w:rsidRPr="00D46E1E">
        <w:rPr>
          <w:rFonts w:ascii="Verdana" w:eastAsia="Times New Roman" w:hAnsi="Verdana" w:cs="Times New Roman"/>
          <w:sz w:val="20"/>
          <w:szCs w:val="20"/>
          <w:lang w:val="es-ES"/>
        </w:rPr>
        <w:t xml:space="preserve">  </w:t>
      </w:r>
    </w:p>
    <w:p w14:paraId="64AA6092" w14:textId="549A6D2E"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sidRPr="00201EE6">
        <w:rPr>
          <w:rFonts w:ascii="Verdana" w:hAnsi="Verdana"/>
          <w:sz w:val="20"/>
          <w:szCs w:val="20"/>
          <w:lang w:val="es-CR"/>
        </w:rPr>
        <w:lastRenderedPageBreak/>
        <w:t>La Corte r</w:t>
      </w:r>
      <w:r w:rsidR="008A16E0">
        <w:rPr>
          <w:rFonts w:ascii="Verdana" w:hAnsi="Verdana"/>
          <w:sz w:val="20"/>
          <w:szCs w:val="20"/>
          <w:lang w:val="es-CR"/>
        </w:rPr>
        <w:t>eitera</w:t>
      </w:r>
      <w:r w:rsidRPr="00201EE6">
        <w:rPr>
          <w:rFonts w:ascii="Verdana" w:hAnsi="Verdana"/>
          <w:sz w:val="20"/>
          <w:szCs w:val="20"/>
          <w:lang w:val="es-CR"/>
        </w:rPr>
        <w:t xml:space="preserve"> </w:t>
      </w:r>
      <w:r w:rsidRPr="00201EE6">
        <w:rPr>
          <w:rFonts w:ascii="Verdana" w:hAnsi="Verdana"/>
          <w:sz w:val="20"/>
          <w:lang w:val="es-ES_tradnl"/>
        </w:rPr>
        <w:t>que la jurisdicción militar ha sido establecida por diversas legislaciones</w:t>
      </w:r>
      <w:r w:rsidRPr="00201EE6">
        <w:rPr>
          <w:rFonts w:ascii="Verdana" w:hAnsi="Verdana"/>
          <w:b/>
          <w:sz w:val="20"/>
          <w:lang w:val="es-ES_tradnl"/>
        </w:rPr>
        <w:t xml:space="preserve"> </w:t>
      </w:r>
      <w:r w:rsidRPr="00201EE6">
        <w:rPr>
          <w:rFonts w:ascii="Verdana" w:hAnsi="Verdana"/>
          <w:sz w:val="20"/>
          <w:lang w:val="es-ES_tradnl"/>
        </w:rPr>
        <w:t>con el fin de mantener el orden y la disciplina dentro de las fuerzas armadas, por lo que no es la naturalmente aplicable a civiles que carecen de funciones militares y que por ello no pueden incurrir en conductas contrarias a deberes</w:t>
      </w:r>
      <w:r w:rsidR="008A16E0">
        <w:rPr>
          <w:rFonts w:ascii="Verdana" w:hAnsi="Verdana"/>
          <w:sz w:val="20"/>
          <w:lang w:val="es-ES_tradnl"/>
        </w:rPr>
        <w:t xml:space="preserve"> funcionales de este carácter. </w:t>
      </w:r>
      <w:r w:rsidRPr="00201EE6">
        <w:rPr>
          <w:rFonts w:ascii="Verdana" w:hAnsi="Verdana"/>
          <w:sz w:val="20"/>
          <w:lang w:val="es-ES_tradnl"/>
        </w:rPr>
        <w:t xml:space="preserve">Cuando la justicia militar asume competencia sobre un asunto que debe conocer la justicia ordinaria, se ve afectado el derecho al juez natural y, </w:t>
      </w:r>
      <w:r w:rsidRPr="00201EE6">
        <w:rPr>
          <w:rFonts w:ascii="Verdana" w:hAnsi="Verdana"/>
          <w:i/>
          <w:sz w:val="20"/>
          <w:lang w:val="es-ES_tradnl"/>
        </w:rPr>
        <w:t xml:space="preserve">a fortiori, </w:t>
      </w:r>
      <w:r w:rsidRPr="00201EE6">
        <w:rPr>
          <w:rFonts w:ascii="Verdana" w:hAnsi="Verdana"/>
          <w:sz w:val="20"/>
          <w:lang w:val="es-ES_tradnl"/>
        </w:rPr>
        <w:t>el</w:t>
      </w:r>
      <w:r w:rsidRPr="00201EE6">
        <w:rPr>
          <w:rFonts w:ascii="Verdana" w:hAnsi="Verdana"/>
          <w:i/>
          <w:sz w:val="20"/>
          <w:lang w:val="es-ES_tradnl"/>
        </w:rPr>
        <w:t xml:space="preserve"> </w:t>
      </w:r>
      <w:r w:rsidRPr="00201EE6">
        <w:rPr>
          <w:rFonts w:ascii="Verdana" w:hAnsi="Verdana"/>
          <w:sz w:val="20"/>
          <w:lang w:val="es-ES_tradnl"/>
        </w:rPr>
        <w:t>debido proceso, íntimamente ligado al propio derecho de acceso a la justicia</w:t>
      </w:r>
      <w:r>
        <w:rPr>
          <w:rStyle w:val="Refdenotaalpie"/>
          <w:rFonts w:ascii="Verdana" w:hAnsi="Verdana"/>
          <w:sz w:val="20"/>
          <w:lang w:val="es-ES_tradnl"/>
        </w:rPr>
        <w:footnoteReference w:id="458"/>
      </w:r>
      <w:r w:rsidRPr="00201EE6">
        <w:rPr>
          <w:rFonts w:ascii="Verdana" w:hAnsi="Verdana"/>
          <w:sz w:val="20"/>
          <w:lang w:val="es-ES_tradnl"/>
        </w:rPr>
        <w:t xml:space="preserve">. </w:t>
      </w:r>
      <w:r w:rsidRPr="00201EE6">
        <w:rPr>
          <w:rFonts w:ascii="Verdana" w:hAnsi="Verdana"/>
          <w:sz w:val="20"/>
          <w:szCs w:val="20"/>
          <w:lang w:val="es-ES_tradnl"/>
        </w:rPr>
        <w:t xml:space="preserve">En relación con México, este Tribunal ha concluido que </w:t>
      </w:r>
      <w:r w:rsidRPr="00201EE6">
        <w:rPr>
          <w:rFonts w:ascii="Verdana" w:hAnsi="Verdana"/>
          <w:bCs/>
          <w:sz w:val="20"/>
          <w:szCs w:val="20"/>
          <w:lang w:val="es-ES_tradnl"/>
        </w:rPr>
        <w:t xml:space="preserve">la jurisdicción militar </w:t>
      </w:r>
      <w:r w:rsidRPr="00201EE6">
        <w:rPr>
          <w:rFonts w:ascii="Verdana" w:hAnsi="Verdana"/>
          <w:sz w:val="20"/>
          <w:szCs w:val="20"/>
          <w:lang w:val="es-ES_tradnl"/>
        </w:rPr>
        <w:t xml:space="preserve">no es el fuero competente para investigar y, en su caso, juzgar y sancionar a los autores de alegadas vulneraciones de derechos humanos, sino que el procesamiento de los responsables corresponde siempre a la justicia ordinaria; lo que aplica </w:t>
      </w:r>
      <w:r w:rsidRPr="00201EE6">
        <w:rPr>
          <w:rFonts w:ascii="Verdana" w:hAnsi="Verdana"/>
          <w:bCs/>
          <w:sz w:val="20"/>
          <w:szCs w:val="20"/>
          <w:lang w:val="es-ES_tradnl"/>
        </w:rPr>
        <w:t>a todas las violaciones de derechos humanos</w:t>
      </w:r>
      <w:r w:rsidRPr="00AE0131">
        <w:rPr>
          <w:rStyle w:val="Refdenotaalpie"/>
          <w:rFonts w:ascii="Verdana" w:hAnsi="Verdana"/>
          <w:bCs/>
          <w:sz w:val="20"/>
          <w:szCs w:val="20"/>
          <w:lang w:val="es-ES_tradnl"/>
        </w:rPr>
        <w:footnoteReference w:id="459"/>
      </w:r>
      <w:r w:rsidRPr="00201EE6">
        <w:rPr>
          <w:rFonts w:ascii="Verdana" w:hAnsi="Verdana"/>
          <w:bCs/>
          <w:sz w:val="20"/>
          <w:szCs w:val="20"/>
          <w:lang w:val="es-ES_tradnl"/>
        </w:rPr>
        <w:t xml:space="preserve"> y no se limita al acto de juzgar a cargo de un tribunal, sino fundamentalmente a la propia investigación</w:t>
      </w:r>
      <w:r w:rsidRPr="00AE0131">
        <w:rPr>
          <w:rStyle w:val="Refdenotaalpie"/>
          <w:rFonts w:ascii="Verdana" w:hAnsi="Verdana"/>
          <w:bCs/>
          <w:sz w:val="20"/>
          <w:szCs w:val="20"/>
          <w:lang w:val="es-ES_tradnl"/>
        </w:rPr>
        <w:footnoteReference w:id="460"/>
      </w:r>
      <w:r w:rsidRPr="00201EE6">
        <w:rPr>
          <w:rFonts w:ascii="Verdana" w:hAnsi="Verdana"/>
          <w:bCs/>
          <w:sz w:val="20"/>
          <w:szCs w:val="20"/>
          <w:lang w:val="es-ES_tradnl"/>
        </w:rPr>
        <w:t>.</w:t>
      </w:r>
    </w:p>
    <w:p w14:paraId="60D2F7A4" w14:textId="54B851A8" w:rsidR="00F40CA4" w:rsidRPr="00F40CA4"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sidRPr="008A16E0">
        <w:rPr>
          <w:rFonts w:ascii="Verdana" w:hAnsi="Verdana"/>
          <w:sz w:val="20"/>
          <w:szCs w:val="20"/>
          <w:lang w:val="es-ES_tradnl"/>
        </w:rPr>
        <w:t>Ahora</w:t>
      </w:r>
      <w:r w:rsidR="008A16E0" w:rsidRPr="008A16E0">
        <w:rPr>
          <w:rFonts w:ascii="Verdana" w:hAnsi="Verdana"/>
          <w:sz w:val="20"/>
          <w:szCs w:val="20"/>
          <w:lang w:val="es-ES_tradnl"/>
        </w:rPr>
        <w:t xml:space="preserve"> bien</w:t>
      </w:r>
      <w:r w:rsidRPr="008A16E0">
        <w:rPr>
          <w:rFonts w:ascii="Verdana" w:hAnsi="Verdana"/>
          <w:sz w:val="20"/>
          <w:szCs w:val="20"/>
          <w:lang w:val="es-ES_tradnl"/>
        </w:rPr>
        <w:t>, independientemente de la violación directa a los artícul</w:t>
      </w:r>
      <w:r w:rsidR="008A16E0" w:rsidRPr="008A16E0">
        <w:rPr>
          <w:rFonts w:ascii="Verdana" w:hAnsi="Verdana"/>
          <w:sz w:val="20"/>
          <w:szCs w:val="20"/>
          <w:lang w:val="es-ES_tradnl"/>
        </w:rPr>
        <w:t>os 8 y 25, en relación con el 2</w:t>
      </w:r>
      <w:r w:rsidRPr="008A16E0">
        <w:rPr>
          <w:rFonts w:ascii="Verdana" w:hAnsi="Verdana"/>
          <w:sz w:val="20"/>
          <w:szCs w:val="20"/>
          <w:lang w:val="es-ES_tradnl"/>
        </w:rPr>
        <w:t xml:space="preserve"> de la Convención por incompatibilidad con ésta, el involucramiento de la jurisdicción militar e</w:t>
      </w:r>
      <w:r w:rsidR="008A16E0" w:rsidRPr="008A16E0">
        <w:rPr>
          <w:rFonts w:ascii="Verdana" w:hAnsi="Verdana"/>
          <w:sz w:val="20"/>
          <w:szCs w:val="20"/>
          <w:lang w:val="es-ES_tradnl"/>
        </w:rPr>
        <w:t>n el desarrollo del caso implicó</w:t>
      </w:r>
      <w:r w:rsidRPr="008A16E0">
        <w:rPr>
          <w:rFonts w:ascii="Verdana" w:hAnsi="Verdana"/>
          <w:sz w:val="20"/>
          <w:szCs w:val="20"/>
          <w:lang w:val="es-ES_tradnl"/>
        </w:rPr>
        <w:t xml:space="preserve"> –además– una falta grave al deber de debida diligencia en las investigaciones criminales; pues al tra</w:t>
      </w:r>
      <w:r w:rsidR="008A16E0" w:rsidRPr="008A16E0">
        <w:rPr>
          <w:rFonts w:ascii="Verdana" w:hAnsi="Verdana"/>
          <w:sz w:val="20"/>
          <w:szCs w:val="20"/>
          <w:lang w:val="es-ES_tradnl"/>
        </w:rPr>
        <w:t>tarse de autoridades que carecían</w:t>
      </w:r>
      <w:r w:rsidRPr="008A16E0">
        <w:rPr>
          <w:rFonts w:ascii="Verdana" w:hAnsi="Verdana"/>
          <w:sz w:val="20"/>
          <w:szCs w:val="20"/>
          <w:lang w:val="es-ES_tradnl"/>
        </w:rPr>
        <w:t xml:space="preserve"> de independencia e imparcialidad, las indagatorias y demás actuaciones realizadas por ellas –al haber sido realizadas con la expresa intención de determinar si existió participación de elementos militares en la desaparición</w:t>
      </w:r>
      <w:r>
        <w:rPr>
          <w:rStyle w:val="Refdenotaalpie"/>
          <w:rFonts w:ascii="Verdana" w:hAnsi="Verdana"/>
          <w:sz w:val="20"/>
          <w:szCs w:val="20"/>
          <w:lang w:val="es-ES_tradnl"/>
        </w:rPr>
        <w:footnoteReference w:id="461"/>
      </w:r>
      <w:r w:rsidRPr="008A16E0">
        <w:rPr>
          <w:rFonts w:ascii="Verdana" w:hAnsi="Verdana"/>
          <w:sz w:val="20"/>
          <w:szCs w:val="20"/>
          <w:lang w:val="es-ES_tradnl"/>
        </w:rPr>
        <w:t xml:space="preserve"> y al haberse verificado en los primeros meses después de ésta– supusieron la pérdida de elementos de prueba valiosos</w:t>
      </w:r>
      <w:r w:rsidR="008A16E0" w:rsidRPr="008A16E0">
        <w:rPr>
          <w:rFonts w:ascii="Verdana" w:hAnsi="Verdana"/>
          <w:sz w:val="20"/>
          <w:szCs w:val="20"/>
          <w:lang w:val="es-ES_tradnl"/>
        </w:rPr>
        <w:t>,</w:t>
      </w:r>
      <w:r w:rsidRPr="008A16E0">
        <w:rPr>
          <w:rFonts w:ascii="Verdana" w:hAnsi="Verdana"/>
          <w:sz w:val="20"/>
          <w:szCs w:val="20"/>
          <w:lang w:val="es-ES_tradnl"/>
        </w:rPr>
        <w:t xml:space="preserve"> afectando con ello de forma</w:t>
      </w:r>
      <w:r w:rsidR="008A16E0" w:rsidRPr="008A16E0">
        <w:rPr>
          <w:rFonts w:ascii="Verdana" w:hAnsi="Verdana"/>
          <w:sz w:val="20"/>
          <w:szCs w:val="20"/>
          <w:lang w:val="es-ES_tradnl"/>
        </w:rPr>
        <w:t xml:space="preserve"> relevante </w:t>
      </w:r>
      <w:r w:rsidRPr="008A16E0">
        <w:rPr>
          <w:rFonts w:ascii="Verdana" w:hAnsi="Verdana"/>
          <w:sz w:val="20"/>
          <w:szCs w:val="20"/>
          <w:lang w:val="es-ES_tradnl"/>
        </w:rPr>
        <w:t>el de</w:t>
      </w:r>
      <w:r w:rsidR="008A16E0">
        <w:rPr>
          <w:rFonts w:ascii="Verdana" w:hAnsi="Verdana"/>
          <w:sz w:val="20"/>
          <w:szCs w:val="20"/>
          <w:lang w:val="es-ES_tradnl"/>
        </w:rPr>
        <w:t>sarrollo de las investigaciones.</w:t>
      </w:r>
    </w:p>
    <w:p w14:paraId="63467B09" w14:textId="61563039" w:rsidR="00F40CA4" w:rsidRPr="00C90B3F" w:rsidRDefault="00F40CA4"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lang w:val="es-ES_tradnl"/>
        </w:rPr>
        <w:t>D</w:t>
      </w:r>
      <w:r w:rsidRPr="00C90B3F">
        <w:rPr>
          <w:rFonts w:ascii="Verdana" w:hAnsi="Verdana"/>
          <w:sz w:val="20"/>
          <w:szCs w:val="20"/>
          <w:lang w:val="es-ES_tradnl"/>
        </w:rPr>
        <w:t>e</w:t>
      </w:r>
      <w:r w:rsidRPr="00C90B3F">
        <w:rPr>
          <w:rFonts w:ascii="Verdana" w:hAnsi="Verdana"/>
          <w:sz w:val="20"/>
          <w:szCs w:val="20"/>
        </w:rPr>
        <w:t xml:space="preserve"> acuerdo con la jurisprudencia de este Tribunal, para que no se declare la responsabilidad estatal, es insuficiente que el Estado reconozca un hecho ilícito internacional sino que, </w:t>
      </w:r>
      <w:r w:rsidRPr="00C90B3F">
        <w:rPr>
          <w:rFonts w:ascii="Verdana" w:hAnsi="Verdana"/>
          <w:sz w:val="20"/>
          <w:szCs w:val="20"/>
          <w:lang w:val="es-CR" w:eastAsia="es-CR"/>
        </w:rPr>
        <w:t>adicionalmente</w:t>
      </w:r>
      <w:r w:rsidRPr="00C90B3F">
        <w:rPr>
          <w:rFonts w:ascii="Verdana" w:hAnsi="Verdana"/>
          <w:sz w:val="20"/>
          <w:szCs w:val="20"/>
        </w:rPr>
        <w:t>, debe evaluarse si lo hizo cesar y si reparó las consecuencias de la medida o situación que lo configuró</w:t>
      </w:r>
      <w:r w:rsidRPr="00C90B3F">
        <w:rPr>
          <w:rStyle w:val="Refdenotaalpie"/>
          <w:rFonts w:ascii="Verdana" w:hAnsi="Verdana"/>
          <w:sz w:val="20"/>
          <w:szCs w:val="20"/>
        </w:rPr>
        <w:footnoteReference w:id="462"/>
      </w:r>
      <w:r w:rsidRPr="00C90B3F">
        <w:rPr>
          <w:rFonts w:ascii="Verdana" w:hAnsi="Verdana"/>
          <w:sz w:val="20"/>
          <w:szCs w:val="20"/>
        </w:rPr>
        <w:t>.</w:t>
      </w:r>
    </w:p>
    <w:p w14:paraId="14FFE50D" w14:textId="3E21724C" w:rsidR="007D40AC"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sidRPr="00201EE6">
        <w:rPr>
          <w:rFonts w:ascii="Verdana" w:hAnsi="Verdana"/>
          <w:sz w:val="20"/>
          <w:szCs w:val="20"/>
          <w:lang w:val="es-ES_tradnl"/>
        </w:rPr>
        <w:t>Por tanto, esta Corte considera que –contrario a lo afirmado por el Estado– la posterior remisión del caso a las autoridades civiles, si bien fue una decis</w:t>
      </w:r>
      <w:r w:rsidR="008A16E0">
        <w:rPr>
          <w:rFonts w:ascii="Verdana" w:hAnsi="Verdana"/>
          <w:sz w:val="20"/>
          <w:szCs w:val="20"/>
          <w:lang w:val="es-ES_tradnl"/>
        </w:rPr>
        <w:t>ión correcta, no implicó que la violación hubieran quedado subsanada,</w:t>
      </w:r>
      <w:r w:rsidRPr="00201EE6">
        <w:rPr>
          <w:rFonts w:ascii="Verdana" w:hAnsi="Verdana"/>
          <w:sz w:val="20"/>
          <w:szCs w:val="20"/>
          <w:lang w:val="es-ES_tradnl"/>
        </w:rPr>
        <w:t xml:space="preserve"> pues las afectaciones al proceso de investigación, en cuanto a la obtención de elementos de prueba pertinentes y el desarrollo de diligencias en los primeros momentos, </w:t>
      </w:r>
      <w:r w:rsidR="008A16E0">
        <w:rPr>
          <w:rFonts w:ascii="Verdana" w:hAnsi="Verdana"/>
          <w:sz w:val="20"/>
          <w:szCs w:val="20"/>
          <w:lang w:val="es-ES_tradnl"/>
        </w:rPr>
        <w:t xml:space="preserve">han tenido serias </w:t>
      </w:r>
      <w:r w:rsidRPr="00201EE6">
        <w:rPr>
          <w:rFonts w:ascii="Verdana" w:hAnsi="Verdana"/>
          <w:sz w:val="20"/>
          <w:szCs w:val="20"/>
          <w:lang w:val="es-ES_tradnl"/>
        </w:rPr>
        <w:t>implicaciones</w:t>
      </w:r>
      <w:r w:rsidR="005F13B4">
        <w:rPr>
          <w:rFonts w:ascii="Verdana" w:hAnsi="Verdana"/>
          <w:sz w:val="20"/>
          <w:szCs w:val="20"/>
          <w:lang w:val="es-ES_tradnl"/>
        </w:rPr>
        <w:t xml:space="preserve"> en la investigación</w:t>
      </w:r>
      <w:r w:rsidR="007D40AC">
        <w:rPr>
          <w:rFonts w:ascii="Verdana" w:hAnsi="Verdana"/>
          <w:sz w:val="20"/>
          <w:szCs w:val="20"/>
          <w:lang w:val="es-ES_tradnl"/>
        </w:rPr>
        <w:t xml:space="preserve">, máxime cuando se trata de una desaparición en que la debida diligencia resulta crucial para dar con el paradero de las víctimas. </w:t>
      </w:r>
    </w:p>
    <w:p w14:paraId="64AA6096" w14:textId="4306584A" w:rsidR="00201EE6" w:rsidRPr="00813B72" w:rsidRDefault="007D40AC"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Pr>
          <w:rFonts w:ascii="Verdana" w:hAnsi="Verdana"/>
          <w:sz w:val="20"/>
          <w:szCs w:val="20"/>
          <w:lang w:val="es-ES_tradnl"/>
        </w:rPr>
        <w:t xml:space="preserve">El contexto acreditado de impunidad en México respecto de este tipo de casos demuestra además la falta de fiscalización de dichos operativos con participación militar. Así quedó evidenciado además </w:t>
      </w:r>
      <w:r w:rsidR="00A64184">
        <w:rPr>
          <w:rFonts w:ascii="Verdana" w:hAnsi="Verdana"/>
          <w:sz w:val="20"/>
          <w:szCs w:val="20"/>
          <w:lang w:val="es-ES_tradnl"/>
        </w:rPr>
        <w:t>con la Q</w:t>
      </w:r>
      <w:r>
        <w:rPr>
          <w:rFonts w:ascii="Verdana" w:hAnsi="Verdana"/>
          <w:sz w:val="20"/>
          <w:szCs w:val="20"/>
          <w:lang w:val="es-ES_tradnl"/>
        </w:rPr>
        <w:t xml:space="preserve">ueja 886/09, promovida ante el mecanismo de atención a quejas y denuncias del Operativo Conjunto Chihuahua, la cual no derivó en ninguna actuación por parte de las autoridades </w:t>
      </w:r>
      <w:r w:rsidR="00A64184">
        <w:rPr>
          <w:rFonts w:ascii="Verdana" w:hAnsi="Verdana"/>
          <w:sz w:val="20"/>
          <w:szCs w:val="20"/>
          <w:lang w:val="es-ES_tradnl"/>
        </w:rPr>
        <w:t xml:space="preserve">ni recayó ninguna decisión al respecto </w:t>
      </w:r>
      <w:r>
        <w:rPr>
          <w:rFonts w:ascii="Verdana" w:hAnsi="Verdana"/>
          <w:sz w:val="20"/>
          <w:szCs w:val="20"/>
          <w:lang w:val="es-ES_tradnl"/>
        </w:rPr>
        <w:t>(</w:t>
      </w:r>
      <w:r w:rsidRPr="00C90B3F">
        <w:rPr>
          <w:rFonts w:ascii="Verdana" w:hAnsi="Verdana"/>
          <w:i/>
          <w:sz w:val="20"/>
          <w:szCs w:val="20"/>
          <w:lang w:val="es-ES_tradnl"/>
        </w:rPr>
        <w:t>supra</w:t>
      </w:r>
      <w:r>
        <w:rPr>
          <w:rFonts w:ascii="Verdana" w:hAnsi="Verdana"/>
          <w:sz w:val="20"/>
          <w:szCs w:val="20"/>
          <w:lang w:val="es-ES_tradnl"/>
        </w:rPr>
        <w:t xml:space="preserve"> </w:t>
      </w:r>
      <w:r w:rsidR="00A75657">
        <w:rPr>
          <w:rFonts w:ascii="Verdana" w:hAnsi="Verdana"/>
          <w:sz w:val="20"/>
          <w:szCs w:val="20"/>
          <w:lang w:val="es-ES_tradnl"/>
        </w:rPr>
        <w:t>párr. 142</w:t>
      </w:r>
      <w:r>
        <w:rPr>
          <w:rFonts w:ascii="Verdana" w:hAnsi="Verdana"/>
          <w:sz w:val="20"/>
          <w:szCs w:val="20"/>
          <w:lang w:val="es-ES_tradnl"/>
        </w:rPr>
        <w:t>)</w:t>
      </w:r>
    </w:p>
    <w:p w14:paraId="64AA6098" w14:textId="6575DBE8"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sidRPr="00201EE6">
        <w:rPr>
          <w:rFonts w:ascii="Verdana" w:hAnsi="Verdana"/>
          <w:sz w:val="20"/>
          <w:szCs w:val="20"/>
          <w:lang w:val="es-ES_tradnl"/>
        </w:rPr>
        <w:t xml:space="preserve">Por otro lado, el Estado afirmó que el conocimiento del caso por la jurisdicción militar se debió a que así lo disponía el artículo 57.II.a) del Código de Justicia Militar vigente en dicha época, </w:t>
      </w:r>
      <w:r w:rsidRPr="00201EE6">
        <w:rPr>
          <w:rFonts w:ascii="Verdana" w:hAnsi="Verdana"/>
          <w:sz w:val="20"/>
          <w:szCs w:val="20"/>
          <w:lang w:val="es-ES_tradnl"/>
        </w:rPr>
        <w:lastRenderedPageBreak/>
        <w:t>cuestión que –a su juicio– ha quedado subsanada a partir de la modificación de dicho ordenamiento por el Congreso de la Unión. La Comisión y las Representantes, por su parte, consideraron que subsistía un elemento inconvencional en dicha norma, a saber, la competencia del fuero militar respecto de violaciones a derechos humanos cometidas en contra de un militar, por lo que pidieron que este Tribunal se pronunciara al respecto.</w:t>
      </w:r>
    </w:p>
    <w:p w14:paraId="64AA609A" w14:textId="37CCBC8B"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sidRPr="00201EE6">
        <w:rPr>
          <w:rFonts w:ascii="Verdana" w:hAnsi="Verdana"/>
          <w:sz w:val="20"/>
          <w:szCs w:val="20"/>
          <w:lang w:val="es-ES_tradnl"/>
        </w:rPr>
        <w:t xml:space="preserve">Sobre dicha cuestión, tanto la Comisión como las </w:t>
      </w:r>
      <w:r w:rsidR="00E5344B">
        <w:rPr>
          <w:rFonts w:ascii="Verdana" w:hAnsi="Verdana"/>
          <w:sz w:val="20"/>
          <w:szCs w:val="20"/>
          <w:lang w:val="es-ES_tradnl"/>
        </w:rPr>
        <w:t>r</w:t>
      </w:r>
      <w:r w:rsidRPr="00201EE6">
        <w:rPr>
          <w:rFonts w:ascii="Verdana" w:hAnsi="Verdana"/>
          <w:sz w:val="20"/>
          <w:szCs w:val="20"/>
          <w:lang w:val="es-ES_tradnl"/>
        </w:rPr>
        <w:t>epresentantes citaron las conclusion</w:t>
      </w:r>
      <w:r w:rsidR="005F13B4">
        <w:rPr>
          <w:rFonts w:ascii="Verdana" w:hAnsi="Verdana"/>
          <w:sz w:val="20"/>
          <w:szCs w:val="20"/>
          <w:lang w:val="es-ES_tradnl"/>
        </w:rPr>
        <w:t>es de esta Corte al emitir las R</w:t>
      </w:r>
      <w:r w:rsidRPr="00201EE6">
        <w:rPr>
          <w:rFonts w:ascii="Verdana" w:hAnsi="Verdana"/>
          <w:sz w:val="20"/>
          <w:szCs w:val="20"/>
          <w:lang w:val="es-ES_tradnl"/>
        </w:rPr>
        <w:t xml:space="preserve">esoluciones de 17 de abril de 2015 dentro los procesos de supervisión de cumplimiento de sentencia de los </w:t>
      </w:r>
      <w:r w:rsidR="00A75657">
        <w:rPr>
          <w:rFonts w:ascii="Verdana" w:hAnsi="Verdana"/>
          <w:i/>
          <w:sz w:val="20"/>
          <w:szCs w:val="20"/>
          <w:lang w:val="es-ES_tradnl"/>
        </w:rPr>
        <w:t>c</w:t>
      </w:r>
      <w:r w:rsidRPr="00C90B3F">
        <w:rPr>
          <w:rFonts w:ascii="Verdana" w:hAnsi="Verdana"/>
          <w:i/>
          <w:sz w:val="20"/>
          <w:szCs w:val="20"/>
          <w:lang w:val="es-ES_tradnl"/>
        </w:rPr>
        <w:t>asos Radilla Pacheco y otros, y Cabrera García y otro</w:t>
      </w:r>
      <w:r w:rsidR="00A75657">
        <w:rPr>
          <w:rFonts w:ascii="Verdana" w:hAnsi="Verdana"/>
          <w:i/>
          <w:sz w:val="20"/>
          <w:szCs w:val="20"/>
          <w:lang w:val="es-ES_tradnl"/>
        </w:rPr>
        <w:t xml:space="preserve">, </w:t>
      </w:r>
      <w:r w:rsidR="00E5344B">
        <w:rPr>
          <w:rFonts w:ascii="Verdana" w:hAnsi="Verdana"/>
          <w:i/>
          <w:sz w:val="20"/>
          <w:szCs w:val="20"/>
          <w:lang w:val="es-ES_tradnl"/>
        </w:rPr>
        <w:t>Vs.</w:t>
      </w:r>
      <w:r w:rsidRPr="00C90B3F">
        <w:rPr>
          <w:rFonts w:ascii="Verdana" w:hAnsi="Verdana"/>
          <w:i/>
          <w:sz w:val="20"/>
          <w:szCs w:val="20"/>
          <w:lang w:val="es-ES_tradnl"/>
        </w:rPr>
        <w:t xml:space="preserve"> México</w:t>
      </w:r>
      <w:r>
        <w:rPr>
          <w:rStyle w:val="Refdenotaalpie"/>
          <w:rFonts w:ascii="Verdana" w:hAnsi="Verdana"/>
          <w:sz w:val="20"/>
          <w:szCs w:val="20"/>
          <w:lang w:val="es-ES_tradnl"/>
        </w:rPr>
        <w:footnoteReference w:id="463"/>
      </w:r>
      <w:r w:rsidRPr="00201EE6">
        <w:rPr>
          <w:rFonts w:ascii="Verdana" w:hAnsi="Verdana"/>
          <w:sz w:val="20"/>
          <w:szCs w:val="20"/>
          <w:lang w:val="es-ES_tradnl"/>
        </w:rPr>
        <w:t>. Ello, pues dicha legislación aún autoriza la intervención del fuero militar en los delitos en que el imputado y la víctima son militares y en los delitos en que el imputado sea militar y no sea un civil el sujeto pasivo del delito o titular del bien jurídico</w:t>
      </w:r>
      <w:r>
        <w:rPr>
          <w:rStyle w:val="Refdenotaalpie"/>
          <w:rFonts w:ascii="Verdana" w:hAnsi="Verdana"/>
          <w:sz w:val="20"/>
          <w:szCs w:val="20"/>
          <w:lang w:val="es-ES_tradnl"/>
        </w:rPr>
        <w:footnoteReference w:id="464"/>
      </w:r>
      <w:r w:rsidRPr="00201EE6">
        <w:rPr>
          <w:rFonts w:ascii="Verdana" w:hAnsi="Verdana"/>
          <w:sz w:val="20"/>
          <w:szCs w:val="20"/>
          <w:lang w:val="es-ES_tradnl"/>
        </w:rPr>
        <w:t>. Este Tribunal, si bien sostiene el criter</w:t>
      </w:r>
      <w:r w:rsidR="005F13B4">
        <w:rPr>
          <w:rFonts w:ascii="Verdana" w:hAnsi="Verdana"/>
          <w:sz w:val="20"/>
          <w:szCs w:val="20"/>
          <w:lang w:val="es-ES_tradnl"/>
        </w:rPr>
        <w:t>io establecido en las R</w:t>
      </w:r>
      <w:r w:rsidRPr="00201EE6">
        <w:rPr>
          <w:rFonts w:ascii="Verdana" w:hAnsi="Verdana"/>
          <w:sz w:val="20"/>
          <w:szCs w:val="20"/>
          <w:lang w:val="es-ES_tradnl"/>
        </w:rPr>
        <w:t xml:space="preserve">esoluciones de 17 de abril de 2015, dado que en el presente caso no </w:t>
      </w:r>
      <w:r w:rsidR="005F13B4">
        <w:rPr>
          <w:rFonts w:ascii="Verdana" w:hAnsi="Verdana"/>
          <w:sz w:val="20"/>
          <w:szCs w:val="20"/>
          <w:lang w:val="es-ES_tradnl"/>
        </w:rPr>
        <w:t>se encue</w:t>
      </w:r>
      <w:r w:rsidRPr="00201EE6">
        <w:rPr>
          <w:rFonts w:ascii="Verdana" w:hAnsi="Verdana"/>
          <w:sz w:val="20"/>
          <w:szCs w:val="20"/>
          <w:lang w:val="es-ES_tradnl"/>
        </w:rPr>
        <w:t xml:space="preserve">ntra frente al supuesto referido, no se pronunciará </w:t>
      </w:r>
      <w:r w:rsidR="005F13B4">
        <w:rPr>
          <w:rFonts w:ascii="Verdana" w:hAnsi="Verdana"/>
          <w:sz w:val="20"/>
          <w:szCs w:val="20"/>
          <w:lang w:val="es-ES_tradnl"/>
        </w:rPr>
        <w:t xml:space="preserve">al </w:t>
      </w:r>
      <w:r w:rsidRPr="00201EE6">
        <w:rPr>
          <w:rFonts w:ascii="Verdana" w:hAnsi="Verdana"/>
          <w:sz w:val="20"/>
          <w:szCs w:val="20"/>
          <w:lang w:val="es-ES_tradnl"/>
        </w:rPr>
        <w:t>respecto</w:t>
      </w:r>
      <w:r w:rsidR="005F13B4">
        <w:rPr>
          <w:rFonts w:ascii="Verdana" w:hAnsi="Verdana"/>
          <w:sz w:val="20"/>
          <w:szCs w:val="20"/>
          <w:lang w:val="es-ES_tradnl"/>
        </w:rPr>
        <w:t>,</w:t>
      </w:r>
      <w:r w:rsidRPr="00201EE6">
        <w:rPr>
          <w:rFonts w:ascii="Verdana" w:hAnsi="Verdana"/>
          <w:sz w:val="20"/>
          <w:szCs w:val="20"/>
          <w:lang w:val="es-ES_tradnl"/>
        </w:rPr>
        <w:t xml:space="preserve"> </w:t>
      </w:r>
      <w:r w:rsidR="005F13B4">
        <w:rPr>
          <w:rFonts w:ascii="Verdana" w:hAnsi="Verdana"/>
          <w:sz w:val="20"/>
          <w:szCs w:val="20"/>
          <w:lang w:val="es-ES_tradnl"/>
        </w:rPr>
        <w:t>ya que</w:t>
      </w:r>
      <w:r w:rsidRPr="00201EE6">
        <w:rPr>
          <w:rFonts w:ascii="Verdana" w:hAnsi="Verdana"/>
          <w:sz w:val="20"/>
          <w:szCs w:val="20"/>
          <w:lang w:val="es-ES_tradnl"/>
        </w:rPr>
        <w:t xml:space="preserve"> escapa de la materia de estudio.  </w:t>
      </w:r>
    </w:p>
    <w:p w14:paraId="2B0D02A6" w14:textId="60925296" w:rsidR="005F13B4" w:rsidRPr="00813B72" w:rsidRDefault="00903628" w:rsidP="00DB378B">
      <w:pPr>
        <w:widowControl w:val="0"/>
        <w:numPr>
          <w:ilvl w:val="0"/>
          <w:numId w:val="4"/>
        </w:numPr>
        <w:tabs>
          <w:tab w:val="left" w:pos="0"/>
          <w:tab w:val="left" w:pos="426"/>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_tradnl"/>
        </w:rPr>
      </w:pPr>
      <w:r w:rsidRPr="005F13B4">
        <w:rPr>
          <w:rFonts w:ascii="Verdana" w:hAnsi="Verdana"/>
          <w:sz w:val="20"/>
          <w:szCs w:val="20"/>
          <w:lang w:val="es-ES_tradnl"/>
        </w:rPr>
        <w:t xml:space="preserve">Por tanto, la Corte considera que el Estado violó los artículos </w:t>
      </w:r>
      <w:r w:rsidRPr="005F13B4">
        <w:rPr>
          <w:rFonts w:ascii="Verdana" w:eastAsia="Times New Roman" w:hAnsi="Verdana" w:cs="Times New Roman"/>
          <w:sz w:val="20"/>
          <w:szCs w:val="20"/>
          <w:lang w:val="es-ES"/>
        </w:rPr>
        <w:t>8 y 25 de la Convención</w:t>
      </w:r>
      <w:r w:rsidR="00CC61EB">
        <w:rPr>
          <w:rFonts w:ascii="Verdana" w:eastAsia="Times New Roman" w:hAnsi="Verdana" w:cs="Times New Roman"/>
          <w:sz w:val="20"/>
          <w:szCs w:val="20"/>
          <w:lang w:val="es-ES"/>
        </w:rPr>
        <w:t xml:space="preserve"> y el</w:t>
      </w:r>
      <w:r w:rsidRPr="005F13B4">
        <w:rPr>
          <w:rFonts w:ascii="Verdana" w:eastAsia="Times New Roman" w:hAnsi="Verdana" w:cs="Times New Roman"/>
          <w:sz w:val="20"/>
          <w:szCs w:val="20"/>
          <w:lang w:val="es-ES"/>
        </w:rPr>
        <w:t xml:space="preserve"> artículo 2 del mismo instrumento</w:t>
      </w:r>
      <w:r w:rsidR="00CC61EB">
        <w:rPr>
          <w:rFonts w:ascii="Verdana" w:eastAsia="Times New Roman" w:hAnsi="Verdana" w:cs="Times New Roman"/>
          <w:sz w:val="20"/>
          <w:szCs w:val="20"/>
          <w:lang w:val="es-ES"/>
        </w:rPr>
        <w:t xml:space="preserve">, </w:t>
      </w:r>
      <w:r w:rsidR="00CC61EB" w:rsidRPr="003564A3">
        <w:rPr>
          <w:rFonts w:ascii="Verdana" w:eastAsia="Times New Roman" w:hAnsi="Verdana" w:cs="Times New Roman"/>
          <w:sz w:val="20"/>
          <w:szCs w:val="20"/>
          <w:lang w:val="es-ES"/>
        </w:rPr>
        <w:t>así como los artículos I.b y IX de la Convención sobre Desaparición Forzada,</w:t>
      </w:r>
      <w:r w:rsidRPr="005F13B4">
        <w:rPr>
          <w:rFonts w:ascii="Verdana" w:eastAsia="Times New Roman" w:hAnsi="Verdana" w:cs="Times New Roman"/>
          <w:sz w:val="20"/>
          <w:szCs w:val="20"/>
          <w:lang w:val="es-ES"/>
        </w:rPr>
        <w:t xml:space="preserve"> al haber permitido que la jurisdicción militar conociera del caso durante </w:t>
      </w:r>
      <w:r w:rsidR="005F13B4" w:rsidRPr="005F13B4">
        <w:rPr>
          <w:rFonts w:ascii="Verdana" w:eastAsia="Times New Roman" w:hAnsi="Verdana" w:cs="Times New Roman"/>
          <w:sz w:val="20"/>
          <w:szCs w:val="20"/>
          <w:lang w:val="es-ES"/>
        </w:rPr>
        <w:t>una parte sustancial del proceso</w:t>
      </w:r>
      <w:r w:rsidR="00CC61EB">
        <w:rPr>
          <w:rFonts w:ascii="Verdana" w:eastAsia="Times New Roman" w:hAnsi="Verdana" w:cs="Times New Roman"/>
          <w:sz w:val="20"/>
          <w:szCs w:val="20"/>
          <w:lang w:val="es-ES"/>
        </w:rPr>
        <w:t>.</w:t>
      </w:r>
    </w:p>
    <w:p w14:paraId="5472707C" w14:textId="114AE117" w:rsidR="002729EC" w:rsidRPr="00813B72" w:rsidRDefault="0008123D">
      <w:pPr>
        <w:pStyle w:val="Ttulo5"/>
        <w:numPr>
          <w:ilvl w:val="0"/>
          <w:numId w:val="76"/>
        </w:numPr>
        <w:spacing w:before="120" w:after="120"/>
        <w:contextualSpacing w:val="0"/>
        <w:rPr>
          <w:lang w:val="es-CR"/>
        </w:rPr>
      </w:pPr>
      <w:bookmarkStart w:id="273" w:name="_Toc522815032"/>
      <w:r>
        <w:rPr>
          <w:lang w:val="es-CR"/>
        </w:rPr>
        <w:t xml:space="preserve"> </w:t>
      </w:r>
      <w:bookmarkStart w:id="274" w:name="_Toc526777659"/>
      <w:bookmarkStart w:id="275" w:name="_Toc526778142"/>
      <w:bookmarkStart w:id="276" w:name="_Toc526779394"/>
      <w:bookmarkStart w:id="277" w:name="_Toc526780863"/>
      <w:bookmarkStart w:id="278" w:name="_Toc526783800"/>
      <w:bookmarkStart w:id="279" w:name="_Toc532995383"/>
      <w:r w:rsidR="00903628" w:rsidRPr="005F13B4">
        <w:rPr>
          <w:lang w:val="es-CR"/>
        </w:rPr>
        <w:t>Sobre las investigaciones posteriores</w:t>
      </w:r>
      <w:bookmarkEnd w:id="273"/>
      <w:bookmarkEnd w:id="274"/>
      <w:bookmarkEnd w:id="275"/>
      <w:bookmarkEnd w:id="276"/>
      <w:bookmarkEnd w:id="277"/>
      <w:bookmarkEnd w:id="278"/>
      <w:bookmarkEnd w:id="279"/>
    </w:p>
    <w:p w14:paraId="64AA60A1" w14:textId="7EADB7E5" w:rsidR="00201EE6" w:rsidRPr="00350979"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E53B76">
        <w:rPr>
          <w:rFonts w:ascii="Verdana" w:eastAsia="SimSun" w:hAnsi="Verdana" w:cs="Arial"/>
          <w:sz w:val="20"/>
          <w:szCs w:val="20"/>
          <w:lang w:val="es-CR" w:eastAsia="es-CR"/>
        </w:rPr>
        <w:t>Esta Corte ha señalado de manera consistente que el deber de investigar es una obligación de medio y</w:t>
      </w:r>
      <w:r w:rsidRPr="0021124B">
        <w:rPr>
          <w:rFonts w:ascii="Verdana" w:eastAsia="SimSun" w:hAnsi="Verdana" w:cs="Arial"/>
          <w:sz w:val="20"/>
          <w:szCs w:val="20"/>
          <w:lang w:val="es-CR" w:eastAsia="es-CR"/>
        </w:rPr>
        <w:t xml:space="preserve"> no de resultado, que debe ser asumida por el Estado como un deber jurídico propio y no como una simple formalidad condenada de antemano a ser infructuosa, o como una mera gestión de intereses particulares, que dependa de la iniciativa procesal de las víc</w:t>
      </w:r>
      <w:r w:rsidRPr="006A3F76">
        <w:rPr>
          <w:rFonts w:ascii="Verdana" w:eastAsia="SimSun" w:hAnsi="Verdana" w:cs="Arial"/>
          <w:sz w:val="20"/>
          <w:szCs w:val="20"/>
          <w:lang w:val="es-CR" w:eastAsia="es-CR"/>
        </w:rPr>
        <w:t>timas o de sus familiares o de la aportación privada de elementos probatorios</w:t>
      </w:r>
      <w:r w:rsidRPr="006A3F76">
        <w:rPr>
          <w:rFonts w:ascii="Verdana" w:eastAsia="SimSun" w:hAnsi="Verdana" w:cs="Arial"/>
          <w:sz w:val="20"/>
          <w:szCs w:val="20"/>
          <w:vertAlign w:val="superscript"/>
          <w:lang w:val="es-CR" w:eastAsia="es-CR"/>
        </w:rPr>
        <w:footnoteReference w:id="465"/>
      </w:r>
      <w:r w:rsidRPr="006A3F76">
        <w:rPr>
          <w:rFonts w:ascii="Verdana" w:eastAsia="SimSun" w:hAnsi="Verdana" w:cs="Arial"/>
          <w:sz w:val="20"/>
          <w:szCs w:val="20"/>
          <w:lang w:val="es-CR" w:eastAsia="es-CR"/>
        </w:rPr>
        <w:t xml:space="preserve">. </w:t>
      </w:r>
      <w:r w:rsidR="005F13B4" w:rsidRPr="003F7726">
        <w:rPr>
          <w:rFonts w:ascii="Verdana" w:hAnsi="Verdana"/>
          <w:color w:val="000000"/>
          <w:sz w:val="20"/>
          <w:szCs w:val="20"/>
        </w:rPr>
        <w:t>R</w:t>
      </w:r>
      <w:r w:rsidRPr="003F7726">
        <w:rPr>
          <w:rFonts w:ascii="Verdana" w:hAnsi="Verdana"/>
          <w:color w:val="000000"/>
          <w:sz w:val="20"/>
          <w:szCs w:val="20"/>
        </w:rPr>
        <w:t xml:space="preserve">especto de casos de desaparición forzada, </w:t>
      </w:r>
      <w:r w:rsidR="005F13B4" w:rsidRPr="003F7726">
        <w:rPr>
          <w:rFonts w:ascii="Verdana" w:hAnsi="Verdana"/>
          <w:color w:val="000000"/>
          <w:sz w:val="20"/>
          <w:szCs w:val="20"/>
        </w:rPr>
        <w:t xml:space="preserve">la Corte </w:t>
      </w:r>
      <w:r w:rsidRPr="003F7726">
        <w:rPr>
          <w:rFonts w:ascii="Verdana" w:hAnsi="Verdana"/>
          <w:color w:val="000000"/>
          <w:sz w:val="20"/>
          <w:szCs w:val="20"/>
        </w:rPr>
        <w:t>ha confirmado la existencia de un “[d]erecho de los familiares de la víctima de conocer cuál fue el destino de ésta y, en su caso, dónde se encuentra su paradero o, en su caso, sus restos”</w:t>
      </w:r>
      <w:r w:rsidRPr="003F7726">
        <w:rPr>
          <w:rStyle w:val="Refdenotaalpie"/>
          <w:rFonts w:ascii="Verdana" w:hAnsi="Verdana"/>
          <w:color w:val="000000"/>
          <w:sz w:val="20"/>
          <w:szCs w:val="20"/>
        </w:rPr>
        <w:footnoteReference w:id="466"/>
      </w:r>
      <w:r w:rsidRPr="003F7726">
        <w:rPr>
          <w:rFonts w:ascii="Verdana" w:hAnsi="Verdana"/>
          <w:color w:val="000000"/>
          <w:sz w:val="20"/>
          <w:szCs w:val="20"/>
        </w:rPr>
        <w:t xml:space="preserve">. </w:t>
      </w:r>
      <w:r w:rsidR="005F13B4" w:rsidRPr="003F7726">
        <w:rPr>
          <w:rFonts w:ascii="Verdana" w:hAnsi="Verdana"/>
          <w:sz w:val="20"/>
          <w:szCs w:val="20"/>
          <w:lang w:val="es-CR"/>
        </w:rPr>
        <w:t>E</w:t>
      </w:r>
      <w:r w:rsidRPr="003F7726">
        <w:rPr>
          <w:rFonts w:ascii="Verdana" w:hAnsi="Verdana"/>
          <w:sz w:val="20"/>
          <w:szCs w:val="20"/>
          <w:lang w:val="es-CR"/>
        </w:rPr>
        <w:t>n estos casos l</w:t>
      </w:r>
      <w:r w:rsidRPr="003F7726">
        <w:rPr>
          <w:rFonts w:ascii="Verdana" w:hAnsi="Verdana"/>
          <w:color w:val="000000"/>
          <w:sz w:val="20"/>
          <w:szCs w:val="20"/>
          <w:lang w:val="es-CR"/>
        </w:rPr>
        <w:t>a impunidad debe ser erradicada mediante la determinación de las responsabilidades tanto generales –del Estado- como individuales –penales y de otra índole de sus agentes o de particulares</w:t>
      </w:r>
      <w:r w:rsidRPr="003F7726">
        <w:rPr>
          <w:rStyle w:val="Refdenotaalpie"/>
          <w:rFonts w:ascii="Verdana" w:hAnsi="Verdana"/>
          <w:color w:val="000000"/>
          <w:sz w:val="20"/>
          <w:szCs w:val="20"/>
          <w:lang w:val="es-CR"/>
        </w:rPr>
        <w:footnoteReference w:id="467"/>
      </w:r>
      <w:r w:rsidRPr="003F7726">
        <w:rPr>
          <w:rFonts w:ascii="Verdana" w:hAnsi="Verdana"/>
          <w:color w:val="000000"/>
          <w:sz w:val="20"/>
          <w:szCs w:val="20"/>
          <w:lang w:val="es-CR"/>
        </w:rPr>
        <w:t xml:space="preserve">. </w:t>
      </w:r>
    </w:p>
    <w:p w14:paraId="64AA60A3" w14:textId="33F8CE3A"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sz w:val="20"/>
          <w:szCs w:val="20"/>
          <w:lang w:val="es-CR"/>
        </w:rPr>
        <w:t xml:space="preserve">La Corte </w:t>
      </w:r>
      <w:r w:rsidR="005F13B4">
        <w:rPr>
          <w:rFonts w:ascii="Verdana" w:hAnsi="Verdana"/>
          <w:sz w:val="20"/>
          <w:szCs w:val="20"/>
          <w:lang w:val="es-CR"/>
        </w:rPr>
        <w:t>constató</w:t>
      </w:r>
      <w:r w:rsidRPr="00201EE6">
        <w:rPr>
          <w:rFonts w:ascii="Verdana" w:hAnsi="Verdana"/>
          <w:sz w:val="20"/>
          <w:szCs w:val="20"/>
          <w:lang w:val="es-CR"/>
        </w:rPr>
        <w:t xml:space="preserve"> que desde el inicio de las investigaciones distintas autoridades a cargo de las mismas han llevado a cabo una gran cantidad de actuaciones y diligencias tendientes a encontrar a las víctimas y a determinar </w:t>
      </w:r>
      <w:r w:rsidR="00600A1A">
        <w:rPr>
          <w:rFonts w:ascii="Verdana" w:hAnsi="Verdana"/>
          <w:sz w:val="20"/>
          <w:szCs w:val="20"/>
          <w:lang w:val="es-CR"/>
        </w:rPr>
        <w:t xml:space="preserve">quiénes fueron </w:t>
      </w:r>
      <w:r w:rsidRPr="00201EE6">
        <w:rPr>
          <w:rFonts w:ascii="Verdana" w:hAnsi="Verdana"/>
          <w:sz w:val="20"/>
          <w:szCs w:val="20"/>
          <w:lang w:val="es-CR"/>
        </w:rPr>
        <w:t>los responsables de la</w:t>
      </w:r>
      <w:r w:rsidR="00600A1A">
        <w:rPr>
          <w:rFonts w:ascii="Verdana" w:hAnsi="Verdana"/>
          <w:sz w:val="20"/>
          <w:szCs w:val="20"/>
          <w:lang w:val="es-CR"/>
        </w:rPr>
        <w:t>s</w:t>
      </w:r>
      <w:r w:rsidRPr="00201EE6">
        <w:rPr>
          <w:rFonts w:ascii="Verdana" w:hAnsi="Verdana"/>
          <w:sz w:val="20"/>
          <w:szCs w:val="20"/>
          <w:lang w:val="es-CR"/>
        </w:rPr>
        <w:t xml:space="preserve"> desaparici</w:t>
      </w:r>
      <w:r w:rsidR="00600A1A">
        <w:rPr>
          <w:rFonts w:ascii="Verdana" w:hAnsi="Verdana"/>
          <w:sz w:val="20"/>
          <w:szCs w:val="20"/>
          <w:lang w:val="es-CR"/>
        </w:rPr>
        <w:t>o</w:t>
      </w:r>
      <w:r w:rsidRPr="00201EE6">
        <w:rPr>
          <w:rFonts w:ascii="Verdana" w:hAnsi="Verdana"/>
          <w:sz w:val="20"/>
          <w:szCs w:val="20"/>
          <w:lang w:val="es-CR"/>
        </w:rPr>
        <w:t>n</w:t>
      </w:r>
      <w:r w:rsidR="00600A1A">
        <w:rPr>
          <w:rFonts w:ascii="Verdana" w:hAnsi="Verdana"/>
          <w:sz w:val="20"/>
          <w:szCs w:val="20"/>
          <w:lang w:val="es-CR"/>
        </w:rPr>
        <w:t>es</w:t>
      </w:r>
      <w:r w:rsidRPr="00201EE6">
        <w:rPr>
          <w:rFonts w:ascii="Verdana" w:hAnsi="Verdana"/>
          <w:sz w:val="20"/>
          <w:szCs w:val="20"/>
          <w:lang w:val="es-CR"/>
        </w:rPr>
        <w:t xml:space="preserve">. Entre ellas, destacan las acciones </w:t>
      </w:r>
      <w:r w:rsidR="005F13B4">
        <w:rPr>
          <w:rFonts w:ascii="Verdana" w:hAnsi="Verdana"/>
          <w:sz w:val="20"/>
          <w:szCs w:val="20"/>
          <w:lang w:val="es-CR"/>
        </w:rPr>
        <w:t xml:space="preserve">emprendidas </w:t>
      </w:r>
      <w:r w:rsidRPr="00201EE6">
        <w:rPr>
          <w:rFonts w:ascii="Verdana" w:hAnsi="Verdana"/>
          <w:sz w:val="20"/>
          <w:szCs w:val="20"/>
          <w:lang w:val="es-CR"/>
        </w:rPr>
        <w:t>por la FEVIMTRA</w:t>
      </w:r>
      <w:r w:rsidR="00600A1A">
        <w:rPr>
          <w:rFonts w:ascii="Verdana" w:hAnsi="Verdana"/>
          <w:sz w:val="20"/>
          <w:szCs w:val="20"/>
          <w:lang w:val="es-CR"/>
        </w:rPr>
        <w:t>-PGR</w:t>
      </w:r>
      <w:r w:rsidRPr="00201EE6">
        <w:rPr>
          <w:rFonts w:ascii="Verdana" w:hAnsi="Verdana"/>
          <w:sz w:val="20"/>
          <w:szCs w:val="20"/>
          <w:lang w:val="es-CR"/>
        </w:rPr>
        <w:t xml:space="preserve"> (toma de declaraciones de testigos presenciales y autoridades vinculadas con el caso, diligencias de búsqueda de restos, solicitudes de información a la SEDENA, Policía Federal y otras autoridades, entre otras) (</w:t>
      </w:r>
      <w:r w:rsidRPr="00201EE6">
        <w:rPr>
          <w:rFonts w:ascii="Verdana" w:hAnsi="Verdana"/>
          <w:i/>
          <w:sz w:val="20"/>
          <w:szCs w:val="20"/>
          <w:lang w:val="es-CR"/>
        </w:rPr>
        <w:t>supra</w:t>
      </w:r>
      <w:r w:rsidRPr="00201EE6">
        <w:rPr>
          <w:rFonts w:ascii="Verdana" w:hAnsi="Verdana"/>
          <w:sz w:val="20"/>
          <w:szCs w:val="20"/>
          <w:lang w:val="es-CR"/>
        </w:rPr>
        <w:t xml:space="preserve"> párrs. </w:t>
      </w:r>
      <w:r w:rsidR="00600A1A">
        <w:rPr>
          <w:rFonts w:ascii="Verdana" w:hAnsi="Verdana"/>
          <w:sz w:val="20"/>
          <w:szCs w:val="20"/>
          <w:lang w:val="es-CR"/>
        </w:rPr>
        <w:t>118</w:t>
      </w:r>
      <w:r w:rsidRPr="00201EE6">
        <w:rPr>
          <w:rFonts w:ascii="Verdana" w:hAnsi="Verdana"/>
          <w:sz w:val="20"/>
          <w:szCs w:val="20"/>
          <w:lang w:val="es-CR"/>
        </w:rPr>
        <w:t xml:space="preserve"> a 12</w:t>
      </w:r>
      <w:r w:rsidR="00600A1A">
        <w:rPr>
          <w:rFonts w:ascii="Verdana" w:hAnsi="Verdana"/>
          <w:sz w:val="20"/>
          <w:szCs w:val="20"/>
          <w:lang w:val="es-CR"/>
        </w:rPr>
        <w:t>0</w:t>
      </w:r>
      <w:r w:rsidRPr="00201EE6">
        <w:rPr>
          <w:rFonts w:ascii="Verdana" w:hAnsi="Verdana"/>
          <w:sz w:val="20"/>
          <w:szCs w:val="20"/>
          <w:lang w:val="es-CR"/>
        </w:rPr>
        <w:t>); y por la UEBPD-PGR (toma de declaraciones, concentración de investigaciones, diligencias de búsqueda de restos, consignación de un presunto responsable, entre otras) (</w:t>
      </w:r>
      <w:r w:rsidRPr="00201EE6">
        <w:rPr>
          <w:rFonts w:ascii="Verdana" w:hAnsi="Verdana"/>
          <w:i/>
          <w:sz w:val="20"/>
          <w:szCs w:val="20"/>
          <w:lang w:val="es-CR"/>
        </w:rPr>
        <w:t>supra</w:t>
      </w:r>
      <w:r w:rsidRPr="00201EE6">
        <w:rPr>
          <w:rFonts w:ascii="Verdana" w:hAnsi="Verdana"/>
          <w:sz w:val="20"/>
          <w:szCs w:val="20"/>
          <w:lang w:val="es-CR"/>
        </w:rPr>
        <w:t xml:space="preserve"> párrs. 12</w:t>
      </w:r>
      <w:r w:rsidR="00600A1A">
        <w:rPr>
          <w:rFonts w:ascii="Verdana" w:hAnsi="Verdana"/>
          <w:sz w:val="20"/>
          <w:szCs w:val="20"/>
          <w:lang w:val="es-CR"/>
        </w:rPr>
        <w:t>4</w:t>
      </w:r>
      <w:r w:rsidRPr="00201EE6">
        <w:rPr>
          <w:rFonts w:ascii="Verdana" w:hAnsi="Verdana"/>
          <w:sz w:val="20"/>
          <w:szCs w:val="20"/>
          <w:lang w:val="es-CR"/>
        </w:rPr>
        <w:t xml:space="preserve"> a 136).  </w:t>
      </w:r>
    </w:p>
    <w:p w14:paraId="64AA60A5" w14:textId="4F1C873E"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color w:val="000000"/>
          <w:sz w:val="20"/>
          <w:szCs w:val="20"/>
        </w:rPr>
        <w:lastRenderedPageBreak/>
        <w:t xml:space="preserve">Sin embargo, como lo hizo notar la Comisión, durante poco más de tres años posteriores a la fecha de </w:t>
      </w:r>
      <w:r w:rsidR="00600A1A">
        <w:rPr>
          <w:rFonts w:ascii="Verdana" w:hAnsi="Verdana"/>
          <w:color w:val="000000"/>
          <w:sz w:val="20"/>
          <w:szCs w:val="20"/>
        </w:rPr>
        <w:t xml:space="preserve">las </w:t>
      </w:r>
      <w:r w:rsidRPr="00201EE6">
        <w:rPr>
          <w:rFonts w:ascii="Verdana" w:hAnsi="Verdana"/>
          <w:color w:val="000000"/>
          <w:sz w:val="20"/>
          <w:szCs w:val="20"/>
        </w:rPr>
        <w:t>alegada</w:t>
      </w:r>
      <w:r w:rsidR="00600A1A">
        <w:rPr>
          <w:rFonts w:ascii="Verdana" w:hAnsi="Verdana"/>
          <w:color w:val="000000"/>
          <w:sz w:val="20"/>
          <w:szCs w:val="20"/>
        </w:rPr>
        <w:t>s</w:t>
      </w:r>
      <w:r w:rsidRPr="00201EE6">
        <w:rPr>
          <w:rFonts w:ascii="Verdana" w:hAnsi="Verdana"/>
          <w:color w:val="000000"/>
          <w:sz w:val="20"/>
          <w:szCs w:val="20"/>
        </w:rPr>
        <w:t xml:space="preserve"> desaparici</w:t>
      </w:r>
      <w:r w:rsidR="00600A1A">
        <w:rPr>
          <w:rFonts w:ascii="Verdana" w:hAnsi="Verdana"/>
          <w:color w:val="000000"/>
          <w:sz w:val="20"/>
          <w:szCs w:val="20"/>
        </w:rPr>
        <w:t>o</w:t>
      </w:r>
      <w:r w:rsidRPr="00201EE6">
        <w:rPr>
          <w:rFonts w:ascii="Verdana" w:hAnsi="Verdana"/>
          <w:color w:val="000000"/>
          <w:sz w:val="20"/>
          <w:szCs w:val="20"/>
        </w:rPr>
        <w:t>n</w:t>
      </w:r>
      <w:r w:rsidR="00600A1A">
        <w:rPr>
          <w:rFonts w:ascii="Verdana" w:hAnsi="Verdana"/>
          <w:color w:val="000000"/>
          <w:sz w:val="20"/>
          <w:szCs w:val="20"/>
        </w:rPr>
        <w:t>es</w:t>
      </w:r>
      <w:r w:rsidRPr="00201EE6">
        <w:rPr>
          <w:rFonts w:ascii="Verdana" w:hAnsi="Verdana"/>
          <w:color w:val="000000"/>
          <w:sz w:val="20"/>
          <w:szCs w:val="20"/>
        </w:rPr>
        <w:t>, una parte importante de la actividad de las autoridades encargadas de las investigaciones</w:t>
      </w:r>
      <w:r w:rsidRPr="005F5CBF">
        <w:rPr>
          <w:rStyle w:val="Refdenotaalpie"/>
          <w:rFonts w:ascii="Verdana" w:hAnsi="Verdana"/>
          <w:color w:val="000000"/>
          <w:sz w:val="20"/>
          <w:szCs w:val="20"/>
        </w:rPr>
        <w:footnoteReference w:id="468"/>
      </w:r>
      <w:r w:rsidRPr="00201EE6">
        <w:rPr>
          <w:rFonts w:ascii="Verdana" w:hAnsi="Verdana"/>
          <w:color w:val="000000"/>
          <w:sz w:val="20"/>
          <w:szCs w:val="20"/>
        </w:rPr>
        <w:t xml:space="preserve"> se centró en determinar si eran o no competentes para realizarlas</w:t>
      </w:r>
      <w:r w:rsidR="00600A1A">
        <w:rPr>
          <w:rFonts w:ascii="Verdana" w:hAnsi="Verdana"/>
          <w:color w:val="000000"/>
          <w:sz w:val="20"/>
          <w:szCs w:val="20"/>
        </w:rPr>
        <w:t>.</w:t>
      </w:r>
      <w:r w:rsidRPr="00201EE6">
        <w:rPr>
          <w:rFonts w:ascii="Verdana" w:hAnsi="Verdana"/>
          <w:color w:val="000000"/>
          <w:sz w:val="20"/>
          <w:szCs w:val="20"/>
        </w:rPr>
        <w:t xml:space="preserve"> Durante dicho periodo subsistieron investigaciones llevadas a cabo por dos o más autoridades de forma simultánea, y esta Corte no advierte ningún tipo de coordinación entre las mismas</w:t>
      </w:r>
      <w:r w:rsidRPr="00343208">
        <w:rPr>
          <w:color w:val="000000"/>
          <w:vertAlign w:val="superscript"/>
        </w:rPr>
        <w:footnoteReference w:id="469"/>
      </w:r>
      <w:r w:rsidRPr="00201EE6">
        <w:rPr>
          <w:rFonts w:ascii="Verdana" w:hAnsi="Verdana"/>
          <w:color w:val="000000"/>
          <w:sz w:val="20"/>
          <w:szCs w:val="20"/>
        </w:rPr>
        <w:t xml:space="preserve">. </w:t>
      </w:r>
      <w:r w:rsidR="005F13B4">
        <w:rPr>
          <w:rFonts w:ascii="Verdana" w:hAnsi="Verdana"/>
          <w:color w:val="000000"/>
          <w:sz w:val="20"/>
          <w:szCs w:val="20"/>
        </w:rPr>
        <w:t>Este Tribunal</w:t>
      </w:r>
      <w:r w:rsidRPr="00201EE6">
        <w:rPr>
          <w:rFonts w:ascii="Verdana" w:hAnsi="Verdana"/>
          <w:color w:val="000000"/>
          <w:sz w:val="20"/>
          <w:szCs w:val="20"/>
        </w:rPr>
        <w:t xml:space="preserve"> observa que a partir del 18 de julio de 2013, tras la inclusión del delito de desaparición forzada de personas en el Código Penal Federal, la Procuraduría General de la República, a través de </w:t>
      </w:r>
      <w:r w:rsidR="005F13B4">
        <w:rPr>
          <w:rFonts w:ascii="Verdana" w:hAnsi="Verdana"/>
          <w:color w:val="000000"/>
          <w:sz w:val="20"/>
          <w:szCs w:val="20"/>
        </w:rPr>
        <w:t xml:space="preserve">UEBPD </w:t>
      </w:r>
      <w:r w:rsidRPr="00201EE6">
        <w:rPr>
          <w:rFonts w:ascii="Verdana" w:hAnsi="Verdana"/>
          <w:color w:val="000000"/>
          <w:sz w:val="20"/>
          <w:szCs w:val="20"/>
        </w:rPr>
        <w:t xml:space="preserve">y, </w:t>
      </w:r>
      <w:r w:rsidR="005F13B4">
        <w:rPr>
          <w:rFonts w:ascii="Verdana" w:hAnsi="Verdana"/>
          <w:color w:val="000000"/>
          <w:sz w:val="20"/>
          <w:szCs w:val="20"/>
        </w:rPr>
        <w:t>posteriormente</w:t>
      </w:r>
      <w:r w:rsidRPr="00201EE6">
        <w:rPr>
          <w:rFonts w:ascii="Verdana" w:hAnsi="Verdana"/>
          <w:color w:val="000000"/>
          <w:sz w:val="20"/>
          <w:szCs w:val="20"/>
        </w:rPr>
        <w:t xml:space="preserve"> </w:t>
      </w:r>
      <w:r w:rsidR="005F13B4">
        <w:rPr>
          <w:rFonts w:ascii="Verdana" w:hAnsi="Verdana"/>
          <w:color w:val="000000"/>
          <w:sz w:val="20"/>
          <w:szCs w:val="20"/>
        </w:rPr>
        <w:t xml:space="preserve">la </w:t>
      </w:r>
      <w:r w:rsidRPr="00201EE6">
        <w:rPr>
          <w:rFonts w:ascii="Verdana" w:hAnsi="Verdana"/>
          <w:color w:val="000000"/>
          <w:sz w:val="20"/>
          <w:szCs w:val="20"/>
        </w:rPr>
        <w:t>F</w:t>
      </w:r>
      <w:r w:rsidR="00600A1A">
        <w:rPr>
          <w:rFonts w:ascii="Verdana" w:hAnsi="Verdana"/>
          <w:color w:val="000000"/>
          <w:sz w:val="20"/>
          <w:szCs w:val="20"/>
        </w:rPr>
        <w:t>EBPD</w:t>
      </w:r>
      <w:r w:rsidRPr="00201EE6">
        <w:rPr>
          <w:rFonts w:ascii="Verdana" w:hAnsi="Verdana"/>
          <w:color w:val="000000"/>
          <w:sz w:val="20"/>
          <w:szCs w:val="20"/>
        </w:rPr>
        <w:t>, concentró la totalidad de los expedientes integrados por las distintas autoridades y se encargó de la investigación de los hechos de forma exclusiva (</w:t>
      </w:r>
      <w:r w:rsidRPr="006A385C">
        <w:rPr>
          <w:rFonts w:ascii="Verdana" w:hAnsi="Verdana"/>
          <w:i/>
          <w:color w:val="000000"/>
          <w:sz w:val="20"/>
          <w:szCs w:val="20"/>
        </w:rPr>
        <w:t>supra</w:t>
      </w:r>
      <w:r w:rsidRPr="00201EE6">
        <w:rPr>
          <w:rFonts w:ascii="Verdana" w:hAnsi="Verdana"/>
          <w:color w:val="000000"/>
          <w:sz w:val="20"/>
          <w:szCs w:val="20"/>
        </w:rPr>
        <w:t xml:space="preserve"> párr. </w:t>
      </w:r>
      <w:r w:rsidR="00600A1A">
        <w:rPr>
          <w:rFonts w:ascii="Verdana" w:hAnsi="Verdana"/>
          <w:color w:val="000000"/>
          <w:sz w:val="20"/>
          <w:szCs w:val="20"/>
        </w:rPr>
        <w:t>135</w:t>
      </w:r>
      <w:r w:rsidRPr="00201EE6">
        <w:rPr>
          <w:rFonts w:ascii="Verdana" w:hAnsi="Verdana"/>
          <w:color w:val="000000"/>
          <w:sz w:val="20"/>
          <w:szCs w:val="20"/>
        </w:rPr>
        <w:t>).</w:t>
      </w:r>
    </w:p>
    <w:p w14:paraId="64AA60A7" w14:textId="5D6801BC"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color w:val="000000"/>
          <w:sz w:val="20"/>
          <w:szCs w:val="20"/>
        </w:rPr>
        <w:t>Este Tribunal advierte que, previo a la concentración de todas las investigaciones en una sola autoridad, la fragmentación de la investigación, derivó de conflictos competenciales entre las autoridades de los distintos ámbitos estatales, obstaculizando con ello –durante más de tres años– la efectiva respuesta por parte del Estado</w:t>
      </w:r>
      <w:r w:rsidRPr="00343208">
        <w:rPr>
          <w:color w:val="000000"/>
          <w:vertAlign w:val="superscript"/>
        </w:rPr>
        <w:footnoteReference w:id="470"/>
      </w:r>
      <w:r w:rsidRPr="00201EE6">
        <w:rPr>
          <w:rFonts w:ascii="Verdana" w:hAnsi="Verdana"/>
          <w:color w:val="000000"/>
          <w:sz w:val="20"/>
          <w:szCs w:val="20"/>
        </w:rPr>
        <w:t>. En parte, los conflictos competenciales derivaron de la falta de previsión legal del delito de desaparición forzada en el momento en que ocurrieron los hechos</w:t>
      </w:r>
      <w:r>
        <w:rPr>
          <w:rStyle w:val="Refdenotaalpie"/>
          <w:rFonts w:ascii="Verdana" w:hAnsi="Verdana"/>
          <w:color w:val="000000"/>
          <w:sz w:val="20"/>
          <w:szCs w:val="20"/>
        </w:rPr>
        <w:footnoteReference w:id="471"/>
      </w:r>
      <w:r w:rsidRPr="00201EE6">
        <w:rPr>
          <w:rFonts w:ascii="Verdana" w:hAnsi="Verdana"/>
          <w:color w:val="000000"/>
          <w:sz w:val="20"/>
          <w:szCs w:val="20"/>
        </w:rPr>
        <w:t xml:space="preserve"> y de una legislación adecuada que definiera claramente las competencias de las autoridades encargadas de su investigación. </w:t>
      </w:r>
      <w:r w:rsidR="005F13B4">
        <w:rPr>
          <w:rFonts w:ascii="Verdana" w:hAnsi="Verdana"/>
          <w:color w:val="000000"/>
          <w:sz w:val="20"/>
          <w:szCs w:val="20"/>
        </w:rPr>
        <w:t>Asimismo, l</w:t>
      </w:r>
      <w:r w:rsidRPr="00201EE6">
        <w:rPr>
          <w:rFonts w:ascii="Verdana" w:hAnsi="Verdana"/>
          <w:color w:val="000000"/>
          <w:sz w:val="20"/>
          <w:szCs w:val="20"/>
        </w:rPr>
        <w:t xml:space="preserve">a incertidumbre generada por la falta de legislación adecuada se reflejó en </w:t>
      </w:r>
      <w:r w:rsidR="005F13B4">
        <w:rPr>
          <w:rFonts w:ascii="Verdana" w:hAnsi="Verdana"/>
          <w:color w:val="000000"/>
          <w:sz w:val="20"/>
          <w:szCs w:val="20"/>
        </w:rPr>
        <w:t xml:space="preserve">las labores de las autoridades, la cual fue </w:t>
      </w:r>
      <w:r w:rsidRPr="00201EE6">
        <w:rPr>
          <w:rFonts w:ascii="Verdana" w:hAnsi="Verdana"/>
          <w:color w:val="000000"/>
          <w:sz w:val="20"/>
          <w:szCs w:val="20"/>
        </w:rPr>
        <w:t>escasa</w:t>
      </w:r>
      <w:r w:rsidR="005F13B4">
        <w:rPr>
          <w:rFonts w:ascii="Verdana" w:hAnsi="Verdana"/>
          <w:color w:val="000000"/>
          <w:sz w:val="20"/>
          <w:szCs w:val="20"/>
        </w:rPr>
        <w:t>,</w:t>
      </w:r>
      <w:r w:rsidRPr="00201EE6">
        <w:rPr>
          <w:rFonts w:ascii="Verdana" w:hAnsi="Verdana"/>
          <w:color w:val="000000"/>
          <w:sz w:val="20"/>
          <w:szCs w:val="20"/>
        </w:rPr>
        <w:t xml:space="preserve"> sin </w:t>
      </w:r>
      <w:r w:rsidR="005F13B4">
        <w:rPr>
          <w:rFonts w:ascii="Verdana" w:hAnsi="Verdana"/>
          <w:color w:val="000000"/>
          <w:sz w:val="20"/>
          <w:szCs w:val="20"/>
        </w:rPr>
        <w:t xml:space="preserve">abordar con determinación las </w:t>
      </w:r>
      <w:r w:rsidRPr="00201EE6">
        <w:rPr>
          <w:rFonts w:ascii="Verdana" w:hAnsi="Verdana"/>
          <w:color w:val="000000"/>
          <w:sz w:val="20"/>
          <w:szCs w:val="20"/>
        </w:rPr>
        <w:t xml:space="preserve">líneas de investigación ni </w:t>
      </w:r>
      <w:r w:rsidR="005F13B4">
        <w:rPr>
          <w:rFonts w:ascii="Verdana" w:hAnsi="Verdana"/>
          <w:color w:val="000000"/>
          <w:sz w:val="20"/>
          <w:szCs w:val="20"/>
        </w:rPr>
        <w:t xml:space="preserve">ejecutar </w:t>
      </w:r>
      <w:r w:rsidRPr="00201EE6">
        <w:rPr>
          <w:rFonts w:ascii="Verdana" w:hAnsi="Verdana"/>
          <w:color w:val="000000"/>
          <w:sz w:val="20"/>
          <w:szCs w:val="20"/>
        </w:rPr>
        <w:t>planes de acción delimitados.</w:t>
      </w:r>
    </w:p>
    <w:p w14:paraId="64AA60A9" w14:textId="7152B0CD"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color w:val="000000"/>
          <w:sz w:val="20"/>
          <w:szCs w:val="20"/>
        </w:rPr>
        <w:t>Además,</w:t>
      </w:r>
      <w:r w:rsidRPr="00201EE6" w:rsidDel="00DD4CAB">
        <w:rPr>
          <w:rFonts w:ascii="Verdana" w:hAnsi="Verdana"/>
          <w:color w:val="000000"/>
          <w:sz w:val="20"/>
          <w:szCs w:val="20"/>
        </w:rPr>
        <w:t xml:space="preserve"> </w:t>
      </w:r>
      <w:r w:rsidRPr="00201EE6">
        <w:rPr>
          <w:rFonts w:ascii="Verdana" w:hAnsi="Verdana"/>
          <w:color w:val="000000"/>
          <w:sz w:val="20"/>
          <w:szCs w:val="20"/>
        </w:rPr>
        <w:t>la Corte observa que existieron serias deficiencias durante el desarrollo de la misma, aún después de su concentración en una sola autoridad. Así, la Corte observa que las labores de investigación desplegadas por todas las agencias no fueron lo suficientemente exhaustivas como lo requería el caso, dada la gravedad de la violación denunciada y el riesgo latente para las víctimas. Las autoridades que se encargaron de la investigación (incluidas la U</w:t>
      </w:r>
      <w:r w:rsidR="00C71BAA">
        <w:rPr>
          <w:rFonts w:ascii="Verdana" w:hAnsi="Verdana"/>
          <w:color w:val="000000"/>
          <w:sz w:val="20"/>
          <w:szCs w:val="20"/>
        </w:rPr>
        <w:t>E</w:t>
      </w:r>
      <w:r w:rsidRPr="00201EE6">
        <w:rPr>
          <w:rFonts w:ascii="Verdana" w:hAnsi="Verdana"/>
          <w:color w:val="000000"/>
          <w:sz w:val="20"/>
          <w:szCs w:val="20"/>
        </w:rPr>
        <w:t>BP</w:t>
      </w:r>
      <w:r w:rsidR="00C71BAA">
        <w:rPr>
          <w:rFonts w:ascii="Verdana" w:hAnsi="Verdana"/>
          <w:color w:val="000000"/>
          <w:sz w:val="20"/>
          <w:szCs w:val="20"/>
        </w:rPr>
        <w:t>D</w:t>
      </w:r>
      <w:r w:rsidRPr="00201EE6">
        <w:rPr>
          <w:rFonts w:ascii="Verdana" w:hAnsi="Verdana"/>
          <w:color w:val="000000"/>
          <w:sz w:val="20"/>
          <w:szCs w:val="20"/>
        </w:rPr>
        <w:t>-PGR</w:t>
      </w:r>
      <w:r w:rsidR="00C71BAA">
        <w:rPr>
          <w:rFonts w:ascii="Verdana" w:hAnsi="Verdana"/>
          <w:color w:val="000000"/>
          <w:sz w:val="20"/>
          <w:szCs w:val="20"/>
        </w:rPr>
        <w:t>, posteriormente</w:t>
      </w:r>
      <w:r w:rsidRPr="00201EE6">
        <w:rPr>
          <w:rFonts w:ascii="Verdana" w:hAnsi="Verdana"/>
          <w:color w:val="000000"/>
          <w:sz w:val="20"/>
          <w:szCs w:val="20"/>
        </w:rPr>
        <w:t xml:space="preserve"> FEBDP-PGR)</w:t>
      </w:r>
      <w:r w:rsidR="00C71BAA">
        <w:rPr>
          <w:rFonts w:ascii="Verdana" w:hAnsi="Verdana"/>
          <w:color w:val="000000"/>
          <w:sz w:val="20"/>
          <w:szCs w:val="20"/>
        </w:rPr>
        <w:t>,</w:t>
      </w:r>
      <w:r w:rsidRPr="00201EE6">
        <w:rPr>
          <w:rFonts w:ascii="Verdana" w:hAnsi="Verdana"/>
          <w:color w:val="000000"/>
          <w:sz w:val="20"/>
          <w:szCs w:val="20"/>
        </w:rPr>
        <w:t xml:space="preserve"> no agotaron todas las acciones relacionadas con la línea </w:t>
      </w:r>
      <w:r w:rsidR="004F5EE3">
        <w:rPr>
          <w:rFonts w:ascii="Verdana" w:hAnsi="Verdana"/>
          <w:color w:val="000000"/>
          <w:sz w:val="20"/>
          <w:szCs w:val="20"/>
        </w:rPr>
        <w:t>de investigación más predominante, la cual se dirigía a la intervención de agentes del Estado. Ante ello,</w:t>
      </w:r>
      <w:r w:rsidRPr="00201EE6">
        <w:rPr>
          <w:rFonts w:ascii="Verdana" w:hAnsi="Verdana"/>
          <w:color w:val="000000"/>
          <w:sz w:val="20"/>
          <w:szCs w:val="20"/>
        </w:rPr>
        <w:t xml:space="preserve"> no </w:t>
      </w:r>
      <w:r w:rsidR="004F5EE3">
        <w:rPr>
          <w:rFonts w:ascii="Verdana" w:hAnsi="Verdana"/>
          <w:color w:val="000000"/>
          <w:sz w:val="20"/>
          <w:szCs w:val="20"/>
        </w:rPr>
        <w:t xml:space="preserve">se </w:t>
      </w:r>
      <w:r w:rsidRPr="00201EE6">
        <w:rPr>
          <w:rFonts w:ascii="Verdana" w:hAnsi="Verdana"/>
          <w:color w:val="000000"/>
          <w:sz w:val="20"/>
          <w:szCs w:val="20"/>
        </w:rPr>
        <w:t>recabaron todos los elementos de los que se pudiera extraer las especificidades de la cadena de mando, así como de las comunicaciones que se hubieran generado en los meses previos y posteriores a la desaparición y las correspondientes bitácoras y registros que dieran cuenta de las acciones d</w:t>
      </w:r>
      <w:r w:rsidR="004F5EE3">
        <w:rPr>
          <w:rFonts w:ascii="Verdana" w:hAnsi="Verdana"/>
          <w:color w:val="000000"/>
          <w:sz w:val="20"/>
          <w:szCs w:val="20"/>
        </w:rPr>
        <w:t>esplegadas por los elementos del referido</w:t>
      </w:r>
      <w:r w:rsidRPr="00201EE6">
        <w:rPr>
          <w:rFonts w:ascii="Verdana" w:hAnsi="Verdana"/>
          <w:color w:val="000000"/>
          <w:sz w:val="20"/>
          <w:szCs w:val="20"/>
        </w:rPr>
        <w:t xml:space="preserve"> Batallón durante dicho periodo (relacionadas o no con los operativos conjuntos implementados). </w:t>
      </w:r>
      <w:r w:rsidR="004F5EE3">
        <w:rPr>
          <w:rFonts w:ascii="Verdana" w:hAnsi="Verdana"/>
          <w:color w:val="000000"/>
          <w:sz w:val="20"/>
          <w:szCs w:val="20"/>
        </w:rPr>
        <w:t xml:space="preserve">Asimismo, frente a la denuncia concreta de la camioneta utilizada en el </w:t>
      </w:r>
      <w:r w:rsidR="00230457" w:rsidRPr="00350979">
        <w:rPr>
          <w:rFonts w:ascii="Verdana" w:hAnsi="Verdana"/>
          <w:color w:val="000000"/>
          <w:sz w:val="20"/>
          <w:szCs w:val="20"/>
        </w:rPr>
        <w:t>“</w:t>
      </w:r>
      <w:r w:rsidR="004F5EE3" w:rsidRPr="00350979">
        <w:rPr>
          <w:rFonts w:ascii="Verdana" w:hAnsi="Verdana"/>
          <w:color w:val="000000"/>
          <w:sz w:val="20"/>
          <w:szCs w:val="20"/>
        </w:rPr>
        <w:t>levantón</w:t>
      </w:r>
      <w:r w:rsidR="00230457" w:rsidRPr="00350979">
        <w:rPr>
          <w:rFonts w:ascii="Verdana" w:hAnsi="Verdana"/>
          <w:color w:val="000000"/>
          <w:sz w:val="20"/>
          <w:szCs w:val="20"/>
        </w:rPr>
        <w:t>”</w:t>
      </w:r>
      <w:r w:rsidR="004F5EE3" w:rsidRPr="00350979">
        <w:rPr>
          <w:rFonts w:ascii="Verdana" w:hAnsi="Verdana"/>
          <w:color w:val="000000"/>
          <w:sz w:val="20"/>
          <w:szCs w:val="20"/>
        </w:rPr>
        <w:t>,</w:t>
      </w:r>
      <w:r w:rsidRPr="00201EE6">
        <w:rPr>
          <w:rFonts w:ascii="Verdana" w:hAnsi="Verdana"/>
          <w:color w:val="000000"/>
          <w:sz w:val="20"/>
          <w:szCs w:val="20"/>
        </w:rPr>
        <w:t xml:space="preserve"> </w:t>
      </w:r>
      <w:r w:rsidR="004F5EE3">
        <w:rPr>
          <w:rFonts w:ascii="Verdana" w:hAnsi="Verdana"/>
          <w:color w:val="000000"/>
          <w:sz w:val="20"/>
          <w:szCs w:val="20"/>
        </w:rPr>
        <w:t xml:space="preserve">se destaca </w:t>
      </w:r>
      <w:r w:rsidRPr="00201EE6">
        <w:rPr>
          <w:rFonts w:ascii="Verdana" w:hAnsi="Verdana"/>
          <w:color w:val="000000"/>
          <w:sz w:val="20"/>
          <w:szCs w:val="20"/>
        </w:rPr>
        <w:t>la falta de requerimiento oportuno de toda la información existente relativa a los vehículos utilizados por los elementos del 35 Batallón (oficiales y particulares), así como de aquéllos que hubieran sido recuperados, incautados, inmovilizados</w:t>
      </w:r>
      <w:r w:rsidR="00C71BAA">
        <w:rPr>
          <w:rFonts w:ascii="Verdana" w:hAnsi="Verdana"/>
          <w:color w:val="000000"/>
          <w:sz w:val="20"/>
          <w:szCs w:val="20"/>
        </w:rPr>
        <w:t xml:space="preserve"> y/o</w:t>
      </w:r>
      <w:r w:rsidRPr="00201EE6">
        <w:rPr>
          <w:rFonts w:ascii="Verdana" w:hAnsi="Verdana"/>
          <w:color w:val="000000"/>
          <w:sz w:val="20"/>
          <w:szCs w:val="20"/>
        </w:rPr>
        <w:t xml:space="preserve"> asegurados por dichos elementos previo a la desaparición y que hubieran podido ser utilizados por éstos en la época de los hechos</w:t>
      </w:r>
      <w:r w:rsidRPr="00343208">
        <w:rPr>
          <w:color w:val="000000"/>
          <w:vertAlign w:val="superscript"/>
        </w:rPr>
        <w:footnoteReference w:id="472"/>
      </w:r>
      <w:r w:rsidRPr="00201EE6">
        <w:rPr>
          <w:rFonts w:ascii="Verdana" w:hAnsi="Verdana"/>
          <w:color w:val="000000"/>
          <w:sz w:val="20"/>
          <w:szCs w:val="20"/>
        </w:rPr>
        <w:t xml:space="preserve">.  </w:t>
      </w:r>
    </w:p>
    <w:p w14:paraId="64AA60AB" w14:textId="149B6C70"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color w:val="000000"/>
          <w:sz w:val="20"/>
          <w:szCs w:val="20"/>
        </w:rPr>
        <w:t xml:space="preserve">Tampoco fue exhaustiva la actuación de las autoridades </w:t>
      </w:r>
      <w:r w:rsidR="00110053">
        <w:rPr>
          <w:rFonts w:ascii="Verdana" w:hAnsi="Verdana"/>
          <w:color w:val="000000"/>
          <w:sz w:val="20"/>
          <w:szCs w:val="20"/>
        </w:rPr>
        <w:t xml:space="preserve">en la </w:t>
      </w:r>
      <w:r w:rsidRPr="00201EE6">
        <w:rPr>
          <w:rFonts w:ascii="Verdana" w:hAnsi="Verdana"/>
          <w:color w:val="000000"/>
          <w:sz w:val="20"/>
          <w:szCs w:val="20"/>
        </w:rPr>
        <w:t xml:space="preserve">investigación respecto de la </w:t>
      </w:r>
      <w:r w:rsidRPr="00201EE6">
        <w:rPr>
          <w:rFonts w:ascii="Verdana" w:hAnsi="Verdana"/>
          <w:color w:val="000000"/>
          <w:sz w:val="20"/>
          <w:szCs w:val="20"/>
        </w:rPr>
        <w:lastRenderedPageBreak/>
        <w:t xml:space="preserve">identificación del “Comandante Meza” y su relación con </w:t>
      </w:r>
      <w:r w:rsidR="004F5EE3">
        <w:rPr>
          <w:rFonts w:ascii="Verdana" w:hAnsi="Verdana"/>
          <w:color w:val="000000"/>
          <w:sz w:val="20"/>
          <w:szCs w:val="20"/>
        </w:rPr>
        <w:t>los hechos del caso</w:t>
      </w:r>
      <w:r w:rsidRPr="00201EE6">
        <w:rPr>
          <w:rFonts w:ascii="Verdana" w:hAnsi="Verdana"/>
          <w:color w:val="000000"/>
          <w:sz w:val="20"/>
          <w:szCs w:val="20"/>
        </w:rPr>
        <w:t xml:space="preserve">, pues no se realizó un análisis de los registros de llamadas del número telefónico de la </w:t>
      </w:r>
      <w:r w:rsidR="00110053">
        <w:rPr>
          <w:rFonts w:ascii="Verdana" w:hAnsi="Verdana"/>
          <w:color w:val="000000"/>
          <w:sz w:val="20"/>
          <w:szCs w:val="20"/>
        </w:rPr>
        <w:t>l</w:t>
      </w:r>
      <w:r w:rsidRPr="00350979">
        <w:rPr>
          <w:rFonts w:ascii="Verdana" w:hAnsi="Verdana"/>
          <w:color w:val="000000"/>
          <w:sz w:val="20"/>
          <w:szCs w:val="20"/>
        </w:rPr>
        <w:t>icenciada Argene Blá</w:t>
      </w:r>
      <w:r w:rsidR="00110053">
        <w:rPr>
          <w:rFonts w:ascii="Verdana" w:hAnsi="Verdana"/>
          <w:color w:val="000000"/>
          <w:sz w:val="20"/>
          <w:szCs w:val="20"/>
        </w:rPr>
        <w:t>s</w:t>
      </w:r>
      <w:r w:rsidRPr="00350979">
        <w:rPr>
          <w:rFonts w:ascii="Verdana" w:hAnsi="Verdana"/>
          <w:color w:val="000000"/>
          <w:sz w:val="20"/>
          <w:szCs w:val="20"/>
        </w:rPr>
        <w:t>quez</w:t>
      </w:r>
      <w:r w:rsidRPr="00201EE6">
        <w:rPr>
          <w:rFonts w:ascii="Verdana" w:hAnsi="Verdana"/>
          <w:color w:val="000000"/>
          <w:sz w:val="20"/>
          <w:szCs w:val="20"/>
        </w:rPr>
        <w:t xml:space="preserve"> Morales para identificar el origen de la llamada que recibió del supuesto comandante y corroborar lo</w:t>
      </w:r>
      <w:r w:rsidR="004F5EE3">
        <w:rPr>
          <w:rFonts w:ascii="Verdana" w:hAnsi="Verdana"/>
          <w:color w:val="000000"/>
          <w:sz w:val="20"/>
          <w:szCs w:val="20"/>
        </w:rPr>
        <w:t xml:space="preserve"> afirmado por dicha funcionaria</w:t>
      </w:r>
      <w:r w:rsidRPr="00201EE6">
        <w:rPr>
          <w:rFonts w:ascii="Verdana" w:hAnsi="Verdana"/>
          <w:color w:val="000000"/>
          <w:sz w:val="20"/>
          <w:szCs w:val="20"/>
        </w:rPr>
        <w:t xml:space="preserve"> y los licenciados Ramón Iván Sotomayor Siller y Damaris Baglietto Hernández</w:t>
      </w:r>
      <w:r w:rsidR="004F5EE3">
        <w:rPr>
          <w:rFonts w:ascii="Verdana" w:hAnsi="Verdana"/>
          <w:color w:val="000000"/>
          <w:sz w:val="20"/>
          <w:szCs w:val="20"/>
        </w:rPr>
        <w:t>, en sus diversas declaraciones, por lo que hasta la fecha no se ha identificado a dicho comandante.</w:t>
      </w:r>
      <w:r w:rsidRPr="00201EE6">
        <w:rPr>
          <w:rFonts w:ascii="Verdana" w:hAnsi="Verdana"/>
          <w:color w:val="000000"/>
          <w:sz w:val="20"/>
          <w:szCs w:val="20"/>
        </w:rPr>
        <w:t xml:space="preserve"> De igual manera, no </w:t>
      </w:r>
      <w:r w:rsidR="004F5EE3">
        <w:rPr>
          <w:rFonts w:ascii="Verdana" w:hAnsi="Verdana"/>
          <w:color w:val="000000"/>
          <w:sz w:val="20"/>
          <w:szCs w:val="20"/>
        </w:rPr>
        <w:t xml:space="preserve">se investigó </w:t>
      </w:r>
      <w:r w:rsidRPr="00201EE6">
        <w:rPr>
          <w:rFonts w:ascii="Verdana" w:hAnsi="Verdana"/>
          <w:color w:val="000000"/>
          <w:sz w:val="20"/>
          <w:szCs w:val="20"/>
        </w:rPr>
        <w:t>la probable relación entre la desaparición y el homicidio de los tres agentes federales en octubre de 2009, pues aunque se requirió la información relativa a la investigación realizada por dicha corporación, no se identificaron los elementos que la lleva</w:t>
      </w:r>
      <w:r w:rsidR="00110053">
        <w:rPr>
          <w:rFonts w:ascii="Verdana" w:hAnsi="Verdana"/>
          <w:color w:val="000000"/>
          <w:sz w:val="20"/>
          <w:szCs w:val="20"/>
        </w:rPr>
        <w:t>ro</w:t>
      </w:r>
      <w:r w:rsidRPr="00201EE6">
        <w:rPr>
          <w:rFonts w:ascii="Verdana" w:hAnsi="Verdana"/>
          <w:color w:val="000000"/>
          <w:sz w:val="20"/>
          <w:szCs w:val="20"/>
        </w:rPr>
        <w:t xml:space="preserve">n a cabo. </w:t>
      </w:r>
    </w:p>
    <w:p w14:paraId="64AA60AD" w14:textId="0A7782D1" w:rsidR="00201EE6" w:rsidRPr="00813B72" w:rsidRDefault="004F5EE3"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Pr>
          <w:rFonts w:ascii="Verdana" w:hAnsi="Verdana"/>
          <w:color w:val="000000"/>
          <w:sz w:val="20"/>
          <w:szCs w:val="20"/>
        </w:rPr>
        <w:t>Respecto de la línea de investigación relacionada con l</w:t>
      </w:r>
      <w:r w:rsidR="00903628" w:rsidRPr="00201EE6">
        <w:rPr>
          <w:rFonts w:ascii="Verdana" w:hAnsi="Verdana"/>
          <w:color w:val="000000"/>
          <w:sz w:val="20"/>
          <w:szCs w:val="20"/>
        </w:rPr>
        <w:t>a delincuencia organizada y su relación con la desaparición, tampoco se llevaron a cabo suficientes diligencias ni requerimientos para</w:t>
      </w:r>
      <w:r>
        <w:rPr>
          <w:rFonts w:ascii="Verdana" w:hAnsi="Verdana"/>
          <w:color w:val="000000"/>
          <w:sz w:val="20"/>
          <w:szCs w:val="20"/>
        </w:rPr>
        <w:t xml:space="preserve"> determinar su factibilidad</w:t>
      </w:r>
      <w:r w:rsidR="00903628" w:rsidRPr="00201EE6">
        <w:rPr>
          <w:rFonts w:ascii="Verdana" w:hAnsi="Verdana"/>
          <w:color w:val="000000"/>
          <w:sz w:val="20"/>
          <w:szCs w:val="20"/>
        </w:rPr>
        <w:t xml:space="preserve"> </w:t>
      </w:r>
      <w:r>
        <w:rPr>
          <w:rFonts w:ascii="Verdana" w:hAnsi="Verdana"/>
          <w:color w:val="000000"/>
          <w:sz w:val="20"/>
          <w:szCs w:val="20"/>
        </w:rPr>
        <w:t xml:space="preserve">y, </w:t>
      </w:r>
      <w:r w:rsidR="00903628" w:rsidRPr="00201EE6">
        <w:rPr>
          <w:rFonts w:ascii="Verdana" w:hAnsi="Verdana"/>
          <w:color w:val="000000"/>
          <w:sz w:val="20"/>
          <w:szCs w:val="20"/>
        </w:rPr>
        <w:t>en su caso, los elementos de prueba necesarios para acreditarla</w:t>
      </w:r>
      <w:r w:rsidR="00903628" w:rsidRPr="00343208">
        <w:rPr>
          <w:vertAlign w:val="superscript"/>
        </w:rPr>
        <w:footnoteReference w:id="473"/>
      </w:r>
      <w:r w:rsidR="00903628" w:rsidRPr="00201EE6">
        <w:rPr>
          <w:rFonts w:ascii="Verdana" w:hAnsi="Verdana"/>
          <w:color w:val="000000"/>
          <w:sz w:val="20"/>
          <w:szCs w:val="20"/>
        </w:rPr>
        <w:t>.</w:t>
      </w:r>
    </w:p>
    <w:p w14:paraId="64AA60AE" w14:textId="7DDB7A27" w:rsidR="00201EE6" w:rsidRPr="002170BC" w:rsidRDefault="004F5EE3"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16"/>
        </w:rPr>
      </w:pPr>
      <w:r w:rsidRPr="00A37F6D">
        <w:rPr>
          <w:rFonts w:ascii="Verdana" w:hAnsi="Verdana"/>
          <w:color w:val="000000"/>
          <w:sz w:val="20"/>
          <w:szCs w:val="20"/>
        </w:rPr>
        <w:t>En suma, l</w:t>
      </w:r>
      <w:r w:rsidR="00903628" w:rsidRPr="007F5783">
        <w:rPr>
          <w:rFonts w:ascii="Verdana" w:hAnsi="Verdana"/>
          <w:color w:val="000000"/>
          <w:sz w:val="20"/>
          <w:szCs w:val="20"/>
        </w:rPr>
        <w:t>as relatadas deficiencias en la investigación</w:t>
      </w:r>
      <w:r w:rsidR="009A734D">
        <w:rPr>
          <w:rFonts w:ascii="Verdana" w:hAnsi="Verdana"/>
          <w:color w:val="000000"/>
          <w:sz w:val="20"/>
          <w:szCs w:val="20"/>
        </w:rPr>
        <w:t xml:space="preserve"> </w:t>
      </w:r>
      <w:r w:rsidR="00903628" w:rsidRPr="007F5783">
        <w:rPr>
          <w:rFonts w:ascii="Verdana" w:hAnsi="Verdana"/>
          <w:color w:val="000000"/>
          <w:sz w:val="20"/>
          <w:szCs w:val="20"/>
        </w:rPr>
        <w:t>constituyen una violación al deber del Estado de realizar una investigación seria, imparcial y efectiva, además de exhaustiva, y que ha abonado a que en la actualidad no h</w:t>
      </w:r>
      <w:r w:rsidR="004D0D3E">
        <w:rPr>
          <w:rFonts w:ascii="Verdana" w:hAnsi="Verdana"/>
          <w:color w:val="000000"/>
          <w:sz w:val="20"/>
          <w:szCs w:val="20"/>
        </w:rPr>
        <w:t>aya</w:t>
      </w:r>
      <w:r w:rsidR="00903628" w:rsidRPr="007F5783">
        <w:rPr>
          <w:rFonts w:ascii="Verdana" w:hAnsi="Verdana"/>
          <w:color w:val="000000"/>
          <w:sz w:val="20"/>
          <w:szCs w:val="20"/>
        </w:rPr>
        <w:t>n sido localizadas las víctimas, ni se h</w:t>
      </w:r>
      <w:r w:rsidR="004D0D3E">
        <w:rPr>
          <w:rFonts w:ascii="Verdana" w:hAnsi="Verdana"/>
          <w:color w:val="000000"/>
          <w:sz w:val="20"/>
          <w:szCs w:val="20"/>
        </w:rPr>
        <w:t>ay</w:t>
      </w:r>
      <w:r w:rsidR="00903628" w:rsidRPr="007F5783">
        <w:rPr>
          <w:rFonts w:ascii="Verdana" w:hAnsi="Verdana"/>
          <w:color w:val="000000"/>
          <w:sz w:val="20"/>
          <w:szCs w:val="20"/>
        </w:rPr>
        <w:t>a determinado la responsabilidad de los perpetradore</w:t>
      </w:r>
      <w:r w:rsidR="00305DA9" w:rsidRPr="007F5783">
        <w:rPr>
          <w:rFonts w:ascii="Verdana" w:hAnsi="Verdana"/>
          <w:color w:val="000000"/>
          <w:sz w:val="20"/>
          <w:szCs w:val="20"/>
        </w:rPr>
        <w:t xml:space="preserve">s de la desaparición forzada. Lo anterior, en contravención </w:t>
      </w:r>
      <w:r w:rsidR="00305DA9" w:rsidRPr="007F5783">
        <w:rPr>
          <w:rFonts w:ascii="Verdana" w:hAnsi="Verdana"/>
          <w:sz w:val="20"/>
          <w:szCs w:val="16"/>
        </w:rPr>
        <w:t>con los artículos 8 y 25 de la Convención Americana, así como el artículo I.b de la Convención Interamericana sobre Desaparición Forzada, en perjuicio de Nitza Paola, Rocío Irene y José Ángel Alvarado y de sus familiares</w:t>
      </w:r>
      <w:r w:rsidR="00A37F6D" w:rsidRPr="006A385C">
        <w:rPr>
          <w:rFonts w:ascii="Verdana" w:hAnsi="Verdana"/>
          <w:sz w:val="20"/>
          <w:szCs w:val="16"/>
        </w:rPr>
        <w:t xml:space="preserve"> </w:t>
      </w:r>
      <w:r w:rsidR="00A37F6D" w:rsidRPr="003564A3">
        <w:rPr>
          <w:rFonts w:ascii="Verdana" w:hAnsi="Verdana"/>
          <w:sz w:val="20"/>
          <w:szCs w:val="16"/>
        </w:rPr>
        <w:t>directos</w:t>
      </w:r>
      <w:r w:rsidR="00A37F6D" w:rsidRPr="006A385C">
        <w:rPr>
          <w:rFonts w:ascii="Verdana" w:hAnsi="Verdana"/>
          <w:sz w:val="20"/>
          <w:szCs w:val="16"/>
        </w:rPr>
        <w:t xml:space="preserve"> (</w:t>
      </w:r>
      <w:r w:rsidR="00A37F6D" w:rsidRPr="006A385C">
        <w:rPr>
          <w:rFonts w:ascii="Verdana" w:hAnsi="Verdana"/>
          <w:i/>
          <w:sz w:val="20"/>
          <w:szCs w:val="16"/>
        </w:rPr>
        <w:t xml:space="preserve">infra </w:t>
      </w:r>
      <w:r w:rsidR="00A37F6D" w:rsidRPr="006A385C">
        <w:rPr>
          <w:rFonts w:ascii="Verdana" w:hAnsi="Verdana"/>
          <w:sz w:val="20"/>
          <w:szCs w:val="16"/>
        </w:rPr>
        <w:t>párr. 2</w:t>
      </w:r>
      <w:r w:rsidR="00243E91">
        <w:rPr>
          <w:rFonts w:ascii="Verdana" w:hAnsi="Verdana"/>
          <w:sz w:val="20"/>
          <w:szCs w:val="16"/>
        </w:rPr>
        <w:t>65</w:t>
      </w:r>
      <w:r w:rsidR="00A37F6D" w:rsidRPr="006A385C">
        <w:rPr>
          <w:rFonts w:ascii="Verdana" w:hAnsi="Verdana"/>
          <w:sz w:val="20"/>
          <w:szCs w:val="16"/>
        </w:rPr>
        <w:t>)</w:t>
      </w:r>
      <w:r w:rsidR="00305DA9" w:rsidRPr="00A37F6D">
        <w:rPr>
          <w:rFonts w:ascii="Verdana" w:hAnsi="Verdana"/>
          <w:sz w:val="20"/>
          <w:szCs w:val="16"/>
        </w:rPr>
        <w:t>.</w:t>
      </w:r>
    </w:p>
    <w:p w14:paraId="64AA60AF" w14:textId="4D8E64A8" w:rsidR="00201EE6" w:rsidRPr="008D0846" w:rsidRDefault="00CB5AF2" w:rsidP="003564A3">
      <w:pPr>
        <w:pStyle w:val="Ttulo5"/>
        <w:numPr>
          <w:ilvl w:val="0"/>
          <w:numId w:val="76"/>
        </w:numPr>
        <w:spacing w:before="120" w:after="120"/>
        <w:contextualSpacing w:val="0"/>
        <w:rPr>
          <w:lang w:val="es-CR"/>
        </w:rPr>
      </w:pPr>
      <w:r w:rsidRPr="008D0846">
        <w:rPr>
          <w:lang w:val="es-CR"/>
        </w:rPr>
        <w:t xml:space="preserve"> </w:t>
      </w:r>
      <w:bookmarkStart w:id="280" w:name="_Toc532995384"/>
      <w:r w:rsidRPr="008D0846">
        <w:rPr>
          <w:lang w:val="es-CR"/>
        </w:rPr>
        <w:t>Respecto del</w:t>
      </w:r>
      <w:r w:rsidR="009A734D" w:rsidRPr="008D0846">
        <w:rPr>
          <w:lang w:val="es-CR"/>
        </w:rPr>
        <w:t xml:space="preserve"> artículo 7 de la </w:t>
      </w:r>
      <w:r w:rsidRPr="008D0846">
        <w:rPr>
          <w:lang w:val="es-CR"/>
        </w:rPr>
        <w:t>CPESVM</w:t>
      </w:r>
      <w:bookmarkEnd w:id="280"/>
    </w:p>
    <w:p w14:paraId="7B1605E7" w14:textId="7294CD41" w:rsidR="004F1058"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SimSun" w:hAnsi="Verdana" w:cs="Arial"/>
          <w:sz w:val="20"/>
          <w:szCs w:val="20"/>
          <w:lang w:val="es-CR" w:eastAsia="es-CR"/>
        </w:rPr>
      </w:pPr>
      <w:r w:rsidRPr="00201EE6">
        <w:rPr>
          <w:rFonts w:ascii="Verdana" w:hAnsi="Verdana"/>
          <w:color w:val="000000"/>
          <w:sz w:val="20"/>
          <w:szCs w:val="20"/>
        </w:rPr>
        <w:t>Por otro lado, en</w:t>
      </w:r>
      <w:r w:rsidR="004F1058">
        <w:rPr>
          <w:rFonts w:ascii="Verdana" w:hAnsi="Verdana"/>
          <w:color w:val="000000"/>
          <w:sz w:val="20"/>
          <w:szCs w:val="20"/>
        </w:rPr>
        <w:t xml:space="preserve"> cuanto a la alegada violación d</w:t>
      </w:r>
      <w:r w:rsidR="004F5EE3">
        <w:rPr>
          <w:rFonts w:ascii="Verdana" w:hAnsi="Verdana"/>
          <w:color w:val="000000"/>
          <w:sz w:val="20"/>
          <w:szCs w:val="20"/>
        </w:rPr>
        <w:t>el artículo</w:t>
      </w:r>
      <w:r w:rsidRPr="00201EE6">
        <w:rPr>
          <w:rFonts w:ascii="Verdana" w:hAnsi="Verdana"/>
          <w:color w:val="000000"/>
          <w:sz w:val="20"/>
          <w:szCs w:val="20"/>
        </w:rPr>
        <w:t xml:space="preserve"> 7 de la Convención de Belem do Pará, la Corte –como lo hizo notar la Comisión- no encuentra elementos suficientes para afirmar que la desaparición </w:t>
      </w:r>
      <w:r w:rsidR="004F1058" w:rsidRPr="00201EE6">
        <w:rPr>
          <w:rFonts w:ascii="Verdana" w:hAnsi="Verdana"/>
          <w:color w:val="000000"/>
          <w:sz w:val="20"/>
          <w:szCs w:val="20"/>
        </w:rPr>
        <w:t>de dos de las víctimas</w:t>
      </w:r>
      <w:r w:rsidR="004F1058">
        <w:rPr>
          <w:rFonts w:ascii="Verdana" w:hAnsi="Verdana"/>
          <w:color w:val="000000"/>
          <w:sz w:val="20"/>
          <w:szCs w:val="20"/>
        </w:rPr>
        <w:t xml:space="preserve"> se debió a motivos de </w:t>
      </w:r>
      <w:r w:rsidRPr="00201EE6">
        <w:rPr>
          <w:rFonts w:ascii="Verdana" w:hAnsi="Verdana"/>
          <w:color w:val="000000"/>
          <w:sz w:val="20"/>
          <w:szCs w:val="20"/>
        </w:rPr>
        <w:t>género</w:t>
      </w:r>
      <w:r w:rsidRPr="007568BA">
        <w:rPr>
          <w:vertAlign w:val="superscript"/>
        </w:rPr>
        <w:footnoteReference w:id="474"/>
      </w:r>
      <w:r w:rsidRPr="00201EE6">
        <w:rPr>
          <w:rFonts w:ascii="Verdana" w:hAnsi="Verdana"/>
          <w:color w:val="000000"/>
          <w:sz w:val="20"/>
          <w:szCs w:val="20"/>
        </w:rPr>
        <w:t xml:space="preserve"> o indicios de que las autoridades realizaron discriminación motivada por género al investigar los hechos. Por el contrario, este Tribunal observa que durante un añ</w:t>
      </w:r>
      <w:r w:rsidR="004F1058">
        <w:rPr>
          <w:rFonts w:ascii="Verdana" w:hAnsi="Verdana"/>
          <w:color w:val="000000"/>
          <w:sz w:val="20"/>
          <w:szCs w:val="20"/>
        </w:rPr>
        <w:t>o y siete meses la FEVIMTRA (</w:t>
      </w:r>
      <w:r w:rsidRPr="00201EE6">
        <w:rPr>
          <w:rFonts w:ascii="Verdana" w:hAnsi="Verdana"/>
          <w:color w:val="000000"/>
          <w:sz w:val="20"/>
          <w:szCs w:val="20"/>
        </w:rPr>
        <w:t xml:space="preserve">órgano especializado de investigación de actos que suponen violencia contra las mujeres y trata de personas) se hizo cargo de la investigación </w:t>
      </w:r>
      <w:r w:rsidR="004F1058">
        <w:rPr>
          <w:rFonts w:ascii="Verdana" w:hAnsi="Verdana"/>
          <w:color w:val="000000"/>
          <w:sz w:val="20"/>
          <w:szCs w:val="20"/>
        </w:rPr>
        <w:t xml:space="preserve">y concluyó la </w:t>
      </w:r>
      <w:r w:rsidRPr="00201EE6">
        <w:rPr>
          <w:rFonts w:ascii="Verdana" w:hAnsi="Verdana"/>
          <w:color w:val="000000"/>
          <w:sz w:val="20"/>
          <w:szCs w:val="20"/>
        </w:rPr>
        <w:t>falta de elementos para</w:t>
      </w:r>
      <w:r w:rsidR="004F1058">
        <w:rPr>
          <w:rFonts w:ascii="Verdana" w:hAnsi="Verdana"/>
          <w:color w:val="000000"/>
          <w:sz w:val="20"/>
          <w:szCs w:val="20"/>
        </w:rPr>
        <w:t xml:space="preserve"> afirmar la violencia de género</w:t>
      </w:r>
      <w:r w:rsidRPr="00201EE6">
        <w:rPr>
          <w:rFonts w:ascii="Verdana" w:hAnsi="Verdana"/>
          <w:color w:val="000000"/>
          <w:sz w:val="20"/>
          <w:szCs w:val="20"/>
        </w:rPr>
        <w:t xml:space="preserve">. </w:t>
      </w:r>
    </w:p>
    <w:p w14:paraId="16ED6D7A" w14:textId="68A0CB69" w:rsidR="004F1058" w:rsidRPr="00813B72" w:rsidRDefault="00474CC9">
      <w:pPr>
        <w:pStyle w:val="Ttulo5"/>
        <w:numPr>
          <w:ilvl w:val="0"/>
          <w:numId w:val="76"/>
        </w:numPr>
        <w:spacing w:before="120" w:after="120"/>
        <w:contextualSpacing w:val="0"/>
        <w:rPr>
          <w:lang w:val="es-CR"/>
        </w:rPr>
      </w:pPr>
      <w:bookmarkStart w:id="281" w:name="_Toc522815033"/>
      <w:bookmarkStart w:id="282" w:name="_Toc526777660"/>
      <w:bookmarkStart w:id="283" w:name="_Toc526778143"/>
      <w:bookmarkStart w:id="284" w:name="_Toc526779395"/>
      <w:bookmarkStart w:id="285" w:name="_Toc526780864"/>
      <w:bookmarkStart w:id="286" w:name="_Toc526783801"/>
      <w:r>
        <w:rPr>
          <w:lang w:val="es-CR"/>
        </w:rPr>
        <w:t xml:space="preserve"> </w:t>
      </w:r>
      <w:bookmarkStart w:id="287" w:name="_Toc532995385"/>
      <w:r w:rsidR="00903628" w:rsidRPr="004F1058">
        <w:rPr>
          <w:lang w:val="es-CR"/>
        </w:rPr>
        <w:t>Sobre el plazo razonable</w:t>
      </w:r>
      <w:bookmarkEnd w:id="281"/>
      <w:bookmarkEnd w:id="282"/>
      <w:bookmarkEnd w:id="283"/>
      <w:bookmarkEnd w:id="284"/>
      <w:bookmarkEnd w:id="285"/>
      <w:bookmarkEnd w:id="286"/>
      <w:bookmarkEnd w:id="287"/>
    </w:p>
    <w:p w14:paraId="64AA60B2" w14:textId="6F029D04" w:rsidR="00201EE6" w:rsidRPr="00201EE6"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CR"/>
        </w:rPr>
      </w:pPr>
      <w:r>
        <w:rPr>
          <w:rFonts w:ascii="Verdana" w:hAnsi="Verdana"/>
          <w:sz w:val="20"/>
          <w:szCs w:val="20"/>
        </w:rPr>
        <w:t xml:space="preserve">La Comisión y las Representantes argumentaron que el Estado </w:t>
      </w:r>
      <w:r w:rsidRPr="00B2077F">
        <w:rPr>
          <w:rFonts w:ascii="Verdana" w:eastAsia="SimSun" w:hAnsi="Verdana" w:cs="Arial"/>
          <w:sz w:val="20"/>
          <w:szCs w:val="20"/>
          <w:lang w:val="es-CR" w:eastAsia="es-CR"/>
        </w:rPr>
        <w:t>incumplió con la garantía de plazo razonable en la investigación</w:t>
      </w:r>
      <w:r>
        <w:rPr>
          <w:rFonts w:ascii="Verdana" w:hAnsi="Verdana"/>
          <w:sz w:val="20"/>
          <w:szCs w:val="20"/>
        </w:rPr>
        <w:t>, sin justificar su deficiente actuación; mientras que el Estado ha señalado que el retraso se ha debido a la complejidad del asunto y al contexto en que se suscitaron los hechos (</w:t>
      </w:r>
      <w:r w:rsidRPr="006A385C">
        <w:rPr>
          <w:rFonts w:ascii="Verdana" w:hAnsi="Verdana"/>
          <w:i/>
          <w:sz w:val="20"/>
          <w:szCs w:val="20"/>
        </w:rPr>
        <w:t>supra</w:t>
      </w:r>
      <w:r>
        <w:rPr>
          <w:rFonts w:ascii="Verdana" w:hAnsi="Verdana"/>
          <w:sz w:val="20"/>
          <w:szCs w:val="20"/>
        </w:rPr>
        <w:t xml:space="preserve"> párrs. </w:t>
      </w:r>
      <w:r w:rsidR="00B859E6">
        <w:rPr>
          <w:rFonts w:ascii="Verdana" w:hAnsi="Verdana"/>
          <w:sz w:val="20"/>
          <w:szCs w:val="20"/>
        </w:rPr>
        <w:t>20</w:t>
      </w:r>
      <w:r w:rsidR="00243E91">
        <w:rPr>
          <w:rFonts w:ascii="Verdana" w:hAnsi="Verdana"/>
          <w:sz w:val="20"/>
          <w:szCs w:val="20"/>
        </w:rPr>
        <w:t>6</w:t>
      </w:r>
      <w:r w:rsidR="00B859E6">
        <w:rPr>
          <w:rFonts w:ascii="Verdana" w:hAnsi="Verdana"/>
          <w:sz w:val="20"/>
          <w:szCs w:val="20"/>
        </w:rPr>
        <w:t xml:space="preserve"> y 211</w:t>
      </w:r>
      <w:r>
        <w:rPr>
          <w:rFonts w:ascii="Verdana" w:hAnsi="Verdana"/>
          <w:sz w:val="20"/>
          <w:szCs w:val="20"/>
        </w:rPr>
        <w:t xml:space="preserve">), por lo que no debe considerársele responsable </w:t>
      </w:r>
      <w:r>
        <w:rPr>
          <w:rFonts w:ascii="Verdana" w:eastAsia="SimSun" w:hAnsi="Verdana" w:cs="Arial"/>
          <w:sz w:val="20"/>
          <w:szCs w:val="20"/>
          <w:lang w:val="es-CR" w:eastAsia="es-CR"/>
        </w:rPr>
        <w:t>violar</w:t>
      </w:r>
      <w:r w:rsidRPr="009D3D37">
        <w:rPr>
          <w:rFonts w:ascii="Verdana" w:eastAsia="SimSun" w:hAnsi="Verdana" w:cs="Arial"/>
          <w:sz w:val="20"/>
          <w:szCs w:val="20"/>
          <w:lang w:val="es-CR" w:eastAsia="es-CR"/>
        </w:rPr>
        <w:t xml:space="preserve"> la garantía </w:t>
      </w:r>
      <w:r>
        <w:rPr>
          <w:rFonts w:ascii="Verdana" w:eastAsia="SimSun" w:hAnsi="Verdana" w:cs="Arial"/>
          <w:sz w:val="20"/>
          <w:szCs w:val="20"/>
          <w:lang w:val="es-CR" w:eastAsia="es-CR"/>
        </w:rPr>
        <w:t>de</w:t>
      </w:r>
      <w:r w:rsidRPr="009D3D37">
        <w:rPr>
          <w:rFonts w:ascii="Verdana" w:eastAsia="SimSun" w:hAnsi="Verdana" w:cs="Arial"/>
          <w:sz w:val="20"/>
          <w:szCs w:val="20"/>
          <w:lang w:val="es-CR" w:eastAsia="es-CR"/>
        </w:rPr>
        <w:t xml:space="preserve"> plazo razonable</w:t>
      </w:r>
      <w:r>
        <w:rPr>
          <w:rFonts w:ascii="Verdana" w:hAnsi="Verdana"/>
          <w:sz w:val="20"/>
          <w:szCs w:val="20"/>
        </w:rPr>
        <w:t xml:space="preserve">. </w:t>
      </w:r>
    </w:p>
    <w:p w14:paraId="64AA60B5" w14:textId="6E01713D"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CR"/>
        </w:rPr>
      </w:pPr>
      <w:r w:rsidRPr="00201EE6">
        <w:rPr>
          <w:rFonts w:ascii="Verdana" w:hAnsi="Verdana"/>
          <w:sz w:val="20"/>
          <w:szCs w:val="20"/>
        </w:rPr>
        <w:t xml:space="preserve">La Corte reitera que, de acuerdo con el artículo 8.1 de la Convención y como parte del derecho a la justicia, los procesos deben </w:t>
      </w:r>
      <w:r w:rsidR="004F1058">
        <w:rPr>
          <w:rFonts w:ascii="Verdana" w:hAnsi="Verdana"/>
          <w:sz w:val="20"/>
          <w:szCs w:val="20"/>
        </w:rPr>
        <w:t>realizarse</w:t>
      </w:r>
      <w:r w:rsidRPr="00201EE6">
        <w:rPr>
          <w:rFonts w:ascii="Verdana" w:hAnsi="Verdana"/>
          <w:sz w:val="20"/>
          <w:szCs w:val="20"/>
        </w:rPr>
        <w:t xml:space="preserve"> dentro de un plazo razonable</w:t>
      </w:r>
      <w:r w:rsidRPr="00177D17">
        <w:rPr>
          <w:rStyle w:val="Refdenotaalpie"/>
          <w:rFonts w:ascii="Verdana" w:hAnsi="Verdana"/>
          <w:sz w:val="20"/>
          <w:szCs w:val="20"/>
          <w:lang w:val="es-CR"/>
        </w:rPr>
        <w:footnoteReference w:id="475"/>
      </w:r>
      <w:r w:rsidR="00243E91">
        <w:rPr>
          <w:rFonts w:ascii="Verdana" w:hAnsi="Verdana"/>
          <w:sz w:val="20"/>
          <w:szCs w:val="20"/>
        </w:rPr>
        <w:t>,</w:t>
      </w:r>
      <w:r w:rsidRPr="00201EE6">
        <w:rPr>
          <w:rFonts w:ascii="Verdana" w:hAnsi="Verdana"/>
          <w:sz w:val="20"/>
          <w:szCs w:val="20"/>
        </w:rPr>
        <w:t xml:space="preserve"> </w:t>
      </w:r>
      <w:r w:rsidRPr="00201EE6">
        <w:rPr>
          <w:rFonts w:ascii="Verdana" w:hAnsi="Verdana"/>
          <w:sz w:val="20"/>
          <w:szCs w:val="20"/>
          <w:lang w:val="es-CR"/>
        </w:rPr>
        <w:t>por lo que, en atención a la necesidad de garantizar los derechos de las personas perjudicadas, una demora prolongada puede llegar a constituir, por sí misma, una violación de las garantías judiciales</w:t>
      </w:r>
      <w:r w:rsidRPr="00177D17">
        <w:rPr>
          <w:rStyle w:val="Refdenotaalpie"/>
          <w:rFonts w:ascii="Verdana" w:hAnsi="Verdana"/>
          <w:sz w:val="20"/>
          <w:szCs w:val="20"/>
          <w:lang w:val="es-CR"/>
        </w:rPr>
        <w:footnoteReference w:id="476"/>
      </w:r>
      <w:r w:rsidRPr="00201EE6">
        <w:rPr>
          <w:rFonts w:ascii="Verdana" w:hAnsi="Verdana"/>
          <w:sz w:val="20"/>
          <w:szCs w:val="20"/>
          <w:lang w:val="es-CR"/>
        </w:rPr>
        <w:t xml:space="preserve">. Además, por tratarse de una desaparición forzada, el derecho de acceso a la justicia incluye que se procure determinar la suerte o paradero de la víctima. </w:t>
      </w:r>
      <w:r w:rsidRPr="00201EE6">
        <w:rPr>
          <w:rFonts w:ascii="Verdana" w:hAnsi="Verdana"/>
          <w:sz w:val="20"/>
          <w:szCs w:val="20"/>
        </w:rPr>
        <w:t xml:space="preserve">Esta Corte recuerda que se han tomado en cuenta cuatro elementos para determinar la razonabilidad del plazo: i) complejidad del asunto; ii) actividad procesal del interesado; iii) conducta de las autoridades judiciales, y iv) afectación </w:t>
      </w:r>
      <w:r w:rsidRPr="00201EE6">
        <w:rPr>
          <w:rFonts w:ascii="Verdana" w:hAnsi="Verdana"/>
          <w:sz w:val="20"/>
          <w:szCs w:val="20"/>
        </w:rPr>
        <w:lastRenderedPageBreak/>
        <w:t>generada por la situación jurídica de la persona involucrada en el proceso</w:t>
      </w:r>
      <w:r>
        <w:rPr>
          <w:rStyle w:val="Refdenotaalpie"/>
          <w:rFonts w:ascii="Verdana" w:hAnsi="Verdana"/>
          <w:sz w:val="20"/>
          <w:szCs w:val="20"/>
        </w:rPr>
        <w:footnoteReference w:id="477"/>
      </w:r>
      <w:r w:rsidRPr="00201EE6">
        <w:rPr>
          <w:rFonts w:ascii="Verdana" w:hAnsi="Verdana" w:cs="Tahoma"/>
          <w:sz w:val="20"/>
          <w:szCs w:val="20"/>
        </w:rPr>
        <w:t>.</w:t>
      </w:r>
      <w:r w:rsidRPr="00201EE6">
        <w:rPr>
          <w:rFonts w:ascii="Verdana" w:hAnsi="Verdana"/>
          <w:sz w:val="20"/>
          <w:szCs w:val="20"/>
        </w:rPr>
        <w:t xml:space="preserve"> </w:t>
      </w:r>
    </w:p>
    <w:p w14:paraId="64AA60B7" w14:textId="206D7834" w:rsidR="00201EE6" w:rsidRPr="00C90B3F"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CR"/>
        </w:rPr>
      </w:pPr>
      <w:r w:rsidRPr="00201EE6">
        <w:rPr>
          <w:rFonts w:ascii="Verdana" w:hAnsi="Verdana" w:cs="Tahoma"/>
          <w:sz w:val="20"/>
          <w:szCs w:val="20"/>
        </w:rPr>
        <w:t xml:space="preserve">En cuanto al primero de los elementos, la complejidad, la Corte </w:t>
      </w:r>
      <w:r w:rsidRPr="00201EE6">
        <w:rPr>
          <w:rFonts w:ascii="Verdana" w:hAnsi="Verdana"/>
          <w:sz w:val="20"/>
          <w:szCs w:val="20"/>
        </w:rPr>
        <w:t>ha señalado que un caso también puede ser complejo si se trata “de una desaparición forzada en</w:t>
      </w:r>
      <w:r w:rsidR="00B859E6">
        <w:rPr>
          <w:rFonts w:ascii="Verdana" w:hAnsi="Verdana"/>
          <w:sz w:val="20"/>
          <w:szCs w:val="20"/>
        </w:rPr>
        <w:t xml:space="preserve"> la</w:t>
      </w:r>
      <w:r w:rsidRPr="00201EE6">
        <w:rPr>
          <w:rFonts w:ascii="Verdana" w:hAnsi="Verdana"/>
          <w:sz w:val="20"/>
          <w:szCs w:val="20"/>
        </w:rPr>
        <w:t xml:space="preserve"> que los perpetradores intentaron eliminar todo rastro o evidencia, por la negativa de brindar información sobre el paradero y por el número de posibles responsables”</w:t>
      </w:r>
      <w:r>
        <w:rPr>
          <w:rStyle w:val="Refdenotaalpie"/>
          <w:rFonts w:ascii="Verdana" w:hAnsi="Verdana"/>
          <w:sz w:val="20"/>
          <w:szCs w:val="20"/>
        </w:rPr>
        <w:footnoteReference w:id="478"/>
      </w:r>
      <w:r w:rsidRPr="00201EE6">
        <w:rPr>
          <w:rFonts w:ascii="Verdana" w:hAnsi="Verdana"/>
          <w:sz w:val="20"/>
          <w:szCs w:val="20"/>
        </w:rPr>
        <w:t xml:space="preserve">; por lo que, dadas las características de este caso, la Corte constata que </w:t>
      </w:r>
      <w:r w:rsidR="004F1058">
        <w:rPr>
          <w:rFonts w:ascii="Verdana" w:hAnsi="Verdana"/>
          <w:sz w:val="20"/>
          <w:szCs w:val="20"/>
        </w:rPr>
        <w:t xml:space="preserve">el presente se trata de un caso </w:t>
      </w:r>
      <w:r w:rsidRPr="00201EE6">
        <w:rPr>
          <w:rFonts w:ascii="Verdana" w:hAnsi="Verdana"/>
          <w:sz w:val="20"/>
          <w:szCs w:val="20"/>
        </w:rPr>
        <w:t xml:space="preserve">complejo. </w:t>
      </w:r>
      <w:r w:rsidRPr="00201EE6">
        <w:rPr>
          <w:rFonts w:ascii="Verdana" w:hAnsi="Verdana" w:cs="Tahoma"/>
          <w:sz w:val="20"/>
          <w:szCs w:val="20"/>
        </w:rPr>
        <w:t xml:space="preserve">Respecto de la actividad procesal de los interesados, este Tribunal no advierte que la conducta de los familiares hubiera entorpecido la tramitación de las investigaciones; por el contrario, la Corte constata su </w:t>
      </w:r>
      <w:r w:rsidRPr="0059159E">
        <w:rPr>
          <w:rFonts w:ascii="Verdana" w:hAnsi="Verdana" w:cs="Tahoma"/>
          <w:sz w:val="20"/>
          <w:szCs w:val="20"/>
        </w:rPr>
        <w:t xml:space="preserve">participación activa y </w:t>
      </w:r>
      <w:r w:rsidRPr="00236950">
        <w:rPr>
          <w:rFonts w:ascii="Verdana" w:hAnsi="Verdana" w:cs="Tahoma"/>
          <w:sz w:val="20"/>
          <w:szCs w:val="20"/>
        </w:rPr>
        <w:t>de colabora</w:t>
      </w:r>
      <w:r w:rsidRPr="008B1A9A">
        <w:rPr>
          <w:rFonts w:ascii="Verdana" w:hAnsi="Verdana" w:cs="Tahoma"/>
          <w:sz w:val="20"/>
          <w:szCs w:val="20"/>
        </w:rPr>
        <w:t xml:space="preserve">ción con las autoridades. </w:t>
      </w:r>
      <w:r w:rsidR="004F1058" w:rsidRPr="00C07BB7">
        <w:rPr>
          <w:rFonts w:ascii="Verdana" w:hAnsi="Verdana" w:cs="Tahoma"/>
          <w:sz w:val="20"/>
          <w:szCs w:val="20"/>
        </w:rPr>
        <w:t>Asimismo, l</w:t>
      </w:r>
      <w:r w:rsidRPr="00BC3F1D">
        <w:rPr>
          <w:rFonts w:ascii="Verdana" w:hAnsi="Verdana" w:cs="Tahoma"/>
          <w:sz w:val="20"/>
          <w:szCs w:val="20"/>
        </w:rPr>
        <w:t>a Corte nota que la actividad procesal de los interesados no cesó, a pesar de que fueron obje</w:t>
      </w:r>
      <w:r w:rsidR="004F1058" w:rsidRPr="00C90B3F">
        <w:rPr>
          <w:rFonts w:ascii="Verdana" w:hAnsi="Verdana" w:cs="Tahoma"/>
          <w:sz w:val="20"/>
          <w:szCs w:val="20"/>
        </w:rPr>
        <w:t>to de amenazas y hostigamiento.</w:t>
      </w:r>
    </w:p>
    <w:p w14:paraId="64AA60B9" w14:textId="39B4FC78" w:rsidR="00201EE6" w:rsidRPr="0059159E"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CR"/>
        </w:rPr>
      </w:pPr>
      <w:r w:rsidRPr="00C90B3F">
        <w:rPr>
          <w:rFonts w:ascii="Verdana" w:hAnsi="Verdana" w:cs="Tahoma"/>
          <w:sz w:val="20"/>
          <w:szCs w:val="20"/>
        </w:rPr>
        <w:t>En cuanto a la conducta de las autoridades, la Corte observa que las actuaciones de los órganos del Estado comenzaron a partir del conocimiento de la desaparición</w:t>
      </w:r>
      <w:r w:rsidR="0011708C" w:rsidRPr="00C90B3F">
        <w:rPr>
          <w:rFonts w:ascii="Verdana" w:hAnsi="Verdana" w:cs="Tahoma"/>
          <w:sz w:val="20"/>
          <w:szCs w:val="20"/>
        </w:rPr>
        <w:t xml:space="preserve"> y se llevaron a cabo diversas </w:t>
      </w:r>
      <w:r w:rsidRPr="00C90B3F">
        <w:rPr>
          <w:rFonts w:ascii="Verdana" w:hAnsi="Verdana" w:cs="Tahoma"/>
          <w:sz w:val="20"/>
          <w:szCs w:val="20"/>
        </w:rPr>
        <w:t xml:space="preserve">diligencias y acciones de búsqueda e investigación, particularmente </w:t>
      </w:r>
      <w:r w:rsidR="0011708C" w:rsidRPr="00C90B3F">
        <w:rPr>
          <w:rFonts w:ascii="Verdana" w:hAnsi="Verdana" w:cs="Tahoma"/>
          <w:sz w:val="20"/>
          <w:szCs w:val="20"/>
        </w:rPr>
        <w:t xml:space="preserve">a través de </w:t>
      </w:r>
      <w:r w:rsidRPr="00C90B3F">
        <w:rPr>
          <w:rFonts w:ascii="Verdana" w:hAnsi="Verdana" w:cs="Tahoma"/>
          <w:sz w:val="20"/>
          <w:szCs w:val="20"/>
        </w:rPr>
        <w:t xml:space="preserve">la FEVIMTRA, la UEBPD-PGR y la FEBPD-PGR. </w:t>
      </w:r>
      <w:r w:rsidRPr="00C90B3F">
        <w:rPr>
          <w:rFonts w:ascii="Verdana" w:hAnsi="Verdana"/>
          <w:sz w:val="20"/>
        </w:rPr>
        <w:t>No obstante lo an</w:t>
      </w:r>
      <w:r w:rsidR="004F1058" w:rsidRPr="00C90B3F">
        <w:rPr>
          <w:rFonts w:ascii="Verdana" w:hAnsi="Verdana"/>
          <w:sz w:val="20"/>
        </w:rPr>
        <w:t>terior, existió una falta de</w:t>
      </w:r>
      <w:r w:rsidRPr="00C90B3F">
        <w:rPr>
          <w:rFonts w:ascii="Verdana" w:hAnsi="Verdana"/>
          <w:sz w:val="20"/>
        </w:rPr>
        <w:t xml:space="preserve"> respuesta </w:t>
      </w:r>
      <w:r w:rsidR="004F1058" w:rsidRPr="00C90B3F">
        <w:rPr>
          <w:rFonts w:ascii="Verdana" w:hAnsi="Verdana"/>
          <w:sz w:val="20"/>
        </w:rPr>
        <w:t>y coordinación inmediata en los primero</w:t>
      </w:r>
      <w:r w:rsidRPr="00C90B3F">
        <w:rPr>
          <w:rFonts w:ascii="Verdana" w:hAnsi="Verdana"/>
          <w:sz w:val="20"/>
        </w:rPr>
        <w:t xml:space="preserve">s </w:t>
      </w:r>
      <w:r w:rsidR="004F1058" w:rsidRPr="00C90B3F">
        <w:rPr>
          <w:rFonts w:ascii="Verdana" w:hAnsi="Verdana"/>
          <w:sz w:val="20"/>
        </w:rPr>
        <w:t>momentos</w:t>
      </w:r>
      <w:r w:rsidRPr="00C90B3F">
        <w:rPr>
          <w:rFonts w:ascii="Verdana" w:hAnsi="Verdana"/>
          <w:sz w:val="20"/>
        </w:rPr>
        <w:t xml:space="preserve"> (</w:t>
      </w:r>
      <w:r w:rsidRPr="008D0846">
        <w:rPr>
          <w:rFonts w:ascii="Verdana" w:hAnsi="Verdana"/>
          <w:i/>
          <w:sz w:val="20"/>
        </w:rPr>
        <w:t>supra</w:t>
      </w:r>
      <w:r w:rsidRPr="00C90B3F">
        <w:rPr>
          <w:rFonts w:ascii="Verdana" w:hAnsi="Verdana"/>
          <w:sz w:val="20"/>
        </w:rPr>
        <w:t xml:space="preserve"> párr. </w:t>
      </w:r>
      <w:r w:rsidR="00B859E6">
        <w:rPr>
          <w:rFonts w:ascii="Verdana" w:hAnsi="Verdana"/>
          <w:sz w:val="20"/>
        </w:rPr>
        <w:t>242</w:t>
      </w:r>
      <w:r w:rsidRPr="00C90B3F">
        <w:rPr>
          <w:rFonts w:ascii="Verdana" w:hAnsi="Verdana"/>
          <w:sz w:val="20"/>
        </w:rPr>
        <w:t xml:space="preserve">); también hay evidencia de una fragmentación </w:t>
      </w:r>
      <w:r w:rsidR="004F1058" w:rsidRPr="00C90B3F">
        <w:rPr>
          <w:rFonts w:ascii="Verdana" w:hAnsi="Verdana"/>
          <w:sz w:val="20"/>
        </w:rPr>
        <w:t>y falta de coordinación en</w:t>
      </w:r>
      <w:r w:rsidR="00230457" w:rsidRPr="00C90B3F">
        <w:rPr>
          <w:rFonts w:ascii="Verdana" w:hAnsi="Verdana"/>
          <w:sz w:val="20"/>
        </w:rPr>
        <w:t xml:space="preserve"> </w:t>
      </w:r>
      <w:r w:rsidRPr="00C90B3F">
        <w:rPr>
          <w:rFonts w:ascii="Verdana" w:hAnsi="Verdana"/>
          <w:sz w:val="20"/>
        </w:rPr>
        <w:t>las indagatorias que no permitió el avance de las mismas (</w:t>
      </w:r>
      <w:r w:rsidRPr="008D0846">
        <w:rPr>
          <w:rFonts w:ascii="Verdana" w:hAnsi="Verdana"/>
          <w:i/>
          <w:sz w:val="20"/>
        </w:rPr>
        <w:t>supra</w:t>
      </w:r>
      <w:r w:rsidRPr="00C90B3F">
        <w:rPr>
          <w:rFonts w:ascii="Verdana" w:hAnsi="Verdana"/>
          <w:sz w:val="20"/>
        </w:rPr>
        <w:t xml:space="preserve"> párr. </w:t>
      </w:r>
      <w:r w:rsidR="00B859E6">
        <w:rPr>
          <w:rFonts w:ascii="Verdana" w:hAnsi="Verdana"/>
          <w:sz w:val="20"/>
        </w:rPr>
        <w:t>243</w:t>
      </w:r>
      <w:r w:rsidRPr="00C90B3F">
        <w:rPr>
          <w:rFonts w:ascii="Verdana" w:hAnsi="Verdana"/>
          <w:sz w:val="20"/>
        </w:rPr>
        <w:t>); además, la Corte advierte que las autoridades militares obstaculizaron las labores de investigación en varias ocasiones</w:t>
      </w:r>
      <w:r w:rsidR="00D21B47">
        <w:rPr>
          <w:rFonts w:ascii="Verdana" w:hAnsi="Verdana"/>
          <w:sz w:val="20"/>
        </w:rPr>
        <w:t xml:space="preserve"> (</w:t>
      </w:r>
      <w:r w:rsidR="00D21B47" w:rsidRPr="008D0846">
        <w:rPr>
          <w:rFonts w:ascii="Verdana" w:hAnsi="Verdana"/>
          <w:i/>
          <w:sz w:val="20"/>
        </w:rPr>
        <w:t>supra</w:t>
      </w:r>
      <w:r w:rsidR="00D21B47">
        <w:rPr>
          <w:rFonts w:ascii="Verdana" w:hAnsi="Verdana"/>
          <w:sz w:val="20"/>
        </w:rPr>
        <w:t xml:space="preserve"> párrs. 200 a 203)</w:t>
      </w:r>
      <w:r w:rsidRPr="00C90B3F">
        <w:rPr>
          <w:rFonts w:ascii="Verdana" w:hAnsi="Verdana"/>
          <w:sz w:val="20"/>
        </w:rPr>
        <w:t>; todo ello no ha permitido que hasta el momento fueran localizadas las víctimas ni sea determinada la respons</w:t>
      </w:r>
      <w:r w:rsidR="004F1058" w:rsidRPr="00C90B3F">
        <w:rPr>
          <w:rFonts w:ascii="Verdana" w:hAnsi="Verdana"/>
          <w:sz w:val="20"/>
        </w:rPr>
        <w:t>abilidad de los perpetradores.</w:t>
      </w:r>
      <w:r w:rsidRPr="00C90B3F">
        <w:rPr>
          <w:rFonts w:ascii="Verdana" w:hAnsi="Verdana"/>
          <w:sz w:val="20"/>
        </w:rPr>
        <w:t xml:space="preserve"> </w:t>
      </w:r>
      <w:r w:rsidR="00C57FCB" w:rsidRPr="00C90B3F">
        <w:rPr>
          <w:rFonts w:ascii="Verdana" w:hAnsi="Verdana"/>
          <w:sz w:val="20"/>
        </w:rPr>
        <w:t>Dicha situación</w:t>
      </w:r>
      <w:r w:rsidR="00C57FCB" w:rsidRPr="00C90B3F">
        <w:rPr>
          <w:rFonts w:ascii="Verdana" w:hAnsi="Verdana" w:cs="Tahoma"/>
          <w:sz w:val="20"/>
          <w:szCs w:val="20"/>
        </w:rPr>
        <w:t xml:space="preserve"> </w:t>
      </w:r>
      <w:r w:rsidR="00B93CB5" w:rsidRPr="00C90B3F">
        <w:rPr>
          <w:rFonts w:ascii="Verdana" w:hAnsi="Verdana" w:cs="Tahoma"/>
          <w:sz w:val="20"/>
          <w:szCs w:val="20"/>
        </w:rPr>
        <w:t>además se enmarca y</w:t>
      </w:r>
      <w:r w:rsidR="00C57FCB" w:rsidRPr="00C90B3F">
        <w:rPr>
          <w:rFonts w:ascii="Verdana" w:hAnsi="Verdana"/>
          <w:sz w:val="20"/>
        </w:rPr>
        <w:t xml:space="preserve"> califica en el contexto de impunidad </w:t>
      </w:r>
      <w:r w:rsidR="00B93CB5" w:rsidRPr="0059159E">
        <w:rPr>
          <w:rFonts w:ascii="Verdana" w:hAnsi="Verdana" w:cs="Tahoma"/>
          <w:sz w:val="20"/>
          <w:szCs w:val="20"/>
        </w:rPr>
        <w:t xml:space="preserve">en este tipo de casos, </w:t>
      </w:r>
      <w:r w:rsidR="00C57FCB" w:rsidRPr="00C90B3F">
        <w:rPr>
          <w:rFonts w:ascii="Verdana" w:hAnsi="Verdana"/>
          <w:sz w:val="20"/>
        </w:rPr>
        <w:t>previamente expuesto (</w:t>
      </w:r>
      <w:r w:rsidR="00C57FCB" w:rsidRPr="0059159E">
        <w:rPr>
          <w:rFonts w:ascii="Verdana" w:hAnsi="Verdana"/>
          <w:i/>
          <w:sz w:val="20"/>
        </w:rPr>
        <w:t xml:space="preserve">supra </w:t>
      </w:r>
      <w:r w:rsidR="00C57FCB" w:rsidRPr="00C90B3F">
        <w:rPr>
          <w:rFonts w:ascii="Verdana" w:hAnsi="Verdana"/>
          <w:sz w:val="20"/>
        </w:rPr>
        <w:t>párr</w:t>
      </w:r>
      <w:r w:rsidR="00547108">
        <w:rPr>
          <w:rFonts w:ascii="Verdana" w:hAnsi="Verdana"/>
          <w:sz w:val="20"/>
        </w:rPr>
        <w:t>s</w:t>
      </w:r>
      <w:r w:rsidR="00C57FCB" w:rsidRPr="00C90B3F">
        <w:rPr>
          <w:rFonts w:ascii="Verdana" w:hAnsi="Verdana"/>
          <w:sz w:val="20"/>
        </w:rPr>
        <w:t xml:space="preserve">. </w:t>
      </w:r>
      <w:r w:rsidR="004C7001">
        <w:rPr>
          <w:rFonts w:ascii="Verdana" w:hAnsi="Verdana"/>
          <w:sz w:val="20"/>
        </w:rPr>
        <w:t>66 y</w:t>
      </w:r>
      <w:r w:rsidR="00547108">
        <w:rPr>
          <w:rFonts w:ascii="Verdana" w:hAnsi="Verdana"/>
          <w:sz w:val="20"/>
        </w:rPr>
        <w:t xml:space="preserve"> </w:t>
      </w:r>
      <w:r w:rsidR="004C7001">
        <w:rPr>
          <w:rFonts w:ascii="Verdana" w:hAnsi="Verdana"/>
          <w:sz w:val="20"/>
        </w:rPr>
        <w:t>67</w:t>
      </w:r>
      <w:r w:rsidR="00C57FCB" w:rsidRPr="00C90B3F">
        <w:rPr>
          <w:rFonts w:ascii="Verdana" w:hAnsi="Verdana"/>
          <w:sz w:val="20"/>
        </w:rPr>
        <w:t>)</w:t>
      </w:r>
    </w:p>
    <w:p w14:paraId="64AA60BB" w14:textId="1097AE90"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CR"/>
        </w:rPr>
      </w:pPr>
      <w:r w:rsidRPr="00C90B3F">
        <w:rPr>
          <w:rFonts w:ascii="Verdana" w:hAnsi="Verdana" w:cs="Tahoma"/>
          <w:sz w:val="20"/>
          <w:szCs w:val="20"/>
        </w:rPr>
        <w:t>Resulta evidente para la Corte la afectación generada en la situación jurídica de las personas involucradas en el proceso</w:t>
      </w:r>
      <w:r w:rsidR="009A734D" w:rsidRPr="008D0846">
        <w:rPr>
          <w:rFonts w:ascii="Verdana" w:hAnsi="Verdana" w:cs="Tahoma"/>
          <w:sz w:val="20"/>
          <w:szCs w:val="20"/>
        </w:rPr>
        <w:t>, debido a que se</w:t>
      </w:r>
      <w:r w:rsidR="009A734D">
        <w:rPr>
          <w:rFonts w:ascii="Verdana" w:hAnsi="Verdana" w:cs="Tahoma"/>
          <w:sz w:val="20"/>
          <w:szCs w:val="20"/>
        </w:rPr>
        <w:t xml:space="preserve"> </w:t>
      </w:r>
      <w:r w:rsidRPr="00C90B3F">
        <w:rPr>
          <w:rFonts w:ascii="Verdana" w:hAnsi="Verdana" w:cs="Tahoma"/>
          <w:sz w:val="20"/>
          <w:szCs w:val="20"/>
        </w:rPr>
        <w:t>ha sostenido que la desaparición forzada de personas constituye una violación múltiple y continuada de numerosos derechos reconocidos en la Convención y que coloca a la víctima en un estado de completa indefensión</w:t>
      </w:r>
      <w:r w:rsidRPr="00C90B3F">
        <w:rPr>
          <w:rFonts w:ascii="Verdana" w:hAnsi="Verdana"/>
          <w:sz w:val="20"/>
          <w:szCs w:val="20"/>
        </w:rPr>
        <w:t>, acarreando otras vulneraciones</w:t>
      </w:r>
      <w:r w:rsidRPr="00201EE6">
        <w:rPr>
          <w:rFonts w:ascii="Verdana" w:hAnsi="Verdana"/>
          <w:sz w:val="20"/>
          <w:szCs w:val="20"/>
        </w:rPr>
        <w:t xml:space="preserve"> conexas</w:t>
      </w:r>
      <w:r w:rsidR="00D21B47">
        <w:rPr>
          <w:rFonts w:ascii="Verdana" w:hAnsi="Verdana"/>
          <w:sz w:val="20"/>
          <w:szCs w:val="20"/>
        </w:rPr>
        <w:t xml:space="preserve"> (</w:t>
      </w:r>
      <w:r w:rsidR="00D21B47" w:rsidRPr="008D0846">
        <w:rPr>
          <w:rFonts w:ascii="Verdana" w:hAnsi="Verdana"/>
          <w:i/>
          <w:sz w:val="20"/>
          <w:szCs w:val="20"/>
        </w:rPr>
        <w:t>supra</w:t>
      </w:r>
      <w:r w:rsidR="00D21B47">
        <w:rPr>
          <w:rFonts w:ascii="Verdana" w:hAnsi="Verdana"/>
          <w:sz w:val="20"/>
          <w:szCs w:val="20"/>
        </w:rPr>
        <w:t xml:space="preserve"> párrs. 165 y 166)</w:t>
      </w:r>
      <w:r w:rsidRPr="00201EE6">
        <w:rPr>
          <w:rFonts w:ascii="Verdana" w:hAnsi="Verdana" w:cs="Tahoma"/>
          <w:sz w:val="20"/>
          <w:szCs w:val="20"/>
        </w:rPr>
        <w:t>. La desaparición forzada de personas debe considerarse un delito de lesa humanidad</w:t>
      </w:r>
      <w:r w:rsidRPr="005E160C">
        <w:rPr>
          <w:rStyle w:val="Refdenotaalpie"/>
          <w:rFonts w:ascii="Verdana" w:hAnsi="Verdana" w:cs="Tahoma"/>
          <w:sz w:val="20"/>
          <w:szCs w:val="20"/>
        </w:rPr>
        <w:footnoteReference w:id="479"/>
      </w:r>
      <w:r w:rsidR="00B019B8">
        <w:rPr>
          <w:rFonts w:ascii="Verdana" w:hAnsi="Verdana" w:cs="Tahoma"/>
          <w:sz w:val="20"/>
          <w:szCs w:val="20"/>
        </w:rPr>
        <w:t>,</w:t>
      </w:r>
      <w:r w:rsidRPr="00201EE6">
        <w:rPr>
          <w:rFonts w:ascii="Verdana" w:hAnsi="Verdana" w:cs="Tahoma"/>
          <w:sz w:val="20"/>
          <w:szCs w:val="20"/>
        </w:rPr>
        <w:t xml:space="preserve"> que no solamente causa sufrimiento a la víctima sino también a sus familiares</w:t>
      </w:r>
      <w:r>
        <w:rPr>
          <w:rStyle w:val="Refdenotaalpie"/>
          <w:rFonts w:ascii="Verdana" w:hAnsi="Verdana" w:cs="Tahoma"/>
          <w:sz w:val="20"/>
          <w:szCs w:val="20"/>
        </w:rPr>
        <w:footnoteReference w:id="480"/>
      </w:r>
      <w:r w:rsidRPr="00201EE6">
        <w:rPr>
          <w:rFonts w:ascii="Verdana" w:hAnsi="Verdana" w:cs="Tahoma"/>
          <w:sz w:val="20"/>
          <w:szCs w:val="20"/>
        </w:rPr>
        <w:t>. Así, en el caso, tanto las víctimas como sus familiares han sido afectados de forma continuada y permanente. A ello, se añade que la prolongación en el tiempo de la investigación agudiza la posibilidad de encontrar a las víctimas con vida</w:t>
      </w:r>
      <w:r w:rsidR="0011708C">
        <w:rPr>
          <w:rFonts w:ascii="Verdana" w:hAnsi="Verdana" w:cs="Tahoma"/>
          <w:sz w:val="20"/>
          <w:szCs w:val="20"/>
        </w:rPr>
        <w:t>, por lo que la celeridad en estos casos resulta crucial</w:t>
      </w:r>
      <w:r w:rsidRPr="00201EE6">
        <w:rPr>
          <w:rFonts w:ascii="Verdana" w:hAnsi="Verdana" w:cs="Tahoma"/>
          <w:sz w:val="20"/>
          <w:szCs w:val="20"/>
        </w:rPr>
        <w:t xml:space="preserve">. </w:t>
      </w:r>
    </w:p>
    <w:p w14:paraId="02FE3B42" w14:textId="0CE55A25" w:rsidR="004F1058" w:rsidRPr="003564A3"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b/>
          <w:sz w:val="20"/>
          <w:szCs w:val="20"/>
          <w:lang w:val="es-CR"/>
        </w:rPr>
      </w:pPr>
      <w:r w:rsidRPr="00201EE6">
        <w:rPr>
          <w:rFonts w:ascii="Verdana" w:hAnsi="Verdana"/>
          <w:sz w:val="20"/>
          <w:szCs w:val="20"/>
        </w:rPr>
        <w:t xml:space="preserve">Por lo anterior, dado que a </w:t>
      </w:r>
      <w:r w:rsidR="004F1058">
        <w:rPr>
          <w:rFonts w:ascii="Verdana" w:hAnsi="Verdana"/>
          <w:sz w:val="20"/>
          <w:szCs w:val="20"/>
        </w:rPr>
        <w:t xml:space="preserve">casi nueve </w:t>
      </w:r>
      <w:r w:rsidRPr="00201EE6">
        <w:rPr>
          <w:rFonts w:ascii="Verdana" w:hAnsi="Verdana"/>
          <w:sz w:val="20"/>
          <w:szCs w:val="20"/>
        </w:rPr>
        <w:t>años de labores de investigación se desconoce el paradero de las víctimas y no ha sido procesada ni sentenciada pers</w:t>
      </w:r>
      <w:r w:rsidR="004F1058">
        <w:rPr>
          <w:rFonts w:ascii="Verdana" w:hAnsi="Verdana"/>
          <w:sz w:val="20"/>
          <w:szCs w:val="20"/>
        </w:rPr>
        <w:t>ona alguna por la comisión de esta</w:t>
      </w:r>
      <w:r w:rsidRPr="00201EE6">
        <w:rPr>
          <w:rFonts w:ascii="Verdana" w:hAnsi="Verdana"/>
          <w:sz w:val="20"/>
          <w:szCs w:val="20"/>
        </w:rPr>
        <w:t xml:space="preserve"> violación, el plazo que ha llevado la investigación de los hechos rebasa los límites de la razonabilidad prevista por el artículo 8.1 de la Convención, para un caso de esta naturaleza</w:t>
      </w:r>
      <w:r w:rsidR="009A734D" w:rsidRPr="003564A3">
        <w:rPr>
          <w:rFonts w:ascii="Verdana" w:hAnsi="Verdana"/>
          <w:b/>
          <w:sz w:val="20"/>
          <w:szCs w:val="20"/>
        </w:rPr>
        <w:t xml:space="preserve">, </w:t>
      </w:r>
      <w:r w:rsidR="009A734D" w:rsidRPr="008D0846">
        <w:rPr>
          <w:rFonts w:ascii="Verdana" w:hAnsi="Verdana"/>
          <w:sz w:val="20"/>
          <w:szCs w:val="20"/>
        </w:rPr>
        <w:t xml:space="preserve">generado </w:t>
      </w:r>
      <w:r w:rsidR="00474CC9" w:rsidRPr="008D0846">
        <w:rPr>
          <w:rFonts w:ascii="Verdana" w:hAnsi="Verdana"/>
          <w:sz w:val="20"/>
          <w:szCs w:val="20"/>
        </w:rPr>
        <w:t xml:space="preserve">una situación de </w:t>
      </w:r>
      <w:r w:rsidR="009A734D" w:rsidRPr="008D0846">
        <w:rPr>
          <w:rFonts w:ascii="Verdana" w:hAnsi="Verdana"/>
          <w:sz w:val="20"/>
          <w:szCs w:val="20"/>
        </w:rPr>
        <w:t>impunidad.</w:t>
      </w:r>
      <w:r w:rsidR="009A734D" w:rsidRPr="003564A3">
        <w:rPr>
          <w:rFonts w:ascii="Verdana" w:hAnsi="Verdana"/>
          <w:b/>
          <w:sz w:val="20"/>
          <w:szCs w:val="20"/>
        </w:rPr>
        <w:t xml:space="preserve"> </w:t>
      </w:r>
      <w:r w:rsidRPr="003564A3">
        <w:rPr>
          <w:rFonts w:ascii="Verdana" w:hAnsi="Verdana"/>
          <w:b/>
          <w:sz w:val="20"/>
          <w:szCs w:val="20"/>
        </w:rPr>
        <w:t xml:space="preserve"> </w:t>
      </w:r>
    </w:p>
    <w:p w14:paraId="64AA60C1" w14:textId="261B5AA0" w:rsidR="00903628" w:rsidRPr="000C6D8F" w:rsidRDefault="00556FDB">
      <w:pPr>
        <w:pStyle w:val="Ttulo4"/>
        <w:numPr>
          <w:ilvl w:val="0"/>
          <w:numId w:val="79"/>
        </w:numPr>
        <w:spacing w:before="120" w:after="120"/>
        <w:contextualSpacing w:val="0"/>
        <w:rPr>
          <w:u w:val="none"/>
        </w:rPr>
      </w:pPr>
      <w:bookmarkStart w:id="288" w:name="_Toc522815035"/>
      <w:bookmarkStart w:id="289" w:name="_Toc526777502"/>
      <w:bookmarkStart w:id="290" w:name="_Toc526783802"/>
      <w:r>
        <w:rPr>
          <w:u w:val="none"/>
        </w:rPr>
        <w:t xml:space="preserve"> </w:t>
      </w:r>
      <w:bookmarkStart w:id="291" w:name="_Toc532995386"/>
      <w:r w:rsidR="00903628" w:rsidRPr="000C6D8F">
        <w:rPr>
          <w:u w:val="none"/>
        </w:rPr>
        <w:t>Sobre la investigación de las amenazas y hostigamiento</w:t>
      </w:r>
      <w:bookmarkEnd w:id="288"/>
      <w:bookmarkEnd w:id="289"/>
      <w:bookmarkEnd w:id="290"/>
      <w:bookmarkEnd w:id="291"/>
    </w:p>
    <w:p w14:paraId="64AA60C3" w14:textId="60F80A09"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rPr>
        <w:t xml:space="preserve">En cuanto a las amenazas y hostigamiento referidos por los familiares, la Corte observa </w:t>
      </w:r>
      <w:r w:rsidRPr="00642EAD">
        <w:rPr>
          <w:rFonts w:ascii="Verdana" w:hAnsi="Verdana"/>
          <w:sz w:val="20"/>
          <w:szCs w:val="20"/>
        </w:rPr>
        <w:t xml:space="preserve">que del </w:t>
      </w:r>
      <w:r>
        <w:rPr>
          <w:rFonts w:ascii="Verdana" w:hAnsi="Verdana"/>
          <w:sz w:val="20"/>
          <w:szCs w:val="20"/>
        </w:rPr>
        <w:t xml:space="preserve">caudal probatorio </w:t>
      </w:r>
      <w:r w:rsidRPr="00642EAD">
        <w:rPr>
          <w:rFonts w:ascii="Verdana" w:hAnsi="Verdana"/>
          <w:sz w:val="20"/>
          <w:szCs w:val="20"/>
        </w:rPr>
        <w:t xml:space="preserve">no se extrae que las autoridades hubieran llevado a cabo una investigación exhaustiva respecto de las amenazas a los familiares ni de su posible nexo </w:t>
      </w:r>
      <w:r w:rsidR="007F5783">
        <w:rPr>
          <w:rFonts w:ascii="Verdana" w:hAnsi="Verdana"/>
          <w:sz w:val="20"/>
          <w:szCs w:val="20"/>
        </w:rPr>
        <w:t xml:space="preserve">causal </w:t>
      </w:r>
      <w:r w:rsidRPr="00642EAD">
        <w:rPr>
          <w:rFonts w:ascii="Verdana" w:hAnsi="Verdana"/>
          <w:sz w:val="20"/>
          <w:szCs w:val="20"/>
        </w:rPr>
        <w:t>con la desaparición y la actuación de los familiares al respecto.</w:t>
      </w:r>
      <w:r>
        <w:rPr>
          <w:rFonts w:ascii="Verdana" w:hAnsi="Verdana"/>
          <w:sz w:val="20"/>
          <w:szCs w:val="20"/>
        </w:rPr>
        <w:t xml:space="preserve"> Particularmente</w:t>
      </w:r>
      <w:r w:rsidR="00B019B8">
        <w:rPr>
          <w:rFonts w:ascii="Verdana" w:hAnsi="Verdana"/>
          <w:sz w:val="20"/>
          <w:szCs w:val="20"/>
        </w:rPr>
        <w:t>,</w:t>
      </w:r>
      <w:r>
        <w:rPr>
          <w:rFonts w:ascii="Verdana" w:hAnsi="Verdana"/>
          <w:sz w:val="20"/>
          <w:szCs w:val="20"/>
        </w:rPr>
        <w:t xml:space="preserve"> respecto de la llamada intimidatoria que recibiera el señor José Ángel Alvarado Fa</w:t>
      </w:r>
      <w:r w:rsidR="00B82930">
        <w:rPr>
          <w:rFonts w:ascii="Verdana" w:hAnsi="Verdana"/>
          <w:sz w:val="20"/>
          <w:szCs w:val="20"/>
        </w:rPr>
        <w:t>b</w:t>
      </w:r>
      <w:r>
        <w:rPr>
          <w:rFonts w:ascii="Verdana" w:hAnsi="Verdana"/>
          <w:sz w:val="20"/>
          <w:szCs w:val="20"/>
        </w:rPr>
        <w:t>ela, el allanamiento del domicilio de Jaime Alvarado y su posterior atropellamiento (</w:t>
      </w:r>
      <w:r w:rsidRPr="007568BA">
        <w:rPr>
          <w:rFonts w:ascii="Verdana" w:hAnsi="Verdana"/>
          <w:i/>
          <w:sz w:val="20"/>
          <w:szCs w:val="20"/>
        </w:rPr>
        <w:t>supra</w:t>
      </w:r>
      <w:r>
        <w:rPr>
          <w:rFonts w:ascii="Verdana" w:hAnsi="Verdana"/>
          <w:sz w:val="20"/>
          <w:szCs w:val="20"/>
        </w:rPr>
        <w:t xml:space="preserve"> párr</w:t>
      </w:r>
      <w:r w:rsidR="00CC6757">
        <w:rPr>
          <w:rFonts w:ascii="Verdana" w:hAnsi="Verdana"/>
          <w:sz w:val="20"/>
          <w:szCs w:val="20"/>
        </w:rPr>
        <w:t>s</w:t>
      </w:r>
      <w:r>
        <w:rPr>
          <w:rFonts w:ascii="Verdana" w:hAnsi="Verdana"/>
          <w:sz w:val="20"/>
          <w:szCs w:val="20"/>
        </w:rPr>
        <w:t xml:space="preserve">. </w:t>
      </w:r>
      <w:r w:rsidR="00CC6757">
        <w:rPr>
          <w:rFonts w:ascii="Verdana" w:hAnsi="Verdana"/>
          <w:sz w:val="20"/>
          <w:szCs w:val="20"/>
        </w:rPr>
        <w:t>1</w:t>
      </w:r>
      <w:r w:rsidR="00B859E6">
        <w:rPr>
          <w:rFonts w:ascii="Verdana" w:hAnsi="Verdana"/>
          <w:sz w:val="20"/>
          <w:szCs w:val="20"/>
        </w:rPr>
        <w:t>44</w:t>
      </w:r>
      <w:r w:rsidR="00CC6757">
        <w:rPr>
          <w:rFonts w:ascii="Verdana" w:hAnsi="Verdana"/>
          <w:sz w:val="20"/>
          <w:szCs w:val="20"/>
        </w:rPr>
        <w:t xml:space="preserve">, </w:t>
      </w:r>
      <w:r w:rsidR="00115A2A">
        <w:rPr>
          <w:rFonts w:ascii="Verdana" w:hAnsi="Verdana"/>
          <w:sz w:val="20"/>
          <w:szCs w:val="20"/>
        </w:rPr>
        <w:t>14</w:t>
      </w:r>
      <w:r w:rsidR="00B859E6">
        <w:rPr>
          <w:rFonts w:ascii="Verdana" w:hAnsi="Verdana"/>
          <w:sz w:val="20"/>
          <w:szCs w:val="20"/>
        </w:rPr>
        <w:t>7</w:t>
      </w:r>
      <w:r w:rsidR="00D41AD1">
        <w:rPr>
          <w:rFonts w:ascii="Verdana" w:hAnsi="Verdana"/>
          <w:sz w:val="20"/>
          <w:szCs w:val="20"/>
        </w:rPr>
        <w:t xml:space="preserve"> y </w:t>
      </w:r>
      <w:r w:rsidR="00115A2A">
        <w:rPr>
          <w:rFonts w:ascii="Verdana" w:hAnsi="Verdana"/>
          <w:sz w:val="20"/>
          <w:szCs w:val="20"/>
        </w:rPr>
        <w:t>14</w:t>
      </w:r>
      <w:r w:rsidR="00B859E6">
        <w:rPr>
          <w:rFonts w:ascii="Verdana" w:hAnsi="Verdana"/>
          <w:sz w:val="20"/>
          <w:szCs w:val="20"/>
        </w:rPr>
        <w:t>9</w:t>
      </w:r>
      <w:r w:rsidR="00CC6757">
        <w:rPr>
          <w:rFonts w:ascii="Verdana" w:hAnsi="Verdana"/>
          <w:sz w:val="20"/>
          <w:szCs w:val="20"/>
        </w:rPr>
        <w:t>)</w:t>
      </w:r>
      <w:r w:rsidR="00D41AD1">
        <w:rPr>
          <w:rFonts w:ascii="Verdana" w:hAnsi="Verdana"/>
          <w:sz w:val="20"/>
          <w:szCs w:val="20"/>
        </w:rPr>
        <w:t>.</w:t>
      </w:r>
    </w:p>
    <w:p w14:paraId="64AA60C5" w14:textId="435D7FCD" w:rsidR="00903628" w:rsidRPr="006A385C"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b/>
          <w:sz w:val="20"/>
          <w:szCs w:val="20"/>
        </w:rPr>
      </w:pPr>
      <w:r w:rsidRPr="00201EE6">
        <w:rPr>
          <w:rFonts w:ascii="Verdana" w:hAnsi="Verdana"/>
          <w:sz w:val="20"/>
          <w:szCs w:val="20"/>
        </w:rPr>
        <w:lastRenderedPageBreak/>
        <w:t xml:space="preserve">Si bien el Estado ha insistido, sin aportar elementos con los que acredite sus afirmaciones, que los actos de </w:t>
      </w:r>
      <w:r w:rsidR="008A6F3B">
        <w:rPr>
          <w:rFonts w:ascii="Verdana" w:hAnsi="Verdana"/>
          <w:sz w:val="20"/>
          <w:szCs w:val="20"/>
        </w:rPr>
        <w:t xml:space="preserve">amenaza y </w:t>
      </w:r>
      <w:r w:rsidRPr="00201EE6">
        <w:rPr>
          <w:rFonts w:ascii="Verdana" w:hAnsi="Verdana"/>
          <w:sz w:val="20"/>
          <w:szCs w:val="20"/>
        </w:rPr>
        <w:t>hostigamiento no provinieron de agentes estatales y que no existe vínculo alguno entre éstos y la alegada desaparición</w:t>
      </w:r>
      <w:r w:rsidR="001A2C6D">
        <w:rPr>
          <w:rFonts w:ascii="Verdana" w:hAnsi="Verdana"/>
          <w:sz w:val="20"/>
          <w:szCs w:val="20"/>
        </w:rPr>
        <w:t>, e</w:t>
      </w:r>
      <w:r w:rsidRPr="00201EE6">
        <w:rPr>
          <w:rFonts w:ascii="Verdana" w:hAnsi="Verdana"/>
          <w:sz w:val="20"/>
          <w:szCs w:val="20"/>
        </w:rPr>
        <w:t xml:space="preserve">ste Tribunal encuentra que a la fecha no se ha logrado determinar la autoría de </w:t>
      </w:r>
      <w:r w:rsidR="008A6F3B">
        <w:rPr>
          <w:rFonts w:ascii="Verdana" w:hAnsi="Verdana"/>
          <w:sz w:val="20"/>
          <w:szCs w:val="20"/>
        </w:rPr>
        <w:t>los mismos</w:t>
      </w:r>
      <w:r w:rsidRPr="00201EE6">
        <w:rPr>
          <w:rFonts w:ascii="Verdana" w:hAnsi="Verdana"/>
          <w:sz w:val="20"/>
          <w:szCs w:val="20"/>
        </w:rPr>
        <w:t xml:space="preserve"> a pesar de que algun</w:t>
      </w:r>
      <w:r w:rsidR="008A6F3B">
        <w:rPr>
          <w:rFonts w:ascii="Verdana" w:hAnsi="Verdana"/>
          <w:sz w:val="20"/>
          <w:szCs w:val="20"/>
        </w:rPr>
        <w:t>o</w:t>
      </w:r>
      <w:r w:rsidRPr="00201EE6">
        <w:rPr>
          <w:rFonts w:ascii="Verdana" w:hAnsi="Verdana"/>
          <w:sz w:val="20"/>
          <w:szCs w:val="20"/>
        </w:rPr>
        <w:t>s fueron denunciad</w:t>
      </w:r>
      <w:r w:rsidR="008A6F3B">
        <w:rPr>
          <w:rFonts w:ascii="Verdana" w:hAnsi="Verdana"/>
          <w:sz w:val="20"/>
          <w:szCs w:val="20"/>
        </w:rPr>
        <w:t>o</w:t>
      </w:r>
      <w:r w:rsidRPr="00201EE6">
        <w:rPr>
          <w:rFonts w:ascii="Verdana" w:hAnsi="Verdana"/>
          <w:sz w:val="20"/>
          <w:szCs w:val="20"/>
        </w:rPr>
        <w:t xml:space="preserve">s </w:t>
      </w:r>
      <w:r w:rsidR="00FC3E33">
        <w:rPr>
          <w:rFonts w:ascii="Verdana" w:hAnsi="Verdana"/>
          <w:sz w:val="20"/>
          <w:szCs w:val="20"/>
        </w:rPr>
        <w:t>desde</w:t>
      </w:r>
      <w:r w:rsidR="00FC3E33" w:rsidRPr="00201EE6">
        <w:rPr>
          <w:rFonts w:ascii="Verdana" w:hAnsi="Verdana"/>
          <w:sz w:val="20"/>
          <w:szCs w:val="20"/>
        </w:rPr>
        <w:t xml:space="preserve"> </w:t>
      </w:r>
      <w:r w:rsidRPr="00201EE6">
        <w:rPr>
          <w:rFonts w:ascii="Verdana" w:hAnsi="Verdana"/>
          <w:sz w:val="20"/>
          <w:szCs w:val="20"/>
        </w:rPr>
        <w:t xml:space="preserve">el año 2010; esto es, han transcurrido más de ocho años de </w:t>
      </w:r>
      <w:r w:rsidR="006A19F9">
        <w:rPr>
          <w:rFonts w:ascii="Verdana" w:hAnsi="Verdana"/>
          <w:sz w:val="20"/>
          <w:szCs w:val="20"/>
        </w:rPr>
        <w:t xml:space="preserve">la ocurrencia de </w:t>
      </w:r>
      <w:r w:rsidRPr="00201EE6">
        <w:rPr>
          <w:rFonts w:ascii="Verdana" w:hAnsi="Verdana"/>
          <w:sz w:val="20"/>
          <w:szCs w:val="20"/>
        </w:rPr>
        <w:t xml:space="preserve">algunos de los hechos sin que exista certeza respecto de </w:t>
      </w:r>
      <w:r w:rsidR="006A19F9">
        <w:rPr>
          <w:rFonts w:ascii="Verdana" w:hAnsi="Verdana"/>
          <w:sz w:val="20"/>
          <w:szCs w:val="20"/>
        </w:rPr>
        <w:t>sus</w:t>
      </w:r>
      <w:r w:rsidR="006A19F9" w:rsidRPr="00201EE6">
        <w:rPr>
          <w:rFonts w:ascii="Verdana" w:hAnsi="Verdana"/>
          <w:sz w:val="20"/>
          <w:szCs w:val="20"/>
        </w:rPr>
        <w:t xml:space="preserve"> </w:t>
      </w:r>
      <w:r w:rsidRPr="00201EE6">
        <w:rPr>
          <w:rFonts w:ascii="Verdana" w:hAnsi="Verdana"/>
          <w:sz w:val="20"/>
          <w:szCs w:val="20"/>
        </w:rPr>
        <w:t xml:space="preserve">autores. La Corte concluye que el Estado ha sido omiso en proporcionar elementos que permitan asegurar que las investigaciones iniciadas a partir de la denuncia de los actos de amenaza y hostigamiento han concluido. </w:t>
      </w:r>
      <w:r w:rsidR="006A19F9">
        <w:rPr>
          <w:rFonts w:ascii="Verdana" w:hAnsi="Verdana"/>
          <w:sz w:val="20"/>
          <w:szCs w:val="20"/>
        </w:rPr>
        <w:t>En vista de lo anterior</w:t>
      </w:r>
      <w:r w:rsidRPr="00201EE6">
        <w:rPr>
          <w:rFonts w:ascii="Verdana" w:hAnsi="Verdana"/>
          <w:sz w:val="20"/>
          <w:szCs w:val="20"/>
        </w:rPr>
        <w:t>, qued</w:t>
      </w:r>
      <w:r w:rsidR="00B019B8">
        <w:rPr>
          <w:rFonts w:ascii="Verdana" w:hAnsi="Verdana"/>
          <w:sz w:val="20"/>
          <w:szCs w:val="20"/>
        </w:rPr>
        <w:t>ó</w:t>
      </w:r>
      <w:r w:rsidRPr="00201EE6">
        <w:rPr>
          <w:rFonts w:ascii="Verdana" w:hAnsi="Verdana"/>
          <w:sz w:val="20"/>
          <w:szCs w:val="20"/>
        </w:rPr>
        <w:t xml:space="preserve"> demostrada la falta de debida diligencia en la investigación de los hechos denunciados y, </w:t>
      </w:r>
      <w:r w:rsidR="00FC3E33">
        <w:rPr>
          <w:rFonts w:ascii="Verdana" w:hAnsi="Verdana"/>
          <w:sz w:val="20"/>
          <w:szCs w:val="20"/>
        </w:rPr>
        <w:t>en consecuencia</w:t>
      </w:r>
      <w:r w:rsidRPr="00201EE6">
        <w:rPr>
          <w:rFonts w:ascii="Verdana" w:hAnsi="Verdana"/>
          <w:sz w:val="20"/>
          <w:szCs w:val="20"/>
        </w:rPr>
        <w:t>, la responsabilidad estatal en este punto</w:t>
      </w:r>
      <w:r w:rsidR="00FA6F1D">
        <w:rPr>
          <w:rFonts w:ascii="Verdana" w:hAnsi="Verdana"/>
          <w:sz w:val="20"/>
          <w:szCs w:val="20"/>
        </w:rPr>
        <w:t xml:space="preserve">, </w:t>
      </w:r>
      <w:r w:rsidR="00FA6F1D" w:rsidRPr="003564A3">
        <w:rPr>
          <w:rFonts w:ascii="Verdana" w:hAnsi="Verdana"/>
          <w:sz w:val="20"/>
          <w:szCs w:val="20"/>
        </w:rPr>
        <w:t xml:space="preserve">en perjuicio </w:t>
      </w:r>
      <w:r w:rsidR="006C5847" w:rsidRPr="003564A3">
        <w:rPr>
          <w:rFonts w:ascii="Verdana" w:hAnsi="Verdana"/>
          <w:sz w:val="20"/>
          <w:szCs w:val="20"/>
        </w:rPr>
        <w:t>de  José Ángel Alvarado Fa</w:t>
      </w:r>
      <w:r w:rsidR="00B82930" w:rsidRPr="003564A3">
        <w:rPr>
          <w:rFonts w:ascii="Verdana" w:hAnsi="Verdana"/>
          <w:sz w:val="20"/>
          <w:szCs w:val="20"/>
        </w:rPr>
        <w:t>b</w:t>
      </w:r>
      <w:r w:rsidR="006C5847" w:rsidRPr="003564A3">
        <w:rPr>
          <w:rFonts w:ascii="Verdana" w:hAnsi="Verdana"/>
          <w:sz w:val="20"/>
          <w:szCs w:val="20"/>
        </w:rPr>
        <w:t>ela, Jaime Alvarado</w:t>
      </w:r>
      <w:r w:rsidR="006C5847" w:rsidRPr="003564A3" w:rsidDel="006C5847">
        <w:rPr>
          <w:rFonts w:ascii="Verdana" w:hAnsi="Verdana"/>
          <w:sz w:val="20"/>
          <w:szCs w:val="20"/>
        </w:rPr>
        <w:t xml:space="preserve"> </w:t>
      </w:r>
      <w:r w:rsidR="006C5847" w:rsidRPr="003564A3">
        <w:rPr>
          <w:rFonts w:ascii="Verdana" w:hAnsi="Verdana"/>
          <w:sz w:val="20"/>
          <w:szCs w:val="20"/>
        </w:rPr>
        <w:t xml:space="preserve">y </w:t>
      </w:r>
      <w:r w:rsidR="00B85CF1" w:rsidRPr="003564A3">
        <w:rPr>
          <w:rFonts w:ascii="Verdana" w:hAnsi="Verdana"/>
          <w:sz w:val="20"/>
          <w:szCs w:val="20"/>
        </w:rPr>
        <w:t xml:space="preserve">de </w:t>
      </w:r>
      <w:r w:rsidR="006C5847" w:rsidRPr="003564A3">
        <w:rPr>
          <w:rFonts w:ascii="Verdana" w:hAnsi="Verdana"/>
          <w:sz w:val="20"/>
          <w:szCs w:val="20"/>
        </w:rPr>
        <w:t xml:space="preserve">su grupo familiar </w:t>
      </w:r>
      <w:r w:rsidR="00FA6F1D" w:rsidRPr="003564A3">
        <w:rPr>
          <w:rFonts w:ascii="Verdana" w:hAnsi="Verdana"/>
          <w:sz w:val="20"/>
          <w:szCs w:val="20"/>
        </w:rPr>
        <w:t>(</w:t>
      </w:r>
      <w:r w:rsidR="006C5847" w:rsidRPr="003564A3">
        <w:rPr>
          <w:rFonts w:ascii="Verdana" w:hAnsi="Verdana"/>
          <w:i/>
          <w:sz w:val="20"/>
          <w:szCs w:val="20"/>
        </w:rPr>
        <w:t>supra</w:t>
      </w:r>
      <w:r w:rsidR="006C5847" w:rsidRPr="003564A3">
        <w:rPr>
          <w:rFonts w:ascii="Verdana" w:hAnsi="Verdana"/>
          <w:sz w:val="20"/>
          <w:szCs w:val="20"/>
        </w:rPr>
        <w:t xml:space="preserve"> párr. </w:t>
      </w:r>
      <w:r w:rsidR="00B859E6">
        <w:rPr>
          <w:rFonts w:ascii="Verdana" w:hAnsi="Verdana"/>
          <w:sz w:val="20"/>
          <w:szCs w:val="20"/>
        </w:rPr>
        <w:t>153</w:t>
      </w:r>
      <w:r w:rsidR="00FA6F1D" w:rsidRPr="003564A3">
        <w:rPr>
          <w:rFonts w:ascii="Verdana" w:hAnsi="Verdana"/>
          <w:sz w:val="20"/>
          <w:szCs w:val="20"/>
        </w:rPr>
        <w:t>)</w:t>
      </w:r>
      <w:r w:rsidRPr="003564A3">
        <w:rPr>
          <w:rFonts w:ascii="Verdana" w:hAnsi="Verdana"/>
          <w:sz w:val="20"/>
          <w:szCs w:val="20"/>
        </w:rPr>
        <w:t>.</w:t>
      </w:r>
    </w:p>
    <w:p w14:paraId="64AA60C7" w14:textId="7D04BC51" w:rsidR="00903628" w:rsidRPr="00350979" w:rsidRDefault="00E34BFF">
      <w:pPr>
        <w:pStyle w:val="Ttulo3"/>
        <w:numPr>
          <w:ilvl w:val="0"/>
          <w:numId w:val="19"/>
        </w:numPr>
        <w:spacing w:before="120" w:after="120"/>
        <w:ind w:left="1560" w:hanging="426"/>
        <w:contextualSpacing w:val="0"/>
        <w:rPr>
          <w:b w:val="0"/>
        </w:rPr>
      </w:pPr>
      <w:bookmarkStart w:id="292" w:name="_Toc522815036"/>
      <w:bookmarkStart w:id="293" w:name="_Toc526774169"/>
      <w:bookmarkStart w:id="294" w:name="_Toc526777503"/>
      <w:bookmarkStart w:id="295" w:name="_Toc526783803"/>
      <w:r>
        <w:rPr>
          <w:b w:val="0"/>
        </w:rPr>
        <w:t xml:space="preserve"> </w:t>
      </w:r>
      <w:bookmarkStart w:id="296" w:name="_Toc532995387"/>
      <w:r w:rsidR="00903628" w:rsidRPr="00350979">
        <w:rPr>
          <w:b w:val="0"/>
        </w:rPr>
        <w:t>Sobre la falta de adopción de normas o implementación de medidas necesarias para ofrecer respuesta inmediata</w:t>
      </w:r>
      <w:bookmarkEnd w:id="292"/>
      <w:r w:rsidR="00305DA9" w:rsidRPr="00350979">
        <w:rPr>
          <w:b w:val="0"/>
        </w:rPr>
        <w:t xml:space="preserve"> (artículo 2</w:t>
      </w:r>
      <w:r w:rsidR="00DC15D5">
        <w:rPr>
          <w:b w:val="0"/>
        </w:rPr>
        <w:t xml:space="preserve"> </w:t>
      </w:r>
      <w:r w:rsidR="001B256F">
        <w:rPr>
          <w:b w:val="0"/>
        </w:rPr>
        <w:t>de la C</w:t>
      </w:r>
      <w:r w:rsidR="00DC15D5">
        <w:rPr>
          <w:b w:val="0"/>
        </w:rPr>
        <w:t>onvenci</w:t>
      </w:r>
      <w:r w:rsidR="001B256F">
        <w:rPr>
          <w:b w:val="0"/>
        </w:rPr>
        <w:t>ón</w:t>
      </w:r>
      <w:r w:rsidR="00305DA9" w:rsidRPr="00350979">
        <w:rPr>
          <w:b w:val="0"/>
        </w:rPr>
        <w:t>)</w:t>
      </w:r>
      <w:bookmarkEnd w:id="293"/>
      <w:bookmarkEnd w:id="294"/>
      <w:bookmarkEnd w:id="295"/>
      <w:bookmarkEnd w:id="296"/>
    </w:p>
    <w:p w14:paraId="64AA60C9" w14:textId="1C9C7D0F" w:rsidR="00201EE6" w:rsidRPr="00813B72"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630390">
        <w:rPr>
          <w:rFonts w:ascii="Verdana" w:hAnsi="Verdana"/>
          <w:sz w:val="20"/>
          <w:szCs w:val="20"/>
        </w:rPr>
        <w:t xml:space="preserve">Como ya </w:t>
      </w:r>
      <w:r w:rsidR="00D87D2A">
        <w:rPr>
          <w:rFonts w:ascii="Verdana" w:hAnsi="Verdana"/>
          <w:sz w:val="20"/>
          <w:szCs w:val="20"/>
        </w:rPr>
        <w:t>fue establecido</w:t>
      </w:r>
      <w:r w:rsidRPr="00630390">
        <w:rPr>
          <w:rFonts w:ascii="Verdana" w:hAnsi="Verdana"/>
          <w:sz w:val="20"/>
          <w:szCs w:val="20"/>
        </w:rPr>
        <w:t>, el Estado reconoció que el juicio de amparo promovido por José Ángel Alvarado Fa</w:t>
      </w:r>
      <w:r w:rsidR="00B82930">
        <w:rPr>
          <w:rFonts w:ascii="Verdana" w:hAnsi="Verdana"/>
          <w:sz w:val="20"/>
          <w:szCs w:val="20"/>
        </w:rPr>
        <w:t>b</w:t>
      </w:r>
      <w:r w:rsidRPr="00630390">
        <w:rPr>
          <w:rFonts w:ascii="Verdana" w:hAnsi="Verdana"/>
          <w:sz w:val="20"/>
          <w:szCs w:val="20"/>
        </w:rPr>
        <w:t>ela</w:t>
      </w:r>
      <w:r w:rsidRPr="000D2EDD">
        <w:rPr>
          <w:rFonts w:ascii="Verdana" w:hAnsi="Verdana"/>
          <w:sz w:val="20"/>
          <w:szCs w:val="20"/>
        </w:rPr>
        <w:t xml:space="preserve"> no fue un recurso efectivo dada la forma en que se encontraba legislado, sin embargo aseguró que desde 2013 había realizado los cambios necesarios a la legislación correspondiente y que, en la actualidad, el juicio de amparo contempla debidamente los casos de desaparición forzada. Por su parte, las </w:t>
      </w:r>
      <w:r w:rsidR="006016A2">
        <w:rPr>
          <w:rFonts w:ascii="Verdana" w:hAnsi="Verdana"/>
          <w:sz w:val="20"/>
          <w:szCs w:val="20"/>
        </w:rPr>
        <w:t>r</w:t>
      </w:r>
      <w:r w:rsidRPr="000D2EDD">
        <w:rPr>
          <w:rFonts w:ascii="Verdana" w:hAnsi="Verdana"/>
          <w:sz w:val="20"/>
          <w:szCs w:val="20"/>
        </w:rPr>
        <w:t xml:space="preserve">epresentantes </w:t>
      </w:r>
      <w:r w:rsidRPr="00BA0941">
        <w:rPr>
          <w:rFonts w:ascii="Verdana" w:hAnsi="Verdana"/>
          <w:sz w:val="20"/>
          <w:szCs w:val="20"/>
        </w:rPr>
        <w:t>solicitaron</w:t>
      </w:r>
      <w:r>
        <w:rPr>
          <w:rFonts w:ascii="Verdana" w:hAnsi="Verdana"/>
          <w:sz w:val="20"/>
          <w:szCs w:val="20"/>
        </w:rPr>
        <w:t xml:space="preserve"> que se llevara a cabo una armonización</w:t>
      </w:r>
      <w:r w:rsidRPr="00BA0941">
        <w:rPr>
          <w:rFonts w:ascii="Verdana" w:hAnsi="Verdana"/>
          <w:sz w:val="20"/>
          <w:szCs w:val="20"/>
        </w:rPr>
        <w:t xml:space="preserve"> </w:t>
      </w:r>
      <w:r>
        <w:rPr>
          <w:rFonts w:ascii="Verdana" w:hAnsi="Verdana"/>
          <w:sz w:val="20"/>
          <w:szCs w:val="20"/>
        </w:rPr>
        <w:t xml:space="preserve">de las legislaciones de amparo y desaparición forzada de personas para </w:t>
      </w:r>
      <w:r w:rsidRPr="00BA0941">
        <w:rPr>
          <w:rFonts w:ascii="Verdana" w:hAnsi="Verdana"/>
          <w:sz w:val="20"/>
          <w:szCs w:val="20"/>
        </w:rPr>
        <w:t xml:space="preserve">asegurar que los jueces de </w:t>
      </w:r>
      <w:r w:rsidR="00B859E6">
        <w:rPr>
          <w:rFonts w:ascii="Verdana" w:hAnsi="Verdana"/>
          <w:sz w:val="20"/>
          <w:szCs w:val="20"/>
        </w:rPr>
        <w:t>d</w:t>
      </w:r>
      <w:r w:rsidRPr="00BA0941">
        <w:rPr>
          <w:rFonts w:ascii="Verdana" w:hAnsi="Verdana"/>
          <w:sz w:val="20"/>
          <w:szCs w:val="20"/>
        </w:rPr>
        <w:t>istrito cuenten con recursos para emprender operaciones de búsqueda eficaces</w:t>
      </w:r>
      <w:r>
        <w:rPr>
          <w:rFonts w:ascii="Verdana" w:hAnsi="Verdana"/>
          <w:sz w:val="20"/>
          <w:szCs w:val="20"/>
        </w:rPr>
        <w:t>.</w:t>
      </w:r>
    </w:p>
    <w:p w14:paraId="64AA60CB" w14:textId="7A05F6D4" w:rsidR="00201EE6" w:rsidRPr="00590A16" w:rsidRDefault="0090362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201EE6">
        <w:rPr>
          <w:rFonts w:ascii="Verdana" w:hAnsi="Verdana"/>
          <w:sz w:val="20"/>
          <w:szCs w:val="20"/>
        </w:rPr>
        <w:t xml:space="preserve">La Corte reitera que el artículo 2 de la Convención establece la obligación general de cada Estado Parte de adecuar su derecho interno a las disposiciones de aquélla, para garantizar los derechos ahí consagrados, lo que implica que las medidas de derecho interno han de ser efectivas (principio del </w:t>
      </w:r>
      <w:r w:rsidRPr="00201EE6">
        <w:rPr>
          <w:rFonts w:ascii="Verdana" w:hAnsi="Verdana"/>
          <w:i/>
          <w:sz w:val="20"/>
          <w:szCs w:val="20"/>
        </w:rPr>
        <w:t>effet utile</w:t>
      </w:r>
      <w:r w:rsidRPr="00201EE6">
        <w:rPr>
          <w:rFonts w:ascii="Verdana" w:hAnsi="Verdana"/>
          <w:sz w:val="20"/>
          <w:szCs w:val="20"/>
        </w:rPr>
        <w:t>)</w:t>
      </w:r>
      <w:r w:rsidRPr="00365047">
        <w:rPr>
          <w:vertAlign w:val="superscript"/>
        </w:rPr>
        <w:footnoteReference w:id="481"/>
      </w:r>
      <w:r w:rsidRPr="00201EE6">
        <w:rPr>
          <w:rFonts w:ascii="Verdana" w:hAnsi="Verdana"/>
          <w:sz w:val="20"/>
          <w:szCs w:val="20"/>
        </w:rPr>
        <w:t xml:space="preserve">. </w:t>
      </w:r>
      <w:r w:rsidRPr="00201EE6">
        <w:rPr>
          <w:rFonts w:ascii="Verdana" w:hAnsi="Verdana"/>
          <w:sz w:val="20"/>
          <w:szCs w:val="16"/>
        </w:rPr>
        <w:t>Partiendo de lo anterior, la Corte ha considerado que los Estados tienen la responsabilidad de establecer los recursos efectivos y las garantías del debido proceso legal ante las autoridades competentes, que amparen a todas las personas bajo su jurisdicción contra actos que violen sus derechos fundamentales</w:t>
      </w:r>
      <w:r w:rsidRPr="00856D62">
        <w:rPr>
          <w:rStyle w:val="Refdenotaalpie"/>
          <w:rFonts w:ascii="Verdana" w:hAnsi="Verdana"/>
          <w:iCs/>
          <w:sz w:val="20"/>
          <w:szCs w:val="16"/>
        </w:rPr>
        <w:footnoteReference w:id="482"/>
      </w:r>
      <w:r w:rsidRPr="00201EE6">
        <w:rPr>
          <w:rFonts w:ascii="Verdana" w:hAnsi="Verdana" w:cs="Times New Roman"/>
          <w:sz w:val="20"/>
          <w:szCs w:val="16"/>
          <w:lang w:eastAsia="es-MX"/>
        </w:rPr>
        <w:t xml:space="preserve">. </w:t>
      </w:r>
      <w:r w:rsidRPr="00201EE6">
        <w:rPr>
          <w:rFonts w:ascii="Verdana" w:hAnsi="Verdana"/>
          <w:sz w:val="20"/>
          <w:szCs w:val="16"/>
        </w:rPr>
        <w:t>En el caso de la desaparición forzada de personas, el deber de adecuar el derecho interno a las disposiciones de la Convención tiene carácter primordial para la efectiva erradicación de esta práctica</w:t>
      </w:r>
      <w:r w:rsidRPr="00856D62">
        <w:rPr>
          <w:rStyle w:val="Refdenotaalpie"/>
          <w:rFonts w:ascii="Verdana" w:hAnsi="Verdana"/>
          <w:sz w:val="20"/>
          <w:szCs w:val="16"/>
        </w:rPr>
        <w:footnoteReference w:id="483"/>
      </w:r>
      <w:r w:rsidRPr="00201EE6">
        <w:rPr>
          <w:rFonts w:ascii="Verdana" w:hAnsi="Verdana"/>
          <w:sz w:val="20"/>
          <w:szCs w:val="16"/>
        </w:rPr>
        <w:t xml:space="preserve">. </w:t>
      </w:r>
      <w:r w:rsidRPr="00201EE6">
        <w:rPr>
          <w:rFonts w:ascii="Verdana" w:hAnsi="Verdana"/>
          <w:color w:val="000000"/>
          <w:sz w:val="20"/>
          <w:szCs w:val="16"/>
          <w:lang w:val="es-ES_tradnl"/>
        </w:rPr>
        <w:t xml:space="preserve">La Corte </w:t>
      </w:r>
      <w:r w:rsidRPr="00590A16">
        <w:rPr>
          <w:rFonts w:ascii="Verdana" w:hAnsi="Verdana"/>
          <w:color w:val="000000"/>
          <w:sz w:val="20"/>
          <w:szCs w:val="16"/>
          <w:lang w:val="es-ES_tradnl"/>
        </w:rPr>
        <w:t xml:space="preserve">también recuerda </w:t>
      </w:r>
      <w:r w:rsidRPr="00590A16">
        <w:rPr>
          <w:rFonts w:ascii="Verdana" w:hAnsi="Verdana"/>
          <w:sz w:val="20"/>
          <w:szCs w:val="16"/>
        </w:rPr>
        <w:t xml:space="preserve">que los Estados deben adoptar las medidas necesarias para que el recurso de </w:t>
      </w:r>
      <w:r w:rsidRPr="00590A16">
        <w:rPr>
          <w:rFonts w:ascii="Verdana" w:hAnsi="Verdana"/>
          <w:i/>
          <w:sz w:val="20"/>
          <w:szCs w:val="16"/>
        </w:rPr>
        <w:t>hábeas corpus</w:t>
      </w:r>
      <w:r w:rsidRPr="00590A16">
        <w:rPr>
          <w:vertAlign w:val="superscript"/>
        </w:rPr>
        <w:footnoteReference w:id="484"/>
      </w:r>
      <w:r w:rsidRPr="00590A16">
        <w:rPr>
          <w:rFonts w:ascii="Verdana" w:hAnsi="Verdana"/>
          <w:sz w:val="20"/>
          <w:szCs w:val="16"/>
        </w:rPr>
        <w:t xml:space="preserve"> pueda ser ejercido de manera eficaz en situaciones de desaparición forzada</w:t>
      </w:r>
      <w:r w:rsidRPr="00590A16">
        <w:rPr>
          <w:vertAlign w:val="superscript"/>
        </w:rPr>
        <w:footnoteReference w:id="485"/>
      </w:r>
      <w:r w:rsidRPr="00590A16">
        <w:rPr>
          <w:rFonts w:ascii="Verdana" w:hAnsi="Verdana"/>
          <w:sz w:val="20"/>
          <w:szCs w:val="16"/>
        </w:rPr>
        <w:t xml:space="preserve">.  </w:t>
      </w:r>
    </w:p>
    <w:p w14:paraId="76C60AD4" w14:textId="7E20382C" w:rsidR="005053BD" w:rsidRPr="006E5414" w:rsidRDefault="00903628" w:rsidP="005053BD">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590A16">
        <w:rPr>
          <w:rFonts w:ascii="Verdana" w:hAnsi="Verdana"/>
          <w:sz w:val="20"/>
          <w:szCs w:val="16"/>
        </w:rPr>
        <w:t xml:space="preserve">De conformidad con el reconocimiento de responsabilidad, este Tribunal considera que el Estado es responsable internacionalmente por </w:t>
      </w:r>
      <w:r w:rsidR="00305DA9" w:rsidRPr="00590A16">
        <w:rPr>
          <w:rFonts w:ascii="Verdana" w:hAnsi="Verdana"/>
          <w:sz w:val="20"/>
          <w:szCs w:val="16"/>
        </w:rPr>
        <w:t>la violación del artículo</w:t>
      </w:r>
      <w:r w:rsidRPr="00590A16">
        <w:rPr>
          <w:rFonts w:ascii="Verdana" w:hAnsi="Verdana"/>
          <w:sz w:val="20"/>
          <w:szCs w:val="16"/>
        </w:rPr>
        <w:t xml:space="preserve"> </w:t>
      </w:r>
      <w:r w:rsidR="00305DA9" w:rsidRPr="00590A16">
        <w:rPr>
          <w:rFonts w:ascii="Verdana" w:hAnsi="Verdana"/>
          <w:sz w:val="20"/>
          <w:szCs w:val="16"/>
        </w:rPr>
        <w:t xml:space="preserve">2, </w:t>
      </w:r>
      <w:r w:rsidRPr="00590A16">
        <w:rPr>
          <w:rFonts w:ascii="Verdana" w:hAnsi="Verdana"/>
          <w:sz w:val="20"/>
          <w:szCs w:val="16"/>
        </w:rPr>
        <w:t xml:space="preserve">en relación con </w:t>
      </w:r>
      <w:r w:rsidR="00305DA9" w:rsidRPr="00590A16">
        <w:rPr>
          <w:rFonts w:ascii="Verdana" w:hAnsi="Verdana"/>
          <w:sz w:val="20"/>
          <w:szCs w:val="16"/>
        </w:rPr>
        <w:t xml:space="preserve">los </w:t>
      </w:r>
      <w:r w:rsidRPr="00590A16">
        <w:rPr>
          <w:rFonts w:ascii="Verdana" w:hAnsi="Verdana"/>
          <w:sz w:val="20"/>
          <w:szCs w:val="16"/>
        </w:rPr>
        <w:t>artículo</w:t>
      </w:r>
      <w:r w:rsidR="00305DA9" w:rsidRPr="00590A16">
        <w:rPr>
          <w:rFonts w:ascii="Verdana" w:hAnsi="Verdana"/>
          <w:sz w:val="20"/>
          <w:szCs w:val="16"/>
        </w:rPr>
        <w:t>s</w:t>
      </w:r>
      <w:r w:rsidRPr="00590A16">
        <w:rPr>
          <w:rFonts w:ascii="Verdana" w:hAnsi="Verdana"/>
          <w:sz w:val="20"/>
          <w:szCs w:val="16"/>
        </w:rPr>
        <w:t xml:space="preserve"> </w:t>
      </w:r>
      <w:r w:rsidR="00305DA9" w:rsidRPr="00590A16">
        <w:rPr>
          <w:rFonts w:ascii="Verdana" w:hAnsi="Verdana"/>
          <w:sz w:val="20"/>
          <w:szCs w:val="16"/>
        </w:rPr>
        <w:t>8 y 25</w:t>
      </w:r>
      <w:r w:rsidRPr="00590A16">
        <w:rPr>
          <w:rFonts w:ascii="Verdana" w:hAnsi="Verdana"/>
          <w:sz w:val="20"/>
          <w:szCs w:val="16"/>
        </w:rPr>
        <w:t xml:space="preserve"> de la Convención</w:t>
      </w:r>
      <w:r w:rsidR="00305DA9" w:rsidRPr="00590A16">
        <w:rPr>
          <w:rFonts w:ascii="Verdana" w:hAnsi="Verdana"/>
          <w:sz w:val="20"/>
          <w:szCs w:val="16"/>
        </w:rPr>
        <w:t xml:space="preserve">, </w:t>
      </w:r>
      <w:r w:rsidR="006C5847" w:rsidRPr="003564A3">
        <w:rPr>
          <w:rFonts w:ascii="Verdana" w:hAnsi="Verdana"/>
          <w:sz w:val="20"/>
          <w:szCs w:val="16"/>
        </w:rPr>
        <w:t>en perjuicio de las víctimas desaparecidas,</w:t>
      </w:r>
      <w:r w:rsidR="006C5847" w:rsidRPr="00590A16">
        <w:rPr>
          <w:rFonts w:ascii="Verdana" w:hAnsi="Verdana"/>
          <w:sz w:val="20"/>
          <w:szCs w:val="16"/>
        </w:rPr>
        <w:t xml:space="preserve"> </w:t>
      </w:r>
      <w:r w:rsidR="00305DA9" w:rsidRPr="00590A16">
        <w:rPr>
          <w:rFonts w:ascii="Verdana" w:hAnsi="Verdana"/>
          <w:sz w:val="20"/>
          <w:szCs w:val="16"/>
        </w:rPr>
        <w:t>ya que</w:t>
      </w:r>
      <w:r w:rsidRPr="00590A16">
        <w:rPr>
          <w:rFonts w:ascii="Verdana" w:hAnsi="Verdana"/>
          <w:sz w:val="20"/>
          <w:szCs w:val="16"/>
        </w:rPr>
        <w:t xml:space="preserve"> el juicio de amparo al momento de la desaparición no constituía un recurso efectivo en casos de desaparición forzada de personas y no existía una legislación en materia de d</w:t>
      </w:r>
      <w:r w:rsidR="00305DA9" w:rsidRPr="00590A16">
        <w:rPr>
          <w:rFonts w:ascii="Verdana" w:hAnsi="Verdana"/>
          <w:sz w:val="20"/>
          <w:szCs w:val="16"/>
        </w:rPr>
        <w:t>esaparición forzada de personas</w:t>
      </w:r>
      <w:r w:rsidR="006E5414">
        <w:rPr>
          <w:rFonts w:ascii="Verdana" w:hAnsi="Verdana"/>
          <w:sz w:val="20"/>
          <w:szCs w:val="16"/>
        </w:rPr>
        <w:t>.</w:t>
      </w:r>
      <w:r w:rsidR="007A7DCA">
        <w:rPr>
          <w:rFonts w:ascii="Verdana" w:hAnsi="Verdana"/>
          <w:sz w:val="20"/>
          <w:szCs w:val="16"/>
        </w:rPr>
        <w:t xml:space="preserve"> </w:t>
      </w:r>
    </w:p>
    <w:p w14:paraId="64AA60D4" w14:textId="08FC26E0" w:rsidR="001903B5" w:rsidRPr="001903B5" w:rsidRDefault="001903B5" w:rsidP="0057411A">
      <w:pPr>
        <w:pStyle w:val="Ttulo1"/>
      </w:pPr>
      <w:bookmarkStart w:id="297" w:name="_Toc526774170"/>
      <w:bookmarkStart w:id="298" w:name="_Toc526777504"/>
      <w:bookmarkStart w:id="299" w:name="_Toc526783804"/>
      <w:bookmarkStart w:id="300" w:name="_Toc532995388"/>
      <w:r w:rsidRPr="001903B5">
        <w:t>VII.</w:t>
      </w:r>
      <w:bookmarkEnd w:id="297"/>
      <w:bookmarkEnd w:id="298"/>
      <w:bookmarkEnd w:id="299"/>
      <w:r w:rsidR="00B37F3B">
        <w:t>3</w:t>
      </w:r>
      <w:bookmarkEnd w:id="300"/>
    </w:p>
    <w:p w14:paraId="59FFFD97" w14:textId="10C4B70B" w:rsidR="00135675" w:rsidRPr="00135675" w:rsidRDefault="001903B5" w:rsidP="0057411A">
      <w:pPr>
        <w:pStyle w:val="Ttulo1"/>
      </w:pPr>
      <w:bookmarkStart w:id="301" w:name="_Toc526774171"/>
      <w:bookmarkStart w:id="302" w:name="_Toc526777505"/>
      <w:bookmarkStart w:id="303" w:name="_Toc526783805"/>
      <w:bookmarkStart w:id="304" w:name="_Toc527561095"/>
      <w:bookmarkStart w:id="305" w:name="_Toc532995389"/>
      <w:r w:rsidRPr="00FD4231">
        <w:lastRenderedPageBreak/>
        <w:t>DERECHOS A LA INTEGRIDAD PERSONAL (ARTÍCULO 5</w:t>
      </w:r>
      <w:r w:rsidR="00416548">
        <w:rPr>
          <w:rStyle w:val="Refdenotaalpie"/>
        </w:rPr>
        <w:footnoteReference w:id="486"/>
      </w:r>
      <w:r w:rsidRPr="00FD4231">
        <w:t>), DE CIRCULACIÓN Y DE RESIDENCIA (ARTÍCULO 22</w:t>
      </w:r>
      <w:r w:rsidR="00416548">
        <w:rPr>
          <w:rStyle w:val="Refdenotaalpie"/>
        </w:rPr>
        <w:footnoteReference w:id="487"/>
      </w:r>
      <w:r w:rsidRPr="00FD4231">
        <w:t>), A LA PROTECCIÓN A LA FAMILI</w:t>
      </w:r>
      <w:r w:rsidR="0059159E">
        <w:t>A</w:t>
      </w:r>
      <w:r w:rsidRPr="00FD4231">
        <w:t>, A LA PROTECCIÓN DE LA HONRA Y DE LA DIGNIDAD Y DEL NIÑO (ARTÍCULOS 17</w:t>
      </w:r>
      <w:r w:rsidR="00416548">
        <w:rPr>
          <w:rStyle w:val="Refdenotaalpie"/>
        </w:rPr>
        <w:footnoteReference w:id="488"/>
      </w:r>
      <w:r w:rsidRPr="00FD4231">
        <w:t>, 11</w:t>
      </w:r>
      <w:r w:rsidR="00416548">
        <w:rPr>
          <w:rStyle w:val="Refdenotaalpie"/>
        </w:rPr>
        <w:footnoteReference w:id="489"/>
      </w:r>
      <w:r w:rsidRPr="00FD4231">
        <w:t xml:space="preserve"> Y 19</w:t>
      </w:r>
      <w:r w:rsidR="00416548">
        <w:rPr>
          <w:rStyle w:val="Refdenotaalpie"/>
        </w:rPr>
        <w:footnoteReference w:id="490"/>
      </w:r>
      <w:r w:rsidRPr="00FD4231">
        <w:t xml:space="preserve">) RESPECTO DE LOS FAMILIARES, EN RELACIÓN CON </w:t>
      </w:r>
      <w:r w:rsidR="00192F63">
        <w:t>LOS ARTÍCULOS 1.1</w:t>
      </w:r>
      <w:r w:rsidR="00192F63">
        <w:rPr>
          <w:rStyle w:val="Refdenotaalpie"/>
        </w:rPr>
        <w:footnoteReference w:id="491"/>
      </w:r>
      <w:r w:rsidRPr="00FD4231">
        <w:t xml:space="preserve"> </w:t>
      </w:r>
      <w:r w:rsidR="00192F63">
        <w:t xml:space="preserve">Y </w:t>
      </w:r>
      <w:r w:rsidRPr="00FD4231">
        <w:t>63.2</w:t>
      </w:r>
      <w:r w:rsidR="00416548">
        <w:rPr>
          <w:rStyle w:val="Refdenotaalpie"/>
        </w:rPr>
        <w:footnoteReference w:id="492"/>
      </w:r>
      <w:r w:rsidRPr="00FD4231">
        <w:t xml:space="preserve"> DE LA CONVENCIÓN AMERICANA.</w:t>
      </w:r>
      <w:bookmarkEnd w:id="301"/>
      <w:bookmarkEnd w:id="302"/>
      <w:bookmarkEnd w:id="303"/>
      <w:bookmarkEnd w:id="304"/>
      <w:bookmarkEnd w:id="305"/>
    </w:p>
    <w:p w14:paraId="64AA60D8" w14:textId="6A01E125" w:rsidR="001903B5" w:rsidRPr="00813B72" w:rsidRDefault="00556FDB" w:rsidP="001A04CC">
      <w:pPr>
        <w:pStyle w:val="Ttulo2"/>
        <w:numPr>
          <w:ilvl w:val="0"/>
          <w:numId w:val="41"/>
        </w:numPr>
        <w:spacing w:before="120" w:after="120"/>
      </w:pPr>
      <w:bookmarkStart w:id="306" w:name="_Toc526777506"/>
      <w:bookmarkStart w:id="307" w:name="_Toc526783806"/>
      <w:r>
        <w:t xml:space="preserve"> </w:t>
      </w:r>
      <w:bookmarkStart w:id="308" w:name="_Toc532995390"/>
      <w:r w:rsidR="001903B5" w:rsidRPr="001903B5">
        <w:t>Argumentos de l</w:t>
      </w:r>
      <w:r w:rsidR="00CB7A58">
        <w:t>as partes</w:t>
      </w:r>
      <w:r w:rsidR="001903B5" w:rsidRPr="001903B5">
        <w:t xml:space="preserve"> y de la</w:t>
      </w:r>
      <w:r w:rsidR="00CB7A58">
        <w:t xml:space="preserve"> Comisión</w:t>
      </w:r>
      <w:bookmarkEnd w:id="306"/>
      <w:bookmarkEnd w:id="307"/>
      <w:bookmarkEnd w:id="308"/>
    </w:p>
    <w:p w14:paraId="64AA60DA" w14:textId="7A9F8644"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MT"/>
          <w:sz w:val="20"/>
          <w:szCs w:val="20"/>
          <w:lang w:val="es-CR"/>
        </w:rPr>
      </w:pPr>
      <w:r w:rsidRPr="00C96C12">
        <w:rPr>
          <w:rFonts w:ascii="Verdana" w:hAnsi="Verdana" w:cs="ArialMT"/>
          <w:sz w:val="20"/>
          <w:szCs w:val="20"/>
          <w:lang w:val="es-CR"/>
        </w:rPr>
        <w:t>La</w:t>
      </w:r>
      <w:r w:rsidRPr="005F3A8F">
        <w:rPr>
          <w:rFonts w:ascii="Verdana" w:hAnsi="Verdana" w:cs="ArialMT"/>
          <w:b/>
          <w:sz w:val="20"/>
          <w:szCs w:val="20"/>
          <w:lang w:val="es-CR"/>
        </w:rPr>
        <w:t xml:space="preserve"> </w:t>
      </w:r>
      <w:r w:rsidRPr="00305DA9">
        <w:rPr>
          <w:rFonts w:ascii="Verdana" w:hAnsi="Verdana"/>
          <w:b/>
          <w:i/>
          <w:sz w:val="20"/>
          <w:szCs w:val="20"/>
        </w:rPr>
        <w:t>Comisión</w:t>
      </w:r>
      <w:r w:rsidRPr="005F3A8F">
        <w:rPr>
          <w:rFonts w:ascii="Verdana" w:hAnsi="Verdana" w:cs="ArialMT"/>
          <w:b/>
          <w:sz w:val="20"/>
          <w:szCs w:val="20"/>
          <w:lang w:val="es-CR"/>
        </w:rPr>
        <w:t xml:space="preserve">, </w:t>
      </w:r>
      <w:r w:rsidRPr="005F3A8F">
        <w:rPr>
          <w:rFonts w:ascii="Verdana" w:hAnsi="Verdana" w:cs="ArialMT"/>
          <w:sz w:val="20"/>
          <w:szCs w:val="20"/>
          <w:lang w:val="es-CR"/>
        </w:rPr>
        <w:t>con respecto a la alegada violación a la integridad personal producto de la desaparición forzada,</w:t>
      </w:r>
      <w:r w:rsidRPr="005F3A8F">
        <w:rPr>
          <w:rFonts w:ascii="Verdana" w:hAnsi="Verdana" w:cs="ArialMT"/>
          <w:b/>
          <w:sz w:val="20"/>
          <w:szCs w:val="20"/>
          <w:lang w:val="es-CR"/>
        </w:rPr>
        <w:t xml:space="preserve"> </w:t>
      </w:r>
      <w:r w:rsidRPr="00680F19">
        <w:rPr>
          <w:rFonts w:ascii="Verdana" w:hAnsi="Verdana" w:cs="ArialMT"/>
          <w:sz w:val="20"/>
          <w:szCs w:val="20"/>
          <w:lang w:val="es-CR"/>
        </w:rPr>
        <w:t>destacó el profundo sentimiento de dolor, angustia e incertidumbre generado a los familiares por el solo hecho de las tres desapariciones, advirtiendo que el mismo ha sido profundizado por la falta de una investigación efectiva, diligente y en plazo razonable</w:t>
      </w:r>
      <w:r w:rsidRPr="00C77BEE">
        <w:rPr>
          <w:rFonts w:ascii="Verdana" w:hAnsi="Verdana"/>
          <w:sz w:val="20"/>
          <w:szCs w:val="20"/>
        </w:rPr>
        <w:t>.</w:t>
      </w:r>
      <w:r w:rsidRPr="00680F19">
        <w:rPr>
          <w:rFonts w:ascii="Verdana" w:hAnsi="Verdana"/>
          <w:sz w:val="20"/>
          <w:szCs w:val="20"/>
        </w:rPr>
        <w:t xml:space="preserve"> </w:t>
      </w:r>
      <w:r w:rsidRPr="00680F19">
        <w:rPr>
          <w:rFonts w:ascii="Verdana" w:hAnsi="Verdana" w:cs="ArialMT"/>
          <w:sz w:val="20"/>
          <w:szCs w:val="20"/>
          <w:lang w:val="es-CR"/>
        </w:rPr>
        <w:t xml:space="preserve">Asimismo señaló la situación de ansiedad y miedo de los familiares a raíz de las amenazas y hostigamiento sufridos durante la búsqueda de </w:t>
      </w:r>
      <w:r w:rsidR="00DF37D9" w:rsidRPr="00680F19">
        <w:rPr>
          <w:rFonts w:ascii="Verdana" w:hAnsi="Verdana" w:cs="ArialMT"/>
          <w:sz w:val="20"/>
          <w:szCs w:val="20"/>
          <w:lang w:val="es-CR"/>
        </w:rPr>
        <w:t>justicia</w:t>
      </w:r>
      <w:r w:rsidRPr="00680F19">
        <w:rPr>
          <w:rFonts w:ascii="Verdana" w:hAnsi="Verdana" w:cs="ArialMT"/>
          <w:sz w:val="20"/>
          <w:szCs w:val="20"/>
          <w:lang w:val="es-CR"/>
        </w:rPr>
        <w:t xml:space="preserve"> y </w:t>
      </w:r>
      <w:r w:rsidRPr="00680F19">
        <w:rPr>
          <w:rFonts w:ascii="Verdana" w:hAnsi="Verdana"/>
          <w:sz w:val="20"/>
          <w:szCs w:val="20"/>
        </w:rPr>
        <w:t>que dichas circunstancias los han mantenido expuestos a una situación de temor y zozobra incompatible con su integridad personal. Al respecto, destacó la llamada telefónica intimidatoria que recibió el padre de José Ángel Alvarado en la que además de amenazarlo de muerte a él y a su familia lo interpelaron a que en el transcurso de 12 horas abandonara la casa y la ciudad</w:t>
      </w:r>
      <w:r w:rsidR="00707C61">
        <w:rPr>
          <w:rFonts w:ascii="Verdana" w:hAnsi="Verdana" w:cs="ArialMT"/>
          <w:sz w:val="20"/>
          <w:szCs w:val="20"/>
          <w:lang w:val="es-CR"/>
        </w:rPr>
        <w:t>.</w:t>
      </w:r>
      <w:r w:rsidRPr="00680F19">
        <w:rPr>
          <w:rFonts w:ascii="Verdana" w:hAnsi="Verdana" w:cs="ArialMT"/>
          <w:sz w:val="20"/>
          <w:szCs w:val="20"/>
          <w:lang w:val="es-CR"/>
        </w:rPr>
        <w:t xml:space="preserve"> </w:t>
      </w:r>
      <w:r w:rsidRPr="00680F19">
        <w:rPr>
          <w:rFonts w:ascii="Verdana" w:hAnsi="Verdana"/>
          <w:sz w:val="20"/>
          <w:szCs w:val="20"/>
        </w:rPr>
        <w:t>En ese sentido también señaló</w:t>
      </w:r>
      <w:r w:rsidRPr="00680F19">
        <w:rPr>
          <w:rFonts w:ascii="Verdana" w:hAnsi="Verdana"/>
          <w:b/>
          <w:sz w:val="20"/>
          <w:szCs w:val="20"/>
        </w:rPr>
        <w:t xml:space="preserve"> </w:t>
      </w:r>
      <w:r w:rsidRPr="00680F19">
        <w:rPr>
          <w:rFonts w:ascii="Verdana" w:hAnsi="Verdana"/>
          <w:sz w:val="20"/>
          <w:szCs w:val="20"/>
        </w:rPr>
        <w:t>el violento allanamiento de la casa de un miembro de la familia, Jaime Alvarado, agregando que en esa oportunidad recibió amenazas, a través de un mensaje atemorizante encontrado en dicho domicilio, en el que se le indicó que atentarían contra la vida de él y de su familia, los cuales, a su criterio, guardan razonable relación de causalidad con los hechos del presente caso</w:t>
      </w:r>
      <w:r w:rsidR="00C77BEE">
        <w:rPr>
          <w:rFonts w:ascii="Verdana" w:hAnsi="Verdana"/>
          <w:sz w:val="20"/>
          <w:szCs w:val="20"/>
        </w:rPr>
        <w:t xml:space="preserve">. </w:t>
      </w:r>
      <w:r w:rsidRPr="00680F19">
        <w:rPr>
          <w:rFonts w:ascii="Verdana" w:hAnsi="Verdana"/>
          <w:sz w:val="20"/>
          <w:szCs w:val="20"/>
        </w:rPr>
        <w:t xml:space="preserve">Señaló además que los miembros del grupo familiar se vieron obligados a tolerar injerencias arbitrarias en su vida personal, siendo varios de ellos </w:t>
      </w:r>
      <w:r w:rsidR="00C77BEE">
        <w:rPr>
          <w:rFonts w:ascii="Verdana" w:hAnsi="Verdana"/>
          <w:sz w:val="20"/>
          <w:szCs w:val="20"/>
        </w:rPr>
        <w:t>−</w:t>
      </w:r>
      <w:r w:rsidRPr="00680F19">
        <w:rPr>
          <w:rFonts w:ascii="Verdana" w:hAnsi="Verdana"/>
          <w:sz w:val="20"/>
          <w:szCs w:val="20"/>
        </w:rPr>
        <w:t>al momento de los hechos</w:t>
      </w:r>
      <w:r w:rsidR="00C77BEE">
        <w:rPr>
          <w:rFonts w:ascii="Verdana" w:hAnsi="Verdana"/>
          <w:sz w:val="20"/>
          <w:szCs w:val="20"/>
        </w:rPr>
        <w:t>−</w:t>
      </w:r>
      <w:r w:rsidRPr="00680F19">
        <w:rPr>
          <w:rFonts w:ascii="Verdana" w:hAnsi="Verdana"/>
          <w:sz w:val="20"/>
          <w:szCs w:val="20"/>
        </w:rPr>
        <w:t xml:space="preserve"> niños, respecto de quienes aclaró que el Estado tiene un deber de especial protección</w:t>
      </w:r>
      <w:r w:rsidR="00707C61">
        <w:rPr>
          <w:rFonts w:ascii="Verdana" w:hAnsi="Verdana"/>
          <w:sz w:val="20"/>
          <w:szCs w:val="20"/>
        </w:rPr>
        <w:t>,</w:t>
      </w:r>
      <w:r w:rsidRPr="00680F19">
        <w:rPr>
          <w:rFonts w:ascii="Verdana" w:hAnsi="Verdana"/>
          <w:sz w:val="20"/>
          <w:szCs w:val="20"/>
        </w:rPr>
        <w:t xml:space="preserve"> que ha sido incumplido en este caso, no sólo desde el momento de la desaparición, teniendo en cuenta que en el caso de Rocío Irene Alvarado Reyes, en esa oportunidad se encontraban presentes su hija y sus hermanos menores, sino también con posterioridad, como consecuencia de la falta de respuesta ante las amenazas recibidas, y que estas amenazas recibidas han impactado en sus relaciones sociales y laborales generando consecuencias irreparables en la dinámica familiar, obligándolos a desplazarse internamente y, en algunos casos, a huir hacia Estados Unidos. Al respecto destacó que específicamente el padre de José Ángel Alvarado Herrera decidió huir conjuntamente con 21 miembros de su familia, encontrándose 12 miembros de la familia en Benito Juárez y 10 en Ciudad Juárez. Asimismo 11 familiares de Nitza Paola Alvarado Espinoza huyeron hacia Estados Unidos donde actualmente residen, y finalmente 6 familiares de Rocío Irene Alvarado Reyes se desplazaron a Benito Juárez, ocasionando además de la separación de sus familias, un desarraigo social y cultural</w:t>
      </w:r>
      <w:r w:rsidRPr="00C77BEE">
        <w:rPr>
          <w:rFonts w:ascii="Verdana" w:hAnsi="Verdana"/>
          <w:sz w:val="20"/>
          <w:szCs w:val="20"/>
        </w:rPr>
        <w:t>.</w:t>
      </w:r>
      <w:r w:rsidRPr="00680F19">
        <w:rPr>
          <w:rFonts w:ascii="Verdana" w:hAnsi="Verdana"/>
          <w:sz w:val="20"/>
          <w:szCs w:val="20"/>
        </w:rPr>
        <w:t xml:space="preserve"> En virtud de lo anterior, la Comisión declaró  la violación de los artículos 5, 11, 17, 19 y 22 de la Convención Americana. </w:t>
      </w:r>
    </w:p>
    <w:p w14:paraId="64AA60DC" w14:textId="13B27C0C"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MT"/>
          <w:sz w:val="20"/>
          <w:szCs w:val="20"/>
          <w:lang w:val="es-CR"/>
        </w:rPr>
      </w:pPr>
      <w:r w:rsidRPr="001903B5">
        <w:rPr>
          <w:rFonts w:ascii="Verdana" w:hAnsi="Verdana"/>
          <w:sz w:val="20"/>
          <w:szCs w:val="20"/>
        </w:rPr>
        <w:t>L</w:t>
      </w:r>
      <w:r w:rsidR="00C96C12">
        <w:rPr>
          <w:rFonts w:ascii="Verdana" w:hAnsi="Verdana"/>
          <w:sz w:val="20"/>
          <w:szCs w:val="20"/>
        </w:rPr>
        <w:t>a</w:t>
      </w:r>
      <w:r w:rsidRPr="001903B5">
        <w:rPr>
          <w:rFonts w:ascii="Verdana" w:hAnsi="Verdana"/>
          <w:sz w:val="20"/>
          <w:szCs w:val="20"/>
        </w:rPr>
        <w:t xml:space="preserve">s </w:t>
      </w:r>
      <w:r w:rsidRPr="001903B5">
        <w:rPr>
          <w:rFonts w:ascii="Verdana" w:hAnsi="Verdana"/>
          <w:b/>
          <w:i/>
          <w:sz w:val="20"/>
          <w:szCs w:val="20"/>
        </w:rPr>
        <w:t>Representantes</w:t>
      </w:r>
      <w:r w:rsidRPr="001903B5">
        <w:rPr>
          <w:rFonts w:ascii="Verdana" w:hAnsi="Verdana"/>
          <w:sz w:val="20"/>
          <w:szCs w:val="20"/>
        </w:rPr>
        <w:t xml:space="preserve"> coincidieron con la Comisión y enfatizaron en el profundo dolor sufrido por los familiares en relación a la</w:t>
      </w:r>
      <w:r w:rsidR="00C77BEE">
        <w:rPr>
          <w:rFonts w:ascii="Verdana" w:hAnsi="Verdana"/>
          <w:sz w:val="20"/>
          <w:szCs w:val="20"/>
        </w:rPr>
        <w:t>s</w:t>
      </w:r>
      <w:r w:rsidRPr="001903B5">
        <w:rPr>
          <w:rFonts w:ascii="Verdana" w:hAnsi="Verdana"/>
          <w:sz w:val="20"/>
          <w:szCs w:val="20"/>
        </w:rPr>
        <w:t xml:space="preserve"> desaparic</w:t>
      </w:r>
      <w:r w:rsidR="00C77BEE">
        <w:rPr>
          <w:rFonts w:ascii="Verdana" w:hAnsi="Verdana"/>
          <w:sz w:val="20"/>
          <w:szCs w:val="20"/>
        </w:rPr>
        <w:t>iones</w:t>
      </w:r>
      <w:r w:rsidRPr="001903B5">
        <w:rPr>
          <w:rFonts w:ascii="Verdana" w:hAnsi="Verdana"/>
          <w:sz w:val="20"/>
          <w:szCs w:val="20"/>
        </w:rPr>
        <w:t xml:space="preserve"> forzada</w:t>
      </w:r>
      <w:r w:rsidR="00C77BEE">
        <w:rPr>
          <w:rFonts w:ascii="Verdana" w:hAnsi="Verdana"/>
          <w:sz w:val="20"/>
          <w:szCs w:val="20"/>
        </w:rPr>
        <w:t>s</w:t>
      </w:r>
      <w:r w:rsidRPr="001903B5">
        <w:rPr>
          <w:rFonts w:ascii="Verdana" w:hAnsi="Verdana"/>
          <w:sz w:val="20"/>
          <w:szCs w:val="20"/>
        </w:rPr>
        <w:t xml:space="preserve">, sumado al impacto que soportaron </w:t>
      </w:r>
      <w:r w:rsidR="00707C61">
        <w:rPr>
          <w:rFonts w:ascii="Verdana" w:hAnsi="Verdana"/>
          <w:sz w:val="20"/>
          <w:szCs w:val="20"/>
        </w:rPr>
        <w:t>e</w:t>
      </w:r>
      <w:r w:rsidRPr="001903B5">
        <w:rPr>
          <w:rFonts w:ascii="Verdana" w:hAnsi="Verdana"/>
          <w:sz w:val="20"/>
          <w:szCs w:val="20"/>
        </w:rPr>
        <w:t xml:space="preserve">l </w:t>
      </w:r>
      <w:r w:rsidRPr="001903B5">
        <w:rPr>
          <w:rFonts w:ascii="Verdana" w:hAnsi="Verdana"/>
          <w:sz w:val="20"/>
          <w:szCs w:val="20"/>
        </w:rPr>
        <w:lastRenderedPageBreak/>
        <w:t xml:space="preserve">haber presenciado situaciones violentas al momento de la detención, </w:t>
      </w:r>
      <w:r w:rsidR="00707C61">
        <w:rPr>
          <w:rFonts w:ascii="Verdana" w:hAnsi="Verdana"/>
          <w:sz w:val="20"/>
          <w:szCs w:val="20"/>
        </w:rPr>
        <w:t>así como</w:t>
      </w:r>
      <w:r w:rsidRPr="001903B5">
        <w:rPr>
          <w:rFonts w:ascii="Verdana" w:hAnsi="Verdana"/>
          <w:sz w:val="20"/>
          <w:szCs w:val="20"/>
        </w:rPr>
        <w:t xml:space="preserve"> también las consecuencias directas que repercutieron en su estado de salud al enterarse de la noticia, y la afectación social que padecieron, pues ante la comunidad del Ejido Benito Juárez quedó expuesta su vulnerabilidad como población ante los actos arbitrarios perpetrados. Asimismo, hicieron hincapié en el allanamiento de la vivienda de Jaime Alvarado ocurrido el día 28 de agosto 2011, sumado a la afectación física en su caso particular a raíz del atentado sufrido, y el hallazgo de la nota intimidatoria</w:t>
      </w:r>
      <w:r w:rsidRPr="008D0846">
        <w:rPr>
          <w:rFonts w:ascii="Verdana" w:hAnsi="Verdana"/>
          <w:sz w:val="20"/>
          <w:szCs w:val="20"/>
        </w:rPr>
        <w:t>.</w:t>
      </w:r>
      <w:r w:rsidRPr="001903B5">
        <w:rPr>
          <w:rFonts w:ascii="Verdana" w:hAnsi="Verdana"/>
          <w:b/>
          <w:sz w:val="20"/>
          <w:szCs w:val="20"/>
        </w:rPr>
        <w:t xml:space="preserve"> </w:t>
      </w:r>
      <w:r w:rsidRPr="001903B5">
        <w:rPr>
          <w:rFonts w:ascii="Verdana" w:hAnsi="Verdana"/>
          <w:sz w:val="20"/>
          <w:szCs w:val="20"/>
        </w:rPr>
        <w:t>Asimismo, destacaron</w:t>
      </w:r>
      <w:r w:rsidRPr="001903B5">
        <w:rPr>
          <w:rFonts w:ascii="Verdana" w:hAnsi="Verdana"/>
          <w:b/>
          <w:sz w:val="20"/>
          <w:szCs w:val="20"/>
        </w:rPr>
        <w:t xml:space="preserve"> </w:t>
      </w:r>
      <w:r w:rsidRPr="001903B5">
        <w:rPr>
          <w:rFonts w:ascii="Verdana" w:hAnsi="Verdana"/>
          <w:sz w:val="20"/>
          <w:szCs w:val="20"/>
        </w:rPr>
        <w:t>especialmente que en ese momento el grupo familiar ya era beneficiario de Medidas Provisionales dictadas por esta Corte, advirtiendo el impacto negativo de las tres desapariciones forzadas, la desprotección estatal ante las amenazas sufridas y la falta de investigación de éstas, y su necesidad de desplazarse de manera forzada</w:t>
      </w:r>
      <w:r w:rsidRPr="008D0846">
        <w:rPr>
          <w:rStyle w:val="Refdecomentario"/>
          <w:rFonts w:ascii="Verdana" w:hAnsi="Verdana"/>
          <w:sz w:val="20"/>
          <w:szCs w:val="20"/>
        </w:rPr>
        <w:t>.</w:t>
      </w:r>
      <w:r w:rsidRPr="00680F19">
        <w:rPr>
          <w:rStyle w:val="Refdecomentario"/>
        </w:rPr>
        <w:t xml:space="preserve"> </w:t>
      </w:r>
      <w:r w:rsidRPr="001903B5">
        <w:rPr>
          <w:rFonts w:ascii="Verdana" w:hAnsi="Verdana"/>
          <w:sz w:val="20"/>
          <w:szCs w:val="20"/>
        </w:rPr>
        <w:t>Puntualizaron que, si bien los tres núcleos familiares tenían niños y niñas al momento de los hechos, y la mayoría tuvo que desplazarse, el caso más evidente de desprotección y separación familiar fue el de las hijas de Nitza, quienes al no contar con ninguno de sus padres en los momentos de desplazamiento forzado, de la búsqueda de su madre y de solicitud de asilo en Estados Unidos, tuvieron que desplazarse forzadamente solo con su abuela y años después fueron detenidas por autoridades migratorias por ser niñas no acompañadas, resultando esta violación y falta de atención especialmente grave en razón de su condición de niñas. En conclusión requirieron que se declare la violación de los mismos artículos señalados por la Comisión.</w:t>
      </w:r>
    </w:p>
    <w:p w14:paraId="64AA60DE" w14:textId="27965836" w:rsidR="001903B5" w:rsidRPr="0095417D" w:rsidRDefault="001903B5" w:rsidP="0095417D">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MT"/>
          <w:sz w:val="20"/>
          <w:szCs w:val="20"/>
          <w:lang w:val="es-CR"/>
        </w:rPr>
      </w:pPr>
      <w:r w:rsidRPr="00C96C12">
        <w:rPr>
          <w:rFonts w:ascii="Verdana" w:hAnsi="Verdana" w:cs="ArialMT"/>
          <w:sz w:val="20"/>
          <w:szCs w:val="20"/>
          <w:lang w:val="es-CR"/>
        </w:rPr>
        <w:t>El</w:t>
      </w:r>
      <w:r w:rsidRPr="001903B5">
        <w:rPr>
          <w:rFonts w:ascii="Verdana" w:hAnsi="Verdana" w:cs="ArialMT"/>
          <w:b/>
          <w:sz w:val="20"/>
          <w:szCs w:val="20"/>
          <w:lang w:val="es-CR"/>
        </w:rPr>
        <w:t xml:space="preserve"> </w:t>
      </w:r>
      <w:r w:rsidRPr="00305DA9">
        <w:rPr>
          <w:rFonts w:ascii="Verdana" w:hAnsi="Verdana" w:cs="ArialMT"/>
          <w:b/>
          <w:i/>
          <w:sz w:val="20"/>
          <w:szCs w:val="20"/>
          <w:lang w:val="es-CR"/>
        </w:rPr>
        <w:t>Estado</w:t>
      </w:r>
      <w:r w:rsidRPr="001903B5">
        <w:rPr>
          <w:rFonts w:ascii="Verdana" w:hAnsi="Verdana" w:cs="ArialMT"/>
          <w:b/>
          <w:sz w:val="20"/>
          <w:szCs w:val="20"/>
          <w:lang w:val="es-CR"/>
        </w:rPr>
        <w:t xml:space="preserve"> </w:t>
      </w:r>
      <w:r w:rsidRPr="001903B5">
        <w:rPr>
          <w:rFonts w:ascii="Verdana" w:hAnsi="Verdana" w:cs="ArialMT"/>
          <w:sz w:val="20"/>
          <w:szCs w:val="20"/>
          <w:lang w:val="es-CR"/>
        </w:rPr>
        <w:t>sostuvo que no hubo afectación alguna a la integridad personal</w:t>
      </w:r>
      <w:r w:rsidR="00C77BEE">
        <w:rPr>
          <w:rFonts w:ascii="Verdana" w:hAnsi="Verdana" w:cs="ArialMT"/>
          <w:sz w:val="20"/>
          <w:szCs w:val="20"/>
          <w:lang w:val="es-CR"/>
        </w:rPr>
        <w:t>,</w:t>
      </w:r>
      <w:r w:rsidRPr="001903B5">
        <w:rPr>
          <w:rFonts w:ascii="Verdana" w:hAnsi="Verdana" w:cs="ArialMT"/>
          <w:sz w:val="20"/>
          <w:szCs w:val="20"/>
          <w:lang w:val="es-CR"/>
        </w:rPr>
        <w:t xml:space="preserve"> ya que su respuesta respecto de los hechos invocados estuvo de acuerdo a las obligaciones convencionales asumidas internacionalmente</w:t>
      </w:r>
      <w:r w:rsidR="00CC61EB">
        <w:rPr>
          <w:rFonts w:ascii="Verdana" w:hAnsi="Verdana" w:cs="ArialMT"/>
          <w:sz w:val="20"/>
          <w:szCs w:val="20"/>
          <w:lang w:val="es-CR"/>
        </w:rPr>
        <w:t xml:space="preserve">. </w:t>
      </w:r>
      <w:r w:rsidRPr="001903B5">
        <w:rPr>
          <w:rFonts w:ascii="Verdana" w:hAnsi="Verdana"/>
          <w:sz w:val="20"/>
          <w:szCs w:val="20"/>
        </w:rPr>
        <w:t>Señaló además que varios de los hechos caracterizados como amenazas no pueden ser catalogados como tal ya que constituyeron actuaciones estatales justificadas y apegadas a la legislación mexicana, entre las cuales se incluyeron citatorios, presencia de agentes estatales y solicitudes de información. Particularmente destacó</w:t>
      </w:r>
      <w:r w:rsidR="0083364B">
        <w:rPr>
          <w:rFonts w:ascii="Verdana" w:hAnsi="Verdana"/>
          <w:sz w:val="20"/>
          <w:szCs w:val="20"/>
        </w:rPr>
        <w:t xml:space="preserve"> que</w:t>
      </w:r>
      <w:r w:rsidRPr="001903B5">
        <w:rPr>
          <w:rFonts w:ascii="Verdana" w:hAnsi="Verdana"/>
          <w:sz w:val="20"/>
          <w:szCs w:val="20"/>
        </w:rPr>
        <w:t xml:space="preserve"> con relación a las amenazas y actos de hostigamiento</w:t>
      </w:r>
      <w:r w:rsidR="0083364B">
        <w:rPr>
          <w:rFonts w:ascii="Verdana" w:hAnsi="Verdana"/>
          <w:sz w:val="20"/>
          <w:szCs w:val="20"/>
        </w:rPr>
        <w:t>,</w:t>
      </w:r>
      <w:r w:rsidRPr="001903B5">
        <w:rPr>
          <w:rFonts w:ascii="Verdana" w:hAnsi="Verdana"/>
          <w:sz w:val="20"/>
          <w:szCs w:val="20"/>
        </w:rPr>
        <w:t xml:space="preserve"> que la fuente de riesgo ha provenido siempre del crimen organizado. Por otro lado, tras reconocer otras situaciones legítimas de riesgo reportadas por los familiares de las personas desaparecidas, destacó haber implementado medidas de protección a fin de garantizar la seguridad de las personas individualizadas. Asimismo señaló que continúa llevando a cabo las investigaciones conducentes, aclarando que con relación al asesinato de Fabián Alvarado Herrera, ocurrido el 6 de febrero de este año, las investigaciones han sido impulsadas de manera diligente</w:t>
      </w:r>
      <w:r w:rsidRPr="008D0846">
        <w:rPr>
          <w:rFonts w:ascii="Verdana" w:hAnsi="Verdana"/>
          <w:sz w:val="20"/>
          <w:szCs w:val="20"/>
        </w:rPr>
        <w:t>,</w:t>
      </w:r>
      <w:r w:rsidRPr="001903B5">
        <w:rPr>
          <w:rFonts w:ascii="Verdana" w:hAnsi="Verdana"/>
          <w:b/>
          <w:sz w:val="20"/>
          <w:szCs w:val="20"/>
        </w:rPr>
        <w:t xml:space="preserve"> </w:t>
      </w:r>
      <w:r w:rsidRPr="001903B5">
        <w:rPr>
          <w:rFonts w:ascii="Verdana" w:hAnsi="Verdana"/>
          <w:sz w:val="20"/>
          <w:szCs w:val="20"/>
        </w:rPr>
        <w:t>como así también que en cuanto al procedimiento de medidas provisionales, ha establecido un Plan de Búsqueda para lograr la localización con vida o sin vida de las personas desaparecidas.</w:t>
      </w:r>
      <w:r w:rsidRPr="001903B5">
        <w:rPr>
          <w:rFonts w:ascii="Verdana" w:hAnsi="Verdana"/>
          <w:b/>
          <w:sz w:val="20"/>
          <w:szCs w:val="20"/>
        </w:rPr>
        <w:t xml:space="preserve"> </w:t>
      </w:r>
      <w:r w:rsidRPr="001903B5">
        <w:rPr>
          <w:rFonts w:ascii="Verdana" w:hAnsi="Verdana"/>
          <w:sz w:val="20"/>
          <w:szCs w:val="20"/>
        </w:rPr>
        <w:t>Adicionalmente sostuvo que las violaciones conexas alegadas no pueden ser atribuidas a agentes del Estado, que realmente no existió una amenaza real o inminente que condicionara la decisión de los familiares de trasladarse internamente y a territorio extranjero y que ello fue decisión de éstos. Respecto de los derechos de protección de los menores, indicó que se implementaron diversas medidas acordes a las necesidades de los menores miembros de la familia, ofreciendo y otorgando vivienda en algunos casos, e incorporación al Seguro Popular para algunos miembros</w:t>
      </w:r>
      <w:r w:rsidRPr="008D0846">
        <w:rPr>
          <w:rFonts w:ascii="Verdana" w:hAnsi="Verdana"/>
          <w:sz w:val="20"/>
          <w:szCs w:val="20"/>
        </w:rPr>
        <w:t>.</w:t>
      </w:r>
      <w:r w:rsidRPr="001903B5">
        <w:rPr>
          <w:rFonts w:ascii="Verdana" w:hAnsi="Verdana"/>
          <w:b/>
          <w:sz w:val="20"/>
          <w:szCs w:val="20"/>
        </w:rPr>
        <w:t xml:space="preserve"> </w:t>
      </w:r>
      <w:r w:rsidRPr="001903B5">
        <w:rPr>
          <w:rFonts w:ascii="Verdana" w:hAnsi="Verdana"/>
          <w:sz w:val="20"/>
          <w:szCs w:val="20"/>
        </w:rPr>
        <w:t>Finalmente alegó haberse abocado a investigar diligentemente los hechos denunciados afirmando</w:t>
      </w:r>
      <w:r w:rsidRPr="001903B5">
        <w:rPr>
          <w:rFonts w:ascii="Verdana" w:eastAsia="Calibri" w:hAnsi="Verdana"/>
          <w:bCs/>
          <w:sz w:val="20"/>
          <w:szCs w:val="20"/>
        </w:rPr>
        <w:t xml:space="preserve"> que la decisión de cambiar su lugar de residencia fue personal, consensuada y convenida, adoptándose en su caso las medidas de protección requeridas por los interesados.</w:t>
      </w:r>
      <w:r w:rsidRPr="001903B5">
        <w:rPr>
          <w:rFonts w:ascii="Verdana" w:hAnsi="Verdana"/>
          <w:sz w:val="20"/>
          <w:szCs w:val="20"/>
        </w:rPr>
        <w:t xml:space="preserve"> </w:t>
      </w:r>
    </w:p>
    <w:p w14:paraId="64AA60E0" w14:textId="318C68C6" w:rsidR="001903B5" w:rsidRPr="0095417D" w:rsidRDefault="00556FDB" w:rsidP="001A04CC">
      <w:pPr>
        <w:pStyle w:val="Ttulo2"/>
        <w:numPr>
          <w:ilvl w:val="0"/>
          <w:numId w:val="41"/>
        </w:numPr>
        <w:spacing w:before="120" w:after="120"/>
      </w:pPr>
      <w:bookmarkStart w:id="309" w:name="_Toc526777507"/>
      <w:bookmarkStart w:id="310" w:name="_Toc526783807"/>
      <w:r>
        <w:t xml:space="preserve"> </w:t>
      </w:r>
      <w:bookmarkStart w:id="311" w:name="_Toc532995391"/>
      <w:r w:rsidR="001903B5" w:rsidRPr="00F27214">
        <w:t>Consideraciones de la Corte</w:t>
      </w:r>
      <w:bookmarkEnd w:id="309"/>
      <w:bookmarkEnd w:id="310"/>
      <w:bookmarkEnd w:id="311"/>
      <w:r w:rsidR="001903B5" w:rsidRPr="00F27214">
        <w:t xml:space="preserve"> </w:t>
      </w:r>
    </w:p>
    <w:p w14:paraId="64AA60E2" w14:textId="4DC2DD51" w:rsidR="001903B5" w:rsidRPr="00350979" w:rsidRDefault="00942F34" w:rsidP="00660FDA">
      <w:pPr>
        <w:pStyle w:val="Ttulo3"/>
        <w:numPr>
          <w:ilvl w:val="0"/>
          <w:numId w:val="37"/>
        </w:numPr>
        <w:spacing w:before="120" w:after="120"/>
        <w:ind w:left="1560" w:hanging="426"/>
        <w:contextualSpacing w:val="0"/>
        <w:rPr>
          <w:b w:val="0"/>
        </w:rPr>
      </w:pPr>
      <w:bookmarkStart w:id="312" w:name="_Toc526783808"/>
      <w:r>
        <w:rPr>
          <w:b w:val="0"/>
        </w:rPr>
        <w:t xml:space="preserve"> </w:t>
      </w:r>
      <w:bookmarkStart w:id="313" w:name="_Toc532995392"/>
      <w:r w:rsidR="00DC15D5">
        <w:rPr>
          <w:b w:val="0"/>
        </w:rPr>
        <w:t>Respecto del</w:t>
      </w:r>
      <w:r w:rsidR="001903B5" w:rsidRPr="00350979">
        <w:rPr>
          <w:b w:val="0"/>
        </w:rPr>
        <w:t xml:space="preserve"> Artículo 5</w:t>
      </w:r>
      <w:r w:rsidR="00C77BEE">
        <w:rPr>
          <w:b w:val="0"/>
        </w:rPr>
        <w:t xml:space="preserve">, </w:t>
      </w:r>
      <w:r w:rsidR="001903B5" w:rsidRPr="00350979">
        <w:rPr>
          <w:b w:val="0"/>
        </w:rPr>
        <w:t>en relación con la desaparición forzada.</w:t>
      </w:r>
      <w:bookmarkEnd w:id="312"/>
      <w:bookmarkEnd w:id="313"/>
    </w:p>
    <w:p w14:paraId="64AA60E4" w14:textId="78F53872"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MT"/>
          <w:b/>
          <w:sz w:val="20"/>
          <w:szCs w:val="20"/>
          <w:lang w:val="es-CR"/>
        </w:rPr>
      </w:pPr>
      <w:r w:rsidRPr="00FD4231">
        <w:rPr>
          <w:rFonts w:ascii="Verdana" w:hAnsi="Verdana"/>
          <w:sz w:val="20"/>
          <w:szCs w:val="20"/>
          <w:lang w:val="es-CR"/>
        </w:rPr>
        <w:t xml:space="preserve">La Corte ha establecido que los familiares de las víctimas de violaciones de derechos </w:t>
      </w:r>
      <w:r w:rsidRPr="00547655">
        <w:rPr>
          <w:rFonts w:ascii="Verdana" w:hAnsi="Verdana" w:cs="ArialMT"/>
          <w:sz w:val="20"/>
          <w:szCs w:val="20"/>
          <w:lang w:val="es-CR"/>
        </w:rPr>
        <w:t>humanos</w:t>
      </w:r>
      <w:r w:rsidRPr="00547655">
        <w:rPr>
          <w:rFonts w:ascii="Verdana" w:hAnsi="Verdana"/>
          <w:sz w:val="20"/>
          <w:szCs w:val="20"/>
          <w:lang w:val="es-CR"/>
        </w:rPr>
        <w:t xml:space="preserve"> </w:t>
      </w:r>
      <w:r w:rsidRPr="00FD4231">
        <w:rPr>
          <w:rFonts w:ascii="Verdana" w:hAnsi="Verdana"/>
          <w:sz w:val="20"/>
          <w:szCs w:val="20"/>
          <w:lang w:val="es-CR"/>
        </w:rPr>
        <w:t>pueden ser, a su vez, víctimas</w:t>
      </w:r>
      <w:r w:rsidRPr="00FD4231">
        <w:rPr>
          <w:rStyle w:val="Refdenotaalpie"/>
          <w:rFonts w:ascii="Verdana" w:hAnsi="Verdana"/>
          <w:sz w:val="20"/>
          <w:szCs w:val="20"/>
          <w:lang w:val="es-CR"/>
        </w:rPr>
        <w:footnoteReference w:id="493"/>
      </w:r>
      <w:r w:rsidRPr="00FD4231">
        <w:rPr>
          <w:rFonts w:ascii="Verdana" w:hAnsi="Verdana"/>
          <w:sz w:val="20"/>
          <w:szCs w:val="20"/>
          <w:lang w:val="es-CR"/>
        </w:rPr>
        <w:t xml:space="preserve">. Además, ha considerado que, en casos que </w:t>
      </w:r>
      <w:r w:rsidRPr="00A601B0">
        <w:rPr>
          <w:rFonts w:ascii="Verdana" w:hAnsi="Verdana"/>
          <w:sz w:val="20"/>
          <w:szCs w:val="20"/>
          <w:lang w:val="es-CR"/>
        </w:rPr>
        <w:t xml:space="preserve">involucran la desaparición forzada de personas, es posible entender que la violación del derecho a la </w:t>
      </w:r>
      <w:r w:rsidRPr="00A601B0">
        <w:rPr>
          <w:rFonts w:ascii="Verdana" w:hAnsi="Verdana"/>
          <w:sz w:val="20"/>
          <w:szCs w:val="20"/>
          <w:lang w:val="es-CR"/>
        </w:rPr>
        <w:lastRenderedPageBreak/>
        <w:t>integridad de los familiares de las víctimas es una consecuencia directa de ese fenómeno, que les causa un severo sufrimiento por el hecho que se acrecien</w:t>
      </w:r>
      <w:r w:rsidRPr="00185B82">
        <w:rPr>
          <w:rFonts w:ascii="Verdana" w:hAnsi="Verdana"/>
          <w:sz w:val="20"/>
          <w:szCs w:val="20"/>
          <w:lang w:val="es-CR"/>
        </w:rPr>
        <w:t>ta, entre otros factores, por la constante negativa de las autoridades de proporcionar información acerca del paradero de las víctimas o de realizar una investigación eficaz para lograr e</w:t>
      </w:r>
      <w:r w:rsidR="00D833DB">
        <w:rPr>
          <w:rFonts w:ascii="Verdana" w:hAnsi="Verdana"/>
          <w:sz w:val="20"/>
          <w:szCs w:val="20"/>
          <w:lang w:val="es-CR"/>
        </w:rPr>
        <w:t>l</w:t>
      </w:r>
      <w:r w:rsidRPr="00185B82">
        <w:rPr>
          <w:rFonts w:ascii="Verdana" w:hAnsi="Verdana"/>
          <w:sz w:val="20"/>
          <w:szCs w:val="20"/>
          <w:lang w:val="es-CR"/>
        </w:rPr>
        <w:t xml:space="preserve"> esclarecimiento de lo sucedido</w:t>
      </w:r>
      <w:bookmarkStart w:id="314" w:name="_Ref521506062"/>
      <w:r w:rsidRPr="00FD4231">
        <w:rPr>
          <w:rStyle w:val="Refdenotaalpie"/>
          <w:rFonts w:ascii="Verdana" w:hAnsi="Verdana"/>
          <w:sz w:val="20"/>
          <w:szCs w:val="20"/>
          <w:lang w:val="es-CR"/>
        </w:rPr>
        <w:footnoteReference w:id="494"/>
      </w:r>
      <w:bookmarkEnd w:id="314"/>
      <w:r w:rsidRPr="00FD4231">
        <w:rPr>
          <w:rFonts w:ascii="Verdana" w:hAnsi="Verdana"/>
          <w:sz w:val="20"/>
          <w:szCs w:val="20"/>
          <w:lang w:val="es-CR"/>
        </w:rPr>
        <w:t>.</w:t>
      </w:r>
    </w:p>
    <w:p w14:paraId="64AA60EC" w14:textId="72837209"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MT"/>
          <w:b/>
          <w:sz w:val="20"/>
          <w:szCs w:val="20"/>
          <w:lang w:val="es-CR"/>
        </w:rPr>
      </w:pPr>
      <w:r w:rsidRPr="001903B5">
        <w:rPr>
          <w:rFonts w:ascii="Verdana" w:hAnsi="Verdana"/>
          <w:sz w:val="20"/>
          <w:szCs w:val="20"/>
          <w:lang w:val="es-CR"/>
        </w:rPr>
        <w:t xml:space="preserve">El Tribunal también puede declarar la violación del derecho a la integridad de familiares de víctimas de ciertas violaciones de derechos humanos aplicando una presunción </w:t>
      </w:r>
      <w:r w:rsidRPr="001903B5">
        <w:rPr>
          <w:rFonts w:ascii="Verdana" w:hAnsi="Verdana"/>
          <w:i/>
          <w:sz w:val="20"/>
          <w:szCs w:val="20"/>
          <w:lang w:val="es-CR"/>
        </w:rPr>
        <w:t>iuris tantum</w:t>
      </w:r>
      <w:r w:rsidRPr="001903B5">
        <w:rPr>
          <w:rFonts w:ascii="Verdana" w:hAnsi="Verdana"/>
          <w:sz w:val="20"/>
          <w:szCs w:val="20"/>
          <w:lang w:val="es-CR"/>
        </w:rPr>
        <w:t xml:space="preserve"> respecto de madres y padres, hijas e hijos, esposos y esposas, y compañeras y compañeros permanentes, hermanas y hermanos</w:t>
      </w:r>
      <w:r w:rsidRPr="00FD4231">
        <w:rPr>
          <w:rStyle w:val="Refdenotaalpie"/>
          <w:rFonts w:ascii="Verdana" w:hAnsi="Verdana"/>
          <w:sz w:val="20"/>
          <w:szCs w:val="20"/>
          <w:lang w:val="es-CR"/>
        </w:rPr>
        <w:footnoteReference w:id="495"/>
      </w:r>
      <w:r w:rsidRPr="001903B5">
        <w:rPr>
          <w:rFonts w:ascii="Verdana" w:hAnsi="Verdana"/>
          <w:sz w:val="20"/>
          <w:szCs w:val="20"/>
          <w:lang w:val="es-CR"/>
        </w:rPr>
        <w:t>, siempre que</w:t>
      </w:r>
      <w:r w:rsidR="00FD6BCA">
        <w:rPr>
          <w:rFonts w:ascii="Verdana" w:hAnsi="Verdana"/>
          <w:sz w:val="20"/>
          <w:szCs w:val="20"/>
          <w:lang w:val="es-CR"/>
        </w:rPr>
        <w:t xml:space="preserve"> </w:t>
      </w:r>
      <w:r w:rsidRPr="001903B5">
        <w:rPr>
          <w:rFonts w:ascii="Verdana" w:hAnsi="Verdana"/>
          <w:sz w:val="20"/>
          <w:szCs w:val="20"/>
          <w:lang w:val="es-CR"/>
        </w:rPr>
        <w:t>ello responda a las circunstancias particulares en el caso (en adelante “familiares directos”). En relación a los familiares directos, corresponde al Estado desvirtuar dicha presunción</w:t>
      </w:r>
      <w:r w:rsidRPr="00FD4231">
        <w:rPr>
          <w:rStyle w:val="Refdenotaalpie"/>
          <w:rFonts w:ascii="Verdana" w:hAnsi="Verdana"/>
          <w:sz w:val="20"/>
          <w:szCs w:val="20"/>
          <w:lang w:val="es-CR"/>
        </w:rPr>
        <w:footnoteReference w:id="496"/>
      </w:r>
      <w:r w:rsidRPr="001903B5">
        <w:rPr>
          <w:rFonts w:ascii="Verdana" w:hAnsi="Verdana"/>
          <w:sz w:val="20"/>
          <w:szCs w:val="20"/>
          <w:lang w:val="es-CR"/>
        </w:rPr>
        <w:t xml:space="preserve">. </w:t>
      </w:r>
    </w:p>
    <w:p w14:paraId="64AA60EE" w14:textId="09371AB8"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MT"/>
          <w:b/>
          <w:sz w:val="20"/>
          <w:szCs w:val="20"/>
          <w:lang w:val="es-CR"/>
        </w:rPr>
      </w:pPr>
      <w:r w:rsidRPr="001903B5">
        <w:rPr>
          <w:rFonts w:ascii="Verdana" w:hAnsi="Verdana" w:cs="ArialMT"/>
          <w:sz w:val="20"/>
          <w:szCs w:val="20"/>
          <w:lang w:val="es-CR"/>
        </w:rPr>
        <w:t xml:space="preserve">En vista de lo anterior, </w:t>
      </w:r>
      <w:r w:rsidRPr="001903B5">
        <w:rPr>
          <w:rFonts w:ascii="Verdana" w:hAnsi="Verdana"/>
          <w:sz w:val="20"/>
          <w:szCs w:val="20"/>
          <w:lang w:val="es-CR"/>
        </w:rPr>
        <w:t>los familiares directos</w:t>
      </w:r>
      <w:r w:rsidRPr="00FD4231">
        <w:rPr>
          <w:rStyle w:val="Refdenotaalpie"/>
          <w:rFonts w:ascii="Verdana" w:hAnsi="Verdana"/>
          <w:sz w:val="20"/>
          <w:szCs w:val="20"/>
          <w:lang w:val="es-CR"/>
        </w:rPr>
        <w:footnoteReference w:id="497"/>
      </w:r>
      <w:r w:rsidRPr="001903B5">
        <w:rPr>
          <w:rFonts w:ascii="Verdana" w:hAnsi="Verdana"/>
          <w:sz w:val="20"/>
          <w:szCs w:val="20"/>
          <w:lang w:val="es-CR"/>
        </w:rPr>
        <w:t xml:space="preserve">, a quien aplica dicha presunción, corresponden a los siguientes grupos familiares: </w:t>
      </w:r>
    </w:p>
    <w:p w14:paraId="64AA60EF" w14:textId="4683821E" w:rsidR="001903B5" w:rsidRPr="00C56E31" w:rsidRDefault="001903B5" w:rsidP="00C90B3F">
      <w:pPr>
        <w:pStyle w:val="Prrafodelista"/>
        <w:numPr>
          <w:ilvl w:val="0"/>
          <w:numId w:val="21"/>
        </w:numPr>
        <w:spacing w:before="120" w:after="120" w:line="240" w:lineRule="auto"/>
        <w:contextualSpacing w:val="0"/>
        <w:jc w:val="both"/>
        <w:rPr>
          <w:rFonts w:ascii="Verdana" w:hAnsi="Verdana"/>
          <w:sz w:val="18"/>
          <w:szCs w:val="20"/>
          <w:lang w:val="es-CR"/>
        </w:rPr>
      </w:pPr>
      <w:r w:rsidRPr="008D0846">
        <w:rPr>
          <w:rFonts w:ascii="Verdana" w:hAnsi="Verdana"/>
          <w:i/>
          <w:sz w:val="18"/>
          <w:szCs w:val="20"/>
          <w:lang w:val="es-CR"/>
        </w:rPr>
        <w:t>Nitza Paola Alvarado Espinoza</w:t>
      </w:r>
      <w:r w:rsidRPr="00C56E31">
        <w:rPr>
          <w:rFonts w:ascii="Verdana" w:hAnsi="Verdana"/>
          <w:i/>
          <w:sz w:val="18"/>
          <w:szCs w:val="20"/>
          <w:lang w:val="es-CR"/>
        </w:rPr>
        <w:t>:</w:t>
      </w:r>
      <w:r w:rsidRPr="00C56E31">
        <w:rPr>
          <w:rFonts w:ascii="Verdana" w:hAnsi="Verdana"/>
          <w:sz w:val="18"/>
          <w:szCs w:val="20"/>
          <w:lang w:val="es-CR"/>
        </w:rPr>
        <w:t xml:space="preserve"> M.P.A.E., N.S.A.E., y D.A.E. (hijas)</w:t>
      </w:r>
      <w:r w:rsidR="00EC5BE9" w:rsidRPr="00C56E31">
        <w:rPr>
          <w:rFonts w:ascii="Verdana" w:hAnsi="Verdana"/>
          <w:sz w:val="18"/>
          <w:szCs w:val="20"/>
          <w:lang w:val="es-CR"/>
        </w:rPr>
        <w:t>;</w:t>
      </w:r>
      <w:r w:rsidRPr="00C56E31">
        <w:rPr>
          <w:rFonts w:ascii="Verdana" w:hAnsi="Verdana"/>
          <w:sz w:val="18"/>
          <w:szCs w:val="20"/>
          <w:lang w:val="es-CR"/>
        </w:rPr>
        <w:t xml:space="preserve"> María Jesús Alvarado Espinoza (hermana)</w:t>
      </w:r>
      <w:r w:rsidR="00EC5BE9" w:rsidRPr="00C56E31">
        <w:rPr>
          <w:rFonts w:ascii="Verdana" w:hAnsi="Verdana"/>
          <w:sz w:val="18"/>
          <w:szCs w:val="20"/>
          <w:lang w:val="es-CR"/>
        </w:rPr>
        <w:t xml:space="preserve">; </w:t>
      </w:r>
      <w:r w:rsidRPr="00C56E31">
        <w:rPr>
          <w:rFonts w:ascii="Verdana" w:hAnsi="Verdana"/>
          <w:sz w:val="18"/>
          <w:szCs w:val="20"/>
          <w:lang w:val="es-CR"/>
        </w:rPr>
        <w:t xml:space="preserve">María de Jesús Espinoza </w:t>
      </w:r>
      <w:r w:rsidR="00EC5BE9" w:rsidRPr="00C56E31">
        <w:rPr>
          <w:rFonts w:ascii="Verdana" w:hAnsi="Verdana"/>
          <w:sz w:val="18"/>
          <w:szCs w:val="20"/>
          <w:lang w:val="es-CR"/>
        </w:rPr>
        <w:t xml:space="preserve">Peinado (madre) </w:t>
      </w:r>
      <w:r w:rsidRPr="00C56E31">
        <w:rPr>
          <w:rFonts w:ascii="Verdana" w:hAnsi="Verdana"/>
          <w:sz w:val="18"/>
          <w:szCs w:val="20"/>
          <w:lang w:val="es-CR"/>
        </w:rPr>
        <w:t>y Ascensión Alvarado Fa</w:t>
      </w:r>
      <w:r w:rsidR="00B82930" w:rsidRPr="00C56E31">
        <w:rPr>
          <w:rFonts w:ascii="Verdana" w:hAnsi="Verdana"/>
          <w:sz w:val="18"/>
          <w:szCs w:val="20"/>
          <w:lang w:val="es-CR"/>
        </w:rPr>
        <w:t>b</w:t>
      </w:r>
      <w:r w:rsidRPr="00C56E31">
        <w:rPr>
          <w:rFonts w:ascii="Verdana" w:hAnsi="Verdana"/>
          <w:sz w:val="18"/>
          <w:szCs w:val="20"/>
          <w:lang w:val="es-CR"/>
        </w:rPr>
        <w:t xml:space="preserve">ela (padre); </w:t>
      </w:r>
    </w:p>
    <w:p w14:paraId="64AA60F0" w14:textId="7248CD14" w:rsidR="001903B5" w:rsidRPr="00C56E31" w:rsidRDefault="001903B5" w:rsidP="00C90B3F">
      <w:pPr>
        <w:pStyle w:val="Prrafodelista"/>
        <w:numPr>
          <w:ilvl w:val="0"/>
          <w:numId w:val="21"/>
        </w:numPr>
        <w:spacing w:before="120" w:after="120" w:line="240" w:lineRule="auto"/>
        <w:contextualSpacing w:val="0"/>
        <w:jc w:val="both"/>
        <w:rPr>
          <w:rFonts w:ascii="Verdana" w:hAnsi="Verdana"/>
          <w:sz w:val="18"/>
          <w:szCs w:val="20"/>
          <w:lang w:val="es-CR"/>
        </w:rPr>
      </w:pPr>
      <w:r w:rsidRPr="008D0846">
        <w:rPr>
          <w:rFonts w:ascii="Verdana" w:hAnsi="Verdana"/>
          <w:i/>
          <w:sz w:val="18"/>
          <w:szCs w:val="20"/>
          <w:lang w:val="es-CR"/>
        </w:rPr>
        <w:t>Rocío Irene Alvarado Reyes</w:t>
      </w:r>
      <w:r w:rsidRPr="00C56E31">
        <w:rPr>
          <w:rFonts w:ascii="Verdana" w:hAnsi="Verdana"/>
          <w:i/>
          <w:sz w:val="18"/>
          <w:szCs w:val="20"/>
          <w:lang w:val="es-CR"/>
        </w:rPr>
        <w:t>:</w:t>
      </w:r>
      <w:r w:rsidRPr="00C56E31">
        <w:rPr>
          <w:rFonts w:ascii="Verdana" w:hAnsi="Verdana"/>
          <w:sz w:val="18"/>
          <w:szCs w:val="20"/>
          <w:lang w:val="es-CR"/>
        </w:rPr>
        <w:t xml:space="preserve"> </w:t>
      </w:r>
      <w:r w:rsidRPr="00C56E31">
        <w:rPr>
          <w:rFonts w:ascii="Verdana" w:eastAsia="Times New Roman" w:hAnsi="Verdana" w:cs="Times New Roman"/>
          <w:sz w:val="18"/>
          <w:szCs w:val="20"/>
          <w:lang w:val="es-ES"/>
        </w:rPr>
        <w:t>A.M.U.A</w:t>
      </w:r>
      <w:r w:rsidRPr="00C56E31">
        <w:rPr>
          <w:rFonts w:ascii="Verdana" w:hAnsi="Verdana"/>
          <w:sz w:val="18"/>
          <w:szCs w:val="20"/>
          <w:lang w:val="es-CR"/>
        </w:rPr>
        <w:t xml:space="preserve"> (hija), </w:t>
      </w:r>
      <w:r w:rsidRPr="00C56E31">
        <w:rPr>
          <w:rFonts w:ascii="Verdana" w:eastAsia="Times New Roman" w:hAnsi="Verdana" w:cs="Times New Roman"/>
          <w:sz w:val="18"/>
          <w:szCs w:val="20"/>
          <w:lang w:val="es-ES"/>
        </w:rPr>
        <w:t xml:space="preserve">A.A.R. y A.R.A.R. </w:t>
      </w:r>
      <w:r w:rsidRPr="00C56E31">
        <w:rPr>
          <w:rFonts w:ascii="Verdana" w:hAnsi="Verdana"/>
          <w:sz w:val="18"/>
          <w:szCs w:val="20"/>
          <w:lang w:val="es-CR"/>
        </w:rPr>
        <w:t>(hermanos), Patricia Reyes Rueda (madre)</w:t>
      </w:r>
      <w:r w:rsidR="00D60ADB" w:rsidRPr="00C56E31">
        <w:rPr>
          <w:rFonts w:ascii="Verdana" w:hAnsi="Verdana"/>
          <w:sz w:val="18"/>
          <w:szCs w:val="20"/>
          <w:lang w:val="es-CR"/>
        </w:rPr>
        <w:t>, y</w:t>
      </w:r>
      <w:r w:rsidRPr="00C56E31">
        <w:rPr>
          <w:rFonts w:ascii="Verdana" w:hAnsi="Verdana"/>
          <w:sz w:val="18"/>
          <w:szCs w:val="20"/>
          <w:lang w:val="es-CR"/>
        </w:rPr>
        <w:t xml:space="preserve"> </w:t>
      </w:r>
    </w:p>
    <w:p w14:paraId="64AA60F2" w14:textId="44352B85" w:rsidR="001903B5" w:rsidRPr="0095417D" w:rsidRDefault="001903B5" w:rsidP="00C90B3F">
      <w:pPr>
        <w:pStyle w:val="Prrafodelista"/>
        <w:numPr>
          <w:ilvl w:val="0"/>
          <w:numId w:val="21"/>
        </w:numPr>
        <w:spacing w:before="120" w:after="120" w:line="240" w:lineRule="auto"/>
        <w:contextualSpacing w:val="0"/>
        <w:jc w:val="both"/>
        <w:rPr>
          <w:rFonts w:ascii="Verdana" w:hAnsi="Verdana" w:cs="ArialMT"/>
          <w:sz w:val="18"/>
          <w:szCs w:val="20"/>
          <w:lang w:val="es-CR"/>
        </w:rPr>
      </w:pPr>
      <w:r w:rsidRPr="008D0846">
        <w:rPr>
          <w:rFonts w:ascii="Verdana" w:hAnsi="Verdana"/>
          <w:i/>
          <w:sz w:val="18"/>
          <w:szCs w:val="20"/>
          <w:lang w:val="es-CR"/>
        </w:rPr>
        <w:t>José Ángel Alvarado Herrera</w:t>
      </w:r>
      <w:r w:rsidRPr="00C56E31">
        <w:rPr>
          <w:rFonts w:ascii="Verdana" w:hAnsi="Verdana"/>
          <w:i/>
          <w:sz w:val="18"/>
          <w:szCs w:val="20"/>
          <w:lang w:val="es-CR"/>
        </w:rPr>
        <w:t>:</w:t>
      </w:r>
      <w:r w:rsidRPr="00C56E31">
        <w:rPr>
          <w:rFonts w:ascii="Verdana" w:hAnsi="Verdana"/>
          <w:sz w:val="18"/>
          <w:szCs w:val="20"/>
          <w:lang w:val="es-CR"/>
        </w:rPr>
        <w:t xml:space="preserve"> </w:t>
      </w:r>
      <w:r w:rsidRPr="00C56E31">
        <w:rPr>
          <w:rFonts w:ascii="Verdana" w:eastAsia="Times New Roman" w:hAnsi="Verdana" w:cs="Times New Roman"/>
          <w:sz w:val="18"/>
          <w:szCs w:val="20"/>
          <w:lang w:val="es-ES"/>
        </w:rPr>
        <w:t>J.A.E., J.A.</w:t>
      </w:r>
      <w:r w:rsidRPr="00736FB7">
        <w:rPr>
          <w:rFonts w:ascii="Verdana" w:eastAsia="Times New Roman" w:hAnsi="Verdana" w:cs="Times New Roman"/>
          <w:sz w:val="18"/>
          <w:szCs w:val="20"/>
          <w:lang w:val="es-ES"/>
        </w:rPr>
        <w:t xml:space="preserve">A.E. y </w:t>
      </w:r>
      <w:r w:rsidRPr="006A385C">
        <w:rPr>
          <w:rFonts w:ascii="Verdana" w:eastAsia="Times New Roman" w:hAnsi="Verdana" w:cs="Times New Roman"/>
          <w:sz w:val="18"/>
          <w:szCs w:val="20"/>
          <w:lang w:val="es-ES"/>
        </w:rPr>
        <w:t>A.E.B</w:t>
      </w:r>
      <w:r w:rsidRPr="00EC5BE9">
        <w:rPr>
          <w:rFonts w:ascii="Verdana" w:eastAsia="Times New Roman" w:hAnsi="Verdana" w:cs="Times New Roman"/>
          <w:sz w:val="18"/>
          <w:szCs w:val="20"/>
          <w:lang w:val="es-ES"/>
        </w:rPr>
        <w:t>.</w:t>
      </w:r>
      <w:r w:rsidRPr="00736FB7">
        <w:rPr>
          <w:rFonts w:ascii="Verdana" w:eastAsia="Times New Roman" w:hAnsi="Verdana" w:cs="Times New Roman"/>
          <w:sz w:val="18"/>
          <w:szCs w:val="20"/>
          <w:lang w:val="es-ES"/>
        </w:rPr>
        <w:t xml:space="preserve"> (hijos)</w:t>
      </w:r>
      <w:r w:rsidR="00EC5BE9">
        <w:rPr>
          <w:rFonts w:ascii="Verdana" w:hAnsi="Verdana"/>
          <w:sz w:val="18"/>
          <w:szCs w:val="20"/>
          <w:lang w:val="es-CR"/>
        </w:rPr>
        <w:t>;</w:t>
      </w:r>
      <w:r w:rsidRPr="00736FB7">
        <w:rPr>
          <w:rFonts w:ascii="Verdana" w:hAnsi="Verdana"/>
          <w:sz w:val="18"/>
          <w:szCs w:val="20"/>
          <w:lang w:val="es-CR"/>
        </w:rPr>
        <w:t xml:space="preserve"> </w:t>
      </w:r>
      <w:r w:rsidRPr="00736FB7">
        <w:rPr>
          <w:rFonts w:ascii="Verdana" w:eastAsia="Times New Roman" w:hAnsi="Verdana" w:cs="Times New Roman"/>
          <w:sz w:val="18"/>
          <w:szCs w:val="20"/>
          <w:lang w:val="es-ES"/>
        </w:rPr>
        <w:t>Obdulia Espinoza Beltrán</w:t>
      </w:r>
      <w:r w:rsidRPr="00736FB7">
        <w:rPr>
          <w:rFonts w:ascii="Verdana" w:hAnsi="Verdana"/>
          <w:sz w:val="18"/>
          <w:szCs w:val="20"/>
          <w:lang w:val="es-CR"/>
        </w:rPr>
        <w:t xml:space="preserve"> (esposa)</w:t>
      </w:r>
      <w:r w:rsidR="00EC5BE9">
        <w:rPr>
          <w:rFonts w:ascii="Verdana" w:hAnsi="Verdana"/>
          <w:sz w:val="18"/>
          <w:szCs w:val="20"/>
          <w:lang w:val="es-CR"/>
        </w:rPr>
        <w:t>;</w:t>
      </w:r>
      <w:r w:rsidRPr="00736FB7">
        <w:rPr>
          <w:rFonts w:ascii="Verdana" w:hAnsi="Verdana"/>
          <w:sz w:val="18"/>
          <w:szCs w:val="20"/>
          <w:lang w:val="es-CR"/>
        </w:rPr>
        <w:t xml:space="preserve"> Jaime Alvarado Herrera, Rosa Olivia Alvarado Herrera</w:t>
      </w:r>
      <w:r w:rsidR="004C76DE">
        <w:rPr>
          <w:rFonts w:ascii="Verdana" w:hAnsi="Verdana"/>
          <w:sz w:val="18"/>
          <w:szCs w:val="20"/>
          <w:lang w:val="es-CR"/>
        </w:rPr>
        <w:t xml:space="preserve"> </w:t>
      </w:r>
      <w:r w:rsidRPr="00736FB7">
        <w:rPr>
          <w:rFonts w:ascii="Verdana" w:hAnsi="Verdana"/>
          <w:sz w:val="18"/>
          <w:szCs w:val="20"/>
          <w:lang w:val="es-CR"/>
        </w:rPr>
        <w:t>(hermanos)</w:t>
      </w:r>
      <w:r w:rsidR="00EC5BE9">
        <w:rPr>
          <w:rFonts w:ascii="Verdana" w:hAnsi="Verdana"/>
          <w:sz w:val="18"/>
          <w:szCs w:val="20"/>
          <w:lang w:val="es-CR"/>
        </w:rPr>
        <w:t>;</w:t>
      </w:r>
      <w:r w:rsidRPr="00736FB7">
        <w:rPr>
          <w:rFonts w:ascii="Verdana" w:hAnsi="Verdana"/>
          <w:sz w:val="18"/>
          <w:szCs w:val="20"/>
          <w:lang w:val="es-CR"/>
        </w:rPr>
        <w:t xml:space="preserve"> José Ángel Alvarado Fa</w:t>
      </w:r>
      <w:r w:rsidR="00B82930">
        <w:rPr>
          <w:rFonts w:ascii="Verdana" w:hAnsi="Verdana"/>
          <w:sz w:val="18"/>
          <w:szCs w:val="20"/>
          <w:lang w:val="es-CR"/>
        </w:rPr>
        <w:t>b</w:t>
      </w:r>
      <w:r w:rsidRPr="00736FB7">
        <w:rPr>
          <w:rFonts w:ascii="Verdana" w:hAnsi="Verdana"/>
          <w:sz w:val="18"/>
          <w:szCs w:val="20"/>
          <w:lang w:val="es-CR"/>
        </w:rPr>
        <w:t xml:space="preserve">ela </w:t>
      </w:r>
      <w:r w:rsidR="00EC5BE9">
        <w:rPr>
          <w:rFonts w:ascii="Verdana" w:hAnsi="Verdana"/>
          <w:sz w:val="18"/>
          <w:szCs w:val="20"/>
          <w:lang w:val="es-CR"/>
        </w:rPr>
        <w:t xml:space="preserve">(padre) </w:t>
      </w:r>
      <w:r w:rsidRPr="00736FB7">
        <w:rPr>
          <w:rFonts w:ascii="Verdana" w:hAnsi="Verdana"/>
          <w:sz w:val="18"/>
          <w:szCs w:val="20"/>
          <w:lang w:val="es-CR"/>
        </w:rPr>
        <w:t>y Concepción Herrera Hernández (</w:t>
      </w:r>
      <w:r w:rsidR="00EC5BE9">
        <w:rPr>
          <w:rFonts w:ascii="Verdana" w:hAnsi="Verdana"/>
          <w:sz w:val="18"/>
          <w:szCs w:val="20"/>
          <w:lang w:val="es-CR"/>
        </w:rPr>
        <w:t>madre</w:t>
      </w:r>
      <w:r w:rsidRPr="00736FB7">
        <w:rPr>
          <w:rFonts w:ascii="Verdana" w:hAnsi="Verdana"/>
          <w:sz w:val="18"/>
          <w:szCs w:val="20"/>
          <w:lang w:val="es-CR"/>
        </w:rPr>
        <w:t>)</w:t>
      </w:r>
      <w:r w:rsidRPr="00736FB7">
        <w:rPr>
          <w:rStyle w:val="Refdenotaalpie"/>
          <w:rFonts w:ascii="Verdana" w:hAnsi="Verdana"/>
          <w:sz w:val="18"/>
          <w:szCs w:val="20"/>
          <w:lang w:val="es-CR"/>
        </w:rPr>
        <w:footnoteReference w:id="498"/>
      </w:r>
      <w:r w:rsidR="00D833DB">
        <w:rPr>
          <w:rFonts w:ascii="Verdana" w:hAnsi="Verdana"/>
          <w:sz w:val="18"/>
          <w:szCs w:val="20"/>
          <w:lang w:val="es-CR"/>
        </w:rPr>
        <w:t>.</w:t>
      </w:r>
    </w:p>
    <w:p w14:paraId="64AA60F4" w14:textId="0D6004A9"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MT"/>
          <w:sz w:val="20"/>
          <w:szCs w:val="20"/>
          <w:lang w:val="es-CR"/>
        </w:rPr>
      </w:pPr>
      <w:r w:rsidRPr="00736FB7">
        <w:rPr>
          <w:rFonts w:ascii="Verdana" w:hAnsi="Verdana" w:cs="ArialMT"/>
          <w:sz w:val="20"/>
          <w:szCs w:val="20"/>
          <w:lang w:val="es-CR"/>
        </w:rPr>
        <w:t xml:space="preserve">Respecto de los demás familiares </w:t>
      </w:r>
      <w:r>
        <w:rPr>
          <w:rFonts w:ascii="Verdana" w:hAnsi="Verdana" w:cs="ArialMT"/>
          <w:sz w:val="20"/>
          <w:szCs w:val="20"/>
          <w:lang w:val="es-CR"/>
        </w:rPr>
        <w:t xml:space="preserve">no </w:t>
      </w:r>
      <w:r w:rsidRPr="00736FB7">
        <w:rPr>
          <w:rFonts w:ascii="Verdana" w:hAnsi="Verdana" w:cs="ArialMT"/>
          <w:sz w:val="20"/>
          <w:szCs w:val="20"/>
          <w:lang w:val="es-CR"/>
        </w:rPr>
        <w:t xml:space="preserve">directos, a quienes no les aplica dicha presunción, la Corte </w:t>
      </w:r>
      <w:r>
        <w:rPr>
          <w:rFonts w:ascii="Verdana" w:hAnsi="Verdana" w:cs="ArialMT"/>
          <w:sz w:val="20"/>
          <w:szCs w:val="20"/>
          <w:lang w:val="es-CR"/>
        </w:rPr>
        <w:t xml:space="preserve">no </w:t>
      </w:r>
      <w:r w:rsidRPr="00736FB7">
        <w:rPr>
          <w:rFonts w:ascii="Verdana" w:hAnsi="Verdana" w:cs="ArialMT"/>
          <w:sz w:val="20"/>
          <w:szCs w:val="20"/>
          <w:lang w:val="es-CR"/>
        </w:rPr>
        <w:t xml:space="preserve">cuenta con suficientes elementos para valorar esta afectación inmediata </w:t>
      </w:r>
      <w:r>
        <w:rPr>
          <w:rFonts w:ascii="Verdana" w:hAnsi="Verdana" w:cs="ArialMT"/>
          <w:sz w:val="20"/>
          <w:szCs w:val="20"/>
          <w:lang w:val="es-CR"/>
        </w:rPr>
        <w:t>con motivo de las</w:t>
      </w:r>
      <w:r w:rsidRPr="00736FB7">
        <w:rPr>
          <w:rFonts w:ascii="Verdana" w:hAnsi="Verdana" w:cs="ArialMT"/>
          <w:sz w:val="20"/>
          <w:szCs w:val="20"/>
          <w:lang w:val="es-CR"/>
        </w:rPr>
        <w:t xml:space="preserve"> desapariciones</w:t>
      </w:r>
      <w:r>
        <w:rPr>
          <w:rStyle w:val="Refdenotaalpie"/>
          <w:rFonts w:ascii="Verdana" w:hAnsi="Verdana" w:cs="ArialMT"/>
          <w:sz w:val="20"/>
          <w:szCs w:val="20"/>
          <w:lang w:val="es-CR"/>
        </w:rPr>
        <w:footnoteReference w:id="499"/>
      </w:r>
      <w:r>
        <w:rPr>
          <w:rFonts w:ascii="Verdana" w:hAnsi="Verdana" w:cs="ArialMT"/>
          <w:sz w:val="20"/>
          <w:szCs w:val="20"/>
          <w:lang w:val="es-CR"/>
        </w:rPr>
        <w:t xml:space="preserve">. </w:t>
      </w:r>
    </w:p>
    <w:p w14:paraId="64AA60F6" w14:textId="2D9BBB05"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MT"/>
          <w:sz w:val="20"/>
          <w:szCs w:val="20"/>
          <w:lang w:val="es-CR"/>
        </w:rPr>
      </w:pPr>
      <w:r w:rsidRPr="001903B5">
        <w:rPr>
          <w:rFonts w:ascii="Verdana" w:hAnsi="Verdana" w:cs="ArialMT"/>
          <w:sz w:val="20"/>
          <w:szCs w:val="20"/>
          <w:lang w:val="es-CR"/>
        </w:rPr>
        <w:t xml:space="preserve">Por lo tanto, el Estado es responsable por la violación al artículo 5.1 de la Convención Americana, en relación con el artículo 1.1 del mismo instrumento, a través de la aplicación de la presunción </w:t>
      </w:r>
      <w:r w:rsidRPr="000C6D8F">
        <w:rPr>
          <w:rFonts w:ascii="Verdana" w:hAnsi="Verdana" w:cs="ArialMT"/>
          <w:i/>
          <w:sz w:val="20"/>
          <w:szCs w:val="20"/>
          <w:lang w:val="es-CR"/>
        </w:rPr>
        <w:t>iuris tantum</w:t>
      </w:r>
      <w:r w:rsidRPr="001903B5">
        <w:rPr>
          <w:rFonts w:ascii="Verdana" w:hAnsi="Verdana" w:cs="ArialMT"/>
          <w:sz w:val="20"/>
          <w:szCs w:val="20"/>
          <w:lang w:val="es-CR"/>
        </w:rPr>
        <w:t xml:space="preserve"> a los familiares directos</w:t>
      </w:r>
      <w:r w:rsidR="009661FA">
        <w:rPr>
          <w:rFonts w:ascii="Verdana" w:hAnsi="Verdana" w:cs="ArialMT"/>
          <w:sz w:val="20"/>
          <w:szCs w:val="20"/>
          <w:lang w:val="es-CR"/>
        </w:rPr>
        <w:t xml:space="preserve"> </w:t>
      </w:r>
      <w:r w:rsidR="006D2E5E">
        <w:rPr>
          <w:rFonts w:ascii="Verdana" w:hAnsi="Verdana" w:cs="ArialMT"/>
          <w:sz w:val="20"/>
          <w:szCs w:val="20"/>
          <w:lang w:val="es-CR"/>
        </w:rPr>
        <w:t xml:space="preserve">mencionados </w:t>
      </w:r>
      <w:r w:rsidR="009661FA">
        <w:rPr>
          <w:rFonts w:ascii="Verdana" w:hAnsi="Verdana" w:cs="ArialMT"/>
          <w:sz w:val="20"/>
          <w:szCs w:val="20"/>
          <w:lang w:val="es-CR"/>
        </w:rPr>
        <w:t>(</w:t>
      </w:r>
      <w:r w:rsidR="009661FA" w:rsidRPr="006A385C">
        <w:rPr>
          <w:rFonts w:ascii="Verdana" w:hAnsi="Verdana" w:cs="ArialMT"/>
          <w:i/>
          <w:sz w:val="20"/>
          <w:szCs w:val="20"/>
          <w:lang w:val="es-CR"/>
        </w:rPr>
        <w:t>supra</w:t>
      </w:r>
      <w:r w:rsidR="009661FA">
        <w:rPr>
          <w:rFonts w:ascii="Verdana" w:hAnsi="Verdana" w:cs="ArialMT"/>
          <w:sz w:val="20"/>
          <w:szCs w:val="20"/>
          <w:lang w:val="es-CR"/>
        </w:rPr>
        <w:t xml:space="preserve"> p</w:t>
      </w:r>
      <w:r w:rsidR="00F16558">
        <w:rPr>
          <w:rFonts w:ascii="Verdana" w:hAnsi="Verdana" w:cs="ArialMT"/>
          <w:sz w:val="20"/>
          <w:szCs w:val="20"/>
          <w:lang w:val="es-CR"/>
        </w:rPr>
        <w:t>árrs. 26</w:t>
      </w:r>
      <w:r w:rsidR="004C338C">
        <w:rPr>
          <w:rFonts w:ascii="Verdana" w:hAnsi="Verdana" w:cs="ArialMT"/>
          <w:sz w:val="20"/>
          <w:szCs w:val="20"/>
          <w:lang w:val="es-CR"/>
        </w:rPr>
        <w:t>5</w:t>
      </w:r>
      <w:r w:rsidR="009661FA">
        <w:rPr>
          <w:rFonts w:ascii="Verdana" w:hAnsi="Verdana" w:cs="ArialMT"/>
          <w:sz w:val="20"/>
          <w:szCs w:val="20"/>
          <w:lang w:val="es-CR"/>
        </w:rPr>
        <w:t>)</w:t>
      </w:r>
      <w:r w:rsidRPr="001903B5">
        <w:rPr>
          <w:rFonts w:ascii="Verdana" w:hAnsi="Verdana" w:cs="ArialMT"/>
          <w:sz w:val="20"/>
          <w:szCs w:val="20"/>
          <w:lang w:val="es-CR"/>
        </w:rPr>
        <w:t>.</w:t>
      </w:r>
    </w:p>
    <w:p w14:paraId="64AA60F8" w14:textId="6BBCC56A" w:rsidR="001903B5" w:rsidRPr="00754453" w:rsidRDefault="00942F34" w:rsidP="00660FDA">
      <w:pPr>
        <w:pStyle w:val="Ttulo3"/>
        <w:numPr>
          <w:ilvl w:val="0"/>
          <w:numId w:val="37"/>
        </w:numPr>
        <w:spacing w:before="120" w:after="120"/>
        <w:ind w:left="1560" w:hanging="426"/>
        <w:contextualSpacing w:val="0"/>
        <w:rPr>
          <w:b w:val="0"/>
        </w:rPr>
      </w:pPr>
      <w:bookmarkStart w:id="315" w:name="_Toc526783809"/>
      <w:r>
        <w:rPr>
          <w:b w:val="0"/>
        </w:rPr>
        <w:t xml:space="preserve"> </w:t>
      </w:r>
      <w:bookmarkStart w:id="316" w:name="_Toc532995393"/>
      <w:r w:rsidR="001903B5" w:rsidRPr="00754453">
        <w:rPr>
          <w:b w:val="0"/>
        </w:rPr>
        <w:t>Respecto a los Artículos 5, 22, 11, 17 y 19 en relación con los hechos de amenazas y hostigamientos.</w:t>
      </w:r>
      <w:bookmarkEnd w:id="315"/>
      <w:bookmarkEnd w:id="316"/>
    </w:p>
    <w:p w14:paraId="64AA60FA" w14:textId="648EF976"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MT"/>
          <w:sz w:val="20"/>
          <w:szCs w:val="20"/>
          <w:lang w:val="es-CR"/>
        </w:rPr>
      </w:pPr>
      <w:r>
        <w:rPr>
          <w:rFonts w:ascii="Verdana" w:hAnsi="Verdana" w:cs="ArialMT"/>
          <w:sz w:val="20"/>
          <w:szCs w:val="20"/>
          <w:lang w:val="es-CR"/>
        </w:rPr>
        <w:t xml:space="preserve">A continuación, la </w:t>
      </w:r>
      <w:r w:rsidRPr="00736FB7">
        <w:rPr>
          <w:rFonts w:ascii="Verdana" w:hAnsi="Verdana" w:cs="ArialMT"/>
          <w:sz w:val="20"/>
          <w:szCs w:val="20"/>
          <w:lang w:val="es-CR"/>
        </w:rPr>
        <w:t xml:space="preserve">Corte analizará </w:t>
      </w:r>
      <w:r>
        <w:rPr>
          <w:rFonts w:ascii="Verdana" w:hAnsi="Verdana" w:cs="ArialMT"/>
          <w:sz w:val="20"/>
          <w:szCs w:val="20"/>
          <w:lang w:val="es-CR"/>
        </w:rPr>
        <w:t xml:space="preserve">las alegadas amenazas </w:t>
      </w:r>
      <w:r w:rsidRPr="00736FB7">
        <w:rPr>
          <w:rFonts w:ascii="Verdana" w:hAnsi="Verdana" w:cs="ArialMT"/>
          <w:sz w:val="20"/>
          <w:szCs w:val="20"/>
          <w:lang w:val="es-CR"/>
        </w:rPr>
        <w:t xml:space="preserve">en </w:t>
      </w:r>
      <w:r>
        <w:rPr>
          <w:rFonts w:ascii="Verdana" w:hAnsi="Verdana" w:cs="ArialMT"/>
          <w:sz w:val="20"/>
          <w:szCs w:val="20"/>
          <w:lang w:val="es-CR"/>
        </w:rPr>
        <w:t xml:space="preserve">relación con el contexto de las desapariciones y, en su caso, los motivos que derivaron en </w:t>
      </w:r>
      <w:r w:rsidRPr="00736FB7">
        <w:rPr>
          <w:rFonts w:ascii="Verdana" w:hAnsi="Verdana" w:cs="ArialMT"/>
          <w:sz w:val="20"/>
          <w:szCs w:val="20"/>
          <w:lang w:val="es-CR"/>
        </w:rPr>
        <w:t xml:space="preserve">el traslado del lugar </w:t>
      </w:r>
      <w:r>
        <w:rPr>
          <w:rFonts w:ascii="Verdana" w:hAnsi="Verdana" w:cs="ArialMT"/>
          <w:sz w:val="20"/>
          <w:szCs w:val="20"/>
          <w:lang w:val="es-CR"/>
        </w:rPr>
        <w:t>de los familiares, así como las alegadas afectaciones conexas</w:t>
      </w:r>
      <w:r w:rsidRPr="00736FB7">
        <w:rPr>
          <w:rFonts w:ascii="Verdana" w:hAnsi="Verdana" w:cs="ArialMT"/>
          <w:sz w:val="20"/>
          <w:szCs w:val="20"/>
          <w:lang w:val="es-CR"/>
        </w:rPr>
        <w:t xml:space="preserve">. </w:t>
      </w:r>
    </w:p>
    <w:p w14:paraId="64AA60FC" w14:textId="0844F32A" w:rsidR="001903B5" w:rsidRPr="0057411A" w:rsidRDefault="00556FDB" w:rsidP="00C90B3F">
      <w:pPr>
        <w:pStyle w:val="Ttulo4"/>
        <w:numPr>
          <w:ilvl w:val="0"/>
          <w:numId w:val="66"/>
        </w:numPr>
        <w:spacing w:before="120" w:after="120"/>
        <w:contextualSpacing w:val="0"/>
        <w:rPr>
          <w:u w:val="none"/>
        </w:rPr>
      </w:pPr>
      <w:bookmarkStart w:id="317" w:name="_Toc526783810"/>
      <w:r>
        <w:rPr>
          <w:u w:val="none"/>
        </w:rPr>
        <w:t xml:space="preserve"> </w:t>
      </w:r>
      <w:bookmarkStart w:id="318" w:name="_Toc532995394"/>
      <w:r w:rsidR="001903B5" w:rsidRPr="0057411A">
        <w:rPr>
          <w:u w:val="none"/>
        </w:rPr>
        <w:t>Respecto de las alegadas amenazas</w:t>
      </w:r>
      <w:bookmarkEnd w:id="317"/>
      <w:bookmarkEnd w:id="318"/>
    </w:p>
    <w:p w14:paraId="64AA60FE" w14:textId="6E079C17"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rPr>
        <w:t>E</w:t>
      </w:r>
      <w:r w:rsidRPr="00375343">
        <w:rPr>
          <w:rFonts w:ascii="Verdana" w:hAnsi="Verdana"/>
          <w:sz w:val="20"/>
          <w:szCs w:val="20"/>
        </w:rPr>
        <w:t>l Tribunal ha sostenido que la mera amenaza de que ocurra una conducta prohibida por el artículo 5 de la Convención, cuando sea suficientemente real e inminente, puede en sí misma estar en conflicto con el derecho a la integridad personal</w:t>
      </w:r>
      <w:r w:rsidRPr="00FD4231">
        <w:rPr>
          <w:rStyle w:val="Refdenotaalpie"/>
          <w:rFonts w:ascii="Verdana" w:hAnsi="Verdana"/>
          <w:sz w:val="20"/>
          <w:szCs w:val="20"/>
        </w:rPr>
        <w:footnoteReference w:id="500"/>
      </w:r>
      <w:r w:rsidRPr="00FD4231">
        <w:rPr>
          <w:rFonts w:ascii="Verdana" w:hAnsi="Verdana"/>
          <w:sz w:val="20"/>
          <w:szCs w:val="20"/>
        </w:rPr>
        <w:t xml:space="preserve">. </w:t>
      </w:r>
    </w:p>
    <w:p w14:paraId="64AA6100" w14:textId="2E08EDB1"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1903B5">
        <w:rPr>
          <w:rFonts w:ascii="Verdana" w:hAnsi="Verdana"/>
          <w:sz w:val="20"/>
          <w:szCs w:val="20"/>
        </w:rPr>
        <w:lastRenderedPageBreak/>
        <w:t>Al respecto, la Corte constató, que al menos tres incidentes de actos intimidatorios y amenazas resultan relevantes en el contexto de los hechos del caso: i) el 29 de enero de 2011 el señor José Ángel Alvarado Fa</w:t>
      </w:r>
      <w:r w:rsidR="00B82930" w:rsidRPr="003564A3">
        <w:rPr>
          <w:rFonts w:ascii="Verdana" w:hAnsi="Verdana"/>
          <w:sz w:val="20"/>
          <w:szCs w:val="20"/>
        </w:rPr>
        <w:t>b</w:t>
      </w:r>
      <w:r w:rsidRPr="001903B5">
        <w:rPr>
          <w:rFonts w:ascii="Verdana" w:hAnsi="Verdana"/>
          <w:sz w:val="20"/>
          <w:szCs w:val="20"/>
        </w:rPr>
        <w:t>ela recibió una llamada telefónica intimidatoria para él y su familia</w:t>
      </w:r>
      <w:r w:rsidR="000432E3">
        <w:rPr>
          <w:rFonts w:ascii="Verdana" w:hAnsi="Verdana"/>
          <w:sz w:val="20"/>
          <w:szCs w:val="20"/>
        </w:rPr>
        <w:t>,</w:t>
      </w:r>
      <w:r w:rsidRPr="001903B5">
        <w:rPr>
          <w:rFonts w:ascii="Verdana" w:hAnsi="Verdana"/>
          <w:sz w:val="20"/>
          <w:szCs w:val="20"/>
        </w:rPr>
        <w:t xml:space="preserve"> lo que generó el desplazamiento de su grupo familiar </w:t>
      </w:r>
      <w:r w:rsidRPr="006A385C">
        <w:rPr>
          <w:rFonts w:ascii="Verdana" w:hAnsi="Verdana"/>
          <w:sz w:val="20"/>
          <w:szCs w:val="20"/>
        </w:rPr>
        <w:t>(</w:t>
      </w:r>
      <w:r w:rsidRPr="006A385C">
        <w:rPr>
          <w:rFonts w:ascii="Verdana" w:hAnsi="Verdana"/>
          <w:i/>
          <w:sz w:val="20"/>
          <w:szCs w:val="20"/>
        </w:rPr>
        <w:t>supra</w:t>
      </w:r>
      <w:r w:rsidRPr="006A385C">
        <w:rPr>
          <w:rFonts w:ascii="Verdana" w:hAnsi="Verdana"/>
          <w:sz w:val="20"/>
          <w:szCs w:val="20"/>
        </w:rPr>
        <w:t xml:space="preserve"> </w:t>
      </w:r>
      <w:r w:rsidR="000432E3">
        <w:rPr>
          <w:rFonts w:ascii="Verdana" w:hAnsi="Verdana"/>
          <w:sz w:val="20"/>
          <w:szCs w:val="20"/>
        </w:rPr>
        <w:t xml:space="preserve">párr. </w:t>
      </w:r>
      <w:r w:rsidR="004C338C">
        <w:rPr>
          <w:rFonts w:ascii="Verdana" w:hAnsi="Verdana"/>
          <w:sz w:val="20"/>
          <w:szCs w:val="20"/>
        </w:rPr>
        <w:t>144</w:t>
      </w:r>
      <w:r w:rsidRPr="006A385C">
        <w:rPr>
          <w:rFonts w:ascii="Verdana" w:hAnsi="Verdana"/>
          <w:sz w:val="20"/>
          <w:szCs w:val="20"/>
        </w:rPr>
        <w:t>)</w:t>
      </w:r>
      <w:r w:rsidRPr="000432E3">
        <w:rPr>
          <w:rFonts w:ascii="Verdana" w:hAnsi="Verdana"/>
          <w:sz w:val="20"/>
          <w:szCs w:val="20"/>
        </w:rPr>
        <w:t xml:space="preserve">; </w:t>
      </w:r>
      <w:r w:rsidRPr="001903B5">
        <w:rPr>
          <w:rFonts w:ascii="Verdana" w:hAnsi="Verdana"/>
          <w:sz w:val="20"/>
          <w:szCs w:val="20"/>
        </w:rPr>
        <w:t xml:space="preserve">ii) el 14 de julio de 2011 </w:t>
      </w:r>
      <w:r w:rsidRPr="001903B5">
        <w:rPr>
          <w:rFonts w:ascii="Verdana" w:hAnsi="Verdana"/>
          <w:sz w:val="20"/>
          <w:szCs w:val="20"/>
          <w:shd w:val="clear" w:color="auto" w:fill="FFFFFF" w:themeFill="background1"/>
        </w:rPr>
        <w:t xml:space="preserve">Jaime Alvarado fue atropellado por un vehículo gris, mientras se desplazaba hacia el domicilio de su </w:t>
      </w:r>
      <w:r w:rsidRPr="00B85CF1">
        <w:rPr>
          <w:rFonts w:ascii="Verdana" w:hAnsi="Verdana"/>
          <w:sz w:val="20"/>
          <w:szCs w:val="20"/>
          <w:shd w:val="clear" w:color="auto" w:fill="FFFFFF" w:themeFill="background1"/>
        </w:rPr>
        <w:t>hermano</w:t>
      </w:r>
      <w:r w:rsidRPr="006F07E5">
        <w:rPr>
          <w:rFonts w:ascii="Verdana" w:hAnsi="Verdana"/>
          <w:sz w:val="20"/>
          <w:szCs w:val="20"/>
          <w:shd w:val="clear" w:color="auto" w:fill="FFFFFF" w:themeFill="background1"/>
        </w:rPr>
        <w:t xml:space="preserve"> J</w:t>
      </w:r>
      <w:r w:rsidRPr="001903B5">
        <w:rPr>
          <w:rFonts w:ascii="Verdana" w:hAnsi="Verdana"/>
          <w:sz w:val="20"/>
          <w:szCs w:val="20"/>
          <w:shd w:val="clear" w:color="auto" w:fill="FFFFFF" w:themeFill="background1"/>
        </w:rPr>
        <w:t xml:space="preserve">osé Ángel Alvarado, tras recibir una llamada en </w:t>
      </w:r>
      <w:r w:rsidR="006C5847">
        <w:rPr>
          <w:rFonts w:ascii="Verdana" w:hAnsi="Verdana"/>
          <w:sz w:val="20"/>
          <w:szCs w:val="20"/>
          <w:shd w:val="clear" w:color="auto" w:fill="FFFFFF" w:themeFill="background1"/>
        </w:rPr>
        <w:t>la</w:t>
      </w:r>
      <w:r w:rsidRPr="001903B5">
        <w:rPr>
          <w:rFonts w:ascii="Verdana" w:hAnsi="Verdana"/>
          <w:sz w:val="20"/>
          <w:szCs w:val="20"/>
          <w:shd w:val="clear" w:color="auto" w:fill="FFFFFF" w:themeFill="background1"/>
        </w:rPr>
        <w:t xml:space="preserve"> cual se le informaba que desconocidos estarían robando al interior de dicha vivienda</w:t>
      </w:r>
      <w:r w:rsidRPr="001903B5">
        <w:rPr>
          <w:rFonts w:ascii="Verdana" w:hAnsi="Verdana"/>
          <w:b/>
          <w:sz w:val="20"/>
          <w:szCs w:val="20"/>
          <w:shd w:val="clear" w:color="auto" w:fill="FFFFFF" w:themeFill="background1"/>
        </w:rPr>
        <w:t xml:space="preserve"> </w:t>
      </w:r>
      <w:r w:rsidRPr="006A385C">
        <w:rPr>
          <w:rFonts w:ascii="Verdana" w:hAnsi="Verdana"/>
          <w:sz w:val="20"/>
          <w:szCs w:val="20"/>
          <w:shd w:val="clear" w:color="auto" w:fill="FFFFFF" w:themeFill="background1"/>
        </w:rPr>
        <w:t>(</w:t>
      </w:r>
      <w:r w:rsidRPr="006A385C">
        <w:rPr>
          <w:rFonts w:ascii="Verdana" w:hAnsi="Verdana"/>
          <w:i/>
          <w:sz w:val="20"/>
          <w:szCs w:val="20"/>
          <w:shd w:val="clear" w:color="auto" w:fill="FFFFFF" w:themeFill="background1"/>
        </w:rPr>
        <w:t>supra</w:t>
      </w:r>
      <w:r w:rsidR="00AB434A">
        <w:rPr>
          <w:rFonts w:ascii="Verdana" w:hAnsi="Verdana"/>
          <w:sz w:val="20"/>
          <w:szCs w:val="20"/>
          <w:shd w:val="clear" w:color="auto" w:fill="FFFFFF" w:themeFill="background1"/>
        </w:rPr>
        <w:t xml:space="preserve"> párr. </w:t>
      </w:r>
      <w:r w:rsidR="004C338C">
        <w:rPr>
          <w:rFonts w:ascii="Verdana" w:hAnsi="Verdana"/>
          <w:sz w:val="20"/>
          <w:szCs w:val="20"/>
          <w:shd w:val="clear" w:color="auto" w:fill="FFFFFF" w:themeFill="background1"/>
        </w:rPr>
        <w:t>147</w:t>
      </w:r>
      <w:r w:rsidRPr="006A385C">
        <w:rPr>
          <w:rFonts w:ascii="Verdana" w:hAnsi="Verdana"/>
          <w:sz w:val="20"/>
          <w:szCs w:val="20"/>
          <w:shd w:val="clear" w:color="auto" w:fill="FFFFFF" w:themeFill="background1"/>
        </w:rPr>
        <w:t>)</w:t>
      </w:r>
      <w:r w:rsidR="00AB434A">
        <w:rPr>
          <w:rFonts w:ascii="Verdana" w:hAnsi="Verdana"/>
          <w:sz w:val="20"/>
          <w:szCs w:val="20"/>
          <w:shd w:val="clear" w:color="auto" w:fill="FFFFFF" w:themeFill="background1"/>
        </w:rPr>
        <w:t>,</w:t>
      </w:r>
      <w:r w:rsidRPr="006A385C">
        <w:rPr>
          <w:rFonts w:ascii="Verdana" w:hAnsi="Verdana"/>
          <w:sz w:val="20"/>
          <w:szCs w:val="20"/>
          <w:shd w:val="clear" w:color="auto" w:fill="FFFFFF" w:themeFill="background1"/>
        </w:rPr>
        <w:t xml:space="preserve"> </w:t>
      </w:r>
      <w:r w:rsidRPr="001903B5">
        <w:rPr>
          <w:rFonts w:ascii="Verdana" w:hAnsi="Verdana"/>
          <w:sz w:val="20"/>
          <w:szCs w:val="20"/>
        </w:rPr>
        <w:t xml:space="preserve">y iii) el 28 de agosto de 2011 el domicilio de Jaime Alvarado fue allanado, encontrándose en su interior una nota con amenazas directas </w:t>
      </w:r>
      <w:r w:rsidR="00305DA9" w:rsidRPr="006A385C">
        <w:rPr>
          <w:rFonts w:ascii="Verdana" w:hAnsi="Verdana"/>
          <w:sz w:val="20"/>
          <w:szCs w:val="20"/>
        </w:rPr>
        <w:t>(</w:t>
      </w:r>
      <w:r w:rsidR="00205AF7" w:rsidRPr="006A385C">
        <w:rPr>
          <w:rFonts w:ascii="Verdana" w:hAnsi="Verdana"/>
          <w:i/>
          <w:sz w:val="20"/>
          <w:szCs w:val="20"/>
        </w:rPr>
        <w:t>supra</w:t>
      </w:r>
      <w:r w:rsidR="00AB434A">
        <w:rPr>
          <w:rFonts w:ascii="Verdana" w:hAnsi="Verdana"/>
          <w:sz w:val="20"/>
          <w:szCs w:val="20"/>
        </w:rPr>
        <w:t xml:space="preserve"> párr.</w:t>
      </w:r>
      <w:r w:rsidR="00205AF7" w:rsidRPr="006A385C">
        <w:rPr>
          <w:rFonts w:ascii="Verdana" w:hAnsi="Verdana"/>
          <w:i/>
          <w:sz w:val="20"/>
          <w:szCs w:val="20"/>
        </w:rPr>
        <w:t xml:space="preserve"> </w:t>
      </w:r>
      <w:r w:rsidR="004C338C">
        <w:rPr>
          <w:rFonts w:ascii="Verdana" w:hAnsi="Verdana"/>
          <w:sz w:val="20"/>
          <w:szCs w:val="20"/>
        </w:rPr>
        <w:t>149</w:t>
      </w:r>
      <w:r w:rsidRPr="006A385C">
        <w:rPr>
          <w:rFonts w:ascii="Verdana" w:hAnsi="Verdana"/>
          <w:sz w:val="20"/>
          <w:szCs w:val="20"/>
        </w:rPr>
        <w:t>)</w:t>
      </w:r>
      <w:r w:rsidRPr="00AB434A">
        <w:rPr>
          <w:rFonts w:ascii="Verdana" w:hAnsi="Verdana"/>
          <w:sz w:val="20"/>
          <w:szCs w:val="20"/>
        </w:rPr>
        <w:t>.</w:t>
      </w:r>
      <w:r w:rsidRPr="001903B5">
        <w:rPr>
          <w:rFonts w:ascii="Verdana" w:hAnsi="Verdana"/>
          <w:sz w:val="20"/>
          <w:szCs w:val="20"/>
        </w:rPr>
        <w:t xml:space="preserve"> </w:t>
      </w:r>
      <w:r w:rsidRPr="001903B5">
        <w:rPr>
          <w:rFonts w:ascii="Verdana" w:hAnsi="Verdana"/>
          <w:sz w:val="20"/>
          <w:szCs w:val="20"/>
          <w:shd w:val="clear" w:color="auto" w:fill="FFFFFF" w:themeFill="background1"/>
        </w:rPr>
        <w:t>Tales hechos tuvieron lugar luego de que este familiar asumiera un rol protagónico en la búsqueda de justicia por la desaparición de sus familiares</w:t>
      </w:r>
      <w:r w:rsidRPr="006A385C">
        <w:rPr>
          <w:rFonts w:ascii="Verdana" w:hAnsi="Verdana"/>
          <w:sz w:val="20"/>
          <w:szCs w:val="20"/>
          <w:shd w:val="clear" w:color="auto" w:fill="FFFFFF" w:themeFill="background1"/>
        </w:rPr>
        <w:t>.</w:t>
      </w:r>
      <w:r w:rsidRPr="001903B5">
        <w:rPr>
          <w:rFonts w:ascii="Verdana" w:hAnsi="Verdana"/>
          <w:b/>
          <w:sz w:val="20"/>
          <w:szCs w:val="20"/>
        </w:rPr>
        <w:t xml:space="preserve"> </w:t>
      </w:r>
    </w:p>
    <w:p w14:paraId="64AA6102" w14:textId="752C4B04"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1903B5">
        <w:rPr>
          <w:rFonts w:ascii="Verdana" w:hAnsi="Verdana"/>
          <w:sz w:val="20"/>
          <w:szCs w:val="20"/>
          <w:shd w:val="clear" w:color="auto" w:fill="FFFFFF" w:themeFill="background1"/>
        </w:rPr>
        <w:t xml:space="preserve">En este sentido, </w:t>
      </w:r>
      <w:r w:rsidRPr="001903B5">
        <w:rPr>
          <w:rFonts w:ascii="Verdana" w:hAnsi="Verdana"/>
          <w:sz w:val="20"/>
          <w:szCs w:val="20"/>
        </w:rPr>
        <w:t xml:space="preserve">el Tribunal </w:t>
      </w:r>
      <w:r w:rsidR="00A22B34">
        <w:rPr>
          <w:rFonts w:ascii="Verdana" w:hAnsi="Verdana"/>
          <w:sz w:val="20"/>
          <w:szCs w:val="20"/>
        </w:rPr>
        <w:t>concluye</w:t>
      </w:r>
      <w:r w:rsidR="00A22B34" w:rsidRPr="001903B5">
        <w:rPr>
          <w:rFonts w:ascii="Verdana" w:hAnsi="Verdana"/>
          <w:sz w:val="20"/>
          <w:szCs w:val="20"/>
        </w:rPr>
        <w:t xml:space="preserve"> </w:t>
      </w:r>
      <w:r w:rsidRPr="001903B5">
        <w:rPr>
          <w:rFonts w:ascii="Verdana" w:hAnsi="Verdana"/>
          <w:sz w:val="20"/>
          <w:szCs w:val="20"/>
        </w:rPr>
        <w:t xml:space="preserve">que dichos hechos vulneraron el derecho a la integridad personal </w:t>
      </w:r>
      <w:r w:rsidR="007B0787">
        <w:rPr>
          <w:rFonts w:ascii="Verdana" w:hAnsi="Verdana"/>
          <w:sz w:val="20"/>
          <w:szCs w:val="20"/>
        </w:rPr>
        <w:t xml:space="preserve">en perjuicio </w:t>
      </w:r>
      <w:r w:rsidRPr="001903B5">
        <w:rPr>
          <w:rFonts w:ascii="Verdana" w:hAnsi="Verdana"/>
          <w:sz w:val="20"/>
          <w:szCs w:val="20"/>
        </w:rPr>
        <w:t>de José Ángel Alvarado Fa</w:t>
      </w:r>
      <w:r w:rsidR="00B82930">
        <w:rPr>
          <w:rFonts w:ascii="Verdana" w:hAnsi="Verdana"/>
          <w:sz w:val="20"/>
          <w:szCs w:val="20"/>
        </w:rPr>
        <w:t>b</w:t>
      </w:r>
      <w:r w:rsidRPr="001903B5">
        <w:rPr>
          <w:rFonts w:ascii="Verdana" w:hAnsi="Verdana"/>
          <w:sz w:val="20"/>
          <w:szCs w:val="20"/>
        </w:rPr>
        <w:t>ela y Jaime Alvarado</w:t>
      </w:r>
      <w:r w:rsidR="00A22B34">
        <w:rPr>
          <w:rFonts w:ascii="Verdana" w:hAnsi="Verdana"/>
          <w:sz w:val="20"/>
          <w:szCs w:val="20"/>
        </w:rPr>
        <w:t xml:space="preserve"> Herrera</w:t>
      </w:r>
      <w:r w:rsidRPr="001903B5">
        <w:rPr>
          <w:rFonts w:ascii="Verdana" w:hAnsi="Verdana"/>
          <w:sz w:val="20"/>
          <w:szCs w:val="20"/>
        </w:rPr>
        <w:t>, así como de sus familiares, respectivamente</w:t>
      </w:r>
      <w:r w:rsidR="004D0A66">
        <w:rPr>
          <w:rFonts w:ascii="Verdana" w:hAnsi="Verdana"/>
          <w:sz w:val="20"/>
          <w:szCs w:val="20"/>
        </w:rPr>
        <w:t xml:space="preserve"> (</w:t>
      </w:r>
      <w:r w:rsidR="004D0A66">
        <w:rPr>
          <w:rFonts w:ascii="Verdana" w:hAnsi="Verdana"/>
          <w:i/>
          <w:sz w:val="20"/>
          <w:szCs w:val="20"/>
        </w:rPr>
        <w:t xml:space="preserve">supra, </w:t>
      </w:r>
      <w:r w:rsidR="004D0A66">
        <w:rPr>
          <w:rFonts w:ascii="Verdana" w:hAnsi="Verdana"/>
          <w:sz w:val="20"/>
          <w:szCs w:val="20"/>
        </w:rPr>
        <w:t xml:space="preserve">párr. </w:t>
      </w:r>
      <w:r w:rsidR="00AE384C">
        <w:rPr>
          <w:rFonts w:ascii="Verdana" w:hAnsi="Verdana"/>
          <w:sz w:val="20"/>
          <w:szCs w:val="20"/>
        </w:rPr>
        <w:t>78</w:t>
      </w:r>
      <w:r w:rsidR="004D0A66">
        <w:rPr>
          <w:rFonts w:ascii="Verdana" w:hAnsi="Verdana"/>
          <w:sz w:val="20"/>
          <w:szCs w:val="20"/>
        </w:rPr>
        <w:t>)</w:t>
      </w:r>
      <w:r w:rsidRPr="001903B5">
        <w:rPr>
          <w:rFonts w:ascii="Verdana" w:hAnsi="Verdana"/>
          <w:sz w:val="20"/>
          <w:szCs w:val="20"/>
        </w:rPr>
        <w:t xml:space="preserve">, máxime que esta Corte había ya ordenado medidas provisionales en su favor, </w:t>
      </w:r>
      <w:r w:rsidR="00A22B34">
        <w:rPr>
          <w:rFonts w:ascii="Verdana" w:hAnsi="Verdana"/>
          <w:sz w:val="20"/>
          <w:szCs w:val="20"/>
        </w:rPr>
        <w:t xml:space="preserve">las cuales fueron </w:t>
      </w:r>
      <w:r w:rsidRPr="001903B5">
        <w:rPr>
          <w:rFonts w:ascii="Verdana" w:hAnsi="Verdana"/>
          <w:sz w:val="20"/>
          <w:szCs w:val="20"/>
        </w:rPr>
        <w:t>dictadas desde el 26 de noviembre de 2010</w:t>
      </w:r>
      <w:r w:rsidRPr="00FD4231">
        <w:rPr>
          <w:rStyle w:val="Refdenotaalpie"/>
          <w:rFonts w:ascii="Verdana" w:hAnsi="Verdana"/>
          <w:sz w:val="20"/>
          <w:szCs w:val="20"/>
        </w:rPr>
        <w:footnoteReference w:id="501"/>
      </w:r>
      <w:r w:rsidRPr="001903B5">
        <w:rPr>
          <w:rFonts w:ascii="Verdana" w:hAnsi="Verdana"/>
          <w:sz w:val="20"/>
          <w:szCs w:val="20"/>
        </w:rPr>
        <w:t xml:space="preserve"> (</w:t>
      </w:r>
      <w:r w:rsidR="00205AF7" w:rsidRPr="00205AF7">
        <w:rPr>
          <w:rFonts w:ascii="Verdana" w:hAnsi="Verdana"/>
          <w:i/>
          <w:sz w:val="20"/>
          <w:szCs w:val="20"/>
        </w:rPr>
        <w:t xml:space="preserve">supra </w:t>
      </w:r>
      <w:r w:rsidR="00EB28D3">
        <w:rPr>
          <w:rFonts w:ascii="Verdana" w:hAnsi="Verdana"/>
          <w:sz w:val="20"/>
          <w:szCs w:val="20"/>
        </w:rPr>
        <w:t>párr.</w:t>
      </w:r>
      <w:r w:rsidR="000335C9">
        <w:rPr>
          <w:rFonts w:ascii="Verdana" w:hAnsi="Verdana"/>
          <w:sz w:val="20"/>
          <w:szCs w:val="20"/>
        </w:rPr>
        <w:t xml:space="preserve"> </w:t>
      </w:r>
      <w:r w:rsidR="004C338C">
        <w:rPr>
          <w:rFonts w:ascii="Verdana" w:hAnsi="Verdana"/>
          <w:sz w:val="20"/>
          <w:szCs w:val="20"/>
        </w:rPr>
        <w:t>143</w:t>
      </w:r>
      <w:r w:rsidRPr="001903B5">
        <w:rPr>
          <w:rFonts w:ascii="Verdana" w:hAnsi="Verdana"/>
          <w:sz w:val="20"/>
          <w:szCs w:val="20"/>
        </w:rPr>
        <w:t xml:space="preserve">). Asimismo, pese a haber </w:t>
      </w:r>
      <w:r w:rsidR="005A24AE">
        <w:rPr>
          <w:rFonts w:ascii="Verdana" w:hAnsi="Verdana"/>
          <w:sz w:val="20"/>
          <w:szCs w:val="20"/>
        </w:rPr>
        <w:t xml:space="preserve">sido </w:t>
      </w:r>
      <w:r w:rsidRPr="001903B5">
        <w:rPr>
          <w:rFonts w:ascii="Verdana" w:hAnsi="Verdana"/>
          <w:sz w:val="20"/>
          <w:szCs w:val="20"/>
        </w:rPr>
        <w:t>denunciado</w:t>
      </w:r>
      <w:r w:rsidR="005A24AE">
        <w:rPr>
          <w:rFonts w:ascii="Verdana" w:hAnsi="Verdana"/>
          <w:sz w:val="20"/>
          <w:szCs w:val="20"/>
        </w:rPr>
        <w:t>s</w:t>
      </w:r>
      <w:r w:rsidRPr="001903B5">
        <w:rPr>
          <w:rFonts w:ascii="Verdana" w:hAnsi="Verdana"/>
          <w:sz w:val="20"/>
          <w:szCs w:val="20"/>
        </w:rPr>
        <w:t xml:space="preserve"> los hechos ocurridos, </w:t>
      </w:r>
      <w:r w:rsidR="005A24AE">
        <w:rPr>
          <w:rFonts w:ascii="Verdana" w:hAnsi="Verdana"/>
          <w:sz w:val="20"/>
          <w:szCs w:val="20"/>
        </w:rPr>
        <w:t xml:space="preserve">hasta la actualidad </w:t>
      </w:r>
      <w:r w:rsidRPr="001903B5">
        <w:rPr>
          <w:rFonts w:ascii="Verdana" w:hAnsi="Verdana"/>
          <w:sz w:val="20"/>
          <w:szCs w:val="20"/>
        </w:rPr>
        <w:t xml:space="preserve">el Estado no ha </w:t>
      </w:r>
      <w:r w:rsidR="002B4A82">
        <w:rPr>
          <w:rFonts w:ascii="Verdana" w:hAnsi="Verdana"/>
          <w:sz w:val="20"/>
          <w:szCs w:val="20"/>
        </w:rPr>
        <w:t>esclarecido los mismos</w:t>
      </w:r>
      <w:r w:rsidRPr="001903B5">
        <w:rPr>
          <w:rFonts w:ascii="Verdana" w:hAnsi="Verdana"/>
          <w:sz w:val="20"/>
          <w:szCs w:val="20"/>
        </w:rPr>
        <w:t>.</w:t>
      </w:r>
    </w:p>
    <w:p w14:paraId="64AA6104" w14:textId="1CADD151"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1903B5">
        <w:rPr>
          <w:rFonts w:ascii="Verdana" w:hAnsi="Verdana" w:cs="ArialMT"/>
          <w:sz w:val="20"/>
          <w:szCs w:val="20"/>
          <w:lang w:val="es-CR"/>
        </w:rPr>
        <w:t>Respecto de los demás alegatos de supuestas amenazas realizados por l</w:t>
      </w:r>
      <w:r w:rsidR="007B0787">
        <w:rPr>
          <w:rFonts w:ascii="Verdana" w:hAnsi="Verdana" w:cs="ArialMT"/>
          <w:sz w:val="20"/>
          <w:szCs w:val="20"/>
          <w:lang w:val="es-CR"/>
        </w:rPr>
        <w:t>a</w:t>
      </w:r>
      <w:r w:rsidRPr="001903B5">
        <w:rPr>
          <w:rFonts w:ascii="Verdana" w:hAnsi="Verdana" w:cs="ArialMT"/>
          <w:sz w:val="20"/>
          <w:szCs w:val="20"/>
          <w:lang w:val="es-CR"/>
        </w:rPr>
        <w:t>s representantes, la Corte no cuenta con elementos suficientes y de causalidad para concluir que hayan constituido una violación autónoma al derecho a la integridad personal</w:t>
      </w:r>
      <w:r>
        <w:rPr>
          <w:rStyle w:val="Refdenotaalpie"/>
          <w:rFonts w:ascii="Verdana" w:hAnsi="Verdana" w:cs="ArialMT"/>
          <w:sz w:val="20"/>
          <w:szCs w:val="20"/>
          <w:lang w:val="es-CR"/>
        </w:rPr>
        <w:footnoteReference w:id="502"/>
      </w:r>
      <w:r w:rsidRPr="001903B5">
        <w:rPr>
          <w:rFonts w:ascii="Verdana" w:hAnsi="Verdana" w:cs="ArialMT"/>
          <w:sz w:val="20"/>
          <w:szCs w:val="20"/>
          <w:lang w:val="es-CR"/>
        </w:rPr>
        <w:t xml:space="preserve">.  </w:t>
      </w:r>
    </w:p>
    <w:p w14:paraId="64AA6106" w14:textId="730C82E4" w:rsidR="001903B5" w:rsidRPr="00660FDA" w:rsidRDefault="00556FDB" w:rsidP="00660FDA">
      <w:pPr>
        <w:pStyle w:val="Ttulo4"/>
        <w:numPr>
          <w:ilvl w:val="0"/>
          <w:numId w:val="66"/>
        </w:numPr>
        <w:spacing w:before="120" w:after="120"/>
        <w:contextualSpacing w:val="0"/>
        <w:rPr>
          <w:u w:val="none"/>
        </w:rPr>
      </w:pPr>
      <w:r>
        <w:rPr>
          <w:u w:val="none"/>
        </w:rPr>
        <w:t xml:space="preserve"> </w:t>
      </w:r>
      <w:bookmarkStart w:id="319" w:name="_Toc532995395"/>
      <w:r w:rsidR="001903B5" w:rsidRPr="00660FDA">
        <w:rPr>
          <w:u w:val="none"/>
        </w:rPr>
        <w:t>Respecto del desplazamiento forzado</w:t>
      </w:r>
      <w:r w:rsidR="0029469F" w:rsidRPr="00660FDA">
        <w:rPr>
          <w:u w:val="none"/>
        </w:rPr>
        <w:t xml:space="preserve"> y protección </w:t>
      </w:r>
      <w:r w:rsidR="001903B5" w:rsidRPr="00660FDA">
        <w:rPr>
          <w:u w:val="none"/>
        </w:rPr>
        <w:t>familiar</w:t>
      </w:r>
      <w:bookmarkEnd w:id="319"/>
    </w:p>
    <w:p w14:paraId="64AA6108" w14:textId="3F46C89F"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Pr>
          <w:rFonts w:ascii="Verdana" w:eastAsia="Calibri" w:hAnsi="Verdana"/>
          <w:bCs/>
          <w:sz w:val="20"/>
          <w:szCs w:val="20"/>
        </w:rPr>
        <w:t>A la luz de la controversia planteada r</w:t>
      </w:r>
      <w:r w:rsidRPr="00D33CEE">
        <w:rPr>
          <w:rFonts w:ascii="Verdana" w:eastAsia="Calibri" w:hAnsi="Verdana"/>
          <w:bCs/>
          <w:sz w:val="20"/>
          <w:szCs w:val="20"/>
        </w:rPr>
        <w:t xml:space="preserve">especto del alegado desplazamiento forzado (artículo 22), </w:t>
      </w:r>
      <w:r w:rsidRPr="00185B82">
        <w:rPr>
          <w:rFonts w:ascii="Verdana" w:eastAsia="Calibri" w:hAnsi="Verdana"/>
          <w:bCs/>
          <w:sz w:val="20"/>
          <w:szCs w:val="20"/>
        </w:rPr>
        <w:t xml:space="preserve">corresponde a la Corte determinar en qué medida el traslado del lugar de los hechos por parte de distintos miembros de la familia, aun cuando los destinos fueran distintos, estuvo determinado por los </w:t>
      </w:r>
      <w:r>
        <w:rPr>
          <w:rFonts w:ascii="Verdana" w:eastAsia="Calibri" w:hAnsi="Verdana"/>
          <w:bCs/>
          <w:sz w:val="20"/>
          <w:szCs w:val="20"/>
        </w:rPr>
        <w:t>distintos sucesos del caso, principalmente a la luz del deber de garantía (art</w:t>
      </w:r>
      <w:r w:rsidR="007E5466">
        <w:rPr>
          <w:rFonts w:ascii="Verdana" w:eastAsia="Calibri" w:hAnsi="Verdana"/>
          <w:bCs/>
          <w:sz w:val="20"/>
          <w:szCs w:val="20"/>
        </w:rPr>
        <w:t>ículo</w:t>
      </w:r>
      <w:r>
        <w:rPr>
          <w:rFonts w:ascii="Verdana" w:eastAsia="Calibri" w:hAnsi="Verdana"/>
          <w:bCs/>
          <w:sz w:val="20"/>
          <w:szCs w:val="20"/>
        </w:rPr>
        <w:t xml:space="preserve"> 1.1) y el deber de prevención relacionado con este derecho. </w:t>
      </w:r>
    </w:p>
    <w:p w14:paraId="403B564B" w14:textId="61B847CE" w:rsidR="00E67802"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1903B5">
        <w:rPr>
          <w:rFonts w:ascii="Verdana" w:eastAsia="Calibri" w:hAnsi="Verdana" w:cs="Arial"/>
          <w:sz w:val="20"/>
          <w:szCs w:val="20"/>
        </w:rPr>
        <w:t xml:space="preserve">La Corte ha señalado que </w:t>
      </w:r>
      <w:r w:rsidRPr="001903B5">
        <w:rPr>
          <w:rFonts w:ascii="Verdana" w:eastAsia="Calibri" w:hAnsi="Verdana" w:cs="Calibri"/>
          <w:sz w:val="20"/>
          <w:szCs w:val="20"/>
          <w:lang w:val="es-ES"/>
        </w:rPr>
        <w:t xml:space="preserve">el derecho de circulación y de residencia […] contempla, </w:t>
      </w:r>
      <w:r w:rsidRPr="001903B5">
        <w:rPr>
          <w:rFonts w:ascii="Verdana" w:eastAsia="Calibri" w:hAnsi="Verdana" w:cs="Calibri"/>
          <w:i/>
          <w:sz w:val="20"/>
          <w:szCs w:val="20"/>
          <w:lang w:val="es-ES"/>
        </w:rPr>
        <w:t>inter alia</w:t>
      </w:r>
      <w:r w:rsidRPr="001903B5">
        <w:rPr>
          <w:rFonts w:ascii="Verdana" w:eastAsia="Calibri" w:hAnsi="Verdana" w:cs="Calibri"/>
          <w:sz w:val="20"/>
          <w:szCs w:val="20"/>
          <w:lang w:val="es-ES"/>
        </w:rPr>
        <w:t>, el derecho de quienes se encuentren legalmente dentro de un Estado a circular libremente en él así como escoger su lugar de residencia</w:t>
      </w:r>
      <w:r w:rsidRPr="00B9390E">
        <w:rPr>
          <w:rFonts w:eastAsia="Calibri" w:cs="Times New Roman"/>
          <w:vertAlign w:val="superscript"/>
          <w:lang w:val="es-ES"/>
        </w:rPr>
        <w:footnoteReference w:id="503"/>
      </w:r>
      <w:r w:rsidRPr="001903B5">
        <w:rPr>
          <w:rFonts w:ascii="Verdana" w:eastAsia="Calibri" w:hAnsi="Verdana" w:cs="Calibri"/>
          <w:sz w:val="20"/>
          <w:szCs w:val="20"/>
          <w:lang w:val="es-ES"/>
        </w:rPr>
        <w:t>. Este derecho puede ser vulnerado de manera formal o por restricciones de facto cuando el Estado no ha establecido las condiciones, ni provisto los medios que permiten ejercerlo</w:t>
      </w:r>
      <w:r w:rsidRPr="00B9390E">
        <w:rPr>
          <w:rFonts w:eastAsia="Calibri" w:cs="Times New Roman"/>
          <w:vertAlign w:val="superscript"/>
          <w:lang w:val="es-ES"/>
        </w:rPr>
        <w:footnoteReference w:id="504"/>
      </w:r>
      <w:r w:rsidRPr="001903B5">
        <w:rPr>
          <w:rFonts w:ascii="Verdana" w:eastAsia="Calibri" w:hAnsi="Verdana" w:cs="Calibri"/>
          <w:sz w:val="20"/>
          <w:szCs w:val="20"/>
          <w:lang w:val="es-ES"/>
        </w:rPr>
        <w:t xml:space="preserve">. Dichas afectaciones de facto pueden ocurrir cuando una persona es víctima de amenazas u hostigamientos y el Estado no provee las garantías necesarias para que pueda transitar y residir libremente en </w:t>
      </w:r>
      <w:r w:rsidR="00305DA9">
        <w:rPr>
          <w:rFonts w:ascii="Verdana" w:eastAsia="Calibri" w:hAnsi="Verdana" w:cs="Calibri"/>
          <w:sz w:val="20"/>
          <w:szCs w:val="20"/>
          <w:lang w:val="es-ES"/>
        </w:rPr>
        <w:t xml:space="preserve">el territorio de que se trate, </w:t>
      </w:r>
      <w:r w:rsidR="00305DA9">
        <w:rPr>
          <w:rFonts w:ascii="Verdana" w:eastAsia="Calibri" w:hAnsi="Verdana" w:cs="Times New Roman"/>
          <w:sz w:val="20"/>
          <w:szCs w:val="20"/>
        </w:rPr>
        <w:t xml:space="preserve">inclusive </w:t>
      </w:r>
      <w:r w:rsidRPr="001903B5">
        <w:rPr>
          <w:rFonts w:ascii="Verdana" w:eastAsia="Calibri" w:hAnsi="Verdana" w:cs="Times New Roman"/>
          <w:sz w:val="20"/>
          <w:szCs w:val="20"/>
        </w:rPr>
        <w:t xml:space="preserve">cuando las amenazas </w:t>
      </w:r>
      <w:r w:rsidRPr="001903B5">
        <w:rPr>
          <w:rFonts w:ascii="Verdana" w:eastAsia="Calibri" w:hAnsi="Verdana" w:cs="Times New Roman"/>
          <w:sz w:val="20"/>
          <w:szCs w:val="20"/>
        </w:rPr>
        <w:lastRenderedPageBreak/>
        <w:t>y hostigamientos provienen de actores no estatales</w:t>
      </w:r>
      <w:r w:rsidRPr="00B9390E">
        <w:rPr>
          <w:rFonts w:eastAsia="Calibri" w:cs="Times New Roman"/>
          <w:vertAlign w:val="superscript"/>
        </w:rPr>
        <w:footnoteReference w:id="505"/>
      </w:r>
      <w:r w:rsidRPr="001903B5">
        <w:rPr>
          <w:rFonts w:ascii="Verdana" w:eastAsia="Calibri" w:hAnsi="Verdana" w:cs="Times New Roman"/>
          <w:sz w:val="20"/>
          <w:szCs w:val="20"/>
        </w:rPr>
        <w:t>.</w:t>
      </w:r>
      <w:r w:rsidR="00E67802">
        <w:rPr>
          <w:rFonts w:ascii="Verdana" w:eastAsia="Calibri" w:hAnsi="Verdana" w:cs="Times New Roman"/>
          <w:sz w:val="20"/>
          <w:szCs w:val="20"/>
        </w:rPr>
        <w:t xml:space="preserve"> Asimismo, la Corte </w:t>
      </w:r>
      <w:r w:rsidR="0095417D">
        <w:rPr>
          <w:rFonts w:ascii="Verdana" w:eastAsia="Calibri" w:hAnsi="Verdana" w:cs="Times New Roman"/>
          <w:sz w:val="20"/>
          <w:szCs w:val="20"/>
        </w:rPr>
        <w:t>h</w:t>
      </w:r>
      <w:r w:rsidR="00E67802">
        <w:rPr>
          <w:rFonts w:ascii="Verdana" w:eastAsia="Calibri" w:hAnsi="Verdana" w:cs="Times New Roman"/>
          <w:sz w:val="20"/>
          <w:szCs w:val="20"/>
        </w:rPr>
        <w:t xml:space="preserve">a afirmado </w:t>
      </w:r>
      <w:r w:rsidR="00E67802">
        <w:rPr>
          <w:rFonts w:ascii="Verdana" w:hAnsi="Verdana"/>
          <w:sz w:val="20"/>
          <w:szCs w:val="20"/>
        </w:rPr>
        <w:t>que l</w:t>
      </w:r>
      <w:r w:rsidR="00E67802" w:rsidRPr="00E67802">
        <w:rPr>
          <w:rFonts w:ascii="Verdana" w:eastAsiaTheme="minorHAnsi" w:hAnsi="Verdana" w:cs="Verdana"/>
          <w:sz w:val="20"/>
          <w:szCs w:val="20"/>
          <w:lang w:val="es-CR"/>
        </w:rPr>
        <w:t>a falta de una investigación efectiva de hechos violentos puede</w:t>
      </w:r>
      <w:r w:rsidR="00E67802">
        <w:rPr>
          <w:rFonts w:ascii="Verdana" w:hAnsi="Verdana"/>
          <w:sz w:val="20"/>
          <w:szCs w:val="20"/>
        </w:rPr>
        <w:t xml:space="preserve"> </w:t>
      </w:r>
      <w:r w:rsidR="00E67802" w:rsidRPr="00E67802">
        <w:rPr>
          <w:rFonts w:ascii="Verdana" w:eastAsiaTheme="minorHAnsi" w:hAnsi="Verdana" w:cs="Verdana"/>
          <w:sz w:val="20"/>
          <w:szCs w:val="20"/>
          <w:lang w:val="es-CR"/>
        </w:rPr>
        <w:t>propiciar o perpetuar un exilio o desplazamiento forzado</w:t>
      </w:r>
      <w:r w:rsidR="00E67802">
        <w:rPr>
          <w:rStyle w:val="Refdenotaalpie"/>
          <w:rFonts w:ascii="Verdana" w:eastAsiaTheme="minorHAnsi" w:hAnsi="Verdana" w:cs="Verdana"/>
          <w:sz w:val="20"/>
          <w:szCs w:val="20"/>
          <w:lang w:val="es-CR"/>
        </w:rPr>
        <w:footnoteReference w:id="506"/>
      </w:r>
      <w:r w:rsidR="00E67802" w:rsidRPr="008D0846">
        <w:rPr>
          <w:rFonts w:ascii="Verdana" w:eastAsiaTheme="minorHAnsi" w:hAnsi="Verdana" w:cs="Verdana"/>
          <w:sz w:val="20"/>
          <w:szCs w:val="20"/>
          <w:lang w:val="es-CR"/>
        </w:rPr>
        <w:t>.</w:t>
      </w:r>
    </w:p>
    <w:p w14:paraId="64AA610C" w14:textId="198B5275"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1903B5">
        <w:rPr>
          <w:rFonts w:ascii="Verdana" w:hAnsi="Verdana"/>
          <w:sz w:val="20"/>
          <w:szCs w:val="20"/>
        </w:rPr>
        <w:t>La Corte ya ha dado cuenta de un contexto de riesgo en la región</w:t>
      </w:r>
      <w:r>
        <w:rPr>
          <w:rStyle w:val="Refdenotaalpie"/>
          <w:rFonts w:ascii="Verdana" w:hAnsi="Verdana"/>
          <w:sz w:val="20"/>
          <w:szCs w:val="20"/>
        </w:rPr>
        <w:footnoteReference w:id="507"/>
      </w:r>
      <w:r w:rsidRPr="001903B5">
        <w:rPr>
          <w:rFonts w:ascii="Verdana" w:hAnsi="Verdana"/>
          <w:sz w:val="20"/>
          <w:szCs w:val="20"/>
        </w:rPr>
        <w:t>, así como se ha desprendido un riesgo implícito para los familiares derivado de la búsqueda del esclarecimiento de las desapariciones forzadas, particularmente, acentuado con motivo de las denuncias presentadas, señalamientos concretos de la participación de autoridades del ejército y participación activa en las investigaciones ministeriales. Adicionalmente, dicho riesgo se ha materializado posteriormente con actos de amenazas concretos (</w:t>
      </w:r>
      <w:r w:rsidR="00205AF7" w:rsidRPr="00205AF7">
        <w:rPr>
          <w:rFonts w:ascii="Verdana" w:hAnsi="Verdana"/>
          <w:i/>
          <w:sz w:val="20"/>
          <w:szCs w:val="20"/>
        </w:rPr>
        <w:t xml:space="preserve">supra </w:t>
      </w:r>
      <w:r w:rsidR="007E5466">
        <w:rPr>
          <w:rFonts w:ascii="Verdana" w:hAnsi="Verdana"/>
          <w:sz w:val="20"/>
          <w:szCs w:val="20"/>
        </w:rPr>
        <w:t>párr. 270</w:t>
      </w:r>
      <w:r w:rsidRPr="001903B5">
        <w:rPr>
          <w:rFonts w:ascii="Verdana" w:hAnsi="Verdana"/>
          <w:sz w:val="20"/>
          <w:szCs w:val="20"/>
        </w:rPr>
        <w:t xml:space="preserve">). </w:t>
      </w:r>
    </w:p>
    <w:p w14:paraId="64AA610E" w14:textId="1057A5F5" w:rsidR="001903B5"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1903B5">
        <w:rPr>
          <w:rFonts w:ascii="Verdana" w:hAnsi="Verdana"/>
          <w:sz w:val="20"/>
          <w:szCs w:val="20"/>
        </w:rPr>
        <w:t>Asimismo, la Corte reitera el conocimiento concreto sobre la situación de riesgo de los familiares, particularmente a partir de la adopción de medidas provisionales por parte de esta Corte, mediante Resolución de 26 de noviembre de 2010 y siguientes ampliaciones</w:t>
      </w:r>
      <w:r w:rsidRPr="00FD4231">
        <w:rPr>
          <w:rStyle w:val="Refdenotaalpie"/>
          <w:rFonts w:ascii="Verdana" w:hAnsi="Verdana"/>
          <w:sz w:val="20"/>
          <w:szCs w:val="20"/>
        </w:rPr>
        <w:footnoteReference w:id="508"/>
      </w:r>
      <w:r w:rsidRPr="001903B5">
        <w:rPr>
          <w:rFonts w:ascii="Verdana" w:hAnsi="Verdana"/>
          <w:sz w:val="20"/>
          <w:szCs w:val="20"/>
        </w:rPr>
        <w:t>, mediante las cuales solicitó al Estado adoptar las medidas que fueron necesarias para proteger la vida e integridad personal de distintos familiares beneficiarios</w:t>
      </w:r>
      <w:r w:rsidRPr="00FD4231">
        <w:rPr>
          <w:rStyle w:val="Refdenotaalpie"/>
          <w:rFonts w:ascii="Verdana" w:hAnsi="Verdana"/>
          <w:sz w:val="20"/>
          <w:szCs w:val="20"/>
        </w:rPr>
        <w:footnoteReference w:id="509"/>
      </w:r>
      <w:r w:rsidRPr="001903B5">
        <w:rPr>
          <w:rFonts w:ascii="Verdana" w:hAnsi="Verdana"/>
          <w:sz w:val="20"/>
          <w:szCs w:val="20"/>
        </w:rPr>
        <w:t>. Al respecto, la Corte ha sostenido que corresponde a las autoridades estatales que toman conocimiento de una situación de riesgo especial, identificar o valorar si la persona objeto de amenazas y hostigamientos requiere de medidas de protección o remitir a la autoridad competente para hacerlo, así como ofrecer a la persona en riesgo información oportuna sobre las medidas disponibles</w:t>
      </w:r>
      <w:r w:rsidRPr="00FD4231">
        <w:rPr>
          <w:rStyle w:val="Refdenotaalpie"/>
          <w:rFonts w:ascii="Verdana" w:hAnsi="Verdana"/>
          <w:sz w:val="20"/>
          <w:szCs w:val="20"/>
        </w:rPr>
        <w:footnoteReference w:id="510"/>
      </w:r>
      <w:r w:rsidRPr="001903B5">
        <w:rPr>
          <w:rFonts w:ascii="Verdana" w:hAnsi="Verdana"/>
          <w:sz w:val="20"/>
          <w:szCs w:val="20"/>
        </w:rPr>
        <w:t xml:space="preserve">. </w:t>
      </w:r>
    </w:p>
    <w:p w14:paraId="64AA6114" w14:textId="3E1C5294" w:rsidR="001903B5" w:rsidRPr="0095417D" w:rsidRDefault="001903B5" w:rsidP="009417B1">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rPr>
        <w:t xml:space="preserve">En particular, </w:t>
      </w:r>
      <w:r w:rsidR="0011708C">
        <w:rPr>
          <w:rFonts w:ascii="Verdana" w:hAnsi="Verdana"/>
          <w:sz w:val="20"/>
          <w:szCs w:val="20"/>
        </w:rPr>
        <w:t xml:space="preserve">la Corte acreditó que los distintos grupos familiares </w:t>
      </w:r>
      <w:r w:rsidR="00C57FCB">
        <w:rPr>
          <w:rFonts w:ascii="Verdana" w:hAnsi="Verdana"/>
          <w:sz w:val="20"/>
          <w:szCs w:val="20"/>
        </w:rPr>
        <w:t xml:space="preserve">se han visto en la necesidad de realizar </w:t>
      </w:r>
      <w:r w:rsidR="0011708C">
        <w:rPr>
          <w:rFonts w:ascii="Verdana" w:hAnsi="Verdana"/>
          <w:sz w:val="20"/>
          <w:szCs w:val="20"/>
        </w:rPr>
        <w:t>diversos desplazamiento en el territorio</w:t>
      </w:r>
      <w:r w:rsidR="00C57FCB">
        <w:rPr>
          <w:rFonts w:ascii="Verdana" w:hAnsi="Verdana"/>
          <w:sz w:val="20"/>
          <w:szCs w:val="20"/>
        </w:rPr>
        <w:t xml:space="preserve"> nacional y otros fuera de este (</w:t>
      </w:r>
      <w:r w:rsidR="00C57FCB" w:rsidRPr="00F40CA4">
        <w:rPr>
          <w:rFonts w:ascii="Verdana" w:hAnsi="Verdana"/>
          <w:i/>
          <w:sz w:val="20"/>
        </w:rPr>
        <w:t xml:space="preserve">supra </w:t>
      </w:r>
      <w:r w:rsidR="00C57FCB">
        <w:rPr>
          <w:rFonts w:ascii="Verdana" w:hAnsi="Verdana"/>
          <w:sz w:val="20"/>
          <w:szCs w:val="20"/>
        </w:rPr>
        <w:t xml:space="preserve">párrs. </w:t>
      </w:r>
      <w:r w:rsidR="007E5466">
        <w:rPr>
          <w:rFonts w:ascii="Verdana" w:hAnsi="Verdana"/>
          <w:sz w:val="20"/>
          <w:szCs w:val="20"/>
        </w:rPr>
        <w:t>151</w:t>
      </w:r>
      <w:r w:rsidR="00C57FCB">
        <w:rPr>
          <w:rFonts w:ascii="Verdana" w:hAnsi="Verdana"/>
          <w:sz w:val="20"/>
          <w:szCs w:val="20"/>
        </w:rPr>
        <w:t xml:space="preserve"> al </w:t>
      </w:r>
      <w:r w:rsidR="007E5466">
        <w:rPr>
          <w:rFonts w:ascii="Verdana" w:hAnsi="Verdana"/>
          <w:sz w:val="20"/>
          <w:szCs w:val="20"/>
        </w:rPr>
        <w:t>156</w:t>
      </w:r>
      <w:r w:rsidR="00C57FCB">
        <w:rPr>
          <w:rFonts w:ascii="Verdana" w:hAnsi="Verdana"/>
          <w:sz w:val="20"/>
          <w:szCs w:val="20"/>
        </w:rPr>
        <w:t xml:space="preserve">). </w:t>
      </w:r>
      <w:r>
        <w:rPr>
          <w:rFonts w:ascii="Verdana" w:hAnsi="Verdana"/>
          <w:sz w:val="20"/>
          <w:szCs w:val="20"/>
        </w:rPr>
        <w:t>En vista de lo anterior, e</w:t>
      </w:r>
      <w:r w:rsidRPr="00A601B0">
        <w:rPr>
          <w:rFonts w:ascii="Verdana" w:hAnsi="Verdana"/>
          <w:sz w:val="20"/>
          <w:szCs w:val="20"/>
        </w:rPr>
        <w:t xml:space="preserve">ste Tribunal </w:t>
      </w:r>
      <w:r>
        <w:rPr>
          <w:rFonts w:ascii="Verdana" w:hAnsi="Verdana"/>
          <w:sz w:val="20"/>
          <w:szCs w:val="20"/>
        </w:rPr>
        <w:t>estima</w:t>
      </w:r>
      <w:r w:rsidRPr="00A601B0">
        <w:rPr>
          <w:rFonts w:ascii="Verdana" w:hAnsi="Verdana"/>
          <w:sz w:val="20"/>
          <w:szCs w:val="20"/>
        </w:rPr>
        <w:t xml:space="preserve"> que para el momento del desplazamiento de los grupos familiares, era evidente que las autoridades tenían conocimiento de que habían ocurrido actos </w:t>
      </w:r>
      <w:r>
        <w:rPr>
          <w:rFonts w:ascii="Verdana" w:hAnsi="Verdana"/>
          <w:sz w:val="20"/>
          <w:szCs w:val="20"/>
        </w:rPr>
        <w:t>de amenazas</w:t>
      </w:r>
      <w:r w:rsidRPr="00A601B0">
        <w:rPr>
          <w:rFonts w:ascii="Verdana" w:hAnsi="Verdana"/>
          <w:sz w:val="20"/>
          <w:szCs w:val="20"/>
        </w:rPr>
        <w:t xml:space="preserve"> y que el contexto y demá</w:t>
      </w:r>
      <w:r w:rsidRPr="00375343">
        <w:rPr>
          <w:rFonts w:ascii="Verdana" w:hAnsi="Verdana"/>
          <w:sz w:val="20"/>
          <w:szCs w:val="20"/>
        </w:rPr>
        <w:t>s elementos del caso permitían establecer la posibili</w:t>
      </w:r>
      <w:r>
        <w:rPr>
          <w:rFonts w:ascii="Verdana" w:hAnsi="Verdana"/>
          <w:sz w:val="20"/>
          <w:szCs w:val="20"/>
        </w:rPr>
        <w:t xml:space="preserve">dad concreta de su realización. Algunas de las </w:t>
      </w:r>
      <w:r w:rsidRPr="00375343">
        <w:rPr>
          <w:rFonts w:ascii="Verdana" w:hAnsi="Verdana"/>
          <w:sz w:val="20"/>
          <w:szCs w:val="20"/>
        </w:rPr>
        <w:t>medidas de seguridad adoptadas</w:t>
      </w:r>
      <w:r>
        <w:rPr>
          <w:rFonts w:ascii="Verdana" w:hAnsi="Verdana"/>
          <w:sz w:val="20"/>
          <w:szCs w:val="20"/>
        </w:rPr>
        <w:t xml:space="preserve"> por el Estado</w:t>
      </w:r>
      <w:r w:rsidRPr="00375343">
        <w:rPr>
          <w:rFonts w:ascii="Verdana" w:hAnsi="Verdana"/>
          <w:sz w:val="20"/>
          <w:szCs w:val="20"/>
        </w:rPr>
        <w:t xml:space="preserve"> consistieron en construcciones </w:t>
      </w:r>
      <w:r w:rsidRPr="007620D1">
        <w:rPr>
          <w:rFonts w:ascii="Verdana" w:hAnsi="Verdana"/>
          <w:sz w:val="20"/>
          <w:szCs w:val="20"/>
        </w:rPr>
        <w:t xml:space="preserve">e instalaciones genéricas que </w:t>
      </w:r>
      <w:r w:rsidRPr="00627BC1">
        <w:rPr>
          <w:rFonts w:ascii="Verdana" w:hAnsi="Verdana"/>
          <w:sz w:val="20"/>
          <w:szCs w:val="20"/>
        </w:rPr>
        <w:t>no se adecuaron</w:t>
      </w:r>
      <w:r>
        <w:rPr>
          <w:rFonts w:ascii="Verdana" w:hAnsi="Verdana"/>
          <w:sz w:val="20"/>
          <w:szCs w:val="20"/>
        </w:rPr>
        <w:t xml:space="preserve"> a las necesidades familiares, según lo establecido por los propios beneficiarios, por lo </w:t>
      </w:r>
      <w:r w:rsidR="00006E26">
        <w:rPr>
          <w:rFonts w:ascii="Verdana" w:hAnsi="Verdana"/>
          <w:sz w:val="20"/>
          <w:szCs w:val="20"/>
        </w:rPr>
        <w:t xml:space="preserve">que </w:t>
      </w:r>
      <w:r>
        <w:rPr>
          <w:rFonts w:ascii="Verdana" w:hAnsi="Verdana"/>
          <w:sz w:val="20"/>
          <w:szCs w:val="20"/>
        </w:rPr>
        <w:t>la Corte nota que los desplazamientos ocurridos correspondieron en gran medida a la falta de protección efectiva brindada por el Estado</w:t>
      </w:r>
      <w:r>
        <w:rPr>
          <w:rStyle w:val="Refdenotaalpie"/>
          <w:rFonts w:ascii="Verdana" w:hAnsi="Verdana"/>
          <w:sz w:val="20"/>
          <w:szCs w:val="20"/>
        </w:rPr>
        <w:footnoteReference w:id="511"/>
      </w:r>
      <w:r>
        <w:rPr>
          <w:rFonts w:ascii="Verdana" w:hAnsi="Verdana"/>
          <w:sz w:val="20"/>
          <w:szCs w:val="20"/>
        </w:rPr>
        <w:t xml:space="preserve">. </w:t>
      </w:r>
    </w:p>
    <w:p w14:paraId="64AA6116" w14:textId="4B7FCF21" w:rsidR="001903B5" w:rsidRPr="00C66BBA"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HN"/>
        </w:rPr>
      </w:pPr>
      <w:r w:rsidRPr="00E53B76">
        <w:rPr>
          <w:rFonts w:ascii="Verdana" w:hAnsi="Verdana"/>
          <w:sz w:val="20"/>
          <w:szCs w:val="20"/>
          <w:lang w:val="es-HN"/>
        </w:rPr>
        <w:t>Al respecto, en su Resolución de Medidas Provisionales de 14 de marzo de 2018, la Corte reiteró que ya había llamado la atención al Estado</w:t>
      </w:r>
      <w:r w:rsidRPr="00E53B76">
        <w:rPr>
          <w:rStyle w:val="Refdenotaalpie"/>
          <w:rFonts w:ascii="Verdana" w:hAnsi="Verdana"/>
          <w:sz w:val="20"/>
          <w:szCs w:val="20"/>
          <w:lang w:val="es-HN"/>
        </w:rPr>
        <w:footnoteReference w:id="512"/>
      </w:r>
      <w:r w:rsidRPr="00E53B76">
        <w:rPr>
          <w:rFonts w:ascii="Verdana" w:hAnsi="Verdana"/>
          <w:sz w:val="20"/>
          <w:szCs w:val="20"/>
          <w:lang w:val="es-HN"/>
        </w:rPr>
        <w:t xml:space="preserve"> sobre el incumplimiento en la realización de un análisis de riesgo específico solicitado desde su Resolución de 23 de junio de 2015 (Considerando 18 y Resolutivo 5), por lo que reiteró al Estado su realización inmediata. En atención a lo anterior, la Corte tomó nota que, pese a lo ordenado reiteradamente, hasta la f</w:t>
      </w:r>
      <w:r w:rsidRPr="0021124B">
        <w:rPr>
          <w:rFonts w:ascii="Verdana" w:hAnsi="Verdana"/>
          <w:sz w:val="20"/>
          <w:szCs w:val="20"/>
          <w:lang w:val="es-HN"/>
        </w:rPr>
        <w:t xml:space="preserve">echa de diversos incidentes, el Estado no había cumplido con la realización del mencionado análisis de </w:t>
      </w:r>
      <w:r w:rsidRPr="0021124B">
        <w:rPr>
          <w:rFonts w:ascii="Verdana" w:hAnsi="Verdana"/>
          <w:sz w:val="20"/>
          <w:szCs w:val="20"/>
          <w:lang w:val="es-HN"/>
        </w:rPr>
        <w:lastRenderedPageBreak/>
        <w:t>riesgo de las personas beneficiarias, lo cual resultaba inaceptable en relación con sus obligaciones internacionales, por lo que la falta de implementaci</w:t>
      </w:r>
      <w:r w:rsidRPr="006A3F76">
        <w:rPr>
          <w:rFonts w:ascii="Verdana" w:hAnsi="Verdana"/>
          <w:sz w:val="20"/>
          <w:szCs w:val="20"/>
          <w:lang w:val="es-HN"/>
        </w:rPr>
        <w:t>ón de las medidas provisionales de manera integral podía derivar en daños graves o irreparables a las personas beneficiarias de las mismas, dejando sin efecto tales medidas. Finalmente, el 27 de marzo del 2018 el Estado transmitió el diagnóstico de riesgo</w:t>
      </w:r>
      <w:r w:rsidRPr="00E53B76">
        <w:rPr>
          <w:rStyle w:val="Refdenotaalpie"/>
          <w:rFonts w:ascii="Verdana" w:hAnsi="Verdana"/>
          <w:sz w:val="20"/>
          <w:szCs w:val="20"/>
        </w:rPr>
        <w:footnoteReference w:id="513"/>
      </w:r>
      <w:r w:rsidRPr="00E53B76">
        <w:rPr>
          <w:rFonts w:ascii="Verdana" w:hAnsi="Verdana"/>
          <w:sz w:val="20"/>
          <w:szCs w:val="20"/>
          <w:lang w:val="es-HN"/>
        </w:rPr>
        <w:t xml:space="preserve">, en el cual confirmó la situación de riesgo en que se encuentran </w:t>
      </w:r>
      <w:r w:rsidRPr="00C66BBA">
        <w:rPr>
          <w:rFonts w:ascii="Verdana" w:hAnsi="Verdana"/>
          <w:sz w:val="20"/>
          <w:szCs w:val="20"/>
          <w:lang w:val="es-HN"/>
        </w:rPr>
        <w:t>los familiares.</w:t>
      </w:r>
    </w:p>
    <w:p w14:paraId="64AA6118" w14:textId="52B31DCA" w:rsidR="001903B5" w:rsidRPr="00C66BBA"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b/>
          <w:sz w:val="20"/>
          <w:szCs w:val="20"/>
        </w:rPr>
      </w:pPr>
      <w:r w:rsidRPr="00C66BBA">
        <w:rPr>
          <w:rFonts w:ascii="Verdana" w:hAnsi="Verdana"/>
          <w:sz w:val="20"/>
          <w:szCs w:val="20"/>
        </w:rPr>
        <w:t>Por otra parte, la Corte ha reafirmado que la obligación de garantía para el Estado […] de proteger los derechos de las personas desplazadas conlleva no sólo el deber de adoptar medidas de prevención sino también proveer las condiciones necesarias para facilitar un retorno voluntario, digno y seguro a su lugar de residencia habitual o a su reasentamiento voluntario en otra parte del país</w:t>
      </w:r>
      <w:r w:rsidRPr="00C66BBA">
        <w:rPr>
          <w:rFonts w:ascii="Verdana" w:hAnsi="Verdana"/>
          <w:sz w:val="20"/>
          <w:szCs w:val="20"/>
          <w:vertAlign w:val="superscript"/>
        </w:rPr>
        <w:footnoteReference w:id="514"/>
      </w:r>
      <w:r w:rsidRPr="00C66BBA">
        <w:rPr>
          <w:rFonts w:ascii="Verdana" w:hAnsi="Verdana"/>
          <w:sz w:val="20"/>
          <w:szCs w:val="20"/>
        </w:rPr>
        <w:t xml:space="preserve">. En este sentido, la Corte verifica que hasta el momento no se han tomado las medidas efectivas e integrales necesarias a fin de garantizar el retorno de los distintos grupos familiares que así lo soliciten. </w:t>
      </w:r>
    </w:p>
    <w:p w14:paraId="64AA6119" w14:textId="067CC42A" w:rsidR="001903B5" w:rsidRPr="00C90B3F"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b/>
          <w:sz w:val="20"/>
        </w:rPr>
      </w:pPr>
      <w:r>
        <w:rPr>
          <w:rFonts w:ascii="Verdana" w:hAnsi="Verdana"/>
          <w:sz w:val="20"/>
          <w:szCs w:val="20"/>
        </w:rPr>
        <w:t xml:space="preserve">Sin perjuicio de lo anterior, la Corte constató que el grupo familiar de </w:t>
      </w:r>
      <w:r w:rsidRPr="00FC6FAE">
        <w:rPr>
          <w:rFonts w:ascii="Verdana" w:eastAsia="Calibri" w:hAnsi="Verdana"/>
          <w:bCs/>
          <w:sz w:val="20"/>
          <w:szCs w:val="20"/>
        </w:rPr>
        <w:t xml:space="preserve">Patricia Reyes Rueda, </w:t>
      </w:r>
      <w:r w:rsidRPr="009E2343">
        <w:rPr>
          <w:rFonts w:ascii="Verdana" w:eastAsia="Calibri" w:hAnsi="Verdana"/>
          <w:bCs/>
          <w:sz w:val="20"/>
          <w:szCs w:val="20"/>
        </w:rPr>
        <w:t xml:space="preserve">A.M.U.A, A.A.R, A.R.A.R, Manuel Reyes Lira y </w:t>
      </w:r>
      <w:r>
        <w:rPr>
          <w:rFonts w:ascii="Verdana" w:eastAsia="Calibri" w:hAnsi="Verdana"/>
          <w:bCs/>
          <w:sz w:val="20"/>
          <w:szCs w:val="20"/>
        </w:rPr>
        <w:t xml:space="preserve">María de Jesús Rueda Villanueva, fueron trasladados </w:t>
      </w:r>
      <w:r w:rsidRPr="009E2343">
        <w:rPr>
          <w:rFonts w:ascii="Verdana" w:eastAsia="Calibri" w:hAnsi="Verdana"/>
          <w:bCs/>
          <w:sz w:val="20"/>
          <w:szCs w:val="20"/>
        </w:rPr>
        <w:t xml:space="preserve">a </w:t>
      </w:r>
      <w:r w:rsidRPr="00C90B3F">
        <w:rPr>
          <w:rFonts w:ascii="Verdana" w:eastAsia="Calibri" w:hAnsi="Verdana"/>
          <w:sz w:val="20"/>
        </w:rPr>
        <w:t>Benito Juárez</w:t>
      </w:r>
      <w:r w:rsidRPr="009E2343">
        <w:rPr>
          <w:rFonts w:ascii="Verdana" w:eastAsia="Calibri" w:hAnsi="Verdana"/>
          <w:bCs/>
          <w:sz w:val="20"/>
          <w:szCs w:val="20"/>
        </w:rPr>
        <w:t xml:space="preserve"> luego de haber convenido con el Estado las medidas de reubicación en un refugio de seguridad</w:t>
      </w:r>
      <w:r w:rsidRPr="00FD4231">
        <w:rPr>
          <w:rStyle w:val="Refdenotaalpie"/>
          <w:rFonts w:ascii="Verdana" w:eastAsia="Calibri" w:hAnsi="Verdana"/>
          <w:bCs/>
          <w:sz w:val="20"/>
          <w:szCs w:val="20"/>
        </w:rPr>
        <w:footnoteReference w:id="515"/>
      </w:r>
      <w:r w:rsidRPr="00FD4231">
        <w:rPr>
          <w:rFonts w:ascii="Verdana" w:eastAsia="Calibri" w:hAnsi="Verdana"/>
          <w:bCs/>
          <w:sz w:val="20"/>
          <w:szCs w:val="20"/>
        </w:rPr>
        <w:t>, el cual consistió</w:t>
      </w:r>
      <w:r w:rsidRPr="00A601B0">
        <w:rPr>
          <w:rFonts w:ascii="Verdana" w:eastAsia="Calibri" w:hAnsi="Verdana"/>
          <w:bCs/>
          <w:sz w:val="20"/>
          <w:szCs w:val="20"/>
        </w:rPr>
        <w:t xml:space="preserve"> en el arrendamiento de un inmueble y servicio de alimentación para ella y su familia</w:t>
      </w:r>
      <w:r w:rsidR="00256B09">
        <w:rPr>
          <w:rFonts w:ascii="Verdana" w:eastAsia="Calibri" w:hAnsi="Verdana"/>
          <w:bCs/>
          <w:sz w:val="20"/>
          <w:szCs w:val="20"/>
        </w:rPr>
        <w:t>, por lo que el Estado afirm</w:t>
      </w:r>
      <w:r w:rsidR="007E5466">
        <w:rPr>
          <w:rFonts w:ascii="Verdana" w:eastAsia="Calibri" w:hAnsi="Verdana"/>
          <w:bCs/>
          <w:sz w:val="20"/>
          <w:szCs w:val="20"/>
        </w:rPr>
        <w:t>ó</w:t>
      </w:r>
      <w:r w:rsidR="00256B09">
        <w:rPr>
          <w:rFonts w:ascii="Verdana" w:eastAsia="Calibri" w:hAnsi="Verdana"/>
          <w:bCs/>
          <w:sz w:val="20"/>
          <w:szCs w:val="20"/>
        </w:rPr>
        <w:t xml:space="preserve"> no haber violentado su derecho reconocido en el artículo 22 convencional (</w:t>
      </w:r>
      <w:r w:rsidR="00F40CA4" w:rsidRPr="00F40CA4">
        <w:rPr>
          <w:rFonts w:ascii="Verdana" w:eastAsia="Calibri" w:hAnsi="Verdana"/>
          <w:bCs/>
          <w:i/>
          <w:sz w:val="20"/>
          <w:szCs w:val="20"/>
        </w:rPr>
        <w:t xml:space="preserve">supra </w:t>
      </w:r>
      <w:r w:rsidR="007E5466">
        <w:rPr>
          <w:rFonts w:ascii="Verdana" w:eastAsia="Calibri" w:hAnsi="Verdana"/>
          <w:bCs/>
          <w:sz w:val="20"/>
          <w:szCs w:val="20"/>
        </w:rPr>
        <w:t>262</w:t>
      </w:r>
      <w:r w:rsidR="00256B09">
        <w:rPr>
          <w:rFonts w:ascii="Verdana" w:eastAsia="Calibri" w:hAnsi="Verdana"/>
          <w:bCs/>
          <w:sz w:val="20"/>
          <w:szCs w:val="20"/>
        </w:rPr>
        <w:t>)</w:t>
      </w:r>
      <w:r w:rsidRPr="00256B09">
        <w:rPr>
          <w:rFonts w:ascii="Verdana" w:eastAsia="Calibri" w:hAnsi="Verdana"/>
          <w:bCs/>
          <w:sz w:val="20"/>
          <w:szCs w:val="20"/>
        </w:rPr>
        <w:t>.</w:t>
      </w:r>
      <w:r>
        <w:rPr>
          <w:rFonts w:ascii="Verdana" w:eastAsia="Calibri" w:hAnsi="Verdana"/>
          <w:bCs/>
          <w:sz w:val="20"/>
          <w:szCs w:val="20"/>
        </w:rPr>
        <w:t xml:space="preserve"> Sobre este particular, el Tribunal advierte que </w:t>
      </w:r>
      <w:r w:rsidR="00AF3744">
        <w:rPr>
          <w:rFonts w:ascii="Verdana" w:eastAsia="Calibri" w:hAnsi="Verdana"/>
          <w:bCs/>
          <w:sz w:val="20"/>
          <w:szCs w:val="20"/>
        </w:rPr>
        <w:t xml:space="preserve">si bien el </w:t>
      </w:r>
      <w:r>
        <w:rPr>
          <w:rFonts w:ascii="Verdana" w:eastAsia="Calibri" w:hAnsi="Verdana"/>
          <w:bCs/>
          <w:sz w:val="20"/>
          <w:szCs w:val="20"/>
        </w:rPr>
        <w:t xml:space="preserve">Estado </w:t>
      </w:r>
      <w:r w:rsidR="00AF3744">
        <w:rPr>
          <w:rFonts w:ascii="Verdana" w:eastAsia="Calibri" w:hAnsi="Verdana"/>
          <w:bCs/>
          <w:sz w:val="20"/>
          <w:szCs w:val="20"/>
        </w:rPr>
        <w:t xml:space="preserve">brindó </w:t>
      </w:r>
      <w:r w:rsidR="00A64184">
        <w:rPr>
          <w:rFonts w:ascii="Verdana" w:eastAsia="Calibri" w:hAnsi="Verdana"/>
          <w:bCs/>
          <w:sz w:val="20"/>
          <w:szCs w:val="20"/>
        </w:rPr>
        <w:t>algunas</w:t>
      </w:r>
      <w:r>
        <w:rPr>
          <w:rFonts w:ascii="Verdana" w:eastAsia="Calibri" w:hAnsi="Verdana"/>
          <w:bCs/>
          <w:sz w:val="20"/>
          <w:szCs w:val="20"/>
        </w:rPr>
        <w:t xml:space="preserve"> </w:t>
      </w:r>
      <w:r w:rsidR="00AF3744">
        <w:rPr>
          <w:rFonts w:ascii="Verdana" w:eastAsia="Calibri" w:hAnsi="Verdana"/>
          <w:bCs/>
          <w:sz w:val="20"/>
          <w:szCs w:val="20"/>
        </w:rPr>
        <w:t>medidas de seguridad frente al riesgo</w:t>
      </w:r>
      <w:r w:rsidR="00A64184">
        <w:rPr>
          <w:rFonts w:ascii="Verdana" w:eastAsia="Calibri" w:hAnsi="Verdana"/>
          <w:bCs/>
          <w:sz w:val="20"/>
          <w:szCs w:val="20"/>
        </w:rPr>
        <w:t>, las cuales fueron adoptadas</w:t>
      </w:r>
      <w:r w:rsidR="00AF3744">
        <w:rPr>
          <w:rFonts w:ascii="Verdana" w:eastAsia="Calibri" w:hAnsi="Verdana"/>
          <w:bCs/>
          <w:sz w:val="20"/>
          <w:szCs w:val="20"/>
        </w:rPr>
        <w:t xml:space="preserve"> de común acuerdo con las beneficiarias, dicho grupo familiar </w:t>
      </w:r>
      <w:r w:rsidR="00A64184">
        <w:rPr>
          <w:rFonts w:ascii="Verdana" w:eastAsia="Calibri" w:hAnsi="Verdana"/>
          <w:bCs/>
          <w:sz w:val="20"/>
          <w:szCs w:val="20"/>
        </w:rPr>
        <w:t xml:space="preserve">ya </w:t>
      </w:r>
      <w:r w:rsidR="00AF3744">
        <w:rPr>
          <w:rFonts w:ascii="Verdana" w:eastAsia="Calibri" w:hAnsi="Verdana"/>
          <w:bCs/>
          <w:sz w:val="20"/>
          <w:szCs w:val="20"/>
        </w:rPr>
        <w:t>ha salido de dicho refugio</w:t>
      </w:r>
      <w:r w:rsidR="00256B09">
        <w:rPr>
          <w:rFonts w:ascii="Verdana" w:eastAsia="Calibri" w:hAnsi="Verdana"/>
          <w:bCs/>
          <w:sz w:val="20"/>
          <w:szCs w:val="20"/>
        </w:rPr>
        <w:t xml:space="preserve"> y se ha vuelto a trasladar</w:t>
      </w:r>
      <w:r w:rsidR="00AF3744">
        <w:rPr>
          <w:rFonts w:ascii="Verdana" w:eastAsia="Calibri" w:hAnsi="Verdana"/>
          <w:bCs/>
          <w:sz w:val="20"/>
          <w:szCs w:val="20"/>
        </w:rPr>
        <w:t xml:space="preserve">, por lo que la Corte entiende </w:t>
      </w:r>
      <w:r w:rsidR="00A64184">
        <w:rPr>
          <w:rFonts w:ascii="Verdana" w:eastAsia="Calibri" w:hAnsi="Verdana"/>
          <w:bCs/>
          <w:sz w:val="20"/>
          <w:szCs w:val="20"/>
        </w:rPr>
        <w:t xml:space="preserve">que </w:t>
      </w:r>
      <w:r w:rsidR="00AF3744">
        <w:rPr>
          <w:rFonts w:ascii="Verdana" w:eastAsia="Calibri" w:hAnsi="Verdana"/>
          <w:bCs/>
          <w:sz w:val="20"/>
          <w:szCs w:val="20"/>
        </w:rPr>
        <w:t xml:space="preserve">dicha medida </w:t>
      </w:r>
      <w:r w:rsidR="00256B09">
        <w:rPr>
          <w:rFonts w:ascii="Verdana" w:eastAsia="Calibri" w:hAnsi="Verdana"/>
          <w:bCs/>
          <w:sz w:val="20"/>
          <w:szCs w:val="20"/>
        </w:rPr>
        <w:t xml:space="preserve">asistencial </w:t>
      </w:r>
      <w:r w:rsidR="00AF3744">
        <w:rPr>
          <w:rFonts w:ascii="Verdana" w:eastAsia="Calibri" w:hAnsi="Verdana"/>
          <w:bCs/>
          <w:sz w:val="20"/>
          <w:szCs w:val="20"/>
        </w:rPr>
        <w:t>tuvo un carácter temporal</w:t>
      </w:r>
      <w:r w:rsidR="00F8731E">
        <w:rPr>
          <w:rFonts w:ascii="Verdana" w:eastAsia="Calibri" w:hAnsi="Verdana"/>
          <w:bCs/>
          <w:sz w:val="20"/>
          <w:szCs w:val="20"/>
        </w:rPr>
        <w:t xml:space="preserve"> </w:t>
      </w:r>
      <w:r w:rsidR="00F8731E" w:rsidRPr="008D0846">
        <w:rPr>
          <w:rFonts w:ascii="Verdana" w:eastAsia="Calibri" w:hAnsi="Verdana"/>
          <w:bCs/>
          <w:sz w:val="20"/>
          <w:szCs w:val="20"/>
        </w:rPr>
        <w:t>e ineficaz</w:t>
      </w:r>
      <w:r w:rsidR="00AF3744">
        <w:rPr>
          <w:rFonts w:ascii="Verdana" w:eastAsia="Calibri" w:hAnsi="Verdana"/>
          <w:bCs/>
          <w:sz w:val="20"/>
          <w:szCs w:val="20"/>
        </w:rPr>
        <w:t xml:space="preserve"> y no así una solución como garantía de retorno o reubicación frente al riesgo y contexto del caso. </w:t>
      </w:r>
    </w:p>
    <w:p w14:paraId="193F7875" w14:textId="40BB62CF" w:rsidR="00C10619" w:rsidRPr="0095417D"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trike/>
          <w:sz w:val="20"/>
          <w:szCs w:val="20"/>
        </w:rPr>
      </w:pPr>
      <w:r w:rsidRPr="00050530">
        <w:rPr>
          <w:rFonts w:ascii="Verdana" w:hAnsi="Verdana"/>
          <w:sz w:val="20"/>
          <w:szCs w:val="20"/>
        </w:rPr>
        <w:t>En relación con el derecho a la famili</w:t>
      </w:r>
      <w:r w:rsidR="008D4347" w:rsidRPr="00050530">
        <w:rPr>
          <w:rFonts w:ascii="Verdana" w:hAnsi="Verdana"/>
          <w:sz w:val="20"/>
          <w:szCs w:val="20"/>
        </w:rPr>
        <w:t>a, la Corte ha considerado en casos de desplazamiento forzado que ese fenómeno, en tanto conlleve la separación o fragmentación del núcleo familiar, puede generar la responsabilidad del Estado por la transgresión d</w:t>
      </w:r>
      <w:r w:rsidR="006E1798" w:rsidRPr="00050530">
        <w:rPr>
          <w:rFonts w:ascii="Verdana" w:hAnsi="Verdana"/>
          <w:sz w:val="20"/>
          <w:szCs w:val="20"/>
        </w:rPr>
        <w:t>el artículo 17 de la Convención</w:t>
      </w:r>
      <w:r w:rsidR="006E1798">
        <w:rPr>
          <w:rStyle w:val="Refdenotaalpie"/>
          <w:rFonts w:ascii="Verdana" w:hAnsi="Verdana"/>
          <w:sz w:val="20"/>
          <w:szCs w:val="20"/>
        </w:rPr>
        <w:footnoteReference w:id="516"/>
      </w:r>
      <w:r w:rsidR="006E1798" w:rsidRPr="00050530">
        <w:rPr>
          <w:rFonts w:ascii="Verdana" w:hAnsi="Verdana"/>
          <w:sz w:val="20"/>
          <w:szCs w:val="20"/>
        </w:rPr>
        <w:t xml:space="preserve">. </w:t>
      </w:r>
    </w:p>
    <w:p w14:paraId="4DABC2DC" w14:textId="33BBDEDE" w:rsidR="008D4347" w:rsidRPr="00F6449D" w:rsidRDefault="00C10619"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b/>
          <w:sz w:val="20"/>
          <w:szCs w:val="20"/>
        </w:rPr>
      </w:pPr>
      <w:r w:rsidRPr="00F6449D">
        <w:rPr>
          <w:rFonts w:ascii="Verdana" w:hAnsi="Verdana"/>
          <w:sz w:val="20"/>
          <w:szCs w:val="20"/>
        </w:rPr>
        <w:t xml:space="preserve">Al respecto, </w:t>
      </w:r>
      <w:r w:rsidRPr="00F6449D">
        <w:rPr>
          <w:rFonts w:ascii="Verdana" w:hAnsi="Verdana"/>
          <w:sz w:val="20"/>
          <w:szCs w:val="20"/>
          <w:lang w:val="es-ES"/>
        </w:rPr>
        <w:t xml:space="preserve">en el marco del presente proceso, fueron presentados numerosas declaraciones que dan cuenta del efecto que ha tenido sobre la integridad de la familia Alvarado, así como en la vida de cada uno de sus integrantes, el hecho que hayan tenido que </w:t>
      </w:r>
      <w:r w:rsidR="008D4347" w:rsidRPr="00F6449D">
        <w:rPr>
          <w:rFonts w:ascii="Verdana" w:hAnsi="Verdana"/>
          <w:sz w:val="20"/>
          <w:szCs w:val="20"/>
          <w:lang w:val="es-ES"/>
        </w:rPr>
        <w:t>dispersarse fuera de sus lugares de origen</w:t>
      </w:r>
      <w:r w:rsidR="002D1825" w:rsidRPr="00F6449D">
        <w:rPr>
          <w:rFonts w:ascii="Verdana" w:hAnsi="Verdana"/>
          <w:sz w:val="20"/>
          <w:szCs w:val="20"/>
          <w:lang w:val="es-ES"/>
        </w:rPr>
        <w:t xml:space="preserve"> y desintegrarse como familia</w:t>
      </w:r>
      <w:r w:rsidR="002D1825" w:rsidRPr="00F6449D">
        <w:rPr>
          <w:rStyle w:val="Refdenotaalpie"/>
          <w:rFonts w:ascii="Verdana" w:hAnsi="Verdana"/>
          <w:sz w:val="20"/>
          <w:szCs w:val="20"/>
          <w:lang w:val="es-ES"/>
        </w:rPr>
        <w:footnoteReference w:id="517"/>
      </w:r>
      <w:r w:rsidRPr="00F6449D">
        <w:rPr>
          <w:rFonts w:ascii="Verdana" w:hAnsi="Verdana"/>
          <w:sz w:val="20"/>
          <w:szCs w:val="20"/>
          <w:lang w:val="es-ES"/>
        </w:rPr>
        <w:t xml:space="preserve">, sin que el Estado </w:t>
      </w:r>
      <w:r w:rsidR="008D4347" w:rsidRPr="00F6449D">
        <w:rPr>
          <w:rFonts w:ascii="Verdana" w:hAnsi="Verdana"/>
          <w:sz w:val="20"/>
          <w:szCs w:val="20"/>
          <w:lang w:val="es-ES"/>
        </w:rPr>
        <w:t>haya brindado en definitiva</w:t>
      </w:r>
      <w:r w:rsidRPr="00F6449D">
        <w:rPr>
          <w:rFonts w:ascii="Verdana" w:hAnsi="Verdana"/>
          <w:sz w:val="20"/>
          <w:szCs w:val="20"/>
          <w:lang w:val="es-ES"/>
        </w:rPr>
        <w:t xml:space="preserve"> las condiciones de seguridad para su retorno</w:t>
      </w:r>
      <w:r w:rsidR="006A3F76" w:rsidRPr="00F6449D">
        <w:rPr>
          <w:rFonts w:ascii="Verdana" w:hAnsi="Verdana"/>
          <w:sz w:val="20"/>
          <w:szCs w:val="20"/>
          <w:lang w:val="es-ES"/>
        </w:rPr>
        <w:t xml:space="preserve"> o </w:t>
      </w:r>
      <w:r w:rsidR="00C66BBA" w:rsidRPr="00F6449D">
        <w:rPr>
          <w:rFonts w:ascii="Verdana" w:hAnsi="Verdana"/>
          <w:sz w:val="20"/>
          <w:szCs w:val="20"/>
          <w:lang w:val="es-ES"/>
        </w:rPr>
        <w:t>reubicación</w:t>
      </w:r>
      <w:r w:rsidRPr="00F6449D">
        <w:rPr>
          <w:rFonts w:ascii="Verdana" w:hAnsi="Verdana"/>
          <w:sz w:val="20"/>
          <w:szCs w:val="20"/>
          <w:lang w:val="es-ES"/>
        </w:rPr>
        <w:t xml:space="preserve">. </w:t>
      </w:r>
    </w:p>
    <w:p w14:paraId="64AA611F" w14:textId="5E5D695E" w:rsidR="001903B5" w:rsidRPr="003564A3" w:rsidRDefault="001903B5" w:rsidP="003564A3">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D4347">
        <w:rPr>
          <w:rFonts w:ascii="Verdana" w:hAnsi="Verdana"/>
          <w:sz w:val="20"/>
          <w:szCs w:val="20"/>
        </w:rPr>
        <w:t>En vista de</w:t>
      </w:r>
      <w:r>
        <w:rPr>
          <w:rFonts w:ascii="Verdana" w:hAnsi="Verdana"/>
          <w:sz w:val="20"/>
          <w:szCs w:val="20"/>
        </w:rPr>
        <w:t xml:space="preserve"> lo anterior, la Corte concluye que el Estado mexicano no garantizó el derecho a </w:t>
      </w:r>
      <w:r>
        <w:rPr>
          <w:rFonts w:ascii="Verdana" w:hAnsi="Verdana"/>
          <w:sz w:val="20"/>
          <w:szCs w:val="20"/>
        </w:rPr>
        <w:lastRenderedPageBreak/>
        <w:t>la integridad personal derivado de las amenazas recibidas en perjuicio de José Ángel Alvarado Fa</w:t>
      </w:r>
      <w:r w:rsidR="00B82930">
        <w:rPr>
          <w:rFonts w:ascii="Verdana" w:hAnsi="Verdana"/>
          <w:sz w:val="20"/>
          <w:szCs w:val="20"/>
        </w:rPr>
        <w:t>b</w:t>
      </w:r>
      <w:r>
        <w:rPr>
          <w:rFonts w:ascii="Verdana" w:hAnsi="Verdana"/>
          <w:sz w:val="20"/>
          <w:szCs w:val="20"/>
        </w:rPr>
        <w:t xml:space="preserve">ela y </w:t>
      </w:r>
      <w:r w:rsidRPr="000F52B4">
        <w:rPr>
          <w:rFonts w:ascii="Verdana" w:hAnsi="Verdana"/>
          <w:sz w:val="20"/>
          <w:szCs w:val="20"/>
        </w:rPr>
        <w:t>Jaime Alvarado</w:t>
      </w:r>
      <w:r w:rsidR="00C843D9">
        <w:rPr>
          <w:rFonts w:ascii="Verdana" w:hAnsi="Verdana"/>
          <w:sz w:val="20"/>
          <w:szCs w:val="20"/>
        </w:rPr>
        <w:t xml:space="preserve"> Herrera</w:t>
      </w:r>
      <w:r>
        <w:rPr>
          <w:rFonts w:ascii="Verdana" w:hAnsi="Verdana"/>
          <w:sz w:val="20"/>
          <w:szCs w:val="20"/>
        </w:rPr>
        <w:t>,</w:t>
      </w:r>
      <w:r w:rsidRPr="000F52B4">
        <w:rPr>
          <w:rFonts w:ascii="Verdana" w:hAnsi="Verdana"/>
          <w:sz w:val="20"/>
          <w:szCs w:val="20"/>
        </w:rPr>
        <w:t xml:space="preserve"> así como de su</w:t>
      </w:r>
      <w:r>
        <w:rPr>
          <w:rFonts w:ascii="Verdana" w:hAnsi="Verdana"/>
          <w:sz w:val="20"/>
          <w:szCs w:val="20"/>
        </w:rPr>
        <w:t>s</w:t>
      </w:r>
      <w:r w:rsidRPr="000F52B4">
        <w:rPr>
          <w:rFonts w:ascii="Verdana" w:hAnsi="Verdana"/>
          <w:sz w:val="20"/>
          <w:szCs w:val="20"/>
        </w:rPr>
        <w:t xml:space="preserve"> </w:t>
      </w:r>
      <w:r w:rsidR="00B10D72">
        <w:rPr>
          <w:rFonts w:ascii="Verdana" w:hAnsi="Verdana"/>
          <w:sz w:val="20"/>
          <w:szCs w:val="20"/>
        </w:rPr>
        <w:t xml:space="preserve">respectivos </w:t>
      </w:r>
      <w:r w:rsidRPr="000F52B4">
        <w:rPr>
          <w:rFonts w:ascii="Verdana" w:hAnsi="Verdana"/>
          <w:sz w:val="20"/>
          <w:szCs w:val="20"/>
        </w:rPr>
        <w:t>grupo</w:t>
      </w:r>
      <w:r>
        <w:rPr>
          <w:rFonts w:ascii="Verdana" w:hAnsi="Verdana"/>
          <w:sz w:val="20"/>
          <w:szCs w:val="20"/>
        </w:rPr>
        <w:t>s</w:t>
      </w:r>
      <w:r w:rsidRPr="000F52B4">
        <w:rPr>
          <w:rFonts w:ascii="Verdana" w:hAnsi="Verdana"/>
          <w:sz w:val="20"/>
          <w:szCs w:val="20"/>
        </w:rPr>
        <w:t xml:space="preserve"> familiar</w:t>
      </w:r>
      <w:r>
        <w:rPr>
          <w:rFonts w:ascii="Verdana" w:hAnsi="Verdana"/>
          <w:sz w:val="20"/>
          <w:szCs w:val="20"/>
        </w:rPr>
        <w:t>es</w:t>
      </w:r>
      <w:r w:rsidR="00393F53">
        <w:rPr>
          <w:rFonts w:ascii="Verdana" w:hAnsi="Verdana"/>
          <w:sz w:val="20"/>
          <w:szCs w:val="20"/>
        </w:rPr>
        <w:t xml:space="preserve"> (</w:t>
      </w:r>
      <w:r w:rsidR="00393F53">
        <w:rPr>
          <w:rFonts w:ascii="Verdana" w:hAnsi="Verdana"/>
          <w:i/>
          <w:sz w:val="20"/>
          <w:szCs w:val="20"/>
        </w:rPr>
        <w:t xml:space="preserve">supra, </w:t>
      </w:r>
      <w:r w:rsidR="00393F53">
        <w:rPr>
          <w:rFonts w:ascii="Verdana" w:hAnsi="Verdana"/>
          <w:sz w:val="20"/>
          <w:szCs w:val="20"/>
        </w:rPr>
        <w:t>párr</w:t>
      </w:r>
      <w:r w:rsidR="00E70B53">
        <w:rPr>
          <w:rFonts w:ascii="Verdana" w:hAnsi="Verdana"/>
          <w:sz w:val="20"/>
          <w:szCs w:val="20"/>
        </w:rPr>
        <w:t>s</w:t>
      </w:r>
      <w:r w:rsidR="00393F53">
        <w:rPr>
          <w:rFonts w:ascii="Verdana" w:hAnsi="Verdana"/>
          <w:sz w:val="20"/>
          <w:szCs w:val="20"/>
        </w:rPr>
        <w:t xml:space="preserve">. </w:t>
      </w:r>
      <w:r w:rsidR="00E70B53">
        <w:rPr>
          <w:rFonts w:ascii="Verdana" w:hAnsi="Verdana"/>
          <w:sz w:val="20"/>
          <w:szCs w:val="20"/>
        </w:rPr>
        <w:t>78 y 271</w:t>
      </w:r>
      <w:r w:rsidR="00393F53">
        <w:rPr>
          <w:rFonts w:ascii="Verdana" w:hAnsi="Verdana"/>
          <w:sz w:val="20"/>
          <w:szCs w:val="20"/>
        </w:rPr>
        <w:t>)</w:t>
      </w:r>
      <w:r w:rsidR="00C843D9">
        <w:rPr>
          <w:rFonts w:ascii="Verdana" w:hAnsi="Verdana"/>
          <w:sz w:val="20"/>
          <w:szCs w:val="20"/>
        </w:rPr>
        <w:t>.</w:t>
      </w:r>
      <w:r w:rsidR="00B10D72">
        <w:rPr>
          <w:rFonts w:ascii="Verdana" w:hAnsi="Verdana"/>
          <w:sz w:val="20"/>
          <w:szCs w:val="20"/>
        </w:rPr>
        <w:t xml:space="preserve"> </w:t>
      </w:r>
      <w:r>
        <w:rPr>
          <w:rFonts w:ascii="Verdana" w:hAnsi="Verdana"/>
          <w:sz w:val="20"/>
          <w:szCs w:val="20"/>
        </w:rPr>
        <w:t xml:space="preserve">Asimismo, el Estado no garantizó el </w:t>
      </w:r>
      <w:r w:rsidRPr="00106AEA">
        <w:rPr>
          <w:rFonts w:ascii="Verdana" w:hAnsi="Verdana"/>
          <w:sz w:val="20"/>
          <w:szCs w:val="20"/>
        </w:rPr>
        <w:t xml:space="preserve">derecho de circulación y </w:t>
      </w:r>
      <w:r w:rsidR="00393F53">
        <w:rPr>
          <w:rFonts w:ascii="Verdana" w:hAnsi="Verdana"/>
          <w:sz w:val="20"/>
          <w:szCs w:val="20"/>
        </w:rPr>
        <w:t xml:space="preserve"> </w:t>
      </w:r>
      <w:r w:rsidRPr="00106AEA">
        <w:rPr>
          <w:rFonts w:ascii="Verdana" w:hAnsi="Verdana"/>
          <w:sz w:val="20"/>
          <w:szCs w:val="20"/>
        </w:rPr>
        <w:t>residencia</w:t>
      </w:r>
      <w:r w:rsidRPr="00FD4231">
        <w:rPr>
          <w:rFonts w:ascii="Verdana" w:hAnsi="Verdana"/>
          <w:sz w:val="20"/>
          <w:szCs w:val="20"/>
        </w:rPr>
        <w:t xml:space="preserve"> </w:t>
      </w:r>
      <w:r w:rsidR="00C75DFE">
        <w:rPr>
          <w:rFonts w:ascii="Verdana" w:hAnsi="Verdana"/>
          <w:sz w:val="20"/>
          <w:szCs w:val="20"/>
        </w:rPr>
        <w:t>y el derecho a la protección de la familia</w:t>
      </w:r>
      <w:r>
        <w:rPr>
          <w:rFonts w:ascii="Verdana" w:hAnsi="Verdana"/>
          <w:sz w:val="20"/>
          <w:szCs w:val="20"/>
        </w:rPr>
        <w:t xml:space="preserve">, </w:t>
      </w:r>
      <w:r w:rsidRPr="00FD4231">
        <w:rPr>
          <w:rFonts w:ascii="Verdana" w:hAnsi="Verdana"/>
          <w:sz w:val="20"/>
          <w:szCs w:val="20"/>
        </w:rPr>
        <w:t>en perjuicio de</w:t>
      </w:r>
      <w:r>
        <w:rPr>
          <w:rFonts w:ascii="Verdana" w:hAnsi="Verdana"/>
          <w:sz w:val="20"/>
          <w:szCs w:val="20"/>
        </w:rPr>
        <w:t xml:space="preserve"> los grupos familiares identificados anteriormente (</w:t>
      </w:r>
      <w:r w:rsidRPr="006A385C">
        <w:rPr>
          <w:rFonts w:ascii="Verdana" w:hAnsi="Verdana"/>
          <w:i/>
          <w:sz w:val="20"/>
          <w:szCs w:val="20"/>
        </w:rPr>
        <w:t>supra</w:t>
      </w:r>
      <w:r>
        <w:rPr>
          <w:rFonts w:ascii="Verdana" w:hAnsi="Verdana"/>
          <w:sz w:val="20"/>
          <w:szCs w:val="20"/>
        </w:rPr>
        <w:t xml:space="preserve">, </w:t>
      </w:r>
      <w:r w:rsidR="00C75DFE">
        <w:rPr>
          <w:rFonts w:ascii="Verdana" w:hAnsi="Verdana"/>
          <w:sz w:val="20"/>
          <w:szCs w:val="20"/>
        </w:rPr>
        <w:t xml:space="preserve">párrs. </w:t>
      </w:r>
      <w:r w:rsidR="00E70B53">
        <w:rPr>
          <w:rFonts w:ascii="Verdana" w:hAnsi="Verdana"/>
          <w:sz w:val="20"/>
          <w:szCs w:val="20"/>
        </w:rPr>
        <w:t>151 a 156</w:t>
      </w:r>
      <w:r w:rsidR="00C75DFE" w:rsidRPr="00DB2B33">
        <w:rPr>
          <w:rFonts w:ascii="Verdana" w:hAnsi="Verdana"/>
          <w:sz w:val="20"/>
          <w:szCs w:val="20"/>
        </w:rPr>
        <w:t>),</w:t>
      </w:r>
      <w:r w:rsidR="00C75DFE">
        <w:rPr>
          <w:rFonts w:ascii="Verdana" w:hAnsi="Verdana"/>
          <w:sz w:val="20"/>
          <w:szCs w:val="20"/>
        </w:rPr>
        <w:t xml:space="preserve"> </w:t>
      </w:r>
      <w:r>
        <w:rPr>
          <w:rFonts w:ascii="Verdana" w:hAnsi="Verdana"/>
          <w:sz w:val="20"/>
          <w:szCs w:val="20"/>
        </w:rPr>
        <w:t xml:space="preserve">quienes </w:t>
      </w:r>
      <w:r w:rsidR="00C75DFE">
        <w:rPr>
          <w:rFonts w:ascii="Verdana" w:hAnsi="Verdana"/>
          <w:sz w:val="20"/>
          <w:szCs w:val="20"/>
        </w:rPr>
        <w:t xml:space="preserve">se vieron obligados a </w:t>
      </w:r>
      <w:r w:rsidRPr="00D30F3F">
        <w:rPr>
          <w:rFonts w:ascii="Verdana" w:eastAsia="Calibri" w:hAnsi="Verdana"/>
          <w:bCs/>
          <w:sz w:val="20"/>
          <w:szCs w:val="20"/>
        </w:rPr>
        <w:t>desplazarse</w:t>
      </w:r>
      <w:r w:rsidR="00C75DFE">
        <w:rPr>
          <w:rFonts w:ascii="Verdana" w:eastAsia="Calibri" w:hAnsi="Verdana"/>
          <w:bCs/>
          <w:sz w:val="20"/>
          <w:szCs w:val="20"/>
        </w:rPr>
        <w:t xml:space="preserve"> </w:t>
      </w:r>
      <w:r>
        <w:rPr>
          <w:rFonts w:ascii="Verdana" w:eastAsia="Calibri" w:hAnsi="Verdana"/>
          <w:bCs/>
          <w:sz w:val="20"/>
          <w:szCs w:val="20"/>
        </w:rPr>
        <w:t>con motivo de</w:t>
      </w:r>
      <w:r w:rsidRPr="00D30F3F">
        <w:rPr>
          <w:rFonts w:ascii="Verdana" w:eastAsia="Calibri" w:hAnsi="Verdana"/>
          <w:bCs/>
          <w:sz w:val="20"/>
          <w:szCs w:val="20"/>
        </w:rPr>
        <w:t xml:space="preserve"> la desaparición</w:t>
      </w:r>
      <w:r>
        <w:rPr>
          <w:rFonts w:ascii="Verdana" w:eastAsia="Calibri" w:hAnsi="Verdana"/>
          <w:bCs/>
          <w:sz w:val="20"/>
          <w:szCs w:val="20"/>
        </w:rPr>
        <w:t xml:space="preserve"> forzada</w:t>
      </w:r>
      <w:r w:rsidRPr="00D30F3F">
        <w:rPr>
          <w:rFonts w:ascii="Verdana" w:eastAsia="Calibri" w:hAnsi="Verdana"/>
          <w:bCs/>
          <w:sz w:val="20"/>
          <w:szCs w:val="20"/>
        </w:rPr>
        <w:t xml:space="preserve"> de sus familiares, la</w:t>
      </w:r>
      <w:r>
        <w:rPr>
          <w:rFonts w:ascii="Verdana" w:eastAsia="Calibri" w:hAnsi="Verdana"/>
          <w:bCs/>
          <w:sz w:val="20"/>
          <w:szCs w:val="20"/>
        </w:rPr>
        <w:t>s amenazas, hostigamientos,</w:t>
      </w:r>
      <w:r w:rsidRPr="00D30F3F">
        <w:rPr>
          <w:rFonts w:ascii="Verdana" w:eastAsia="Calibri" w:hAnsi="Verdana"/>
          <w:bCs/>
          <w:sz w:val="20"/>
          <w:szCs w:val="20"/>
        </w:rPr>
        <w:t xml:space="preserve"> muerte de </w:t>
      </w:r>
      <w:r>
        <w:rPr>
          <w:rFonts w:ascii="Verdana" w:eastAsia="Calibri" w:hAnsi="Verdana"/>
          <w:bCs/>
          <w:sz w:val="20"/>
          <w:szCs w:val="20"/>
        </w:rPr>
        <w:t xml:space="preserve">un familiar, así como por no brindar las garantías </w:t>
      </w:r>
      <w:r w:rsidR="00412A10">
        <w:rPr>
          <w:rFonts w:ascii="Verdana" w:eastAsia="Calibri" w:hAnsi="Verdana"/>
          <w:bCs/>
          <w:sz w:val="20"/>
          <w:szCs w:val="20"/>
        </w:rPr>
        <w:t xml:space="preserve">para un </w:t>
      </w:r>
      <w:r>
        <w:rPr>
          <w:rFonts w:ascii="Verdana" w:eastAsia="Calibri" w:hAnsi="Verdana"/>
          <w:bCs/>
          <w:sz w:val="20"/>
          <w:szCs w:val="20"/>
        </w:rPr>
        <w:t>retorno</w:t>
      </w:r>
      <w:r w:rsidR="00412A10">
        <w:rPr>
          <w:rFonts w:ascii="Verdana" w:eastAsia="Calibri" w:hAnsi="Verdana"/>
          <w:bCs/>
          <w:sz w:val="20"/>
          <w:szCs w:val="20"/>
        </w:rPr>
        <w:t xml:space="preserve"> seguro</w:t>
      </w:r>
      <w:r>
        <w:rPr>
          <w:rFonts w:ascii="Verdana" w:eastAsia="Calibri" w:hAnsi="Verdana"/>
          <w:bCs/>
          <w:sz w:val="20"/>
          <w:szCs w:val="20"/>
        </w:rPr>
        <w:t xml:space="preserve">; lo anterior, no obstante la vigencia de medidas provisionales ordenadas por este Tribunal. </w:t>
      </w:r>
      <w:r w:rsidR="00C929D3">
        <w:rPr>
          <w:rFonts w:ascii="Verdana" w:eastAsia="Calibri" w:hAnsi="Verdana"/>
          <w:bCs/>
          <w:sz w:val="20"/>
          <w:szCs w:val="20"/>
        </w:rPr>
        <w:t>Lo anterior</w:t>
      </w:r>
      <w:r>
        <w:rPr>
          <w:rFonts w:ascii="Verdana" w:eastAsia="Calibri" w:hAnsi="Verdana"/>
          <w:bCs/>
          <w:sz w:val="20"/>
          <w:szCs w:val="20"/>
        </w:rPr>
        <w:t xml:space="preserve">, en violación de los </w:t>
      </w:r>
      <w:r w:rsidR="000062F0">
        <w:rPr>
          <w:rFonts w:ascii="Verdana" w:eastAsia="Calibri" w:hAnsi="Verdana"/>
          <w:bCs/>
          <w:sz w:val="20"/>
          <w:szCs w:val="20"/>
        </w:rPr>
        <w:t xml:space="preserve">artículos </w:t>
      </w:r>
      <w:r>
        <w:rPr>
          <w:rFonts w:ascii="Verdana" w:eastAsia="Calibri" w:hAnsi="Verdana"/>
          <w:bCs/>
          <w:sz w:val="20"/>
          <w:szCs w:val="20"/>
        </w:rPr>
        <w:t>22 y 17 de la Convención Americana</w:t>
      </w:r>
      <w:r w:rsidR="008149DB">
        <w:rPr>
          <w:rFonts w:ascii="Verdana" w:eastAsia="Calibri" w:hAnsi="Verdana"/>
          <w:bCs/>
          <w:sz w:val="20"/>
          <w:szCs w:val="20"/>
        </w:rPr>
        <w:t xml:space="preserve"> </w:t>
      </w:r>
      <w:r>
        <w:rPr>
          <w:rFonts w:ascii="Verdana" w:eastAsia="Calibri" w:hAnsi="Verdana"/>
          <w:bCs/>
          <w:sz w:val="20"/>
          <w:szCs w:val="20"/>
        </w:rPr>
        <w:t>y el incumplimiento del artículo 63.2 de la misma</w:t>
      </w:r>
      <w:r w:rsidR="00C66BBA">
        <w:rPr>
          <w:rStyle w:val="Refdenotaalpie"/>
          <w:rFonts w:ascii="Verdana" w:eastAsia="Calibri" w:hAnsi="Verdana"/>
          <w:bCs/>
          <w:sz w:val="20"/>
          <w:szCs w:val="20"/>
        </w:rPr>
        <w:footnoteReference w:id="518"/>
      </w:r>
      <w:r w:rsidR="00C66BBA">
        <w:rPr>
          <w:rFonts w:ascii="Verdana" w:eastAsia="Calibri" w:hAnsi="Verdana"/>
          <w:bCs/>
          <w:sz w:val="20"/>
          <w:szCs w:val="20"/>
        </w:rPr>
        <w:t xml:space="preserve"> (</w:t>
      </w:r>
      <w:r w:rsidR="00205AF7" w:rsidRPr="00205AF7">
        <w:rPr>
          <w:rFonts w:ascii="Verdana" w:eastAsia="Calibri" w:hAnsi="Verdana"/>
          <w:bCs/>
          <w:i/>
          <w:sz w:val="20"/>
          <w:szCs w:val="20"/>
        </w:rPr>
        <w:t>infr</w:t>
      </w:r>
      <w:r w:rsidR="00DB2B33">
        <w:rPr>
          <w:rFonts w:ascii="Verdana" w:eastAsia="Calibri" w:hAnsi="Verdana"/>
          <w:bCs/>
          <w:i/>
          <w:sz w:val="20"/>
          <w:szCs w:val="20"/>
        </w:rPr>
        <w:t xml:space="preserve">a </w:t>
      </w:r>
      <w:r w:rsidR="00F66DD4">
        <w:rPr>
          <w:rFonts w:ascii="Verdana" w:eastAsia="Calibri" w:hAnsi="Verdana"/>
          <w:bCs/>
          <w:sz w:val="20"/>
          <w:szCs w:val="20"/>
        </w:rPr>
        <w:t xml:space="preserve">párr. </w:t>
      </w:r>
      <w:r w:rsidR="00DB2B33">
        <w:rPr>
          <w:rFonts w:ascii="Verdana" w:eastAsia="Calibri" w:hAnsi="Verdana"/>
          <w:bCs/>
          <w:sz w:val="20"/>
          <w:szCs w:val="20"/>
        </w:rPr>
        <w:t>28</w:t>
      </w:r>
      <w:r w:rsidR="008149DB">
        <w:rPr>
          <w:rFonts w:ascii="Verdana" w:eastAsia="Calibri" w:hAnsi="Verdana"/>
          <w:bCs/>
          <w:sz w:val="20"/>
          <w:szCs w:val="20"/>
        </w:rPr>
        <w:t>9</w:t>
      </w:r>
      <w:r w:rsidR="00DB2B33">
        <w:rPr>
          <w:rFonts w:ascii="Verdana" w:eastAsia="Calibri" w:hAnsi="Verdana"/>
          <w:bCs/>
          <w:sz w:val="20"/>
          <w:szCs w:val="20"/>
        </w:rPr>
        <w:t xml:space="preserve">). </w:t>
      </w:r>
      <w:r w:rsidR="00F24E3C" w:rsidRPr="003564A3">
        <w:rPr>
          <w:rFonts w:ascii="Verdana" w:hAnsi="Verdana"/>
          <w:sz w:val="20"/>
          <w:szCs w:val="20"/>
        </w:rPr>
        <w:tab/>
      </w:r>
    </w:p>
    <w:p w14:paraId="7BD75A12" w14:textId="5C45D20F" w:rsidR="009114A1" w:rsidRDefault="001903B5" w:rsidP="00813B72">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rPr>
        <w:t>En relación con las alegaciones referentes a las violaciones de los artículo 11 y 19</w:t>
      </w:r>
      <w:r w:rsidR="008149DB" w:rsidRPr="008149DB">
        <w:rPr>
          <w:rFonts w:ascii="Verdana" w:eastAsia="Calibri" w:hAnsi="Verdana"/>
          <w:bCs/>
          <w:sz w:val="20"/>
          <w:szCs w:val="20"/>
        </w:rPr>
        <w:t xml:space="preserve"> </w:t>
      </w:r>
      <w:r w:rsidR="008149DB" w:rsidRPr="008149DB">
        <w:rPr>
          <w:rFonts w:ascii="Verdana" w:hAnsi="Verdana"/>
          <w:bCs/>
          <w:sz w:val="20"/>
          <w:szCs w:val="20"/>
        </w:rPr>
        <w:t>de la Convención</w:t>
      </w:r>
      <w:r>
        <w:rPr>
          <w:rFonts w:ascii="Verdana" w:hAnsi="Verdana"/>
          <w:sz w:val="20"/>
          <w:szCs w:val="20"/>
        </w:rPr>
        <w:t xml:space="preserve">, este Tribunal estima que los hechos sobre los cuales se alegan dichas afectaciones, ya han sido evaluados por esta Corte y se subsumen en </w:t>
      </w:r>
      <w:r w:rsidR="008149DB">
        <w:rPr>
          <w:rFonts w:ascii="Verdana" w:hAnsi="Verdana"/>
          <w:sz w:val="20"/>
          <w:szCs w:val="20"/>
        </w:rPr>
        <w:t>los</w:t>
      </w:r>
      <w:r>
        <w:rPr>
          <w:rFonts w:ascii="Verdana" w:hAnsi="Verdana"/>
          <w:sz w:val="20"/>
          <w:szCs w:val="20"/>
        </w:rPr>
        <w:t xml:space="preserve"> mismo</w:t>
      </w:r>
      <w:r w:rsidR="008149DB">
        <w:rPr>
          <w:rFonts w:ascii="Verdana" w:hAnsi="Verdana"/>
          <w:sz w:val="20"/>
          <w:szCs w:val="20"/>
        </w:rPr>
        <w:t>s</w:t>
      </w:r>
      <w:r>
        <w:rPr>
          <w:rFonts w:ascii="Verdana" w:hAnsi="Verdana"/>
          <w:sz w:val="20"/>
          <w:szCs w:val="20"/>
        </w:rPr>
        <w:t xml:space="preserve"> hecho</w:t>
      </w:r>
      <w:r w:rsidR="008149DB">
        <w:rPr>
          <w:rFonts w:ascii="Verdana" w:hAnsi="Verdana"/>
          <w:sz w:val="20"/>
          <w:szCs w:val="20"/>
        </w:rPr>
        <w:t>s</w:t>
      </w:r>
      <w:r>
        <w:rPr>
          <w:rFonts w:ascii="Verdana" w:hAnsi="Verdana"/>
          <w:sz w:val="20"/>
          <w:szCs w:val="20"/>
        </w:rPr>
        <w:t xml:space="preserve"> generador</w:t>
      </w:r>
      <w:r w:rsidR="008149DB">
        <w:rPr>
          <w:rFonts w:ascii="Verdana" w:hAnsi="Verdana"/>
          <w:sz w:val="20"/>
          <w:szCs w:val="20"/>
        </w:rPr>
        <w:t>es</w:t>
      </w:r>
      <w:r>
        <w:rPr>
          <w:rFonts w:ascii="Verdana" w:hAnsi="Verdana"/>
          <w:sz w:val="20"/>
          <w:szCs w:val="20"/>
        </w:rPr>
        <w:t xml:space="preserve"> (</w:t>
      </w:r>
      <w:r w:rsidR="00205AF7" w:rsidRPr="00205AF7">
        <w:rPr>
          <w:rFonts w:ascii="Verdana" w:hAnsi="Verdana"/>
          <w:i/>
          <w:sz w:val="20"/>
          <w:szCs w:val="20"/>
        </w:rPr>
        <w:t xml:space="preserve">supra </w:t>
      </w:r>
      <w:r w:rsidR="008149DB">
        <w:rPr>
          <w:rFonts w:ascii="Verdana" w:hAnsi="Verdana"/>
          <w:sz w:val="20"/>
          <w:szCs w:val="20"/>
        </w:rPr>
        <w:t>283</w:t>
      </w:r>
      <w:r>
        <w:rPr>
          <w:rFonts w:ascii="Verdana" w:hAnsi="Verdana"/>
          <w:sz w:val="20"/>
          <w:szCs w:val="20"/>
        </w:rPr>
        <w:t xml:space="preserve">), por lo que no encuentra autonomía o especificidad que requiera de una violación adicional a las ya declaradas. Lo anterior, sin perjuicio de poder ser valorados a manera de daños específicos en el capítulo de reparaciones. </w:t>
      </w:r>
    </w:p>
    <w:p w14:paraId="05560E85" w14:textId="5927D226" w:rsidR="009114A1" w:rsidRDefault="009114A1" w:rsidP="0057411A">
      <w:pPr>
        <w:pStyle w:val="Ttulo1"/>
        <w:rPr>
          <w:lang w:val="es-ES"/>
        </w:rPr>
      </w:pPr>
      <w:bookmarkStart w:id="320" w:name="_Toc526774177"/>
      <w:bookmarkStart w:id="321" w:name="_Toc526777513"/>
      <w:bookmarkStart w:id="322" w:name="_Toc526783816"/>
      <w:bookmarkStart w:id="323" w:name="_Toc532995396"/>
      <w:r>
        <w:rPr>
          <w:lang w:val="es-ES"/>
        </w:rPr>
        <w:t>VIII</w:t>
      </w:r>
      <w:bookmarkEnd w:id="320"/>
      <w:bookmarkEnd w:id="321"/>
      <w:bookmarkEnd w:id="322"/>
      <w:bookmarkEnd w:id="323"/>
    </w:p>
    <w:p w14:paraId="5177BA7D" w14:textId="77777777" w:rsidR="009114A1" w:rsidRPr="001020A5" w:rsidRDefault="009114A1" w:rsidP="0057411A">
      <w:pPr>
        <w:pStyle w:val="Ttulo1"/>
        <w:rPr>
          <w:lang w:val="es-ES"/>
        </w:rPr>
      </w:pPr>
      <w:bookmarkStart w:id="324" w:name="_Toc526774178"/>
      <w:bookmarkStart w:id="325" w:name="_Toc526777514"/>
      <w:bookmarkStart w:id="326" w:name="_Toc526783817"/>
      <w:bookmarkStart w:id="327" w:name="_Toc527561102"/>
      <w:bookmarkStart w:id="328" w:name="_Toc532995397"/>
      <w:r w:rsidRPr="001020A5">
        <w:rPr>
          <w:lang w:val="es-ES"/>
        </w:rPr>
        <w:t>REPARACIONES</w:t>
      </w:r>
      <w:bookmarkEnd w:id="324"/>
      <w:bookmarkEnd w:id="325"/>
      <w:bookmarkEnd w:id="326"/>
      <w:bookmarkEnd w:id="327"/>
      <w:bookmarkEnd w:id="328"/>
    </w:p>
    <w:p w14:paraId="6C26B1F0" w14:textId="1CBEBFB5" w:rsidR="009114A1" w:rsidRPr="006B6C63" w:rsidRDefault="009114A1" w:rsidP="0057411A">
      <w:pPr>
        <w:pStyle w:val="Ttulo1"/>
        <w:rPr>
          <w:i/>
          <w:lang w:val="es-ES"/>
        </w:rPr>
      </w:pPr>
      <w:bookmarkStart w:id="329" w:name="_Toc526774179"/>
      <w:bookmarkStart w:id="330" w:name="_Toc526777515"/>
      <w:bookmarkStart w:id="331" w:name="_Toc526780881"/>
      <w:bookmarkStart w:id="332" w:name="_Toc526783818"/>
      <w:bookmarkStart w:id="333" w:name="_Toc526785119"/>
      <w:bookmarkStart w:id="334" w:name="_Toc527561103"/>
      <w:bookmarkStart w:id="335" w:name="_Toc532995398"/>
      <w:r w:rsidRPr="001020A5">
        <w:rPr>
          <w:i/>
          <w:lang w:val="es-ES"/>
        </w:rPr>
        <w:t>(Aplicación del artículo 63.1 de la Convención Americana</w:t>
      </w:r>
      <w:r w:rsidR="00243654" w:rsidRPr="001020A5">
        <w:rPr>
          <w:rFonts w:cs="Times New Roman"/>
          <w:vertAlign w:val="superscript"/>
        </w:rPr>
        <w:footnoteReference w:id="519"/>
      </w:r>
      <w:r w:rsidRPr="001020A5">
        <w:rPr>
          <w:i/>
          <w:lang w:val="es-ES"/>
        </w:rPr>
        <w:t>)</w:t>
      </w:r>
      <w:bookmarkEnd w:id="329"/>
      <w:bookmarkEnd w:id="330"/>
      <w:bookmarkEnd w:id="331"/>
      <w:bookmarkEnd w:id="332"/>
      <w:bookmarkEnd w:id="333"/>
      <w:bookmarkEnd w:id="334"/>
      <w:bookmarkEnd w:id="335"/>
    </w:p>
    <w:p w14:paraId="70A199A6" w14:textId="536F784A" w:rsidR="009114A1" w:rsidRPr="00744CE4" w:rsidRDefault="009114A1" w:rsidP="00744CE4">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CR"/>
        </w:rPr>
        <w:t xml:space="preserve">Sobre la base de lo dispuesto en el artículo 63.1 de la Convención Americana, la Corte ha indicado que toda violación de una obligación internacional que haya producido daño, comporta el deber de repararlo adecuadamente y que esa disposición recoge una norma </w:t>
      </w:r>
      <w:r w:rsidRPr="00744CE4">
        <w:rPr>
          <w:rFonts w:ascii="Verdana" w:eastAsia="Times New Roman" w:hAnsi="Verdana" w:cs="Times New Roman"/>
          <w:bCs/>
          <w:sz w:val="20"/>
          <w:szCs w:val="20"/>
          <w:lang w:val="es-ES" w:eastAsia="es-ES"/>
        </w:rPr>
        <w:t>consuetudinaria</w:t>
      </w:r>
      <w:r w:rsidRPr="00744CE4">
        <w:rPr>
          <w:rFonts w:ascii="Verdana" w:hAnsi="Verdana" w:cs="Times New Roman"/>
          <w:sz w:val="20"/>
          <w:szCs w:val="20"/>
          <w:lang w:val="es-CR"/>
        </w:rPr>
        <w:t xml:space="preserve"> que constituye uno de los principios fundamentales del Derecho I</w:t>
      </w:r>
      <w:r w:rsidRPr="00432ABC">
        <w:rPr>
          <w:rFonts w:ascii="Verdana" w:hAnsi="Verdana" w:cs="Times New Roman"/>
          <w:sz w:val="20"/>
          <w:szCs w:val="20"/>
          <w:lang w:val="es-CR"/>
        </w:rPr>
        <w:t>nternacional contemporáneo sobre responsabilidad del Estado</w:t>
      </w:r>
      <w:r w:rsidRPr="00D6521F">
        <w:rPr>
          <w:rStyle w:val="Refdenotaalpie"/>
          <w:rFonts w:ascii="Verdana" w:hAnsi="Verdana"/>
          <w:sz w:val="20"/>
          <w:szCs w:val="20"/>
        </w:rPr>
        <w:footnoteReference w:id="520"/>
      </w:r>
      <w:r w:rsidRPr="00E74386">
        <w:rPr>
          <w:rFonts w:ascii="Verdana" w:hAnsi="Verdana" w:cs="Times New Roman"/>
          <w:sz w:val="20"/>
          <w:szCs w:val="20"/>
          <w:lang w:val="es-CR"/>
        </w:rPr>
        <w:t>.</w:t>
      </w:r>
    </w:p>
    <w:p w14:paraId="2B1C1FD3" w14:textId="7D986A07" w:rsidR="009114A1" w:rsidRPr="00744CE4" w:rsidRDefault="009114A1" w:rsidP="00744CE4">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eastAsia="Times New Roman" w:hAnsi="Verdana" w:cs="Times New Roman"/>
          <w:bCs/>
          <w:sz w:val="20"/>
          <w:szCs w:val="20"/>
          <w:lang w:val="es-ES"/>
        </w:rPr>
        <w:t xml:space="preserve">La </w:t>
      </w:r>
      <w:r w:rsidRPr="00744CE4">
        <w:rPr>
          <w:rFonts w:ascii="Verdana" w:eastAsia="Times New Roman" w:hAnsi="Verdana" w:cs="Times New Roman"/>
          <w:sz w:val="20"/>
          <w:szCs w:val="20"/>
          <w:lang w:val="es-ES" w:eastAsia="es-ES"/>
        </w:rPr>
        <w:t>reparación</w:t>
      </w:r>
      <w:r w:rsidRPr="00744CE4">
        <w:rPr>
          <w:rFonts w:ascii="Verdana" w:eastAsia="Times New Roman" w:hAnsi="Verdana" w:cs="Times New Roman"/>
          <w:bCs/>
          <w:sz w:val="20"/>
          <w:szCs w:val="20"/>
          <w:lang w:val="es-ES"/>
        </w:rPr>
        <w:t xml:space="preserve"> del daño ocasionado por la </w:t>
      </w:r>
      <w:r w:rsidR="00205AF7" w:rsidRPr="00432ABC">
        <w:rPr>
          <w:rFonts w:ascii="Verdana" w:eastAsia="Times New Roman" w:hAnsi="Verdana"/>
          <w:sz w:val="20"/>
          <w:lang w:val="es-ES"/>
        </w:rPr>
        <w:t>infra</w:t>
      </w:r>
      <w:r w:rsidRPr="00432ABC">
        <w:rPr>
          <w:rFonts w:ascii="Verdana" w:eastAsia="Times New Roman" w:hAnsi="Verdana" w:cs="Times New Roman"/>
          <w:bCs/>
          <w:sz w:val="20"/>
          <w:szCs w:val="20"/>
          <w:lang w:val="es-ES"/>
        </w:rPr>
        <w:t>cción de una obligación internacional requiere, siempre que sea posible, la plena restitución (</w:t>
      </w:r>
      <w:r w:rsidRPr="00432ABC">
        <w:rPr>
          <w:rFonts w:ascii="Verdana" w:eastAsia="Times New Roman" w:hAnsi="Verdana" w:cs="Times New Roman"/>
          <w:bCs/>
          <w:i/>
          <w:sz w:val="20"/>
          <w:szCs w:val="20"/>
          <w:lang w:val="es-ES"/>
        </w:rPr>
        <w:t>restitutio in integrum</w:t>
      </w:r>
      <w:r w:rsidRPr="00432ABC">
        <w:rPr>
          <w:rFonts w:ascii="Verdana" w:eastAsia="Times New Roman" w:hAnsi="Verdana" w:cs="Times New Roman"/>
          <w:bCs/>
          <w:sz w:val="20"/>
          <w:szCs w:val="20"/>
          <w:lang w:val="es-ES"/>
        </w:rPr>
        <w:t>), que consiste en el restablec</w:t>
      </w:r>
      <w:r w:rsidRPr="002C462C">
        <w:rPr>
          <w:rFonts w:ascii="Verdana" w:eastAsia="Times New Roman" w:hAnsi="Verdana" w:cs="Times New Roman"/>
          <w:bCs/>
          <w:sz w:val="20"/>
          <w:szCs w:val="20"/>
          <w:lang w:val="es-ES"/>
        </w:rPr>
        <w:t xml:space="preserve">imiento de la situación anterior. De no ser esto factible, como ocurre en la mayoría de los casos de violaciones a derechos humanos, el Tribunal determinará medidas para garantizar los derechos conculcados y reparar las consecuencias que las </w:t>
      </w:r>
      <w:r w:rsidR="00205AF7" w:rsidRPr="00744CE4">
        <w:rPr>
          <w:rFonts w:ascii="Verdana" w:eastAsia="Times New Roman" w:hAnsi="Verdana" w:cs="Times New Roman"/>
          <w:bCs/>
          <w:sz w:val="20"/>
          <w:szCs w:val="20"/>
          <w:lang w:val="es-ES"/>
        </w:rPr>
        <w:t>i</w:t>
      </w:r>
      <w:r w:rsidR="00563842" w:rsidRPr="00744CE4">
        <w:rPr>
          <w:rFonts w:ascii="Verdana" w:eastAsia="Times New Roman" w:hAnsi="Verdana" w:cs="Times New Roman"/>
          <w:bCs/>
          <w:sz w:val="20"/>
          <w:szCs w:val="20"/>
          <w:lang w:val="es-ES"/>
        </w:rPr>
        <w:t>nfra</w:t>
      </w:r>
      <w:r w:rsidRPr="00744CE4">
        <w:rPr>
          <w:rFonts w:ascii="Verdana" w:eastAsia="Times New Roman" w:hAnsi="Verdana" w:cs="Times New Roman"/>
          <w:bCs/>
          <w:sz w:val="20"/>
          <w:szCs w:val="20"/>
          <w:lang w:val="es-ES"/>
        </w:rPr>
        <w:t>cciones produjeron</w:t>
      </w:r>
      <w:r w:rsidRPr="00744CE4">
        <w:rPr>
          <w:rStyle w:val="Refdenotaalpie"/>
          <w:rFonts w:ascii="Verdana" w:eastAsia="Times New Roman" w:hAnsi="Verdana"/>
          <w:bCs/>
          <w:sz w:val="20"/>
          <w:szCs w:val="20"/>
          <w:lang w:val="es-ES"/>
        </w:rPr>
        <w:footnoteReference w:id="521"/>
      </w:r>
      <w:r w:rsidRPr="00744CE4">
        <w:rPr>
          <w:rFonts w:ascii="Verdana" w:eastAsia="Times New Roman" w:hAnsi="Verdana" w:cs="Times New Roman"/>
          <w:bCs/>
          <w:sz w:val="20"/>
          <w:szCs w:val="20"/>
          <w:lang w:val="es-ES"/>
        </w:rPr>
        <w:t xml:space="preserve">. Por tanto, </w:t>
      </w:r>
      <w:r w:rsidRPr="00744CE4">
        <w:rPr>
          <w:rFonts w:ascii="Verdana" w:eastAsia="Times New Roman" w:hAnsi="Verdana" w:cs="Times New Roman"/>
          <w:sz w:val="20"/>
          <w:szCs w:val="20"/>
          <w:lang w:val="es-ES"/>
        </w:rPr>
        <w:t>la Corte ha considerado la necesidad de otorgar diversas medidas de reparación</w:t>
      </w:r>
      <w:r w:rsidR="00E74386">
        <w:rPr>
          <w:rFonts w:ascii="Verdana" w:eastAsia="Times New Roman" w:hAnsi="Verdana" w:cs="Times New Roman"/>
          <w:sz w:val="20"/>
          <w:szCs w:val="20"/>
          <w:lang w:val="es-ES"/>
        </w:rPr>
        <w:t xml:space="preserve"> </w:t>
      </w:r>
      <w:r w:rsidRPr="00744CE4">
        <w:rPr>
          <w:rFonts w:ascii="Verdana" w:eastAsia="Times New Roman" w:hAnsi="Verdana" w:cs="Times New Roman"/>
          <w:sz w:val="20"/>
          <w:szCs w:val="20"/>
          <w:lang w:val="es-ES"/>
        </w:rPr>
        <w:t>a fin de resarcir los daños de manera integral</w:t>
      </w:r>
      <w:r w:rsidR="00E74386">
        <w:rPr>
          <w:rFonts w:ascii="Verdana" w:eastAsia="Times New Roman" w:hAnsi="Verdana" w:cs="Times New Roman"/>
          <w:sz w:val="20"/>
          <w:szCs w:val="20"/>
          <w:lang w:val="es-ES"/>
        </w:rPr>
        <w:t>,</w:t>
      </w:r>
      <w:r w:rsidRPr="00744CE4">
        <w:rPr>
          <w:rFonts w:ascii="Verdana" w:eastAsia="Times New Roman" w:hAnsi="Verdana" w:cs="Times New Roman"/>
          <w:sz w:val="20"/>
          <w:szCs w:val="20"/>
          <w:lang w:val="es-ES"/>
        </w:rPr>
        <w:t xml:space="preserve"> por lo que, además de las compensaciones pecuniarias, las medidas de restitución, rehabilitación, satisfacción y garantías de no repetición tienen especial relevancia </w:t>
      </w:r>
      <w:r w:rsidRPr="00744CE4">
        <w:rPr>
          <w:rFonts w:ascii="Verdana" w:eastAsia="Times New Roman" w:hAnsi="Verdana" w:cs="Times New Roman"/>
          <w:sz w:val="20"/>
          <w:szCs w:val="20"/>
          <w:lang w:val="es-ES"/>
        </w:rPr>
        <w:lastRenderedPageBreak/>
        <w:t>por los daños ocasionados</w:t>
      </w:r>
      <w:r w:rsidRPr="001B17CF">
        <w:rPr>
          <w:rStyle w:val="Refdenotaalpie"/>
          <w:rFonts w:ascii="Verdana" w:eastAsia="Times New Roman" w:hAnsi="Verdana"/>
          <w:sz w:val="20"/>
          <w:szCs w:val="20"/>
          <w:lang w:val="es-ES"/>
        </w:rPr>
        <w:footnoteReference w:id="522"/>
      </w:r>
      <w:r w:rsidRPr="001B17CF">
        <w:rPr>
          <w:rFonts w:ascii="Verdana" w:eastAsia="Times New Roman" w:hAnsi="Verdana" w:cs="Times New Roman"/>
          <w:sz w:val="20"/>
          <w:szCs w:val="20"/>
          <w:lang w:val="es-ES"/>
        </w:rPr>
        <w:t>.</w:t>
      </w:r>
    </w:p>
    <w:p w14:paraId="1358D248" w14:textId="5B1B9915" w:rsidR="009114A1" w:rsidRPr="00744CE4" w:rsidRDefault="009114A1"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CR"/>
        </w:rPr>
        <w:t xml:space="preserve">La Corte ha establecido que las reparaciones deben tener un nexo causal con los hechos del caso, las violaciones declaradas y los daños acreditados, así como con las medidas </w:t>
      </w:r>
      <w:r w:rsidRPr="00432ABC">
        <w:rPr>
          <w:rFonts w:ascii="Verdana" w:eastAsia="Times New Roman" w:hAnsi="Verdana" w:cs="Times New Roman"/>
          <w:bCs/>
          <w:sz w:val="20"/>
          <w:szCs w:val="20"/>
          <w:lang w:val="es-ES" w:eastAsia="es-ES"/>
        </w:rPr>
        <w:t>solicitadas</w:t>
      </w:r>
      <w:r w:rsidRPr="00432ABC">
        <w:rPr>
          <w:rFonts w:ascii="Verdana" w:hAnsi="Verdana" w:cs="Times New Roman"/>
          <w:sz w:val="20"/>
          <w:szCs w:val="20"/>
          <w:lang w:val="es-CR"/>
        </w:rPr>
        <w:t xml:space="preserve"> para reparar los daños respectivos. Por lo tanto, la Corte deberá observar dicha concurrencia para pronunciarse debidamente y conforme a derecho</w:t>
      </w:r>
      <w:r w:rsidRPr="001B17CF">
        <w:rPr>
          <w:rStyle w:val="Refdenotaalpie"/>
          <w:rFonts w:ascii="Verdana" w:hAnsi="Verdana"/>
          <w:sz w:val="20"/>
          <w:szCs w:val="20"/>
        </w:rPr>
        <w:footnoteReference w:id="523"/>
      </w:r>
      <w:r w:rsidRPr="00441064">
        <w:rPr>
          <w:rFonts w:ascii="Verdana" w:hAnsi="Verdana" w:cs="Times New Roman"/>
          <w:sz w:val="20"/>
          <w:szCs w:val="20"/>
          <w:lang w:val="es-CR"/>
        </w:rPr>
        <w:t>.</w:t>
      </w:r>
      <w:r w:rsidRPr="00744CE4">
        <w:rPr>
          <w:rFonts w:ascii="Verdana" w:hAnsi="Verdana" w:cs="Times New Roman"/>
          <w:sz w:val="20"/>
          <w:szCs w:val="20"/>
          <w:lang w:val="es-CR"/>
        </w:rPr>
        <w:t xml:space="preserve"> </w:t>
      </w:r>
    </w:p>
    <w:p w14:paraId="732DD401" w14:textId="4E8B2E4B" w:rsidR="009114A1" w:rsidRPr="00744CE4" w:rsidRDefault="00441064"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i/>
          <w:sz w:val="20"/>
          <w:szCs w:val="20"/>
          <w:lang w:val="es-CR"/>
        </w:rPr>
      </w:pPr>
      <w:r>
        <w:rPr>
          <w:rFonts w:ascii="Verdana" w:hAnsi="Verdana" w:cs="Times New Roman"/>
          <w:sz w:val="20"/>
          <w:szCs w:val="20"/>
          <w:lang w:val="es-CR"/>
        </w:rPr>
        <w:t>Como</w:t>
      </w:r>
      <w:r w:rsidR="00C92AEF">
        <w:rPr>
          <w:rFonts w:ascii="Verdana" w:hAnsi="Verdana" w:cs="Times New Roman"/>
          <w:sz w:val="20"/>
          <w:szCs w:val="20"/>
          <w:lang w:val="es-CR"/>
        </w:rPr>
        <w:t xml:space="preserve"> consecuencia</w:t>
      </w:r>
      <w:r w:rsidR="00C92AEF" w:rsidRPr="00744CE4">
        <w:rPr>
          <w:rFonts w:ascii="Verdana" w:hAnsi="Verdana" w:cs="Times New Roman"/>
          <w:sz w:val="20"/>
          <w:szCs w:val="20"/>
          <w:lang w:val="es-CR"/>
        </w:rPr>
        <w:t xml:space="preserve"> </w:t>
      </w:r>
      <w:r>
        <w:rPr>
          <w:rFonts w:ascii="Verdana" w:hAnsi="Verdana" w:cs="Times New Roman"/>
          <w:sz w:val="20"/>
          <w:szCs w:val="20"/>
          <w:lang w:val="es-CR"/>
        </w:rPr>
        <w:t xml:space="preserve">de </w:t>
      </w:r>
      <w:r w:rsidR="009114A1" w:rsidRPr="00744CE4">
        <w:rPr>
          <w:rFonts w:ascii="Verdana" w:hAnsi="Verdana" w:cs="Times New Roman"/>
          <w:sz w:val="20"/>
          <w:szCs w:val="20"/>
          <w:lang w:val="es-CR"/>
        </w:rPr>
        <w:t>las violaciones declaradas en la presente Sentencia</w:t>
      </w:r>
      <w:r w:rsidR="009114A1" w:rsidRPr="00432ABC">
        <w:rPr>
          <w:rFonts w:ascii="Verdana" w:hAnsi="Verdana" w:cs="Times New Roman"/>
          <w:sz w:val="20"/>
          <w:szCs w:val="20"/>
          <w:lang w:val="es-CR"/>
        </w:rPr>
        <w:t>, la Corte procederá a analizar los argumentos de las partes y la Comisión, a la luz de los criterios fijados en su jurisprudencia en relación con la naturaleza y alcance de la obligación de reparación integral, con el objeto de disponer las medidas dirigidas a reparar los daños ocasionados a las víctimas</w:t>
      </w:r>
      <w:r w:rsidR="009114A1" w:rsidRPr="00744CE4">
        <w:rPr>
          <w:rStyle w:val="Refdenotaalpie"/>
          <w:rFonts w:ascii="Verdana" w:hAnsi="Verdana"/>
          <w:sz w:val="20"/>
          <w:szCs w:val="20"/>
        </w:rPr>
        <w:footnoteReference w:id="524"/>
      </w:r>
      <w:r w:rsidR="009114A1" w:rsidRPr="00744CE4">
        <w:rPr>
          <w:rFonts w:ascii="Verdana" w:hAnsi="Verdana" w:cs="Times New Roman"/>
          <w:sz w:val="20"/>
          <w:szCs w:val="20"/>
          <w:lang w:val="es-CR"/>
        </w:rPr>
        <w:t>.</w:t>
      </w:r>
    </w:p>
    <w:p w14:paraId="3F11334E" w14:textId="131E6860" w:rsidR="00C66BBA" w:rsidRPr="00834AED" w:rsidRDefault="00C66BBA"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lang w:val="es-GT"/>
        </w:rPr>
      </w:pPr>
      <w:r w:rsidRPr="00834AED">
        <w:rPr>
          <w:rFonts w:ascii="Verdana" w:hAnsi="Verdana" w:cs="Times New Roman"/>
          <w:sz w:val="20"/>
          <w:szCs w:val="20"/>
          <w:lang w:val="es-CR"/>
        </w:rPr>
        <w:t>Por otro lado, en virtud del artículo 63.2 de la Convención</w:t>
      </w:r>
      <w:r w:rsidRPr="00834AED">
        <w:rPr>
          <w:rStyle w:val="Refdenotaalpie"/>
          <w:rFonts w:ascii="Verdana" w:hAnsi="Verdana"/>
          <w:sz w:val="20"/>
          <w:szCs w:val="20"/>
          <w:lang w:val="es-CR"/>
        </w:rPr>
        <w:footnoteReference w:id="525"/>
      </w:r>
      <w:r w:rsidRPr="00834AED">
        <w:rPr>
          <w:rFonts w:ascii="Verdana" w:hAnsi="Verdana" w:cs="Times New Roman"/>
          <w:sz w:val="20"/>
          <w:szCs w:val="20"/>
          <w:lang w:val="es-CR"/>
        </w:rPr>
        <w:t xml:space="preserve">, </w:t>
      </w:r>
      <w:r w:rsidRPr="00834AED">
        <w:rPr>
          <w:rFonts w:ascii="Verdana" w:hAnsi="Verdana"/>
          <w:sz w:val="20"/>
          <w:lang w:val="es-GT"/>
        </w:rPr>
        <w:t xml:space="preserve">la Corte nota que las medidas provisionales en el </w:t>
      </w:r>
      <w:r w:rsidRPr="00834AED">
        <w:rPr>
          <w:rFonts w:ascii="Verdana" w:hAnsi="Verdana"/>
          <w:i/>
          <w:sz w:val="20"/>
          <w:lang w:val="es-GT"/>
        </w:rPr>
        <w:t>Asunto Alvarado Reyes respecto de México</w:t>
      </w:r>
      <w:r w:rsidRPr="00834AED">
        <w:rPr>
          <w:rFonts w:ascii="Verdana" w:hAnsi="Verdana"/>
          <w:sz w:val="20"/>
          <w:lang w:val="es-GT"/>
        </w:rPr>
        <w:t xml:space="preserve"> se encuentra</w:t>
      </w:r>
      <w:r w:rsidR="0046374F" w:rsidRPr="00834AED">
        <w:rPr>
          <w:rFonts w:ascii="Verdana" w:hAnsi="Verdana"/>
          <w:sz w:val="20"/>
          <w:lang w:val="es-GT"/>
        </w:rPr>
        <w:t>n</w:t>
      </w:r>
      <w:r w:rsidRPr="00834AED">
        <w:rPr>
          <w:rFonts w:ascii="Verdana" w:hAnsi="Verdana"/>
          <w:sz w:val="20"/>
          <w:lang w:val="es-GT"/>
        </w:rPr>
        <w:t xml:space="preserve"> relacionad</w:t>
      </w:r>
      <w:r w:rsidR="0046374F" w:rsidRPr="00834AED">
        <w:rPr>
          <w:rFonts w:ascii="Verdana" w:hAnsi="Verdana"/>
          <w:sz w:val="20"/>
          <w:lang w:val="es-GT"/>
        </w:rPr>
        <w:t>as</w:t>
      </w:r>
      <w:r w:rsidRPr="00834AED">
        <w:rPr>
          <w:rFonts w:ascii="Verdana" w:hAnsi="Verdana"/>
          <w:sz w:val="20"/>
          <w:lang w:val="es-GT"/>
        </w:rPr>
        <w:t xml:space="preserve"> con el presente caso, y esta Corte ya se ha pronunciado en esta Sentencia sobre los hechos particulares que acontec</w:t>
      </w:r>
      <w:r w:rsidR="00CB7722" w:rsidRPr="00834AED">
        <w:rPr>
          <w:rFonts w:ascii="Verdana" w:hAnsi="Verdana"/>
          <w:sz w:val="20"/>
          <w:lang w:val="es-GT"/>
        </w:rPr>
        <w:t>i</w:t>
      </w:r>
      <w:r w:rsidRPr="00834AED">
        <w:rPr>
          <w:rFonts w:ascii="Verdana" w:hAnsi="Verdana"/>
          <w:sz w:val="20"/>
          <w:lang w:val="es-GT"/>
        </w:rPr>
        <w:t>e</w:t>
      </w:r>
      <w:r w:rsidR="00CB7722" w:rsidRPr="00834AED">
        <w:rPr>
          <w:rFonts w:ascii="Verdana" w:hAnsi="Verdana"/>
          <w:sz w:val="20"/>
          <w:lang w:val="es-GT"/>
        </w:rPr>
        <w:t>ro</w:t>
      </w:r>
      <w:r w:rsidRPr="00834AED">
        <w:rPr>
          <w:rFonts w:ascii="Verdana" w:hAnsi="Verdana"/>
          <w:sz w:val="20"/>
          <w:lang w:val="es-GT"/>
        </w:rPr>
        <w:t xml:space="preserve">n </w:t>
      </w:r>
      <w:r w:rsidR="00CB7722" w:rsidRPr="00834AED">
        <w:rPr>
          <w:rFonts w:ascii="Verdana" w:hAnsi="Verdana"/>
          <w:sz w:val="20"/>
          <w:lang w:val="es-GT"/>
        </w:rPr>
        <w:t xml:space="preserve">en </w:t>
      </w:r>
      <w:r w:rsidRPr="00834AED">
        <w:rPr>
          <w:rFonts w:ascii="Verdana" w:hAnsi="Verdana"/>
          <w:sz w:val="20"/>
          <w:lang w:val="es-GT"/>
        </w:rPr>
        <w:t>ambos procedimientos, los cuales derivaron en violaciones concretas a la Convención, así como en el incumplimiento integral en la adopción de tales medidas por parte del Estado (</w:t>
      </w:r>
      <w:r w:rsidR="00205AF7" w:rsidRPr="00834AED">
        <w:rPr>
          <w:rFonts w:ascii="Verdana" w:hAnsi="Verdana"/>
          <w:i/>
          <w:sz w:val="20"/>
          <w:lang w:val="es-GT"/>
        </w:rPr>
        <w:t xml:space="preserve">supra </w:t>
      </w:r>
      <w:r w:rsidRPr="00834AED">
        <w:rPr>
          <w:rFonts w:ascii="Verdana" w:hAnsi="Verdana"/>
          <w:sz w:val="20"/>
          <w:lang w:val="es-GT"/>
        </w:rPr>
        <w:t xml:space="preserve">párr. </w:t>
      </w:r>
      <w:r w:rsidR="006755BC">
        <w:rPr>
          <w:rFonts w:ascii="Verdana" w:hAnsi="Verdana"/>
          <w:sz w:val="20"/>
          <w:lang w:val="es-GT"/>
        </w:rPr>
        <w:t>283</w:t>
      </w:r>
      <w:r w:rsidRPr="00834AED">
        <w:rPr>
          <w:rFonts w:ascii="Verdana" w:hAnsi="Verdana"/>
          <w:sz w:val="20"/>
          <w:lang w:val="es-GT"/>
        </w:rPr>
        <w:t>)</w:t>
      </w:r>
      <w:r w:rsidRPr="00834AED">
        <w:rPr>
          <w:rStyle w:val="Refdenotaalpie"/>
          <w:rFonts w:ascii="Verdana" w:hAnsi="Verdana"/>
          <w:sz w:val="20"/>
          <w:lang w:val="es-GT"/>
        </w:rPr>
        <w:footnoteReference w:id="526"/>
      </w:r>
      <w:r w:rsidRPr="00834AED">
        <w:rPr>
          <w:rFonts w:ascii="Verdana" w:hAnsi="Verdana"/>
          <w:sz w:val="20"/>
          <w:lang w:val="es-GT"/>
        </w:rPr>
        <w:t>. Al respecto, la Corte recuerda que 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w:t>
      </w:r>
      <w:r w:rsidRPr="00834AED">
        <w:rPr>
          <w:rStyle w:val="Refdenotaalpie"/>
          <w:rFonts w:ascii="Verdana" w:hAnsi="Verdana"/>
          <w:sz w:val="20"/>
          <w:lang w:val="es-GT"/>
        </w:rPr>
        <w:footnoteReference w:id="527"/>
      </w:r>
      <w:r w:rsidRPr="00834AED">
        <w:rPr>
          <w:rFonts w:ascii="Verdana" w:hAnsi="Verdana"/>
          <w:sz w:val="20"/>
          <w:lang w:val="es-GT"/>
        </w:rPr>
        <w:t xml:space="preserve">. </w:t>
      </w:r>
    </w:p>
    <w:p w14:paraId="5C961206" w14:textId="0FB033BF" w:rsidR="00C66BBA" w:rsidRPr="00432ABC" w:rsidRDefault="00C66BBA" w:rsidP="00432AB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Arial"/>
          <w:sz w:val="20"/>
          <w:szCs w:val="20"/>
          <w:lang w:val="es-CR"/>
        </w:rPr>
      </w:pPr>
      <w:r w:rsidRPr="00744CE4">
        <w:rPr>
          <w:rFonts w:ascii="Verdana" w:hAnsi="Verdana"/>
          <w:sz w:val="20"/>
          <w:szCs w:val="20"/>
          <w:lang w:val="es-CR"/>
        </w:rPr>
        <w:t>De esta manera, con la</w:t>
      </w:r>
      <w:r w:rsidRPr="00432ABC">
        <w:rPr>
          <w:rFonts w:ascii="Verdana" w:hAnsi="Verdana"/>
          <w:sz w:val="20"/>
          <w:szCs w:val="20"/>
          <w:lang w:val="es-CR"/>
        </w:rPr>
        <w:t xml:space="preserve"> presente Sentencia las medidas provisionales concluyen su carácter cautelar</w:t>
      </w:r>
      <w:r w:rsidRPr="00744CE4">
        <w:rPr>
          <w:rStyle w:val="Refdenotaalpie"/>
          <w:rFonts w:ascii="Verdana" w:hAnsi="Verdana" w:cs="Arial"/>
          <w:sz w:val="20"/>
          <w:szCs w:val="20"/>
          <w:lang w:val="es-CR"/>
        </w:rPr>
        <w:footnoteReference w:id="528"/>
      </w:r>
      <w:r w:rsidRPr="00744CE4">
        <w:rPr>
          <w:rFonts w:ascii="Verdana" w:hAnsi="Verdana" w:cs="Arial"/>
          <w:sz w:val="20"/>
          <w:szCs w:val="20"/>
          <w:lang w:val="es-CR"/>
        </w:rPr>
        <w:t>, puesto que éstas tenían por objeto precisamente preservar una situación jurídica que hiciera posible la emisión de la misma.</w:t>
      </w:r>
      <w:r w:rsidRPr="00744CE4">
        <w:rPr>
          <w:rFonts w:ascii="Verdana" w:hAnsi="Verdana"/>
          <w:sz w:val="20"/>
          <w:szCs w:val="20"/>
          <w:lang w:val="es-CR"/>
        </w:rPr>
        <w:t xml:space="preserve"> Sin embargo, </w:t>
      </w:r>
      <w:r w:rsidRPr="00432ABC">
        <w:rPr>
          <w:rFonts w:ascii="Verdana" w:hAnsi="Verdana"/>
          <w:sz w:val="20"/>
          <w:szCs w:val="20"/>
          <w:lang w:val="es-CR"/>
        </w:rPr>
        <w:t xml:space="preserve">con </w:t>
      </w:r>
      <w:r w:rsidRPr="00432ABC">
        <w:rPr>
          <w:rFonts w:ascii="Verdana" w:hAnsi="Verdana" w:cs="Arial"/>
          <w:sz w:val="20"/>
          <w:szCs w:val="20"/>
          <w:lang w:val="es-CR"/>
        </w:rPr>
        <w:t>e</w:t>
      </w:r>
      <w:r w:rsidR="00BB23BD" w:rsidRPr="00432ABC">
        <w:rPr>
          <w:rFonts w:ascii="Verdana" w:hAnsi="Verdana" w:cs="Arial"/>
          <w:sz w:val="20"/>
          <w:szCs w:val="20"/>
          <w:lang w:val="es-CR"/>
        </w:rPr>
        <w:t>sta Sentencia,</w:t>
      </w:r>
      <w:r w:rsidRPr="00432ABC">
        <w:rPr>
          <w:rFonts w:ascii="Verdana" w:hAnsi="Verdana" w:cs="Arial"/>
          <w:sz w:val="20"/>
          <w:szCs w:val="20"/>
          <w:lang w:val="es-CR"/>
        </w:rPr>
        <w:t xml:space="preserve"> el objeto y fin perseguidos con las medidas provisionales queda vigente a través de la obligación específica del Estado de “garantizar al lesionado en el goce de su derecho o libertad conculcados”, a la luz del artículo 63.1 de la Convención. </w:t>
      </w:r>
    </w:p>
    <w:p w14:paraId="6D98B0D6" w14:textId="28608CBE" w:rsidR="00C66BBA" w:rsidRPr="005B1C1B" w:rsidRDefault="00C66BBA" w:rsidP="002C462C">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5B1C1B">
        <w:rPr>
          <w:rFonts w:ascii="Verdana" w:hAnsi="Verdana"/>
          <w:sz w:val="20"/>
          <w:szCs w:val="20"/>
          <w:lang w:val="es-CR"/>
        </w:rPr>
        <w:t xml:space="preserve">En virtud de lo anterior, para efectos del presente caso, la Corte estima pertinente dejar sin efectos las medidas provisionales relacionadas, por lo que las medidas que sean pertinentes pasan </w:t>
      </w:r>
      <w:r w:rsidRPr="005B1C1B">
        <w:rPr>
          <w:rFonts w:ascii="Verdana" w:hAnsi="Verdana"/>
          <w:sz w:val="20"/>
          <w:szCs w:val="20"/>
          <w:lang w:val="es-CR"/>
        </w:rPr>
        <w:lastRenderedPageBreak/>
        <w:t>a integrar las obligaciones del Estado en materia de reparación integral (</w:t>
      </w:r>
      <w:r w:rsidR="00205AF7" w:rsidRPr="005B1C1B">
        <w:rPr>
          <w:rFonts w:ascii="Verdana" w:hAnsi="Verdana"/>
          <w:i/>
          <w:sz w:val="20"/>
          <w:szCs w:val="20"/>
          <w:lang w:val="es-CR"/>
        </w:rPr>
        <w:t>infr</w:t>
      </w:r>
      <w:r w:rsidR="0008384F" w:rsidRPr="005B1C1B">
        <w:rPr>
          <w:rFonts w:ascii="Verdana" w:hAnsi="Verdana"/>
          <w:i/>
          <w:sz w:val="20"/>
          <w:szCs w:val="20"/>
          <w:lang w:val="es-CR"/>
        </w:rPr>
        <w:t>a</w:t>
      </w:r>
      <w:r w:rsidR="00205AF7" w:rsidRPr="005B1C1B">
        <w:rPr>
          <w:rFonts w:ascii="Verdana" w:hAnsi="Verdana"/>
          <w:i/>
          <w:sz w:val="20"/>
          <w:szCs w:val="20"/>
          <w:lang w:val="es-CR"/>
        </w:rPr>
        <w:t xml:space="preserve"> </w:t>
      </w:r>
      <w:r w:rsidRPr="005B1C1B">
        <w:rPr>
          <w:rFonts w:ascii="Verdana" w:hAnsi="Verdana"/>
          <w:sz w:val="20"/>
          <w:szCs w:val="20"/>
          <w:lang w:val="es-CR"/>
        </w:rPr>
        <w:t>pár</w:t>
      </w:r>
      <w:r w:rsidR="003552DF" w:rsidRPr="005B1C1B">
        <w:rPr>
          <w:rFonts w:ascii="Verdana" w:hAnsi="Verdana"/>
          <w:sz w:val="20"/>
          <w:szCs w:val="20"/>
          <w:lang w:val="es-CR"/>
        </w:rPr>
        <w:t>rs</w:t>
      </w:r>
      <w:r w:rsidRPr="005B1C1B">
        <w:rPr>
          <w:rFonts w:ascii="Verdana" w:hAnsi="Verdana"/>
          <w:sz w:val="20"/>
          <w:szCs w:val="20"/>
          <w:lang w:val="es-CR"/>
        </w:rPr>
        <w:t xml:space="preserve">. </w:t>
      </w:r>
      <w:r w:rsidR="00BB23BD" w:rsidRPr="005B1C1B">
        <w:rPr>
          <w:rFonts w:ascii="Verdana" w:hAnsi="Verdana"/>
          <w:sz w:val="20"/>
          <w:szCs w:val="20"/>
          <w:lang w:val="es-CR"/>
        </w:rPr>
        <w:t>3</w:t>
      </w:r>
      <w:r w:rsidR="0008384F" w:rsidRPr="005B1C1B">
        <w:rPr>
          <w:rFonts w:ascii="Verdana" w:hAnsi="Verdana"/>
          <w:sz w:val="20"/>
          <w:szCs w:val="20"/>
          <w:lang w:val="es-CR"/>
        </w:rPr>
        <w:t>29</w:t>
      </w:r>
      <w:r w:rsidR="00BB23BD" w:rsidRPr="005B1C1B">
        <w:rPr>
          <w:rFonts w:ascii="Verdana" w:hAnsi="Verdana"/>
          <w:sz w:val="20"/>
          <w:szCs w:val="20"/>
          <w:lang w:val="es-CR"/>
        </w:rPr>
        <w:t xml:space="preserve"> a 33</w:t>
      </w:r>
      <w:r w:rsidR="0008384F" w:rsidRPr="005B1C1B">
        <w:rPr>
          <w:rFonts w:ascii="Verdana" w:hAnsi="Verdana"/>
          <w:sz w:val="20"/>
          <w:szCs w:val="20"/>
          <w:lang w:val="es-CR"/>
        </w:rPr>
        <w:t>2</w:t>
      </w:r>
      <w:r w:rsidRPr="005B1C1B">
        <w:rPr>
          <w:rFonts w:ascii="Verdana" w:hAnsi="Verdana"/>
          <w:sz w:val="20"/>
          <w:szCs w:val="20"/>
          <w:lang w:val="es-CR"/>
        </w:rPr>
        <w:t>)</w:t>
      </w:r>
      <w:r w:rsidRPr="005B1C1B">
        <w:rPr>
          <w:rStyle w:val="Refdenotaalpie"/>
          <w:rFonts w:ascii="Verdana" w:hAnsi="Verdana"/>
          <w:sz w:val="20"/>
          <w:szCs w:val="20"/>
        </w:rPr>
        <w:footnoteReference w:id="529"/>
      </w:r>
      <w:r w:rsidRPr="005B1C1B">
        <w:rPr>
          <w:rFonts w:ascii="Verdana" w:hAnsi="Verdana"/>
          <w:sz w:val="20"/>
          <w:szCs w:val="20"/>
          <w:lang w:val="es-CR"/>
        </w:rPr>
        <w:t>.</w:t>
      </w:r>
    </w:p>
    <w:p w14:paraId="501030D3" w14:textId="3767A717" w:rsidR="009114A1" w:rsidRPr="00744CE4" w:rsidRDefault="00556FDB" w:rsidP="002C462C">
      <w:pPr>
        <w:pStyle w:val="Prrafodelista"/>
        <w:keepNext/>
        <w:keepLines/>
        <w:numPr>
          <w:ilvl w:val="0"/>
          <w:numId w:val="29"/>
        </w:numPr>
        <w:spacing w:before="120" w:after="120" w:line="240" w:lineRule="auto"/>
        <w:contextualSpacing w:val="0"/>
        <w:jc w:val="both"/>
        <w:outlineLvl w:val="1"/>
        <w:rPr>
          <w:rFonts w:ascii="Verdana" w:eastAsia="Times New Roman" w:hAnsi="Verdana" w:cs="Times New Roman"/>
          <w:b/>
          <w:bCs/>
          <w:i/>
          <w:sz w:val="20"/>
          <w:szCs w:val="20"/>
          <w:lang w:val="es-ES"/>
        </w:rPr>
      </w:pPr>
      <w:bookmarkStart w:id="336" w:name="_Toc457464007"/>
      <w:bookmarkStart w:id="337" w:name="_Toc458175997"/>
      <w:bookmarkStart w:id="338" w:name="_Toc467060528"/>
      <w:bookmarkStart w:id="339" w:name="_Toc467060643"/>
      <w:bookmarkStart w:id="340" w:name="_Toc467060882"/>
      <w:bookmarkStart w:id="341" w:name="_Toc467060923"/>
      <w:bookmarkStart w:id="342" w:name="_Toc457464008"/>
      <w:bookmarkStart w:id="343" w:name="_Toc458175998"/>
      <w:bookmarkStart w:id="344" w:name="_Toc467060529"/>
      <w:bookmarkStart w:id="345" w:name="_Toc467060644"/>
      <w:bookmarkStart w:id="346" w:name="_Toc467060883"/>
      <w:bookmarkStart w:id="347" w:name="_Toc467060924"/>
      <w:bookmarkStart w:id="348" w:name="_Toc494271563"/>
      <w:bookmarkStart w:id="349" w:name="_Toc510702286"/>
      <w:bookmarkStart w:id="350" w:name="_Toc526774180"/>
      <w:bookmarkStart w:id="351" w:name="_Toc526777516"/>
      <w:bookmarkStart w:id="352" w:name="_Toc526783819"/>
      <w:bookmarkEnd w:id="336"/>
      <w:bookmarkEnd w:id="337"/>
      <w:bookmarkEnd w:id="338"/>
      <w:bookmarkEnd w:id="339"/>
      <w:bookmarkEnd w:id="340"/>
      <w:bookmarkEnd w:id="341"/>
      <w:bookmarkEnd w:id="342"/>
      <w:bookmarkEnd w:id="343"/>
      <w:bookmarkEnd w:id="344"/>
      <w:bookmarkEnd w:id="345"/>
      <w:bookmarkEnd w:id="346"/>
      <w:bookmarkEnd w:id="347"/>
      <w:r>
        <w:rPr>
          <w:rFonts w:ascii="Verdana" w:eastAsia="Times New Roman" w:hAnsi="Verdana" w:cs="Times New Roman"/>
          <w:b/>
          <w:bCs/>
          <w:i/>
          <w:sz w:val="20"/>
          <w:szCs w:val="20"/>
          <w:lang w:val="es-ES"/>
        </w:rPr>
        <w:t xml:space="preserve"> </w:t>
      </w:r>
      <w:bookmarkStart w:id="353" w:name="_Toc532995399"/>
      <w:r w:rsidR="009114A1" w:rsidRPr="00744CE4">
        <w:rPr>
          <w:rFonts w:ascii="Verdana" w:eastAsia="Times New Roman" w:hAnsi="Verdana" w:cs="Times New Roman"/>
          <w:b/>
          <w:bCs/>
          <w:i/>
          <w:sz w:val="20"/>
          <w:szCs w:val="20"/>
          <w:lang w:val="es-ES"/>
        </w:rPr>
        <w:t>Parte lesionada</w:t>
      </w:r>
      <w:bookmarkEnd w:id="348"/>
      <w:bookmarkEnd w:id="349"/>
      <w:bookmarkEnd w:id="350"/>
      <w:bookmarkEnd w:id="351"/>
      <w:bookmarkEnd w:id="352"/>
      <w:bookmarkEnd w:id="353"/>
    </w:p>
    <w:p w14:paraId="215BE1CD" w14:textId="2BEA4ABF" w:rsidR="002265E8" w:rsidRPr="005F54F6" w:rsidRDefault="009114A1" w:rsidP="003564A3">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744CE4">
        <w:rPr>
          <w:rFonts w:ascii="Verdana" w:eastAsia="Times New Roman" w:hAnsi="Verdana" w:cs="Times New Roman"/>
          <w:sz w:val="20"/>
          <w:szCs w:val="20"/>
          <w:lang w:val="es-ES"/>
        </w:rPr>
        <w:t>En los términos del artículo 63.1 de la Convención, e</w:t>
      </w:r>
      <w:r w:rsidRPr="00432ABC">
        <w:rPr>
          <w:rFonts w:ascii="Verdana" w:eastAsia="Times New Roman" w:hAnsi="Verdana" w:cs="Times New Roman"/>
          <w:sz w:val="20"/>
          <w:szCs w:val="20"/>
          <w:lang w:val="es-ES"/>
        </w:rPr>
        <w:t xml:space="preserve">ste Tribunal estima </w:t>
      </w:r>
      <w:r w:rsidRPr="00432ABC">
        <w:rPr>
          <w:rFonts w:ascii="Verdana" w:eastAsia="Times New Roman" w:hAnsi="Verdana" w:cs="Times New Roman"/>
          <w:sz w:val="20"/>
          <w:szCs w:val="20"/>
          <w:lang w:val="es-CO"/>
        </w:rPr>
        <w:t>“</w:t>
      </w:r>
      <w:r w:rsidRPr="00432ABC">
        <w:rPr>
          <w:rFonts w:ascii="Verdana" w:eastAsia="Times New Roman" w:hAnsi="Verdana" w:cs="Times New Roman"/>
          <w:sz w:val="20"/>
          <w:szCs w:val="20"/>
          <w:lang w:val="es-ES"/>
        </w:rPr>
        <w:t>parte lesionada” a quienes han sido declaradas víctimas de la violación de algún derecho reconocido en la misma. Por lo tanto, para efectos</w:t>
      </w:r>
      <w:r w:rsidRPr="002C462C">
        <w:rPr>
          <w:rFonts w:ascii="Verdana" w:eastAsia="Times New Roman" w:hAnsi="Verdana" w:cs="Times New Roman"/>
          <w:sz w:val="20"/>
          <w:szCs w:val="20"/>
          <w:lang w:val="es-ES"/>
        </w:rPr>
        <w:t xml:space="preserve"> de</w:t>
      </w:r>
      <w:r w:rsidR="00A83200">
        <w:rPr>
          <w:rFonts w:ascii="Verdana" w:eastAsia="Times New Roman" w:hAnsi="Verdana" w:cs="Times New Roman"/>
          <w:sz w:val="20"/>
          <w:szCs w:val="20"/>
          <w:lang w:val="es-ES"/>
        </w:rPr>
        <w:t>l presente</w:t>
      </w:r>
      <w:r w:rsidRPr="002C462C">
        <w:rPr>
          <w:rFonts w:ascii="Verdana" w:eastAsia="Times New Roman" w:hAnsi="Verdana" w:cs="Times New Roman"/>
          <w:sz w:val="20"/>
          <w:szCs w:val="20"/>
          <w:lang w:val="es-ES"/>
        </w:rPr>
        <w:t xml:space="preserve"> caso, </w:t>
      </w:r>
      <w:r w:rsidR="00D0318B">
        <w:rPr>
          <w:rFonts w:ascii="Verdana" w:eastAsia="Times New Roman" w:hAnsi="Verdana" w:cs="Times New Roman"/>
          <w:sz w:val="20"/>
          <w:szCs w:val="20"/>
          <w:lang w:val="es-ES"/>
        </w:rPr>
        <w:t>la</w:t>
      </w:r>
      <w:r w:rsidR="00D0318B" w:rsidRPr="002C462C">
        <w:rPr>
          <w:rFonts w:ascii="Verdana" w:eastAsia="Times New Roman" w:hAnsi="Verdana" w:cs="Times New Roman"/>
          <w:sz w:val="20"/>
          <w:szCs w:val="20"/>
          <w:lang w:val="es-ES"/>
        </w:rPr>
        <w:t xml:space="preserve"> </w:t>
      </w:r>
      <w:r w:rsidRPr="002C462C">
        <w:rPr>
          <w:rFonts w:ascii="Verdana" w:eastAsia="Times New Roman" w:hAnsi="Verdana" w:cs="Times New Roman"/>
          <w:sz w:val="20"/>
          <w:szCs w:val="20"/>
          <w:lang w:val="es-ES"/>
        </w:rPr>
        <w:t xml:space="preserve">Corte considera como parte lesionada a la señora Nitza Paola Alvarado Espinoza, </w:t>
      </w:r>
      <w:r w:rsidR="00507725" w:rsidRPr="002C462C">
        <w:rPr>
          <w:rFonts w:ascii="Verdana" w:eastAsia="Times New Roman" w:hAnsi="Verdana" w:cs="Times New Roman"/>
          <w:sz w:val="20"/>
          <w:szCs w:val="20"/>
          <w:lang w:val="es-ES"/>
        </w:rPr>
        <w:t xml:space="preserve">Rocío Irene Alvarado Reyes y </w:t>
      </w:r>
      <w:r w:rsidRPr="002C462C">
        <w:rPr>
          <w:rFonts w:ascii="Verdana" w:eastAsia="Times New Roman" w:hAnsi="Verdana" w:cs="Times New Roman"/>
          <w:sz w:val="20"/>
          <w:szCs w:val="20"/>
          <w:lang w:val="es-ES"/>
        </w:rPr>
        <w:t xml:space="preserve">José Ángel Alvarado Herrera y a sus familiares, </w:t>
      </w:r>
      <w:r w:rsidR="00E33422" w:rsidRPr="008D0846">
        <w:rPr>
          <w:rFonts w:ascii="Verdana" w:eastAsia="Times New Roman" w:hAnsi="Verdana" w:cs="Times New Roman"/>
          <w:sz w:val="20"/>
          <w:szCs w:val="20"/>
          <w:lang w:val="es-ES"/>
        </w:rPr>
        <w:t>los cuales se detallan a continuación:</w:t>
      </w:r>
    </w:p>
    <w:tbl>
      <w:tblPr>
        <w:tblStyle w:val="Tablaconcuadrcula"/>
        <w:tblW w:w="0" w:type="auto"/>
        <w:jc w:val="center"/>
        <w:tblLook w:val="04A0" w:firstRow="1" w:lastRow="0" w:firstColumn="1" w:lastColumn="0" w:noHBand="0" w:noVBand="1"/>
      </w:tblPr>
      <w:tblGrid>
        <w:gridCol w:w="3369"/>
        <w:gridCol w:w="5811"/>
      </w:tblGrid>
      <w:tr w:rsidR="00E33422" w14:paraId="6A4F875A" w14:textId="77777777" w:rsidTr="003564A3">
        <w:trPr>
          <w:jc w:val="center"/>
        </w:trPr>
        <w:tc>
          <w:tcPr>
            <w:tcW w:w="3369" w:type="dxa"/>
          </w:tcPr>
          <w:p w14:paraId="22F32E7F" w14:textId="77777777" w:rsidR="00E33422" w:rsidRPr="006E5414" w:rsidRDefault="00E33422" w:rsidP="002265E8">
            <w:pPr>
              <w:rPr>
                <w:rFonts w:ascii="Verdana" w:hAnsi="Verdana"/>
                <w:sz w:val="18"/>
                <w:szCs w:val="18"/>
                <w:lang w:val="es-CR"/>
              </w:rPr>
            </w:pPr>
          </w:p>
          <w:p w14:paraId="664B828B" w14:textId="77777777" w:rsidR="00E33422" w:rsidRPr="006E5414" w:rsidRDefault="00E33422" w:rsidP="002265E8">
            <w:pPr>
              <w:rPr>
                <w:rFonts w:ascii="Verdana" w:hAnsi="Verdana"/>
                <w:sz w:val="18"/>
                <w:szCs w:val="18"/>
                <w:lang w:val="es-CR"/>
              </w:rPr>
            </w:pPr>
          </w:p>
          <w:p w14:paraId="79DC087A" w14:textId="77777777" w:rsidR="00E33422" w:rsidRPr="006E5414" w:rsidRDefault="00E33422" w:rsidP="002265E8">
            <w:pPr>
              <w:rPr>
                <w:rFonts w:ascii="Verdana" w:hAnsi="Verdana"/>
                <w:sz w:val="18"/>
                <w:szCs w:val="18"/>
                <w:lang w:val="es-CR"/>
              </w:rPr>
            </w:pPr>
          </w:p>
          <w:p w14:paraId="093E2570" w14:textId="77777777" w:rsidR="00E33422" w:rsidRPr="006E5414" w:rsidRDefault="00E33422" w:rsidP="002265E8">
            <w:pPr>
              <w:rPr>
                <w:rFonts w:ascii="Verdana" w:hAnsi="Verdana"/>
                <w:sz w:val="18"/>
                <w:szCs w:val="18"/>
                <w:lang w:val="es-CR"/>
              </w:rPr>
            </w:pPr>
          </w:p>
          <w:p w14:paraId="302EE991" w14:textId="77777777" w:rsidR="00E33422" w:rsidRPr="006E5414" w:rsidRDefault="00E33422" w:rsidP="002265E8">
            <w:pPr>
              <w:rPr>
                <w:rFonts w:ascii="Verdana" w:hAnsi="Verdana"/>
                <w:sz w:val="18"/>
                <w:szCs w:val="18"/>
                <w:lang w:val="es-CR"/>
              </w:rPr>
            </w:pPr>
          </w:p>
          <w:p w14:paraId="12C33C24" w14:textId="77777777" w:rsidR="00E33422" w:rsidRPr="006E5414" w:rsidRDefault="00E33422" w:rsidP="002265E8">
            <w:pPr>
              <w:rPr>
                <w:rFonts w:ascii="Verdana" w:hAnsi="Verdana"/>
                <w:b/>
                <w:sz w:val="18"/>
                <w:szCs w:val="18"/>
                <w:lang w:val="es-CR"/>
              </w:rPr>
            </w:pPr>
            <w:r w:rsidRPr="006E5414">
              <w:rPr>
                <w:rFonts w:ascii="Verdana" w:hAnsi="Verdana"/>
                <w:b/>
                <w:sz w:val="18"/>
                <w:szCs w:val="18"/>
                <w:lang w:val="es-CR"/>
              </w:rPr>
              <w:t>Familiares de Nitza Paola Alvarado Espinoza</w:t>
            </w:r>
          </w:p>
        </w:tc>
        <w:tc>
          <w:tcPr>
            <w:tcW w:w="5811" w:type="dxa"/>
          </w:tcPr>
          <w:p w14:paraId="66E6EA19" w14:textId="77777777" w:rsidR="00E33422" w:rsidRPr="006E5414" w:rsidRDefault="00E33422" w:rsidP="00E33422">
            <w:pPr>
              <w:pStyle w:val="Prrafodelista"/>
              <w:numPr>
                <w:ilvl w:val="0"/>
                <w:numId w:val="101"/>
              </w:numPr>
              <w:rPr>
                <w:rFonts w:ascii="Verdana" w:hAnsi="Verdana"/>
                <w:sz w:val="18"/>
                <w:szCs w:val="18"/>
                <w:lang w:val="es-CR"/>
              </w:rPr>
            </w:pPr>
            <w:r w:rsidRPr="006E5414">
              <w:rPr>
                <w:rFonts w:ascii="Verdana" w:hAnsi="Verdana"/>
                <w:sz w:val="18"/>
                <w:szCs w:val="18"/>
                <w:lang w:val="es-CR"/>
              </w:rPr>
              <w:t>María de Jesús Espinoza Peinado (madre)</w:t>
            </w:r>
          </w:p>
          <w:p w14:paraId="43AFA3B0" w14:textId="77777777" w:rsidR="00E33422" w:rsidRPr="006E5414" w:rsidRDefault="00E33422" w:rsidP="00E33422">
            <w:pPr>
              <w:pStyle w:val="Prrafodelista"/>
              <w:numPr>
                <w:ilvl w:val="0"/>
                <w:numId w:val="101"/>
              </w:numPr>
              <w:rPr>
                <w:rFonts w:ascii="Verdana" w:hAnsi="Verdana"/>
                <w:sz w:val="18"/>
                <w:szCs w:val="18"/>
                <w:lang w:val="es-CR"/>
              </w:rPr>
            </w:pPr>
            <w:r w:rsidRPr="006E5414">
              <w:rPr>
                <w:rFonts w:ascii="Verdana" w:hAnsi="Verdana"/>
                <w:sz w:val="18"/>
                <w:szCs w:val="18"/>
                <w:lang w:val="es-CR"/>
              </w:rPr>
              <w:t>Ascensión Alvarado Fabela (padre)</w:t>
            </w:r>
          </w:p>
          <w:p w14:paraId="44277246" w14:textId="77777777" w:rsidR="00E33422" w:rsidRPr="006E5414" w:rsidRDefault="00E33422" w:rsidP="00E33422">
            <w:pPr>
              <w:pStyle w:val="Prrafodelista"/>
              <w:numPr>
                <w:ilvl w:val="0"/>
                <w:numId w:val="101"/>
              </w:numPr>
              <w:rPr>
                <w:rFonts w:ascii="Verdana" w:hAnsi="Verdana"/>
                <w:sz w:val="18"/>
                <w:szCs w:val="18"/>
              </w:rPr>
            </w:pPr>
            <w:r w:rsidRPr="006E5414">
              <w:rPr>
                <w:rFonts w:ascii="Verdana" w:hAnsi="Verdana"/>
                <w:sz w:val="18"/>
                <w:szCs w:val="18"/>
              </w:rPr>
              <w:t>N.S.A.E. (hija)</w:t>
            </w:r>
          </w:p>
          <w:p w14:paraId="3857D161" w14:textId="77777777" w:rsidR="00E33422" w:rsidRPr="006E5414" w:rsidRDefault="00E33422" w:rsidP="00E33422">
            <w:pPr>
              <w:pStyle w:val="Prrafodelista"/>
              <w:numPr>
                <w:ilvl w:val="0"/>
                <w:numId w:val="101"/>
              </w:numPr>
              <w:rPr>
                <w:rFonts w:ascii="Verdana" w:hAnsi="Verdana"/>
                <w:sz w:val="18"/>
                <w:szCs w:val="18"/>
              </w:rPr>
            </w:pPr>
            <w:r w:rsidRPr="006E5414">
              <w:rPr>
                <w:rFonts w:ascii="Verdana" w:hAnsi="Verdana"/>
                <w:sz w:val="18"/>
                <w:szCs w:val="18"/>
              </w:rPr>
              <w:t>M.P.A.E. (hija)</w:t>
            </w:r>
          </w:p>
          <w:p w14:paraId="1C0849F0" w14:textId="77777777" w:rsidR="00E33422" w:rsidRPr="006E5414" w:rsidRDefault="00E33422" w:rsidP="00E33422">
            <w:pPr>
              <w:pStyle w:val="Prrafodelista"/>
              <w:numPr>
                <w:ilvl w:val="0"/>
                <w:numId w:val="101"/>
              </w:numPr>
              <w:rPr>
                <w:rFonts w:ascii="Verdana" w:hAnsi="Verdana"/>
                <w:sz w:val="18"/>
                <w:szCs w:val="18"/>
              </w:rPr>
            </w:pPr>
            <w:r w:rsidRPr="006E5414">
              <w:rPr>
                <w:rFonts w:ascii="Verdana" w:hAnsi="Verdana"/>
                <w:sz w:val="18"/>
                <w:szCs w:val="18"/>
              </w:rPr>
              <w:t>D.A.E. (hija)</w:t>
            </w:r>
          </w:p>
          <w:p w14:paraId="05092B8C" w14:textId="77777777" w:rsidR="00E33422" w:rsidRPr="006E5414" w:rsidRDefault="00E33422" w:rsidP="00E33422">
            <w:pPr>
              <w:pStyle w:val="Prrafodelista"/>
              <w:numPr>
                <w:ilvl w:val="0"/>
                <w:numId w:val="101"/>
              </w:numPr>
              <w:rPr>
                <w:rFonts w:ascii="Verdana" w:hAnsi="Verdana"/>
                <w:sz w:val="18"/>
                <w:szCs w:val="18"/>
                <w:lang w:val="es-CR"/>
              </w:rPr>
            </w:pPr>
            <w:r w:rsidRPr="006E5414">
              <w:rPr>
                <w:rFonts w:ascii="Verdana" w:hAnsi="Verdana"/>
                <w:sz w:val="18"/>
                <w:szCs w:val="18"/>
                <w:lang w:val="es-CR"/>
              </w:rPr>
              <w:t>María de Jesús Alvarado Espinoza (hermana)</w:t>
            </w:r>
          </w:p>
          <w:p w14:paraId="4BD8458B" w14:textId="77777777" w:rsidR="00E33422" w:rsidRPr="006E5414" w:rsidRDefault="00E33422" w:rsidP="00E33422">
            <w:pPr>
              <w:pStyle w:val="Prrafodelista"/>
              <w:numPr>
                <w:ilvl w:val="0"/>
                <w:numId w:val="101"/>
              </w:numPr>
              <w:rPr>
                <w:rFonts w:ascii="Verdana" w:hAnsi="Verdana"/>
                <w:sz w:val="18"/>
                <w:szCs w:val="18"/>
              </w:rPr>
            </w:pPr>
            <w:r w:rsidRPr="006E5414">
              <w:rPr>
                <w:rFonts w:ascii="Verdana" w:hAnsi="Verdana"/>
                <w:sz w:val="18"/>
                <w:szCs w:val="18"/>
              </w:rPr>
              <w:t>Rigoberto Ambriz Marrufo (cuñado)</w:t>
            </w:r>
          </w:p>
          <w:p w14:paraId="42F0BB5D" w14:textId="77777777" w:rsidR="00E33422" w:rsidRPr="006E5414" w:rsidRDefault="00E33422" w:rsidP="00E33422">
            <w:pPr>
              <w:pStyle w:val="Prrafodelista"/>
              <w:numPr>
                <w:ilvl w:val="0"/>
                <w:numId w:val="101"/>
              </w:numPr>
              <w:rPr>
                <w:rFonts w:ascii="Verdana" w:hAnsi="Verdana"/>
                <w:sz w:val="18"/>
                <w:szCs w:val="18"/>
              </w:rPr>
            </w:pPr>
            <w:r w:rsidRPr="006E5414">
              <w:rPr>
                <w:rFonts w:ascii="Verdana" w:hAnsi="Verdana"/>
                <w:sz w:val="18"/>
                <w:szCs w:val="18"/>
              </w:rPr>
              <w:t>R.A.A. (sobrino)</w:t>
            </w:r>
          </w:p>
          <w:p w14:paraId="2850BEC5" w14:textId="77777777" w:rsidR="00E33422" w:rsidRPr="006E5414" w:rsidRDefault="00E33422" w:rsidP="00E33422">
            <w:pPr>
              <w:pStyle w:val="Prrafodelista"/>
              <w:numPr>
                <w:ilvl w:val="0"/>
                <w:numId w:val="101"/>
              </w:numPr>
              <w:rPr>
                <w:rFonts w:ascii="Verdana" w:hAnsi="Verdana"/>
                <w:sz w:val="18"/>
                <w:szCs w:val="18"/>
                <w:lang w:val="es-CR"/>
              </w:rPr>
            </w:pPr>
            <w:r w:rsidRPr="006E5414">
              <w:rPr>
                <w:rFonts w:ascii="Verdana" w:hAnsi="Verdana"/>
                <w:sz w:val="18"/>
                <w:szCs w:val="18"/>
                <w:lang w:val="es-CR"/>
              </w:rPr>
              <w:t>I.A.A.A. (sobrino)</w:t>
            </w:r>
          </w:p>
          <w:p w14:paraId="3CB35931" w14:textId="77777777" w:rsidR="00E33422" w:rsidRPr="006E5414" w:rsidRDefault="00E33422" w:rsidP="00E33422">
            <w:pPr>
              <w:pStyle w:val="Prrafodelista"/>
              <w:numPr>
                <w:ilvl w:val="0"/>
                <w:numId w:val="101"/>
              </w:numPr>
              <w:rPr>
                <w:rFonts w:ascii="Verdana" w:hAnsi="Verdana"/>
                <w:sz w:val="18"/>
                <w:szCs w:val="18"/>
                <w:lang w:val="es-CR"/>
              </w:rPr>
            </w:pPr>
            <w:r w:rsidRPr="006E5414">
              <w:rPr>
                <w:rFonts w:ascii="Verdana" w:hAnsi="Verdana"/>
                <w:sz w:val="18"/>
                <w:szCs w:val="18"/>
                <w:lang w:val="es-CR"/>
              </w:rPr>
              <w:t>J.E.A.A. (sobrino)</w:t>
            </w:r>
          </w:p>
          <w:p w14:paraId="47718D88" w14:textId="77777777" w:rsidR="00E33422" w:rsidRPr="006E5414" w:rsidRDefault="00E33422" w:rsidP="00E33422">
            <w:pPr>
              <w:pStyle w:val="Prrafodelista"/>
              <w:numPr>
                <w:ilvl w:val="0"/>
                <w:numId w:val="101"/>
              </w:numPr>
              <w:rPr>
                <w:rFonts w:ascii="Verdana" w:hAnsi="Verdana"/>
                <w:sz w:val="18"/>
                <w:szCs w:val="18"/>
                <w:lang w:val="es-CR"/>
              </w:rPr>
            </w:pPr>
            <w:r w:rsidRPr="006E5414">
              <w:rPr>
                <w:rFonts w:ascii="Verdana" w:hAnsi="Verdana"/>
                <w:sz w:val="18"/>
                <w:szCs w:val="18"/>
                <w:lang w:val="es-CR"/>
              </w:rPr>
              <w:t>A.Y.A.A. (sobrino)</w:t>
            </w:r>
          </w:p>
        </w:tc>
      </w:tr>
      <w:tr w:rsidR="00E33422" w14:paraId="7D1F6E3D" w14:textId="77777777" w:rsidTr="003564A3">
        <w:trPr>
          <w:jc w:val="center"/>
        </w:trPr>
        <w:tc>
          <w:tcPr>
            <w:tcW w:w="3369" w:type="dxa"/>
          </w:tcPr>
          <w:p w14:paraId="08086596" w14:textId="77777777" w:rsidR="00E33422" w:rsidRPr="006E5414" w:rsidRDefault="00E33422" w:rsidP="002265E8">
            <w:pPr>
              <w:rPr>
                <w:rFonts w:ascii="Verdana" w:hAnsi="Verdana"/>
                <w:sz w:val="18"/>
                <w:szCs w:val="18"/>
                <w:lang w:val="es-CR"/>
              </w:rPr>
            </w:pPr>
          </w:p>
          <w:p w14:paraId="452DCF75" w14:textId="77777777" w:rsidR="00E33422" w:rsidRPr="006E5414" w:rsidRDefault="00E33422" w:rsidP="002265E8">
            <w:pPr>
              <w:rPr>
                <w:rFonts w:ascii="Verdana" w:hAnsi="Verdana"/>
                <w:sz w:val="18"/>
                <w:szCs w:val="18"/>
                <w:lang w:val="es-CR"/>
              </w:rPr>
            </w:pPr>
          </w:p>
          <w:p w14:paraId="097C9C8A" w14:textId="77777777" w:rsidR="00E33422" w:rsidRPr="006E5414" w:rsidRDefault="00E33422" w:rsidP="002265E8">
            <w:pPr>
              <w:rPr>
                <w:rFonts w:ascii="Verdana" w:hAnsi="Verdana"/>
                <w:sz w:val="18"/>
                <w:szCs w:val="18"/>
                <w:lang w:val="es-CR"/>
              </w:rPr>
            </w:pPr>
          </w:p>
          <w:p w14:paraId="0C8E163B" w14:textId="77777777" w:rsidR="00E33422" w:rsidRPr="006E5414" w:rsidRDefault="00E33422" w:rsidP="002265E8">
            <w:pPr>
              <w:rPr>
                <w:rFonts w:ascii="Verdana" w:hAnsi="Verdana"/>
                <w:b/>
                <w:sz w:val="18"/>
                <w:szCs w:val="18"/>
                <w:lang w:val="es-CR"/>
              </w:rPr>
            </w:pPr>
            <w:r w:rsidRPr="006E5414">
              <w:rPr>
                <w:rFonts w:ascii="Verdana" w:hAnsi="Verdana"/>
                <w:b/>
                <w:sz w:val="18"/>
                <w:szCs w:val="18"/>
                <w:lang w:val="es-CR"/>
              </w:rPr>
              <w:t>Familiares de Rocío Irene Alvarado Reyes</w:t>
            </w:r>
          </w:p>
        </w:tc>
        <w:tc>
          <w:tcPr>
            <w:tcW w:w="5811" w:type="dxa"/>
          </w:tcPr>
          <w:p w14:paraId="41F77C79" w14:textId="77777777" w:rsidR="00E33422" w:rsidRPr="006E5414" w:rsidRDefault="00E33422" w:rsidP="00E33422">
            <w:pPr>
              <w:pStyle w:val="Prrafodelista"/>
              <w:numPr>
                <w:ilvl w:val="0"/>
                <w:numId w:val="102"/>
              </w:numPr>
              <w:rPr>
                <w:rFonts w:ascii="Verdana" w:hAnsi="Verdana"/>
                <w:sz w:val="18"/>
                <w:szCs w:val="18"/>
              </w:rPr>
            </w:pPr>
            <w:r w:rsidRPr="006E5414">
              <w:rPr>
                <w:rFonts w:ascii="Verdana" w:hAnsi="Verdana"/>
                <w:sz w:val="18"/>
                <w:szCs w:val="18"/>
              </w:rPr>
              <w:t>Patricia Reyes Rueda (madre)</w:t>
            </w:r>
          </w:p>
          <w:p w14:paraId="4E6EF9C9" w14:textId="77777777" w:rsidR="00E33422" w:rsidRPr="006E5414" w:rsidRDefault="00E33422" w:rsidP="00E33422">
            <w:pPr>
              <w:pStyle w:val="Prrafodelista"/>
              <w:numPr>
                <w:ilvl w:val="0"/>
                <w:numId w:val="102"/>
              </w:numPr>
              <w:rPr>
                <w:rFonts w:ascii="Verdana" w:hAnsi="Verdana"/>
                <w:sz w:val="18"/>
                <w:szCs w:val="18"/>
              </w:rPr>
            </w:pPr>
            <w:r w:rsidRPr="006E5414">
              <w:rPr>
                <w:rFonts w:ascii="Verdana" w:hAnsi="Verdana"/>
                <w:sz w:val="18"/>
                <w:szCs w:val="18"/>
              </w:rPr>
              <w:t>A.M.U.A. (hija)</w:t>
            </w:r>
          </w:p>
          <w:p w14:paraId="127166F8" w14:textId="77777777" w:rsidR="00E33422" w:rsidRPr="006E5414" w:rsidRDefault="00E33422" w:rsidP="00E33422">
            <w:pPr>
              <w:pStyle w:val="Prrafodelista"/>
              <w:numPr>
                <w:ilvl w:val="0"/>
                <w:numId w:val="102"/>
              </w:numPr>
              <w:rPr>
                <w:rFonts w:ascii="Verdana" w:hAnsi="Verdana"/>
                <w:sz w:val="18"/>
                <w:szCs w:val="18"/>
              </w:rPr>
            </w:pPr>
            <w:r w:rsidRPr="006E5414">
              <w:rPr>
                <w:rFonts w:ascii="Verdana" w:hAnsi="Verdana"/>
                <w:sz w:val="18"/>
                <w:szCs w:val="18"/>
              </w:rPr>
              <w:t>A.A.R. (hermano)</w:t>
            </w:r>
          </w:p>
          <w:p w14:paraId="2387EE7E" w14:textId="77777777" w:rsidR="00E33422" w:rsidRPr="006E5414" w:rsidRDefault="00E33422" w:rsidP="00E33422">
            <w:pPr>
              <w:pStyle w:val="Prrafodelista"/>
              <w:numPr>
                <w:ilvl w:val="0"/>
                <w:numId w:val="102"/>
              </w:numPr>
              <w:rPr>
                <w:rFonts w:ascii="Verdana" w:hAnsi="Verdana"/>
                <w:sz w:val="18"/>
                <w:szCs w:val="18"/>
              </w:rPr>
            </w:pPr>
            <w:r w:rsidRPr="006E5414">
              <w:rPr>
                <w:rFonts w:ascii="Verdana" w:hAnsi="Verdana"/>
                <w:sz w:val="18"/>
                <w:szCs w:val="18"/>
              </w:rPr>
              <w:t>A.R.A.R. (hermano)</w:t>
            </w:r>
          </w:p>
          <w:p w14:paraId="30D52CAB" w14:textId="77777777" w:rsidR="00E33422" w:rsidRPr="006E5414" w:rsidRDefault="00E33422" w:rsidP="00E33422">
            <w:pPr>
              <w:pStyle w:val="Prrafodelista"/>
              <w:numPr>
                <w:ilvl w:val="0"/>
                <w:numId w:val="102"/>
              </w:numPr>
              <w:rPr>
                <w:rFonts w:ascii="Verdana" w:hAnsi="Verdana"/>
                <w:sz w:val="18"/>
                <w:szCs w:val="18"/>
              </w:rPr>
            </w:pPr>
            <w:r w:rsidRPr="006E5414">
              <w:rPr>
                <w:rFonts w:ascii="Verdana" w:hAnsi="Verdana"/>
                <w:sz w:val="18"/>
                <w:szCs w:val="18"/>
              </w:rPr>
              <w:t>Manuel Reyes Lira (abuelo)</w:t>
            </w:r>
          </w:p>
        </w:tc>
      </w:tr>
      <w:tr w:rsidR="00E33422" w14:paraId="52AE99FA" w14:textId="77777777" w:rsidTr="003564A3">
        <w:trPr>
          <w:jc w:val="center"/>
        </w:trPr>
        <w:tc>
          <w:tcPr>
            <w:tcW w:w="3369" w:type="dxa"/>
          </w:tcPr>
          <w:p w14:paraId="39D51D5C" w14:textId="77777777" w:rsidR="00E33422" w:rsidRPr="006E5414" w:rsidRDefault="00E33422" w:rsidP="002265E8">
            <w:pPr>
              <w:rPr>
                <w:rFonts w:ascii="Verdana" w:hAnsi="Verdana"/>
                <w:b/>
                <w:sz w:val="18"/>
                <w:szCs w:val="18"/>
              </w:rPr>
            </w:pPr>
          </w:p>
          <w:p w14:paraId="3FD42E5C" w14:textId="77777777" w:rsidR="00E33422" w:rsidRPr="006E5414" w:rsidRDefault="00E33422" w:rsidP="002265E8">
            <w:pPr>
              <w:rPr>
                <w:rFonts w:ascii="Verdana" w:hAnsi="Verdana"/>
                <w:b/>
                <w:sz w:val="18"/>
                <w:szCs w:val="18"/>
              </w:rPr>
            </w:pPr>
          </w:p>
          <w:p w14:paraId="4A035464" w14:textId="77777777" w:rsidR="00E33422" w:rsidRPr="006E5414" w:rsidRDefault="00E33422" w:rsidP="002265E8">
            <w:pPr>
              <w:rPr>
                <w:rFonts w:ascii="Verdana" w:hAnsi="Verdana"/>
                <w:b/>
                <w:sz w:val="18"/>
                <w:szCs w:val="18"/>
              </w:rPr>
            </w:pPr>
          </w:p>
          <w:p w14:paraId="7CC9596A" w14:textId="77777777" w:rsidR="00E33422" w:rsidRPr="006E5414" w:rsidRDefault="00E33422" w:rsidP="002265E8">
            <w:pPr>
              <w:rPr>
                <w:rFonts w:ascii="Verdana" w:hAnsi="Verdana"/>
                <w:b/>
                <w:sz w:val="18"/>
                <w:szCs w:val="18"/>
              </w:rPr>
            </w:pPr>
          </w:p>
          <w:p w14:paraId="53783696" w14:textId="77777777" w:rsidR="00E33422" w:rsidRPr="006E5414" w:rsidRDefault="00E33422" w:rsidP="002265E8">
            <w:pPr>
              <w:rPr>
                <w:rFonts w:ascii="Verdana" w:hAnsi="Verdana"/>
                <w:b/>
                <w:sz w:val="18"/>
                <w:szCs w:val="18"/>
              </w:rPr>
            </w:pPr>
          </w:p>
          <w:p w14:paraId="45D2F4BB" w14:textId="77777777" w:rsidR="00E33422" w:rsidRPr="006E5414" w:rsidRDefault="00E33422" w:rsidP="002265E8">
            <w:pPr>
              <w:rPr>
                <w:rFonts w:ascii="Verdana" w:hAnsi="Verdana"/>
                <w:b/>
                <w:sz w:val="18"/>
                <w:szCs w:val="18"/>
              </w:rPr>
            </w:pPr>
          </w:p>
          <w:p w14:paraId="49037469" w14:textId="77777777" w:rsidR="00E33422" w:rsidRPr="006E5414" w:rsidRDefault="00E33422" w:rsidP="002265E8">
            <w:pPr>
              <w:rPr>
                <w:rFonts w:ascii="Verdana" w:hAnsi="Verdana"/>
                <w:b/>
                <w:sz w:val="18"/>
                <w:szCs w:val="18"/>
              </w:rPr>
            </w:pPr>
          </w:p>
          <w:p w14:paraId="2495CF1E" w14:textId="77777777" w:rsidR="00E33422" w:rsidRPr="006E5414" w:rsidRDefault="00E33422" w:rsidP="002265E8">
            <w:pPr>
              <w:rPr>
                <w:rFonts w:ascii="Verdana" w:hAnsi="Verdana"/>
                <w:b/>
                <w:sz w:val="18"/>
                <w:szCs w:val="18"/>
              </w:rPr>
            </w:pPr>
          </w:p>
          <w:p w14:paraId="223765C0" w14:textId="77777777" w:rsidR="00E33422" w:rsidRPr="006E5414" w:rsidRDefault="00E33422" w:rsidP="002265E8">
            <w:pPr>
              <w:rPr>
                <w:rFonts w:ascii="Verdana" w:hAnsi="Verdana" w:cs="Arial"/>
                <w:sz w:val="18"/>
                <w:szCs w:val="18"/>
                <w:rtl/>
              </w:rPr>
            </w:pPr>
            <w:r w:rsidRPr="006E5414">
              <w:rPr>
                <w:rFonts w:ascii="Verdana" w:hAnsi="Verdana"/>
                <w:b/>
                <w:sz w:val="18"/>
                <w:szCs w:val="18"/>
                <w:lang w:val="es-CR"/>
              </w:rPr>
              <w:t>Familiares de José Ángel Alvarado Herrera</w:t>
            </w:r>
          </w:p>
        </w:tc>
        <w:tc>
          <w:tcPr>
            <w:tcW w:w="5811" w:type="dxa"/>
          </w:tcPr>
          <w:p w14:paraId="432B16B4" w14:textId="77777777" w:rsidR="00E33422" w:rsidRPr="006E5414" w:rsidRDefault="00E33422" w:rsidP="00E33422">
            <w:pPr>
              <w:pStyle w:val="Prrafodelista"/>
              <w:numPr>
                <w:ilvl w:val="0"/>
                <w:numId w:val="103"/>
              </w:numPr>
              <w:rPr>
                <w:rFonts w:ascii="Verdana" w:hAnsi="Verdana"/>
                <w:sz w:val="18"/>
                <w:szCs w:val="18"/>
                <w:lang w:val="es-CR"/>
              </w:rPr>
            </w:pPr>
            <w:r w:rsidRPr="006E5414">
              <w:rPr>
                <w:rFonts w:ascii="Verdana" w:hAnsi="Verdana"/>
                <w:sz w:val="18"/>
                <w:szCs w:val="18"/>
                <w:lang w:val="es-CR"/>
              </w:rPr>
              <w:t>Concepción Herrera Hernández (madre, fallecida en 2016)</w:t>
            </w:r>
          </w:p>
          <w:p w14:paraId="0A0697D1" w14:textId="7AEFFE08" w:rsidR="00D0318B" w:rsidRPr="006E5414" w:rsidRDefault="00D0318B" w:rsidP="00D0318B">
            <w:pPr>
              <w:pStyle w:val="Prrafodelista"/>
              <w:numPr>
                <w:ilvl w:val="0"/>
                <w:numId w:val="103"/>
              </w:numPr>
              <w:rPr>
                <w:rFonts w:ascii="Verdana" w:hAnsi="Verdana"/>
                <w:sz w:val="18"/>
                <w:szCs w:val="18"/>
              </w:rPr>
            </w:pPr>
            <w:r w:rsidRPr="006E5414">
              <w:rPr>
                <w:rFonts w:ascii="Verdana" w:hAnsi="Verdana"/>
                <w:sz w:val="18"/>
                <w:szCs w:val="18"/>
                <w:lang w:val="es-CR"/>
              </w:rPr>
              <w:t>José Ángel Alvarado Fabela (padre)</w:t>
            </w:r>
          </w:p>
          <w:p w14:paraId="6712C77D" w14:textId="5B276129" w:rsidR="00E33422" w:rsidRPr="006E5414" w:rsidRDefault="00D0318B" w:rsidP="00E33422">
            <w:pPr>
              <w:pStyle w:val="Prrafodelista"/>
              <w:numPr>
                <w:ilvl w:val="0"/>
                <w:numId w:val="103"/>
              </w:numPr>
              <w:rPr>
                <w:rFonts w:ascii="Verdana" w:hAnsi="Verdana"/>
                <w:sz w:val="18"/>
                <w:szCs w:val="18"/>
                <w:lang w:val="es-CR"/>
              </w:rPr>
            </w:pPr>
            <w:r w:rsidRPr="006E5414">
              <w:rPr>
                <w:rFonts w:ascii="Verdana" w:hAnsi="Verdana"/>
                <w:sz w:val="18"/>
                <w:szCs w:val="18"/>
              </w:rPr>
              <w:t>Obdulia Espinoza Beltrán (esposa)</w:t>
            </w:r>
          </w:p>
          <w:p w14:paraId="567BE6EB" w14:textId="77777777" w:rsidR="00E33422" w:rsidRPr="006E5414" w:rsidRDefault="00E33422" w:rsidP="00E33422">
            <w:pPr>
              <w:pStyle w:val="Prrafodelista"/>
              <w:numPr>
                <w:ilvl w:val="0"/>
                <w:numId w:val="103"/>
              </w:numPr>
              <w:rPr>
                <w:rFonts w:ascii="Verdana" w:hAnsi="Verdana"/>
                <w:sz w:val="18"/>
                <w:szCs w:val="18"/>
              </w:rPr>
            </w:pPr>
            <w:r w:rsidRPr="006E5414">
              <w:rPr>
                <w:rFonts w:ascii="Verdana" w:hAnsi="Verdana"/>
                <w:sz w:val="18"/>
                <w:szCs w:val="18"/>
              </w:rPr>
              <w:t>J.A.E. (hija)</w:t>
            </w:r>
          </w:p>
          <w:p w14:paraId="6A569D69" w14:textId="77777777" w:rsidR="00E33422" w:rsidRPr="006E5414" w:rsidRDefault="00E33422" w:rsidP="00E33422">
            <w:pPr>
              <w:pStyle w:val="Prrafodelista"/>
              <w:numPr>
                <w:ilvl w:val="0"/>
                <w:numId w:val="103"/>
              </w:numPr>
              <w:rPr>
                <w:rFonts w:ascii="Verdana" w:hAnsi="Verdana"/>
                <w:sz w:val="18"/>
                <w:szCs w:val="18"/>
              </w:rPr>
            </w:pPr>
            <w:r w:rsidRPr="006E5414">
              <w:rPr>
                <w:rFonts w:ascii="Verdana" w:hAnsi="Verdana"/>
                <w:sz w:val="18"/>
                <w:szCs w:val="18"/>
              </w:rPr>
              <w:t>J.A.A.E. (hijo)</w:t>
            </w:r>
          </w:p>
          <w:p w14:paraId="17E1AF65" w14:textId="77777777" w:rsidR="00E33422" w:rsidRPr="006E5414" w:rsidRDefault="00E33422" w:rsidP="00E33422">
            <w:pPr>
              <w:pStyle w:val="Prrafodelista"/>
              <w:numPr>
                <w:ilvl w:val="0"/>
                <w:numId w:val="103"/>
              </w:numPr>
              <w:rPr>
                <w:rFonts w:ascii="Verdana" w:hAnsi="Verdana"/>
                <w:sz w:val="18"/>
                <w:szCs w:val="18"/>
              </w:rPr>
            </w:pPr>
            <w:r w:rsidRPr="006E5414">
              <w:rPr>
                <w:rFonts w:ascii="Verdana" w:hAnsi="Verdana"/>
                <w:sz w:val="18"/>
                <w:szCs w:val="18"/>
              </w:rPr>
              <w:t>A.E.B. (A.A.E.) (hija)</w:t>
            </w:r>
          </w:p>
          <w:p w14:paraId="48127EE5" w14:textId="77777777" w:rsidR="00E33422" w:rsidRPr="006E5414" w:rsidRDefault="00E33422" w:rsidP="00E33422">
            <w:pPr>
              <w:pStyle w:val="Prrafodelista"/>
              <w:numPr>
                <w:ilvl w:val="0"/>
                <w:numId w:val="103"/>
              </w:numPr>
              <w:rPr>
                <w:rFonts w:ascii="Verdana" w:hAnsi="Verdana"/>
                <w:sz w:val="18"/>
                <w:szCs w:val="18"/>
              </w:rPr>
            </w:pPr>
            <w:r w:rsidRPr="006E5414">
              <w:rPr>
                <w:rFonts w:ascii="Verdana" w:hAnsi="Verdana"/>
                <w:sz w:val="18"/>
                <w:szCs w:val="18"/>
              </w:rPr>
              <w:t>Jaime Alvarado Herrera (hermano)</w:t>
            </w:r>
          </w:p>
          <w:p w14:paraId="089B02CB" w14:textId="77777777" w:rsidR="00E33422" w:rsidRPr="006E5414" w:rsidRDefault="00E33422" w:rsidP="00E33422">
            <w:pPr>
              <w:pStyle w:val="Prrafodelista"/>
              <w:numPr>
                <w:ilvl w:val="0"/>
                <w:numId w:val="103"/>
              </w:numPr>
              <w:rPr>
                <w:rFonts w:ascii="Verdana" w:hAnsi="Verdana"/>
                <w:sz w:val="18"/>
                <w:szCs w:val="18"/>
                <w:lang w:val="es-CR"/>
              </w:rPr>
            </w:pPr>
            <w:r w:rsidRPr="006E5414">
              <w:rPr>
                <w:rFonts w:ascii="Verdana" w:hAnsi="Verdana"/>
                <w:sz w:val="18"/>
                <w:szCs w:val="18"/>
                <w:lang w:val="es-CR"/>
              </w:rPr>
              <w:t>Sandra Luz Rueda Quezada (cuñada)</w:t>
            </w:r>
          </w:p>
          <w:p w14:paraId="3DC6D2EE" w14:textId="77777777" w:rsidR="00E33422" w:rsidRPr="006E5414" w:rsidRDefault="00E33422" w:rsidP="00E33422">
            <w:pPr>
              <w:pStyle w:val="Prrafodelista"/>
              <w:numPr>
                <w:ilvl w:val="0"/>
                <w:numId w:val="103"/>
              </w:numPr>
              <w:rPr>
                <w:rFonts w:ascii="Verdana" w:hAnsi="Verdana"/>
                <w:sz w:val="18"/>
                <w:szCs w:val="18"/>
                <w:lang w:val="es-CR"/>
              </w:rPr>
            </w:pPr>
            <w:r w:rsidRPr="006E5414">
              <w:rPr>
                <w:rFonts w:ascii="Verdana" w:hAnsi="Verdana"/>
                <w:sz w:val="18"/>
                <w:szCs w:val="18"/>
                <w:lang w:val="es-CR"/>
              </w:rPr>
              <w:t>J.O.A.R. (sobrino)</w:t>
            </w:r>
          </w:p>
          <w:p w14:paraId="0F96BC3F" w14:textId="77777777" w:rsidR="00E33422" w:rsidRPr="006E5414" w:rsidRDefault="00E33422" w:rsidP="00E33422">
            <w:pPr>
              <w:pStyle w:val="Prrafodelista"/>
              <w:numPr>
                <w:ilvl w:val="0"/>
                <w:numId w:val="103"/>
              </w:numPr>
              <w:rPr>
                <w:rFonts w:ascii="Verdana" w:hAnsi="Verdana"/>
                <w:sz w:val="18"/>
                <w:szCs w:val="18"/>
                <w:lang w:val="es-CR"/>
              </w:rPr>
            </w:pPr>
            <w:r w:rsidRPr="006E5414">
              <w:rPr>
                <w:rFonts w:ascii="Verdana" w:hAnsi="Verdana"/>
                <w:sz w:val="18"/>
                <w:szCs w:val="18"/>
                <w:lang w:val="es-CR"/>
              </w:rPr>
              <w:t>R.G.A.R. (sobrina)</w:t>
            </w:r>
          </w:p>
          <w:p w14:paraId="24C070D0" w14:textId="77777777" w:rsidR="00E33422" w:rsidRPr="006E5414" w:rsidRDefault="00E33422" w:rsidP="00E33422">
            <w:pPr>
              <w:pStyle w:val="Prrafodelista"/>
              <w:numPr>
                <w:ilvl w:val="0"/>
                <w:numId w:val="103"/>
              </w:numPr>
              <w:rPr>
                <w:rFonts w:ascii="Verdana" w:hAnsi="Verdana"/>
                <w:sz w:val="18"/>
                <w:szCs w:val="18"/>
                <w:lang w:val="es-CR"/>
              </w:rPr>
            </w:pPr>
            <w:r w:rsidRPr="006E5414">
              <w:rPr>
                <w:rFonts w:ascii="Verdana" w:hAnsi="Verdana"/>
                <w:sz w:val="18"/>
                <w:szCs w:val="18"/>
                <w:lang w:val="es-CR"/>
              </w:rPr>
              <w:t>C.N.A.R. (sobrina)</w:t>
            </w:r>
          </w:p>
          <w:p w14:paraId="05B4B0AF" w14:textId="77777777" w:rsidR="00E33422" w:rsidRPr="006E5414" w:rsidRDefault="00E33422" w:rsidP="00E33422">
            <w:pPr>
              <w:pStyle w:val="Prrafodelista"/>
              <w:numPr>
                <w:ilvl w:val="0"/>
                <w:numId w:val="103"/>
              </w:numPr>
              <w:rPr>
                <w:rFonts w:ascii="Verdana" w:hAnsi="Verdana"/>
                <w:sz w:val="18"/>
                <w:szCs w:val="18"/>
                <w:lang w:val="es-CR"/>
              </w:rPr>
            </w:pPr>
            <w:r w:rsidRPr="006E5414">
              <w:rPr>
                <w:rFonts w:ascii="Verdana" w:hAnsi="Verdana"/>
                <w:sz w:val="18"/>
                <w:szCs w:val="18"/>
                <w:lang w:val="es-CR"/>
              </w:rPr>
              <w:t>J.E.A.R. (sobrino)</w:t>
            </w:r>
          </w:p>
          <w:p w14:paraId="7FEAEA3C" w14:textId="77777777" w:rsidR="00E33422" w:rsidRPr="006E5414" w:rsidRDefault="00E33422" w:rsidP="00E33422">
            <w:pPr>
              <w:pStyle w:val="Prrafodelista"/>
              <w:numPr>
                <w:ilvl w:val="0"/>
                <w:numId w:val="103"/>
              </w:numPr>
              <w:rPr>
                <w:rFonts w:ascii="Verdana" w:hAnsi="Verdana"/>
                <w:sz w:val="18"/>
                <w:szCs w:val="18"/>
                <w:lang w:val="es-CR"/>
              </w:rPr>
            </w:pPr>
            <w:r w:rsidRPr="006E5414">
              <w:rPr>
                <w:rFonts w:ascii="Verdana" w:hAnsi="Verdana"/>
                <w:sz w:val="18"/>
                <w:szCs w:val="18"/>
                <w:lang w:val="es-CR"/>
              </w:rPr>
              <w:t>Rosa Olivia Alvarado Herrera (hermana)</w:t>
            </w:r>
          </w:p>
          <w:p w14:paraId="7228F6A1" w14:textId="77777777" w:rsidR="00E33422" w:rsidRPr="006E5414" w:rsidRDefault="00E33422" w:rsidP="00E33422">
            <w:pPr>
              <w:pStyle w:val="Prrafodelista"/>
              <w:numPr>
                <w:ilvl w:val="0"/>
                <w:numId w:val="103"/>
              </w:numPr>
              <w:rPr>
                <w:rFonts w:ascii="Verdana" w:hAnsi="Verdana"/>
                <w:sz w:val="18"/>
                <w:szCs w:val="18"/>
              </w:rPr>
            </w:pPr>
            <w:r w:rsidRPr="006E5414">
              <w:rPr>
                <w:rFonts w:ascii="Verdana" w:hAnsi="Verdana"/>
                <w:sz w:val="18"/>
                <w:szCs w:val="18"/>
              </w:rPr>
              <w:t>Félix Garc</w:t>
            </w:r>
            <w:r w:rsidRPr="006E5414">
              <w:rPr>
                <w:rFonts w:ascii="Verdana" w:hAnsi="Verdana" w:cs="Arial"/>
                <w:sz w:val="18"/>
                <w:szCs w:val="18"/>
              </w:rPr>
              <w:t xml:space="preserve">ía García </w:t>
            </w:r>
            <w:r w:rsidRPr="006E5414">
              <w:rPr>
                <w:rFonts w:ascii="Verdana" w:hAnsi="Verdana"/>
                <w:sz w:val="18"/>
                <w:szCs w:val="18"/>
              </w:rPr>
              <w:t>(cuñado)</w:t>
            </w:r>
          </w:p>
          <w:p w14:paraId="288A81D7" w14:textId="77777777" w:rsidR="00E33422" w:rsidRPr="006E5414" w:rsidRDefault="00E33422" w:rsidP="00E33422">
            <w:pPr>
              <w:pStyle w:val="Prrafodelista"/>
              <w:numPr>
                <w:ilvl w:val="0"/>
                <w:numId w:val="103"/>
              </w:numPr>
              <w:rPr>
                <w:rFonts w:ascii="Verdana" w:hAnsi="Verdana"/>
                <w:sz w:val="18"/>
                <w:szCs w:val="18"/>
                <w:lang w:val="es-CR"/>
              </w:rPr>
            </w:pPr>
            <w:r w:rsidRPr="006E5414">
              <w:rPr>
                <w:rFonts w:ascii="Verdana" w:hAnsi="Verdana"/>
                <w:sz w:val="18"/>
                <w:szCs w:val="18"/>
                <w:lang w:val="es-CR"/>
              </w:rPr>
              <w:t>Karina Paola Alvarado Espinoza (sobrina)</w:t>
            </w:r>
          </w:p>
          <w:p w14:paraId="64A3D89D" w14:textId="77777777" w:rsidR="00E33422" w:rsidRPr="006E5414" w:rsidRDefault="00E33422" w:rsidP="00E33422">
            <w:pPr>
              <w:pStyle w:val="Prrafodelista"/>
              <w:numPr>
                <w:ilvl w:val="0"/>
                <w:numId w:val="103"/>
              </w:numPr>
              <w:rPr>
                <w:rFonts w:ascii="Verdana" w:hAnsi="Verdana"/>
                <w:sz w:val="18"/>
                <w:szCs w:val="18"/>
                <w:lang w:val="es-CR"/>
              </w:rPr>
            </w:pPr>
            <w:r w:rsidRPr="006E5414">
              <w:rPr>
                <w:rFonts w:ascii="Verdana" w:hAnsi="Verdana"/>
                <w:sz w:val="18"/>
                <w:szCs w:val="18"/>
                <w:lang w:val="es-CR"/>
              </w:rPr>
              <w:t>F.A.H. (sobrino, asesinado el 6 de febrero de 2018)</w:t>
            </w:r>
          </w:p>
          <w:p w14:paraId="7CB9F21F" w14:textId="10C7507E" w:rsidR="00E33422" w:rsidRPr="006E5414" w:rsidRDefault="00E33422" w:rsidP="00E33422">
            <w:pPr>
              <w:pStyle w:val="Prrafodelista"/>
              <w:numPr>
                <w:ilvl w:val="0"/>
                <w:numId w:val="103"/>
              </w:numPr>
              <w:rPr>
                <w:rFonts w:ascii="Verdana" w:hAnsi="Verdana"/>
                <w:sz w:val="18"/>
                <w:szCs w:val="18"/>
              </w:rPr>
            </w:pPr>
            <w:r w:rsidRPr="006E5414">
              <w:rPr>
                <w:rFonts w:ascii="Verdana" w:hAnsi="Verdana"/>
                <w:sz w:val="18"/>
                <w:szCs w:val="18"/>
              </w:rPr>
              <w:t>J.G.A. (sobrin</w:t>
            </w:r>
            <w:r w:rsidR="000F1F65" w:rsidRPr="006E5414">
              <w:rPr>
                <w:rFonts w:ascii="Verdana" w:hAnsi="Verdana"/>
                <w:sz w:val="18"/>
                <w:szCs w:val="18"/>
              </w:rPr>
              <w:t>a</w:t>
            </w:r>
            <w:r w:rsidRPr="006E5414">
              <w:rPr>
                <w:rFonts w:ascii="Verdana" w:hAnsi="Verdana"/>
                <w:sz w:val="18"/>
                <w:szCs w:val="18"/>
              </w:rPr>
              <w:t>)</w:t>
            </w:r>
          </w:p>
          <w:p w14:paraId="048A8F78" w14:textId="77777777" w:rsidR="00E33422" w:rsidRPr="006E5414" w:rsidRDefault="00E33422" w:rsidP="00E33422">
            <w:pPr>
              <w:pStyle w:val="Prrafodelista"/>
              <w:numPr>
                <w:ilvl w:val="0"/>
                <w:numId w:val="103"/>
              </w:numPr>
              <w:rPr>
                <w:rFonts w:ascii="Verdana" w:hAnsi="Verdana"/>
                <w:sz w:val="18"/>
                <w:szCs w:val="18"/>
              </w:rPr>
            </w:pPr>
            <w:r w:rsidRPr="006E5414">
              <w:rPr>
                <w:rFonts w:ascii="Verdana" w:hAnsi="Verdana"/>
                <w:sz w:val="18"/>
                <w:szCs w:val="18"/>
              </w:rPr>
              <w:t>A.G.A. (sobrino)</w:t>
            </w:r>
          </w:p>
        </w:tc>
      </w:tr>
    </w:tbl>
    <w:p w14:paraId="04822B81" w14:textId="28D0D333" w:rsidR="009114A1" w:rsidRPr="003564A3" w:rsidRDefault="005F54F6" w:rsidP="005F54F6">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Pr>
          <w:rFonts w:ascii="Verdana" w:eastAsia="Times New Roman" w:hAnsi="Verdana" w:cs="Times New Roman"/>
          <w:sz w:val="20"/>
          <w:szCs w:val="20"/>
          <w:lang w:val="es-ES"/>
        </w:rPr>
        <w:t xml:space="preserve">Para </w:t>
      </w:r>
      <w:r w:rsidR="002265E8">
        <w:rPr>
          <w:rFonts w:ascii="Verdana" w:eastAsia="Times New Roman" w:hAnsi="Verdana" w:cs="Times New Roman"/>
          <w:sz w:val="20"/>
          <w:szCs w:val="20"/>
          <w:lang w:val="es-ES"/>
        </w:rPr>
        <w:t>efectos d</w:t>
      </w:r>
      <w:r w:rsidR="009114A1" w:rsidRPr="003564A3">
        <w:rPr>
          <w:rFonts w:ascii="Verdana" w:eastAsia="Times New Roman" w:hAnsi="Verdana" w:cs="Times New Roman"/>
          <w:sz w:val="20"/>
          <w:szCs w:val="20"/>
          <w:lang w:val="es-ES"/>
        </w:rPr>
        <w:t xml:space="preserve">e las reparaciones ordenadas en este capítulo, la Corte toma nota que la señora Concepción Herrera Hernández falleció el </w:t>
      </w:r>
      <w:r w:rsidR="00984BB6" w:rsidRPr="003564A3">
        <w:rPr>
          <w:rFonts w:ascii="Verdana" w:eastAsia="Times New Roman" w:hAnsi="Verdana" w:cs="Times New Roman"/>
          <w:sz w:val="20"/>
          <w:szCs w:val="20"/>
        </w:rPr>
        <w:t>14 de enero de 2016</w:t>
      </w:r>
      <w:r w:rsidR="00984BB6" w:rsidRPr="00744CE4">
        <w:rPr>
          <w:rStyle w:val="Refdenotaalpie"/>
          <w:rFonts w:ascii="Verdana" w:eastAsia="Times New Roman" w:hAnsi="Verdana" w:cs="Times New Roman"/>
          <w:sz w:val="20"/>
          <w:szCs w:val="20"/>
        </w:rPr>
        <w:footnoteReference w:id="530"/>
      </w:r>
      <w:r w:rsidR="009114A1" w:rsidRPr="003564A3">
        <w:rPr>
          <w:rFonts w:ascii="Verdana" w:hAnsi="Verdana" w:cs="Times New Roman"/>
          <w:sz w:val="20"/>
          <w:szCs w:val="20"/>
          <w:lang w:val="es-CR"/>
        </w:rPr>
        <w:t xml:space="preserve">, el señor </w:t>
      </w:r>
      <w:r w:rsidR="009114A1" w:rsidRPr="003564A3">
        <w:rPr>
          <w:rFonts w:ascii="Verdana" w:eastAsia="Times New Roman" w:hAnsi="Verdana" w:cs="Times New Roman"/>
          <w:sz w:val="20"/>
          <w:szCs w:val="20"/>
          <w:lang w:val="es-ES"/>
        </w:rPr>
        <w:t xml:space="preserve">Manuel Reyes </w:t>
      </w:r>
      <w:r w:rsidR="009114A1" w:rsidRPr="003564A3">
        <w:rPr>
          <w:rFonts w:ascii="Verdana" w:eastAsia="Times New Roman" w:hAnsi="Verdana" w:cs="Times New Roman"/>
          <w:sz w:val="20"/>
          <w:szCs w:val="20"/>
          <w:lang w:val="es-ES"/>
        </w:rPr>
        <w:lastRenderedPageBreak/>
        <w:t>Lira falleció e</w:t>
      </w:r>
      <w:r w:rsidR="00927025" w:rsidRPr="003564A3">
        <w:rPr>
          <w:rFonts w:ascii="Verdana" w:eastAsia="Times New Roman" w:hAnsi="Verdana" w:cs="Times New Roman"/>
          <w:sz w:val="20"/>
          <w:szCs w:val="20"/>
          <w:lang w:val="es-ES"/>
        </w:rPr>
        <w:t xml:space="preserve">n </w:t>
      </w:r>
      <w:r w:rsidR="009114A1" w:rsidRPr="003564A3">
        <w:rPr>
          <w:rFonts w:ascii="Verdana" w:eastAsia="Times New Roman" w:hAnsi="Verdana" w:cs="Times New Roman"/>
          <w:sz w:val="20"/>
          <w:szCs w:val="20"/>
          <w:lang w:val="es-ES"/>
        </w:rPr>
        <w:t>201</w:t>
      </w:r>
      <w:r w:rsidR="00A0366A">
        <w:rPr>
          <w:rFonts w:ascii="Verdana" w:eastAsia="Times New Roman" w:hAnsi="Verdana" w:cs="Times New Roman"/>
          <w:sz w:val="20"/>
          <w:szCs w:val="20"/>
          <w:lang w:val="es-ES"/>
        </w:rPr>
        <w:t>5</w:t>
      </w:r>
      <w:r w:rsidR="00984BB6" w:rsidRPr="00744CE4">
        <w:rPr>
          <w:rStyle w:val="Refdenotaalpie"/>
          <w:rFonts w:ascii="Verdana" w:eastAsia="Times New Roman" w:hAnsi="Verdana" w:cs="Times New Roman"/>
          <w:sz w:val="20"/>
          <w:szCs w:val="20"/>
          <w:lang w:val="es-ES"/>
        </w:rPr>
        <w:footnoteReference w:id="531"/>
      </w:r>
      <w:r w:rsidR="009114A1" w:rsidRPr="003564A3">
        <w:rPr>
          <w:rFonts w:ascii="Verdana" w:eastAsia="Times New Roman" w:hAnsi="Verdana" w:cs="Times New Roman"/>
          <w:sz w:val="20"/>
          <w:szCs w:val="20"/>
          <w:lang w:val="es-ES"/>
        </w:rPr>
        <w:t xml:space="preserve"> y </w:t>
      </w:r>
      <w:r w:rsidR="009114A1" w:rsidRPr="003564A3">
        <w:rPr>
          <w:rFonts w:ascii="Verdana" w:hAnsi="Verdana" w:cs="Times New Roman"/>
          <w:sz w:val="20"/>
          <w:szCs w:val="20"/>
          <w:lang w:val="es-CR"/>
        </w:rPr>
        <w:t xml:space="preserve">el joven </w:t>
      </w:r>
      <w:r w:rsidR="009114A1" w:rsidRPr="003564A3">
        <w:rPr>
          <w:rFonts w:ascii="Verdana" w:eastAsia="Times New Roman" w:hAnsi="Verdana" w:cs="Times New Roman"/>
          <w:sz w:val="20"/>
          <w:szCs w:val="20"/>
          <w:lang w:val="es-ES"/>
        </w:rPr>
        <w:t>F.A.H. fue asesinado el 6 de febrero de 2018</w:t>
      </w:r>
      <w:r w:rsidR="009114A1" w:rsidRPr="00744CE4">
        <w:rPr>
          <w:rStyle w:val="Refdenotaalpie"/>
          <w:rFonts w:ascii="Verdana" w:eastAsia="Times New Roman" w:hAnsi="Verdana"/>
          <w:sz w:val="20"/>
          <w:szCs w:val="20"/>
          <w:lang w:val="es-ES"/>
        </w:rPr>
        <w:footnoteReference w:id="532"/>
      </w:r>
      <w:r w:rsidR="009114A1" w:rsidRPr="003564A3">
        <w:rPr>
          <w:rFonts w:ascii="Verdana" w:eastAsia="Times New Roman" w:hAnsi="Verdana" w:cs="Times New Roman"/>
          <w:sz w:val="20"/>
          <w:szCs w:val="20"/>
          <w:lang w:val="es-ES"/>
        </w:rPr>
        <w:t xml:space="preserve">. </w:t>
      </w:r>
      <w:bookmarkStart w:id="354" w:name="_Toc467060532"/>
      <w:bookmarkStart w:id="355" w:name="_Toc467060647"/>
      <w:bookmarkStart w:id="356" w:name="_Toc467060533"/>
      <w:bookmarkStart w:id="357" w:name="_Toc467060648"/>
      <w:bookmarkStart w:id="358" w:name="_Toc467060534"/>
      <w:bookmarkStart w:id="359" w:name="_Toc467060649"/>
      <w:bookmarkStart w:id="360" w:name="_Toc494271564"/>
      <w:bookmarkEnd w:id="354"/>
      <w:bookmarkEnd w:id="355"/>
      <w:bookmarkEnd w:id="356"/>
      <w:bookmarkEnd w:id="357"/>
      <w:bookmarkEnd w:id="358"/>
      <w:bookmarkEnd w:id="359"/>
    </w:p>
    <w:p w14:paraId="6DE87CE8" w14:textId="76C0EA3C" w:rsidR="009114A1" w:rsidRPr="00744CE4" w:rsidRDefault="00556FDB">
      <w:pPr>
        <w:pStyle w:val="Prrafodelista"/>
        <w:keepNext/>
        <w:keepLines/>
        <w:numPr>
          <w:ilvl w:val="0"/>
          <w:numId w:val="29"/>
        </w:numPr>
        <w:spacing w:before="120" w:after="120" w:line="240" w:lineRule="auto"/>
        <w:contextualSpacing w:val="0"/>
        <w:jc w:val="both"/>
        <w:outlineLvl w:val="1"/>
        <w:rPr>
          <w:rFonts w:ascii="Verdana" w:eastAsia="Times New Roman" w:hAnsi="Verdana" w:cs="Times New Roman"/>
          <w:b/>
          <w:bCs/>
          <w:i/>
          <w:sz w:val="20"/>
          <w:szCs w:val="20"/>
          <w:lang w:val="es-ES"/>
        </w:rPr>
      </w:pPr>
      <w:bookmarkStart w:id="361" w:name="_Toc526774181"/>
      <w:bookmarkStart w:id="362" w:name="_Toc526777517"/>
      <w:bookmarkStart w:id="363" w:name="_Toc526783820"/>
      <w:r>
        <w:rPr>
          <w:rFonts w:ascii="Verdana" w:eastAsia="Times New Roman" w:hAnsi="Verdana" w:cs="Times New Roman"/>
          <w:b/>
          <w:bCs/>
          <w:i/>
          <w:sz w:val="20"/>
          <w:szCs w:val="20"/>
          <w:lang w:val="es-ES"/>
        </w:rPr>
        <w:t xml:space="preserve"> </w:t>
      </w:r>
      <w:bookmarkStart w:id="364" w:name="_Toc532995400"/>
      <w:r w:rsidR="009114A1" w:rsidRPr="00744CE4">
        <w:rPr>
          <w:rFonts w:ascii="Verdana" w:eastAsia="Times New Roman" w:hAnsi="Verdana" w:cs="Times New Roman"/>
          <w:b/>
          <w:bCs/>
          <w:i/>
          <w:sz w:val="20"/>
          <w:szCs w:val="20"/>
          <w:lang w:val="es-ES"/>
        </w:rPr>
        <w:t>Obligación de investigar los hechos e identificar y, en su caso, juzgar y sancionar a todos los responsables</w:t>
      </w:r>
      <w:bookmarkStart w:id="365" w:name="_Toc510702287"/>
      <w:bookmarkEnd w:id="361"/>
      <w:bookmarkEnd w:id="362"/>
      <w:bookmarkEnd w:id="363"/>
      <w:bookmarkEnd w:id="364"/>
    </w:p>
    <w:p w14:paraId="046DA4D2" w14:textId="621AB722"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744CE4">
        <w:rPr>
          <w:rFonts w:ascii="Verdana" w:hAnsi="Verdana" w:cs="Times New Roman"/>
          <w:sz w:val="20"/>
          <w:szCs w:val="20"/>
          <w:lang w:val="es-EC"/>
        </w:rPr>
        <w:t xml:space="preserve">La </w:t>
      </w:r>
      <w:r w:rsidRPr="00744CE4">
        <w:rPr>
          <w:rFonts w:ascii="Verdana" w:hAnsi="Verdana" w:cs="Times New Roman"/>
          <w:b/>
          <w:i/>
          <w:sz w:val="20"/>
          <w:szCs w:val="20"/>
          <w:lang w:val="es-EC"/>
        </w:rPr>
        <w:t xml:space="preserve">Comisión </w:t>
      </w:r>
      <w:r w:rsidRPr="00744CE4">
        <w:rPr>
          <w:rFonts w:ascii="Verdana" w:hAnsi="Verdana" w:cs="Times New Roman"/>
          <w:sz w:val="20"/>
          <w:szCs w:val="20"/>
          <w:lang w:val="es-EC"/>
        </w:rPr>
        <w:t xml:space="preserve">solicitó a la Corte investigar de manera completa, imparcial y efectiva el paradero de </w:t>
      </w:r>
      <w:r w:rsidRPr="00432ABC">
        <w:rPr>
          <w:rFonts w:ascii="Verdana" w:hAnsi="Verdana" w:cs="Times New Roman"/>
          <w:sz w:val="20"/>
          <w:szCs w:val="20"/>
          <w:lang w:val="es-EC"/>
        </w:rPr>
        <w:t>los desaparecidos, y de ser el caso, adoptar las medidas necesarias para identificar y entregar a sus familiares sus restos mortales</w:t>
      </w:r>
      <w:r w:rsidRPr="00432ABC">
        <w:rPr>
          <w:rFonts w:ascii="Verdana" w:hAnsi="Verdana" w:cs="Times New Roman"/>
          <w:sz w:val="20"/>
          <w:szCs w:val="20"/>
          <w:lang w:val="es-AR"/>
        </w:rPr>
        <w:t xml:space="preserve">. Asimismo, solicitó que se le ordene al Estado llevar a cabo de manera imparcial, efectiva y dentro de un plazo razonable, los procedimientos internos relacionados con las </w:t>
      </w:r>
      <w:r w:rsidRPr="002C462C">
        <w:rPr>
          <w:rFonts w:ascii="Verdana" w:hAnsi="Verdana" w:cs="Times New Roman"/>
          <w:sz w:val="20"/>
          <w:szCs w:val="20"/>
          <w:lang w:val="es-AR"/>
        </w:rPr>
        <w:t xml:space="preserve">violaciones de los derechos humanos declaradas en el informe y conducir </w:t>
      </w:r>
      <w:r w:rsidRPr="00744CE4">
        <w:rPr>
          <w:rFonts w:ascii="Verdana" w:hAnsi="Verdana" w:cs="Times New Roman"/>
          <w:sz w:val="20"/>
          <w:szCs w:val="20"/>
          <w:lang w:val="es-EC"/>
        </w:rPr>
        <w:t xml:space="preserve">los procesos correspondientes por el delito de desaparición forzada de las presuntas víctimas, esto con la finalidad de esclarecer los hechos de forma completa, identificar a todos los responsables e imponer las respectivas sanciones. </w:t>
      </w:r>
    </w:p>
    <w:p w14:paraId="4F0407EB" w14:textId="56D7E3F7"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b/>
          <w:sz w:val="20"/>
          <w:szCs w:val="20"/>
          <w:lang w:val="es-EC"/>
        </w:rPr>
      </w:pPr>
      <w:r w:rsidRPr="00744CE4">
        <w:rPr>
          <w:rFonts w:ascii="Verdana" w:hAnsi="Verdana" w:cs="Times New Roman"/>
          <w:sz w:val="20"/>
          <w:szCs w:val="20"/>
          <w:lang w:val="es-EC"/>
        </w:rPr>
        <w:t xml:space="preserve">Las </w:t>
      </w:r>
      <w:r w:rsidR="00C96C12">
        <w:rPr>
          <w:rFonts w:ascii="Verdana" w:hAnsi="Verdana" w:cs="Times New Roman"/>
          <w:b/>
          <w:i/>
          <w:sz w:val="20"/>
          <w:szCs w:val="20"/>
          <w:lang w:val="es-EC"/>
        </w:rPr>
        <w:t>R</w:t>
      </w:r>
      <w:r w:rsidRPr="00744CE4">
        <w:rPr>
          <w:rFonts w:ascii="Verdana" w:hAnsi="Verdana" w:cs="Times New Roman"/>
          <w:b/>
          <w:i/>
          <w:sz w:val="20"/>
          <w:szCs w:val="20"/>
          <w:lang w:val="es-EC"/>
        </w:rPr>
        <w:t xml:space="preserve">epresentantes </w:t>
      </w:r>
      <w:r w:rsidRPr="00744CE4">
        <w:rPr>
          <w:rFonts w:ascii="Verdana" w:hAnsi="Verdana" w:cs="Times New Roman"/>
          <w:sz w:val="20"/>
          <w:szCs w:val="20"/>
          <w:lang w:val="es-EC"/>
        </w:rPr>
        <w:t>hicieron énfasis en la necesidad de encontrar el paradero de las víctimas de la desaparición, así como identificar, procesar, y sancionar los responsables de su desaparición y de la obstaculi</w:t>
      </w:r>
      <w:r w:rsidR="00845E22">
        <w:rPr>
          <w:rFonts w:ascii="Verdana" w:hAnsi="Verdana" w:cs="Times New Roman"/>
          <w:sz w:val="20"/>
          <w:szCs w:val="20"/>
          <w:lang w:val="es-EC"/>
        </w:rPr>
        <w:t>za</w:t>
      </w:r>
      <w:r w:rsidRPr="00744CE4">
        <w:rPr>
          <w:rFonts w:ascii="Verdana" w:hAnsi="Verdana" w:cs="Times New Roman"/>
          <w:sz w:val="20"/>
          <w:szCs w:val="20"/>
          <w:lang w:val="es-EC"/>
        </w:rPr>
        <w:t>c</w:t>
      </w:r>
      <w:r w:rsidR="00845E22">
        <w:rPr>
          <w:rFonts w:ascii="Verdana" w:hAnsi="Verdana" w:cs="Times New Roman"/>
          <w:sz w:val="20"/>
          <w:szCs w:val="20"/>
          <w:lang w:val="es-EC"/>
        </w:rPr>
        <w:t>ión</w:t>
      </w:r>
      <w:r w:rsidRPr="00744CE4">
        <w:rPr>
          <w:rFonts w:ascii="Verdana" w:hAnsi="Verdana" w:cs="Times New Roman"/>
          <w:sz w:val="20"/>
          <w:szCs w:val="20"/>
          <w:lang w:val="es-EC"/>
        </w:rPr>
        <w:t xml:space="preserve"> de las investigaciones</w:t>
      </w:r>
      <w:r w:rsidR="00026636">
        <w:rPr>
          <w:rFonts w:ascii="Verdana" w:hAnsi="Verdana" w:cs="Times New Roman"/>
          <w:sz w:val="20"/>
          <w:szCs w:val="20"/>
          <w:lang w:val="es-EC"/>
        </w:rPr>
        <w:t>.</w:t>
      </w:r>
    </w:p>
    <w:p w14:paraId="5E146ADE" w14:textId="2E72C647"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AR"/>
        </w:rPr>
      </w:pPr>
      <w:r w:rsidRPr="00744CE4">
        <w:rPr>
          <w:rFonts w:ascii="Verdana" w:hAnsi="Verdana" w:cs="Times New Roman"/>
          <w:sz w:val="20"/>
          <w:szCs w:val="20"/>
          <w:lang w:val="es-EC"/>
        </w:rPr>
        <w:t>El</w:t>
      </w:r>
      <w:r w:rsidRPr="00744CE4">
        <w:rPr>
          <w:rFonts w:ascii="Verdana" w:hAnsi="Verdana" w:cs="Times New Roman"/>
          <w:sz w:val="20"/>
          <w:szCs w:val="20"/>
          <w:lang w:val="es-AR"/>
        </w:rPr>
        <w:t xml:space="preserve"> </w:t>
      </w:r>
      <w:r w:rsidRPr="00744CE4">
        <w:rPr>
          <w:rFonts w:ascii="Verdana" w:hAnsi="Verdana" w:cs="Times New Roman"/>
          <w:b/>
          <w:i/>
          <w:sz w:val="20"/>
          <w:szCs w:val="20"/>
          <w:lang w:val="es-AR"/>
        </w:rPr>
        <w:t>Estado</w:t>
      </w:r>
      <w:r w:rsidRPr="00744CE4">
        <w:rPr>
          <w:rFonts w:ascii="Verdana" w:hAnsi="Verdana" w:cs="Times New Roman"/>
          <w:b/>
          <w:sz w:val="20"/>
          <w:szCs w:val="20"/>
          <w:lang w:val="es-AR"/>
        </w:rPr>
        <w:t xml:space="preserve"> </w:t>
      </w:r>
      <w:r w:rsidRPr="00744CE4">
        <w:rPr>
          <w:rFonts w:ascii="Verdana" w:hAnsi="Verdana" w:cs="Times New Roman"/>
          <w:sz w:val="20"/>
          <w:szCs w:val="20"/>
          <w:lang w:val="es-AR"/>
        </w:rPr>
        <w:t>no se refirió de manera directa a las medidas de investigación, sin embargo, señaló que,</w:t>
      </w:r>
      <w:r w:rsidRPr="00744CE4">
        <w:rPr>
          <w:rFonts w:ascii="Verdana" w:hAnsi="Verdana" w:cs="Times New Roman"/>
          <w:b/>
          <w:sz w:val="20"/>
          <w:szCs w:val="20"/>
          <w:lang w:val="es-AR"/>
        </w:rPr>
        <w:t xml:space="preserve"> </w:t>
      </w:r>
      <w:r w:rsidRPr="00744CE4">
        <w:rPr>
          <w:rFonts w:ascii="Verdana" w:hAnsi="Verdana" w:cs="Times New Roman"/>
          <w:sz w:val="20"/>
          <w:szCs w:val="20"/>
          <w:lang w:val="es-AR"/>
        </w:rPr>
        <w:t>se deben tener en cuenta las medidas que ya han sido implementadas en el marco del cumplimiento de las medidas provisionales.</w:t>
      </w:r>
      <w:r w:rsidR="00C04F18">
        <w:rPr>
          <w:rFonts w:ascii="Verdana" w:hAnsi="Verdana" w:cs="Times New Roman"/>
          <w:b/>
          <w:sz w:val="20"/>
          <w:szCs w:val="20"/>
          <w:lang w:val="es-AR"/>
        </w:rPr>
        <w:t xml:space="preserve"> </w:t>
      </w:r>
      <w:r w:rsidRPr="00744CE4">
        <w:rPr>
          <w:rFonts w:ascii="Verdana" w:hAnsi="Verdana" w:cs="Times New Roman"/>
          <w:sz w:val="20"/>
          <w:szCs w:val="20"/>
          <w:lang w:val="es-AR"/>
        </w:rPr>
        <w:t xml:space="preserve">Por estas razones, el Estado destacó que la Corte debe intervenir solo en casos donde estas obligaciones no se hayan cumplido o no se haya hecho de manera </w:t>
      </w:r>
      <w:r w:rsidRPr="00C04F18">
        <w:rPr>
          <w:rFonts w:ascii="Verdana" w:hAnsi="Verdana" w:cs="Times New Roman"/>
          <w:sz w:val="20"/>
          <w:szCs w:val="20"/>
          <w:lang w:val="es-AR"/>
        </w:rPr>
        <w:t>adecuada</w:t>
      </w:r>
      <w:r w:rsidR="00C04F18" w:rsidRPr="00C04F18">
        <w:rPr>
          <w:rFonts w:ascii="Verdana" w:hAnsi="Verdana" w:cs="Times New Roman"/>
          <w:sz w:val="20"/>
          <w:szCs w:val="20"/>
          <w:lang w:val="es-AR"/>
        </w:rPr>
        <w:t>.</w:t>
      </w:r>
    </w:p>
    <w:p w14:paraId="5DF33B29" w14:textId="042D63FE"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CR"/>
        </w:rPr>
        <w:t xml:space="preserve">La </w:t>
      </w:r>
      <w:r w:rsidRPr="00744CE4">
        <w:rPr>
          <w:rFonts w:ascii="Verdana" w:hAnsi="Verdana" w:cs="Times New Roman"/>
          <w:b/>
          <w:i/>
          <w:sz w:val="20"/>
          <w:szCs w:val="20"/>
          <w:lang w:val="es-CR"/>
        </w:rPr>
        <w:t>Corte</w:t>
      </w:r>
      <w:r w:rsidRPr="00744CE4">
        <w:rPr>
          <w:rFonts w:ascii="Verdana" w:hAnsi="Verdana" w:cs="Times New Roman"/>
          <w:sz w:val="20"/>
          <w:szCs w:val="20"/>
          <w:lang w:val="es-CR"/>
        </w:rPr>
        <w:t xml:space="preserve"> determinó en esta Sentencia la responsabilidad internacional del Estado por la desaparición forzada de las tres víctimas, así como la falta de investigación y esclarecimiento de los hechos en violación </w:t>
      </w:r>
      <w:r w:rsidR="00131EB5" w:rsidRPr="00744CE4">
        <w:rPr>
          <w:rFonts w:ascii="Verdana" w:hAnsi="Verdana" w:cs="Times New Roman"/>
          <w:sz w:val="20"/>
          <w:szCs w:val="20"/>
          <w:lang w:val="es-CR"/>
        </w:rPr>
        <w:t>d</w:t>
      </w:r>
      <w:r w:rsidRPr="00744CE4">
        <w:rPr>
          <w:rFonts w:ascii="Verdana" w:hAnsi="Verdana" w:cs="Times New Roman"/>
          <w:sz w:val="20"/>
          <w:szCs w:val="20"/>
          <w:lang w:val="es-CR"/>
        </w:rPr>
        <w:t xml:space="preserve">e los artículos 3, 4, 5, 7, 8, 25 y 2 de la Convención Americana y los correspondientes de la Convención Interamericana sobre Desaparición Forzada de Personas. Lo anterior representó </w:t>
      </w:r>
      <w:r w:rsidRPr="00744CE4">
        <w:rPr>
          <w:rFonts w:ascii="Verdana" w:hAnsi="Verdana"/>
          <w:sz w:val="20"/>
          <w:szCs w:val="20"/>
        </w:rPr>
        <w:t>la configuración de “violaciones graves a los derechos humanos”, las cuales tienen una connotación y consecuencias propias. En razón de lo anterior, la Corte dispondrá de los siguientes componentes de la medida de investigación frente a estos casos</w:t>
      </w:r>
      <w:r w:rsidR="00EF1A17">
        <w:rPr>
          <w:rFonts w:ascii="Verdana" w:hAnsi="Verdana"/>
          <w:sz w:val="20"/>
          <w:szCs w:val="20"/>
        </w:rPr>
        <w:t>.</w:t>
      </w:r>
      <w:r w:rsidRPr="00744CE4">
        <w:rPr>
          <w:rFonts w:ascii="Verdana" w:hAnsi="Verdana"/>
          <w:sz w:val="20"/>
          <w:szCs w:val="20"/>
        </w:rPr>
        <w:t xml:space="preserve"> </w:t>
      </w:r>
    </w:p>
    <w:p w14:paraId="46FE7A5E" w14:textId="20E18C52" w:rsidR="009114A1" w:rsidRPr="00744CE4" w:rsidRDefault="00E34BFF" w:rsidP="008D0846">
      <w:pPr>
        <w:pStyle w:val="Ttulo3"/>
        <w:numPr>
          <w:ilvl w:val="0"/>
          <w:numId w:val="96"/>
        </w:numPr>
        <w:spacing w:before="120" w:after="120"/>
        <w:ind w:left="2268" w:hanging="426"/>
        <w:contextualSpacing w:val="0"/>
        <w:rPr>
          <w:b w:val="0"/>
        </w:rPr>
      </w:pPr>
      <w:r>
        <w:rPr>
          <w:b w:val="0"/>
        </w:rPr>
        <w:t xml:space="preserve"> </w:t>
      </w:r>
      <w:bookmarkStart w:id="366" w:name="_Toc532995401"/>
      <w:r w:rsidR="009114A1" w:rsidRPr="00744CE4">
        <w:rPr>
          <w:b w:val="0"/>
        </w:rPr>
        <w:t>Determinación del paradero de las víctimas</w:t>
      </w:r>
      <w:bookmarkEnd w:id="366"/>
    </w:p>
    <w:p w14:paraId="7BF71020" w14:textId="35BA95EE" w:rsidR="00A81849"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Verdana"/>
          <w:sz w:val="20"/>
          <w:szCs w:val="20"/>
          <w:lang w:val="es-EC"/>
        </w:rPr>
        <w:t>C</w:t>
      </w:r>
      <w:r w:rsidRPr="00744CE4">
        <w:rPr>
          <w:rFonts w:ascii="Verdana" w:hAnsi="Verdana" w:cs="Verdana"/>
          <w:sz w:val="20"/>
          <w:szCs w:val="20"/>
          <w:lang w:val="es-CR"/>
        </w:rPr>
        <w:t>omo parte del deber de investigar el Estado debe realizar una búsqueda efectiva del paradero de las víctimas (</w:t>
      </w:r>
      <w:r w:rsidR="00205AF7" w:rsidRPr="00744CE4">
        <w:rPr>
          <w:rFonts w:ascii="Verdana" w:hAnsi="Verdana" w:cs="Verdana"/>
          <w:i/>
          <w:sz w:val="20"/>
          <w:szCs w:val="20"/>
          <w:lang w:val="es-CR"/>
        </w:rPr>
        <w:t xml:space="preserve">supra </w:t>
      </w:r>
      <w:r w:rsidRPr="00744CE4">
        <w:rPr>
          <w:rFonts w:ascii="Verdana" w:hAnsi="Verdana" w:cs="Verdana"/>
          <w:sz w:val="20"/>
          <w:szCs w:val="20"/>
          <w:lang w:val="es-CR"/>
        </w:rPr>
        <w:t xml:space="preserve">párr. </w:t>
      </w:r>
      <w:r w:rsidR="00897C61">
        <w:rPr>
          <w:rFonts w:ascii="Verdana" w:hAnsi="Verdana" w:cs="Verdana"/>
          <w:sz w:val="20"/>
          <w:szCs w:val="20"/>
          <w:lang w:val="es-CR"/>
        </w:rPr>
        <w:t>240</w:t>
      </w:r>
      <w:r w:rsidRPr="00744CE4">
        <w:rPr>
          <w:rFonts w:ascii="Verdana" w:hAnsi="Verdana" w:cs="Verdana"/>
          <w:sz w:val="20"/>
          <w:szCs w:val="20"/>
          <w:lang w:val="es-CR"/>
        </w:rPr>
        <w:t>), ya que el derecho de los familiares de conocer el paradero de la misma</w:t>
      </w:r>
      <w:r w:rsidRPr="00744CE4">
        <w:rPr>
          <w:rFonts w:ascii="Verdana" w:hAnsi="Verdana" w:cs="Arial"/>
          <w:sz w:val="20"/>
          <w:szCs w:val="20"/>
          <w:lang w:val="es-CR"/>
        </w:rPr>
        <w:t xml:space="preserve"> </w:t>
      </w:r>
      <w:r w:rsidRPr="00744CE4">
        <w:rPr>
          <w:rFonts w:ascii="Verdana" w:hAnsi="Verdana" w:cs="Verdana"/>
          <w:sz w:val="20"/>
          <w:szCs w:val="20"/>
          <w:lang w:val="es-CR"/>
        </w:rPr>
        <w:t>constituye una medida de reparación y, por tanto, una expectativa que el Estado debe satisfacer a éstos</w:t>
      </w:r>
      <w:r w:rsidRPr="00744CE4">
        <w:rPr>
          <w:rStyle w:val="Refdenotaalpie"/>
          <w:rFonts w:ascii="Verdana" w:hAnsi="Verdana"/>
          <w:sz w:val="20"/>
          <w:szCs w:val="20"/>
        </w:rPr>
        <w:footnoteReference w:id="533"/>
      </w:r>
      <w:r w:rsidRPr="00744CE4">
        <w:rPr>
          <w:rFonts w:ascii="Verdana" w:hAnsi="Verdana" w:cs="Verdana"/>
          <w:sz w:val="20"/>
          <w:szCs w:val="20"/>
          <w:lang w:val="es-CR"/>
        </w:rPr>
        <w:t>. A su vez, esto permite a los familiares aliviar la angustia y sufrimiento causados por dicha incertidumbre</w:t>
      </w:r>
      <w:r w:rsidRPr="00744CE4">
        <w:rPr>
          <w:rStyle w:val="Refdenotaalpie"/>
          <w:rFonts w:ascii="Verdana" w:hAnsi="Verdana"/>
          <w:sz w:val="20"/>
          <w:szCs w:val="20"/>
        </w:rPr>
        <w:footnoteReference w:id="534"/>
      </w:r>
      <w:r w:rsidRPr="00744CE4">
        <w:rPr>
          <w:rFonts w:ascii="Verdana" w:hAnsi="Verdana" w:cs="Verdana"/>
          <w:sz w:val="20"/>
          <w:szCs w:val="20"/>
          <w:lang w:val="es-CR"/>
        </w:rPr>
        <w:t>.</w:t>
      </w:r>
      <w:r w:rsidRPr="00744CE4">
        <w:rPr>
          <w:rFonts w:ascii="Verdana" w:hAnsi="Verdana" w:cs="Times New Roman"/>
          <w:sz w:val="20"/>
          <w:szCs w:val="20"/>
          <w:lang w:val="es-CR"/>
        </w:rPr>
        <w:t xml:space="preserve"> </w:t>
      </w:r>
    </w:p>
    <w:p w14:paraId="5CC7FB90" w14:textId="18775C83" w:rsidR="00243654" w:rsidRPr="002C462C" w:rsidRDefault="00243654"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ES"/>
        </w:rPr>
      </w:pPr>
      <w:r w:rsidRPr="00432ABC">
        <w:rPr>
          <w:rFonts w:ascii="Verdana" w:hAnsi="Verdana" w:cs="Times New Roman"/>
          <w:sz w:val="20"/>
          <w:szCs w:val="20"/>
          <w:lang w:val="es-ES"/>
        </w:rPr>
        <w:t xml:space="preserve">En consecuencia, es necesario que el Estado extreme los esfuerzos de búsqueda exhaustiva por la vía judicial y/o administrativa adecuada, para determinar el paradero de los desaparecidos a la mayor brevedad, la cual deberá realizarse de manera sistemática y rigurosa, contar con los recursos humanos, técnicos y científicos adecuados e idóneos. Las referidas diligencias deberán </w:t>
      </w:r>
      <w:r w:rsidRPr="00432ABC">
        <w:rPr>
          <w:rFonts w:ascii="Verdana" w:hAnsi="Verdana" w:cs="Times New Roman"/>
          <w:sz w:val="20"/>
          <w:szCs w:val="20"/>
          <w:lang w:val="es-ES"/>
        </w:rPr>
        <w:lastRenderedPageBreak/>
        <w:t xml:space="preserve">ser informadas a sus familiares. </w:t>
      </w:r>
      <w:r w:rsidRPr="00432ABC">
        <w:rPr>
          <w:rFonts w:ascii="Verdana" w:hAnsi="Verdana" w:cs="Times New Roman"/>
          <w:sz w:val="20"/>
          <w:szCs w:val="20"/>
          <w:lang w:val="es-CR"/>
        </w:rPr>
        <w:t xml:space="preserve">En este sentido, el Estado deberá realizar un cronograma de búsqueda, y en su próximo informe anual reportar al Tribunal sobre el resultado de las acciones realizadas. </w:t>
      </w:r>
    </w:p>
    <w:p w14:paraId="7F8AA6F9" w14:textId="32C7BA6D"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2C462C">
        <w:rPr>
          <w:rFonts w:ascii="Verdana" w:hAnsi="Verdana"/>
          <w:sz w:val="20"/>
          <w:szCs w:val="20"/>
          <w:lang w:val="es-CR"/>
        </w:rPr>
        <w:t>En el eventual caso, que las víctimas hayan fallecido, los restos mortales deben ser entregados a sus familiares, previa comprobación genética de filiación, a la</w:t>
      </w:r>
      <w:r w:rsidRPr="00744CE4">
        <w:rPr>
          <w:rFonts w:ascii="Verdana" w:hAnsi="Verdana"/>
          <w:sz w:val="20"/>
          <w:szCs w:val="20"/>
          <w:lang w:val="es-CR"/>
        </w:rPr>
        <w:t xml:space="preserve"> mayor brevedad posible y sin costo alguno. Además, el Estado deberá cubrir los gastos fúnebres, de común acuerdo con sus familiares</w:t>
      </w:r>
      <w:r w:rsidRPr="00744CE4">
        <w:rPr>
          <w:rStyle w:val="Refdenotaalpie"/>
          <w:rFonts w:ascii="Verdana" w:hAnsi="Verdana"/>
          <w:sz w:val="20"/>
          <w:szCs w:val="20"/>
        </w:rPr>
        <w:footnoteReference w:id="535"/>
      </w:r>
      <w:r w:rsidRPr="00744CE4">
        <w:rPr>
          <w:rFonts w:ascii="Verdana" w:hAnsi="Verdana"/>
          <w:sz w:val="20"/>
          <w:szCs w:val="20"/>
          <w:lang w:val="es-CR"/>
        </w:rPr>
        <w:t xml:space="preserve">. </w:t>
      </w:r>
    </w:p>
    <w:p w14:paraId="0CEC9500" w14:textId="67A91973" w:rsidR="00A81849" w:rsidRPr="00744CE4" w:rsidRDefault="00E34BFF" w:rsidP="008D0846">
      <w:pPr>
        <w:pStyle w:val="Ttulo3"/>
        <w:numPr>
          <w:ilvl w:val="0"/>
          <w:numId w:val="96"/>
        </w:numPr>
        <w:spacing w:before="120" w:after="120"/>
        <w:ind w:left="2268" w:hanging="426"/>
        <w:contextualSpacing w:val="0"/>
        <w:rPr>
          <w:b w:val="0"/>
        </w:rPr>
      </w:pPr>
      <w:r>
        <w:rPr>
          <w:b w:val="0"/>
        </w:rPr>
        <w:t xml:space="preserve"> </w:t>
      </w:r>
      <w:bookmarkStart w:id="367" w:name="_Toc532995402"/>
      <w:r w:rsidR="009114A1" w:rsidRPr="00744CE4">
        <w:rPr>
          <w:b w:val="0"/>
        </w:rPr>
        <w:t>Investigaciones y determinación de responsabilidades</w:t>
      </w:r>
      <w:bookmarkEnd w:id="367"/>
    </w:p>
    <w:p w14:paraId="7D25321C" w14:textId="52169A49" w:rsidR="00243654"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ES"/>
        </w:rPr>
      </w:pPr>
      <w:r w:rsidRPr="00432ABC">
        <w:rPr>
          <w:rFonts w:ascii="Verdana" w:hAnsi="Verdana"/>
          <w:sz w:val="20"/>
          <w:szCs w:val="20"/>
          <w:lang w:val="es-CR"/>
        </w:rPr>
        <w:t>Teniendo en cuenta lo expuesto, así como la jurisprudencia de este Tribunal</w:t>
      </w:r>
      <w:r w:rsidRPr="00744CE4">
        <w:rPr>
          <w:rFonts w:ascii="Verdana" w:hAnsi="Verdana"/>
          <w:sz w:val="20"/>
          <w:szCs w:val="20"/>
          <w:vertAlign w:val="superscript"/>
          <w:lang w:val="es-CR"/>
        </w:rPr>
        <w:footnoteReference w:id="536"/>
      </w:r>
      <w:r w:rsidRPr="00744CE4">
        <w:rPr>
          <w:rFonts w:ascii="Verdana" w:hAnsi="Verdana"/>
          <w:sz w:val="20"/>
          <w:szCs w:val="20"/>
          <w:lang w:val="es-CR"/>
        </w:rPr>
        <w:t xml:space="preserve">, la Corte dispone que el Estado debe conducir eficazmente </w:t>
      </w:r>
      <w:r w:rsidR="00243654" w:rsidRPr="00744CE4">
        <w:rPr>
          <w:rFonts w:ascii="Verdana" w:hAnsi="Verdana"/>
          <w:sz w:val="20"/>
          <w:szCs w:val="20"/>
          <w:lang w:val="es-CR"/>
        </w:rPr>
        <w:t xml:space="preserve">y con la mayor diligencia </w:t>
      </w:r>
      <w:r w:rsidRPr="00744CE4">
        <w:rPr>
          <w:rFonts w:ascii="Verdana" w:hAnsi="Verdana"/>
          <w:sz w:val="20"/>
          <w:szCs w:val="20"/>
          <w:lang w:val="es-CR"/>
        </w:rPr>
        <w:t xml:space="preserve">la investigación que cursa en la jurisdicción interna sobre las desapariciones forzadas de </w:t>
      </w:r>
      <w:r w:rsidRPr="00744CE4">
        <w:rPr>
          <w:rFonts w:ascii="Verdana" w:hAnsi="Verdana" w:cs="Times New Roman"/>
          <w:sz w:val="20"/>
          <w:szCs w:val="20"/>
          <w:lang w:val="es-ES"/>
        </w:rPr>
        <w:t>Nitza Paola Alvarado Espinoza, José Ángel Alvarado Herrera y Rocío Ire</w:t>
      </w:r>
      <w:r w:rsidRPr="00432ABC">
        <w:rPr>
          <w:rFonts w:ascii="Verdana" w:hAnsi="Verdana" w:cs="Times New Roman"/>
          <w:sz w:val="20"/>
          <w:szCs w:val="20"/>
          <w:lang w:val="es-ES"/>
        </w:rPr>
        <w:t>ne Alvarado Reyes</w:t>
      </w:r>
      <w:r w:rsidRPr="00432ABC">
        <w:rPr>
          <w:rFonts w:ascii="Verdana" w:hAnsi="Verdana"/>
          <w:sz w:val="20"/>
          <w:szCs w:val="20"/>
          <w:lang w:val="es-CR"/>
        </w:rPr>
        <w:t xml:space="preserve"> y demás afectaciones a los familiares</w:t>
      </w:r>
      <w:r w:rsidRPr="00432ABC">
        <w:rPr>
          <w:rFonts w:ascii="Verdana" w:hAnsi="Verdana" w:cs="Times New Roman"/>
          <w:sz w:val="20"/>
          <w:szCs w:val="20"/>
          <w:lang w:val="es-ES"/>
        </w:rPr>
        <w:t>, a fin de</w:t>
      </w:r>
      <w:r w:rsidRPr="00432ABC">
        <w:rPr>
          <w:rFonts w:ascii="Verdana" w:hAnsi="Verdana"/>
          <w:sz w:val="20"/>
          <w:szCs w:val="20"/>
          <w:lang w:val="es-CR"/>
        </w:rPr>
        <w:t xml:space="preserve"> determinar a los responsables de los hechos de este caso y aplicar efectivamente las sanciones y consecuencias que la ley prevea. El Estado debe dirigir y concluir las investigaciones y proc</w:t>
      </w:r>
      <w:r w:rsidRPr="002C462C">
        <w:rPr>
          <w:rFonts w:ascii="Verdana" w:hAnsi="Verdana"/>
          <w:sz w:val="20"/>
          <w:szCs w:val="20"/>
          <w:lang w:val="es-CR"/>
        </w:rPr>
        <w:t xml:space="preserve">esos pertinentes en un plazo razonable, con el fin de establecer la verdad de los hechos, en atención a los criterios señalados sobre investigaciones en casos de desapariciones forzadas, removiendo todos los obstáculos, </w:t>
      </w:r>
      <w:r w:rsidRPr="00744CE4">
        <w:rPr>
          <w:rFonts w:ascii="Verdana" w:hAnsi="Verdana"/>
          <w:i/>
          <w:iCs/>
          <w:sz w:val="20"/>
          <w:szCs w:val="20"/>
          <w:lang w:val="es-CR"/>
        </w:rPr>
        <w:t>de facto y de jure</w:t>
      </w:r>
      <w:r w:rsidRPr="00744CE4">
        <w:rPr>
          <w:rFonts w:ascii="Verdana" w:hAnsi="Verdana"/>
          <w:sz w:val="20"/>
          <w:szCs w:val="20"/>
          <w:lang w:val="es-CR"/>
        </w:rPr>
        <w:t>, que mantienen la impunidad en este caso (</w:t>
      </w:r>
      <w:r w:rsidR="00205AF7" w:rsidRPr="00744CE4">
        <w:rPr>
          <w:rFonts w:ascii="Verdana" w:hAnsi="Verdana"/>
          <w:i/>
          <w:sz w:val="20"/>
          <w:szCs w:val="20"/>
          <w:lang w:val="es-CR"/>
        </w:rPr>
        <w:t xml:space="preserve">supra </w:t>
      </w:r>
      <w:r w:rsidRPr="00744CE4">
        <w:rPr>
          <w:rFonts w:ascii="Verdana" w:hAnsi="Verdana"/>
          <w:sz w:val="20"/>
          <w:szCs w:val="20"/>
          <w:lang w:val="es-CR"/>
        </w:rPr>
        <w:t>Cap</w:t>
      </w:r>
      <w:r w:rsidR="00790979">
        <w:rPr>
          <w:rFonts w:ascii="Verdana" w:hAnsi="Verdana"/>
          <w:sz w:val="20"/>
          <w:szCs w:val="20"/>
          <w:lang w:val="es-CR"/>
        </w:rPr>
        <w:t>í</w:t>
      </w:r>
      <w:r w:rsidRPr="00744CE4">
        <w:rPr>
          <w:rFonts w:ascii="Verdana" w:hAnsi="Verdana"/>
          <w:sz w:val="20"/>
          <w:szCs w:val="20"/>
          <w:lang w:val="es-CR"/>
        </w:rPr>
        <w:t>t</w:t>
      </w:r>
      <w:r w:rsidR="00790979">
        <w:rPr>
          <w:rFonts w:ascii="Verdana" w:hAnsi="Verdana"/>
          <w:sz w:val="20"/>
          <w:szCs w:val="20"/>
          <w:lang w:val="es-CR"/>
        </w:rPr>
        <w:t>ulo VII.2</w:t>
      </w:r>
      <w:r w:rsidRPr="00744CE4">
        <w:rPr>
          <w:rFonts w:ascii="Verdana" w:hAnsi="Verdana"/>
          <w:sz w:val="20"/>
          <w:szCs w:val="20"/>
          <w:lang w:val="es-CR"/>
        </w:rPr>
        <w:t xml:space="preserve">). </w:t>
      </w:r>
      <w:r w:rsidR="00243654" w:rsidRPr="00744CE4">
        <w:rPr>
          <w:rFonts w:ascii="Verdana" w:hAnsi="Verdana"/>
          <w:sz w:val="20"/>
          <w:szCs w:val="20"/>
          <w:lang w:val="es-ES"/>
        </w:rPr>
        <w:t xml:space="preserve">La debida diligencia en la investigación implica que todas las autoridades estatales correspondientes están obligadas a colaborar en la recolección de la prueba, por lo que deberán brindar a jueces, procuraduría u otra autoridad competentes toda la información que requiera y abstenerse de </w:t>
      </w:r>
      <w:r w:rsidR="00786607">
        <w:rPr>
          <w:rFonts w:ascii="Verdana" w:hAnsi="Verdana"/>
          <w:sz w:val="20"/>
          <w:szCs w:val="20"/>
          <w:lang w:val="es-ES"/>
        </w:rPr>
        <w:t xml:space="preserve">realizar </w:t>
      </w:r>
      <w:r w:rsidR="00243654" w:rsidRPr="00744CE4">
        <w:rPr>
          <w:rFonts w:ascii="Verdana" w:hAnsi="Verdana"/>
          <w:sz w:val="20"/>
          <w:szCs w:val="20"/>
          <w:lang w:val="es-ES"/>
        </w:rPr>
        <w:t xml:space="preserve">actos que impliquen la obstrucción para la marcha del proceso investigativo. </w:t>
      </w:r>
      <w:r w:rsidR="00243654" w:rsidRPr="00744CE4">
        <w:rPr>
          <w:rFonts w:ascii="Verdana" w:hAnsi="Verdana"/>
          <w:sz w:val="20"/>
          <w:szCs w:val="20"/>
          <w:lang w:val="es-CR"/>
        </w:rPr>
        <w:t>En particular, el Estado deberá velar porque la investigación abarque los siguientes criterios:</w:t>
      </w:r>
    </w:p>
    <w:p w14:paraId="6E16F473" w14:textId="35999E59" w:rsidR="00243654" w:rsidRPr="00744CE4" w:rsidRDefault="00256B09">
      <w:pPr>
        <w:pStyle w:val="Prrafodelista"/>
        <w:numPr>
          <w:ilvl w:val="1"/>
          <w:numId w:val="77"/>
        </w:numPr>
        <w:spacing w:before="120" w:after="120" w:line="240" w:lineRule="auto"/>
        <w:ind w:left="993" w:hanging="284"/>
        <w:contextualSpacing w:val="0"/>
        <w:jc w:val="both"/>
        <w:rPr>
          <w:rFonts w:ascii="Verdana" w:hAnsi="Verdana" w:cs="Arial"/>
          <w:sz w:val="20"/>
          <w:szCs w:val="20"/>
          <w:lang w:val="es-CR"/>
        </w:rPr>
      </w:pPr>
      <w:r w:rsidRPr="00744CE4">
        <w:rPr>
          <w:rFonts w:ascii="Verdana" w:hAnsi="Verdana" w:cs="Arial"/>
          <w:sz w:val="20"/>
          <w:szCs w:val="20"/>
          <w:lang w:val="es-CR"/>
        </w:rPr>
        <w:t>r</w:t>
      </w:r>
      <w:r w:rsidR="00243654" w:rsidRPr="00744CE4">
        <w:rPr>
          <w:rFonts w:ascii="Verdana" w:hAnsi="Verdana" w:cs="Arial"/>
          <w:sz w:val="20"/>
          <w:szCs w:val="20"/>
          <w:lang w:val="es-CR"/>
        </w:rPr>
        <w:t>ealizar las investigaciones pertinentes tomando en cuenta el contexto del caso, evitando omisiones en la recolección de prueba y en el seguimiento de las líneas lógicas de investigación, así como integrarlas en una sola investigación que permita alcanzar resultados específicos;</w:t>
      </w:r>
    </w:p>
    <w:p w14:paraId="592B021D" w14:textId="0E35FC5B" w:rsidR="00D60ADB" w:rsidRPr="00744CE4" w:rsidRDefault="00243654">
      <w:pPr>
        <w:pStyle w:val="Prrafodelista"/>
        <w:numPr>
          <w:ilvl w:val="1"/>
          <w:numId w:val="77"/>
        </w:numPr>
        <w:spacing w:before="120" w:after="120" w:line="240" w:lineRule="auto"/>
        <w:ind w:left="993" w:hanging="284"/>
        <w:contextualSpacing w:val="0"/>
        <w:jc w:val="both"/>
        <w:rPr>
          <w:rFonts w:ascii="Verdana" w:hAnsi="Verdana" w:cs="Arial"/>
          <w:sz w:val="20"/>
          <w:szCs w:val="20"/>
          <w:lang w:val="es-CR"/>
        </w:rPr>
      </w:pPr>
      <w:r w:rsidRPr="00744CE4">
        <w:rPr>
          <w:rFonts w:ascii="Verdana" w:hAnsi="Verdana" w:cs="Arial"/>
          <w:sz w:val="20"/>
          <w:szCs w:val="20"/>
          <w:lang w:val="es-CR"/>
        </w:rPr>
        <w:t>investigar con debida diligencia</w:t>
      </w:r>
      <w:r w:rsidR="005F4D21">
        <w:rPr>
          <w:rFonts w:ascii="Verdana" w:hAnsi="Verdana" w:cs="Arial"/>
          <w:sz w:val="20"/>
          <w:szCs w:val="20"/>
          <w:lang w:val="es-CR"/>
        </w:rPr>
        <w:t>,</w:t>
      </w:r>
      <w:r w:rsidRPr="00744CE4">
        <w:rPr>
          <w:rFonts w:ascii="Verdana" w:hAnsi="Verdana" w:cs="Arial"/>
          <w:sz w:val="20"/>
          <w:szCs w:val="20"/>
          <w:lang w:val="es-CR"/>
        </w:rPr>
        <w:t xml:space="preserve"> abarcando de forma integral los elementos que configuran la desaparición forzada;</w:t>
      </w:r>
    </w:p>
    <w:p w14:paraId="33A80679" w14:textId="4D20DD0C" w:rsidR="00D60ADB" w:rsidRPr="00744CE4" w:rsidRDefault="00243654">
      <w:pPr>
        <w:pStyle w:val="Prrafodelista"/>
        <w:numPr>
          <w:ilvl w:val="1"/>
          <w:numId w:val="77"/>
        </w:numPr>
        <w:spacing w:before="120" w:after="120" w:line="240" w:lineRule="auto"/>
        <w:ind w:left="993" w:hanging="284"/>
        <w:contextualSpacing w:val="0"/>
        <w:jc w:val="both"/>
        <w:rPr>
          <w:rFonts w:ascii="Verdana" w:hAnsi="Verdana" w:cs="Arial"/>
          <w:sz w:val="20"/>
          <w:szCs w:val="20"/>
          <w:lang w:val="es-CR"/>
        </w:rPr>
      </w:pPr>
      <w:r w:rsidRPr="00744CE4">
        <w:rPr>
          <w:rFonts w:ascii="Verdana" w:hAnsi="Verdana"/>
          <w:sz w:val="20"/>
          <w:lang w:val="es-CR"/>
        </w:rPr>
        <w:t>identificar e individualizar a los autores materiales e intelectuales de la desaparición forzada de la</w:t>
      </w:r>
      <w:r w:rsidR="005F4D21">
        <w:rPr>
          <w:rFonts w:ascii="Verdana" w:hAnsi="Verdana"/>
          <w:sz w:val="20"/>
          <w:lang w:val="es-CR"/>
        </w:rPr>
        <w:t>s</w:t>
      </w:r>
      <w:r w:rsidRPr="00744CE4">
        <w:rPr>
          <w:rFonts w:ascii="Verdana" w:hAnsi="Verdana"/>
          <w:sz w:val="20"/>
          <w:lang w:val="es-CR"/>
        </w:rPr>
        <w:t xml:space="preserve"> víctima</w:t>
      </w:r>
      <w:r w:rsidR="005F4D21">
        <w:rPr>
          <w:rFonts w:ascii="Verdana" w:hAnsi="Verdana"/>
          <w:sz w:val="20"/>
          <w:lang w:val="es-CR"/>
        </w:rPr>
        <w:t>s</w:t>
      </w:r>
      <w:r w:rsidRPr="00744CE4">
        <w:rPr>
          <w:rFonts w:ascii="Verdana" w:hAnsi="Verdana"/>
          <w:sz w:val="20"/>
          <w:lang w:val="es-CR"/>
        </w:rPr>
        <w:t>;</w:t>
      </w:r>
    </w:p>
    <w:p w14:paraId="6B9586C8" w14:textId="6E01E918" w:rsidR="00D60ADB" w:rsidRPr="00744CE4" w:rsidRDefault="00243654">
      <w:pPr>
        <w:pStyle w:val="Prrafodelista"/>
        <w:numPr>
          <w:ilvl w:val="1"/>
          <w:numId w:val="77"/>
        </w:numPr>
        <w:spacing w:before="120" w:after="120" w:line="240" w:lineRule="auto"/>
        <w:ind w:left="993" w:hanging="284"/>
        <w:contextualSpacing w:val="0"/>
        <w:jc w:val="both"/>
        <w:rPr>
          <w:rFonts w:ascii="Verdana" w:hAnsi="Verdana" w:cs="Arial"/>
          <w:sz w:val="20"/>
          <w:szCs w:val="20"/>
          <w:lang w:val="es-CR"/>
        </w:rPr>
      </w:pPr>
      <w:r w:rsidRPr="00744CE4">
        <w:rPr>
          <w:rFonts w:ascii="Verdana" w:hAnsi="Verdana"/>
          <w:sz w:val="20"/>
          <w:lang w:val="es-CR"/>
        </w:rPr>
        <w:t xml:space="preserve">asegurarse que las autoridades competentes realicen las investigaciones correspondientes </w:t>
      </w:r>
      <w:r w:rsidRPr="005F54F6">
        <w:rPr>
          <w:rFonts w:ascii="Verdana" w:hAnsi="Verdana"/>
          <w:i/>
          <w:sz w:val="20"/>
          <w:lang w:val="es-CR"/>
        </w:rPr>
        <w:t>ex officio</w:t>
      </w:r>
      <w:r w:rsidRPr="00744CE4">
        <w:rPr>
          <w:rFonts w:ascii="Verdana" w:hAnsi="Verdana"/>
          <w:sz w:val="20"/>
          <w:lang w:val="es-CR"/>
        </w:rPr>
        <w:t>, y que para tal efecto tengan a su alcance y utilicen todos los recursos logísticos y científicos necesarios para recabar y procesar las pruebas y, en particular, tengan las facultades para acceder a la documentación e información pertinentes para investigar los hechos denunciados y que las personas que participen en la investigación, entre ellas las víctimas o sus representantes, testigos y operadores de justicia, cuenten con las debidas garantías de seguridad;</w:t>
      </w:r>
    </w:p>
    <w:p w14:paraId="0F76B9B1" w14:textId="4829BFA8" w:rsidR="00D60ADB" w:rsidRPr="00744CE4" w:rsidRDefault="00243654">
      <w:pPr>
        <w:pStyle w:val="Prrafodelista"/>
        <w:numPr>
          <w:ilvl w:val="1"/>
          <w:numId w:val="77"/>
        </w:numPr>
        <w:spacing w:before="120" w:after="120" w:line="240" w:lineRule="auto"/>
        <w:ind w:left="993" w:hanging="284"/>
        <w:contextualSpacing w:val="0"/>
        <w:jc w:val="both"/>
        <w:rPr>
          <w:rFonts w:ascii="Verdana" w:hAnsi="Verdana" w:cs="Arial"/>
          <w:sz w:val="20"/>
          <w:szCs w:val="20"/>
          <w:lang w:val="es-CR"/>
        </w:rPr>
      </w:pPr>
      <w:r w:rsidRPr="00744CE4">
        <w:rPr>
          <w:rFonts w:ascii="Verdana" w:hAnsi="Verdana"/>
          <w:sz w:val="20"/>
          <w:lang w:val="es-CR"/>
        </w:rPr>
        <w:t>por tratarse de una violación grave de derechos humanos, y en consideración del carácter permanente de la desaparición forzada cuyos efectos no cesan mientras no se establezca el paradero de la víctima o se identifiquen sus restos, el Estado debe abstenerse de recurrir a figuras como la amnistía en beneficio de los autores</w:t>
      </w:r>
      <w:r w:rsidR="00D92B48">
        <w:rPr>
          <w:rFonts w:ascii="Verdana" w:hAnsi="Verdana"/>
          <w:sz w:val="20"/>
          <w:lang w:val="es-CR"/>
        </w:rPr>
        <w:t xml:space="preserve"> de este tipo de violaciones</w:t>
      </w:r>
      <w:r w:rsidRPr="00744CE4">
        <w:rPr>
          <w:rFonts w:ascii="Verdana" w:hAnsi="Verdana"/>
          <w:sz w:val="20"/>
          <w:lang w:val="es-CR"/>
        </w:rPr>
        <w:t xml:space="preserve">, así como </w:t>
      </w:r>
      <w:r w:rsidR="005F4D21">
        <w:rPr>
          <w:rFonts w:ascii="Verdana" w:hAnsi="Verdana"/>
          <w:sz w:val="20"/>
          <w:lang w:val="es-CR"/>
        </w:rPr>
        <w:t>cualquier</w:t>
      </w:r>
      <w:r w:rsidR="005F4D21" w:rsidRPr="00744CE4">
        <w:rPr>
          <w:rFonts w:ascii="Verdana" w:hAnsi="Verdana"/>
          <w:sz w:val="20"/>
          <w:lang w:val="es-CR"/>
        </w:rPr>
        <w:t xml:space="preserve"> </w:t>
      </w:r>
      <w:r w:rsidRPr="00744CE4">
        <w:rPr>
          <w:rFonts w:ascii="Verdana" w:hAnsi="Verdana"/>
          <w:sz w:val="20"/>
          <w:lang w:val="es-CR"/>
        </w:rPr>
        <w:t xml:space="preserve">otra disposición análoga, irretroactividad de la </w:t>
      </w:r>
      <w:r w:rsidRPr="00744CE4">
        <w:rPr>
          <w:rFonts w:ascii="Verdana" w:hAnsi="Verdana"/>
          <w:sz w:val="20"/>
          <w:lang w:val="es-CR"/>
        </w:rPr>
        <w:lastRenderedPageBreak/>
        <w:t xml:space="preserve">ley penal, cosa juzgada, </w:t>
      </w:r>
      <w:r w:rsidRPr="00744CE4">
        <w:rPr>
          <w:rFonts w:ascii="Verdana" w:hAnsi="Verdana"/>
          <w:i/>
          <w:sz w:val="20"/>
          <w:lang w:val="es-CR"/>
        </w:rPr>
        <w:t>ne bis in idem</w:t>
      </w:r>
      <w:r w:rsidRPr="00744CE4">
        <w:rPr>
          <w:rFonts w:ascii="Verdana" w:hAnsi="Verdana"/>
          <w:sz w:val="20"/>
          <w:lang w:val="es-CR"/>
        </w:rPr>
        <w:t xml:space="preserve"> o cualquier eximente similar de responsabilidad, para excusarse de esta obligación</w:t>
      </w:r>
      <w:r w:rsidR="003C00B3" w:rsidRPr="00744CE4">
        <w:rPr>
          <w:rStyle w:val="Refdenotaalpie"/>
          <w:rFonts w:ascii="Verdana" w:hAnsi="Verdana" w:cs="Arial"/>
          <w:sz w:val="20"/>
          <w:szCs w:val="20"/>
          <w:lang w:val="es-CR"/>
        </w:rPr>
        <w:footnoteReference w:id="537"/>
      </w:r>
      <w:r w:rsidRPr="00744CE4">
        <w:rPr>
          <w:rFonts w:ascii="Verdana" w:hAnsi="Verdana"/>
          <w:sz w:val="20"/>
          <w:lang w:val="es-CR"/>
        </w:rPr>
        <w:t>;</w:t>
      </w:r>
    </w:p>
    <w:p w14:paraId="647717C3" w14:textId="33AFEF1E" w:rsidR="00D60ADB" w:rsidRPr="00432ABC" w:rsidRDefault="00243654">
      <w:pPr>
        <w:pStyle w:val="Prrafodelista"/>
        <w:numPr>
          <w:ilvl w:val="1"/>
          <w:numId w:val="77"/>
        </w:numPr>
        <w:spacing w:before="120" w:after="120" w:line="240" w:lineRule="auto"/>
        <w:ind w:left="993" w:hanging="284"/>
        <w:contextualSpacing w:val="0"/>
        <w:jc w:val="both"/>
        <w:rPr>
          <w:rFonts w:ascii="Verdana" w:hAnsi="Verdana" w:cs="Arial"/>
          <w:sz w:val="20"/>
          <w:szCs w:val="20"/>
          <w:lang w:val="es-CR"/>
        </w:rPr>
      </w:pPr>
      <w:r w:rsidRPr="00744CE4">
        <w:rPr>
          <w:rFonts w:ascii="Verdana" w:hAnsi="Verdana"/>
          <w:sz w:val="20"/>
          <w:lang w:val="es-CR"/>
        </w:rPr>
        <w:t xml:space="preserve">garantizar que las investigaciones por los hechos constitutivos de la desaparición forzada del presente caso se mantengan, en todo momento, bajo conocimiento de la jurisdicción ordinaria, </w:t>
      </w:r>
      <w:r w:rsidR="00D60ADB" w:rsidRPr="00744CE4">
        <w:rPr>
          <w:rFonts w:ascii="Verdana" w:hAnsi="Verdana" w:cs="Arial"/>
          <w:sz w:val="20"/>
          <w:szCs w:val="20"/>
          <w:lang w:val="es-CR"/>
        </w:rPr>
        <w:t>e</w:t>
      </w:r>
      <w:r w:rsidRPr="00744CE4">
        <w:rPr>
          <w:rFonts w:ascii="Verdana" w:hAnsi="Verdana"/>
          <w:sz w:val="20"/>
          <w:lang w:val="es-CR"/>
        </w:rPr>
        <w:t xml:space="preserve"> </w:t>
      </w:r>
    </w:p>
    <w:p w14:paraId="3C176B91" w14:textId="04AA6168" w:rsidR="009114A1" w:rsidRPr="00744CE4" w:rsidRDefault="009114A1">
      <w:pPr>
        <w:pStyle w:val="Prrafodelista"/>
        <w:numPr>
          <w:ilvl w:val="1"/>
          <w:numId w:val="77"/>
        </w:numPr>
        <w:spacing w:before="120" w:after="120" w:line="240" w:lineRule="auto"/>
        <w:ind w:left="993" w:hanging="284"/>
        <w:contextualSpacing w:val="0"/>
        <w:jc w:val="both"/>
        <w:rPr>
          <w:rFonts w:ascii="Verdana" w:hAnsi="Verdana"/>
          <w:sz w:val="20"/>
          <w:lang w:val="es-CR"/>
        </w:rPr>
      </w:pPr>
      <w:r w:rsidRPr="00432ABC">
        <w:rPr>
          <w:rFonts w:ascii="Verdana" w:hAnsi="Verdana"/>
          <w:sz w:val="20"/>
          <w:lang w:val="es-CR"/>
        </w:rPr>
        <w:t xml:space="preserve">iniciar las acciones disciplinarias, administrativas o penales, de acuerdo con </w:t>
      </w:r>
      <w:r w:rsidR="005F4D21">
        <w:rPr>
          <w:rFonts w:ascii="Verdana" w:hAnsi="Verdana"/>
          <w:sz w:val="20"/>
          <w:lang w:val="es-CR"/>
        </w:rPr>
        <w:t>la</w:t>
      </w:r>
      <w:r w:rsidRPr="00432ABC">
        <w:rPr>
          <w:rFonts w:ascii="Verdana" w:hAnsi="Verdana"/>
          <w:sz w:val="20"/>
          <w:lang w:val="es-CR"/>
        </w:rPr>
        <w:t xml:space="preserve"> legislación interna, contra las posibles autoridades del Estado que hayan obstaculizado e impedido la investigación debida de los hechos, así como contra los responsables de los hechos de ho</w:t>
      </w:r>
      <w:r w:rsidRPr="002C462C">
        <w:rPr>
          <w:rFonts w:ascii="Verdana" w:hAnsi="Verdana"/>
          <w:sz w:val="20"/>
          <w:lang w:val="es-CR"/>
        </w:rPr>
        <w:t>stigamiento</w:t>
      </w:r>
      <w:r w:rsidR="00243654" w:rsidRPr="00744CE4">
        <w:rPr>
          <w:rFonts w:ascii="Verdana" w:hAnsi="Verdana"/>
          <w:sz w:val="20"/>
          <w:lang w:val="es-CR"/>
        </w:rPr>
        <w:t xml:space="preserve"> y amenazas. </w:t>
      </w:r>
    </w:p>
    <w:p w14:paraId="1C120312" w14:textId="1767904D" w:rsidR="00A81849"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i/>
          <w:sz w:val="20"/>
          <w:szCs w:val="20"/>
          <w:lang w:val="es-CR"/>
        </w:rPr>
      </w:pPr>
      <w:r w:rsidRPr="00744CE4">
        <w:rPr>
          <w:rFonts w:ascii="Verdana" w:hAnsi="Verdana"/>
          <w:sz w:val="20"/>
          <w:szCs w:val="20"/>
          <w:lang w:val="es-CR"/>
        </w:rPr>
        <w:t>Este Tribunal considera necesario reiterar que conforme a la obligación de garantía consagrada en el artículo 1.1 de la Convención Americana, el Estado tiene el deber de evitar y combatir la impunidad (</w:t>
      </w:r>
      <w:r w:rsidR="00205AF7" w:rsidRPr="00744CE4">
        <w:rPr>
          <w:rFonts w:ascii="Verdana" w:hAnsi="Verdana"/>
          <w:i/>
          <w:sz w:val="20"/>
          <w:szCs w:val="20"/>
          <w:lang w:val="es-CR"/>
        </w:rPr>
        <w:t xml:space="preserve">supra </w:t>
      </w:r>
      <w:r w:rsidRPr="00744CE4">
        <w:rPr>
          <w:rFonts w:ascii="Verdana" w:hAnsi="Verdana"/>
          <w:sz w:val="20"/>
          <w:szCs w:val="20"/>
          <w:lang w:val="es-CR"/>
        </w:rPr>
        <w:t xml:space="preserve">párr. </w:t>
      </w:r>
      <w:r w:rsidR="006C6E14">
        <w:rPr>
          <w:rFonts w:ascii="Verdana" w:hAnsi="Verdana"/>
          <w:sz w:val="20"/>
          <w:szCs w:val="20"/>
          <w:lang w:val="es-CR"/>
        </w:rPr>
        <w:t>259</w:t>
      </w:r>
      <w:r w:rsidRPr="00744CE4">
        <w:rPr>
          <w:rFonts w:ascii="Verdana" w:hAnsi="Verdana"/>
          <w:sz w:val="20"/>
          <w:szCs w:val="20"/>
          <w:lang w:val="es-CR"/>
        </w:rPr>
        <w:t xml:space="preserve">). </w:t>
      </w:r>
      <w:r w:rsidRPr="00744CE4">
        <w:rPr>
          <w:rFonts w:ascii="Verdana" w:hAnsi="Verdana" w:cs="Helvetica"/>
          <w:sz w:val="20"/>
          <w:szCs w:val="20"/>
          <w:lang w:val="es-CR" w:bidi="en-US"/>
        </w:rPr>
        <w:t xml:space="preserve">Para cumplir con dicha </w:t>
      </w:r>
      <w:r w:rsidRPr="00744CE4">
        <w:rPr>
          <w:rFonts w:ascii="Verdana" w:hAnsi="Verdana"/>
          <w:sz w:val="20"/>
          <w:szCs w:val="20"/>
          <w:lang w:val="es-CR"/>
        </w:rPr>
        <w:t>obligación, el Estado debe combatirla por todos los medios legales disponibles, ya que la impunidad “propicia la repetición crónica de las violaciones de derechos humanos y la total indefensión de las víctimas y sus familiares”</w:t>
      </w:r>
      <w:bookmarkStart w:id="368" w:name="_Ref95385297"/>
      <w:r w:rsidRPr="00744CE4">
        <w:rPr>
          <w:rStyle w:val="Refdenotaalpie"/>
          <w:rFonts w:ascii="Verdana" w:hAnsi="Verdana"/>
          <w:sz w:val="20"/>
          <w:szCs w:val="20"/>
        </w:rPr>
        <w:footnoteReference w:id="538"/>
      </w:r>
      <w:bookmarkEnd w:id="368"/>
      <w:r w:rsidRPr="00744CE4">
        <w:rPr>
          <w:rFonts w:ascii="Verdana" w:hAnsi="Verdana"/>
          <w:sz w:val="20"/>
          <w:szCs w:val="20"/>
          <w:lang w:val="es-CR"/>
        </w:rPr>
        <w:t xml:space="preserve">. </w:t>
      </w:r>
    </w:p>
    <w:p w14:paraId="3AFB347C" w14:textId="7B179251" w:rsidR="00243654" w:rsidRPr="00744CE4" w:rsidRDefault="00243654"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Calibri" w:hAnsi="Verdana"/>
          <w:sz w:val="20"/>
          <w:szCs w:val="20"/>
          <w:lang w:val="es-CR"/>
        </w:rPr>
      </w:pPr>
      <w:r w:rsidRPr="00744CE4">
        <w:rPr>
          <w:rFonts w:ascii="Verdana" w:hAnsi="Verdana"/>
          <w:sz w:val="20"/>
          <w:szCs w:val="20"/>
          <w:lang w:val="es-CR"/>
        </w:rPr>
        <w:t xml:space="preserve">Conforme a su jurisprudencia constante, la Corte reitera que el Estado debe asegurar el pleno acceso y capacidad de actuar de las víctimas o sus familiares en todas las etapas de la investigación y el juzgamiento de los responsables. </w:t>
      </w:r>
      <w:r w:rsidR="006C6E14">
        <w:rPr>
          <w:rFonts w:ascii="Verdana" w:hAnsi="Verdana"/>
          <w:sz w:val="20"/>
          <w:szCs w:val="20"/>
          <w:lang w:val="es-CR"/>
        </w:rPr>
        <w:t>D</w:t>
      </w:r>
      <w:r w:rsidRPr="00744CE4">
        <w:rPr>
          <w:rFonts w:ascii="Verdana" w:hAnsi="Verdana"/>
          <w:sz w:val="20"/>
          <w:szCs w:val="20"/>
          <w:lang w:val="es-CR"/>
        </w:rPr>
        <w:t>icha participación deberá tener co</w:t>
      </w:r>
      <w:r w:rsidRPr="00432ABC">
        <w:rPr>
          <w:rFonts w:ascii="Verdana" w:hAnsi="Verdana"/>
          <w:sz w:val="20"/>
          <w:szCs w:val="20"/>
          <w:lang w:val="es-CR"/>
        </w:rPr>
        <w:t>mo finalidad el acceso a la justicia y el conocimiento de la verdad</w:t>
      </w:r>
      <w:r w:rsidRPr="00DB378B">
        <w:rPr>
          <w:rFonts w:ascii="Verdana" w:hAnsi="Verdana"/>
        </w:rPr>
        <w:t xml:space="preserve"> </w:t>
      </w:r>
      <w:r w:rsidRPr="00744CE4">
        <w:rPr>
          <w:rFonts w:ascii="Verdana" w:hAnsi="Verdana"/>
          <w:sz w:val="20"/>
          <w:szCs w:val="20"/>
        </w:rPr>
        <w:t>de lo ocurrido. Adicionalmente, los resultados de los procesos correspondientes deberán ser publicados para que la sociedad mexicana conozca los hechos objeto del presente caso, así como a sus responsables</w:t>
      </w:r>
      <w:r w:rsidRPr="00744CE4">
        <w:rPr>
          <w:rFonts w:ascii="Verdana" w:hAnsi="Verdana"/>
          <w:sz w:val="20"/>
          <w:szCs w:val="20"/>
          <w:vertAlign w:val="superscript"/>
          <w:lang w:val="es-ES"/>
        </w:rPr>
        <w:footnoteReference w:id="539"/>
      </w:r>
      <w:r w:rsidRPr="00744CE4">
        <w:rPr>
          <w:rFonts w:ascii="Verdana" w:hAnsi="Verdana"/>
          <w:sz w:val="20"/>
          <w:szCs w:val="20"/>
          <w:lang w:val="es-ES"/>
        </w:rPr>
        <w:t>.</w:t>
      </w:r>
      <w:r w:rsidRPr="00744CE4">
        <w:rPr>
          <w:rFonts w:ascii="Verdana" w:eastAsia="Calibri" w:hAnsi="Verdana"/>
          <w:sz w:val="20"/>
          <w:szCs w:val="20"/>
          <w:lang w:val="es-CR"/>
        </w:rPr>
        <w:t xml:space="preserve"> </w:t>
      </w:r>
    </w:p>
    <w:p w14:paraId="486E2A00" w14:textId="702B307D" w:rsidR="009114A1" w:rsidRPr="00744CE4" w:rsidRDefault="00556FDB">
      <w:pPr>
        <w:pStyle w:val="Prrafodelista"/>
        <w:keepNext/>
        <w:keepLines/>
        <w:numPr>
          <w:ilvl w:val="0"/>
          <w:numId w:val="29"/>
        </w:numPr>
        <w:spacing w:before="120" w:after="120" w:line="240" w:lineRule="auto"/>
        <w:contextualSpacing w:val="0"/>
        <w:jc w:val="both"/>
        <w:outlineLvl w:val="1"/>
        <w:rPr>
          <w:rFonts w:ascii="Verdana" w:eastAsia="Times New Roman" w:hAnsi="Verdana" w:cs="Times New Roman"/>
          <w:b/>
          <w:bCs/>
          <w:i/>
          <w:sz w:val="20"/>
          <w:szCs w:val="20"/>
          <w:lang w:val="es-ES"/>
        </w:rPr>
      </w:pPr>
      <w:bookmarkStart w:id="369" w:name="_Toc526774182"/>
      <w:bookmarkStart w:id="370" w:name="_Toc526777518"/>
      <w:bookmarkStart w:id="371" w:name="_Toc526783821"/>
      <w:r>
        <w:rPr>
          <w:rFonts w:ascii="Verdana" w:eastAsia="Times New Roman" w:hAnsi="Verdana" w:cs="Times New Roman"/>
          <w:b/>
          <w:bCs/>
          <w:i/>
          <w:sz w:val="20"/>
          <w:szCs w:val="20"/>
          <w:lang w:val="es-ES"/>
        </w:rPr>
        <w:t xml:space="preserve"> </w:t>
      </w:r>
      <w:bookmarkStart w:id="372" w:name="_Toc532995403"/>
      <w:r w:rsidR="009114A1" w:rsidRPr="00744CE4">
        <w:rPr>
          <w:rFonts w:ascii="Verdana" w:eastAsia="Times New Roman" w:hAnsi="Verdana" w:cs="Times New Roman"/>
          <w:b/>
          <w:bCs/>
          <w:i/>
          <w:sz w:val="20"/>
          <w:szCs w:val="20"/>
          <w:lang w:val="es-ES"/>
        </w:rPr>
        <w:t>Rehabilitación</w:t>
      </w:r>
      <w:bookmarkEnd w:id="369"/>
      <w:bookmarkEnd w:id="370"/>
      <w:bookmarkEnd w:id="371"/>
      <w:bookmarkEnd w:id="372"/>
    </w:p>
    <w:p w14:paraId="471BEB07" w14:textId="266E6623" w:rsidR="00FE4568" w:rsidRPr="002C462C"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432ABC">
        <w:rPr>
          <w:rFonts w:ascii="Verdana" w:eastAsia="Times New Roman" w:hAnsi="Verdana" w:cs="Times New Roman"/>
          <w:bCs/>
          <w:sz w:val="20"/>
          <w:szCs w:val="20"/>
          <w:lang w:val="es-ES"/>
        </w:rPr>
        <w:t xml:space="preserve">La </w:t>
      </w:r>
      <w:r w:rsidRPr="00432ABC">
        <w:rPr>
          <w:rFonts w:ascii="Verdana" w:eastAsia="Times New Roman" w:hAnsi="Verdana" w:cs="Times New Roman"/>
          <w:b/>
          <w:bCs/>
          <w:i/>
          <w:sz w:val="20"/>
          <w:szCs w:val="20"/>
          <w:lang w:val="es-ES"/>
        </w:rPr>
        <w:t>Comisión</w:t>
      </w:r>
      <w:r w:rsidRPr="00432ABC">
        <w:rPr>
          <w:rFonts w:ascii="Verdana" w:eastAsia="Times New Roman" w:hAnsi="Verdana" w:cs="Times New Roman"/>
          <w:bCs/>
          <w:sz w:val="20"/>
          <w:szCs w:val="20"/>
          <w:lang w:val="es-ES"/>
        </w:rPr>
        <w:t xml:space="preserve"> solicitó </w:t>
      </w:r>
      <w:r w:rsidRPr="00432ABC">
        <w:rPr>
          <w:rFonts w:ascii="Verdana" w:hAnsi="Verdana" w:cs="Times New Roman"/>
          <w:sz w:val="20"/>
          <w:szCs w:val="20"/>
          <w:lang w:val="es-EC"/>
        </w:rPr>
        <w:t>la implementación de un programa adecuado de atención a los familiares de las víctimas.</w:t>
      </w:r>
    </w:p>
    <w:p w14:paraId="19A1BC63" w14:textId="3BB4C9C2"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744CE4">
        <w:rPr>
          <w:rFonts w:ascii="Verdana" w:eastAsia="Times New Roman" w:hAnsi="Verdana" w:cs="Times New Roman"/>
          <w:bCs/>
          <w:sz w:val="20"/>
          <w:szCs w:val="20"/>
          <w:lang w:val="es-ES"/>
        </w:rPr>
        <w:t xml:space="preserve">Las </w:t>
      </w:r>
      <w:r w:rsidRPr="00744CE4">
        <w:rPr>
          <w:rFonts w:ascii="Verdana" w:eastAsia="Times New Roman" w:hAnsi="Verdana" w:cs="Times New Roman"/>
          <w:b/>
          <w:bCs/>
          <w:i/>
          <w:sz w:val="20"/>
          <w:szCs w:val="20"/>
          <w:lang w:val="es-ES"/>
        </w:rPr>
        <w:t xml:space="preserve">Representantes </w:t>
      </w:r>
      <w:r w:rsidRPr="00744CE4">
        <w:rPr>
          <w:rFonts w:ascii="Verdana" w:eastAsia="Times New Roman" w:hAnsi="Verdana" w:cs="Times New Roman"/>
          <w:bCs/>
          <w:sz w:val="20"/>
          <w:szCs w:val="20"/>
          <w:lang w:val="es-ES"/>
        </w:rPr>
        <w:t xml:space="preserve">solicitaron atención emocional y médica para sobrevivir con los efectos de la desaparición. </w:t>
      </w:r>
    </w:p>
    <w:p w14:paraId="590321C7" w14:textId="31CB8C52" w:rsidR="009114A1" w:rsidRPr="00432ABC"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744CE4">
        <w:rPr>
          <w:rFonts w:ascii="Verdana" w:eastAsia="Times New Roman" w:hAnsi="Verdana" w:cs="Times New Roman"/>
          <w:sz w:val="20"/>
          <w:szCs w:val="20"/>
          <w:lang w:val="es-ES"/>
        </w:rPr>
        <w:t xml:space="preserve">El </w:t>
      </w:r>
      <w:r w:rsidRPr="00744CE4">
        <w:rPr>
          <w:rFonts w:ascii="Verdana" w:eastAsia="Times New Roman" w:hAnsi="Verdana" w:cs="Times New Roman"/>
          <w:b/>
          <w:i/>
          <w:sz w:val="20"/>
          <w:szCs w:val="20"/>
          <w:lang w:val="es-ES"/>
        </w:rPr>
        <w:t xml:space="preserve">Estado </w:t>
      </w:r>
      <w:r w:rsidRPr="00744CE4">
        <w:rPr>
          <w:rFonts w:ascii="Verdana" w:eastAsia="Times New Roman" w:hAnsi="Verdana" w:cs="Times New Roman"/>
          <w:sz w:val="20"/>
          <w:szCs w:val="20"/>
          <w:lang w:val="es-ES"/>
        </w:rPr>
        <w:t xml:space="preserve">por su parte, </w:t>
      </w:r>
      <w:r w:rsidRPr="00744CE4">
        <w:rPr>
          <w:rFonts w:ascii="Verdana" w:eastAsiaTheme="minorHAnsi" w:hAnsi="Verdana" w:cs="Times New Roman"/>
          <w:sz w:val="20"/>
          <w:szCs w:val="20"/>
          <w:lang w:val="es-CR"/>
        </w:rPr>
        <w:t>reiteró su total disposición de otorgar ayudas en materia de salud con atención diferenciada, en favor de los familiares de las víctimas, en el marco de</w:t>
      </w:r>
      <w:r w:rsidR="006C6E14">
        <w:rPr>
          <w:rFonts w:ascii="Verdana" w:eastAsiaTheme="minorHAnsi" w:hAnsi="Verdana" w:cs="Times New Roman"/>
          <w:sz w:val="20"/>
          <w:szCs w:val="20"/>
          <w:lang w:val="es-CR"/>
        </w:rPr>
        <w:t>l</w:t>
      </w:r>
      <w:r w:rsidRPr="00744CE4">
        <w:rPr>
          <w:rFonts w:ascii="Verdana" w:eastAsiaTheme="minorHAnsi" w:hAnsi="Verdana" w:cs="Times New Roman"/>
          <w:sz w:val="20"/>
          <w:szCs w:val="20"/>
          <w:lang w:val="es-CR"/>
        </w:rPr>
        <w:t xml:space="preserve"> </w:t>
      </w:r>
      <w:r w:rsidRPr="008D0846">
        <w:rPr>
          <w:rFonts w:ascii="Verdana" w:eastAsiaTheme="minorHAnsi" w:hAnsi="Verdana" w:cs="Times New Roman"/>
          <w:i/>
          <w:sz w:val="20"/>
          <w:szCs w:val="20"/>
          <w:lang w:val="es-CR"/>
        </w:rPr>
        <w:t xml:space="preserve">Fondo de Atención a Niños y Niñas hijos de </w:t>
      </w:r>
      <w:r w:rsidR="0061315F" w:rsidRPr="008D0846">
        <w:rPr>
          <w:rFonts w:ascii="Verdana" w:eastAsiaTheme="minorHAnsi" w:hAnsi="Verdana" w:cs="Times New Roman"/>
          <w:i/>
          <w:sz w:val="20"/>
          <w:szCs w:val="20"/>
          <w:lang w:val="es-CR"/>
        </w:rPr>
        <w:t>V</w:t>
      </w:r>
      <w:r w:rsidRPr="008D0846">
        <w:rPr>
          <w:rFonts w:ascii="Verdana" w:eastAsiaTheme="minorHAnsi" w:hAnsi="Verdana" w:cs="Times New Roman"/>
          <w:i/>
          <w:sz w:val="20"/>
          <w:szCs w:val="20"/>
          <w:lang w:val="es-CR"/>
        </w:rPr>
        <w:t>íctimas de la Lucha contra el Crimen</w:t>
      </w:r>
      <w:r w:rsidRPr="00744CE4">
        <w:rPr>
          <w:rFonts w:ascii="Verdana" w:eastAsiaTheme="minorHAnsi" w:hAnsi="Verdana" w:cs="Times New Roman"/>
          <w:sz w:val="20"/>
          <w:szCs w:val="20"/>
          <w:lang w:val="es-CR"/>
        </w:rPr>
        <w:t xml:space="preserve">; </w:t>
      </w:r>
      <w:r w:rsidR="00C156B3">
        <w:rPr>
          <w:rFonts w:ascii="Verdana" w:eastAsiaTheme="minorHAnsi" w:hAnsi="Verdana" w:cs="Times New Roman"/>
          <w:sz w:val="20"/>
          <w:szCs w:val="20"/>
          <w:lang w:val="es-CR"/>
        </w:rPr>
        <w:t>“[</w:t>
      </w:r>
      <w:r w:rsidRPr="00744CE4">
        <w:rPr>
          <w:rFonts w:ascii="Verdana" w:eastAsiaTheme="minorHAnsi" w:hAnsi="Verdana" w:cs="Times New Roman"/>
          <w:sz w:val="20"/>
          <w:szCs w:val="20"/>
          <w:lang w:val="es-CR"/>
        </w:rPr>
        <w:t>e</w:t>
      </w:r>
      <w:r w:rsidR="00C156B3">
        <w:rPr>
          <w:rFonts w:ascii="Verdana" w:eastAsiaTheme="minorHAnsi" w:hAnsi="Verdana" w:cs="Times New Roman"/>
          <w:sz w:val="20"/>
          <w:szCs w:val="20"/>
          <w:lang w:val="es-CR"/>
        </w:rPr>
        <w:t>]</w:t>
      </w:r>
      <w:r w:rsidRPr="00744CE4">
        <w:rPr>
          <w:rFonts w:ascii="Verdana" w:eastAsiaTheme="minorHAnsi" w:hAnsi="Verdana" w:cs="Times New Roman"/>
          <w:sz w:val="20"/>
          <w:szCs w:val="20"/>
          <w:lang w:val="es-CR"/>
        </w:rPr>
        <w:t>llo, de manera genérica y como ya lo ha venido haciendo</w:t>
      </w:r>
      <w:r w:rsidR="00C156B3">
        <w:rPr>
          <w:rFonts w:ascii="Verdana" w:eastAsiaTheme="minorHAnsi" w:hAnsi="Verdana" w:cs="Times New Roman"/>
          <w:sz w:val="20"/>
          <w:szCs w:val="20"/>
          <w:lang w:val="es-CR"/>
        </w:rPr>
        <w:t>”</w:t>
      </w:r>
      <w:r w:rsidRPr="00744CE4">
        <w:rPr>
          <w:rFonts w:ascii="Verdana" w:eastAsiaTheme="minorHAnsi" w:hAnsi="Verdana" w:cs="Times New Roman"/>
          <w:sz w:val="20"/>
          <w:szCs w:val="20"/>
          <w:lang w:val="es-CR"/>
        </w:rPr>
        <w:t>.</w:t>
      </w:r>
      <w:r w:rsidR="006C6E14">
        <w:rPr>
          <w:rFonts w:ascii="Verdana" w:eastAsia="Calibri" w:hAnsi="Verdana" w:cs="Times New Roman"/>
          <w:b/>
          <w:sz w:val="20"/>
          <w:szCs w:val="20"/>
          <w:lang w:val="es-ES" w:eastAsia="es-ES"/>
        </w:rPr>
        <w:t xml:space="preserve"> </w:t>
      </w:r>
      <w:r w:rsidRPr="00744CE4">
        <w:rPr>
          <w:rFonts w:ascii="Verdana" w:eastAsia="Calibri" w:hAnsi="Verdana" w:cs="Times New Roman"/>
          <w:sz w:val="20"/>
          <w:szCs w:val="20"/>
          <w:lang w:val="es-ES" w:eastAsia="es-ES"/>
        </w:rPr>
        <w:t xml:space="preserve">Al mismo tiempo </w:t>
      </w:r>
      <w:r w:rsidR="00C156B3">
        <w:rPr>
          <w:rFonts w:ascii="Verdana" w:eastAsia="Calibri" w:hAnsi="Verdana" w:cs="Times New Roman"/>
          <w:sz w:val="20"/>
          <w:szCs w:val="20"/>
          <w:lang w:val="es-ES" w:eastAsia="es-ES"/>
        </w:rPr>
        <w:t>señal</w:t>
      </w:r>
      <w:r w:rsidR="00C156B3" w:rsidRPr="00744CE4">
        <w:rPr>
          <w:rFonts w:ascii="Verdana" w:eastAsia="Calibri" w:hAnsi="Verdana" w:cs="Times New Roman"/>
          <w:sz w:val="20"/>
          <w:szCs w:val="20"/>
          <w:lang w:val="es-ES" w:eastAsia="es-ES"/>
        </w:rPr>
        <w:t xml:space="preserve">ó </w:t>
      </w:r>
      <w:r w:rsidRPr="00744CE4">
        <w:rPr>
          <w:rFonts w:ascii="Verdana" w:eastAsia="Calibri" w:hAnsi="Verdana" w:cs="Times New Roman"/>
          <w:sz w:val="20"/>
          <w:szCs w:val="20"/>
          <w:lang w:val="es-ES" w:eastAsia="es-ES"/>
        </w:rPr>
        <w:t>que el acceso a servicios de salud de los familiares de la</w:t>
      </w:r>
      <w:r w:rsidRPr="00432ABC">
        <w:rPr>
          <w:rFonts w:ascii="Verdana" w:eastAsia="Calibri" w:hAnsi="Verdana" w:cs="Times New Roman"/>
          <w:sz w:val="20"/>
          <w:szCs w:val="20"/>
          <w:lang w:val="es-ES" w:eastAsia="es-ES"/>
        </w:rPr>
        <w:t xml:space="preserve">s personas desaparecidas ya se encuentra a su disposición. </w:t>
      </w:r>
    </w:p>
    <w:p w14:paraId="238CF0C3" w14:textId="68D2F270"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heme="minorHAnsi" w:hAnsi="Verdana" w:cs="Times New Roman"/>
          <w:sz w:val="20"/>
          <w:szCs w:val="20"/>
          <w:lang w:val="es-CR"/>
        </w:rPr>
      </w:pPr>
      <w:r w:rsidRPr="002C462C">
        <w:rPr>
          <w:rFonts w:ascii="Verdana" w:eastAsia="Calibri" w:hAnsi="Verdana" w:cs="Times New Roman"/>
          <w:sz w:val="20"/>
          <w:szCs w:val="20"/>
          <w:lang w:val="es-ES" w:eastAsia="es-ES"/>
        </w:rPr>
        <w:t xml:space="preserve">La </w:t>
      </w:r>
      <w:r w:rsidRPr="002C462C">
        <w:rPr>
          <w:rFonts w:ascii="Verdana" w:eastAsia="Calibri" w:hAnsi="Verdana" w:cs="Times New Roman"/>
          <w:b/>
          <w:i/>
          <w:sz w:val="20"/>
          <w:szCs w:val="20"/>
          <w:lang w:val="es-ES" w:eastAsia="es-ES"/>
        </w:rPr>
        <w:t xml:space="preserve">Corte </w:t>
      </w:r>
      <w:r w:rsidRPr="00744CE4">
        <w:rPr>
          <w:rFonts w:ascii="Verdana" w:eastAsia="Calibri" w:hAnsi="Verdana" w:cs="Times New Roman"/>
          <w:sz w:val="20"/>
          <w:szCs w:val="20"/>
          <w:lang w:val="es-ES" w:eastAsia="es-ES"/>
        </w:rPr>
        <w:t xml:space="preserve">toma nota de las acciones emprendidas por el Estado y lo exhorta a continuar en esta tarea. No obstante, habiendo constatado </w:t>
      </w:r>
      <w:r w:rsidRPr="00744CE4">
        <w:rPr>
          <w:rFonts w:ascii="Verdana" w:eastAsia="Times" w:hAnsi="Verdana"/>
          <w:sz w:val="20"/>
          <w:szCs w:val="20"/>
          <w:lang w:val="es-CR" w:eastAsia="es-ES"/>
        </w:rPr>
        <w:t>el desgaste físico y emocional producto de los hechos y la búsqueda de justicia y el impacto negativo en la integridad personal de los familiares de las víctimas,</w:t>
      </w:r>
      <w:r w:rsidRPr="00744CE4">
        <w:rPr>
          <w:rFonts w:ascii="Verdana" w:eastAsia="Calibri" w:hAnsi="Verdana" w:cs="Times New Roman"/>
          <w:b/>
          <w:i/>
          <w:sz w:val="20"/>
          <w:szCs w:val="20"/>
          <w:lang w:val="es-ES" w:eastAsia="es-ES"/>
        </w:rPr>
        <w:t xml:space="preserve"> </w:t>
      </w:r>
      <w:r w:rsidRPr="00744CE4">
        <w:rPr>
          <w:rFonts w:ascii="Verdana" w:eastAsia="Calibri" w:hAnsi="Verdana" w:cs="Times New Roman"/>
          <w:sz w:val="20"/>
          <w:szCs w:val="20"/>
          <w:lang w:val="es-ES" w:eastAsia="es-ES"/>
        </w:rPr>
        <w:t xml:space="preserve">estima pertinente que, de ser solicitado por </w:t>
      </w:r>
      <w:r w:rsidR="00C156B3">
        <w:rPr>
          <w:rFonts w:ascii="Verdana" w:eastAsia="Calibri" w:hAnsi="Verdana" w:cs="Times New Roman"/>
          <w:sz w:val="20"/>
          <w:szCs w:val="20"/>
          <w:lang w:val="es-ES" w:eastAsia="es-ES"/>
        </w:rPr>
        <w:t>éstas</w:t>
      </w:r>
      <w:r w:rsidRPr="00744CE4">
        <w:rPr>
          <w:rFonts w:ascii="Verdana" w:eastAsia="Calibri" w:hAnsi="Verdana" w:cs="Times New Roman"/>
          <w:sz w:val="20"/>
          <w:szCs w:val="20"/>
          <w:lang w:val="es-ES" w:eastAsia="es-ES"/>
        </w:rPr>
        <w:t>, se les brinde atención psicológica</w:t>
      </w:r>
      <w:r w:rsidR="00C24C05" w:rsidRPr="00744CE4">
        <w:rPr>
          <w:rFonts w:ascii="Verdana" w:eastAsia="Calibri" w:hAnsi="Verdana" w:cs="Times New Roman"/>
          <w:sz w:val="20"/>
          <w:szCs w:val="20"/>
          <w:lang w:val="es-ES" w:eastAsia="es-ES"/>
        </w:rPr>
        <w:t xml:space="preserve"> y/o psiquiátrica</w:t>
      </w:r>
      <w:r w:rsidRPr="00744CE4">
        <w:rPr>
          <w:rFonts w:ascii="Verdana" w:eastAsia="Calibri" w:hAnsi="Verdana" w:cs="Times New Roman"/>
          <w:sz w:val="20"/>
          <w:szCs w:val="20"/>
          <w:lang w:val="es-ES" w:eastAsia="es-ES"/>
        </w:rPr>
        <w:t xml:space="preserve"> profesional como medida de rehabilitación de las afectaciones psicológicas y emocionales que sufrieron como consecuencia de los hechos del presente caso. Por lo tanto, la Corte dispone la obligación del Estado de brindar, a través de sus instituciones de salud, la atención médica psicológica </w:t>
      </w:r>
      <w:r w:rsidR="00C24C05" w:rsidRPr="00744CE4">
        <w:rPr>
          <w:rFonts w:ascii="Verdana" w:eastAsia="Calibri" w:hAnsi="Verdana" w:cs="Times New Roman"/>
          <w:sz w:val="20"/>
          <w:szCs w:val="20"/>
          <w:lang w:val="es-ES" w:eastAsia="es-ES"/>
        </w:rPr>
        <w:t xml:space="preserve">y/o psiquiátrica </w:t>
      </w:r>
      <w:r w:rsidRPr="00744CE4">
        <w:rPr>
          <w:rFonts w:ascii="Verdana" w:eastAsia="Calibri" w:hAnsi="Verdana" w:cs="Times New Roman"/>
          <w:sz w:val="20"/>
          <w:szCs w:val="20"/>
          <w:lang w:val="es-ES" w:eastAsia="es-ES"/>
        </w:rPr>
        <w:t xml:space="preserve">de manera gratuita e inmediata, por el plazo de cinco años, a las víctimas declaradas como parte lesionada, atendiendo sus necesidades específicas. Asimismo, los tratamientos deberán incluir la provisión de medicamentos y, en su caso, transporte y otros gastos directamente relacionados y estrictamente necesarios. Particularmente, dicho tratamiento </w:t>
      </w:r>
      <w:r w:rsidRPr="00744CE4">
        <w:rPr>
          <w:rFonts w:ascii="Verdana" w:eastAsiaTheme="minorHAnsi" w:hAnsi="Verdana" w:cs="Times New Roman"/>
          <w:sz w:val="20"/>
          <w:szCs w:val="20"/>
          <w:lang w:val="es-CR"/>
        </w:rPr>
        <w:t xml:space="preserve">se deberá brindar, en la medida de las posibilidades, en los centros más cercanos a su lugar de residencia. Las víctimas que soliciten esta medida de </w:t>
      </w:r>
      <w:r w:rsidRPr="00744CE4">
        <w:rPr>
          <w:rFonts w:ascii="Verdana" w:eastAsiaTheme="minorHAnsi" w:hAnsi="Verdana" w:cs="Times New Roman"/>
          <w:sz w:val="20"/>
          <w:szCs w:val="20"/>
          <w:lang w:val="es-CR"/>
        </w:rPr>
        <w:lastRenderedPageBreak/>
        <w:t xml:space="preserve">reparación, o sus representantes legales, disponen de un plazo de seis meses, contados a partir de la notificación de la presente Sentencia, para dar a conocer al Estado su intención de recibir esta atención psicológica </w:t>
      </w:r>
      <w:r w:rsidR="00C24C05" w:rsidRPr="00744CE4">
        <w:rPr>
          <w:rFonts w:ascii="Verdana" w:eastAsiaTheme="minorHAnsi" w:hAnsi="Verdana" w:cs="Times New Roman"/>
          <w:sz w:val="20"/>
          <w:szCs w:val="20"/>
          <w:lang w:val="es-CR"/>
        </w:rPr>
        <w:t>y/o</w:t>
      </w:r>
      <w:r w:rsidRPr="00744CE4">
        <w:rPr>
          <w:rFonts w:ascii="Verdana" w:eastAsiaTheme="minorHAnsi" w:hAnsi="Verdana" w:cs="Times New Roman"/>
          <w:sz w:val="20"/>
          <w:szCs w:val="20"/>
          <w:lang w:val="es-CR"/>
        </w:rPr>
        <w:t xml:space="preserve"> psiquiátrica. </w:t>
      </w:r>
    </w:p>
    <w:p w14:paraId="3E1968B6" w14:textId="4F8F7E89"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744CE4">
        <w:rPr>
          <w:rFonts w:ascii="Verdana" w:hAnsi="Verdana"/>
          <w:sz w:val="20"/>
          <w:szCs w:val="20"/>
        </w:rPr>
        <w:t xml:space="preserve">En </w:t>
      </w:r>
      <w:r w:rsidRPr="00744CE4">
        <w:rPr>
          <w:rFonts w:ascii="Verdana" w:eastAsia="Calibri" w:hAnsi="Verdana" w:cs="Times New Roman"/>
          <w:sz w:val="20"/>
          <w:szCs w:val="20"/>
          <w:lang w:val="es-ES" w:eastAsia="es-ES"/>
        </w:rPr>
        <w:t>cuanto</w:t>
      </w:r>
      <w:r w:rsidRPr="00744CE4">
        <w:rPr>
          <w:rFonts w:ascii="Verdana" w:hAnsi="Verdana"/>
          <w:sz w:val="20"/>
          <w:szCs w:val="20"/>
        </w:rPr>
        <w:t xml:space="preserve"> a los familiares que se encuentran viviendo fuera de México, la Corte ordena </w:t>
      </w:r>
      <w:r w:rsidR="006C6E14">
        <w:rPr>
          <w:rFonts w:ascii="Verdana" w:hAnsi="Verdana"/>
          <w:sz w:val="20"/>
          <w:szCs w:val="20"/>
        </w:rPr>
        <w:t xml:space="preserve">un monto </w:t>
      </w:r>
      <w:r w:rsidRPr="00744CE4">
        <w:rPr>
          <w:rFonts w:ascii="Verdana" w:hAnsi="Verdana"/>
          <w:sz w:val="20"/>
          <w:szCs w:val="20"/>
        </w:rPr>
        <w:t xml:space="preserve">en equidad </w:t>
      </w:r>
      <w:r w:rsidR="006C6E14">
        <w:rPr>
          <w:rFonts w:ascii="Verdana" w:hAnsi="Verdana"/>
          <w:sz w:val="20"/>
          <w:szCs w:val="20"/>
        </w:rPr>
        <w:t xml:space="preserve">correspondiente a </w:t>
      </w:r>
      <w:r w:rsidRPr="003564A3">
        <w:rPr>
          <w:rFonts w:ascii="Verdana" w:hAnsi="Verdana"/>
          <w:sz w:val="20"/>
          <w:szCs w:val="20"/>
        </w:rPr>
        <w:t>US</w:t>
      </w:r>
      <w:r w:rsidR="006C6E14">
        <w:rPr>
          <w:rFonts w:ascii="Verdana" w:hAnsi="Verdana"/>
          <w:sz w:val="20"/>
          <w:szCs w:val="20"/>
        </w:rPr>
        <w:t>D</w:t>
      </w:r>
      <w:r w:rsidRPr="003564A3">
        <w:rPr>
          <w:rFonts w:ascii="Verdana" w:hAnsi="Verdana"/>
          <w:sz w:val="20"/>
          <w:szCs w:val="20"/>
        </w:rPr>
        <w:t>$ 7</w:t>
      </w:r>
      <w:r w:rsidR="006C6E14">
        <w:rPr>
          <w:rFonts w:ascii="Verdana" w:hAnsi="Verdana"/>
          <w:sz w:val="20"/>
          <w:szCs w:val="20"/>
        </w:rPr>
        <w:t>,</w:t>
      </w:r>
      <w:r w:rsidRPr="003564A3">
        <w:rPr>
          <w:rFonts w:ascii="Verdana" w:hAnsi="Verdana"/>
          <w:sz w:val="20"/>
          <w:szCs w:val="20"/>
        </w:rPr>
        <w:t>000</w:t>
      </w:r>
      <w:r w:rsidRPr="00744CE4">
        <w:rPr>
          <w:rFonts w:ascii="Verdana" w:hAnsi="Verdana"/>
          <w:sz w:val="20"/>
          <w:szCs w:val="20"/>
        </w:rPr>
        <w:t xml:space="preserve"> (siete mil dólares de los Estados Unidos de América) a cada uno de ellos para que puedan cubrir los gastos de atención psicológica o psiquiátrica. Las víctimas que califiquen y soliciten esta medida de reparación, o sus representantes legales, disponen de un plazo de seis meses, contado a partir de la notificación de la presente Sentencia, para dar a conocer al Estado su intención de recibir la atención psicológica o psiquiátrica dentro del país y/o recibir </w:t>
      </w:r>
      <w:r w:rsidR="000F2A48">
        <w:rPr>
          <w:rFonts w:ascii="Verdana" w:hAnsi="Verdana"/>
          <w:sz w:val="20"/>
          <w:szCs w:val="20"/>
        </w:rPr>
        <w:t>dicho</w:t>
      </w:r>
      <w:r w:rsidR="000F2A48" w:rsidRPr="00744CE4">
        <w:rPr>
          <w:rFonts w:ascii="Verdana" w:hAnsi="Verdana"/>
          <w:sz w:val="20"/>
          <w:szCs w:val="20"/>
        </w:rPr>
        <w:t xml:space="preserve"> </w:t>
      </w:r>
      <w:r w:rsidRPr="00744CE4">
        <w:rPr>
          <w:rFonts w:ascii="Verdana" w:hAnsi="Verdana"/>
          <w:sz w:val="20"/>
          <w:szCs w:val="20"/>
        </w:rPr>
        <w:t xml:space="preserve">monto de compensación. </w:t>
      </w:r>
    </w:p>
    <w:p w14:paraId="09F9A998" w14:textId="5237D4F4" w:rsidR="009114A1" w:rsidRPr="00744CE4" w:rsidRDefault="00556FDB">
      <w:pPr>
        <w:pStyle w:val="Prrafodelista"/>
        <w:keepNext/>
        <w:keepLines/>
        <w:numPr>
          <w:ilvl w:val="0"/>
          <w:numId w:val="29"/>
        </w:numPr>
        <w:spacing w:before="120" w:after="120" w:line="240" w:lineRule="auto"/>
        <w:contextualSpacing w:val="0"/>
        <w:jc w:val="both"/>
        <w:outlineLvl w:val="1"/>
        <w:rPr>
          <w:rFonts w:ascii="Verdana" w:hAnsi="Verdana" w:cs="Times New Roman"/>
          <w:color w:val="00B0F0"/>
          <w:sz w:val="20"/>
          <w:szCs w:val="20"/>
          <w:lang w:val="es-EC"/>
        </w:rPr>
      </w:pPr>
      <w:bookmarkStart w:id="373" w:name="_Toc526777519"/>
      <w:bookmarkStart w:id="374" w:name="_Toc526783822"/>
      <w:r>
        <w:rPr>
          <w:rFonts w:ascii="Verdana" w:eastAsia="Times New Roman" w:hAnsi="Verdana" w:cs="Times New Roman"/>
          <w:b/>
          <w:bCs/>
          <w:i/>
          <w:sz w:val="20"/>
          <w:szCs w:val="20"/>
          <w:lang w:val="es-ES"/>
        </w:rPr>
        <w:t xml:space="preserve"> </w:t>
      </w:r>
      <w:bookmarkStart w:id="375" w:name="_Toc532995404"/>
      <w:r w:rsidR="009114A1" w:rsidRPr="00744CE4">
        <w:rPr>
          <w:rFonts w:ascii="Verdana" w:eastAsia="Times New Roman" w:hAnsi="Verdana" w:cs="Times New Roman"/>
          <w:b/>
          <w:bCs/>
          <w:i/>
          <w:sz w:val="20"/>
          <w:szCs w:val="20"/>
          <w:lang w:val="es-ES"/>
        </w:rPr>
        <w:t>Medidas de satisfacción</w:t>
      </w:r>
      <w:bookmarkEnd w:id="360"/>
      <w:bookmarkEnd w:id="365"/>
      <w:bookmarkEnd w:id="373"/>
      <w:bookmarkEnd w:id="374"/>
      <w:bookmarkEnd w:id="375"/>
    </w:p>
    <w:p w14:paraId="76B29B33" w14:textId="554332DE"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744CE4">
        <w:rPr>
          <w:rFonts w:ascii="Verdana" w:eastAsia="Times New Roman" w:hAnsi="Verdana" w:cs="Times New Roman"/>
          <w:sz w:val="20"/>
          <w:szCs w:val="20"/>
          <w:lang w:val="es-ES"/>
        </w:rPr>
        <w:t xml:space="preserve">La </w:t>
      </w:r>
      <w:r w:rsidRPr="00744CE4">
        <w:rPr>
          <w:rFonts w:ascii="Verdana" w:eastAsia="Times New Roman" w:hAnsi="Verdana" w:cs="Times New Roman"/>
          <w:b/>
          <w:i/>
          <w:sz w:val="20"/>
          <w:szCs w:val="20"/>
          <w:lang w:val="es-ES"/>
        </w:rPr>
        <w:t>Comisión</w:t>
      </w:r>
      <w:r w:rsidRPr="00744CE4">
        <w:rPr>
          <w:rFonts w:ascii="Verdana" w:hAnsi="Verdana"/>
          <w:sz w:val="20"/>
          <w:szCs w:val="20"/>
        </w:rPr>
        <w:t xml:space="preserve"> </w:t>
      </w:r>
      <w:r w:rsidRPr="00744CE4">
        <w:rPr>
          <w:rFonts w:ascii="Verdana" w:hAnsi="Verdana" w:cs="Times New Roman"/>
          <w:sz w:val="20"/>
          <w:szCs w:val="20"/>
          <w:lang w:val="es-EC"/>
        </w:rPr>
        <w:t>solicitó:</w:t>
      </w:r>
      <w:r w:rsidRPr="00744CE4">
        <w:rPr>
          <w:rFonts w:ascii="Verdana" w:hAnsi="Verdana" w:cs="Times New Roman"/>
          <w:b/>
          <w:i/>
          <w:sz w:val="20"/>
          <w:szCs w:val="20"/>
          <w:lang w:val="es-EC"/>
        </w:rPr>
        <w:t xml:space="preserve"> </w:t>
      </w:r>
      <w:r w:rsidRPr="00744CE4">
        <w:rPr>
          <w:rFonts w:ascii="Verdana" w:hAnsi="Verdana" w:cs="Times New Roman"/>
          <w:sz w:val="20"/>
          <w:szCs w:val="20"/>
          <w:lang w:val="es-EC"/>
        </w:rPr>
        <w:t>i) el establecimiento y difusión de la verdad histórica de los hechos</w:t>
      </w:r>
      <w:r w:rsidR="00C156B3">
        <w:rPr>
          <w:rFonts w:ascii="Verdana" w:hAnsi="Verdana" w:cs="Times New Roman"/>
          <w:sz w:val="20"/>
          <w:szCs w:val="20"/>
          <w:lang w:val="es-EC"/>
        </w:rPr>
        <w:t>, y</w:t>
      </w:r>
      <w:r w:rsidRPr="00744CE4">
        <w:rPr>
          <w:rFonts w:ascii="Verdana" w:hAnsi="Verdana" w:cs="Times New Roman"/>
          <w:sz w:val="20"/>
          <w:szCs w:val="20"/>
          <w:lang w:val="es-EC"/>
        </w:rPr>
        <w:t xml:space="preserve"> ii) un acto público de reconocimiento de responsabilidad. Además, </w:t>
      </w:r>
      <w:r w:rsidRPr="00744CE4">
        <w:rPr>
          <w:rFonts w:ascii="Verdana" w:hAnsi="Verdana"/>
          <w:sz w:val="20"/>
          <w:szCs w:val="20"/>
        </w:rPr>
        <w:t>señaló que en el marco de medidas provisionales el Estado ha informado sucesivamente sobre una serie de propuestas y medidas implementadas a favor de algunos miembros de la familia Alvarado que incluyen “apoyos humanitarios y diversas formas de asistencia total en materia de salud, educación, proyectos productivos. […] y consideró que la misma puede ser evaluada oportunamente al momento de evaluar[las] respecto de eventuales componentes de las reparaciones […]</w:t>
      </w:r>
      <w:r w:rsidR="0040254F">
        <w:rPr>
          <w:rFonts w:ascii="Verdana" w:hAnsi="Verdana"/>
          <w:sz w:val="20"/>
          <w:szCs w:val="20"/>
        </w:rPr>
        <w:t>”</w:t>
      </w:r>
      <w:r w:rsidR="006C6E14">
        <w:rPr>
          <w:rFonts w:ascii="Verdana" w:hAnsi="Verdana"/>
          <w:sz w:val="20"/>
          <w:szCs w:val="20"/>
        </w:rPr>
        <w:t>.</w:t>
      </w:r>
    </w:p>
    <w:p w14:paraId="32A30199" w14:textId="4210993E"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744CE4">
        <w:rPr>
          <w:rFonts w:ascii="Verdana" w:eastAsia="Times New Roman" w:hAnsi="Verdana" w:cs="Times New Roman"/>
          <w:sz w:val="20"/>
          <w:szCs w:val="20"/>
          <w:lang w:val="es-ES"/>
        </w:rPr>
        <w:t xml:space="preserve">Las </w:t>
      </w:r>
      <w:r w:rsidRPr="00744CE4">
        <w:rPr>
          <w:rFonts w:ascii="Verdana" w:eastAsia="Times New Roman" w:hAnsi="Verdana" w:cs="Times New Roman"/>
          <w:b/>
          <w:i/>
          <w:sz w:val="20"/>
          <w:szCs w:val="20"/>
          <w:lang w:val="es-ES"/>
        </w:rPr>
        <w:t>Representantes</w:t>
      </w:r>
      <w:r w:rsidRPr="00744CE4">
        <w:rPr>
          <w:rFonts w:ascii="Verdana" w:eastAsia="Times New Roman" w:hAnsi="Verdana" w:cs="Times New Roman"/>
          <w:sz w:val="20"/>
          <w:szCs w:val="20"/>
          <w:lang w:val="es-ES"/>
        </w:rPr>
        <w:t>, como medidas de satisfacción, entre otras, solicitaron: i) un acto público de reconocimiento de responsabilidad internacional y desagravio para las víctimas, el cual incluya una disculpa pública que debe ser dada por el titular del Poder Ejecutivo Federal de la República, así como de representantes del Poder Legislativo Federal y del Poder Judicial de la Federación; ii) publicación de la Sentencia en el Diario Oficial de la Federa</w:t>
      </w:r>
      <w:r w:rsidR="00375E37">
        <w:rPr>
          <w:rFonts w:ascii="Verdana" w:eastAsia="Times New Roman" w:hAnsi="Verdana" w:cs="Times New Roman"/>
          <w:sz w:val="20"/>
          <w:szCs w:val="20"/>
          <w:lang w:val="es-ES"/>
        </w:rPr>
        <w:t>ción</w:t>
      </w:r>
      <w:r w:rsidRPr="00744CE4">
        <w:rPr>
          <w:rFonts w:ascii="Verdana" w:eastAsia="Times New Roman" w:hAnsi="Verdana" w:cs="Times New Roman"/>
          <w:sz w:val="20"/>
          <w:szCs w:val="20"/>
          <w:lang w:val="es-ES"/>
        </w:rPr>
        <w:t>, en un medio de difusión al interior de las Fuerzas Armadas (especialmente de la Secretaría de la Defensa Nacional), un periódico de circulación nacional y otro de circulación en el Municipio de Buenaventura; iii) que el Estado asuma las consecuencias de la violación al proyecto de vida de las víctimas, así como adopción de becas para que varias de las víctimas puedan continuar sus estudios hasta los universitarios en escuelas reconocidas</w:t>
      </w:r>
      <w:r w:rsidR="000F2A48">
        <w:rPr>
          <w:rFonts w:ascii="Verdana" w:eastAsia="Times New Roman" w:hAnsi="Verdana" w:cs="Times New Roman"/>
          <w:sz w:val="20"/>
          <w:szCs w:val="20"/>
          <w:lang w:val="es-ES"/>
        </w:rPr>
        <w:t>.</w:t>
      </w:r>
    </w:p>
    <w:p w14:paraId="205EE966" w14:textId="4E50FE50"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744CE4">
        <w:rPr>
          <w:rFonts w:ascii="Verdana" w:eastAsia="Times New Roman" w:hAnsi="Verdana" w:cs="Times New Roman"/>
          <w:sz w:val="20"/>
          <w:szCs w:val="20"/>
          <w:lang w:val="es-ES"/>
        </w:rPr>
        <w:t xml:space="preserve">Por su parte, el </w:t>
      </w:r>
      <w:r w:rsidRPr="00744CE4">
        <w:rPr>
          <w:rFonts w:ascii="Verdana" w:eastAsia="Times New Roman" w:hAnsi="Verdana" w:cs="Times New Roman"/>
          <w:b/>
          <w:i/>
          <w:sz w:val="20"/>
          <w:szCs w:val="20"/>
          <w:lang w:val="es-ES"/>
        </w:rPr>
        <w:t>Estado</w:t>
      </w:r>
      <w:r w:rsidRPr="00744CE4">
        <w:rPr>
          <w:rFonts w:ascii="Verdana" w:eastAsia="Times New Roman" w:hAnsi="Verdana" w:cs="Times New Roman"/>
          <w:sz w:val="20"/>
          <w:szCs w:val="20"/>
          <w:lang w:val="es-ES"/>
        </w:rPr>
        <w:t xml:space="preserve"> destacó que la Corte ha establecido que las reparaciones deben tener un nexo causal. </w:t>
      </w:r>
      <w:r w:rsidRPr="00744CE4">
        <w:rPr>
          <w:rFonts w:ascii="Verdana" w:eastAsia="Calibri" w:hAnsi="Verdana" w:cs="Times New Roman"/>
          <w:sz w:val="20"/>
          <w:szCs w:val="20"/>
          <w:lang w:val="es-ES" w:eastAsia="es-ES"/>
        </w:rPr>
        <w:t xml:space="preserve">En este sentido señaló que: i) la Corte ha considerado no pertinente ordenar el acto de reconocimiento público de responsabilidad, resaltando que la Sentencia </w:t>
      </w:r>
      <w:r w:rsidRPr="00744CE4">
        <w:rPr>
          <w:rFonts w:ascii="Verdana" w:eastAsia="Calibri" w:hAnsi="Verdana" w:cs="Times New Roman"/>
          <w:i/>
          <w:sz w:val="20"/>
          <w:szCs w:val="20"/>
          <w:lang w:val="es-ES" w:eastAsia="es-ES"/>
        </w:rPr>
        <w:t xml:space="preserve">per se </w:t>
      </w:r>
      <w:r w:rsidRPr="00744CE4">
        <w:rPr>
          <w:rFonts w:ascii="Verdana" w:eastAsia="Calibri" w:hAnsi="Verdana" w:cs="Times New Roman"/>
          <w:sz w:val="20"/>
          <w:szCs w:val="20"/>
          <w:lang w:val="es-ES" w:eastAsia="es-ES"/>
        </w:rPr>
        <w:t>es una forma de reparación suficiente y adecuada; también, destacó, que en los casos en que se lleva a cabo una disculpa pública, es el Estado el que debe designar a los funcionarios encargados de aquélla; ii) en cuanto a la publicación de la Sentencia, señaló que, en caso de que sea declarada su responsabilidad, esta sea publicada en la página de la Secretaría de Relaciones Exteriores y prop</w:t>
      </w:r>
      <w:r w:rsidR="00442DAD">
        <w:rPr>
          <w:rFonts w:ascii="Verdana" w:eastAsia="Calibri" w:hAnsi="Verdana" w:cs="Times New Roman"/>
          <w:sz w:val="20"/>
          <w:szCs w:val="20"/>
          <w:lang w:val="es-ES" w:eastAsia="es-ES"/>
        </w:rPr>
        <w:t>uso</w:t>
      </w:r>
      <w:r w:rsidRPr="00744CE4">
        <w:rPr>
          <w:rFonts w:ascii="Verdana" w:eastAsia="Calibri" w:hAnsi="Verdana" w:cs="Times New Roman"/>
          <w:sz w:val="20"/>
          <w:szCs w:val="20"/>
          <w:lang w:val="es-ES" w:eastAsia="es-ES"/>
        </w:rPr>
        <w:t xml:space="preserve"> que </w:t>
      </w:r>
      <w:r w:rsidR="00442DAD">
        <w:rPr>
          <w:rFonts w:ascii="Verdana" w:eastAsia="Calibri" w:hAnsi="Verdana" w:cs="Times New Roman"/>
          <w:sz w:val="20"/>
          <w:szCs w:val="20"/>
          <w:lang w:val="es-ES" w:eastAsia="es-ES"/>
        </w:rPr>
        <w:t>fuese</w:t>
      </w:r>
      <w:r w:rsidR="00442DAD" w:rsidRPr="00744CE4">
        <w:rPr>
          <w:rFonts w:ascii="Verdana" w:eastAsia="Calibri" w:hAnsi="Verdana" w:cs="Times New Roman"/>
          <w:sz w:val="20"/>
          <w:szCs w:val="20"/>
          <w:lang w:val="es-ES" w:eastAsia="es-ES"/>
        </w:rPr>
        <w:t xml:space="preserve"> </w:t>
      </w:r>
      <w:r w:rsidRPr="00744CE4">
        <w:rPr>
          <w:rFonts w:ascii="Verdana" w:eastAsia="Calibri" w:hAnsi="Verdana" w:cs="Times New Roman"/>
          <w:sz w:val="20"/>
          <w:szCs w:val="20"/>
          <w:lang w:val="es-ES" w:eastAsia="es-ES"/>
        </w:rPr>
        <w:t>realizada en una ocasión en el Semanario Judicial de la Federación y el Diario Oficial de la Federación</w:t>
      </w:r>
      <w:r w:rsidRPr="008D0846">
        <w:rPr>
          <w:rFonts w:ascii="Verdana" w:eastAsia="Calibri" w:hAnsi="Verdana" w:cs="Times New Roman"/>
          <w:sz w:val="20"/>
          <w:szCs w:val="20"/>
          <w:lang w:val="es-ES" w:eastAsia="es-ES"/>
        </w:rPr>
        <w:t>;</w:t>
      </w:r>
      <w:r w:rsidRPr="00744CE4">
        <w:rPr>
          <w:rFonts w:ascii="Verdana" w:eastAsia="Calibri" w:hAnsi="Verdana" w:cs="Times New Roman"/>
          <w:sz w:val="20"/>
          <w:szCs w:val="20"/>
          <w:lang w:val="es-ES" w:eastAsia="es-ES"/>
        </w:rPr>
        <w:t xml:space="preserve"> iii) en cuanto al daño a los proyectos de vida, becas y atención médica, resaltó que el Estado ya cuenta con un sistema para proporcionar a los familiares de las personas desaparecidas ayudas educativas y acceso a la salud y actualmente ya ha entregado dos proyectos económicos para atender los daños a su proyecto de vida, razón por la cual, esta medida ya está siendo implementada por el Estado</w:t>
      </w:r>
      <w:r w:rsidRPr="00744CE4">
        <w:rPr>
          <w:rStyle w:val="Refdenotaalpie"/>
          <w:rFonts w:ascii="Verdana" w:eastAsia="Calibri" w:hAnsi="Verdana"/>
          <w:sz w:val="20"/>
          <w:szCs w:val="20"/>
          <w:lang w:val="es-ES" w:eastAsia="es-ES"/>
        </w:rPr>
        <w:footnoteReference w:id="540"/>
      </w:r>
      <w:r w:rsidR="000F2A48">
        <w:rPr>
          <w:rFonts w:ascii="Verdana" w:eastAsia="Calibri" w:hAnsi="Verdana" w:cs="Times New Roman"/>
          <w:sz w:val="20"/>
          <w:szCs w:val="20"/>
          <w:lang w:val="es-ES" w:eastAsia="es-ES"/>
        </w:rPr>
        <w:t>.</w:t>
      </w:r>
    </w:p>
    <w:p w14:paraId="71B333C1" w14:textId="4B97AAE6" w:rsidR="009114A1" w:rsidRPr="00744CE4" w:rsidRDefault="00E34BFF" w:rsidP="008D0846">
      <w:pPr>
        <w:pStyle w:val="Ttulo3"/>
        <w:numPr>
          <w:ilvl w:val="0"/>
          <w:numId w:val="68"/>
        </w:numPr>
        <w:spacing w:before="120" w:after="120"/>
        <w:ind w:left="2268" w:hanging="426"/>
        <w:contextualSpacing w:val="0"/>
        <w:rPr>
          <w:b w:val="0"/>
        </w:rPr>
      </w:pPr>
      <w:bookmarkStart w:id="376" w:name="_Toc526783823"/>
      <w:r>
        <w:rPr>
          <w:b w:val="0"/>
        </w:rPr>
        <w:lastRenderedPageBreak/>
        <w:t xml:space="preserve"> </w:t>
      </w:r>
      <w:bookmarkStart w:id="377" w:name="_Toc532995405"/>
      <w:r w:rsidR="009114A1" w:rsidRPr="00744CE4">
        <w:rPr>
          <w:b w:val="0"/>
        </w:rPr>
        <w:t>Acto público de reconocimiento de responsabilidad internacional</w:t>
      </w:r>
      <w:bookmarkEnd w:id="376"/>
      <w:bookmarkEnd w:id="377"/>
      <w:r w:rsidR="009114A1" w:rsidRPr="00744CE4">
        <w:rPr>
          <w:b w:val="0"/>
        </w:rPr>
        <w:t xml:space="preserve"> </w:t>
      </w:r>
    </w:p>
    <w:p w14:paraId="4EA21F9B" w14:textId="713B7760" w:rsidR="009114A1" w:rsidRPr="002C462C"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744CE4">
        <w:rPr>
          <w:rFonts w:ascii="Verdana" w:hAnsi="Verdana" w:cs="Times New Roman"/>
          <w:spacing w:val="-2"/>
          <w:sz w:val="20"/>
          <w:szCs w:val="20"/>
          <w:lang w:val="es-ES"/>
        </w:rPr>
        <w:t xml:space="preserve">La </w:t>
      </w:r>
      <w:r w:rsidRPr="00C96C12">
        <w:rPr>
          <w:rFonts w:ascii="Verdana" w:hAnsi="Verdana" w:cs="Times New Roman"/>
          <w:b/>
          <w:i/>
          <w:spacing w:val="-2"/>
          <w:sz w:val="20"/>
          <w:szCs w:val="20"/>
          <w:lang w:val="es-ES"/>
        </w:rPr>
        <w:t>Corte</w:t>
      </w:r>
      <w:r w:rsidRPr="00744CE4">
        <w:rPr>
          <w:rFonts w:ascii="Verdana" w:hAnsi="Verdana" w:cs="Times New Roman"/>
          <w:b/>
          <w:i/>
          <w:spacing w:val="-2"/>
          <w:sz w:val="20"/>
          <w:szCs w:val="20"/>
          <w:lang w:val="es-ES"/>
        </w:rPr>
        <w:t xml:space="preserve"> </w:t>
      </w:r>
      <w:r w:rsidRPr="00432ABC">
        <w:rPr>
          <w:rFonts w:ascii="Verdana" w:hAnsi="Verdana" w:cs="Times New Roman"/>
          <w:spacing w:val="-2"/>
          <w:sz w:val="20"/>
          <w:szCs w:val="20"/>
          <w:lang w:val="es-ES"/>
        </w:rPr>
        <w:t xml:space="preserve">dispone, </w:t>
      </w:r>
      <w:r w:rsidRPr="00432ABC">
        <w:rPr>
          <w:rFonts w:ascii="Verdana" w:hAnsi="Verdana" w:cs="Times New Roman"/>
          <w:spacing w:val="-2"/>
          <w:sz w:val="20"/>
          <w:szCs w:val="20"/>
          <w:lang w:val="es-CR"/>
        </w:rPr>
        <w:t>como lo ha hecho en casos</w:t>
      </w:r>
      <w:r w:rsidR="00AF174E">
        <w:rPr>
          <w:rFonts w:ascii="Verdana" w:hAnsi="Verdana" w:cs="Times New Roman"/>
          <w:spacing w:val="-2"/>
          <w:sz w:val="20"/>
          <w:szCs w:val="20"/>
          <w:lang w:val="es-CR"/>
        </w:rPr>
        <w:t xml:space="preserve"> anteriores</w:t>
      </w:r>
      <w:r w:rsidRPr="00744CE4">
        <w:rPr>
          <w:rFonts w:ascii="Verdana" w:hAnsi="Verdana" w:cs="Times New Roman"/>
          <w:sz w:val="20"/>
          <w:szCs w:val="20"/>
          <w:vertAlign w:val="superscript"/>
        </w:rPr>
        <w:footnoteReference w:id="541"/>
      </w:r>
      <w:r w:rsidRPr="00744CE4">
        <w:rPr>
          <w:rFonts w:ascii="Verdana" w:hAnsi="Verdana" w:cs="Times New Roman"/>
          <w:spacing w:val="-2"/>
          <w:sz w:val="20"/>
          <w:szCs w:val="20"/>
          <w:lang w:val="es-CR"/>
        </w:rPr>
        <w:t>, y particularmente en casos de graves violaciones a derechos humanos, que el Estado deberá realizar un acto público de reconocimiento de responsabilidad internacional en México, en el cual deberá hacer referencia a las violaciones de derechos humanos declaradas en la presente Sentenci</w:t>
      </w:r>
      <w:r w:rsidRPr="00432ABC">
        <w:rPr>
          <w:rFonts w:ascii="Verdana" w:hAnsi="Verdana" w:cs="Times New Roman"/>
          <w:spacing w:val="-2"/>
          <w:sz w:val="20"/>
          <w:szCs w:val="20"/>
          <w:lang w:val="es-CR"/>
        </w:rPr>
        <w:t>a. Este acto deberá llevarse a cabo mediante una ceremonia pública en presencia de altos funcionarios del Estado, incluyendo de la Secretaría de la Defensa Nacional, Secretaría de Seguridad Pública</w:t>
      </w:r>
      <w:r w:rsidR="00291637">
        <w:rPr>
          <w:rFonts w:ascii="Verdana" w:hAnsi="Verdana" w:cs="Times New Roman"/>
          <w:spacing w:val="-2"/>
          <w:sz w:val="20"/>
          <w:szCs w:val="20"/>
          <w:lang w:val="es-CR"/>
        </w:rPr>
        <w:t xml:space="preserve"> y Protección Ciudadana</w:t>
      </w:r>
      <w:r w:rsidRPr="00432ABC">
        <w:rPr>
          <w:rFonts w:ascii="Verdana" w:hAnsi="Verdana" w:cs="Times New Roman"/>
          <w:spacing w:val="-2"/>
          <w:sz w:val="20"/>
          <w:szCs w:val="20"/>
          <w:lang w:val="es-CR"/>
        </w:rPr>
        <w:t xml:space="preserve"> y del Gobierno de Chihuahua; así como con la participación de las víctimas de este caso. El Estado deberá acordar con las víctimas o sus representantes la modalidad de cumplimiento del acto público de reconocimiento, así como las particularidades que se requieran, tales como el lugar y la fecha para su realización. Para ello, el Estado cuenta con el plazo de un año, contado a partir de la notificación de la presente Sentencia.</w:t>
      </w:r>
    </w:p>
    <w:p w14:paraId="64CB6D84" w14:textId="398E48A7" w:rsidR="009114A1" w:rsidRPr="00744CE4" w:rsidRDefault="00A81849" w:rsidP="008D0846">
      <w:pPr>
        <w:pStyle w:val="Ttulo3"/>
        <w:numPr>
          <w:ilvl w:val="0"/>
          <w:numId w:val="68"/>
        </w:numPr>
        <w:spacing w:before="120" w:after="120"/>
        <w:ind w:left="2268" w:hanging="426"/>
        <w:contextualSpacing w:val="0"/>
        <w:rPr>
          <w:b w:val="0"/>
          <w:lang w:val="es-ES"/>
        </w:rPr>
      </w:pPr>
      <w:r w:rsidRPr="002C462C">
        <w:rPr>
          <w:lang w:val="es-ES"/>
        </w:rPr>
        <w:t xml:space="preserve"> </w:t>
      </w:r>
      <w:bookmarkStart w:id="378" w:name="_Toc526783824"/>
      <w:bookmarkStart w:id="379" w:name="_Toc532995406"/>
      <w:r w:rsidR="009114A1" w:rsidRPr="00744CE4">
        <w:rPr>
          <w:b w:val="0"/>
          <w:lang w:val="es-ES"/>
        </w:rPr>
        <w:t>Publicación y difusión de la Sentencia</w:t>
      </w:r>
      <w:bookmarkEnd w:id="378"/>
      <w:bookmarkEnd w:id="379"/>
    </w:p>
    <w:p w14:paraId="77536A6D" w14:textId="1BBBFCF7"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ES"/>
        </w:rPr>
      </w:pPr>
      <w:r w:rsidRPr="00744CE4">
        <w:rPr>
          <w:rFonts w:ascii="Verdana" w:hAnsi="Verdana" w:cs="Times New Roman"/>
          <w:spacing w:val="-2"/>
          <w:sz w:val="20"/>
          <w:szCs w:val="20"/>
          <w:lang w:val="es-CR"/>
        </w:rPr>
        <w:t xml:space="preserve">La </w:t>
      </w:r>
      <w:r w:rsidR="0095417D" w:rsidRPr="00C96C12">
        <w:rPr>
          <w:rFonts w:ascii="Verdana" w:hAnsi="Verdana" w:cs="Times New Roman"/>
          <w:b/>
          <w:i/>
          <w:spacing w:val="-2"/>
          <w:sz w:val="20"/>
          <w:szCs w:val="20"/>
          <w:lang w:val="es-CR"/>
        </w:rPr>
        <w:t>Cor</w:t>
      </w:r>
      <w:r w:rsidRPr="00C96C12">
        <w:rPr>
          <w:rFonts w:ascii="Verdana" w:hAnsi="Verdana" w:cs="Times New Roman"/>
          <w:b/>
          <w:i/>
          <w:spacing w:val="-2"/>
          <w:sz w:val="20"/>
          <w:szCs w:val="20"/>
          <w:lang w:val="es-CR"/>
        </w:rPr>
        <w:t>te</w:t>
      </w:r>
      <w:r w:rsidRPr="00744CE4">
        <w:rPr>
          <w:rFonts w:ascii="Verdana" w:hAnsi="Verdana" w:cs="Times New Roman"/>
          <w:spacing w:val="-2"/>
          <w:sz w:val="20"/>
          <w:szCs w:val="20"/>
          <w:lang w:val="es-CR"/>
        </w:rPr>
        <w:t xml:space="preserve"> estima, como lo ha dispuesto en otros casos</w:t>
      </w:r>
      <w:r w:rsidRPr="00744CE4">
        <w:rPr>
          <w:rStyle w:val="Refdenotaalpie"/>
          <w:rFonts w:ascii="Verdana" w:hAnsi="Verdana"/>
          <w:spacing w:val="-2"/>
          <w:sz w:val="20"/>
          <w:szCs w:val="20"/>
        </w:rPr>
        <w:footnoteReference w:id="542"/>
      </w:r>
      <w:r w:rsidRPr="00744CE4">
        <w:rPr>
          <w:rFonts w:ascii="Verdana" w:hAnsi="Verdana" w:cs="Times New Roman"/>
          <w:spacing w:val="-2"/>
          <w:sz w:val="20"/>
          <w:szCs w:val="20"/>
          <w:lang w:val="es-CR"/>
        </w:rPr>
        <w:t xml:space="preserve">, que el Estado deberá publicar en el plazo de seis meses, contado a partir de la notificación de la presente Sentencia: a) el resumen oficial de esta Sentencia elaborado por la Corte, por una sola vez, en el Diario Oficial de la Federación, </w:t>
      </w:r>
      <w:r w:rsidRPr="00744CE4">
        <w:rPr>
          <w:rFonts w:ascii="Verdana" w:eastAsia="Times New Roman" w:hAnsi="Verdana" w:cs="Times New Roman"/>
          <w:sz w:val="20"/>
          <w:szCs w:val="20"/>
          <w:lang w:val="es-ES"/>
        </w:rPr>
        <w:t>en el Semanario Judicial de la Federación</w:t>
      </w:r>
      <w:r w:rsidRPr="00744CE4">
        <w:rPr>
          <w:rFonts w:ascii="Verdana" w:hAnsi="Verdana" w:cs="Times New Roman"/>
          <w:spacing w:val="-2"/>
          <w:sz w:val="20"/>
          <w:szCs w:val="20"/>
          <w:lang w:val="es-CR"/>
        </w:rPr>
        <w:t xml:space="preserve"> </w:t>
      </w:r>
      <w:r w:rsidRPr="00432ABC">
        <w:rPr>
          <w:rFonts w:ascii="Verdana" w:hAnsi="Verdana" w:cs="Times New Roman"/>
          <w:spacing w:val="-2"/>
          <w:sz w:val="20"/>
          <w:szCs w:val="20"/>
          <w:lang w:val="es-CR"/>
        </w:rPr>
        <w:t xml:space="preserve">y, en un diario de amplia circulación nacional y en un tamaño de letra legible y adecuado, y b) la presente Sentencia en su integridad, disponible, por un período de un año, en  la página de la Secretaría de Relaciones Exteriores, en la página de la Secretaría de la Defensa Nacional, </w:t>
      </w:r>
      <w:r w:rsidR="00291637" w:rsidRPr="00432ABC">
        <w:rPr>
          <w:rFonts w:ascii="Verdana" w:hAnsi="Verdana" w:cs="Times New Roman"/>
          <w:spacing w:val="-2"/>
          <w:sz w:val="20"/>
          <w:szCs w:val="20"/>
          <w:lang w:val="es-CR"/>
        </w:rPr>
        <w:t>Secretaría de Seguridad Pública</w:t>
      </w:r>
      <w:r w:rsidR="00291637">
        <w:rPr>
          <w:rFonts w:ascii="Verdana" w:hAnsi="Verdana" w:cs="Times New Roman"/>
          <w:spacing w:val="-2"/>
          <w:sz w:val="20"/>
          <w:szCs w:val="20"/>
          <w:lang w:val="es-CR"/>
        </w:rPr>
        <w:t xml:space="preserve"> y Protección Ciudadana</w:t>
      </w:r>
      <w:r w:rsidRPr="00432ABC">
        <w:rPr>
          <w:rFonts w:ascii="Verdana" w:hAnsi="Verdana" w:cs="Times New Roman"/>
          <w:spacing w:val="-2"/>
          <w:sz w:val="20"/>
          <w:szCs w:val="20"/>
          <w:lang w:val="es-CR"/>
        </w:rPr>
        <w:t xml:space="preserve"> y del Gobierno de Chihuahua. </w:t>
      </w:r>
      <w:r w:rsidRPr="002C462C">
        <w:rPr>
          <w:rFonts w:ascii="Verdana" w:hAnsi="Verdana" w:cs="Times New Roman"/>
          <w:sz w:val="20"/>
          <w:szCs w:val="20"/>
          <w:lang w:val="es-ES"/>
        </w:rPr>
        <w:t xml:space="preserve">El Estado deberá informar de forma inmediata a esta Corte una vez que proceda a realizar cada una de las publicaciones dispuestas, independientemente del plazo de un año para presentar su primer informe dispuesto en el </w:t>
      </w:r>
      <w:r w:rsidRPr="00357EFC">
        <w:rPr>
          <w:rFonts w:ascii="Verdana" w:hAnsi="Verdana" w:cs="Times New Roman"/>
          <w:sz w:val="20"/>
          <w:szCs w:val="20"/>
          <w:lang w:val="es-ES"/>
        </w:rPr>
        <w:t xml:space="preserve">punto resolutivo </w:t>
      </w:r>
      <w:r w:rsidR="00357EFC">
        <w:rPr>
          <w:rFonts w:ascii="Verdana" w:hAnsi="Verdana" w:cs="Times New Roman"/>
          <w:sz w:val="20"/>
          <w:szCs w:val="20"/>
          <w:lang w:val="es-ES"/>
        </w:rPr>
        <w:t>22</w:t>
      </w:r>
      <w:r w:rsidRPr="00744CE4">
        <w:rPr>
          <w:rFonts w:ascii="Verdana" w:hAnsi="Verdana" w:cs="Times New Roman"/>
          <w:sz w:val="20"/>
          <w:szCs w:val="20"/>
          <w:lang w:val="es-ES"/>
        </w:rPr>
        <w:t xml:space="preserve"> de la Sentencia. </w:t>
      </w:r>
    </w:p>
    <w:p w14:paraId="2CB893A2" w14:textId="495F0B2E" w:rsidR="009114A1" w:rsidRPr="00744CE4" w:rsidRDefault="00DC15D5" w:rsidP="008D0846">
      <w:pPr>
        <w:pStyle w:val="Ttulo3"/>
        <w:numPr>
          <w:ilvl w:val="0"/>
          <w:numId w:val="68"/>
        </w:numPr>
        <w:spacing w:before="120" w:after="120"/>
        <w:ind w:left="2268" w:hanging="426"/>
        <w:contextualSpacing w:val="0"/>
        <w:rPr>
          <w:b w:val="0"/>
          <w:lang w:val="es-ES"/>
        </w:rPr>
      </w:pPr>
      <w:bookmarkStart w:id="380" w:name="_Toc526783825"/>
      <w:r w:rsidRPr="00744CE4">
        <w:rPr>
          <w:b w:val="0"/>
          <w:lang w:val="es-ES"/>
        </w:rPr>
        <w:t xml:space="preserve"> </w:t>
      </w:r>
      <w:bookmarkStart w:id="381" w:name="_Toc532995407"/>
      <w:r w:rsidR="009114A1" w:rsidRPr="00744CE4">
        <w:rPr>
          <w:b w:val="0"/>
          <w:lang w:val="es-ES"/>
        </w:rPr>
        <w:t>Daño a los proyectos de vida</w:t>
      </w:r>
      <w:bookmarkEnd w:id="380"/>
      <w:bookmarkEnd w:id="381"/>
      <w:r w:rsidR="009114A1" w:rsidRPr="00744CE4">
        <w:rPr>
          <w:b w:val="0"/>
          <w:lang w:val="es-ES"/>
        </w:rPr>
        <w:t xml:space="preserve"> </w:t>
      </w:r>
    </w:p>
    <w:p w14:paraId="064FA013" w14:textId="49A97400" w:rsidR="009114A1" w:rsidRPr="00BD721F"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BD721F">
        <w:rPr>
          <w:rFonts w:ascii="Verdana" w:hAnsi="Verdana" w:cs="Times New Roman"/>
          <w:spacing w:val="-2"/>
          <w:sz w:val="20"/>
          <w:szCs w:val="20"/>
          <w:lang w:val="es-CR"/>
        </w:rPr>
        <w:t>Por</w:t>
      </w:r>
      <w:r w:rsidRPr="00BD721F">
        <w:rPr>
          <w:rFonts w:ascii="Verdana" w:hAnsi="Verdana" w:cs="Times New Roman"/>
          <w:sz w:val="20"/>
          <w:szCs w:val="20"/>
          <w:lang w:val="es-ES"/>
        </w:rPr>
        <w:t xml:space="preserve"> lo que respecta a la reclamación de daño al </w:t>
      </w:r>
      <w:r w:rsidRPr="000565DD">
        <w:rPr>
          <w:rFonts w:ascii="Verdana" w:hAnsi="Verdana" w:cs="Times New Roman"/>
          <w:sz w:val="20"/>
          <w:szCs w:val="20"/>
          <w:lang w:val="es-ES"/>
        </w:rPr>
        <w:t xml:space="preserve">“proyecto de vida”, la </w:t>
      </w:r>
      <w:r w:rsidRPr="00C96C12">
        <w:rPr>
          <w:rFonts w:ascii="Verdana" w:hAnsi="Verdana" w:cs="Times New Roman"/>
          <w:b/>
          <w:i/>
          <w:sz w:val="20"/>
          <w:szCs w:val="20"/>
          <w:lang w:val="es-ES"/>
        </w:rPr>
        <w:t>Corte</w:t>
      </w:r>
      <w:r w:rsidRPr="000565DD">
        <w:rPr>
          <w:rFonts w:ascii="Verdana" w:hAnsi="Verdana" w:cs="Times New Roman"/>
          <w:sz w:val="20"/>
          <w:szCs w:val="20"/>
          <w:lang w:val="es-ES"/>
        </w:rPr>
        <w:t xml:space="preserve"> recuerda su jurisprudencia constante en </w:t>
      </w:r>
      <w:r w:rsidRPr="00BD721F">
        <w:rPr>
          <w:rFonts w:ascii="Verdana" w:hAnsi="Verdana" w:cs="Times New Roman"/>
          <w:sz w:val="20"/>
          <w:szCs w:val="20"/>
          <w:lang w:val="es-CR"/>
        </w:rPr>
        <w:t>que ha especificado que el daño al proyecto de vida corresponde a una noción distinta del lucro cesante y del daño emergente</w:t>
      </w:r>
      <w:r w:rsidRPr="00BD721F">
        <w:rPr>
          <w:rStyle w:val="Refdenotaalpie"/>
          <w:rFonts w:ascii="Verdana" w:hAnsi="Verdana"/>
          <w:sz w:val="20"/>
          <w:szCs w:val="20"/>
        </w:rPr>
        <w:footnoteReference w:id="543"/>
      </w:r>
      <w:r w:rsidRPr="00BD721F">
        <w:rPr>
          <w:rFonts w:ascii="Verdana" w:hAnsi="Verdana" w:cs="Times New Roman"/>
          <w:sz w:val="20"/>
          <w:szCs w:val="20"/>
          <w:lang w:val="es-CR"/>
        </w:rPr>
        <w:t>. El daño al proyecto de vida, atiende a la realización integral de la persona afectada, considerando su vocación, aptitudes, circunstancias, potencialidades y aspiraciones, que le permiten fijarse razonablemente determinadas expectativas y acceder a ellas</w:t>
      </w:r>
      <w:r w:rsidRPr="00BD721F">
        <w:rPr>
          <w:rStyle w:val="Refdenotaalpie"/>
          <w:rFonts w:ascii="Verdana" w:hAnsi="Verdana"/>
          <w:sz w:val="20"/>
          <w:szCs w:val="20"/>
        </w:rPr>
        <w:footnoteReference w:id="544"/>
      </w:r>
      <w:r w:rsidRPr="00BD721F">
        <w:rPr>
          <w:rFonts w:ascii="Verdana" w:hAnsi="Verdana" w:cs="Times New Roman"/>
          <w:sz w:val="20"/>
          <w:szCs w:val="20"/>
          <w:lang w:val="es-CR"/>
        </w:rPr>
        <w:t>.  Por tanto, el proyecto de vida se expresa en las expectativas de desarrollo personal, profesional y familiar, posibles en condiciones normales</w:t>
      </w:r>
      <w:r w:rsidRPr="00BD721F">
        <w:rPr>
          <w:rStyle w:val="Refdenotaalpie"/>
          <w:rFonts w:ascii="Verdana" w:hAnsi="Verdana"/>
          <w:sz w:val="20"/>
          <w:szCs w:val="20"/>
        </w:rPr>
        <w:footnoteReference w:id="545"/>
      </w:r>
      <w:r w:rsidRPr="00BD721F">
        <w:rPr>
          <w:rFonts w:ascii="Verdana" w:hAnsi="Verdana" w:cs="Times New Roman"/>
          <w:sz w:val="20"/>
          <w:szCs w:val="20"/>
          <w:lang w:val="es-CR"/>
        </w:rPr>
        <w:t>. Esta Cor</w:t>
      </w:r>
      <w:r w:rsidR="000A5FEA" w:rsidRPr="00BD721F">
        <w:rPr>
          <w:rFonts w:ascii="Verdana" w:hAnsi="Verdana" w:cs="Times New Roman"/>
          <w:sz w:val="20"/>
          <w:szCs w:val="20"/>
          <w:lang w:val="es-CR"/>
        </w:rPr>
        <w:t>te, también ha señalado que el daño al proyecto de vida</w:t>
      </w:r>
      <w:r w:rsidRPr="00BD721F">
        <w:rPr>
          <w:rFonts w:ascii="Verdana" w:hAnsi="Verdana" w:cs="Times New Roman"/>
          <w:sz w:val="20"/>
          <w:szCs w:val="20"/>
          <w:lang w:val="es-CR"/>
        </w:rPr>
        <w:t xml:space="preserve"> implica la pérdida o el grave menoscabo de oportunidades de desarrollo personal, en forma irreparable o muy difícilmente reparable</w:t>
      </w:r>
      <w:r w:rsidRPr="00BD721F">
        <w:rPr>
          <w:rStyle w:val="Refdenotaalpie"/>
          <w:rFonts w:ascii="Verdana" w:hAnsi="Verdana"/>
          <w:sz w:val="20"/>
          <w:szCs w:val="20"/>
        </w:rPr>
        <w:footnoteReference w:id="546"/>
      </w:r>
      <w:r w:rsidR="00CA1F1C" w:rsidRPr="00BD721F">
        <w:rPr>
          <w:rFonts w:ascii="Verdana" w:hAnsi="Verdana" w:cs="Times New Roman"/>
          <w:sz w:val="20"/>
          <w:szCs w:val="20"/>
          <w:lang w:val="es-CR"/>
        </w:rPr>
        <w:t>, e</w:t>
      </w:r>
      <w:r w:rsidR="000A5FEA" w:rsidRPr="00BD721F">
        <w:rPr>
          <w:rFonts w:ascii="Verdana" w:hAnsi="Verdana" w:cs="Times New Roman"/>
          <w:sz w:val="20"/>
          <w:szCs w:val="20"/>
          <w:lang w:val="es-CR"/>
        </w:rPr>
        <w:t>n cuyos casos se han acreditado daños que afectan la libertad objetiva de la v</w:t>
      </w:r>
      <w:r w:rsidR="001563AF" w:rsidRPr="00BD721F">
        <w:rPr>
          <w:rFonts w:ascii="Verdana" w:hAnsi="Verdana" w:cs="Times New Roman"/>
          <w:sz w:val="20"/>
          <w:szCs w:val="20"/>
          <w:lang w:val="es-CR"/>
        </w:rPr>
        <w:t>íctima;</w:t>
      </w:r>
      <w:r w:rsidR="000A5FEA" w:rsidRPr="00BD721F">
        <w:rPr>
          <w:rFonts w:ascii="Verdana" w:hAnsi="Verdana" w:cs="Times New Roman"/>
          <w:sz w:val="20"/>
          <w:szCs w:val="20"/>
          <w:lang w:val="es-CR"/>
        </w:rPr>
        <w:t xml:space="preserve"> o </w:t>
      </w:r>
      <w:r w:rsidR="001563AF" w:rsidRPr="00BD721F">
        <w:rPr>
          <w:rFonts w:ascii="Verdana" w:hAnsi="Verdana" w:cs="Times New Roman"/>
          <w:sz w:val="20"/>
          <w:szCs w:val="20"/>
          <w:lang w:val="es-CR"/>
        </w:rPr>
        <w:t>los cuales</w:t>
      </w:r>
      <w:r w:rsidR="000A5FEA" w:rsidRPr="00BD721F">
        <w:rPr>
          <w:rFonts w:ascii="Verdana" w:hAnsi="Verdana" w:cs="Times New Roman"/>
          <w:sz w:val="20"/>
          <w:szCs w:val="20"/>
          <w:lang w:val="es-CR"/>
        </w:rPr>
        <w:t xml:space="preserve"> impidan desarrollar tal proyección, o bien </w:t>
      </w:r>
      <w:r w:rsidR="001563AF" w:rsidRPr="00BD721F">
        <w:rPr>
          <w:rFonts w:ascii="Verdana" w:hAnsi="Verdana" w:cs="Times New Roman"/>
          <w:sz w:val="20"/>
          <w:szCs w:val="20"/>
          <w:lang w:val="es-CR"/>
        </w:rPr>
        <w:t xml:space="preserve">que </w:t>
      </w:r>
      <w:r w:rsidR="000A5FEA" w:rsidRPr="00BD721F">
        <w:rPr>
          <w:rFonts w:ascii="Verdana" w:hAnsi="Verdana" w:cs="Times New Roman"/>
          <w:sz w:val="20"/>
          <w:szCs w:val="20"/>
          <w:lang w:val="es-CR"/>
        </w:rPr>
        <w:t xml:space="preserve">por omisión de un deber no se tenga la posibilidad </w:t>
      </w:r>
      <w:r w:rsidR="001563AF" w:rsidRPr="00BD721F">
        <w:rPr>
          <w:rFonts w:ascii="Verdana" w:hAnsi="Verdana" w:cs="Times New Roman"/>
          <w:sz w:val="20"/>
          <w:szCs w:val="20"/>
          <w:lang w:val="es-CR"/>
        </w:rPr>
        <w:t xml:space="preserve">siquiera </w:t>
      </w:r>
      <w:r w:rsidR="000A5FEA" w:rsidRPr="00BD721F">
        <w:rPr>
          <w:rFonts w:ascii="Verdana" w:hAnsi="Verdana" w:cs="Times New Roman"/>
          <w:sz w:val="20"/>
          <w:szCs w:val="20"/>
          <w:lang w:val="es-CR"/>
        </w:rPr>
        <w:t>de plantear un proyecto</w:t>
      </w:r>
      <w:r w:rsidR="001563AF" w:rsidRPr="00BD721F">
        <w:rPr>
          <w:rFonts w:ascii="Verdana" w:hAnsi="Verdana" w:cs="Times New Roman"/>
          <w:sz w:val="20"/>
          <w:szCs w:val="20"/>
          <w:lang w:val="es-CR"/>
        </w:rPr>
        <w:t xml:space="preserve"> de vida en sí</w:t>
      </w:r>
      <w:r w:rsidR="000A5FEA" w:rsidRPr="00BD721F">
        <w:rPr>
          <w:rFonts w:ascii="Verdana" w:hAnsi="Verdana" w:cs="Times New Roman"/>
          <w:sz w:val="20"/>
          <w:szCs w:val="20"/>
          <w:lang w:val="es-CR"/>
        </w:rPr>
        <w:t xml:space="preserve">. Dichos daños se </w:t>
      </w:r>
      <w:r w:rsidR="001563AF" w:rsidRPr="00BD721F">
        <w:rPr>
          <w:rFonts w:ascii="Verdana" w:hAnsi="Verdana" w:cs="Times New Roman"/>
          <w:sz w:val="20"/>
          <w:szCs w:val="20"/>
          <w:lang w:val="es-CR"/>
        </w:rPr>
        <w:t>han acreditado como ciertos, de gran</w:t>
      </w:r>
      <w:r w:rsidR="000A5FEA" w:rsidRPr="00BD721F">
        <w:rPr>
          <w:rFonts w:ascii="Verdana" w:hAnsi="Verdana" w:cs="Times New Roman"/>
          <w:sz w:val="20"/>
          <w:szCs w:val="20"/>
          <w:lang w:val="es-CR"/>
        </w:rPr>
        <w:t xml:space="preserve"> entidad, autónomos y reparables, </w:t>
      </w:r>
      <w:r w:rsidRPr="00BD721F">
        <w:rPr>
          <w:rFonts w:ascii="Verdana" w:hAnsi="Verdana" w:cs="Times New Roman"/>
          <w:sz w:val="20"/>
          <w:szCs w:val="20"/>
          <w:lang w:val="es-CR"/>
        </w:rPr>
        <w:t xml:space="preserve">por lo que, en casos particulares, </w:t>
      </w:r>
      <w:r w:rsidR="000A5FEA" w:rsidRPr="00BD721F">
        <w:rPr>
          <w:rFonts w:ascii="Verdana" w:hAnsi="Verdana" w:cs="Times New Roman"/>
          <w:sz w:val="20"/>
          <w:szCs w:val="20"/>
          <w:lang w:val="es-CR"/>
        </w:rPr>
        <w:t xml:space="preserve">se </w:t>
      </w:r>
      <w:r w:rsidRPr="00BD721F">
        <w:rPr>
          <w:rFonts w:ascii="Verdana" w:hAnsi="Verdana" w:cs="Times New Roman"/>
          <w:sz w:val="20"/>
          <w:szCs w:val="20"/>
          <w:lang w:val="es-CR"/>
        </w:rPr>
        <w:t>ha</w:t>
      </w:r>
      <w:r w:rsidR="00CA1F1C" w:rsidRPr="008D0846">
        <w:rPr>
          <w:rFonts w:ascii="Verdana" w:hAnsi="Verdana" w:cs="Times New Roman"/>
          <w:sz w:val="20"/>
          <w:szCs w:val="20"/>
          <w:lang w:val="es-CR"/>
        </w:rPr>
        <w:t>n</w:t>
      </w:r>
      <w:r w:rsidRPr="00BD721F">
        <w:rPr>
          <w:rFonts w:ascii="Verdana" w:hAnsi="Verdana" w:cs="Times New Roman"/>
          <w:sz w:val="20"/>
          <w:szCs w:val="20"/>
          <w:lang w:val="es-CR"/>
        </w:rPr>
        <w:t xml:space="preserve"> ordenado</w:t>
      </w:r>
      <w:r w:rsidR="00CA1F1C" w:rsidRPr="008D0846">
        <w:rPr>
          <w:rFonts w:ascii="Verdana" w:hAnsi="Verdana" w:cs="Times New Roman"/>
          <w:sz w:val="20"/>
          <w:szCs w:val="20"/>
          <w:lang w:val="es-CR"/>
        </w:rPr>
        <w:t>,</w:t>
      </w:r>
      <w:r w:rsidRPr="00BD721F">
        <w:rPr>
          <w:rFonts w:ascii="Verdana" w:hAnsi="Verdana" w:cs="Times New Roman"/>
          <w:sz w:val="20"/>
          <w:szCs w:val="20"/>
          <w:lang w:val="es-CR"/>
        </w:rPr>
        <w:t xml:space="preserve"> </w:t>
      </w:r>
      <w:r w:rsidR="00CA1F1C" w:rsidRPr="008D0846">
        <w:rPr>
          <w:rFonts w:ascii="Verdana" w:hAnsi="Verdana" w:cs="Times New Roman"/>
          <w:sz w:val="20"/>
          <w:szCs w:val="20"/>
          <w:lang w:val="es-CR"/>
        </w:rPr>
        <w:t xml:space="preserve">entre otras, </w:t>
      </w:r>
      <w:r w:rsidR="001563AF" w:rsidRPr="00BD721F">
        <w:rPr>
          <w:rFonts w:ascii="Verdana" w:hAnsi="Verdana" w:cs="Times New Roman"/>
          <w:sz w:val="20"/>
          <w:szCs w:val="20"/>
          <w:lang w:val="es-CR"/>
        </w:rPr>
        <w:t>medidas de carácter educativo,</w:t>
      </w:r>
      <w:r w:rsidRPr="00BD721F">
        <w:rPr>
          <w:rStyle w:val="Refdenotaalpie"/>
          <w:rFonts w:ascii="Verdana" w:hAnsi="Verdana"/>
          <w:sz w:val="20"/>
          <w:szCs w:val="20"/>
          <w:lang w:val="es-CR"/>
        </w:rPr>
        <w:footnoteReference w:id="547"/>
      </w:r>
      <w:r w:rsidRPr="00BD721F">
        <w:rPr>
          <w:rFonts w:ascii="Verdana" w:hAnsi="Verdana" w:cs="Times New Roman"/>
          <w:sz w:val="20"/>
          <w:szCs w:val="20"/>
          <w:lang w:val="es-CR"/>
        </w:rPr>
        <w:t>, así como compensaciones relativa</w:t>
      </w:r>
      <w:r w:rsidR="0095417D" w:rsidRPr="000565DD">
        <w:rPr>
          <w:rFonts w:ascii="Verdana" w:hAnsi="Verdana" w:cs="Times New Roman"/>
          <w:sz w:val="20"/>
          <w:szCs w:val="20"/>
          <w:lang w:val="es-CR"/>
        </w:rPr>
        <w:t>s</w:t>
      </w:r>
      <w:r w:rsidRPr="00C66632">
        <w:rPr>
          <w:rFonts w:ascii="Verdana" w:hAnsi="Verdana" w:cs="Times New Roman"/>
          <w:sz w:val="20"/>
          <w:szCs w:val="20"/>
          <w:lang w:val="es-CR"/>
        </w:rPr>
        <w:t xml:space="preserve"> a </w:t>
      </w:r>
      <w:r w:rsidRPr="00C66632">
        <w:rPr>
          <w:rFonts w:ascii="Verdana" w:hAnsi="Verdana" w:cs="Times New Roman"/>
          <w:sz w:val="20"/>
          <w:szCs w:val="20"/>
          <w:lang w:val="es-CR"/>
        </w:rPr>
        <w:lastRenderedPageBreak/>
        <w:t>este tipo de daño</w:t>
      </w:r>
      <w:r w:rsidRPr="00BD721F">
        <w:rPr>
          <w:rStyle w:val="Refdenotaalpie"/>
          <w:rFonts w:ascii="Verdana" w:hAnsi="Verdana"/>
          <w:sz w:val="20"/>
          <w:szCs w:val="20"/>
        </w:rPr>
        <w:footnoteReference w:id="548"/>
      </w:r>
      <w:r w:rsidRPr="00BD721F">
        <w:rPr>
          <w:rFonts w:ascii="Verdana" w:hAnsi="Verdana" w:cs="Times New Roman"/>
          <w:sz w:val="20"/>
          <w:szCs w:val="20"/>
          <w:lang w:val="es-CR"/>
        </w:rPr>
        <w:t xml:space="preserve">. </w:t>
      </w:r>
    </w:p>
    <w:p w14:paraId="5D16AC6F" w14:textId="7A7224A6"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CR"/>
        </w:rPr>
        <w:t xml:space="preserve">En la presente Sentencia se acreditaron diversas violaciones en perjuicio de los distintos grupos familiares, particularmente de los derechos reconocidos en los artículos 5, 22 y 17, </w:t>
      </w:r>
      <w:r w:rsidR="001563AF" w:rsidRPr="00432ABC">
        <w:rPr>
          <w:rFonts w:ascii="Verdana" w:hAnsi="Verdana" w:cs="Times New Roman"/>
          <w:sz w:val="20"/>
          <w:szCs w:val="20"/>
          <w:lang w:val="es-CR"/>
        </w:rPr>
        <w:t xml:space="preserve">ocasionado particularmente pérdida de oportunidades y de desarrollo derivadas principalmente del desplazamiento forzado; ello como daño cierto, de gran impacto, adicional a otras afectaciones económicas o psicológicas, y </w:t>
      </w:r>
      <w:r w:rsidR="00F55FBB" w:rsidRPr="00432ABC">
        <w:rPr>
          <w:rFonts w:ascii="Verdana" w:hAnsi="Verdana" w:cs="Times New Roman"/>
          <w:sz w:val="20"/>
          <w:szCs w:val="20"/>
          <w:lang w:val="es-CR"/>
        </w:rPr>
        <w:t xml:space="preserve">éste </w:t>
      </w:r>
      <w:r w:rsidR="001563AF" w:rsidRPr="00432ABC">
        <w:rPr>
          <w:rFonts w:ascii="Verdana" w:hAnsi="Verdana" w:cs="Times New Roman"/>
          <w:sz w:val="20"/>
          <w:szCs w:val="20"/>
          <w:lang w:val="es-CR"/>
        </w:rPr>
        <w:t>cuenta aún con aspectos reparables</w:t>
      </w:r>
      <w:r w:rsidRPr="00432ABC">
        <w:rPr>
          <w:rFonts w:ascii="Verdana" w:hAnsi="Verdana" w:cs="Times New Roman"/>
          <w:sz w:val="20"/>
          <w:szCs w:val="20"/>
          <w:lang w:val="es-CR"/>
        </w:rPr>
        <w:t xml:space="preserve">. En este sentido, la Corte toma nota de los proyectos reportados por el Estado, en particular del </w:t>
      </w:r>
      <w:r w:rsidR="00705E91">
        <w:rPr>
          <w:rFonts w:ascii="Verdana" w:eastAsiaTheme="minorHAnsi" w:hAnsi="Verdana" w:cs="Times New Roman"/>
          <w:sz w:val="20"/>
          <w:szCs w:val="20"/>
          <w:lang w:val="es-CR"/>
        </w:rPr>
        <w:t>f</w:t>
      </w:r>
      <w:r w:rsidRPr="002C462C">
        <w:rPr>
          <w:rFonts w:ascii="Verdana" w:eastAsiaTheme="minorHAnsi" w:hAnsi="Verdana" w:cs="Times New Roman"/>
          <w:sz w:val="20"/>
          <w:szCs w:val="20"/>
          <w:lang w:val="es-CR"/>
        </w:rPr>
        <w:t xml:space="preserve">ideicomiso denominado </w:t>
      </w:r>
      <w:r w:rsidR="00705E91">
        <w:rPr>
          <w:rFonts w:ascii="Verdana" w:eastAsiaTheme="minorHAnsi" w:hAnsi="Verdana" w:cs="Times New Roman"/>
          <w:sz w:val="20"/>
          <w:szCs w:val="20"/>
          <w:lang w:val="es-CR"/>
        </w:rPr>
        <w:t>“</w:t>
      </w:r>
      <w:r w:rsidRPr="008D0846">
        <w:rPr>
          <w:rFonts w:ascii="Verdana" w:eastAsiaTheme="minorHAnsi" w:hAnsi="Verdana" w:cs="Times New Roman"/>
          <w:i/>
          <w:sz w:val="20"/>
          <w:szCs w:val="20"/>
          <w:lang w:val="es-CR"/>
        </w:rPr>
        <w:t xml:space="preserve">Fondo de Atención a Niños y Niñas hijos de </w:t>
      </w:r>
      <w:r w:rsidR="00705E91" w:rsidRPr="008D0846">
        <w:rPr>
          <w:rFonts w:ascii="Verdana" w:eastAsiaTheme="minorHAnsi" w:hAnsi="Verdana" w:cs="Times New Roman"/>
          <w:i/>
          <w:sz w:val="20"/>
          <w:szCs w:val="20"/>
          <w:lang w:val="es-CR"/>
        </w:rPr>
        <w:t>V</w:t>
      </w:r>
      <w:r w:rsidRPr="008D0846">
        <w:rPr>
          <w:rFonts w:ascii="Verdana" w:eastAsiaTheme="minorHAnsi" w:hAnsi="Verdana" w:cs="Times New Roman"/>
          <w:i/>
          <w:sz w:val="20"/>
          <w:szCs w:val="20"/>
          <w:lang w:val="es-CR"/>
        </w:rPr>
        <w:t>íctimas de la Lucha contra el Crimen</w:t>
      </w:r>
      <w:r w:rsidR="00705E91" w:rsidRPr="008D0846">
        <w:rPr>
          <w:rFonts w:ascii="Verdana" w:eastAsiaTheme="minorHAnsi" w:hAnsi="Verdana" w:cs="Times New Roman"/>
          <w:i/>
          <w:sz w:val="20"/>
          <w:szCs w:val="20"/>
          <w:lang w:val="es-CR"/>
        </w:rPr>
        <w:t>”</w:t>
      </w:r>
      <w:r w:rsidRPr="008D0846">
        <w:rPr>
          <w:rFonts w:ascii="Verdana" w:eastAsiaTheme="minorHAnsi" w:hAnsi="Verdana" w:cs="Times New Roman"/>
          <w:i/>
          <w:sz w:val="20"/>
          <w:szCs w:val="20"/>
          <w:lang w:val="es-CR"/>
        </w:rPr>
        <w:t xml:space="preserve">, y los apoyos otorgados en el marco del </w:t>
      </w:r>
      <w:r w:rsidR="00705E91" w:rsidRPr="008D0846">
        <w:rPr>
          <w:rFonts w:ascii="Verdana" w:eastAsiaTheme="minorHAnsi" w:hAnsi="Verdana" w:cs="Times New Roman"/>
          <w:i/>
          <w:sz w:val="20"/>
          <w:szCs w:val="20"/>
          <w:lang w:val="es-CR"/>
        </w:rPr>
        <w:t>“</w:t>
      </w:r>
      <w:r w:rsidRPr="008D0846">
        <w:rPr>
          <w:rFonts w:ascii="Verdana" w:eastAsiaTheme="minorHAnsi" w:hAnsi="Verdana" w:cs="Times New Roman"/>
          <w:i/>
          <w:sz w:val="20"/>
          <w:szCs w:val="20"/>
          <w:lang w:val="es-CR"/>
        </w:rPr>
        <w:t xml:space="preserve">Programa de Autoempleo del </w:t>
      </w:r>
      <w:r w:rsidR="00705E91" w:rsidRPr="008D0846">
        <w:rPr>
          <w:rFonts w:ascii="Verdana" w:eastAsiaTheme="minorHAnsi" w:hAnsi="Verdana" w:cs="Times New Roman"/>
          <w:i/>
          <w:sz w:val="20"/>
          <w:szCs w:val="20"/>
          <w:lang w:val="es-CR"/>
        </w:rPr>
        <w:t>G</w:t>
      </w:r>
      <w:r w:rsidRPr="008D0846">
        <w:rPr>
          <w:rFonts w:ascii="Verdana" w:eastAsiaTheme="minorHAnsi" w:hAnsi="Verdana" w:cs="Times New Roman"/>
          <w:i/>
          <w:sz w:val="20"/>
          <w:szCs w:val="20"/>
          <w:lang w:val="es-CR"/>
        </w:rPr>
        <w:t xml:space="preserve">obierno del Estado de Chihuahua </w:t>
      </w:r>
      <w:r w:rsidR="00705E91" w:rsidRPr="008D0846">
        <w:rPr>
          <w:rFonts w:ascii="Verdana" w:eastAsiaTheme="minorHAnsi" w:hAnsi="Verdana" w:cs="Times New Roman"/>
          <w:i/>
          <w:sz w:val="20"/>
          <w:szCs w:val="20"/>
          <w:lang w:val="es-CR"/>
        </w:rPr>
        <w:t>‘</w:t>
      </w:r>
      <w:r w:rsidRPr="008D0846">
        <w:rPr>
          <w:rFonts w:ascii="Verdana" w:eastAsiaTheme="minorHAnsi" w:hAnsi="Verdana" w:cs="Times New Roman"/>
          <w:i/>
          <w:sz w:val="20"/>
          <w:szCs w:val="20"/>
          <w:lang w:val="es-CR"/>
        </w:rPr>
        <w:t>PAGECH</w:t>
      </w:r>
      <w:r w:rsidR="00705E91" w:rsidRPr="008D0846">
        <w:rPr>
          <w:rFonts w:ascii="Verdana" w:eastAsiaTheme="minorHAnsi" w:hAnsi="Verdana" w:cs="Times New Roman"/>
          <w:i/>
          <w:sz w:val="20"/>
          <w:szCs w:val="20"/>
          <w:lang w:val="es-CR"/>
        </w:rPr>
        <w:t>’</w:t>
      </w:r>
      <w:r w:rsidRPr="008D0846">
        <w:rPr>
          <w:rFonts w:ascii="Verdana" w:eastAsiaTheme="minorHAnsi" w:hAnsi="Verdana" w:cs="Times New Roman"/>
          <w:i/>
          <w:sz w:val="20"/>
          <w:szCs w:val="20"/>
          <w:lang w:val="es-CR"/>
        </w:rPr>
        <w:t>”.</w:t>
      </w:r>
      <w:r w:rsidRPr="002C462C">
        <w:rPr>
          <w:rFonts w:ascii="Verdana" w:eastAsiaTheme="minorHAnsi" w:hAnsi="Verdana" w:cs="Times New Roman"/>
          <w:sz w:val="20"/>
          <w:szCs w:val="20"/>
          <w:lang w:val="es-CR"/>
        </w:rPr>
        <w:t xml:space="preserve"> En atención a lo anterior, solicita al Estado que </w:t>
      </w:r>
      <w:r w:rsidR="00D50465" w:rsidRPr="00744CE4">
        <w:rPr>
          <w:rFonts w:ascii="Verdana" w:eastAsiaTheme="minorHAnsi" w:hAnsi="Verdana" w:cs="Times New Roman"/>
          <w:sz w:val="20"/>
          <w:szCs w:val="20"/>
          <w:lang w:val="es-CR"/>
        </w:rPr>
        <w:t xml:space="preserve">disponga </w:t>
      </w:r>
      <w:r w:rsidRPr="00744CE4">
        <w:rPr>
          <w:rFonts w:ascii="Verdana" w:eastAsiaTheme="minorHAnsi" w:hAnsi="Verdana" w:cs="Times New Roman"/>
          <w:sz w:val="20"/>
          <w:szCs w:val="20"/>
          <w:lang w:val="es-CR"/>
        </w:rPr>
        <w:t>a las dependencias correspondientes para que,</w:t>
      </w:r>
      <w:r w:rsidR="00D50465" w:rsidRPr="00744CE4">
        <w:rPr>
          <w:rFonts w:ascii="Verdana" w:eastAsiaTheme="minorHAnsi" w:hAnsi="Verdana" w:cs="Times New Roman"/>
          <w:sz w:val="20"/>
          <w:szCs w:val="20"/>
          <w:lang w:val="es-CR"/>
        </w:rPr>
        <w:t xml:space="preserve"> a su vez y</w:t>
      </w:r>
      <w:r w:rsidRPr="00744CE4">
        <w:rPr>
          <w:rFonts w:ascii="Verdana" w:eastAsiaTheme="minorHAnsi" w:hAnsi="Verdana" w:cs="Times New Roman"/>
          <w:sz w:val="20"/>
          <w:szCs w:val="20"/>
          <w:lang w:val="es-CR"/>
        </w:rPr>
        <w:t xml:space="preserve"> a través de estos programas u otros de naturaleza</w:t>
      </w:r>
      <w:r w:rsidR="00705E91">
        <w:rPr>
          <w:rFonts w:ascii="Verdana" w:eastAsiaTheme="minorHAnsi" w:hAnsi="Verdana" w:cs="Times New Roman"/>
          <w:sz w:val="20"/>
          <w:szCs w:val="20"/>
          <w:lang w:val="es-CR"/>
        </w:rPr>
        <w:t xml:space="preserve"> similar</w:t>
      </w:r>
      <w:r w:rsidRPr="00744CE4">
        <w:rPr>
          <w:rFonts w:ascii="Verdana" w:eastAsiaTheme="minorHAnsi" w:hAnsi="Verdana" w:cs="Times New Roman"/>
          <w:sz w:val="20"/>
          <w:szCs w:val="20"/>
          <w:lang w:val="es-CR"/>
        </w:rPr>
        <w:t>, así como la Ley General de Víctimas, brinden a los familiares</w:t>
      </w:r>
      <w:r w:rsidR="00D50465" w:rsidRPr="00744CE4">
        <w:rPr>
          <w:rFonts w:ascii="Verdana" w:eastAsiaTheme="minorHAnsi" w:hAnsi="Verdana" w:cs="Times New Roman"/>
          <w:sz w:val="20"/>
          <w:szCs w:val="20"/>
          <w:lang w:val="es-CR"/>
        </w:rPr>
        <w:t>,</w:t>
      </w:r>
      <w:r w:rsidRPr="00744CE4">
        <w:rPr>
          <w:rFonts w:ascii="Verdana" w:eastAsiaTheme="minorHAnsi" w:hAnsi="Verdana" w:cs="Times New Roman"/>
          <w:sz w:val="20"/>
          <w:szCs w:val="20"/>
          <w:lang w:val="es-CR"/>
        </w:rPr>
        <w:t xml:space="preserve"> que así lo soliciten, </w:t>
      </w:r>
      <w:r w:rsidR="000A5FEA" w:rsidRPr="00744CE4">
        <w:rPr>
          <w:rFonts w:ascii="Verdana" w:eastAsiaTheme="minorHAnsi" w:hAnsi="Verdana" w:cs="Times New Roman"/>
          <w:sz w:val="20"/>
          <w:szCs w:val="20"/>
          <w:lang w:val="es-CR"/>
        </w:rPr>
        <w:t xml:space="preserve">se </w:t>
      </w:r>
      <w:r w:rsidR="00D50465" w:rsidRPr="00744CE4">
        <w:rPr>
          <w:rFonts w:ascii="Verdana" w:eastAsiaTheme="minorHAnsi" w:hAnsi="Verdana" w:cs="Times New Roman"/>
          <w:sz w:val="20"/>
          <w:szCs w:val="20"/>
          <w:lang w:val="es-CR"/>
        </w:rPr>
        <w:t>incluyan</w:t>
      </w:r>
      <w:r w:rsidRPr="00744CE4">
        <w:rPr>
          <w:rFonts w:ascii="Verdana" w:eastAsiaTheme="minorHAnsi" w:hAnsi="Verdana" w:cs="Times New Roman"/>
          <w:sz w:val="20"/>
          <w:szCs w:val="20"/>
          <w:lang w:val="es-CR"/>
        </w:rPr>
        <w:t xml:space="preserve"> en dichos programas o beneficios con la intención de contribuir a reparar su proyecto de vida. La anterior solicitud deberá realizarse en el plazo de seis meses a partir de la notificación de la presente Sentencia. En el plazo de un año, el Estado deberá informar a esta Corte sobre los resultados alcanzados. </w:t>
      </w:r>
    </w:p>
    <w:p w14:paraId="7EA0C1EA" w14:textId="09B0776D" w:rsidR="009114A1" w:rsidRPr="00744CE4" w:rsidRDefault="00556FDB">
      <w:pPr>
        <w:pStyle w:val="Prrafodelista"/>
        <w:keepNext/>
        <w:keepLines/>
        <w:numPr>
          <w:ilvl w:val="0"/>
          <w:numId w:val="29"/>
        </w:numPr>
        <w:spacing w:before="120" w:after="120" w:line="240" w:lineRule="auto"/>
        <w:contextualSpacing w:val="0"/>
        <w:jc w:val="both"/>
        <w:outlineLvl w:val="1"/>
        <w:rPr>
          <w:rFonts w:ascii="Verdana" w:eastAsia="Times New Roman" w:hAnsi="Verdana" w:cs="Times New Roman"/>
          <w:b/>
          <w:bCs/>
          <w:i/>
          <w:sz w:val="20"/>
          <w:szCs w:val="20"/>
          <w:lang w:val="es-ES"/>
        </w:rPr>
      </w:pPr>
      <w:bookmarkStart w:id="382" w:name="_Toc526777520"/>
      <w:bookmarkStart w:id="383" w:name="_Toc526783826"/>
      <w:r>
        <w:rPr>
          <w:rFonts w:ascii="Verdana" w:eastAsia="Times New Roman" w:hAnsi="Verdana" w:cs="Times New Roman"/>
          <w:b/>
          <w:bCs/>
          <w:i/>
          <w:sz w:val="20"/>
          <w:szCs w:val="20"/>
          <w:lang w:val="es-ES"/>
        </w:rPr>
        <w:t xml:space="preserve"> </w:t>
      </w:r>
      <w:bookmarkStart w:id="384" w:name="_Toc532995408"/>
      <w:r w:rsidR="009114A1" w:rsidRPr="00744CE4">
        <w:rPr>
          <w:rFonts w:ascii="Verdana" w:eastAsia="Times New Roman" w:hAnsi="Verdana" w:cs="Times New Roman"/>
          <w:b/>
          <w:bCs/>
          <w:i/>
          <w:sz w:val="20"/>
          <w:szCs w:val="20"/>
          <w:lang w:val="es-ES"/>
        </w:rPr>
        <w:t>Garantías de no repetición</w:t>
      </w:r>
      <w:bookmarkEnd w:id="382"/>
      <w:bookmarkEnd w:id="383"/>
      <w:bookmarkEnd w:id="384"/>
      <w:r w:rsidR="009114A1" w:rsidRPr="00744CE4">
        <w:rPr>
          <w:rFonts w:ascii="Verdana" w:eastAsia="Times New Roman" w:hAnsi="Verdana" w:cs="Times New Roman"/>
          <w:b/>
          <w:bCs/>
          <w:i/>
          <w:sz w:val="20"/>
          <w:szCs w:val="20"/>
          <w:lang w:val="es-ES"/>
        </w:rPr>
        <w:t xml:space="preserve"> </w:t>
      </w:r>
    </w:p>
    <w:p w14:paraId="38E7F23A" w14:textId="5C71927B"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heme="minorHAnsi" w:hAnsi="Verdana" w:cs="Times New Roman"/>
          <w:sz w:val="20"/>
          <w:szCs w:val="20"/>
          <w:lang w:val="es-CR"/>
        </w:rPr>
      </w:pPr>
      <w:r w:rsidRPr="00744CE4">
        <w:rPr>
          <w:rFonts w:ascii="Verdana" w:hAnsi="Verdana" w:cs="Times New Roman"/>
          <w:sz w:val="20"/>
          <w:szCs w:val="20"/>
          <w:lang w:val="es-AR"/>
        </w:rPr>
        <w:t xml:space="preserve">La </w:t>
      </w:r>
      <w:r w:rsidRPr="00744CE4">
        <w:rPr>
          <w:rFonts w:ascii="Verdana" w:hAnsi="Verdana" w:cs="Times New Roman"/>
          <w:b/>
          <w:i/>
          <w:sz w:val="20"/>
          <w:szCs w:val="20"/>
          <w:lang w:val="es-AR"/>
        </w:rPr>
        <w:t>Comisión</w:t>
      </w:r>
      <w:r w:rsidRPr="00744CE4">
        <w:rPr>
          <w:rFonts w:ascii="Verdana" w:hAnsi="Verdana" w:cs="Times New Roman"/>
          <w:sz w:val="20"/>
          <w:szCs w:val="20"/>
          <w:lang w:val="es-AR"/>
        </w:rPr>
        <w:t xml:space="preserve"> por su parte</w:t>
      </w:r>
      <w:r w:rsidRPr="00744CE4">
        <w:rPr>
          <w:rFonts w:ascii="Verdana" w:hAnsi="Verdana" w:cs="Times New Roman"/>
          <w:sz w:val="20"/>
          <w:szCs w:val="20"/>
          <w:lang w:val="es-EC"/>
        </w:rPr>
        <w:t xml:space="preserve"> exhortó a adoptar medidas de no repetición necesarias para evitar que en el futuro se produzcan hechos similares, dentro de las cuales solicitaron incluir medidas legislativas, administrativas y de otra índole para: i) responder a la problemática de la desaparición forzada en México y su especial incidencia en el Estado de Chihuahua; ii) fortalecer la capacidad investigativa de casos de desaparición forzada de personas y atender los factores estructurales generadores de impunidad en estos casos, y iii) asegurar que las autoridades de la justicia penal militar se abstengan de obstaculizar investigaciones en casos de desaparición forzad</w:t>
      </w:r>
      <w:r w:rsidRPr="00291637">
        <w:rPr>
          <w:rFonts w:ascii="Verdana" w:hAnsi="Verdana" w:cs="Times New Roman"/>
          <w:sz w:val="20"/>
          <w:szCs w:val="20"/>
          <w:lang w:val="es-EC"/>
        </w:rPr>
        <w:t>a</w:t>
      </w:r>
      <w:r w:rsidR="00291637" w:rsidRPr="00291637">
        <w:rPr>
          <w:rFonts w:ascii="Verdana" w:hAnsi="Verdana" w:cs="Times New Roman"/>
          <w:sz w:val="20"/>
          <w:szCs w:val="20"/>
          <w:lang w:val="es-EC"/>
        </w:rPr>
        <w:t>.</w:t>
      </w:r>
    </w:p>
    <w:p w14:paraId="1F14D702" w14:textId="3B3A09B2"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744CE4">
        <w:rPr>
          <w:rFonts w:ascii="Verdana" w:eastAsia="Times New Roman" w:hAnsi="Verdana" w:cs="Times New Roman"/>
          <w:sz w:val="20"/>
          <w:szCs w:val="20"/>
          <w:lang w:val="es-ES"/>
        </w:rPr>
        <w:t xml:space="preserve">Las </w:t>
      </w:r>
      <w:r w:rsidRPr="00744CE4">
        <w:rPr>
          <w:rFonts w:ascii="Verdana" w:eastAsia="Times New Roman" w:hAnsi="Verdana" w:cs="Times New Roman"/>
          <w:b/>
          <w:i/>
          <w:sz w:val="20"/>
          <w:szCs w:val="20"/>
          <w:lang w:val="es-ES"/>
        </w:rPr>
        <w:t>Representantes</w:t>
      </w:r>
      <w:r w:rsidRPr="00744CE4">
        <w:rPr>
          <w:rFonts w:ascii="Verdana" w:eastAsia="Times New Roman" w:hAnsi="Verdana" w:cs="Times New Roman"/>
          <w:sz w:val="20"/>
          <w:szCs w:val="20"/>
          <w:lang w:val="es-ES"/>
        </w:rPr>
        <w:t>, solicitaron como medidas de no repetición: i) legislación adecuada y no violatoria de derechos humanos en materia de desaparición y búsqueda de personas</w:t>
      </w:r>
      <w:r w:rsidRPr="00744CE4">
        <w:rPr>
          <w:rStyle w:val="Refdenotaalpie"/>
          <w:rFonts w:ascii="Verdana" w:eastAsia="Times New Roman" w:hAnsi="Verdana"/>
          <w:sz w:val="20"/>
          <w:szCs w:val="20"/>
          <w:lang w:val="es-ES"/>
        </w:rPr>
        <w:footnoteReference w:id="549"/>
      </w:r>
      <w:r w:rsidRPr="00744CE4">
        <w:rPr>
          <w:rFonts w:ascii="Verdana" w:eastAsia="Times New Roman" w:hAnsi="Verdana" w:cs="Times New Roman"/>
          <w:sz w:val="20"/>
          <w:szCs w:val="20"/>
          <w:lang w:val="es-ES"/>
        </w:rPr>
        <w:t>; ii) armonizar las disposiciones de la Ley de Amparo con la L</w:t>
      </w:r>
      <w:r w:rsidR="00705E91">
        <w:rPr>
          <w:rFonts w:ascii="Verdana" w:eastAsia="Times New Roman" w:hAnsi="Verdana" w:cs="Times New Roman"/>
          <w:sz w:val="20"/>
          <w:szCs w:val="20"/>
          <w:lang w:val="es-ES"/>
        </w:rPr>
        <w:t xml:space="preserve">ey </w:t>
      </w:r>
      <w:r w:rsidRPr="00744CE4">
        <w:rPr>
          <w:rFonts w:ascii="Verdana" w:eastAsia="Times New Roman" w:hAnsi="Verdana" w:cs="Times New Roman"/>
          <w:sz w:val="20"/>
          <w:szCs w:val="20"/>
          <w:lang w:val="es-ES"/>
        </w:rPr>
        <w:t>G</w:t>
      </w:r>
      <w:r w:rsidR="00705E91">
        <w:rPr>
          <w:rFonts w:ascii="Verdana" w:eastAsia="Times New Roman" w:hAnsi="Verdana" w:cs="Times New Roman"/>
          <w:sz w:val="20"/>
          <w:szCs w:val="20"/>
          <w:lang w:val="es-ES"/>
        </w:rPr>
        <w:t xml:space="preserve">eneral </w:t>
      </w:r>
      <w:r w:rsidR="00CE4C5A">
        <w:rPr>
          <w:rFonts w:ascii="Verdana" w:eastAsia="Times New Roman" w:hAnsi="Verdana" w:cs="Times New Roman"/>
          <w:sz w:val="20"/>
          <w:szCs w:val="20"/>
          <w:lang w:val="es-ES"/>
        </w:rPr>
        <w:t xml:space="preserve">sobre </w:t>
      </w:r>
      <w:r w:rsidRPr="00744CE4">
        <w:rPr>
          <w:rFonts w:ascii="Verdana" w:eastAsia="Times New Roman" w:hAnsi="Verdana" w:cs="Times New Roman"/>
          <w:sz w:val="20"/>
          <w:szCs w:val="20"/>
          <w:lang w:val="es-ES"/>
        </w:rPr>
        <w:t>D</w:t>
      </w:r>
      <w:r w:rsidR="00CE4C5A">
        <w:rPr>
          <w:rFonts w:ascii="Verdana" w:eastAsia="Times New Roman" w:hAnsi="Verdana" w:cs="Times New Roman"/>
          <w:sz w:val="20"/>
          <w:szCs w:val="20"/>
          <w:lang w:val="es-ES"/>
        </w:rPr>
        <w:t>esaparici</w:t>
      </w:r>
      <w:r w:rsidR="00D20A59">
        <w:rPr>
          <w:rFonts w:ascii="Verdana" w:eastAsia="Times New Roman" w:hAnsi="Verdana" w:cs="Times New Roman"/>
          <w:sz w:val="20"/>
          <w:szCs w:val="20"/>
          <w:lang w:val="es-ES"/>
        </w:rPr>
        <w:t xml:space="preserve">ón Forzada de Personas </w:t>
      </w:r>
      <w:r w:rsidR="003402A1">
        <w:rPr>
          <w:rFonts w:ascii="Verdana" w:eastAsia="Times New Roman" w:hAnsi="Verdana" w:cs="Times New Roman"/>
          <w:sz w:val="20"/>
          <w:szCs w:val="20"/>
          <w:lang w:val="es-ES"/>
        </w:rPr>
        <w:t xml:space="preserve">[sic] </w:t>
      </w:r>
      <w:r w:rsidR="00DD4570">
        <w:rPr>
          <w:rFonts w:ascii="Verdana" w:eastAsia="Times New Roman" w:hAnsi="Verdana" w:cs="Times New Roman"/>
          <w:sz w:val="20"/>
          <w:szCs w:val="20"/>
          <w:lang w:val="es-ES"/>
        </w:rPr>
        <w:t xml:space="preserve">(en lo sucesivo, “LGDFP”) </w:t>
      </w:r>
      <w:r w:rsidRPr="00744CE4">
        <w:rPr>
          <w:rFonts w:ascii="Verdana" w:eastAsia="Times New Roman" w:hAnsi="Verdana" w:cs="Times New Roman"/>
          <w:sz w:val="20"/>
          <w:szCs w:val="20"/>
          <w:lang w:val="es-ES"/>
        </w:rPr>
        <w:t xml:space="preserve">y, en general, asegurar que los jueces de </w:t>
      </w:r>
      <w:r w:rsidR="00291637">
        <w:rPr>
          <w:rFonts w:ascii="Verdana" w:eastAsia="Times New Roman" w:hAnsi="Verdana" w:cs="Times New Roman"/>
          <w:sz w:val="20"/>
          <w:szCs w:val="20"/>
          <w:lang w:val="es-ES"/>
        </w:rPr>
        <w:t>d</w:t>
      </w:r>
      <w:r w:rsidRPr="00744CE4">
        <w:rPr>
          <w:rFonts w:ascii="Verdana" w:eastAsia="Times New Roman" w:hAnsi="Verdana" w:cs="Times New Roman"/>
          <w:sz w:val="20"/>
          <w:szCs w:val="20"/>
          <w:lang w:val="es-ES"/>
        </w:rPr>
        <w:t>istrito cuenten con recursos para emprender operaciones de búsqueda eficaces, que no se limiten a la tramitación de oficios administrativos</w:t>
      </w:r>
      <w:r w:rsidR="00CE4C5A" w:rsidRPr="008D0846">
        <w:rPr>
          <w:rFonts w:ascii="Verdana" w:eastAsia="Times New Roman" w:hAnsi="Verdana" w:cs="Times New Roman"/>
          <w:sz w:val="20"/>
          <w:szCs w:val="20"/>
          <w:lang w:val="es-ES"/>
        </w:rPr>
        <w:t>;</w:t>
      </w:r>
      <w:r w:rsidRPr="00432ABC">
        <w:rPr>
          <w:rFonts w:ascii="Verdana" w:eastAsia="Times New Roman" w:hAnsi="Verdana" w:cs="Times New Roman"/>
          <w:b/>
          <w:sz w:val="20"/>
          <w:szCs w:val="20"/>
          <w:lang w:val="es-ES"/>
        </w:rPr>
        <w:t xml:space="preserve"> </w:t>
      </w:r>
      <w:r w:rsidR="00CE4C5A">
        <w:rPr>
          <w:rFonts w:ascii="Verdana" w:eastAsia="Times New Roman" w:hAnsi="Verdana" w:cs="Times New Roman"/>
          <w:sz w:val="20"/>
          <w:szCs w:val="20"/>
          <w:lang w:val="es-ES"/>
        </w:rPr>
        <w:t>i</w:t>
      </w:r>
      <w:r w:rsidRPr="00432ABC">
        <w:rPr>
          <w:rFonts w:ascii="Verdana" w:eastAsia="Times New Roman" w:hAnsi="Verdana" w:cs="Times New Roman"/>
          <w:sz w:val="20"/>
          <w:szCs w:val="20"/>
          <w:lang w:val="es-ES"/>
        </w:rPr>
        <w:t xml:space="preserve">ii) adecuación del </w:t>
      </w:r>
      <w:r w:rsidRPr="00432ABC">
        <w:rPr>
          <w:rFonts w:ascii="Verdana" w:hAnsi="Verdana" w:cs="Times New Roman"/>
          <w:sz w:val="20"/>
          <w:szCs w:val="20"/>
          <w:lang w:val="es-EC"/>
        </w:rPr>
        <w:t xml:space="preserve">Registro Nacional de Datos de Personas Extraviadas o Desaparecidas (adelante, </w:t>
      </w:r>
      <w:r w:rsidR="00206971">
        <w:rPr>
          <w:rFonts w:ascii="Verdana" w:hAnsi="Verdana" w:cs="Times New Roman"/>
          <w:sz w:val="20"/>
          <w:szCs w:val="20"/>
          <w:lang w:val="es-EC"/>
        </w:rPr>
        <w:t>“</w:t>
      </w:r>
      <w:r w:rsidRPr="00432ABC">
        <w:rPr>
          <w:rFonts w:ascii="Verdana" w:hAnsi="Verdana" w:cs="Times New Roman"/>
          <w:sz w:val="20"/>
          <w:szCs w:val="20"/>
          <w:lang w:val="es-EC"/>
        </w:rPr>
        <w:t>RNPED</w:t>
      </w:r>
      <w:r w:rsidR="00206971">
        <w:rPr>
          <w:rFonts w:ascii="Verdana" w:hAnsi="Verdana" w:cs="Times New Roman"/>
          <w:sz w:val="20"/>
          <w:szCs w:val="20"/>
          <w:lang w:val="es-EC"/>
        </w:rPr>
        <w:t>”</w:t>
      </w:r>
      <w:r w:rsidRPr="00432ABC">
        <w:rPr>
          <w:rFonts w:ascii="Verdana" w:hAnsi="Verdana" w:cs="Times New Roman"/>
          <w:sz w:val="20"/>
          <w:szCs w:val="20"/>
          <w:lang w:val="es-EC"/>
        </w:rPr>
        <w:t>)</w:t>
      </w:r>
      <w:r w:rsidRPr="00744CE4">
        <w:rPr>
          <w:rStyle w:val="Refdenotaalpie"/>
          <w:rFonts w:ascii="Verdana" w:eastAsia="Times New Roman" w:hAnsi="Verdana"/>
          <w:sz w:val="20"/>
          <w:szCs w:val="20"/>
          <w:lang w:val="es-ES"/>
        </w:rPr>
        <w:footnoteReference w:id="550"/>
      </w:r>
      <w:r w:rsidRPr="00744CE4">
        <w:rPr>
          <w:rFonts w:ascii="Verdana" w:eastAsia="Times New Roman" w:hAnsi="Verdana" w:cs="Times New Roman"/>
          <w:sz w:val="20"/>
          <w:szCs w:val="20"/>
          <w:lang w:val="es-ES"/>
        </w:rPr>
        <w:t xml:space="preserve"> para que se cumplan los criterios y recomendaciones que diversos organismos internacionales han señalado,</w:t>
      </w:r>
      <w:r w:rsidRPr="00744CE4">
        <w:rPr>
          <w:rFonts w:ascii="Verdana" w:hAnsi="Verdana" w:cs="Times New Roman"/>
          <w:sz w:val="20"/>
          <w:szCs w:val="20"/>
          <w:lang w:val="es-EC"/>
        </w:rPr>
        <w:t xml:space="preserve"> esto con el objetivo de que se identifique </w:t>
      </w:r>
      <w:r w:rsidR="00CE4C5A">
        <w:rPr>
          <w:rFonts w:ascii="Verdana" w:hAnsi="Verdana" w:cs="Times New Roman"/>
          <w:sz w:val="20"/>
          <w:szCs w:val="20"/>
          <w:lang w:val="es-EC"/>
        </w:rPr>
        <w:t>en qué casos de trata de</w:t>
      </w:r>
      <w:r w:rsidR="00CE4C5A" w:rsidRPr="00744CE4">
        <w:rPr>
          <w:rFonts w:ascii="Verdana" w:hAnsi="Verdana" w:cs="Times New Roman"/>
          <w:sz w:val="20"/>
          <w:szCs w:val="20"/>
          <w:lang w:val="es-EC"/>
        </w:rPr>
        <w:t xml:space="preserve"> </w:t>
      </w:r>
      <w:r w:rsidRPr="00744CE4">
        <w:rPr>
          <w:rFonts w:ascii="Verdana" w:hAnsi="Verdana" w:cs="Times New Roman"/>
          <w:sz w:val="20"/>
          <w:szCs w:val="20"/>
          <w:lang w:val="es-EC"/>
        </w:rPr>
        <w:t>desapariciones forzadas</w:t>
      </w:r>
      <w:r w:rsidR="006C7976" w:rsidRPr="008D0846">
        <w:rPr>
          <w:rFonts w:ascii="Verdana" w:hAnsi="Verdana" w:cs="Times New Roman"/>
          <w:sz w:val="20"/>
          <w:szCs w:val="20"/>
          <w:lang w:val="es-EC"/>
        </w:rPr>
        <w:t>,</w:t>
      </w:r>
      <w:r w:rsidR="006C7976">
        <w:rPr>
          <w:rFonts w:ascii="Verdana" w:hAnsi="Verdana" w:cs="Times New Roman"/>
          <w:b/>
          <w:sz w:val="20"/>
          <w:szCs w:val="20"/>
          <w:lang w:val="es-EC"/>
        </w:rPr>
        <w:t xml:space="preserve"> </w:t>
      </w:r>
      <w:r w:rsidR="006C7976" w:rsidRPr="008D0846">
        <w:rPr>
          <w:rFonts w:ascii="Verdana" w:hAnsi="Verdana" w:cs="Times New Roman"/>
          <w:sz w:val="20"/>
          <w:szCs w:val="20"/>
          <w:lang w:val="es-EC"/>
        </w:rPr>
        <w:t>y</w:t>
      </w:r>
      <w:r w:rsidR="006C7976">
        <w:rPr>
          <w:rFonts w:ascii="Verdana" w:hAnsi="Verdana" w:cs="Times New Roman"/>
          <w:sz w:val="20"/>
          <w:szCs w:val="20"/>
          <w:lang w:val="es-EC"/>
        </w:rPr>
        <w:t xml:space="preserve"> </w:t>
      </w:r>
      <w:r w:rsidRPr="00432ABC">
        <w:rPr>
          <w:rFonts w:ascii="Verdana" w:eastAsia="Times New Roman" w:hAnsi="Verdana" w:cs="Times New Roman"/>
          <w:sz w:val="20"/>
          <w:szCs w:val="20"/>
          <w:lang w:val="es-ES"/>
        </w:rPr>
        <w:t>i</w:t>
      </w:r>
      <w:r w:rsidR="00CE4C5A">
        <w:rPr>
          <w:rFonts w:ascii="Verdana" w:eastAsia="Times New Roman" w:hAnsi="Verdana" w:cs="Times New Roman"/>
          <w:sz w:val="20"/>
          <w:szCs w:val="20"/>
          <w:lang w:val="es-ES"/>
        </w:rPr>
        <w:t>v</w:t>
      </w:r>
      <w:r w:rsidRPr="00432ABC">
        <w:rPr>
          <w:rFonts w:ascii="Verdana" w:eastAsia="Times New Roman" w:hAnsi="Verdana" w:cs="Times New Roman"/>
          <w:sz w:val="20"/>
          <w:szCs w:val="20"/>
          <w:lang w:val="es-ES"/>
        </w:rPr>
        <w:t xml:space="preserve">) que el Estado se </w:t>
      </w:r>
      <w:r w:rsidRPr="00432ABC">
        <w:rPr>
          <w:rFonts w:ascii="Verdana" w:eastAsia="Times New Roman" w:hAnsi="Verdana" w:cs="Times New Roman"/>
          <w:sz w:val="20"/>
          <w:szCs w:val="20"/>
          <w:lang w:val="es-ES"/>
        </w:rPr>
        <w:lastRenderedPageBreak/>
        <w:t>abstenga de continuar las discusiones relacionadas con la emisión de una Ley</w:t>
      </w:r>
      <w:r w:rsidRPr="002C462C">
        <w:rPr>
          <w:rFonts w:ascii="Verdana" w:eastAsia="Times New Roman" w:hAnsi="Verdana" w:cs="Times New Roman"/>
          <w:sz w:val="20"/>
          <w:szCs w:val="20"/>
          <w:lang w:val="es-ES"/>
        </w:rPr>
        <w:t xml:space="preserve"> de Seguridad Interior</w:t>
      </w:r>
      <w:r w:rsidRPr="00744CE4">
        <w:rPr>
          <w:rStyle w:val="Refdenotaalpie"/>
          <w:rFonts w:ascii="Verdana" w:eastAsia="Times New Roman" w:hAnsi="Verdana"/>
          <w:sz w:val="20"/>
          <w:szCs w:val="20"/>
          <w:lang w:val="es-ES"/>
        </w:rPr>
        <w:footnoteReference w:id="551"/>
      </w:r>
      <w:r w:rsidRPr="00744CE4">
        <w:rPr>
          <w:rFonts w:ascii="Verdana" w:eastAsia="Times New Roman" w:hAnsi="Verdana" w:cs="Times New Roman"/>
          <w:sz w:val="20"/>
          <w:szCs w:val="20"/>
          <w:lang w:val="es-ES"/>
        </w:rPr>
        <w:t xml:space="preserve">. </w:t>
      </w:r>
    </w:p>
    <w:p w14:paraId="5D174FC1" w14:textId="327316E6" w:rsidR="00731155"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744CE4">
        <w:rPr>
          <w:rFonts w:ascii="Verdana" w:eastAsia="Times New Roman" w:hAnsi="Verdana" w:cs="Times New Roman"/>
          <w:sz w:val="20"/>
          <w:szCs w:val="20"/>
          <w:lang w:val="es-ES"/>
        </w:rPr>
        <w:t xml:space="preserve">Por su parte, el </w:t>
      </w:r>
      <w:r w:rsidRPr="00744CE4">
        <w:rPr>
          <w:rFonts w:ascii="Verdana" w:eastAsia="Times New Roman" w:hAnsi="Verdana" w:cs="Times New Roman"/>
          <w:b/>
          <w:i/>
          <w:sz w:val="20"/>
          <w:szCs w:val="20"/>
          <w:lang w:val="es-ES"/>
        </w:rPr>
        <w:t>Estado</w:t>
      </w:r>
      <w:r w:rsidRPr="00744CE4">
        <w:rPr>
          <w:rFonts w:ascii="Verdana" w:eastAsia="Times New Roman" w:hAnsi="Verdana" w:cs="Times New Roman"/>
          <w:sz w:val="20"/>
          <w:szCs w:val="20"/>
          <w:lang w:val="es-ES"/>
        </w:rPr>
        <w:t>, reiter</w:t>
      </w:r>
      <w:r w:rsidRPr="00432ABC">
        <w:rPr>
          <w:rFonts w:ascii="Verdana" w:eastAsia="Times New Roman" w:hAnsi="Verdana" w:cs="Times New Roman"/>
          <w:sz w:val="20"/>
          <w:szCs w:val="20"/>
          <w:lang w:val="es-ES"/>
        </w:rPr>
        <w:t>ó que el Estado Mexicano ya cuenta con instrumentos de legislación para adecuar su marco normativo respecto a la desaparición forzada. Del mismo modo, el Estado se refirió a medidas de no repetición solicitadas en cuanto a: i) legislación en materia de amparo,</w:t>
      </w:r>
      <w:r w:rsidRPr="00432ABC">
        <w:rPr>
          <w:rFonts w:ascii="Verdana" w:hAnsi="Verdana" w:cs="Times New Roman"/>
          <w:sz w:val="20"/>
          <w:szCs w:val="20"/>
          <w:lang w:val="es-EC"/>
        </w:rPr>
        <w:t xml:space="preserve"> </w:t>
      </w:r>
      <w:r w:rsidR="006C7976">
        <w:rPr>
          <w:rFonts w:ascii="Verdana" w:hAnsi="Verdana" w:cs="Times New Roman"/>
          <w:sz w:val="20"/>
          <w:szCs w:val="20"/>
          <w:lang w:val="es-EC"/>
        </w:rPr>
        <w:t xml:space="preserve">respecto de la cual </w:t>
      </w:r>
      <w:r w:rsidRPr="00432ABC">
        <w:rPr>
          <w:rFonts w:ascii="Verdana" w:hAnsi="Verdana" w:cs="Times New Roman"/>
          <w:sz w:val="20"/>
          <w:szCs w:val="20"/>
          <w:lang w:val="es-EC"/>
        </w:rPr>
        <w:t>afirmó que con la nueva Ley de Amparo</w:t>
      </w:r>
      <w:r w:rsidRPr="00744CE4">
        <w:rPr>
          <w:rFonts w:ascii="Verdana" w:eastAsia="Calibri" w:hAnsi="Verdana" w:cs="Times New Roman"/>
          <w:sz w:val="20"/>
          <w:szCs w:val="20"/>
          <w:vertAlign w:val="superscript"/>
          <w:lang w:val="es-ES" w:eastAsia="es-ES"/>
        </w:rPr>
        <w:footnoteReference w:id="552"/>
      </w:r>
      <w:r w:rsidRPr="00744CE4">
        <w:rPr>
          <w:rFonts w:ascii="Verdana" w:eastAsia="Calibri" w:hAnsi="Verdana" w:cs="Times New Roman"/>
          <w:sz w:val="20"/>
          <w:szCs w:val="20"/>
          <w:lang w:val="es-ES" w:eastAsia="es-ES"/>
        </w:rPr>
        <w:t xml:space="preserve">, </w:t>
      </w:r>
      <w:r w:rsidRPr="00744CE4">
        <w:rPr>
          <w:rFonts w:ascii="Verdana" w:hAnsi="Verdana" w:cs="Times New Roman"/>
          <w:sz w:val="20"/>
          <w:szCs w:val="20"/>
          <w:lang w:val="es-EC"/>
        </w:rPr>
        <w:t>se estableció un nuevo mecanismo para casos de desaparición, concluyendo el Estado</w:t>
      </w:r>
      <w:r w:rsidR="006C7976">
        <w:rPr>
          <w:rFonts w:ascii="Verdana" w:hAnsi="Verdana" w:cs="Times New Roman"/>
          <w:sz w:val="20"/>
          <w:szCs w:val="20"/>
          <w:lang w:val="es-EC"/>
        </w:rPr>
        <w:t xml:space="preserve"> que se</w:t>
      </w:r>
      <w:r w:rsidRPr="00744CE4">
        <w:rPr>
          <w:rFonts w:ascii="Verdana" w:hAnsi="Verdana" w:cs="Times New Roman"/>
          <w:sz w:val="20"/>
          <w:szCs w:val="20"/>
          <w:lang w:val="es-EC"/>
        </w:rPr>
        <w:t xml:space="preserve"> ha</w:t>
      </w:r>
      <w:r w:rsidR="006C7976">
        <w:rPr>
          <w:rFonts w:ascii="Verdana" w:hAnsi="Verdana" w:cs="Times New Roman"/>
          <w:sz w:val="20"/>
          <w:szCs w:val="20"/>
          <w:lang w:val="es-EC"/>
        </w:rPr>
        <w:t>n</w:t>
      </w:r>
      <w:r w:rsidRPr="00744CE4">
        <w:rPr>
          <w:rFonts w:ascii="Verdana" w:hAnsi="Verdana" w:cs="Times New Roman"/>
          <w:sz w:val="20"/>
          <w:szCs w:val="20"/>
          <w:lang w:val="es-EC"/>
        </w:rPr>
        <w:t xml:space="preserve"> realizado los cambios necesarios en materia de amparo</w:t>
      </w:r>
      <w:r w:rsidRPr="00432ABC">
        <w:rPr>
          <w:rFonts w:ascii="Verdana" w:hAnsi="Verdana" w:cs="Times New Roman"/>
          <w:sz w:val="20"/>
          <w:szCs w:val="20"/>
          <w:lang w:val="es-EC"/>
        </w:rPr>
        <w:t xml:space="preserve"> y desaparición de personas</w:t>
      </w:r>
      <w:r w:rsidRPr="00432ABC">
        <w:rPr>
          <w:rFonts w:ascii="Verdana" w:eastAsia="Times New Roman" w:hAnsi="Verdana" w:cs="Times New Roman"/>
          <w:sz w:val="20"/>
          <w:szCs w:val="20"/>
          <w:lang w:val="es-ES"/>
        </w:rPr>
        <w:t>; ii) respecto de avances en materia de desaparición de personas,</w:t>
      </w:r>
      <w:r w:rsidRPr="002C462C">
        <w:rPr>
          <w:rFonts w:ascii="Verdana" w:hAnsi="Verdana" w:cs="Times New Roman"/>
          <w:sz w:val="20"/>
          <w:szCs w:val="20"/>
          <w:lang w:val="es-EC"/>
        </w:rPr>
        <w:t xml:space="preserve"> destacó que al solicitar las representantes la modificación al RNPED, </w:t>
      </w:r>
      <w:r w:rsidR="00D14F9A">
        <w:rPr>
          <w:rFonts w:ascii="Verdana" w:hAnsi="Verdana" w:cs="Times New Roman"/>
          <w:sz w:val="20"/>
          <w:szCs w:val="20"/>
          <w:lang w:val="es-EC"/>
        </w:rPr>
        <w:t>“</w:t>
      </w:r>
      <w:r w:rsidRPr="002C462C">
        <w:rPr>
          <w:rFonts w:ascii="Verdana" w:hAnsi="Verdana" w:cs="Times New Roman"/>
          <w:sz w:val="20"/>
          <w:szCs w:val="20"/>
          <w:lang w:val="es-EC"/>
        </w:rPr>
        <w:t>para que cumpla con recomendaciones internacionales</w:t>
      </w:r>
      <w:r w:rsidR="00D14F9A">
        <w:rPr>
          <w:rFonts w:ascii="Verdana" w:hAnsi="Verdana" w:cs="Times New Roman"/>
          <w:sz w:val="20"/>
          <w:szCs w:val="20"/>
          <w:lang w:val="es-EC"/>
        </w:rPr>
        <w:t>”</w:t>
      </w:r>
      <w:r w:rsidRPr="002C462C">
        <w:rPr>
          <w:rFonts w:ascii="Verdana" w:hAnsi="Verdana" w:cs="Times New Roman"/>
          <w:sz w:val="20"/>
          <w:szCs w:val="20"/>
          <w:lang w:val="es-EC"/>
        </w:rPr>
        <w:t>, no especificaron a cual</w:t>
      </w:r>
      <w:r w:rsidR="00D14F9A">
        <w:rPr>
          <w:rFonts w:ascii="Verdana" w:hAnsi="Verdana" w:cs="Times New Roman"/>
          <w:sz w:val="20"/>
          <w:szCs w:val="20"/>
          <w:lang w:val="es-EC"/>
        </w:rPr>
        <w:t>es</w:t>
      </w:r>
      <w:r w:rsidRPr="002C462C">
        <w:rPr>
          <w:rFonts w:ascii="Verdana" w:hAnsi="Verdana" w:cs="Times New Roman"/>
          <w:sz w:val="20"/>
          <w:szCs w:val="20"/>
          <w:lang w:val="es-EC"/>
        </w:rPr>
        <w:t xml:space="preserve"> </w:t>
      </w:r>
      <w:r w:rsidR="00D14F9A">
        <w:rPr>
          <w:rFonts w:ascii="Verdana" w:hAnsi="Verdana" w:cs="Times New Roman"/>
          <w:sz w:val="20"/>
          <w:szCs w:val="20"/>
          <w:lang w:val="es-EC"/>
        </w:rPr>
        <w:t xml:space="preserve">de dichas recomendaciones </w:t>
      </w:r>
      <w:r w:rsidRPr="002C462C">
        <w:rPr>
          <w:rFonts w:ascii="Verdana" w:hAnsi="Verdana" w:cs="Times New Roman"/>
          <w:sz w:val="20"/>
          <w:szCs w:val="20"/>
          <w:lang w:val="es-EC"/>
        </w:rPr>
        <w:t>se refiere</w:t>
      </w:r>
      <w:r w:rsidR="005401E7">
        <w:rPr>
          <w:rFonts w:ascii="Verdana" w:hAnsi="Verdana" w:cs="Times New Roman"/>
          <w:sz w:val="20"/>
          <w:szCs w:val="20"/>
          <w:lang w:val="es-EC"/>
        </w:rPr>
        <w:t>n</w:t>
      </w:r>
      <w:r w:rsidR="005401E7" w:rsidRPr="008D0846">
        <w:rPr>
          <w:rFonts w:ascii="Verdana" w:eastAsia="Times New Roman" w:hAnsi="Verdana" w:cs="Times New Roman"/>
          <w:sz w:val="20"/>
          <w:szCs w:val="20"/>
          <w:lang w:val="es-ES"/>
        </w:rPr>
        <w:t>.</w:t>
      </w:r>
      <w:r w:rsidRPr="00744CE4">
        <w:rPr>
          <w:rFonts w:ascii="Verdana" w:eastAsia="Times New Roman" w:hAnsi="Verdana" w:cs="Times New Roman"/>
          <w:sz w:val="20"/>
          <w:szCs w:val="20"/>
          <w:lang w:val="es-ES"/>
        </w:rPr>
        <w:t xml:space="preserve"> En cuanto a la solicitud relacionada con la Ley de Seguridad Interior, consideró que la función de legislar se relacion</w:t>
      </w:r>
      <w:r w:rsidR="005401E7">
        <w:rPr>
          <w:rFonts w:ascii="Verdana" w:eastAsia="Times New Roman" w:hAnsi="Verdana" w:cs="Times New Roman"/>
          <w:sz w:val="20"/>
          <w:szCs w:val="20"/>
          <w:lang w:val="es-ES"/>
        </w:rPr>
        <w:t>a</w:t>
      </w:r>
      <w:r w:rsidRPr="00744CE4">
        <w:rPr>
          <w:rFonts w:ascii="Verdana" w:eastAsia="Times New Roman" w:hAnsi="Verdana" w:cs="Times New Roman"/>
          <w:sz w:val="20"/>
          <w:szCs w:val="20"/>
          <w:lang w:val="es-ES"/>
        </w:rPr>
        <w:t xml:space="preserve"> con la soberanía con la que cuenta el Estado mexicano </w:t>
      </w:r>
      <w:r w:rsidR="005401E7">
        <w:rPr>
          <w:rFonts w:ascii="Verdana" w:eastAsia="Times New Roman" w:hAnsi="Verdana" w:cs="Times New Roman"/>
          <w:sz w:val="20"/>
          <w:szCs w:val="20"/>
          <w:lang w:val="es-ES"/>
        </w:rPr>
        <w:t xml:space="preserve">al respecto, </w:t>
      </w:r>
      <w:r w:rsidRPr="00744CE4">
        <w:rPr>
          <w:rFonts w:ascii="Verdana" w:eastAsia="Times New Roman" w:hAnsi="Verdana" w:cs="Times New Roman"/>
          <w:sz w:val="20"/>
          <w:szCs w:val="20"/>
          <w:lang w:val="es-ES"/>
        </w:rPr>
        <w:t xml:space="preserve">por lo que no sería viable que la Corte </w:t>
      </w:r>
      <w:r w:rsidR="005401E7">
        <w:rPr>
          <w:rFonts w:ascii="Verdana" w:eastAsia="Times New Roman" w:hAnsi="Verdana" w:cs="Times New Roman"/>
          <w:sz w:val="20"/>
          <w:szCs w:val="20"/>
          <w:lang w:val="es-ES"/>
        </w:rPr>
        <w:t xml:space="preserve">le </w:t>
      </w:r>
      <w:r w:rsidRPr="00744CE4">
        <w:rPr>
          <w:rFonts w:ascii="Verdana" w:eastAsia="Times New Roman" w:hAnsi="Verdana" w:cs="Times New Roman"/>
          <w:sz w:val="20"/>
          <w:szCs w:val="20"/>
          <w:lang w:val="es-ES"/>
        </w:rPr>
        <w:t>ordene abstenerse a legislar</w:t>
      </w:r>
      <w:r w:rsidRPr="00744CE4">
        <w:rPr>
          <w:rFonts w:ascii="Verdana" w:hAnsi="Verdana" w:cs="Times New Roman"/>
          <w:b/>
          <w:sz w:val="20"/>
          <w:szCs w:val="20"/>
          <w:lang w:val="es-EC"/>
        </w:rPr>
        <w:t xml:space="preserve"> </w:t>
      </w:r>
      <w:r w:rsidR="005401E7">
        <w:rPr>
          <w:rFonts w:ascii="Verdana" w:hAnsi="Verdana" w:cs="Times New Roman"/>
          <w:sz w:val="20"/>
          <w:szCs w:val="20"/>
          <w:lang w:val="es-EC"/>
        </w:rPr>
        <w:t xml:space="preserve">sobre </w:t>
      </w:r>
      <w:r w:rsidR="005401E7" w:rsidRPr="008D0846">
        <w:rPr>
          <w:rFonts w:ascii="Verdana" w:hAnsi="Verdana" w:cs="Times New Roman"/>
          <w:sz w:val="20"/>
          <w:szCs w:val="20"/>
          <w:lang w:val="es-EC"/>
        </w:rPr>
        <w:t>una materia</w:t>
      </w:r>
      <w:r w:rsidR="003D5316" w:rsidRPr="008D0846">
        <w:rPr>
          <w:rFonts w:ascii="Verdana" w:hAnsi="Verdana" w:cs="Times New Roman"/>
          <w:sz w:val="20"/>
          <w:szCs w:val="20"/>
          <w:lang w:val="es-EC"/>
        </w:rPr>
        <w:t>.</w:t>
      </w:r>
    </w:p>
    <w:p w14:paraId="6FB81DF9" w14:textId="134812EE"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Cs/>
          <w:sz w:val="20"/>
          <w:szCs w:val="20"/>
          <w:lang w:val="es-ES"/>
        </w:rPr>
      </w:pPr>
      <w:r w:rsidRPr="00744CE4">
        <w:rPr>
          <w:rFonts w:ascii="Verdana" w:eastAsia="Times New Roman" w:hAnsi="Verdana" w:cs="Times New Roman"/>
          <w:sz w:val="20"/>
          <w:szCs w:val="20"/>
          <w:lang w:val="es-ES"/>
        </w:rPr>
        <w:t xml:space="preserve">La </w:t>
      </w:r>
      <w:r w:rsidRPr="00744CE4">
        <w:rPr>
          <w:rFonts w:ascii="Verdana" w:eastAsia="Times New Roman" w:hAnsi="Verdana" w:cs="Times New Roman"/>
          <w:b/>
          <w:i/>
          <w:sz w:val="20"/>
          <w:szCs w:val="20"/>
          <w:lang w:val="es-ES"/>
        </w:rPr>
        <w:t>Corte</w:t>
      </w:r>
      <w:r w:rsidRPr="00744CE4">
        <w:rPr>
          <w:rFonts w:ascii="Verdana" w:eastAsia="Times New Roman" w:hAnsi="Verdana" w:cs="Times New Roman"/>
          <w:sz w:val="20"/>
          <w:szCs w:val="20"/>
          <w:lang w:val="es-ES"/>
        </w:rPr>
        <w:t xml:space="preserve"> reitera que el Estado reconoció su responsabilidad internacional por la violación del artículo 2 de la Convención, debido a que: i) al momento de los hechos no existía legislación en materia de desaparición forzada que fuera compatible con los estándares interamericanos</w:t>
      </w:r>
      <w:r w:rsidR="005401E7">
        <w:rPr>
          <w:rFonts w:ascii="Verdana" w:eastAsia="Times New Roman" w:hAnsi="Verdana" w:cs="Times New Roman"/>
          <w:sz w:val="20"/>
          <w:szCs w:val="20"/>
          <w:lang w:val="es-ES"/>
        </w:rPr>
        <w:t>;</w:t>
      </w:r>
      <w:r w:rsidRPr="00744CE4">
        <w:rPr>
          <w:rFonts w:ascii="Verdana" w:eastAsia="Times New Roman" w:hAnsi="Verdana" w:cs="Times New Roman"/>
          <w:sz w:val="20"/>
          <w:szCs w:val="20"/>
          <w:lang w:val="es-ES"/>
        </w:rPr>
        <w:t xml:space="preserve"> ii) las investigaciones en el presente caso fueron atraídas </w:t>
      </w:r>
      <w:r w:rsidR="005401E7">
        <w:rPr>
          <w:rFonts w:ascii="Verdana" w:eastAsia="Times New Roman" w:hAnsi="Verdana" w:cs="Times New Roman"/>
          <w:sz w:val="20"/>
          <w:szCs w:val="20"/>
          <w:lang w:val="es-ES"/>
        </w:rPr>
        <w:t xml:space="preserve">en algún momento </w:t>
      </w:r>
      <w:r w:rsidRPr="00744CE4">
        <w:rPr>
          <w:rFonts w:ascii="Verdana" w:eastAsia="Times New Roman" w:hAnsi="Verdana" w:cs="Times New Roman"/>
          <w:sz w:val="20"/>
          <w:szCs w:val="20"/>
          <w:lang w:val="es-ES"/>
        </w:rPr>
        <w:t xml:space="preserve">por la jurisdicción militar, y iii) la normativa en materia de amparo </w:t>
      </w:r>
      <w:r w:rsidR="005401E7">
        <w:rPr>
          <w:rFonts w:ascii="Verdana" w:eastAsia="Times New Roman" w:hAnsi="Verdana" w:cs="Times New Roman"/>
          <w:sz w:val="20"/>
          <w:szCs w:val="20"/>
          <w:lang w:val="es-ES"/>
        </w:rPr>
        <w:t xml:space="preserve">entonces vigente </w:t>
      </w:r>
      <w:r w:rsidRPr="00744CE4">
        <w:rPr>
          <w:rFonts w:ascii="Verdana" w:eastAsia="Times New Roman" w:hAnsi="Verdana" w:cs="Times New Roman"/>
          <w:sz w:val="20"/>
          <w:szCs w:val="20"/>
          <w:lang w:val="es-ES"/>
        </w:rPr>
        <w:t>solicitaba la ratificación de la demanda de amparo (</w:t>
      </w:r>
      <w:r w:rsidR="005401E7" w:rsidRPr="008D0846">
        <w:rPr>
          <w:rFonts w:ascii="Verdana" w:eastAsia="Times New Roman" w:hAnsi="Verdana" w:cs="Times New Roman"/>
          <w:i/>
          <w:sz w:val="20"/>
          <w:szCs w:val="20"/>
          <w:lang w:val="es-ES"/>
        </w:rPr>
        <w:t>s</w:t>
      </w:r>
      <w:r w:rsidRPr="008D0846">
        <w:rPr>
          <w:rFonts w:ascii="Verdana" w:eastAsia="Times New Roman" w:hAnsi="Verdana" w:cs="Times New Roman"/>
          <w:i/>
          <w:sz w:val="20"/>
          <w:szCs w:val="20"/>
          <w:lang w:val="es-ES"/>
        </w:rPr>
        <w:t>up</w:t>
      </w:r>
      <w:r w:rsidR="005401E7" w:rsidRPr="008D0846">
        <w:rPr>
          <w:rFonts w:ascii="Verdana" w:eastAsia="Times New Roman" w:hAnsi="Verdana" w:cs="Times New Roman"/>
          <w:i/>
          <w:sz w:val="20"/>
          <w:szCs w:val="20"/>
          <w:lang w:val="es-ES"/>
        </w:rPr>
        <w:t>r</w:t>
      </w:r>
      <w:r w:rsidRPr="008D0846">
        <w:rPr>
          <w:rFonts w:ascii="Verdana" w:eastAsia="Times New Roman" w:hAnsi="Verdana" w:cs="Times New Roman"/>
          <w:i/>
          <w:sz w:val="20"/>
          <w:szCs w:val="20"/>
          <w:lang w:val="es-ES"/>
        </w:rPr>
        <w:t>a</w:t>
      </w:r>
      <w:r w:rsidRPr="00744CE4">
        <w:rPr>
          <w:rFonts w:ascii="Verdana" w:eastAsia="Times New Roman" w:hAnsi="Verdana" w:cs="Times New Roman"/>
          <w:sz w:val="20"/>
          <w:szCs w:val="20"/>
          <w:lang w:val="es-ES"/>
        </w:rPr>
        <w:t xml:space="preserve"> </w:t>
      </w:r>
      <w:r w:rsidR="005401E7">
        <w:rPr>
          <w:rFonts w:ascii="Verdana" w:eastAsia="Times New Roman" w:hAnsi="Verdana" w:cs="Times New Roman"/>
          <w:sz w:val="20"/>
          <w:szCs w:val="20"/>
          <w:lang w:val="es-ES"/>
        </w:rPr>
        <w:t>párr</w:t>
      </w:r>
      <w:r w:rsidR="000E1FB7">
        <w:rPr>
          <w:rFonts w:ascii="Verdana" w:eastAsia="Times New Roman" w:hAnsi="Verdana" w:cs="Times New Roman"/>
          <w:sz w:val="20"/>
          <w:szCs w:val="20"/>
          <w:lang w:val="es-ES"/>
        </w:rPr>
        <w:t>s</w:t>
      </w:r>
      <w:r w:rsidR="005401E7">
        <w:rPr>
          <w:rFonts w:ascii="Verdana" w:eastAsia="Times New Roman" w:hAnsi="Verdana" w:cs="Times New Roman"/>
          <w:sz w:val="20"/>
          <w:szCs w:val="20"/>
          <w:lang w:val="es-ES"/>
        </w:rPr>
        <w:t>.</w:t>
      </w:r>
      <w:r w:rsidR="000E1FB7">
        <w:rPr>
          <w:rFonts w:ascii="Verdana" w:eastAsia="Times New Roman" w:hAnsi="Verdana" w:cs="Times New Roman"/>
          <w:sz w:val="20"/>
          <w:szCs w:val="20"/>
          <w:lang w:val="es-ES"/>
        </w:rPr>
        <w:t xml:space="preserve"> 19, 21 y 23</w:t>
      </w:r>
      <w:r w:rsidRPr="00744CE4">
        <w:rPr>
          <w:rFonts w:ascii="Verdana" w:eastAsia="Times New Roman" w:hAnsi="Verdana" w:cs="Times New Roman"/>
          <w:sz w:val="20"/>
          <w:szCs w:val="20"/>
          <w:lang w:val="es-ES"/>
        </w:rPr>
        <w:t xml:space="preserve">). En vista de lo anterior, en el </w:t>
      </w:r>
      <w:r w:rsidR="005401E7">
        <w:rPr>
          <w:rFonts w:ascii="Verdana" w:eastAsia="Times New Roman" w:hAnsi="Verdana" w:cs="Times New Roman"/>
          <w:sz w:val="20"/>
          <w:szCs w:val="20"/>
          <w:lang w:val="es-ES"/>
        </w:rPr>
        <w:t>C</w:t>
      </w:r>
      <w:r w:rsidRPr="00744CE4">
        <w:rPr>
          <w:rFonts w:ascii="Verdana" w:eastAsia="Times New Roman" w:hAnsi="Verdana" w:cs="Times New Roman"/>
          <w:sz w:val="20"/>
          <w:szCs w:val="20"/>
          <w:lang w:val="es-ES"/>
        </w:rPr>
        <w:t xml:space="preserve">apítulo </w:t>
      </w:r>
      <w:r w:rsidR="005401E7">
        <w:rPr>
          <w:rFonts w:ascii="Verdana" w:eastAsia="Times New Roman" w:hAnsi="Verdana" w:cs="Times New Roman"/>
          <w:sz w:val="20"/>
          <w:szCs w:val="20"/>
          <w:lang w:val="es-ES"/>
        </w:rPr>
        <w:t>VII.2</w:t>
      </w:r>
      <w:r w:rsidR="005401E7" w:rsidRPr="00744CE4">
        <w:rPr>
          <w:rFonts w:ascii="Verdana" w:eastAsia="Times New Roman" w:hAnsi="Verdana" w:cs="Times New Roman"/>
          <w:sz w:val="20"/>
          <w:szCs w:val="20"/>
          <w:lang w:val="es-ES"/>
        </w:rPr>
        <w:t xml:space="preserve"> </w:t>
      </w:r>
      <w:r w:rsidRPr="00744CE4">
        <w:rPr>
          <w:rFonts w:ascii="Verdana" w:eastAsia="Times New Roman" w:hAnsi="Verdana" w:cs="Times New Roman"/>
          <w:sz w:val="20"/>
          <w:szCs w:val="20"/>
          <w:lang w:val="es-ES"/>
        </w:rPr>
        <w:t xml:space="preserve">de </w:t>
      </w:r>
      <w:r w:rsidR="00041675">
        <w:rPr>
          <w:rFonts w:ascii="Verdana" w:eastAsia="Times New Roman" w:hAnsi="Verdana" w:cs="Times New Roman"/>
          <w:sz w:val="20"/>
          <w:szCs w:val="20"/>
          <w:lang w:val="es-ES"/>
        </w:rPr>
        <w:t>la Sentencia</w:t>
      </w:r>
      <w:r w:rsidRPr="00744CE4">
        <w:rPr>
          <w:rFonts w:ascii="Verdana" w:eastAsia="Times New Roman" w:hAnsi="Verdana" w:cs="Times New Roman"/>
          <w:sz w:val="20"/>
          <w:szCs w:val="20"/>
          <w:lang w:val="es-ES"/>
        </w:rPr>
        <w:t xml:space="preserve">, la Corte se pronunció al respecto, por lo que en este apartado se referirá de manera puntual a las reparaciones ordenadas en la materia. </w:t>
      </w:r>
    </w:p>
    <w:p w14:paraId="3D40087D" w14:textId="27DD8BF9" w:rsidR="00135675" w:rsidRPr="00744CE4" w:rsidRDefault="00E34BFF" w:rsidP="008D0846">
      <w:pPr>
        <w:pStyle w:val="Ttulo3"/>
        <w:numPr>
          <w:ilvl w:val="0"/>
          <w:numId w:val="70"/>
        </w:numPr>
        <w:spacing w:before="120" w:after="120"/>
        <w:ind w:left="2268" w:hanging="426"/>
        <w:contextualSpacing w:val="0"/>
        <w:rPr>
          <w:b w:val="0"/>
          <w:lang w:val="es-ES"/>
        </w:rPr>
      </w:pPr>
      <w:bookmarkStart w:id="385" w:name="_Toc526783827"/>
      <w:r>
        <w:rPr>
          <w:b w:val="0"/>
          <w:lang w:val="es-ES"/>
        </w:rPr>
        <w:t xml:space="preserve"> </w:t>
      </w:r>
      <w:bookmarkStart w:id="386" w:name="_Toc532995409"/>
      <w:r w:rsidR="009114A1" w:rsidRPr="00744CE4">
        <w:rPr>
          <w:b w:val="0"/>
          <w:lang w:val="es-ES"/>
        </w:rPr>
        <w:t>Sobre la Ley General sobre Desaparición Forzada de Personas</w:t>
      </w:r>
      <w:bookmarkEnd w:id="385"/>
      <w:bookmarkEnd w:id="386"/>
    </w:p>
    <w:p w14:paraId="66E16446" w14:textId="7BE4E866"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b/>
          <w:sz w:val="20"/>
          <w:szCs w:val="20"/>
          <w:lang w:val="es-EC"/>
        </w:rPr>
      </w:pPr>
      <w:r w:rsidRPr="00744CE4">
        <w:rPr>
          <w:rFonts w:ascii="Verdana" w:hAnsi="Verdana" w:cs="Times New Roman"/>
          <w:sz w:val="20"/>
          <w:szCs w:val="20"/>
          <w:lang w:val="es-AR"/>
        </w:rPr>
        <w:t xml:space="preserve">La </w:t>
      </w:r>
      <w:r w:rsidRPr="00744CE4">
        <w:rPr>
          <w:rFonts w:ascii="Verdana" w:hAnsi="Verdana" w:cs="Times New Roman"/>
          <w:b/>
          <w:i/>
          <w:sz w:val="20"/>
          <w:szCs w:val="20"/>
          <w:lang w:val="es-AR"/>
        </w:rPr>
        <w:t xml:space="preserve">Corte </w:t>
      </w:r>
      <w:r w:rsidRPr="00744CE4">
        <w:rPr>
          <w:rFonts w:ascii="Verdana" w:eastAsia="Times New Roman" w:hAnsi="Verdana" w:cs="Times New Roman"/>
          <w:sz w:val="20"/>
          <w:szCs w:val="20"/>
          <w:lang w:val="es-ES"/>
        </w:rPr>
        <w:t>toma</w:t>
      </w:r>
      <w:r w:rsidRPr="00744CE4">
        <w:rPr>
          <w:rFonts w:ascii="Verdana" w:hAnsi="Verdana" w:cs="Times New Roman"/>
          <w:sz w:val="20"/>
          <w:szCs w:val="20"/>
          <w:lang w:val="es-AR"/>
        </w:rPr>
        <w:t xml:space="preserve"> nota </w:t>
      </w:r>
      <w:r w:rsidR="002861AF">
        <w:rPr>
          <w:rFonts w:ascii="Verdana" w:hAnsi="Verdana" w:cs="Times New Roman"/>
          <w:sz w:val="20"/>
          <w:szCs w:val="20"/>
          <w:lang w:val="es-AR"/>
        </w:rPr>
        <w:t xml:space="preserve">de </w:t>
      </w:r>
      <w:r w:rsidRPr="00744CE4">
        <w:rPr>
          <w:rFonts w:ascii="Verdana" w:hAnsi="Verdana" w:cs="Times New Roman"/>
          <w:sz w:val="20"/>
          <w:szCs w:val="20"/>
          <w:lang w:val="es-AR"/>
        </w:rPr>
        <w:t>que</w:t>
      </w:r>
      <w:r w:rsidR="002861AF">
        <w:rPr>
          <w:rFonts w:ascii="Verdana" w:hAnsi="Verdana" w:cs="Times New Roman"/>
          <w:sz w:val="20"/>
          <w:szCs w:val="20"/>
          <w:lang w:val="es-EC"/>
        </w:rPr>
        <w:t xml:space="preserve"> </w:t>
      </w:r>
      <w:r w:rsidRPr="00744CE4">
        <w:rPr>
          <w:rFonts w:ascii="Verdana" w:hAnsi="Verdana" w:cs="Times New Roman"/>
          <w:sz w:val="20"/>
          <w:szCs w:val="20"/>
          <w:lang w:val="es-EC"/>
        </w:rPr>
        <w:t>e</w:t>
      </w:r>
      <w:r w:rsidR="002861AF">
        <w:rPr>
          <w:rFonts w:ascii="Verdana" w:hAnsi="Verdana" w:cs="Times New Roman"/>
          <w:sz w:val="20"/>
          <w:szCs w:val="20"/>
          <w:lang w:val="es-EC"/>
        </w:rPr>
        <w:t>l</w:t>
      </w:r>
      <w:r w:rsidR="00512324">
        <w:rPr>
          <w:rFonts w:ascii="Verdana" w:hAnsi="Verdana" w:cs="Times New Roman"/>
          <w:sz w:val="20"/>
          <w:szCs w:val="20"/>
          <w:lang w:val="es-EC"/>
        </w:rPr>
        <w:t xml:space="preserve"> 17 de noviembre de</w:t>
      </w:r>
      <w:r w:rsidRPr="00744CE4">
        <w:rPr>
          <w:rFonts w:ascii="Verdana" w:hAnsi="Verdana" w:cs="Times New Roman"/>
          <w:sz w:val="20"/>
          <w:szCs w:val="20"/>
          <w:lang w:val="es-EC"/>
        </w:rPr>
        <w:t xml:space="preserve"> 2017 fue </w:t>
      </w:r>
      <w:r w:rsidR="00512324">
        <w:rPr>
          <w:rFonts w:ascii="Verdana" w:hAnsi="Verdana" w:cs="Times New Roman"/>
          <w:sz w:val="20"/>
          <w:szCs w:val="20"/>
          <w:lang w:val="es-EC"/>
        </w:rPr>
        <w:t xml:space="preserve">publicada la </w:t>
      </w:r>
      <w:r w:rsidRPr="00744CE4">
        <w:rPr>
          <w:rFonts w:ascii="Verdana" w:hAnsi="Verdana" w:cs="Times New Roman"/>
          <w:sz w:val="20"/>
          <w:szCs w:val="20"/>
          <w:lang w:val="es-EC"/>
        </w:rPr>
        <w:t xml:space="preserve">la </w:t>
      </w:r>
      <w:r w:rsidR="00D20A59">
        <w:rPr>
          <w:rFonts w:ascii="Verdana" w:hAnsi="Verdana" w:cs="Times New Roman"/>
          <w:sz w:val="20"/>
          <w:szCs w:val="20"/>
          <w:lang w:val="es-EC"/>
        </w:rPr>
        <w:t>“</w:t>
      </w:r>
      <w:r w:rsidRPr="008D0846">
        <w:rPr>
          <w:rFonts w:ascii="Verdana" w:hAnsi="Verdana" w:cs="Times New Roman"/>
          <w:sz w:val="20"/>
          <w:szCs w:val="20"/>
          <w:lang w:val="es-EC"/>
        </w:rPr>
        <w:t xml:space="preserve">Ley </w:t>
      </w:r>
      <w:hyperlink r:id="rId11" w:history="1">
        <w:r w:rsidR="00512324" w:rsidRPr="008D0846">
          <w:rPr>
            <w:rStyle w:val="Hipervnculo"/>
            <w:rFonts w:ascii="Verdana" w:hAnsi="Verdana" w:cs="Times New Roman"/>
            <w:bCs/>
            <w:color w:val="auto"/>
            <w:sz w:val="20"/>
            <w:szCs w:val="20"/>
            <w:u w:val="none"/>
            <w:lang w:val="es-ES"/>
          </w:rPr>
          <w:t>General en Materia de Desaparición Forzada de Personas, Desaparición Cometida por Particulares y del Sistema Nacional de Búsqueda de Personas</w:t>
        </w:r>
      </w:hyperlink>
      <w:r w:rsidR="00D20A59">
        <w:rPr>
          <w:rFonts w:ascii="Verdana" w:hAnsi="Verdana" w:cs="Times New Roman"/>
          <w:sz w:val="20"/>
          <w:szCs w:val="20"/>
          <w:lang w:val="es-EC"/>
        </w:rPr>
        <w:t>”</w:t>
      </w:r>
      <w:r w:rsidR="00290903">
        <w:rPr>
          <w:rStyle w:val="Refdenotaalpie"/>
          <w:rFonts w:ascii="Verdana" w:hAnsi="Verdana" w:cs="Times New Roman"/>
          <w:sz w:val="20"/>
          <w:szCs w:val="20"/>
          <w:lang w:val="es-EC"/>
        </w:rPr>
        <w:footnoteReference w:id="553"/>
      </w:r>
      <w:r w:rsidRPr="00744CE4">
        <w:rPr>
          <w:rFonts w:ascii="Verdana" w:hAnsi="Verdana" w:cs="Times New Roman"/>
          <w:sz w:val="20"/>
          <w:szCs w:val="20"/>
          <w:lang w:val="es-EC"/>
        </w:rPr>
        <w:t>, la cual permite establecer una nueva política pública enfocada en la búsqueda y localización de personas desaparecidas y plantea la creación de cuatro instrumentos básicos: i) el Sistema Nacional de Búsqueda; ii) el Registro Nacional de Personas Desaparecidas y No Localizadas; iii) el Registro Nacional Forense</w:t>
      </w:r>
      <w:r w:rsidR="00D20A59">
        <w:rPr>
          <w:rFonts w:ascii="Verdana" w:hAnsi="Verdana" w:cs="Times New Roman"/>
          <w:sz w:val="20"/>
          <w:szCs w:val="20"/>
          <w:lang w:val="es-EC"/>
        </w:rPr>
        <w:t>,</w:t>
      </w:r>
      <w:r w:rsidRPr="00744CE4">
        <w:rPr>
          <w:rFonts w:ascii="Verdana" w:hAnsi="Verdana" w:cs="Times New Roman"/>
          <w:sz w:val="20"/>
          <w:szCs w:val="20"/>
          <w:lang w:val="es-EC"/>
        </w:rPr>
        <w:t xml:space="preserve"> y iv) el Consejo Nacional Ciudadano.</w:t>
      </w:r>
      <w:r w:rsidRPr="00744CE4">
        <w:rPr>
          <w:rFonts w:ascii="Verdana" w:hAnsi="Verdana" w:cs="Times New Roman"/>
          <w:b/>
          <w:sz w:val="20"/>
          <w:szCs w:val="20"/>
          <w:lang w:val="es-EC"/>
        </w:rPr>
        <w:t xml:space="preserve"> </w:t>
      </w:r>
      <w:r w:rsidRPr="00744CE4">
        <w:rPr>
          <w:rFonts w:ascii="Verdana" w:hAnsi="Verdana" w:cs="Times New Roman"/>
          <w:sz w:val="20"/>
          <w:szCs w:val="20"/>
          <w:lang w:val="es-EC"/>
        </w:rPr>
        <w:t xml:space="preserve"> </w:t>
      </w:r>
    </w:p>
    <w:p w14:paraId="7BCBFE10" w14:textId="35C18DEF" w:rsidR="00A81849"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b/>
          <w:sz w:val="20"/>
          <w:szCs w:val="20"/>
          <w:lang w:val="es-EC"/>
        </w:rPr>
      </w:pPr>
      <w:r w:rsidRPr="00744CE4">
        <w:rPr>
          <w:rFonts w:ascii="Verdana" w:hAnsi="Verdana" w:cs="Times New Roman"/>
          <w:sz w:val="20"/>
          <w:szCs w:val="20"/>
          <w:lang w:val="es-EC"/>
        </w:rPr>
        <w:t xml:space="preserve">En virtud de lo anterior, la Corte considera que con la aprobación de la mencionada Ley y sus mecanismos el Estado ha </w:t>
      </w:r>
      <w:r w:rsidR="0059159E" w:rsidRPr="00744CE4">
        <w:rPr>
          <w:rFonts w:ascii="Verdana" w:hAnsi="Verdana" w:cs="Times New Roman"/>
          <w:sz w:val="20"/>
          <w:szCs w:val="20"/>
          <w:lang w:val="es-EC"/>
        </w:rPr>
        <w:t>atendido</w:t>
      </w:r>
      <w:r w:rsidR="00A9714E">
        <w:rPr>
          <w:rFonts w:ascii="Verdana" w:hAnsi="Verdana" w:cs="Times New Roman"/>
          <w:sz w:val="20"/>
          <w:szCs w:val="20"/>
          <w:lang w:val="es-EC"/>
        </w:rPr>
        <w:t>, en lo pertinente,</w:t>
      </w:r>
      <w:r w:rsidR="0059159E" w:rsidRPr="00744CE4">
        <w:rPr>
          <w:rFonts w:ascii="Verdana" w:hAnsi="Verdana" w:cs="Times New Roman"/>
          <w:sz w:val="20"/>
          <w:szCs w:val="20"/>
          <w:lang w:val="es-EC"/>
        </w:rPr>
        <w:t xml:space="preserve"> </w:t>
      </w:r>
      <w:r w:rsidRPr="00744CE4">
        <w:rPr>
          <w:rFonts w:ascii="Verdana" w:hAnsi="Verdana" w:cs="Times New Roman"/>
          <w:sz w:val="20"/>
          <w:szCs w:val="20"/>
          <w:lang w:val="es-EC"/>
        </w:rPr>
        <w:t>la violación previamente acreditada al respecto.</w:t>
      </w:r>
    </w:p>
    <w:p w14:paraId="020B44E0" w14:textId="350DFD8D" w:rsidR="009114A1" w:rsidRPr="00744CE4" w:rsidRDefault="00E34BFF" w:rsidP="008D0846">
      <w:pPr>
        <w:pStyle w:val="Ttulo3"/>
        <w:numPr>
          <w:ilvl w:val="0"/>
          <w:numId w:val="70"/>
        </w:numPr>
        <w:spacing w:before="120" w:after="120"/>
        <w:ind w:left="2268" w:hanging="426"/>
        <w:contextualSpacing w:val="0"/>
        <w:rPr>
          <w:b w:val="0"/>
          <w:lang w:val="es-ES"/>
        </w:rPr>
      </w:pPr>
      <w:bookmarkStart w:id="387" w:name="_Toc526783828"/>
      <w:r>
        <w:rPr>
          <w:b w:val="0"/>
          <w:lang w:val="es-ES"/>
        </w:rPr>
        <w:t xml:space="preserve"> </w:t>
      </w:r>
      <w:bookmarkStart w:id="388" w:name="_Toc532995410"/>
      <w:r w:rsidR="009114A1" w:rsidRPr="00744CE4">
        <w:rPr>
          <w:b w:val="0"/>
          <w:lang w:val="es-ES"/>
        </w:rPr>
        <w:t>Ley de Amparo</w:t>
      </w:r>
      <w:bookmarkEnd w:id="387"/>
      <w:bookmarkEnd w:id="388"/>
    </w:p>
    <w:p w14:paraId="7ECAAFC4" w14:textId="6393C68F"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b/>
          <w:sz w:val="20"/>
          <w:szCs w:val="20"/>
          <w:lang w:val="es-EC"/>
        </w:rPr>
      </w:pPr>
      <w:r w:rsidRPr="00744CE4">
        <w:rPr>
          <w:rFonts w:ascii="Verdana" w:hAnsi="Verdana"/>
          <w:sz w:val="20"/>
          <w:szCs w:val="16"/>
          <w:lang w:val="es-CR"/>
        </w:rPr>
        <w:t xml:space="preserve">Por una parte, la </w:t>
      </w:r>
      <w:r w:rsidRPr="00437446">
        <w:rPr>
          <w:rFonts w:ascii="Verdana" w:hAnsi="Verdana"/>
          <w:b/>
          <w:i/>
          <w:sz w:val="20"/>
          <w:szCs w:val="16"/>
          <w:lang w:val="es-CR"/>
        </w:rPr>
        <w:t>Corte</w:t>
      </w:r>
      <w:r w:rsidRPr="00744CE4">
        <w:rPr>
          <w:rFonts w:ascii="Verdana" w:hAnsi="Verdana"/>
          <w:sz w:val="20"/>
          <w:szCs w:val="16"/>
          <w:lang w:val="es-CR"/>
        </w:rPr>
        <w:t xml:space="preserve"> coincide con la Comisión y las representantes en cuanto a que es necesario que las autoridades judiciales cuenten con recursos suficientes para que la búsqueda de las víctimas sea eficaz y oportuna, y que la misma no se limite a un diálogo epistolar entre funcionarios públicos que solamente abone al ocultamiento de aquéllas.</w:t>
      </w:r>
      <w:r w:rsidRPr="00744CE4">
        <w:rPr>
          <w:rFonts w:ascii="Verdana" w:hAnsi="Verdana"/>
          <w:sz w:val="20"/>
          <w:szCs w:val="20"/>
          <w:lang w:val="es-CR"/>
        </w:rPr>
        <w:t xml:space="preserve"> </w:t>
      </w:r>
    </w:p>
    <w:p w14:paraId="048C87FA" w14:textId="442F84CC" w:rsidR="009114A1" w:rsidRPr="00432ABC"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b/>
          <w:sz w:val="20"/>
          <w:szCs w:val="20"/>
          <w:lang w:val="es-EC"/>
        </w:rPr>
      </w:pPr>
      <w:r w:rsidRPr="00744CE4">
        <w:rPr>
          <w:rFonts w:ascii="Verdana" w:hAnsi="Verdana"/>
          <w:sz w:val="20"/>
          <w:szCs w:val="20"/>
          <w:lang w:val="es-CR"/>
        </w:rPr>
        <w:t xml:space="preserve">Sin perjuicio de lo anterior, este Tribunal concluye que no se aportaron elementos ni </w:t>
      </w:r>
      <w:r w:rsidRPr="00744CE4">
        <w:rPr>
          <w:rFonts w:ascii="Verdana" w:hAnsi="Verdana"/>
          <w:sz w:val="20"/>
          <w:szCs w:val="20"/>
          <w:lang w:val="es-CR"/>
        </w:rPr>
        <w:lastRenderedPageBreak/>
        <w:t xml:space="preserve">argumentos suficientes que le permitieran advertir los motivos para considerar que la actual redacción de la Ley de Amparo llevaría, necesariamente, a condenar dicho recurso a la ineficiencia en materia de desapariciones forzadas. Sobre todo, tomando en cuenta que el último párrafo del artículo 15 de la referida ley señala que </w:t>
      </w:r>
      <w:r w:rsidR="00DD4570">
        <w:rPr>
          <w:rFonts w:ascii="Verdana" w:hAnsi="Verdana"/>
          <w:sz w:val="20"/>
          <w:szCs w:val="20"/>
          <w:lang w:val="es-CR"/>
        </w:rPr>
        <w:t>“</w:t>
      </w:r>
      <w:r w:rsidRPr="00744CE4">
        <w:rPr>
          <w:rFonts w:ascii="Verdana" w:hAnsi="Verdana"/>
          <w:sz w:val="20"/>
          <w:szCs w:val="20"/>
          <w:lang w:val="es-CR"/>
        </w:rPr>
        <w:t xml:space="preserve">en los casos de desaparición forzada de personas el juez tiene </w:t>
      </w:r>
      <w:r w:rsidR="00DD4570">
        <w:rPr>
          <w:rFonts w:ascii="Verdana" w:hAnsi="Verdana"/>
          <w:sz w:val="20"/>
          <w:szCs w:val="20"/>
          <w:lang w:val="es-CR"/>
        </w:rPr>
        <w:t>[</w:t>
      </w:r>
      <w:r w:rsidRPr="00744CE4">
        <w:rPr>
          <w:rFonts w:ascii="Verdana" w:hAnsi="Verdana"/>
          <w:sz w:val="20"/>
          <w:szCs w:val="20"/>
          <w:lang w:val="es-CR"/>
        </w:rPr>
        <w:t>24</w:t>
      </w:r>
      <w:r w:rsidR="00DD4570">
        <w:rPr>
          <w:rFonts w:ascii="Verdana" w:hAnsi="Verdana"/>
          <w:sz w:val="20"/>
          <w:szCs w:val="20"/>
          <w:lang w:val="es-CR"/>
        </w:rPr>
        <w:t>]</w:t>
      </w:r>
      <w:r w:rsidRPr="00744CE4">
        <w:rPr>
          <w:rFonts w:ascii="Verdana" w:hAnsi="Verdana"/>
          <w:sz w:val="20"/>
          <w:szCs w:val="20"/>
          <w:lang w:val="es-CR"/>
        </w:rPr>
        <w:t xml:space="preserve"> horas para darle trámite al amparo, dictar la suspensión de los actos reclamados, y requerir a las autoridades correspondientes toda la información que pueda resultar conducente para la localización y liberación de la probable víctima”, agregando, además que “ninguna autoridad podrá […] negarse a practicar las diligencias que de ellas se soliciten o sean ordenadas”</w:t>
      </w:r>
      <w:r w:rsidRPr="00744CE4">
        <w:rPr>
          <w:rStyle w:val="Refdenotaalpie"/>
          <w:rFonts w:ascii="Verdana" w:hAnsi="Verdana"/>
          <w:sz w:val="20"/>
          <w:szCs w:val="20"/>
        </w:rPr>
        <w:footnoteReference w:id="554"/>
      </w:r>
      <w:r w:rsidRPr="00744CE4">
        <w:rPr>
          <w:rFonts w:ascii="Verdana" w:hAnsi="Verdana"/>
          <w:sz w:val="20"/>
          <w:szCs w:val="20"/>
          <w:lang w:val="es-CR"/>
        </w:rPr>
        <w:t xml:space="preserve">; es decir, la ley ordena una actuación inmediata y prevé mecanismos para que los juzgadores puedan obtener la presentación de las </w:t>
      </w:r>
      <w:r w:rsidR="00DD4570">
        <w:rPr>
          <w:rFonts w:ascii="Verdana" w:hAnsi="Verdana"/>
          <w:sz w:val="20"/>
          <w:szCs w:val="20"/>
          <w:lang w:val="es-CR"/>
        </w:rPr>
        <w:t xml:space="preserve">probables </w:t>
      </w:r>
      <w:r w:rsidRPr="00744CE4">
        <w:rPr>
          <w:rFonts w:ascii="Verdana" w:hAnsi="Verdana"/>
          <w:sz w:val="20"/>
          <w:szCs w:val="20"/>
          <w:lang w:val="es-CR"/>
        </w:rPr>
        <w:t xml:space="preserve">víctimas de desaparición. </w:t>
      </w:r>
      <w:r w:rsidR="00DD4570">
        <w:rPr>
          <w:rFonts w:ascii="Verdana" w:hAnsi="Verdana"/>
          <w:sz w:val="20"/>
          <w:szCs w:val="16"/>
        </w:rPr>
        <w:t>De esta forma</w:t>
      </w:r>
      <w:r w:rsidR="00590A16" w:rsidRPr="00744CE4">
        <w:rPr>
          <w:rFonts w:ascii="Verdana" w:hAnsi="Verdana"/>
          <w:sz w:val="20"/>
          <w:szCs w:val="16"/>
        </w:rPr>
        <w:t xml:space="preserve">, </w:t>
      </w:r>
      <w:r w:rsidR="00DD4570">
        <w:rPr>
          <w:rFonts w:ascii="Verdana" w:hAnsi="Verdana"/>
          <w:sz w:val="20"/>
          <w:szCs w:val="16"/>
        </w:rPr>
        <w:t xml:space="preserve">esta Corte </w:t>
      </w:r>
      <w:r w:rsidR="00590A16" w:rsidRPr="00744CE4">
        <w:rPr>
          <w:rFonts w:ascii="Verdana" w:hAnsi="Verdana"/>
          <w:sz w:val="20"/>
          <w:szCs w:val="16"/>
        </w:rPr>
        <w:t xml:space="preserve">no encuentra motivo para considerar que la actual configuración del </w:t>
      </w:r>
      <w:r w:rsidR="00DD4570">
        <w:rPr>
          <w:rFonts w:ascii="Verdana" w:hAnsi="Verdana"/>
          <w:sz w:val="20"/>
          <w:szCs w:val="16"/>
        </w:rPr>
        <w:t xml:space="preserve">juicio de </w:t>
      </w:r>
      <w:r w:rsidR="00590A16" w:rsidRPr="00744CE4">
        <w:rPr>
          <w:rFonts w:ascii="Verdana" w:hAnsi="Verdana"/>
          <w:sz w:val="20"/>
          <w:szCs w:val="16"/>
        </w:rPr>
        <w:t xml:space="preserve">amparo no </w:t>
      </w:r>
      <w:r w:rsidR="00DD4570">
        <w:rPr>
          <w:rFonts w:ascii="Verdana" w:hAnsi="Verdana"/>
          <w:sz w:val="20"/>
          <w:szCs w:val="16"/>
        </w:rPr>
        <w:t xml:space="preserve">constituya un recurso </w:t>
      </w:r>
      <w:r w:rsidR="00590A16" w:rsidRPr="00744CE4">
        <w:rPr>
          <w:rFonts w:ascii="Verdana" w:hAnsi="Verdana"/>
          <w:sz w:val="20"/>
          <w:szCs w:val="16"/>
        </w:rPr>
        <w:t xml:space="preserve">efectivo para tales efectos o que existan contradicciones entre dicha </w:t>
      </w:r>
      <w:r w:rsidR="00CC4AD8">
        <w:rPr>
          <w:rFonts w:ascii="Verdana" w:hAnsi="Verdana"/>
          <w:sz w:val="20"/>
          <w:szCs w:val="16"/>
        </w:rPr>
        <w:t>l</w:t>
      </w:r>
      <w:r w:rsidR="00590A16" w:rsidRPr="00744CE4">
        <w:rPr>
          <w:rFonts w:ascii="Verdana" w:hAnsi="Verdana"/>
          <w:sz w:val="20"/>
          <w:szCs w:val="16"/>
        </w:rPr>
        <w:t>ey y la LGDFP</w:t>
      </w:r>
      <w:r w:rsidR="00590A16" w:rsidRPr="00744CE4">
        <w:rPr>
          <w:rFonts w:ascii="Verdana" w:eastAsia="Calibri" w:hAnsi="Verdana" w:cs="Times New Roman"/>
          <w:sz w:val="20"/>
          <w:szCs w:val="20"/>
          <w:lang w:val="es-CR"/>
        </w:rPr>
        <w:t>.</w:t>
      </w:r>
      <w:r w:rsidRPr="00744CE4">
        <w:rPr>
          <w:rFonts w:ascii="Verdana" w:hAnsi="Verdana"/>
          <w:sz w:val="20"/>
          <w:szCs w:val="20"/>
          <w:lang w:val="es-CR"/>
        </w:rPr>
        <w:t xml:space="preserve"> </w:t>
      </w:r>
    </w:p>
    <w:p w14:paraId="7AD347AA" w14:textId="7363444E" w:rsidR="009114A1" w:rsidRPr="00744CE4" w:rsidRDefault="00CC4AD8"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b/>
          <w:sz w:val="20"/>
          <w:szCs w:val="20"/>
          <w:lang w:val="es-EC"/>
        </w:rPr>
      </w:pPr>
      <w:r>
        <w:rPr>
          <w:rFonts w:ascii="Verdana" w:hAnsi="Verdana" w:cs="Times New Roman"/>
          <w:sz w:val="20"/>
          <w:szCs w:val="20"/>
          <w:lang w:val="es-EC"/>
        </w:rPr>
        <w:t>Por lo anterior</w:t>
      </w:r>
      <w:r w:rsidR="009114A1" w:rsidRPr="00432ABC">
        <w:rPr>
          <w:rFonts w:ascii="Verdana" w:hAnsi="Verdana" w:cs="Times New Roman"/>
          <w:sz w:val="20"/>
          <w:szCs w:val="20"/>
          <w:lang w:val="es-EC"/>
        </w:rPr>
        <w:t>, la Corte estima que</w:t>
      </w:r>
      <w:r w:rsidR="009114A1" w:rsidRPr="00432ABC">
        <w:rPr>
          <w:rFonts w:ascii="Verdana" w:eastAsia="Calibri" w:hAnsi="Verdana"/>
          <w:sz w:val="20"/>
          <w:szCs w:val="20"/>
          <w:lang w:val="es-CR"/>
        </w:rPr>
        <w:t xml:space="preserve"> con las modificaciones a la ley de amparo y su mecanismo para casos de desaparición forzada en coordinación con la LGD</w:t>
      </w:r>
      <w:r>
        <w:rPr>
          <w:rFonts w:ascii="Verdana" w:eastAsia="Calibri" w:hAnsi="Verdana"/>
          <w:sz w:val="20"/>
          <w:szCs w:val="20"/>
          <w:lang w:val="es-CR"/>
        </w:rPr>
        <w:t>F</w:t>
      </w:r>
      <w:r w:rsidR="009114A1" w:rsidRPr="00432ABC">
        <w:rPr>
          <w:rFonts w:ascii="Verdana" w:eastAsia="Calibri" w:hAnsi="Verdana"/>
          <w:sz w:val="20"/>
          <w:szCs w:val="20"/>
          <w:lang w:val="es-CR"/>
        </w:rPr>
        <w:t xml:space="preserve">P, el Estado </w:t>
      </w:r>
      <w:r w:rsidR="0059159E" w:rsidRPr="002C462C">
        <w:rPr>
          <w:rFonts w:ascii="Verdana" w:eastAsia="Calibri" w:hAnsi="Verdana"/>
          <w:sz w:val="20"/>
          <w:szCs w:val="20"/>
          <w:lang w:val="es-CR"/>
        </w:rPr>
        <w:t>ha atendido</w:t>
      </w:r>
      <w:r w:rsidR="00A9714E">
        <w:rPr>
          <w:rFonts w:ascii="Verdana" w:eastAsia="Calibri" w:hAnsi="Verdana"/>
          <w:sz w:val="20"/>
          <w:szCs w:val="20"/>
          <w:lang w:val="es-CR"/>
        </w:rPr>
        <w:t xml:space="preserve">, en lo pertinente, </w:t>
      </w:r>
      <w:r w:rsidR="009114A1" w:rsidRPr="002C462C">
        <w:rPr>
          <w:rFonts w:ascii="Verdana" w:hAnsi="Verdana" w:cs="Times New Roman"/>
          <w:sz w:val="20"/>
          <w:szCs w:val="20"/>
          <w:lang w:val="es-EC"/>
        </w:rPr>
        <w:t>la violación previamente acreditada al respecto.</w:t>
      </w:r>
      <w:r w:rsidR="0059159E" w:rsidRPr="00744CE4">
        <w:rPr>
          <w:rFonts w:ascii="Verdana" w:hAnsi="Verdana" w:cs="Times New Roman"/>
          <w:sz w:val="20"/>
          <w:szCs w:val="20"/>
          <w:lang w:val="es-EC"/>
        </w:rPr>
        <w:t xml:space="preserve"> </w:t>
      </w:r>
    </w:p>
    <w:p w14:paraId="2F9FAC7F" w14:textId="35552F72" w:rsidR="00135675" w:rsidRPr="00744CE4" w:rsidRDefault="00E34BFF" w:rsidP="008D0846">
      <w:pPr>
        <w:pStyle w:val="Ttulo3"/>
        <w:numPr>
          <w:ilvl w:val="0"/>
          <w:numId w:val="70"/>
        </w:numPr>
        <w:spacing w:before="120" w:after="120"/>
        <w:ind w:left="2268" w:hanging="426"/>
        <w:contextualSpacing w:val="0"/>
        <w:rPr>
          <w:b w:val="0"/>
          <w:lang w:val="es-EC"/>
        </w:rPr>
      </w:pPr>
      <w:bookmarkStart w:id="389" w:name="_Toc526783829"/>
      <w:r>
        <w:rPr>
          <w:b w:val="0"/>
          <w:lang w:val="es-EC"/>
        </w:rPr>
        <w:t xml:space="preserve"> </w:t>
      </w:r>
      <w:bookmarkStart w:id="390" w:name="_Toc532995411"/>
      <w:r w:rsidR="009114A1" w:rsidRPr="00744CE4">
        <w:rPr>
          <w:b w:val="0"/>
          <w:lang w:val="es-EC"/>
        </w:rPr>
        <w:t>Registro Nacional de Datos de Personas Extraviadas o Desaparecidas</w:t>
      </w:r>
      <w:bookmarkEnd w:id="389"/>
      <w:bookmarkEnd w:id="390"/>
    </w:p>
    <w:p w14:paraId="03E32C00" w14:textId="38A912F9" w:rsidR="00244830" w:rsidRPr="000E0384" w:rsidRDefault="00244830" w:rsidP="003564A3">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bCs/>
          <w:sz w:val="20"/>
          <w:szCs w:val="20"/>
          <w:lang w:val="es-ES"/>
        </w:rPr>
      </w:pPr>
      <w:r w:rsidRPr="000E0384">
        <w:rPr>
          <w:rFonts w:ascii="Verdana" w:hAnsi="Verdana"/>
          <w:sz w:val="20"/>
          <w:szCs w:val="20"/>
          <w:lang w:val="es-EC"/>
        </w:rPr>
        <w:t xml:space="preserve">Si bien las representantes no fueron claras en su alegato respecto de esta medida de no repetición, la </w:t>
      </w:r>
      <w:r w:rsidRPr="00C96C12">
        <w:rPr>
          <w:rFonts w:ascii="Verdana" w:hAnsi="Verdana"/>
          <w:b/>
          <w:i/>
          <w:sz w:val="20"/>
          <w:szCs w:val="20"/>
          <w:lang w:val="es-EC"/>
        </w:rPr>
        <w:t>Corte</w:t>
      </w:r>
      <w:r w:rsidRPr="00C96C12">
        <w:rPr>
          <w:rFonts w:ascii="Verdana" w:hAnsi="Verdana"/>
          <w:sz w:val="20"/>
          <w:szCs w:val="20"/>
          <w:lang w:val="es-ES"/>
        </w:rPr>
        <w:t xml:space="preserve"> </w:t>
      </w:r>
      <w:r w:rsidRPr="008D0846">
        <w:rPr>
          <w:rFonts w:ascii="Verdana" w:hAnsi="Verdana"/>
          <w:sz w:val="20"/>
          <w:szCs w:val="20"/>
          <w:lang w:val="es-ES"/>
        </w:rPr>
        <w:t>recomienda</w:t>
      </w:r>
      <w:r w:rsidRPr="008D0846">
        <w:rPr>
          <w:rStyle w:val="Refdenotaalpie"/>
          <w:rFonts w:ascii="Verdana" w:hAnsi="Verdana"/>
          <w:sz w:val="20"/>
          <w:szCs w:val="20"/>
          <w:lang w:val="es-ES"/>
        </w:rPr>
        <w:footnoteReference w:id="555"/>
      </w:r>
      <w:r w:rsidRPr="008D0846">
        <w:rPr>
          <w:rFonts w:ascii="Verdana" w:hAnsi="Verdana"/>
          <w:sz w:val="20"/>
          <w:szCs w:val="20"/>
          <w:lang w:val="es-ES"/>
        </w:rPr>
        <w:t xml:space="preserve"> </w:t>
      </w:r>
      <w:r w:rsidRPr="000E0384">
        <w:rPr>
          <w:rFonts w:ascii="Verdana" w:hAnsi="Verdana"/>
          <w:sz w:val="20"/>
          <w:szCs w:val="20"/>
          <w:lang w:val="es-ES"/>
        </w:rPr>
        <w:t xml:space="preserve">al Estado, que dentro del marco </w:t>
      </w:r>
      <w:r w:rsidRPr="008D0846">
        <w:rPr>
          <w:rFonts w:ascii="Verdana" w:hAnsi="Verdana"/>
          <w:sz w:val="20"/>
          <w:szCs w:val="20"/>
          <w:lang w:val="es-ES"/>
        </w:rPr>
        <w:t xml:space="preserve">normativo </w:t>
      </w:r>
      <w:r w:rsidRPr="000E0384">
        <w:rPr>
          <w:rFonts w:ascii="Verdana" w:hAnsi="Verdana"/>
          <w:sz w:val="20"/>
          <w:szCs w:val="20"/>
          <w:lang w:val="es-ES"/>
        </w:rPr>
        <w:t xml:space="preserve">existente, </w:t>
      </w:r>
      <w:r w:rsidRPr="008D0846">
        <w:rPr>
          <w:rFonts w:ascii="Verdana" w:hAnsi="Verdana"/>
          <w:sz w:val="20"/>
          <w:szCs w:val="20"/>
          <w:lang w:val="es-ES"/>
        </w:rPr>
        <w:t xml:space="preserve">analice </w:t>
      </w:r>
      <w:r w:rsidRPr="000E0384">
        <w:rPr>
          <w:rFonts w:ascii="Verdana" w:hAnsi="Verdana"/>
          <w:sz w:val="20"/>
          <w:szCs w:val="20"/>
          <w:lang w:val="es-ES"/>
        </w:rPr>
        <w:t>las medidas adecuadas para la creación de un registro</w:t>
      </w:r>
      <w:r w:rsidRPr="00034B1F">
        <w:rPr>
          <w:rFonts w:ascii="Verdana" w:hAnsi="Verdana"/>
          <w:sz w:val="20"/>
          <w:szCs w:val="20"/>
          <w:lang w:val="es-ES"/>
        </w:rPr>
        <w:t xml:space="preserve"> único y actualizado de personas desaparecidas que permita la generación de datos estadísticos, desagregados por sexo, edad, lugar y autoridades presuntamente involucradas, que permita determinar claramente en qué casos se trata de “desapariciones forzadas</w:t>
      </w:r>
      <w:r w:rsidRPr="000105E6">
        <w:rPr>
          <w:rFonts w:ascii="Verdana" w:hAnsi="Verdana"/>
          <w:sz w:val="20"/>
          <w:szCs w:val="20"/>
          <w:lang w:val="es-ES"/>
        </w:rPr>
        <w:t xml:space="preserve">”, con miras a desarrollar políticas integrales y coordinadas encaminadas a prevenir, investigar, sancionar y erradicar esta práctica. Para ello, </w:t>
      </w:r>
      <w:r w:rsidRPr="008D0846">
        <w:rPr>
          <w:rFonts w:ascii="Verdana" w:hAnsi="Verdana"/>
          <w:sz w:val="20"/>
          <w:szCs w:val="20"/>
          <w:lang w:val="es-ES"/>
        </w:rPr>
        <w:t xml:space="preserve">en su informe anual, </w:t>
      </w:r>
      <w:r w:rsidRPr="000E0384">
        <w:rPr>
          <w:rFonts w:ascii="Verdana" w:hAnsi="Verdana"/>
          <w:sz w:val="20"/>
          <w:szCs w:val="20"/>
          <w:lang w:val="es-ES"/>
        </w:rPr>
        <w:t xml:space="preserve">el Estado </w:t>
      </w:r>
      <w:r w:rsidRPr="008D0846">
        <w:rPr>
          <w:rFonts w:ascii="Verdana" w:hAnsi="Verdana"/>
          <w:sz w:val="20"/>
          <w:szCs w:val="20"/>
          <w:lang w:val="es-ES"/>
        </w:rPr>
        <w:t xml:space="preserve">deberá </w:t>
      </w:r>
      <w:r w:rsidR="00474CC9" w:rsidRPr="008D0846">
        <w:rPr>
          <w:rFonts w:ascii="Verdana" w:hAnsi="Verdana"/>
          <w:sz w:val="20"/>
          <w:szCs w:val="20"/>
          <w:lang w:val="es-ES"/>
        </w:rPr>
        <w:t xml:space="preserve">reportar </w:t>
      </w:r>
      <w:r w:rsidRPr="008D0846">
        <w:rPr>
          <w:rFonts w:ascii="Verdana" w:hAnsi="Verdana"/>
          <w:sz w:val="20"/>
          <w:szCs w:val="20"/>
          <w:lang w:val="es-ES"/>
        </w:rPr>
        <w:t>a la Corte sobre la adopción de</w:t>
      </w:r>
      <w:r w:rsidR="00474CC9" w:rsidRPr="008D0846">
        <w:rPr>
          <w:rFonts w:ascii="Verdana" w:hAnsi="Verdana"/>
          <w:sz w:val="20"/>
          <w:szCs w:val="20"/>
          <w:lang w:val="es-ES"/>
        </w:rPr>
        <w:t xml:space="preserve"> tales</w:t>
      </w:r>
      <w:r w:rsidRPr="008D0846">
        <w:rPr>
          <w:rFonts w:ascii="Verdana" w:hAnsi="Verdana"/>
          <w:sz w:val="20"/>
          <w:szCs w:val="20"/>
          <w:lang w:val="es-ES"/>
        </w:rPr>
        <w:t xml:space="preserve"> medidas</w:t>
      </w:r>
      <w:r w:rsidR="00474CC9" w:rsidRPr="008D0846">
        <w:rPr>
          <w:rFonts w:ascii="Verdana" w:hAnsi="Verdana"/>
          <w:sz w:val="20"/>
          <w:szCs w:val="20"/>
          <w:lang w:val="es-ES"/>
        </w:rPr>
        <w:t xml:space="preserve">. </w:t>
      </w:r>
    </w:p>
    <w:p w14:paraId="148BA639" w14:textId="674ECD87" w:rsidR="00A13565" w:rsidRPr="00744CE4" w:rsidRDefault="00E34BFF" w:rsidP="008D0846">
      <w:pPr>
        <w:pStyle w:val="Ttulo3"/>
        <w:numPr>
          <w:ilvl w:val="0"/>
          <w:numId w:val="70"/>
        </w:numPr>
        <w:spacing w:before="120" w:after="120"/>
        <w:ind w:left="2268" w:hanging="426"/>
        <w:contextualSpacing w:val="0"/>
        <w:rPr>
          <w:b w:val="0"/>
          <w:lang w:val="es-ES"/>
        </w:rPr>
      </w:pPr>
      <w:bookmarkStart w:id="391" w:name="_Toc529192756"/>
      <w:bookmarkEnd w:id="391"/>
      <w:r>
        <w:rPr>
          <w:b w:val="0"/>
          <w:lang w:val="es-ES"/>
        </w:rPr>
        <w:t xml:space="preserve"> </w:t>
      </w:r>
      <w:bookmarkStart w:id="392" w:name="_Toc532995412"/>
      <w:r w:rsidR="00A13565" w:rsidRPr="002C462C">
        <w:rPr>
          <w:b w:val="0"/>
          <w:lang w:val="es-ES"/>
        </w:rPr>
        <w:t>C</w:t>
      </w:r>
      <w:r w:rsidR="00A13565" w:rsidRPr="00744CE4">
        <w:rPr>
          <w:b w:val="0"/>
          <w:lang w:val="es-ES"/>
        </w:rPr>
        <w:t>apacitaciones</w:t>
      </w:r>
      <w:bookmarkEnd w:id="392"/>
      <w:r w:rsidR="00A13565" w:rsidRPr="00744CE4">
        <w:rPr>
          <w:b w:val="0"/>
          <w:lang w:val="es-ES"/>
        </w:rPr>
        <w:t xml:space="preserve"> </w:t>
      </w:r>
    </w:p>
    <w:p w14:paraId="3B7AD860" w14:textId="1914BAF6"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b/>
          <w:sz w:val="20"/>
          <w:szCs w:val="20"/>
          <w:lang w:val="es-EC"/>
        </w:rPr>
      </w:pPr>
      <w:r w:rsidRPr="00744CE4">
        <w:rPr>
          <w:rFonts w:ascii="Verdana" w:eastAsia="Times New Roman" w:hAnsi="Verdana" w:cs="Times New Roman"/>
          <w:sz w:val="20"/>
          <w:szCs w:val="20"/>
          <w:lang w:val="es-ES"/>
        </w:rPr>
        <w:t>La</w:t>
      </w:r>
      <w:r w:rsidRPr="00744CE4">
        <w:rPr>
          <w:rFonts w:ascii="Verdana" w:hAnsi="Verdana" w:cs="Times New Roman"/>
          <w:sz w:val="20"/>
          <w:szCs w:val="20"/>
          <w:lang w:val="es-EC"/>
        </w:rPr>
        <w:t xml:space="preserve"> </w:t>
      </w:r>
      <w:r w:rsidRPr="00C96C12">
        <w:rPr>
          <w:rFonts w:ascii="Verdana" w:hAnsi="Verdana" w:cs="Times New Roman"/>
          <w:b/>
          <w:i/>
          <w:sz w:val="20"/>
          <w:szCs w:val="20"/>
          <w:lang w:val="es-EC"/>
        </w:rPr>
        <w:t>Corte</w:t>
      </w:r>
      <w:r w:rsidRPr="00744CE4">
        <w:rPr>
          <w:rFonts w:ascii="Verdana" w:hAnsi="Verdana" w:cs="Times New Roman"/>
          <w:sz w:val="20"/>
          <w:szCs w:val="20"/>
          <w:lang w:val="es-EC"/>
        </w:rPr>
        <w:t xml:space="preserve"> toma nota de la información del Estado en el sentido que, en materia de desaparición de personas</w:t>
      </w:r>
      <w:r w:rsidR="00034B1F">
        <w:rPr>
          <w:rFonts w:ascii="Verdana" w:hAnsi="Verdana" w:cs="Times New Roman"/>
          <w:sz w:val="20"/>
          <w:szCs w:val="20"/>
          <w:lang w:val="es-EC"/>
        </w:rPr>
        <w:t>,</w:t>
      </w:r>
      <w:r w:rsidRPr="00744CE4">
        <w:rPr>
          <w:rFonts w:ascii="Verdana" w:hAnsi="Verdana" w:cs="Times New Roman"/>
          <w:sz w:val="20"/>
          <w:szCs w:val="20"/>
          <w:lang w:val="es-EC"/>
        </w:rPr>
        <w:t xml:space="preserve"> ya ha implementado una serie de medidas estructurales encaminadas a evitar la repetición de los hechos, a saber: i) la </w:t>
      </w:r>
      <w:r w:rsidRPr="00744CE4">
        <w:rPr>
          <w:rFonts w:ascii="Verdana" w:hAnsi="Verdana" w:cs="Times New Roman"/>
          <w:sz w:val="20"/>
          <w:szCs w:val="20"/>
          <w:lang w:val="es-CR"/>
        </w:rPr>
        <w:t>Secretaria de l</w:t>
      </w:r>
      <w:r w:rsidR="00034B1F">
        <w:rPr>
          <w:rFonts w:ascii="Verdana" w:hAnsi="Verdana" w:cs="Times New Roman"/>
          <w:sz w:val="20"/>
          <w:szCs w:val="20"/>
          <w:lang w:val="es-CR"/>
        </w:rPr>
        <w:t>a</w:t>
      </w:r>
      <w:r w:rsidRPr="00744CE4">
        <w:rPr>
          <w:rFonts w:ascii="Verdana" w:hAnsi="Verdana" w:cs="Times New Roman"/>
          <w:sz w:val="20"/>
          <w:szCs w:val="20"/>
          <w:lang w:val="es-CR"/>
        </w:rPr>
        <w:t xml:space="preserve"> Defensa Nacional de México</w:t>
      </w:r>
      <w:r w:rsidRPr="00744CE4">
        <w:rPr>
          <w:rFonts w:ascii="Verdana" w:hAnsi="Verdana" w:cs="Times New Roman"/>
          <w:sz w:val="20"/>
          <w:szCs w:val="20"/>
          <w:lang w:val="es-EC"/>
        </w:rPr>
        <w:t xml:space="preserve"> (SEDENA</w:t>
      </w:r>
      <w:r w:rsidRPr="00744CE4">
        <w:rPr>
          <w:rFonts w:ascii="Verdana" w:hAnsi="Verdana" w:cs="Times New Roman"/>
          <w:sz w:val="20"/>
          <w:szCs w:val="20"/>
          <w:lang w:val="es-CR"/>
        </w:rPr>
        <w:t>)</w:t>
      </w:r>
      <w:r w:rsidR="00034B1F">
        <w:rPr>
          <w:rFonts w:ascii="Verdana" w:hAnsi="Verdana" w:cs="Times New Roman"/>
          <w:sz w:val="20"/>
          <w:szCs w:val="20"/>
          <w:lang w:val="es-EC"/>
        </w:rPr>
        <w:t>,</w:t>
      </w:r>
      <w:r w:rsidR="00034B1F" w:rsidRPr="00034B1F">
        <w:rPr>
          <w:rFonts w:ascii="Verdana" w:hAnsi="Verdana"/>
          <w:sz w:val="20"/>
          <w:szCs w:val="20"/>
          <w:lang w:val="es-ES"/>
        </w:rPr>
        <w:t xml:space="preserve"> “</w:t>
      </w:r>
      <w:r w:rsidRPr="00744CE4">
        <w:rPr>
          <w:rFonts w:ascii="Verdana" w:hAnsi="Verdana" w:cs="Times New Roman"/>
          <w:sz w:val="20"/>
          <w:szCs w:val="20"/>
          <w:lang w:val="es-EC"/>
        </w:rPr>
        <w:t xml:space="preserve">ha implementado academias, conferencias, talleres, diplomados y cursos, a través de dos grandes sistemas: Educativo Militar y </w:t>
      </w:r>
      <w:r w:rsidR="00034B1F">
        <w:rPr>
          <w:rFonts w:ascii="Verdana" w:hAnsi="Verdana" w:cs="Times New Roman"/>
          <w:sz w:val="20"/>
          <w:szCs w:val="20"/>
          <w:lang w:val="es-EC"/>
        </w:rPr>
        <w:t>[</w:t>
      </w:r>
      <w:r w:rsidRPr="00744CE4">
        <w:rPr>
          <w:rFonts w:ascii="Verdana" w:hAnsi="Verdana" w:cs="Times New Roman"/>
          <w:sz w:val="20"/>
          <w:szCs w:val="20"/>
          <w:lang w:val="es-EC"/>
        </w:rPr>
        <w:t>d</w:t>
      </w:r>
      <w:r w:rsidR="00034B1F">
        <w:rPr>
          <w:rFonts w:ascii="Verdana" w:hAnsi="Verdana" w:cs="Times New Roman"/>
          <w:sz w:val="20"/>
          <w:szCs w:val="20"/>
          <w:lang w:val="es-EC"/>
        </w:rPr>
        <w:t>]</w:t>
      </w:r>
      <w:r w:rsidRPr="00744CE4">
        <w:rPr>
          <w:rFonts w:ascii="Verdana" w:hAnsi="Verdana" w:cs="Times New Roman"/>
          <w:sz w:val="20"/>
          <w:szCs w:val="20"/>
          <w:lang w:val="es-EC"/>
        </w:rPr>
        <w:t>e Adiestramiento</w:t>
      </w:r>
      <w:r w:rsidR="00034B1F">
        <w:rPr>
          <w:rFonts w:ascii="Verdana" w:hAnsi="Verdana" w:cs="Times New Roman"/>
          <w:sz w:val="20"/>
          <w:szCs w:val="20"/>
          <w:lang w:val="es-EC"/>
        </w:rPr>
        <w:t>”, y</w:t>
      </w:r>
      <w:r w:rsidRPr="00744CE4">
        <w:rPr>
          <w:rFonts w:ascii="Verdana" w:hAnsi="Verdana" w:cs="Times New Roman"/>
          <w:sz w:val="20"/>
          <w:szCs w:val="20"/>
          <w:lang w:val="es-EC"/>
        </w:rPr>
        <w:t xml:space="preserve"> ii) también ha buscado colaborar con diversas instituciones, celebrando distintos convenios para robustecer lo implementado por la propia </w:t>
      </w:r>
      <w:r w:rsidR="00034B1F">
        <w:rPr>
          <w:rFonts w:ascii="Verdana" w:hAnsi="Verdana" w:cs="Times New Roman"/>
          <w:sz w:val="20"/>
          <w:szCs w:val="20"/>
          <w:lang w:val="es-EC"/>
        </w:rPr>
        <w:t>SEDENA</w:t>
      </w:r>
      <w:r w:rsidRPr="00744CE4">
        <w:rPr>
          <w:rFonts w:ascii="Verdana" w:hAnsi="Verdana" w:cs="Times New Roman"/>
          <w:sz w:val="20"/>
          <w:szCs w:val="20"/>
          <w:lang w:val="es-EC"/>
        </w:rPr>
        <w:t xml:space="preserve">. </w:t>
      </w:r>
    </w:p>
    <w:p w14:paraId="0D0B94B5" w14:textId="411B36B6"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b/>
          <w:sz w:val="20"/>
          <w:szCs w:val="20"/>
          <w:lang w:val="es-EC"/>
        </w:rPr>
      </w:pPr>
      <w:r w:rsidRPr="00744CE4">
        <w:rPr>
          <w:rFonts w:ascii="Verdana" w:hAnsi="Verdana" w:cs="Times New Roman"/>
          <w:sz w:val="20"/>
          <w:szCs w:val="20"/>
          <w:lang w:val="es-CR"/>
        </w:rPr>
        <w:t xml:space="preserve">Esta </w:t>
      </w:r>
      <w:r w:rsidRPr="00C96C12">
        <w:rPr>
          <w:rFonts w:ascii="Verdana" w:hAnsi="Verdana" w:cs="Times New Roman"/>
          <w:sz w:val="20"/>
          <w:szCs w:val="20"/>
          <w:lang w:val="es-CR"/>
        </w:rPr>
        <w:t>Corte</w:t>
      </w:r>
      <w:r w:rsidRPr="00744CE4">
        <w:rPr>
          <w:rFonts w:ascii="Verdana" w:hAnsi="Verdana" w:cs="Times New Roman"/>
          <w:sz w:val="20"/>
          <w:szCs w:val="20"/>
          <w:lang w:val="es-CR"/>
        </w:rPr>
        <w:t xml:space="preserve"> ha establecido que la capacitación de funcionarios públicos es una medida </w:t>
      </w:r>
      <w:r w:rsidRPr="00744CE4">
        <w:rPr>
          <w:rFonts w:ascii="Verdana" w:hAnsi="Verdana" w:cs="Times New Roman"/>
          <w:sz w:val="20"/>
          <w:szCs w:val="20"/>
          <w:lang w:val="es-CR"/>
        </w:rPr>
        <w:lastRenderedPageBreak/>
        <w:t>importante para garantizar la no repetición de los hechos que generaron las violaciones</w:t>
      </w:r>
      <w:r w:rsidRPr="00744CE4">
        <w:rPr>
          <w:rStyle w:val="Refdenotaalpie"/>
          <w:rFonts w:ascii="Verdana" w:hAnsi="Verdana"/>
          <w:sz w:val="20"/>
          <w:szCs w:val="20"/>
        </w:rPr>
        <w:footnoteReference w:id="556"/>
      </w:r>
      <w:r w:rsidRPr="00744CE4">
        <w:rPr>
          <w:rFonts w:ascii="Verdana" w:hAnsi="Verdana" w:cs="Times New Roman"/>
          <w:sz w:val="20"/>
          <w:szCs w:val="20"/>
          <w:lang w:val="es-CR"/>
        </w:rPr>
        <w:t xml:space="preserve">. </w:t>
      </w:r>
      <w:r w:rsidRPr="00744CE4">
        <w:rPr>
          <w:rFonts w:ascii="Verdana" w:hAnsi="Verdana" w:cs="Times New Roman"/>
          <w:sz w:val="20"/>
          <w:szCs w:val="20"/>
          <w:lang w:val="es-CR" w:bidi="en-US"/>
        </w:rPr>
        <w:t>Es así que la capacitación, como sistema de formación continua, se debe extender durante un lapso importante para cumplir sus objetivo</w:t>
      </w:r>
      <w:r w:rsidRPr="00295DD9">
        <w:rPr>
          <w:rFonts w:ascii="Verdana" w:hAnsi="Verdana" w:cs="Times New Roman"/>
          <w:sz w:val="20"/>
          <w:szCs w:val="20"/>
          <w:lang w:val="es-CR" w:bidi="en-US"/>
        </w:rPr>
        <w:t>s</w:t>
      </w:r>
      <w:r w:rsidRPr="008D0846">
        <w:rPr>
          <w:rStyle w:val="Caracteresdenotaalpie"/>
          <w:rFonts w:ascii="Verdana" w:hAnsi="Verdana" w:cs="Times New Roman"/>
          <w:sz w:val="20"/>
          <w:szCs w:val="20"/>
          <w:lang w:bidi="en-US"/>
        </w:rPr>
        <w:footnoteReference w:id="557"/>
      </w:r>
      <w:r w:rsidRPr="00295DD9">
        <w:rPr>
          <w:rFonts w:ascii="Verdana" w:hAnsi="Verdana" w:cs="Times New Roman"/>
          <w:sz w:val="20"/>
          <w:szCs w:val="20"/>
          <w:lang w:val="es-CR" w:bidi="en-US"/>
        </w:rPr>
        <w:t>.</w:t>
      </w:r>
      <w:r w:rsidRPr="00744CE4">
        <w:rPr>
          <w:rFonts w:ascii="Verdana" w:hAnsi="Verdana" w:cs="Times New Roman"/>
          <w:sz w:val="20"/>
          <w:szCs w:val="20"/>
          <w:lang w:val="es-CR" w:bidi="en-US"/>
        </w:rPr>
        <w:t xml:space="preserve"> </w:t>
      </w:r>
    </w:p>
    <w:p w14:paraId="172C5044" w14:textId="4B552BD5"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b/>
          <w:sz w:val="20"/>
          <w:szCs w:val="20"/>
          <w:lang w:val="es-EC"/>
        </w:rPr>
      </w:pPr>
      <w:r w:rsidRPr="00744CE4">
        <w:rPr>
          <w:rFonts w:ascii="Verdana" w:hAnsi="Verdana" w:cs="Times New Roman"/>
          <w:sz w:val="20"/>
          <w:szCs w:val="20"/>
          <w:lang w:val="es-CR" w:bidi="en-US"/>
        </w:rPr>
        <w:t>E</w:t>
      </w:r>
      <w:r w:rsidR="0059159E" w:rsidRPr="00744CE4">
        <w:rPr>
          <w:rFonts w:ascii="Verdana" w:hAnsi="Verdana" w:cs="Times New Roman"/>
          <w:sz w:val="20"/>
          <w:szCs w:val="20"/>
          <w:lang w:val="es-CR" w:bidi="en-US"/>
        </w:rPr>
        <w:t>n</w:t>
      </w:r>
      <w:r w:rsidRPr="00744CE4">
        <w:rPr>
          <w:rFonts w:ascii="Verdana" w:hAnsi="Verdana" w:cs="Times New Roman"/>
          <w:sz w:val="20"/>
          <w:szCs w:val="20"/>
          <w:lang w:val="es-CR" w:bidi="en-US"/>
        </w:rPr>
        <w:t xml:space="preserve"> razón de lo anterior, l</w:t>
      </w:r>
      <w:r w:rsidRPr="00432ABC">
        <w:rPr>
          <w:rFonts w:ascii="Verdana" w:hAnsi="Verdana" w:cs="Times New Roman"/>
          <w:sz w:val="20"/>
          <w:szCs w:val="20"/>
          <w:lang w:val="es-CR" w:bidi="en-US"/>
        </w:rPr>
        <w:t xml:space="preserve">a Corte exhorta al Estado continuar con los esfuerzos seguidos actualmente en materia de capacitación en derechos humanos dirigidos a las Fuerzas Armadas y </w:t>
      </w:r>
      <w:r w:rsidR="00C730B4">
        <w:rPr>
          <w:rFonts w:ascii="Verdana" w:hAnsi="Verdana" w:cs="Times New Roman"/>
          <w:sz w:val="20"/>
          <w:szCs w:val="20"/>
          <w:lang w:val="es-CR" w:bidi="en-US"/>
        </w:rPr>
        <w:t xml:space="preserve">la </w:t>
      </w:r>
      <w:r w:rsidRPr="00432ABC">
        <w:rPr>
          <w:rFonts w:ascii="Verdana" w:hAnsi="Verdana" w:cs="Times New Roman"/>
          <w:sz w:val="20"/>
          <w:szCs w:val="20"/>
          <w:lang w:val="es-CR" w:bidi="en-US"/>
        </w:rPr>
        <w:t xml:space="preserve">Policía. En este sentido, </w:t>
      </w:r>
      <w:r w:rsidR="00C730B4">
        <w:rPr>
          <w:rFonts w:ascii="Verdana" w:hAnsi="Verdana" w:cs="Times New Roman"/>
          <w:sz w:val="20"/>
          <w:szCs w:val="20"/>
          <w:lang w:val="es-CR" w:bidi="en-US"/>
        </w:rPr>
        <w:t xml:space="preserve">se </w:t>
      </w:r>
      <w:r w:rsidRPr="00432ABC">
        <w:rPr>
          <w:rFonts w:ascii="Verdana" w:hAnsi="Verdana" w:cs="Times New Roman"/>
          <w:sz w:val="20"/>
          <w:szCs w:val="20"/>
          <w:lang w:val="es-CR" w:bidi="en-US"/>
        </w:rPr>
        <w:t>requiere que en dichas capacitaciones se incorporen los estándares desarrollados en esta Sentencia, con especial enfoque en las salvaguard</w:t>
      </w:r>
      <w:r w:rsidR="00C730B4">
        <w:rPr>
          <w:rFonts w:ascii="Verdana" w:hAnsi="Verdana" w:cs="Times New Roman"/>
          <w:sz w:val="20"/>
          <w:szCs w:val="20"/>
          <w:lang w:val="es-CR" w:bidi="en-US"/>
        </w:rPr>
        <w:t>i</w:t>
      </w:r>
      <w:r w:rsidRPr="00432ABC">
        <w:rPr>
          <w:rFonts w:ascii="Verdana" w:hAnsi="Verdana" w:cs="Times New Roman"/>
          <w:sz w:val="20"/>
          <w:szCs w:val="20"/>
          <w:lang w:val="es-CR" w:bidi="en-US"/>
        </w:rPr>
        <w:t>as frente a la participación de ambas corporaciones en labores de seguridad ciuda</w:t>
      </w:r>
      <w:r w:rsidR="00C730B4">
        <w:rPr>
          <w:rFonts w:ascii="Verdana" w:hAnsi="Verdana" w:cs="Times New Roman"/>
          <w:sz w:val="20"/>
          <w:szCs w:val="20"/>
          <w:lang w:val="es-CR" w:bidi="en-US"/>
        </w:rPr>
        <w:t>da</w:t>
      </w:r>
      <w:r w:rsidRPr="00432ABC">
        <w:rPr>
          <w:rFonts w:ascii="Verdana" w:hAnsi="Verdana" w:cs="Times New Roman"/>
          <w:sz w:val="20"/>
          <w:szCs w:val="20"/>
          <w:lang w:val="es-CR" w:bidi="en-US"/>
        </w:rPr>
        <w:t>na</w:t>
      </w:r>
      <w:r w:rsidR="00A9714E">
        <w:rPr>
          <w:rFonts w:ascii="Verdana" w:hAnsi="Verdana" w:cs="Times New Roman"/>
          <w:sz w:val="20"/>
          <w:szCs w:val="20"/>
          <w:lang w:val="es-CR" w:bidi="en-US"/>
        </w:rPr>
        <w:t xml:space="preserve"> (</w:t>
      </w:r>
      <w:r w:rsidR="00A9714E">
        <w:rPr>
          <w:rFonts w:ascii="Verdana" w:hAnsi="Verdana" w:cs="Times New Roman"/>
          <w:i/>
          <w:sz w:val="20"/>
          <w:szCs w:val="20"/>
          <w:lang w:val="es-CR" w:bidi="en-US"/>
        </w:rPr>
        <w:t xml:space="preserve">supra </w:t>
      </w:r>
      <w:r w:rsidR="00A9714E">
        <w:rPr>
          <w:rFonts w:ascii="Verdana" w:hAnsi="Verdana" w:cs="Times New Roman"/>
          <w:sz w:val="20"/>
          <w:szCs w:val="20"/>
          <w:lang w:val="es-CR" w:bidi="en-US"/>
        </w:rPr>
        <w:t>párrs. 177 a 183)</w:t>
      </w:r>
      <w:r w:rsidRPr="00432ABC">
        <w:rPr>
          <w:rFonts w:ascii="Verdana" w:hAnsi="Verdana" w:cs="Times New Roman"/>
          <w:sz w:val="20"/>
          <w:szCs w:val="20"/>
          <w:lang w:val="es-CR" w:bidi="en-US"/>
        </w:rPr>
        <w:t>. Asimismo, resalta la importancia de implementar un sistema de formación continua, por lo que requiere al Estado que comun</w:t>
      </w:r>
      <w:r w:rsidR="0059159E" w:rsidRPr="002C462C">
        <w:rPr>
          <w:rFonts w:ascii="Verdana" w:hAnsi="Verdana" w:cs="Times New Roman"/>
          <w:sz w:val="20"/>
          <w:szCs w:val="20"/>
          <w:lang w:val="es-CR" w:bidi="en-US"/>
        </w:rPr>
        <w:t>ique</w:t>
      </w:r>
      <w:r w:rsidRPr="002C462C">
        <w:rPr>
          <w:rFonts w:ascii="Verdana" w:hAnsi="Verdana" w:cs="Times New Roman"/>
          <w:sz w:val="20"/>
          <w:szCs w:val="20"/>
          <w:lang w:val="es-CR" w:bidi="en-US"/>
        </w:rPr>
        <w:t xml:space="preserve"> a esta Corte por medio de infor</w:t>
      </w:r>
      <w:r w:rsidRPr="00744CE4">
        <w:rPr>
          <w:rFonts w:ascii="Verdana" w:hAnsi="Verdana" w:cs="Times New Roman"/>
          <w:sz w:val="20"/>
          <w:szCs w:val="20"/>
          <w:lang w:val="es-CR" w:bidi="en-US"/>
        </w:rPr>
        <w:t>mes anuales, y por un periodo de tres años, sobre la implementación de dichas capacitaciones.</w:t>
      </w:r>
    </w:p>
    <w:p w14:paraId="287F8093" w14:textId="28C8D004" w:rsidR="00135675" w:rsidRPr="00744CE4" w:rsidRDefault="00E34BFF" w:rsidP="008D0846">
      <w:pPr>
        <w:pStyle w:val="Ttulo3"/>
        <w:numPr>
          <w:ilvl w:val="0"/>
          <w:numId w:val="70"/>
        </w:numPr>
        <w:spacing w:before="120" w:after="120"/>
        <w:ind w:left="2268" w:hanging="426"/>
        <w:contextualSpacing w:val="0"/>
        <w:rPr>
          <w:rFonts w:eastAsia="Times New Roman"/>
          <w:b w:val="0"/>
          <w:lang w:val="es-CR"/>
        </w:rPr>
      </w:pPr>
      <w:bookmarkStart w:id="393" w:name="_Toc526783832"/>
      <w:r>
        <w:rPr>
          <w:b w:val="0"/>
          <w:lang w:val="es-ES"/>
        </w:rPr>
        <w:t xml:space="preserve"> </w:t>
      </w:r>
      <w:bookmarkStart w:id="394" w:name="_Toc532995413"/>
      <w:r w:rsidR="00A81849" w:rsidRPr="00744CE4">
        <w:rPr>
          <w:b w:val="0"/>
          <w:lang w:val="es-ES"/>
        </w:rPr>
        <w:t>A</w:t>
      </w:r>
      <w:r w:rsidR="009114A1" w:rsidRPr="00744CE4">
        <w:rPr>
          <w:b w:val="0"/>
          <w:lang w:val="es-ES"/>
        </w:rPr>
        <w:t xml:space="preserve">dopción de medidas de </w:t>
      </w:r>
      <w:r w:rsidR="00A13565" w:rsidRPr="00744CE4">
        <w:rPr>
          <w:b w:val="0"/>
          <w:lang w:val="es-ES"/>
        </w:rPr>
        <w:t xml:space="preserve">prevención </w:t>
      </w:r>
      <w:r w:rsidR="009114A1" w:rsidRPr="00744CE4">
        <w:rPr>
          <w:b w:val="0"/>
          <w:lang w:val="es-ES"/>
        </w:rPr>
        <w:t>y garantías de retorno.</w:t>
      </w:r>
      <w:bookmarkEnd w:id="393"/>
      <w:bookmarkEnd w:id="394"/>
      <w:r w:rsidR="009114A1" w:rsidRPr="00744CE4">
        <w:rPr>
          <w:rFonts w:eastAsia="Times New Roman"/>
          <w:b w:val="0"/>
          <w:lang w:val="es-CR"/>
        </w:rPr>
        <w:t xml:space="preserve"> </w:t>
      </w:r>
    </w:p>
    <w:p w14:paraId="172914E6" w14:textId="3E900359"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744CE4">
        <w:rPr>
          <w:rFonts w:ascii="Verdana" w:eastAsia="Times New Roman" w:hAnsi="Verdana" w:cs="Times New Roman"/>
          <w:sz w:val="20"/>
          <w:szCs w:val="20"/>
          <w:lang w:val="es-ES"/>
        </w:rPr>
        <w:t xml:space="preserve">La </w:t>
      </w:r>
      <w:r w:rsidRPr="005053BD">
        <w:rPr>
          <w:rFonts w:ascii="Verdana" w:hAnsi="Verdana" w:cs="Times New Roman"/>
          <w:b/>
          <w:i/>
          <w:sz w:val="20"/>
          <w:szCs w:val="20"/>
          <w:lang w:val="es-ES"/>
        </w:rPr>
        <w:t>Corte</w:t>
      </w:r>
      <w:r w:rsidRPr="00744CE4">
        <w:rPr>
          <w:rFonts w:ascii="Verdana" w:eastAsia="Times New Roman" w:hAnsi="Verdana" w:cs="Times New Roman"/>
          <w:sz w:val="20"/>
          <w:szCs w:val="20"/>
          <w:lang w:val="es-ES"/>
        </w:rPr>
        <w:t xml:space="preserve"> declaró las violaciones a los derechos reconocidos en los artículos 5 y 22 de la Convención, con motivo del riesgo derivado de las desapariciones y amenazas, así como de los desplazamientos y falta de garantías de retorno (</w:t>
      </w:r>
      <w:r w:rsidR="00B64267">
        <w:rPr>
          <w:rFonts w:ascii="Verdana" w:eastAsia="Times New Roman" w:hAnsi="Verdana" w:cs="Times New Roman"/>
          <w:sz w:val="20"/>
          <w:szCs w:val="20"/>
          <w:lang w:val="es-ES"/>
        </w:rPr>
        <w:t>C</w:t>
      </w:r>
      <w:r w:rsidRPr="00744CE4">
        <w:rPr>
          <w:rFonts w:ascii="Verdana" w:eastAsia="Times New Roman" w:hAnsi="Verdana" w:cs="Times New Roman"/>
          <w:sz w:val="20"/>
          <w:szCs w:val="20"/>
          <w:lang w:val="es-ES"/>
        </w:rPr>
        <w:t xml:space="preserve">apítulo VII.3).  </w:t>
      </w:r>
    </w:p>
    <w:p w14:paraId="6E4BECE6" w14:textId="1F6501E0" w:rsidR="009114A1" w:rsidRPr="00432ABC"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b/>
          <w:sz w:val="20"/>
          <w:szCs w:val="20"/>
          <w:lang w:val="es-CR"/>
        </w:rPr>
      </w:pPr>
      <w:r w:rsidRPr="00744CE4">
        <w:rPr>
          <w:rFonts w:ascii="Verdana" w:eastAsia="Times New Roman" w:hAnsi="Verdana" w:cs="Times New Roman"/>
          <w:sz w:val="20"/>
          <w:szCs w:val="20"/>
          <w:lang w:val="es-ES"/>
        </w:rPr>
        <w:t xml:space="preserve">En este sentido, por un lado, </w:t>
      </w:r>
      <w:r w:rsidRPr="00744CE4">
        <w:rPr>
          <w:rFonts w:ascii="Verdana" w:hAnsi="Verdana"/>
          <w:sz w:val="20"/>
          <w:szCs w:val="20"/>
          <w:lang w:val="es-CR"/>
        </w:rPr>
        <w:t>el Estado deberá adoptar, de forma inmediata, las medidas que sean suficientes y necesarias a fin de proteger la vida e integridad personal de las víctimas del caso, a la luz de diagnósticos actualizados sobre la situación de riesgo y las necesidades particulares e impactos diferenciados, de común acuerdo con las víctimas o sus representantes</w:t>
      </w:r>
      <w:r w:rsidRPr="00744CE4">
        <w:rPr>
          <w:rStyle w:val="Refdenotaalpie"/>
          <w:rFonts w:ascii="Verdana" w:hAnsi="Verdana"/>
          <w:sz w:val="20"/>
          <w:szCs w:val="20"/>
          <w:lang w:val="es-CR"/>
        </w:rPr>
        <w:footnoteReference w:id="558"/>
      </w:r>
      <w:r w:rsidRPr="00744CE4">
        <w:rPr>
          <w:rFonts w:ascii="Verdana" w:hAnsi="Verdana"/>
          <w:sz w:val="20"/>
          <w:szCs w:val="20"/>
          <w:lang w:val="es-CR"/>
        </w:rPr>
        <w:t xml:space="preserve">. </w:t>
      </w:r>
      <w:r w:rsidR="002637F4" w:rsidRPr="00744CE4">
        <w:rPr>
          <w:rFonts w:ascii="Verdana" w:hAnsi="Verdana"/>
          <w:sz w:val="20"/>
          <w:szCs w:val="20"/>
          <w:lang w:val="es-CR"/>
        </w:rPr>
        <w:t xml:space="preserve">Para ello, el Estado deberá informar a la Corte sobre las medidas adoptadas en relación con la situación de riesgo, en el plazo de 6 meses </w:t>
      </w:r>
      <w:r w:rsidR="00A64184" w:rsidRPr="00432ABC">
        <w:rPr>
          <w:rFonts w:ascii="Verdana" w:hAnsi="Verdana"/>
          <w:sz w:val="20"/>
          <w:szCs w:val="20"/>
          <w:lang w:val="es-CR"/>
        </w:rPr>
        <w:t>contados</w:t>
      </w:r>
      <w:r w:rsidR="002637F4" w:rsidRPr="00432ABC">
        <w:rPr>
          <w:rFonts w:ascii="Verdana" w:hAnsi="Verdana"/>
          <w:sz w:val="20"/>
          <w:szCs w:val="20"/>
          <w:lang w:val="es-CR"/>
        </w:rPr>
        <w:t xml:space="preserve"> a partir de la notificación de </w:t>
      </w:r>
      <w:r w:rsidR="00FA27D7">
        <w:rPr>
          <w:rFonts w:ascii="Verdana" w:hAnsi="Verdana"/>
          <w:sz w:val="20"/>
          <w:szCs w:val="20"/>
          <w:lang w:val="es-CR"/>
        </w:rPr>
        <w:t>est</w:t>
      </w:r>
      <w:r w:rsidR="002637F4" w:rsidRPr="00432ABC">
        <w:rPr>
          <w:rFonts w:ascii="Verdana" w:hAnsi="Verdana"/>
          <w:sz w:val="20"/>
          <w:szCs w:val="20"/>
          <w:lang w:val="es-CR"/>
        </w:rPr>
        <w:t xml:space="preserve">a Sentencia. </w:t>
      </w:r>
    </w:p>
    <w:p w14:paraId="3F4409BF" w14:textId="0AF361A3"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CR"/>
        </w:rPr>
      </w:pPr>
      <w:r w:rsidRPr="002C462C">
        <w:rPr>
          <w:rFonts w:ascii="Verdana" w:hAnsi="Verdana"/>
          <w:sz w:val="20"/>
          <w:szCs w:val="20"/>
          <w:lang w:val="es-CR"/>
        </w:rPr>
        <w:t>Por otra parte, la Corte toma nota y valora que el Estado reportó a la Corte medidas para reubicar de manera consensuada a algunos familiares (</w:t>
      </w:r>
      <w:r w:rsidR="00205AF7" w:rsidRPr="00744CE4">
        <w:rPr>
          <w:rFonts w:ascii="Verdana" w:hAnsi="Verdana"/>
          <w:i/>
          <w:sz w:val="20"/>
          <w:szCs w:val="20"/>
          <w:lang w:val="es-CR"/>
        </w:rPr>
        <w:t xml:space="preserve">supra </w:t>
      </w:r>
      <w:r w:rsidR="00FA27D7">
        <w:rPr>
          <w:rFonts w:ascii="Verdana" w:hAnsi="Verdana"/>
          <w:sz w:val="20"/>
          <w:szCs w:val="20"/>
          <w:lang w:val="es-CR"/>
        </w:rPr>
        <w:t>párr</w:t>
      </w:r>
      <w:r w:rsidR="005F18EB">
        <w:rPr>
          <w:rFonts w:ascii="Verdana" w:hAnsi="Verdana"/>
          <w:sz w:val="20"/>
          <w:szCs w:val="20"/>
          <w:lang w:val="es-CR"/>
        </w:rPr>
        <w:t>s</w:t>
      </w:r>
      <w:r w:rsidR="00FA27D7">
        <w:rPr>
          <w:rFonts w:ascii="Verdana" w:hAnsi="Verdana"/>
          <w:sz w:val="20"/>
          <w:szCs w:val="20"/>
          <w:lang w:val="es-CR"/>
        </w:rPr>
        <w:t xml:space="preserve">. </w:t>
      </w:r>
      <w:r w:rsidR="005F18EB">
        <w:rPr>
          <w:rFonts w:ascii="Verdana" w:hAnsi="Verdana"/>
          <w:sz w:val="20"/>
          <w:szCs w:val="20"/>
          <w:lang w:val="es-CR"/>
        </w:rPr>
        <w:t>152.ii</w:t>
      </w:r>
      <w:r w:rsidR="008017AB">
        <w:rPr>
          <w:rFonts w:ascii="Verdana" w:hAnsi="Verdana"/>
          <w:sz w:val="20"/>
          <w:szCs w:val="20"/>
          <w:lang w:val="es-CR"/>
        </w:rPr>
        <w:t>, 155</w:t>
      </w:r>
      <w:r w:rsidR="005F18EB">
        <w:rPr>
          <w:rFonts w:ascii="Verdana" w:hAnsi="Verdana"/>
          <w:sz w:val="20"/>
          <w:szCs w:val="20"/>
          <w:lang w:val="es-CR"/>
        </w:rPr>
        <w:t xml:space="preserve"> y 262</w:t>
      </w:r>
      <w:r w:rsidR="005F18EB" w:rsidRPr="00744CE4">
        <w:rPr>
          <w:rFonts w:ascii="Verdana" w:hAnsi="Verdana"/>
          <w:sz w:val="20"/>
          <w:szCs w:val="20"/>
          <w:lang w:val="es-CR"/>
        </w:rPr>
        <w:t xml:space="preserve">). </w:t>
      </w:r>
      <w:r w:rsidRPr="00744CE4">
        <w:rPr>
          <w:rFonts w:ascii="Verdana" w:hAnsi="Verdana"/>
          <w:sz w:val="20"/>
          <w:szCs w:val="20"/>
          <w:lang w:val="es-CR"/>
        </w:rPr>
        <w:t xml:space="preserve">En este sentido, el Estado deberá brindar garantías de retorno o reubicación a las víctimas desplazadas que así lo requieran, mediante el otorgamiento de medidas de seguridad efectivas </w:t>
      </w:r>
      <w:r w:rsidR="0041743B">
        <w:rPr>
          <w:rFonts w:ascii="Verdana" w:hAnsi="Verdana"/>
          <w:sz w:val="20"/>
          <w:szCs w:val="20"/>
          <w:lang w:val="es-CR"/>
        </w:rPr>
        <w:t xml:space="preserve">para un </w:t>
      </w:r>
      <w:r w:rsidRPr="00744CE4">
        <w:rPr>
          <w:rFonts w:ascii="Verdana" w:hAnsi="Verdana"/>
          <w:sz w:val="20"/>
          <w:szCs w:val="20"/>
        </w:rPr>
        <w:t>retorno digno a su lugar de residencia habitual</w:t>
      </w:r>
      <w:r w:rsidR="0041743B">
        <w:rPr>
          <w:rFonts w:ascii="Verdana" w:hAnsi="Verdana"/>
          <w:sz w:val="20"/>
          <w:szCs w:val="20"/>
        </w:rPr>
        <w:t>,</w:t>
      </w:r>
      <w:r w:rsidRPr="00744CE4">
        <w:rPr>
          <w:rFonts w:ascii="Verdana" w:hAnsi="Verdana"/>
          <w:sz w:val="20"/>
          <w:szCs w:val="20"/>
        </w:rPr>
        <w:t xml:space="preserve"> o </w:t>
      </w:r>
      <w:r w:rsidR="0041743B">
        <w:rPr>
          <w:rFonts w:ascii="Verdana" w:hAnsi="Verdana"/>
          <w:sz w:val="20"/>
          <w:szCs w:val="20"/>
        </w:rPr>
        <w:t xml:space="preserve">bien </w:t>
      </w:r>
      <w:r w:rsidRPr="00744CE4">
        <w:rPr>
          <w:rFonts w:ascii="Verdana" w:hAnsi="Verdana"/>
          <w:sz w:val="20"/>
          <w:szCs w:val="20"/>
        </w:rPr>
        <w:t>su reasentamiento voluntario en otra parte del país. Lo anterior,</w:t>
      </w:r>
      <w:r w:rsidRPr="00744CE4">
        <w:rPr>
          <w:rFonts w:ascii="Verdana" w:hAnsi="Verdana"/>
          <w:sz w:val="20"/>
          <w:szCs w:val="20"/>
          <w:lang w:val="es-CR"/>
        </w:rPr>
        <w:t xml:space="preserve"> de común acuerdo con las víctimas o sus representantes</w:t>
      </w:r>
      <w:r w:rsidRPr="00744CE4">
        <w:rPr>
          <w:rStyle w:val="Refdenotaalpie"/>
          <w:rFonts w:ascii="Verdana" w:hAnsi="Verdana"/>
          <w:sz w:val="20"/>
          <w:szCs w:val="20"/>
          <w:lang w:val="es-CR"/>
        </w:rPr>
        <w:footnoteReference w:id="559"/>
      </w:r>
      <w:r w:rsidRPr="00744CE4">
        <w:rPr>
          <w:rFonts w:ascii="Verdana" w:hAnsi="Verdana"/>
          <w:sz w:val="20"/>
          <w:szCs w:val="20"/>
          <w:lang w:val="es-CR"/>
        </w:rPr>
        <w:t xml:space="preserve">. </w:t>
      </w:r>
    </w:p>
    <w:p w14:paraId="3C6F284C" w14:textId="6C917023" w:rsidR="009114A1"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CR"/>
        </w:rPr>
      </w:pPr>
      <w:r w:rsidRPr="00744CE4">
        <w:rPr>
          <w:rFonts w:ascii="Verdana" w:hAnsi="Verdana"/>
          <w:sz w:val="20"/>
          <w:szCs w:val="20"/>
          <w:lang w:val="es-CR"/>
        </w:rPr>
        <w:t xml:space="preserve">Dichas personas cuentan con un plazo de un año, contado a partir de la notificación de la presente Sentencia, para dar a conocer al Estado su intención de retornar o reubicarse, de ser el caso. Si dentro de este plazo las víctimas manifiestan su voluntad de volver a sus lugares de residencia, </w:t>
      </w:r>
      <w:r w:rsidR="00C454B2" w:rsidRPr="00744CE4">
        <w:rPr>
          <w:rFonts w:ascii="Verdana" w:hAnsi="Verdana"/>
          <w:sz w:val="20"/>
          <w:szCs w:val="20"/>
          <w:lang w:val="es-CR"/>
        </w:rPr>
        <w:t>en ese momento</w:t>
      </w:r>
      <w:r w:rsidR="0041743B">
        <w:rPr>
          <w:rFonts w:ascii="Verdana" w:hAnsi="Verdana"/>
          <w:sz w:val="20"/>
          <w:szCs w:val="20"/>
          <w:lang w:val="es-CR"/>
        </w:rPr>
        <w:t>,</w:t>
      </w:r>
      <w:r w:rsidRPr="00744CE4">
        <w:rPr>
          <w:rFonts w:ascii="Verdana" w:hAnsi="Verdana"/>
          <w:sz w:val="20"/>
          <w:szCs w:val="20"/>
          <w:lang w:val="es-CR"/>
        </w:rPr>
        <w:t xml:space="preserve"> empezará a contar un plazo de dos años para que las víctimas y el Estado acuerden lo pertinente</w:t>
      </w:r>
      <w:r w:rsidR="0041743B">
        <w:rPr>
          <w:rFonts w:ascii="Verdana" w:hAnsi="Verdana"/>
          <w:sz w:val="20"/>
          <w:szCs w:val="20"/>
          <w:lang w:val="es-CR"/>
        </w:rPr>
        <w:t>,</w:t>
      </w:r>
      <w:r w:rsidRPr="00744CE4">
        <w:rPr>
          <w:rFonts w:ascii="Verdana" w:hAnsi="Verdana"/>
          <w:sz w:val="20"/>
          <w:szCs w:val="20"/>
          <w:lang w:val="es-CR"/>
        </w:rPr>
        <w:t xml:space="preserve"> a fin de que éste pueda cumplir con </w:t>
      </w:r>
      <w:r w:rsidR="0041743B">
        <w:rPr>
          <w:rFonts w:ascii="Verdana" w:hAnsi="Verdana"/>
          <w:sz w:val="20"/>
          <w:szCs w:val="20"/>
          <w:lang w:val="es-CR"/>
        </w:rPr>
        <w:t>dicha</w:t>
      </w:r>
      <w:r w:rsidR="0041743B" w:rsidRPr="00744CE4">
        <w:rPr>
          <w:rFonts w:ascii="Verdana" w:hAnsi="Verdana"/>
          <w:sz w:val="20"/>
          <w:szCs w:val="20"/>
          <w:lang w:val="es-CR"/>
        </w:rPr>
        <w:t xml:space="preserve"> </w:t>
      </w:r>
      <w:r w:rsidRPr="00744CE4">
        <w:rPr>
          <w:rFonts w:ascii="Verdana" w:hAnsi="Verdana"/>
          <w:sz w:val="20"/>
          <w:szCs w:val="20"/>
          <w:lang w:val="es-CR"/>
        </w:rPr>
        <w:t>medida de reparación, entre otr</w:t>
      </w:r>
      <w:r w:rsidR="0041743B">
        <w:rPr>
          <w:rFonts w:ascii="Verdana" w:hAnsi="Verdana"/>
          <w:sz w:val="20"/>
          <w:szCs w:val="20"/>
          <w:lang w:val="es-CR"/>
        </w:rPr>
        <w:t>a</w:t>
      </w:r>
      <w:r w:rsidRPr="00744CE4">
        <w:rPr>
          <w:rFonts w:ascii="Verdana" w:hAnsi="Verdana"/>
          <w:sz w:val="20"/>
          <w:szCs w:val="20"/>
          <w:lang w:val="es-CR"/>
        </w:rPr>
        <w:t>, pagando los gastos de traslado</w:t>
      </w:r>
      <w:r w:rsidRPr="00432ABC">
        <w:rPr>
          <w:rFonts w:ascii="Verdana" w:hAnsi="Verdana"/>
          <w:sz w:val="20"/>
          <w:szCs w:val="20"/>
          <w:lang w:val="es-CR"/>
        </w:rPr>
        <w:t xml:space="preserve"> de los miembros de la familia y de sus bienes. Por el contrario, si dentro del plazo de un año referido, las víctimas no manifiestan su voluntad de retornar, la Corte entenderá que éstas han renunciado a esta medida de reparación</w:t>
      </w:r>
      <w:r w:rsidRPr="00744CE4">
        <w:rPr>
          <w:rStyle w:val="Refdenotaalpie"/>
          <w:rFonts w:ascii="Verdana" w:hAnsi="Verdana"/>
          <w:sz w:val="20"/>
          <w:szCs w:val="20"/>
          <w:lang w:val="es-CR"/>
        </w:rPr>
        <w:footnoteReference w:id="560"/>
      </w:r>
      <w:r w:rsidRPr="00744CE4">
        <w:rPr>
          <w:rFonts w:ascii="Verdana" w:hAnsi="Verdana"/>
          <w:sz w:val="20"/>
          <w:szCs w:val="20"/>
          <w:lang w:val="es-CR"/>
        </w:rPr>
        <w:t>.</w:t>
      </w:r>
    </w:p>
    <w:p w14:paraId="68EDD141" w14:textId="3981B227" w:rsidR="009114A1" w:rsidRPr="00744CE4" w:rsidRDefault="00556FDB">
      <w:pPr>
        <w:pStyle w:val="Prrafodelista"/>
        <w:keepNext/>
        <w:keepLines/>
        <w:numPr>
          <w:ilvl w:val="0"/>
          <w:numId w:val="29"/>
        </w:numPr>
        <w:spacing w:before="120" w:after="120" w:line="240" w:lineRule="auto"/>
        <w:contextualSpacing w:val="0"/>
        <w:jc w:val="both"/>
        <w:outlineLvl w:val="1"/>
        <w:rPr>
          <w:rFonts w:ascii="Verdana" w:eastAsia="Times New Roman" w:hAnsi="Verdana" w:cs="Times New Roman"/>
          <w:b/>
          <w:i/>
          <w:sz w:val="20"/>
          <w:szCs w:val="20"/>
          <w:lang w:val="es-ES"/>
        </w:rPr>
      </w:pPr>
      <w:bookmarkStart w:id="395" w:name="_Toc526777521"/>
      <w:bookmarkStart w:id="396" w:name="_Toc526783833"/>
      <w:r>
        <w:rPr>
          <w:rFonts w:ascii="Verdana" w:eastAsia="Times New Roman" w:hAnsi="Verdana" w:cs="Times New Roman"/>
          <w:b/>
          <w:i/>
          <w:sz w:val="20"/>
          <w:szCs w:val="20"/>
          <w:lang w:val="es-ES"/>
        </w:rPr>
        <w:t xml:space="preserve"> </w:t>
      </w:r>
      <w:bookmarkStart w:id="397" w:name="_Toc532995414"/>
      <w:r w:rsidR="009114A1" w:rsidRPr="00744CE4">
        <w:rPr>
          <w:rFonts w:ascii="Verdana" w:eastAsia="Times New Roman" w:hAnsi="Verdana" w:cs="Times New Roman"/>
          <w:b/>
          <w:i/>
          <w:sz w:val="20"/>
          <w:szCs w:val="20"/>
          <w:lang w:val="es-ES"/>
        </w:rPr>
        <w:t>Otras medidas de solicitadas</w:t>
      </w:r>
      <w:bookmarkEnd w:id="395"/>
      <w:bookmarkEnd w:id="396"/>
      <w:bookmarkEnd w:id="397"/>
    </w:p>
    <w:p w14:paraId="2F4F7EA2" w14:textId="544DEB2E" w:rsidR="0030739A" w:rsidRPr="00744CE4" w:rsidRDefault="009114A1"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olor w:val="00B0F0"/>
          <w:sz w:val="20"/>
          <w:szCs w:val="20"/>
          <w:lang w:val="es-CR"/>
        </w:rPr>
      </w:pPr>
      <w:r w:rsidRPr="00744CE4">
        <w:rPr>
          <w:rFonts w:ascii="Verdana" w:eastAsia="Times New Roman" w:hAnsi="Verdana"/>
          <w:sz w:val="20"/>
          <w:szCs w:val="20"/>
          <w:lang w:val="es-ES"/>
        </w:rPr>
        <w:t xml:space="preserve">Las </w:t>
      </w:r>
      <w:r w:rsidRPr="00744CE4">
        <w:rPr>
          <w:rFonts w:ascii="Verdana" w:eastAsia="Times New Roman" w:hAnsi="Verdana"/>
          <w:b/>
          <w:i/>
          <w:sz w:val="20"/>
          <w:szCs w:val="20"/>
          <w:lang w:val="es-ES"/>
        </w:rPr>
        <w:t>Representantes</w:t>
      </w:r>
      <w:r w:rsidRPr="00744CE4">
        <w:rPr>
          <w:rFonts w:ascii="Verdana" w:eastAsia="Times New Roman" w:hAnsi="Verdana"/>
          <w:sz w:val="20"/>
          <w:szCs w:val="20"/>
          <w:lang w:val="es-ES"/>
        </w:rPr>
        <w:t xml:space="preserve"> solicitaron adicionalmente como medidas de satisfacción las siguientes: i) la construcción de un lugar simbólico donde se pueda recuperar la memoria de los nombres </w:t>
      </w:r>
      <w:r w:rsidR="00EF151C">
        <w:rPr>
          <w:rFonts w:ascii="Verdana" w:eastAsia="Times New Roman" w:hAnsi="Verdana"/>
          <w:sz w:val="20"/>
          <w:szCs w:val="20"/>
          <w:lang w:val="es-ES"/>
        </w:rPr>
        <w:t xml:space="preserve">[sic] </w:t>
      </w:r>
      <w:r w:rsidRPr="00744CE4">
        <w:rPr>
          <w:rFonts w:ascii="Verdana" w:eastAsia="Times New Roman" w:hAnsi="Verdana"/>
          <w:sz w:val="20"/>
          <w:szCs w:val="20"/>
          <w:lang w:val="es-ES"/>
        </w:rPr>
        <w:t>de las personas desaparecidas en México; ii) la construcción de un</w:t>
      </w:r>
      <w:r w:rsidRPr="00432ABC">
        <w:rPr>
          <w:rFonts w:ascii="Verdana" w:eastAsia="Times New Roman" w:hAnsi="Verdana"/>
          <w:sz w:val="20"/>
          <w:szCs w:val="20"/>
          <w:lang w:val="es-ES"/>
        </w:rPr>
        <w:t xml:space="preserve">a escuela para alumnos de primaria que lleve el nombre de José Ángel Alvarado Herrera, Nitza Paola Alvarado Espinoza y Rocío Irene Alvarado Reyes; iii) la adopción de una política pública para familiares de </w:t>
      </w:r>
      <w:r w:rsidRPr="00432ABC">
        <w:rPr>
          <w:rFonts w:ascii="Verdana" w:eastAsia="Times New Roman" w:hAnsi="Verdana"/>
          <w:sz w:val="20"/>
          <w:szCs w:val="20"/>
          <w:lang w:val="es-ES"/>
        </w:rPr>
        <w:lastRenderedPageBreak/>
        <w:t xml:space="preserve">personas desaparecidas, esto con el objetivo de crear </w:t>
      </w:r>
      <w:r w:rsidR="00EF151C">
        <w:rPr>
          <w:rFonts w:ascii="Verdana" w:eastAsia="Times New Roman" w:hAnsi="Verdana"/>
          <w:sz w:val="20"/>
          <w:szCs w:val="20"/>
          <w:lang w:val="es-ES"/>
        </w:rPr>
        <w:t>c</w:t>
      </w:r>
      <w:r w:rsidRPr="00432ABC">
        <w:rPr>
          <w:rFonts w:ascii="Verdana" w:eastAsia="Times New Roman" w:hAnsi="Verdana"/>
          <w:sz w:val="20"/>
          <w:szCs w:val="20"/>
          <w:lang w:val="es-ES"/>
        </w:rPr>
        <w:t xml:space="preserve">línicas para </w:t>
      </w:r>
      <w:r w:rsidR="00EF151C">
        <w:rPr>
          <w:rFonts w:ascii="Verdana" w:eastAsia="Times New Roman" w:hAnsi="Verdana"/>
          <w:sz w:val="20"/>
          <w:szCs w:val="20"/>
          <w:lang w:val="es-ES"/>
        </w:rPr>
        <w:t xml:space="preserve">familiares de </w:t>
      </w:r>
      <w:r w:rsidRPr="00432ABC">
        <w:rPr>
          <w:rFonts w:ascii="Verdana" w:eastAsia="Times New Roman" w:hAnsi="Verdana"/>
          <w:sz w:val="20"/>
          <w:szCs w:val="20"/>
          <w:lang w:val="es-ES"/>
        </w:rPr>
        <w:t>personas</w:t>
      </w:r>
      <w:r w:rsidR="00EF151C">
        <w:rPr>
          <w:rFonts w:ascii="Verdana" w:eastAsia="Times New Roman" w:hAnsi="Verdana"/>
          <w:sz w:val="20"/>
          <w:szCs w:val="20"/>
          <w:lang w:val="es-ES"/>
        </w:rPr>
        <w:t xml:space="preserve"> desaparecidas</w:t>
      </w:r>
      <w:r w:rsidRPr="00432ABC">
        <w:rPr>
          <w:rFonts w:ascii="Verdana" w:eastAsia="Times New Roman" w:hAnsi="Verdana"/>
          <w:sz w:val="20"/>
          <w:szCs w:val="20"/>
          <w:lang w:val="es-ES"/>
        </w:rPr>
        <w:t xml:space="preserve">; iv) la existencia de una clínica en Benito Juárez con doctores permanentes y un centro </w:t>
      </w:r>
      <w:r w:rsidR="00812F1A">
        <w:rPr>
          <w:rFonts w:ascii="Verdana" w:eastAsia="Times New Roman" w:hAnsi="Verdana"/>
          <w:sz w:val="20"/>
          <w:szCs w:val="20"/>
          <w:lang w:val="es-ES"/>
        </w:rPr>
        <w:t>d</w:t>
      </w:r>
      <w:r w:rsidRPr="00432ABC">
        <w:rPr>
          <w:rFonts w:ascii="Verdana" w:eastAsia="Times New Roman" w:hAnsi="Verdana"/>
          <w:sz w:val="20"/>
          <w:szCs w:val="20"/>
          <w:lang w:val="es-ES"/>
        </w:rPr>
        <w:t>e apoyo comunitario que pueda</w:t>
      </w:r>
      <w:r w:rsidR="00C72765">
        <w:rPr>
          <w:rFonts w:ascii="Verdana" w:eastAsia="Times New Roman" w:hAnsi="Verdana"/>
          <w:sz w:val="20"/>
          <w:szCs w:val="20"/>
          <w:lang w:val="es-ES"/>
        </w:rPr>
        <w:t>n</w:t>
      </w:r>
      <w:r w:rsidRPr="00432ABC">
        <w:rPr>
          <w:rFonts w:ascii="Verdana" w:eastAsia="Times New Roman" w:hAnsi="Verdana"/>
          <w:sz w:val="20"/>
          <w:szCs w:val="20"/>
          <w:lang w:val="es-ES"/>
        </w:rPr>
        <w:t xml:space="preserve"> hacer frente a las consecuencias médicas y psicológicas que sufren las personas a partir de violaciones de derechos humanos</w:t>
      </w:r>
      <w:r w:rsidR="00C72765">
        <w:rPr>
          <w:rFonts w:ascii="Verdana" w:eastAsia="Times New Roman" w:hAnsi="Verdana"/>
          <w:sz w:val="20"/>
          <w:szCs w:val="20"/>
          <w:lang w:val="es-ES"/>
        </w:rPr>
        <w:t>.</w:t>
      </w:r>
      <w:r w:rsidRPr="00432ABC">
        <w:rPr>
          <w:rFonts w:ascii="Verdana" w:eastAsia="Times New Roman" w:hAnsi="Verdana"/>
          <w:sz w:val="20"/>
          <w:szCs w:val="20"/>
          <w:lang w:val="es-ES"/>
        </w:rPr>
        <w:t xml:space="preserve"> </w:t>
      </w:r>
      <w:r w:rsidR="00C72765">
        <w:rPr>
          <w:rFonts w:ascii="Verdana" w:eastAsia="Times New Roman" w:hAnsi="Verdana"/>
          <w:sz w:val="20"/>
          <w:szCs w:val="20"/>
          <w:lang w:val="es-ES"/>
        </w:rPr>
        <w:t>C</w:t>
      </w:r>
      <w:r w:rsidRPr="00432ABC">
        <w:rPr>
          <w:rFonts w:ascii="Verdana" w:eastAsia="Times New Roman" w:hAnsi="Verdana"/>
          <w:sz w:val="20"/>
          <w:szCs w:val="20"/>
          <w:lang w:val="es-ES"/>
        </w:rPr>
        <w:t xml:space="preserve">omo parte de sus alegatos finales, las representantes solicitaron que el Estado, como medida de prevención, proponga programas anti-adicciones y otras medidas pertinentes como las contenidas en el peritaje del </w:t>
      </w:r>
      <w:r w:rsidRPr="002C462C">
        <w:rPr>
          <w:rFonts w:ascii="Verdana" w:eastAsia="Times New Roman" w:hAnsi="Verdana"/>
          <w:sz w:val="20"/>
          <w:szCs w:val="20"/>
          <w:lang w:val="es-ES"/>
        </w:rPr>
        <w:t>G</w:t>
      </w:r>
      <w:r w:rsidR="00C72765">
        <w:rPr>
          <w:rFonts w:ascii="Verdana" w:eastAsia="Times New Roman" w:hAnsi="Verdana"/>
          <w:sz w:val="20"/>
          <w:szCs w:val="20"/>
          <w:lang w:val="es-ES"/>
        </w:rPr>
        <w:t xml:space="preserve">rupo </w:t>
      </w:r>
      <w:r w:rsidRPr="002C462C">
        <w:rPr>
          <w:rFonts w:ascii="Verdana" w:eastAsia="Times New Roman" w:hAnsi="Verdana"/>
          <w:sz w:val="20"/>
          <w:szCs w:val="20"/>
          <w:lang w:val="es-ES"/>
        </w:rPr>
        <w:t>I</w:t>
      </w:r>
      <w:r w:rsidR="00C72765">
        <w:rPr>
          <w:rFonts w:ascii="Verdana" w:eastAsia="Times New Roman" w:hAnsi="Verdana"/>
          <w:sz w:val="20"/>
          <w:szCs w:val="20"/>
          <w:lang w:val="es-ES"/>
        </w:rPr>
        <w:t xml:space="preserve">nterdisciplinario de </w:t>
      </w:r>
      <w:r w:rsidRPr="002C462C">
        <w:rPr>
          <w:rFonts w:ascii="Verdana" w:eastAsia="Times New Roman" w:hAnsi="Verdana"/>
          <w:sz w:val="20"/>
          <w:szCs w:val="20"/>
          <w:lang w:val="es-ES"/>
        </w:rPr>
        <w:t>A</w:t>
      </w:r>
      <w:r w:rsidR="00C72765">
        <w:rPr>
          <w:rFonts w:ascii="Verdana" w:eastAsia="Times New Roman" w:hAnsi="Verdana"/>
          <w:sz w:val="20"/>
          <w:szCs w:val="20"/>
          <w:lang w:val="es-ES"/>
        </w:rPr>
        <w:t xml:space="preserve">ntropología </w:t>
      </w:r>
      <w:r w:rsidRPr="002C462C">
        <w:rPr>
          <w:rFonts w:ascii="Verdana" w:eastAsia="Times New Roman" w:hAnsi="Verdana"/>
          <w:sz w:val="20"/>
          <w:szCs w:val="20"/>
          <w:lang w:val="es-ES"/>
        </w:rPr>
        <w:t>S</w:t>
      </w:r>
      <w:r w:rsidR="00C72765">
        <w:rPr>
          <w:rFonts w:ascii="Verdana" w:eastAsia="Times New Roman" w:hAnsi="Verdana"/>
          <w:sz w:val="20"/>
          <w:szCs w:val="20"/>
          <w:lang w:val="es-ES"/>
        </w:rPr>
        <w:t xml:space="preserve">ocial y </w:t>
      </w:r>
      <w:r w:rsidRPr="002C462C">
        <w:rPr>
          <w:rFonts w:ascii="Verdana" w:eastAsia="Times New Roman" w:hAnsi="Verdana"/>
          <w:sz w:val="20"/>
          <w:szCs w:val="20"/>
          <w:lang w:val="es-ES"/>
        </w:rPr>
        <w:t>F</w:t>
      </w:r>
      <w:r w:rsidR="00C72765">
        <w:rPr>
          <w:rFonts w:ascii="Verdana" w:eastAsia="Times New Roman" w:hAnsi="Verdana"/>
          <w:sz w:val="20"/>
          <w:szCs w:val="20"/>
          <w:lang w:val="es-ES"/>
        </w:rPr>
        <w:t>orense (GIASF).</w:t>
      </w:r>
    </w:p>
    <w:p w14:paraId="17B9E857" w14:textId="440956A6"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Calibri" w:hAnsi="Verdana"/>
          <w:sz w:val="20"/>
          <w:szCs w:val="20"/>
          <w:lang w:val="es-ES" w:eastAsia="es-ES"/>
        </w:rPr>
      </w:pPr>
      <w:r w:rsidRPr="00744CE4">
        <w:rPr>
          <w:rFonts w:ascii="Verdana" w:eastAsia="Times New Roman" w:hAnsi="Verdana"/>
          <w:sz w:val="20"/>
          <w:szCs w:val="20"/>
          <w:lang w:val="es-ES"/>
        </w:rPr>
        <w:t xml:space="preserve">Por su parte, el </w:t>
      </w:r>
      <w:r w:rsidRPr="00744CE4">
        <w:rPr>
          <w:rFonts w:ascii="Verdana" w:eastAsia="Times New Roman" w:hAnsi="Verdana"/>
          <w:b/>
          <w:i/>
          <w:sz w:val="20"/>
          <w:szCs w:val="20"/>
          <w:lang w:val="es-ES"/>
        </w:rPr>
        <w:t>Estado</w:t>
      </w:r>
      <w:r w:rsidRPr="00744CE4">
        <w:rPr>
          <w:rFonts w:ascii="Verdana" w:eastAsia="Times New Roman" w:hAnsi="Verdana"/>
          <w:sz w:val="20"/>
          <w:szCs w:val="20"/>
          <w:lang w:val="es-ES"/>
        </w:rPr>
        <w:t xml:space="preserve">, destacó que la Corte ha establecido que las reparaciones deben tener un nexo causal. </w:t>
      </w:r>
      <w:r w:rsidRPr="00744CE4">
        <w:rPr>
          <w:rFonts w:ascii="Verdana" w:eastAsia="Calibri" w:hAnsi="Verdana"/>
          <w:sz w:val="20"/>
          <w:szCs w:val="20"/>
          <w:lang w:val="es-ES" w:eastAsia="es-ES"/>
        </w:rPr>
        <w:t>En este sentido: i) consider</w:t>
      </w:r>
      <w:r w:rsidR="008B31F4">
        <w:rPr>
          <w:rFonts w:ascii="Verdana" w:eastAsia="Calibri" w:hAnsi="Verdana"/>
          <w:sz w:val="20"/>
          <w:szCs w:val="20"/>
          <w:lang w:val="es-ES" w:eastAsia="es-ES"/>
        </w:rPr>
        <w:t>ó</w:t>
      </w:r>
      <w:r w:rsidRPr="00744CE4">
        <w:rPr>
          <w:rFonts w:ascii="Verdana" w:eastAsia="Calibri" w:hAnsi="Verdana"/>
          <w:sz w:val="20"/>
          <w:szCs w:val="20"/>
          <w:lang w:val="es-ES" w:eastAsia="es-ES"/>
        </w:rPr>
        <w:t xml:space="preserve"> que el establecimiento de un memorial sobre las personas desaparecidas en México, no guarda relación con los hechos del caso y no es congruente con el nexo causal que debe existir entre estos, y que en su caso, la construcción de un memorial debe ser específica en señalar a las </w:t>
      </w:r>
      <w:r w:rsidR="00C72765">
        <w:rPr>
          <w:rFonts w:ascii="Verdana" w:eastAsia="Calibri" w:hAnsi="Verdana"/>
          <w:sz w:val="20"/>
          <w:szCs w:val="20"/>
          <w:lang w:val="es-ES" w:eastAsia="es-ES"/>
        </w:rPr>
        <w:t xml:space="preserve">personas </w:t>
      </w:r>
      <w:r w:rsidRPr="00744CE4">
        <w:rPr>
          <w:rFonts w:ascii="Verdana" w:eastAsia="Calibri" w:hAnsi="Verdana"/>
          <w:sz w:val="20"/>
          <w:szCs w:val="20"/>
          <w:lang w:val="es-ES" w:eastAsia="es-ES"/>
        </w:rPr>
        <w:t xml:space="preserve">que se determine como víctimas de </w:t>
      </w:r>
      <w:r w:rsidRPr="00744CE4">
        <w:rPr>
          <w:rFonts w:ascii="Verdana" w:eastAsia="Calibri" w:hAnsi="Verdana"/>
          <w:sz w:val="20"/>
          <w:szCs w:val="20"/>
          <w:lang w:val="es-ES" w:eastAsia="es-ES"/>
        </w:rPr>
        <w:lastRenderedPageBreak/>
        <w:t>los hechos en estudio</w:t>
      </w:r>
      <w:r w:rsidR="00DC0243">
        <w:rPr>
          <w:rFonts w:ascii="Verdana" w:eastAsia="Calibri" w:hAnsi="Verdana"/>
          <w:sz w:val="20"/>
          <w:szCs w:val="20"/>
          <w:lang w:val="es-ES" w:eastAsia="es-ES"/>
        </w:rPr>
        <w:t xml:space="preserve">; </w:t>
      </w:r>
      <w:r w:rsidRPr="00744CE4">
        <w:rPr>
          <w:rFonts w:ascii="Verdana" w:eastAsia="Calibri" w:hAnsi="Verdana"/>
          <w:sz w:val="20"/>
          <w:szCs w:val="20"/>
          <w:lang w:val="es-ES" w:eastAsia="es-ES"/>
        </w:rPr>
        <w:t xml:space="preserve">ii) en cuanto a la adopción de una política pública y la </w:t>
      </w:r>
      <w:r w:rsidR="00DC0243">
        <w:rPr>
          <w:rFonts w:ascii="Verdana" w:eastAsia="Calibri" w:hAnsi="Verdana"/>
          <w:sz w:val="20"/>
          <w:szCs w:val="20"/>
          <w:lang w:val="es-ES" w:eastAsia="es-ES"/>
        </w:rPr>
        <w:t xml:space="preserve">existencia de una </w:t>
      </w:r>
      <w:r w:rsidRPr="00744CE4">
        <w:rPr>
          <w:rFonts w:ascii="Verdana" w:eastAsia="Calibri" w:hAnsi="Verdana"/>
          <w:sz w:val="20"/>
          <w:szCs w:val="20"/>
          <w:lang w:val="es-ES" w:eastAsia="es-ES"/>
        </w:rPr>
        <w:t>clínica en Benito Juárez, el Estado señaló que la creación de una institución se debe dar cuando sus funciones no sean cubiertas por las propias del Estado e indicó que no observa la relación que guarda</w:t>
      </w:r>
      <w:r w:rsidR="00DC0243">
        <w:rPr>
          <w:rFonts w:ascii="Verdana" w:eastAsia="Calibri" w:hAnsi="Verdana"/>
          <w:sz w:val="20"/>
          <w:szCs w:val="20"/>
          <w:lang w:val="es-ES" w:eastAsia="es-ES"/>
        </w:rPr>
        <w:t>ría</w:t>
      </w:r>
      <w:r w:rsidRPr="00744CE4">
        <w:rPr>
          <w:rFonts w:ascii="Verdana" w:eastAsia="Calibri" w:hAnsi="Verdana"/>
          <w:sz w:val="20"/>
          <w:szCs w:val="20"/>
          <w:lang w:val="es-ES" w:eastAsia="es-ES"/>
        </w:rPr>
        <w:t xml:space="preserve"> </w:t>
      </w:r>
      <w:r w:rsidR="00DC0243" w:rsidRPr="00744CE4">
        <w:rPr>
          <w:rFonts w:ascii="Verdana" w:eastAsia="Calibri" w:hAnsi="Verdana"/>
          <w:sz w:val="20"/>
          <w:szCs w:val="20"/>
          <w:lang w:val="es-ES" w:eastAsia="es-ES"/>
        </w:rPr>
        <w:t xml:space="preserve">con los hechos de caso </w:t>
      </w:r>
      <w:r w:rsidRPr="00744CE4">
        <w:rPr>
          <w:rFonts w:ascii="Verdana" w:eastAsia="Calibri" w:hAnsi="Verdana"/>
          <w:sz w:val="20"/>
          <w:szCs w:val="20"/>
          <w:lang w:val="es-ES" w:eastAsia="es-ES"/>
        </w:rPr>
        <w:t>la construcción de un clínica</w:t>
      </w:r>
      <w:r w:rsidR="00DC0243">
        <w:rPr>
          <w:rFonts w:ascii="Verdana" w:eastAsia="Calibri" w:hAnsi="Verdana"/>
          <w:sz w:val="20"/>
          <w:szCs w:val="20"/>
          <w:lang w:val="es-ES" w:eastAsia="es-ES"/>
        </w:rPr>
        <w:t>, y</w:t>
      </w:r>
      <w:r w:rsidRPr="00744CE4">
        <w:rPr>
          <w:rFonts w:ascii="Verdana" w:eastAsia="Calibri" w:hAnsi="Verdana"/>
          <w:sz w:val="20"/>
          <w:szCs w:val="20"/>
          <w:lang w:val="es-ES" w:eastAsia="es-ES"/>
        </w:rPr>
        <w:t xml:space="preserve"> iii) en cuanto a la adopción de la política pública</w:t>
      </w:r>
      <w:r w:rsidR="00DC0243">
        <w:rPr>
          <w:rFonts w:ascii="Verdana" w:eastAsia="Calibri" w:hAnsi="Verdana"/>
          <w:sz w:val="20"/>
          <w:szCs w:val="20"/>
          <w:lang w:val="es-ES" w:eastAsia="es-ES"/>
        </w:rPr>
        <w:t>,</w:t>
      </w:r>
      <w:r w:rsidRPr="00744CE4">
        <w:rPr>
          <w:rFonts w:ascii="Verdana" w:eastAsia="Calibri" w:hAnsi="Verdana"/>
          <w:sz w:val="20"/>
          <w:szCs w:val="20"/>
          <w:lang w:val="es-ES" w:eastAsia="es-ES"/>
        </w:rPr>
        <w:t xml:space="preserve"> el Estado inform</w:t>
      </w:r>
      <w:r w:rsidR="00DC0243">
        <w:rPr>
          <w:rFonts w:ascii="Verdana" w:eastAsia="Calibri" w:hAnsi="Verdana"/>
          <w:sz w:val="20"/>
          <w:szCs w:val="20"/>
          <w:lang w:val="es-ES" w:eastAsia="es-ES"/>
        </w:rPr>
        <w:t>ó</w:t>
      </w:r>
      <w:r w:rsidRPr="00744CE4">
        <w:rPr>
          <w:rFonts w:ascii="Verdana" w:eastAsia="Calibri" w:hAnsi="Verdana"/>
          <w:sz w:val="20"/>
          <w:szCs w:val="20"/>
          <w:lang w:val="es-ES" w:eastAsia="es-ES"/>
        </w:rPr>
        <w:t xml:space="preserve"> que ya cuenta con diversos programas en materia de salud en los cuales </w:t>
      </w:r>
      <w:r w:rsidR="00DC0243">
        <w:rPr>
          <w:rFonts w:ascii="Verdana" w:eastAsia="Calibri" w:hAnsi="Verdana"/>
          <w:sz w:val="20"/>
          <w:szCs w:val="20"/>
          <w:lang w:val="es-ES" w:eastAsia="es-ES"/>
        </w:rPr>
        <w:t xml:space="preserve">se </w:t>
      </w:r>
      <w:r w:rsidRPr="00744CE4">
        <w:rPr>
          <w:rFonts w:ascii="Verdana" w:eastAsia="Calibri" w:hAnsi="Verdana"/>
          <w:sz w:val="20"/>
          <w:szCs w:val="20"/>
          <w:lang w:val="es-ES" w:eastAsia="es-ES"/>
        </w:rPr>
        <w:t xml:space="preserve">atiende </w:t>
      </w:r>
      <w:r w:rsidR="00DC0243" w:rsidRPr="00744CE4">
        <w:rPr>
          <w:rFonts w:ascii="Verdana" w:eastAsia="Calibri" w:hAnsi="Verdana"/>
          <w:sz w:val="20"/>
          <w:szCs w:val="20"/>
          <w:lang w:val="es-ES" w:eastAsia="es-ES"/>
        </w:rPr>
        <w:t xml:space="preserve">de manera diferenciada </w:t>
      </w:r>
      <w:r w:rsidRPr="00744CE4">
        <w:rPr>
          <w:rFonts w:ascii="Verdana" w:eastAsia="Calibri" w:hAnsi="Verdana"/>
          <w:sz w:val="20"/>
          <w:szCs w:val="20"/>
          <w:lang w:val="es-ES" w:eastAsia="es-ES"/>
        </w:rPr>
        <w:t xml:space="preserve">a personas que sufren alguna violación de derechos humanos. </w:t>
      </w:r>
    </w:p>
    <w:p w14:paraId="52132320" w14:textId="354DF0A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
        </w:rPr>
      </w:pPr>
      <w:r w:rsidRPr="00744CE4">
        <w:rPr>
          <w:rFonts w:ascii="Verdana" w:eastAsia="Times New Roman" w:hAnsi="Verdana"/>
          <w:sz w:val="20"/>
          <w:szCs w:val="20"/>
          <w:lang w:val="es-ES"/>
        </w:rPr>
        <w:t xml:space="preserve">En </w:t>
      </w:r>
      <w:r w:rsidRPr="00744CE4">
        <w:rPr>
          <w:rFonts w:ascii="Verdana" w:hAnsi="Verdana"/>
          <w:sz w:val="20"/>
          <w:szCs w:val="20"/>
          <w:lang w:val="es-ES"/>
        </w:rPr>
        <w:t>relación</w:t>
      </w:r>
      <w:r w:rsidRPr="00744CE4">
        <w:rPr>
          <w:rFonts w:ascii="Verdana" w:eastAsia="Times New Roman" w:hAnsi="Verdana"/>
          <w:sz w:val="20"/>
          <w:szCs w:val="20"/>
          <w:lang w:val="es-ES"/>
        </w:rPr>
        <w:t xml:space="preserve"> con las demás medidas de reparación solicitadas, </w:t>
      </w:r>
      <w:r w:rsidRPr="008D0846">
        <w:rPr>
          <w:rFonts w:ascii="Verdana" w:eastAsia="Times New Roman" w:hAnsi="Verdana"/>
          <w:sz w:val="20"/>
          <w:szCs w:val="20"/>
          <w:lang w:val="es-ES"/>
        </w:rPr>
        <w:t xml:space="preserve">la </w:t>
      </w:r>
      <w:r w:rsidRPr="005053BD">
        <w:rPr>
          <w:rFonts w:ascii="Verdana" w:eastAsia="Times New Roman" w:hAnsi="Verdana"/>
          <w:b/>
          <w:i/>
          <w:sz w:val="20"/>
          <w:szCs w:val="20"/>
          <w:lang w:val="es-ES"/>
        </w:rPr>
        <w:t>Corte</w:t>
      </w:r>
      <w:r w:rsidRPr="00DC0243">
        <w:rPr>
          <w:rFonts w:ascii="Verdana" w:eastAsia="Times New Roman" w:hAnsi="Verdana"/>
          <w:sz w:val="20"/>
          <w:szCs w:val="20"/>
          <w:lang w:val="es-ES"/>
        </w:rPr>
        <w:t xml:space="preserve"> </w:t>
      </w:r>
      <w:r w:rsidRPr="00744CE4">
        <w:rPr>
          <w:rFonts w:ascii="Verdana" w:eastAsia="Times New Roman" w:hAnsi="Verdana"/>
          <w:sz w:val="20"/>
          <w:szCs w:val="20"/>
          <w:lang w:val="es-ES"/>
        </w:rPr>
        <w:t xml:space="preserve">considera que la emisión de la presente Sentencia y las reparaciones ordenadas en este </w:t>
      </w:r>
      <w:r w:rsidR="00DC0243">
        <w:rPr>
          <w:rFonts w:ascii="Verdana" w:eastAsia="Times New Roman" w:hAnsi="Verdana"/>
          <w:sz w:val="20"/>
          <w:szCs w:val="20"/>
          <w:lang w:val="es-ES"/>
        </w:rPr>
        <w:t>C</w:t>
      </w:r>
      <w:r w:rsidR="00DC0243" w:rsidRPr="00744CE4">
        <w:rPr>
          <w:rFonts w:ascii="Verdana" w:eastAsia="Times New Roman" w:hAnsi="Verdana"/>
          <w:sz w:val="20"/>
          <w:szCs w:val="20"/>
          <w:lang w:val="es-ES"/>
        </w:rPr>
        <w:t xml:space="preserve">apítulo </w:t>
      </w:r>
      <w:r w:rsidRPr="00744CE4">
        <w:rPr>
          <w:rFonts w:ascii="Verdana" w:eastAsia="Times New Roman" w:hAnsi="Verdana"/>
          <w:sz w:val="20"/>
          <w:szCs w:val="20"/>
          <w:lang w:val="es-ES"/>
        </w:rPr>
        <w:t>resultan suficientes y adecuadas para remediar las violaciones sufridas por las víctimas y no estima necesario ordenar medidas adicionales</w:t>
      </w:r>
      <w:r w:rsidR="005B15E3">
        <w:rPr>
          <w:rFonts w:ascii="Verdana" w:eastAsia="Times New Roman" w:hAnsi="Verdana"/>
          <w:sz w:val="20"/>
          <w:szCs w:val="20"/>
          <w:lang w:val="es-ES"/>
        </w:rPr>
        <w:t>, aunado a la carencia de nexo causal de algunas de ellas</w:t>
      </w:r>
      <w:r w:rsidRPr="00744CE4">
        <w:rPr>
          <w:rStyle w:val="Refdenotaalpie"/>
          <w:rFonts w:ascii="Verdana" w:eastAsia="Times New Roman" w:hAnsi="Verdana"/>
          <w:sz w:val="20"/>
          <w:szCs w:val="20"/>
          <w:lang w:val="es-ES"/>
        </w:rPr>
        <w:footnoteReference w:id="561"/>
      </w:r>
      <w:r w:rsidR="00CC61EB" w:rsidRPr="00DB378B">
        <w:rPr>
          <w:rFonts w:ascii="Verdana" w:hAnsi="Verdana" w:cs="Times New Roman"/>
          <w:sz w:val="20"/>
          <w:szCs w:val="20"/>
          <w:lang w:val="es-EC"/>
        </w:rPr>
        <w:t>.</w:t>
      </w:r>
    </w:p>
    <w:p w14:paraId="43377471" w14:textId="20719A96" w:rsidR="0030739A" w:rsidRPr="00744CE4" w:rsidRDefault="00556FDB">
      <w:pPr>
        <w:pStyle w:val="Prrafodelista"/>
        <w:keepNext/>
        <w:keepLines/>
        <w:numPr>
          <w:ilvl w:val="0"/>
          <w:numId w:val="29"/>
        </w:numPr>
        <w:spacing w:before="120" w:after="120" w:line="240" w:lineRule="auto"/>
        <w:contextualSpacing w:val="0"/>
        <w:jc w:val="both"/>
        <w:outlineLvl w:val="1"/>
        <w:rPr>
          <w:rFonts w:ascii="Verdana" w:eastAsia="Times New Roman" w:hAnsi="Verdana" w:cs="Times New Roman"/>
          <w:b/>
          <w:bCs/>
          <w:i/>
          <w:sz w:val="20"/>
          <w:szCs w:val="20"/>
          <w:lang w:val="es-ES"/>
        </w:rPr>
      </w:pPr>
      <w:r>
        <w:rPr>
          <w:rFonts w:ascii="Verdana" w:eastAsia="Times New Roman" w:hAnsi="Verdana" w:cs="Times New Roman"/>
          <w:b/>
          <w:bCs/>
          <w:i/>
          <w:sz w:val="20"/>
          <w:szCs w:val="20"/>
          <w:lang w:val="es-ES"/>
        </w:rPr>
        <w:t xml:space="preserve"> </w:t>
      </w:r>
      <w:bookmarkStart w:id="398" w:name="_Toc532995415"/>
      <w:r w:rsidR="0030739A" w:rsidRPr="00744CE4">
        <w:rPr>
          <w:rFonts w:ascii="Verdana" w:eastAsia="Times New Roman" w:hAnsi="Verdana" w:cs="Times New Roman"/>
          <w:b/>
          <w:bCs/>
          <w:i/>
          <w:sz w:val="20"/>
          <w:szCs w:val="20"/>
          <w:lang w:val="es-ES"/>
        </w:rPr>
        <w:t>Indemnización Compensatoria</w:t>
      </w:r>
      <w:bookmarkEnd w:id="398"/>
    </w:p>
    <w:p w14:paraId="417AE985" w14:textId="0A16020D" w:rsidR="0030739A" w:rsidRPr="002C462C"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432ABC">
        <w:rPr>
          <w:rFonts w:ascii="Verdana" w:eastAsia="Times New Roman" w:hAnsi="Verdana" w:cs="Times New Roman"/>
          <w:sz w:val="20"/>
          <w:szCs w:val="20"/>
          <w:lang w:val="es-ES"/>
        </w:rPr>
        <w:t xml:space="preserve">La </w:t>
      </w:r>
      <w:r w:rsidRPr="00432ABC">
        <w:rPr>
          <w:rFonts w:ascii="Verdana" w:eastAsia="Times New Roman" w:hAnsi="Verdana" w:cs="Times New Roman"/>
          <w:b/>
          <w:i/>
          <w:sz w:val="20"/>
          <w:szCs w:val="20"/>
          <w:lang w:val="es-ES"/>
        </w:rPr>
        <w:t>Comisión</w:t>
      </w:r>
      <w:r w:rsidRPr="00432ABC">
        <w:rPr>
          <w:rFonts w:ascii="Verdana" w:eastAsia="Times New Roman" w:hAnsi="Verdana" w:cs="Times New Roman"/>
          <w:sz w:val="20"/>
          <w:szCs w:val="20"/>
          <w:lang w:val="es-ES"/>
        </w:rPr>
        <w:t xml:space="preserve"> solicitó reparar adecuadamente las violaciones de derechos humanos declaradas incluyendo una justa compensación.</w:t>
      </w:r>
      <w:r w:rsidRPr="002C462C">
        <w:rPr>
          <w:rFonts w:ascii="Verdana" w:eastAsia="Times New Roman" w:hAnsi="Verdana" w:cs="Times New Roman"/>
          <w:b/>
          <w:sz w:val="20"/>
          <w:szCs w:val="20"/>
          <w:lang w:val="es-ES"/>
        </w:rPr>
        <w:t xml:space="preserve"> </w:t>
      </w:r>
    </w:p>
    <w:p w14:paraId="235D5E52" w14:textId="33058853" w:rsidR="0030739A" w:rsidRPr="00F74BFF"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color w:val="00B0F0"/>
          <w:sz w:val="20"/>
          <w:szCs w:val="20"/>
          <w:lang w:val="es-ES"/>
        </w:rPr>
      </w:pPr>
      <w:r w:rsidRPr="00744CE4">
        <w:rPr>
          <w:rFonts w:ascii="Verdana" w:hAnsi="Verdana" w:cs="Times New Roman"/>
          <w:sz w:val="20"/>
          <w:szCs w:val="20"/>
          <w:lang w:val="es-ES"/>
        </w:rPr>
        <w:t>Las</w:t>
      </w:r>
      <w:r w:rsidRPr="00744CE4">
        <w:rPr>
          <w:rFonts w:ascii="Verdana" w:hAnsi="Verdana" w:cs="Times New Roman"/>
          <w:b/>
          <w:sz w:val="20"/>
          <w:szCs w:val="20"/>
          <w:lang w:val="es-ES"/>
        </w:rPr>
        <w:t xml:space="preserve"> </w:t>
      </w:r>
      <w:r w:rsidR="0041528D">
        <w:rPr>
          <w:rFonts w:ascii="Verdana" w:hAnsi="Verdana" w:cs="Times New Roman"/>
          <w:b/>
          <w:i/>
          <w:sz w:val="20"/>
          <w:szCs w:val="20"/>
          <w:lang w:val="es-ES"/>
        </w:rPr>
        <w:t>R</w:t>
      </w:r>
      <w:r w:rsidRPr="00744CE4">
        <w:rPr>
          <w:rFonts w:ascii="Verdana" w:hAnsi="Verdana" w:cs="Times New Roman"/>
          <w:b/>
          <w:i/>
          <w:sz w:val="20"/>
          <w:szCs w:val="20"/>
          <w:lang w:val="es-ES"/>
        </w:rPr>
        <w:t>epresentantes</w:t>
      </w:r>
      <w:r w:rsidRPr="00744CE4">
        <w:rPr>
          <w:rFonts w:ascii="Verdana" w:hAnsi="Verdana" w:cs="Times New Roman"/>
          <w:b/>
          <w:sz w:val="20"/>
          <w:szCs w:val="20"/>
          <w:lang w:val="es-ES"/>
        </w:rPr>
        <w:t>,</w:t>
      </w:r>
      <w:r w:rsidRPr="00744CE4">
        <w:rPr>
          <w:rFonts w:ascii="Verdana" w:hAnsi="Verdana" w:cs="Times New Roman"/>
          <w:sz w:val="20"/>
          <w:szCs w:val="20"/>
          <w:lang w:val="es-ES"/>
        </w:rPr>
        <w:t xml:space="preserve"> en lo que respecta al lucro cesante de las presuntas víctimas, solicitaron </w:t>
      </w:r>
      <w:r w:rsidRPr="00744CE4">
        <w:rPr>
          <w:rFonts w:ascii="Verdana" w:eastAsia="Times New Roman" w:hAnsi="Verdana" w:cs="Times New Roman"/>
          <w:sz w:val="20"/>
          <w:szCs w:val="20"/>
          <w:lang w:val="es-ES"/>
        </w:rPr>
        <w:t xml:space="preserve">que se les fije una cantidad de dinero con base </w:t>
      </w:r>
      <w:r w:rsidR="00DC0243">
        <w:rPr>
          <w:rFonts w:ascii="Verdana" w:eastAsia="Times New Roman" w:hAnsi="Verdana" w:cs="Times New Roman"/>
          <w:sz w:val="20"/>
          <w:szCs w:val="20"/>
          <w:lang w:val="es-ES"/>
        </w:rPr>
        <w:t>en e</w:t>
      </w:r>
      <w:r w:rsidRPr="00744CE4">
        <w:rPr>
          <w:rFonts w:ascii="Verdana" w:eastAsia="Times New Roman" w:hAnsi="Verdana" w:cs="Times New Roman"/>
          <w:sz w:val="20"/>
          <w:szCs w:val="20"/>
          <w:lang w:val="es-ES"/>
        </w:rPr>
        <w:t xml:space="preserve">l cálculo que </w:t>
      </w:r>
      <w:r w:rsidR="00DC0243">
        <w:rPr>
          <w:rFonts w:ascii="Verdana" w:eastAsia="Times New Roman" w:hAnsi="Verdana" w:cs="Times New Roman"/>
          <w:sz w:val="20"/>
          <w:szCs w:val="20"/>
          <w:lang w:val="es-ES"/>
        </w:rPr>
        <w:t>e</w:t>
      </w:r>
      <w:r w:rsidRPr="00744CE4">
        <w:rPr>
          <w:rFonts w:ascii="Verdana" w:eastAsia="Times New Roman" w:hAnsi="Verdana" w:cs="Times New Roman"/>
          <w:sz w:val="20"/>
          <w:szCs w:val="20"/>
          <w:lang w:val="es-ES"/>
        </w:rPr>
        <w:t xml:space="preserve">sta Corte ha realizado y de acuerdo con la </w:t>
      </w:r>
      <w:r w:rsidRPr="00F74BFF">
        <w:rPr>
          <w:rFonts w:ascii="Verdana" w:eastAsia="Times New Roman" w:hAnsi="Verdana" w:cs="Times New Roman"/>
          <w:sz w:val="20"/>
          <w:szCs w:val="20"/>
          <w:lang w:val="es-ES"/>
        </w:rPr>
        <w:t>documentación que se presentó</w:t>
      </w:r>
      <w:r w:rsidR="005B15E3">
        <w:rPr>
          <w:rFonts w:ascii="Verdana" w:eastAsia="Times New Roman" w:hAnsi="Verdana" w:cs="Times New Roman"/>
          <w:sz w:val="20"/>
          <w:szCs w:val="20"/>
          <w:lang w:val="es-ES"/>
        </w:rPr>
        <w:t>.</w:t>
      </w:r>
      <w:r w:rsidR="00DC0243">
        <w:rPr>
          <w:rFonts w:ascii="Verdana" w:eastAsia="Times New Roman" w:hAnsi="Verdana" w:cs="Times New Roman"/>
          <w:sz w:val="20"/>
          <w:szCs w:val="20"/>
          <w:lang w:val="es-ES"/>
        </w:rPr>
        <w:t xml:space="preserve"> </w:t>
      </w:r>
      <w:r w:rsidRPr="00F74BFF">
        <w:rPr>
          <w:rFonts w:ascii="Verdana" w:hAnsi="Verdana" w:cs="Times New Roman"/>
          <w:sz w:val="20"/>
          <w:szCs w:val="20"/>
          <w:lang w:val="es-ES"/>
        </w:rPr>
        <w:t>Solicitaron</w:t>
      </w:r>
      <w:r w:rsidR="003B1A87" w:rsidRPr="00F74BFF">
        <w:rPr>
          <w:rFonts w:ascii="Verdana" w:hAnsi="Verdana" w:cs="Times New Roman"/>
          <w:sz w:val="20"/>
          <w:szCs w:val="20"/>
          <w:lang w:val="es-ES"/>
        </w:rPr>
        <w:t xml:space="preserve"> </w:t>
      </w:r>
      <w:r w:rsidR="003B1A87" w:rsidRPr="008D0846">
        <w:rPr>
          <w:rFonts w:ascii="Verdana" w:hAnsi="Verdana"/>
          <w:sz w:val="20"/>
          <w:szCs w:val="20"/>
        </w:rPr>
        <w:t>que</w:t>
      </w:r>
      <w:r w:rsidR="003B1A87" w:rsidRPr="005F54F6">
        <w:rPr>
          <w:rFonts w:ascii="Verdana" w:hAnsi="Verdana"/>
          <w:b/>
          <w:sz w:val="20"/>
          <w:szCs w:val="20"/>
        </w:rPr>
        <w:t xml:space="preserve"> </w:t>
      </w:r>
      <w:r w:rsidR="003B1A87" w:rsidRPr="008D0846">
        <w:rPr>
          <w:rFonts w:ascii="Verdana" w:hAnsi="Verdana"/>
          <w:sz w:val="20"/>
          <w:szCs w:val="20"/>
        </w:rPr>
        <w:t>se tomara en cuenta que</w:t>
      </w:r>
      <w:r w:rsidRPr="00F74BFF">
        <w:rPr>
          <w:rFonts w:ascii="Verdana" w:hAnsi="Verdana" w:cs="Times New Roman"/>
          <w:sz w:val="20"/>
          <w:szCs w:val="20"/>
          <w:lang w:val="es-ES"/>
        </w:rPr>
        <w:t xml:space="preserve"> al momento de los hechos </w:t>
      </w:r>
      <w:r w:rsidR="003B1A87" w:rsidRPr="008D0846">
        <w:rPr>
          <w:rFonts w:ascii="Verdana" w:hAnsi="Verdana"/>
          <w:sz w:val="20"/>
          <w:szCs w:val="20"/>
        </w:rPr>
        <w:t>Nitza Paola Alvarado Espinoza</w:t>
      </w:r>
      <w:r w:rsidR="003B1A87" w:rsidRPr="00DC0243">
        <w:rPr>
          <w:rFonts w:ascii="Verdana" w:hAnsi="Verdana"/>
          <w:sz w:val="20"/>
          <w:szCs w:val="20"/>
        </w:rPr>
        <w:t xml:space="preserve"> </w:t>
      </w:r>
      <w:r w:rsidRPr="00F74BFF">
        <w:rPr>
          <w:rFonts w:ascii="Verdana" w:hAnsi="Verdana" w:cs="Times New Roman"/>
          <w:sz w:val="20"/>
          <w:szCs w:val="20"/>
          <w:lang w:val="es-ES"/>
        </w:rPr>
        <w:t>presentaba una discapacidad motora en su mano y pierna derecha, generada por un derrame cerebral, por lo que se encontraba pensionada por el Instituto Mexicano de Seguro Social</w:t>
      </w:r>
      <w:r w:rsidR="005B15E3">
        <w:rPr>
          <w:rFonts w:ascii="Verdana" w:hAnsi="Verdana" w:cs="Times New Roman"/>
          <w:sz w:val="20"/>
          <w:szCs w:val="20"/>
          <w:lang w:val="es-ES"/>
        </w:rPr>
        <w:t>,</w:t>
      </w:r>
      <w:r w:rsidRPr="00F74BFF">
        <w:rPr>
          <w:rFonts w:ascii="Verdana" w:hAnsi="Verdana" w:cs="Times New Roman"/>
          <w:sz w:val="20"/>
          <w:szCs w:val="20"/>
          <w:lang w:val="es-ES"/>
        </w:rPr>
        <w:t xml:space="preserve"> </w:t>
      </w:r>
      <w:r w:rsidR="003B1A87" w:rsidRPr="008D0846">
        <w:rPr>
          <w:rFonts w:ascii="Verdana" w:hAnsi="Verdana"/>
          <w:sz w:val="20"/>
          <w:szCs w:val="20"/>
        </w:rPr>
        <w:t>recibiendo una pensión mensual de MX$2,500</w:t>
      </w:r>
      <w:r w:rsidR="003B1A87" w:rsidRPr="005F54F6">
        <w:rPr>
          <w:rFonts w:ascii="Verdana" w:hAnsi="Verdana"/>
          <w:sz w:val="20"/>
          <w:szCs w:val="20"/>
        </w:rPr>
        <w:t xml:space="preserve"> </w:t>
      </w:r>
      <w:r w:rsidR="00037841">
        <w:rPr>
          <w:rFonts w:ascii="Verdana" w:hAnsi="Verdana"/>
          <w:sz w:val="20"/>
          <w:szCs w:val="20"/>
        </w:rPr>
        <w:t xml:space="preserve">(dos </w:t>
      </w:r>
      <w:r w:rsidR="005B15E3">
        <w:rPr>
          <w:rFonts w:ascii="Verdana" w:hAnsi="Verdana"/>
          <w:sz w:val="20"/>
          <w:szCs w:val="20"/>
        </w:rPr>
        <w:t>mil quinientos pesos mexicanos)</w:t>
      </w:r>
      <w:r w:rsidR="00037841" w:rsidRPr="008D0846">
        <w:rPr>
          <w:rFonts w:ascii="Verdana" w:eastAsia="Times New Roman" w:hAnsi="Verdana" w:cs="Times New Roman"/>
          <w:sz w:val="20"/>
          <w:szCs w:val="20"/>
          <w:lang w:val="es-ES"/>
        </w:rPr>
        <w:t>.</w:t>
      </w:r>
      <w:r w:rsidRPr="00D3239A">
        <w:rPr>
          <w:rFonts w:ascii="Verdana" w:eastAsia="Times New Roman" w:hAnsi="Verdana" w:cs="Times New Roman"/>
          <w:sz w:val="20"/>
          <w:szCs w:val="20"/>
          <w:lang w:val="es-ES"/>
        </w:rPr>
        <w:t xml:space="preserve"> </w:t>
      </w:r>
      <w:r w:rsidR="003B1A87" w:rsidRPr="008D0846">
        <w:rPr>
          <w:rFonts w:ascii="Verdana" w:eastAsia="Times New Roman" w:hAnsi="Verdana"/>
          <w:sz w:val="20"/>
          <w:szCs w:val="20"/>
        </w:rPr>
        <w:t>Además, indicaron que l</w:t>
      </w:r>
      <w:r w:rsidR="003B1A87" w:rsidRPr="00037841">
        <w:rPr>
          <w:rFonts w:ascii="Verdana" w:eastAsia="Times New Roman" w:hAnsi="Verdana"/>
          <w:sz w:val="20"/>
          <w:szCs w:val="20"/>
        </w:rPr>
        <w:t>a</w:t>
      </w:r>
      <w:r w:rsidRPr="00F74BFF">
        <w:rPr>
          <w:rFonts w:ascii="Verdana" w:eastAsia="Times New Roman" w:hAnsi="Verdana" w:cs="Times New Roman"/>
          <w:sz w:val="20"/>
          <w:szCs w:val="20"/>
          <w:lang w:val="es-ES"/>
        </w:rPr>
        <w:t xml:space="preserve"> expectativa de vida para una mujer en México en 1978 era de 69 años</w:t>
      </w:r>
      <w:r w:rsidRPr="00F74BFF">
        <w:rPr>
          <w:rStyle w:val="Refdenotaalpie"/>
          <w:rFonts w:ascii="Verdana" w:eastAsia="Times New Roman" w:hAnsi="Verdana" w:cs="Times New Roman"/>
          <w:sz w:val="20"/>
          <w:szCs w:val="20"/>
          <w:lang w:val="es-ES"/>
        </w:rPr>
        <w:footnoteReference w:id="562"/>
      </w:r>
      <w:r w:rsidRPr="00F74BFF">
        <w:rPr>
          <w:rFonts w:ascii="Verdana" w:eastAsia="Times New Roman" w:hAnsi="Verdana" w:cs="Times New Roman"/>
          <w:sz w:val="20"/>
          <w:szCs w:val="20"/>
          <w:lang w:val="es-ES"/>
        </w:rPr>
        <w:t xml:space="preserve">. El salario mínimo para 2017 en el </w:t>
      </w:r>
      <w:r w:rsidR="00037841">
        <w:rPr>
          <w:rFonts w:ascii="Verdana" w:eastAsia="Times New Roman" w:hAnsi="Verdana" w:cs="Times New Roman"/>
          <w:sz w:val="20"/>
          <w:szCs w:val="20"/>
          <w:lang w:val="es-ES"/>
        </w:rPr>
        <w:t>Á</w:t>
      </w:r>
      <w:r w:rsidRPr="00F74BFF">
        <w:rPr>
          <w:rFonts w:ascii="Verdana" w:eastAsia="Times New Roman" w:hAnsi="Verdana" w:cs="Times New Roman"/>
          <w:sz w:val="20"/>
          <w:szCs w:val="20"/>
          <w:lang w:val="es-ES"/>
        </w:rPr>
        <w:t xml:space="preserve">rea </w:t>
      </w:r>
      <w:r w:rsidR="00037841">
        <w:rPr>
          <w:rFonts w:ascii="Verdana" w:eastAsia="Times New Roman" w:hAnsi="Verdana" w:cs="Times New Roman"/>
          <w:sz w:val="20"/>
          <w:szCs w:val="20"/>
          <w:lang w:val="es-ES"/>
        </w:rPr>
        <w:t>G</w:t>
      </w:r>
      <w:r w:rsidRPr="00F74BFF">
        <w:rPr>
          <w:rFonts w:ascii="Verdana" w:eastAsia="Times New Roman" w:hAnsi="Verdana" w:cs="Times New Roman"/>
          <w:sz w:val="20"/>
          <w:szCs w:val="20"/>
          <w:lang w:val="es-ES"/>
        </w:rPr>
        <w:t>eográfica Única de México e</w:t>
      </w:r>
      <w:r w:rsidR="00037841">
        <w:rPr>
          <w:rFonts w:ascii="Verdana" w:eastAsia="Times New Roman" w:hAnsi="Verdana" w:cs="Times New Roman"/>
          <w:sz w:val="20"/>
          <w:szCs w:val="20"/>
          <w:lang w:val="es-ES"/>
        </w:rPr>
        <w:t>ra de</w:t>
      </w:r>
      <w:r w:rsidRPr="00F74BFF">
        <w:rPr>
          <w:rFonts w:ascii="Verdana" w:eastAsia="Times New Roman" w:hAnsi="Verdana" w:cs="Times New Roman"/>
          <w:sz w:val="20"/>
          <w:szCs w:val="20"/>
          <w:lang w:val="es-ES"/>
        </w:rPr>
        <w:t xml:space="preserve"> </w:t>
      </w:r>
      <w:r w:rsidR="00037841">
        <w:rPr>
          <w:rFonts w:ascii="Verdana" w:eastAsia="Times New Roman" w:hAnsi="Verdana" w:cs="Times New Roman"/>
          <w:sz w:val="20"/>
          <w:szCs w:val="20"/>
          <w:lang w:val="es-ES"/>
        </w:rPr>
        <w:t>MX</w:t>
      </w:r>
      <w:r w:rsidRPr="00F74BFF">
        <w:rPr>
          <w:rFonts w:ascii="Verdana" w:eastAsia="Times New Roman" w:hAnsi="Verdana" w:cs="Times New Roman"/>
          <w:sz w:val="20"/>
          <w:szCs w:val="20"/>
          <w:lang w:val="es-ES"/>
        </w:rPr>
        <w:t xml:space="preserve">$80.04 </w:t>
      </w:r>
      <w:r w:rsidR="00037841">
        <w:rPr>
          <w:rFonts w:ascii="Verdana" w:eastAsia="Times New Roman" w:hAnsi="Verdana" w:cs="Times New Roman"/>
          <w:sz w:val="20"/>
          <w:szCs w:val="20"/>
          <w:lang w:val="es-ES"/>
        </w:rPr>
        <w:t xml:space="preserve">diarios (ochenta punto cero cuatro </w:t>
      </w:r>
      <w:r w:rsidRPr="00F74BFF">
        <w:rPr>
          <w:rFonts w:ascii="Verdana" w:eastAsia="Times New Roman" w:hAnsi="Verdana" w:cs="Times New Roman"/>
          <w:sz w:val="20"/>
          <w:szCs w:val="20"/>
          <w:lang w:val="es-ES"/>
        </w:rPr>
        <w:t>pesos mexicanos</w:t>
      </w:r>
      <w:r w:rsidR="00037841">
        <w:rPr>
          <w:rFonts w:ascii="Verdana" w:eastAsia="Times New Roman" w:hAnsi="Verdana" w:cs="Times New Roman"/>
          <w:sz w:val="20"/>
          <w:szCs w:val="20"/>
          <w:lang w:val="es-ES"/>
        </w:rPr>
        <w:t>)</w:t>
      </w:r>
      <w:r w:rsidR="005B15E3" w:rsidRPr="008D0846">
        <w:rPr>
          <w:rFonts w:ascii="Verdana" w:eastAsia="Times New Roman" w:hAnsi="Verdana" w:cs="Times New Roman"/>
          <w:sz w:val="20"/>
          <w:szCs w:val="20"/>
          <w:lang w:val="es-ES"/>
        </w:rPr>
        <w:t>.</w:t>
      </w:r>
    </w:p>
    <w:p w14:paraId="4FF842CF" w14:textId="22329D54" w:rsidR="0030739A" w:rsidRPr="00432ABC"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432ABC">
        <w:rPr>
          <w:rFonts w:ascii="Verdana" w:eastAsia="Times New Roman" w:hAnsi="Verdana" w:cs="Times New Roman"/>
          <w:sz w:val="20"/>
          <w:szCs w:val="20"/>
          <w:lang w:val="es-ES"/>
        </w:rPr>
        <w:t>En cuanto al daño emergente, las representantes solicitaron el reintegro de los gastos concernientes a: i) transporte para realizar búsqueda o hacer diligencias ministeriales y judiciales</w:t>
      </w:r>
      <w:r w:rsidR="005E20B6">
        <w:rPr>
          <w:rFonts w:ascii="Verdana" w:eastAsia="Times New Roman" w:hAnsi="Verdana" w:cs="Times New Roman"/>
          <w:sz w:val="20"/>
          <w:szCs w:val="20"/>
          <w:lang w:val="es-ES"/>
        </w:rPr>
        <w:t>;</w:t>
      </w:r>
      <w:r w:rsidRPr="00432ABC">
        <w:rPr>
          <w:rFonts w:ascii="Verdana" w:eastAsia="Times New Roman" w:hAnsi="Verdana" w:cs="Times New Roman"/>
          <w:sz w:val="20"/>
          <w:szCs w:val="20"/>
          <w:lang w:val="es-ES"/>
        </w:rPr>
        <w:t xml:space="preserve"> ii) </w:t>
      </w:r>
      <w:r w:rsidR="005E20B6">
        <w:rPr>
          <w:rFonts w:ascii="Verdana" w:eastAsia="Times New Roman" w:hAnsi="Verdana" w:cs="Times New Roman"/>
          <w:sz w:val="20"/>
          <w:szCs w:val="20"/>
          <w:lang w:val="es-ES"/>
        </w:rPr>
        <w:t xml:space="preserve">los </w:t>
      </w:r>
      <w:r w:rsidRPr="00432ABC">
        <w:rPr>
          <w:rFonts w:ascii="Verdana" w:eastAsia="Times New Roman" w:hAnsi="Verdana" w:cs="Times New Roman"/>
          <w:sz w:val="20"/>
          <w:szCs w:val="20"/>
          <w:lang w:val="es-ES"/>
        </w:rPr>
        <w:t xml:space="preserve">gastos de salud; iii) los pagos realizados con motivo del desplazamiento forzado </w:t>
      </w:r>
      <w:r w:rsidR="005E20B6">
        <w:rPr>
          <w:rFonts w:ascii="Verdana" w:eastAsia="Times New Roman" w:hAnsi="Verdana" w:cs="Times New Roman"/>
          <w:sz w:val="20"/>
          <w:szCs w:val="20"/>
          <w:lang w:val="es-ES"/>
        </w:rPr>
        <w:t xml:space="preserve">de los familiares </w:t>
      </w:r>
      <w:r w:rsidRPr="00432ABC">
        <w:rPr>
          <w:rFonts w:ascii="Verdana" w:eastAsia="Times New Roman" w:hAnsi="Verdana" w:cs="Times New Roman"/>
          <w:sz w:val="20"/>
          <w:szCs w:val="20"/>
          <w:lang w:val="es-ES"/>
        </w:rPr>
        <w:t>a causa de las amenazas en su contra</w:t>
      </w:r>
      <w:r w:rsidRPr="00744CE4">
        <w:rPr>
          <w:rStyle w:val="Refdenotaalpie"/>
          <w:rFonts w:ascii="Verdana" w:eastAsia="Times New Roman" w:hAnsi="Verdana"/>
          <w:sz w:val="20"/>
          <w:szCs w:val="20"/>
          <w:lang w:val="es-ES"/>
        </w:rPr>
        <w:footnoteReference w:id="563"/>
      </w:r>
      <w:r w:rsidRPr="00744CE4">
        <w:rPr>
          <w:rFonts w:ascii="Verdana" w:eastAsia="Times New Roman" w:hAnsi="Verdana" w:cs="Times New Roman"/>
          <w:sz w:val="20"/>
          <w:szCs w:val="20"/>
          <w:lang w:val="es-ES"/>
        </w:rPr>
        <w:t>; iv) todo lo relativo con las solicitudes de asilo</w:t>
      </w:r>
      <w:r w:rsidRPr="00744CE4">
        <w:rPr>
          <w:rStyle w:val="Refdenotaalpie"/>
          <w:rFonts w:ascii="Verdana" w:eastAsia="Times New Roman" w:hAnsi="Verdana"/>
          <w:sz w:val="20"/>
          <w:szCs w:val="20"/>
          <w:lang w:val="es-ES"/>
        </w:rPr>
        <w:footnoteReference w:id="564"/>
      </w:r>
      <w:r w:rsidRPr="00744CE4">
        <w:rPr>
          <w:rFonts w:ascii="Verdana" w:eastAsia="Times New Roman" w:hAnsi="Verdana" w:cs="Times New Roman"/>
          <w:sz w:val="20"/>
          <w:szCs w:val="20"/>
          <w:lang w:val="es-ES"/>
        </w:rPr>
        <w:t xml:space="preserve">; v) la </w:t>
      </w:r>
      <w:r w:rsidR="001307F1">
        <w:rPr>
          <w:rFonts w:ascii="Verdana" w:eastAsia="Times New Roman" w:hAnsi="Verdana" w:cs="Times New Roman"/>
          <w:sz w:val="20"/>
          <w:szCs w:val="20"/>
          <w:lang w:val="es-ES"/>
        </w:rPr>
        <w:t>“</w:t>
      </w:r>
      <w:r w:rsidRPr="00744CE4">
        <w:rPr>
          <w:rFonts w:ascii="Verdana" w:eastAsia="Times New Roman" w:hAnsi="Verdana" w:cs="Times New Roman"/>
          <w:sz w:val="20"/>
          <w:szCs w:val="20"/>
          <w:lang w:val="es-ES"/>
        </w:rPr>
        <w:t>recuperación de la camioneta robada al momento de la desaparición</w:t>
      </w:r>
      <w:r w:rsidR="005E20B6">
        <w:rPr>
          <w:rFonts w:ascii="Verdana" w:eastAsia="Times New Roman" w:hAnsi="Verdana" w:cs="Times New Roman"/>
          <w:sz w:val="20"/>
          <w:szCs w:val="20"/>
          <w:lang w:val="es-ES"/>
        </w:rPr>
        <w:t>”</w:t>
      </w:r>
      <w:r w:rsidRPr="00744CE4">
        <w:rPr>
          <w:rFonts w:ascii="Verdana" w:eastAsia="Times New Roman" w:hAnsi="Verdana" w:cs="Times New Roman"/>
          <w:sz w:val="20"/>
          <w:szCs w:val="20"/>
          <w:lang w:val="es-ES"/>
        </w:rPr>
        <w:t xml:space="preserve">; y vi) los </w:t>
      </w:r>
      <w:r w:rsidRPr="00744CE4">
        <w:rPr>
          <w:rFonts w:ascii="Verdana" w:eastAsia="Times New Roman" w:hAnsi="Verdana" w:cs="Times New Roman"/>
          <w:sz w:val="20"/>
          <w:szCs w:val="20"/>
          <w:lang w:val="es-ES"/>
        </w:rPr>
        <w:lastRenderedPageBreak/>
        <w:t>daños a las viviendas y otros más</w:t>
      </w:r>
      <w:r w:rsidR="005E20B6">
        <w:rPr>
          <w:rFonts w:ascii="Verdana" w:eastAsia="Times New Roman" w:hAnsi="Verdana" w:cs="Times New Roman"/>
          <w:sz w:val="20"/>
          <w:szCs w:val="20"/>
          <w:lang w:val="es-ES"/>
        </w:rPr>
        <w:t>, i</w:t>
      </w:r>
      <w:r w:rsidRPr="00744CE4">
        <w:rPr>
          <w:rFonts w:ascii="Verdana" w:eastAsia="Times New Roman" w:hAnsi="Verdana" w:cs="Times New Roman"/>
          <w:sz w:val="20"/>
          <w:szCs w:val="20"/>
          <w:lang w:val="es-ES"/>
        </w:rPr>
        <w:t>ncluyendo en estos gastos los incurridos por parte de la familia Spector</w:t>
      </w:r>
      <w:r w:rsidR="005E20B6">
        <w:rPr>
          <w:rFonts w:ascii="Verdana" w:eastAsia="Times New Roman" w:hAnsi="Verdana" w:cs="Times New Roman"/>
          <w:sz w:val="20"/>
          <w:szCs w:val="20"/>
          <w:lang w:val="es-ES"/>
        </w:rPr>
        <w:t xml:space="preserve">, la cual </w:t>
      </w:r>
      <w:r w:rsidRPr="00744CE4">
        <w:rPr>
          <w:rFonts w:ascii="Verdana" w:eastAsia="Times New Roman" w:hAnsi="Verdana" w:cs="Times New Roman"/>
          <w:sz w:val="20"/>
          <w:szCs w:val="20"/>
          <w:lang w:val="es-ES"/>
        </w:rPr>
        <w:t>di</w:t>
      </w:r>
      <w:r w:rsidR="005E20B6">
        <w:rPr>
          <w:rFonts w:ascii="Verdana" w:eastAsia="Times New Roman" w:hAnsi="Verdana" w:cs="Times New Roman"/>
          <w:sz w:val="20"/>
          <w:szCs w:val="20"/>
          <w:lang w:val="es-ES"/>
        </w:rPr>
        <w:t>o</w:t>
      </w:r>
      <w:r w:rsidRPr="00744CE4">
        <w:rPr>
          <w:rFonts w:ascii="Verdana" w:eastAsia="Times New Roman" w:hAnsi="Verdana" w:cs="Times New Roman"/>
          <w:sz w:val="20"/>
          <w:szCs w:val="20"/>
          <w:lang w:val="es-ES"/>
        </w:rPr>
        <w:t xml:space="preserve"> hospedaje a las hijas de Nitza Paola </w:t>
      </w:r>
      <w:r w:rsidR="005E20B6">
        <w:rPr>
          <w:rFonts w:ascii="Verdana" w:eastAsia="Times New Roman" w:hAnsi="Verdana" w:cs="Times New Roman"/>
          <w:sz w:val="20"/>
          <w:szCs w:val="20"/>
          <w:lang w:val="es-ES"/>
        </w:rPr>
        <w:t xml:space="preserve">Alvarado </w:t>
      </w:r>
      <w:r w:rsidRPr="00744CE4">
        <w:rPr>
          <w:rFonts w:ascii="Verdana" w:eastAsia="Times New Roman" w:hAnsi="Verdana" w:cs="Times New Roman"/>
          <w:sz w:val="20"/>
          <w:szCs w:val="20"/>
          <w:lang w:val="es-ES"/>
        </w:rPr>
        <w:t xml:space="preserve">mientras avanzaba </w:t>
      </w:r>
      <w:r w:rsidR="005E20B6">
        <w:rPr>
          <w:rFonts w:ascii="Verdana" w:eastAsia="Times New Roman" w:hAnsi="Verdana" w:cs="Times New Roman"/>
          <w:sz w:val="20"/>
          <w:szCs w:val="20"/>
          <w:lang w:val="es-ES"/>
        </w:rPr>
        <w:t xml:space="preserve">el </w:t>
      </w:r>
      <w:r w:rsidRPr="00744CE4">
        <w:rPr>
          <w:rFonts w:ascii="Verdana" w:eastAsia="Times New Roman" w:hAnsi="Verdana" w:cs="Times New Roman"/>
          <w:sz w:val="20"/>
          <w:szCs w:val="20"/>
          <w:lang w:val="es-ES"/>
        </w:rPr>
        <w:t xml:space="preserve">proceso legal </w:t>
      </w:r>
      <w:r w:rsidR="005E20B6">
        <w:rPr>
          <w:rFonts w:ascii="Verdana" w:eastAsia="Times New Roman" w:hAnsi="Verdana" w:cs="Times New Roman"/>
          <w:sz w:val="20"/>
          <w:szCs w:val="20"/>
          <w:lang w:val="es-ES"/>
        </w:rPr>
        <w:t xml:space="preserve">de aquéllas </w:t>
      </w:r>
      <w:r w:rsidRPr="00744CE4">
        <w:rPr>
          <w:rFonts w:ascii="Verdana" w:eastAsia="Times New Roman" w:hAnsi="Verdana" w:cs="Times New Roman"/>
          <w:sz w:val="20"/>
          <w:szCs w:val="20"/>
          <w:lang w:val="es-ES"/>
        </w:rPr>
        <w:t xml:space="preserve">en </w:t>
      </w:r>
      <w:r w:rsidR="005E20B6">
        <w:rPr>
          <w:rFonts w:ascii="Verdana" w:eastAsia="Times New Roman" w:hAnsi="Verdana" w:cs="Times New Roman"/>
          <w:sz w:val="20"/>
          <w:szCs w:val="20"/>
          <w:lang w:val="es-ES"/>
        </w:rPr>
        <w:t xml:space="preserve">los </w:t>
      </w:r>
      <w:r w:rsidRPr="00744CE4">
        <w:rPr>
          <w:rFonts w:ascii="Verdana" w:eastAsia="Times New Roman" w:hAnsi="Verdana" w:cs="Times New Roman"/>
          <w:sz w:val="20"/>
          <w:szCs w:val="20"/>
          <w:lang w:val="es-ES"/>
        </w:rPr>
        <w:t xml:space="preserve">Estados Unidos. </w:t>
      </w:r>
    </w:p>
    <w:p w14:paraId="0227E2EF" w14:textId="0622FDF5"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432ABC">
        <w:rPr>
          <w:rFonts w:ascii="Verdana" w:eastAsia="Times New Roman" w:hAnsi="Verdana" w:cs="Times New Roman"/>
          <w:sz w:val="20"/>
          <w:szCs w:val="20"/>
          <w:lang w:val="es-ES"/>
        </w:rPr>
        <w:t>En cuanto al daño inmaterial, las</w:t>
      </w:r>
      <w:r w:rsidRPr="00432ABC">
        <w:rPr>
          <w:rFonts w:ascii="Verdana" w:eastAsia="Times New Roman" w:hAnsi="Verdana" w:cs="Times New Roman"/>
          <w:b/>
          <w:sz w:val="20"/>
          <w:szCs w:val="20"/>
          <w:lang w:val="es-ES"/>
        </w:rPr>
        <w:t xml:space="preserve"> </w:t>
      </w:r>
      <w:r w:rsidR="000C553D">
        <w:rPr>
          <w:rFonts w:ascii="Verdana" w:eastAsia="Times New Roman" w:hAnsi="Verdana" w:cs="Times New Roman"/>
          <w:sz w:val="20"/>
          <w:szCs w:val="20"/>
          <w:lang w:val="es-ES"/>
        </w:rPr>
        <w:t>r</w:t>
      </w:r>
      <w:r w:rsidRPr="000C553D">
        <w:rPr>
          <w:rFonts w:ascii="Verdana" w:eastAsia="Times New Roman" w:hAnsi="Verdana" w:cs="Times New Roman"/>
          <w:sz w:val="20"/>
          <w:szCs w:val="20"/>
          <w:lang w:val="es-ES"/>
        </w:rPr>
        <w:t xml:space="preserve">epresentantes </w:t>
      </w:r>
      <w:r w:rsidRPr="00432ABC">
        <w:rPr>
          <w:rFonts w:ascii="Verdana" w:hAnsi="Verdana" w:cs="Times New Roman"/>
          <w:sz w:val="20"/>
          <w:szCs w:val="20"/>
          <w:lang w:val="es-AR"/>
        </w:rPr>
        <w:t xml:space="preserve">ofrecieron como prueba: i) </w:t>
      </w:r>
      <w:r w:rsidRPr="002C462C">
        <w:rPr>
          <w:rFonts w:ascii="Verdana" w:hAnsi="Verdana" w:cs="Times New Roman"/>
          <w:sz w:val="20"/>
          <w:szCs w:val="20"/>
          <w:lang w:val="es-EC"/>
        </w:rPr>
        <w:t xml:space="preserve">un peritaje de impacto psicosocial dando cuenta de los daños y consecuencias negativas que los hechos del caso, la impunidad en que se mantienen los mismos, los riesgos por la exigencia de verdad, justicia y reparación así como la incertidumbre del paradero de Nitza Paola, </w:t>
      </w:r>
      <w:r w:rsidR="006F0E70" w:rsidRPr="002C462C">
        <w:rPr>
          <w:rFonts w:ascii="Verdana" w:hAnsi="Verdana" w:cs="Times New Roman"/>
          <w:sz w:val="20"/>
          <w:szCs w:val="20"/>
          <w:lang w:val="es-EC"/>
        </w:rPr>
        <w:t>José Ángel</w:t>
      </w:r>
      <w:r w:rsidR="006F0E70">
        <w:rPr>
          <w:rFonts w:ascii="Verdana" w:hAnsi="Verdana" w:cs="Times New Roman"/>
          <w:sz w:val="20"/>
          <w:szCs w:val="20"/>
          <w:lang w:val="es-EC"/>
        </w:rPr>
        <w:t xml:space="preserve"> </w:t>
      </w:r>
      <w:r w:rsidR="006F0E70" w:rsidRPr="002C462C">
        <w:rPr>
          <w:rFonts w:ascii="Verdana" w:hAnsi="Verdana" w:cs="Times New Roman"/>
          <w:sz w:val="20"/>
          <w:szCs w:val="20"/>
          <w:lang w:val="es-EC"/>
        </w:rPr>
        <w:t xml:space="preserve">y </w:t>
      </w:r>
      <w:r w:rsidRPr="002C462C">
        <w:rPr>
          <w:rFonts w:ascii="Verdana" w:hAnsi="Verdana" w:cs="Times New Roman"/>
          <w:sz w:val="20"/>
          <w:szCs w:val="20"/>
          <w:lang w:val="es-EC"/>
        </w:rPr>
        <w:t xml:space="preserve">Rocío </w:t>
      </w:r>
      <w:r w:rsidRPr="002C462C">
        <w:rPr>
          <w:rFonts w:ascii="Verdana" w:hAnsi="Verdana" w:cs="Times New Roman"/>
          <w:sz w:val="20"/>
          <w:szCs w:val="20"/>
          <w:lang w:val="es-EC"/>
        </w:rPr>
        <w:lastRenderedPageBreak/>
        <w:t xml:space="preserve">Irene </w:t>
      </w:r>
      <w:r w:rsidR="006F0E70">
        <w:rPr>
          <w:rFonts w:ascii="Verdana" w:hAnsi="Verdana" w:cs="Times New Roman"/>
          <w:sz w:val="20"/>
          <w:szCs w:val="20"/>
          <w:lang w:val="es-EC"/>
        </w:rPr>
        <w:t>Alvarado</w:t>
      </w:r>
      <w:r w:rsidRPr="002C462C">
        <w:rPr>
          <w:rFonts w:ascii="Verdana" w:hAnsi="Verdana" w:cs="Times New Roman"/>
          <w:sz w:val="20"/>
          <w:szCs w:val="20"/>
          <w:lang w:val="es-EC"/>
        </w:rPr>
        <w:t xml:space="preserve"> ha</w:t>
      </w:r>
      <w:r w:rsidR="006F0E70">
        <w:rPr>
          <w:rFonts w:ascii="Verdana" w:hAnsi="Verdana" w:cs="Times New Roman"/>
          <w:sz w:val="20"/>
          <w:szCs w:val="20"/>
          <w:lang w:val="es-EC"/>
        </w:rPr>
        <w:t>n</w:t>
      </w:r>
      <w:r w:rsidRPr="002C462C">
        <w:rPr>
          <w:rFonts w:ascii="Verdana" w:hAnsi="Verdana" w:cs="Times New Roman"/>
          <w:sz w:val="20"/>
          <w:szCs w:val="20"/>
          <w:lang w:val="es-EC"/>
        </w:rPr>
        <w:t xml:space="preserve"> tenido en sus respectivos núcleo</w:t>
      </w:r>
      <w:r w:rsidRPr="00744CE4">
        <w:rPr>
          <w:rFonts w:ascii="Verdana" w:hAnsi="Verdana" w:cs="Times New Roman"/>
          <w:sz w:val="20"/>
          <w:szCs w:val="20"/>
          <w:lang w:val="es-EC"/>
        </w:rPr>
        <w:t>s familiares</w:t>
      </w:r>
      <w:r w:rsidRPr="00744CE4">
        <w:rPr>
          <w:rStyle w:val="Refdenotaalpie"/>
          <w:rFonts w:ascii="Verdana" w:hAnsi="Verdana"/>
          <w:sz w:val="20"/>
          <w:szCs w:val="20"/>
          <w:lang w:val="es-EC"/>
        </w:rPr>
        <w:footnoteReference w:id="565"/>
      </w:r>
      <w:r w:rsidRPr="00744CE4">
        <w:rPr>
          <w:rFonts w:ascii="Verdana" w:hAnsi="Verdana" w:cs="Times New Roman"/>
          <w:sz w:val="20"/>
          <w:szCs w:val="20"/>
          <w:lang w:val="es-EC"/>
        </w:rPr>
        <w:t xml:space="preserve">. De igual manera, presentaron testimonios </w:t>
      </w:r>
      <w:r w:rsidR="001307F1">
        <w:rPr>
          <w:rFonts w:ascii="Verdana" w:hAnsi="Verdana" w:cs="Times New Roman"/>
          <w:sz w:val="20"/>
          <w:szCs w:val="20"/>
          <w:lang w:val="es-EC"/>
        </w:rPr>
        <w:t>“</w:t>
      </w:r>
      <w:r w:rsidRPr="00744CE4">
        <w:rPr>
          <w:rFonts w:ascii="Verdana" w:hAnsi="Verdana" w:cs="Times New Roman"/>
          <w:sz w:val="20"/>
          <w:szCs w:val="20"/>
          <w:lang w:val="es-EC"/>
        </w:rPr>
        <w:t>para fortalecer lo anteriormente mencionado</w:t>
      </w:r>
      <w:r w:rsidR="001307F1">
        <w:rPr>
          <w:rFonts w:ascii="Verdana" w:hAnsi="Verdana" w:cs="Times New Roman"/>
          <w:sz w:val="20"/>
          <w:szCs w:val="20"/>
          <w:lang w:val="es-EC"/>
        </w:rPr>
        <w:t>”,</w:t>
      </w:r>
      <w:r w:rsidRPr="00744CE4">
        <w:rPr>
          <w:rFonts w:ascii="Verdana" w:hAnsi="Verdana" w:cs="Times New Roman"/>
          <w:sz w:val="20"/>
          <w:szCs w:val="20"/>
          <w:lang w:val="es-EC"/>
        </w:rPr>
        <w:t xml:space="preserve"> y ii) la tasación monetaria del daño moral tanto por las violaciones de derecho humanos directas para las tres víctimas desaparecidas y a la indemnización a sus familiares. </w:t>
      </w:r>
    </w:p>
    <w:p w14:paraId="4F39953C" w14:textId="49EF9EBD" w:rsidR="0030739A" w:rsidRPr="00744CE4" w:rsidRDefault="004573CE"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Calibri" w:hAnsi="Verdana" w:cs="Times New Roman"/>
          <w:i/>
          <w:sz w:val="20"/>
          <w:szCs w:val="20"/>
          <w:lang w:val="es-ES" w:eastAsia="es-ES"/>
        </w:rPr>
      </w:pPr>
      <w:r>
        <w:rPr>
          <w:rFonts w:ascii="Verdana" w:eastAsia="Times New Roman" w:hAnsi="Verdana" w:cs="Times New Roman"/>
          <w:sz w:val="20"/>
          <w:szCs w:val="20"/>
          <w:lang w:val="es-ES"/>
        </w:rPr>
        <w:t>E</w:t>
      </w:r>
      <w:r w:rsidR="0030739A" w:rsidRPr="00432ABC">
        <w:rPr>
          <w:rFonts w:ascii="Verdana" w:eastAsia="Calibri" w:hAnsi="Verdana" w:cs="Times New Roman"/>
          <w:sz w:val="20"/>
          <w:szCs w:val="20"/>
          <w:lang w:val="es-ES" w:eastAsia="es-ES"/>
        </w:rPr>
        <w:t xml:space="preserve">l </w:t>
      </w:r>
      <w:r w:rsidR="0030739A" w:rsidRPr="00432ABC">
        <w:rPr>
          <w:rFonts w:ascii="Verdana" w:eastAsia="Calibri" w:hAnsi="Verdana" w:cs="Times New Roman"/>
          <w:b/>
          <w:i/>
          <w:sz w:val="20"/>
          <w:szCs w:val="20"/>
          <w:lang w:val="es-ES" w:eastAsia="es-ES"/>
        </w:rPr>
        <w:t>Estado</w:t>
      </w:r>
      <w:r w:rsidR="0030739A" w:rsidRPr="00432ABC">
        <w:rPr>
          <w:rFonts w:ascii="Verdana" w:eastAsia="Calibri" w:hAnsi="Verdana" w:cs="Times New Roman"/>
          <w:sz w:val="20"/>
          <w:szCs w:val="20"/>
          <w:lang w:val="es-ES" w:eastAsia="es-ES"/>
        </w:rPr>
        <w:t xml:space="preserve">, respecto del daño material, solicitó que en caso de que la Corte determine la responsabilidad del Estado mexicano, no tome en cuenta rubros sobre los cuales las representantes no han presentado de </w:t>
      </w:r>
      <w:r w:rsidR="0030739A" w:rsidRPr="002C462C">
        <w:rPr>
          <w:rFonts w:ascii="Verdana" w:eastAsia="Calibri" w:hAnsi="Verdana" w:cs="Times New Roman"/>
          <w:sz w:val="20"/>
          <w:szCs w:val="20"/>
          <w:lang w:val="es-ES" w:eastAsia="es-ES"/>
        </w:rPr>
        <w:t xml:space="preserve">manera contundente y detallada el nexo causal entre la reparación solicitada y las violaciones alegadas, y en su lugar, dicte una cantidad en </w:t>
      </w:r>
      <w:r w:rsidR="001307F1">
        <w:rPr>
          <w:rFonts w:ascii="Verdana" w:eastAsia="Calibri" w:hAnsi="Verdana" w:cs="Times New Roman"/>
          <w:sz w:val="20"/>
          <w:szCs w:val="20"/>
          <w:lang w:val="es-ES" w:eastAsia="es-ES"/>
        </w:rPr>
        <w:t>atención</w:t>
      </w:r>
      <w:r w:rsidR="001307F1" w:rsidRPr="002C462C">
        <w:rPr>
          <w:rFonts w:ascii="Verdana" w:eastAsia="Calibri" w:hAnsi="Verdana" w:cs="Times New Roman"/>
          <w:sz w:val="20"/>
          <w:szCs w:val="20"/>
          <w:lang w:val="es-ES" w:eastAsia="es-ES"/>
        </w:rPr>
        <w:t xml:space="preserve"> </w:t>
      </w:r>
      <w:r w:rsidR="001307F1">
        <w:rPr>
          <w:rFonts w:ascii="Verdana" w:eastAsia="Calibri" w:hAnsi="Verdana" w:cs="Times New Roman"/>
          <w:sz w:val="20"/>
          <w:szCs w:val="20"/>
          <w:lang w:val="es-ES" w:eastAsia="es-ES"/>
        </w:rPr>
        <w:t>a</w:t>
      </w:r>
      <w:r w:rsidR="001307F1" w:rsidRPr="002C462C">
        <w:rPr>
          <w:rFonts w:ascii="Verdana" w:eastAsia="Calibri" w:hAnsi="Verdana" w:cs="Times New Roman"/>
          <w:sz w:val="20"/>
          <w:szCs w:val="20"/>
          <w:lang w:val="es-ES" w:eastAsia="es-ES"/>
        </w:rPr>
        <w:t xml:space="preserve">l </w:t>
      </w:r>
      <w:r w:rsidR="0030739A" w:rsidRPr="002C462C">
        <w:rPr>
          <w:rFonts w:ascii="Verdana" w:eastAsia="Calibri" w:hAnsi="Verdana" w:cs="Times New Roman"/>
          <w:sz w:val="20"/>
          <w:szCs w:val="20"/>
          <w:lang w:val="es-ES" w:eastAsia="es-ES"/>
        </w:rPr>
        <w:t xml:space="preserve">principio de equidad. </w:t>
      </w:r>
    </w:p>
    <w:p w14:paraId="6F1EF14B" w14:textId="61F3A0A9" w:rsidR="0030739A" w:rsidRPr="000105E6" w:rsidRDefault="0030739A" w:rsidP="001307F1">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Calibri" w:hAnsi="Verdana" w:cs="Times New Roman"/>
          <w:b/>
          <w:sz w:val="20"/>
          <w:szCs w:val="20"/>
          <w:lang w:val="es-ES" w:eastAsia="es-ES"/>
        </w:rPr>
      </w:pPr>
      <w:r w:rsidRPr="001307F1">
        <w:rPr>
          <w:rFonts w:ascii="Verdana" w:eastAsia="Calibri" w:hAnsi="Verdana" w:cs="Times New Roman"/>
          <w:sz w:val="20"/>
          <w:szCs w:val="20"/>
          <w:lang w:val="es-ES" w:eastAsia="es-ES"/>
        </w:rPr>
        <w:t>Con respecto al daño emergente,</w:t>
      </w:r>
      <w:r w:rsidRPr="001307F1">
        <w:rPr>
          <w:rFonts w:ascii="Verdana" w:eastAsia="Calibri" w:hAnsi="Verdana" w:cs="Times New Roman"/>
          <w:i/>
          <w:sz w:val="20"/>
          <w:szCs w:val="20"/>
          <w:lang w:val="es-ES" w:eastAsia="es-ES"/>
        </w:rPr>
        <w:t xml:space="preserve"> </w:t>
      </w:r>
      <w:r w:rsidRPr="001307F1">
        <w:rPr>
          <w:rFonts w:ascii="Verdana" w:eastAsia="Calibri" w:hAnsi="Verdana" w:cs="Times New Roman"/>
          <w:sz w:val="20"/>
          <w:szCs w:val="20"/>
          <w:lang w:val="es-ES" w:eastAsia="es-ES"/>
        </w:rPr>
        <w:t xml:space="preserve">el Estado resaltó que no es responsable internacionalmente por el desplazamiento de los familiares. En cuanto a </w:t>
      </w:r>
      <w:r w:rsidRPr="000105E6">
        <w:rPr>
          <w:rFonts w:ascii="Verdana" w:eastAsia="Calibri" w:hAnsi="Verdana" w:cs="Times New Roman"/>
          <w:sz w:val="20"/>
          <w:szCs w:val="20"/>
          <w:lang w:val="es-ES" w:eastAsia="es-ES"/>
        </w:rPr>
        <w:t>los gastos incurridos por la familia Spector, el Estado resalt</w:t>
      </w:r>
      <w:r w:rsidR="001307F1" w:rsidRPr="000105E6">
        <w:rPr>
          <w:rFonts w:ascii="Verdana" w:eastAsia="Calibri" w:hAnsi="Verdana" w:cs="Times New Roman"/>
          <w:sz w:val="20"/>
          <w:szCs w:val="20"/>
          <w:lang w:val="es-ES" w:eastAsia="es-ES"/>
        </w:rPr>
        <w:t>ó</w:t>
      </w:r>
      <w:r w:rsidRPr="000105E6">
        <w:rPr>
          <w:rFonts w:ascii="Verdana" w:eastAsia="Calibri" w:hAnsi="Verdana" w:cs="Times New Roman"/>
          <w:sz w:val="20"/>
          <w:szCs w:val="20"/>
          <w:lang w:val="es-ES" w:eastAsia="es-ES"/>
        </w:rPr>
        <w:t xml:space="preserve"> que esta familia no </w:t>
      </w:r>
      <w:r w:rsidR="001307F1" w:rsidRPr="000105E6">
        <w:rPr>
          <w:rFonts w:ascii="Verdana" w:eastAsia="Calibri" w:hAnsi="Verdana" w:cs="Times New Roman"/>
          <w:sz w:val="20"/>
          <w:szCs w:val="20"/>
          <w:lang w:val="es-ES" w:eastAsia="es-ES"/>
        </w:rPr>
        <w:t xml:space="preserve">fue </w:t>
      </w:r>
      <w:r w:rsidRPr="000105E6">
        <w:rPr>
          <w:rFonts w:ascii="Verdana" w:eastAsia="Calibri" w:hAnsi="Verdana" w:cs="Times New Roman"/>
          <w:sz w:val="20"/>
          <w:szCs w:val="20"/>
          <w:lang w:val="es-ES" w:eastAsia="es-ES"/>
        </w:rPr>
        <w:t xml:space="preserve">identificada por la Comisión como presunta víctima de los hechos del presente caso, </w:t>
      </w:r>
      <w:r w:rsidR="001307F1" w:rsidRPr="000105E6">
        <w:rPr>
          <w:rFonts w:ascii="Verdana" w:eastAsia="Calibri" w:hAnsi="Verdana" w:cs="Times New Roman"/>
          <w:sz w:val="20"/>
          <w:szCs w:val="20"/>
          <w:lang w:val="es-ES" w:eastAsia="es-ES"/>
        </w:rPr>
        <w:t xml:space="preserve">por lo que </w:t>
      </w:r>
      <w:r w:rsidR="001307F1">
        <w:rPr>
          <w:rFonts w:ascii="Verdana" w:eastAsia="Calibri" w:hAnsi="Verdana" w:cs="Times New Roman"/>
          <w:sz w:val="20"/>
          <w:szCs w:val="20"/>
          <w:lang w:val="es-ES" w:eastAsia="es-ES"/>
        </w:rPr>
        <w:t xml:space="preserve">al </w:t>
      </w:r>
      <w:r w:rsidR="001307F1" w:rsidRPr="001307F1">
        <w:rPr>
          <w:rFonts w:ascii="Verdana" w:eastAsia="Calibri" w:hAnsi="Verdana" w:cs="Times New Roman"/>
          <w:sz w:val="20"/>
          <w:szCs w:val="20"/>
          <w:lang w:eastAsia="es-ES"/>
        </w:rPr>
        <w:t>no exist</w:t>
      </w:r>
      <w:r w:rsidR="001307F1">
        <w:rPr>
          <w:rFonts w:ascii="Verdana" w:eastAsia="Calibri" w:hAnsi="Verdana" w:cs="Times New Roman"/>
          <w:sz w:val="20"/>
          <w:szCs w:val="20"/>
          <w:lang w:eastAsia="es-ES"/>
        </w:rPr>
        <w:t xml:space="preserve">ir </w:t>
      </w:r>
      <w:r w:rsidR="001307F1" w:rsidRPr="008D0846">
        <w:rPr>
          <w:rFonts w:ascii="Verdana" w:eastAsia="Calibri" w:hAnsi="Verdana" w:cs="Times New Roman"/>
          <w:sz w:val="20"/>
          <w:szCs w:val="20"/>
          <w:lang w:eastAsia="es-ES"/>
        </w:rPr>
        <w:t>un nexo causal</w:t>
      </w:r>
      <w:r w:rsidR="001307F1">
        <w:rPr>
          <w:rFonts w:ascii="Verdana" w:eastAsia="Calibri" w:hAnsi="Verdana" w:cs="Times New Roman"/>
          <w:sz w:val="20"/>
          <w:szCs w:val="20"/>
          <w:lang w:eastAsia="es-ES"/>
        </w:rPr>
        <w:t>,</w:t>
      </w:r>
      <w:r w:rsidR="001307F1" w:rsidRPr="008D0846">
        <w:rPr>
          <w:rFonts w:ascii="Verdana" w:eastAsia="Calibri" w:hAnsi="Verdana" w:cs="Times New Roman"/>
          <w:sz w:val="20"/>
          <w:szCs w:val="20"/>
          <w:lang w:eastAsia="es-ES"/>
        </w:rPr>
        <w:t xml:space="preserve"> </w:t>
      </w:r>
      <w:r w:rsidRPr="001307F1">
        <w:rPr>
          <w:rFonts w:ascii="Verdana" w:eastAsia="Calibri" w:hAnsi="Verdana" w:cs="Times New Roman"/>
          <w:sz w:val="20"/>
          <w:szCs w:val="20"/>
          <w:lang w:val="es-ES" w:eastAsia="es-ES"/>
        </w:rPr>
        <w:t xml:space="preserve">resolver lo contrario significaría transgredir el derecho de defensa del Estado mexicano.  </w:t>
      </w:r>
    </w:p>
    <w:p w14:paraId="111BBA91" w14:textId="42EFEA95" w:rsidR="0030739A" w:rsidRPr="00432ABC"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744CE4">
        <w:rPr>
          <w:rFonts w:ascii="Verdana" w:eastAsia="Times New Roman" w:hAnsi="Verdana" w:cs="Times New Roman"/>
          <w:sz w:val="20"/>
          <w:szCs w:val="20"/>
          <w:lang w:val="es-ES"/>
        </w:rPr>
        <w:t xml:space="preserve">El </w:t>
      </w:r>
      <w:r w:rsidRPr="005053BD">
        <w:rPr>
          <w:rFonts w:ascii="Verdana" w:eastAsia="Times New Roman" w:hAnsi="Verdana" w:cs="Times New Roman"/>
          <w:sz w:val="20"/>
          <w:szCs w:val="20"/>
          <w:lang w:val="es-ES"/>
        </w:rPr>
        <w:t>Estado</w:t>
      </w:r>
      <w:r w:rsidRPr="00744CE4">
        <w:rPr>
          <w:rFonts w:ascii="Verdana" w:eastAsia="Times New Roman" w:hAnsi="Verdana" w:cs="Times New Roman"/>
          <w:sz w:val="20"/>
          <w:szCs w:val="20"/>
          <w:lang w:val="es-ES"/>
        </w:rPr>
        <w:t xml:space="preserve"> recordó que la Corte ha valorado la existencia de planes integrales de reparación, que reconoce</w:t>
      </w:r>
      <w:r w:rsidR="00F25037">
        <w:rPr>
          <w:rFonts w:ascii="Verdana" w:eastAsia="Times New Roman" w:hAnsi="Verdana" w:cs="Times New Roman"/>
          <w:sz w:val="20"/>
          <w:szCs w:val="20"/>
          <w:lang w:val="es-ES"/>
        </w:rPr>
        <w:t>n</w:t>
      </w:r>
      <w:r w:rsidRPr="00744CE4">
        <w:rPr>
          <w:rFonts w:ascii="Verdana" w:eastAsia="Times New Roman" w:hAnsi="Verdana" w:cs="Times New Roman"/>
          <w:sz w:val="20"/>
          <w:szCs w:val="20"/>
          <w:lang w:val="es-ES"/>
        </w:rPr>
        <w:t xml:space="preserve"> reparaciones colectivas y simbólicas en temas de salud, educación, acceso habitacional, restitución de derechos, así como reparaciones económicas para víctimas. Recordó al respecto que cuenta con el </w:t>
      </w:r>
      <w:r w:rsidR="00F25037">
        <w:rPr>
          <w:rFonts w:ascii="Verdana" w:eastAsia="Times New Roman" w:hAnsi="Verdana" w:cs="Times New Roman"/>
          <w:sz w:val="20"/>
          <w:szCs w:val="20"/>
          <w:lang w:val="es-ES"/>
        </w:rPr>
        <w:t>“</w:t>
      </w:r>
      <w:r w:rsidRPr="00744CE4">
        <w:rPr>
          <w:rFonts w:ascii="Verdana" w:eastAsia="Times New Roman" w:hAnsi="Verdana" w:cs="Times New Roman"/>
          <w:sz w:val="20"/>
          <w:szCs w:val="20"/>
          <w:lang w:val="es-ES"/>
        </w:rPr>
        <w:t>Fideicomiso para el Cumplimiento de las Obligaciones en Materia de los Derechos Humanos</w:t>
      </w:r>
      <w:r w:rsidR="00F25037">
        <w:rPr>
          <w:rFonts w:ascii="Verdana" w:eastAsia="Times New Roman" w:hAnsi="Verdana" w:cs="Times New Roman"/>
          <w:sz w:val="20"/>
          <w:szCs w:val="20"/>
          <w:lang w:val="es-ES"/>
        </w:rPr>
        <w:t>”</w:t>
      </w:r>
      <w:r w:rsidRPr="00744CE4">
        <w:rPr>
          <w:rFonts w:ascii="Verdana" w:eastAsia="Times New Roman" w:hAnsi="Verdana" w:cs="Times New Roman"/>
          <w:sz w:val="20"/>
          <w:szCs w:val="20"/>
          <w:lang w:val="es-ES"/>
        </w:rPr>
        <w:t xml:space="preserve">, cuyo objetivo principal es cubrir las reparaciones derivadas de las Sentencias de la Corte y las </w:t>
      </w:r>
      <w:r w:rsidR="0041528D">
        <w:rPr>
          <w:rFonts w:ascii="Verdana" w:eastAsia="Times New Roman" w:hAnsi="Verdana" w:cs="Times New Roman"/>
          <w:sz w:val="20"/>
          <w:szCs w:val="20"/>
          <w:lang w:val="es-ES"/>
        </w:rPr>
        <w:t>M</w:t>
      </w:r>
      <w:r w:rsidRPr="00744CE4">
        <w:rPr>
          <w:rFonts w:ascii="Verdana" w:eastAsia="Times New Roman" w:hAnsi="Verdana" w:cs="Times New Roman"/>
          <w:sz w:val="20"/>
          <w:szCs w:val="20"/>
          <w:lang w:val="es-ES"/>
        </w:rPr>
        <w:t xml:space="preserve">edidas </w:t>
      </w:r>
      <w:r w:rsidR="0041528D">
        <w:rPr>
          <w:rFonts w:ascii="Verdana" w:eastAsia="Times New Roman" w:hAnsi="Verdana" w:cs="Times New Roman"/>
          <w:sz w:val="20"/>
          <w:szCs w:val="20"/>
          <w:lang w:val="es-ES"/>
        </w:rPr>
        <w:t>P</w:t>
      </w:r>
      <w:r w:rsidRPr="00744CE4">
        <w:rPr>
          <w:rFonts w:ascii="Verdana" w:eastAsia="Times New Roman" w:hAnsi="Verdana" w:cs="Times New Roman"/>
          <w:sz w:val="20"/>
          <w:szCs w:val="20"/>
          <w:lang w:val="es-ES"/>
        </w:rPr>
        <w:t xml:space="preserve">rovisionales dictadas por la misma. </w:t>
      </w:r>
      <w:r w:rsidR="00F25037">
        <w:rPr>
          <w:rFonts w:ascii="Verdana" w:eastAsia="Times New Roman" w:hAnsi="Verdana" w:cs="Times New Roman"/>
          <w:sz w:val="20"/>
          <w:szCs w:val="20"/>
          <w:lang w:val="es-ES"/>
        </w:rPr>
        <w:t xml:space="preserve">Por lo tanto, alegó que </w:t>
      </w:r>
      <w:r w:rsidRPr="00744CE4">
        <w:rPr>
          <w:rFonts w:ascii="Verdana" w:eastAsia="Times New Roman" w:hAnsi="Verdana" w:cs="Times New Roman"/>
          <w:sz w:val="20"/>
          <w:szCs w:val="20"/>
          <w:lang w:val="es-ES"/>
        </w:rPr>
        <w:t>en caso de que ésta Corte determin</w:t>
      </w:r>
      <w:r w:rsidR="00F25037">
        <w:rPr>
          <w:rFonts w:ascii="Verdana" w:eastAsia="Times New Roman" w:hAnsi="Verdana" w:cs="Times New Roman"/>
          <w:sz w:val="20"/>
          <w:szCs w:val="20"/>
          <w:lang w:val="es-ES"/>
        </w:rPr>
        <w:t>ara</w:t>
      </w:r>
      <w:r w:rsidRPr="00744CE4">
        <w:rPr>
          <w:rFonts w:ascii="Verdana" w:eastAsia="Times New Roman" w:hAnsi="Verdana" w:cs="Times New Roman"/>
          <w:sz w:val="20"/>
          <w:szCs w:val="20"/>
          <w:lang w:val="es-ES"/>
        </w:rPr>
        <w:t xml:space="preserve"> que el Estado es responsable</w:t>
      </w:r>
      <w:r w:rsidR="00A7244C">
        <w:rPr>
          <w:rFonts w:ascii="Verdana" w:eastAsia="Times New Roman" w:hAnsi="Verdana" w:cs="Times New Roman"/>
          <w:sz w:val="20"/>
          <w:szCs w:val="20"/>
          <w:lang w:val="es-ES"/>
        </w:rPr>
        <w:t xml:space="preserve"> </w:t>
      </w:r>
      <w:r w:rsidR="00A7244C" w:rsidRPr="008D0846">
        <w:rPr>
          <w:rFonts w:ascii="Verdana" w:eastAsiaTheme="minorHAnsi" w:hAnsi="Verdana" w:cs="Times New Roman"/>
          <w:sz w:val="20"/>
          <w:szCs w:val="20"/>
        </w:rPr>
        <w:t>por algún concepto de violación</w:t>
      </w:r>
      <w:r w:rsidRPr="00432ABC">
        <w:rPr>
          <w:rFonts w:ascii="Verdana" w:eastAsia="Times New Roman" w:hAnsi="Verdana" w:cs="Times New Roman"/>
          <w:sz w:val="20"/>
          <w:szCs w:val="20"/>
          <w:lang w:val="es-ES"/>
        </w:rPr>
        <w:t>, se pronunci</w:t>
      </w:r>
      <w:r w:rsidR="00A7244C">
        <w:rPr>
          <w:rFonts w:ascii="Verdana" w:eastAsia="Times New Roman" w:hAnsi="Verdana" w:cs="Times New Roman"/>
          <w:sz w:val="20"/>
          <w:szCs w:val="20"/>
          <w:lang w:val="es-ES"/>
        </w:rPr>
        <w:t xml:space="preserve">ara </w:t>
      </w:r>
      <w:r w:rsidRPr="00432ABC">
        <w:rPr>
          <w:rFonts w:ascii="Verdana" w:eastAsia="Times New Roman" w:hAnsi="Verdana" w:cs="Times New Roman"/>
          <w:sz w:val="20"/>
          <w:szCs w:val="20"/>
          <w:lang w:val="es-ES"/>
        </w:rPr>
        <w:t xml:space="preserve">sobre la vía que ya existe a nivel interno para cumplir con el rubro de indemnización, a través de </w:t>
      </w:r>
      <w:r w:rsidR="00A7244C">
        <w:rPr>
          <w:rFonts w:ascii="Verdana" w:eastAsia="Times New Roman" w:hAnsi="Verdana" w:cs="Times New Roman"/>
          <w:sz w:val="20"/>
          <w:szCs w:val="20"/>
          <w:lang w:val="es-ES"/>
        </w:rPr>
        <w:t>dicho “</w:t>
      </w:r>
      <w:r w:rsidRPr="00432ABC">
        <w:rPr>
          <w:rFonts w:ascii="Verdana" w:eastAsia="Times New Roman" w:hAnsi="Verdana" w:cs="Times New Roman"/>
          <w:sz w:val="20"/>
          <w:szCs w:val="20"/>
          <w:lang w:val="es-ES"/>
        </w:rPr>
        <w:t>Fideicomiso</w:t>
      </w:r>
      <w:r w:rsidR="00A7244C">
        <w:rPr>
          <w:rFonts w:ascii="Verdana" w:eastAsia="Times New Roman" w:hAnsi="Verdana" w:cs="Times New Roman"/>
          <w:sz w:val="20"/>
          <w:szCs w:val="20"/>
          <w:lang w:val="es-ES"/>
        </w:rPr>
        <w:t>”</w:t>
      </w:r>
      <w:r w:rsidRPr="00432ABC">
        <w:rPr>
          <w:rFonts w:ascii="Verdana" w:eastAsia="Times New Roman" w:hAnsi="Verdana" w:cs="Times New Roman"/>
          <w:sz w:val="20"/>
          <w:szCs w:val="20"/>
          <w:lang w:val="es-ES"/>
        </w:rPr>
        <w:t xml:space="preserve">. </w:t>
      </w:r>
    </w:p>
    <w:p w14:paraId="6FD10AF0" w14:textId="012859B9" w:rsidR="0030739A" w:rsidRPr="00432ABC" w:rsidRDefault="00556FDB">
      <w:pPr>
        <w:pStyle w:val="Subttulo"/>
        <w:keepNext w:val="0"/>
        <w:keepLines w:val="0"/>
        <w:widowControl/>
        <w:numPr>
          <w:ilvl w:val="0"/>
          <w:numId w:val="33"/>
        </w:numPr>
        <w:tabs>
          <w:tab w:val="left" w:pos="1276"/>
        </w:tabs>
        <w:adjustRightInd/>
        <w:ind w:left="1560" w:hanging="426"/>
        <w:contextualSpacing w:val="0"/>
        <w:textAlignment w:val="auto"/>
        <w:outlineLvl w:val="2"/>
        <w:rPr>
          <w:b w:val="0"/>
          <w:lang w:val="es-ES"/>
        </w:rPr>
      </w:pPr>
      <w:r>
        <w:rPr>
          <w:b w:val="0"/>
          <w:lang w:val="es-ES"/>
        </w:rPr>
        <w:t xml:space="preserve"> </w:t>
      </w:r>
      <w:bookmarkStart w:id="399" w:name="_Toc532995416"/>
      <w:r w:rsidR="0030739A" w:rsidRPr="00432ABC">
        <w:rPr>
          <w:b w:val="0"/>
          <w:lang w:val="es-ES"/>
        </w:rPr>
        <w:t>Daño Material</w:t>
      </w:r>
      <w:bookmarkEnd w:id="399"/>
    </w:p>
    <w:p w14:paraId="419D9738" w14:textId="7777777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ES"/>
        </w:rPr>
      </w:pPr>
      <w:r w:rsidRPr="002C462C">
        <w:rPr>
          <w:rFonts w:ascii="Verdana" w:hAnsi="Verdana" w:cs="Times New Roman"/>
          <w:sz w:val="20"/>
          <w:szCs w:val="20"/>
          <w:lang w:val="es-ES" w:bidi="en-US"/>
        </w:rPr>
        <w:t>L</w:t>
      </w:r>
      <w:r w:rsidRPr="002C462C">
        <w:rPr>
          <w:rFonts w:ascii="Verdana" w:hAnsi="Verdana" w:cs="Times New Roman"/>
          <w:sz w:val="20"/>
          <w:szCs w:val="20"/>
          <w:lang w:val="es-CR" w:bidi="en-US"/>
        </w:rPr>
        <w:t xml:space="preserve">a </w:t>
      </w:r>
      <w:r w:rsidRPr="00744CE4">
        <w:rPr>
          <w:rFonts w:ascii="Verdana" w:hAnsi="Verdana" w:cs="Times New Roman"/>
          <w:b/>
          <w:i/>
          <w:sz w:val="20"/>
          <w:szCs w:val="20"/>
          <w:lang w:val="es-CR" w:bidi="en-US"/>
        </w:rPr>
        <w:t>Corte</w:t>
      </w:r>
      <w:r w:rsidRPr="00744CE4">
        <w:rPr>
          <w:rFonts w:ascii="Verdana" w:hAnsi="Verdana" w:cs="Times New Roman"/>
          <w:sz w:val="20"/>
          <w:szCs w:val="20"/>
          <w:lang w:val="es-CR" w:bidi="en-US"/>
        </w:rPr>
        <w:t xml:space="preserve"> ha desarrollado en su jurisprudencia el concepto de daño material y </w:t>
      </w:r>
      <w:r w:rsidRPr="00744CE4">
        <w:rPr>
          <w:rFonts w:ascii="Verdana" w:hAnsi="Verdana" w:cs="Times New Roman"/>
          <w:bCs/>
          <w:sz w:val="20"/>
          <w:szCs w:val="20"/>
          <w:lang w:val="es-CR"/>
        </w:rPr>
        <w:t>ha establecido que supone “la pérdida o detrimento de los ingresos de las víctimas, los gastos efectuados con motivo de los hechos y las consecuencias de carácter pecuniario que tengan un nexo causal con los hechos del caso”</w:t>
      </w:r>
      <w:r w:rsidRPr="00744CE4">
        <w:rPr>
          <w:rStyle w:val="Refdenotaalpie"/>
          <w:rFonts w:ascii="Verdana" w:hAnsi="Verdana"/>
          <w:bCs/>
          <w:sz w:val="20"/>
          <w:szCs w:val="20"/>
          <w:lang w:val="es-CR"/>
        </w:rPr>
        <w:footnoteReference w:id="566"/>
      </w:r>
      <w:r w:rsidRPr="00744CE4">
        <w:rPr>
          <w:rFonts w:ascii="Verdana" w:hAnsi="Verdana" w:cs="Times New Roman"/>
          <w:bCs/>
          <w:sz w:val="20"/>
          <w:szCs w:val="20"/>
          <w:lang w:val="es-CR"/>
        </w:rPr>
        <w:t xml:space="preserve">. </w:t>
      </w:r>
    </w:p>
    <w:p w14:paraId="55BF06C0" w14:textId="7EAD6D86" w:rsidR="0030739A" w:rsidRPr="008D0846"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744CE4">
        <w:rPr>
          <w:rFonts w:ascii="Verdana" w:hAnsi="Verdana" w:cs="Times New Roman"/>
          <w:sz w:val="20"/>
          <w:szCs w:val="20"/>
        </w:rPr>
        <w:t xml:space="preserve">En virtud de que el Estado fue encontrado responsable por violaciones acreditadas a los artículos </w:t>
      </w:r>
      <w:r w:rsidR="0041528D">
        <w:rPr>
          <w:rFonts w:ascii="Verdana" w:hAnsi="Verdana" w:cs="Times New Roman"/>
          <w:sz w:val="20"/>
          <w:szCs w:val="20"/>
        </w:rPr>
        <w:t xml:space="preserve">1.1, 2, </w:t>
      </w:r>
      <w:r w:rsidRPr="00744CE4">
        <w:rPr>
          <w:rFonts w:ascii="Verdana" w:hAnsi="Verdana" w:cs="Times New Roman"/>
          <w:sz w:val="20"/>
          <w:szCs w:val="20"/>
        </w:rPr>
        <w:t>3, 4, 5 y 7</w:t>
      </w:r>
      <w:r w:rsidRPr="00432ABC">
        <w:rPr>
          <w:rFonts w:ascii="Verdana" w:hAnsi="Verdana" w:cs="Times New Roman"/>
          <w:sz w:val="20"/>
          <w:szCs w:val="20"/>
        </w:rPr>
        <w:t xml:space="preserve">, </w:t>
      </w:r>
      <w:r w:rsidRPr="00432ABC">
        <w:rPr>
          <w:rFonts w:ascii="Verdana" w:hAnsi="Verdana"/>
          <w:sz w:val="20"/>
          <w:szCs w:val="20"/>
        </w:rPr>
        <w:t>la Corte considera, como lo ha hecho en otros casos sobre desapariciones forzadas</w:t>
      </w:r>
      <w:r w:rsidRPr="00744CE4">
        <w:rPr>
          <w:rStyle w:val="Refdenotaalpie"/>
          <w:rFonts w:ascii="Verdana" w:hAnsi="Verdana"/>
          <w:sz w:val="20"/>
          <w:szCs w:val="20"/>
          <w:lang w:val="es-ES"/>
        </w:rPr>
        <w:footnoteReference w:id="567"/>
      </w:r>
      <w:r w:rsidRPr="00744CE4">
        <w:rPr>
          <w:rFonts w:ascii="Verdana" w:hAnsi="Verdana"/>
          <w:sz w:val="20"/>
          <w:szCs w:val="20"/>
        </w:rPr>
        <w:t xml:space="preserve">, que en este caso, en que se desconoce el paradero de las víctimas, es posible aplicar los criterios de compensación por la pérdida de ingresos de éstas, lo cual comprende los ingresos que habrían percibido durante su vida probable. </w:t>
      </w:r>
      <w:r w:rsidR="00946CA0">
        <w:rPr>
          <w:rFonts w:ascii="Verdana" w:hAnsi="Verdana"/>
          <w:sz w:val="20"/>
          <w:szCs w:val="20"/>
        </w:rPr>
        <w:t>Lo anterior, t</w:t>
      </w:r>
      <w:r w:rsidRPr="00744CE4">
        <w:rPr>
          <w:rFonts w:ascii="Verdana" w:hAnsi="Verdana"/>
          <w:sz w:val="20"/>
          <w:szCs w:val="20"/>
        </w:rPr>
        <w:t xml:space="preserve">eniendo en cuenta la edad de las víctimas al inicio de su desaparición, las actividades que desarrollaban, así como </w:t>
      </w:r>
      <w:r w:rsidR="002F5DEC">
        <w:rPr>
          <w:rFonts w:ascii="Verdana" w:hAnsi="Verdana"/>
          <w:sz w:val="20"/>
          <w:szCs w:val="20"/>
        </w:rPr>
        <w:t xml:space="preserve">su respectiva </w:t>
      </w:r>
      <w:r w:rsidRPr="000105E6">
        <w:rPr>
          <w:rFonts w:ascii="Verdana" w:hAnsi="Verdana"/>
          <w:sz w:val="20"/>
          <w:szCs w:val="20"/>
        </w:rPr>
        <w:t xml:space="preserve">esperanza de vida en México </w:t>
      </w:r>
      <w:r w:rsidR="000A04B5">
        <w:rPr>
          <w:rFonts w:ascii="Verdana" w:hAnsi="Verdana"/>
          <w:sz w:val="20"/>
          <w:szCs w:val="20"/>
        </w:rPr>
        <w:t>al momento de los hechos</w:t>
      </w:r>
      <w:r w:rsidRPr="000105E6">
        <w:rPr>
          <w:rFonts w:ascii="Verdana" w:hAnsi="Verdana"/>
          <w:sz w:val="20"/>
          <w:szCs w:val="20"/>
        </w:rPr>
        <w:t xml:space="preserve">. </w:t>
      </w:r>
    </w:p>
    <w:p w14:paraId="1C72D190" w14:textId="7F855A71" w:rsidR="0030739A" w:rsidRPr="008D0846"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B075D">
        <w:rPr>
          <w:rFonts w:ascii="Verdana" w:hAnsi="Verdana"/>
          <w:sz w:val="20"/>
          <w:szCs w:val="20"/>
        </w:rPr>
        <w:t>En vista de lo anterior, la Corte estima razonable fijar la cantidad de</w:t>
      </w:r>
      <w:r w:rsidR="003B1A87" w:rsidRPr="008D0846">
        <w:rPr>
          <w:rFonts w:ascii="Verdana" w:hAnsi="Verdana"/>
          <w:sz w:val="20"/>
          <w:szCs w:val="20"/>
        </w:rPr>
        <w:t>:</w:t>
      </w:r>
      <w:r w:rsidRPr="008B075D">
        <w:rPr>
          <w:rFonts w:ascii="Verdana" w:hAnsi="Verdana"/>
          <w:sz w:val="20"/>
          <w:szCs w:val="20"/>
        </w:rPr>
        <w:t xml:space="preserve"> </w:t>
      </w:r>
      <w:r w:rsidR="003B1A87" w:rsidRPr="008D0846">
        <w:rPr>
          <w:rFonts w:ascii="Verdana" w:hAnsi="Verdana"/>
          <w:sz w:val="20"/>
          <w:szCs w:val="20"/>
        </w:rPr>
        <w:t>US</w:t>
      </w:r>
      <w:r w:rsidR="00A45345" w:rsidRPr="008B075D">
        <w:rPr>
          <w:rFonts w:ascii="Verdana" w:hAnsi="Verdana"/>
          <w:sz w:val="20"/>
          <w:szCs w:val="20"/>
        </w:rPr>
        <w:t>D</w:t>
      </w:r>
      <w:r w:rsidR="003B1A87" w:rsidRPr="008D0846">
        <w:rPr>
          <w:rFonts w:ascii="Verdana" w:hAnsi="Verdana"/>
          <w:sz w:val="20"/>
          <w:szCs w:val="20"/>
        </w:rPr>
        <w:t xml:space="preserve">$70,000 (setenta mil dólares de los Estados Unidos de América) </w:t>
      </w:r>
      <w:r w:rsidRPr="008B075D">
        <w:rPr>
          <w:rFonts w:ascii="Verdana" w:hAnsi="Verdana"/>
          <w:sz w:val="20"/>
          <w:szCs w:val="20"/>
        </w:rPr>
        <w:t xml:space="preserve"> por concepto de lucro cesante: a favor de Nitza Paola Alvarado Espinoza</w:t>
      </w:r>
      <w:r w:rsidR="000105E6" w:rsidRPr="008B075D">
        <w:rPr>
          <w:rStyle w:val="Refdenotaalpie"/>
          <w:rFonts w:ascii="Verdana" w:hAnsi="Verdana"/>
          <w:sz w:val="20"/>
          <w:szCs w:val="20"/>
        </w:rPr>
        <w:footnoteReference w:id="568"/>
      </w:r>
      <w:r w:rsidR="00D34CD7" w:rsidRPr="008D0846">
        <w:rPr>
          <w:rFonts w:ascii="Verdana" w:hAnsi="Verdana"/>
          <w:sz w:val="20"/>
          <w:szCs w:val="20"/>
        </w:rPr>
        <w:t>;</w:t>
      </w:r>
      <w:r w:rsidRPr="008B075D">
        <w:rPr>
          <w:rFonts w:ascii="Verdana" w:hAnsi="Verdana"/>
          <w:sz w:val="20"/>
          <w:szCs w:val="20"/>
        </w:rPr>
        <w:t xml:space="preserve"> la cantidad de </w:t>
      </w:r>
      <w:r w:rsidR="00D34CD7" w:rsidRPr="008D0846">
        <w:rPr>
          <w:rFonts w:ascii="Verdana" w:hAnsi="Verdana"/>
          <w:sz w:val="20"/>
          <w:szCs w:val="20"/>
        </w:rPr>
        <w:t>US</w:t>
      </w:r>
      <w:r w:rsidR="00A45345" w:rsidRPr="008B075D">
        <w:rPr>
          <w:rFonts w:ascii="Verdana" w:hAnsi="Verdana"/>
          <w:sz w:val="20"/>
          <w:szCs w:val="20"/>
        </w:rPr>
        <w:t>D</w:t>
      </w:r>
      <w:r w:rsidR="00D34CD7" w:rsidRPr="008D0846">
        <w:rPr>
          <w:rFonts w:ascii="Verdana" w:hAnsi="Verdana"/>
          <w:sz w:val="20"/>
          <w:szCs w:val="20"/>
        </w:rPr>
        <w:t>$3</w:t>
      </w:r>
      <w:r w:rsidR="00D3239A" w:rsidRPr="008D0846">
        <w:rPr>
          <w:rFonts w:ascii="Verdana" w:hAnsi="Verdana"/>
          <w:sz w:val="20"/>
          <w:szCs w:val="20"/>
        </w:rPr>
        <w:t>1</w:t>
      </w:r>
      <w:r w:rsidR="00D34CD7" w:rsidRPr="008D0846">
        <w:rPr>
          <w:rFonts w:ascii="Verdana" w:hAnsi="Verdana"/>
          <w:sz w:val="20"/>
          <w:szCs w:val="20"/>
        </w:rPr>
        <w:t xml:space="preserve">,000 (treinta </w:t>
      </w:r>
      <w:r w:rsidR="005F54F6" w:rsidRPr="008D0846">
        <w:rPr>
          <w:rFonts w:ascii="Verdana" w:hAnsi="Verdana"/>
          <w:sz w:val="20"/>
          <w:szCs w:val="20"/>
        </w:rPr>
        <w:t xml:space="preserve">y un </w:t>
      </w:r>
      <w:r w:rsidR="00D34CD7" w:rsidRPr="008D0846">
        <w:rPr>
          <w:rFonts w:ascii="Verdana" w:hAnsi="Verdana"/>
          <w:sz w:val="20"/>
          <w:szCs w:val="20"/>
        </w:rPr>
        <w:t xml:space="preserve">mil dólares de los </w:t>
      </w:r>
      <w:r w:rsidR="00D34CD7" w:rsidRPr="008D0846">
        <w:rPr>
          <w:rFonts w:ascii="Verdana" w:hAnsi="Verdana"/>
          <w:sz w:val="20"/>
          <w:szCs w:val="20"/>
        </w:rPr>
        <w:lastRenderedPageBreak/>
        <w:t xml:space="preserve">Estados Unidos de América) </w:t>
      </w:r>
      <w:r w:rsidRPr="008B075D">
        <w:rPr>
          <w:rFonts w:ascii="Verdana" w:hAnsi="Verdana"/>
          <w:sz w:val="20"/>
          <w:szCs w:val="20"/>
        </w:rPr>
        <w:t>a favor de José Ángel Alvarado Herrera</w:t>
      </w:r>
      <w:r w:rsidR="000105E6" w:rsidRPr="008B075D">
        <w:rPr>
          <w:rStyle w:val="Refdenotaalpie"/>
          <w:rFonts w:ascii="Verdana" w:hAnsi="Verdana"/>
          <w:sz w:val="20"/>
          <w:szCs w:val="20"/>
        </w:rPr>
        <w:footnoteReference w:id="569"/>
      </w:r>
      <w:r w:rsidRPr="008B075D">
        <w:rPr>
          <w:rFonts w:ascii="Verdana" w:hAnsi="Verdana"/>
          <w:sz w:val="20"/>
          <w:szCs w:val="20"/>
        </w:rPr>
        <w:t>,</w:t>
      </w:r>
      <w:r w:rsidRPr="000105E6">
        <w:rPr>
          <w:rFonts w:ascii="Verdana" w:hAnsi="Verdana"/>
          <w:sz w:val="20"/>
          <w:szCs w:val="20"/>
        </w:rPr>
        <w:t xml:space="preserve"> y la cantidad de </w:t>
      </w:r>
      <w:r w:rsidR="00D34CD7" w:rsidRPr="008D0846">
        <w:rPr>
          <w:rFonts w:ascii="Verdana" w:hAnsi="Verdana"/>
          <w:sz w:val="20"/>
          <w:szCs w:val="20"/>
        </w:rPr>
        <w:t>US</w:t>
      </w:r>
      <w:r w:rsidR="00A45345">
        <w:rPr>
          <w:rFonts w:ascii="Verdana" w:hAnsi="Verdana"/>
          <w:sz w:val="20"/>
          <w:szCs w:val="20"/>
        </w:rPr>
        <w:t>D</w:t>
      </w:r>
      <w:r w:rsidR="00D34CD7" w:rsidRPr="008D0846">
        <w:rPr>
          <w:rFonts w:ascii="Verdana" w:hAnsi="Verdana"/>
          <w:sz w:val="20"/>
          <w:szCs w:val="20"/>
        </w:rPr>
        <w:t>$4</w:t>
      </w:r>
      <w:r w:rsidR="00D3239A" w:rsidRPr="008D0846">
        <w:rPr>
          <w:rFonts w:ascii="Verdana" w:hAnsi="Verdana"/>
          <w:sz w:val="20"/>
          <w:szCs w:val="20"/>
        </w:rPr>
        <w:t>3</w:t>
      </w:r>
      <w:r w:rsidR="00D34CD7" w:rsidRPr="008D0846">
        <w:rPr>
          <w:rFonts w:ascii="Verdana" w:hAnsi="Verdana"/>
          <w:sz w:val="20"/>
          <w:szCs w:val="20"/>
        </w:rPr>
        <w:t xml:space="preserve">,000 (cuarenta y </w:t>
      </w:r>
      <w:r w:rsidR="005F54F6" w:rsidRPr="008D0846">
        <w:rPr>
          <w:rFonts w:ascii="Verdana" w:hAnsi="Verdana"/>
          <w:sz w:val="20"/>
          <w:szCs w:val="20"/>
        </w:rPr>
        <w:t>tres</w:t>
      </w:r>
      <w:r w:rsidR="00D34CD7" w:rsidRPr="008D0846">
        <w:rPr>
          <w:rFonts w:ascii="Verdana" w:hAnsi="Verdana"/>
          <w:sz w:val="20"/>
          <w:szCs w:val="20"/>
        </w:rPr>
        <w:t xml:space="preserve"> mil dólares de los Estados Unidos de América) </w:t>
      </w:r>
      <w:r w:rsidRPr="000105E6">
        <w:rPr>
          <w:rFonts w:ascii="Verdana" w:hAnsi="Verdana"/>
          <w:sz w:val="20"/>
          <w:szCs w:val="20"/>
        </w:rPr>
        <w:t>a favor de Rocío Irene Alvarado Reyes</w:t>
      </w:r>
      <w:r w:rsidR="000105E6" w:rsidRPr="000105E6">
        <w:rPr>
          <w:rStyle w:val="Refdenotaalpie"/>
          <w:rFonts w:ascii="Verdana" w:hAnsi="Verdana"/>
          <w:sz w:val="20"/>
          <w:szCs w:val="20"/>
        </w:rPr>
        <w:footnoteReference w:id="570"/>
      </w:r>
      <w:r w:rsidRPr="000105E6">
        <w:rPr>
          <w:rFonts w:ascii="Verdana" w:hAnsi="Verdana"/>
          <w:sz w:val="20"/>
          <w:szCs w:val="20"/>
        </w:rPr>
        <w:t>.</w:t>
      </w:r>
    </w:p>
    <w:p w14:paraId="7BDE44AB" w14:textId="7BA4478E" w:rsidR="0030739A" w:rsidRPr="000105E6"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0105E6">
        <w:rPr>
          <w:rFonts w:ascii="Verdana" w:hAnsi="Verdana" w:cs="Times New Roman"/>
          <w:sz w:val="20"/>
          <w:szCs w:val="20"/>
        </w:rPr>
        <w:t>En cuanto a los familiares de las víctimas des</w:t>
      </w:r>
      <w:r w:rsidR="008B075D">
        <w:rPr>
          <w:rFonts w:ascii="Verdana" w:hAnsi="Verdana" w:cs="Times New Roman"/>
          <w:sz w:val="20"/>
          <w:szCs w:val="20"/>
        </w:rPr>
        <w:t>a</w:t>
      </w:r>
      <w:r w:rsidRPr="000105E6">
        <w:rPr>
          <w:rFonts w:ascii="Verdana" w:hAnsi="Verdana" w:cs="Times New Roman"/>
          <w:sz w:val="20"/>
          <w:szCs w:val="20"/>
        </w:rPr>
        <w:t xml:space="preserve">parecidas, en virtud de que el </w:t>
      </w:r>
      <w:r w:rsidR="000105E6" w:rsidRPr="000105E6">
        <w:rPr>
          <w:rFonts w:ascii="Verdana" w:hAnsi="Verdana" w:cs="Times New Roman"/>
          <w:sz w:val="20"/>
          <w:szCs w:val="20"/>
        </w:rPr>
        <w:t>E</w:t>
      </w:r>
      <w:r w:rsidRPr="000105E6">
        <w:rPr>
          <w:rFonts w:ascii="Verdana" w:hAnsi="Verdana" w:cs="Times New Roman"/>
          <w:sz w:val="20"/>
          <w:szCs w:val="20"/>
        </w:rPr>
        <w:t xml:space="preserve">stado fue encontrado responsable por violaciones a los artículos 8, 17, 22 y 25, </w:t>
      </w:r>
      <w:r w:rsidRPr="001105C4">
        <w:rPr>
          <w:rFonts w:ascii="Verdana" w:hAnsi="Verdana" w:cs="Times New Roman"/>
          <w:sz w:val="20"/>
          <w:szCs w:val="20"/>
        </w:rPr>
        <w:t>la Corte reconoce, como lo ha hecho en otros casos</w:t>
      </w:r>
      <w:r w:rsidRPr="001105C4">
        <w:rPr>
          <w:rStyle w:val="Refdenotaalpie"/>
          <w:rFonts w:ascii="Verdana" w:hAnsi="Verdana" w:cs="Times New Roman"/>
          <w:sz w:val="20"/>
          <w:szCs w:val="20"/>
        </w:rPr>
        <w:footnoteReference w:id="571"/>
      </w:r>
      <w:r w:rsidRPr="001105C4">
        <w:rPr>
          <w:rFonts w:ascii="Verdana" w:hAnsi="Verdana" w:cs="Times New Roman"/>
          <w:sz w:val="20"/>
          <w:szCs w:val="20"/>
        </w:rPr>
        <w:t xml:space="preserve">, que </w:t>
      </w:r>
      <w:r w:rsidRPr="00616002">
        <w:rPr>
          <w:rFonts w:ascii="Verdana" w:hAnsi="Verdana" w:cs="Times New Roman"/>
          <w:sz w:val="20"/>
          <w:szCs w:val="20"/>
        </w:rPr>
        <w:t xml:space="preserve">las acciones y gestiones realizadas por los familiares de las víctimas desaparecidas, generaron gastos que deben ser considerados como daño emergente, por lo que fija un monto razonable de </w:t>
      </w:r>
      <w:r w:rsidR="00D34CD7" w:rsidRPr="008D0846">
        <w:rPr>
          <w:rFonts w:ascii="Verdana" w:hAnsi="Verdana"/>
          <w:sz w:val="20"/>
          <w:szCs w:val="20"/>
        </w:rPr>
        <w:t>USD$15,000 (quince mil dólares de los Estados Unidos de América)</w:t>
      </w:r>
      <w:r w:rsidR="00D34CD7" w:rsidRPr="00616002">
        <w:rPr>
          <w:rFonts w:ascii="Verdana" w:hAnsi="Verdana"/>
          <w:sz w:val="20"/>
          <w:szCs w:val="20"/>
        </w:rPr>
        <w:t xml:space="preserve"> </w:t>
      </w:r>
      <w:r w:rsidR="00D34CD7" w:rsidRPr="008D0846">
        <w:rPr>
          <w:rFonts w:ascii="Verdana" w:hAnsi="Verdana"/>
          <w:sz w:val="20"/>
          <w:szCs w:val="20"/>
        </w:rPr>
        <w:t xml:space="preserve">al grupo familiar de Nitza Paola Alvarado Espinoza, </w:t>
      </w:r>
      <w:r w:rsidR="00D3239A" w:rsidRPr="008D0846">
        <w:rPr>
          <w:rFonts w:ascii="Verdana" w:hAnsi="Verdana"/>
          <w:sz w:val="20"/>
          <w:szCs w:val="20"/>
        </w:rPr>
        <w:t>siendo que sí se acreditaron debidamente algunos gastos</w:t>
      </w:r>
      <w:r w:rsidR="000105E6" w:rsidRPr="008D0846">
        <w:rPr>
          <w:rStyle w:val="Refdenotaalpie"/>
          <w:rFonts w:ascii="Verdana" w:hAnsi="Verdana"/>
          <w:sz w:val="20"/>
          <w:szCs w:val="20"/>
        </w:rPr>
        <w:footnoteReference w:id="572"/>
      </w:r>
      <w:r w:rsidR="00D3239A" w:rsidRPr="008D0846">
        <w:rPr>
          <w:rFonts w:ascii="Verdana" w:hAnsi="Verdana"/>
          <w:sz w:val="20"/>
          <w:szCs w:val="20"/>
        </w:rPr>
        <w:t>. Asimismo, se otorga una cantidad de</w:t>
      </w:r>
      <w:r w:rsidR="00D34CD7" w:rsidRPr="000105E6">
        <w:rPr>
          <w:rFonts w:ascii="Verdana" w:hAnsi="Verdana"/>
          <w:sz w:val="20"/>
          <w:szCs w:val="20"/>
        </w:rPr>
        <w:t xml:space="preserve"> </w:t>
      </w:r>
      <w:r w:rsidR="00D34CD7" w:rsidRPr="008D0846">
        <w:rPr>
          <w:rFonts w:ascii="Verdana" w:hAnsi="Verdana"/>
          <w:sz w:val="20"/>
          <w:szCs w:val="20"/>
        </w:rPr>
        <w:t>USD$5,000 (cinco mil dólares de los Estados Unidos de América)</w:t>
      </w:r>
      <w:r w:rsidR="00D34CD7" w:rsidRPr="000105E6">
        <w:rPr>
          <w:rFonts w:ascii="Verdana" w:hAnsi="Verdana"/>
          <w:sz w:val="20"/>
          <w:szCs w:val="20"/>
        </w:rPr>
        <w:t xml:space="preserve"> para</w:t>
      </w:r>
      <w:r w:rsidR="00D34CD7" w:rsidRPr="008D0846">
        <w:rPr>
          <w:rFonts w:ascii="Verdana" w:hAnsi="Verdana"/>
          <w:sz w:val="20"/>
          <w:szCs w:val="20"/>
        </w:rPr>
        <w:t xml:space="preserve"> cada uno de los grupos familiares de Rocío</w:t>
      </w:r>
      <w:r w:rsidR="000105E6" w:rsidRPr="008D0846">
        <w:rPr>
          <w:rFonts w:ascii="Verdana" w:hAnsi="Verdana"/>
          <w:sz w:val="20"/>
          <w:szCs w:val="20"/>
        </w:rPr>
        <w:t xml:space="preserve"> Irene Alvarado Reyes</w:t>
      </w:r>
      <w:r w:rsidR="00D34CD7" w:rsidRPr="008D0846">
        <w:rPr>
          <w:rFonts w:ascii="Verdana" w:hAnsi="Verdana"/>
          <w:sz w:val="20"/>
          <w:szCs w:val="20"/>
        </w:rPr>
        <w:t xml:space="preserve"> y José Angel</w:t>
      </w:r>
      <w:r w:rsidR="000105E6" w:rsidRPr="008D0846">
        <w:rPr>
          <w:rFonts w:ascii="Verdana" w:hAnsi="Verdana"/>
          <w:sz w:val="20"/>
          <w:szCs w:val="20"/>
        </w:rPr>
        <w:t xml:space="preserve"> Alvarado Herrera</w:t>
      </w:r>
      <w:r w:rsidR="00F854D3" w:rsidRPr="008D0846">
        <w:rPr>
          <w:rFonts w:ascii="Verdana" w:hAnsi="Verdana"/>
          <w:sz w:val="20"/>
          <w:szCs w:val="20"/>
        </w:rPr>
        <w:t>, siendo que no se acreditaron debidamente los gastos</w:t>
      </w:r>
      <w:r w:rsidR="000105E6" w:rsidRPr="008D0846">
        <w:rPr>
          <w:rStyle w:val="Refdenotaalpie"/>
          <w:rFonts w:ascii="Verdana" w:hAnsi="Verdana"/>
          <w:sz w:val="20"/>
          <w:szCs w:val="20"/>
        </w:rPr>
        <w:footnoteReference w:id="573"/>
      </w:r>
      <w:r w:rsidR="00915AC1">
        <w:rPr>
          <w:rFonts w:ascii="Verdana" w:hAnsi="Verdana" w:cs="Times New Roman"/>
          <w:sz w:val="20"/>
          <w:szCs w:val="20"/>
        </w:rPr>
        <w:t>.</w:t>
      </w:r>
      <w:r w:rsidRPr="000105E6">
        <w:rPr>
          <w:rFonts w:ascii="Verdana" w:hAnsi="Verdana" w:cs="Times New Roman"/>
          <w:sz w:val="20"/>
          <w:szCs w:val="20"/>
        </w:rPr>
        <w:t xml:space="preserve"> Esta cantidad deberá ser entregada </w:t>
      </w:r>
      <w:r w:rsidR="008B2BAB" w:rsidRPr="008D0846">
        <w:rPr>
          <w:rFonts w:ascii="Verdana" w:hAnsi="Verdana" w:cs="Times New Roman"/>
          <w:sz w:val="20"/>
          <w:szCs w:val="20"/>
        </w:rPr>
        <w:t xml:space="preserve">de conformidad con </w:t>
      </w:r>
      <w:r w:rsidR="000105E6" w:rsidRPr="008D0846">
        <w:rPr>
          <w:rFonts w:ascii="Verdana" w:hAnsi="Verdana" w:cs="Times New Roman"/>
          <w:sz w:val="20"/>
          <w:szCs w:val="20"/>
        </w:rPr>
        <w:t xml:space="preserve">lo establecido en </w:t>
      </w:r>
      <w:r w:rsidR="008B2BAB" w:rsidRPr="008D0846">
        <w:rPr>
          <w:rFonts w:ascii="Verdana" w:hAnsi="Verdana" w:cs="Times New Roman"/>
          <w:sz w:val="20"/>
          <w:szCs w:val="20"/>
        </w:rPr>
        <w:t xml:space="preserve">el párrafo </w:t>
      </w:r>
      <w:r w:rsidR="00B607AE" w:rsidRPr="008D0846">
        <w:rPr>
          <w:rFonts w:ascii="Verdana" w:hAnsi="Verdana" w:cs="Times New Roman"/>
          <w:sz w:val="20"/>
          <w:szCs w:val="20"/>
        </w:rPr>
        <w:t>345</w:t>
      </w:r>
      <w:r w:rsidRPr="00B607AE">
        <w:rPr>
          <w:rFonts w:ascii="Verdana" w:hAnsi="Verdana" w:cs="Times New Roman"/>
          <w:sz w:val="20"/>
          <w:szCs w:val="20"/>
        </w:rPr>
        <w:t>.</w:t>
      </w:r>
      <w:r w:rsidRPr="000105E6">
        <w:rPr>
          <w:rFonts w:ascii="Verdana" w:hAnsi="Verdana" w:cs="Times New Roman"/>
          <w:sz w:val="20"/>
          <w:szCs w:val="20"/>
        </w:rPr>
        <w:t xml:space="preserve"> </w:t>
      </w:r>
    </w:p>
    <w:p w14:paraId="18FD5FA4" w14:textId="77777777" w:rsidR="0030739A" w:rsidRPr="00DB378B"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Cs w:val="20"/>
        </w:rPr>
      </w:pPr>
      <w:r w:rsidRPr="00744CE4">
        <w:rPr>
          <w:rFonts w:ascii="Verdana" w:hAnsi="Verdana" w:cs="Times New Roman"/>
          <w:sz w:val="20"/>
          <w:szCs w:val="20"/>
        </w:rPr>
        <w:t xml:space="preserve">Por último, la Corte nota que con relación a los gastos incurridos por la familia Spector, las representantes dentro de escrito de argumentos y pruebas, lo incluyeron dentro de los apartados correspondientes a daño emergente y también en costas y gastos. Ante esto, la Corte se referirá al respecto en el apartado de costas y gastos. </w:t>
      </w:r>
    </w:p>
    <w:p w14:paraId="4B4AD24C" w14:textId="30B2C20F" w:rsidR="0030739A" w:rsidRPr="00744CE4" w:rsidRDefault="00556FDB">
      <w:pPr>
        <w:pStyle w:val="Subttulo"/>
        <w:keepNext w:val="0"/>
        <w:keepLines w:val="0"/>
        <w:widowControl/>
        <w:numPr>
          <w:ilvl w:val="0"/>
          <w:numId w:val="33"/>
        </w:numPr>
        <w:tabs>
          <w:tab w:val="left" w:pos="1276"/>
        </w:tabs>
        <w:adjustRightInd/>
        <w:ind w:left="1560" w:hanging="426"/>
        <w:contextualSpacing w:val="0"/>
        <w:textAlignment w:val="auto"/>
        <w:outlineLvl w:val="2"/>
        <w:rPr>
          <w:rFonts w:eastAsia="Times New Roman" w:cs="Times New Roman"/>
          <w:b w:val="0"/>
          <w:lang w:val="es-ES"/>
        </w:rPr>
      </w:pPr>
      <w:r>
        <w:rPr>
          <w:rFonts w:eastAsia="Times New Roman" w:cs="Times New Roman"/>
          <w:b w:val="0"/>
          <w:lang w:val="es-ES"/>
        </w:rPr>
        <w:t xml:space="preserve"> </w:t>
      </w:r>
      <w:bookmarkStart w:id="400" w:name="_Toc532995417"/>
      <w:r w:rsidR="0030739A" w:rsidRPr="00744CE4">
        <w:rPr>
          <w:rFonts w:eastAsia="Times New Roman" w:cs="Times New Roman"/>
          <w:b w:val="0"/>
          <w:lang w:val="es-ES"/>
        </w:rPr>
        <w:t>Daño inmaterial</w:t>
      </w:r>
      <w:bookmarkEnd w:id="400"/>
    </w:p>
    <w:p w14:paraId="10727E89" w14:textId="7777777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imes New Roman" w:hAnsi="Verdana" w:cs="Times New Roman"/>
          <w:b/>
          <w:sz w:val="20"/>
          <w:szCs w:val="20"/>
          <w:lang w:val="es-ES"/>
        </w:rPr>
      </w:pPr>
      <w:r w:rsidRPr="00744CE4">
        <w:rPr>
          <w:rFonts w:ascii="Verdana" w:hAnsi="Verdana" w:cs="Times New Roman"/>
          <w:sz w:val="20"/>
          <w:szCs w:val="20"/>
          <w:lang w:val="es-CR" w:bidi="en-US"/>
        </w:rPr>
        <w:t xml:space="preserve">En cuanto al daño inmaterial, este </w:t>
      </w:r>
      <w:r w:rsidRPr="000C553D">
        <w:rPr>
          <w:rFonts w:ascii="Verdana" w:hAnsi="Verdana" w:cs="Times New Roman"/>
          <w:b/>
          <w:i/>
          <w:sz w:val="20"/>
          <w:szCs w:val="20"/>
          <w:lang w:val="es-CR" w:bidi="en-US"/>
        </w:rPr>
        <w:t>Tribunal</w:t>
      </w:r>
      <w:r w:rsidRPr="00744CE4">
        <w:rPr>
          <w:rFonts w:ascii="Verdana" w:hAnsi="Verdana" w:cs="Times New Roman"/>
          <w:b/>
          <w:sz w:val="20"/>
          <w:szCs w:val="20"/>
          <w:lang w:val="es-CR" w:bidi="en-US"/>
        </w:rPr>
        <w:t xml:space="preserve"> </w:t>
      </w:r>
      <w:r w:rsidRPr="00432ABC">
        <w:rPr>
          <w:rFonts w:ascii="Verdana" w:hAnsi="Verdana" w:cs="Times New Roman"/>
          <w:sz w:val="20"/>
          <w:szCs w:val="20"/>
          <w:lang w:val="es-CR" w:bidi="en-US"/>
        </w:rPr>
        <w:t>ha determinado que</w:t>
      </w:r>
      <w:r w:rsidRPr="00432ABC">
        <w:rPr>
          <w:rFonts w:ascii="Verdana" w:hAnsi="Verdana" w:cs="Times New Roman"/>
          <w:sz w:val="20"/>
          <w:szCs w:val="20"/>
          <w:lang w:val="es-CR"/>
        </w:rPr>
        <w:t xml:space="preserv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744CE4">
        <w:rPr>
          <w:rStyle w:val="Refdenotaalpie"/>
          <w:rFonts w:ascii="Verdana" w:hAnsi="Verdana"/>
          <w:sz w:val="20"/>
          <w:szCs w:val="20"/>
        </w:rPr>
        <w:footnoteReference w:id="574"/>
      </w:r>
      <w:r w:rsidRPr="00744CE4">
        <w:rPr>
          <w:rFonts w:ascii="Verdana" w:hAnsi="Verdana" w:cs="Times New Roman"/>
          <w:sz w:val="20"/>
          <w:szCs w:val="20"/>
          <w:lang w:val="es-CR" w:bidi="en-US"/>
        </w:rPr>
        <w:t>.</w:t>
      </w:r>
    </w:p>
    <w:p w14:paraId="136D07D8" w14:textId="6C110E38"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CR"/>
        </w:rPr>
      </w:pPr>
      <w:r w:rsidRPr="00744CE4">
        <w:rPr>
          <w:rFonts w:ascii="Verdana" w:hAnsi="Verdana"/>
          <w:sz w:val="20"/>
          <w:szCs w:val="20"/>
          <w:lang w:val="es-CR"/>
        </w:rPr>
        <w:t xml:space="preserve">En consideración de las circunstancias del presente caso, las violaciones cometidas, los sufrimientos ocasionados </w:t>
      </w:r>
      <w:r w:rsidRPr="00432ABC">
        <w:rPr>
          <w:rFonts w:ascii="Verdana" w:hAnsi="Verdana"/>
          <w:sz w:val="20"/>
          <w:szCs w:val="20"/>
          <w:lang w:val="es-CR"/>
        </w:rPr>
        <w:t>y experimentados en diferentes grados, el tiempo transcurrido</w:t>
      </w:r>
      <w:r w:rsidR="00AB2FCB" w:rsidRPr="00432ABC">
        <w:rPr>
          <w:rFonts w:ascii="Verdana" w:hAnsi="Verdana"/>
          <w:sz w:val="20"/>
          <w:szCs w:val="20"/>
          <w:lang w:val="es-CR"/>
        </w:rPr>
        <w:t xml:space="preserve">, </w:t>
      </w:r>
      <w:r w:rsidRPr="00432ABC">
        <w:rPr>
          <w:rFonts w:ascii="Verdana" w:hAnsi="Verdana"/>
          <w:sz w:val="20"/>
          <w:szCs w:val="20"/>
          <w:lang w:val="es-CR"/>
        </w:rPr>
        <w:t>la denegación de la justicia (</w:t>
      </w:r>
      <w:r w:rsidRPr="00432ABC">
        <w:rPr>
          <w:rFonts w:ascii="Verdana" w:hAnsi="Verdana"/>
          <w:i/>
          <w:sz w:val="20"/>
          <w:szCs w:val="20"/>
          <w:lang w:val="es-CR"/>
        </w:rPr>
        <w:t xml:space="preserve">supra </w:t>
      </w:r>
      <w:r w:rsidR="00F4716E">
        <w:rPr>
          <w:rFonts w:ascii="Verdana" w:hAnsi="Verdana"/>
          <w:sz w:val="20"/>
          <w:szCs w:val="20"/>
          <w:lang w:val="es-CR"/>
        </w:rPr>
        <w:t>párr</w:t>
      </w:r>
      <w:r w:rsidR="00A17D88">
        <w:rPr>
          <w:rFonts w:ascii="Verdana" w:hAnsi="Verdana"/>
          <w:sz w:val="20"/>
          <w:szCs w:val="20"/>
          <w:lang w:val="es-CR"/>
        </w:rPr>
        <w:t>s</w:t>
      </w:r>
      <w:r w:rsidR="00F4716E">
        <w:rPr>
          <w:rFonts w:ascii="Verdana" w:hAnsi="Verdana"/>
          <w:sz w:val="20"/>
          <w:szCs w:val="20"/>
          <w:lang w:val="es-CR"/>
        </w:rPr>
        <w:t xml:space="preserve">. </w:t>
      </w:r>
      <w:r w:rsidR="00A17D88">
        <w:rPr>
          <w:rFonts w:ascii="Verdana" w:hAnsi="Verdana"/>
          <w:sz w:val="20"/>
          <w:szCs w:val="20"/>
          <w:lang w:val="es-CR"/>
        </w:rPr>
        <w:t xml:space="preserve">253 y </w:t>
      </w:r>
      <w:r w:rsidR="00DC4767">
        <w:rPr>
          <w:rFonts w:ascii="Verdana" w:hAnsi="Verdana"/>
          <w:sz w:val="20"/>
          <w:szCs w:val="20"/>
          <w:lang w:val="es-CR"/>
        </w:rPr>
        <w:t>254</w:t>
      </w:r>
      <w:r w:rsidR="00DC4767" w:rsidRPr="00432ABC">
        <w:rPr>
          <w:rFonts w:ascii="Verdana" w:hAnsi="Verdana"/>
          <w:sz w:val="20"/>
          <w:szCs w:val="20"/>
          <w:lang w:val="es-CR"/>
        </w:rPr>
        <w:t xml:space="preserve">), </w:t>
      </w:r>
      <w:r w:rsidRPr="00432ABC">
        <w:rPr>
          <w:rFonts w:ascii="Verdana" w:hAnsi="Verdana"/>
          <w:sz w:val="20"/>
          <w:szCs w:val="20"/>
          <w:lang w:val="es-CR"/>
        </w:rPr>
        <w:t>así como el cambio en las condiciones de vida de algunos familiares, a través del desplazamiento (</w:t>
      </w:r>
      <w:r w:rsidRPr="002C462C">
        <w:rPr>
          <w:rFonts w:ascii="Verdana" w:hAnsi="Verdana"/>
          <w:i/>
          <w:sz w:val="20"/>
          <w:szCs w:val="20"/>
          <w:lang w:val="es-CR"/>
        </w:rPr>
        <w:t xml:space="preserve">supra </w:t>
      </w:r>
      <w:r w:rsidR="00F4716E">
        <w:rPr>
          <w:rFonts w:ascii="Verdana" w:hAnsi="Verdana"/>
          <w:sz w:val="20"/>
          <w:szCs w:val="20"/>
          <w:lang w:val="es-CR"/>
        </w:rPr>
        <w:t xml:space="preserve">párr. </w:t>
      </w:r>
      <w:r w:rsidR="00DC4767" w:rsidRPr="008D0846">
        <w:rPr>
          <w:rFonts w:ascii="Verdana" w:hAnsi="Verdana"/>
          <w:sz w:val="20"/>
          <w:szCs w:val="20"/>
          <w:lang w:val="es-CR"/>
        </w:rPr>
        <w:t>282</w:t>
      </w:r>
      <w:r w:rsidRPr="00744CE4">
        <w:rPr>
          <w:rFonts w:ascii="Verdana" w:hAnsi="Verdana"/>
          <w:sz w:val="20"/>
          <w:szCs w:val="20"/>
          <w:lang w:val="es-CR"/>
        </w:rPr>
        <w:t>), las comprobadas afectaciones a la integridad personal de los familiares de las víctimas (</w:t>
      </w:r>
      <w:r w:rsidRPr="00744CE4">
        <w:rPr>
          <w:rFonts w:ascii="Verdana" w:hAnsi="Verdana"/>
          <w:i/>
          <w:sz w:val="20"/>
          <w:szCs w:val="20"/>
          <w:lang w:val="es-CR"/>
        </w:rPr>
        <w:t xml:space="preserve">supra </w:t>
      </w:r>
      <w:r w:rsidR="00F4716E">
        <w:rPr>
          <w:rFonts w:ascii="Verdana" w:hAnsi="Verdana"/>
          <w:sz w:val="20"/>
          <w:szCs w:val="20"/>
          <w:lang w:val="es-CR"/>
        </w:rPr>
        <w:t xml:space="preserve">párr. </w:t>
      </w:r>
      <w:r w:rsidR="00DC4767">
        <w:rPr>
          <w:rFonts w:ascii="Verdana" w:hAnsi="Verdana"/>
          <w:sz w:val="20"/>
          <w:szCs w:val="20"/>
          <w:lang w:val="es-CR"/>
        </w:rPr>
        <w:t>283</w:t>
      </w:r>
      <w:r w:rsidR="00DC4767" w:rsidRPr="00744CE4">
        <w:rPr>
          <w:rFonts w:ascii="Verdana" w:hAnsi="Verdana"/>
          <w:sz w:val="20"/>
          <w:szCs w:val="20"/>
          <w:lang w:val="es-CR"/>
        </w:rPr>
        <w:t xml:space="preserve">) </w:t>
      </w:r>
      <w:r w:rsidRPr="00744CE4">
        <w:rPr>
          <w:rFonts w:ascii="Verdana" w:hAnsi="Verdana"/>
          <w:sz w:val="20"/>
          <w:szCs w:val="20"/>
          <w:lang w:val="es-CR"/>
        </w:rPr>
        <w:t>y las restantes consecuencias de orden inmaterial que sufrieron, el Tribunal p</w:t>
      </w:r>
      <w:r w:rsidR="00F4716E">
        <w:rPr>
          <w:rFonts w:ascii="Verdana" w:hAnsi="Verdana"/>
          <w:sz w:val="20"/>
          <w:szCs w:val="20"/>
          <w:lang w:val="es-CR"/>
        </w:rPr>
        <w:t xml:space="preserve">rocede </w:t>
      </w:r>
      <w:r w:rsidRPr="00744CE4">
        <w:rPr>
          <w:rFonts w:ascii="Verdana" w:hAnsi="Verdana"/>
          <w:sz w:val="20"/>
          <w:szCs w:val="20"/>
          <w:lang w:val="es-CR"/>
        </w:rPr>
        <w:t>a fijar las indemnizaciones por daño inmaterial a favor de las víctimas.</w:t>
      </w:r>
    </w:p>
    <w:p w14:paraId="58D2942D" w14:textId="655B674A" w:rsidR="0030739A" w:rsidRPr="005F54F6" w:rsidRDefault="0030739A" w:rsidP="00CF59F3">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5F54F6">
        <w:rPr>
          <w:rFonts w:ascii="Verdana" w:hAnsi="Verdana" w:cs="Times New Roman"/>
          <w:sz w:val="20"/>
          <w:szCs w:val="20"/>
          <w:lang w:val="es-CR"/>
        </w:rPr>
        <w:lastRenderedPageBreak/>
        <w:t xml:space="preserve">De conformidad con los criterios desarrollados por la Corte sobre el concepto de </w:t>
      </w:r>
      <w:r w:rsidRPr="008D0846">
        <w:rPr>
          <w:rFonts w:ascii="Verdana" w:hAnsi="Verdana" w:cs="Times New Roman"/>
          <w:sz w:val="20"/>
          <w:szCs w:val="20"/>
          <w:lang w:val="es-CR"/>
        </w:rPr>
        <w:t>daño inmaterial</w:t>
      </w:r>
      <w:r w:rsidRPr="00FE50DD">
        <w:rPr>
          <w:rFonts w:ascii="Verdana" w:hAnsi="Verdana" w:cs="Times New Roman"/>
          <w:sz w:val="20"/>
          <w:szCs w:val="20"/>
          <w:lang w:val="es-CR"/>
        </w:rPr>
        <w:t xml:space="preserve"> </w:t>
      </w:r>
      <w:r w:rsidRPr="005F54F6">
        <w:rPr>
          <w:rFonts w:ascii="Verdana" w:hAnsi="Verdana" w:cs="Times New Roman"/>
          <w:sz w:val="20"/>
          <w:szCs w:val="20"/>
          <w:lang w:val="es-CR"/>
        </w:rPr>
        <w:t>y atendiendo a las circunstancias del presente caso, el carácter y la gravedad de las violaciones cometidas</w:t>
      </w:r>
      <w:r w:rsidRPr="00AB43D9">
        <w:rPr>
          <w:rFonts w:ascii="Verdana" w:hAnsi="Verdana" w:cs="Times New Roman"/>
          <w:sz w:val="20"/>
          <w:szCs w:val="20"/>
          <w:lang w:val="es-CR"/>
        </w:rPr>
        <w:t xml:space="preserve">, la Corte fija en equidad el monto de </w:t>
      </w:r>
      <w:r w:rsidR="00D34CD7" w:rsidRPr="008D0846">
        <w:rPr>
          <w:rFonts w:ascii="Verdana" w:hAnsi="Verdana"/>
          <w:sz w:val="20"/>
          <w:szCs w:val="20"/>
          <w:lang w:val="es-CR"/>
        </w:rPr>
        <w:t>US</w:t>
      </w:r>
      <w:r w:rsidR="00A45345" w:rsidRPr="00AB43D9">
        <w:rPr>
          <w:rFonts w:ascii="Verdana" w:hAnsi="Verdana"/>
          <w:sz w:val="20"/>
          <w:szCs w:val="20"/>
          <w:lang w:val="es-CR"/>
        </w:rPr>
        <w:t>D</w:t>
      </w:r>
      <w:r w:rsidR="00D34CD7" w:rsidRPr="008D0846">
        <w:rPr>
          <w:rFonts w:ascii="Verdana" w:hAnsi="Verdana"/>
          <w:sz w:val="20"/>
          <w:szCs w:val="20"/>
          <w:lang w:val="es-CR"/>
        </w:rPr>
        <w:t>$100,000 (cien mil dólares de los Estados Unidos de América)</w:t>
      </w:r>
      <w:r w:rsidR="00D34CD7" w:rsidRPr="00AB43D9">
        <w:rPr>
          <w:rFonts w:ascii="Verdana" w:hAnsi="Verdana"/>
          <w:sz w:val="20"/>
          <w:szCs w:val="20"/>
          <w:lang w:val="es-CR"/>
        </w:rPr>
        <w:t xml:space="preserve"> </w:t>
      </w:r>
      <w:r w:rsidR="00D34CD7" w:rsidRPr="008D0846">
        <w:rPr>
          <w:rFonts w:ascii="Verdana" w:hAnsi="Verdana"/>
          <w:sz w:val="20"/>
          <w:szCs w:val="20"/>
          <w:lang w:val="es-CR"/>
        </w:rPr>
        <w:t xml:space="preserve">a favor de cada una </w:t>
      </w:r>
      <w:r w:rsidR="005F54F6" w:rsidRPr="008D0846">
        <w:rPr>
          <w:rFonts w:ascii="Verdana" w:hAnsi="Verdana"/>
          <w:sz w:val="20"/>
          <w:szCs w:val="20"/>
          <w:lang w:val="es-CR"/>
        </w:rPr>
        <w:t xml:space="preserve">de las víctimas desaparecidas: </w:t>
      </w:r>
      <w:r w:rsidR="00D34CD7" w:rsidRPr="008D0846">
        <w:rPr>
          <w:rFonts w:ascii="Verdana" w:eastAsia="Times New Roman" w:hAnsi="Verdana"/>
          <w:i/>
          <w:sz w:val="20"/>
          <w:szCs w:val="20"/>
        </w:rPr>
        <w:t>Nitza Paola Alvarado Espinoza,</w:t>
      </w:r>
      <w:r w:rsidR="00D34CD7" w:rsidRPr="008D0846">
        <w:rPr>
          <w:rFonts w:ascii="Verdana" w:hAnsi="Verdana"/>
          <w:sz w:val="20"/>
          <w:szCs w:val="20"/>
          <w:lang w:val="es-CR"/>
        </w:rPr>
        <w:t xml:space="preserve"> </w:t>
      </w:r>
      <w:r w:rsidR="00D34CD7" w:rsidRPr="008D0846">
        <w:rPr>
          <w:rFonts w:ascii="Verdana" w:eastAsia="Times New Roman" w:hAnsi="Verdana"/>
          <w:i/>
          <w:sz w:val="20"/>
          <w:szCs w:val="20"/>
        </w:rPr>
        <w:t>José Ángel Alvarado Herrera y Rocío Irene Alvarado</w:t>
      </w:r>
      <w:r w:rsidR="001105C4" w:rsidRPr="008D0846">
        <w:rPr>
          <w:rFonts w:ascii="Verdana" w:eastAsia="Times New Roman" w:hAnsi="Verdana"/>
          <w:i/>
          <w:sz w:val="20"/>
          <w:szCs w:val="20"/>
        </w:rPr>
        <w:t xml:space="preserve"> Reyes</w:t>
      </w:r>
      <w:r w:rsidR="00D34CD7" w:rsidRPr="008D0846">
        <w:rPr>
          <w:rFonts w:ascii="Verdana" w:hAnsi="Verdana"/>
          <w:sz w:val="20"/>
          <w:szCs w:val="20"/>
          <w:lang w:val="es-CR"/>
        </w:rPr>
        <w:t xml:space="preserve">. </w:t>
      </w:r>
      <w:r w:rsidRPr="00AB43D9">
        <w:rPr>
          <w:rFonts w:ascii="Verdana" w:hAnsi="Verdana" w:cs="Times New Roman"/>
          <w:sz w:val="20"/>
          <w:szCs w:val="20"/>
          <w:lang w:val="es-CR"/>
        </w:rPr>
        <w:t xml:space="preserve">El monto establecido por la Corte deberá ser entregado en el plazo de un año a partir de la notificación de la </w:t>
      </w:r>
      <w:r w:rsidR="001105C4" w:rsidRPr="003003CE">
        <w:rPr>
          <w:rFonts w:ascii="Verdana" w:hAnsi="Verdana" w:cs="Times New Roman"/>
          <w:sz w:val="20"/>
          <w:szCs w:val="20"/>
          <w:lang w:val="es-CR"/>
        </w:rPr>
        <w:t xml:space="preserve">presente </w:t>
      </w:r>
      <w:r w:rsidRPr="00125E41">
        <w:rPr>
          <w:rFonts w:ascii="Verdana" w:hAnsi="Verdana" w:cs="Times New Roman"/>
          <w:sz w:val="20"/>
          <w:szCs w:val="20"/>
          <w:lang w:val="es-CR"/>
        </w:rPr>
        <w:t>Sentencia</w:t>
      </w:r>
      <w:r w:rsidR="003003CE" w:rsidRPr="007460FD">
        <w:rPr>
          <w:rStyle w:val="Refdenotaalpie"/>
          <w:rFonts w:ascii="Verdana" w:hAnsi="Verdana" w:cs="Times New Roman"/>
          <w:sz w:val="20"/>
          <w:szCs w:val="20"/>
          <w:lang w:val="es-CR"/>
        </w:rPr>
        <w:footnoteReference w:id="575"/>
      </w:r>
      <w:r w:rsidR="00EB1A11">
        <w:rPr>
          <w:rFonts w:ascii="Verdana" w:hAnsi="Verdana" w:cs="Times New Roman"/>
          <w:sz w:val="20"/>
          <w:szCs w:val="20"/>
          <w:lang w:val="es-CR"/>
        </w:rPr>
        <w:t>,</w:t>
      </w:r>
      <w:r w:rsidRPr="005F54F6">
        <w:rPr>
          <w:rFonts w:ascii="Verdana" w:hAnsi="Verdana" w:cs="Times New Roman"/>
          <w:sz w:val="20"/>
          <w:szCs w:val="20"/>
          <w:lang w:val="es-CR"/>
        </w:rPr>
        <w:t xml:space="preserve">  </w:t>
      </w:r>
    </w:p>
    <w:p w14:paraId="30C47163" w14:textId="69E4D2E5" w:rsidR="003564A3" w:rsidRPr="008D0846" w:rsidRDefault="008D073B" w:rsidP="00CF59F3">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rPr>
      </w:pPr>
      <w:r w:rsidRPr="008D0846">
        <w:rPr>
          <w:rFonts w:ascii="Verdana" w:hAnsi="Verdana"/>
          <w:sz w:val="20"/>
          <w:szCs w:val="20"/>
        </w:rPr>
        <w:t xml:space="preserve">Los montos dispuestos a favor de </w:t>
      </w:r>
      <w:r w:rsidR="009C73DC" w:rsidRPr="008D0846">
        <w:rPr>
          <w:rFonts w:ascii="Verdana" w:hAnsi="Verdana"/>
          <w:sz w:val="20"/>
          <w:szCs w:val="20"/>
        </w:rPr>
        <w:t xml:space="preserve">las </w:t>
      </w:r>
      <w:r w:rsidRPr="008D0846">
        <w:rPr>
          <w:rFonts w:ascii="Verdana" w:hAnsi="Verdana"/>
          <w:sz w:val="20"/>
          <w:szCs w:val="20"/>
        </w:rPr>
        <w:t>personas desaparecidas forzadamente (</w:t>
      </w:r>
      <w:r w:rsidRPr="008D0846">
        <w:rPr>
          <w:rFonts w:ascii="Verdana" w:hAnsi="Verdana"/>
          <w:i/>
          <w:iCs/>
          <w:sz w:val="20"/>
          <w:szCs w:val="20"/>
        </w:rPr>
        <w:t xml:space="preserve">supra </w:t>
      </w:r>
      <w:r w:rsidRPr="008D0846">
        <w:rPr>
          <w:rFonts w:ascii="Verdana" w:hAnsi="Verdana"/>
          <w:sz w:val="20"/>
          <w:szCs w:val="20"/>
        </w:rPr>
        <w:t>párr</w:t>
      </w:r>
      <w:r w:rsidR="00207613">
        <w:rPr>
          <w:rFonts w:ascii="Verdana" w:hAnsi="Verdana"/>
          <w:sz w:val="20"/>
          <w:szCs w:val="20"/>
        </w:rPr>
        <w:t>s</w:t>
      </w:r>
      <w:r w:rsidR="002633C8">
        <w:rPr>
          <w:rFonts w:ascii="Verdana" w:hAnsi="Verdana"/>
          <w:sz w:val="20"/>
          <w:szCs w:val="20"/>
        </w:rPr>
        <w:t>.</w:t>
      </w:r>
      <w:r w:rsidRPr="008D0846">
        <w:rPr>
          <w:rFonts w:ascii="Verdana" w:hAnsi="Verdana"/>
          <w:sz w:val="20"/>
          <w:szCs w:val="20"/>
        </w:rPr>
        <w:t xml:space="preserve"> </w:t>
      </w:r>
      <w:r w:rsidR="002633C8" w:rsidRPr="008D0846">
        <w:rPr>
          <w:rFonts w:ascii="Verdana" w:hAnsi="Verdana"/>
          <w:sz w:val="20"/>
          <w:szCs w:val="20"/>
        </w:rPr>
        <w:t>3</w:t>
      </w:r>
      <w:r w:rsidR="00207613">
        <w:rPr>
          <w:rFonts w:ascii="Verdana" w:hAnsi="Verdana"/>
          <w:sz w:val="20"/>
          <w:szCs w:val="20"/>
        </w:rPr>
        <w:t>45 y 3</w:t>
      </w:r>
      <w:r w:rsidR="002633C8" w:rsidRPr="008D0846">
        <w:rPr>
          <w:rFonts w:ascii="Verdana" w:hAnsi="Verdana"/>
          <w:sz w:val="20"/>
          <w:szCs w:val="20"/>
        </w:rPr>
        <w:t>50</w:t>
      </w:r>
      <w:r w:rsidRPr="008D0846">
        <w:rPr>
          <w:rFonts w:ascii="Verdana" w:hAnsi="Verdana"/>
          <w:sz w:val="20"/>
          <w:szCs w:val="20"/>
        </w:rPr>
        <w:t>)  deben ser liquidadas de acuerdo con los siguientes criterios</w:t>
      </w:r>
      <w:r w:rsidR="001105C4" w:rsidRPr="008D0846">
        <w:rPr>
          <w:rStyle w:val="Refdenotaalpie"/>
          <w:rFonts w:ascii="Verdana" w:hAnsi="Verdana"/>
          <w:sz w:val="20"/>
          <w:szCs w:val="20"/>
        </w:rPr>
        <w:footnoteReference w:id="576"/>
      </w:r>
      <w:r w:rsidRPr="008D0846">
        <w:rPr>
          <w:rFonts w:ascii="Verdana" w:hAnsi="Verdana"/>
          <w:sz w:val="20"/>
          <w:szCs w:val="20"/>
        </w:rPr>
        <w:t xml:space="preserve">:  </w:t>
      </w:r>
    </w:p>
    <w:p w14:paraId="656361AC" w14:textId="30DB50D2" w:rsidR="008D073B" w:rsidRPr="008D0846" w:rsidRDefault="008D073B" w:rsidP="00CF59F3">
      <w:pPr>
        <w:pStyle w:val="Textoindependiente"/>
        <w:numPr>
          <w:ilvl w:val="1"/>
          <w:numId w:val="104"/>
        </w:numPr>
        <w:overflowPunct w:val="0"/>
        <w:autoSpaceDE w:val="0"/>
        <w:autoSpaceDN w:val="0"/>
        <w:spacing w:before="120" w:line="240" w:lineRule="auto"/>
        <w:ind w:left="720"/>
        <w:rPr>
          <w:sz w:val="20"/>
          <w:szCs w:val="20"/>
        </w:rPr>
      </w:pPr>
      <w:r w:rsidRPr="008D0846">
        <w:rPr>
          <w:sz w:val="20"/>
          <w:szCs w:val="20"/>
        </w:rPr>
        <w:t xml:space="preserve">el cincuenta por ciento (50%) de la indemnización se repartirá, por partes iguales, entre los hijos de la víctima. Si uno o varios de los hijos de la víctima hubieren fallecido ya, la parte que le o les corresponda será entregada a sus hijos o cónyuges si existieren, o si no existieren, la parte que le o les corresponda acrecerá a las de los demás hijos de la misma víctima; </w:t>
      </w:r>
    </w:p>
    <w:p w14:paraId="10EC5822" w14:textId="68B84979" w:rsidR="008D073B" w:rsidRPr="008D0846" w:rsidRDefault="008D073B" w:rsidP="00CF59F3">
      <w:pPr>
        <w:pStyle w:val="Textoindependiente"/>
        <w:numPr>
          <w:ilvl w:val="1"/>
          <w:numId w:val="104"/>
        </w:numPr>
        <w:overflowPunct w:val="0"/>
        <w:autoSpaceDE w:val="0"/>
        <w:autoSpaceDN w:val="0"/>
        <w:spacing w:before="120" w:line="240" w:lineRule="auto"/>
        <w:ind w:left="720"/>
        <w:rPr>
          <w:sz w:val="20"/>
          <w:szCs w:val="20"/>
        </w:rPr>
      </w:pPr>
      <w:r w:rsidRPr="008D0846">
        <w:rPr>
          <w:sz w:val="20"/>
          <w:szCs w:val="20"/>
        </w:rPr>
        <w:t>el cincuenta por ciento (50%) de la indemnización deberá ser entregada a quien fuera cónyuge, compañero o compañera permanente de la víctima, al momento del inicio de la desaparición forzada de esta;</w:t>
      </w:r>
    </w:p>
    <w:p w14:paraId="029C35B6" w14:textId="00E7A836" w:rsidR="008D073B" w:rsidRPr="008D0846" w:rsidRDefault="008D073B" w:rsidP="00CF59F3">
      <w:pPr>
        <w:pStyle w:val="Textoindependiente"/>
        <w:numPr>
          <w:ilvl w:val="1"/>
          <w:numId w:val="104"/>
        </w:numPr>
        <w:overflowPunct w:val="0"/>
        <w:autoSpaceDE w:val="0"/>
        <w:autoSpaceDN w:val="0"/>
        <w:spacing w:before="120" w:line="240" w:lineRule="auto"/>
        <w:ind w:left="720"/>
        <w:rPr>
          <w:sz w:val="20"/>
          <w:szCs w:val="20"/>
        </w:rPr>
      </w:pPr>
      <w:r w:rsidRPr="008D0846">
        <w:rPr>
          <w:sz w:val="20"/>
          <w:szCs w:val="20"/>
        </w:rPr>
        <w:t>en el evento que no existieren familiares en alguna de las categorías definidas en los literales anteriores, lo que hubiere correspondido a los familiares ubicados en esa categoría, acrecerá a la parte que le corresponda a la otra categoría;</w:t>
      </w:r>
    </w:p>
    <w:p w14:paraId="5060422C" w14:textId="522CDFC1" w:rsidR="008D073B" w:rsidRPr="008D0846" w:rsidRDefault="008D073B" w:rsidP="00CF59F3">
      <w:pPr>
        <w:pStyle w:val="Textoindependiente"/>
        <w:numPr>
          <w:ilvl w:val="1"/>
          <w:numId w:val="104"/>
        </w:numPr>
        <w:overflowPunct w:val="0"/>
        <w:autoSpaceDE w:val="0"/>
        <w:autoSpaceDN w:val="0"/>
        <w:spacing w:before="120" w:line="240" w:lineRule="auto"/>
        <w:ind w:left="720"/>
        <w:rPr>
          <w:sz w:val="20"/>
          <w:szCs w:val="20"/>
        </w:rPr>
      </w:pPr>
      <w:r w:rsidRPr="008D0846">
        <w:rPr>
          <w:sz w:val="20"/>
          <w:szCs w:val="20"/>
        </w:rPr>
        <w:t>en el caso de que la víctima no tuviere hijos ni cónyuge ni compañera o compañero permanente, la indemnización del daño material será entregado a sus padres, y</w:t>
      </w:r>
    </w:p>
    <w:p w14:paraId="7C43428D" w14:textId="339BEA75" w:rsidR="009C73DC" w:rsidRPr="00E42B72" w:rsidRDefault="008D073B" w:rsidP="00CF59F3">
      <w:pPr>
        <w:pStyle w:val="Textoindependiente"/>
        <w:numPr>
          <w:ilvl w:val="1"/>
          <w:numId w:val="104"/>
        </w:numPr>
        <w:overflowPunct w:val="0"/>
        <w:autoSpaceDE w:val="0"/>
        <w:autoSpaceDN w:val="0"/>
        <w:spacing w:before="120" w:line="240" w:lineRule="auto"/>
        <w:ind w:left="720"/>
        <w:rPr>
          <w:sz w:val="20"/>
          <w:szCs w:val="20"/>
          <w:lang w:eastAsia="en-US"/>
        </w:rPr>
      </w:pPr>
      <w:r w:rsidRPr="008D0846">
        <w:rPr>
          <w:sz w:val="20"/>
          <w:szCs w:val="20"/>
        </w:rPr>
        <w:t xml:space="preserve">en el evento que no existieren familiares en alguna o algunas de las categorías definidas en los literales anteriores, la indemnización deberá ser pagada a los herederos de </w:t>
      </w:r>
      <w:r w:rsidRPr="00E42B72">
        <w:rPr>
          <w:sz w:val="20"/>
          <w:szCs w:val="20"/>
        </w:rPr>
        <w:t>acuerdo con el derecho sucesorio interno.</w:t>
      </w:r>
    </w:p>
    <w:p w14:paraId="218B70B8" w14:textId="0A7B7C3A" w:rsidR="0030739A" w:rsidRPr="00E42B72" w:rsidRDefault="0030739A" w:rsidP="00CF59F3">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E42B72">
        <w:rPr>
          <w:rFonts w:ascii="Verdana" w:hAnsi="Verdana" w:cs="Times New Roman"/>
          <w:sz w:val="20"/>
          <w:szCs w:val="20"/>
          <w:lang w:val="es-CR"/>
        </w:rPr>
        <w:t>Adicionalmente, en vista de la</w:t>
      </w:r>
      <w:r w:rsidR="00AE53D3" w:rsidRPr="00E42B72">
        <w:rPr>
          <w:rFonts w:ascii="Verdana" w:hAnsi="Verdana" w:cs="Times New Roman"/>
          <w:sz w:val="20"/>
          <w:szCs w:val="20"/>
          <w:lang w:val="es-CR"/>
        </w:rPr>
        <w:t>s</w:t>
      </w:r>
      <w:r w:rsidRPr="00E42B72">
        <w:rPr>
          <w:rFonts w:ascii="Verdana" w:hAnsi="Verdana" w:cs="Times New Roman"/>
          <w:sz w:val="20"/>
          <w:szCs w:val="20"/>
          <w:lang w:val="es-CR"/>
        </w:rPr>
        <w:t xml:space="preserve"> violaci</w:t>
      </w:r>
      <w:r w:rsidR="00AE53D3" w:rsidRPr="00E42B72">
        <w:rPr>
          <w:rFonts w:ascii="Verdana" w:hAnsi="Verdana" w:cs="Times New Roman"/>
          <w:sz w:val="20"/>
          <w:szCs w:val="20"/>
          <w:lang w:val="es-CR"/>
        </w:rPr>
        <w:t>o</w:t>
      </w:r>
      <w:r w:rsidRPr="00E42B72">
        <w:rPr>
          <w:rFonts w:ascii="Verdana" w:hAnsi="Verdana" w:cs="Times New Roman"/>
          <w:sz w:val="20"/>
          <w:szCs w:val="20"/>
          <w:lang w:val="es-CR"/>
        </w:rPr>
        <w:t>n</w:t>
      </w:r>
      <w:r w:rsidR="00AE53D3" w:rsidRPr="00E42B72">
        <w:rPr>
          <w:rFonts w:ascii="Verdana" w:hAnsi="Verdana" w:cs="Times New Roman"/>
          <w:sz w:val="20"/>
          <w:szCs w:val="20"/>
          <w:lang w:val="es-CR"/>
        </w:rPr>
        <w:t>es</w:t>
      </w:r>
      <w:r w:rsidRPr="00E42B72">
        <w:rPr>
          <w:rFonts w:ascii="Verdana" w:hAnsi="Verdana" w:cs="Times New Roman"/>
          <w:sz w:val="20"/>
          <w:szCs w:val="20"/>
          <w:lang w:val="es-CR"/>
        </w:rPr>
        <w:t xml:space="preserve"> acreditada</w:t>
      </w:r>
      <w:r w:rsidR="00AE53D3" w:rsidRPr="00E42B72">
        <w:rPr>
          <w:rFonts w:ascii="Verdana" w:hAnsi="Verdana" w:cs="Times New Roman"/>
          <w:sz w:val="20"/>
          <w:szCs w:val="20"/>
          <w:lang w:val="es-CR"/>
        </w:rPr>
        <w:t>s</w:t>
      </w:r>
      <w:r w:rsidRPr="00E42B72">
        <w:rPr>
          <w:rFonts w:ascii="Verdana" w:hAnsi="Verdana" w:cs="Times New Roman"/>
          <w:sz w:val="20"/>
          <w:szCs w:val="20"/>
          <w:lang w:val="es-CR"/>
        </w:rPr>
        <w:t xml:space="preserve"> en perjuicio de los familiares, que derivaron en afectaciones en su integridad física, moral y psicológica, </w:t>
      </w:r>
      <w:r w:rsidR="00125E41" w:rsidRPr="00E42B72">
        <w:rPr>
          <w:rFonts w:ascii="Verdana" w:hAnsi="Verdana" w:cs="Times New Roman"/>
          <w:sz w:val="20"/>
          <w:szCs w:val="20"/>
        </w:rPr>
        <w:t xml:space="preserve">de conformidad con los criterios desarrollados sobre el concepto de daño inmaterial, </w:t>
      </w:r>
      <w:r w:rsidRPr="00E42B72">
        <w:rPr>
          <w:rFonts w:ascii="Verdana" w:hAnsi="Verdana" w:cs="Times New Roman"/>
          <w:sz w:val="20"/>
          <w:szCs w:val="20"/>
          <w:lang w:val="es-CR"/>
        </w:rPr>
        <w:t>la Corte fija en equidad, las siguientes sumas de dinero</w:t>
      </w:r>
      <w:r w:rsidRPr="00E42B72">
        <w:rPr>
          <w:rStyle w:val="Refdenotaalpie"/>
          <w:rFonts w:ascii="Verdana" w:hAnsi="Verdana"/>
          <w:sz w:val="20"/>
          <w:szCs w:val="20"/>
        </w:rPr>
        <w:footnoteReference w:id="577"/>
      </w:r>
      <w:r w:rsidRPr="00E42B72">
        <w:rPr>
          <w:rFonts w:ascii="Verdana" w:hAnsi="Verdana" w:cs="Times New Roman"/>
          <w:sz w:val="20"/>
          <w:szCs w:val="20"/>
          <w:lang w:val="es-CR"/>
        </w:rPr>
        <w:t xml:space="preserve">: </w:t>
      </w:r>
    </w:p>
    <w:p w14:paraId="3D1AB33B" w14:textId="58DC858B" w:rsidR="003C2E5D" w:rsidRPr="00842C80" w:rsidRDefault="008C3A57" w:rsidP="008C3A57">
      <w:pPr>
        <w:pStyle w:val="Prrafodelista"/>
        <w:numPr>
          <w:ilvl w:val="0"/>
          <w:numId w:val="53"/>
        </w:numPr>
        <w:spacing w:before="120" w:after="120" w:line="240" w:lineRule="auto"/>
        <w:contextualSpacing w:val="0"/>
        <w:jc w:val="both"/>
        <w:rPr>
          <w:rFonts w:ascii="Verdana" w:hAnsi="Verdana"/>
          <w:sz w:val="20"/>
          <w:szCs w:val="20"/>
          <w:lang w:val="es-CR"/>
        </w:rPr>
      </w:pPr>
      <w:r w:rsidRPr="000F7594">
        <w:rPr>
          <w:rFonts w:ascii="Verdana" w:hAnsi="Verdana"/>
          <w:sz w:val="20"/>
          <w:szCs w:val="20"/>
          <w:lang w:val="es-CR"/>
        </w:rPr>
        <w:t xml:space="preserve">Respecto del grupo familiar de </w:t>
      </w:r>
      <w:r w:rsidRPr="008D0846">
        <w:rPr>
          <w:rFonts w:ascii="Verdana" w:hAnsi="Verdana"/>
          <w:sz w:val="20"/>
          <w:szCs w:val="20"/>
          <w:lang w:val="es-CR"/>
        </w:rPr>
        <w:t>Nitza Paola Alvarado Espinoza</w:t>
      </w:r>
      <w:r w:rsidRPr="00842C80">
        <w:rPr>
          <w:rFonts w:ascii="Verdana" w:hAnsi="Verdana"/>
          <w:sz w:val="20"/>
          <w:szCs w:val="20"/>
          <w:lang w:val="es-CR"/>
        </w:rPr>
        <w:t xml:space="preserve">, la suma </w:t>
      </w:r>
      <w:r w:rsidRPr="008D0846">
        <w:rPr>
          <w:rFonts w:ascii="Verdana" w:hAnsi="Verdana"/>
          <w:sz w:val="20"/>
          <w:szCs w:val="20"/>
          <w:lang w:val="es-CR"/>
        </w:rPr>
        <w:t xml:space="preserve">de </w:t>
      </w:r>
      <w:r w:rsidR="00CF59F3" w:rsidRPr="008D0846">
        <w:rPr>
          <w:rFonts w:ascii="Verdana" w:hAnsi="Verdana"/>
          <w:sz w:val="20"/>
          <w:szCs w:val="20"/>
          <w:lang w:val="es-CR"/>
        </w:rPr>
        <w:t>USD</w:t>
      </w:r>
      <w:r w:rsidRPr="008D0846">
        <w:rPr>
          <w:rFonts w:ascii="Verdana" w:hAnsi="Verdana"/>
          <w:sz w:val="20"/>
          <w:szCs w:val="20"/>
          <w:lang w:val="es-CR"/>
        </w:rPr>
        <w:t>$</w:t>
      </w:r>
      <w:r w:rsidR="00F74BFF" w:rsidRPr="008D0846">
        <w:rPr>
          <w:rFonts w:ascii="Verdana" w:hAnsi="Verdana"/>
          <w:sz w:val="20"/>
          <w:szCs w:val="20"/>
          <w:lang w:val="es-CR"/>
        </w:rPr>
        <w:t>6</w:t>
      </w:r>
      <w:r w:rsidRPr="008D0846">
        <w:rPr>
          <w:rFonts w:ascii="Verdana" w:hAnsi="Verdana"/>
          <w:sz w:val="20"/>
          <w:szCs w:val="20"/>
          <w:lang w:val="es-CR"/>
        </w:rPr>
        <w:t>0,000</w:t>
      </w:r>
      <w:r w:rsidR="00CF59F3" w:rsidRPr="008D0846">
        <w:rPr>
          <w:rFonts w:ascii="Verdana" w:hAnsi="Verdana"/>
          <w:sz w:val="20"/>
          <w:szCs w:val="20"/>
          <w:lang w:val="es-CR"/>
        </w:rPr>
        <w:t xml:space="preserve"> (sesenta mil dólares de los Estados Unidos de América)</w:t>
      </w:r>
      <w:r w:rsidRPr="008D0846">
        <w:rPr>
          <w:rFonts w:ascii="Verdana" w:hAnsi="Verdana"/>
          <w:sz w:val="20"/>
          <w:szCs w:val="20"/>
          <w:lang w:val="es-CR"/>
        </w:rPr>
        <w:t xml:space="preserve"> para </w:t>
      </w:r>
      <w:r w:rsidRPr="00842C80">
        <w:rPr>
          <w:rFonts w:ascii="Verdana" w:hAnsi="Verdana"/>
          <w:sz w:val="20"/>
          <w:szCs w:val="20"/>
          <w:lang w:val="es-CR"/>
        </w:rPr>
        <w:t xml:space="preserve">para </w:t>
      </w:r>
      <w:r w:rsidRPr="008D0846">
        <w:rPr>
          <w:rFonts w:ascii="Verdana" w:hAnsi="Verdana"/>
          <w:sz w:val="20"/>
          <w:szCs w:val="20"/>
          <w:lang w:val="es-CR"/>
        </w:rPr>
        <w:t>María de Jesús Alvarado Espinoza</w:t>
      </w:r>
      <w:r w:rsidRPr="00842C80">
        <w:rPr>
          <w:rFonts w:ascii="Verdana" w:hAnsi="Verdana"/>
          <w:sz w:val="20"/>
          <w:szCs w:val="20"/>
          <w:lang w:val="es-CR"/>
        </w:rPr>
        <w:t xml:space="preserve"> (hermana); </w:t>
      </w:r>
      <w:r w:rsidR="00CF59F3" w:rsidRPr="008D0846">
        <w:rPr>
          <w:rFonts w:ascii="Verdana" w:hAnsi="Verdana"/>
          <w:sz w:val="20"/>
          <w:szCs w:val="20"/>
          <w:lang w:val="es-CR"/>
        </w:rPr>
        <w:t>USD</w:t>
      </w:r>
      <w:r w:rsidRPr="008D0846">
        <w:rPr>
          <w:rFonts w:ascii="Verdana" w:hAnsi="Verdana"/>
          <w:sz w:val="20"/>
          <w:szCs w:val="20"/>
          <w:lang w:val="es-CR"/>
        </w:rPr>
        <w:t>$</w:t>
      </w:r>
      <w:r w:rsidR="00F74BFF" w:rsidRPr="008D0846">
        <w:rPr>
          <w:rFonts w:ascii="Verdana" w:hAnsi="Verdana"/>
          <w:sz w:val="20"/>
          <w:szCs w:val="20"/>
          <w:lang w:val="es-CR"/>
        </w:rPr>
        <w:t>6</w:t>
      </w:r>
      <w:r w:rsidRPr="008D0846">
        <w:rPr>
          <w:rFonts w:ascii="Verdana" w:hAnsi="Verdana"/>
          <w:sz w:val="20"/>
          <w:szCs w:val="20"/>
          <w:lang w:val="es-CR"/>
        </w:rPr>
        <w:t xml:space="preserve">0,000 </w:t>
      </w:r>
      <w:r w:rsidR="00CF59F3" w:rsidRPr="008D0846">
        <w:rPr>
          <w:rFonts w:ascii="Verdana" w:hAnsi="Verdana"/>
          <w:sz w:val="20"/>
          <w:szCs w:val="20"/>
          <w:lang w:val="es-CR"/>
        </w:rPr>
        <w:t xml:space="preserve">(sesenta mil dólares de los Estados Unidos de América) </w:t>
      </w:r>
      <w:r w:rsidRPr="00842C80">
        <w:rPr>
          <w:rFonts w:ascii="Verdana" w:hAnsi="Verdana"/>
          <w:sz w:val="20"/>
          <w:szCs w:val="20"/>
          <w:lang w:val="es-CR"/>
        </w:rPr>
        <w:t>para cada una de sus hijas: M.P.A.E., N.S.A.E., y D.A.E.;</w:t>
      </w:r>
      <w:r w:rsidR="00CF59F3" w:rsidRPr="008D0846">
        <w:rPr>
          <w:rFonts w:ascii="Verdana" w:hAnsi="Verdana"/>
          <w:sz w:val="20"/>
          <w:szCs w:val="20"/>
          <w:lang w:val="es-CR"/>
        </w:rPr>
        <w:t xml:space="preserve"> USD</w:t>
      </w:r>
      <w:r w:rsidRPr="008D0846">
        <w:rPr>
          <w:rFonts w:ascii="Verdana" w:hAnsi="Verdana"/>
          <w:sz w:val="20"/>
          <w:szCs w:val="20"/>
          <w:lang w:val="es-CR"/>
        </w:rPr>
        <w:t>$</w:t>
      </w:r>
      <w:r w:rsidR="00F74BFF" w:rsidRPr="008D0846">
        <w:rPr>
          <w:rFonts w:ascii="Verdana" w:hAnsi="Verdana"/>
          <w:sz w:val="20"/>
          <w:szCs w:val="20"/>
          <w:lang w:val="es-CR"/>
        </w:rPr>
        <w:t>50</w:t>
      </w:r>
      <w:r w:rsidRPr="008D0846">
        <w:rPr>
          <w:rFonts w:ascii="Verdana" w:hAnsi="Verdana"/>
          <w:sz w:val="20"/>
          <w:szCs w:val="20"/>
          <w:lang w:val="es-CR"/>
        </w:rPr>
        <w:t>,0</w:t>
      </w:r>
      <w:r w:rsidR="00CF59F3" w:rsidRPr="008D0846">
        <w:rPr>
          <w:rFonts w:ascii="Verdana" w:hAnsi="Verdana"/>
          <w:sz w:val="20"/>
          <w:szCs w:val="20"/>
          <w:lang w:val="es-CR"/>
        </w:rPr>
        <w:t>00 (cincuenta mil dólares de</w:t>
      </w:r>
      <w:r w:rsidR="009E0FFD">
        <w:rPr>
          <w:rFonts w:ascii="Verdana" w:hAnsi="Verdana"/>
          <w:sz w:val="20"/>
          <w:szCs w:val="20"/>
          <w:lang w:val="es-CR"/>
        </w:rPr>
        <w:t xml:space="preserve"> los Estados Unidos de América)</w:t>
      </w:r>
      <w:r w:rsidRPr="00842C80">
        <w:rPr>
          <w:rFonts w:ascii="Verdana" w:hAnsi="Verdana"/>
          <w:sz w:val="20"/>
          <w:szCs w:val="20"/>
          <w:lang w:val="es-CR"/>
        </w:rPr>
        <w:t xml:space="preserve"> para cada uno de sus padres</w:t>
      </w:r>
      <w:r w:rsidR="00AE53D3" w:rsidRPr="000F7594">
        <w:rPr>
          <w:rFonts w:ascii="Verdana" w:hAnsi="Verdana"/>
          <w:sz w:val="20"/>
          <w:szCs w:val="20"/>
          <w:lang w:val="es-CR"/>
        </w:rPr>
        <w:t>:</w:t>
      </w:r>
      <w:r w:rsidRPr="000F7594">
        <w:rPr>
          <w:rFonts w:ascii="Verdana" w:hAnsi="Verdana"/>
          <w:sz w:val="20"/>
          <w:szCs w:val="20"/>
          <w:lang w:val="es-CR"/>
        </w:rPr>
        <w:t xml:space="preserve"> María de Jesús Espinoza Peinado </w:t>
      </w:r>
      <w:r w:rsidR="00AE53D3" w:rsidRPr="000F7594">
        <w:rPr>
          <w:rFonts w:ascii="Verdana" w:hAnsi="Verdana"/>
          <w:sz w:val="20"/>
          <w:szCs w:val="20"/>
          <w:lang w:val="es-CR"/>
        </w:rPr>
        <w:t>(madre</w:t>
      </w:r>
      <w:r w:rsidR="00AE53D3" w:rsidRPr="00EC6AC8">
        <w:rPr>
          <w:rFonts w:ascii="Verdana" w:hAnsi="Verdana"/>
          <w:sz w:val="20"/>
          <w:szCs w:val="20"/>
          <w:lang w:val="es-CR"/>
        </w:rPr>
        <w:t xml:space="preserve">) </w:t>
      </w:r>
      <w:r w:rsidRPr="005740DE">
        <w:rPr>
          <w:rFonts w:ascii="Verdana" w:hAnsi="Verdana"/>
          <w:sz w:val="20"/>
          <w:szCs w:val="20"/>
          <w:lang w:val="es-CR"/>
        </w:rPr>
        <w:t xml:space="preserve">y Ascensión Alvarado Fabela (padre), en relación con lo resuelto en los párrafos </w:t>
      </w:r>
      <w:r w:rsidR="009A0068">
        <w:rPr>
          <w:rFonts w:ascii="Verdana" w:hAnsi="Verdana"/>
          <w:sz w:val="20"/>
          <w:szCs w:val="20"/>
          <w:lang w:val="es-CR"/>
        </w:rPr>
        <w:t>265</w:t>
      </w:r>
      <w:r w:rsidR="000D65FE">
        <w:rPr>
          <w:rFonts w:ascii="Verdana" w:hAnsi="Verdana"/>
          <w:sz w:val="20"/>
          <w:szCs w:val="20"/>
        </w:rPr>
        <w:t>,</w:t>
      </w:r>
      <w:r w:rsidRPr="00E173D9">
        <w:rPr>
          <w:rFonts w:ascii="Verdana" w:hAnsi="Verdana"/>
          <w:sz w:val="20"/>
          <w:szCs w:val="20"/>
        </w:rPr>
        <w:t xml:space="preserve"> </w:t>
      </w:r>
      <w:r w:rsidR="009A0068">
        <w:rPr>
          <w:rFonts w:ascii="Verdana" w:hAnsi="Verdana"/>
          <w:sz w:val="20"/>
          <w:szCs w:val="20"/>
        </w:rPr>
        <w:t>267</w:t>
      </w:r>
      <w:r w:rsidRPr="00842C80">
        <w:rPr>
          <w:rFonts w:ascii="Verdana" w:hAnsi="Verdana"/>
          <w:sz w:val="20"/>
          <w:szCs w:val="20"/>
        </w:rPr>
        <w:t xml:space="preserve"> </w:t>
      </w:r>
      <w:r w:rsidR="000D65FE">
        <w:rPr>
          <w:rFonts w:ascii="Verdana" w:hAnsi="Verdana"/>
          <w:sz w:val="20"/>
          <w:szCs w:val="20"/>
        </w:rPr>
        <w:t xml:space="preserve">y 283 </w:t>
      </w:r>
      <w:r w:rsidRPr="00842C80">
        <w:rPr>
          <w:rFonts w:ascii="Verdana" w:hAnsi="Verdana"/>
          <w:sz w:val="20"/>
          <w:szCs w:val="20"/>
          <w:lang w:val="es-CR"/>
        </w:rPr>
        <w:t>de esta Sentencia</w:t>
      </w:r>
      <w:r w:rsidR="000F7594">
        <w:rPr>
          <w:rFonts w:ascii="Verdana" w:hAnsi="Verdana"/>
          <w:sz w:val="20"/>
          <w:szCs w:val="20"/>
          <w:lang w:val="es-CR"/>
        </w:rPr>
        <w:t>;</w:t>
      </w:r>
    </w:p>
    <w:p w14:paraId="7D700BAC" w14:textId="391EBAB9" w:rsidR="0030739A" w:rsidRPr="00842C80" w:rsidRDefault="003C2E5D">
      <w:pPr>
        <w:spacing w:before="120" w:after="120" w:line="240" w:lineRule="auto"/>
        <w:ind w:left="708"/>
        <w:jc w:val="both"/>
        <w:rPr>
          <w:rFonts w:ascii="Verdana" w:hAnsi="Verdana"/>
          <w:sz w:val="20"/>
          <w:szCs w:val="20"/>
          <w:lang w:val="es-CR"/>
        </w:rPr>
      </w:pPr>
      <w:r w:rsidRPr="00842C80">
        <w:rPr>
          <w:rFonts w:ascii="Verdana" w:hAnsi="Verdana"/>
          <w:sz w:val="20"/>
          <w:szCs w:val="20"/>
          <w:lang w:val="es-CR"/>
        </w:rPr>
        <w:lastRenderedPageBreak/>
        <w:t>i.a</w:t>
      </w:r>
      <w:r w:rsidR="00707EE0" w:rsidRPr="00842C80">
        <w:rPr>
          <w:rFonts w:ascii="Verdana" w:hAnsi="Verdana"/>
          <w:sz w:val="20"/>
          <w:szCs w:val="20"/>
          <w:lang w:val="es-CR"/>
        </w:rPr>
        <w:t xml:space="preserve"> </w:t>
      </w:r>
      <w:r w:rsidR="008C3A57" w:rsidRPr="00842C80">
        <w:rPr>
          <w:rFonts w:ascii="Verdana" w:hAnsi="Verdana"/>
          <w:sz w:val="20"/>
          <w:szCs w:val="20"/>
          <w:lang w:val="es-CR"/>
        </w:rPr>
        <w:t xml:space="preserve">La cantidad de </w:t>
      </w:r>
      <w:r w:rsidR="00700E63" w:rsidRPr="008D0846">
        <w:rPr>
          <w:rFonts w:ascii="Verdana" w:hAnsi="Verdana"/>
          <w:sz w:val="20"/>
          <w:szCs w:val="20"/>
          <w:lang w:val="es-CR"/>
        </w:rPr>
        <w:t>USD$</w:t>
      </w:r>
      <w:r w:rsidR="008C3A57" w:rsidRPr="008D0846">
        <w:rPr>
          <w:rFonts w:ascii="Verdana" w:hAnsi="Verdana"/>
          <w:sz w:val="20"/>
          <w:szCs w:val="20"/>
          <w:lang w:val="es-CR"/>
        </w:rPr>
        <w:t>20,000 (veinte mil dólares de los Estados Unidos de América)</w:t>
      </w:r>
      <w:r w:rsidR="008C3A57" w:rsidRPr="00842C80">
        <w:rPr>
          <w:rFonts w:ascii="Verdana" w:hAnsi="Verdana"/>
          <w:sz w:val="20"/>
          <w:szCs w:val="20"/>
          <w:lang w:val="es-CR"/>
        </w:rPr>
        <w:t>, para el grupo familiar de</w:t>
      </w:r>
      <w:r w:rsidR="008C3A57" w:rsidRPr="008D0846">
        <w:rPr>
          <w:rFonts w:ascii="Verdana" w:hAnsi="Verdana"/>
          <w:sz w:val="20"/>
          <w:szCs w:val="20"/>
          <w:lang w:val="es-CR"/>
        </w:rPr>
        <w:t xml:space="preserve"> </w:t>
      </w:r>
      <w:r w:rsidR="008C3A57" w:rsidRPr="00842C80">
        <w:rPr>
          <w:rFonts w:ascii="Verdana" w:hAnsi="Verdana"/>
          <w:sz w:val="20"/>
          <w:szCs w:val="20"/>
          <w:lang w:val="es-CR"/>
        </w:rPr>
        <w:t xml:space="preserve">Rigoberto Ambriz Marrufo (cuñado) y R.A.A., I.A.A.A., J.E.A.A. y A.Y.A.A. (sobrinos), en relación con lo resuelto en el párrafo </w:t>
      </w:r>
      <w:r w:rsidR="009A0068">
        <w:rPr>
          <w:rFonts w:ascii="Verdana" w:hAnsi="Verdana"/>
          <w:sz w:val="20"/>
          <w:szCs w:val="20"/>
          <w:lang w:val="es-CR"/>
        </w:rPr>
        <w:t>283</w:t>
      </w:r>
      <w:r w:rsidR="008C3A57" w:rsidRPr="00842C80">
        <w:rPr>
          <w:rFonts w:ascii="Verdana" w:hAnsi="Verdana"/>
          <w:sz w:val="20"/>
          <w:szCs w:val="20"/>
          <w:lang w:val="es-CR"/>
        </w:rPr>
        <w:t xml:space="preserve"> de esta Sentencia</w:t>
      </w:r>
      <w:r w:rsidR="000F7594">
        <w:rPr>
          <w:rFonts w:ascii="Verdana" w:hAnsi="Verdana"/>
          <w:sz w:val="20"/>
          <w:szCs w:val="20"/>
          <w:lang w:val="es-CR"/>
        </w:rPr>
        <w:t>.</w:t>
      </w:r>
      <w:r w:rsidR="008C3A57" w:rsidRPr="00842C80">
        <w:rPr>
          <w:rFonts w:ascii="Verdana" w:hAnsi="Verdana"/>
          <w:sz w:val="20"/>
          <w:szCs w:val="20"/>
          <w:lang w:val="es-CR"/>
        </w:rPr>
        <w:t xml:space="preserve"> </w:t>
      </w:r>
    </w:p>
    <w:p w14:paraId="5C4777BE" w14:textId="0E26B9CA" w:rsidR="008C3A57" w:rsidRPr="008E770A" w:rsidRDefault="008C3A57" w:rsidP="00700E63">
      <w:pPr>
        <w:pStyle w:val="Prrafodelista"/>
        <w:numPr>
          <w:ilvl w:val="0"/>
          <w:numId w:val="53"/>
        </w:numPr>
        <w:spacing w:before="120" w:after="120" w:line="240" w:lineRule="auto"/>
        <w:contextualSpacing w:val="0"/>
        <w:jc w:val="both"/>
        <w:rPr>
          <w:rFonts w:ascii="Verdana" w:hAnsi="Verdana"/>
          <w:sz w:val="20"/>
          <w:szCs w:val="20"/>
          <w:lang w:val="es-CR"/>
        </w:rPr>
      </w:pPr>
      <w:r w:rsidRPr="00842C80">
        <w:rPr>
          <w:rFonts w:ascii="Verdana" w:hAnsi="Verdana"/>
          <w:sz w:val="20"/>
          <w:szCs w:val="20"/>
          <w:lang w:val="es-CR"/>
        </w:rPr>
        <w:t xml:space="preserve">Respecto del grupo familiar de </w:t>
      </w:r>
      <w:r w:rsidRPr="008D0846">
        <w:rPr>
          <w:rFonts w:ascii="Verdana" w:hAnsi="Verdana"/>
          <w:sz w:val="20"/>
          <w:szCs w:val="20"/>
          <w:lang w:val="es-CR"/>
        </w:rPr>
        <w:t>Rocío Irene Alvarado Reyes</w:t>
      </w:r>
      <w:r w:rsidRPr="00842C80">
        <w:rPr>
          <w:rFonts w:ascii="Verdana" w:hAnsi="Verdana"/>
          <w:sz w:val="20"/>
          <w:szCs w:val="20"/>
          <w:lang w:val="es-CR"/>
        </w:rPr>
        <w:t xml:space="preserve">, la suma </w:t>
      </w:r>
      <w:r w:rsidRPr="009E0FFD">
        <w:rPr>
          <w:rFonts w:ascii="Verdana" w:hAnsi="Verdana"/>
          <w:sz w:val="20"/>
          <w:szCs w:val="20"/>
          <w:lang w:val="es-CR"/>
        </w:rPr>
        <w:t>de US</w:t>
      </w:r>
      <w:r w:rsidR="00700E63" w:rsidRPr="009E0FFD">
        <w:rPr>
          <w:rFonts w:ascii="Verdana" w:hAnsi="Verdana"/>
          <w:sz w:val="20"/>
          <w:szCs w:val="20"/>
          <w:lang w:val="es-CR"/>
        </w:rPr>
        <w:t>D$</w:t>
      </w:r>
      <w:r w:rsidRPr="009E0FFD">
        <w:rPr>
          <w:rFonts w:ascii="Verdana" w:hAnsi="Verdana"/>
          <w:sz w:val="20"/>
          <w:szCs w:val="20"/>
          <w:lang w:val="es-CR"/>
        </w:rPr>
        <w:t>50,000</w:t>
      </w:r>
      <w:r w:rsidR="00700E63" w:rsidRPr="008D0846">
        <w:rPr>
          <w:rFonts w:ascii="Verdana" w:hAnsi="Verdana"/>
          <w:sz w:val="20"/>
          <w:szCs w:val="20"/>
          <w:lang w:val="es-CR"/>
        </w:rPr>
        <w:t xml:space="preserve"> (cincuenta mil dólares de los Estados Unidos de América) </w:t>
      </w:r>
      <w:r w:rsidRPr="008D0846">
        <w:rPr>
          <w:rFonts w:ascii="Verdana" w:hAnsi="Verdana"/>
          <w:sz w:val="20"/>
          <w:szCs w:val="20"/>
          <w:lang w:val="es-CR"/>
        </w:rPr>
        <w:t xml:space="preserve">para Patricia Reyes Rueda (madre); </w:t>
      </w:r>
      <w:r w:rsidR="00700E63" w:rsidRPr="008D0846">
        <w:rPr>
          <w:rFonts w:ascii="Verdana" w:hAnsi="Verdana"/>
          <w:sz w:val="20"/>
          <w:szCs w:val="20"/>
          <w:lang w:val="es-CR"/>
        </w:rPr>
        <w:t>USD</w:t>
      </w:r>
      <w:r w:rsidRPr="008D0846">
        <w:rPr>
          <w:rFonts w:ascii="Verdana" w:hAnsi="Verdana"/>
          <w:sz w:val="20"/>
          <w:szCs w:val="20"/>
          <w:lang w:val="es-CR"/>
        </w:rPr>
        <w:t>$</w:t>
      </w:r>
      <w:r w:rsidR="00F74BFF" w:rsidRPr="008D0846">
        <w:rPr>
          <w:rFonts w:ascii="Verdana" w:hAnsi="Verdana"/>
          <w:sz w:val="20"/>
          <w:szCs w:val="20"/>
          <w:lang w:val="es-CR"/>
        </w:rPr>
        <w:t>6</w:t>
      </w:r>
      <w:r w:rsidRPr="008D0846">
        <w:rPr>
          <w:rFonts w:ascii="Verdana" w:hAnsi="Verdana"/>
          <w:sz w:val="20"/>
          <w:szCs w:val="20"/>
          <w:lang w:val="es-CR"/>
        </w:rPr>
        <w:t xml:space="preserve">0,000 </w:t>
      </w:r>
      <w:r w:rsidR="00700E63" w:rsidRPr="008D0846">
        <w:rPr>
          <w:rFonts w:ascii="Verdana" w:hAnsi="Verdana"/>
          <w:sz w:val="20"/>
          <w:szCs w:val="20"/>
          <w:lang w:val="es-CR"/>
        </w:rPr>
        <w:t xml:space="preserve">(sesenta mil dólares de los Estados Unidos de América) </w:t>
      </w:r>
      <w:r w:rsidRPr="00842C80">
        <w:rPr>
          <w:rFonts w:ascii="Verdana" w:hAnsi="Verdana"/>
          <w:sz w:val="20"/>
          <w:szCs w:val="20"/>
          <w:lang w:val="es-CR"/>
        </w:rPr>
        <w:t xml:space="preserve">para </w:t>
      </w:r>
      <w:r w:rsidRPr="00842C80">
        <w:rPr>
          <w:rFonts w:ascii="Verdana" w:eastAsia="Times New Roman" w:hAnsi="Verdana"/>
          <w:sz w:val="20"/>
          <w:szCs w:val="20"/>
        </w:rPr>
        <w:t>A.M.U.A</w:t>
      </w:r>
      <w:r w:rsidRPr="00842C80">
        <w:rPr>
          <w:rFonts w:ascii="Verdana" w:hAnsi="Verdana"/>
          <w:sz w:val="20"/>
          <w:szCs w:val="20"/>
          <w:lang w:val="es-CR"/>
        </w:rPr>
        <w:t xml:space="preserve"> (hija), y </w:t>
      </w:r>
      <w:r w:rsidR="00700E63" w:rsidRPr="008E770A">
        <w:rPr>
          <w:rFonts w:ascii="Verdana" w:hAnsi="Verdana"/>
          <w:sz w:val="20"/>
          <w:szCs w:val="20"/>
          <w:lang w:val="es-CR"/>
        </w:rPr>
        <w:t>USD$</w:t>
      </w:r>
      <w:r w:rsidR="008E770A" w:rsidRPr="008E770A">
        <w:rPr>
          <w:rFonts w:ascii="Verdana" w:hAnsi="Verdana"/>
          <w:sz w:val="20"/>
          <w:szCs w:val="20"/>
          <w:lang w:val="es-CR"/>
        </w:rPr>
        <w:t>25</w:t>
      </w:r>
      <w:r w:rsidRPr="008E770A">
        <w:rPr>
          <w:rFonts w:ascii="Verdana" w:hAnsi="Verdana"/>
          <w:sz w:val="20"/>
          <w:szCs w:val="20"/>
          <w:lang w:val="es-CR"/>
        </w:rPr>
        <w:t>,000</w:t>
      </w:r>
      <w:r w:rsidR="00700E63" w:rsidRPr="008E770A">
        <w:rPr>
          <w:rFonts w:ascii="Verdana" w:hAnsi="Verdana"/>
          <w:sz w:val="20"/>
          <w:szCs w:val="20"/>
          <w:lang w:val="es-CR"/>
        </w:rPr>
        <w:t xml:space="preserve"> (</w:t>
      </w:r>
      <w:r w:rsidR="008E770A" w:rsidRPr="008E770A">
        <w:rPr>
          <w:rFonts w:ascii="Verdana" w:hAnsi="Verdana"/>
          <w:sz w:val="20"/>
          <w:szCs w:val="20"/>
          <w:lang w:val="es-CR"/>
        </w:rPr>
        <w:t xml:space="preserve">veinticinco </w:t>
      </w:r>
      <w:r w:rsidR="00700E63" w:rsidRPr="008E770A">
        <w:rPr>
          <w:rFonts w:ascii="Verdana" w:hAnsi="Verdana"/>
          <w:sz w:val="20"/>
          <w:szCs w:val="20"/>
          <w:lang w:val="es-CR"/>
        </w:rPr>
        <w:t xml:space="preserve">mil dólares de los Estados Unidos de América) </w:t>
      </w:r>
      <w:r w:rsidRPr="008E770A">
        <w:rPr>
          <w:rFonts w:ascii="Verdana" w:hAnsi="Verdana"/>
          <w:sz w:val="20"/>
          <w:szCs w:val="20"/>
          <w:lang w:val="es-CR"/>
        </w:rPr>
        <w:t xml:space="preserve">para cada uno de sus hermanos </w:t>
      </w:r>
      <w:r w:rsidRPr="008E770A">
        <w:rPr>
          <w:rFonts w:ascii="Verdana" w:eastAsia="Times New Roman" w:hAnsi="Verdana"/>
          <w:sz w:val="20"/>
          <w:szCs w:val="20"/>
        </w:rPr>
        <w:t>A.A.R. y A.R.A.R</w:t>
      </w:r>
      <w:r w:rsidR="000F7594" w:rsidRPr="008E770A">
        <w:rPr>
          <w:rFonts w:ascii="Verdana" w:hAnsi="Verdana"/>
          <w:sz w:val="20"/>
          <w:szCs w:val="20"/>
          <w:lang w:val="es-CR"/>
        </w:rPr>
        <w:t>.,</w:t>
      </w:r>
      <w:r w:rsidRPr="008E770A">
        <w:rPr>
          <w:rFonts w:ascii="Verdana" w:hAnsi="Verdana"/>
          <w:sz w:val="20"/>
          <w:szCs w:val="20"/>
          <w:lang w:val="es-CR"/>
        </w:rPr>
        <w:t xml:space="preserve"> de conformidad con lo resuelto en los párrafos </w:t>
      </w:r>
      <w:r w:rsidR="000D65FE" w:rsidRPr="008E770A">
        <w:rPr>
          <w:rFonts w:ascii="Verdana" w:hAnsi="Verdana"/>
          <w:sz w:val="20"/>
          <w:szCs w:val="20"/>
          <w:lang w:val="es-CR"/>
        </w:rPr>
        <w:t>265</w:t>
      </w:r>
      <w:r w:rsidR="000D65FE" w:rsidRPr="008E770A">
        <w:rPr>
          <w:rFonts w:ascii="Verdana" w:hAnsi="Verdana"/>
          <w:sz w:val="20"/>
          <w:szCs w:val="20"/>
        </w:rPr>
        <w:t xml:space="preserve">, 267 y 283 </w:t>
      </w:r>
      <w:r w:rsidRPr="008E770A">
        <w:rPr>
          <w:rFonts w:ascii="Verdana" w:hAnsi="Verdana"/>
          <w:sz w:val="20"/>
          <w:szCs w:val="20"/>
          <w:lang w:val="es-CR"/>
        </w:rPr>
        <w:t>de esta Sentencia</w:t>
      </w:r>
      <w:r w:rsidR="000F7594" w:rsidRPr="008E770A">
        <w:rPr>
          <w:rFonts w:ascii="Verdana" w:hAnsi="Verdana"/>
          <w:sz w:val="20"/>
          <w:szCs w:val="20"/>
          <w:lang w:val="es-CR"/>
        </w:rPr>
        <w:t>;</w:t>
      </w:r>
    </w:p>
    <w:p w14:paraId="099E59F5" w14:textId="43DED34C" w:rsidR="008C3A57" w:rsidRPr="008E770A" w:rsidRDefault="00707EE0">
      <w:pPr>
        <w:pStyle w:val="Prrafodelista"/>
        <w:spacing w:before="120" w:after="120" w:line="240" w:lineRule="auto"/>
        <w:contextualSpacing w:val="0"/>
        <w:jc w:val="both"/>
        <w:rPr>
          <w:rFonts w:ascii="Verdana" w:hAnsi="Verdana"/>
          <w:b/>
          <w:sz w:val="20"/>
          <w:szCs w:val="20"/>
          <w:lang w:val="es-CR"/>
        </w:rPr>
      </w:pPr>
      <w:r w:rsidRPr="008E770A">
        <w:rPr>
          <w:rFonts w:ascii="Verdana" w:hAnsi="Verdana"/>
          <w:sz w:val="20"/>
          <w:szCs w:val="20"/>
          <w:lang w:val="es-CR"/>
        </w:rPr>
        <w:t>i</w:t>
      </w:r>
      <w:r w:rsidR="00742E0D" w:rsidRPr="008E770A">
        <w:rPr>
          <w:rFonts w:ascii="Verdana" w:hAnsi="Verdana"/>
          <w:sz w:val="20"/>
          <w:szCs w:val="20"/>
          <w:lang w:val="es-CR"/>
        </w:rPr>
        <w:t>i.a</w:t>
      </w:r>
      <w:r w:rsidR="00742E0D" w:rsidRPr="008E770A">
        <w:rPr>
          <w:rFonts w:ascii="Verdana" w:hAnsi="Verdana"/>
          <w:sz w:val="20"/>
          <w:szCs w:val="20"/>
          <w:lang w:val="es-CR"/>
        </w:rPr>
        <w:tab/>
      </w:r>
      <w:r w:rsidR="008C3A57" w:rsidRPr="008E770A">
        <w:rPr>
          <w:rFonts w:ascii="Verdana" w:hAnsi="Verdana"/>
          <w:sz w:val="20"/>
          <w:szCs w:val="20"/>
          <w:lang w:val="es-CR"/>
        </w:rPr>
        <w:t>La cantidad de US</w:t>
      </w:r>
      <w:r w:rsidR="00700E63" w:rsidRPr="008E770A">
        <w:rPr>
          <w:rFonts w:ascii="Verdana" w:hAnsi="Verdana"/>
          <w:sz w:val="20"/>
          <w:szCs w:val="20"/>
          <w:lang w:val="es-CR"/>
        </w:rPr>
        <w:t>D$</w:t>
      </w:r>
      <w:r w:rsidR="00F74BFF" w:rsidRPr="008E770A">
        <w:rPr>
          <w:rFonts w:ascii="Verdana" w:hAnsi="Verdana"/>
          <w:sz w:val="20"/>
          <w:szCs w:val="20"/>
          <w:lang w:val="es-CR"/>
        </w:rPr>
        <w:t>15</w:t>
      </w:r>
      <w:r w:rsidR="008C3A57" w:rsidRPr="008E770A">
        <w:rPr>
          <w:rFonts w:ascii="Verdana" w:hAnsi="Verdana"/>
          <w:sz w:val="20"/>
          <w:szCs w:val="20"/>
          <w:lang w:val="es-CR"/>
        </w:rPr>
        <w:t>,000 (</w:t>
      </w:r>
      <w:r w:rsidR="00700E63" w:rsidRPr="008E770A">
        <w:rPr>
          <w:rFonts w:ascii="Verdana" w:hAnsi="Verdana"/>
          <w:sz w:val="20"/>
          <w:szCs w:val="20"/>
          <w:lang w:val="es-CR"/>
        </w:rPr>
        <w:t>quince</w:t>
      </w:r>
      <w:r w:rsidR="008C3A57" w:rsidRPr="008E770A">
        <w:rPr>
          <w:rFonts w:ascii="Verdana" w:hAnsi="Verdana"/>
          <w:sz w:val="20"/>
          <w:szCs w:val="20"/>
          <w:lang w:val="es-CR"/>
        </w:rPr>
        <w:t xml:space="preserve"> mil dólares de los Estados Unidos de América) para </w:t>
      </w:r>
      <w:r w:rsidR="00842C80" w:rsidRPr="008E770A">
        <w:rPr>
          <w:rFonts w:ascii="Verdana" w:hAnsi="Verdana"/>
          <w:sz w:val="20"/>
          <w:szCs w:val="20"/>
          <w:lang w:val="es-CR"/>
        </w:rPr>
        <w:t>cada uno de sus</w:t>
      </w:r>
      <w:r w:rsidR="008C3A57" w:rsidRPr="008E770A">
        <w:rPr>
          <w:rFonts w:ascii="Verdana" w:hAnsi="Verdana"/>
          <w:sz w:val="20"/>
          <w:szCs w:val="20"/>
          <w:lang w:val="es-CR"/>
        </w:rPr>
        <w:t xml:space="preserve"> abuelos</w:t>
      </w:r>
      <w:r w:rsidR="00842C80" w:rsidRPr="008E770A">
        <w:rPr>
          <w:rFonts w:ascii="Verdana" w:hAnsi="Verdana"/>
          <w:sz w:val="20"/>
          <w:szCs w:val="20"/>
          <w:lang w:val="es-CR"/>
        </w:rPr>
        <w:t>:</w:t>
      </w:r>
      <w:r w:rsidR="008C3A57" w:rsidRPr="008E770A">
        <w:rPr>
          <w:rFonts w:ascii="Verdana" w:hAnsi="Verdana"/>
          <w:sz w:val="20"/>
          <w:szCs w:val="20"/>
          <w:lang w:val="es-CR"/>
        </w:rPr>
        <w:t xml:space="preserve"> Manuel Alvarado Reyes (abuelo) y María de Jesús Rueda Villanueva (abuela), en relación con lo resuelto en el párrafo </w:t>
      </w:r>
      <w:r w:rsidR="009A0068" w:rsidRPr="008E770A">
        <w:rPr>
          <w:rFonts w:ascii="Verdana" w:hAnsi="Verdana"/>
          <w:sz w:val="20"/>
          <w:szCs w:val="20"/>
          <w:lang w:val="es-CR"/>
        </w:rPr>
        <w:t>283</w:t>
      </w:r>
      <w:r w:rsidR="008C3A57" w:rsidRPr="008E770A">
        <w:rPr>
          <w:rFonts w:ascii="Verdana" w:hAnsi="Verdana"/>
          <w:sz w:val="20"/>
          <w:szCs w:val="20"/>
          <w:lang w:val="es-CR"/>
        </w:rPr>
        <w:t xml:space="preserve"> de esta Sentencia</w:t>
      </w:r>
      <w:r w:rsidR="000F7594" w:rsidRPr="008E770A">
        <w:rPr>
          <w:rFonts w:ascii="Verdana" w:hAnsi="Verdana"/>
          <w:sz w:val="20"/>
          <w:szCs w:val="20"/>
          <w:lang w:val="es-CR"/>
        </w:rPr>
        <w:t>.</w:t>
      </w:r>
    </w:p>
    <w:p w14:paraId="346D5E2F" w14:textId="36F8C8ED" w:rsidR="008C3A57" w:rsidRPr="008D0846" w:rsidRDefault="008C3A57" w:rsidP="000F7594">
      <w:pPr>
        <w:pStyle w:val="Prrafodelista"/>
        <w:numPr>
          <w:ilvl w:val="0"/>
          <w:numId w:val="53"/>
        </w:numPr>
        <w:spacing w:before="120" w:after="120" w:line="240" w:lineRule="auto"/>
        <w:contextualSpacing w:val="0"/>
        <w:jc w:val="both"/>
        <w:rPr>
          <w:rFonts w:ascii="Verdana" w:hAnsi="Verdana"/>
          <w:sz w:val="20"/>
          <w:szCs w:val="20"/>
          <w:lang w:val="es-CR"/>
        </w:rPr>
      </w:pPr>
      <w:r w:rsidRPr="008E770A">
        <w:rPr>
          <w:rFonts w:ascii="Verdana" w:hAnsi="Verdana"/>
          <w:sz w:val="20"/>
          <w:szCs w:val="20"/>
          <w:lang w:val="es-CR"/>
        </w:rPr>
        <w:t xml:space="preserve">Respecto del grupo familiar de José Ángel Alvarado Herrera, la suma de </w:t>
      </w:r>
      <w:r w:rsidR="00700E63" w:rsidRPr="008E770A">
        <w:rPr>
          <w:rFonts w:ascii="Verdana" w:hAnsi="Verdana"/>
          <w:sz w:val="20"/>
          <w:szCs w:val="20"/>
          <w:lang w:val="es-CR"/>
        </w:rPr>
        <w:t>USD</w:t>
      </w:r>
      <w:r w:rsidRPr="008E770A">
        <w:rPr>
          <w:rFonts w:ascii="Verdana" w:hAnsi="Verdana"/>
          <w:sz w:val="20"/>
          <w:szCs w:val="20"/>
          <w:lang w:val="es-CR"/>
        </w:rPr>
        <w:t>$</w:t>
      </w:r>
      <w:r w:rsidR="00F74BFF" w:rsidRPr="008E770A">
        <w:rPr>
          <w:rFonts w:ascii="Verdana" w:hAnsi="Verdana"/>
          <w:sz w:val="20"/>
          <w:szCs w:val="20"/>
          <w:lang w:val="es-CR"/>
        </w:rPr>
        <w:t>6</w:t>
      </w:r>
      <w:r w:rsidRPr="008E770A">
        <w:rPr>
          <w:rFonts w:ascii="Verdana" w:hAnsi="Verdana"/>
          <w:sz w:val="20"/>
          <w:szCs w:val="20"/>
          <w:lang w:val="es-CR"/>
        </w:rPr>
        <w:t>0,000</w:t>
      </w:r>
      <w:r w:rsidR="00700E63" w:rsidRPr="008E770A">
        <w:rPr>
          <w:rFonts w:ascii="Verdana" w:hAnsi="Verdana"/>
          <w:sz w:val="20"/>
          <w:szCs w:val="20"/>
          <w:lang w:val="es-CR"/>
        </w:rPr>
        <w:t xml:space="preserve"> (sesenta mil dólares de los Estados Unidos de América)</w:t>
      </w:r>
      <w:r w:rsidRPr="008E770A">
        <w:rPr>
          <w:rFonts w:ascii="Verdana" w:hAnsi="Verdana"/>
          <w:sz w:val="20"/>
          <w:szCs w:val="20"/>
          <w:lang w:val="es-CR"/>
        </w:rPr>
        <w:t xml:space="preserve"> para José Ángel Alvarado Fabela (padre); </w:t>
      </w:r>
      <w:r w:rsidR="00700E63" w:rsidRPr="008E770A">
        <w:rPr>
          <w:rFonts w:ascii="Verdana" w:hAnsi="Verdana"/>
          <w:sz w:val="20"/>
          <w:szCs w:val="20"/>
          <w:lang w:val="es-CR"/>
        </w:rPr>
        <w:t>USD</w:t>
      </w:r>
      <w:r w:rsidRPr="008E770A">
        <w:rPr>
          <w:rFonts w:ascii="Verdana" w:hAnsi="Verdana"/>
          <w:sz w:val="20"/>
          <w:szCs w:val="20"/>
          <w:lang w:val="es-CR"/>
        </w:rPr>
        <w:t>$</w:t>
      </w:r>
      <w:r w:rsidR="00F74BFF" w:rsidRPr="008E770A">
        <w:rPr>
          <w:rFonts w:ascii="Verdana" w:hAnsi="Verdana"/>
          <w:sz w:val="20"/>
          <w:szCs w:val="20"/>
          <w:lang w:val="es-CR"/>
        </w:rPr>
        <w:t>6</w:t>
      </w:r>
      <w:r w:rsidRPr="008E770A">
        <w:rPr>
          <w:rFonts w:ascii="Verdana" w:hAnsi="Verdana"/>
          <w:sz w:val="20"/>
          <w:szCs w:val="20"/>
          <w:lang w:val="es-CR"/>
        </w:rPr>
        <w:t xml:space="preserve">0,000 </w:t>
      </w:r>
      <w:r w:rsidR="00700E63" w:rsidRPr="008E770A">
        <w:rPr>
          <w:rFonts w:ascii="Verdana" w:hAnsi="Verdana"/>
          <w:sz w:val="20"/>
          <w:szCs w:val="20"/>
          <w:lang w:val="es-CR"/>
        </w:rPr>
        <w:t>(sesenta mil dólares de los Estados Unidos de América)</w:t>
      </w:r>
      <w:r w:rsidR="000F7594" w:rsidRPr="008E770A">
        <w:rPr>
          <w:rFonts w:ascii="Verdana" w:hAnsi="Verdana"/>
          <w:sz w:val="20"/>
          <w:szCs w:val="20"/>
          <w:lang w:val="es-CR"/>
        </w:rPr>
        <w:t xml:space="preserve"> para </w:t>
      </w:r>
      <w:r w:rsidRPr="008E770A">
        <w:rPr>
          <w:rFonts w:ascii="Verdana" w:hAnsi="Verdana"/>
          <w:sz w:val="20"/>
          <w:szCs w:val="20"/>
          <w:lang w:val="es-CR"/>
        </w:rPr>
        <w:t xml:space="preserve">Jaime Alvarado Herrera (hermano); </w:t>
      </w:r>
      <w:r w:rsidR="00700E63" w:rsidRPr="008E770A">
        <w:rPr>
          <w:rFonts w:ascii="Verdana" w:hAnsi="Verdana"/>
          <w:sz w:val="20"/>
          <w:szCs w:val="20"/>
          <w:lang w:val="es-CR"/>
        </w:rPr>
        <w:t>USD</w:t>
      </w:r>
      <w:r w:rsidRPr="008E770A">
        <w:rPr>
          <w:rFonts w:ascii="Verdana" w:hAnsi="Verdana"/>
          <w:sz w:val="20"/>
          <w:szCs w:val="20"/>
          <w:lang w:val="es-CR"/>
        </w:rPr>
        <w:t>$</w:t>
      </w:r>
      <w:r w:rsidR="009E0FFD" w:rsidRPr="008E770A">
        <w:rPr>
          <w:rFonts w:ascii="Verdana" w:hAnsi="Verdana"/>
          <w:sz w:val="20"/>
          <w:szCs w:val="20"/>
          <w:lang w:val="es-CR"/>
        </w:rPr>
        <w:t>6</w:t>
      </w:r>
      <w:r w:rsidRPr="008E770A">
        <w:rPr>
          <w:rFonts w:ascii="Verdana" w:hAnsi="Verdana"/>
          <w:sz w:val="20"/>
          <w:szCs w:val="20"/>
          <w:lang w:val="es-CR"/>
        </w:rPr>
        <w:t xml:space="preserve">0,000 </w:t>
      </w:r>
      <w:r w:rsidR="00700E63" w:rsidRPr="008E770A">
        <w:rPr>
          <w:rFonts w:ascii="Verdana" w:hAnsi="Verdana"/>
          <w:sz w:val="20"/>
          <w:szCs w:val="20"/>
          <w:lang w:val="es-CR"/>
        </w:rPr>
        <w:t>(</w:t>
      </w:r>
      <w:r w:rsidR="008E770A" w:rsidRPr="008E770A">
        <w:rPr>
          <w:rFonts w:ascii="Verdana" w:hAnsi="Verdana"/>
          <w:sz w:val="20"/>
          <w:szCs w:val="20"/>
          <w:lang w:val="es-CR"/>
        </w:rPr>
        <w:t>sesenta</w:t>
      </w:r>
      <w:r w:rsidR="00700E63" w:rsidRPr="008E770A">
        <w:rPr>
          <w:rFonts w:ascii="Verdana" w:hAnsi="Verdana"/>
          <w:sz w:val="20"/>
          <w:szCs w:val="20"/>
          <w:lang w:val="es-CR"/>
        </w:rPr>
        <w:t xml:space="preserve"> mil dólares de los Estados Unidos de América) </w:t>
      </w:r>
      <w:r w:rsidRPr="008E770A">
        <w:rPr>
          <w:rFonts w:ascii="Verdana" w:hAnsi="Verdana"/>
          <w:sz w:val="20"/>
          <w:szCs w:val="20"/>
          <w:lang w:val="es-CR"/>
        </w:rPr>
        <w:t xml:space="preserve">para cada </w:t>
      </w:r>
      <w:r w:rsidR="000F7594" w:rsidRPr="008E770A">
        <w:rPr>
          <w:rFonts w:ascii="Verdana" w:hAnsi="Verdana"/>
          <w:sz w:val="20"/>
          <w:szCs w:val="20"/>
          <w:lang w:val="es-CR"/>
        </w:rPr>
        <w:t xml:space="preserve">una de sus </w:t>
      </w:r>
      <w:r w:rsidRPr="008E770A">
        <w:rPr>
          <w:rFonts w:ascii="Verdana" w:hAnsi="Verdana"/>
          <w:sz w:val="20"/>
          <w:szCs w:val="20"/>
          <w:lang w:val="es-CR"/>
        </w:rPr>
        <w:t>hij</w:t>
      </w:r>
      <w:r w:rsidR="000F7594" w:rsidRPr="008E770A">
        <w:rPr>
          <w:rFonts w:ascii="Verdana" w:hAnsi="Verdana"/>
          <w:sz w:val="20"/>
          <w:szCs w:val="20"/>
          <w:lang w:val="es-CR"/>
        </w:rPr>
        <w:t xml:space="preserve">as e hijo: </w:t>
      </w:r>
      <w:r w:rsidR="000F7594" w:rsidRPr="008E770A">
        <w:rPr>
          <w:rFonts w:ascii="Verdana" w:eastAsia="Times New Roman" w:hAnsi="Verdana"/>
          <w:sz w:val="20"/>
          <w:szCs w:val="20"/>
        </w:rPr>
        <w:t xml:space="preserve">J.A.E., J.A.A.E. y A.E.B., </w:t>
      </w:r>
      <w:r w:rsidRPr="008E770A">
        <w:rPr>
          <w:rFonts w:ascii="Verdana" w:hAnsi="Verdana"/>
          <w:sz w:val="20"/>
          <w:szCs w:val="20"/>
          <w:lang w:val="es-CR"/>
        </w:rPr>
        <w:t xml:space="preserve">y esposa: </w:t>
      </w:r>
      <w:r w:rsidRPr="008E770A">
        <w:rPr>
          <w:rFonts w:ascii="Verdana" w:eastAsia="Times New Roman" w:hAnsi="Verdana"/>
          <w:sz w:val="20"/>
          <w:szCs w:val="20"/>
        </w:rPr>
        <w:t>Obdulia Espinoza Beltrán</w:t>
      </w:r>
      <w:r w:rsidRPr="008E770A">
        <w:rPr>
          <w:rFonts w:ascii="Verdana" w:hAnsi="Verdana"/>
          <w:sz w:val="20"/>
          <w:szCs w:val="20"/>
          <w:lang w:val="es-CR"/>
        </w:rPr>
        <w:t>;</w:t>
      </w:r>
      <w:r w:rsidR="00700E63" w:rsidRPr="008E770A">
        <w:rPr>
          <w:rFonts w:ascii="Verdana" w:hAnsi="Verdana"/>
          <w:sz w:val="20"/>
          <w:szCs w:val="20"/>
          <w:lang w:val="es-CR"/>
        </w:rPr>
        <w:t xml:space="preserve"> USD</w:t>
      </w:r>
      <w:r w:rsidRPr="008E770A">
        <w:rPr>
          <w:rFonts w:ascii="Verdana" w:hAnsi="Verdana"/>
          <w:sz w:val="20"/>
          <w:szCs w:val="20"/>
          <w:lang w:val="es-CR"/>
        </w:rPr>
        <w:t>$</w:t>
      </w:r>
      <w:r w:rsidR="008E770A" w:rsidRPr="008E770A">
        <w:rPr>
          <w:rFonts w:ascii="Verdana" w:hAnsi="Verdana"/>
          <w:sz w:val="20"/>
          <w:szCs w:val="20"/>
          <w:lang w:val="es-CR"/>
        </w:rPr>
        <w:t>25</w:t>
      </w:r>
      <w:r w:rsidRPr="008E770A">
        <w:rPr>
          <w:rFonts w:ascii="Verdana" w:hAnsi="Verdana"/>
          <w:sz w:val="20"/>
          <w:szCs w:val="20"/>
          <w:lang w:val="es-CR"/>
        </w:rPr>
        <w:t xml:space="preserve">,000 </w:t>
      </w:r>
      <w:r w:rsidR="00700E63" w:rsidRPr="008E770A">
        <w:rPr>
          <w:rFonts w:ascii="Verdana" w:hAnsi="Verdana"/>
          <w:sz w:val="20"/>
          <w:szCs w:val="20"/>
          <w:lang w:val="es-CR"/>
        </w:rPr>
        <w:t>(</w:t>
      </w:r>
      <w:r w:rsidR="008E770A" w:rsidRPr="008E770A">
        <w:rPr>
          <w:rFonts w:ascii="Verdana" w:hAnsi="Verdana"/>
          <w:sz w:val="20"/>
          <w:szCs w:val="20"/>
          <w:lang w:val="es-CR"/>
        </w:rPr>
        <w:t>veinticinco</w:t>
      </w:r>
      <w:r w:rsidR="00700E63" w:rsidRPr="008E770A">
        <w:rPr>
          <w:rFonts w:ascii="Verdana" w:hAnsi="Verdana"/>
          <w:sz w:val="20"/>
          <w:szCs w:val="20"/>
          <w:lang w:val="es-CR"/>
        </w:rPr>
        <w:t xml:space="preserve"> mil dólares de los Estados Unidos de América) </w:t>
      </w:r>
      <w:r w:rsidRPr="008E770A">
        <w:rPr>
          <w:rFonts w:ascii="Verdana" w:hAnsi="Verdana"/>
          <w:sz w:val="20"/>
          <w:szCs w:val="20"/>
          <w:lang w:val="es-CR"/>
        </w:rPr>
        <w:t>para su hermana Rosa Olivia Alvarado Herrera, y</w:t>
      </w:r>
      <w:r w:rsidRPr="000F7594">
        <w:rPr>
          <w:rFonts w:ascii="Verdana" w:hAnsi="Verdana"/>
          <w:sz w:val="20"/>
          <w:szCs w:val="20"/>
          <w:lang w:val="es-CR"/>
        </w:rPr>
        <w:t xml:space="preserve"> </w:t>
      </w:r>
      <w:r w:rsidR="00700E63" w:rsidRPr="008D0846">
        <w:rPr>
          <w:rFonts w:ascii="Verdana" w:hAnsi="Verdana"/>
          <w:sz w:val="20"/>
          <w:szCs w:val="20"/>
          <w:lang w:val="es-CR"/>
        </w:rPr>
        <w:t>USD</w:t>
      </w:r>
      <w:r w:rsidRPr="008D0846">
        <w:rPr>
          <w:rFonts w:ascii="Verdana" w:hAnsi="Verdana"/>
          <w:sz w:val="20"/>
          <w:szCs w:val="20"/>
          <w:lang w:val="es-CR"/>
        </w:rPr>
        <w:t>$</w:t>
      </w:r>
      <w:r w:rsidR="00F74BFF" w:rsidRPr="008D0846">
        <w:rPr>
          <w:rFonts w:ascii="Verdana" w:hAnsi="Verdana"/>
          <w:sz w:val="20"/>
          <w:szCs w:val="20"/>
          <w:lang w:val="es-CR"/>
        </w:rPr>
        <w:t>50</w:t>
      </w:r>
      <w:r w:rsidRPr="008D0846">
        <w:rPr>
          <w:rFonts w:ascii="Verdana" w:hAnsi="Verdana"/>
          <w:sz w:val="20"/>
          <w:szCs w:val="20"/>
          <w:lang w:val="es-CR"/>
        </w:rPr>
        <w:t xml:space="preserve">,000 </w:t>
      </w:r>
      <w:r w:rsidR="00700E63" w:rsidRPr="008D0846">
        <w:rPr>
          <w:rFonts w:ascii="Verdana" w:hAnsi="Verdana"/>
          <w:sz w:val="20"/>
          <w:szCs w:val="20"/>
          <w:lang w:val="es-CR"/>
        </w:rPr>
        <w:t xml:space="preserve">(cincuenta mil dólares de los Estados Unidos de América) </w:t>
      </w:r>
      <w:r w:rsidRPr="000F7594">
        <w:rPr>
          <w:rFonts w:ascii="Verdana" w:hAnsi="Verdana"/>
          <w:sz w:val="20"/>
          <w:szCs w:val="20"/>
          <w:lang w:val="es-CR"/>
        </w:rPr>
        <w:t>para su madre</w:t>
      </w:r>
      <w:r w:rsidRPr="008D0846">
        <w:rPr>
          <w:rFonts w:ascii="Verdana" w:hAnsi="Verdana"/>
          <w:sz w:val="20"/>
          <w:szCs w:val="20"/>
          <w:lang w:val="es-CR"/>
        </w:rPr>
        <w:t xml:space="preserve"> </w:t>
      </w:r>
      <w:r w:rsidRPr="000F7594">
        <w:rPr>
          <w:rFonts w:ascii="Verdana" w:hAnsi="Verdana"/>
          <w:sz w:val="20"/>
          <w:szCs w:val="20"/>
          <w:lang w:val="es-CR"/>
        </w:rPr>
        <w:t>Concepción Herrera Hernández</w:t>
      </w:r>
      <w:r w:rsidR="00E173D9">
        <w:rPr>
          <w:rFonts w:ascii="Verdana" w:hAnsi="Verdana"/>
          <w:sz w:val="20"/>
          <w:szCs w:val="20"/>
          <w:lang w:val="es-CR"/>
        </w:rPr>
        <w:t xml:space="preserve">, </w:t>
      </w:r>
      <w:r w:rsidRPr="000F7594">
        <w:rPr>
          <w:rFonts w:ascii="Verdana" w:hAnsi="Verdana"/>
          <w:sz w:val="20"/>
          <w:szCs w:val="20"/>
          <w:lang w:val="es-CR"/>
        </w:rPr>
        <w:t>en relación con lo resuelto en los párrafos</w:t>
      </w:r>
      <w:r w:rsidR="00700E63" w:rsidRPr="000F7594">
        <w:rPr>
          <w:rFonts w:ascii="Verdana" w:hAnsi="Verdana"/>
          <w:sz w:val="20"/>
          <w:szCs w:val="20"/>
          <w:lang w:val="es-CR"/>
        </w:rPr>
        <w:t xml:space="preserve"> </w:t>
      </w:r>
      <w:r w:rsidR="0011764F" w:rsidRPr="0011764F">
        <w:rPr>
          <w:rFonts w:ascii="Verdana" w:hAnsi="Verdana"/>
          <w:sz w:val="20"/>
          <w:szCs w:val="20"/>
          <w:lang w:val="es-CR"/>
        </w:rPr>
        <w:t>265</w:t>
      </w:r>
      <w:r w:rsidR="0011764F" w:rsidRPr="0011764F">
        <w:rPr>
          <w:rFonts w:ascii="Verdana" w:hAnsi="Verdana"/>
          <w:sz w:val="20"/>
          <w:szCs w:val="20"/>
        </w:rPr>
        <w:t xml:space="preserve">, 267 y 283 </w:t>
      </w:r>
      <w:r w:rsidR="00700E63" w:rsidRPr="008D0846">
        <w:rPr>
          <w:rFonts w:ascii="Verdana" w:hAnsi="Verdana"/>
          <w:sz w:val="20"/>
          <w:szCs w:val="20"/>
          <w:lang w:val="es-CR"/>
        </w:rPr>
        <w:t>de esta Sentencia</w:t>
      </w:r>
      <w:r w:rsidR="000F7594" w:rsidRPr="008D0846">
        <w:rPr>
          <w:rFonts w:ascii="Verdana" w:hAnsi="Verdana"/>
          <w:sz w:val="20"/>
          <w:szCs w:val="20"/>
          <w:lang w:val="es-CR"/>
        </w:rPr>
        <w:t>;</w:t>
      </w:r>
    </w:p>
    <w:p w14:paraId="500DA854" w14:textId="571FDB50" w:rsidR="008C3A57" w:rsidRPr="008D0846" w:rsidRDefault="00707EE0">
      <w:pPr>
        <w:pStyle w:val="Prrafodelista"/>
        <w:widowControl w:val="0"/>
        <w:tabs>
          <w:tab w:val="left" w:pos="567"/>
        </w:tabs>
        <w:autoSpaceDE w:val="0"/>
        <w:autoSpaceDN w:val="0"/>
        <w:adjustRightInd w:val="0"/>
        <w:spacing w:before="120" w:after="120" w:line="240" w:lineRule="auto"/>
        <w:contextualSpacing w:val="0"/>
        <w:jc w:val="both"/>
        <w:textAlignment w:val="baseline"/>
        <w:rPr>
          <w:rFonts w:ascii="Verdana" w:hAnsi="Verdana"/>
          <w:sz w:val="20"/>
          <w:szCs w:val="20"/>
          <w:lang w:val="es-CR"/>
        </w:rPr>
      </w:pPr>
      <w:r w:rsidRPr="000F7594">
        <w:rPr>
          <w:rFonts w:ascii="Verdana" w:hAnsi="Verdana"/>
          <w:sz w:val="20"/>
          <w:szCs w:val="20"/>
          <w:lang w:val="es-CR"/>
        </w:rPr>
        <w:t>i</w:t>
      </w:r>
      <w:r w:rsidR="000F7594" w:rsidRPr="000F7594">
        <w:rPr>
          <w:rFonts w:ascii="Verdana" w:hAnsi="Verdana"/>
          <w:sz w:val="20"/>
          <w:szCs w:val="20"/>
          <w:lang w:val="es-CR"/>
        </w:rPr>
        <w:t>i</w:t>
      </w:r>
      <w:r w:rsidRPr="000F7594">
        <w:rPr>
          <w:rFonts w:ascii="Verdana" w:hAnsi="Verdana"/>
          <w:sz w:val="20"/>
          <w:szCs w:val="20"/>
          <w:lang w:val="es-CR"/>
        </w:rPr>
        <w:t>i.a</w:t>
      </w:r>
      <w:r w:rsidRPr="000F7594">
        <w:rPr>
          <w:rFonts w:ascii="Verdana" w:hAnsi="Verdana"/>
          <w:sz w:val="20"/>
          <w:szCs w:val="20"/>
          <w:lang w:val="es-CR"/>
        </w:rPr>
        <w:tab/>
      </w:r>
      <w:r w:rsidR="008C3A57" w:rsidRPr="000F7594">
        <w:rPr>
          <w:rFonts w:ascii="Verdana" w:hAnsi="Verdana"/>
          <w:sz w:val="20"/>
          <w:szCs w:val="20"/>
          <w:lang w:val="es-CR"/>
        </w:rPr>
        <w:t xml:space="preserve">La cantidad de </w:t>
      </w:r>
      <w:r w:rsidR="00700E63" w:rsidRPr="008D0846">
        <w:rPr>
          <w:rFonts w:ascii="Verdana" w:hAnsi="Verdana"/>
          <w:sz w:val="20"/>
          <w:szCs w:val="20"/>
          <w:lang w:val="es-CR"/>
        </w:rPr>
        <w:t>USD</w:t>
      </w:r>
      <w:r w:rsidR="008C3A57" w:rsidRPr="008D0846">
        <w:rPr>
          <w:rFonts w:ascii="Verdana" w:hAnsi="Verdana"/>
          <w:sz w:val="20"/>
          <w:szCs w:val="20"/>
          <w:lang w:val="es-CR"/>
        </w:rPr>
        <w:t>$2</w:t>
      </w:r>
      <w:r w:rsidR="001D7FFE">
        <w:rPr>
          <w:rFonts w:ascii="Verdana" w:hAnsi="Verdana"/>
          <w:sz w:val="20"/>
          <w:szCs w:val="20"/>
          <w:lang w:val="es-CR"/>
        </w:rPr>
        <w:t>0</w:t>
      </w:r>
      <w:r w:rsidR="008C3A57" w:rsidRPr="008D0846">
        <w:rPr>
          <w:rFonts w:ascii="Verdana" w:hAnsi="Verdana"/>
          <w:sz w:val="20"/>
          <w:szCs w:val="20"/>
          <w:lang w:val="es-CR"/>
        </w:rPr>
        <w:t>,000</w:t>
      </w:r>
      <w:r w:rsidR="008C3A57" w:rsidRPr="000F7594">
        <w:rPr>
          <w:rFonts w:ascii="Verdana" w:hAnsi="Verdana"/>
          <w:sz w:val="20"/>
          <w:szCs w:val="20"/>
          <w:lang w:val="es-CR"/>
        </w:rPr>
        <w:t xml:space="preserve"> </w:t>
      </w:r>
      <w:r w:rsidR="000C553D">
        <w:rPr>
          <w:rFonts w:ascii="Verdana" w:hAnsi="Verdana"/>
          <w:sz w:val="20"/>
          <w:szCs w:val="20"/>
          <w:lang w:val="es-CR"/>
        </w:rPr>
        <w:t>(veinte</w:t>
      </w:r>
      <w:r w:rsidR="00700E63" w:rsidRPr="008D0846">
        <w:rPr>
          <w:rFonts w:ascii="Verdana" w:hAnsi="Verdana"/>
          <w:sz w:val="20"/>
          <w:szCs w:val="20"/>
          <w:lang w:val="es-CR"/>
        </w:rPr>
        <w:t xml:space="preserve"> mil dólares de los Estados Unidos de América) </w:t>
      </w:r>
      <w:r w:rsidR="008C3A57" w:rsidRPr="000F7594">
        <w:rPr>
          <w:rFonts w:ascii="Verdana" w:hAnsi="Verdana"/>
          <w:sz w:val="20"/>
          <w:szCs w:val="20"/>
          <w:lang w:val="es-CR"/>
        </w:rPr>
        <w:t xml:space="preserve">para el grupo familiar </w:t>
      </w:r>
      <w:r w:rsidR="00E173D9">
        <w:rPr>
          <w:rFonts w:ascii="Verdana" w:hAnsi="Verdana"/>
          <w:sz w:val="20"/>
          <w:szCs w:val="20"/>
          <w:lang w:val="es-CR"/>
        </w:rPr>
        <w:t xml:space="preserve">compuesto por </w:t>
      </w:r>
      <w:r w:rsidR="008C3A57" w:rsidRPr="000F7594">
        <w:rPr>
          <w:rFonts w:ascii="Verdana" w:hAnsi="Verdana"/>
          <w:sz w:val="20"/>
          <w:szCs w:val="20"/>
          <w:lang w:val="es-CR"/>
        </w:rPr>
        <w:t>J.O.A.R, R.G.A.R., C.N.A.R Y J.E.A.R (</w:t>
      </w:r>
      <w:r w:rsidR="00E173D9">
        <w:rPr>
          <w:rFonts w:ascii="Verdana" w:hAnsi="Verdana"/>
          <w:sz w:val="20"/>
          <w:szCs w:val="20"/>
          <w:lang w:val="es-CR"/>
        </w:rPr>
        <w:t xml:space="preserve">sobrinas y </w:t>
      </w:r>
      <w:r w:rsidR="008C3A57" w:rsidRPr="000F7594">
        <w:rPr>
          <w:rFonts w:ascii="Verdana" w:hAnsi="Verdana"/>
          <w:sz w:val="20"/>
          <w:szCs w:val="20"/>
          <w:lang w:val="es-CR"/>
        </w:rPr>
        <w:t>sobrinos)</w:t>
      </w:r>
      <w:r w:rsidR="000F7594" w:rsidRPr="000F7594">
        <w:rPr>
          <w:rFonts w:ascii="Verdana" w:hAnsi="Verdana"/>
          <w:sz w:val="20"/>
          <w:szCs w:val="20"/>
          <w:lang w:val="es-CR"/>
        </w:rPr>
        <w:t xml:space="preserve">, y </w:t>
      </w:r>
      <w:r w:rsidR="00700E63" w:rsidRPr="008D0846">
        <w:rPr>
          <w:rFonts w:ascii="Verdana" w:hAnsi="Verdana"/>
          <w:sz w:val="20"/>
          <w:szCs w:val="20"/>
          <w:lang w:val="es-CR"/>
        </w:rPr>
        <w:t>USD</w:t>
      </w:r>
      <w:r w:rsidR="001D7FFE">
        <w:rPr>
          <w:rFonts w:ascii="Verdana" w:hAnsi="Verdana"/>
          <w:sz w:val="20"/>
          <w:szCs w:val="20"/>
          <w:lang w:val="es-CR"/>
        </w:rPr>
        <w:t>$20</w:t>
      </w:r>
      <w:r w:rsidR="008C3A57" w:rsidRPr="008D0846">
        <w:rPr>
          <w:rFonts w:ascii="Verdana" w:hAnsi="Verdana"/>
          <w:sz w:val="20"/>
          <w:szCs w:val="20"/>
          <w:lang w:val="es-CR"/>
        </w:rPr>
        <w:t>,000</w:t>
      </w:r>
      <w:r w:rsidR="008C3A57" w:rsidRPr="000F7594">
        <w:rPr>
          <w:rFonts w:ascii="Verdana" w:hAnsi="Verdana"/>
          <w:sz w:val="20"/>
          <w:szCs w:val="20"/>
          <w:lang w:val="es-CR"/>
        </w:rPr>
        <w:t xml:space="preserve"> </w:t>
      </w:r>
      <w:r w:rsidR="000C553D">
        <w:rPr>
          <w:rFonts w:ascii="Verdana" w:hAnsi="Verdana"/>
          <w:sz w:val="20"/>
          <w:szCs w:val="20"/>
          <w:lang w:val="es-CR"/>
        </w:rPr>
        <w:t>(veinte</w:t>
      </w:r>
      <w:r w:rsidR="00700E63" w:rsidRPr="008D0846">
        <w:rPr>
          <w:rFonts w:ascii="Verdana" w:hAnsi="Verdana"/>
          <w:sz w:val="20"/>
          <w:szCs w:val="20"/>
          <w:lang w:val="es-CR"/>
        </w:rPr>
        <w:t xml:space="preserve"> mil dólares de los Estados Unidos de América) </w:t>
      </w:r>
      <w:r w:rsidR="008C3A57" w:rsidRPr="000F7594">
        <w:rPr>
          <w:rFonts w:ascii="Verdana" w:hAnsi="Verdana"/>
          <w:sz w:val="20"/>
          <w:szCs w:val="20"/>
          <w:lang w:val="es-CR"/>
        </w:rPr>
        <w:t xml:space="preserve">para el grupo familiar </w:t>
      </w:r>
      <w:r w:rsidR="00E173D9">
        <w:rPr>
          <w:rFonts w:ascii="Verdana" w:hAnsi="Verdana"/>
          <w:sz w:val="20"/>
          <w:szCs w:val="20"/>
          <w:lang w:val="es-CR"/>
        </w:rPr>
        <w:t xml:space="preserve">compuesto por </w:t>
      </w:r>
      <w:r w:rsidR="008C3A57" w:rsidRPr="000F7594">
        <w:rPr>
          <w:rFonts w:ascii="Verdana" w:hAnsi="Verdana"/>
          <w:sz w:val="20"/>
          <w:szCs w:val="20"/>
          <w:lang w:val="es-CR"/>
        </w:rPr>
        <w:t xml:space="preserve">Karina Paola Alvarado Espinoza, </w:t>
      </w:r>
      <w:r w:rsidR="009E0FFD">
        <w:rPr>
          <w:rFonts w:ascii="Verdana" w:hAnsi="Verdana"/>
          <w:sz w:val="20"/>
          <w:szCs w:val="20"/>
          <w:lang w:val="es-CR"/>
        </w:rPr>
        <w:t>(</w:t>
      </w:r>
      <w:r w:rsidR="008C3A57" w:rsidRPr="000F7594">
        <w:rPr>
          <w:rFonts w:ascii="Verdana" w:hAnsi="Verdana"/>
          <w:sz w:val="20"/>
          <w:szCs w:val="20"/>
          <w:lang w:val="es-CR"/>
        </w:rPr>
        <w:t>F.A.H</w:t>
      </w:r>
      <w:r w:rsidR="009E0FFD">
        <w:rPr>
          <w:rFonts w:ascii="Verdana" w:hAnsi="Verdana"/>
          <w:sz w:val="20"/>
          <w:szCs w:val="20"/>
          <w:lang w:val="es-CR"/>
        </w:rPr>
        <w:t>)</w:t>
      </w:r>
      <w:r w:rsidR="008C3A57" w:rsidRPr="000F7594">
        <w:rPr>
          <w:rFonts w:ascii="Verdana" w:hAnsi="Verdana"/>
          <w:sz w:val="20"/>
          <w:szCs w:val="20"/>
          <w:lang w:val="es-CR"/>
        </w:rPr>
        <w:t>, J.G.A y A.G.A</w:t>
      </w:r>
      <w:r w:rsidR="00E173D9">
        <w:rPr>
          <w:rFonts w:ascii="Verdana" w:hAnsi="Verdana"/>
          <w:sz w:val="20"/>
          <w:szCs w:val="20"/>
          <w:lang w:val="es-CR"/>
        </w:rPr>
        <w:t xml:space="preserve"> </w:t>
      </w:r>
      <w:r w:rsidR="00E173D9" w:rsidRPr="000F7594">
        <w:rPr>
          <w:rFonts w:ascii="Verdana" w:hAnsi="Verdana"/>
          <w:sz w:val="20"/>
          <w:szCs w:val="20"/>
          <w:lang w:val="es-CR"/>
        </w:rPr>
        <w:t>(</w:t>
      </w:r>
      <w:r w:rsidR="00E173D9">
        <w:rPr>
          <w:rFonts w:ascii="Verdana" w:hAnsi="Verdana"/>
          <w:sz w:val="20"/>
          <w:szCs w:val="20"/>
          <w:lang w:val="es-CR"/>
        </w:rPr>
        <w:t xml:space="preserve">sobrina y </w:t>
      </w:r>
      <w:r w:rsidR="00E173D9" w:rsidRPr="000F7594">
        <w:rPr>
          <w:rFonts w:ascii="Verdana" w:hAnsi="Verdana"/>
          <w:sz w:val="20"/>
          <w:szCs w:val="20"/>
          <w:lang w:val="es-CR"/>
        </w:rPr>
        <w:t>sobrinos)</w:t>
      </w:r>
      <w:r w:rsidR="008C3A57" w:rsidRPr="000F7594">
        <w:rPr>
          <w:rFonts w:ascii="Verdana" w:hAnsi="Verdana"/>
          <w:sz w:val="20"/>
          <w:szCs w:val="20"/>
          <w:lang w:val="es-CR"/>
        </w:rPr>
        <w:t xml:space="preserve">, en relación con lo resuelto en el párrafo </w:t>
      </w:r>
      <w:r w:rsidR="009A0068">
        <w:rPr>
          <w:rFonts w:ascii="Verdana" w:hAnsi="Verdana"/>
          <w:sz w:val="20"/>
          <w:szCs w:val="20"/>
          <w:lang w:val="es-CR"/>
        </w:rPr>
        <w:t>283</w:t>
      </w:r>
      <w:r w:rsidR="008C3A57" w:rsidRPr="000F7594">
        <w:rPr>
          <w:rFonts w:ascii="Verdana" w:hAnsi="Verdana"/>
          <w:sz w:val="20"/>
          <w:szCs w:val="20"/>
          <w:lang w:val="es-CR"/>
        </w:rPr>
        <w:t xml:space="preserve"> de esta Sentencia</w:t>
      </w:r>
      <w:r w:rsidR="000F7594" w:rsidRPr="008D0846">
        <w:rPr>
          <w:rFonts w:ascii="Verdana" w:hAnsi="Verdana"/>
          <w:sz w:val="20"/>
          <w:szCs w:val="20"/>
          <w:lang w:val="es-CR"/>
        </w:rPr>
        <w:t>.</w:t>
      </w:r>
    </w:p>
    <w:p w14:paraId="076D93B4" w14:textId="0A2CD385" w:rsidR="0030739A" w:rsidRPr="00744CE4" w:rsidRDefault="005740DE" w:rsidP="008D0846">
      <w:pPr>
        <w:pStyle w:val="Prrafodelista"/>
        <w:widowControl w:val="0"/>
        <w:numPr>
          <w:ilvl w:val="0"/>
          <w:numId w:val="29"/>
        </w:numPr>
        <w:tabs>
          <w:tab w:val="left" w:pos="567"/>
        </w:tabs>
        <w:autoSpaceDE w:val="0"/>
        <w:autoSpaceDN w:val="0"/>
        <w:adjustRightInd w:val="0"/>
        <w:spacing w:before="120" w:after="120" w:line="240" w:lineRule="auto"/>
        <w:contextualSpacing w:val="0"/>
        <w:jc w:val="both"/>
        <w:textAlignment w:val="baseline"/>
        <w:rPr>
          <w:rFonts w:ascii="Verdana" w:eastAsia="Times New Roman" w:hAnsi="Verdana" w:cs="Times New Roman"/>
          <w:b/>
          <w:bCs/>
          <w:i/>
          <w:sz w:val="20"/>
          <w:szCs w:val="20"/>
          <w:lang w:val="es-ES"/>
        </w:rPr>
      </w:pPr>
      <w:r>
        <w:rPr>
          <w:rFonts w:ascii="Verdana" w:eastAsia="Times New Roman" w:hAnsi="Verdana" w:cs="Times New Roman"/>
          <w:b/>
          <w:bCs/>
          <w:i/>
          <w:sz w:val="20"/>
          <w:szCs w:val="20"/>
          <w:lang w:val="es-ES"/>
        </w:rPr>
        <w:t>Costas</w:t>
      </w:r>
      <w:r w:rsidRPr="00744CE4">
        <w:rPr>
          <w:rFonts w:ascii="Verdana" w:eastAsia="Times New Roman" w:hAnsi="Verdana" w:cs="Times New Roman"/>
          <w:b/>
          <w:bCs/>
          <w:i/>
          <w:sz w:val="20"/>
          <w:szCs w:val="20"/>
          <w:lang w:val="es-ES"/>
        </w:rPr>
        <w:t xml:space="preserve"> </w:t>
      </w:r>
      <w:r>
        <w:rPr>
          <w:rFonts w:ascii="Verdana" w:eastAsia="Times New Roman" w:hAnsi="Verdana" w:cs="Times New Roman"/>
          <w:b/>
          <w:bCs/>
          <w:i/>
          <w:sz w:val="20"/>
          <w:szCs w:val="20"/>
          <w:lang w:val="es-ES"/>
        </w:rPr>
        <w:t xml:space="preserve">y </w:t>
      </w:r>
      <w:r w:rsidR="0030739A" w:rsidRPr="00744CE4">
        <w:rPr>
          <w:rFonts w:ascii="Verdana" w:eastAsia="Times New Roman" w:hAnsi="Verdana" w:cs="Times New Roman"/>
          <w:b/>
          <w:bCs/>
          <w:i/>
          <w:sz w:val="20"/>
          <w:szCs w:val="20"/>
          <w:lang w:val="es-ES"/>
        </w:rPr>
        <w:t xml:space="preserve">Gastos </w:t>
      </w:r>
      <w:r>
        <w:rPr>
          <w:rFonts w:ascii="Verdana" w:eastAsia="Times New Roman" w:hAnsi="Verdana" w:cs="Times New Roman"/>
          <w:b/>
          <w:bCs/>
          <w:i/>
          <w:sz w:val="20"/>
          <w:szCs w:val="20"/>
          <w:lang w:val="es-ES"/>
        </w:rPr>
        <w:t xml:space="preserve"> </w:t>
      </w:r>
    </w:p>
    <w:p w14:paraId="11C80376" w14:textId="7777777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EC"/>
        </w:rPr>
      </w:pPr>
      <w:r w:rsidRPr="00744CE4">
        <w:rPr>
          <w:rFonts w:ascii="Verdana" w:eastAsia="Times New Roman" w:hAnsi="Verdana" w:cs="Times New Roman"/>
          <w:sz w:val="20"/>
          <w:szCs w:val="20"/>
          <w:lang w:val="es-ES"/>
        </w:rPr>
        <w:t xml:space="preserve">La </w:t>
      </w:r>
      <w:r w:rsidRPr="00744CE4">
        <w:rPr>
          <w:rFonts w:ascii="Verdana" w:eastAsia="Times New Roman" w:hAnsi="Verdana" w:cs="Times New Roman"/>
          <w:b/>
          <w:i/>
          <w:sz w:val="20"/>
          <w:szCs w:val="20"/>
          <w:lang w:val="es-ES"/>
        </w:rPr>
        <w:t>Comisión</w:t>
      </w:r>
      <w:r w:rsidRPr="00744CE4">
        <w:rPr>
          <w:rFonts w:ascii="Verdana" w:eastAsia="Times New Roman" w:hAnsi="Verdana" w:cs="Times New Roman"/>
          <w:sz w:val="20"/>
          <w:szCs w:val="20"/>
          <w:lang w:val="es-ES"/>
        </w:rPr>
        <w:t xml:space="preserve"> </w:t>
      </w:r>
      <w:r w:rsidRPr="00744CE4">
        <w:rPr>
          <w:rFonts w:ascii="Verdana" w:hAnsi="Verdana" w:cs="Times New Roman"/>
          <w:sz w:val="20"/>
          <w:szCs w:val="20"/>
          <w:lang w:val="es-EC"/>
        </w:rPr>
        <w:t>no se pronunció al respecto.</w:t>
      </w:r>
    </w:p>
    <w:p w14:paraId="413979A5" w14:textId="3A9C07B8"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color w:val="00B0F0"/>
          <w:sz w:val="20"/>
          <w:szCs w:val="20"/>
          <w:lang w:val="es-CR"/>
        </w:rPr>
      </w:pPr>
      <w:r w:rsidRPr="00744CE4">
        <w:rPr>
          <w:rFonts w:ascii="Verdana" w:eastAsia="Times New Roman" w:hAnsi="Verdana" w:cs="Times New Roman"/>
          <w:sz w:val="20"/>
          <w:szCs w:val="20"/>
          <w:lang w:val="es-ES"/>
        </w:rPr>
        <w:t xml:space="preserve">Las </w:t>
      </w:r>
      <w:r w:rsidRPr="00744CE4">
        <w:rPr>
          <w:rFonts w:ascii="Verdana" w:eastAsia="Times New Roman" w:hAnsi="Verdana" w:cs="Times New Roman"/>
          <w:b/>
          <w:i/>
          <w:sz w:val="20"/>
          <w:szCs w:val="20"/>
          <w:lang w:val="es-ES"/>
        </w:rPr>
        <w:t>Representantes</w:t>
      </w:r>
      <w:r w:rsidRPr="00744CE4">
        <w:rPr>
          <w:rFonts w:ascii="Verdana" w:eastAsia="Times New Roman" w:hAnsi="Verdana" w:cs="Times New Roman"/>
          <w:sz w:val="20"/>
          <w:szCs w:val="20"/>
          <w:lang w:val="es-ES"/>
        </w:rPr>
        <w:t xml:space="preserve"> </w:t>
      </w:r>
      <w:r w:rsidRPr="00744CE4">
        <w:rPr>
          <w:rFonts w:ascii="Verdana" w:hAnsi="Verdana" w:cs="Times New Roman"/>
          <w:sz w:val="20"/>
          <w:szCs w:val="20"/>
          <w:lang w:val="es-AR"/>
        </w:rPr>
        <w:t xml:space="preserve">solicitaron la cantidad de </w:t>
      </w:r>
      <w:r w:rsidR="00700E63">
        <w:rPr>
          <w:rFonts w:ascii="Verdana" w:hAnsi="Verdana" w:cs="Times New Roman"/>
          <w:sz w:val="20"/>
          <w:szCs w:val="20"/>
          <w:lang w:val="es-AR"/>
        </w:rPr>
        <w:t>MXN</w:t>
      </w:r>
      <w:r w:rsidRPr="00744CE4">
        <w:rPr>
          <w:rFonts w:ascii="Verdana" w:hAnsi="Verdana" w:cs="Times New Roman"/>
          <w:sz w:val="20"/>
          <w:szCs w:val="20"/>
          <w:lang w:val="es-AR"/>
        </w:rPr>
        <w:t xml:space="preserve">$1,957,740.87 </w:t>
      </w:r>
      <w:r w:rsidR="007561E3">
        <w:rPr>
          <w:rFonts w:ascii="Verdana" w:hAnsi="Verdana" w:cs="Times New Roman"/>
          <w:sz w:val="20"/>
          <w:szCs w:val="20"/>
          <w:lang w:val="es-AR"/>
        </w:rPr>
        <w:t>(un millón novecientos cincuenta y siete mil, setecientos cuarenta punto ochenta y siete p</w:t>
      </w:r>
      <w:r w:rsidRPr="00744CE4">
        <w:rPr>
          <w:rFonts w:ascii="Verdana" w:hAnsi="Verdana" w:cs="Times New Roman"/>
          <w:sz w:val="20"/>
          <w:szCs w:val="20"/>
          <w:lang w:val="es-AR"/>
        </w:rPr>
        <w:t>esos mexicanos</w:t>
      </w:r>
      <w:r w:rsidR="007561E3">
        <w:rPr>
          <w:rFonts w:ascii="Verdana" w:hAnsi="Verdana" w:cs="Times New Roman"/>
          <w:sz w:val="20"/>
          <w:szCs w:val="20"/>
          <w:lang w:val="es-AR"/>
        </w:rPr>
        <w:t>)</w:t>
      </w:r>
      <w:r w:rsidRPr="00744CE4">
        <w:rPr>
          <w:rFonts w:ascii="Verdana" w:hAnsi="Verdana" w:cs="Times New Roman"/>
          <w:sz w:val="20"/>
          <w:szCs w:val="20"/>
          <w:lang w:val="es-AR"/>
        </w:rPr>
        <w:t xml:space="preserve">, lo que equivale a </w:t>
      </w:r>
      <w:r w:rsidR="00700E63">
        <w:rPr>
          <w:rFonts w:ascii="Verdana" w:hAnsi="Verdana" w:cs="Times New Roman"/>
          <w:sz w:val="20"/>
          <w:szCs w:val="20"/>
          <w:lang w:val="es-AR"/>
        </w:rPr>
        <w:t>USD</w:t>
      </w:r>
      <w:r w:rsidRPr="00744CE4">
        <w:rPr>
          <w:rFonts w:ascii="Verdana" w:hAnsi="Verdana" w:cs="Times New Roman"/>
          <w:sz w:val="20"/>
          <w:szCs w:val="20"/>
          <w:lang w:val="es-AR"/>
        </w:rPr>
        <w:t xml:space="preserve">$108,070.52 </w:t>
      </w:r>
      <w:r w:rsidR="007561E3">
        <w:rPr>
          <w:rFonts w:ascii="Verdana" w:hAnsi="Verdana" w:cs="Times New Roman"/>
          <w:sz w:val="20"/>
          <w:szCs w:val="20"/>
          <w:lang w:val="es-AR"/>
        </w:rPr>
        <w:t xml:space="preserve">(ciento ocho mil, setenta punto cincuenta y dos </w:t>
      </w:r>
      <w:r w:rsidR="00EC6AC8">
        <w:rPr>
          <w:rFonts w:ascii="Verdana" w:hAnsi="Verdana" w:cs="Times New Roman"/>
          <w:sz w:val="20"/>
          <w:szCs w:val="20"/>
          <w:lang w:val="es-AR"/>
        </w:rPr>
        <w:t>d</w:t>
      </w:r>
      <w:r w:rsidRPr="00744CE4">
        <w:rPr>
          <w:rFonts w:ascii="Verdana" w:hAnsi="Verdana" w:cs="Times New Roman"/>
          <w:sz w:val="20"/>
          <w:szCs w:val="20"/>
          <w:lang w:val="es-AR"/>
        </w:rPr>
        <w:t>ólares estadounidenses</w:t>
      </w:r>
      <w:r w:rsidR="007561E3">
        <w:rPr>
          <w:rFonts w:ascii="Verdana" w:hAnsi="Verdana" w:cs="Times New Roman"/>
          <w:sz w:val="20"/>
          <w:szCs w:val="20"/>
          <w:lang w:val="es-AR"/>
        </w:rPr>
        <w:t>)</w:t>
      </w:r>
      <w:r w:rsidRPr="00744CE4">
        <w:rPr>
          <w:rStyle w:val="Refdenotaalpie"/>
          <w:rFonts w:ascii="Verdana" w:hAnsi="Verdana"/>
          <w:sz w:val="20"/>
          <w:szCs w:val="20"/>
          <w:lang w:val="es-AR"/>
        </w:rPr>
        <w:footnoteReference w:id="578"/>
      </w:r>
      <w:r w:rsidRPr="00744CE4">
        <w:rPr>
          <w:rFonts w:ascii="Verdana" w:hAnsi="Verdana" w:cs="Times New Roman"/>
          <w:sz w:val="20"/>
          <w:szCs w:val="20"/>
          <w:lang w:val="es-AR"/>
        </w:rPr>
        <w:t>. La anterior suma</w:t>
      </w:r>
      <w:r w:rsidR="00EC6AC8">
        <w:rPr>
          <w:rFonts w:ascii="Verdana" w:hAnsi="Verdana" w:cs="Times New Roman"/>
          <w:sz w:val="20"/>
          <w:szCs w:val="20"/>
          <w:lang w:val="es-AR"/>
        </w:rPr>
        <w:t>,</w:t>
      </w:r>
      <w:r w:rsidRPr="00744CE4">
        <w:rPr>
          <w:rFonts w:ascii="Verdana" w:hAnsi="Verdana" w:cs="Times New Roman"/>
          <w:sz w:val="20"/>
          <w:szCs w:val="20"/>
          <w:lang w:val="es-AR"/>
        </w:rPr>
        <w:t xml:space="preserve"> por concepto de viajes, apoyo en efectivo a l</w:t>
      </w:r>
      <w:r w:rsidR="00A06354">
        <w:rPr>
          <w:rFonts w:ascii="Verdana" w:hAnsi="Verdana" w:cs="Times New Roman"/>
          <w:sz w:val="20"/>
          <w:szCs w:val="20"/>
          <w:lang w:val="es-AR"/>
        </w:rPr>
        <w:t>o</w:t>
      </w:r>
      <w:r w:rsidRPr="00744CE4">
        <w:rPr>
          <w:rFonts w:ascii="Verdana" w:hAnsi="Verdana" w:cs="Times New Roman"/>
          <w:sz w:val="20"/>
          <w:szCs w:val="20"/>
          <w:lang w:val="es-AR"/>
        </w:rPr>
        <w:t xml:space="preserve">s familiares, gastos </w:t>
      </w:r>
      <w:r w:rsidR="00A06354">
        <w:rPr>
          <w:rFonts w:ascii="Verdana" w:hAnsi="Verdana" w:cs="Times New Roman"/>
          <w:sz w:val="20"/>
          <w:szCs w:val="20"/>
          <w:lang w:val="es-AR"/>
        </w:rPr>
        <w:t xml:space="preserve">diversos </w:t>
      </w:r>
      <w:r w:rsidRPr="00744CE4">
        <w:rPr>
          <w:rFonts w:ascii="Verdana" w:hAnsi="Verdana" w:cs="Times New Roman"/>
          <w:sz w:val="20"/>
          <w:szCs w:val="20"/>
          <w:lang w:val="es-AR"/>
        </w:rPr>
        <w:t xml:space="preserve">y por los gastos incurridos por el abogado Carlos Spector en </w:t>
      </w:r>
      <w:r w:rsidRPr="00432ABC">
        <w:rPr>
          <w:rFonts w:ascii="Verdana" w:hAnsi="Verdana" w:cs="Times New Roman"/>
          <w:sz w:val="20"/>
          <w:szCs w:val="20"/>
          <w:lang w:val="es-AR"/>
        </w:rPr>
        <w:t xml:space="preserve">el proceso de residencia legal permanente, gastos derivados de cruce en el puente internacional, y por los casos sobre asilo político. </w:t>
      </w:r>
      <w:r w:rsidRPr="00432ABC">
        <w:rPr>
          <w:rFonts w:ascii="Verdana" w:hAnsi="Verdana" w:cs="Times New Roman"/>
          <w:sz w:val="20"/>
          <w:szCs w:val="20"/>
          <w:lang w:val="es-CR"/>
        </w:rPr>
        <w:t>Por último, en sus alegatos finales, l</w:t>
      </w:r>
      <w:r w:rsidR="00A06354">
        <w:rPr>
          <w:rFonts w:ascii="Verdana" w:hAnsi="Verdana" w:cs="Times New Roman"/>
          <w:sz w:val="20"/>
          <w:szCs w:val="20"/>
          <w:lang w:val="es-CR"/>
        </w:rPr>
        <w:t>a</w:t>
      </w:r>
      <w:r w:rsidRPr="00432ABC">
        <w:rPr>
          <w:rFonts w:ascii="Verdana" w:hAnsi="Verdana" w:cs="Times New Roman"/>
          <w:sz w:val="20"/>
          <w:szCs w:val="20"/>
          <w:lang w:val="es-CR"/>
        </w:rPr>
        <w:t xml:space="preserve">s representantes </w:t>
      </w:r>
      <w:r w:rsidRPr="002C462C">
        <w:rPr>
          <w:rFonts w:ascii="Verdana" w:hAnsi="Verdana" w:cs="Times New Roman"/>
          <w:sz w:val="20"/>
          <w:szCs w:val="20"/>
          <w:lang w:val="es-CR"/>
        </w:rPr>
        <w:t xml:space="preserve">aumentaron el monto estimado inicialmente para incluir gastos adicionales posteriores a la presentación del escrito de </w:t>
      </w:r>
      <w:r w:rsidR="00A06354">
        <w:rPr>
          <w:rFonts w:ascii="Verdana" w:hAnsi="Verdana" w:cs="Times New Roman"/>
          <w:sz w:val="20"/>
          <w:szCs w:val="20"/>
          <w:lang w:val="es-CR"/>
        </w:rPr>
        <w:t xml:space="preserve">solicitudes, </w:t>
      </w:r>
      <w:r w:rsidRPr="002C462C">
        <w:rPr>
          <w:rFonts w:ascii="Verdana" w:hAnsi="Verdana" w:cs="Times New Roman"/>
          <w:sz w:val="20"/>
          <w:szCs w:val="20"/>
          <w:lang w:val="es-CR"/>
        </w:rPr>
        <w:t xml:space="preserve">argumentos y pruebas, por una suma igual a </w:t>
      </w:r>
      <w:r w:rsidR="00700E63">
        <w:rPr>
          <w:rFonts w:ascii="Verdana" w:hAnsi="Verdana" w:cs="Times New Roman"/>
          <w:sz w:val="20"/>
          <w:szCs w:val="20"/>
          <w:lang w:val="es-CR"/>
        </w:rPr>
        <w:t>MX</w:t>
      </w:r>
      <w:r w:rsidRPr="002C462C">
        <w:rPr>
          <w:rFonts w:ascii="Verdana" w:hAnsi="Verdana" w:cs="Times New Roman"/>
          <w:sz w:val="20"/>
          <w:szCs w:val="20"/>
          <w:lang w:val="es-CR"/>
        </w:rPr>
        <w:t xml:space="preserve">$516,000.47 </w:t>
      </w:r>
      <w:r w:rsidR="007561E3">
        <w:rPr>
          <w:rFonts w:ascii="Verdana" w:hAnsi="Verdana" w:cs="Times New Roman"/>
          <w:sz w:val="20"/>
          <w:szCs w:val="20"/>
          <w:lang w:val="es-CR"/>
        </w:rPr>
        <w:t xml:space="preserve">(quinientos dieciséis mil punto cuarenta y siete </w:t>
      </w:r>
      <w:r w:rsidRPr="002C462C">
        <w:rPr>
          <w:rFonts w:ascii="Verdana" w:hAnsi="Verdana" w:cs="Times New Roman"/>
          <w:sz w:val="20"/>
          <w:szCs w:val="20"/>
          <w:lang w:val="es-CR"/>
        </w:rPr>
        <w:t>pesos mexicanos</w:t>
      </w:r>
      <w:r w:rsidR="007561E3">
        <w:rPr>
          <w:rFonts w:ascii="Verdana" w:hAnsi="Verdana" w:cs="Times New Roman"/>
          <w:sz w:val="20"/>
          <w:szCs w:val="20"/>
          <w:lang w:val="es-CR"/>
        </w:rPr>
        <w:t>)</w:t>
      </w:r>
      <w:r w:rsidR="00597F8F">
        <w:rPr>
          <w:rFonts w:ascii="Verdana" w:hAnsi="Verdana" w:cs="Times New Roman"/>
          <w:sz w:val="20"/>
          <w:szCs w:val="20"/>
          <w:lang w:val="es-CR"/>
        </w:rPr>
        <w:t>,</w:t>
      </w:r>
      <w:r w:rsidRPr="00744CE4">
        <w:rPr>
          <w:rFonts w:ascii="Verdana" w:hAnsi="Verdana" w:cs="Times New Roman"/>
          <w:sz w:val="20"/>
          <w:szCs w:val="20"/>
          <w:lang w:val="es-CR"/>
        </w:rPr>
        <w:t xml:space="preserve"> lo que equivale a </w:t>
      </w:r>
      <w:r w:rsidR="0089368F">
        <w:rPr>
          <w:rFonts w:ascii="Verdana" w:hAnsi="Verdana" w:cs="Times New Roman"/>
          <w:sz w:val="20"/>
          <w:szCs w:val="20"/>
          <w:lang w:val="es-CR"/>
        </w:rPr>
        <w:t xml:space="preserve">un aproximado de </w:t>
      </w:r>
      <w:r w:rsidR="00700E63">
        <w:rPr>
          <w:rFonts w:ascii="Verdana" w:hAnsi="Verdana" w:cs="Times New Roman"/>
          <w:sz w:val="20"/>
          <w:szCs w:val="20"/>
          <w:lang w:val="es-CR"/>
        </w:rPr>
        <w:t>US</w:t>
      </w:r>
      <w:r w:rsidR="00E307D4">
        <w:rPr>
          <w:rFonts w:ascii="Verdana" w:hAnsi="Verdana" w:cs="Times New Roman"/>
          <w:sz w:val="20"/>
          <w:szCs w:val="20"/>
          <w:lang w:val="es-CR"/>
        </w:rPr>
        <w:t>D</w:t>
      </w:r>
      <w:r w:rsidRPr="00744CE4">
        <w:rPr>
          <w:rFonts w:ascii="Verdana" w:hAnsi="Verdana" w:cs="Times New Roman"/>
          <w:sz w:val="20"/>
          <w:szCs w:val="20"/>
          <w:lang w:val="es-CR"/>
        </w:rPr>
        <w:t xml:space="preserve">$26,379.62 </w:t>
      </w:r>
      <w:r w:rsidR="007561E3">
        <w:rPr>
          <w:rFonts w:ascii="Verdana" w:hAnsi="Verdana" w:cs="Times New Roman"/>
          <w:sz w:val="20"/>
          <w:szCs w:val="20"/>
          <w:lang w:val="es-CR"/>
        </w:rPr>
        <w:t xml:space="preserve">(veintiséis mil trescientos setenta y nueve punto </w:t>
      </w:r>
      <w:r w:rsidR="007561E3">
        <w:rPr>
          <w:rFonts w:ascii="Verdana" w:hAnsi="Verdana" w:cs="Times New Roman"/>
          <w:sz w:val="20"/>
          <w:szCs w:val="20"/>
          <w:lang w:val="es-CR"/>
        </w:rPr>
        <w:lastRenderedPageBreak/>
        <w:t xml:space="preserve">sesenta y dos </w:t>
      </w:r>
      <w:r w:rsidRPr="00744CE4">
        <w:rPr>
          <w:rFonts w:ascii="Verdana" w:hAnsi="Verdana" w:cs="Times New Roman"/>
          <w:sz w:val="20"/>
          <w:szCs w:val="20"/>
          <w:lang w:val="es-CR"/>
        </w:rPr>
        <w:t>dólares estadounidenses</w:t>
      </w:r>
      <w:r w:rsidR="007561E3">
        <w:rPr>
          <w:rFonts w:ascii="Verdana" w:hAnsi="Verdana" w:cs="Times New Roman"/>
          <w:sz w:val="20"/>
          <w:szCs w:val="20"/>
          <w:lang w:val="es-CR"/>
        </w:rPr>
        <w:t>)</w:t>
      </w:r>
      <w:r w:rsidR="00597F8F" w:rsidRPr="00744CE4">
        <w:rPr>
          <w:rStyle w:val="Refdenotaalpie"/>
          <w:rFonts w:ascii="Verdana" w:hAnsi="Verdana"/>
          <w:sz w:val="20"/>
          <w:szCs w:val="20"/>
          <w:lang w:val="es-CR"/>
        </w:rPr>
        <w:footnoteReference w:id="579"/>
      </w:r>
      <w:r w:rsidRPr="00744CE4">
        <w:rPr>
          <w:rFonts w:ascii="Verdana" w:hAnsi="Verdana" w:cs="Times New Roman"/>
          <w:sz w:val="20"/>
          <w:szCs w:val="20"/>
          <w:lang w:val="es-CR"/>
        </w:rPr>
        <w:t xml:space="preserve">, por concepto de recursos humanos, viajes y otros gastos, para un total de </w:t>
      </w:r>
      <w:r w:rsidR="00700E63">
        <w:rPr>
          <w:rFonts w:ascii="Verdana" w:hAnsi="Verdana" w:cs="Times New Roman"/>
          <w:sz w:val="20"/>
          <w:szCs w:val="20"/>
          <w:lang w:val="es-CR"/>
        </w:rPr>
        <w:t>US</w:t>
      </w:r>
      <w:r w:rsidR="00E307D4">
        <w:rPr>
          <w:rFonts w:ascii="Verdana" w:hAnsi="Verdana" w:cs="Times New Roman"/>
          <w:sz w:val="20"/>
          <w:szCs w:val="20"/>
          <w:lang w:val="es-CR"/>
        </w:rPr>
        <w:t>D</w:t>
      </w:r>
      <w:r w:rsidRPr="00744CE4">
        <w:rPr>
          <w:rFonts w:ascii="Verdana" w:hAnsi="Verdana" w:cs="Times New Roman"/>
          <w:sz w:val="20"/>
          <w:szCs w:val="20"/>
          <w:lang w:val="es-CR"/>
        </w:rPr>
        <w:t xml:space="preserve">$134,395.775 </w:t>
      </w:r>
      <w:r w:rsidR="007561E3">
        <w:rPr>
          <w:rFonts w:ascii="Verdana" w:hAnsi="Verdana" w:cs="Times New Roman"/>
          <w:sz w:val="20"/>
          <w:szCs w:val="20"/>
          <w:lang w:val="es-CR"/>
        </w:rPr>
        <w:t>(ciento treinta y cuatro mil trescientos noventa y cinco</w:t>
      </w:r>
      <w:r w:rsidR="008143D6">
        <w:rPr>
          <w:rFonts w:ascii="Verdana" w:hAnsi="Verdana" w:cs="Times New Roman"/>
          <w:sz w:val="20"/>
          <w:szCs w:val="20"/>
          <w:lang w:val="es-CR"/>
        </w:rPr>
        <w:t>,</w:t>
      </w:r>
      <w:r w:rsidR="007561E3">
        <w:rPr>
          <w:rFonts w:ascii="Verdana" w:hAnsi="Verdana" w:cs="Times New Roman"/>
          <w:sz w:val="20"/>
          <w:szCs w:val="20"/>
          <w:lang w:val="es-CR"/>
        </w:rPr>
        <w:t xml:space="preserve"> punto setecientos setenta y cinco </w:t>
      </w:r>
      <w:r w:rsidRPr="00744CE4">
        <w:rPr>
          <w:rFonts w:ascii="Verdana" w:hAnsi="Verdana" w:cs="Times New Roman"/>
          <w:sz w:val="20"/>
          <w:szCs w:val="20"/>
          <w:lang w:val="es-CR"/>
        </w:rPr>
        <w:t>dólares estadounidenses</w:t>
      </w:r>
      <w:r w:rsidR="007561E3">
        <w:rPr>
          <w:rFonts w:ascii="Verdana" w:hAnsi="Verdana" w:cs="Times New Roman"/>
          <w:sz w:val="20"/>
          <w:szCs w:val="20"/>
          <w:lang w:val="es-CR"/>
        </w:rPr>
        <w:t>)</w:t>
      </w:r>
      <w:r w:rsidRPr="00744CE4">
        <w:rPr>
          <w:rStyle w:val="Refdenotaalpie"/>
          <w:rFonts w:ascii="Verdana" w:hAnsi="Verdana"/>
          <w:sz w:val="20"/>
          <w:szCs w:val="20"/>
          <w:lang w:val="es-CR"/>
        </w:rPr>
        <w:footnoteReference w:id="580"/>
      </w:r>
      <w:r w:rsidRPr="00744CE4">
        <w:rPr>
          <w:rFonts w:ascii="Verdana" w:hAnsi="Verdana" w:cs="Times New Roman"/>
          <w:sz w:val="20"/>
          <w:szCs w:val="20"/>
          <w:lang w:val="es-CR"/>
        </w:rPr>
        <w:t xml:space="preserve">. </w:t>
      </w:r>
    </w:p>
    <w:p w14:paraId="54FC761F" w14:textId="415031B8"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trike/>
          <w:sz w:val="20"/>
          <w:szCs w:val="20"/>
          <w:lang w:val="es-CR"/>
        </w:rPr>
      </w:pPr>
      <w:r w:rsidRPr="00744CE4">
        <w:rPr>
          <w:rFonts w:ascii="Verdana" w:eastAsia="Times New Roman" w:hAnsi="Verdana" w:cs="Times New Roman"/>
          <w:sz w:val="20"/>
          <w:szCs w:val="20"/>
          <w:lang w:val="es-ES"/>
        </w:rPr>
        <w:t xml:space="preserve">El </w:t>
      </w:r>
      <w:r w:rsidRPr="00744CE4">
        <w:rPr>
          <w:rFonts w:ascii="Verdana" w:eastAsia="Times New Roman" w:hAnsi="Verdana" w:cs="Times New Roman"/>
          <w:b/>
          <w:i/>
          <w:sz w:val="20"/>
          <w:szCs w:val="20"/>
          <w:lang w:val="es-ES"/>
        </w:rPr>
        <w:t>Estado</w:t>
      </w:r>
      <w:r w:rsidRPr="00744CE4">
        <w:rPr>
          <w:rFonts w:ascii="Verdana" w:eastAsia="Times New Roman" w:hAnsi="Verdana" w:cs="Times New Roman"/>
          <w:sz w:val="20"/>
          <w:szCs w:val="20"/>
          <w:lang w:val="es-ES"/>
        </w:rPr>
        <w:t xml:space="preserve"> recordó que los estándares interamericanos disponen que en cuanto a gastos y costas se debe tratar de montos razo</w:t>
      </w:r>
      <w:r w:rsidRPr="00432ABC">
        <w:rPr>
          <w:rFonts w:ascii="Verdana" w:eastAsia="Times New Roman" w:hAnsi="Verdana" w:cs="Times New Roman"/>
          <w:sz w:val="20"/>
          <w:szCs w:val="20"/>
          <w:lang w:val="es-ES"/>
        </w:rPr>
        <w:t>nables, debidamente comprobados, que tengan relación directa con el caso concreto y corresponderá a la Corte apreciar prudentemente su alcance. Asimismo deberá prevalecer el principio de equidad</w:t>
      </w:r>
      <w:r w:rsidRPr="00744CE4">
        <w:rPr>
          <w:rFonts w:ascii="Verdana" w:eastAsia="Times New Roman" w:hAnsi="Verdana" w:cs="Times New Roman"/>
          <w:sz w:val="20"/>
          <w:szCs w:val="20"/>
          <w:lang w:val="es-ES"/>
        </w:rPr>
        <w:t>. Agregó que si bien la representación</w:t>
      </w:r>
      <w:r w:rsidR="008143D6">
        <w:rPr>
          <w:rFonts w:ascii="Verdana" w:eastAsia="Times New Roman" w:hAnsi="Verdana" w:cs="Times New Roman"/>
          <w:sz w:val="20"/>
          <w:szCs w:val="20"/>
          <w:lang w:val="es-ES"/>
        </w:rPr>
        <w:t xml:space="preserve"> de las víctimas</w:t>
      </w:r>
      <w:r w:rsidRPr="00744CE4">
        <w:rPr>
          <w:rFonts w:ascii="Verdana" w:eastAsia="Times New Roman" w:hAnsi="Verdana" w:cs="Times New Roman"/>
          <w:sz w:val="20"/>
          <w:szCs w:val="20"/>
          <w:lang w:val="es-ES"/>
        </w:rPr>
        <w:t xml:space="preserve"> expone cantidades por las cuales solicita el pago de gastos y costas, </w:t>
      </w:r>
      <w:r w:rsidR="00850315">
        <w:rPr>
          <w:rFonts w:ascii="Verdana" w:eastAsia="Times New Roman" w:hAnsi="Verdana" w:cs="Times New Roman"/>
          <w:sz w:val="20"/>
          <w:szCs w:val="20"/>
          <w:lang w:val="es-ES"/>
        </w:rPr>
        <w:t>no obstante</w:t>
      </w:r>
      <w:r w:rsidRPr="00744CE4">
        <w:rPr>
          <w:rFonts w:ascii="Verdana" w:eastAsia="Times New Roman" w:hAnsi="Verdana" w:cs="Times New Roman"/>
          <w:sz w:val="20"/>
          <w:szCs w:val="20"/>
          <w:lang w:val="es-ES"/>
        </w:rPr>
        <w:t>, ésta no ha realizado ninguna</w:t>
      </w:r>
      <w:r w:rsidR="00C454B2" w:rsidRPr="00744CE4">
        <w:rPr>
          <w:rFonts w:ascii="Verdana" w:eastAsia="Times New Roman" w:hAnsi="Verdana" w:cs="Times New Roman"/>
          <w:sz w:val="20"/>
          <w:szCs w:val="20"/>
          <w:lang w:val="es-ES"/>
        </w:rPr>
        <w:t xml:space="preserve"> </w:t>
      </w:r>
      <w:r w:rsidRPr="00744CE4">
        <w:rPr>
          <w:rFonts w:ascii="Verdana" w:eastAsia="Times New Roman" w:hAnsi="Verdana" w:cs="Times New Roman"/>
          <w:sz w:val="20"/>
          <w:szCs w:val="20"/>
          <w:lang w:val="es-ES"/>
        </w:rPr>
        <w:t xml:space="preserve">explicación sobre el desembolso y su relación al asunto. </w:t>
      </w:r>
      <w:r w:rsidRPr="00432ABC">
        <w:rPr>
          <w:rFonts w:ascii="Verdana" w:eastAsia="Times New Roman" w:hAnsi="Verdana" w:cs="Times New Roman"/>
          <w:sz w:val="20"/>
          <w:szCs w:val="20"/>
          <w:lang w:val="es-ES"/>
        </w:rPr>
        <w:t xml:space="preserve">Respecto </w:t>
      </w:r>
      <w:r w:rsidR="008143D6">
        <w:rPr>
          <w:rFonts w:ascii="Verdana" w:eastAsia="Times New Roman" w:hAnsi="Verdana" w:cs="Times New Roman"/>
          <w:sz w:val="20"/>
          <w:szCs w:val="20"/>
          <w:lang w:val="es-ES"/>
        </w:rPr>
        <w:t>de</w:t>
      </w:r>
      <w:r w:rsidRPr="00432ABC">
        <w:rPr>
          <w:rFonts w:ascii="Verdana" w:eastAsia="Times New Roman" w:hAnsi="Verdana" w:cs="Times New Roman"/>
          <w:sz w:val="20"/>
          <w:szCs w:val="20"/>
          <w:lang w:val="es-ES"/>
        </w:rPr>
        <w:t xml:space="preserve"> la suma solicitada por las representantes a favor de la familia Spector</w:t>
      </w:r>
      <w:r w:rsidR="00C76D12" w:rsidRPr="00432ABC">
        <w:rPr>
          <w:rFonts w:ascii="Verdana" w:eastAsia="Times New Roman" w:hAnsi="Verdana" w:cs="Times New Roman"/>
          <w:sz w:val="20"/>
          <w:szCs w:val="20"/>
          <w:lang w:val="es-ES"/>
        </w:rPr>
        <w:t xml:space="preserve"> por los procesos de asilo seguidos por los familiares de las víctimas en los Estados Unidos</w:t>
      </w:r>
      <w:r w:rsidRPr="002C462C">
        <w:rPr>
          <w:rFonts w:ascii="Verdana" w:eastAsia="Times New Roman" w:hAnsi="Verdana" w:cs="Times New Roman"/>
          <w:sz w:val="20"/>
          <w:szCs w:val="20"/>
          <w:lang w:val="es-ES"/>
        </w:rPr>
        <w:t xml:space="preserve">, el Estado </w:t>
      </w:r>
      <w:r w:rsidR="00C76D12" w:rsidRPr="002C462C">
        <w:rPr>
          <w:rFonts w:ascii="Verdana" w:eastAsia="Times New Roman" w:hAnsi="Verdana" w:cs="Times New Roman"/>
          <w:sz w:val="20"/>
          <w:szCs w:val="20"/>
          <w:lang w:val="es-ES"/>
        </w:rPr>
        <w:t xml:space="preserve">consideró que estos procesos </w:t>
      </w:r>
      <w:r w:rsidR="002F39DD" w:rsidRPr="00744CE4">
        <w:rPr>
          <w:rFonts w:ascii="Verdana" w:eastAsia="Times New Roman" w:hAnsi="Verdana" w:cs="Times New Roman"/>
          <w:sz w:val="20"/>
          <w:szCs w:val="20"/>
          <w:lang w:val="es-ES"/>
        </w:rPr>
        <w:t>no tienen vínculo con el presente caso y el Estado no puede ser obligado a cubrir gastos llevados a cabo fuera del territorio mexicano en aplicación extraterritorial de la Convención.</w:t>
      </w:r>
      <w:r w:rsidRPr="00744CE4">
        <w:rPr>
          <w:rFonts w:ascii="Verdana" w:eastAsia="Times New Roman" w:hAnsi="Verdana" w:cs="Times New Roman"/>
          <w:sz w:val="20"/>
          <w:szCs w:val="20"/>
          <w:lang w:val="es-ES"/>
        </w:rPr>
        <w:t xml:space="preserve"> </w:t>
      </w:r>
    </w:p>
    <w:p w14:paraId="744C7287" w14:textId="02B16F62"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CR"/>
        </w:rPr>
        <w:t xml:space="preserve">La </w:t>
      </w:r>
      <w:r w:rsidRPr="005053BD">
        <w:rPr>
          <w:rFonts w:ascii="Verdana" w:hAnsi="Verdana" w:cs="Times New Roman"/>
          <w:b/>
          <w:i/>
          <w:sz w:val="20"/>
          <w:szCs w:val="20"/>
          <w:lang w:val="es-CR"/>
        </w:rPr>
        <w:t>Corte</w:t>
      </w:r>
      <w:r w:rsidRPr="00744CE4">
        <w:rPr>
          <w:rFonts w:ascii="Verdana" w:hAnsi="Verdana" w:cs="Times New Roman"/>
          <w:sz w:val="20"/>
          <w:szCs w:val="20"/>
          <w:lang w:val="es-CR"/>
        </w:rPr>
        <w:t xml:space="preserve"> reitera que, conforme a su jurisprudencia</w:t>
      </w:r>
      <w:r w:rsidRPr="00744CE4">
        <w:rPr>
          <w:rFonts w:ascii="Verdana" w:hAnsi="Verdana" w:cs="Times New Roman"/>
          <w:sz w:val="20"/>
          <w:szCs w:val="20"/>
          <w:vertAlign w:val="superscript"/>
          <w:lang w:val="es-CR"/>
        </w:rPr>
        <w:footnoteReference w:id="581"/>
      </w:r>
      <w:r w:rsidRPr="00744CE4">
        <w:rPr>
          <w:rFonts w:ascii="Verdana" w:hAnsi="Verdana" w:cs="Times New Roman"/>
          <w:sz w:val="20"/>
          <w:szCs w:val="20"/>
          <w:lang w:val="es-CR"/>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w:t>
      </w:r>
      <w:r w:rsidR="005740DE">
        <w:rPr>
          <w:rFonts w:ascii="Verdana" w:hAnsi="Verdana" w:cs="Times New Roman"/>
          <w:sz w:val="20"/>
          <w:szCs w:val="20"/>
          <w:lang w:val="es-CR"/>
        </w:rPr>
        <w:t>S</w:t>
      </w:r>
      <w:r w:rsidRPr="00744CE4">
        <w:rPr>
          <w:rFonts w:ascii="Verdana" w:hAnsi="Verdana" w:cs="Times New Roman"/>
          <w:sz w:val="20"/>
          <w:szCs w:val="20"/>
          <w:lang w:val="es-CR"/>
        </w:rPr>
        <w:t xml:space="preserve">istema </w:t>
      </w:r>
      <w:r w:rsidR="005740DE">
        <w:rPr>
          <w:rFonts w:ascii="Verdana" w:hAnsi="Verdana" w:cs="Times New Roman"/>
          <w:sz w:val="20"/>
          <w:szCs w:val="20"/>
          <w:lang w:val="es-CR"/>
        </w:rPr>
        <w:t>I</w:t>
      </w:r>
      <w:r w:rsidRPr="00744CE4">
        <w:rPr>
          <w:rFonts w:ascii="Verdana" w:hAnsi="Verdana" w:cs="Times New Roman"/>
          <w:sz w:val="20"/>
          <w:szCs w:val="20"/>
          <w:lang w:val="es-CR"/>
        </w:rPr>
        <w:t>nteramericano, teniendo en cuenta las circunstancias del caso concreto y la naturaleza de la jurisdicción internacional de protección de derechos humanos. Esta apreciación debe ser realizada tomando en cuenta los gastos señalados por</w:t>
      </w:r>
      <w:r w:rsidRPr="00432ABC">
        <w:rPr>
          <w:rFonts w:ascii="Verdana" w:hAnsi="Verdana" w:cs="Times New Roman"/>
          <w:sz w:val="20"/>
          <w:szCs w:val="20"/>
          <w:lang w:val="es-CR"/>
        </w:rPr>
        <w:t xml:space="preserve"> las partes, siempre que su </w:t>
      </w:r>
      <w:r w:rsidRPr="00432ABC">
        <w:rPr>
          <w:rFonts w:ascii="Verdana" w:hAnsi="Verdana" w:cs="Times New Roman"/>
          <w:i/>
          <w:sz w:val="20"/>
          <w:szCs w:val="20"/>
          <w:lang w:val="es-CR"/>
        </w:rPr>
        <w:t>quantum</w:t>
      </w:r>
      <w:r w:rsidRPr="00432ABC">
        <w:rPr>
          <w:rFonts w:ascii="Verdana" w:hAnsi="Verdana" w:cs="Times New Roman"/>
          <w:sz w:val="20"/>
          <w:szCs w:val="20"/>
          <w:lang w:val="es-CR"/>
        </w:rPr>
        <w:t xml:space="preserve"> sea razonable</w:t>
      </w:r>
      <w:r w:rsidRPr="00744CE4">
        <w:rPr>
          <w:rFonts w:ascii="Verdana" w:hAnsi="Verdana" w:cs="Times New Roman"/>
          <w:sz w:val="20"/>
          <w:szCs w:val="20"/>
          <w:vertAlign w:val="superscript"/>
          <w:lang w:val="es-CR"/>
        </w:rPr>
        <w:footnoteReference w:id="582"/>
      </w:r>
      <w:r w:rsidRPr="00744CE4">
        <w:rPr>
          <w:rFonts w:ascii="Verdana" w:hAnsi="Verdana" w:cs="Times New Roman"/>
          <w:sz w:val="20"/>
          <w:szCs w:val="20"/>
          <w:lang w:val="es-CR"/>
        </w:rPr>
        <w:t xml:space="preserve">. </w:t>
      </w:r>
    </w:p>
    <w:p w14:paraId="33D29B22" w14:textId="7777777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CR"/>
        </w:rPr>
        <w:t>Este</w:t>
      </w:r>
      <w:r w:rsidRPr="00744CE4">
        <w:rPr>
          <w:rFonts w:ascii="Verdana" w:hAnsi="Verdana" w:cs="Times New Roman"/>
          <w:spacing w:val="-2"/>
          <w:sz w:val="20"/>
          <w:szCs w:val="20"/>
          <w:lang w:val="es-CR"/>
        </w:rPr>
        <w:t xml:space="preserve"> Tribunal </w:t>
      </w:r>
      <w:r w:rsidRPr="00744CE4">
        <w:rPr>
          <w:rFonts w:ascii="Verdana" w:eastAsia="Verdana" w:hAnsi="Verdana" w:cs="Times New Roman"/>
          <w:spacing w:val="1"/>
          <w:sz w:val="20"/>
          <w:szCs w:val="20"/>
          <w:lang w:val="es-CR"/>
        </w:rPr>
        <w:t>h</w:t>
      </w:r>
      <w:r w:rsidRPr="00432ABC">
        <w:rPr>
          <w:rFonts w:ascii="Verdana" w:eastAsia="Verdana" w:hAnsi="Verdana" w:cs="Times New Roman"/>
          <w:sz w:val="20"/>
          <w:szCs w:val="20"/>
          <w:lang w:val="es-CR"/>
        </w:rPr>
        <w:t>a</w:t>
      </w:r>
      <w:r w:rsidRPr="00432ABC">
        <w:rPr>
          <w:rFonts w:ascii="Verdana" w:eastAsia="Verdana" w:hAnsi="Verdana" w:cs="Times New Roman"/>
          <w:spacing w:val="59"/>
          <w:sz w:val="20"/>
          <w:szCs w:val="20"/>
          <w:lang w:val="es-CR"/>
        </w:rPr>
        <w:t xml:space="preserve"> </w:t>
      </w:r>
      <w:r w:rsidRPr="00432ABC">
        <w:rPr>
          <w:rFonts w:ascii="Verdana" w:eastAsia="Verdana" w:hAnsi="Verdana" w:cs="Times New Roman"/>
          <w:sz w:val="20"/>
          <w:szCs w:val="20"/>
          <w:lang w:val="es-CR"/>
        </w:rPr>
        <w:t>s</w:t>
      </w:r>
      <w:r w:rsidRPr="00432ABC">
        <w:rPr>
          <w:rFonts w:ascii="Verdana" w:eastAsia="Verdana" w:hAnsi="Verdana" w:cs="Times New Roman"/>
          <w:spacing w:val="-2"/>
          <w:sz w:val="20"/>
          <w:szCs w:val="20"/>
          <w:lang w:val="es-CR"/>
        </w:rPr>
        <w:t>e</w:t>
      </w:r>
      <w:r w:rsidRPr="00432ABC">
        <w:rPr>
          <w:rFonts w:ascii="Verdana" w:eastAsia="Verdana" w:hAnsi="Verdana" w:cs="Times New Roman"/>
          <w:spacing w:val="1"/>
          <w:sz w:val="20"/>
          <w:szCs w:val="20"/>
          <w:lang w:val="es-CR"/>
        </w:rPr>
        <w:t>ñ</w:t>
      </w:r>
      <w:r w:rsidRPr="00432ABC">
        <w:rPr>
          <w:rFonts w:ascii="Verdana" w:eastAsia="Verdana" w:hAnsi="Verdana" w:cs="Times New Roman"/>
          <w:sz w:val="20"/>
          <w:szCs w:val="20"/>
          <w:lang w:val="es-CR"/>
        </w:rPr>
        <w:t>a</w:t>
      </w:r>
      <w:r w:rsidRPr="002C462C">
        <w:rPr>
          <w:rFonts w:ascii="Verdana" w:eastAsia="Verdana" w:hAnsi="Verdana" w:cs="Times New Roman"/>
          <w:spacing w:val="3"/>
          <w:sz w:val="20"/>
          <w:szCs w:val="20"/>
          <w:lang w:val="es-CR"/>
        </w:rPr>
        <w:t>l</w:t>
      </w:r>
      <w:r w:rsidRPr="002C462C">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d</w:t>
      </w:r>
      <w:r w:rsidRPr="00744CE4">
        <w:rPr>
          <w:rFonts w:ascii="Verdana" w:eastAsia="Verdana" w:hAnsi="Verdana" w:cs="Times New Roman"/>
          <w:sz w:val="20"/>
          <w:szCs w:val="20"/>
          <w:lang w:val="es-CR"/>
        </w:rPr>
        <w:t>o</w:t>
      </w:r>
      <w:r w:rsidRPr="00744CE4">
        <w:rPr>
          <w:rFonts w:ascii="Verdana" w:eastAsia="Verdana" w:hAnsi="Verdana" w:cs="Times New Roman"/>
          <w:spacing w:val="51"/>
          <w:sz w:val="20"/>
          <w:szCs w:val="20"/>
          <w:lang w:val="es-CR"/>
        </w:rPr>
        <w:t xml:space="preserve"> </w:t>
      </w:r>
      <w:r w:rsidRPr="00744CE4">
        <w:rPr>
          <w:rFonts w:ascii="Verdana" w:eastAsia="Verdana" w:hAnsi="Verdana" w:cs="Times New Roman"/>
          <w:spacing w:val="1"/>
          <w:sz w:val="20"/>
          <w:szCs w:val="20"/>
          <w:lang w:val="es-CR"/>
        </w:rPr>
        <w:t>qu</w:t>
      </w:r>
      <w:r w:rsidRPr="00744CE4">
        <w:rPr>
          <w:rFonts w:ascii="Verdana" w:eastAsia="Verdana" w:hAnsi="Verdana" w:cs="Times New Roman"/>
          <w:sz w:val="20"/>
          <w:szCs w:val="20"/>
          <w:lang w:val="es-CR"/>
        </w:rPr>
        <w:t>e</w:t>
      </w:r>
      <w:r w:rsidRPr="00744CE4">
        <w:rPr>
          <w:rFonts w:ascii="Verdana" w:eastAsia="Verdana" w:hAnsi="Verdana" w:cs="Times New Roman"/>
          <w:spacing w:val="59"/>
          <w:sz w:val="20"/>
          <w:szCs w:val="20"/>
          <w:lang w:val="es-CR"/>
        </w:rPr>
        <w:t xml:space="preserve"> </w:t>
      </w:r>
      <w:r w:rsidRPr="00744CE4">
        <w:rPr>
          <w:rFonts w:ascii="Verdana" w:eastAsia="Verdana" w:hAnsi="Verdana" w:cs="Times New Roman"/>
          <w:sz w:val="20"/>
          <w:szCs w:val="20"/>
          <w:lang w:val="es-CR"/>
        </w:rPr>
        <w:t>“</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as</w:t>
      </w:r>
      <w:r w:rsidRPr="00744CE4">
        <w:rPr>
          <w:rFonts w:ascii="Verdana" w:eastAsia="Verdana" w:hAnsi="Verdana" w:cs="Times New Roman"/>
          <w:spacing w:val="58"/>
          <w:sz w:val="20"/>
          <w:szCs w:val="20"/>
          <w:lang w:val="es-CR"/>
        </w:rPr>
        <w:t xml:space="preserve"> </w:t>
      </w:r>
      <w:r w:rsidRPr="00744CE4">
        <w:rPr>
          <w:rFonts w:ascii="Verdana" w:eastAsia="Verdana" w:hAnsi="Verdana" w:cs="Times New Roman"/>
          <w:spacing w:val="1"/>
          <w:sz w:val="20"/>
          <w:szCs w:val="20"/>
          <w:lang w:val="es-CR"/>
        </w:rPr>
        <w:t>p</w:t>
      </w:r>
      <w:r w:rsidRPr="00744CE4">
        <w:rPr>
          <w:rFonts w:ascii="Verdana" w:eastAsia="Verdana" w:hAnsi="Verdana" w:cs="Times New Roman"/>
          <w:spacing w:val="-1"/>
          <w:sz w:val="20"/>
          <w:szCs w:val="20"/>
          <w:lang w:val="es-CR"/>
        </w:rPr>
        <w:t>re</w:t>
      </w:r>
      <w:r w:rsidRPr="00744CE4">
        <w:rPr>
          <w:rFonts w:ascii="Verdana" w:eastAsia="Verdana" w:hAnsi="Verdana" w:cs="Times New Roman"/>
          <w:spacing w:val="3"/>
          <w:sz w:val="20"/>
          <w:szCs w:val="20"/>
          <w:lang w:val="es-CR"/>
        </w:rPr>
        <w:t>t</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n</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i</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1"/>
          <w:sz w:val="20"/>
          <w:szCs w:val="20"/>
          <w:lang w:val="es-CR"/>
        </w:rPr>
        <w:t>ne</w:t>
      </w:r>
      <w:r w:rsidRPr="00744CE4">
        <w:rPr>
          <w:rFonts w:ascii="Verdana" w:eastAsia="Verdana" w:hAnsi="Verdana" w:cs="Times New Roman"/>
          <w:sz w:val="20"/>
          <w:szCs w:val="20"/>
          <w:lang w:val="es-CR"/>
        </w:rPr>
        <w:t>s</w:t>
      </w:r>
      <w:r w:rsidRPr="00744CE4">
        <w:rPr>
          <w:rFonts w:ascii="Verdana" w:eastAsia="Verdana" w:hAnsi="Verdana" w:cs="Times New Roman"/>
          <w:spacing w:val="48"/>
          <w:sz w:val="20"/>
          <w:szCs w:val="20"/>
          <w:lang w:val="es-CR"/>
        </w:rPr>
        <w:t xml:space="preserve"> </w:t>
      </w:r>
      <w:r w:rsidRPr="00744CE4">
        <w:rPr>
          <w:rFonts w:ascii="Verdana" w:eastAsia="Verdana" w:hAnsi="Verdana" w:cs="Times New Roman"/>
          <w:spacing w:val="1"/>
          <w:sz w:val="20"/>
          <w:szCs w:val="20"/>
          <w:lang w:val="es-CR"/>
        </w:rPr>
        <w:t>d</w:t>
      </w:r>
      <w:r w:rsidRPr="00744CE4">
        <w:rPr>
          <w:rFonts w:ascii="Verdana" w:eastAsia="Verdana" w:hAnsi="Verdana" w:cs="Times New Roman"/>
          <w:sz w:val="20"/>
          <w:szCs w:val="20"/>
          <w:lang w:val="es-CR"/>
        </w:rPr>
        <w:t>e</w:t>
      </w:r>
      <w:r w:rsidRPr="00744CE4">
        <w:rPr>
          <w:rFonts w:ascii="Verdana" w:eastAsia="Verdana" w:hAnsi="Verdana" w:cs="Times New Roman"/>
          <w:spacing w:val="58"/>
          <w:sz w:val="20"/>
          <w:szCs w:val="20"/>
          <w:lang w:val="es-CR"/>
        </w:rPr>
        <w:t xml:space="preserve"> </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as</w:t>
      </w:r>
      <w:r w:rsidRPr="00744CE4">
        <w:rPr>
          <w:rFonts w:ascii="Verdana" w:eastAsia="Verdana" w:hAnsi="Verdana" w:cs="Times New Roman"/>
          <w:spacing w:val="59"/>
          <w:sz w:val="20"/>
          <w:szCs w:val="20"/>
          <w:lang w:val="es-CR"/>
        </w:rPr>
        <w:t xml:space="preserve"> </w:t>
      </w:r>
      <w:r w:rsidRPr="00744CE4">
        <w:rPr>
          <w:rFonts w:ascii="Verdana" w:eastAsia="Verdana" w:hAnsi="Verdana" w:cs="Times New Roman"/>
          <w:sz w:val="20"/>
          <w:szCs w:val="20"/>
          <w:lang w:val="es-CR"/>
        </w:rPr>
        <w:t>v</w:t>
      </w:r>
      <w:r w:rsidRPr="00744CE4">
        <w:rPr>
          <w:rFonts w:ascii="Verdana" w:eastAsia="Verdana" w:hAnsi="Verdana" w:cs="Times New Roman"/>
          <w:spacing w:val="3"/>
          <w:sz w:val="20"/>
          <w:szCs w:val="20"/>
          <w:lang w:val="es-CR"/>
        </w:rPr>
        <w:t>í</w:t>
      </w:r>
      <w:r w:rsidRPr="00744CE4">
        <w:rPr>
          <w:rFonts w:ascii="Verdana" w:eastAsia="Verdana" w:hAnsi="Verdana" w:cs="Times New Roman"/>
          <w:sz w:val="20"/>
          <w:szCs w:val="20"/>
          <w:lang w:val="es-CR"/>
        </w:rPr>
        <w:t>ct</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m</w:t>
      </w:r>
      <w:r w:rsidRPr="00744CE4">
        <w:rPr>
          <w:rFonts w:ascii="Verdana" w:eastAsia="Verdana" w:hAnsi="Verdana" w:cs="Times New Roman"/>
          <w:spacing w:val="1"/>
          <w:sz w:val="20"/>
          <w:szCs w:val="20"/>
          <w:lang w:val="es-CR"/>
        </w:rPr>
        <w:t>a</w:t>
      </w:r>
      <w:r w:rsidRPr="00744CE4">
        <w:rPr>
          <w:rFonts w:ascii="Verdana" w:eastAsia="Verdana" w:hAnsi="Verdana" w:cs="Times New Roman"/>
          <w:sz w:val="20"/>
          <w:szCs w:val="20"/>
          <w:lang w:val="es-CR"/>
        </w:rPr>
        <w:t>s</w:t>
      </w:r>
      <w:r w:rsidRPr="00744CE4">
        <w:rPr>
          <w:rFonts w:ascii="Verdana" w:eastAsia="Verdana" w:hAnsi="Verdana" w:cs="Times New Roman"/>
          <w:spacing w:val="52"/>
          <w:sz w:val="20"/>
          <w:szCs w:val="20"/>
          <w:lang w:val="es-CR"/>
        </w:rPr>
        <w:t xml:space="preserve"> </w:t>
      </w:r>
      <w:r w:rsidRPr="00744CE4">
        <w:rPr>
          <w:rFonts w:ascii="Verdana" w:eastAsia="Verdana" w:hAnsi="Verdana" w:cs="Times New Roman"/>
          <w:sz w:val="20"/>
          <w:szCs w:val="20"/>
          <w:lang w:val="es-CR"/>
        </w:rPr>
        <w:t>o</w:t>
      </w:r>
      <w:r w:rsidRPr="00744CE4">
        <w:rPr>
          <w:rFonts w:ascii="Verdana" w:eastAsia="Verdana" w:hAnsi="Verdana" w:cs="Times New Roman"/>
          <w:spacing w:val="59"/>
          <w:sz w:val="20"/>
          <w:szCs w:val="20"/>
          <w:lang w:val="es-CR"/>
        </w:rPr>
        <w:t xml:space="preserve"> </w:t>
      </w:r>
      <w:r w:rsidRPr="00744CE4">
        <w:rPr>
          <w:rFonts w:ascii="Verdana" w:eastAsia="Verdana" w:hAnsi="Verdana" w:cs="Times New Roman"/>
          <w:spacing w:val="2"/>
          <w:sz w:val="20"/>
          <w:szCs w:val="20"/>
          <w:lang w:val="es-CR"/>
        </w:rPr>
        <w:t>s</w:t>
      </w:r>
      <w:r w:rsidRPr="00744CE4">
        <w:rPr>
          <w:rFonts w:ascii="Verdana" w:eastAsia="Verdana" w:hAnsi="Verdana" w:cs="Times New Roman"/>
          <w:spacing w:val="1"/>
          <w:sz w:val="20"/>
          <w:szCs w:val="20"/>
          <w:lang w:val="es-CR"/>
        </w:rPr>
        <w:t>u</w:t>
      </w:r>
      <w:r w:rsidRPr="00744CE4">
        <w:rPr>
          <w:rFonts w:ascii="Verdana" w:eastAsia="Verdana" w:hAnsi="Verdana" w:cs="Times New Roman"/>
          <w:sz w:val="20"/>
          <w:szCs w:val="20"/>
          <w:lang w:val="es-CR"/>
        </w:rPr>
        <w:t>s</w:t>
      </w:r>
      <w:r w:rsidRPr="00744CE4">
        <w:rPr>
          <w:rFonts w:ascii="Verdana" w:eastAsia="Verdana" w:hAnsi="Verdana" w:cs="Times New Roman"/>
          <w:spacing w:val="57"/>
          <w:sz w:val="20"/>
          <w:szCs w:val="20"/>
          <w:lang w:val="es-CR"/>
        </w:rPr>
        <w:t xml:space="preserve"> </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pr</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2"/>
          <w:sz w:val="20"/>
          <w:szCs w:val="20"/>
          <w:lang w:val="es-CR"/>
        </w:rPr>
        <w:t>s</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nt</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nt</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w:t>
      </w:r>
      <w:r w:rsidRPr="00744CE4">
        <w:rPr>
          <w:rFonts w:ascii="Verdana" w:eastAsia="Verdana" w:hAnsi="Verdana" w:cs="Times New Roman"/>
          <w:spacing w:val="48"/>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n m</w:t>
      </w:r>
      <w:r w:rsidRPr="00744CE4">
        <w:rPr>
          <w:rFonts w:ascii="Verdana" w:eastAsia="Verdana" w:hAnsi="Verdana" w:cs="Times New Roman"/>
          <w:spacing w:val="1"/>
          <w:sz w:val="20"/>
          <w:szCs w:val="20"/>
          <w:lang w:val="es-CR"/>
        </w:rPr>
        <w:t>at</w:t>
      </w:r>
      <w:r w:rsidRPr="00744CE4">
        <w:rPr>
          <w:rFonts w:ascii="Verdana" w:eastAsia="Verdana" w:hAnsi="Verdana" w:cs="Times New Roman"/>
          <w:spacing w:val="-1"/>
          <w:sz w:val="20"/>
          <w:szCs w:val="20"/>
          <w:lang w:val="es-CR"/>
        </w:rPr>
        <w:t>er</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a</w:t>
      </w:r>
      <w:r w:rsidRPr="00744CE4">
        <w:rPr>
          <w:rFonts w:ascii="Verdana" w:eastAsia="Verdana" w:hAnsi="Verdana" w:cs="Times New Roman"/>
          <w:spacing w:val="6"/>
          <w:sz w:val="20"/>
          <w:szCs w:val="20"/>
          <w:lang w:val="es-CR"/>
        </w:rPr>
        <w:t xml:space="preserve"> </w:t>
      </w:r>
      <w:r w:rsidRPr="00744CE4">
        <w:rPr>
          <w:rFonts w:ascii="Verdana" w:eastAsia="Verdana" w:hAnsi="Verdana" w:cs="Times New Roman"/>
          <w:spacing w:val="1"/>
          <w:sz w:val="20"/>
          <w:szCs w:val="20"/>
          <w:lang w:val="es-CR"/>
        </w:rPr>
        <w:t>d</w:t>
      </w:r>
      <w:r w:rsidRPr="00744CE4">
        <w:rPr>
          <w:rFonts w:ascii="Verdana" w:eastAsia="Verdana" w:hAnsi="Verdana" w:cs="Times New Roman"/>
          <w:sz w:val="20"/>
          <w:szCs w:val="20"/>
          <w:lang w:val="es-CR"/>
        </w:rPr>
        <w:t>e</w:t>
      </w:r>
      <w:r w:rsidRPr="00744CE4">
        <w:rPr>
          <w:rFonts w:ascii="Verdana" w:eastAsia="Verdana" w:hAnsi="Verdana" w:cs="Times New Roman"/>
          <w:spacing w:val="10"/>
          <w:sz w:val="20"/>
          <w:szCs w:val="20"/>
          <w:lang w:val="es-CR"/>
        </w:rPr>
        <w:t xml:space="preserve"> </w:t>
      </w:r>
      <w:r w:rsidRPr="00744CE4">
        <w:rPr>
          <w:rFonts w:ascii="Verdana" w:eastAsia="Verdana" w:hAnsi="Verdana" w:cs="Times New Roman"/>
          <w:sz w:val="20"/>
          <w:szCs w:val="20"/>
          <w:lang w:val="es-CR"/>
        </w:rPr>
        <w:t>c</w:t>
      </w:r>
      <w:r w:rsidRPr="00744CE4">
        <w:rPr>
          <w:rFonts w:ascii="Verdana" w:eastAsia="Verdana" w:hAnsi="Verdana" w:cs="Times New Roman"/>
          <w:spacing w:val="3"/>
          <w:sz w:val="20"/>
          <w:szCs w:val="20"/>
          <w:lang w:val="es-CR"/>
        </w:rPr>
        <w:t>o</w:t>
      </w:r>
      <w:r w:rsidRPr="00744CE4">
        <w:rPr>
          <w:rFonts w:ascii="Verdana" w:eastAsia="Verdana" w:hAnsi="Verdana" w:cs="Times New Roman"/>
          <w:sz w:val="20"/>
          <w:szCs w:val="20"/>
          <w:lang w:val="es-CR"/>
        </w:rPr>
        <w:t>stas</w:t>
      </w:r>
      <w:r w:rsidRPr="00744CE4">
        <w:rPr>
          <w:rFonts w:ascii="Verdana" w:eastAsia="Verdana" w:hAnsi="Verdana" w:cs="Times New Roman"/>
          <w:spacing w:val="8"/>
          <w:sz w:val="20"/>
          <w:szCs w:val="20"/>
          <w:lang w:val="es-CR"/>
        </w:rPr>
        <w:t xml:space="preserve"> </w:t>
      </w:r>
      <w:r w:rsidRPr="00744CE4">
        <w:rPr>
          <w:rFonts w:ascii="Verdana" w:eastAsia="Verdana" w:hAnsi="Verdana" w:cs="Times New Roman"/>
          <w:sz w:val="20"/>
          <w:szCs w:val="20"/>
          <w:lang w:val="es-CR"/>
        </w:rPr>
        <w:t>y</w:t>
      </w:r>
      <w:r w:rsidRPr="00744CE4">
        <w:rPr>
          <w:rFonts w:ascii="Verdana" w:eastAsia="Verdana" w:hAnsi="Verdana" w:cs="Times New Roman"/>
          <w:spacing w:val="13"/>
          <w:sz w:val="20"/>
          <w:szCs w:val="20"/>
          <w:lang w:val="es-CR"/>
        </w:rPr>
        <w:t xml:space="preserve"> </w:t>
      </w:r>
      <w:r w:rsidRPr="00744CE4">
        <w:rPr>
          <w:rFonts w:ascii="Verdana" w:eastAsia="Verdana" w:hAnsi="Verdana" w:cs="Times New Roman"/>
          <w:spacing w:val="1"/>
          <w:sz w:val="20"/>
          <w:szCs w:val="20"/>
          <w:lang w:val="es-CR"/>
        </w:rPr>
        <w:t>g</w:t>
      </w:r>
      <w:r w:rsidRPr="00744CE4">
        <w:rPr>
          <w:rFonts w:ascii="Verdana" w:eastAsia="Verdana" w:hAnsi="Verdana" w:cs="Times New Roman"/>
          <w:spacing w:val="2"/>
          <w:sz w:val="20"/>
          <w:szCs w:val="20"/>
          <w:lang w:val="es-CR"/>
        </w:rPr>
        <w:t>a</w:t>
      </w:r>
      <w:r w:rsidRPr="00744CE4">
        <w:rPr>
          <w:rFonts w:ascii="Verdana" w:eastAsia="Verdana" w:hAnsi="Verdana" w:cs="Times New Roman"/>
          <w:sz w:val="20"/>
          <w:szCs w:val="20"/>
          <w:lang w:val="es-CR"/>
        </w:rPr>
        <w:t>st</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2"/>
          <w:sz w:val="20"/>
          <w:szCs w:val="20"/>
          <w:lang w:val="es-CR"/>
        </w:rPr>
        <w:t>s</w:t>
      </w:r>
      <w:r w:rsidRPr="00744CE4">
        <w:rPr>
          <w:rFonts w:ascii="Verdana" w:eastAsia="Verdana" w:hAnsi="Verdana" w:cs="Times New Roman"/>
          <w:sz w:val="20"/>
          <w:szCs w:val="20"/>
          <w:lang w:val="es-CR"/>
        </w:rPr>
        <w:t>,</w:t>
      </w:r>
      <w:r w:rsidRPr="00744CE4">
        <w:rPr>
          <w:rFonts w:ascii="Verdana" w:eastAsia="Verdana" w:hAnsi="Verdana" w:cs="Times New Roman"/>
          <w:spacing w:val="7"/>
          <w:sz w:val="20"/>
          <w:szCs w:val="20"/>
          <w:lang w:val="es-CR"/>
        </w:rPr>
        <w:t xml:space="preserve"> </w:t>
      </w:r>
      <w:r w:rsidRPr="00744CE4">
        <w:rPr>
          <w:rFonts w:ascii="Verdana" w:eastAsia="Verdana" w:hAnsi="Verdana" w:cs="Times New Roman"/>
          <w:sz w:val="20"/>
          <w:szCs w:val="20"/>
          <w:lang w:val="es-CR"/>
        </w:rPr>
        <w:t>y</w:t>
      </w:r>
      <w:r w:rsidRPr="00744CE4">
        <w:rPr>
          <w:rFonts w:ascii="Verdana" w:eastAsia="Verdana" w:hAnsi="Verdana" w:cs="Times New Roman"/>
          <w:spacing w:val="13"/>
          <w:sz w:val="20"/>
          <w:szCs w:val="20"/>
          <w:lang w:val="es-CR"/>
        </w:rPr>
        <w:t xml:space="preserve"> </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as</w:t>
      </w:r>
      <w:r w:rsidRPr="00744CE4">
        <w:rPr>
          <w:rFonts w:ascii="Verdana" w:eastAsia="Verdana" w:hAnsi="Verdana" w:cs="Times New Roman"/>
          <w:spacing w:val="11"/>
          <w:sz w:val="20"/>
          <w:szCs w:val="20"/>
          <w:lang w:val="es-CR"/>
        </w:rPr>
        <w:t xml:space="preserve"> </w:t>
      </w:r>
      <w:r w:rsidRPr="00744CE4">
        <w:rPr>
          <w:rFonts w:ascii="Verdana" w:eastAsia="Verdana" w:hAnsi="Verdana" w:cs="Times New Roman"/>
          <w:spacing w:val="1"/>
          <w:sz w:val="20"/>
          <w:szCs w:val="20"/>
          <w:lang w:val="es-CR"/>
        </w:rPr>
        <w:t>p</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u</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b</w:t>
      </w:r>
      <w:r w:rsidRPr="00744CE4">
        <w:rPr>
          <w:rFonts w:ascii="Verdana" w:eastAsia="Verdana" w:hAnsi="Verdana" w:cs="Times New Roman"/>
          <w:sz w:val="20"/>
          <w:szCs w:val="20"/>
          <w:lang w:val="es-CR"/>
        </w:rPr>
        <w:t>as</w:t>
      </w:r>
      <w:r w:rsidRPr="00744CE4">
        <w:rPr>
          <w:rFonts w:ascii="Verdana" w:eastAsia="Verdana" w:hAnsi="Verdana" w:cs="Times New Roman"/>
          <w:spacing w:val="6"/>
          <w:sz w:val="20"/>
          <w:szCs w:val="20"/>
          <w:lang w:val="es-CR"/>
        </w:rPr>
        <w:t xml:space="preserve"> </w:t>
      </w:r>
      <w:r w:rsidRPr="00744CE4">
        <w:rPr>
          <w:rFonts w:ascii="Verdana" w:eastAsia="Verdana" w:hAnsi="Verdana" w:cs="Times New Roman"/>
          <w:spacing w:val="1"/>
          <w:sz w:val="20"/>
          <w:szCs w:val="20"/>
          <w:lang w:val="es-CR"/>
        </w:rPr>
        <w:t>qu</w:t>
      </w:r>
      <w:r w:rsidRPr="00744CE4">
        <w:rPr>
          <w:rFonts w:ascii="Verdana" w:eastAsia="Verdana" w:hAnsi="Verdana" w:cs="Times New Roman"/>
          <w:sz w:val="20"/>
          <w:szCs w:val="20"/>
          <w:lang w:val="es-CR"/>
        </w:rPr>
        <w:t>e</w:t>
      </w:r>
      <w:r w:rsidRPr="00744CE4">
        <w:rPr>
          <w:rFonts w:ascii="Verdana" w:eastAsia="Verdana" w:hAnsi="Verdana" w:cs="Times New Roman"/>
          <w:spacing w:val="11"/>
          <w:sz w:val="20"/>
          <w:szCs w:val="20"/>
          <w:lang w:val="es-CR"/>
        </w:rPr>
        <w:t xml:space="preserve"> </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as</w:t>
      </w:r>
      <w:r w:rsidRPr="00744CE4">
        <w:rPr>
          <w:rFonts w:ascii="Verdana" w:eastAsia="Verdana" w:hAnsi="Verdana" w:cs="Times New Roman"/>
          <w:spacing w:val="11"/>
          <w:sz w:val="20"/>
          <w:szCs w:val="20"/>
          <w:lang w:val="es-CR"/>
        </w:rPr>
        <w:t xml:space="preserve"> </w:t>
      </w:r>
      <w:r w:rsidRPr="00744CE4">
        <w:rPr>
          <w:rFonts w:ascii="Verdana" w:eastAsia="Verdana" w:hAnsi="Verdana" w:cs="Times New Roman"/>
          <w:sz w:val="20"/>
          <w:szCs w:val="20"/>
          <w:lang w:val="es-CR"/>
        </w:rPr>
        <w:t>sust</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nt</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n</w:t>
      </w:r>
      <w:r w:rsidRPr="00744CE4">
        <w:rPr>
          <w:rFonts w:ascii="Verdana" w:eastAsia="Verdana" w:hAnsi="Verdana" w:cs="Times New Roman"/>
          <w:sz w:val="20"/>
          <w:szCs w:val="20"/>
          <w:lang w:val="es-CR"/>
        </w:rPr>
        <w:t>,</w:t>
      </w:r>
      <w:r w:rsidRPr="00744CE4">
        <w:rPr>
          <w:rFonts w:ascii="Verdana" w:eastAsia="Verdana" w:hAnsi="Verdana" w:cs="Times New Roman"/>
          <w:spacing w:val="3"/>
          <w:sz w:val="20"/>
          <w:szCs w:val="20"/>
          <w:lang w:val="es-CR"/>
        </w:rPr>
        <w:t xml:space="preserve"> </w:t>
      </w:r>
      <w:r w:rsidRPr="00744CE4">
        <w:rPr>
          <w:rFonts w:ascii="Verdana" w:eastAsia="Verdana" w:hAnsi="Verdana" w:cs="Times New Roman"/>
          <w:spacing w:val="1"/>
          <w:sz w:val="20"/>
          <w:szCs w:val="20"/>
          <w:lang w:val="es-CR"/>
        </w:rPr>
        <w:t>d</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b</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n</w:t>
      </w:r>
      <w:r w:rsidRPr="00744CE4">
        <w:rPr>
          <w:rFonts w:ascii="Verdana" w:eastAsia="Verdana" w:hAnsi="Verdana" w:cs="Times New Roman"/>
          <w:spacing w:val="9"/>
          <w:sz w:val="20"/>
          <w:szCs w:val="20"/>
          <w:lang w:val="es-CR"/>
        </w:rPr>
        <w:t xml:space="preserve"> </w:t>
      </w:r>
      <w:r w:rsidRPr="00744CE4">
        <w:rPr>
          <w:rFonts w:ascii="Verdana" w:eastAsia="Verdana" w:hAnsi="Verdana" w:cs="Times New Roman"/>
          <w:spacing w:val="1"/>
          <w:sz w:val="20"/>
          <w:szCs w:val="20"/>
          <w:lang w:val="es-CR"/>
        </w:rPr>
        <w:t>p</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e</w:t>
      </w:r>
      <w:r w:rsidRPr="00744CE4">
        <w:rPr>
          <w:rFonts w:ascii="Verdana" w:eastAsia="Verdana" w:hAnsi="Verdana" w:cs="Times New Roman"/>
          <w:spacing w:val="1"/>
          <w:sz w:val="20"/>
          <w:szCs w:val="20"/>
          <w:lang w:val="es-CR"/>
        </w:rPr>
        <w:t>nt</w:t>
      </w:r>
      <w:r w:rsidRPr="00744CE4">
        <w:rPr>
          <w:rFonts w:ascii="Verdana" w:eastAsia="Verdana" w:hAnsi="Verdana" w:cs="Times New Roman"/>
          <w:sz w:val="20"/>
          <w:szCs w:val="20"/>
          <w:lang w:val="es-CR"/>
        </w:rPr>
        <w:t>a</w:t>
      </w:r>
      <w:r w:rsidRPr="00744CE4">
        <w:rPr>
          <w:rFonts w:ascii="Verdana" w:eastAsia="Verdana" w:hAnsi="Verdana" w:cs="Times New Roman"/>
          <w:spacing w:val="2"/>
          <w:sz w:val="20"/>
          <w:szCs w:val="20"/>
          <w:lang w:val="es-CR"/>
        </w:rPr>
        <w:t>r</w:t>
      </w:r>
      <w:r w:rsidRPr="00744CE4">
        <w:rPr>
          <w:rFonts w:ascii="Verdana" w:eastAsia="Verdana" w:hAnsi="Verdana" w:cs="Times New Roman"/>
          <w:sz w:val="20"/>
          <w:szCs w:val="20"/>
          <w:lang w:val="es-CR"/>
        </w:rPr>
        <w:t>se a</w:t>
      </w:r>
      <w:r w:rsidRPr="00744CE4">
        <w:rPr>
          <w:rFonts w:ascii="Verdana" w:eastAsia="Verdana" w:hAnsi="Verdana" w:cs="Times New Roman"/>
          <w:spacing w:val="13"/>
          <w:sz w:val="20"/>
          <w:szCs w:val="20"/>
          <w:lang w:val="es-CR"/>
        </w:rPr>
        <w:t xml:space="preserve"> </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w:t>
      </w:r>
      <w:r w:rsidRPr="00744CE4">
        <w:rPr>
          <w:rFonts w:ascii="Verdana" w:eastAsia="Verdana" w:hAnsi="Verdana" w:cs="Times New Roman"/>
          <w:spacing w:val="12"/>
          <w:sz w:val="20"/>
          <w:szCs w:val="20"/>
          <w:lang w:val="es-CR"/>
        </w:rPr>
        <w:t xml:space="preserve"> </w:t>
      </w:r>
      <w:r w:rsidRPr="00744CE4">
        <w:rPr>
          <w:rFonts w:ascii="Verdana" w:eastAsia="Verdana" w:hAnsi="Verdana" w:cs="Times New Roman"/>
          <w:sz w:val="20"/>
          <w:szCs w:val="20"/>
          <w:lang w:val="es-CR"/>
        </w:rPr>
        <w:t>C</w:t>
      </w:r>
      <w:r w:rsidRPr="00744CE4">
        <w:rPr>
          <w:rFonts w:ascii="Verdana" w:eastAsia="Verdana" w:hAnsi="Verdana" w:cs="Times New Roman"/>
          <w:spacing w:val="-1"/>
          <w:sz w:val="20"/>
          <w:szCs w:val="20"/>
          <w:lang w:val="es-CR"/>
        </w:rPr>
        <w:t>or</w:t>
      </w:r>
      <w:r w:rsidRPr="00744CE4">
        <w:rPr>
          <w:rFonts w:ascii="Verdana" w:eastAsia="Verdana" w:hAnsi="Verdana" w:cs="Times New Roman"/>
          <w:spacing w:val="3"/>
          <w:sz w:val="20"/>
          <w:szCs w:val="20"/>
          <w:lang w:val="es-CR"/>
        </w:rPr>
        <w:t>t</w:t>
      </w:r>
      <w:r w:rsidRPr="00744CE4">
        <w:rPr>
          <w:rFonts w:ascii="Verdana" w:eastAsia="Verdana" w:hAnsi="Verdana" w:cs="Times New Roman"/>
          <w:sz w:val="20"/>
          <w:szCs w:val="20"/>
          <w:lang w:val="es-CR"/>
        </w:rPr>
        <w:t>e</w:t>
      </w:r>
      <w:r w:rsidRPr="00744CE4">
        <w:rPr>
          <w:rFonts w:ascii="Verdana" w:eastAsia="Verdana" w:hAnsi="Verdana" w:cs="Times New Roman"/>
          <w:spacing w:val="9"/>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n</w:t>
      </w:r>
      <w:r w:rsidRPr="00744CE4">
        <w:rPr>
          <w:rFonts w:ascii="Verdana" w:eastAsia="Verdana" w:hAnsi="Verdana" w:cs="Times New Roman"/>
          <w:spacing w:val="12"/>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 xml:space="preserve">l </w:t>
      </w:r>
      <w:r w:rsidRPr="00744CE4">
        <w:rPr>
          <w:rFonts w:ascii="Verdana" w:eastAsia="Verdana" w:hAnsi="Verdana" w:cs="Times New Roman"/>
          <w:spacing w:val="1"/>
          <w:sz w:val="20"/>
          <w:szCs w:val="20"/>
          <w:lang w:val="es-CR"/>
        </w:rPr>
        <w:t>p</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mer</w:t>
      </w:r>
      <w:r w:rsidRPr="00744CE4">
        <w:rPr>
          <w:rFonts w:ascii="Verdana" w:eastAsia="Verdana" w:hAnsi="Verdana" w:cs="Times New Roman"/>
          <w:spacing w:val="-5"/>
          <w:sz w:val="20"/>
          <w:szCs w:val="20"/>
          <w:lang w:val="es-CR"/>
        </w:rPr>
        <w:t xml:space="preserve"> </w:t>
      </w:r>
      <w:r w:rsidRPr="00744CE4">
        <w:rPr>
          <w:rFonts w:ascii="Verdana" w:eastAsia="Verdana" w:hAnsi="Verdana" w:cs="Times New Roman"/>
          <w:sz w:val="20"/>
          <w:szCs w:val="20"/>
          <w:lang w:val="es-CR"/>
        </w:rPr>
        <w:t>mo</w:t>
      </w:r>
      <w:r w:rsidRPr="00744CE4">
        <w:rPr>
          <w:rFonts w:ascii="Verdana" w:eastAsia="Verdana" w:hAnsi="Verdana" w:cs="Times New Roman"/>
          <w:spacing w:val="3"/>
          <w:sz w:val="20"/>
          <w:szCs w:val="20"/>
          <w:lang w:val="es-CR"/>
        </w:rPr>
        <w:t>m</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nt</w:t>
      </w:r>
      <w:r w:rsidRPr="00744CE4">
        <w:rPr>
          <w:rFonts w:ascii="Verdana" w:eastAsia="Verdana" w:hAnsi="Verdana" w:cs="Times New Roman"/>
          <w:sz w:val="20"/>
          <w:szCs w:val="20"/>
          <w:lang w:val="es-CR"/>
        </w:rPr>
        <w:t>o</w:t>
      </w:r>
      <w:r w:rsidRPr="00744CE4">
        <w:rPr>
          <w:rFonts w:ascii="Verdana" w:eastAsia="Verdana" w:hAnsi="Verdana" w:cs="Times New Roman"/>
          <w:spacing w:val="-7"/>
          <w:sz w:val="20"/>
          <w:szCs w:val="20"/>
          <w:lang w:val="es-CR"/>
        </w:rPr>
        <w:t xml:space="preserve"> </w:t>
      </w:r>
      <w:r w:rsidRPr="00744CE4">
        <w:rPr>
          <w:rFonts w:ascii="Verdana" w:eastAsia="Verdana" w:hAnsi="Verdana" w:cs="Times New Roman"/>
          <w:spacing w:val="1"/>
          <w:sz w:val="20"/>
          <w:szCs w:val="20"/>
          <w:lang w:val="es-CR"/>
        </w:rPr>
        <w:t>p</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ce</w:t>
      </w:r>
      <w:r w:rsidRPr="00744CE4">
        <w:rPr>
          <w:rFonts w:ascii="Verdana" w:eastAsia="Verdana" w:hAnsi="Verdana" w:cs="Times New Roman"/>
          <w:spacing w:val="2"/>
          <w:sz w:val="20"/>
          <w:szCs w:val="20"/>
          <w:lang w:val="es-CR"/>
        </w:rPr>
        <w:t>s</w:t>
      </w:r>
      <w:r w:rsidRPr="00744CE4">
        <w:rPr>
          <w:rFonts w:ascii="Verdana" w:eastAsia="Verdana" w:hAnsi="Verdana" w:cs="Times New Roman"/>
          <w:sz w:val="20"/>
          <w:szCs w:val="20"/>
          <w:lang w:val="es-CR"/>
        </w:rPr>
        <w:t>al</w:t>
      </w:r>
      <w:r w:rsidRPr="00744CE4">
        <w:rPr>
          <w:rFonts w:ascii="Verdana" w:eastAsia="Verdana" w:hAnsi="Verdana" w:cs="Times New Roman"/>
          <w:spacing w:val="-4"/>
          <w:sz w:val="20"/>
          <w:szCs w:val="20"/>
          <w:lang w:val="es-CR"/>
        </w:rPr>
        <w:t xml:space="preserve"> </w:t>
      </w:r>
      <w:r w:rsidRPr="00744CE4">
        <w:rPr>
          <w:rFonts w:ascii="Verdana" w:eastAsia="Verdana" w:hAnsi="Verdana" w:cs="Times New Roman"/>
          <w:spacing w:val="1"/>
          <w:sz w:val="20"/>
          <w:szCs w:val="20"/>
          <w:lang w:val="es-CR"/>
        </w:rPr>
        <w:t>qu</w:t>
      </w:r>
      <w:r w:rsidRPr="00744CE4">
        <w:rPr>
          <w:rFonts w:ascii="Verdana" w:eastAsia="Verdana" w:hAnsi="Verdana" w:cs="Times New Roman"/>
          <w:sz w:val="20"/>
          <w:szCs w:val="20"/>
          <w:lang w:val="es-CR"/>
        </w:rPr>
        <w:t>e</w:t>
      </w:r>
      <w:r w:rsidRPr="00744CE4">
        <w:rPr>
          <w:rFonts w:ascii="Verdana" w:eastAsia="Verdana" w:hAnsi="Verdana" w:cs="Times New Roman"/>
          <w:spacing w:val="-1"/>
          <w:sz w:val="20"/>
          <w:szCs w:val="20"/>
          <w:lang w:val="es-CR"/>
        </w:rPr>
        <w:t xml:space="preserve"> </w:t>
      </w:r>
      <w:r w:rsidRPr="00744CE4">
        <w:rPr>
          <w:rFonts w:ascii="Verdana" w:eastAsia="Verdana" w:hAnsi="Verdana" w:cs="Times New Roman"/>
          <w:sz w:val="20"/>
          <w:szCs w:val="20"/>
          <w:lang w:val="es-CR"/>
        </w:rPr>
        <w:t xml:space="preserve">se </w:t>
      </w:r>
      <w:r w:rsidRPr="00744CE4">
        <w:rPr>
          <w:rFonts w:ascii="Verdana" w:eastAsia="Verdana" w:hAnsi="Verdana" w:cs="Times New Roman"/>
          <w:spacing w:val="3"/>
          <w:sz w:val="20"/>
          <w:szCs w:val="20"/>
          <w:lang w:val="es-CR"/>
        </w:rPr>
        <w:t>l</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 c</w:t>
      </w:r>
      <w:r w:rsidRPr="00744CE4">
        <w:rPr>
          <w:rFonts w:ascii="Verdana" w:eastAsia="Verdana" w:hAnsi="Verdana" w:cs="Times New Roman"/>
          <w:spacing w:val="-2"/>
          <w:sz w:val="20"/>
          <w:szCs w:val="20"/>
          <w:lang w:val="es-CR"/>
        </w:rPr>
        <w:t>o</w:t>
      </w:r>
      <w:r w:rsidRPr="00744CE4">
        <w:rPr>
          <w:rFonts w:ascii="Verdana" w:eastAsia="Verdana" w:hAnsi="Verdana" w:cs="Times New Roman"/>
          <w:spacing w:val="1"/>
          <w:sz w:val="20"/>
          <w:szCs w:val="20"/>
          <w:lang w:val="es-CR"/>
        </w:rPr>
        <w:t>n</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e</w:t>
      </w:r>
      <w:r w:rsidRPr="00744CE4">
        <w:rPr>
          <w:rFonts w:ascii="Verdana" w:eastAsia="Verdana" w:hAnsi="Verdana" w:cs="Times New Roman"/>
          <w:spacing w:val="3"/>
          <w:sz w:val="20"/>
          <w:szCs w:val="20"/>
          <w:lang w:val="es-CR"/>
        </w:rPr>
        <w:t>d</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w:t>
      </w:r>
      <w:r w:rsidRPr="00744CE4">
        <w:rPr>
          <w:rFonts w:ascii="Verdana" w:eastAsia="Verdana" w:hAnsi="Verdana" w:cs="Times New Roman"/>
          <w:spacing w:val="-3"/>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sto</w:t>
      </w:r>
      <w:r w:rsidRPr="00744CE4">
        <w:rPr>
          <w:rFonts w:ascii="Verdana" w:eastAsia="Verdana" w:hAnsi="Verdana" w:cs="Times New Roman"/>
          <w:spacing w:val="-1"/>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 xml:space="preserve">s,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n</w:t>
      </w:r>
      <w:r w:rsidRPr="00744CE4">
        <w:rPr>
          <w:rFonts w:ascii="Verdana" w:eastAsia="Verdana" w:hAnsi="Verdana" w:cs="Times New Roman"/>
          <w:spacing w:val="3"/>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l</w:t>
      </w:r>
      <w:r w:rsidRPr="00744CE4">
        <w:rPr>
          <w:rFonts w:ascii="Verdana" w:eastAsia="Verdana" w:hAnsi="Verdana" w:cs="Times New Roman"/>
          <w:spacing w:val="4"/>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w:t>
      </w:r>
      <w:r w:rsidRPr="00744CE4">
        <w:rPr>
          <w:rFonts w:ascii="Verdana" w:eastAsia="Verdana" w:hAnsi="Verdana" w:cs="Times New Roman"/>
          <w:spacing w:val="1"/>
          <w:sz w:val="20"/>
          <w:szCs w:val="20"/>
          <w:lang w:val="es-CR"/>
        </w:rPr>
        <w:t>c</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t</w:t>
      </w:r>
      <w:r w:rsidRPr="00744CE4">
        <w:rPr>
          <w:rFonts w:ascii="Verdana" w:eastAsia="Verdana" w:hAnsi="Verdana" w:cs="Times New Roman"/>
          <w:sz w:val="20"/>
          <w:szCs w:val="20"/>
          <w:lang w:val="es-CR"/>
        </w:rPr>
        <w:t>o</w:t>
      </w:r>
      <w:r w:rsidRPr="00744CE4">
        <w:rPr>
          <w:rFonts w:ascii="Verdana" w:eastAsia="Verdana" w:hAnsi="Verdana" w:cs="Times New Roman"/>
          <w:spacing w:val="-4"/>
          <w:sz w:val="20"/>
          <w:szCs w:val="20"/>
          <w:lang w:val="es-CR"/>
        </w:rPr>
        <w:t xml:space="preserve"> </w:t>
      </w:r>
      <w:r w:rsidRPr="00744CE4">
        <w:rPr>
          <w:rFonts w:ascii="Verdana" w:eastAsia="Verdana" w:hAnsi="Verdana" w:cs="Times New Roman"/>
          <w:spacing w:val="1"/>
          <w:sz w:val="20"/>
          <w:szCs w:val="20"/>
          <w:lang w:val="es-CR"/>
        </w:rPr>
        <w:t>d</w:t>
      </w:r>
      <w:r w:rsidRPr="00744CE4">
        <w:rPr>
          <w:rFonts w:ascii="Verdana" w:eastAsia="Verdana" w:hAnsi="Verdana" w:cs="Times New Roman"/>
          <w:sz w:val="20"/>
          <w:szCs w:val="20"/>
          <w:lang w:val="es-CR"/>
        </w:rPr>
        <w:t>e</w:t>
      </w:r>
      <w:r w:rsidRPr="00744CE4">
        <w:rPr>
          <w:rFonts w:ascii="Verdana" w:eastAsia="Verdana" w:hAnsi="Verdana" w:cs="Times New Roman"/>
          <w:spacing w:val="1"/>
          <w:sz w:val="20"/>
          <w:szCs w:val="20"/>
          <w:lang w:val="es-CR"/>
        </w:rPr>
        <w:t xml:space="preserve"> </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o</w:t>
      </w:r>
      <w:r w:rsidRPr="00744CE4">
        <w:rPr>
          <w:rFonts w:ascii="Verdana" w:eastAsia="Verdana" w:hAnsi="Verdana" w:cs="Times New Roman"/>
          <w:spacing w:val="3"/>
          <w:sz w:val="20"/>
          <w:szCs w:val="20"/>
          <w:lang w:val="es-CR"/>
        </w:rPr>
        <w:t>li</w:t>
      </w:r>
      <w:r w:rsidRPr="00744CE4">
        <w:rPr>
          <w:rFonts w:ascii="Verdana" w:eastAsia="Verdana" w:hAnsi="Verdana" w:cs="Times New Roman"/>
          <w:spacing w:val="-3"/>
          <w:sz w:val="20"/>
          <w:szCs w:val="20"/>
          <w:lang w:val="es-CR"/>
        </w:rPr>
        <w:t>c</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tud</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w:t>
      </w:r>
      <w:r w:rsidRPr="00744CE4">
        <w:rPr>
          <w:rFonts w:ascii="Verdana" w:eastAsia="Verdana" w:hAnsi="Verdana" w:cs="Times New Roman"/>
          <w:spacing w:val="-7"/>
          <w:sz w:val="20"/>
          <w:szCs w:val="20"/>
          <w:lang w:val="es-CR"/>
        </w:rPr>
        <w:t xml:space="preserve"> </w:t>
      </w:r>
      <w:r w:rsidRPr="00744CE4">
        <w:rPr>
          <w:rFonts w:ascii="Verdana" w:eastAsia="Verdana" w:hAnsi="Verdana" w:cs="Times New Roman"/>
          <w:sz w:val="20"/>
          <w:szCs w:val="20"/>
          <w:lang w:val="es-CR"/>
        </w:rPr>
        <w:t>y</w:t>
      </w:r>
      <w:r w:rsidRPr="00744CE4">
        <w:rPr>
          <w:rFonts w:ascii="Verdana" w:eastAsia="Verdana" w:hAnsi="Verdana" w:cs="Times New Roman"/>
          <w:spacing w:val="3"/>
          <w:sz w:val="20"/>
          <w:szCs w:val="20"/>
          <w:lang w:val="es-CR"/>
        </w:rPr>
        <w:t xml:space="preserve"> </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gu</w:t>
      </w:r>
      <w:r w:rsidRPr="00744CE4">
        <w:rPr>
          <w:rFonts w:ascii="Verdana" w:eastAsia="Verdana" w:hAnsi="Verdana" w:cs="Times New Roman"/>
          <w:sz w:val="20"/>
          <w:szCs w:val="20"/>
          <w:lang w:val="es-CR"/>
        </w:rPr>
        <w:t>men</w:t>
      </w:r>
      <w:r w:rsidRPr="00744CE4">
        <w:rPr>
          <w:rFonts w:ascii="Verdana" w:eastAsia="Verdana" w:hAnsi="Verdana" w:cs="Times New Roman"/>
          <w:spacing w:val="1"/>
          <w:sz w:val="20"/>
          <w:szCs w:val="20"/>
          <w:lang w:val="es-CR"/>
        </w:rPr>
        <w:t>t</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s,</w:t>
      </w:r>
      <w:r w:rsidRPr="00744CE4">
        <w:rPr>
          <w:rFonts w:ascii="Verdana" w:eastAsia="Verdana" w:hAnsi="Verdana" w:cs="Times New Roman"/>
          <w:spacing w:val="-10"/>
          <w:sz w:val="20"/>
          <w:szCs w:val="20"/>
          <w:lang w:val="es-CR"/>
        </w:rPr>
        <w:t xml:space="preserve"> </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i</w:t>
      </w:r>
      <w:r w:rsidRPr="00744CE4">
        <w:rPr>
          <w:rFonts w:ascii="Verdana" w:eastAsia="Verdana" w:hAnsi="Verdana" w:cs="Times New Roman"/>
          <w:sz w:val="20"/>
          <w:szCs w:val="20"/>
          <w:lang w:val="es-CR"/>
        </w:rPr>
        <w:t xml:space="preserve">n </w:t>
      </w:r>
      <w:r w:rsidRPr="00744CE4">
        <w:rPr>
          <w:rFonts w:ascii="Verdana" w:eastAsia="Verdana" w:hAnsi="Verdana" w:cs="Times New Roman"/>
          <w:spacing w:val="1"/>
          <w:sz w:val="20"/>
          <w:szCs w:val="20"/>
          <w:lang w:val="es-CR"/>
        </w:rPr>
        <w:t>p</w:t>
      </w:r>
      <w:r w:rsidRPr="00744CE4">
        <w:rPr>
          <w:rFonts w:ascii="Verdana" w:eastAsia="Verdana" w:hAnsi="Verdana" w:cs="Times New Roman"/>
          <w:spacing w:val="-1"/>
          <w:sz w:val="20"/>
          <w:szCs w:val="20"/>
          <w:lang w:val="es-CR"/>
        </w:rPr>
        <w:t>er</w:t>
      </w:r>
      <w:r w:rsidRPr="00744CE4">
        <w:rPr>
          <w:rFonts w:ascii="Verdana" w:eastAsia="Verdana" w:hAnsi="Verdana" w:cs="Times New Roman"/>
          <w:spacing w:val="1"/>
          <w:sz w:val="20"/>
          <w:szCs w:val="20"/>
          <w:lang w:val="es-CR"/>
        </w:rPr>
        <w:t>ju</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i</w:t>
      </w:r>
      <w:r w:rsidRPr="00744CE4">
        <w:rPr>
          <w:rFonts w:ascii="Verdana" w:eastAsia="Verdana" w:hAnsi="Verdana" w:cs="Times New Roman"/>
          <w:sz w:val="20"/>
          <w:szCs w:val="20"/>
          <w:lang w:val="es-CR"/>
        </w:rPr>
        <w:t>o</w:t>
      </w:r>
      <w:r w:rsidRPr="00744CE4">
        <w:rPr>
          <w:rFonts w:ascii="Verdana" w:eastAsia="Verdana" w:hAnsi="Verdana" w:cs="Times New Roman"/>
          <w:spacing w:val="1"/>
          <w:sz w:val="20"/>
          <w:szCs w:val="20"/>
          <w:lang w:val="es-CR"/>
        </w:rPr>
        <w:t xml:space="preserve"> d</w:t>
      </w:r>
      <w:r w:rsidRPr="00744CE4">
        <w:rPr>
          <w:rFonts w:ascii="Verdana" w:eastAsia="Verdana" w:hAnsi="Verdana" w:cs="Times New Roman"/>
          <w:sz w:val="20"/>
          <w:szCs w:val="20"/>
          <w:lang w:val="es-CR"/>
        </w:rPr>
        <w:t>e</w:t>
      </w:r>
      <w:r w:rsidRPr="00744CE4">
        <w:rPr>
          <w:rFonts w:ascii="Verdana" w:eastAsia="Verdana" w:hAnsi="Verdana" w:cs="Times New Roman"/>
          <w:spacing w:val="7"/>
          <w:sz w:val="20"/>
          <w:szCs w:val="20"/>
          <w:lang w:val="es-CR"/>
        </w:rPr>
        <w:t xml:space="preserve"> </w:t>
      </w:r>
      <w:r w:rsidRPr="00744CE4">
        <w:rPr>
          <w:rFonts w:ascii="Verdana" w:eastAsia="Verdana" w:hAnsi="Verdana" w:cs="Times New Roman"/>
          <w:spacing w:val="1"/>
          <w:sz w:val="20"/>
          <w:szCs w:val="20"/>
          <w:lang w:val="es-CR"/>
        </w:rPr>
        <w:t>qu</w:t>
      </w:r>
      <w:r w:rsidRPr="00744CE4">
        <w:rPr>
          <w:rFonts w:ascii="Verdana" w:eastAsia="Verdana" w:hAnsi="Verdana" w:cs="Times New Roman"/>
          <w:sz w:val="20"/>
          <w:szCs w:val="20"/>
          <w:lang w:val="es-CR"/>
        </w:rPr>
        <w:t>e</w:t>
      </w:r>
      <w:r w:rsidRPr="00744CE4">
        <w:rPr>
          <w:rFonts w:ascii="Verdana" w:eastAsia="Verdana" w:hAnsi="Verdana" w:cs="Times New Roman"/>
          <w:spacing w:val="6"/>
          <w:sz w:val="20"/>
          <w:szCs w:val="20"/>
          <w:lang w:val="es-CR"/>
        </w:rPr>
        <w:t xml:space="preserve"> </w:t>
      </w:r>
      <w:r w:rsidRPr="00744CE4">
        <w:rPr>
          <w:rFonts w:ascii="Verdana" w:eastAsia="Verdana" w:hAnsi="Verdana" w:cs="Times New Roman"/>
          <w:spacing w:val="1"/>
          <w:sz w:val="20"/>
          <w:szCs w:val="20"/>
          <w:lang w:val="es-CR"/>
        </w:rPr>
        <w:t>t</w:t>
      </w:r>
      <w:r w:rsidRPr="00744CE4">
        <w:rPr>
          <w:rFonts w:ascii="Verdana" w:eastAsia="Verdana" w:hAnsi="Verdana" w:cs="Times New Roman"/>
          <w:sz w:val="20"/>
          <w:szCs w:val="20"/>
          <w:lang w:val="es-CR"/>
        </w:rPr>
        <w:t>a</w:t>
      </w:r>
      <w:r w:rsidRPr="00744CE4">
        <w:rPr>
          <w:rFonts w:ascii="Verdana" w:eastAsia="Verdana" w:hAnsi="Verdana" w:cs="Times New Roman"/>
          <w:spacing w:val="3"/>
          <w:sz w:val="20"/>
          <w:szCs w:val="20"/>
          <w:lang w:val="es-CR"/>
        </w:rPr>
        <w:t>l</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w:t>
      </w:r>
      <w:r w:rsidRPr="00744CE4">
        <w:rPr>
          <w:rFonts w:ascii="Verdana" w:eastAsia="Verdana" w:hAnsi="Verdana" w:cs="Times New Roman"/>
          <w:spacing w:val="5"/>
          <w:sz w:val="20"/>
          <w:szCs w:val="20"/>
          <w:lang w:val="es-CR"/>
        </w:rPr>
        <w:t xml:space="preserve"> </w:t>
      </w:r>
      <w:r w:rsidRPr="00744CE4">
        <w:rPr>
          <w:rFonts w:ascii="Verdana" w:eastAsia="Verdana" w:hAnsi="Verdana" w:cs="Times New Roman"/>
          <w:spacing w:val="3"/>
          <w:sz w:val="20"/>
          <w:szCs w:val="20"/>
          <w:lang w:val="es-CR"/>
        </w:rPr>
        <w:t>p</w:t>
      </w:r>
      <w:r w:rsidRPr="00744CE4">
        <w:rPr>
          <w:rFonts w:ascii="Verdana" w:eastAsia="Verdana" w:hAnsi="Verdana" w:cs="Times New Roman"/>
          <w:spacing w:val="-1"/>
          <w:sz w:val="20"/>
          <w:szCs w:val="20"/>
          <w:lang w:val="es-CR"/>
        </w:rPr>
        <w:t>re</w:t>
      </w:r>
      <w:r w:rsidRPr="00744CE4">
        <w:rPr>
          <w:rFonts w:ascii="Verdana" w:eastAsia="Verdana" w:hAnsi="Verdana" w:cs="Times New Roman"/>
          <w:spacing w:val="3"/>
          <w:sz w:val="20"/>
          <w:szCs w:val="20"/>
          <w:lang w:val="es-CR"/>
        </w:rPr>
        <w:t>t</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n</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i</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1"/>
          <w:sz w:val="20"/>
          <w:szCs w:val="20"/>
          <w:lang w:val="es-CR"/>
        </w:rPr>
        <w:t>n</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 xml:space="preserve">s </w:t>
      </w:r>
      <w:r w:rsidRPr="00744CE4">
        <w:rPr>
          <w:rFonts w:ascii="Verdana" w:eastAsia="Verdana" w:hAnsi="Verdana" w:cs="Times New Roman"/>
          <w:spacing w:val="2"/>
          <w:sz w:val="20"/>
          <w:szCs w:val="20"/>
          <w:lang w:val="es-CR"/>
        </w:rPr>
        <w:t>s</w:t>
      </w:r>
      <w:r w:rsidRPr="00744CE4">
        <w:rPr>
          <w:rFonts w:ascii="Verdana" w:eastAsia="Verdana" w:hAnsi="Verdana" w:cs="Times New Roman"/>
          <w:sz w:val="20"/>
          <w:szCs w:val="20"/>
          <w:lang w:val="es-CR"/>
        </w:rPr>
        <w:t>e</w:t>
      </w:r>
      <w:r w:rsidRPr="00744CE4">
        <w:rPr>
          <w:rFonts w:ascii="Verdana" w:eastAsia="Verdana" w:hAnsi="Verdana" w:cs="Times New Roman"/>
          <w:spacing w:val="8"/>
          <w:sz w:val="20"/>
          <w:szCs w:val="20"/>
          <w:lang w:val="es-CR"/>
        </w:rPr>
        <w:t xml:space="preserve"> </w:t>
      </w:r>
      <w:r w:rsidRPr="00744CE4">
        <w:rPr>
          <w:rFonts w:ascii="Verdana" w:eastAsia="Verdana" w:hAnsi="Verdana" w:cs="Times New Roman"/>
          <w:sz w:val="20"/>
          <w:szCs w:val="20"/>
          <w:lang w:val="es-CR"/>
        </w:rPr>
        <w:t>act</w:t>
      </w:r>
      <w:r w:rsidRPr="00744CE4">
        <w:rPr>
          <w:rFonts w:ascii="Verdana" w:eastAsia="Verdana" w:hAnsi="Verdana" w:cs="Times New Roman"/>
          <w:spacing w:val="2"/>
          <w:sz w:val="20"/>
          <w:szCs w:val="20"/>
          <w:lang w:val="es-CR"/>
        </w:rPr>
        <w:t>u</w:t>
      </w:r>
      <w:r w:rsidRPr="00744CE4">
        <w:rPr>
          <w:rFonts w:ascii="Verdana" w:eastAsia="Verdana" w:hAnsi="Verdana" w:cs="Times New Roman"/>
          <w:sz w:val="20"/>
          <w:szCs w:val="20"/>
          <w:lang w:val="es-CR"/>
        </w:rPr>
        <w:t>a</w:t>
      </w:r>
      <w:r w:rsidRPr="00744CE4">
        <w:rPr>
          <w:rFonts w:ascii="Verdana" w:eastAsia="Verdana" w:hAnsi="Verdana" w:cs="Times New Roman"/>
          <w:spacing w:val="3"/>
          <w:sz w:val="20"/>
          <w:szCs w:val="20"/>
          <w:lang w:val="es-CR"/>
        </w:rPr>
        <w:t>li</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e</w:t>
      </w:r>
      <w:r w:rsidRPr="00744CE4">
        <w:rPr>
          <w:rFonts w:ascii="Verdana" w:eastAsia="Verdana" w:hAnsi="Verdana" w:cs="Times New Roman"/>
          <w:sz w:val="20"/>
          <w:szCs w:val="20"/>
          <w:lang w:val="es-CR"/>
        </w:rPr>
        <w:t>n</w:t>
      </w:r>
      <w:r w:rsidRPr="00744CE4">
        <w:rPr>
          <w:rFonts w:ascii="Verdana" w:eastAsia="Verdana" w:hAnsi="Verdana" w:cs="Times New Roman"/>
          <w:spacing w:val="2"/>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n</w:t>
      </w:r>
      <w:r w:rsidRPr="00744CE4">
        <w:rPr>
          <w:rFonts w:ascii="Verdana" w:eastAsia="Verdana" w:hAnsi="Verdana" w:cs="Times New Roman"/>
          <w:spacing w:val="9"/>
          <w:sz w:val="20"/>
          <w:szCs w:val="20"/>
          <w:lang w:val="es-CR"/>
        </w:rPr>
        <w:t xml:space="preserve"> </w:t>
      </w:r>
      <w:r w:rsidRPr="00744CE4">
        <w:rPr>
          <w:rFonts w:ascii="Verdana" w:eastAsia="Verdana" w:hAnsi="Verdana" w:cs="Times New Roman"/>
          <w:spacing w:val="1"/>
          <w:sz w:val="20"/>
          <w:szCs w:val="20"/>
          <w:lang w:val="es-CR"/>
        </w:rPr>
        <w:t>u</w:t>
      </w:r>
      <w:r w:rsidRPr="00744CE4">
        <w:rPr>
          <w:rFonts w:ascii="Verdana" w:eastAsia="Verdana" w:hAnsi="Verdana" w:cs="Times New Roman"/>
          <w:sz w:val="20"/>
          <w:szCs w:val="20"/>
          <w:lang w:val="es-CR"/>
        </w:rPr>
        <w:t>n</w:t>
      </w:r>
      <w:r w:rsidRPr="00744CE4">
        <w:rPr>
          <w:rFonts w:ascii="Verdana" w:eastAsia="Verdana" w:hAnsi="Verdana" w:cs="Times New Roman"/>
          <w:spacing w:val="9"/>
          <w:sz w:val="20"/>
          <w:szCs w:val="20"/>
          <w:lang w:val="es-CR"/>
        </w:rPr>
        <w:t xml:space="preserve"> </w:t>
      </w:r>
      <w:r w:rsidRPr="00744CE4">
        <w:rPr>
          <w:rFonts w:ascii="Verdana" w:eastAsia="Verdana" w:hAnsi="Verdana" w:cs="Times New Roman"/>
          <w:sz w:val="20"/>
          <w:szCs w:val="20"/>
          <w:lang w:val="es-CR"/>
        </w:rPr>
        <w:t>mo</w:t>
      </w:r>
      <w:r w:rsidRPr="00744CE4">
        <w:rPr>
          <w:rFonts w:ascii="Verdana" w:eastAsia="Verdana" w:hAnsi="Verdana" w:cs="Times New Roman"/>
          <w:spacing w:val="3"/>
          <w:sz w:val="20"/>
          <w:szCs w:val="20"/>
          <w:lang w:val="es-CR"/>
        </w:rPr>
        <w:t>m</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nt</w:t>
      </w:r>
      <w:r w:rsidRPr="00744CE4">
        <w:rPr>
          <w:rFonts w:ascii="Verdana" w:eastAsia="Verdana" w:hAnsi="Verdana" w:cs="Times New Roman"/>
          <w:sz w:val="20"/>
          <w:szCs w:val="20"/>
          <w:lang w:val="es-CR"/>
        </w:rPr>
        <w:t>o</w:t>
      </w:r>
      <w:r w:rsidRPr="00744CE4">
        <w:rPr>
          <w:rFonts w:ascii="Verdana" w:eastAsia="Verdana" w:hAnsi="Verdana" w:cs="Times New Roman"/>
          <w:spacing w:val="2"/>
          <w:sz w:val="20"/>
          <w:szCs w:val="20"/>
          <w:lang w:val="es-CR"/>
        </w:rPr>
        <w:t xml:space="preserve"> </w:t>
      </w:r>
      <w:r w:rsidRPr="00744CE4">
        <w:rPr>
          <w:rFonts w:ascii="Verdana" w:eastAsia="Verdana" w:hAnsi="Verdana" w:cs="Times New Roman"/>
          <w:spacing w:val="1"/>
          <w:sz w:val="20"/>
          <w:szCs w:val="20"/>
          <w:lang w:val="es-CR"/>
        </w:rPr>
        <w:t>po</w:t>
      </w:r>
      <w:r w:rsidRPr="00744CE4">
        <w:rPr>
          <w:rFonts w:ascii="Verdana" w:eastAsia="Verdana" w:hAnsi="Verdana" w:cs="Times New Roman"/>
          <w:sz w:val="20"/>
          <w:szCs w:val="20"/>
          <w:lang w:val="es-CR"/>
        </w:rPr>
        <w:t>st</w:t>
      </w:r>
      <w:r w:rsidRPr="00744CE4">
        <w:rPr>
          <w:rFonts w:ascii="Verdana" w:eastAsia="Verdana" w:hAnsi="Verdana" w:cs="Times New Roman"/>
          <w:spacing w:val="-1"/>
          <w:sz w:val="20"/>
          <w:szCs w:val="20"/>
          <w:lang w:val="es-CR"/>
        </w:rPr>
        <w:t>er</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10"/>
          <w:sz w:val="20"/>
          <w:szCs w:val="20"/>
          <w:lang w:val="es-CR"/>
        </w:rPr>
        <w:t>r</w:t>
      </w:r>
      <w:r w:rsidRPr="00744CE4">
        <w:rPr>
          <w:rFonts w:ascii="Verdana" w:eastAsia="Verdana" w:hAnsi="Verdana" w:cs="Times New Roman"/>
          <w:sz w:val="20"/>
          <w:szCs w:val="20"/>
          <w:lang w:val="es-CR"/>
        </w:rPr>
        <w:t xml:space="preserve">, </w:t>
      </w:r>
      <w:r w:rsidRPr="00744CE4">
        <w:rPr>
          <w:rFonts w:ascii="Verdana" w:eastAsia="Verdana" w:hAnsi="Verdana" w:cs="Times New Roman"/>
          <w:spacing w:val="2"/>
          <w:sz w:val="20"/>
          <w:szCs w:val="20"/>
          <w:lang w:val="es-CR"/>
        </w:rPr>
        <w:t>c</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1"/>
          <w:sz w:val="20"/>
          <w:szCs w:val="20"/>
          <w:lang w:val="es-CR"/>
        </w:rPr>
        <w:t>n</w:t>
      </w:r>
      <w:r w:rsidRPr="00744CE4">
        <w:rPr>
          <w:rFonts w:ascii="Verdana" w:eastAsia="Verdana" w:hAnsi="Verdana" w:cs="Times New Roman"/>
          <w:spacing w:val="2"/>
          <w:sz w:val="20"/>
          <w:szCs w:val="20"/>
          <w:lang w:val="es-CR"/>
        </w:rPr>
        <w:t>f</w:t>
      </w:r>
      <w:r w:rsidRPr="00744CE4">
        <w:rPr>
          <w:rFonts w:ascii="Verdana" w:eastAsia="Verdana" w:hAnsi="Verdana" w:cs="Times New Roman"/>
          <w:spacing w:val="-1"/>
          <w:sz w:val="20"/>
          <w:szCs w:val="20"/>
          <w:lang w:val="es-CR"/>
        </w:rPr>
        <w:t>or</w:t>
      </w:r>
      <w:r w:rsidRPr="00744CE4">
        <w:rPr>
          <w:rFonts w:ascii="Verdana" w:eastAsia="Verdana" w:hAnsi="Verdana" w:cs="Times New Roman"/>
          <w:spacing w:val="3"/>
          <w:sz w:val="20"/>
          <w:szCs w:val="20"/>
          <w:lang w:val="es-CR"/>
        </w:rPr>
        <w:t>m</w:t>
      </w:r>
      <w:r w:rsidRPr="00744CE4">
        <w:rPr>
          <w:rFonts w:ascii="Verdana" w:eastAsia="Verdana" w:hAnsi="Verdana" w:cs="Times New Roman"/>
          <w:sz w:val="20"/>
          <w:szCs w:val="20"/>
          <w:lang w:val="es-CR"/>
        </w:rPr>
        <w:t>e a</w:t>
      </w:r>
      <w:r w:rsidRPr="00744CE4">
        <w:rPr>
          <w:rFonts w:ascii="Verdana" w:eastAsia="Verdana" w:hAnsi="Verdana" w:cs="Times New Roman"/>
          <w:spacing w:val="12"/>
          <w:sz w:val="20"/>
          <w:szCs w:val="20"/>
          <w:lang w:val="es-CR"/>
        </w:rPr>
        <w:t xml:space="preserve"> </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as</w:t>
      </w:r>
      <w:r w:rsidRPr="00744CE4">
        <w:rPr>
          <w:rFonts w:ascii="Verdana" w:eastAsia="Verdana" w:hAnsi="Verdana" w:cs="Times New Roman"/>
          <w:spacing w:val="8"/>
          <w:sz w:val="20"/>
          <w:szCs w:val="20"/>
          <w:lang w:val="es-CR"/>
        </w:rPr>
        <w:t xml:space="preserve"> </w:t>
      </w:r>
      <w:r w:rsidRPr="00744CE4">
        <w:rPr>
          <w:rFonts w:ascii="Verdana" w:eastAsia="Verdana" w:hAnsi="Verdana" w:cs="Times New Roman"/>
          <w:spacing w:val="1"/>
          <w:sz w:val="20"/>
          <w:szCs w:val="20"/>
          <w:lang w:val="es-CR"/>
        </w:rPr>
        <w:t>nu</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v</w:t>
      </w:r>
      <w:r w:rsidRPr="00744CE4">
        <w:rPr>
          <w:rFonts w:ascii="Verdana" w:eastAsia="Verdana" w:hAnsi="Verdana" w:cs="Times New Roman"/>
          <w:spacing w:val="2"/>
          <w:sz w:val="20"/>
          <w:szCs w:val="20"/>
          <w:lang w:val="es-CR"/>
        </w:rPr>
        <w:t>a</w:t>
      </w:r>
      <w:r w:rsidRPr="00744CE4">
        <w:rPr>
          <w:rFonts w:ascii="Verdana" w:eastAsia="Verdana" w:hAnsi="Verdana" w:cs="Times New Roman"/>
          <w:sz w:val="20"/>
          <w:szCs w:val="20"/>
          <w:lang w:val="es-CR"/>
        </w:rPr>
        <w:t>s c</w:t>
      </w:r>
      <w:r w:rsidRPr="00744CE4">
        <w:rPr>
          <w:rFonts w:ascii="Verdana" w:eastAsia="Verdana" w:hAnsi="Verdana" w:cs="Times New Roman"/>
          <w:spacing w:val="-2"/>
          <w:sz w:val="20"/>
          <w:szCs w:val="20"/>
          <w:lang w:val="es-CR"/>
        </w:rPr>
        <w:t>o</w:t>
      </w:r>
      <w:r w:rsidRPr="00744CE4">
        <w:rPr>
          <w:rFonts w:ascii="Verdana" w:eastAsia="Verdana" w:hAnsi="Verdana" w:cs="Times New Roman"/>
          <w:sz w:val="20"/>
          <w:szCs w:val="20"/>
          <w:lang w:val="es-CR"/>
        </w:rPr>
        <w:t>st</w:t>
      </w:r>
      <w:r w:rsidRPr="00744CE4">
        <w:rPr>
          <w:rFonts w:ascii="Verdana" w:eastAsia="Verdana" w:hAnsi="Verdana" w:cs="Times New Roman"/>
          <w:spacing w:val="3"/>
          <w:sz w:val="20"/>
          <w:szCs w:val="20"/>
          <w:lang w:val="es-CR"/>
        </w:rPr>
        <w:t>a</w:t>
      </w:r>
      <w:r w:rsidRPr="00744CE4">
        <w:rPr>
          <w:rFonts w:ascii="Verdana" w:eastAsia="Verdana" w:hAnsi="Verdana" w:cs="Times New Roman"/>
          <w:sz w:val="20"/>
          <w:szCs w:val="20"/>
          <w:lang w:val="es-CR"/>
        </w:rPr>
        <w:t>s</w:t>
      </w:r>
      <w:r w:rsidRPr="00744CE4">
        <w:rPr>
          <w:rFonts w:ascii="Verdana" w:eastAsia="Verdana" w:hAnsi="Verdana" w:cs="Times New Roman"/>
          <w:spacing w:val="8"/>
          <w:sz w:val="20"/>
          <w:szCs w:val="20"/>
          <w:lang w:val="es-CR"/>
        </w:rPr>
        <w:t xml:space="preserve"> </w:t>
      </w:r>
      <w:r w:rsidRPr="00744CE4">
        <w:rPr>
          <w:rFonts w:ascii="Verdana" w:eastAsia="Verdana" w:hAnsi="Verdana" w:cs="Times New Roman"/>
          <w:sz w:val="20"/>
          <w:szCs w:val="20"/>
          <w:lang w:val="es-CR"/>
        </w:rPr>
        <w:t>y</w:t>
      </w:r>
      <w:r w:rsidRPr="00744CE4">
        <w:rPr>
          <w:rFonts w:ascii="Verdana" w:eastAsia="Verdana" w:hAnsi="Verdana" w:cs="Times New Roman"/>
          <w:spacing w:val="13"/>
          <w:sz w:val="20"/>
          <w:szCs w:val="20"/>
          <w:lang w:val="es-CR"/>
        </w:rPr>
        <w:t xml:space="preserve"> </w:t>
      </w:r>
      <w:r w:rsidRPr="00744CE4">
        <w:rPr>
          <w:rFonts w:ascii="Verdana" w:eastAsia="Verdana" w:hAnsi="Verdana" w:cs="Times New Roman"/>
          <w:spacing w:val="1"/>
          <w:sz w:val="20"/>
          <w:szCs w:val="20"/>
          <w:lang w:val="es-CR"/>
        </w:rPr>
        <w:t>g</w:t>
      </w:r>
      <w:r w:rsidRPr="00744CE4">
        <w:rPr>
          <w:rFonts w:ascii="Verdana" w:eastAsia="Verdana" w:hAnsi="Verdana" w:cs="Times New Roman"/>
          <w:sz w:val="20"/>
          <w:szCs w:val="20"/>
          <w:lang w:val="es-CR"/>
        </w:rPr>
        <w:t>astos</w:t>
      </w:r>
      <w:r w:rsidRPr="00744CE4">
        <w:rPr>
          <w:rFonts w:ascii="Verdana" w:eastAsia="Verdana" w:hAnsi="Verdana" w:cs="Times New Roman"/>
          <w:spacing w:val="10"/>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n</w:t>
      </w:r>
      <w:r w:rsidRPr="00744CE4">
        <w:rPr>
          <w:rFonts w:ascii="Verdana" w:eastAsia="Verdana" w:hAnsi="Verdana" w:cs="Times New Roman"/>
          <w:spacing w:val="14"/>
          <w:sz w:val="20"/>
          <w:szCs w:val="20"/>
          <w:lang w:val="es-CR"/>
        </w:rPr>
        <w:t xml:space="preserve"> </w:t>
      </w:r>
      <w:r w:rsidRPr="00744CE4">
        <w:rPr>
          <w:rFonts w:ascii="Verdana" w:eastAsia="Verdana" w:hAnsi="Verdana" w:cs="Times New Roman"/>
          <w:spacing w:val="1"/>
          <w:sz w:val="20"/>
          <w:szCs w:val="20"/>
          <w:lang w:val="es-CR"/>
        </w:rPr>
        <w:t>qu</w:t>
      </w:r>
      <w:r w:rsidRPr="00744CE4">
        <w:rPr>
          <w:rFonts w:ascii="Verdana" w:eastAsia="Verdana" w:hAnsi="Verdana" w:cs="Times New Roman"/>
          <w:sz w:val="20"/>
          <w:szCs w:val="20"/>
          <w:lang w:val="es-CR"/>
        </w:rPr>
        <w:t>e</w:t>
      </w:r>
      <w:r w:rsidRPr="00744CE4">
        <w:rPr>
          <w:rFonts w:ascii="Verdana" w:eastAsia="Verdana" w:hAnsi="Verdana" w:cs="Times New Roman"/>
          <w:spacing w:val="11"/>
          <w:sz w:val="20"/>
          <w:szCs w:val="20"/>
          <w:lang w:val="es-CR"/>
        </w:rPr>
        <w:t xml:space="preserve"> </w:t>
      </w:r>
      <w:r w:rsidRPr="00744CE4">
        <w:rPr>
          <w:rFonts w:ascii="Verdana" w:eastAsia="Verdana" w:hAnsi="Verdana" w:cs="Times New Roman"/>
          <w:sz w:val="20"/>
          <w:szCs w:val="20"/>
          <w:lang w:val="es-CR"/>
        </w:rPr>
        <w:t>se</w:t>
      </w:r>
      <w:r w:rsidRPr="00744CE4">
        <w:rPr>
          <w:rFonts w:ascii="Verdana" w:eastAsia="Verdana" w:hAnsi="Verdana" w:cs="Times New Roman"/>
          <w:spacing w:val="11"/>
          <w:sz w:val="20"/>
          <w:szCs w:val="20"/>
          <w:lang w:val="es-CR"/>
        </w:rPr>
        <w:t xml:space="preserve"> </w:t>
      </w:r>
      <w:r w:rsidRPr="00744CE4">
        <w:rPr>
          <w:rFonts w:ascii="Verdana" w:eastAsia="Verdana" w:hAnsi="Verdana" w:cs="Times New Roman"/>
          <w:spacing w:val="1"/>
          <w:sz w:val="20"/>
          <w:szCs w:val="20"/>
          <w:lang w:val="es-CR"/>
        </w:rPr>
        <w:t>h</w:t>
      </w:r>
      <w:r w:rsidRPr="00744CE4">
        <w:rPr>
          <w:rFonts w:ascii="Verdana" w:eastAsia="Verdana" w:hAnsi="Verdana" w:cs="Times New Roman"/>
          <w:sz w:val="20"/>
          <w:szCs w:val="20"/>
          <w:lang w:val="es-CR"/>
        </w:rPr>
        <w:t>aya</w:t>
      </w:r>
      <w:r w:rsidRPr="00744CE4">
        <w:rPr>
          <w:rFonts w:ascii="Verdana" w:eastAsia="Verdana" w:hAnsi="Verdana" w:cs="Times New Roman"/>
          <w:spacing w:val="10"/>
          <w:sz w:val="20"/>
          <w:szCs w:val="20"/>
          <w:lang w:val="es-CR"/>
        </w:rPr>
        <w:t xml:space="preserve"> </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n</w:t>
      </w:r>
      <w:r w:rsidRPr="00744CE4">
        <w:rPr>
          <w:rFonts w:ascii="Verdana" w:eastAsia="Verdana" w:hAnsi="Verdana" w:cs="Times New Roman"/>
          <w:sz w:val="20"/>
          <w:szCs w:val="20"/>
          <w:lang w:val="es-CR"/>
        </w:rPr>
        <w:t>cur</w:t>
      </w:r>
      <w:r w:rsidRPr="00744CE4">
        <w:rPr>
          <w:rFonts w:ascii="Verdana" w:eastAsia="Verdana" w:hAnsi="Verdana" w:cs="Times New Roman"/>
          <w:spacing w:val="-2"/>
          <w:sz w:val="20"/>
          <w:szCs w:val="20"/>
          <w:lang w:val="es-CR"/>
        </w:rPr>
        <w:t>r</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d</w:t>
      </w:r>
      <w:r w:rsidRPr="00744CE4">
        <w:rPr>
          <w:rFonts w:ascii="Verdana" w:eastAsia="Verdana" w:hAnsi="Verdana" w:cs="Times New Roman"/>
          <w:sz w:val="20"/>
          <w:szCs w:val="20"/>
          <w:lang w:val="es-CR"/>
        </w:rPr>
        <w:t>o</w:t>
      </w:r>
      <w:r w:rsidRPr="00744CE4">
        <w:rPr>
          <w:rFonts w:ascii="Verdana" w:eastAsia="Verdana" w:hAnsi="Verdana" w:cs="Times New Roman"/>
          <w:spacing w:val="5"/>
          <w:sz w:val="20"/>
          <w:szCs w:val="20"/>
          <w:lang w:val="es-CR"/>
        </w:rPr>
        <w:t xml:space="preserve"> </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o</w:t>
      </w:r>
      <w:r w:rsidRPr="00744CE4">
        <w:rPr>
          <w:rFonts w:ascii="Verdana" w:eastAsia="Verdana" w:hAnsi="Verdana" w:cs="Times New Roman"/>
          <w:sz w:val="20"/>
          <w:szCs w:val="20"/>
          <w:lang w:val="es-CR"/>
        </w:rPr>
        <w:t>n</w:t>
      </w:r>
      <w:r w:rsidRPr="00744CE4">
        <w:rPr>
          <w:rFonts w:ascii="Verdana" w:eastAsia="Verdana" w:hAnsi="Verdana" w:cs="Times New Roman"/>
          <w:spacing w:val="13"/>
          <w:sz w:val="20"/>
          <w:szCs w:val="20"/>
          <w:lang w:val="es-CR"/>
        </w:rPr>
        <w:t xml:space="preserve"> </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ca</w:t>
      </w:r>
      <w:r w:rsidRPr="00744CE4">
        <w:rPr>
          <w:rFonts w:ascii="Verdana" w:eastAsia="Verdana" w:hAnsi="Verdana" w:cs="Times New Roman"/>
          <w:spacing w:val="-1"/>
          <w:sz w:val="20"/>
          <w:szCs w:val="20"/>
          <w:lang w:val="es-CR"/>
        </w:rPr>
        <w:t>s</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ó</w:t>
      </w:r>
      <w:r w:rsidRPr="00744CE4">
        <w:rPr>
          <w:rFonts w:ascii="Verdana" w:eastAsia="Verdana" w:hAnsi="Verdana" w:cs="Times New Roman"/>
          <w:sz w:val="20"/>
          <w:szCs w:val="20"/>
          <w:lang w:val="es-CR"/>
        </w:rPr>
        <w:t>n</w:t>
      </w:r>
      <w:r w:rsidRPr="00744CE4">
        <w:rPr>
          <w:rFonts w:ascii="Verdana" w:eastAsia="Verdana" w:hAnsi="Verdana" w:cs="Times New Roman"/>
          <w:spacing w:val="9"/>
          <w:sz w:val="20"/>
          <w:szCs w:val="20"/>
          <w:lang w:val="es-CR"/>
        </w:rPr>
        <w:t xml:space="preserve"> </w:t>
      </w:r>
      <w:r w:rsidRPr="00744CE4">
        <w:rPr>
          <w:rFonts w:ascii="Verdana" w:eastAsia="Verdana" w:hAnsi="Verdana" w:cs="Times New Roman"/>
          <w:spacing w:val="1"/>
          <w:sz w:val="20"/>
          <w:szCs w:val="20"/>
          <w:lang w:val="es-CR"/>
        </w:rPr>
        <w:t>d</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l</w:t>
      </w:r>
      <w:r w:rsidRPr="00744CE4">
        <w:rPr>
          <w:rFonts w:ascii="Verdana" w:eastAsia="Verdana" w:hAnsi="Verdana" w:cs="Times New Roman"/>
          <w:spacing w:val="15"/>
          <w:sz w:val="20"/>
          <w:szCs w:val="20"/>
          <w:lang w:val="es-CR"/>
        </w:rPr>
        <w:t xml:space="preserve"> </w:t>
      </w:r>
      <w:r w:rsidRPr="00744CE4">
        <w:rPr>
          <w:rFonts w:ascii="Verdana" w:eastAsia="Verdana" w:hAnsi="Verdana" w:cs="Times New Roman"/>
          <w:spacing w:val="1"/>
          <w:sz w:val="20"/>
          <w:szCs w:val="20"/>
          <w:lang w:val="es-CR"/>
        </w:rPr>
        <w:t>p</w:t>
      </w:r>
      <w:r w:rsidRPr="00744CE4">
        <w:rPr>
          <w:rFonts w:ascii="Verdana" w:eastAsia="Verdana" w:hAnsi="Verdana" w:cs="Times New Roman"/>
          <w:spacing w:val="-1"/>
          <w:sz w:val="20"/>
          <w:szCs w:val="20"/>
          <w:lang w:val="es-CR"/>
        </w:rPr>
        <w:t>ro</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e</w:t>
      </w:r>
      <w:r w:rsidRPr="00744CE4">
        <w:rPr>
          <w:rFonts w:ascii="Verdana" w:eastAsia="Verdana" w:hAnsi="Verdana" w:cs="Times New Roman"/>
          <w:spacing w:val="1"/>
          <w:sz w:val="20"/>
          <w:szCs w:val="20"/>
          <w:lang w:val="es-CR"/>
        </w:rPr>
        <w:t>d</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m</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nt</w:t>
      </w:r>
      <w:r w:rsidRPr="00744CE4">
        <w:rPr>
          <w:rFonts w:ascii="Verdana" w:eastAsia="Verdana" w:hAnsi="Verdana" w:cs="Times New Roman"/>
          <w:sz w:val="20"/>
          <w:szCs w:val="20"/>
          <w:lang w:val="es-CR"/>
        </w:rPr>
        <w:t>o a</w:t>
      </w:r>
      <w:r w:rsidRPr="00744CE4">
        <w:rPr>
          <w:rFonts w:ascii="Verdana" w:eastAsia="Verdana" w:hAnsi="Verdana" w:cs="Times New Roman"/>
          <w:spacing w:val="1"/>
          <w:sz w:val="20"/>
          <w:szCs w:val="20"/>
          <w:lang w:val="es-CR"/>
        </w:rPr>
        <w:t>nt</w:t>
      </w:r>
      <w:r w:rsidRPr="00744CE4">
        <w:rPr>
          <w:rFonts w:ascii="Verdana" w:eastAsia="Verdana" w:hAnsi="Verdana" w:cs="Times New Roman"/>
          <w:sz w:val="20"/>
          <w:szCs w:val="20"/>
          <w:lang w:val="es-CR"/>
        </w:rPr>
        <w:t>e</w:t>
      </w:r>
      <w:r w:rsidRPr="00744CE4">
        <w:rPr>
          <w:rFonts w:ascii="Verdana" w:eastAsia="Verdana" w:hAnsi="Verdana" w:cs="Times New Roman"/>
          <w:spacing w:val="10"/>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sta</w:t>
      </w:r>
      <w:r w:rsidRPr="00744CE4">
        <w:rPr>
          <w:rFonts w:ascii="Verdana" w:eastAsia="Verdana" w:hAnsi="Verdana" w:cs="Times New Roman"/>
          <w:spacing w:val="11"/>
          <w:sz w:val="20"/>
          <w:szCs w:val="20"/>
          <w:lang w:val="es-CR"/>
        </w:rPr>
        <w:t xml:space="preserve"> </w:t>
      </w:r>
      <w:r w:rsidRPr="00744CE4">
        <w:rPr>
          <w:rFonts w:ascii="Verdana" w:eastAsia="Verdana" w:hAnsi="Verdana" w:cs="Times New Roman"/>
          <w:sz w:val="20"/>
          <w:szCs w:val="20"/>
          <w:lang w:val="es-CR"/>
        </w:rPr>
        <w:t>C</w:t>
      </w:r>
      <w:r w:rsidRPr="00744CE4">
        <w:rPr>
          <w:rFonts w:ascii="Verdana" w:eastAsia="Verdana" w:hAnsi="Verdana" w:cs="Times New Roman"/>
          <w:spacing w:val="-1"/>
          <w:sz w:val="20"/>
          <w:szCs w:val="20"/>
          <w:lang w:val="es-CR"/>
        </w:rPr>
        <w:t>or</w:t>
      </w:r>
      <w:r w:rsidRPr="00744CE4">
        <w:rPr>
          <w:rFonts w:ascii="Verdana" w:eastAsia="Verdana" w:hAnsi="Verdana" w:cs="Times New Roman"/>
          <w:spacing w:val="3"/>
          <w:sz w:val="20"/>
          <w:szCs w:val="20"/>
          <w:lang w:val="es-CR"/>
        </w:rPr>
        <w:t>t</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1"/>
          <w:sz w:val="20"/>
          <w:szCs w:val="20"/>
          <w:lang w:val="es-CR"/>
        </w:rPr>
        <w:t>”</w:t>
      </w:r>
      <w:r w:rsidRPr="00744CE4">
        <w:rPr>
          <w:rFonts w:ascii="Verdana" w:eastAsia="Verdana" w:hAnsi="Verdana" w:cs="Times New Roman"/>
          <w:spacing w:val="11"/>
          <w:sz w:val="20"/>
          <w:szCs w:val="20"/>
          <w:vertAlign w:val="superscript"/>
          <w:lang w:val="es-CR"/>
        </w:rPr>
        <w:footnoteReference w:id="583"/>
      </w:r>
      <w:r w:rsidRPr="00744CE4">
        <w:rPr>
          <w:rFonts w:ascii="Verdana" w:eastAsia="Verdana" w:hAnsi="Verdana" w:cs="Times New Roman"/>
          <w:sz w:val="20"/>
          <w:szCs w:val="20"/>
          <w:lang w:val="es-CR"/>
        </w:rPr>
        <w:t>. As</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2"/>
          <w:sz w:val="20"/>
          <w:szCs w:val="20"/>
          <w:lang w:val="es-CR"/>
        </w:rPr>
        <w:t>m</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sm</w:t>
      </w:r>
      <w:r w:rsidRPr="00744CE4">
        <w:rPr>
          <w:rFonts w:ascii="Verdana" w:eastAsia="Verdana" w:hAnsi="Verdana" w:cs="Times New Roman"/>
          <w:spacing w:val="-1"/>
          <w:sz w:val="20"/>
          <w:szCs w:val="20"/>
          <w:lang w:val="es-CR"/>
        </w:rPr>
        <w:t>o</w:t>
      </w:r>
      <w:r w:rsidRPr="00432ABC">
        <w:rPr>
          <w:rFonts w:ascii="Verdana" w:eastAsia="Verdana" w:hAnsi="Verdana" w:cs="Times New Roman"/>
          <w:sz w:val="20"/>
          <w:szCs w:val="20"/>
          <w:lang w:val="es-CR"/>
        </w:rPr>
        <w:t>,</w:t>
      </w:r>
      <w:r w:rsidRPr="00432ABC">
        <w:rPr>
          <w:rFonts w:ascii="Verdana" w:eastAsia="Verdana" w:hAnsi="Verdana" w:cs="Times New Roman"/>
          <w:spacing w:val="1"/>
          <w:sz w:val="20"/>
          <w:szCs w:val="20"/>
          <w:lang w:val="es-CR"/>
        </w:rPr>
        <w:t xml:space="preserve"> </w:t>
      </w:r>
      <w:r w:rsidRPr="00432ABC">
        <w:rPr>
          <w:rFonts w:ascii="Verdana" w:eastAsia="Verdana" w:hAnsi="Verdana" w:cs="Times New Roman"/>
          <w:spacing w:val="3"/>
          <w:sz w:val="20"/>
          <w:szCs w:val="20"/>
          <w:lang w:val="es-CR"/>
        </w:rPr>
        <w:t>l</w:t>
      </w:r>
      <w:r w:rsidRPr="00432ABC">
        <w:rPr>
          <w:rFonts w:ascii="Verdana" w:eastAsia="Verdana" w:hAnsi="Verdana" w:cs="Times New Roman"/>
          <w:sz w:val="20"/>
          <w:szCs w:val="20"/>
          <w:lang w:val="es-CR"/>
        </w:rPr>
        <w:t>a</w:t>
      </w:r>
      <w:r w:rsidRPr="00432ABC">
        <w:rPr>
          <w:rFonts w:ascii="Verdana" w:eastAsia="Verdana" w:hAnsi="Verdana" w:cs="Times New Roman"/>
          <w:spacing w:val="9"/>
          <w:sz w:val="20"/>
          <w:szCs w:val="20"/>
          <w:lang w:val="es-CR"/>
        </w:rPr>
        <w:t xml:space="preserve"> </w:t>
      </w:r>
      <w:r w:rsidRPr="00432ABC">
        <w:rPr>
          <w:rFonts w:ascii="Verdana" w:eastAsia="Verdana" w:hAnsi="Verdana" w:cs="Times New Roman"/>
          <w:sz w:val="20"/>
          <w:szCs w:val="20"/>
          <w:lang w:val="es-CR"/>
        </w:rPr>
        <w:t>C</w:t>
      </w:r>
      <w:r w:rsidRPr="002C462C">
        <w:rPr>
          <w:rFonts w:ascii="Verdana" w:eastAsia="Verdana" w:hAnsi="Verdana" w:cs="Times New Roman"/>
          <w:spacing w:val="-1"/>
          <w:sz w:val="20"/>
          <w:szCs w:val="20"/>
          <w:lang w:val="es-CR"/>
        </w:rPr>
        <w:t>or</w:t>
      </w:r>
      <w:r w:rsidRPr="002C462C">
        <w:rPr>
          <w:rFonts w:ascii="Verdana" w:eastAsia="Verdana" w:hAnsi="Verdana" w:cs="Times New Roman"/>
          <w:spacing w:val="3"/>
          <w:sz w:val="20"/>
          <w:szCs w:val="20"/>
          <w:lang w:val="es-CR"/>
        </w:rPr>
        <w:t>t</w:t>
      </w:r>
      <w:r w:rsidRPr="00744CE4">
        <w:rPr>
          <w:rFonts w:ascii="Verdana" w:eastAsia="Verdana" w:hAnsi="Verdana" w:cs="Times New Roman"/>
          <w:sz w:val="20"/>
          <w:szCs w:val="20"/>
          <w:lang w:val="es-CR"/>
        </w:rPr>
        <w:t>e</w:t>
      </w:r>
      <w:r w:rsidRPr="00744CE4">
        <w:rPr>
          <w:rFonts w:ascii="Verdana" w:eastAsia="Verdana" w:hAnsi="Verdana" w:cs="Times New Roman"/>
          <w:spacing w:val="7"/>
          <w:sz w:val="20"/>
          <w:szCs w:val="20"/>
          <w:lang w:val="es-CR"/>
        </w:rPr>
        <w:t xml:space="preserve"> </w:t>
      </w:r>
      <w:r w:rsidRPr="00744CE4">
        <w:rPr>
          <w:rFonts w:ascii="Verdana" w:eastAsia="Verdana" w:hAnsi="Verdana" w:cs="Times New Roman"/>
          <w:spacing w:val="-1"/>
          <w:sz w:val="20"/>
          <w:szCs w:val="20"/>
          <w:lang w:val="es-CR"/>
        </w:rPr>
        <w:t>re</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t</w:t>
      </w:r>
      <w:r w:rsidRPr="00744CE4">
        <w:rPr>
          <w:rFonts w:ascii="Verdana" w:eastAsia="Verdana" w:hAnsi="Verdana" w:cs="Times New Roman"/>
          <w:spacing w:val="-1"/>
          <w:sz w:val="20"/>
          <w:szCs w:val="20"/>
          <w:lang w:val="es-CR"/>
        </w:rPr>
        <w:t>er</w:t>
      </w:r>
      <w:r w:rsidRPr="00744CE4">
        <w:rPr>
          <w:rFonts w:ascii="Verdana" w:eastAsia="Verdana" w:hAnsi="Verdana" w:cs="Times New Roman"/>
          <w:sz w:val="20"/>
          <w:szCs w:val="20"/>
          <w:lang w:val="es-CR"/>
        </w:rPr>
        <w:t>a</w:t>
      </w:r>
      <w:r w:rsidRPr="00744CE4">
        <w:rPr>
          <w:rFonts w:ascii="Verdana" w:eastAsia="Verdana" w:hAnsi="Verdana" w:cs="Times New Roman"/>
          <w:spacing w:val="7"/>
          <w:sz w:val="20"/>
          <w:szCs w:val="20"/>
          <w:lang w:val="es-CR"/>
        </w:rPr>
        <w:t xml:space="preserve"> </w:t>
      </w:r>
      <w:r w:rsidRPr="00744CE4">
        <w:rPr>
          <w:rFonts w:ascii="Verdana" w:eastAsia="Verdana" w:hAnsi="Verdana" w:cs="Times New Roman"/>
          <w:spacing w:val="1"/>
          <w:sz w:val="20"/>
          <w:szCs w:val="20"/>
          <w:lang w:val="es-CR"/>
        </w:rPr>
        <w:t>qu</w:t>
      </w:r>
      <w:r w:rsidRPr="00744CE4">
        <w:rPr>
          <w:rFonts w:ascii="Verdana" w:eastAsia="Verdana" w:hAnsi="Verdana" w:cs="Times New Roman"/>
          <w:sz w:val="20"/>
          <w:szCs w:val="20"/>
          <w:lang w:val="es-CR"/>
        </w:rPr>
        <w:t>e</w:t>
      </w:r>
      <w:r w:rsidRPr="00744CE4">
        <w:rPr>
          <w:rFonts w:ascii="Verdana" w:eastAsia="Verdana" w:hAnsi="Verdana" w:cs="Times New Roman"/>
          <w:spacing w:val="6"/>
          <w:sz w:val="20"/>
          <w:szCs w:val="20"/>
          <w:lang w:val="es-CR"/>
        </w:rPr>
        <w:t xml:space="preserve"> </w:t>
      </w:r>
      <w:r w:rsidRPr="00744CE4">
        <w:rPr>
          <w:rFonts w:ascii="Verdana" w:eastAsia="Verdana" w:hAnsi="Verdana" w:cs="Times New Roman"/>
          <w:spacing w:val="1"/>
          <w:sz w:val="20"/>
          <w:szCs w:val="20"/>
          <w:lang w:val="es-CR"/>
        </w:rPr>
        <w:t>n</w:t>
      </w:r>
      <w:r w:rsidRPr="00744CE4">
        <w:rPr>
          <w:rFonts w:ascii="Verdana" w:eastAsia="Verdana" w:hAnsi="Verdana" w:cs="Times New Roman"/>
          <w:sz w:val="20"/>
          <w:szCs w:val="20"/>
          <w:lang w:val="es-CR"/>
        </w:rPr>
        <w:t>o</w:t>
      </w:r>
      <w:r w:rsidRPr="00744CE4">
        <w:rPr>
          <w:rFonts w:ascii="Verdana" w:eastAsia="Verdana" w:hAnsi="Verdana" w:cs="Times New Roman"/>
          <w:spacing w:val="10"/>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w:t>
      </w:r>
      <w:r w:rsidRPr="00744CE4">
        <w:rPr>
          <w:rFonts w:ascii="Verdana" w:eastAsia="Verdana" w:hAnsi="Verdana" w:cs="Times New Roman"/>
          <w:spacing w:val="8"/>
          <w:sz w:val="20"/>
          <w:szCs w:val="20"/>
          <w:lang w:val="es-CR"/>
        </w:rPr>
        <w:t xml:space="preserve"> </w:t>
      </w:r>
      <w:r w:rsidRPr="00744CE4">
        <w:rPr>
          <w:rFonts w:ascii="Verdana" w:eastAsia="Verdana" w:hAnsi="Verdana" w:cs="Times New Roman"/>
          <w:sz w:val="20"/>
          <w:szCs w:val="20"/>
          <w:lang w:val="es-CR"/>
        </w:rPr>
        <w:t>suf</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i</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nt</w:t>
      </w:r>
      <w:r w:rsidRPr="00744CE4">
        <w:rPr>
          <w:rFonts w:ascii="Verdana" w:eastAsia="Verdana" w:hAnsi="Verdana" w:cs="Times New Roman"/>
          <w:sz w:val="20"/>
          <w:szCs w:val="20"/>
          <w:lang w:val="es-CR"/>
        </w:rPr>
        <w:t xml:space="preserve">e </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w:t>
      </w:r>
      <w:r w:rsidRPr="00744CE4">
        <w:rPr>
          <w:rFonts w:ascii="Verdana" w:eastAsia="Verdana" w:hAnsi="Verdana" w:cs="Times New Roman"/>
          <w:spacing w:val="9"/>
          <w:sz w:val="20"/>
          <w:szCs w:val="20"/>
          <w:lang w:val="es-CR"/>
        </w:rPr>
        <w:t xml:space="preserve"> </w:t>
      </w:r>
      <w:r w:rsidRPr="00744CE4">
        <w:rPr>
          <w:rFonts w:ascii="Verdana" w:eastAsia="Verdana" w:hAnsi="Verdana" w:cs="Times New Roman"/>
          <w:spacing w:val="-1"/>
          <w:sz w:val="20"/>
          <w:szCs w:val="20"/>
          <w:lang w:val="es-CR"/>
        </w:rPr>
        <w:t>re</w:t>
      </w:r>
      <w:r w:rsidRPr="00744CE4">
        <w:rPr>
          <w:rFonts w:ascii="Verdana" w:eastAsia="Verdana" w:hAnsi="Verdana" w:cs="Times New Roman"/>
          <w:sz w:val="20"/>
          <w:szCs w:val="20"/>
          <w:lang w:val="es-CR"/>
        </w:rPr>
        <w:t>m</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i</w:t>
      </w:r>
      <w:r w:rsidRPr="00744CE4">
        <w:rPr>
          <w:rFonts w:ascii="Verdana" w:eastAsia="Verdana" w:hAnsi="Verdana" w:cs="Times New Roman"/>
          <w:spacing w:val="-1"/>
          <w:sz w:val="20"/>
          <w:szCs w:val="20"/>
          <w:lang w:val="es-CR"/>
        </w:rPr>
        <w:t>ó</w:t>
      </w:r>
      <w:r w:rsidRPr="00744CE4">
        <w:rPr>
          <w:rFonts w:ascii="Verdana" w:eastAsia="Verdana" w:hAnsi="Verdana" w:cs="Times New Roman"/>
          <w:sz w:val="20"/>
          <w:szCs w:val="20"/>
          <w:lang w:val="es-CR"/>
        </w:rPr>
        <w:t>n</w:t>
      </w:r>
      <w:r w:rsidRPr="00744CE4">
        <w:rPr>
          <w:rFonts w:ascii="Verdana" w:eastAsia="Verdana" w:hAnsi="Verdana" w:cs="Times New Roman"/>
          <w:spacing w:val="3"/>
          <w:sz w:val="20"/>
          <w:szCs w:val="20"/>
          <w:lang w:val="es-CR"/>
        </w:rPr>
        <w:t xml:space="preserve"> </w:t>
      </w:r>
      <w:r w:rsidRPr="00744CE4">
        <w:rPr>
          <w:rFonts w:ascii="Verdana" w:eastAsia="Verdana" w:hAnsi="Verdana" w:cs="Times New Roman"/>
          <w:spacing w:val="1"/>
          <w:sz w:val="20"/>
          <w:szCs w:val="20"/>
          <w:lang w:val="es-CR"/>
        </w:rPr>
        <w:t>d</w:t>
      </w:r>
      <w:r w:rsidRPr="00744CE4">
        <w:rPr>
          <w:rFonts w:ascii="Verdana" w:eastAsia="Verdana" w:hAnsi="Verdana" w:cs="Times New Roman"/>
          <w:sz w:val="20"/>
          <w:szCs w:val="20"/>
          <w:lang w:val="es-CR"/>
        </w:rPr>
        <w:t>e</w:t>
      </w:r>
      <w:r w:rsidRPr="00744CE4">
        <w:rPr>
          <w:rFonts w:ascii="Verdana" w:eastAsia="Verdana" w:hAnsi="Verdana" w:cs="Times New Roman"/>
          <w:spacing w:val="8"/>
          <w:sz w:val="20"/>
          <w:szCs w:val="20"/>
          <w:lang w:val="es-CR"/>
        </w:rPr>
        <w:t xml:space="preserve"> </w:t>
      </w:r>
      <w:r w:rsidRPr="00744CE4">
        <w:rPr>
          <w:rFonts w:ascii="Verdana" w:eastAsia="Verdana" w:hAnsi="Verdana" w:cs="Times New Roman"/>
          <w:spacing w:val="1"/>
          <w:sz w:val="20"/>
          <w:szCs w:val="20"/>
          <w:lang w:val="es-CR"/>
        </w:rPr>
        <w:t>d</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cu</w:t>
      </w:r>
      <w:r w:rsidRPr="00744CE4">
        <w:rPr>
          <w:rFonts w:ascii="Verdana" w:eastAsia="Verdana" w:hAnsi="Verdana" w:cs="Times New Roman"/>
          <w:spacing w:val="3"/>
          <w:sz w:val="20"/>
          <w:szCs w:val="20"/>
          <w:lang w:val="es-CR"/>
        </w:rPr>
        <w:t>m</w:t>
      </w:r>
      <w:r w:rsidRPr="00744CE4">
        <w:rPr>
          <w:rFonts w:ascii="Verdana" w:eastAsia="Verdana" w:hAnsi="Verdana" w:cs="Times New Roman"/>
          <w:spacing w:val="1"/>
          <w:sz w:val="20"/>
          <w:szCs w:val="20"/>
          <w:lang w:val="es-CR"/>
        </w:rPr>
        <w:t>ent</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 xml:space="preserve"> </w:t>
      </w:r>
      <w:r w:rsidRPr="00744CE4">
        <w:rPr>
          <w:rFonts w:ascii="Verdana" w:eastAsia="Verdana" w:hAnsi="Verdana" w:cs="Times New Roman"/>
          <w:spacing w:val="1"/>
          <w:sz w:val="20"/>
          <w:szCs w:val="20"/>
          <w:lang w:val="es-CR"/>
        </w:rPr>
        <w:t>pr</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1"/>
          <w:sz w:val="20"/>
          <w:szCs w:val="20"/>
          <w:lang w:val="es-CR"/>
        </w:rPr>
        <w:t>b</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to</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s,</w:t>
      </w:r>
      <w:r w:rsidRPr="00744CE4">
        <w:rPr>
          <w:rFonts w:ascii="Verdana" w:eastAsia="Verdana" w:hAnsi="Verdana" w:cs="Times New Roman"/>
          <w:spacing w:val="1"/>
          <w:sz w:val="20"/>
          <w:szCs w:val="20"/>
          <w:lang w:val="es-CR"/>
        </w:rPr>
        <w:t xml:space="preserve"> </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i</w:t>
      </w:r>
      <w:r w:rsidRPr="00744CE4">
        <w:rPr>
          <w:rFonts w:ascii="Verdana" w:eastAsia="Verdana" w:hAnsi="Verdana" w:cs="Times New Roman"/>
          <w:spacing w:val="1"/>
          <w:sz w:val="20"/>
          <w:szCs w:val="20"/>
          <w:lang w:val="es-CR"/>
        </w:rPr>
        <w:t>n</w:t>
      </w:r>
      <w:r w:rsidRPr="00744CE4">
        <w:rPr>
          <w:rFonts w:ascii="Verdana" w:eastAsia="Verdana" w:hAnsi="Verdana" w:cs="Times New Roman"/>
          <w:sz w:val="20"/>
          <w:szCs w:val="20"/>
          <w:lang w:val="es-CR"/>
        </w:rPr>
        <w:t>o</w:t>
      </w:r>
      <w:r w:rsidRPr="00744CE4">
        <w:rPr>
          <w:rFonts w:ascii="Verdana" w:eastAsia="Verdana" w:hAnsi="Verdana" w:cs="Times New Roman"/>
          <w:spacing w:val="6"/>
          <w:sz w:val="20"/>
          <w:szCs w:val="20"/>
          <w:lang w:val="es-CR"/>
        </w:rPr>
        <w:t xml:space="preserve"> </w:t>
      </w:r>
      <w:r w:rsidRPr="00744CE4">
        <w:rPr>
          <w:rFonts w:ascii="Verdana" w:eastAsia="Verdana" w:hAnsi="Verdana" w:cs="Times New Roman"/>
          <w:spacing w:val="1"/>
          <w:sz w:val="20"/>
          <w:szCs w:val="20"/>
          <w:lang w:val="es-CR"/>
        </w:rPr>
        <w:t>qu</w:t>
      </w:r>
      <w:r w:rsidRPr="00744CE4">
        <w:rPr>
          <w:rFonts w:ascii="Verdana" w:eastAsia="Verdana" w:hAnsi="Verdana" w:cs="Times New Roman"/>
          <w:sz w:val="20"/>
          <w:szCs w:val="20"/>
          <w:lang w:val="es-CR"/>
        </w:rPr>
        <w:t>e</w:t>
      </w:r>
      <w:r w:rsidRPr="00744CE4">
        <w:rPr>
          <w:rFonts w:ascii="Verdana" w:eastAsia="Verdana" w:hAnsi="Verdana" w:cs="Times New Roman"/>
          <w:spacing w:val="6"/>
          <w:sz w:val="20"/>
          <w:szCs w:val="20"/>
          <w:lang w:val="es-CR"/>
        </w:rPr>
        <w:t xml:space="preserve"> </w:t>
      </w:r>
      <w:r w:rsidRPr="00744CE4">
        <w:rPr>
          <w:rFonts w:ascii="Verdana" w:eastAsia="Verdana" w:hAnsi="Verdana" w:cs="Times New Roman"/>
          <w:spacing w:val="2"/>
          <w:sz w:val="20"/>
          <w:szCs w:val="20"/>
          <w:lang w:val="es-CR"/>
        </w:rPr>
        <w:t>s</w:t>
      </w:r>
      <w:r w:rsidRPr="00744CE4">
        <w:rPr>
          <w:rFonts w:ascii="Verdana" w:eastAsia="Verdana" w:hAnsi="Verdana" w:cs="Times New Roman"/>
          <w:sz w:val="20"/>
          <w:szCs w:val="20"/>
          <w:lang w:val="es-CR"/>
        </w:rPr>
        <w:t xml:space="preserve">e </w:t>
      </w:r>
      <w:r w:rsidRPr="00744CE4">
        <w:rPr>
          <w:rFonts w:ascii="Verdana" w:eastAsia="Verdana" w:hAnsi="Verdana" w:cs="Times New Roman"/>
          <w:spacing w:val="-1"/>
          <w:sz w:val="20"/>
          <w:szCs w:val="20"/>
          <w:lang w:val="es-CR"/>
        </w:rPr>
        <w:t>re</w:t>
      </w:r>
      <w:r w:rsidRPr="00744CE4">
        <w:rPr>
          <w:rFonts w:ascii="Verdana" w:eastAsia="Verdana" w:hAnsi="Verdana" w:cs="Times New Roman"/>
          <w:spacing w:val="1"/>
          <w:sz w:val="20"/>
          <w:szCs w:val="20"/>
          <w:lang w:val="es-CR"/>
        </w:rPr>
        <w:t>qu</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r</w:t>
      </w:r>
      <w:r w:rsidRPr="00744CE4">
        <w:rPr>
          <w:rFonts w:ascii="Verdana" w:eastAsia="Verdana" w:hAnsi="Verdana" w:cs="Times New Roman"/>
          <w:sz w:val="20"/>
          <w:szCs w:val="20"/>
          <w:lang w:val="es-CR"/>
        </w:rPr>
        <w:t>e</w:t>
      </w:r>
      <w:r w:rsidRPr="00744CE4">
        <w:rPr>
          <w:rFonts w:ascii="Verdana" w:eastAsia="Verdana" w:hAnsi="Verdana" w:cs="Times New Roman"/>
          <w:spacing w:val="33"/>
          <w:sz w:val="20"/>
          <w:szCs w:val="20"/>
          <w:lang w:val="es-CR"/>
        </w:rPr>
        <w:t xml:space="preserve"> </w:t>
      </w:r>
      <w:r w:rsidRPr="00744CE4">
        <w:rPr>
          <w:rFonts w:ascii="Verdana" w:eastAsia="Verdana" w:hAnsi="Verdana" w:cs="Times New Roman"/>
          <w:spacing w:val="1"/>
          <w:sz w:val="20"/>
          <w:szCs w:val="20"/>
          <w:lang w:val="es-CR"/>
        </w:rPr>
        <w:t>qu</w:t>
      </w:r>
      <w:r w:rsidRPr="00744CE4">
        <w:rPr>
          <w:rFonts w:ascii="Verdana" w:eastAsia="Verdana" w:hAnsi="Verdana" w:cs="Times New Roman"/>
          <w:sz w:val="20"/>
          <w:szCs w:val="20"/>
          <w:lang w:val="es-CR"/>
        </w:rPr>
        <w:t>e</w:t>
      </w:r>
      <w:r w:rsidRPr="00744CE4">
        <w:rPr>
          <w:rFonts w:ascii="Verdana" w:eastAsia="Verdana" w:hAnsi="Verdana" w:cs="Times New Roman"/>
          <w:spacing w:val="38"/>
          <w:sz w:val="20"/>
          <w:szCs w:val="20"/>
          <w:lang w:val="es-CR"/>
        </w:rPr>
        <w:t xml:space="preserve"> </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as</w:t>
      </w:r>
      <w:r w:rsidRPr="00744CE4">
        <w:rPr>
          <w:rFonts w:ascii="Verdana" w:eastAsia="Verdana" w:hAnsi="Verdana" w:cs="Times New Roman"/>
          <w:spacing w:val="40"/>
          <w:sz w:val="20"/>
          <w:szCs w:val="20"/>
          <w:lang w:val="es-CR"/>
        </w:rPr>
        <w:t xml:space="preserve"> </w:t>
      </w:r>
      <w:r w:rsidRPr="00744CE4">
        <w:rPr>
          <w:rFonts w:ascii="Verdana" w:eastAsia="Verdana" w:hAnsi="Verdana" w:cs="Times New Roman"/>
          <w:spacing w:val="1"/>
          <w:sz w:val="20"/>
          <w:szCs w:val="20"/>
          <w:lang w:val="es-CR"/>
        </w:rPr>
        <w:t>p</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te</w:t>
      </w:r>
      <w:r w:rsidRPr="00744CE4">
        <w:rPr>
          <w:rFonts w:ascii="Verdana" w:eastAsia="Verdana" w:hAnsi="Verdana" w:cs="Times New Roman"/>
          <w:sz w:val="20"/>
          <w:szCs w:val="20"/>
          <w:lang w:val="es-CR"/>
        </w:rPr>
        <w:t>s</w:t>
      </w:r>
      <w:r w:rsidRPr="00744CE4">
        <w:rPr>
          <w:rFonts w:ascii="Verdana" w:eastAsia="Verdana" w:hAnsi="Verdana" w:cs="Times New Roman"/>
          <w:spacing w:val="37"/>
          <w:sz w:val="20"/>
          <w:szCs w:val="20"/>
          <w:lang w:val="es-CR"/>
        </w:rPr>
        <w:t xml:space="preserve"> </w:t>
      </w:r>
      <w:r w:rsidRPr="00744CE4">
        <w:rPr>
          <w:rFonts w:ascii="Verdana" w:eastAsia="Verdana" w:hAnsi="Verdana" w:cs="Times New Roman"/>
          <w:spacing w:val="1"/>
          <w:sz w:val="20"/>
          <w:szCs w:val="20"/>
          <w:lang w:val="es-CR"/>
        </w:rPr>
        <w:t>h</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g</w:t>
      </w:r>
      <w:r w:rsidRPr="00744CE4">
        <w:rPr>
          <w:rFonts w:ascii="Verdana" w:eastAsia="Verdana" w:hAnsi="Verdana" w:cs="Times New Roman"/>
          <w:sz w:val="20"/>
          <w:szCs w:val="20"/>
          <w:lang w:val="es-CR"/>
        </w:rPr>
        <w:t>an</w:t>
      </w:r>
      <w:r w:rsidRPr="00744CE4">
        <w:rPr>
          <w:rFonts w:ascii="Verdana" w:eastAsia="Verdana" w:hAnsi="Verdana" w:cs="Times New Roman"/>
          <w:spacing w:val="37"/>
          <w:sz w:val="20"/>
          <w:szCs w:val="20"/>
          <w:lang w:val="es-CR"/>
        </w:rPr>
        <w:t xml:space="preserve"> </w:t>
      </w:r>
      <w:r w:rsidRPr="00744CE4">
        <w:rPr>
          <w:rFonts w:ascii="Verdana" w:eastAsia="Verdana" w:hAnsi="Verdana" w:cs="Times New Roman"/>
          <w:spacing w:val="1"/>
          <w:sz w:val="20"/>
          <w:szCs w:val="20"/>
          <w:lang w:val="es-CR"/>
        </w:rPr>
        <w:t>un</w:t>
      </w:r>
      <w:r w:rsidRPr="00744CE4">
        <w:rPr>
          <w:rFonts w:ascii="Verdana" w:eastAsia="Verdana" w:hAnsi="Verdana" w:cs="Times New Roman"/>
          <w:sz w:val="20"/>
          <w:szCs w:val="20"/>
          <w:lang w:val="es-CR"/>
        </w:rPr>
        <w:t>a</w:t>
      </w:r>
      <w:r w:rsidRPr="00744CE4">
        <w:rPr>
          <w:rFonts w:ascii="Verdana" w:eastAsia="Verdana" w:hAnsi="Verdana" w:cs="Times New Roman"/>
          <w:spacing w:val="39"/>
          <w:sz w:val="20"/>
          <w:szCs w:val="20"/>
          <w:lang w:val="es-CR"/>
        </w:rPr>
        <w:t xml:space="preserve"> </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gu</w:t>
      </w:r>
      <w:r w:rsidRPr="00744CE4">
        <w:rPr>
          <w:rFonts w:ascii="Verdana" w:eastAsia="Verdana" w:hAnsi="Verdana" w:cs="Times New Roman"/>
          <w:sz w:val="20"/>
          <w:szCs w:val="20"/>
          <w:lang w:val="es-CR"/>
        </w:rPr>
        <w:t>men</w:t>
      </w:r>
      <w:r w:rsidRPr="00744CE4">
        <w:rPr>
          <w:rFonts w:ascii="Verdana" w:eastAsia="Verdana" w:hAnsi="Verdana" w:cs="Times New Roman"/>
          <w:spacing w:val="1"/>
          <w:sz w:val="20"/>
          <w:szCs w:val="20"/>
          <w:lang w:val="es-CR"/>
        </w:rPr>
        <w:t>t</w:t>
      </w:r>
      <w:r w:rsidRPr="00744CE4">
        <w:rPr>
          <w:rFonts w:ascii="Verdana" w:eastAsia="Verdana" w:hAnsi="Verdana" w:cs="Times New Roman"/>
          <w:spacing w:val="6"/>
          <w:sz w:val="20"/>
          <w:szCs w:val="20"/>
          <w:lang w:val="es-CR"/>
        </w:rPr>
        <w:t>a</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i</w:t>
      </w:r>
      <w:r w:rsidRPr="00744CE4">
        <w:rPr>
          <w:rFonts w:ascii="Verdana" w:eastAsia="Verdana" w:hAnsi="Verdana" w:cs="Times New Roman"/>
          <w:spacing w:val="-1"/>
          <w:sz w:val="20"/>
          <w:szCs w:val="20"/>
          <w:lang w:val="es-CR"/>
        </w:rPr>
        <w:t>ó</w:t>
      </w:r>
      <w:r w:rsidRPr="00744CE4">
        <w:rPr>
          <w:rFonts w:ascii="Verdana" w:eastAsia="Verdana" w:hAnsi="Verdana" w:cs="Times New Roman"/>
          <w:sz w:val="20"/>
          <w:szCs w:val="20"/>
          <w:lang w:val="es-CR"/>
        </w:rPr>
        <w:t>n</w:t>
      </w:r>
      <w:r w:rsidRPr="00744CE4">
        <w:rPr>
          <w:rFonts w:ascii="Verdana" w:eastAsia="Verdana" w:hAnsi="Verdana" w:cs="Times New Roman"/>
          <w:spacing w:val="28"/>
          <w:sz w:val="20"/>
          <w:szCs w:val="20"/>
          <w:lang w:val="es-CR"/>
        </w:rPr>
        <w:t xml:space="preserve"> </w:t>
      </w:r>
      <w:r w:rsidRPr="00744CE4">
        <w:rPr>
          <w:rFonts w:ascii="Verdana" w:eastAsia="Verdana" w:hAnsi="Verdana" w:cs="Times New Roman"/>
          <w:spacing w:val="1"/>
          <w:sz w:val="20"/>
          <w:szCs w:val="20"/>
          <w:lang w:val="es-CR"/>
        </w:rPr>
        <w:t>qu</w:t>
      </w:r>
      <w:r w:rsidRPr="00744CE4">
        <w:rPr>
          <w:rFonts w:ascii="Verdana" w:eastAsia="Verdana" w:hAnsi="Verdana" w:cs="Times New Roman"/>
          <w:sz w:val="20"/>
          <w:szCs w:val="20"/>
          <w:lang w:val="es-CR"/>
        </w:rPr>
        <w:t>e</w:t>
      </w:r>
      <w:r w:rsidRPr="00744CE4">
        <w:rPr>
          <w:rFonts w:ascii="Verdana" w:eastAsia="Verdana" w:hAnsi="Verdana" w:cs="Times New Roman"/>
          <w:spacing w:val="38"/>
          <w:sz w:val="20"/>
          <w:szCs w:val="20"/>
          <w:lang w:val="es-CR"/>
        </w:rPr>
        <w:t xml:space="preserve"> </w:t>
      </w:r>
      <w:r w:rsidRPr="00744CE4">
        <w:rPr>
          <w:rFonts w:ascii="Verdana" w:eastAsia="Verdana" w:hAnsi="Verdana" w:cs="Times New Roman"/>
          <w:spacing w:val="-1"/>
          <w:sz w:val="20"/>
          <w:szCs w:val="20"/>
          <w:lang w:val="es-CR"/>
        </w:rPr>
        <w:t>re</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ac</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1"/>
          <w:sz w:val="20"/>
          <w:szCs w:val="20"/>
          <w:lang w:val="es-CR"/>
        </w:rPr>
        <w:t>n</w:t>
      </w:r>
      <w:r w:rsidRPr="00744CE4">
        <w:rPr>
          <w:rFonts w:ascii="Verdana" w:eastAsia="Verdana" w:hAnsi="Verdana" w:cs="Times New Roman"/>
          <w:sz w:val="20"/>
          <w:szCs w:val="20"/>
          <w:lang w:val="es-CR"/>
        </w:rPr>
        <w:t>e</w:t>
      </w:r>
      <w:r w:rsidRPr="00744CE4">
        <w:rPr>
          <w:rFonts w:ascii="Verdana" w:eastAsia="Verdana" w:hAnsi="Verdana" w:cs="Times New Roman"/>
          <w:spacing w:val="32"/>
          <w:sz w:val="20"/>
          <w:szCs w:val="20"/>
          <w:lang w:val="es-CR"/>
        </w:rPr>
        <w:t xml:space="preserve"> </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w:t>
      </w:r>
      <w:r w:rsidRPr="00744CE4">
        <w:rPr>
          <w:rFonts w:ascii="Verdana" w:eastAsia="Verdana" w:hAnsi="Verdana" w:cs="Times New Roman"/>
          <w:spacing w:val="41"/>
          <w:sz w:val="20"/>
          <w:szCs w:val="20"/>
          <w:lang w:val="es-CR"/>
        </w:rPr>
        <w:t xml:space="preserve"> </w:t>
      </w:r>
      <w:r w:rsidRPr="00744CE4">
        <w:rPr>
          <w:rFonts w:ascii="Verdana" w:eastAsia="Verdana" w:hAnsi="Verdana" w:cs="Times New Roman"/>
          <w:spacing w:val="-2"/>
          <w:sz w:val="20"/>
          <w:szCs w:val="20"/>
          <w:lang w:val="es-CR"/>
        </w:rPr>
        <w:t>p</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u</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b</w:t>
      </w:r>
      <w:r w:rsidRPr="00744CE4">
        <w:rPr>
          <w:rFonts w:ascii="Verdana" w:eastAsia="Verdana" w:hAnsi="Verdana" w:cs="Times New Roman"/>
          <w:sz w:val="20"/>
          <w:szCs w:val="20"/>
          <w:lang w:val="es-CR"/>
        </w:rPr>
        <w:t>a</w:t>
      </w:r>
      <w:r w:rsidRPr="00744CE4">
        <w:rPr>
          <w:rFonts w:ascii="Verdana" w:eastAsia="Verdana" w:hAnsi="Verdana" w:cs="Times New Roman"/>
          <w:spacing w:val="35"/>
          <w:sz w:val="20"/>
          <w:szCs w:val="20"/>
          <w:lang w:val="es-CR"/>
        </w:rPr>
        <w:t xml:space="preserve"> </w:t>
      </w:r>
      <w:r w:rsidRPr="00744CE4">
        <w:rPr>
          <w:rFonts w:ascii="Verdana" w:eastAsia="Verdana" w:hAnsi="Verdana" w:cs="Times New Roman"/>
          <w:spacing w:val="2"/>
          <w:sz w:val="20"/>
          <w:szCs w:val="20"/>
          <w:lang w:val="es-CR"/>
        </w:rPr>
        <w:t>c</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n</w:t>
      </w:r>
      <w:r w:rsidRPr="00744CE4">
        <w:rPr>
          <w:rFonts w:ascii="Verdana" w:eastAsia="Verdana" w:hAnsi="Verdana" w:cs="Times New Roman"/>
          <w:spacing w:val="40"/>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l</w:t>
      </w:r>
      <w:r w:rsidRPr="00744CE4">
        <w:rPr>
          <w:rFonts w:ascii="Verdana" w:eastAsia="Verdana" w:hAnsi="Verdana" w:cs="Times New Roman"/>
          <w:spacing w:val="43"/>
          <w:sz w:val="20"/>
          <w:szCs w:val="20"/>
          <w:lang w:val="es-CR"/>
        </w:rPr>
        <w:t xml:space="preserve"> </w:t>
      </w:r>
      <w:r w:rsidRPr="00744CE4">
        <w:rPr>
          <w:rFonts w:ascii="Verdana" w:eastAsia="Verdana" w:hAnsi="Verdana" w:cs="Times New Roman"/>
          <w:spacing w:val="1"/>
          <w:sz w:val="20"/>
          <w:szCs w:val="20"/>
          <w:lang w:val="es-CR"/>
        </w:rPr>
        <w:t>h</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cho</w:t>
      </w:r>
      <w:r w:rsidRPr="00744CE4">
        <w:rPr>
          <w:rFonts w:ascii="Verdana" w:eastAsia="Verdana" w:hAnsi="Verdana" w:cs="Times New Roman"/>
          <w:spacing w:val="35"/>
          <w:sz w:val="20"/>
          <w:szCs w:val="20"/>
          <w:lang w:val="es-CR"/>
        </w:rPr>
        <w:t xml:space="preserve"> </w:t>
      </w:r>
      <w:r w:rsidRPr="00744CE4">
        <w:rPr>
          <w:rFonts w:ascii="Verdana" w:eastAsia="Verdana" w:hAnsi="Verdana" w:cs="Times New Roman"/>
          <w:spacing w:val="1"/>
          <w:sz w:val="20"/>
          <w:szCs w:val="20"/>
          <w:lang w:val="es-CR"/>
        </w:rPr>
        <w:t>q</w:t>
      </w:r>
      <w:r w:rsidRPr="00744CE4">
        <w:rPr>
          <w:rFonts w:ascii="Verdana" w:eastAsia="Verdana" w:hAnsi="Verdana" w:cs="Times New Roman"/>
          <w:spacing w:val="3"/>
          <w:sz w:val="20"/>
          <w:szCs w:val="20"/>
          <w:lang w:val="es-CR"/>
        </w:rPr>
        <w:t>u</w:t>
      </w:r>
      <w:r w:rsidRPr="00744CE4">
        <w:rPr>
          <w:rFonts w:ascii="Verdana" w:eastAsia="Verdana" w:hAnsi="Verdana" w:cs="Times New Roman"/>
          <w:sz w:val="20"/>
          <w:szCs w:val="20"/>
          <w:lang w:val="es-CR"/>
        </w:rPr>
        <w:t>e</w:t>
      </w:r>
      <w:r w:rsidRPr="00744CE4">
        <w:rPr>
          <w:rFonts w:ascii="Verdana" w:eastAsia="Verdana" w:hAnsi="Verdana" w:cs="Times New Roman"/>
          <w:spacing w:val="38"/>
          <w:sz w:val="20"/>
          <w:szCs w:val="20"/>
          <w:lang w:val="es-CR"/>
        </w:rPr>
        <w:t xml:space="preserve"> </w:t>
      </w:r>
      <w:r w:rsidRPr="00744CE4">
        <w:rPr>
          <w:rFonts w:ascii="Verdana" w:eastAsia="Verdana" w:hAnsi="Verdana" w:cs="Times New Roman"/>
          <w:spacing w:val="2"/>
          <w:sz w:val="20"/>
          <w:szCs w:val="20"/>
          <w:lang w:val="es-CR"/>
        </w:rPr>
        <w:t>s</w:t>
      </w:r>
      <w:r w:rsidRPr="00744CE4">
        <w:rPr>
          <w:rFonts w:ascii="Verdana" w:eastAsia="Verdana" w:hAnsi="Verdana" w:cs="Times New Roman"/>
          <w:sz w:val="20"/>
          <w:szCs w:val="20"/>
          <w:lang w:val="es-CR"/>
        </w:rPr>
        <w:t>e c</w:t>
      </w:r>
      <w:r w:rsidRPr="00744CE4">
        <w:rPr>
          <w:rFonts w:ascii="Verdana" w:eastAsia="Verdana" w:hAnsi="Verdana" w:cs="Times New Roman"/>
          <w:spacing w:val="-2"/>
          <w:sz w:val="20"/>
          <w:szCs w:val="20"/>
          <w:lang w:val="es-CR"/>
        </w:rPr>
        <w:t>o</w:t>
      </w:r>
      <w:r w:rsidRPr="00744CE4">
        <w:rPr>
          <w:rFonts w:ascii="Verdana" w:eastAsia="Verdana" w:hAnsi="Verdana" w:cs="Times New Roman"/>
          <w:spacing w:val="1"/>
          <w:sz w:val="20"/>
          <w:szCs w:val="20"/>
          <w:lang w:val="es-CR"/>
        </w:rPr>
        <w:t>n</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i</w:t>
      </w:r>
      <w:r w:rsidRPr="00744CE4">
        <w:rPr>
          <w:rFonts w:ascii="Verdana" w:eastAsia="Verdana" w:hAnsi="Verdana" w:cs="Times New Roman"/>
          <w:spacing w:val="1"/>
          <w:sz w:val="20"/>
          <w:szCs w:val="20"/>
          <w:lang w:val="es-CR"/>
        </w:rPr>
        <w:t>d</w:t>
      </w:r>
      <w:r w:rsidRPr="00744CE4">
        <w:rPr>
          <w:rFonts w:ascii="Verdana" w:eastAsia="Verdana" w:hAnsi="Verdana" w:cs="Times New Roman"/>
          <w:spacing w:val="-1"/>
          <w:sz w:val="20"/>
          <w:szCs w:val="20"/>
          <w:lang w:val="es-CR"/>
        </w:rPr>
        <w:t>er</w:t>
      </w:r>
      <w:r w:rsidRPr="00744CE4">
        <w:rPr>
          <w:rFonts w:ascii="Verdana" w:eastAsia="Verdana" w:hAnsi="Verdana" w:cs="Times New Roman"/>
          <w:sz w:val="20"/>
          <w:szCs w:val="20"/>
          <w:lang w:val="es-CR"/>
        </w:rPr>
        <w:t>a</w:t>
      </w:r>
      <w:r w:rsidRPr="00744CE4">
        <w:rPr>
          <w:rFonts w:ascii="Verdana" w:eastAsia="Verdana" w:hAnsi="Verdana" w:cs="Times New Roman"/>
          <w:spacing w:val="-6"/>
          <w:sz w:val="20"/>
          <w:szCs w:val="20"/>
          <w:lang w:val="es-CR"/>
        </w:rPr>
        <w:t xml:space="preserve"> </w:t>
      </w:r>
      <w:r w:rsidRPr="00744CE4">
        <w:rPr>
          <w:rFonts w:ascii="Verdana" w:eastAsia="Verdana" w:hAnsi="Verdana" w:cs="Times New Roman"/>
          <w:spacing w:val="-1"/>
          <w:sz w:val="20"/>
          <w:szCs w:val="20"/>
          <w:lang w:val="es-CR"/>
        </w:rPr>
        <w:t>re</w:t>
      </w:r>
      <w:r w:rsidRPr="00744CE4">
        <w:rPr>
          <w:rFonts w:ascii="Verdana" w:eastAsia="Verdana" w:hAnsi="Verdana" w:cs="Times New Roman"/>
          <w:spacing w:val="3"/>
          <w:sz w:val="20"/>
          <w:szCs w:val="20"/>
          <w:lang w:val="es-CR"/>
        </w:rPr>
        <w:t>p</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e</w:t>
      </w:r>
      <w:r w:rsidRPr="00744CE4">
        <w:rPr>
          <w:rFonts w:ascii="Verdana" w:eastAsia="Verdana" w:hAnsi="Verdana" w:cs="Times New Roman"/>
          <w:spacing w:val="1"/>
          <w:sz w:val="20"/>
          <w:szCs w:val="20"/>
          <w:lang w:val="es-CR"/>
        </w:rPr>
        <w:t>nt</w:t>
      </w:r>
      <w:r w:rsidRPr="00744CE4">
        <w:rPr>
          <w:rFonts w:ascii="Verdana" w:eastAsia="Verdana" w:hAnsi="Verdana" w:cs="Times New Roman"/>
          <w:sz w:val="20"/>
          <w:szCs w:val="20"/>
          <w:lang w:val="es-CR"/>
        </w:rPr>
        <w:t>a</w:t>
      </w:r>
      <w:r w:rsidRPr="00744CE4">
        <w:rPr>
          <w:rFonts w:ascii="Verdana" w:eastAsia="Verdana" w:hAnsi="Verdana" w:cs="Times New Roman"/>
          <w:spacing w:val="3"/>
          <w:sz w:val="20"/>
          <w:szCs w:val="20"/>
          <w:lang w:val="es-CR"/>
        </w:rPr>
        <w:t>d</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w:t>
      </w:r>
      <w:r w:rsidRPr="00744CE4">
        <w:rPr>
          <w:rFonts w:ascii="Verdana" w:eastAsia="Verdana" w:hAnsi="Verdana" w:cs="Times New Roman"/>
          <w:spacing w:val="-11"/>
          <w:sz w:val="20"/>
          <w:szCs w:val="20"/>
          <w:lang w:val="es-CR"/>
        </w:rPr>
        <w:t xml:space="preserve"> </w:t>
      </w:r>
      <w:r w:rsidRPr="00744CE4">
        <w:rPr>
          <w:rFonts w:ascii="Verdana" w:eastAsia="Verdana" w:hAnsi="Verdana" w:cs="Times New Roman"/>
          <w:sz w:val="20"/>
          <w:szCs w:val="20"/>
          <w:lang w:val="es-CR"/>
        </w:rPr>
        <w:t xml:space="preserve">y </w:t>
      </w:r>
      <w:r w:rsidRPr="00744CE4">
        <w:rPr>
          <w:rFonts w:ascii="Verdana" w:eastAsia="Verdana" w:hAnsi="Verdana" w:cs="Times New Roman"/>
          <w:spacing w:val="1"/>
          <w:sz w:val="20"/>
          <w:szCs w:val="20"/>
          <w:lang w:val="es-CR"/>
        </w:rPr>
        <w:t>qu</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w:t>
      </w:r>
      <w:r w:rsidRPr="00744CE4">
        <w:rPr>
          <w:rFonts w:ascii="Verdana" w:eastAsia="Verdana" w:hAnsi="Verdana" w:cs="Times New Roman"/>
          <w:spacing w:val="-3"/>
          <w:sz w:val="20"/>
          <w:szCs w:val="20"/>
          <w:lang w:val="es-CR"/>
        </w:rPr>
        <w:t xml:space="preserve"> </w:t>
      </w:r>
      <w:r w:rsidRPr="00744CE4">
        <w:rPr>
          <w:rFonts w:ascii="Verdana" w:eastAsia="Verdana" w:hAnsi="Verdana" w:cs="Times New Roman"/>
          <w:sz w:val="20"/>
          <w:szCs w:val="20"/>
          <w:lang w:val="es-CR"/>
        </w:rPr>
        <w:t>al</w:t>
      </w:r>
      <w:r w:rsidRPr="00744CE4">
        <w:rPr>
          <w:rFonts w:ascii="Verdana" w:eastAsia="Verdana" w:hAnsi="Verdana" w:cs="Times New Roman"/>
          <w:spacing w:val="2"/>
          <w:sz w:val="20"/>
          <w:szCs w:val="20"/>
          <w:lang w:val="es-CR"/>
        </w:rPr>
        <w:t xml:space="preserve"> </w:t>
      </w:r>
      <w:r w:rsidRPr="00744CE4">
        <w:rPr>
          <w:rFonts w:ascii="Verdana" w:eastAsia="Verdana" w:hAnsi="Verdana" w:cs="Times New Roman"/>
          <w:spacing w:val="1"/>
          <w:sz w:val="20"/>
          <w:szCs w:val="20"/>
          <w:lang w:val="es-CR"/>
        </w:rPr>
        <w:t>t</w:t>
      </w:r>
      <w:r w:rsidRPr="00744CE4">
        <w:rPr>
          <w:rFonts w:ascii="Verdana" w:eastAsia="Verdana" w:hAnsi="Verdana" w:cs="Times New Roman"/>
          <w:spacing w:val="-1"/>
          <w:sz w:val="20"/>
          <w:szCs w:val="20"/>
          <w:lang w:val="es-CR"/>
        </w:rPr>
        <w:t>r</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t</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r</w:t>
      </w:r>
      <w:r w:rsidRPr="00744CE4">
        <w:rPr>
          <w:rFonts w:ascii="Verdana" w:eastAsia="Verdana" w:hAnsi="Verdana" w:cs="Times New Roman"/>
          <w:sz w:val="20"/>
          <w:szCs w:val="20"/>
          <w:lang w:val="es-CR"/>
        </w:rPr>
        <w:t>se</w:t>
      </w:r>
      <w:r w:rsidRPr="00744CE4">
        <w:rPr>
          <w:rFonts w:ascii="Verdana" w:eastAsia="Verdana" w:hAnsi="Verdana" w:cs="Times New Roman"/>
          <w:spacing w:val="-8"/>
          <w:sz w:val="20"/>
          <w:szCs w:val="20"/>
          <w:lang w:val="es-CR"/>
        </w:rPr>
        <w:t xml:space="preserve"> </w:t>
      </w:r>
      <w:r w:rsidRPr="00744CE4">
        <w:rPr>
          <w:rFonts w:ascii="Verdana" w:eastAsia="Verdana" w:hAnsi="Verdana" w:cs="Times New Roman"/>
          <w:spacing w:val="1"/>
          <w:sz w:val="20"/>
          <w:szCs w:val="20"/>
          <w:lang w:val="es-CR"/>
        </w:rPr>
        <w:t>d</w:t>
      </w:r>
      <w:r w:rsidRPr="00744CE4">
        <w:rPr>
          <w:rFonts w:ascii="Verdana" w:eastAsia="Verdana" w:hAnsi="Verdana" w:cs="Times New Roman"/>
          <w:sz w:val="20"/>
          <w:szCs w:val="20"/>
          <w:lang w:val="es-CR"/>
        </w:rPr>
        <w:t>e</w:t>
      </w:r>
      <w:r w:rsidRPr="00744CE4">
        <w:rPr>
          <w:rFonts w:ascii="Verdana" w:eastAsia="Verdana" w:hAnsi="Verdana" w:cs="Times New Roman"/>
          <w:spacing w:val="-2"/>
          <w:sz w:val="20"/>
          <w:szCs w:val="20"/>
          <w:lang w:val="es-CR"/>
        </w:rPr>
        <w:t xml:space="preserve"> </w:t>
      </w:r>
      <w:r w:rsidRPr="00744CE4">
        <w:rPr>
          <w:rFonts w:ascii="Verdana" w:eastAsia="Verdana" w:hAnsi="Verdana" w:cs="Times New Roman"/>
          <w:sz w:val="20"/>
          <w:szCs w:val="20"/>
          <w:lang w:val="es-CR"/>
        </w:rPr>
        <w:t>a</w:t>
      </w:r>
      <w:r w:rsidRPr="00744CE4">
        <w:rPr>
          <w:rFonts w:ascii="Verdana" w:eastAsia="Verdana" w:hAnsi="Verdana" w:cs="Times New Roman"/>
          <w:spacing w:val="3"/>
          <w:sz w:val="20"/>
          <w:szCs w:val="20"/>
          <w:lang w:val="es-CR"/>
        </w:rPr>
        <w:t>l</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g</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do</w:t>
      </w:r>
      <w:r w:rsidRPr="00744CE4">
        <w:rPr>
          <w:rFonts w:ascii="Verdana" w:eastAsia="Verdana" w:hAnsi="Verdana" w:cs="Times New Roman"/>
          <w:sz w:val="20"/>
          <w:szCs w:val="20"/>
          <w:lang w:val="es-CR"/>
        </w:rPr>
        <w:t>s</w:t>
      </w:r>
      <w:r w:rsidRPr="00744CE4">
        <w:rPr>
          <w:rFonts w:ascii="Verdana" w:eastAsia="Verdana" w:hAnsi="Verdana" w:cs="Times New Roman"/>
          <w:spacing w:val="-8"/>
          <w:sz w:val="20"/>
          <w:szCs w:val="20"/>
          <w:lang w:val="es-CR"/>
        </w:rPr>
        <w:t xml:space="preserve"> </w:t>
      </w:r>
      <w:r w:rsidRPr="00744CE4">
        <w:rPr>
          <w:rFonts w:ascii="Verdana" w:eastAsia="Verdana" w:hAnsi="Verdana" w:cs="Times New Roman"/>
          <w:spacing w:val="1"/>
          <w:sz w:val="20"/>
          <w:szCs w:val="20"/>
          <w:lang w:val="es-CR"/>
        </w:rPr>
        <w:t>d</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2"/>
          <w:sz w:val="20"/>
          <w:szCs w:val="20"/>
          <w:lang w:val="es-CR"/>
        </w:rPr>
        <w:t>s</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m</w:t>
      </w:r>
      <w:r w:rsidRPr="00744CE4">
        <w:rPr>
          <w:rFonts w:ascii="Verdana" w:eastAsia="Verdana" w:hAnsi="Verdana" w:cs="Times New Roman"/>
          <w:spacing w:val="3"/>
          <w:sz w:val="20"/>
          <w:szCs w:val="20"/>
          <w:lang w:val="es-CR"/>
        </w:rPr>
        <w:t>b</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s</w:t>
      </w:r>
      <w:r w:rsidRPr="00744CE4">
        <w:rPr>
          <w:rFonts w:ascii="Verdana" w:eastAsia="Verdana" w:hAnsi="Verdana" w:cs="Times New Roman"/>
          <w:spacing w:val="-2"/>
          <w:sz w:val="20"/>
          <w:szCs w:val="20"/>
          <w:lang w:val="es-CR"/>
        </w:rPr>
        <w:t>o</w:t>
      </w:r>
      <w:r w:rsidRPr="00744CE4">
        <w:rPr>
          <w:rFonts w:ascii="Verdana" w:eastAsia="Verdana" w:hAnsi="Verdana" w:cs="Times New Roman"/>
          <w:sz w:val="20"/>
          <w:szCs w:val="20"/>
          <w:lang w:val="es-CR"/>
        </w:rPr>
        <w:t>s</w:t>
      </w:r>
      <w:r w:rsidRPr="00744CE4">
        <w:rPr>
          <w:rFonts w:ascii="Verdana" w:eastAsia="Verdana" w:hAnsi="Verdana" w:cs="Times New Roman"/>
          <w:spacing w:val="-12"/>
          <w:sz w:val="20"/>
          <w:szCs w:val="20"/>
          <w:lang w:val="es-CR"/>
        </w:rPr>
        <w:t xml:space="preserve"> </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2"/>
          <w:sz w:val="20"/>
          <w:szCs w:val="20"/>
          <w:lang w:val="es-CR"/>
        </w:rPr>
        <w:t>c</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1"/>
          <w:sz w:val="20"/>
          <w:szCs w:val="20"/>
          <w:lang w:val="es-CR"/>
        </w:rPr>
        <w:t>n</w:t>
      </w:r>
      <w:r w:rsidRPr="00744CE4">
        <w:rPr>
          <w:rFonts w:ascii="Verdana" w:eastAsia="Verdana" w:hAnsi="Verdana" w:cs="Times New Roman"/>
          <w:spacing w:val="-1"/>
          <w:sz w:val="20"/>
          <w:szCs w:val="20"/>
          <w:lang w:val="es-CR"/>
        </w:rPr>
        <w:t>ó</w:t>
      </w:r>
      <w:r w:rsidRPr="00744CE4">
        <w:rPr>
          <w:rFonts w:ascii="Verdana" w:eastAsia="Verdana" w:hAnsi="Verdana" w:cs="Times New Roman"/>
          <w:sz w:val="20"/>
          <w:szCs w:val="20"/>
          <w:lang w:val="es-CR"/>
        </w:rPr>
        <w:t>m</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o</w:t>
      </w:r>
      <w:r w:rsidRPr="00744CE4">
        <w:rPr>
          <w:rFonts w:ascii="Verdana" w:eastAsia="Verdana" w:hAnsi="Verdana" w:cs="Times New Roman"/>
          <w:spacing w:val="2"/>
          <w:sz w:val="20"/>
          <w:szCs w:val="20"/>
          <w:lang w:val="es-CR"/>
        </w:rPr>
        <w:t>s</w:t>
      </w:r>
      <w:r w:rsidRPr="00744CE4">
        <w:rPr>
          <w:rFonts w:ascii="Verdana" w:eastAsia="Verdana" w:hAnsi="Verdana" w:cs="Times New Roman"/>
          <w:sz w:val="20"/>
          <w:szCs w:val="20"/>
          <w:lang w:val="es-CR"/>
        </w:rPr>
        <w:t>,</w:t>
      </w:r>
      <w:r w:rsidRPr="00744CE4">
        <w:rPr>
          <w:rFonts w:ascii="Verdana" w:eastAsia="Verdana" w:hAnsi="Verdana" w:cs="Times New Roman"/>
          <w:spacing w:val="-11"/>
          <w:sz w:val="20"/>
          <w:szCs w:val="20"/>
          <w:lang w:val="es-CR"/>
        </w:rPr>
        <w:t xml:space="preserve"> </w:t>
      </w:r>
      <w:r w:rsidRPr="00744CE4">
        <w:rPr>
          <w:rFonts w:ascii="Verdana" w:eastAsia="Verdana" w:hAnsi="Verdana" w:cs="Times New Roman"/>
          <w:sz w:val="20"/>
          <w:szCs w:val="20"/>
          <w:lang w:val="es-CR"/>
        </w:rPr>
        <w:t xml:space="preserve">se </w:t>
      </w:r>
      <w:r w:rsidRPr="00744CE4">
        <w:rPr>
          <w:rFonts w:ascii="Verdana" w:eastAsia="Verdana" w:hAnsi="Verdana" w:cs="Times New Roman"/>
          <w:spacing w:val="-1"/>
          <w:sz w:val="20"/>
          <w:szCs w:val="20"/>
          <w:lang w:val="es-CR"/>
        </w:rPr>
        <w:t>e</w:t>
      </w:r>
      <w:r w:rsidRPr="00744CE4">
        <w:rPr>
          <w:rFonts w:ascii="Verdana" w:eastAsia="Verdana" w:hAnsi="Verdana" w:cs="Times New Roman"/>
          <w:sz w:val="20"/>
          <w:szCs w:val="20"/>
          <w:lang w:val="es-CR"/>
        </w:rPr>
        <w:t>sta</w:t>
      </w:r>
      <w:r w:rsidRPr="00744CE4">
        <w:rPr>
          <w:rFonts w:ascii="Verdana" w:eastAsia="Verdana" w:hAnsi="Verdana" w:cs="Times New Roman"/>
          <w:spacing w:val="1"/>
          <w:sz w:val="20"/>
          <w:szCs w:val="20"/>
          <w:lang w:val="es-CR"/>
        </w:rPr>
        <w:t>b</w:t>
      </w:r>
      <w:r w:rsidRPr="00744CE4">
        <w:rPr>
          <w:rFonts w:ascii="Verdana" w:eastAsia="Verdana" w:hAnsi="Verdana" w:cs="Times New Roman"/>
          <w:spacing w:val="3"/>
          <w:sz w:val="20"/>
          <w:szCs w:val="20"/>
          <w:lang w:val="es-CR"/>
        </w:rPr>
        <w:t>l</w:t>
      </w:r>
      <w:r w:rsidRPr="00744CE4">
        <w:rPr>
          <w:rFonts w:ascii="Verdana" w:eastAsia="Verdana" w:hAnsi="Verdana" w:cs="Times New Roman"/>
          <w:spacing w:val="-1"/>
          <w:sz w:val="20"/>
          <w:szCs w:val="20"/>
          <w:lang w:val="es-CR"/>
        </w:rPr>
        <w:t>e</w:t>
      </w:r>
      <w:r w:rsidRPr="00744CE4">
        <w:rPr>
          <w:rFonts w:ascii="Verdana" w:eastAsia="Verdana" w:hAnsi="Verdana" w:cs="Times New Roman"/>
          <w:spacing w:val="1"/>
          <w:sz w:val="20"/>
          <w:szCs w:val="20"/>
          <w:lang w:val="es-CR"/>
        </w:rPr>
        <w:t>z</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a</w:t>
      </w:r>
      <w:r w:rsidRPr="00744CE4">
        <w:rPr>
          <w:rFonts w:ascii="Verdana" w:eastAsia="Verdana" w:hAnsi="Verdana" w:cs="Times New Roman"/>
          <w:sz w:val="20"/>
          <w:szCs w:val="20"/>
          <w:lang w:val="es-CR"/>
        </w:rPr>
        <w:t>n</w:t>
      </w:r>
      <w:r w:rsidRPr="00744CE4">
        <w:rPr>
          <w:rFonts w:ascii="Verdana" w:eastAsia="Verdana" w:hAnsi="Verdana" w:cs="Times New Roman"/>
          <w:spacing w:val="-10"/>
          <w:sz w:val="20"/>
          <w:szCs w:val="20"/>
          <w:lang w:val="es-CR"/>
        </w:rPr>
        <w:t xml:space="preserve"> </w:t>
      </w:r>
      <w:r w:rsidRPr="00744CE4">
        <w:rPr>
          <w:rFonts w:ascii="Verdana" w:eastAsia="Verdana" w:hAnsi="Verdana" w:cs="Times New Roman"/>
          <w:sz w:val="20"/>
          <w:szCs w:val="20"/>
          <w:lang w:val="es-CR"/>
        </w:rPr>
        <w:t>c</w:t>
      </w:r>
      <w:r w:rsidRPr="00744CE4">
        <w:rPr>
          <w:rFonts w:ascii="Verdana" w:eastAsia="Verdana" w:hAnsi="Verdana" w:cs="Times New Roman"/>
          <w:spacing w:val="-2"/>
          <w:sz w:val="20"/>
          <w:szCs w:val="20"/>
          <w:lang w:val="es-CR"/>
        </w:rPr>
        <w:t>o</w:t>
      </w:r>
      <w:r w:rsidRPr="00744CE4">
        <w:rPr>
          <w:rFonts w:ascii="Verdana" w:eastAsia="Verdana" w:hAnsi="Verdana" w:cs="Times New Roman"/>
          <w:sz w:val="20"/>
          <w:szCs w:val="20"/>
          <w:lang w:val="es-CR"/>
        </w:rPr>
        <w:t>n c</w:t>
      </w:r>
      <w:r w:rsidRPr="00744CE4">
        <w:rPr>
          <w:rFonts w:ascii="Verdana" w:eastAsia="Verdana" w:hAnsi="Verdana" w:cs="Times New Roman"/>
          <w:spacing w:val="2"/>
          <w:sz w:val="20"/>
          <w:szCs w:val="20"/>
          <w:lang w:val="es-CR"/>
        </w:rPr>
        <w:t>l</w:t>
      </w:r>
      <w:r w:rsidRPr="00744CE4">
        <w:rPr>
          <w:rFonts w:ascii="Verdana" w:eastAsia="Verdana" w:hAnsi="Verdana" w:cs="Times New Roman"/>
          <w:sz w:val="20"/>
          <w:szCs w:val="20"/>
          <w:lang w:val="es-CR"/>
        </w:rPr>
        <w:t>a</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d</w:t>
      </w:r>
      <w:r w:rsidRPr="00744CE4">
        <w:rPr>
          <w:rFonts w:ascii="Verdana" w:eastAsia="Verdana" w:hAnsi="Verdana" w:cs="Times New Roman"/>
          <w:sz w:val="20"/>
          <w:szCs w:val="20"/>
          <w:lang w:val="es-CR"/>
        </w:rPr>
        <w:t>ad</w:t>
      </w:r>
      <w:r w:rsidRPr="00744CE4">
        <w:rPr>
          <w:rFonts w:ascii="Verdana" w:eastAsia="Verdana" w:hAnsi="Verdana" w:cs="Times New Roman"/>
          <w:spacing w:val="-10"/>
          <w:sz w:val="20"/>
          <w:szCs w:val="20"/>
          <w:lang w:val="es-CR"/>
        </w:rPr>
        <w:t xml:space="preserve"> </w:t>
      </w:r>
      <w:r w:rsidRPr="00744CE4">
        <w:rPr>
          <w:rFonts w:ascii="Verdana" w:eastAsia="Verdana" w:hAnsi="Verdana" w:cs="Times New Roman"/>
          <w:spacing w:val="3"/>
          <w:sz w:val="20"/>
          <w:szCs w:val="20"/>
          <w:lang w:val="es-CR"/>
        </w:rPr>
        <w:t>l</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s</w:t>
      </w:r>
      <w:r w:rsidRPr="00744CE4">
        <w:rPr>
          <w:rFonts w:ascii="Verdana" w:eastAsia="Verdana" w:hAnsi="Verdana" w:cs="Times New Roman"/>
          <w:spacing w:val="-4"/>
          <w:sz w:val="20"/>
          <w:szCs w:val="20"/>
          <w:lang w:val="es-CR"/>
        </w:rPr>
        <w:t xml:space="preserve"> </w:t>
      </w:r>
      <w:r w:rsidRPr="00744CE4">
        <w:rPr>
          <w:rFonts w:ascii="Verdana" w:eastAsia="Verdana" w:hAnsi="Verdana" w:cs="Times New Roman"/>
          <w:spacing w:val="-1"/>
          <w:sz w:val="20"/>
          <w:szCs w:val="20"/>
          <w:lang w:val="es-CR"/>
        </w:rPr>
        <w:t>r</w:t>
      </w:r>
      <w:r w:rsidRPr="00744CE4">
        <w:rPr>
          <w:rFonts w:ascii="Verdana" w:eastAsia="Verdana" w:hAnsi="Verdana" w:cs="Times New Roman"/>
          <w:spacing w:val="1"/>
          <w:sz w:val="20"/>
          <w:szCs w:val="20"/>
          <w:lang w:val="es-CR"/>
        </w:rPr>
        <w:t>ubr</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s</w:t>
      </w:r>
      <w:r w:rsidRPr="00744CE4">
        <w:rPr>
          <w:rFonts w:ascii="Verdana" w:eastAsia="Verdana" w:hAnsi="Verdana" w:cs="Times New Roman"/>
          <w:spacing w:val="-5"/>
          <w:sz w:val="20"/>
          <w:szCs w:val="20"/>
          <w:lang w:val="es-CR"/>
        </w:rPr>
        <w:t xml:space="preserve"> </w:t>
      </w:r>
      <w:r w:rsidRPr="00744CE4">
        <w:rPr>
          <w:rFonts w:ascii="Verdana" w:eastAsia="Verdana" w:hAnsi="Verdana" w:cs="Times New Roman"/>
          <w:sz w:val="20"/>
          <w:szCs w:val="20"/>
          <w:lang w:val="es-CR"/>
        </w:rPr>
        <w:t>y</w:t>
      </w:r>
      <w:r w:rsidRPr="00744CE4">
        <w:rPr>
          <w:rFonts w:ascii="Verdana" w:eastAsia="Verdana" w:hAnsi="Verdana" w:cs="Times New Roman"/>
          <w:spacing w:val="-2"/>
          <w:sz w:val="20"/>
          <w:szCs w:val="20"/>
          <w:lang w:val="es-CR"/>
        </w:rPr>
        <w:t xml:space="preserve"> </w:t>
      </w:r>
      <w:r w:rsidRPr="00744CE4">
        <w:rPr>
          <w:rFonts w:ascii="Verdana" w:eastAsia="Verdana" w:hAnsi="Verdana" w:cs="Times New Roman"/>
          <w:spacing w:val="3"/>
          <w:sz w:val="20"/>
          <w:szCs w:val="20"/>
          <w:lang w:val="es-CR"/>
        </w:rPr>
        <w:t>l</w:t>
      </w:r>
      <w:r w:rsidRPr="00744CE4">
        <w:rPr>
          <w:rFonts w:ascii="Verdana" w:eastAsia="Verdana" w:hAnsi="Verdana" w:cs="Times New Roman"/>
          <w:sz w:val="20"/>
          <w:szCs w:val="20"/>
          <w:lang w:val="es-CR"/>
        </w:rPr>
        <w:t>a</w:t>
      </w:r>
      <w:r w:rsidRPr="00744CE4">
        <w:rPr>
          <w:rFonts w:ascii="Verdana" w:eastAsia="Verdana" w:hAnsi="Verdana" w:cs="Times New Roman"/>
          <w:spacing w:val="-2"/>
          <w:sz w:val="20"/>
          <w:szCs w:val="20"/>
          <w:lang w:val="es-CR"/>
        </w:rPr>
        <w:t xml:space="preserve"> </w:t>
      </w:r>
      <w:r w:rsidRPr="00744CE4">
        <w:rPr>
          <w:rFonts w:ascii="Verdana" w:eastAsia="Verdana" w:hAnsi="Verdana" w:cs="Times New Roman"/>
          <w:spacing w:val="1"/>
          <w:sz w:val="20"/>
          <w:szCs w:val="20"/>
          <w:lang w:val="es-CR"/>
        </w:rPr>
        <w:t>ju</w:t>
      </w:r>
      <w:r w:rsidRPr="00744CE4">
        <w:rPr>
          <w:rFonts w:ascii="Verdana" w:eastAsia="Verdana" w:hAnsi="Verdana" w:cs="Times New Roman"/>
          <w:sz w:val="20"/>
          <w:szCs w:val="20"/>
          <w:lang w:val="es-CR"/>
        </w:rPr>
        <w:t>st</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3"/>
          <w:sz w:val="20"/>
          <w:szCs w:val="20"/>
          <w:lang w:val="es-CR"/>
        </w:rPr>
        <w:t>f</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ca</w:t>
      </w:r>
      <w:r w:rsidRPr="00744CE4">
        <w:rPr>
          <w:rFonts w:ascii="Verdana" w:eastAsia="Verdana" w:hAnsi="Verdana" w:cs="Times New Roman"/>
          <w:spacing w:val="-1"/>
          <w:sz w:val="20"/>
          <w:szCs w:val="20"/>
          <w:lang w:val="es-CR"/>
        </w:rPr>
        <w:t>c</w:t>
      </w:r>
      <w:r w:rsidRPr="00744CE4">
        <w:rPr>
          <w:rFonts w:ascii="Verdana" w:eastAsia="Verdana" w:hAnsi="Verdana" w:cs="Times New Roman"/>
          <w:spacing w:val="3"/>
          <w:sz w:val="20"/>
          <w:szCs w:val="20"/>
          <w:lang w:val="es-CR"/>
        </w:rPr>
        <w:t>i</w:t>
      </w:r>
      <w:r w:rsidRPr="00744CE4">
        <w:rPr>
          <w:rFonts w:ascii="Verdana" w:eastAsia="Verdana" w:hAnsi="Verdana" w:cs="Times New Roman"/>
          <w:spacing w:val="-1"/>
          <w:sz w:val="20"/>
          <w:szCs w:val="20"/>
          <w:lang w:val="es-CR"/>
        </w:rPr>
        <w:t>ó</w:t>
      </w:r>
      <w:r w:rsidRPr="00744CE4">
        <w:rPr>
          <w:rFonts w:ascii="Verdana" w:eastAsia="Verdana" w:hAnsi="Verdana" w:cs="Times New Roman"/>
          <w:sz w:val="20"/>
          <w:szCs w:val="20"/>
          <w:lang w:val="es-CR"/>
        </w:rPr>
        <w:t>n</w:t>
      </w:r>
      <w:r w:rsidRPr="00744CE4">
        <w:rPr>
          <w:rFonts w:ascii="Verdana" w:eastAsia="Verdana" w:hAnsi="Verdana" w:cs="Times New Roman"/>
          <w:spacing w:val="-11"/>
          <w:sz w:val="20"/>
          <w:szCs w:val="20"/>
          <w:lang w:val="es-CR"/>
        </w:rPr>
        <w:t xml:space="preserve"> </w:t>
      </w:r>
      <w:r w:rsidRPr="00744CE4">
        <w:rPr>
          <w:rFonts w:ascii="Verdana" w:eastAsia="Verdana" w:hAnsi="Verdana" w:cs="Times New Roman"/>
          <w:sz w:val="20"/>
          <w:szCs w:val="20"/>
          <w:lang w:val="es-CR"/>
        </w:rPr>
        <w:t>de</w:t>
      </w:r>
      <w:r w:rsidRPr="00744CE4">
        <w:rPr>
          <w:rFonts w:ascii="Verdana" w:eastAsia="Verdana" w:hAnsi="Verdana" w:cs="Times New Roman"/>
          <w:spacing w:val="-3"/>
          <w:sz w:val="20"/>
          <w:szCs w:val="20"/>
          <w:lang w:val="es-CR"/>
        </w:rPr>
        <w:t xml:space="preserve"> </w:t>
      </w:r>
      <w:r w:rsidRPr="00744CE4">
        <w:rPr>
          <w:rFonts w:ascii="Verdana" w:eastAsia="Verdana" w:hAnsi="Verdana" w:cs="Times New Roman"/>
          <w:spacing w:val="2"/>
          <w:sz w:val="20"/>
          <w:szCs w:val="20"/>
          <w:lang w:val="es-CR"/>
        </w:rPr>
        <w:t>l</w:t>
      </w:r>
      <w:r w:rsidRPr="00744CE4">
        <w:rPr>
          <w:rFonts w:ascii="Verdana" w:eastAsia="Verdana" w:hAnsi="Verdana" w:cs="Times New Roman"/>
          <w:spacing w:val="-1"/>
          <w:sz w:val="20"/>
          <w:szCs w:val="20"/>
          <w:lang w:val="es-CR"/>
        </w:rPr>
        <w:t>o</w:t>
      </w:r>
      <w:r w:rsidRPr="00744CE4">
        <w:rPr>
          <w:rFonts w:ascii="Verdana" w:eastAsia="Verdana" w:hAnsi="Verdana" w:cs="Times New Roman"/>
          <w:sz w:val="20"/>
          <w:szCs w:val="20"/>
          <w:lang w:val="es-CR"/>
        </w:rPr>
        <w:t>s</w:t>
      </w:r>
      <w:r w:rsidRPr="00744CE4">
        <w:rPr>
          <w:rFonts w:ascii="Verdana" w:eastAsia="Verdana" w:hAnsi="Verdana" w:cs="Times New Roman"/>
          <w:spacing w:val="-4"/>
          <w:sz w:val="20"/>
          <w:szCs w:val="20"/>
          <w:lang w:val="es-CR"/>
        </w:rPr>
        <w:t xml:space="preserve"> </w:t>
      </w:r>
      <w:r w:rsidRPr="00744CE4">
        <w:rPr>
          <w:rFonts w:ascii="Verdana" w:eastAsia="Verdana" w:hAnsi="Verdana" w:cs="Times New Roman"/>
          <w:sz w:val="20"/>
          <w:szCs w:val="20"/>
          <w:lang w:val="es-CR"/>
        </w:rPr>
        <w:t>m</w:t>
      </w:r>
      <w:r w:rsidRPr="00744CE4">
        <w:rPr>
          <w:rFonts w:ascii="Verdana" w:eastAsia="Verdana" w:hAnsi="Verdana" w:cs="Times New Roman"/>
          <w:spacing w:val="3"/>
          <w:sz w:val="20"/>
          <w:szCs w:val="20"/>
          <w:lang w:val="es-CR"/>
        </w:rPr>
        <w:t>i</w:t>
      </w:r>
      <w:r w:rsidRPr="00744CE4">
        <w:rPr>
          <w:rFonts w:ascii="Verdana" w:eastAsia="Verdana" w:hAnsi="Verdana" w:cs="Times New Roman"/>
          <w:sz w:val="20"/>
          <w:szCs w:val="20"/>
          <w:lang w:val="es-CR"/>
        </w:rPr>
        <w:t>sm</w:t>
      </w:r>
      <w:r w:rsidRPr="00744CE4">
        <w:rPr>
          <w:rFonts w:ascii="Verdana" w:eastAsia="Verdana" w:hAnsi="Verdana" w:cs="Times New Roman"/>
          <w:spacing w:val="-1"/>
          <w:sz w:val="20"/>
          <w:szCs w:val="20"/>
          <w:lang w:val="es-CR"/>
        </w:rPr>
        <w:t>o</w:t>
      </w:r>
      <w:r w:rsidRPr="00744CE4">
        <w:rPr>
          <w:rFonts w:ascii="Verdana" w:eastAsia="Verdana" w:hAnsi="Verdana" w:cs="Times New Roman"/>
          <w:spacing w:val="7"/>
          <w:sz w:val="20"/>
          <w:szCs w:val="20"/>
          <w:lang w:val="es-CR"/>
        </w:rPr>
        <w:t>s</w:t>
      </w:r>
      <w:r w:rsidRPr="00744CE4">
        <w:rPr>
          <w:rFonts w:ascii="Verdana" w:eastAsia="Verdana" w:hAnsi="Verdana" w:cs="Times New Roman"/>
          <w:spacing w:val="7"/>
          <w:sz w:val="20"/>
          <w:szCs w:val="20"/>
          <w:vertAlign w:val="superscript"/>
          <w:lang w:val="es-CR"/>
        </w:rPr>
        <w:footnoteReference w:id="584"/>
      </w:r>
      <w:r w:rsidRPr="00744CE4">
        <w:rPr>
          <w:rFonts w:ascii="Verdana" w:eastAsia="Verdana" w:hAnsi="Verdana" w:cs="Times New Roman"/>
          <w:sz w:val="20"/>
          <w:szCs w:val="20"/>
          <w:lang w:val="es-CR"/>
        </w:rPr>
        <w:t>.</w:t>
      </w:r>
      <w:r w:rsidRPr="00744CE4">
        <w:rPr>
          <w:rFonts w:ascii="Verdana" w:hAnsi="Verdana" w:cs="Times New Roman"/>
          <w:sz w:val="20"/>
          <w:szCs w:val="20"/>
          <w:lang w:val="es-CR"/>
        </w:rPr>
        <w:t xml:space="preserve"> </w:t>
      </w:r>
    </w:p>
    <w:p w14:paraId="31962505" w14:textId="6F6B6C4B" w:rsidR="0030739A" w:rsidRPr="005740DE"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5740DE">
        <w:rPr>
          <w:rFonts w:ascii="Verdana" w:hAnsi="Verdana" w:cs="Times New Roman"/>
          <w:sz w:val="20"/>
          <w:szCs w:val="20"/>
          <w:lang w:val="es-CR"/>
        </w:rPr>
        <w:t>En el presente caso, la Corte constata que l</w:t>
      </w:r>
      <w:r w:rsidR="005740DE" w:rsidRPr="005740DE">
        <w:rPr>
          <w:rFonts w:ascii="Verdana" w:hAnsi="Verdana" w:cs="Times New Roman"/>
          <w:sz w:val="20"/>
          <w:szCs w:val="20"/>
          <w:lang w:val="es-CR"/>
        </w:rPr>
        <w:t>a</w:t>
      </w:r>
      <w:r w:rsidRPr="005740DE">
        <w:rPr>
          <w:rFonts w:ascii="Verdana" w:hAnsi="Verdana" w:cs="Times New Roman"/>
          <w:sz w:val="20"/>
          <w:szCs w:val="20"/>
          <w:lang w:val="es-CR"/>
        </w:rPr>
        <w:t xml:space="preserve">s representantes incurrieron en gastos relacionados con la tramitación del presente caso ante la Comisión </w:t>
      </w:r>
      <w:r w:rsidRPr="00C05494">
        <w:rPr>
          <w:rFonts w:ascii="Verdana" w:hAnsi="Verdana" w:cs="Times New Roman"/>
          <w:sz w:val="20"/>
          <w:szCs w:val="20"/>
          <w:lang w:val="es-CR"/>
        </w:rPr>
        <w:t>y ante este Tribunal relativos a transporte, mensajería, servicios</w:t>
      </w:r>
      <w:r w:rsidRPr="007561E3">
        <w:rPr>
          <w:rFonts w:ascii="Verdana" w:hAnsi="Verdana" w:cs="Times New Roman"/>
          <w:sz w:val="20"/>
          <w:szCs w:val="20"/>
          <w:lang w:val="es-CR"/>
        </w:rPr>
        <w:t xml:space="preserve"> de comunicación y servicios de notariado, entre otros, y </w:t>
      </w:r>
      <w:r w:rsidRPr="007561E3">
        <w:rPr>
          <w:rFonts w:ascii="Verdana" w:hAnsi="Verdana" w:cs="Times New Roman"/>
          <w:sz w:val="20"/>
          <w:szCs w:val="20"/>
          <w:lang w:val="es-CR"/>
        </w:rPr>
        <w:lastRenderedPageBreak/>
        <w:t>remitieron los comprobantes de dichos gastos. Asimismo, l</w:t>
      </w:r>
      <w:r w:rsidR="005740DE" w:rsidRPr="008143D6">
        <w:rPr>
          <w:rFonts w:ascii="Verdana" w:hAnsi="Verdana" w:cs="Times New Roman"/>
          <w:sz w:val="20"/>
          <w:szCs w:val="20"/>
          <w:lang w:val="es-CR"/>
        </w:rPr>
        <w:t>a</w:t>
      </w:r>
      <w:r w:rsidRPr="008143D6">
        <w:rPr>
          <w:rFonts w:ascii="Verdana" w:hAnsi="Verdana" w:cs="Times New Roman"/>
          <w:sz w:val="20"/>
          <w:szCs w:val="20"/>
          <w:lang w:val="es-CR"/>
        </w:rPr>
        <w:t>s representantes solicitaron el pago de honorarios</w:t>
      </w:r>
      <w:r w:rsidR="00C454B2" w:rsidRPr="008143D6">
        <w:rPr>
          <w:rStyle w:val="Refdenotaalpie"/>
          <w:rFonts w:ascii="Verdana" w:hAnsi="Verdana" w:cs="Times New Roman"/>
          <w:sz w:val="20"/>
          <w:szCs w:val="20"/>
          <w:lang w:val="es-CR"/>
        </w:rPr>
        <w:footnoteReference w:id="585"/>
      </w:r>
      <w:r w:rsidRPr="008143D6">
        <w:rPr>
          <w:rFonts w:ascii="Verdana" w:hAnsi="Verdana" w:cs="Times New Roman"/>
          <w:sz w:val="20"/>
          <w:szCs w:val="20"/>
          <w:lang w:val="es-CR"/>
        </w:rPr>
        <w:t xml:space="preserve">. </w:t>
      </w:r>
      <w:r w:rsidR="00F854D3" w:rsidRPr="008D0846">
        <w:rPr>
          <w:rFonts w:ascii="Verdana" w:hAnsi="Verdana" w:cs="Times New Roman"/>
          <w:sz w:val="20"/>
          <w:szCs w:val="20"/>
          <w:lang w:val="es-CR"/>
        </w:rPr>
        <w:t>Cabe señalar, que algunos</w:t>
      </w:r>
      <w:r w:rsidR="00AF5E48" w:rsidRPr="008D0846">
        <w:rPr>
          <w:rFonts w:ascii="Verdana" w:hAnsi="Verdana" w:cs="Times New Roman"/>
          <w:sz w:val="20"/>
          <w:szCs w:val="20"/>
          <w:lang w:val="es-CR"/>
        </w:rPr>
        <w:t xml:space="preserve"> de esos gastos no fueron justificados debidamente o no guardan relación con el caso. Respecto de los gastos relacionados con el proceso de asilo, </w:t>
      </w:r>
      <w:r w:rsidR="00F854D3" w:rsidRPr="008D0846">
        <w:rPr>
          <w:rFonts w:ascii="Verdana" w:hAnsi="Verdana" w:cs="Times New Roman"/>
          <w:sz w:val="20"/>
          <w:szCs w:val="20"/>
          <w:lang w:val="es-CR"/>
        </w:rPr>
        <w:t>éstos no fueron</w:t>
      </w:r>
      <w:r w:rsidR="00AF5E48" w:rsidRPr="008D0846">
        <w:rPr>
          <w:rFonts w:ascii="Verdana" w:hAnsi="Verdana" w:cs="Times New Roman"/>
          <w:sz w:val="20"/>
          <w:szCs w:val="20"/>
          <w:lang w:val="es-CR"/>
        </w:rPr>
        <w:t xml:space="preserve"> justificaron debidamente</w:t>
      </w:r>
      <w:r w:rsidR="005740DE" w:rsidRPr="008D0846">
        <w:rPr>
          <w:rStyle w:val="Refdenotaalpie"/>
          <w:rFonts w:ascii="Verdana" w:hAnsi="Verdana" w:cs="Times New Roman"/>
          <w:sz w:val="20"/>
          <w:szCs w:val="20"/>
          <w:lang w:val="es-CR"/>
        </w:rPr>
        <w:footnoteReference w:id="586"/>
      </w:r>
      <w:r w:rsidR="00AF5E48" w:rsidRPr="008D0846">
        <w:rPr>
          <w:rFonts w:ascii="Verdana" w:hAnsi="Verdana" w:cs="Times New Roman"/>
          <w:sz w:val="20"/>
          <w:szCs w:val="20"/>
          <w:lang w:val="es-CR"/>
        </w:rPr>
        <w:t xml:space="preserve">. </w:t>
      </w:r>
    </w:p>
    <w:p w14:paraId="6816F719" w14:textId="71A629A6" w:rsidR="0030739A" w:rsidRPr="00623998" w:rsidRDefault="0030739A" w:rsidP="00696914">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bidi="en-US"/>
        </w:rPr>
      </w:pPr>
      <w:r w:rsidRPr="00A2555B">
        <w:rPr>
          <w:rFonts w:ascii="Verdana" w:hAnsi="Verdana" w:cs="Times New Roman"/>
          <w:sz w:val="20"/>
          <w:szCs w:val="20"/>
          <w:lang w:val="es-CR"/>
        </w:rPr>
        <w:t xml:space="preserve">En consideración de todo lo anterior, </w:t>
      </w:r>
      <w:r w:rsidRPr="00A2555B">
        <w:rPr>
          <w:rFonts w:ascii="Verdana" w:hAnsi="Verdana" w:cs="Times New Roman"/>
          <w:sz w:val="20"/>
          <w:szCs w:val="20"/>
          <w:lang w:val="es-CR" w:bidi="en-US"/>
        </w:rPr>
        <w:t>la Corte fija un monto razonable de</w:t>
      </w:r>
      <w:r w:rsidRPr="008D0846">
        <w:rPr>
          <w:rFonts w:ascii="Verdana" w:hAnsi="Verdana" w:cs="Times New Roman"/>
          <w:sz w:val="20"/>
          <w:szCs w:val="20"/>
          <w:lang w:val="es-CR" w:bidi="en-US"/>
        </w:rPr>
        <w:t xml:space="preserve"> US</w:t>
      </w:r>
      <w:r w:rsidR="00DA3E10" w:rsidRPr="008D0846">
        <w:rPr>
          <w:rFonts w:ascii="Verdana" w:hAnsi="Verdana" w:cs="Times New Roman"/>
          <w:sz w:val="20"/>
          <w:szCs w:val="20"/>
          <w:lang w:val="es-CR" w:bidi="en-US"/>
        </w:rPr>
        <w:t>D</w:t>
      </w:r>
      <w:r w:rsidRPr="008D0846">
        <w:rPr>
          <w:rFonts w:ascii="Verdana" w:hAnsi="Verdana" w:cs="Times New Roman"/>
          <w:sz w:val="20"/>
          <w:szCs w:val="20"/>
          <w:lang w:val="es-CR" w:bidi="en-US"/>
        </w:rPr>
        <w:t>$</w:t>
      </w:r>
      <w:r w:rsidR="00AF5E48" w:rsidRPr="008D0846">
        <w:rPr>
          <w:rFonts w:ascii="Verdana" w:hAnsi="Verdana" w:cs="Times New Roman"/>
          <w:sz w:val="20"/>
          <w:szCs w:val="20"/>
          <w:lang w:val="es-CR" w:bidi="en-US"/>
        </w:rPr>
        <w:t xml:space="preserve">30,000 </w:t>
      </w:r>
      <w:r w:rsidRPr="008D0846">
        <w:rPr>
          <w:rFonts w:ascii="Verdana" w:hAnsi="Verdana" w:cs="Times New Roman"/>
          <w:sz w:val="20"/>
          <w:szCs w:val="20"/>
          <w:lang w:val="es-CR" w:bidi="en-US"/>
        </w:rPr>
        <w:t>(</w:t>
      </w:r>
      <w:r w:rsidR="00DA3E10" w:rsidRPr="008D0846">
        <w:rPr>
          <w:rFonts w:ascii="Verdana" w:hAnsi="Verdana" w:cs="Times New Roman"/>
          <w:sz w:val="20"/>
          <w:szCs w:val="20"/>
          <w:lang w:val="es-CR" w:bidi="en-US"/>
        </w:rPr>
        <w:t>treinta mil</w:t>
      </w:r>
      <w:r w:rsidRPr="008D0846">
        <w:rPr>
          <w:rFonts w:ascii="Verdana" w:hAnsi="Verdana" w:cs="Times New Roman"/>
          <w:i/>
          <w:sz w:val="20"/>
          <w:szCs w:val="20"/>
          <w:lang w:val="es-CR" w:bidi="en-US"/>
        </w:rPr>
        <w:t xml:space="preserve"> </w:t>
      </w:r>
      <w:r w:rsidRPr="008D0846">
        <w:rPr>
          <w:rFonts w:ascii="Verdana" w:hAnsi="Verdana" w:cs="Times New Roman"/>
          <w:sz w:val="20"/>
          <w:szCs w:val="20"/>
          <w:lang w:val="es-CR" w:bidi="en-US"/>
        </w:rPr>
        <w:t>dólares de los Estados Unidos de América)</w:t>
      </w:r>
      <w:r w:rsidRPr="00A2555B">
        <w:rPr>
          <w:rFonts w:ascii="Verdana" w:hAnsi="Verdana" w:cs="Times New Roman"/>
          <w:sz w:val="20"/>
          <w:szCs w:val="20"/>
          <w:lang w:val="es-CR" w:bidi="en-US"/>
        </w:rPr>
        <w:t xml:space="preserve"> por concepto de costas y gastos en el litigio del presente caso</w:t>
      </w:r>
      <w:r w:rsidR="00AF5E48" w:rsidRPr="00A2555B">
        <w:rPr>
          <w:rFonts w:ascii="Verdana" w:hAnsi="Verdana" w:cs="Times New Roman"/>
          <w:sz w:val="20"/>
          <w:szCs w:val="20"/>
          <w:lang w:val="es-CR" w:bidi="en-US"/>
        </w:rPr>
        <w:t xml:space="preserve"> </w:t>
      </w:r>
      <w:r w:rsidR="00AF5E48" w:rsidRPr="008D0846">
        <w:rPr>
          <w:rFonts w:ascii="Verdana" w:hAnsi="Verdana" w:cs="Times New Roman"/>
          <w:sz w:val="20"/>
          <w:szCs w:val="20"/>
          <w:lang w:val="es-CR" w:bidi="en-US"/>
        </w:rPr>
        <w:t>a favor</w:t>
      </w:r>
      <w:r w:rsidR="00F854D3" w:rsidRPr="008D0846">
        <w:rPr>
          <w:rFonts w:ascii="Verdana" w:hAnsi="Verdana" w:cs="Times New Roman"/>
          <w:sz w:val="20"/>
          <w:szCs w:val="20"/>
          <w:lang w:val="es-CR" w:bidi="en-US"/>
        </w:rPr>
        <w:t xml:space="preserve"> de</w:t>
      </w:r>
      <w:r w:rsidR="00A2555B" w:rsidRPr="008D0846">
        <w:rPr>
          <w:rFonts w:ascii="Verdana" w:hAnsi="Verdana" w:cs="Times New Roman"/>
          <w:sz w:val="20"/>
          <w:szCs w:val="20"/>
          <w:lang w:val="es-CR" w:bidi="en-US"/>
        </w:rPr>
        <w:t>l</w:t>
      </w:r>
      <w:r w:rsidR="00AF5E48" w:rsidRPr="008D0846">
        <w:rPr>
          <w:rFonts w:ascii="Verdana" w:hAnsi="Verdana" w:cs="Times New Roman"/>
          <w:sz w:val="20"/>
          <w:szCs w:val="20"/>
          <w:lang w:val="es-CR" w:bidi="en-US"/>
        </w:rPr>
        <w:t xml:space="preserve"> </w:t>
      </w:r>
      <w:r w:rsidR="00F854D3" w:rsidRPr="008D0846">
        <w:rPr>
          <w:rFonts w:ascii="Verdana" w:hAnsi="Verdana" w:cs="Times New Roman"/>
          <w:sz w:val="20"/>
          <w:szCs w:val="20"/>
          <w:lang w:val="es-CR" w:bidi="en-US"/>
        </w:rPr>
        <w:t>CEDEHM (</w:t>
      </w:r>
      <w:r w:rsidR="00AF5E48" w:rsidRPr="008D0846">
        <w:rPr>
          <w:rFonts w:ascii="Verdana" w:hAnsi="Verdana" w:cs="Times New Roman"/>
          <w:sz w:val="20"/>
          <w:szCs w:val="20"/>
          <w:lang w:val="es-CR" w:bidi="en-US"/>
        </w:rPr>
        <w:t>quienes participaron a nivel interno e internacional</w:t>
      </w:r>
      <w:r w:rsidR="00F854D3" w:rsidRPr="008D0846">
        <w:rPr>
          <w:rFonts w:ascii="Verdana" w:hAnsi="Verdana" w:cs="Times New Roman"/>
          <w:sz w:val="20"/>
          <w:szCs w:val="20"/>
          <w:lang w:val="es-CR" w:bidi="en-US"/>
        </w:rPr>
        <w:t>)</w:t>
      </w:r>
      <w:r w:rsidR="00AF5E48" w:rsidRPr="008D0846">
        <w:rPr>
          <w:rFonts w:ascii="Verdana" w:hAnsi="Verdana" w:cs="Times New Roman"/>
          <w:sz w:val="20"/>
          <w:szCs w:val="20"/>
          <w:lang w:val="es-CR" w:bidi="en-US"/>
        </w:rPr>
        <w:t xml:space="preserve">, </w:t>
      </w:r>
      <w:r w:rsidR="00DA3E10" w:rsidRPr="008D0846">
        <w:rPr>
          <w:rFonts w:ascii="Verdana" w:hAnsi="Verdana" w:cs="Times New Roman"/>
          <w:sz w:val="20"/>
          <w:szCs w:val="20"/>
          <w:lang w:val="es-CR" w:bidi="en-US"/>
        </w:rPr>
        <w:t xml:space="preserve">así como un monto razonable de </w:t>
      </w:r>
      <w:r w:rsidR="00AF5E48" w:rsidRPr="008D0846">
        <w:rPr>
          <w:rFonts w:ascii="Verdana" w:hAnsi="Verdana" w:cs="Times New Roman"/>
          <w:sz w:val="20"/>
          <w:szCs w:val="20"/>
          <w:lang w:val="es-CR" w:bidi="en-US"/>
        </w:rPr>
        <w:t>US</w:t>
      </w:r>
      <w:r w:rsidR="00DA3E10" w:rsidRPr="008D0846">
        <w:rPr>
          <w:rFonts w:ascii="Verdana" w:hAnsi="Verdana" w:cs="Times New Roman"/>
          <w:sz w:val="20"/>
          <w:szCs w:val="20"/>
          <w:lang w:val="es-CR" w:bidi="en-US"/>
        </w:rPr>
        <w:t>D$</w:t>
      </w:r>
      <w:r w:rsidR="00AF5E48" w:rsidRPr="008D0846">
        <w:rPr>
          <w:rFonts w:ascii="Verdana" w:hAnsi="Verdana" w:cs="Times New Roman"/>
          <w:sz w:val="20"/>
          <w:szCs w:val="20"/>
          <w:lang w:val="es-CR" w:bidi="en-US"/>
        </w:rPr>
        <w:t>5,000</w:t>
      </w:r>
      <w:r w:rsidR="00DA3E10" w:rsidRPr="008D0846">
        <w:rPr>
          <w:rFonts w:ascii="Verdana" w:hAnsi="Verdana" w:cs="Times New Roman"/>
          <w:sz w:val="20"/>
          <w:szCs w:val="20"/>
          <w:lang w:val="es-CR" w:bidi="en-US"/>
        </w:rPr>
        <w:t xml:space="preserve"> (cinco mil dólares de los Estados Unidos de América</w:t>
      </w:r>
      <w:r w:rsidR="00F854D3" w:rsidRPr="008D0846">
        <w:rPr>
          <w:rFonts w:ascii="Verdana" w:hAnsi="Verdana" w:cs="Times New Roman"/>
          <w:sz w:val="20"/>
          <w:szCs w:val="20"/>
          <w:lang w:val="es-CR" w:bidi="en-US"/>
        </w:rPr>
        <w:t>)</w:t>
      </w:r>
      <w:r w:rsidR="00AF5E48" w:rsidRPr="008D0846">
        <w:rPr>
          <w:rFonts w:ascii="Verdana" w:hAnsi="Verdana" w:cs="Times New Roman"/>
          <w:sz w:val="20"/>
          <w:szCs w:val="20"/>
          <w:lang w:val="es-CR" w:bidi="en-US"/>
        </w:rPr>
        <w:t xml:space="preserve"> </w:t>
      </w:r>
      <w:r w:rsidR="00F854D3" w:rsidRPr="008D0846">
        <w:rPr>
          <w:rFonts w:ascii="Verdana" w:hAnsi="Verdana" w:cs="Times New Roman"/>
          <w:sz w:val="20"/>
          <w:szCs w:val="20"/>
          <w:lang w:val="es-CR" w:bidi="en-US"/>
        </w:rPr>
        <w:t>derivado de</w:t>
      </w:r>
      <w:r w:rsidR="00AF5E48" w:rsidRPr="008D0846">
        <w:rPr>
          <w:rFonts w:ascii="Verdana" w:hAnsi="Verdana" w:cs="Times New Roman"/>
          <w:sz w:val="20"/>
          <w:szCs w:val="20"/>
          <w:lang w:val="es-CR" w:bidi="en-US"/>
        </w:rPr>
        <w:t>l proceso de asilo</w:t>
      </w:r>
      <w:r w:rsidRPr="00A2555B">
        <w:rPr>
          <w:rFonts w:ascii="Verdana" w:hAnsi="Verdana" w:cs="Times New Roman"/>
          <w:sz w:val="20"/>
          <w:szCs w:val="20"/>
          <w:lang w:val="es-CR" w:bidi="en-US"/>
        </w:rPr>
        <w:t>. Dicha cantidad deberá ser liquidada por el Estado a las víctimas, la</w:t>
      </w:r>
      <w:r w:rsidR="00F854D3" w:rsidRPr="00C05494">
        <w:rPr>
          <w:rFonts w:ascii="Verdana" w:hAnsi="Verdana" w:cs="Times New Roman"/>
          <w:sz w:val="20"/>
          <w:szCs w:val="20"/>
          <w:lang w:val="es-CR" w:bidi="en-US"/>
        </w:rPr>
        <w:t>s</w:t>
      </w:r>
      <w:r w:rsidRPr="00C05494">
        <w:rPr>
          <w:rFonts w:ascii="Verdana" w:hAnsi="Verdana" w:cs="Times New Roman"/>
          <w:sz w:val="20"/>
          <w:szCs w:val="20"/>
          <w:lang w:val="es-CR" w:bidi="en-US"/>
        </w:rPr>
        <w:t xml:space="preserve"> cual</w:t>
      </w:r>
      <w:r w:rsidR="00F854D3" w:rsidRPr="00C05494">
        <w:rPr>
          <w:rFonts w:ascii="Verdana" w:hAnsi="Verdana" w:cs="Times New Roman"/>
          <w:sz w:val="20"/>
          <w:szCs w:val="20"/>
          <w:lang w:val="es-CR" w:bidi="en-US"/>
        </w:rPr>
        <w:t>es</w:t>
      </w:r>
      <w:r w:rsidRPr="00C05494">
        <w:rPr>
          <w:rFonts w:ascii="Verdana" w:hAnsi="Verdana" w:cs="Times New Roman"/>
          <w:sz w:val="20"/>
          <w:szCs w:val="20"/>
          <w:lang w:val="es-CR" w:bidi="en-US"/>
        </w:rPr>
        <w:t xml:space="preserve"> las entregará</w:t>
      </w:r>
      <w:r w:rsidR="00F854D3" w:rsidRPr="00C05494">
        <w:rPr>
          <w:rFonts w:ascii="Verdana" w:hAnsi="Verdana" w:cs="Times New Roman"/>
          <w:sz w:val="20"/>
          <w:szCs w:val="20"/>
          <w:lang w:val="es-CR" w:bidi="en-US"/>
        </w:rPr>
        <w:t>n</w:t>
      </w:r>
      <w:r w:rsidRPr="00C05494">
        <w:rPr>
          <w:rFonts w:ascii="Verdana" w:hAnsi="Verdana" w:cs="Times New Roman"/>
          <w:sz w:val="20"/>
          <w:szCs w:val="20"/>
          <w:lang w:val="es-CR" w:bidi="en-US"/>
        </w:rPr>
        <w:t xml:space="preserve"> a quienes corresponda</w:t>
      </w:r>
      <w:r w:rsidRPr="00C05494">
        <w:rPr>
          <w:rStyle w:val="Refdenotaalpie"/>
          <w:rFonts w:ascii="Verdana" w:hAnsi="Verdana"/>
          <w:spacing w:val="-2"/>
          <w:sz w:val="20"/>
          <w:szCs w:val="20"/>
        </w:rPr>
        <w:footnoteReference w:id="587"/>
      </w:r>
      <w:r w:rsidRPr="00623998">
        <w:rPr>
          <w:rFonts w:ascii="Verdana" w:hAnsi="Verdana" w:cs="Times New Roman"/>
          <w:sz w:val="20"/>
          <w:szCs w:val="20"/>
          <w:lang w:val="es-CR" w:bidi="en-US"/>
        </w:rPr>
        <w:t xml:space="preserve">. </w:t>
      </w:r>
    </w:p>
    <w:p w14:paraId="54126275" w14:textId="0726786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CR"/>
        </w:rPr>
        <w:t>Como lo ha hecho en otros casos</w:t>
      </w:r>
      <w:r w:rsidRPr="00744CE4">
        <w:rPr>
          <w:rFonts w:ascii="Verdana" w:hAnsi="Verdana" w:cs="Times New Roman"/>
          <w:sz w:val="20"/>
          <w:szCs w:val="20"/>
          <w:vertAlign w:val="superscript"/>
          <w:lang w:val="es-CR"/>
        </w:rPr>
        <w:footnoteReference w:id="588"/>
      </w:r>
      <w:r w:rsidRPr="00744CE4">
        <w:rPr>
          <w:rFonts w:ascii="Verdana" w:hAnsi="Verdana" w:cs="Times New Roman"/>
          <w:sz w:val="20"/>
          <w:szCs w:val="20"/>
          <w:lang w:val="es-CR"/>
        </w:rPr>
        <w:t>, en la etapa de supervisión de cumplimiento de la presente Sentencia, la Corte podrá disponer el reembolso por parte del Estado a las víctimas o sus representantes de gastos posteriores razonable y debidamente comprobados.</w:t>
      </w:r>
    </w:p>
    <w:p w14:paraId="6057FD51" w14:textId="180C6389" w:rsidR="0030739A" w:rsidRPr="00744CE4" w:rsidRDefault="00556FDB">
      <w:pPr>
        <w:pStyle w:val="Prrafodelista"/>
        <w:keepNext/>
        <w:keepLines/>
        <w:numPr>
          <w:ilvl w:val="0"/>
          <w:numId w:val="29"/>
        </w:numPr>
        <w:spacing w:before="120" w:after="120" w:line="240" w:lineRule="auto"/>
        <w:contextualSpacing w:val="0"/>
        <w:jc w:val="both"/>
        <w:outlineLvl w:val="1"/>
        <w:rPr>
          <w:rFonts w:ascii="Verdana" w:hAnsi="Verdana" w:cs="Times New Roman"/>
          <w:b/>
          <w:i/>
          <w:sz w:val="20"/>
          <w:szCs w:val="20"/>
          <w:lang w:val="es-CR" w:bidi="en-US"/>
        </w:rPr>
      </w:pPr>
      <w:r>
        <w:rPr>
          <w:rFonts w:ascii="Verdana" w:hAnsi="Verdana" w:cs="Times New Roman"/>
          <w:b/>
          <w:i/>
          <w:iCs/>
          <w:sz w:val="20"/>
          <w:szCs w:val="20"/>
          <w:lang w:val="es-CR" w:bidi="en-US"/>
        </w:rPr>
        <w:t xml:space="preserve"> </w:t>
      </w:r>
      <w:bookmarkStart w:id="401" w:name="_Toc532995418"/>
      <w:r w:rsidR="0030739A" w:rsidRPr="00744CE4">
        <w:rPr>
          <w:rFonts w:ascii="Verdana" w:hAnsi="Verdana" w:cs="Times New Roman"/>
          <w:b/>
          <w:i/>
          <w:iCs/>
          <w:sz w:val="20"/>
          <w:szCs w:val="20"/>
          <w:lang w:val="es-CR" w:bidi="en-US"/>
        </w:rPr>
        <w:t>Reintegro de los gastos al Fondo de Asistencia Legal de Víctimas</w:t>
      </w:r>
      <w:bookmarkEnd w:id="401"/>
      <w:r w:rsidR="0030739A" w:rsidRPr="00744CE4">
        <w:rPr>
          <w:rFonts w:ascii="Verdana" w:hAnsi="Verdana" w:cs="Times New Roman"/>
          <w:b/>
          <w:i/>
          <w:iCs/>
          <w:sz w:val="20"/>
          <w:szCs w:val="20"/>
          <w:lang w:val="es-CR" w:bidi="en-US"/>
        </w:rPr>
        <w:t xml:space="preserve"> </w:t>
      </w:r>
    </w:p>
    <w:p w14:paraId="2A9DEBF6" w14:textId="2EA9E492"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z w:val="20"/>
          <w:szCs w:val="20"/>
          <w:lang w:val="es-ES"/>
        </w:rPr>
      </w:pPr>
      <w:r w:rsidRPr="00432ABC">
        <w:rPr>
          <w:rFonts w:ascii="Verdana" w:hAnsi="Verdana"/>
          <w:snapToGrid w:val="0"/>
          <w:sz w:val="20"/>
          <w:szCs w:val="20"/>
          <w:lang w:val="es-ES" w:eastAsia="es-ES"/>
        </w:rPr>
        <w:t xml:space="preserve">En el presente caso se otorgó con cargo a dicho Fondo la asistencia económica necesaria para cubrir </w:t>
      </w:r>
      <w:r w:rsidRPr="00432ABC">
        <w:rPr>
          <w:rFonts w:ascii="Verdana" w:hAnsi="Verdana"/>
          <w:sz w:val="20"/>
          <w:szCs w:val="20"/>
          <w:lang w:val="es-ES"/>
        </w:rPr>
        <w:t xml:space="preserve">los gastos de viaje y estadía necesarios para que los testigos María de Jesús Alvarado Espinoza y Jaime Alvarado Herrera, y el perito Salvador Salazar Gutiérrez,  pudieran participar en la audiencia pública, así como los gastos razonables de formalización y envío de </w:t>
      </w:r>
      <w:r w:rsidR="002E2B86" w:rsidRPr="002E2B86">
        <w:rPr>
          <w:rFonts w:ascii="Verdana" w:hAnsi="Verdana"/>
          <w:i/>
          <w:sz w:val="20"/>
          <w:szCs w:val="20"/>
          <w:lang w:val="es-ES"/>
        </w:rPr>
        <w:t>affidávit</w:t>
      </w:r>
      <w:r w:rsidRPr="00432ABC">
        <w:rPr>
          <w:rFonts w:ascii="Verdana" w:hAnsi="Verdana"/>
          <w:sz w:val="20"/>
          <w:szCs w:val="20"/>
          <w:lang w:val="es-ES"/>
        </w:rPr>
        <w:t xml:space="preserve"> de dos declarantes propuestos </w:t>
      </w:r>
      <w:r w:rsidRPr="002C462C">
        <w:rPr>
          <w:rFonts w:ascii="Verdana" w:hAnsi="Verdana"/>
          <w:sz w:val="20"/>
          <w:szCs w:val="20"/>
          <w:lang w:val="es-ES"/>
        </w:rPr>
        <w:t>por las representantes</w:t>
      </w:r>
      <w:r w:rsidR="00C05494">
        <w:rPr>
          <w:rStyle w:val="Refdenotaalpie"/>
          <w:rFonts w:ascii="Verdana" w:hAnsi="Verdana"/>
          <w:sz w:val="20"/>
          <w:szCs w:val="20"/>
          <w:lang w:val="es-ES"/>
        </w:rPr>
        <w:footnoteReference w:id="589"/>
      </w:r>
      <w:r w:rsidRPr="002C462C">
        <w:rPr>
          <w:rFonts w:ascii="Verdana" w:hAnsi="Verdana"/>
          <w:sz w:val="20"/>
          <w:szCs w:val="20"/>
          <w:lang w:val="es-ES"/>
        </w:rPr>
        <w:t xml:space="preserve">. </w:t>
      </w:r>
    </w:p>
    <w:p w14:paraId="0772068D" w14:textId="67E2DB35"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eastAsiaTheme="minorHAnsi" w:hAnsi="Verdana" w:cs="43rni"/>
          <w:sz w:val="20"/>
          <w:szCs w:val="20"/>
          <w:lang w:val="es-CR"/>
        </w:rPr>
      </w:pPr>
      <w:r w:rsidRPr="00744CE4">
        <w:rPr>
          <w:rFonts w:ascii="Verdana" w:hAnsi="Verdana"/>
          <w:snapToGrid w:val="0"/>
          <w:sz w:val="20"/>
          <w:szCs w:val="20"/>
          <w:lang w:val="es-ES" w:eastAsia="es-ES"/>
        </w:rPr>
        <w:t>El Estado tuvo la oportunidad de presentar sus observaciones sobre las erogaciones realizadas en el presente caso</w:t>
      </w:r>
      <w:r w:rsidR="00654518">
        <w:rPr>
          <w:rFonts w:ascii="Verdana" w:hAnsi="Verdana"/>
          <w:snapToGrid w:val="0"/>
          <w:sz w:val="20"/>
          <w:szCs w:val="20"/>
          <w:lang w:val="es-ES" w:eastAsia="es-ES"/>
        </w:rPr>
        <w:t xml:space="preserve">. </w:t>
      </w:r>
      <w:r w:rsidRPr="00744CE4">
        <w:rPr>
          <w:rFonts w:ascii="Verdana" w:hAnsi="Verdana"/>
          <w:snapToGrid w:val="0"/>
          <w:sz w:val="20"/>
          <w:szCs w:val="20"/>
          <w:lang w:val="es-ES" w:eastAsia="es-ES"/>
        </w:rPr>
        <w:t xml:space="preserve">El Estado indicó </w:t>
      </w:r>
      <w:r w:rsidRPr="00744CE4">
        <w:rPr>
          <w:rFonts w:ascii="Verdana" w:eastAsiaTheme="minorHAnsi" w:hAnsi="Verdana" w:cs="43rni"/>
          <w:sz w:val="20"/>
          <w:szCs w:val="20"/>
          <w:lang w:val="es-CR"/>
        </w:rPr>
        <w:t xml:space="preserve">no tener observaciones al informe sobre el Fondo de Asistencia Legal de Víctimas </w:t>
      </w:r>
      <w:r w:rsidR="00623998">
        <w:rPr>
          <w:rFonts w:ascii="Verdana" w:eastAsiaTheme="minorHAnsi" w:hAnsi="Verdana" w:cs="43rni"/>
          <w:sz w:val="20"/>
          <w:szCs w:val="20"/>
          <w:lang w:val="es-CR"/>
        </w:rPr>
        <w:t xml:space="preserve">(“el Fondo”) </w:t>
      </w:r>
      <w:r w:rsidRPr="00744CE4">
        <w:rPr>
          <w:rFonts w:ascii="Verdana" w:eastAsiaTheme="minorHAnsi" w:hAnsi="Verdana" w:cs="43rni"/>
          <w:sz w:val="20"/>
          <w:szCs w:val="20"/>
          <w:lang w:val="es-CR"/>
        </w:rPr>
        <w:t>en el presente caso</w:t>
      </w:r>
      <w:r w:rsidR="00623998">
        <w:rPr>
          <w:rFonts w:ascii="Verdana" w:eastAsiaTheme="minorHAnsi" w:hAnsi="Verdana" w:cs="43rni"/>
          <w:sz w:val="20"/>
          <w:szCs w:val="20"/>
          <w:lang w:val="es-CR"/>
        </w:rPr>
        <w:t>.</w:t>
      </w:r>
      <w:r w:rsidRPr="00744CE4">
        <w:rPr>
          <w:rFonts w:ascii="Verdana" w:hAnsi="Verdana"/>
          <w:snapToGrid w:val="0"/>
          <w:sz w:val="20"/>
          <w:szCs w:val="20"/>
          <w:lang w:val="es-ES" w:eastAsia="es-ES"/>
        </w:rPr>
        <w:t xml:space="preserve"> </w:t>
      </w:r>
    </w:p>
    <w:p w14:paraId="3C71FBF5" w14:textId="0A1AEDED"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snapToGrid w:val="0"/>
          <w:sz w:val="20"/>
          <w:szCs w:val="20"/>
          <w:lang w:val="es-ES" w:eastAsia="es-ES"/>
        </w:rPr>
      </w:pPr>
      <w:r w:rsidRPr="00744CE4">
        <w:rPr>
          <w:rFonts w:ascii="Verdana" w:hAnsi="Verdana"/>
          <w:snapToGrid w:val="0"/>
          <w:sz w:val="20"/>
          <w:szCs w:val="20"/>
          <w:lang w:val="es-ES" w:eastAsia="es-ES"/>
        </w:rPr>
        <w:t>A la luz del artículo 5 del Reglamento del Fondo, en razón de las violaciones declaradas en la presente Sentencia y que se cumplió con los requisitos para acogerse al Fondo, la Corte ordena al Estado el reintegro a dicho Fondo de la cantidad de US</w:t>
      </w:r>
      <w:r w:rsidR="00E307D4">
        <w:rPr>
          <w:rFonts w:ascii="Verdana" w:hAnsi="Verdana"/>
          <w:snapToGrid w:val="0"/>
          <w:sz w:val="20"/>
          <w:szCs w:val="20"/>
          <w:lang w:val="es-ES" w:eastAsia="es-ES"/>
        </w:rPr>
        <w:t>D</w:t>
      </w:r>
      <w:r w:rsidR="00623998" w:rsidRPr="008D0846">
        <w:rPr>
          <w:rFonts w:ascii="Verdana" w:hAnsi="Verdana"/>
          <w:snapToGrid w:val="0"/>
          <w:sz w:val="20"/>
          <w:szCs w:val="20"/>
          <w:lang w:val="es-ES" w:eastAsia="es-ES"/>
        </w:rPr>
        <w:t>$5,574.73</w:t>
      </w:r>
      <w:r w:rsidRPr="00744CE4">
        <w:rPr>
          <w:rFonts w:ascii="Verdana" w:hAnsi="Verdana"/>
          <w:snapToGrid w:val="0"/>
          <w:sz w:val="20"/>
          <w:szCs w:val="20"/>
          <w:lang w:val="es-ES" w:eastAsia="es-ES"/>
        </w:rPr>
        <w:t xml:space="preserve"> </w:t>
      </w:r>
      <w:r w:rsidRPr="00744CE4">
        <w:rPr>
          <w:rFonts w:ascii="Verdana" w:hAnsi="Verdana"/>
          <w:sz w:val="20"/>
          <w:szCs w:val="20"/>
          <w:lang w:val="es-ES"/>
        </w:rPr>
        <w:t>(</w:t>
      </w:r>
      <w:r w:rsidR="00623998">
        <w:rPr>
          <w:rFonts w:ascii="Verdana" w:hAnsi="Verdana"/>
          <w:snapToGrid w:val="0"/>
          <w:sz w:val="20"/>
          <w:szCs w:val="20"/>
          <w:lang w:val="es-ES" w:eastAsia="es-ES"/>
        </w:rPr>
        <w:t xml:space="preserve">cinco mil quinientos setenta y cuatro punto setenta y tres </w:t>
      </w:r>
      <w:r w:rsidR="00623998" w:rsidRPr="00744CE4">
        <w:rPr>
          <w:rFonts w:ascii="Verdana" w:hAnsi="Verdana"/>
          <w:snapToGrid w:val="0"/>
          <w:sz w:val="20"/>
          <w:szCs w:val="20"/>
          <w:lang w:val="es-ES" w:eastAsia="es-ES"/>
        </w:rPr>
        <w:t xml:space="preserve">dólares </w:t>
      </w:r>
      <w:r w:rsidRPr="00744CE4">
        <w:rPr>
          <w:rFonts w:ascii="Verdana" w:hAnsi="Verdana"/>
          <w:sz w:val="20"/>
          <w:szCs w:val="20"/>
          <w:lang w:val="es-ES"/>
        </w:rPr>
        <w:t xml:space="preserve">de los Estados Unidos de América) </w:t>
      </w:r>
      <w:r w:rsidRPr="00744CE4">
        <w:rPr>
          <w:rFonts w:ascii="Verdana" w:hAnsi="Verdana"/>
          <w:snapToGrid w:val="0"/>
          <w:sz w:val="20"/>
          <w:szCs w:val="20"/>
          <w:lang w:val="es-ES" w:eastAsia="es-ES"/>
        </w:rPr>
        <w:t xml:space="preserve">por </w:t>
      </w:r>
      <w:r w:rsidRPr="00744CE4">
        <w:rPr>
          <w:rFonts w:ascii="Verdana" w:hAnsi="Verdana"/>
          <w:snapToGrid w:val="0"/>
          <w:sz w:val="20"/>
          <w:szCs w:val="20"/>
          <w:lang w:val="es-ES" w:eastAsia="es-ES"/>
        </w:rPr>
        <w:lastRenderedPageBreak/>
        <w:t xml:space="preserve">concepto de los gastos necesarios realizados para la comparecencia de </w:t>
      </w:r>
      <w:r w:rsidR="00361707" w:rsidRPr="00DB378B">
        <w:rPr>
          <w:rFonts w:ascii="Verdana" w:hAnsi="Verdana"/>
          <w:snapToGrid w:val="0"/>
          <w:sz w:val="20"/>
          <w:szCs w:val="20"/>
          <w:lang w:val="es-ES" w:eastAsia="es-ES"/>
        </w:rPr>
        <w:t>los declarantes</w:t>
      </w:r>
      <w:r w:rsidRPr="00744CE4">
        <w:rPr>
          <w:rFonts w:ascii="Verdana" w:hAnsi="Verdana"/>
          <w:snapToGrid w:val="0"/>
          <w:sz w:val="20"/>
          <w:szCs w:val="20"/>
          <w:lang w:val="es-ES" w:eastAsia="es-ES"/>
        </w:rPr>
        <w:t xml:space="preserve"> en la audiencia pública del presente caso. Dicha cantidad deberá ser reintegrada en el plazo de noventa días, contados a partir de la notificación del presente Fallo.</w:t>
      </w:r>
    </w:p>
    <w:p w14:paraId="7BDBAA56" w14:textId="3B8AE484" w:rsidR="0030739A" w:rsidRPr="00744CE4" w:rsidRDefault="00556FDB">
      <w:pPr>
        <w:pStyle w:val="Prrafodelista"/>
        <w:keepNext/>
        <w:keepLines/>
        <w:numPr>
          <w:ilvl w:val="0"/>
          <w:numId w:val="29"/>
        </w:numPr>
        <w:spacing w:before="120" w:after="120" w:line="240" w:lineRule="auto"/>
        <w:contextualSpacing w:val="0"/>
        <w:jc w:val="both"/>
        <w:outlineLvl w:val="1"/>
        <w:rPr>
          <w:rFonts w:ascii="Verdana" w:hAnsi="Verdana" w:cs="Times New Roman"/>
          <w:b/>
          <w:i/>
          <w:sz w:val="20"/>
          <w:szCs w:val="20"/>
          <w:lang w:val="es-CR"/>
        </w:rPr>
      </w:pPr>
      <w:r>
        <w:rPr>
          <w:rFonts w:ascii="Verdana" w:hAnsi="Verdana" w:cs="Times New Roman"/>
          <w:b/>
          <w:i/>
          <w:sz w:val="20"/>
          <w:szCs w:val="20"/>
          <w:lang w:val="es-CR"/>
        </w:rPr>
        <w:t xml:space="preserve"> </w:t>
      </w:r>
      <w:bookmarkStart w:id="402" w:name="_Toc532995419"/>
      <w:r w:rsidR="0030739A" w:rsidRPr="00744CE4">
        <w:rPr>
          <w:rFonts w:ascii="Verdana" w:hAnsi="Verdana" w:cs="Times New Roman"/>
          <w:b/>
          <w:i/>
          <w:sz w:val="20"/>
          <w:szCs w:val="20"/>
          <w:lang w:val="es-CR"/>
        </w:rPr>
        <w:t>Modalidad de cumplimiento de los pagos ordenados</w:t>
      </w:r>
      <w:bookmarkEnd w:id="402"/>
      <w:r w:rsidR="0030739A" w:rsidRPr="00744CE4">
        <w:rPr>
          <w:rFonts w:ascii="Verdana" w:hAnsi="Verdana" w:cs="Times New Roman"/>
          <w:b/>
          <w:i/>
          <w:sz w:val="20"/>
          <w:szCs w:val="20"/>
          <w:lang w:val="es-CR"/>
        </w:rPr>
        <w:t xml:space="preserve"> </w:t>
      </w:r>
    </w:p>
    <w:p w14:paraId="35229842" w14:textId="7777777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ES"/>
        </w:rPr>
        <w:t xml:space="preserve">El </w:t>
      </w:r>
      <w:r w:rsidRPr="00744CE4">
        <w:rPr>
          <w:rFonts w:ascii="Verdana" w:hAnsi="Verdana" w:cs="Times New Roman"/>
          <w:snapToGrid w:val="0"/>
          <w:sz w:val="20"/>
          <w:szCs w:val="20"/>
          <w:lang w:val="es-ES" w:eastAsia="es-ES"/>
        </w:rPr>
        <w:t>Estado</w:t>
      </w:r>
      <w:r w:rsidRPr="00744CE4">
        <w:rPr>
          <w:rFonts w:ascii="Verdana" w:hAnsi="Verdana" w:cs="Times New Roman"/>
          <w:sz w:val="20"/>
          <w:szCs w:val="20"/>
          <w:lang w:val="es-ES"/>
        </w:rPr>
        <w:t xml:space="preserve"> deberá efectuar el pago de las indemnizaciones por concepto de daño material e inmaterial y el reintegro de costas y gastos establecidos en la presente Sentencia directamente a las personas y organizaciones indicadas en la misma, dentro del plazo de un año, contado a partir de la notificación del presente Fallo, en los términos de los siguientes párrafos.</w:t>
      </w:r>
    </w:p>
    <w:p w14:paraId="0B37EEED" w14:textId="7777777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ES"/>
        </w:rPr>
        <w:t xml:space="preserve">En caso de que los beneficiarios hayan fallecido o fallezcan antes de que les sea entregada la indemnización respectiva, ésta se efectuará directamente a sus derechohabientes, conforme al derecho interno aplicable. </w:t>
      </w:r>
    </w:p>
    <w:p w14:paraId="7BD5B07E" w14:textId="462658D1"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ES"/>
        </w:rPr>
        <w:t xml:space="preserve">El Estado debe cumplir sus obligaciones monetarias mediante el pago en dólares de los Estados Unidos de América o en su equivalente en pesos mexicanos utilizando para el cálculo respectivo el tipo de cambio que esté vigente en la </w:t>
      </w:r>
      <w:r w:rsidR="00AB6242">
        <w:rPr>
          <w:rFonts w:ascii="Verdana" w:hAnsi="Verdana" w:cs="Times New Roman"/>
          <w:sz w:val="20"/>
          <w:szCs w:val="20"/>
          <w:lang w:val="es-ES"/>
        </w:rPr>
        <w:t>B</w:t>
      </w:r>
      <w:r w:rsidRPr="00744CE4">
        <w:rPr>
          <w:rFonts w:ascii="Verdana" w:hAnsi="Verdana" w:cs="Times New Roman"/>
          <w:sz w:val="20"/>
          <w:szCs w:val="20"/>
          <w:lang w:val="es-ES"/>
        </w:rPr>
        <w:t>olsa de Nueva York, Estados Unidos de América, el día anterior al pago.</w:t>
      </w:r>
    </w:p>
    <w:p w14:paraId="4FE0CD08" w14:textId="7777777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ES"/>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mexicana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p>
    <w:p w14:paraId="7E267E19" w14:textId="77777777" w:rsidR="0030739A" w:rsidRPr="00744CE4" w:rsidRDefault="0030739A" w:rsidP="00DB378B">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cs="Times New Roman"/>
          <w:sz w:val="20"/>
          <w:szCs w:val="20"/>
          <w:lang w:val="es-CR"/>
        </w:rPr>
      </w:pPr>
      <w:r w:rsidRPr="00744CE4">
        <w:rPr>
          <w:rFonts w:ascii="Verdana" w:hAnsi="Verdana" w:cs="Times New Roman"/>
          <w:sz w:val="20"/>
          <w:szCs w:val="20"/>
          <w:lang w:val="es-ES"/>
        </w:rPr>
        <w:t>Las cantidades asignadas en la presente Sentencia como indemnización y como reintegro de costas y gastos deberán ser entregadas a las personas y organizaciones indicadas en forma íntegra, conforme a lo establecido en esta Sentencia, sin reducciones derivadas de eventuales cargas fiscales.</w:t>
      </w:r>
    </w:p>
    <w:p w14:paraId="717FC56B" w14:textId="4E9E67EB" w:rsidR="00545B0E" w:rsidRPr="00EA23AB" w:rsidRDefault="0030739A" w:rsidP="00545B0E">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rFonts w:ascii="Verdana" w:hAnsi="Verdana"/>
        </w:rPr>
      </w:pPr>
      <w:r w:rsidRPr="00744CE4">
        <w:rPr>
          <w:rFonts w:ascii="Verdana" w:hAnsi="Verdana" w:cs="Times New Roman"/>
          <w:spacing w:val="-2"/>
          <w:sz w:val="20"/>
          <w:szCs w:val="20"/>
          <w:lang w:val="es-CR"/>
        </w:rPr>
        <w:t xml:space="preserve">En caso de que el Estado incurriera en mora, incluyendo en el reintegro de los gastos al Fondo de Asistencia Legal de Víctimas, deberá pagar un interés sobre la cantidad adeudada, correspondiente al interés </w:t>
      </w:r>
      <w:r w:rsidRPr="00744CE4">
        <w:rPr>
          <w:rFonts w:ascii="Verdana" w:hAnsi="Verdana"/>
          <w:sz w:val="20"/>
          <w:szCs w:val="20"/>
        </w:rPr>
        <w:t>bancario</w:t>
      </w:r>
      <w:r w:rsidRPr="00744CE4">
        <w:rPr>
          <w:rFonts w:ascii="Verdana" w:hAnsi="Verdana" w:cs="Times New Roman"/>
          <w:spacing w:val="-2"/>
          <w:sz w:val="20"/>
          <w:szCs w:val="20"/>
          <w:lang w:val="es-CR"/>
        </w:rPr>
        <w:t xml:space="preserve"> moratorio en los Estados Unidos Mexicanos.</w:t>
      </w:r>
    </w:p>
    <w:p w14:paraId="002944A8" w14:textId="4EFA7DCB" w:rsidR="00C454B2" w:rsidRPr="00C90B3F" w:rsidRDefault="005D4977" w:rsidP="00BD6DD9">
      <w:pPr>
        <w:pStyle w:val="Ttulo1"/>
      </w:pPr>
      <w:bookmarkStart w:id="403" w:name="_Toc532995420"/>
      <w:r w:rsidRPr="00C90B3F">
        <w:t>IX</w:t>
      </w:r>
      <w:bookmarkEnd w:id="403"/>
    </w:p>
    <w:p w14:paraId="4DC58B63" w14:textId="1EB12A4E" w:rsidR="00545B0E" w:rsidRPr="00545B0E" w:rsidRDefault="00950A4B" w:rsidP="00EA23AB">
      <w:pPr>
        <w:pStyle w:val="Ttulo1"/>
      </w:pPr>
      <w:bookmarkStart w:id="404" w:name="_Toc532995421"/>
      <w:r w:rsidRPr="00C90B3F">
        <w:t>PUNTOS RESOLUTIVOS</w:t>
      </w:r>
      <w:bookmarkEnd w:id="404"/>
      <w:r w:rsidRPr="00C90B3F">
        <w:t xml:space="preserve"> </w:t>
      </w:r>
    </w:p>
    <w:p w14:paraId="1C060CA2" w14:textId="482A1AD9" w:rsidR="001A7B52" w:rsidRPr="005053BD" w:rsidRDefault="00887745" w:rsidP="008D0846">
      <w:pPr>
        <w:widowControl w:val="0"/>
        <w:numPr>
          <w:ilvl w:val="0"/>
          <w:numId w:val="4"/>
        </w:numPr>
        <w:tabs>
          <w:tab w:val="left" w:pos="567"/>
        </w:tabs>
        <w:autoSpaceDE w:val="0"/>
        <w:autoSpaceDN w:val="0"/>
        <w:adjustRightInd w:val="0"/>
        <w:spacing w:before="120" w:after="120" w:line="240" w:lineRule="auto"/>
        <w:ind w:left="0" w:firstLine="0"/>
        <w:jc w:val="both"/>
        <w:textAlignment w:val="baseline"/>
        <w:rPr>
          <w:spacing w:val="-2"/>
          <w:sz w:val="20"/>
          <w:szCs w:val="20"/>
          <w:lang w:val="es-CR"/>
        </w:rPr>
      </w:pPr>
      <w:r w:rsidRPr="0089411D">
        <w:rPr>
          <w:rFonts w:ascii="Verdana" w:hAnsi="Verdana" w:cs="Times New Roman"/>
          <w:spacing w:val="-2"/>
          <w:sz w:val="20"/>
          <w:szCs w:val="20"/>
          <w:lang w:val="es-CR"/>
        </w:rPr>
        <w:t>Por</w:t>
      </w:r>
      <w:r w:rsidRPr="0089411D">
        <w:rPr>
          <w:rFonts w:ascii="Verdana" w:hAnsi="Verdana"/>
          <w:spacing w:val="-2"/>
          <w:sz w:val="20"/>
          <w:szCs w:val="20"/>
          <w:lang w:val="es-CR"/>
        </w:rPr>
        <w:t xml:space="preserve"> tanto, </w:t>
      </w:r>
    </w:p>
    <w:p w14:paraId="4A1C79FB" w14:textId="77777777" w:rsidR="005053BD" w:rsidRPr="00E40B4F" w:rsidRDefault="005053BD" w:rsidP="005053BD">
      <w:pPr>
        <w:widowControl w:val="0"/>
        <w:tabs>
          <w:tab w:val="left" w:pos="567"/>
        </w:tabs>
        <w:autoSpaceDE w:val="0"/>
        <w:autoSpaceDN w:val="0"/>
        <w:adjustRightInd w:val="0"/>
        <w:spacing w:before="120" w:after="120" w:line="240" w:lineRule="auto"/>
        <w:jc w:val="both"/>
        <w:textAlignment w:val="baseline"/>
        <w:rPr>
          <w:spacing w:val="-2"/>
          <w:sz w:val="20"/>
          <w:szCs w:val="20"/>
          <w:lang w:val="es-CR"/>
        </w:rPr>
      </w:pPr>
    </w:p>
    <w:p w14:paraId="29076A32" w14:textId="367D96FC" w:rsidR="00887745" w:rsidRPr="0089411D" w:rsidRDefault="00887745" w:rsidP="00DB378B">
      <w:pPr>
        <w:pStyle w:val="Default"/>
        <w:jc w:val="both"/>
        <w:rPr>
          <w:spacing w:val="-2"/>
          <w:sz w:val="20"/>
          <w:szCs w:val="20"/>
          <w:lang w:val="es-CR"/>
        </w:rPr>
      </w:pPr>
      <w:r w:rsidRPr="006E7FD3">
        <w:rPr>
          <w:b/>
          <w:bCs/>
          <w:spacing w:val="-2"/>
          <w:sz w:val="20"/>
          <w:szCs w:val="20"/>
          <w:lang w:val="es-CR"/>
        </w:rPr>
        <w:t xml:space="preserve">LA CORTE </w:t>
      </w:r>
    </w:p>
    <w:p w14:paraId="76434A20" w14:textId="77777777" w:rsidR="00361707" w:rsidRDefault="00361707" w:rsidP="00DB378B">
      <w:pPr>
        <w:pStyle w:val="Default"/>
        <w:jc w:val="both"/>
        <w:rPr>
          <w:b/>
          <w:bCs/>
          <w:spacing w:val="-2"/>
          <w:sz w:val="20"/>
          <w:szCs w:val="20"/>
          <w:lang w:val="es-CR"/>
        </w:rPr>
      </w:pPr>
    </w:p>
    <w:p w14:paraId="43A969FD" w14:textId="0701C271" w:rsidR="00887745" w:rsidRDefault="00887745" w:rsidP="00DB378B">
      <w:pPr>
        <w:pStyle w:val="Default"/>
        <w:jc w:val="both"/>
        <w:rPr>
          <w:b/>
          <w:bCs/>
          <w:spacing w:val="-2"/>
          <w:sz w:val="20"/>
          <w:szCs w:val="20"/>
          <w:lang w:val="es-CR"/>
        </w:rPr>
      </w:pPr>
      <w:r w:rsidRPr="006E7FD3">
        <w:rPr>
          <w:b/>
          <w:bCs/>
          <w:spacing w:val="-2"/>
          <w:sz w:val="20"/>
          <w:szCs w:val="20"/>
          <w:lang w:val="es-CR"/>
        </w:rPr>
        <w:t xml:space="preserve">DECIDE, </w:t>
      </w:r>
    </w:p>
    <w:p w14:paraId="4923ADBA" w14:textId="2CE4DF88" w:rsidR="00A0093F" w:rsidRPr="006E7FD3" w:rsidRDefault="00A0093F" w:rsidP="00A0093F">
      <w:pPr>
        <w:tabs>
          <w:tab w:val="left" w:pos="720"/>
        </w:tabs>
        <w:spacing w:before="120" w:after="120" w:line="240" w:lineRule="auto"/>
        <w:jc w:val="both"/>
        <w:rPr>
          <w:rFonts w:ascii="Verdana" w:hAnsi="Verdana" w:cs="Verdana"/>
          <w:color w:val="000000"/>
          <w:spacing w:val="-2"/>
          <w:sz w:val="20"/>
          <w:szCs w:val="20"/>
          <w:lang w:val="es-EC"/>
        </w:rPr>
      </w:pPr>
      <w:r w:rsidRPr="006E7FD3">
        <w:rPr>
          <w:rFonts w:ascii="Verdana" w:hAnsi="Verdana" w:cs="Verdana"/>
          <w:color w:val="000000"/>
          <w:spacing w:val="-2"/>
          <w:sz w:val="20"/>
          <w:szCs w:val="20"/>
          <w:lang w:val="es-EC"/>
        </w:rPr>
        <w:t xml:space="preserve">por </w:t>
      </w:r>
      <w:r w:rsidR="0014352D">
        <w:rPr>
          <w:rFonts w:ascii="Verdana" w:hAnsi="Verdana"/>
          <w:spacing w:val="-2"/>
          <w:sz w:val="20"/>
          <w:szCs w:val="20"/>
          <w:lang w:val="es-AR"/>
        </w:rPr>
        <w:t>unanimidad</w:t>
      </w:r>
      <w:r w:rsidRPr="006E7FD3">
        <w:rPr>
          <w:rFonts w:ascii="Verdana" w:hAnsi="Verdana" w:cs="Verdana"/>
          <w:color w:val="000000"/>
          <w:spacing w:val="-2"/>
          <w:sz w:val="20"/>
          <w:szCs w:val="20"/>
          <w:lang w:val="es-EC"/>
        </w:rPr>
        <w:t xml:space="preserve"> que:</w:t>
      </w:r>
    </w:p>
    <w:p w14:paraId="0E866A2C" w14:textId="5BD31CC6"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AR"/>
        </w:rPr>
      </w:pPr>
      <w:r w:rsidRPr="006E7FD3">
        <w:rPr>
          <w:spacing w:val="-2"/>
          <w:sz w:val="20"/>
          <w:szCs w:val="20"/>
          <w:lang w:val="es-AR"/>
        </w:rPr>
        <w:t xml:space="preserve">Aceptar el reconocimiento de responsabilidad internacional efectuado por el Estado, en los términos de los párrafos </w:t>
      </w:r>
      <w:r w:rsidR="00EE2C64">
        <w:rPr>
          <w:spacing w:val="-2"/>
          <w:sz w:val="20"/>
          <w:szCs w:val="20"/>
          <w:lang w:val="es-AR"/>
        </w:rPr>
        <w:t>31</w:t>
      </w:r>
      <w:r w:rsidRPr="006E7FD3">
        <w:rPr>
          <w:spacing w:val="-2"/>
          <w:sz w:val="20"/>
          <w:szCs w:val="20"/>
          <w:lang w:val="es-AR"/>
        </w:rPr>
        <w:t xml:space="preserve"> a 4</w:t>
      </w:r>
      <w:r w:rsidR="00EE2C64">
        <w:rPr>
          <w:spacing w:val="-2"/>
          <w:sz w:val="20"/>
          <w:szCs w:val="20"/>
          <w:lang w:val="es-AR"/>
        </w:rPr>
        <w:t>4</w:t>
      </w:r>
      <w:r w:rsidRPr="006E7FD3">
        <w:rPr>
          <w:spacing w:val="-2"/>
          <w:sz w:val="20"/>
          <w:szCs w:val="20"/>
          <w:lang w:val="es-AR"/>
        </w:rPr>
        <w:t xml:space="preserve"> de la presente Sentencia. </w:t>
      </w:r>
    </w:p>
    <w:p w14:paraId="599BF8F4" w14:textId="4F079816" w:rsidR="00887745" w:rsidRDefault="00887745" w:rsidP="00DB378B">
      <w:pPr>
        <w:tabs>
          <w:tab w:val="num" w:pos="630"/>
          <w:tab w:val="left" w:pos="720"/>
        </w:tabs>
        <w:spacing w:after="0"/>
        <w:jc w:val="both"/>
        <w:rPr>
          <w:rFonts w:ascii="Verdana" w:hAnsi="Verdana" w:cs="Verdana"/>
          <w:b/>
          <w:color w:val="000000"/>
          <w:spacing w:val="-2"/>
          <w:sz w:val="20"/>
          <w:szCs w:val="20"/>
          <w:lang w:val="es-EC"/>
        </w:rPr>
      </w:pPr>
      <w:r w:rsidRPr="006E7FD3">
        <w:rPr>
          <w:rFonts w:ascii="Verdana" w:hAnsi="Verdana" w:cs="Verdana"/>
          <w:b/>
          <w:color w:val="000000"/>
          <w:spacing w:val="-2"/>
          <w:sz w:val="20"/>
          <w:szCs w:val="20"/>
          <w:lang w:val="es-EC"/>
        </w:rPr>
        <w:t>DECLARA,</w:t>
      </w:r>
    </w:p>
    <w:p w14:paraId="35BA320C" w14:textId="63601C87" w:rsidR="00A0093F" w:rsidRPr="006E7FD3" w:rsidRDefault="00A0093F" w:rsidP="00A0093F">
      <w:pPr>
        <w:tabs>
          <w:tab w:val="left" w:pos="720"/>
        </w:tabs>
        <w:spacing w:before="120" w:after="120" w:line="240" w:lineRule="auto"/>
        <w:jc w:val="both"/>
        <w:rPr>
          <w:rFonts w:ascii="Verdana" w:hAnsi="Verdana" w:cs="Verdana"/>
          <w:color w:val="000000"/>
          <w:spacing w:val="-2"/>
          <w:sz w:val="20"/>
          <w:szCs w:val="20"/>
          <w:lang w:val="es-EC"/>
        </w:rPr>
      </w:pPr>
      <w:r w:rsidRPr="006E7FD3">
        <w:rPr>
          <w:rFonts w:ascii="Verdana" w:hAnsi="Verdana" w:cs="Verdana"/>
          <w:color w:val="000000"/>
          <w:spacing w:val="-2"/>
          <w:sz w:val="20"/>
          <w:szCs w:val="20"/>
          <w:lang w:val="es-EC"/>
        </w:rPr>
        <w:t xml:space="preserve">por </w:t>
      </w:r>
      <w:r w:rsidR="0014352D">
        <w:rPr>
          <w:rFonts w:ascii="Verdana" w:hAnsi="Verdana"/>
          <w:spacing w:val="-2"/>
          <w:sz w:val="20"/>
          <w:szCs w:val="20"/>
          <w:lang w:val="es-AR"/>
        </w:rPr>
        <w:t>unanimidad</w:t>
      </w:r>
      <w:r w:rsidRPr="006E7FD3">
        <w:rPr>
          <w:rFonts w:ascii="Verdana" w:hAnsi="Verdana" w:cs="Verdana"/>
          <w:color w:val="000000"/>
          <w:spacing w:val="-2"/>
          <w:sz w:val="20"/>
          <w:szCs w:val="20"/>
          <w:lang w:val="es-EC"/>
        </w:rPr>
        <w:t xml:space="preserve"> que:</w:t>
      </w:r>
    </w:p>
    <w:p w14:paraId="6ED81FA4" w14:textId="0A51E798" w:rsidR="00887745" w:rsidRPr="00BD6DD9" w:rsidRDefault="00887745" w:rsidP="0089411D">
      <w:pPr>
        <w:pStyle w:val="Default"/>
        <w:numPr>
          <w:ilvl w:val="0"/>
          <w:numId w:val="84"/>
        </w:numPr>
        <w:tabs>
          <w:tab w:val="left" w:pos="567"/>
        </w:tabs>
        <w:spacing w:before="120" w:after="120"/>
        <w:ind w:left="0" w:firstLine="0"/>
        <w:jc w:val="both"/>
        <w:rPr>
          <w:sz w:val="20"/>
          <w:szCs w:val="20"/>
          <w:lang w:val="es-ES"/>
        </w:rPr>
      </w:pPr>
      <w:r w:rsidRPr="006E7FD3">
        <w:rPr>
          <w:sz w:val="20"/>
          <w:szCs w:val="20"/>
          <w:lang w:val="es-CR" w:eastAsia="es-CR"/>
        </w:rPr>
        <w:t xml:space="preserve">El Estado es responsable </w:t>
      </w:r>
      <w:r w:rsidRPr="006E7FD3">
        <w:rPr>
          <w:sz w:val="20"/>
          <w:szCs w:val="20"/>
          <w:lang w:val="es-ES"/>
        </w:rPr>
        <w:t xml:space="preserve">por la desaparición forzada de Nitza Paola Alvarado Espinoza, José Ángel Alvarado Herrera y Rocío Irene Alvarado Reyes y, en consecuencia, por la violación de los derechos al reconocimiento de la personalidad jurídica, a la vida, a la integridad personal y a la libertad personal, reconocidos en los artículos 3, 4.1, 5.1, 5.2 y 7 de la Convención Americana, en relación con el artículo 1.1 de la misma y con lo dispuesto en el artículo I.a de la </w:t>
      </w:r>
      <w:r w:rsidRPr="006E7FD3">
        <w:rPr>
          <w:sz w:val="20"/>
          <w:szCs w:val="20"/>
          <w:lang w:val="es-ES"/>
        </w:rPr>
        <w:lastRenderedPageBreak/>
        <w:t xml:space="preserve">Convención Interamericana sobre Desaparición Forzada, en perjuicio de </w:t>
      </w:r>
      <w:r w:rsidR="00EE2C64">
        <w:rPr>
          <w:sz w:val="20"/>
          <w:szCs w:val="20"/>
          <w:lang w:val="es-ES"/>
        </w:rPr>
        <w:t>los desaparecidos</w:t>
      </w:r>
      <w:r w:rsidRPr="006E7FD3">
        <w:rPr>
          <w:sz w:val="20"/>
          <w:szCs w:val="20"/>
          <w:lang w:val="es-ES"/>
        </w:rPr>
        <w:t xml:space="preserve">, en los términos de los párrafos </w:t>
      </w:r>
      <w:r w:rsidR="00EE2C64">
        <w:rPr>
          <w:sz w:val="20"/>
          <w:szCs w:val="20"/>
          <w:lang w:val="es-ES"/>
        </w:rPr>
        <w:t>164</w:t>
      </w:r>
      <w:r w:rsidRPr="006E7FD3">
        <w:rPr>
          <w:sz w:val="20"/>
          <w:szCs w:val="20"/>
          <w:lang w:val="es-ES"/>
        </w:rPr>
        <w:t xml:space="preserve"> a </w:t>
      </w:r>
      <w:r w:rsidR="00EE2C64">
        <w:rPr>
          <w:sz w:val="20"/>
          <w:szCs w:val="20"/>
          <w:lang w:val="es-ES"/>
        </w:rPr>
        <w:t>205</w:t>
      </w:r>
      <w:r w:rsidRPr="006E7FD3">
        <w:rPr>
          <w:sz w:val="20"/>
          <w:szCs w:val="20"/>
          <w:lang w:val="es-ES"/>
        </w:rPr>
        <w:t xml:space="preserve"> de esta Sentencia. </w:t>
      </w:r>
    </w:p>
    <w:p w14:paraId="60AC456E" w14:textId="282536A3" w:rsidR="00887745" w:rsidRPr="00B85CF1" w:rsidRDefault="00887745" w:rsidP="00B85CF1">
      <w:pPr>
        <w:pStyle w:val="Default"/>
        <w:numPr>
          <w:ilvl w:val="0"/>
          <w:numId w:val="84"/>
        </w:numPr>
        <w:tabs>
          <w:tab w:val="left" w:pos="567"/>
        </w:tabs>
        <w:spacing w:before="120" w:after="120"/>
        <w:ind w:left="0" w:firstLine="0"/>
        <w:jc w:val="both"/>
        <w:rPr>
          <w:spacing w:val="-2"/>
          <w:sz w:val="20"/>
          <w:szCs w:val="20"/>
          <w:lang w:val="es-PR"/>
        </w:rPr>
      </w:pPr>
      <w:r w:rsidRPr="00B85CF1">
        <w:rPr>
          <w:sz w:val="20"/>
          <w:szCs w:val="20"/>
          <w:lang w:val="es-CR" w:eastAsia="es-CR"/>
        </w:rPr>
        <w:t xml:space="preserve">El </w:t>
      </w:r>
      <w:r w:rsidRPr="00B85CF1">
        <w:rPr>
          <w:sz w:val="20"/>
          <w:szCs w:val="20"/>
          <w:lang w:val="es-ES"/>
        </w:rPr>
        <w:t xml:space="preserve">Estado es responsable por la violación </w:t>
      </w:r>
      <w:r w:rsidR="00D914DE">
        <w:rPr>
          <w:sz w:val="20"/>
          <w:szCs w:val="20"/>
          <w:lang w:val="es-ES"/>
        </w:rPr>
        <w:t>al acceso a la justicia, de conformidad con</w:t>
      </w:r>
      <w:r w:rsidR="00B85CF1">
        <w:rPr>
          <w:sz w:val="20"/>
          <w:szCs w:val="20"/>
          <w:lang w:val="es-ES"/>
        </w:rPr>
        <w:t xml:space="preserve"> los derechos a las garantías judiciales y protección judicial, reconocidos en los </w:t>
      </w:r>
      <w:r w:rsidR="00B85CF1" w:rsidRPr="00B85CF1">
        <w:rPr>
          <w:sz w:val="20"/>
          <w:szCs w:val="20"/>
          <w:lang w:val="es-ES"/>
        </w:rPr>
        <w:t xml:space="preserve">artículos 8 y 25 </w:t>
      </w:r>
      <w:r w:rsidR="00AB74B2">
        <w:rPr>
          <w:sz w:val="20"/>
          <w:szCs w:val="20"/>
          <w:lang w:val="es-ES"/>
        </w:rPr>
        <w:t xml:space="preserve">de la Convención Americana, así como del </w:t>
      </w:r>
      <w:r w:rsidRPr="00B85CF1">
        <w:rPr>
          <w:sz w:val="20"/>
          <w:szCs w:val="20"/>
          <w:lang w:val="es-ES"/>
        </w:rPr>
        <w:t>deber de adoptar medidas</w:t>
      </w:r>
      <w:r w:rsidR="00D914DE">
        <w:rPr>
          <w:sz w:val="20"/>
          <w:szCs w:val="20"/>
          <w:lang w:val="es-ES"/>
        </w:rPr>
        <w:t xml:space="preserve"> internas</w:t>
      </w:r>
      <w:r w:rsidRPr="00B85CF1">
        <w:rPr>
          <w:sz w:val="20"/>
          <w:szCs w:val="20"/>
          <w:lang w:val="es-ES"/>
        </w:rPr>
        <w:t>, reconocido en el artículo 2 de la Convención Americana</w:t>
      </w:r>
      <w:r w:rsidR="00AB74B2">
        <w:rPr>
          <w:sz w:val="20"/>
          <w:szCs w:val="20"/>
          <w:lang w:val="es-ES"/>
        </w:rPr>
        <w:t>,</w:t>
      </w:r>
      <w:r w:rsidR="00361707">
        <w:rPr>
          <w:sz w:val="20"/>
          <w:szCs w:val="20"/>
          <w:lang w:val="es-ES"/>
        </w:rPr>
        <w:t xml:space="preserve"> </w:t>
      </w:r>
      <w:r w:rsidR="00361707" w:rsidRPr="0012282C">
        <w:rPr>
          <w:sz w:val="20"/>
          <w:szCs w:val="20"/>
          <w:lang w:val="es-ES"/>
        </w:rPr>
        <w:t>y los artículos I.b y IX de la Convención Interamericana sobre Desaparición Forzada de Personas,</w:t>
      </w:r>
      <w:r w:rsidRPr="00B85CF1">
        <w:rPr>
          <w:sz w:val="20"/>
          <w:szCs w:val="20"/>
          <w:lang w:val="es-ES"/>
        </w:rPr>
        <w:t xml:space="preserve"> en perjuicio de </w:t>
      </w:r>
      <w:r w:rsidR="00262F3F" w:rsidRPr="00B85CF1">
        <w:rPr>
          <w:sz w:val="20"/>
          <w:szCs w:val="20"/>
          <w:lang w:val="es-ES"/>
        </w:rPr>
        <w:t>las personas desaparecidas</w:t>
      </w:r>
      <w:r w:rsidRPr="00B85CF1">
        <w:rPr>
          <w:sz w:val="20"/>
          <w:szCs w:val="20"/>
          <w:lang w:val="es-ES"/>
        </w:rPr>
        <w:t xml:space="preserve">, en los términos de los párrafos </w:t>
      </w:r>
      <w:r w:rsidR="00E36F10">
        <w:rPr>
          <w:sz w:val="20"/>
          <w:szCs w:val="20"/>
          <w:lang w:val="es-ES"/>
        </w:rPr>
        <w:t>212</w:t>
      </w:r>
      <w:r w:rsidRPr="00B85CF1">
        <w:rPr>
          <w:sz w:val="20"/>
          <w:szCs w:val="20"/>
          <w:lang w:val="es-ES"/>
        </w:rPr>
        <w:t xml:space="preserve"> a </w:t>
      </w:r>
      <w:r w:rsidR="00E36F10">
        <w:rPr>
          <w:sz w:val="20"/>
          <w:szCs w:val="20"/>
          <w:lang w:val="es-ES"/>
        </w:rPr>
        <w:t>259</w:t>
      </w:r>
      <w:r w:rsidRPr="00B85CF1">
        <w:rPr>
          <w:sz w:val="20"/>
          <w:szCs w:val="20"/>
          <w:lang w:val="es-ES"/>
        </w:rPr>
        <w:t xml:space="preserve"> de esta Sentencia.  </w:t>
      </w:r>
    </w:p>
    <w:p w14:paraId="613D60F9" w14:textId="1B4B0EB1"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PR"/>
        </w:rPr>
      </w:pPr>
      <w:r w:rsidRPr="006E7FD3">
        <w:rPr>
          <w:sz w:val="20"/>
          <w:szCs w:val="20"/>
          <w:lang w:val="es-CR" w:eastAsia="es-CR"/>
        </w:rPr>
        <w:t xml:space="preserve">El </w:t>
      </w:r>
      <w:r w:rsidRPr="006E7FD3">
        <w:rPr>
          <w:sz w:val="20"/>
          <w:szCs w:val="20"/>
          <w:lang w:val="es-ES"/>
        </w:rPr>
        <w:t>Estado es responsable por la violación del derecho a la integridad personal, reconocido en el artículo 5.1 de la Convención Americana, en relación con el artículo 1.1 de la misma, en perjuicio de</w:t>
      </w:r>
      <w:r w:rsidR="00BD6DD9">
        <w:rPr>
          <w:sz w:val="20"/>
          <w:szCs w:val="20"/>
          <w:lang w:val="es-ES"/>
        </w:rPr>
        <w:t xml:space="preserve"> </w:t>
      </w:r>
      <w:r w:rsidRPr="006E7FD3">
        <w:rPr>
          <w:sz w:val="20"/>
          <w:szCs w:val="20"/>
          <w:lang w:val="es-ES"/>
        </w:rPr>
        <w:t>los familiares directos de las víctimas desaparecidas</w:t>
      </w:r>
      <w:r w:rsidR="00262F3F">
        <w:rPr>
          <w:sz w:val="20"/>
          <w:szCs w:val="20"/>
          <w:lang w:val="es-ES"/>
        </w:rPr>
        <w:t xml:space="preserve"> </w:t>
      </w:r>
      <w:r w:rsidR="00262F3F" w:rsidRPr="006E7FD3">
        <w:rPr>
          <w:sz w:val="20"/>
          <w:szCs w:val="20"/>
          <w:lang w:val="es-ES"/>
        </w:rPr>
        <w:t>identificados</w:t>
      </w:r>
      <w:r w:rsidR="00A57D94">
        <w:rPr>
          <w:sz w:val="20"/>
          <w:szCs w:val="20"/>
          <w:lang w:val="es-ES"/>
        </w:rPr>
        <w:t>,</w:t>
      </w:r>
      <w:r w:rsidR="00262F3F" w:rsidRPr="006E7FD3">
        <w:rPr>
          <w:sz w:val="20"/>
          <w:szCs w:val="20"/>
          <w:lang w:val="es-ES"/>
        </w:rPr>
        <w:t xml:space="preserve"> </w:t>
      </w:r>
      <w:r w:rsidR="00EC25B7" w:rsidRPr="006E7FD3">
        <w:rPr>
          <w:sz w:val="20"/>
          <w:szCs w:val="20"/>
          <w:lang w:val="es-ES"/>
        </w:rPr>
        <w:t xml:space="preserve">en los términos de los párrafos </w:t>
      </w:r>
      <w:r w:rsidR="00E36F10">
        <w:rPr>
          <w:sz w:val="20"/>
          <w:szCs w:val="20"/>
          <w:lang w:val="es-ES"/>
        </w:rPr>
        <w:t>265</w:t>
      </w:r>
      <w:r w:rsidR="00EC25B7" w:rsidRPr="006E7FD3">
        <w:rPr>
          <w:sz w:val="20"/>
          <w:szCs w:val="20"/>
          <w:lang w:val="es-ES"/>
        </w:rPr>
        <w:t xml:space="preserve"> a </w:t>
      </w:r>
      <w:r w:rsidR="00E36F10">
        <w:rPr>
          <w:sz w:val="20"/>
          <w:szCs w:val="20"/>
          <w:lang w:val="es-ES"/>
        </w:rPr>
        <w:t>267</w:t>
      </w:r>
      <w:r w:rsidR="00EC25B7" w:rsidRPr="006E7FD3">
        <w:rPr>
          <w:sz w:val="20"/>
          <w:szCs w:val="20"/>
          <w:lang w:val="es-ES"/>
        </w:rPr>
        <w:t xml:space="preserve"> de esta Sentencia</w:t>
      </w:r>
      <w:r w:rsidR="00262F3F" w:rsidRPr="006E7FD3">
        <w:rPr>
          <w:sz w:val="20"/>
          <w:szCs w:val="20"/>
          <w:lang w:val="es-ES"/>
        </w:rPr>
        <w:t xml:space="preserve">, </w:t>
      </w:r>
      <w:r w:rsidR="00262F3F">
        <w:rPr>
          <w:sz w:val="20"/>
          <w:szCs w:val="20"/>
          <w:lang w:val="es-ES"/>
        </w:rPr>
        <w:t>así como</w:t>
      </w:r>
      <w:r w:rsidR="00BD6DD9">
        <w:rPr>
          <w:sz w:val="20"/>
          <w:szCs w:val="20"/>
          <w:lang w:val="es-ES"/>
        </w:rPr>
        <w:t xml:space="preserve"> </w:t>
      </w:r>
      <w:r w:rsidR="00EC25B7">
        <w:rPr>
          <w:sz w:val="20"/>
          <w:szCs w:val="20"/>
          <w:lang w:val="es-ES"/>
        </w:rPr>
        <w:t xml:space="preserve">en lo particular </w:t>
      </w:r>
      <w:r w:rsidR="00BD6DD9" w:rsidRPr="006E7FD3">
        <w:rPr>
          <w:sz w:val="20"/>
          <w:szCs w:val="20"/>
          <w:lang w:val="es-ES"/>
        </w:rPr>
        <w:t>de José Ángel Alvarado Fa</w:t>
      </w:r>
      <w:r w:rsidR="00B82930">
        <w:rPr>
          <w:sz w:val="20"/>
          <w:szCs w:val="20"/>
          <w:lang w:val="es-ES"/>
        </w:rPr>
        <w:t>b</w:t>
      </w:r>
      <w:r w:rsidR="00BD6DD9" w:rsidRPr="006E7FD3">
        <w:rPr>
          <w:sz w:val="20"/>
          <w:szCs w:val="20"/>
          <w:lang w:val="es-ES"/>
        </w:rPr>
        <w:t xml:space="preserve">ela y Jaime Alvarado, </w:t>
      </w:r>
      <w:r w:rsidR="00262F3F">
        <w:rPr>
          <w:sz w:val="20"/>
          <w:szCs w:val="20"/>
          <w:lang w:val="es-ES"/>
        </w:rPr>
        <w:t>y</w:t>
      </w:r>
      <w:r w:rsidR="00BD6DD9" w:rsidRPr="006E7FD3">
        <w:rPr>
          <w:sz w:val="20"/>
          <w:szCs w:val="20"/>
          <w:lang w:val="es-ES"/>
        </w:rPr>
        <w:t xml:space="preserve"> de sus grupos familiares</w:t>
      </w:r>
      <w:r w:rsidRPr="006E7FD3">
        <w:rPr>
          <w:sz w:val="20"/>
          <w:szCs w:val="20"/>
          <w:lang w:val="es-ES"/>
        </w:rPr>
        <w:t xml:space="preserve">, en los términos de los párrafos </w:t>
      </w:r>
      <w:r w:rsidR="00E36F10">
        <w:rPr>
          <w:sz w:val="20"/>
          <w:szCs w:val="20"/>
          <w:lang w:val="es-ES"/>
        </w:rPr>
        <w:t>268</w:t>
      </w:r>
      <w:r w:rsidRPr="006E7FD3">
        <w:rPr>
          <w:sz w:val="20"/>
          <w:szCs w:val="20"/>
          <w:lang w:val="es-ES"/>
        </w:rPr>
        <w:t xml:space="preserve"> a </w:t>
      </w:r>
      <w:r w:rsidR="00E36F10">
        <w:rPr>
          <w:sz w:val="20"/>
          <w:szCs w:val="20"/>
          <w:lang w:val="es-ES"/>
        </w:rPr>
        <w:t>271</w:t>
      </w:r>
      <w:r w:rsidRPr="006E7FD3">
        <w:rPr>
          <w:sz w:val="20"/>
          <w:szCs w:val="20"/>
          <w:lang w:val="es-ES"/>
        </w:rPr>
        <w:t xml:space="preserve"> de esta Sentencia.</w:t>
      </w:r>
    </w:p>
    <w:p w14:paraId="6A91C859" w14:textId="1F748B46"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PR"/>
        </w:rPr>
      </w:pPr>
      <w:r w:rsidRPr="006E7FD3">
        <w:rPr>
          <w:sz w:val="20"/>
          <w:szCs w:val="20"/>
          <w:lang w:val="es-CR" w:eastAsia="es-CR"/>
        </w:rPr>
        <w:t xml:space="preserve">El </w:t>
      </w:r>
      <w:r w:rsidRPr="006E7FD3">
        <w:rPr>
          <w:sz w:val="20"/>
          <w:szCs w:val="20"/>
          <w:lang w:val="es-ES"/>
        </w:rPr>
        <w:t xml:space="preserve">Estado es responsable por la violación de los derechos de circulación y residencia, reconocidos en los artículos 22 y 17 de la Convención Americana, en perjuicio de los grupos familiares identificados, en los términos de los párrafos </w:t>
      </w:r>
      <w:r w:rsidR="00E36F10">
        <w:rPr>
          <w:sz w:val="20"/>
          <w:szCs w:val="20"/>
          <w:lang w:val="es-ES"/>
        </w:rPr>
        <w:t>273</w:t>
      </w:r>
      <w:r w:rsidRPr="006E7FD3">
        <w:rPr>
          <w:sz w:val="20"/>
          <w:szCs w:val="20"/>
          <w:lang w:val="es-ES"/>
        </w:rPr>
        <w:t xml:space="preserve"> a </w:t>
      </w:r>
      <w:r w:rsidR="00E36F10">
        <w:rPr>
          <w:sz w:val="20"/>
          <w:szCs w:val="20"/>
          <w:lang w:val="es-ES"/>
        </w:rPr>
        <w:t>283</w:t>
      </w:r>
      <w:r w:rsidRPr="006E7FD3">
        <w:rPr>
          <w:sz w:val="20"/>
          <w:szCs w:val="20"/>
          <w:lang w:val="es-ES"/>
        </w:rPr>
        <w:t xml:space="preserve"> de esta Sentencia. </w:t>
      </w:r>
    </w:p>
    <w:p w14:paraId="760CB07B" w14:textId="3517EE51" w:rsidR="00887745" w:rsidRPr="00605079" w:rsidRDefault="00887745" w:rsidP="0089411D">
      <w:pPr>
        <w:pStyle w:val="Default"/>
        <w:numPr>
          <w:ilvl w:val="0"/>
          <w:numId w:val="84"/>
        </w:numPr>
        <w:tabs>
          <w:tab w:val="left" w:pos="567"/>
        </w:tabs>
        <w:spacing w:before="120" w:after="120"/>
        <w:ind w:left="0" w:firstLine="0"/>
        <w:jc w:val="both"/>
        <w:rPr>
          <w:spacing w:val="-2"/>
          <w:sz w:val="20"/>
          <w:szCs w:val="20"/>
          <w:lang w:val="es-PR"/>
        </w:rPr>
      </w:pPr>
      <w:r w:rsidRPr="00605079">
        <w:rPr>
          <w:sz w:val="20"/>
          <w:szCs w:val="20"/>
          <w:lang w:val="es-CR" w:eastAsia="es-CR"/>
        </w:rPr>
        <w:t xml:space="preserve">El </w:t>
      </w:r>
      <w:r w:rsidRPr="00605079">
        <w:rPr>
          <w:sz w:val="20"/>
          <w:szCs w:val="20"/>
          <w:lang w:val="es-ES"/>
        </w:rPr>
        <w:t xml:space="preserve">Estado es responsable por el incumplimiento del artículo 63.2 de la Convención Americana, en los términos del párrafo </w:t>
      </w:r>
      <w:r w:rsidR="00E36F10" w:rsidRPr="00605079">
        <w:rPr>
          <w:sz w:val="20"/>
          <w:szCs w:val="20"/>
          <w:lang w:val="es-ES"/>
        </w:rPr>
        <w:t>283</w:t>
      </w:r>
      <w:r w:rsidRPr="00C368C2">
        <w:rPr>
          <w:sz w:val="20"/>
          <w:szCs w:val="20"/>
          <w:lang w:val="es-ES"/>
        </w:rPr>
        <w:t xml:space="preserve"> de esta Sentencia. </w:t>
      </w:r>
    </w:p>
    <w:p w14:paraId="5D3BCE7C" w14:textId="77777777" w:rsidR="000C553D" w:rsidRPr="000C553D" w:rsidRDefault="00887745" w:rsidP="000C553D">
      <w:pPr>
        <w:pStyle w:val="Default"/>
        <w:numPr>
          <w:ilvl w:val="0"/>
          <w:numId w:val="84"/>
        </w:numPr>
        <w:tabs>
          <w:tab w:val="left" w:pos="567"/>
        </w:tabs>
        <w:spacing w:before="120" w:after="120"/>
        <w:ind w:left="0" w:firstLine="0"/>
        <w:jc w:val="both"/>
        <w:rPr>
          <w:spacing w:val="-2"/>
          <w:sz w:val="20"/>
          <w:szCs w:val="20"/>
          <w:lang w:val="es-PR"/>
        </w:rPr>
      </w:pPr>
      <w:r w:rsidRPr="006E7FD3">
        <w:rPr>
          <w:sz w:val="20"/>
          <w:szCs w:val="20"/>
          <w:lang w:val="es-CR" w:eastAsia="es-CR"/>
        </w:rPr>
        <w:t xml:space="preserve">El </w:t>
      </w:r>
      <w:r w:rsidRPr="006E7FD3">
        <w:rPr>
          <w:sz w:val="20"/>
          <w:szCs w:val="20"/>
          <w:lang w:val="es-ES"/>
        </w:rPr>
        <w:t xml:space="preserve">Estado no es responsable por la violación a los derechos a la protección de la honra y de la dignidad y derechos del niño, reconocidos en los artículos 11 y 19 de la Convención Americana, </w:t>
      </w:r>
      <w:r w:rsidR="00F55FBB" w:rsidRPr="006E7FD3">
        <w:rPr>
          <w:sz w:val="20"/>
          <w:szCs w:val="20"/>
          <w:lang w:val="es-ES"/>
        </w:rPr>
        <w:t xml:space="preserve">en los términos del párrafo </w:t>
      </w:r>
      <w:r w:rsidR="00E36F10">
        <w:rPr>
          <w:sz w:val="20"/>
          <w:szCs w:val="20"/>
          <w:lang w:val="es-ES"/>
        </w:rPr>
        <w:t>284</w:t>
      </w:r>
      <w:r w:rsidR="00F55FBB" w:rsidRPr="006E7FD3">
        <w:rPr>
          <w:sz w:val="20"/>
          <w:szCs w:val="20"/>
          <w:lang w:val="es-ES"/>
        </w:rPr>
        <w:t xml:space="preserve"> de esta Sentencia. </w:t>
      </w:r>
      <w:r w:rsidR="00F55FBB">
        <w:rPr>
          <w:sz w:val="20"/>
          <w:szCs w:val="20"/>
          <w:lang w:val="es-ES"/>
        </w:rPr>
        <w:t>Tampoco en relación con el artículo 7 de la Convención Interamericana para Prevenir, Sancionar y Erradicar la Violencia contra la Mujer</w:t>
      </w:r>
      <w:r w:rsidR="00E36F10">
        <w:rPr>
          <w:sz w:val="20"/>
          <w:szCs w:val="20"/>
          <w:lang w:val="es-ES"/>
        </w:rPr>
        <w:t>, en los términos del párrafo 248 de la misma</w:t>
      </w:r>
      <w:r w:rsidR="00F55FBB">
        <w:rPr>
          <w:sz w:val="20"/>
          <w:szCs w:val="20"/>
          <w:lang w:val="es-ES"/>
        </w:rPr>
        <w:t xml:space="preserve">. </w:t>
      </w:r>
    </w:p>
    <w:p w14:paraId="261E3318" w14:textId="5A6D4F00" w:rsidR="00887745" w:rsidRPr="000C553D" w:rsidRDefault="00887745" w:rsidP="000C553D">
      <w:pPr>
        <w:pStyle w:val="Default"/>
        <w:tabs>
          <w:tab w:val="left" w:pos="567"/>
        </w:tabs>
        <w:spacing w:before="120" w:after="120"/>
        <w:jc w:val="both"/>
        <w:rPr>
          <w:spacing w:val="-2"/>
          <w:sz w:val="20"/>
          <w:szCs w:val="20"/>
          <w:lang w:val="es-PR"/>
        </w:rPr>
      </w:pPr>
      <w:r w:rsidRPr="000C553D">
        <w:rPr>
          <w:b/>
          <w:spacing w:val="-2"/>
          <w:sz w:val="20"/>
          <w:szCs w:val="20"/>
          <w:lang w:val="es-GT"/>
        </w:rPr>
        <w:t>Y DISPONE,</w:t>
      </w:r>
    </w:p>
    <w:p w14:paraId="6F9AE074" w14:textId="3E94CC8A" w:rsidR="00887745" w:rsidRPr="006E7FD3" w:rsidRDefault="00887745" w:rsidP="0089411D">
      <w:pPr>
        <w:tabs>
          <w:tab w:val="left" w:pos="720"/>
        </w:tabs>
        <w:spacing w:before="120" w:after="120" w:line="240" w:lineRule="auto"/>
        <w:jc w:val="both"/>
        <w:rPr>
          <w:rFonts w:ascii="Verdana" w:hAnsi="Verdana" w:cs="Verdana"/>
          <w:color w:val="000000"/>
          <w:spacing w:val="-2"/>
          <w:sz w:val="20"/>
          <w:szCs w:val="20"/>
          <w:lang w:val="es-EC"/>
        </w:rPr>
      </w:pPr>
      <w:r w:rsidRPr="006E7FD3">
        <w:rPr>
          <w:rFonts w:ascii="Verdana" w:hAnsi="Verdana" w:cs="Verdana"/>
          <w:color w:val="000000"/>
          <w:spacing w:val="-2"/>
          <w:sz w:val="20"/>
          <w:szCs w:val="20"/>
          <w:lang w:val="es-EC"/>
        </w:rPr>
        <w:t xml:space="preserve">por </w:t>
      </w:r>
      <w:r w:rsidR="0014352D">
        <w:rPr>
          <w:rFonts w:ascii="Verdana" w:hAnsi="Verdana"/>
          <w:spacing w:val="-2"/>
          <w:sz w:val="20"/>
          <w:szCs w:val="20"/>
          <w:lang w:val="es-AR"/>
        </w:rPr>
        <w:t xml:space="preserve">unanimidad </w:t>
      </w:r>
      <w:r w:rsidRPr="006E7FD3">
        <w:rPr>
          <w:rFonts w:ascii="Verdana" w:hAnsi="Verdana" w:cs="Verdana"/>
          <w:color w:val="000000"/>
          <w:spacing w:val="-2"/>
          <w:sz w:val="20"/>
          <w:szCs w:val="20"/>
          <w:lang w:val="es-EC"/>
        </w:rPr>
        <w:t>que:</w:t>
      </w:r>
    </w:p>
    <w:p w14:paraId="0F4D7FDB" w14:textId="01344696" w:rsidR="00887745" w:rsidRDefault="00887745" w:rsidP="0089411D">
      <w:pPr>
        <w:pStyle w:val="Default"/>
        <w:numPr>
          <w:ilvl w:val="0"/>
          <w:numId w:val="84"/>
        </w:numPr>
        <w:tabs>
          <w:tab w:val="left" w:pos="567"/>
        </w:tabs>
        <w:spacing w:before="120" w:after="120"/>
        <w:ind w:left="0" w:firstLine="0"/>
        <w:jc w:val="both"/>
        <w:rPr>
          <w:spacing w:val="-2"/>
          <w:sz w:val="20"/>
          <w:szCs w:val="20"/>
          <w:lang w:val="es-PR"/>
        </w:rPr>
      </w:pPr>
      <w:r w:rsidRPr="006E7FD3">
        <w:rPr>
          <w:spacing w:val="-2"/>
          <w:sz w:val="20"/>
          <w:szCs w:val="20"/>
          <w:lang w:val="es-PR"/>
        </w:rPr>
        <w:t xml:space="preserve">Esta </w:t>
      </w:r>
      <w:r w:rsidRPr="006E7FD3">
        <w:rPr>
          <w:spacing w:val="-2"/>
          <w:sz w:val="20"/>
          <w:szCs w:val="20"/>
          <w:lang w:val="es-GT" w:eastAsia="es-ES"/>
        </w:rPr>
        <w:t>Sentencia</w:t>
      </w:r>
      <w:r w:rsidRPr="006E7FD3">
        <w:rPr>
          <w:spacing w:val="-2"/>
          <w:sz w:val="20"/>
          <w:szCs w:val="20"/>
          <w:lang w:val="es-PR"/>
        </w:rPr>
        <w:t xml:space="preserve"> constituye </w:t>
      </w:r>
      <w:r w:rsidRPr="006E7FD3">
        <w:rPr>
          <w:i/>
          <w:spacing w:val="-2"/>
          <w:sz w:val="20"/>
          <w:szCs w:val="20"/>
          <w:lang w:val="es-PR"/>
        </w:rPr>
        <w:t>per se</w:t>
      </w:r>
      <w:r w:rsidRPr="006E7FD3">
        <w:rPr>
          <w:spacing w:val="-2"/>
          <w:sz w:val="20"/>
          <w:szCs w:val="20"/>
          <w:lang w:val="es-PR"/>
        </w:rPr>
        <w:t xml:space="preserve"> una forma de reparación. </w:t>
      </w:r>
    </w:p>
    <w:p w14:paraId="4BBFDE81" w14:textId="685859D0" w:rsidR="00654518" w:rsidRPr="00BD6DD9" w:rsidRDefault="00654518" w:rsidP="0089411D">
      <w:pPr>
        <w:pStyle w:val="Default"/>
        <w:numPr>
          <w:ilvl w:val="0"/>
          <w:numId w:val="84"/>
        </w:numPr>
        <w:tabs>
          <w:tab w:val="left" w:pos="567"/>
        </w:tabs>
        <w:spacing w:before="120" w:after="120"/>
        <w:ind w:left="0" w:firstLine="0"/>
        <w:jc w:val="both"/>
        <w:rPr>
          <w:spacing w:val="-2"/>
          <w:sz w:val="20"/>
          <w:szCs w:val="20"/>
          <w:lang w:val="es-PR"/>
        </w:rPr>
      </w:pPr>
      <w:r>
        <w:rPr>
          <w:spacing w:val="-2"/>
          <w:sz w:val="20"/>
          <w:szCs w:val="20"/>
          <w:lang w:val="es-PR"/>
        </w:rPr>
        <w:t xml:space="preserve">Dejar sin efecto las Medidas Provisionales en el </w:t>
      </w:r>
      <w:r w:rsidRPr="008D0846">
        <w:rPr>
          <w:i/>
          <w:spacing w:val="-2"/>
          <w:sz w:val="20"/>
          <w:szCs w:val="20"/>
          <w:lang w:val="es-PR"/>
        </w:rPr>
        <w:t>Asunto Alvarado Reyes respecto de México</w:t>
      </w:r>
      <w:r>
        <w:rPr>
          <w:spacing w:val="-2"/>
          <w:sz w:val="20"/>
          <w:szCs w:val="20"/>
          <w:lang w:val="es-PR"/>
        </w:rPr>
        <w:t xml:space="preserve">, en los términos de los párrafos 289 a 291. </w:t>
      </w:r>
    </w:p>
    <w:p w14:paraId="3B6F2AB9" w14:textId="210D733F"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PR"/>
        </w:rPr>
      </w:pPr>
      <w:r w:rsidRPr="006E7FD3">
        <w:rPr>
          <w:spacing w:val="-2"/>
          <w:sz w:val="20"/>
          <w:szCs w:val="20"/>
          <w:lang w:val="es-PR"/>
        </w:rPr>
        <w:t>E</w:t>
      </w:r>
      <w:r w:rsidRPr="006E7FD3">
        <w:rPr>
          <w:spacing w:val="-2"/>
          <w:sz w:val="20"/>
          <w:szCs w:val="20"/>
          <w:lang w:val="es-CR"/>
        </w:rPr>
        <w:t xml:space="preserve">l Estado debe </w:t>
      </w:r>
      <w:r w:rsidR="00BD6DD9">
        <w:rPr>
          <w:rFonts w:cs="Times New Roman"/>
          <w:sz w:val="20"/>
          <w:szCs w:val="20"/>
          <w:lang w:val="es-ES"/>
        </w:rPr>
        <w:t xml:space="preserve">realizar, a la mayor brevedad, una búsqueda rigurosa, sistemática y con los recursos humanos, técnicos y económicos adecuados, en la cual realice todos los esfuerzos para determinar el paradero de </w:t>
      </w:r>
      <w:r w:rsidR="00D42571">
        <w:rPr>
          <w:rFonts w:cs="Times New Roman"/>
          <w:sz w:val="20"/>
          <w:szCs w:val="20"/>
          <w:lang w:val="es-ES"/>
        </w:rPr>
        <w:t xml:space="preserve">Nitza Paola Alvarado Espinoza, Rocío Irene Alvarado Reyes y José Ángel Alvarado Herrera, </w:t>
      </w:r>
      <w:r w:rsidRPr="006E7FD3">
        <w:rPr>
          <w:rFonts w:cs="Times New Roman"/>
          <w:sz w:val="20"/>
          <w:szCs w:val="20"/>
          <w:lang w:val="es-CR"/>
        </w:rPr>
        <w:t>en los tér</w:t>
      </w:r>
      <w:r w:rsidR="00D42571">
        <w:rPr>
          <w:rFonts w:cs="Times New Roman"/>
          <w:sz w:val="20"/>
          <w:szCs w:val="20"/>
          <w:lang w:val="es-CR"/>
        </w:rPr>
        <w:t xml:space="preserve">minos de los párrafos </w:t>
      </w:r>
      <w:r w:rsidR="00654518">
        <w:rPr>
          <w:rFonts w:cs="Times New Roman"/>
          <w:sz w:val="20"/>
          <w:szCs w:val="20"/>
          <w:lang w:val="es-CR"/>
        </w:rPr>
        <w:t>247</w:t>
      </w:r>
      <w:r w:rsidRPr="006E7FD3">
        <w:rPr>
          <w:rFonts w:cs="Times New Roman"/>
          <w:sz w:val="20"/>
          <w:szCs w:val="20"/>
          <w:lang w:val="es-CR"/>
        </w:rPr>
        <w:t xml:space="preserve"> y </w:t>
      </w:r>
      <w:r w:rsidR="00654518">
        <w:rPr>
          <w:rFonts w:cs="Times New Roman"/>
          <w:sz w:val="20"/>
          <w:szCs w:val="20"/>
          <w:lang w:val="es-CR"/>
        </w:rPr>
        <w:t>300</w:t>
      </w:r>
      <w:r w:rsidRPr="006E7FD3">
        <w:rPr>
          <w:rFonts w:cs="Times New Roman"/>
          <w:sz w:val="20"/>
          <w:szCs w:val="20"/>
          <w:lang w:val="es-CR"/>
        </w:rPr>
        <w:t xml:space="preserve"> de esta Sentencia.  </w:t>
      </w:r>
    </w:p>
    <w:p w14:paraId="0E7DFAD7" w14:textId="380DBC15"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GT" w:eastAsia="es-CR"/>
        </w:rPr>
      </w:pPr>
      <w:r w:rsidRPr="006E7FD3">
        <w:rPr>
          <w:spacing w:val="-2"/>
          <w:sz w:val="20"/>
          <w:szCs w:val="20"/>
          <w:lang w:val="es-GT" w:eastAsia="es-CR"/>
        </w:rPr>
        <w:t xml:space="preserve">El Estado </w:t>
      </w:r>
      <w:r w:rsidRPr="006E7FD3">
        <w:rPr>
          <w:spacing w:val="-2"/>
          <w:sz w:val="20"/>
          <w:szCs w:val="20"/>
          <w:lang w:val="es-GT" w:eastAsia="es-ES"/>
        </w:rPr>
        <w:t xml:space="preserve">debe </w:t>
      </w:r>
      <w:r w:rsidR="00D42571">
        <w:rPr>
          <w:spacing w:val="-2"/>
          <w:sz w:val="20"/>
          <w:szCs w:val="20"/>
          <w:lang w:val="es-GT" w:eastAsia="es-ES"/>
        </w:rPr>
        <w:t xml:space="preserve">continuar y llevar a cabo, en un plazo razonable y con la mayor diligencia, las investigaciones que sean necesarias para identificar, juzgar y, en su caso, sancionar a los responsables de la desaparición forzada de </w:t>
      </w:r>
      <w:r w:rsidR="00D42571">
        <w:rPr>
          <w:rFonts w:cs="Times New Roman"/>
          <w:sz w:val="20"/>
          <w:szCs w:val="20"/>
          <w:lang w:val="es-ES"/>
        </w:rPr>
        <w:t>Nitza Paola Alvarado Espinoza, Rocío Irene Alvarado Reyes y José Ángel Alvarado Herrera</w:t>
      </w:r>
      <w:r w:rsidRPr="006E7FD3">
        <w:rPr>
          <w:sz w:val="20"/>
          <w:szCs w:val="20"/>
          <w:lang w:val="es-CR"/>
        </w:rPr>
        <w:t>, en los términos de</w:t>
      </w:r>
      <w:r w:rsidR="00640D3C">
        <w:rPr>
          <w:sz w:val="20"/>
          <w:szCs w:val="20"/>
          <w:lang w:val="es-CR"/>
        </w:rPr>
        <w:t xml:space="preserve"> </w:t>
      </w:r>
      <w:r w:rsidRPr="006E7FD3">
        <w:rPr>
          <w:sz w:val="20"/>
          <w:szCs w:val="20"/>
          <w:lang w:val="es-CR"/>
        </w:rPr>
        <w:t>l</w:t>
      </w:r>
      <w:r w:rsidR="00640D3C">
        <w:rPr>
          <w:sz w:val="20"/>
          <w:szCs w:val="20"/>
          <w:lang w:val="es-CR"/>
        </w:rPr>
        <w:t>os</w:t>
      </w:r>
      <w:r w:rsidRPr="006E7FD3">
        <w:rPr>
          <w:sz w:val="20"/>
          <w:szCs w:val="20"/>
          <w:lang w:val="es-CR"/>
        </w:rPr>
        <w:t xml:space="preserve"> párrafo</w:t>
      </w:r>
      <w:r w:rsidR="00640D3C">
        <w:rPr>
          <w:sz w:val="20"/>
          <w:szCs w:val="20"/>
          <w:lang w:val="es-CR"/>
        </w:rPr>
        <w:t>s</w:t>
      </w:r>
      <w:r w:rsidRPr="006E7FD3">
        <w:rPr>
          <w:sz w:val="20"/>
          <w:szCs w:val="20"/>
          <w:lang w:val="es-CR"/>
        </w:rPr>
        <w:t xml:space="preserve"> </w:t>
      </w:r>
      <w:r w:rsidR="00640D3C">
        <w:rPr>
          <w:sz w:val="20"/>
          <w:szCs w:val="20"/>
          <w:lang w:val="es-CR"/>
        </w:rPr>
        <w:t>301</w:t>
      </w:r>
      <w:r w:rsidR="00262F3F">
        <w:rPr>
          <w:sz w:val="20"/>
          <w:szCs w:val="20"/>
          <w:lang w:val="es-CR"/>
        </w:rPr>
        <w:t xml:space="preserve"> a </w:t>
      </w:r>
      <w:r w:rsidR="00640D3C">
        <w:rPr>
          <w:sz w:val="20"/>
          <w:szCs w:val="20"/>
          <w:lang w:val="es-CR"/>
        </w:rPr>
        <w:t>303</w:t>
      </w:r>
      <w:r w:rsidR="00262F3F">
        <w:rPr>
          <w:sz w:val="20"/>
          <w:szCs w:val="20"/>
          <w:lang w:val="es-CR"/>
        </w:rPr>
        <w:t xml:space="preserve"> </w:t>
      </w:r>
      <w:r w:rsidRPr="006E7FD3">
        <w:rPr>
          <w:sz w:val="20"/>
          <w:szCs w:val="20"/>
          <w:lang w:val="es-CR"/>
        </w:rPr>
        <w:t xml:space="preserve">de esta Sentencia. </w:t>
      </w:r>
    </w:p>
    <w:p w14:paraId="7029D03A" w14:textId="37800D3F" w:rsidR="00887745" w:rsidRPr="00BD6DD9" w:rsidRDefault="00887745" w:rsidP="0089411D">
      <w:pPr>
        <w:pStyle w:val="Default"/>
        <w:numPr>
          <w:ilvl w:val="0"/>
          <w:numId w:val="84"/>
        </w:numPr>
        <w:tabs>
          <w:tab w:val="left" w:pos="567"/>
        </w:tabs>
        <w:spacing w:before="120" w:after="120"/>
        <w:ind w:left="0" w:firstLine="0"/>
        <w:jc w:val="both"/>
        <w:rPr>
          <w:spacing w:val="-2"/>
          <w:sz w:val="20"/>
          <w:szCs w:val="20"/>
          <w:lang w:val="es-GT" w:eastAsia="es-CR"/>
        </w:rPr>
      </w:pPr>
      <w:r w:rsidRPr="006E7FD3">
        <w:rPr>
          <w:spacing w:val="-2"/>
          <w:sz w:val="20"/>
          <w:szCs w:val="20"/>
          <w:lang w:val="es-GT" w:eastAsia="es-CR"/>
        </w:rPr>
        <w:t xml:space="preserve">El Estado debe brindar el tratamiento psicológico y/o psiquiátrico, a las víctimas que así lo soliciten en los términos de los párrafos </w:t>
      </w:r>
      <w:r w:rsidR="00640D3C">
        <w:rPr>
          <w:spacing w:val="-2"/>
          <w:sz w:val="20"/>
          <w:szCs w:val="20"/>
          <w:lang w:val="es-GT" w:eastAsia="es-CR"/>
        </w:rPr>
        <w:t>307</w:t>
      </w:r>
      <w:r w:rsidRPr="006E7FD3">
        <w:rPr>
          <w:spacing w:val="-2"/>
          <w:sz w:val="20"/>
          <w:szCs w:val="20"/>
          <w:lang w:val="es-GT" w:eastAsia="es-CR"/>
        </w:rPr>
        <w:t xml:space="preserve"> y </w:t>
      </w:r>
      <w:r w:rsidR="00640D3C">
        <w:rPr>
          <w:spacing w:val="-2"/>
          <w:sz w:val="20"/>
          <w:szCs w:val="20"/>
          <w:lang w:val="es-GT" w:eastAsia="es-CR"/>
        </w:rPr>
        <w:t>308</w:t>
      </w:r>
      <w:r w:rsidRPr="006E7FD3">
        <w:rPr>
          <w:spacing w:val="-2"/>
          <w:sz w:val="20"/>
          <w:szCs w:val="20"/>
          <w:lang w:val="es-GT" w:eastAsia="es-CR"/>
        </w:rPr>
        <w:t xml:space="preserve"> de esta Sentencia. </w:t>
      </w:r>
    </w:p>
    <w:p w14:paraId="47D420EC" w14:textId="4688EBFA"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ES" w:eastAsia="es-CR"/>
        </w:rPr>
      </w:pPr>
      <w:r w:rsidRPr="006E7FD3">
        <w:rPr>
          <w:spacing w:val="-2"/>
          <w:sz w:val="20"/>
          <w:szCs w:val="20"/>
          <w:lang w:val="es-ES" w:eastAsia="es-CR"/>
        </w:rPr>
        <w:t xml:space="preserve">El Estado debe realizar un acto público de reconocimiento de responsabilidad internacional, en relación con los hechos de este caso, en los términos del párrafo </w:t>
      </w:r>
      <w:r w:rsidR="00640D3C">
        <w:rPr>
          <w:spacing w:val="-2"/>
          <w:sz w:val="20"/>
          <w:szCs w:val="20"/>
          <w:lang w:val="es-ES" w:eastAsia="es-CR"/>
        </w:rPr>
        <w:t>312</w:t>
      </w:r>
      <w:r w:rsidRPr="006E7FD3">
        <w:rPr>
          <w:spacing w:val="-2"/>
          <w:sz w:val="20"/>
          <w:szCs w:val="20"/>
          <w:lang w:val="es-ES" w:eastAsia="es-CR"/>
        </w:rPr>
        <w:t xml:space="preserve"> de esta Sentencia. </w:t>
      </w:r>
    </w:p>
    <w:p w14:paraId="069EC153" w14:textId="0DD1A83F"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ES" w:eastAsia="es-CR"/>
        </w:rPr>
      </w:pPr>
      <w:r w:rsidRPr="006E7FD3">
        <w:rPr>
          <w:spacing w:val="-2"/>
          <w:sz w:val="20"/>
          <w:szCs w:val="20"/>
          <w:lang w:val="es-ES" w:eastAsia="es-CR"/>
        </w:rPr>
        <w:t xml:space="preserve">El Estado, en el plazo de seis meses, debe realizar las publicaciones indicadas en el párrafo </w:t>
      </w:r>
      <w:r w:rsidR="00640D3C">
        <w:rPr>
          <w:spacing w:val="-2"/>
          <w:sz w:val="20"/>
          <w:szCs w:val="20"/>
          <w:lang w:val="es-ES" w:eastAsia="es-CR"/>
        </w:rPr>
        <w:t>313</w:t>
      </w:r>
      <w:r w:rsidRPr="006E7FD3">
        <w:rPr>
          <w:spacing w:val="-2"/>
          <w:sz w:val="20"/>
          <w:szCs w:val="20"/>
          <w:lang w:val="es-ES" w:eastAsia="es-CR"/>
        </w:rPr>
        <w:t xml:space="preserve"> de esta Sentencia, de conformidad con lo establecido en dicho párrafo.  </w:t>
      </w:r>
    </w:p>
    <w:p w14:paraId="16F9B6E0" w14:textId="35034A64" w:rsidR="00887745" w:rsidRPr="0089411D" w:rsidRDefault="00887745" w:rsidP="0089411D">
      <w:pPr>
        <w:pStyle w:val="Default"/>
        <w:numPr>
          <w:ilvl w:val="0"/>
          <w:numId w:val="84"/>
        </w:numPr>
        <w:tabs>
          <w:tab w:val="left" w:pos="567"/>
        </w:tabs>
        <w:spacing w:before="120" w:after="120"/>
        <w:ind w:left="0" w:firstLine="0"/>
        <w:jc w:val="both"/>
        <w:rPr>
          <w:rFonts w:cs="Times New Roman"/>
          <w:sz w:val="20"/>
          <w:szCs w:val="20"/>
          <w:lang w:val="es-CR"/>
        </w:rPr>
      </w:pPr>
      <w:r w:rsidRPr="006E7FD3">
        <w:rPr>
          <w:spacing w:val="-2"/>
          <w:sz w:val="20"/>
          <w:szCs w:val="20"/>
          <w:lang w:val="es-ES" w:eastAsia="es-CR"/>
        </w:rPr>
        <w:t xml:space="preserve">El Estado, en el plazo de seis meses, debe </w:t>
      </w:r>
      <w:r w:rsidRPr="008D0846">
        <w:rPr>
          <w:rFonts w:cs="Times New Roman"/>
          <w:sz w:val="20"/>
          <w:szCs w:val="20"/>
          <w:lang w:val="es-CR"/>
        </w:rPr>
        <w:t>brind</w:t>
      </w:r>
      <w:r w:rsidR="00361707" w:rsidRPr="008D0846">
        <w:rPr>
          <w:rFonts w:cs="Times New Roman"/>
          <w:sz w:val="20"/>
          <w:szCs w:val="20"/>
          <w:lang w:val="es-CR"/>
        </w:rPr>
        <w:t>ar</w:t>
      </w:r>
      <w:r w:rsidRPr="006E7FD3">
        <w:rPr>
          <w:rFonts w:cs="Times New Roman"/>
          <w:sz w:val="20"/>
          <w:szCs w:val="20"/>
          <w:lang w:val="es-CR"/>
        </w:rPr>
        <w:t xml:space="preserve"> a los familiares o sus representantes, que así lo soliciten, la inclusión en programas o beneficios con la intención de contribuir a reparar su proyecto de vida, en los términos de los párrafos </w:t>
      </w:r>
      <w:r w:rsidR="00640D3C">
        <w:rPr>
          <w:rFonts w:cs="Times New Roman"/>
          <w:sz w:val="20"/>
          <w:szCs w:val="20"/>
          <w:lang w:val="es-CR"/>
        </w:rPr>
        <w:t>314</w:t>
      </w:r>
      <w:r w:rsidRPr="006E7FD3">
        <w:rPr>
          <w:rFonts w:cs="Times New Roman"/>
          <w:sz w:val="20"/>
          <w:szCs w:val="20"/>
          <w:lang w:val="es-CR"/>
        </w:rPr>
        <w:t xml:space="preserve"> y </w:t>
      </w:r>
      <w:r w:rsidR="00640D3C">
        <w:rPr>
          <w:rFonts w:cs="Times New Roman"/>
          <w:sz w:val="20"/>
          <w:szCs w:val="20"/>
          <w:lang w:val="es-CR"/>
        </w:rPr>
        <w:t>315</w:t>
      </w:r>
      <w:r w:rsidRPr="006E7FD3">
        <w:rPr>
          <w:rFonts w:cs="Times New Roman"/>
          <w:sz w:val="20"/>
          <w:szCs w:val="20"/>
          <w:lang w:val="es-CR"/>
        </w:rPr>
        <w:t xml:space="preserve"> de esta Sentencia. </w:t>
      </w:r>
    </w:p>
    <w:p w14:paraId="0A5C6188" w14:textId="5A49ADD3" w:rsidR="00887745" w:rsidRPr="0089411D" w:rsidRDefault="00887745" w:rsidP="0089411D">
      <w:pPr>
        <w:pStyle w:val="Default"/>
        <w:numPr>
          <w:ilvl w:val="0"/>
          <w:numId w:val="84"/>
        </w:numPr>
        <w:tabs>
          <w:tab w:val="left" w:pos="567"/>
        </w:tabs>
        <w:spacing w:before="120" w:after="120"/>
        <w:ind w:left="0" w:firstLine="0"/>
        <w:jc w:val="both"/>
        <w:rPr>
          <w:rFonts w:cs="Times New Roman"/>
          <w:sz w:val="20"/>
          <w:szCs w:val="20"/>
          <w:lang w:val="es-CR"/>
        </w:rPr>
      </w:pPr>
      <w:r w:rsidRPr="006E7FD3">
        <w:rPr>
          <w:sz w:val="20"/>
          <w:szCs w:val="20"/>
          <w:lang w:val="es-ES"/>
        </w:rPr>
        <w:lastRenderedPageBreak/>
        <w:t xml:space="preserve">El Estado debe </w:t>
      </w:r>
      <w:r w:rsidR="00924A46" w:rsidRPr="008D0846">
        <w:rPr>
          <w:sz w:val="20"/>
          <w:szCs w:val="20"/>
          <w:lang w:val="es-ES"/>
        </w:rPr>
        <w:t>analizar</w:t>
      </w:r>
      <w:r w:rsidR="00924A46">
        <w:rPr>
          <w:sz w:val="20"/>
          <w:szCs w:val="20"/>
          <w:lang w:val="es-ES"/>
        </w:rPr>
        <w:t xml:space="preserve"> </w:t>
      </w:r>
      <w:r w:rsidRPr="006E7FD3">
        <w:rPr>
          <w:sz w:val="20"/>
          <w:szCs w:val="20"/>
          <w:lang w:val="es-ES"/>
        </w:rPr>
        <w:t xml:space="preserve">las medidas adecuadas para la creación de un registro único y actualizado de personas desaparecidas que </w:t>
      </w:r>
      <w:r w:rsidR="001263C1">
        <w:rPr>
          <w:sz w:val="20"/>
          <w:szCs w:val="20"/>
          <w:lang w:val="es-ES"/>
        </w:rPr>
        <w:t>genere</w:t>
      </w:r>
      <w:r w:rsidRPr="006E7FD3">
        <w:rPr>
          <w:sz w:val="20"/>
          <w:szCs w:val="20"/>
          <w:lang w:val="es-ES"/>
        </w:rPr>
        <w:t xml:space="preserve"> datos estadísticos que permitan determinar claramente en qué casos se trata de “desapariciones forzadas”, en los términos del párrafo </w:t>
      </w:r>
      <w:r w:rsidR="00640D3C">
        <w:rPr>
          <w:sz w:val="20"/>
          <w:szCs w:val="20"/>
          <w:lang w:val="es-ES"/>
        </w:rPr>
        <w:t>325</w:t>
      </w:r>
      <w:r w:rsidRPr="006E7FD3">
        <w:rPr>
          <w:sz w:val="20"/>
          <w:szCs w:val="20"/>
          <w:lang w:val="es-ES"/>
        </w:rPr>
        <w:t xml:space="preserve"> de esta Sentencia. </w:t>
      </w:r>
    </w:p>
    <w:p w14:paraId="15D42B51" w14:textId="73CDD0B9"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ES" w:eastAsia="es-CR"/>
        </w:rPr>
      </w:pPr>
      <w:r w:rsidRPr="006E7FD3">
        <w:rPr>
          <w:rFonts w:cs="Times New Roman"/>
          <w:sz w:val="20"/>
          <w:szCs w:val="20"/>
          <w:lang w:val="es-CR"/>
        </w:rPr>
        <w:t xml:space="preserve">El Estado </w:t>
      </w:r>
      <w:r w:rsidRPr="006E7FD3">
        <w:rPr>
          <w:rFonts w:cs="Times New Roman"/>
          <w:sz w:val="20"/>
          <w:szCs w:val="20"/>
          <w:lang w:val="es-CR" w:bidi="en-US"/>
        </w:rPr>
        <w:t xml:space="preserve">debe continuar con </w:t>
      </w:r>
      <w:r w:rsidR="004150DE">
        <w:rPr>
          <w:rFonts w:cs="Times New Roman"/>
          <w:sz w:val="20"/>
          <w:szCs w:val="20"/>
          <w:lang w:val="es-CR" w:bidi="en-US"/>
        </w:rPr>
        <w:t xml:space="preserve">las </w:t>
      </w:r>
      <w:r w:rsidRPr="006E7FD3">
        <w:rPr>
          <w:rFonts w:cs="Times New Roman"/>
          <w:sz w:val="20"/>
          <w:szCs w:val="20"/>
          <w:lang w:val="es-CR" w:bidi="en-US"/>
        </w:rPr>
        <w:t>capacitac</w:t>
      </w:r>
      <w:r w:rsidR="004150DE">
        <w:rPr>
          <w:rFonts w:cs="Times New Roman"/>
          <w:sz w:val="20"/>
          <w:szCs w:val="20"/>
          <w:lang w:val="es-CR" w:bidi="en-US"/>
        </w:rPr>
        <w:t>iones</w:t>
      </w:r>
      <w:r w:rsidRPr="006E7FD3">
        <w:rPr>
          <w:rFonts w:cs="Times New Roman"/>
          <w:sz w:val="20"/>
          <w:szCs w:val="20"/>
          <w:lang w:val="es-CR" w:bidi="en-US"/>
        </w:rPr>
        <w:t xml:space="preserve"> en derechos humanos dirigid</w:t>
      </w:r>
      <w:r w:rsidR="004150DE">
        <w:rPr>
          <w:rFonts w:cs="Times New Roman"/>
          <w:sz w:val="20"/>
          <w:szCs w:val="20"/>
          <w:lang w:val="es-CR" w:bidi="en-US"/>
        </w:rPr>
        <w:t>a</w:t>
      </w:r>
      <w:r w:rsidRPr="006E7FD3">
        <w:rPr>
          <w:rFonts w:cs="Times New Roman"/>
          <w:sz w:val="20"/>
          <w:szCs w:val="20"/>
          <w:lang w:val="es-CR" w:bidi="en-US"/>
        </w:rPr>
        <w:t xml:space="preserve">s a las Fuerzas Armadas y Policía, </w:t>
      </w:r>
      <w:r w:rsidR="004150DE" w:rsidRPr="008D0846">
        <w:rPr>
          <w:rFonts w:cs="Times New Roman"/>
          <w:sz w:val="20"/>
          <w:szCs w:val="20"/>
          <w:lang w:val="es-CR" w:bidi="en-US"/>
        </w:rPr>
        <w:t>incorporando los estándares sobre las salvaguardas en materia de seguridad ciudadana,</w:t>
      </w:r>
      <w:r w:rsidR="004150DE">
        <w:rPr>
          <w:rFonts w:cs="Times New Roman"/>
          <w:sz w:val="20"/>
          <w:szCs w:val="20"/>
          <w:lang w:val="es-CR" w:bidi="en-US"/>
        </w:rPr>
        <w:t xml:space="preserve"> </w:t>
      </w:r>
      <w:r w:rsidR="00D914DE">
        <w:rPr>
          <w:rFonts w:cs="Times New Roman"/>
          <w:sz w:val="20"/>
          <w:szCs w:val="20"/>
          <w:lang w:val="es-CR" w:bidi="en-US"/>
        </w:rPr>
        <w:t>e inform</w:t>
      </w:r>
      <w:r w:rsidR="004150DE">
        <w:rPr>
          <w:rFonts w:cs="Times New Roman"/>
          <w:sz w:val="20"/>
          <w:szCs w:val="20"/>
          <w:lang w:val="es-CR" w:bidi="en-US"/>
        </w:rPr>
        <w:t>ar</w:t>
      </w:r>
      <w:r w:rsidR="00D914DE">
        <w:rPr>
          <w:rFonts w:cs="Times New Roman"/>
          <w:sz w:val="20"/>
          <w:szCs w:val="20"/>
          <w:lang w:val="es-CR" w:bidi="en-US"/>
        </w:rPr>
        <w:t xml:space="preserve"> a la Corte, </w:t>
      </w:r>
      <w:r w:rsidRPr="006E7FD3">
        <w:rPr>
          <w:rFonts w:cs="Times New Roman"/>
          <w:sz w:val="20"/>
          <w:szCs w:val="20"/>
          <w:lang w:val="es-CR" w:bidi="en-US"/>
        </w:rPr>
        <w:t xml:space="preserve">en los términos de los párrafos </w:t>
      </w:r>
      <w:r w:rsidR="00640D3C">
        <w:rPr>
          <w:rFonts w:cs="Times New Roman"/>
          <w:sz w:val="20"/>
          <w:szCs w:val="20"/>
          <w:lang w:val="es-CR" w:bidi="en-US"/>
        </w:rPr>
        <w:t>327</w:t>
      </w:r>
      <w:r w:rsidRPr="006E7FD3">
        <w:rPr>
          <w:rFonts w:cs="Times New Roman"/>
          <w:sz w:val="20"/>
          <w:szCs w:val="20"/>
          <w:lang w:val="es-CR" w:bidi="en-US"/>
        </w:rPr>
        <w:t xml:space="preserve"> a </w:t>
      </w:r>
      <w:r w:rsidR="00640D3C">
        <w:rPr>
          <w:rFonts w:cs="Times New Roman"/>
          <w:sz w:val="20"/>
          <w:szCs w:val="20"/>
          <w:lang w:val="es-CR" w:bidi="en-US"/>
        </w:rPr>
        <w:t>328</w:t>
      </w:r>
      <w:r w:rsidRPr="006E7FD3">
        <w:rPr>
          <w:rFonts w:cs="Times New Roman"/>
          <w:sz w:val="20"/>
          <w:szCs w:val="20"/>
          <w:lang w:val="es-CR" w:bidi="en-US"/>
        </w:rPr>
        <w:t xml:space="preserve"> de esa Sentencia.  </w:t>
      </w:r>
    </w:p>
    <w:p w14:paraId="7EB10399" w14:textId="39CD3075"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ES" w:eastAsia="es-CR"/>
        </w:rPr>
      </w:pPr>
      <w:r w:rsidRPr="006E7FD3">
        <w:rPr>
          <w:spacing w:val="-2"/>
          <w:sz w:val="20"/>
          <w:szCs w:val="20"/>
          <w:lang w:val="es-ES" w:eastAsia="es-CR"/>
        </w:rPr>
        <w:t xml:space="preserve">El Estado </w:t>
      </w:r>
      <w:r w:rsidRPr="006E7FD3">
        <w:rPr>
          <w:sz w:val="20"/>
          <w:szCs w:val="20"/>
          <w:lang w:val="es-CR"/>
        </w:rPr>
        <w:t xml:space="preserve">debe adoptar, de forma inmediata, las medidas que sean suficientes y necesarias a fin de proteger la vida e integridad personal de las víctimas del caso, a la luz de diagnósticos actualizados sobre la situación de riesgo y las necesidades particulares e impactos diferenciados, de común acuerdo con las víctimas o sus representantes, en los términos del párrafo </w:t>
      </w:r>
      <w:r w:rsidR="00640D3C">
        <w:rPr>
          <w:sz w:val="20"/>
          <w:szCs w:val="20"/>
          <w:lang w:val="es-CR"/>
        </w:rPr>
        <w:t>330</w:t>
      </w:r>
      <w:r w:rsidRPr="006E7FD3">
        <w:rPr>
          <w:sz w:val="20"/>
          <w:szCs w:val="20"/>
          <w:lang w:val="es-CR"/>
        </w:rPr>
        <w:t xml:space="preserve"> de esta Sentencia. </w:t>
      </w:r>
    </w:p>
    <w:p w14:paraId="33C04BF0" w14:textId="27F4F7BA"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ES" w:eastAsia="es-CR"/>
        </w:rPr>
      </w:pPr>
      <w:r w:rsidRPr="006E7FD3">
        <w:rPr>
          <w:spacing w:val="-2"/>
          <w:sz w:val="20"/>
          <w:szCs w:val="20"/>
          <w:lang w:val="es-ES" w:eastAsia="es-CR"/>
        </w:rPr>
        <w:t xml:space="preserve">El Estado </w:t>
      </w:r>
      <w:r w:rsidRPr="006E7FD3">
        <w:rPr>
          <w:sz w:val="20"/>
          <w:szCs w:val="20"/>
          <w:lang w:val="es-CR"/>
        </w:rPr>
        <w:t xml:space="preserve">debe brindar garantías de retorno o reubicación a las víctimas desplazadas que así lo requieran, en los términos de los párrafos </w:t>
      </w:r>
      <w:r w:rsidR="00640D3C">
        <w:rPr>
          <w:sz w:val="20"/>
          <w:szCs w:val="20"/>
          <w:lang w:val="es-CR"/>
        </w:rPr>
        <w:t>331</w:t>
      </w:r>
      <w:r w:rsidRPr="006E7FD3">
        <w:rPr>
          <w:sz w:val="20"/>
          <w:szCs w:val="20"/>
          <w:lang w:val="es-CR"/>
        </w:rPr>
        <w:t xml:space="preserve"> y </w:t>
      </w:r>
      <w:r w:rsidR="00640D3C">
        <w:rPr>
          <w:sz w:val="20"/>
          <w:szCs w:val="20"/>
          <w:lang w:val="es-CR"/>
        </w:rPr>
        <w:t>332</w:t>
      </w:r>
      <w:r w:rsidRPr="006E7FD3">
        <w:rPr>
          <w:sz w:val="20"/>
          <w:szCs w:val="20"/>
          <w:lang w:val="es-CR"/>
        </w:rPr>
        <w:t xml:space="preserve">. </w:t>
      </w:r>
    </w:p>
    <w:p w14:paraId="468BEC59" w14:textId="5071ACEE" w:rsidR="00887745" w:rsidRPr="0089411D" w:rsidRDefault="00887745" w:rsidP="0089411D">
      <w:pPr>
        <w:pStyle w:val="Default"/>
        <w:numPr>
          <w:ilvl w:val="0"/>
          <w:numId w:val="84"/>
        </w:numPr>
        <w:tabs>
          <w:tab w:val="left" w:pos="567"/>
        </w:tabs>
        <w:spacing w:before="120" w:after="120"/>
        <w:ind w:left="0" w:firstLine="0"/>
        <w:jc w:val="both"/>
        <w:rPr>
          <w:spacing w:val="-2"/>
          <w:sz w:val="20"/>
          <w:szCs w:val="20"/>
          <w:lang w:val="es-ES" w:eastAsia="es-CR"/>
        </w:rPr>
      </w:pPr>
      <w:r w:rsidRPr="006E7FD3">
        <w:rPr>
          <w:spacing w:val="-2"/>
          <w:sz w:val="20"/>
          <w:szCs w:val="20"/>
          <w:lang w:val="es-ES" w:eastAsia="es-CR"/>
        </w:rPr>
        <w:t xml:space="preserve">El Estado debe pagar las cantidades fijadas en los párrafos </w:t>
      </w:r>
      <w:r w:rsidR="00640D3C">
        <w:rPr>
          <w:spacing w:val="-2"/>
          <w:sz w:val="20"/>
          <w:szCs w:val="20"/>
          <w:lang w:val="es-ES" w:eastAsia="es-CR"/>
        </w:rPr>
        <w:t>345</w:t>
      </w:r>
      <w:r w:rsidRPr="006E7FD3">
        <w:rPr>
          <w:spacing w:val="-2"/>
          <w:sz w:val="20"/>
          <w:szCs w:val="20"/>
          <w:lang w:val="es-ES" w:eastAsia="es-CR"/>
        </w:rPr>
        <w:t xml:space="preserve">, </w:t>
      </w:r>
      <w:r w:rsidR="00640D3C">
        <w:rPr>
          <w:spacing w:val="-2"/>
          <w:sz w:val="20"/>
          <w:szCs w:val="20"/>
          <w:lang w:val="es-ES" w:eastAsia="es-CR"/>
        </w:rPr>
        <w:t>346</w:t>
      </w:r>
      <w:r w:rsidR="00D42571">
        <w:rPr>
          <w:spacing w:val="-2"/>
          <w:sz w:val="20"/>
          <w:szCs w:val="20"/>
          <w:lang w:val="es-ES" w:eastAsia="es-CR"/>
        </w:rPr>
        <w:t xml:space="preserve">, </w:t>
      </w:r>
      <w:r w:rsidR="00640D3C">
        <w:rPr>
          <w:spacing w:val="-2"/>
          <w:sz w:val="20"/>
          <w:szCs w:val="20"/>
          <w:lang w:val="es-ES" w:eastAsia="es-CR"/>
        </w:rPr>
        <w:t>350</w:t>
      </w:r>
      <w:r w:rsidRPr="006E7FD3">
        <w:rPr>
          <w:spacing w:val="-2"/>
          <w:sz w:val="20"/>
          <w:szCs w:val="20"/>
          <w:lang w:val="es-ES" w:eastAsia="es-CR"/>
        </w:rPr>
        <w:t xml:space="preserve">, </w:t>
      </w:r>
      <w:r w:rsidR="00640D3C">
        <w:rPr>
          <w:spacing w:val="-2"/>
          <w:sz w:val="20"/>
          <w:szCs w:val="20"/>
          <w:lang w:val="es-ES" w:eastAsia="es-CR"/>
        </w:rPr>
        <w:t>352</w:t>
      </w:r>
      <w:r w:rsidRPr="006E7FD3">
        <w:rPr>
          <w:spacing w:val="-2"/>
          <w:sz w:val="20"/>
          <w:szCs w:val="20"/>
          <w:lang w:val="es-ES" w:eastAsia="es-CR"/>
        </w:rPr>
        <w:t xml:space="preserve"> y </w:t>
      </w:r>
      <w:r w:rsidR="00640D3C">
        <w:rPr>
          <w:spacing w:val="-2"/>
          <w:sz w:val="20"/>
          <w:szCs w:val="20"/>
          <w:lang w:val="es-ES" w:eastAsia="es-CR"/>
        </w:rPr>
        <w:t>359</w:t>
      </w:r>
      <w:r w:rsidRPr="006E7FD3">
        <w:rPr>
          <w:spacing w:val="-2"/>
          <w:sz w:val="20"/>
          <w:szCs w:val="20"/>
          <w:lang w:val="es-ES" w:eastAsia="es-CR"/>
        </w:rPr>
        <w:t xml:space="preserve"> de la presente Sentencia, por concepto de indemnizaciones por daños materiales e inmateriales y por el reintegro de cosas y gastos, en los términos de los referidos párrafos y de los párrafos </w:t>
      </w:r>
      <w:r w:rsidR="00640D3C">
        <w:rPr>
          <w:spacing w:val="-2"/>
          <w:sz w:val="20"/>
          <w:szCs w:val="20"/>
          <w:lang w:val="es-ES" w:eastAsia="es-CR"/>
        </w:rPr>
        <w:t>351 y 364 a 369</w:t>
      </w:r>
      <w:r w:rsidRPr="006E7FD3">
        <w:rPr>
          <w:spacing w:val="-2"/>
          <w:sz w:val="20"/>
          <w:szCs w:val="20"/>
          <w:lang w:val="es-ES" w:eastAsia="es-CR"/>
        </w:rPr>
        <w:t xml:space="preserve"> de esta Sentencia.  </w:t>
      </w:r>
    </w:p>
    <w:p w14:paraId="1BEBE45E" w14:textId="7330E58A" w:rsidR="00887745" w:rsidRPr="008D0846" w:rsidRDefault="00887745" w:rsidP="0089411D">
      <w:pPr>
        <w:pStyle w:val="Default"/>
        <w:numPr>
          <w:ilvl w:val="0"/>
          <w:numId w:val="84"/>
        </w:numPr>
        <w:tabs>
          <w:tab w:val="left" w:pos="567"/>
        </w:tabs>
        <w:spacing w:before="120" w:after="120"/>
        <w:ind w:left="0" w:firstLine="0"/>
        <w:jc w:val="both"/>
        <w:rPr>
          <w:spacing w:val="-2"/>
          <w:sz w:val="20"/>
          <w:szCs w:val="20"/>
          <w:lang w:val="es-ES" w:eastAsia="es-CR"/>
        </w:rPr>
      </w:pPr>
      <w:r w:rsidRPr="006E7FD3">
        <w:rPr>
          <w:spacing w:val="-2"/>
          <w:sz w:val="20"/>
          <w:szCs w:val="20"/>
          <w:lang w:val="es-ES" w:eastAsia="es-CR"/>
        </w:rPr>
        <w:t xml:space="preserve">El </w:t>
      </w:r>
      <w:r w:rsidRPr="006E7FD3">
        <w:rPr>
          <w:sz w:val="20"/>
          <w:szCs w:val="20"/>
        </w:rPr>
        <w:t xml:space="preserve">Estado debe reintegrar al Fondo de Asistencia Legal de Víctimas de la Corte Interamericana de Derechos Humanos la cantidad erogada durante la tramitación del presente caso, en los términos de lo establecido en </w:t>
      </w:r>
      <w:r w:rsidR="00640D3C">
        <w:rPr>
          <w:sz w:val="20"/>
          <w:szCs w:val="20"/>
        </w:rPr>
        <w:t>el</w:t>
      </w:r>
      <w:r w:rsidRPr="006E7FD3">
        <w:rPr>
          <w:sz w:val="20"/>
          <w:szCs w:val="20"/>
        </w:rPr>
        <w:t xml:space="preserve"> párrafo</w:t>
      </w:r>
      <w:r w:rsidR="00640D3C">
        <w:rPr>
          <w:sz w:val="20"/>
          <w:szCs w:val="20"/>
        </w:rPr>
        <w:t xml:space="preserve"> 363</w:t>
      </w:r>
      <w:r w:rsidRPr="006E7FD3">
        <w:rPr>
          <w:sz w:val="20"/>
          <w:szCs w:val="20"/>
        </w:rPr>
        <w:t xml:space="preserve"> de esta Sentencia.</w:t>
      </w:r>
    </w:p>
    <w:p w14:paraId="6C90BDB0" w14:textId="02E0ACD9" w:rsidR="00640D3C" w:rsidRPr="00640D3C" w:rsidRDefault="00640D3C" w:rsidP="008D0846">
      <w:pPr>
        <w:pStyle w:val="Default"/>
        <w:numPr>
          <w:ilvl w:val="0"/>
          <w:numId w:val="84"/>
        </w:numPr>
        <w:tabs>
          <w:tab w:val="left" w:pos="567"/>
        </w:tabs>
        <w:spacing w:before="120" w:after="120"/>
        <w:ind w:left="0" w:firstLine="0"/>
        <w:jc w:val="both"/>
        <w:rPr>
          <w:spacing w:val="-2"/>
          <w:sz w:val="20"/>
          <w:szCs w:val="20"/>
          <w:lang w:val="es-ES" w:eastAsia="es-CR"/>
        </w:rPr>
      </w:pPr>
      <w:r w:rsidRPr="008D0846">
        <w:rPr>
          <w:sz w:val="20"/>
          <w:szCs w:val="20"/>
        </w:rPr>
        <w:t>El Estado debe, dentro del plazo de un año contado a partir de la notificación de esta Sentencia, rendir al Tribunal un informe sobre las medidas adoptadas para cumplir con la misma, sin perjuicio de lo</w:t>
      </w:r>
      <w:r w:rsidR="00CC5767">
        <w:rPr>
          <w:sz w:val="20"/>
          <w:szCs w:val="20"/>
        </w:rPr>
        <w:t xml:space="preserve"> establecido en el párrafo</w:t>
      </w:r>
      <w:r>
        <w:rPr>
          <w:sz w:val="20"/>
          <w:szCs w:val="20"/>
        </w:rPr>
        <w:t xml:space="preserve"> </w:t>
      </w:r>
      <w:r w:rsidR="00CC5767">
        <w:rPr>
          <w:sz w:val="20"/>
          <w:szCs w:val="20"/>
        </w:rPr>
        <w:t>313</w:t>
      </w:r>
      <w:r w:rsidRPr="008D0846">
        <w:rPr>
          <w:sz w:val="20"/>
          <w:szCs w:val="20"/>
        </w:rPr>
        <w:t xml:space="preserve"> de la presente Sentencia.</w:t>
      </w:r>
    </w:p>
    <w:p w14:paraId="07AE0CED" w14:textId="193FCF37" w:rsidR="00F74BFF" w:rsidRPr="008D0846" w:rsidRDefault="00F74BFF" w:rsidP="005F54F6">
      <w:pPr>
        <w:pStyle w:val="Default"/>
        <w:numPr>
          <w:ilvl w:val="0"/>
          <w:numId w:val="84"/>
        </w:numPr>
        <w:tabs>
          <w:tab w:val="left" w:pos="567"/>
        </w:tabs>
        <w:spacing w:before="120" w:after="120"/>
        <w:ind w:left="0" w:firstLine="0"/>
        <w:jc w:val="both"/>
        <w:rPr>
          <w:spacing w:val="-2"/>
          <w:sz w:val="20"/>
          <w:szCs w:val="20"/>
          <w:lang w:val="es-ES" w:eastAsia="es-CR"/>
        </w:rPr>
      </w:pPr>
      <w:r w:rsidRPr="008D0846">
        <w:rPr>
          <w:spacing w:val="-2"/>
          <w:sz w:val="20"/>
          <w:szCs w:val="20"/>
          <w:lang w:val="es-ES" w:eastAsia="es-CR"/>
        </w:rPr>
        <w:t>La Corte supervisará el cumplimiento de esta Sentencia, en ejercicio de sus atribuciones y en cumplimiento de sus deberes conforme a la Convención Americana sobre Derechos Humanos, y dará por concluido el presente caso una vez que el Estado haya dado cabal cumplimiento a lo dispuesto.</w:t>
      </w:r>
    </w:p>
    <w:p w14:paraId="0FA771DB" w14:textId="0382A753" w:rsidR="009114A1" w:rsidRDefault="00203661" w:rsidP="005F54F6">
      <w:pPr>
        <w:spacing w:before="120" w:after="120" w:line="240" w:lineRule="auto"/>
        <w:jc w:val="both"/>
        <w:rPr>
          <w:rFonts w:ascii="Verdana" w:hAnsi="Verdana"/>
          <w:sz w:val="20"/>
          <w:szCs w:val="20"/>
        </w:rPr>
      </w:pPr>
      <w:r>
        <w:rPr>
          <w:rFonts w:ascii="Verdana" w:hAnsi="Verdana"/>
          <w:sz w:val="20"/>
          <w:szCs w:val="20"/>
        </w:rPr>
        <w:t>Emitida</w:t>
      </w:r>
      <w:r w:rsidR="00887745" w:rsidRPr="006E7FD3">
        <w:rPr>
          <w:rFonts w:ascii="Verdana" w:hAnsi="Verdana"/>
          <w:sz w:val="20"/>
          <w:szCs w:val="20"/>
        </w:rPr>
        <w:t xml:space="preserve"> en español en San José, Costa Rica, </w:t>
      </w:r>
      <w:r w:rsidR="00361707">
        <w:rPr>
          <w:rFonts w:ascii="Verdana" w:hAnsi="Verdana"/>
          <w:sz w:val="20"/>
          <w:szCs w:val="20"/>
        </w:rPr>
        <w:t xml:space="preserve">el </w:t>
      </w:r>
      <w:r w:rsidR="004E24E3">
        <w:rPr>
          <w:rFonts w:ascii="Verdana" w:hAnsi="Verdana"/>
          <w:sz w:val="20"/>
          <w:szCs w:val="20"/>
        </w:rPr>
        <w:t>28</w:t>
      </w:r>
      <w:r>
        <w:rPr>
          <w:rFonts w:ascii="Verdana" w:hAnsi="Verdana"/>
          <w:sz w:val="20"/>
          <w:szCs w:val="20"/>
        </w:rPr>
        <w:t xml:space="preserve"> de </w:t>
      </w:r>
      <w:r w:rsidR="00FE36CA">
        <w:rPr>
          <w:rFonts w:ascii="Verdana" w:hAnsi="Verdana"/>
          <w:sz w:val="20"/>
          <w:szCs w:val="20"/>
        </w:rPr>
        <w:t>noviembre de 2018</w:t>
      </w:r>
      <w:r w:rsidR="00887745" w:rsidRPr="00203661">
        <w:rPr>
          <w:rFonts w:ascii="Verdana" w:hAnsi="Verdana"/>
          <w:sz w:val="20"/>
          <w:szCs w:val="20"/>
        </w:rPr>
        <w:t>.</w:t>
      </w:r>
    </w:p>
    <w:p w14:paraId="27A44D71" w14:textId="77777777" w:rsidR="00AD4D6A" w:rsidRDefault="00AD4D6A" w:rsidP="00AD4D6A">
      <w:pPr>
        <w:spacing w:after="0" w:line="240" w:lineRule="auto"/>
        <w:jc w:val="both"/>
        <w:rPr>
          <w:rFonts w:ascii="Verdana" w:hAnsi="Verdana"/>
          <w:sz w:val="20"/>
        </w:rPr>
      </w:pPr>
      <w:r>
        <w:rPr>
          <w:rFonts w:ascii="Verdana" w:hAnsi="Verdana"/>
          <w:sz w:val="20"/>
          <w:lang w:val="es-CR"/>
        </w:rPr>
        <w:t xml:space="preserve">Corte IDH. Caso </w:t>
      </w:r>
      <w:r>
        <w:rPr>
          <w:rFonts w:ascii="Verdana" w:hAnsi="Verdana"/>
          <w:i/>
          <w:sz w:val="20"/>
          <w:lang w:val="es-CR"/>
        </w:rPr>
        <w:t>Alvarado Espinoza y otros Vs. México.</w:t>
      </w:r>
      <w:r>
        <w:rPr>
          <w:rFonts w:ascii="Verdana" w:hAnsi="Verdana"/>
          <w:sz w:val="20"/>
          <w:lang w:val="es-CR"/>
        </w:rPr>
        <w:t xml:space="preserve"> Fondo, Reparaciones y Costas. Sentencia de 28 de noviembre de 2018.</w:t>
      </w:r>
    </w:p>
    <w:p w14:paraId="653BBD3E" w14:textId="77777777" w:rsidR="00AD4D6A" w:rsidRDefault="00AD4D6A" w:rsidP="00AD4D6A">
      <w:pPr>
        <w:spacing w:after="0" w:line="240" w:lineRule="auto"/>
        <w:rPr>
          <w:rFonts w:ascii="Verdana" w:hAnsi="Verdana"/>
          <w:sz w:val="20"/>
        </w:rPr>
      </w:pPr>
    </w:p>
    <w:p w14:paraId="1C45B0E3" w14:textId="77777777" w:rsidR="00AD4D6A" w:rsidRDefault="00AD4D6A" w:rsidP="00AD4D6A">
      <w:pPr>
        <w:spacing w:after="0" w:line="240" w:lineRule="auto"/>
        <w:jc w:val="center"/>
        <w:rPr>
          <w:rFonts w:ascii="Verdana" w:hAnsi="Verdana"/>
          <w:sz w:val="20"/>
        </w:rPr>
      </w:pPr>
      <w:r>
        <w:rPr>
          <w:rFonts w:ascii="Verdana" w:hAnsi="Verdana"/>
          <w:sz w:val="20"/>
          <w:lang w:val="es-CR"/>
        </w:rPr>
        <w:t>Eduardo Vio Grossi</w:t>
      </w:r>
    </w:p>
    <w:p w14:paraId="389FADF0" w14:textId="77777777" w:rsidR="00AD4D6A" w:rsidRDefault="00AD4D6A" w:rsidP="00AD4D6A">
      <w:pPr>
        <w:spacing w:after="0" w:line="240" w:lineRule="auto"/>
        <w:jc w:val="center"/>
        <w:rPr>
          <w:rFonts w:ascii="Verdana" w:hAnsi="Verdana"/>
          <w:sz w:val="20"/>
        </w:rPr>
      </w:pPr>
      <w:r>
        <w:rPr>
          <w:rFonts w:ascii="Verdana" w:hAnsi="Verdana"/>
          <w:sz w:val="20"/>
        </w:rPr>
        <w:t>Presidente en Ejercicio</w:t>
      </w:r>
    </w:p>
    <w:p w14:paraId="60E08FE0" w14:textId="77777777" w:rsidR="00AD4D6A" w:rsidRDefault="00AD4D6A" w:rsidP="00AD4D6A">
      <w:pPr>
        <w:spacing w:after="0" w:line="240" w:lineRule="auto"/>
        <w:jc w:val="both"/>
        <w:rPr>
          <w:rFonts w:ascii="Verdana" w:hAnsi="Verdana"/>
          <w:sz w:val="20"/>
        </w:rPr>
      </w:pPr>
    </w:p>
    <w:p w14:paraId="2E922B02" w14:textId="77777777" w:rsidR="00AD4D6A" w:rsidRPr="003D7CEE" w:rsidRDefault="00AD4D6A" w:rsidP="00AD4D6A">
      <w:pPr>
        <w:spacing w:after="0" w:line="240" w:lineRule="auto"/>
        <w:jc w:val="both"/>
        <w:rPr>
          <w:rFonts w:ascii="Verdana" w:hAnsi="Verdana"/>
          <w:sz w:val="20"/>
          <w:lang w:val="es-CR"/>
        </w:rPr>
      </w:pPr>
      <w:r>
        <w:rPr>
          <w:rFonts w:ascii="Verdana" w:hAnsi="Verdana"/>
          <w:sz w:val="20"/>
          <w:lang w:val="es-CR"/>
        </w:rPr>
        <w:t>Humberto A. Sierra Porto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Elizabeth Odio Benito</w:t>
      </w:r>
    </w:p>
    <w:p w14:paraId="3888C6EA" w14:textId="77777777" w:rsidR="00AD4D6A" w:rsidRDefault="00AD4D6A" w:rsidP="00AD4D6A">
      <w:pPr>
        <w:spacing w:after="0" w:line="240" w:lineRule="auto"/>
        <w:jc w:val="center"/>
        <w:rPr>
          <w:rFonts w:ascii="Verdana" w:hAnsi="Verdana"/>
          <w:sz w:val="20"/>
        </w:rPr>
      </w:pPr>
    </w:p>
    <w:p w14:paraId="44167673" w14:textId="77777777" w:rsidR="00AD4D6A" w:rsidRDefault="00AD4D6A" w:rsidP="00AD4D6A">
      <w:pPr>
        <w:spacing w:after="0" w:line="240" w:lineRule="auto"/>
        <w:rPr>
          <w:rFonts w:ascii="Verdana" w:hAnsi="Verdana"/>
          <w:sz w:val="20"/>
          <w:lang w:val="es-CR"/>
        </w:rPr>
      </w:pPr>
      <w:r>
        <w:rPr>
          <w:rFonts w:ascii="Verdana" w:hAnsi="Verdana"/>
          <w:sz w:val="20"/>
          <w:lang w:val="es-CR"/>
        </w:rPr>
        <w:t>Eugenio Raúl Zaffaroni</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L. Patricio Pazmiño Freire</w:t>
      </w:r>
    </w:p>
    <w:p w14:paraId="2CCAF664" w14:textId="77777777" w:rsidR="00AD4D6A" w:rsidRDefault="00AD4D6A" w:rsidP="00AD4D6A">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0C0C6E01" w14:textId="77777777" w:rsidR="00AD4D6A" w:rsidRDefault="00AD4D6A" w:rsidP="00AD4D6A">
      <w:pPr>
        <w:tabs>
          <w:tab w:val="left" w:pos="8460"/>
          <w:tab w:val="left" w:pos="8640"/>
        </w:tabs>
        <w:spacing w:after="0" w:line="240" w:lineRule="auto"/>
        <w:jc w:val="center"/>
        <w:rPr>
          <w:rFonts w:ascii="Verdana" w:hAnsi="Verdana"/>
          <w:sz w:val="20"/>
        </w:rPr>
      </w:pPr>
      <w:r>
        <w:rPr>
          <w:rFonts w:ascii="Verdana" w:hAnsi="Verdana"/>
          <w:sz w:val="20"/>
        </w:rPr>
        <w:t>Pablo Saavedra Alessandri</w:t>
      </w:r>
    </w:p>
    <w:p w14:paraId="53E4E68B" w14:textId="77777777" w:rsidR="00AD4D6A" w:rsidRDefault="00AD4D6A" w:rsidP="00AD4D6A">
      <w:pPr>
        <w:tabs>
          <w:tab w:val="left" w:pos="8460"/>
          <w:tab w:val="left" w:pos="8640"/>
        </w:tabs>
        <w:spacing w:after="0" w:line="240" w:lineRule="auto"/>
        <w:jc w:val="center"/>
        <w:rPr>
          <w:rFonts w:ascii="Verdana" w:hAnsi="Verdana"/>
          <w:sz w:val="20"/>
        </w:rPr>
      </w:pPr>
      <w:r>
        <w:rPr>
          <w:rFonts w:ascii="Verdana" w:hAnsi="Verdana"/>
          <w:sz w:val="20"/>
        </w:rPr>
        <w:t>Secretario</w:t>
      </w:r>
    </w:p>
    <w:p w14:paraId="058D303E" w14:textId="77777777" w:rsidR="00AD4D6A" w:rsidRDefault="00AD4D6A" w:rsidP="00AD4D6A">
      <w:pPr>
        <w:tabs>
          <w:tab w:val="left" w:pos="8460"/>
          <w:tab w:val="left" w:pos="8640"/>
        </w:tabs>
        <w:spacing w:after="0" w:line="240" w:lineRule="auto"/>
        <w:jc w:val="both"/>
        <w:rPr>
          <w:rFonts w:ascii="Verdana" w:hAnsi="Verdana"/>
          <w:sz w:val="20"/>
        </w:rPr>
      </w:pPr>
      <w:r>
        <w:rPr>
          <w:rFonts w:ascii="Verdana" w:hAnsi="Verdana"/>
          <w:sz w:val="20"/>
        </w:rPr>
        <w:t>Comuníquese y ejecútese,</w:t>
      </w:r>
    </w:p>
    <w:p w14:paraId="1D005393" w14:textId="77777777" w:rsidR="00AD4D6A" w:rsidRDefault="00AD4D6A" w:rsidP="00AD4D6A">
      <w:pPr>
        <w:tabs>
          <w:tab w:val="left" w:pos="8460"/>
          <w:tab w:val="left" w:pos="8640"/>
        </w:tabs>
        <w:spacing w:after="0" w:line="240" w:lineRule="auto"/>
        <w:jc w:val="both"/>
        <w:rPr>
          <w:rFonts w:ascii="Verdana" w:hAnsi="Verdana"/>
          <w:sz w:val="20"/>
        </w:rPr>
      </w:pPr>
    </w:p>
    <w:p w14:paraId="3092DCEF" w14:textId="77777777" w:rsidR="00AD4D6A" w:rsidRDefault="00AD4D6A" w:rsidP="00AD4D6A">
      <w:pPr>
        <w:tabs>
          <w:tab w:val="left" w:pos="8460"/>
          <w:tab w:val="left" w:pos="8640"/>
        </w:tabs>
        <w:spacing w:after="0" w:line="240" w:lineRule="auto"/>
        <w:jc w:val="right"/>
        <w:rPr>
          <w:rFonts w:ascii="Verdana" w:hAnsi="Verdana"/>
          <w:sz w:val="20"/>
        </w:rPr>
      </w:pPr>
    </w:p>
    <w:p w14:paraId="0D328EF3" w14:textId="77777777" w:rsidR="00AD4D6A" w:rsidRDefault="00AD4D6A" w:rsidP="00AD4D6A">
      <w:pPr>
        <w:spacing w:after="0" w:line="240" w:lineRule="auto"/>
        <w:ind w:left="6480" w:firstLine="720"/>
        <w:jc w:val="center"/>
        <w:rPr>
          <w:rFonts w:ascii="Verdana" w:hAnsi="Verdana"/>
          <w:sz w:val="20"/>
        </w:rPr>
      </w:pPr>
      <w:r>
        <w:rPr>
          <w:rFonts w:ascii="Verdana" w:hAnsi="Verdana"/>
          <w:sz w:val="20"/>
          <w:lang w:val="es-CR"/>
        </w:rPr>
        <w:t>Eduardo Vio Grossi</w:t>
      </w:r>
    </w:p>
    <w:p w14:paraId="67A2B6C0" w14:textId="77777777" w:rsidR="00AD4D6A" w:rsidRDefault="00AD4D6A" w:rsidP="00AD4D6A">
      <w:pPr>
        <w:spacing w:after="0" w:line="240" w:lineRule="auto"/>
        <w:jc w:val="right"/>
        <w:rPr>
          <w:rFonts w:ascii="Verdana" w:hAnsi="Verdana"/>
          <w:sz w:val="20"/>
        </w:rPr>
      </w:pPr>
      <w:r>
        <w:rPr>
          <w:rFonts w:ascii="Verdana" w:hAnsi="Verdana"/>
          <w:sz w:val="20"/>
        </w:rPr>
        <w:t>Presidente en Ejercicio</w:t>
      </w:r>
    </w:p>
    <w:p w14:paraId="6849BF9C" w14:textId="77777777" w:rsidR="00AD4D6A" w:rsidRDefault="00AD4D6A" w:rsidP="00AD4D6A">
      <w:pPr>
        <w:spacing w:after="0" w:line="240" w:lineRule="auto"/>
        <w:ind w:left="5760"/>
        <w:jc w:val="center"/>
        <w:rPr>
          <w:rFonts w:ascii="Verdana" w:hAnsi="Verdana"/>
          <w:sz w:val="20"/>
        </w:rPr>
      </w:pPr>
    </w:p>
    <w:p w14:paraId="49268EF0" w14:textId="77777777" w:rsidR="00AD4D6A" w:rsidRDefault="00AD4D6A" w:rsidP="00AD4D6A">
      <w:pPr>
        <w:tabs>
          <w:tab w:val="left" w:pos="8460"/>
          <w:tab w:val="left" w:pos="8640"/>
        </w:tabs>
        <w:spacing w:after="0" w:line="240" w:lineRule="auto"/>
        <w:jc w:val="both"/>
        <w:rPr>
          <w:rFonts w:ascii="Verdana" w:hAnsi="Verdana"/>
          <w:sz w:val="20"/>
        </w:rPr>
      </w:pPr>
      <w:r>
        <w:rPr>
          <w:rFonts w:ascii="Verdana" w:hAnsi="Verdana"/>
          <w:sz w:val="20"/>
        </w:rPr>
        <w:t>Pablo Saavedra Alessandri</w:t>
      </w:r>
    </w:p>
    <w:p w14:paraId="67466C45" w14:textId="77777777" w:rsidR="00AD4D6A" w:rsidRDefault="00AD4D6A" w:rsidP="00AD4D6A">
      <w:pPr>
        <w:tabs>
          <w:tab w:val="left" w:pos="8640"/>
        </w:tabs>
        <w:spacing w:after="0" w:line="240" w:lineRule="auto"/>
        <w:ind w:left="720"/>
        <w:rPr>
          <w:rFonts w:ascii="Verdana" w:hAnsi="Verdana"/>
          <w:sz w:val="20"/>
        </w:rPr>
      </w:pPr>
      <w:r>
        <w:rPr>
          <w:rFonts w:ascii="Verdana" w:hAnsi="Verdana"/>
          <w:sz w:val="20"/>
        </w:rPr>
        <w:t xml:space="preserve">  Secretario</w:t>
      </w:r>
      <w:bookmarkStart w:id="405" w:name="_GoBack"/>
      <w:bookmarkEnd w:id="405"/>
    </w:p>
    <w:sectPr w:rsidR="00AD4D6A" w:rsidSect="008D0846">
      <w:headerReference w:type="default" r:id="rId12"/>
      <w:headerReference w:type="first" r:id="rId13"/>
      <w:pgSz w:w="12240" w:h="15840"/>
      <w:pgMar w:top="1247" w:right="1191" w:bottom="1191"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5B458" w14:textId="77777777" w:rsidR="003C1180" w:rsidRDefault="003C1180" w:rsidP="002E1C85">
      <w:pPr>
        <w:spacing w:after="0" w:line="240" w:lineRule="auto"/>
      </w:pPr>
      <w:r>
        <w:separator/>
      </w:r>
    </w:p>
  </w:endnote>
  <w:endnote w:type="continuationSeparator" w:id="0">
    <w:p w14:paraId="7B242C64" w14:textId="77777777" w:rsidR="003C1180" w:rsidRDefault="003C1180" w:rsidP="002E1C85">
      <w:pPr>
        <w:spacing w:after="0" w:line="240" w:lineRule="auto"/>
      </w:pPr>
      <w:r>
        <w:continuationSeparator/>
      </w:r>
    </w:p>
  </w:endnote>
  <w:endnote w:type="continuationNotice" w:id="1">
    <w:p w14:paraId="551779D3" w14:textId="77777777" w:rsidR="003C1180" w:rsidRDefault="003C11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Italic">
    <w:charset w:val="00"/>
    <w:family w:val="auto"/>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alatino-Italic">
    <w:altName w:val="Malgun Gothic Semilight"/>
    <w:charset w:val="00"/>
    <w:family w:val="roman"/>
    <w:pitch w:val="variable"/>
    <w:sig w:usb0="00000001" w:usb1="7800205A" w:usb2="14600000" w:usb3="00000000" w:csb0="00000193" w:csb1="00000000"/>
  </w:font>
  <w:font w:name="MS ????">
    <w:panose1 w:val="00000000000000000000"/>
    <w:charset w:val="80"/>
    <w:family w:val="auto"/>
    <w:notTrueType/>
    <w:pitch w:val="variable"/>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ヒラギノ角ゴ Pro W3">
    <w:altName w:val="MS Mincho"/>
    <w:charset w:val="80"/>
    <w:family w:val="auto"/>
    <w:pitch w:val="variable"/>
    <w:sig w:usb0="00000000" w:usb1="7AC7FFFF" w:usb2="00000012" w:usb3="00000000" w:csb0="0002000D" w:csb1="00000000"/>
  </w:font>
  <w:font w:name="Cambria,Italic">
    <w:panose1 w:val="00000000000000000000"/>
    <w:charset w:val="00"/>
    <w:family w:val="auto"/>
    <w:notTrueType/>
    <w:pitch w:val="default"/>
    <w:sig w:usb0="00000003" w:usb1="00000000" w:usb2="00000000" w:usb3="00000000" w:csb0="00000001" w:csb1="00000000"/>
  </w:font>
  <w:font w:name="AmnestyTradeGothic">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MT">
    <w:altName w:val="Arial"/>
    <w:panose1 w:val="00000000000000000000"/>
    <w:charset w:val="4D"/>
    <w:family w:val="swiss"/>
    <w:notTrueType/>
    <w:pitch w:val="default"/>
    <w:sig w:usb0="00000003" w:usb1="08070000" w:usb2="00000010" w:usb3="00000000" w:csb0="00020001" w:csb1="00000000"/>
  </w:font>
  <w:font w:name="*Microsoft Sans Serif-5550-Iden">
    <w:panose1 w:val="00000000000000000000"/>
    <w:charset w:val="00"/>
    <w:family w:val="auto"/>
    <w:notTrueType/>
    <w:pitch w:val="default"/>
    <w:sig w:usb0="00000003" w:usb1="00000000" w:usb2="00000000" w:usb3="00000000" w:csb0="00000001" w:csb1="00000000"/>
  </w:font>
  <w:font w:name="43rn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7C554" w14:textId="77777777" w:rsidR="003C1180" w:rsidRDefault="003C1180" w:rsidP="002E1C85">
      <w:pPr>
        <w:spacing w:after="0" w:line="240" w:lineRule="auto"/>
      </w:pPr>
      <w:r>
        <w:separator/>
      </w:r>
    </w:p>
  </w:footnote>
  <w:footnote w:type="continuationSeparator" w:id="0">
    <w:p w14:paraId="298D5435" w14:textId="77777777" w:rsidR="003C1180" w:rsidRDefault="003C1180" w:rsidP="002E1C85">
      <w:pPr>
        <w:spacing w:after="0" w:line="240" w:lineRule="auto"/>
      </w:pPr>
      <w:r>
        <w:continuationSeparator/>
      </w:r>
    </w:p>
  </w:footnote>
  <w:footnote w:type="continuationNotice" w:id="1">
    <w:p w14:paraId="26265228" w14:textId="77777777" w:rsidR="003C1180" w:rsidRDefault="003C1180">
      <w:pPr>
        <w:spacing w:after="0" w:line="240" w:lineRule="auto"/>
      </w:pPr>
    </w:p>
  </w:footnote>
  <w:footnote w:id="2">
    <w:p w14:paraId="64AA6129" w14:textId="10638E1B" w:rsidR="00146958" w:rsidRPr="00432ABC" w:rsidRDefault="00146958" w:rsidP="00432ABC">
      <w:pPr>
        <w:pStyle w:val="Textonotapie"/>
        <w:jc w:val="both"/>
        <w:rPr>
          <w:rFonts w:ascii="Verdana" w:hAnsi="Verdana" w:cs="Times"/>
          <w:sz w:val="16"/>
          <w:szCs w:val="16"/>
        </w:rPr>
      </w:pPr>
      <w:r w:rsidRPr="00432ABC">
        <w:rPr>
          <w:rStyle w:val="Refdenotaalpie"/>
          <w:rFonts w:ascii="Verdana" w:hAnsi="Verdana"/>
          <w:sz w:val="16"/>
          <w:szCs w:val="16"/>
          <w:lang w:val="es-CR"/>
        </w:rPr>
        <w:t>*</w:t>
      </w:r>
      <w:r w:rsidRPr="00432ABC">
        <w:rPr>
          <w:rFonts w:ascii="Verdana" w:hAnsi="Verdana"/>
          <w:sz w:val="16"/>
          <w:szCs w:val="16"/>
          <w:lang w:val="es-CR"/>
        </w:rPr>
        <w:t xml:space="preserve"> </w:t>
      </w:r>
      <w:r w:rsidRPr="00432ABC">
        <w:rPr>
          <w:rFonts w:ascii="Verdana" w:hAnsi="Verdana"/>
          <w:sz w:val="16"/>
          <w:szCs w:val="16"/>
          <w:lang w:val="es-CR"/>
        </w:rPr>
        <w:tab/>
      </w:r>
      <w:r w:rsidRPr="00432ABC">
        <w:rPr>
          <w:rFonts w:ascii="Verdana" w:hAnsi="Verdana"/>
          <w:sz w:val="16"/>
          <w:szCs w:val="16"/>
        </w:rPr>
        <w:t xml:space="preserve">El Juez Eduardo Ferrer Mac-Gregor Poisot, de nacionalidad mexicana, no participó en la tramitación del presente caso ni en la deliberación y firma de esta Sentencia, de conformidad con lo dispuesto en </w:t>
      </w:r>
      <w:r>
        <w:rPr>
          <w:rFonts w:ascii="Verdana" w:hAnsi="Verdana"/>
          <w:sz w:val="16"/>
          <w:szCs w:val="16"/>
        </w:rPr>
        <w:t>el</w:t>
      </w:r>
      <w:r w:rsidRPr="00432ABC">
        <w:rPr>
          <w:rFonts w:ascii="Verdana" w:hAnsi="Verdana"/>
          <w:sz w:val="16"/>
          <w:szCs w:val="16"/>
        </w:rPr>
        <w:t xml:space="preserve"> artículo </w:t>
      </w:r>
      <w:r>
        <w:rPr>
          <w:rFonts w:ascii="Verdana" w:hAnsi="Verdana"/>
          <w:sz w:val="16"/>
          <w:szCs w:val="16"/>
        </w:rPr>
        <w:t>19</w:t>
      </w:r>
      <w:r w:rsidRPr="00432ABC">
        <w:rPr>
          <w:rFonts w:ascii="Verdana" w:hAnsi="Verdana"/>
          <w:sz w:val="16"/>
          <w:szCs w:val="16"/>
        </w:rPr>
        <w:t xml:space="preserve"> del Reglamento de la Corte.</w:t>
      </w:r>
    </w:p>
  </w:footnote>
  <w:footnote w:id="3">
    <w:p w14:paraId="0C48BFFA" w14:textId="59AD5614" w:rsidR="00146958" w:rsidRPr="00024D8E" w:rsidRDefault="00146958" w:rsidP="00531EF3">
      <w:pPr>
        <w:pStyle w:val="Textonotapie"/>
        <w:jc w:val="both"/>
        <w:rPr>
          <w:rFonts w:ascii="Verdana" w:hAnsi="Verdana"/>
          <w:sz w:val="16"/>
          <w:szCs w:val="16"/>
        </w:rPr>
      </w:pPr>
      <w:r w:rsidRPr="00024D8E">
        <w:rPr>
          <w:rStyle w:val="Refdenotaalpie"/>
          <w:rFonts w:ascii="Verdana" w:hAnsi="Verdana"/>
          <w:sz w:val="16"/>
          <w:szCs w:val="16"/>
        </w:rPr>
        <w:footnoteRef/>
      </w:r>
      <w:r w:rsidRPr="00024D8E">
        <w:rPr>
          <w:rFonts w:ascii="Verdana" w:hAnsi="Verdana"/>
          <w:sz w:val="16"/>
          <w:szCs w:val="16"/>
        </w:rPr>
        <w:t xml:space="preserve"> </w:t>
      </w:r>
      <w:r w:rsidRPr="008D0846">
        <w:rPr>
          <w:rFonts w:ascii="Verdana" w:eastAsia="Verdana" w:hAnsi="Verdana" w:cs="Verdana"/>
          <w:position w:val="-1"/>
          <w:sz w:val="16"/>
          <w:szCs w:val="16"/>
          <w:lang w:val="es-ES"/>
        </w:rPr>
        <w:t>La Corte hace notar que, en vista de lo manifestado por los representantes de las presuntas víctimas, no fueron incluidos como víctimas del caso ante esta Corte los siguientes familiares:</w:t>
      </w:r>
      <w:r w:rsidRPr="008D0846">
        <w:rPr>
          <w:rFonts w:ascii="Verdana" w:eastAsiaTheme="minorHAnsi" w:hAnsi="Verdana" w:cs="Arial"/>
          <w:sz w:val="16"/>
          <w:szCs w:val="16"/>
        </w:rPr>
        <w:t xml:space="preserve"> i) María de Jesús Rueda Villanueva (abuela de Rocío Irene Alvarado Reyes), ii) Manuel Melquiades Alvarado Herrera (hermano de José Ángel Alvarado Herrera); iii) Mayra Daniela Salais Rodríguez (esposa de Manuel Melquiades y cuñada de José Ángel Alvarado Herrera); y iv) D.J.A.S. y X.A.S., (ambas sobrinas de José Ángel Alvarado Herrera)</w:t>
      </w:r>
      <w:r w:rsidRPr="008D0846">
        <w:rPr>
          <w:rFonts w:ascii="Verdana" w:hAnsi="Verdana" w:cs="Arial"/>
          <w:sz w:val="16"/>
          <w:szCs w:val="16"/>
        </w:rPr>
        <w:t>.</w:t>
      </w:r>
      <w:r w:rsidRPr="00024D8E">
        <w:rPr>
          <w:rFonts w:ascii="Verdana" w:hAnsi="Verdana" w:cs="Arial"/>
          <w:sz w:val="16"/>
          <w:szCs w:val="16"/>
        </w:rPr>
        <w:t xml:space="preserve"> Lo anterior, siendo que, m</w:t>
      </w:r>
      <w:r w:rsidRPr="00024D8E">
        <w:rPr>
          <w:rFonts w:ascii="Verdana" w:hAnsi="Verdana"/>
          <w:sz w:val="16"/>
          <w:szCs w:val="16"/>
        </w:rPr>
        <w:t xml:space="preserve">ediante escrito de 2 de marzo de 2017 de las representantes en el trámite del presente caso, informaron a la Corte que: “[…] </w:t>
      </w:r>
      <w:r w:rsidRPr="00024D8E">
        <w:rPr>
          <w:rFonts w:ascii="Verdana" w:eastAsiaTheme="minorHAnsi" w:hAnsi="Verdana" w:cs="Arial"/>
          <w:sz w:val="16"/>
          <w:szCs w:val="16"/>
        </w:rPr>
        <w:t>existen cinco personas a las cuales hemos buscado durante todo el procedimiento internacional y nunca han dado respuesta a las diversas solicitudes que les hemos hecho sobre la importancia de vincularse a este proceso</w:t>
      </w:r>
      <w:r>
        <w:rPr>
          <w:rFonts w:ascii="Verdana" w:eastAsiaTheme="minorHAnsi" w:hAnsi="Verdana" w:cs="Arial"/>
          <w:sz w:val="16"/>
          <w:szCs w:val="16"/>
        </w:rPr>
        <w:t>”</w:t>
      </w:r>
      <w:r w:rsidRPr="00024D8E">
        <w:rPr>
          <w:rFonts w:ascii="Verdana" w:eastAsiaTheme="minorHAnsi" w:hAnsi="Verdana" w:cs="Arial"/>
          <w:sz w:val="16"/>
          <w:szCs w:val="16"/>
        </w:rPr>
        <w:t xml:space="preserve">. Manifestaron que </w:t>
      </w:r>
      <w:r w:rsidRPr="00024D8E">
        <w:rPr>
          <w:rFonts w:ascii="Verdana" w:eastAsiaTheme="minorHAnsi" w:hAnsi="Verdana" w:cs="Arial"/>
          <w:sz w:val="16"/>
          <w:szCs w:val="16"/>
          <w:lang w:val="es-CR"/>
        </w:rPr>
        <w:t xml:space="preserve">por esta razón no se aportaron poderes de dichas personas </w:t>
      </w:r>
      <w:r w:rsidRPr="008D0846">
        <w:rPr>
          <w:rFonts w:ascii="Verdana" w:eastAsiaTheme="minorHAnsi" w:hAnsi="Verdana" w:cs="Arial"/>
          <w:sz w:val="16"/>
          <w:szCs w:val="16"/>
          <w:lang w:val="es-CR"/>
        </w:rPr>
        <w:t>(expediente de fondo, f. 131).</w:t>
      </w:r>
      <w:r w:rsidRPr="00024D8E">
        <w:rPr>
          <w:rFonts w:ascii="Verdana" w:eastAsiaTheme="minorHAnsi" w:hAnsi="Verdana" w:cs="Arial"/>
          <w:b/>
          <w:sz w:val="16"/>
          <w:szCs w:val="16"/>
          <w:lang w:val="es-CR"/>
        </w:rPr>
        <w:t xml:space="preserve"> </w:t>
      </w:r>
      <w:r w:rsidRPr="00024D8E">
        <w:rPr>
          <w:rFonts w:ascii="Verdana" w:eastAsiaTheme="minorHAnsi" w:hAnsi="Verdana" w:cs="Arial"/>
          <w:sz w:val="16"/>
          <w:szCs w:val="16"/>
          <w:lang w:val="es-CR"/>
        </w:rPr>
        <w:t xml:space="preserve">Por otro lado, dentro del </w:t>
      </w:r>
      <w:r w:rsidRPr="00024D8E">
        <w:rPr>
          <w:rFonts w:ascii="Verdana" w:hAnsi="Verdana"/>
          <w:sz w:val="16"/>
          <w:szCs w:val="16"/>
        </w:rPr>
        <w:t xml:space="preserve">trámite de medidas provisionales en el asunto </w:t>
      </w:r>
      <w:r w:rsidRPr="00024D8E">
        <w:rPr>
          <w:rFonts w:ascii="Verdana" w:hAnsi="Verdana"/>
          <w:i/>
          <w:sz w:val="16"/>
          <w:szCs w:val="16"/>
        </w:rPr>
        <w:t>Alvarado Reyes y otros respecto de México</w:t>
      </w:r>
      <w:r w:rsidRPr="00024D8E">
        <w:rPr>
          <w:rFonts w:ascii="Verdana" w:hAnsi="Verdana"/>
          <w:sz w:val="16"/>
          <w:szCs w:val="16"/>
        </w:rPr>
        <w:t>, la Comisión Nacional de los Derechos Humanos (CNDH) señaló en su Informe de Riesgo solicitado por este Tribunal en su resolución de Medidas Provisionales de 14 de noviembre de 2017</w:t>
      </w:r>
      <w:r>
        <w:rPr>
          <w:rFonts w:ascii="Verdana" w:hAnsi="Verdana"/>
          <w:sz w:val="16"/>
          <w:szCs w:val="16"/>
        </w:rPr>
        <w:t xml:space="preserve"> que</w:t>
      </w:r>
      <w:r w:rsidRPr="00024D8E">
        <w:rPr>
          <w:rFonts w:ascii="Verdana" w:hAnsi="Verdana"/>
          <w:sz w:val="16"/>
          <w:szCs w:val="16"/>
        </w:rPr>
        <w:t xml:space="preserve">: “[…] </w:t>
      </w:r>
      <w:r w:rsidRPr="00024D8E">
        <w:rPr>
          <w:rFonts w:ascii="Verdana" w:eastAsiaTheme="minorHAnsi" w:hAnsi="Verdana" w:cs="Arial"/>
          <w:sz w:val="16"/>
          <w:szCs w:val="16"/>
        </w:rPr>
        <w:t xml:space="preserve">La Comisión Nacional de los Derechos Humanos hace constar que los representantes de los beneficiarios señalaron que el señor Manuel [Melquiades] Alvarado Herrera (hermano de José Ángel Alvarado Herrera), su esposa y sus hijas no deseaban involucrarse de ninguna manera en el proceso del caso contencioso o en las medidas provisionales relativas al asunto </w:t>
      </w:r>
      <w:r w:rsidRPr="00024D8E">
        <w:rPr>
          <w:rFonts w:ascii="Verdana" w:eastAsiaTheme="minorHAnsi" w:hAnsi="Verdana" w:cs="Arial"/>
          <w:i/>
          <w:iCs/>
          <w:sz w:val="16"/>
          <w:szCs w:val="16"/>
        </w:rPr>
        <w:t>Alvarado Reyes</w:t>
      </w:r>
      <w:r w:rsidRPr="00024D8E">
        <w:rPr>
          <w:rFonts w:ascii="Verdana" w:eastAsiaTheme="minorHAnsi" w:hAnsi="Verdana" w:cs="Arial"/>
          <w:iCs/>
          <w:sz w:val="16"/>
          <w:szCs w:val="16"/>
        </w:rPr>
        <w:t xml:space="preserve"> […]”</w:t>
      </w:r>
      <w:r w:rsidRPr="00024D8E">
        <w:rPr>
          <w:rFonts w:ascii="Verdana" w:hAnsi="Verdana"/>
          <w:sz w:val="16"/>
          <w:szCs w:val="16"/>
        </w:rPr>
        <w:t>. (</w:t>
      </w:r>
      <w:r w:rsidRPr="00024D8E">
        <w:rPr>
          <w:rFonts w:ascii="Verdana" w:hAnsi="Verdana"/>
          <w:i/>
          <w:sz w:val="16"/>
          <w:szCs w:val="16"/>
        </w:rPr>
        <w:t>Asunto Alvarado Reyes y otros respecto de México</w:t>
      </w:r>
      <w:r w:rsidRPr="00024D8E">
        <w:rPr>
          <w:rFonts w:ascii="Verdana" w:hAnsi="Verdana"/>
          <w:sz w:val="16"/>
          <w:szCs w:val="16"/>
        </w:rPr>
        <w:t>, expediente de trámite, f. 3226). Asimismo, mediante comunicación de 8 de noviembre de 2018, la C</w:t>
      </w:r>
      <w:r>
        <w:rPr>
          <w:rFonts w:ascii="Verdana" w:hAnsi="Verdana"/>
          <w:sz w:val="16"/>
          <w:szCs w:val="16"/>
        </w:rPr>
        <w:t>omisión</w:t>
      </w:r>
      <w:r w:rsidRPr="00024D8E">
        <w:rPr>
          <w:rFonts w:ascii="Verdana" w:hAnsi="Verdana"/>
          <w:sz w:val="16"/>
          <w:szCs w:val="16"/>
        </w:rPr>
        <w:t xml:space="preserve"> manifestó que: “[…]  nota que el núcleo familiar del [s]eñor Manuel [Melquiades] Alvarado Herrera, por medio de sus representantes, informó a la CNDH que no desea[ba]n involucrarse con los procesos de medidas provisionales” (</w:t>
      </w:r>
      <w:r w:rsidRPr="00024D8E">
        <w:rPr>
          <w:rFonts w:ascii="Verdana" w:hAnsi="Verdana"/>
          <w:i/>
          <w:sz w:val="16"/>
          <w:szCs w:val="16"/>
        </w:rPr>
        <w:t>Asunto Alvarado Reyes y otros respecto de México</w:t>
      </w:r>
      <w:r w:rsidRPr="00024D8E">
        <w:rPr>
          <w:rFonts w:ascii="Verdana" w:hAnsi="Verdana"/>
          <w:sz w:val="16"/>
          <w:szCs w:val="16"/>
        </w:rPr>
        <w:t xml:space="preserve">, </w:t>
      </w:r>
      <w:r w:rsidRPr="00024D8E">
        <w:rPr>
          <w:rFonts w:ascii="Verdana" w:hAnsi="Verdana"/>
          <w:i/>
          <w:sz w:val="16"/>
          <w:szCs w:val="16"/>
        </w:rPr>
        <w:t xml:space="preserve">supra, </w:t>
      </w:r>
      <w:r w:rsidRPr="006A53BB">
        <w:rPr>
          <w:rFonts w:ascii="Verdana" w:hAnsi="Verdana"/>
          <w:sz w:val="16"/>
          <w:szCs w:val="16"/>
        </w:rPr>
        <w:t xml:space="preserve">f. </w:t>
      </w:r>
      <w:r>
        <w:rPr>
          <w:rFonts w:ascii="Verdana" w:hAnsi="Verdana"/>
          <w:sz w:val="16"/>
          <w:szCs w:val="16"/>
        </w:rPr>
        <w:t>3598</w:t>
      </w:r>
      <w:r w:rsidRPr="006A53BB">
        <w:rPr>
          <w:rFonts w:ascii="Verdana" w:hAnsi="Verdana"/>
          <w:sz w:val="16"/>
          <w:szCs w:val="16"/>
        </w:rPr>
        <w:t>).</w:t>
      </w:r>
    </w:p>
  </w:footnote>
  <w:footnote w:id="4">
    <w:p w14:paraId="64AA612E" w14:textId="2132F9AF" w:rsidR="00146958" w:rsidRPr="00432ABC" w:rsidRDefault="00146958" w:rsidP="00432ABC">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En dicho informe, la Comisión decidió que la petición era admisible respecto de la presunta violación de los derechos reconocidos en los artículos 3, 4, 5, 7, 8, 11, 19 y 25 de la Convención Americana, en relación con los artículos 1.1 y 2 del mismo instrumento; de los artículos I y XI de la Convención Interamericana sobre Desaparición Forzada de Personas y el artículo 7 de la Convención </w:t>
      </w:r>
      <w:r>
        <w:rPr>
          <w:rFonts w:ascii="Verdana" w:hAnsi="Verdana"/>
          <w:sz w:val="16"/>
          <w:szCs w:val="16"/>
        </w:rPr>
        <w:t xml:space="preserve">Interamericana para Prevenir, Sancionar y Erradicar la Violencia contra la Mujer (“Convención </w:t>
      </w:r>
      <w:r w:rsidRPr="00432ABC">
        <w:rPr>
          <w:rFonts w:ascii="Verdana" w:hAnsi="Verdana"/>
          <w:sz w:val="16"/>
          <w:szCs w:val="16"/>
        </w:rPr>
        <w:t>de Belém do Pará</w:t>
      </w:r>
      <w:r>
        <w:rPr>
          <w:rFonts w:ascii="Verdana" w:hAnsi="Verdana"/>
          <w:sz w:val="16"/>
          <w:szCs w:val="16"/>
        </w:rPr>
        <w:t>”),</w:t>
      </w:r>
      <w:r w:rsidRPr="00432ABC">
        <w:rPr>
          <w:rFonts w:ascii="Verdana" w:hAnsi="Verdana"/>
          <w:sz w:val="16"/>
          <w:szCs w:val="16"/>
        </w:rPr>
        <w:t xml:space="preserve"> </w:t>
      </w:r>
      <w:r w:rsidRPr="00432ABC">
        <w:rPr>
          <w:rFonts w:ascii="Verdana" w:hAnsi="Verdana" w:cs="Verdana"/>
          <w:sz w:val="16"/>
          <w:szCs w:val="16"/>
        </w:rPr>
        <w:t>(expediente de trámite ante la Comisión, f</w:t>
      </w:r>
      <w:r>
        <w:rPr>
          <w:rFonts w:ascii="Verdana" w:hAnsi="Verdana" w:cs="Verdana"/>
          <w:sz w:val="16"/>
          <w:szCs w:val="16"/>
        </w:rPr>
        <w:t>f.</w:t>
      </w:r>
      <w:r w:rsidRPr="00432ABC">
        <w:rPr>
          <w:rFonts w:ascii="Verdana" w:hAnsi="Verdana" w:cs="Verdana"/>
          <w:sz w:val="16"/>
          <w:szCs w:val="16"/>
        </w:rPr>
        <w:t xml:space="preserve"> 2810 a 2821).</w:t>
      </w:r>
    </w:p>
  </w:footnote>
  <w:footnote w:id="5">
    <w:p w14:paraId="64AA612F" w14:textId="77777777" w:rsidR="00146958" w:rsidRPr="00432ABC" w:rsidRDefault="00146958" w:rsidP="00432ABC">
      <w:pPr>
        <w:pStyle w:val="Textonotapie"/>
        <w:jc w:val="both"/>
        <w:rPr>
          <w:rFonts w:ascii="Verdana" w:eastAsia="Verdana" w:hAnsi="Verdana" w:cs="Verdana"/>
          <w:sz w:val="16"/>
          <w:szCs w:val="16"/>
          <w:lang w:val="es-ES" w:eastAsia="es-CR"/>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432ABC">
        <w:rPr>
          <w:rFonts w:ascii="Verdana" w:eastAsia="Verdana" w:hAnsi="Verdana" w:cs="Verdana"/>
          <w:i/>
          <w:sz w:val="16"/>
          <w:szCs w:val="16"/>
          <w:lang w:val="es-ES" w:eastAsia="es-CR"/>
        </w:rPr>
        <w:t xml:space="preserve">Conclusiones. – </w:t>
      </w:r>
      <w:r w:rsidRPr="00432ABC">
        <w:rPr>
          <w:rFonts w:ascii="Verdana" w:eastAsia="Verdana" w:hAnsi="Verdana" w:cs="Verdana"/>
          <w:sz w:val="16"/>
          <w:szCs w:val="16"/>
          <w:lang w:val="es-ES" w:eastAsia="es-CR"/>
        </w:rPr>
        <w:t xml:space="preserve">La Comisión concluyó que el Estado era responsable por la violación de los derechos establecidos en </w:t>
      </w:r>
      <w:r w:rsidRPr="00432ABC">
        <w:rPr>
          <w:rFonts w:ascii="Verdana" w:eastAsia="Times New Roman" w:hAnsi="Verdana" w:cs="Times New Roman"/>
          <w:sz w:val="16"/>
          <w:szCs w:val="16"/>
          <w:lang w:val="es-ES" w:eastAsia="es-CR"/>
        </w:rPr>
        <w:t xml:space="preserve">los artículos 3, 4, 5, 7, 8, 11, 19, 22 y 25 de la Convención Americana, en relación con los artículos 1.1 y 2 del mismo instrumento; y de los artículos I.A., I.B. y IX de la </w:t>
      </w:r>
      <w:r w:rsidRPr="00432ABC">
        <w:rPr>
          <w:rFonts w:ascii="Verdana" w:eastAsia="Times New Roman" w:hAnsi="Verdana"/>
          <w:sz w:val="16"/>
          <w:szCs w:val="16"/>
          <w:lang w:val="es-ES"/>
        </w:rPr>
        <w:t>Convención Interamericana sobre Desaparición Forzada de Personas</w:t>
      </w:r>
      <w:r w:rsidRPr="00432ABC">
        <w:rPr>
          <w:rFonts w:ascii="Verdana" w:eastAsia="Times New Roman" w:hAnsi="Verdana" w:cs="Times New Roman"/>
          <w:sz w:val="16"/>
          <w:szCs w:val="16"/>
          <w:lang w:val="es-ES" w:eastAsia="es-CR"/>
        </w:rPr>
        <w:t>, en perjuicio de las personas que se indican a lo largo del informe</w:t>
      </w:r>
      <w:r w:rsidRPr="00432ABC">
        <w:rPr>
          <w:rFonts w:ascii="Verdana" w:eastAsia="Times New Roman" w:hAnsi="Verdana" w:cs="Times New Roman"/>
          <w:sz w:val="16"/>
          <w:szCs w:val="16"/>
          <w:vertAlign w:val="superscript"/>
          <w:lang w:val="es-ES" w:eastAsia="es-CR"/>
        </w:rPr>
        <w:footnoteRef/>
      </w:r>
      <w:r w:rsidRPr="00432ABC">
        <w:rPr>
          <w:rFonts w:ascii="Verdana" w:eastAsia="Times New Roman" w:hAnsi="Verdana" w:cs="Times New Roman"/>
          <w:sz w:val="16"/>
          <w:szCs w:val="16"/>
          <w:lang w:val="es-ES" w:eastAsia="es-CR"/>
        </w:rPr>
        <w:t>.</w:t>
      </w:r>
    </w:p>
    <w:p w14:paraId="64AA6130" w14:textId="77777777" w:rsidR="00146958" w:rsidRPr="00432ABC" w:rsidRDefault="00146958" w:rsidP="00432ABC">
      <w:pPr>
        <w:pStyle w:val="Textonotapie"/>
        <w:jc w:val="both"/>
        <w:rPr>
          <w:rFonts w:ascii="Verdana" w:eastAsia="Verdana" w:hAnsi="Verdana" w:cs="Verdana"/>
          <w:sz w:val="16"/>
          <w:szCs w:val="16"/>
          <w:lang w:val="es-ES" w:eastAsia="es-CR"/>
        </w:rPr>
      </w:pPr>
      <w:r w:rsidRPr="00432ABC">
        <w:rPr>
          <w:rFonts w:ascii="Verdana" w:eastAsia="Verdana" w:hAnsi="Verdana" w:cs="Verdana"/>
          <w:i/>
          <w:sz w:val="16"/>
          <w:szCs w:val="16"/>
          <w:lang w:val="es-ES" w:eastAsia="es-CR"/>
        </w:rPr>
        <w:t xml:space="preserve">Recomendaciones. – </w:t>
      </w:r>
      <w:r w:rsidRPr="00432ABC">
        <w:rPr>
          <w:rFonts w:ascii="Verdana" w:eastAsia="Verdana" w:hAnsi="Verdana" w:cs="Verdana"/>
          <w:sz w:val="16"/>
          <w:szCs w:val="16"/>
          <w:lang w:val="es-ES" w:eastAsia="es-CR"/>
        </w:rPr>
        <w:t>En consecuencia, la Comisión hizo al Estado una serie de recomendaciones:</w:t>
      </w:r>
    </w:p>
    <w:p w14:paraId="64AA6131" w14:textId="77777777" w:rsidR="00146958" w:rsidRPr="00432ABC" w:rsidRDefault="00146958" w:rsidP="00432ABC">
      <w:pPr>
        <w:pStyle w:val="Textonotapie"/>
        <w:jc w:val="both"/>
        <w:rPr>
          <w:rFonts w:ascii="Verdana" w:eastAsia="Times New Roman" w:hAnsi="Verdana" w:cs="Times New Roman"/>
          <w:sz w:val="16"/>
          <w:szCs w:val="16"/>
          <w:lang w:val="es-ES" w:eastAsia="es-CR"/>
        </w:rPr>
      </w:pPr>
      <w:r w:rsidRPr="00432ABC">
        <w:rPr>
          <w:rFonts w:ascii="Verdana" w:eastAsia="Times New Roman" w:hAnsi="Verdana" w:cs="Times New Roman"/>
          <w:sz w:val="16"/>
          <w:szCs w:val="16"/>
          <w:lang w:val="es-ES" w:eastAsia="es-CR"/>
        </w:rPr>
        <w:t>Investigar de manera completa, imparcial y efectiva el paradero de Nitza Paola Alvarado Espinoza, José Ángel Alvarado Herrera y Rocío Irene Alvarado Reyes, y de ser el caso, adoptar las medidas necesarias para identificar y entregar a sus familiares los restos mortales según sus deseos[;]</w:t>
      </w:r>
    </w:p>
    <w:p w14:paraId="64AA6132" w14:textId="77777777" w:rsidR="00146958" w:rsidRPr="00432ABC" w:rsidRDefault="00146958" w:rsidP="00432ABC">
      <w:pPr>
        <w:pStyle w:val="Textonotapie"/>
        <w:jc w:val="both"/>
        <w:rPr>
          <w:rFonts w:ascii="Verdana" w:eastAsia="Times New Roman" w:hAnsi="Verdana" w:cs="Times New Roman"/>
          <w:sz w:val="16"/>
          <w:szCs w:val="16"/>
          <w:lang w:val="es-ES" w:eastAsia="es-CR"/>
        </w:rPr>
      </w:pPr>
      <w:r w:rsidRPr="00432ABC">
        <w:rPr>
          <w:rFonts w:ascii="Verdana" w:eastAsia="Times New Roman" w:hAnsi="Verdana" w:cs="Times New Roman"/>
          <w:sz w:val="16"/>
          <w:szCs w:val="16"/>
          <w:lang w:val="es-ES" w:eastAsia="es-CR"/>
        </w:rPr>
        <w:t>[l]levar a cabo los procedimientos internos relacionados con las violaciones a los derechos humanos declaradas en el presente informe y conducir los procesos correspondientes por el delito de desaparición forzada de Nitza Paola Alvarado Espinoza, José Ángel Alvarado Herrera y Rocío Irene Alvarado Reyes, de manera imparcial, efectiva y dentro de un plazo razonable, con el objeto de esclarecer los hechos en forma completa, identificar a todos los responsables e imponer las sanciones que correspondan[;]</w:t>
      </w:r>
    </w:p>
    <w:p w14:paraId="64AA6133" w14:textId="77777777" w:rsidR="00146958" w:rsidRPr="00432ABC" w:rsidRDefault="00146958" w:rsidP="00432ABC">
      <w:pPr>
        <w:pStyle w:val="Textonotapie"/>
        <w:jc w:val="both"/>
        <w:rPr>
          <w:rFonts w:ascii="Verdana" w:eastAsia="Times New Roman" w:hAnsi="Verdana" w:cs="Times New Roman"/>
          <w:sz w:val="16"/>
          <w:szCs w:val="16"/>
          <w:lang w:val="es-ES" w:eastAsia="es-CR"/>
        </w:rPr>
      </w:pPr>
      <w:r w:rsidRPr="00432ABC">
        <w:rPr>
          <w:rFonts w:ascii="Verdana" w:eastAsia="Times New Roman" w:hAnsi="Verdana" w:cs="Times New Roman"/>
          <w:sz w:val="16"/>
          <w:szCs w:val="16"/>
          <w:lang w:val="es-ES" w:eastAsia="es-CR"/>
        </w:rPr>
        <w:t>[r]eparar adecuadamente las violaciones de derechos humanos declaradas en el presente informe tanto en el aspecto material como moral, incluyendo una justa compensación, el establecimiento y difusión de la verdad histórica de los hechos, un acto público de reconocimiento de responsabilidad y la implementación de un programa adecuado de atención a sus familiares[;]</w:t>
      </w:r>
    </w:p>
    <w:p w14:paraId="64AA6134" w14:textId="77777777" w:rsidR="00146958" w:rsidRPr="00432ABC" w:rsidRDefault="00146958" w:rsidP="00432ABC">
      <w:pPr>
        <w:pStyle w:val="Textonotapie"/>
        <w:jc w:val="both"/>
        <w:rPr>
          <w:rFonts w:ascii="Verdana" w:eastAsia="Times New Roman" w:hAnsi="Verdana" w:cs="Times New Roman"/>
          <w:sz w:val="16"/>
          <w:szCs w:val="16"/>
          <w:lang w:val="es-ES" w:eastAsia="es-CR"/>
        </w:rPr>
      </w:pPr>
      <w:r w:rsidRPr="00432ABC">
        <w:rPr>
          <w:rFonts w:ascii="Verdana" w:eastAsia="Times New Roman" w:hAnsi="Verdana" w:cs="Times New Roman"/>
          <w:sz w:val="16"/>
          <w:szCs w:val="16"/>
          <w:lang w:val="es-ES" w:eastAsia="es-CR"/>
        </w:rPr>
        <w:t>[d]isponer las medidas administrativas, disciplinarias o penales correspondientes frente a las acciones u omisiones de los funcionarios estatales que contribuyeron a la denegación de justicia e impunidad en la que se encuentran los hechos del caso, incluyendo las acciones u omisiones de autoridades que hubieren obstaculizado la realización de diligencias de investigación[, y]</w:t>
      </w:r>
    </w:p>
    <w:p w14:paraId="64AA6135" w14:textId="3BA17070" w:rsidR="00146958" w:rsidRPr="00432ABC" w:rsidRDefault="00146958" w:rsidP="00432ABC">
      <w:pPr>
        <w:pStyle w:val="Textonotapie"/>
        <w:jc w:val="both"/>
        <w:rPr>
          <w:rFonts w:ascii="Verdana" w:eastAsia="Times New Roman" w:hAnsi="Verdana" w:cs="Times New Roman"/>
          <w:sz w:val="16"/>
          <w:szCs w:val="16"/>
          <w:lang w:val="es-ES" w:eastAsia="es-CR"/>
        </w:rPr>
      </w:pPr>
      <w:r w:rsidRPr="00432ABC">
        <w:rPr>
          <w:rFonts w:ascii="Verdana" w:eastAsia="Times New Roman" w:hAnsi="Verdana" w:cs="Times New Roman"/>
          <w:sz w:val="16"/>
          <w:szCs w:val="16"/>
          <w:lang w:val="es-ES" w:eastAsia="es-CR"/>
        </w:rPr>
        <w:t>[a]doptar medidas de no repetición necesarias para evitar que en el futuro se produzcan hechos similares. Las medidas de no repetición en el presente caso deberán incluir medidas legislativas, administrativas y de otra índole para responder a la problemática de la desaparición forzada en México y su especial incidencia en el Estado de Chihuahua. Asimismo, medidas legislativas, administrativas y de otra índole para fortalecer la capacidad investigativa e</w:t>
      </w:r>
      <w:r>
        <w:rPr>
          <w:rFonts w:ascii="Verdana" w:eastAsia="Times New Roman" w:hAnsi="Verdana" w:cs="Times New Roman"/>
          <w:sz w:val="16"/>
          <w:szCs w:val="16"/>
          <w:lang w:val="es-ES" w:eastAsia="es-CR"/>
        </w:rPr>
        <w:t>n</w:t>
      </w:r>
      <w:r w:rsidRPr="00432ABC">
        <w:rPr>
          <w:rFonts w:ascii="Verdana" w:eastAsia="Times New Roman" w:hAnsi="Verdana" w:cs="Times New Roman"/>
          <w:sz w:val="16"/>
          <w:szCs w:val="16"/>
          <w:lang w:val="es-ES" w:eastAsia="es-CR"/>
        </w:rPr>
        <w:t xml:space="preserve"> casos de desaparición forzada de personas y atender los factores estructurales generadores de impunidad en estos casos. Igualmente, medidas legislativas, administrativas y de otra índole para asegurar que las autoridades de la justicia penal militar se abstengan de obstaculizar investigaciones en casos de desaparición forzada.</w:t>
      </w:r>
    </w:p>
  </w:footnote>
  <w:footnote w:id="6">
    <w:p w14:paraId="64AA6136" w14:textId="7E954BBC" w:rsidR="00146958" w:rsidRPr="00432ABC" w:rsidRDefault="00146958" w:rsidP="00432ABC">
      <w:pPr>
        <w:pStyle w:val="Textonotapie"/>
        <w:jc w:val="both"/>
        <w:rPr>
          <w:rFonts w:ascii="Verdana" w:hAnsi="Verdana"/>
          <w:sz w:val="16"/>
          <w:szCs w:val="16"/>
          <w:lang w:val="es-CR"/>
        </w:rPr>
      </w:pPr>
      <w:r w:rsidRPr="00432ABC">
        <w:rPr>
          <w:rStyle w:val="Refdenotaalpie"/>
          <w:rFonts w:ascii="Verdana" w:hAnsi="Verdana"/>
          <w:sz w:val="16"/>
          <w:szCs w:val="16"/>
          <w:lang w:val="es-CR"/>
        </w:rPr>
        <w:footnoteRef/>
      </w:r>
      <w:r w:rsidRPr="00432ABC">
        <w:rPr>
          <w:rFonts w:ascii="Verdana" w:hAnsi="Verdana"/>
          <w:sz w:val="16"/>
          <w:szCs w:val="16"/>
          <w:lang w:val="es-CR"/>
        </w:rPr>
        <w:t xml:space="preserve"> </w:t>
      </w:r>
      <w:r w:rsidRPr="00432ABC">
        <w:rPr>
          <w:rFonts w:ascii="Verdana" w:hAnsi="Verdana"/>
          <w:sz w:val="16"/>
          <w:szCs w:val="16"/>
          <w:lang w:val="es-CR"/>
        </w:rPr>
        <w:tab/>
        <w:t>La Comisión designó, como sus delegados ante la Corte, al Comisionado Enrique Gil Botero y al Secretario Ejecutivo Paulo Abrão. Asimismo, designó, como asesores legales, a la señora Elizabeth Abi-Mershed, Secretaria Ejecutiva Adjunta, a la señora Silvia Serrano Guzmán y al señor Christian González Chacón, abogad</w:t>
      </w:r>
      <w:r>
        <w:rPr>
          <w:rFonts w:ascii="Verdana" w:hAnsi="Verdana"/>
          <w:sz w:val="16"/>
          <w:szCs w:val="16"/>
          <w:lang w:val="es-CR"/>
        </w:rPr>
        <w:t>os</w:t>
      </w:r>
      <w:r w:rsidRPr="00432ABC">
        <w:rPr>
          <w:rFonts w:ascii="Verdana" w:hAnsi="Verdana"/>
          <w:sz w:val="16"/>
          <w:szCs w:val="16"/>
          <w:lang w:val="es-CR"/>
        </w:rPr>
        <w:t xml:space="preserve"> de la Secretaría Ejecutiva.</w:t>
      </w:r>
    </w:p>
  </w:footnote>
  <w:footnote w:id="7">
    <w:p w14:paraId="64AA6137" w14:textId="3A94290B" w:rsidR="00146958" w:rsidRPr="00F66526" w:rsidRDefault="00146958" w:rsidP="00432ABC">
      <w:pPr>
        <w:pStyle w:val="Textonotapie"/>
        <w:jc w:val="both"/>
        <w:rPr>
          <w:rFonts w:ascii="Verdana" w:hAnsi="Verdana"/>
          <w:sz w:val="16"/>
          <w:szCs w:val="16"/>
          <w:lang w:val="es-CR"/>
        </w:rPr>
      </w:pPr>
      <w:r w:rsidRPr="00F66526">
        <w:rPr>
          <w:rStyle w:val="Refdenotaalpie"/>
          <w:rFonts w:ascii="Verdana" w:hAnsi="Verdana"/>
          <w:sz w:val="16"/>
          <w:szCs w:val="16"/>
        </w:rPr>
        <w:footnoteRef/>
      </w:r>
      <w:r w:rsidRPr="00F66526">
        <w:rPr>
          <w:rFonts w:ascii="Verdana" w:hAnsi="Verdana"/>
          <w:sz w:val="16"/>
          <w:szCs w:val="16"/>
        </w:rPr>
        <w:t xml:space="preserve"> </w:t>
      </w:r>
      <w:r w:rsidRPr="00F66526">
        <w:rPr>
          <w:rFonts w:ascii="Verdana" w:hAnsi="Verdana"/>
          <w:sz w:val="16"/>
          <w:szCs w:val="16"/>
        </w:rPr>
        <w:tab/>
      </w:r>
      <w:r>
        <w:rPr>
          <w:rFonts w:ascii="Verdana" w:hAnsi="Verdana"/>
          <w:sz w:val="16"/>
          <w:szCs w:val="16"/>
        </w:rPr>
        <w:t>La d</w:t>
      </w:r>
      <w:r w:rsidRPr="00F66526">
        <w:rPr>
          <w:rFonts w:ascii="Verdana" w:hAnsi="Verdana"/>
          <w:sz w:val="16"/>
          <w:szCs w:val="16"/>
        </w:rPr>
        <w:t>iferencia de fecha es por la fecha de recepción del DHL (expediente de fondo, ff.</w:t>
      </w:r>
      <w:r>
        <w:rPr>
          <w:rFonts w:ascii="Verdana" w:hAnsi="Verdana"/>
          <w:sz w:val="16"/>
          <w:szCs w:val="16"/>
        </w:rPr>
        <w:t xml:space="preserve"> </w:t>
      </w:r>
      <w:r w:rsidRPr="008D0846">
        <w:rPr>
          <w:rFonts w:ascii="Verdana" w:hAnsi="Verdana"/>
          <w:sz w:val="16"/>
          <w:szCs w:val="16"/>
        </w:rPr>
        <w:t>160 y 170).</w:t>
      </w:r>
    </w:p>
  </w:footnote>
  <w:footnote w:id="8">
    <w:p w14:paraId="64AA6138" w14:textId="3DDB30B6" w:rsidR="00146958" w:rsidRPr="00F66526" w:rsidRDefault="00146958" w:rsidP="00244830">
      <w:pPr>
        <w:pStyle w:val="Textonotapie"/>
        <w:jc w:val="both"/>
        <w:rPr>
          <w:rFonts w:ascii="Verdana" w:hAnsi="Verdana"/>
          <w:sz w:val="16"/>
          <w:szCs w:val="16"/>
        </w:rPr>
      </w:pPr>
      <w:r w:rsidRPr="00F66526">
        <w:rPr>
          <w:rFonts w:ascii="Verdana" w:hAnsi="Verdana"/>
          <w:sz w:val="16"/>
          <w:szCs w:val="16"/>
          <w:vertAlign w:val="superscript"/>
          <w:lang w:val="es-CR"/>
        </w:rPr>
        <w:footnoteRef/>
      </w:r>
      <w:r w:rsidRPr="00F66526">
        <w:rPr>
          <w:rFonts w:ascii="Verdana" w:hAnsi="Verdana"/>
          <w:sz w:val="16"/>
          <w:szCs w:val="16"/>
          <w:vertAlign w:val="superscript"/>
          <w:lang w:val="es-CR"/>
        </w:rPr>
        <w:t xml:space="preserve"> </w:t>
      </w:r>
      <w:r w:rsidRPr="00F66526">
        <w:rPr>
          <w:rFonts w:ascii="Verdana" w:hAnsi="Verdana"/>
          <w:sz w:val="16"/>
          <w:szCs w:val="16"/>
          <w:lang w:val="es-CR"/>
        </w:rPr>
        <w:tab/>
      </w:r>
      <w:r w:rsidRPr="00CD5C54">
        <w:rPr>
          <w:rFonts w:ascii="Verdana" w:hAnsi="Verdana"/>
          <w:i/>
          <w:sz w:val="16"/>
          <w:szCs w:val="16"/>
          <w:lang w:val="es-CR"/>
        </w:rPr>
        <w:t>Cfr.</w:t>
      </w:r>
      <w:r w:rsidRPr="00F66526">
        <w:rPr>
          <w:rFonts w:ascii="Verdana" w:hAnsi="Verdana"/>
          <w:i/>
          <w:sz w:val="16"/>
          <w:szCs w:val="16"/>
          <w:lang w:val="es-CR"/>
        </w:rPr>
        <w:t xml:space="preserve"> Caso Alvarado Espinoza y otros Vs. México. Fondo de Asistencia Legal de Víctimas.</w:t>
      </w:r>
      <w:r w:rsidRPr="00F66526">
        <w:rPr>
          <w:rFonts w:ascii="Verdana" w:hAnsi="Verdana"/>
          <w:sz w:val="16"/>
          <w:szCs w:val="16"/>
          <w:lang w:val="es-CR"/>
        </w:rPr>
        <w:t xml:space="preserve"> Resolución del Presidente de la Corte </w:t>
      </w:r>
      <w:r>
        <w:rPr>
          <w:rFonts w:ascii="Verdana" w:hAnsi="Verdana"/>
          <w:sz w:val="16"/>
          <w:szCs w:val="16"/>
          <w:lang w:val="es-CR"/>
        </w:rPr>
        <w:t>IDH</w:t>
      </w:r>
      <w:r w:rsidRPr="00F66526">
        <w:rPr>
          <w:rFonts w:ascii="Verdana" w:hAnsi="Verdana"/>
          <w:sz w:val="16"/>
          <w:szCs w:val="16"/>
          <w:lang w:val="es-CR"/>
        </w:rPr>
        <w:t xml:space="preserve"> de 14 de diciembre de 2017. Disponible en: </w:t>
      </w:r>
      <w:hyperlink r:id="rId1" w:history="1">
        <w:r w:rsidRPr="00F66526">
          <w:rPr>
            <w:rStyle w:val="Hipervnculo"/>
            <w:rFonts w:ascii="Verdana" w:hAnsi="Verdana"/>
            <w:sz w:val="16"/>
            <w:szCs w:val="16"/>
            <w:lang w:val="es-CR"/>
          </w:rPr>
          <w:t>http://www.corteidh.or.cr/docs/asuntos/alvaradoes_fv_17.pdf</w:t>
        </w:r>
      </w:hyperlink>
      <w:r w:rsidRPr="00F66526">
        <w:rPr>
          <w:rFonts w:ascii="Verdana" w:hAnsi="Verdana"/>
          <w:sz w:val="16"/>
          <w:szCs w:val="16"/>
          <w:lang w:val="es-CR"/>
        </w:rPr>
        <w:t xml:space="preserve"> </w:t>
      </w:r>
    </w:p>
  </w:footnote>
  <w:footnote w:id="9">
    <w:p w14:paraId="64AA6139" w14:textId="2271C5E3" w:rsidR="00146958" w:rsidRPr="008D0846" w:rsidRDefault="00146958" w:rsidP="0012282C">
      <w:pPr>
        <w:spacing w:after="0" w:line="240" w:lineRule="auto"/>
        <w:jc w:val="both"/>
        <w:rPr>
          <w:rFonts w:ascii="Verdana" w:hAnsi="Verdana"/>
          <w:sz w:val="16"/>
          <w:szCs w:val="16"/>
        </w:rPr>
      </w:pPr>
      <w:r w:rsidRPr="00F66526">
        <w:rPr>
          <w:rStyle w:val="Refdenotaalpie"/>
          <w:rFonts w:ascii="Verdana" w:hAnsi="Verdana"/>
          <w:sz w:val="16"/>
          <w:szCs w:val="16"/>
          <w:lang w:val="es-CR"/>
        </w:rPr>
        <w:footnoteRef/>
      </w:r>
      <w:r w:rsidRPr="00F66526">
        <w:rPr>
          <w:rFonts w:ascii="Verdana" w:hAnsi="Verdana"/>
          <w:sz w:val="16"/>
          <w:szCs w:val="16"/>
          <w:lang w:val="es-CR"/>
        </w:rPr>
        <w:t xml:space="preserve"> </w:t>
      </w:r>
      <w:r w:rsidRPr="00F66526">
        <w:rPr>
          <w:rFonts w:ascii="Verdana" w:hAnsi="Verdana"/>
          <w:sz w:val="16"/>
          <w:szCs w:val="16"/>
          <w:lang w:val="es-CR"/>
        </w:rPr>
        <w:tab/>
      </w:r>
      <w:r w:rsidRPr="008D0846">
        <w:rPr>
          <w:rFonts w:ascii="Verdana" w:hAnsi="Verdana"/>
          <w:sz w:val="16"/>
          <w:szCs w:val="16"/>
        </w:rPr>
        <w:t>El Estado designó como agentes al Embajador de México en Costa Rica, Melquíades Morales Flores</w:t>
      </w:r>
      <w:r w:rsidRPr="008D0846">
        <w:rPr>
          <w:rFonts w:ascii="Verdana" w:hAnsi="Verdana"/>
          <w:sz w:val="16"/>
          <w:szCs w:val="16"/>
          <w:lang w:val="es-ES"/>
        </w:rPr>
        <w:t>; al señor Miguel Ruíz Cabañas Izquierdo, Subsecretario para Asuntos Multilaterales y Derechos Humanos de la Secretaría de Relaciones Exteriores; al Mtro. Alejandro Alday González, Consultor Jurídico de la Secretaría de Relaciones Exteriores y al Dr. Erasmo A. Lara Cabrera, Director General de Derechos Humanos y Democracia de la Secretaría de Relaciones Exteriores</w:t>
      </w:r>
      <w:r w:rsidRPr="008D0846">
        <w:rPr>
          <w:rFonts w:ascii="Verdana" w:hAnsi="Verdana"/>
          <w:sz w:val="16"/>
          <w:szCs w:val="16"/>
        </w:rPr>
        <w:t>.</w:t>
      </w:r>
    </w:p>
  </w:footnote>
  <w:footnote w:id="10">
    <w:p w14:paraId="64AA613A" w14:textId="1F270FDA" w:rsidR="00146958" w:rsidRPr="00F66526" w:rsidRDefault="00146958" w:rsidP="003564A3">
      <w:pPr>
        <w:pStyle w:val="Textonotapie"/>
        <w:jc w:val="both"/>
        <w:rPr>
          <w:rFonts w:ascii="Verdana" w:hAnsi="Verdana"/>
          <w:sz w:val="16"/>
          <w:szCs w:val="16"/>
          <w:lang w:val="es-CR"/>
        </w:rPr>
      </w:pPr>
      <w:r w:rsidRPr="00F66526">
        <w:rPr>
          <w:rStyle w:val="Refdenotaalpie"/>
          <w:rFonts w:ascii="Verdana" w:hAnsi="Verdana"/>
          <w:sz w:val="16"/>
          <w:szCs w:val="16"/>
          <w:lang w:val="es-CR"/>
        </w:rPr>
        <w:footnoteRef/>
      </w:r>
      <w:r w:rsidRPr="00F66526">
        <w:rPr>
          <w:rFonts w:ascii="Verdana" w:hAnsi="Verdana"/>
          <w:sz w:val="16"/>
          <w:szCs w:val="16"/>
          <w:lang w:val="es-CR"/>
        </w:rPr>
        <w:t xml:space="preserve"> </w:t>
      </w:r>
      <w:r w:rsidRPr="00F66526">
        <w:rPr>
          <w:rFonts w:ascii="Verdana" w:hAnsi="Verdana"/>
          <w:sz w:val="16"/>
          <w:szCs w:val="16"/>
          <w:lang w:val="es-CR"/>
        </w:rPr>
        <w:tab/>
      </w:r>
      <w:r w:rsidRPr="00CD5C54">
        <w:rPr>
          <w:rFonts w:ascii="Verdana" w:hAnsi="Verdana"/>
          <w:i/>
          <w:sz w:val="16"/>
          <w:szCs w:val="16"/>
          <w:lang w:val="es-CR"/>
        </w:rPr>
        <w:t>Cfr.</w:t>
      </w:r>
      <w:r w:rsidRPr="00F66526">
        <w:rPr>
          <w:rFonts w:ascii="Verdana" w:hAnsi="Verdana"/>
          <w:i/>
          <w:sz w:val="16"/>
          <w:szCs w:val="16"/>
          <w:lang w:val="es-CR"/>
        </w:rPr>
        <w:t xml:space="preserve"> Alvarado Espinoza y otros Vs. México. Convocatoria a audiencia.</w:t>
      </w:r>
      <w:r w:rsidRPr="00F66526">
        <w:rPr>
          <w:rFonts w:ascii="Verdana" w:hAnsi="Verdana"/>
          <w:sz w:val="16"/>
          <w:szCs w:val="16"/>
          <w:lang w:val="es-CR"/>
        </w:rPr>
        <w:t xml:space="preserve"> Resolución del Presidente en ejercicio de la Corte Interamericana de Derechos Humanos de 23 de marzo de 2018. Disponible en: </w:t>
      </w:r>
      <w:hyperlink r:id="rId2" w:history="1">
        <w:r w:rsidRPr="00F66526">
          <w:rPr>
            <w:rStyle w:val="Hipervnculo"/>
            <w:rFonts w:ascii="Verdana" w:hAnsi="Verdana"/>
            <w:sz w:val="16"/>
            <w:szCs w:val="16"/>
            <w:lang w:val="es-CR"/>
          </w:rPr>
          <w:t>http://www.corteidh.or.cr/docs/asuntos/alvarado_23_03_18.pdf</w:t>
        </w:r>
      </w:hyperlink>
      <w:r w:rsidRPr="00F66526">
        <w:rPr>
          <w:rFonts w:ascii="Verdana" w:hAnsi="Verdana"/>
          <w:sz w:val="16"/>
          <w:szCs w:val="16"/>
          <w:lang w:val="es-CR"/>
        </w:rPr>
        <w:t xml:space="preserve"> </w:t>
      </w:r>
    </w:p>
  </w:footnote>
  <w:footnote w:id="11">
    <w:p w14:paraId="64AA613B" w14:textId="379D93C1" w:rsidR="00146958" w:rsidRPr="003B4EBE" w:rsidRDefault="00146958" w:rsidP="002C462C">
      <w:pPr>
        <w:pStyle w:val="Textonotapie"/>
        <w:jc w:val="both"/>
        <w:rPr>
          <w:rFonts w:ascii="Verdana" w:hAnsi="Verdana"/>
          <w:sz w:val="16"/>
          <w:szCs w:val="16"/>
        </w:rPr>
      </w:pPr>
      <w:r w:rsidRPr="00F66526">
        <w:rPr>
          <w:rStyle w:val="Refdenotaalpie"/>
          <w:rFonts w:ascii="Verdana" w:hAnsi="Verdana"/>
          <w:sz w:val="16"/>
          <w:szCs w:val="16"/>
        </w:rPr>
        <w:footnoteRef/>
      </w:r>
      <w:r w:rsidRPr="00F66526">
        <w:rPr>
          <w:rFonts w:ascii="Verdana" w:hAnsi="Verdana"/>
          <w:sz w:val="16"/>
          <w:szCs w:val="16"/>
        </w:rPr>
        <w:t xml:space="preserve"> </w:t>
      </w:r>
      <w:r w:rsidRPr="00F66526">
        <w:rPr>
          <w:rFonts w:ascii="Verdana" w:hAnsi="Verdana"/>
          <w:sz w:val="16"/>
          <w:szCs w:val="16"/>
        </w:rPr>
        <w:tab/>
      </w:r>
      <w:r w:rsidRPr="00CD5C54">
        <w:rPr>
          <w:rFonts w:ascii="Verdana" w:hAnsi="Verdana"/>
          <w:i/>
          <w:sz w:val="16"/>
          <w:szCs w:val="16"/>
          <w:lang w:val="es-CR"/>
        </w:rPr>
        <w:t>Cfr.</w:t>
      </w:r>
      <w:r w:rsidRPr="00F66526">
        <w:rPr>
          <w:rFonts w:ascii="Verdana" w:hAnsi="Verdana"/>
          <w:i/>
          <w:sz w:val="16"/>
          <w:szCs w:val="16"/>
          <w:lang w:val="es-CR"/>
        </w:rPr>
        <w:t xml:space="preserve"> Alvarado Espinoza y otros Vs. México. Reconsideración de Convocatoria a audiencia.</w:t>
      </w:r>
      <w:r w:rsidRPr="00F66526">
        <w:rPr>
          <w:rFonts w:ascii="Verdana" w:hAnsi="Verdana"/>
          <w:sz w:val="16"/>
          <w:szCs w:val="16"/>
          <w:lang w:val="es-CR"/>
        </w:rPr>
        <w:t xml:space="preserve"> Resolución de la Corte </w:t>
      </w:r>
      <w:r>
        <w:rPr>
          <w:rFonts w:ascii="Verdana" w:hAnsi="Verdana"/>
          <w:sz w:val="16"/>
          <w:szCs w:val="16"/>
          <w:lang w:val="es-CR"/>
        </w:rPr>
        <w:t>IDH</w:t>
      </w:r>
      <w:r w:rsidRPr="00F66526">
        <w:rPr>
          <w:rFonts w:ascii="Verdana" w:hAnsi="Verdana"/>
          <w:sz w:val="16"/>
          <w:szCs w:val="16"/>
          <w:lang w:val="es-CR"/>
        </w:rPr>
        <w:t xml:space="preserve"> de 23 de abril de 2018. Disponible en: </w:t>
      </w:r>
      <w:hyperlink r:id="rId3" w:history="1">
        <w:r w:rsidRPr="00F66526">
          <w:rPr>
            <w:rStyle w:val="Hipervnculo"/>
            <w:rFonts w:ascii="Verdana" w:hAnsi="Verdana"/>
            <w:sz w:val="16"/>
            <w:szCs w:val="16"/>
            <w:lang w:val="es-CR"/>
          </w:rPr>
          <w:t>http://www.corteidh.or.cr/docs/asuntos/alvarado_23_04_18.pdf</w:t>
        </w:r>
      </w:hyperlink>
      <w:r w:rsidRPr="00531EF3">
        <w:rPr>
          <w:rFonts w:ascii="Verdana" w:hAnsi="Verdana"/>
          <w:sz w:val="16"/>
          <w:szCs w:val="16"/>
          <w:lang w:val="es-CR"/>
        </w:rPr>
        <w:t xml:space="preserve"> </w:t>
      </w:r>
    </w:p>
  </w:footnote>
  <w:footnote w:id="12">
    <w:p w14:paraId="64AA613C" w14:textId="77777777" w:rsidR="00146958" w:rsidRPr="00432ABC" w:rsidRDefault="00146958" w:rsidP="00757DF0">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A esta audiencia comparecieron: a) por la Comisión Interamericana:</w:t>
      </w:r>
      <w:r w:rsidRPr="00432ABC">
        <w:rPr>
          <w:rFonts w:ascii="Verdana" w:hAnsi="Verdana"/>
          <w:sz w:val="16"/>
          <w:szCs w:val="16"/>
          <w:lang w:eastAsia="es-ES"/>
        </w:rPr>
        <w:t xml:space="preserve"> la Presidenta de la Comisión, Margarette May Macaulay</w:t>
      </w:r>
      <w:r w:rsidRPr="002C462C">
        <w:rPr>
          <w:rFonts w:ascii="Verdana" w:hAnsi="Verdana"/>
          <w:sz w:val="16"/>
          <w:szCs w:val="16"/>
        </w:rPr>
        <w:t>, y la abogada de la Secretaría Ejecutiva, Silvia Serrano Guzmán y el abogado Christian González Chacón; b) por las representantes de las presuntas víctimas: la señora Ruth Fierro Pineda, CEDEHM; el señor Gabino Gómez Escárcega, CEDEHM; la señora María Alejandra Nuño Ruiz Velasco, CEDEHM; el señor Pbro. Oscar Enríquez Pérez, CDHPN;</w:t>
      </w:r>
      <w:r w:rsidRPr="00432ABC">
        <w:rPr>
          <w:rFonts w:ascii="Verdana" w:hAnsi="Verdana"/>
          <w:sz w:val="16"/>
          <w:szCs w:val="16"/>
        </w:rPr>
        <w:t xml:space="preserve"> el señor Cesario Tarín Valdés, CDHPN; y el señor Carlos Spector, MexenExs, y c) por el Estado de México: el señor Melquíades Morales Flores, Embajador de México y Agente; el señor Alejandro Alday González, Consultor Jurídico de la Secretaría de Relaciones Exteriores y  Agente; el señor Erasmo A. Lara Cabrera, Director General de Derechos Humanos y Democracia de la Secretaría de Relaciones Exteriores y Agente; la señora Mariana Salazar Albornoz, Coordinadora de Derecho Internacional Público, Consultoría Jurídica, Secretaría de Relaciones Exteriores; el señor Carlos Uriel Salas Segovia, Director de Casos de la Secretaría de Relaciones Exteriores; el señor Carlos Antonio Cruz Carrillo, Jefe de Departamento de Casos de la Secretaría de Relaciones Exteriores; la señora Rosalinda Salinas Durán, Directora General Adjunta de la Unidad de Derechos Humanos de la Secretaría de Gobernación; la señora Viridiana Monserrat González Muñiz, Subdirectora del Área de la Unidad de Derechos Humanos de la Secretaría de Gobernación; el General de Brigada de Justicia Militar Carlos Beltrán Benites, Director General de Derechos Humanos de la Secretaría de la Defensa Nacional; el Mayor Rogelio Gutiérrez, Dirección General de Derechos Humanos de la Secretaría de la Defensa Nacional; la señora Sara Irene Herrerías Guerra, Subprocuradora de Derechos Humanos de la Procuraduría General de la República;  el señor Guillermo Fonseca Leal, Coordinador de Asuntos Internacionales y Agregadurías de la Procuraduría General de la República; la señora Miriam Heredia Zertuche, Directora General Adjunta de Asuntos Internacionales de la Procuraduría General de la República; el señor José Antonio Pérez Bravo, Coordinador de Asesores de la Subprocuraduría de Derechos Humanos, Prevención del Delito y Servicios a la Comunidad de la Procuraduría General de la República; el señor Genaro Adrián Alzate Bahena, Fiscal Coordinador Mixto de la Unidad para la Implementación del Sistema Procesal Penal Acusatorio de la Procuraduría General de la República; el señor Sergio Castro Guevara, Agente del Ministerio Público Especializado en Litigación Oral de la Fiscalía General de Chihuahua, y el señor Óscar Francisco Holguín González, encargado de asuntos políticos, jurídicos y de prensa de la embajada de México.</w:t>
      </w:r>
    </w:p>
  </w:footnote>
  <w:footnote w:id="13">
    <w:p w14:paraId="64AA613D" w14:textId="2EEC1FAC" w:rsidR="00146958" w:rsidRPr="00757DF0" w:rsidRDefault="00146958" w:rsidP="00757DF0">
      <w:pPr>
        <w:pStyle w:val="Textonotapie"/>
        <w:jc w:val="both"/>
        <w:rPr>
          <w:rFonts w:ascii="Verdana" w:hAnsi="Verdana" w:cstheme="minorHAnsi"/>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cstheme="minorHAnsi"/>
          <w:sz w:val="16"/>
          <w:szCs w:val="16"/>
        </w:rPr>
        <w:tab/>
      </w:r>
      <w:r w:rsidRPr="00757DF0">
        <w:rPr>
          <w:rFonts w:ascii="Verdana" w:hAnsi="Verdana" w:cstheme="minorHAnsi"/>
          <w:sz w:val="16"/>
          <w:szCs w:val="16"/>
        </w:rPr>
        <w:t>El escrito presenta un análisis al derecho a la verdad en el marco de desapariciones forzadas y aborda la problemática de no contar con un concepto un</w:t>
      </w:r>
      <w:r w:rsidRPr="0063619F">
        <w:rPr>
          <w:rFonts w:ascii="Verdana" w:hAnsi="Verdana" w:cstheme="minorHAnsi"/>
          <w:sz w:val="16"/>
          <w:szCs w:val="16"/>
        </w:rPr>
        <w:t xml:space="preserve">ánime a nivel internacional de “víctima”, resultando una medida gravosa para los familiares el tener que demostrar </w:t>
      </w:r>
      <w:r w:rsidRPr="005E5714">
        <w:rPr>
          <w:rFonts w:ascii="Verdana" w:hAnsi="Verdana" w:cstheme="minorHAnsi"/>
          <w:sz w:val="16"/>
          <w:szCs w:val="16"/>
        </w:rPr>
        <w:t>“su grado de afectación o da</w:t>
      </w:r>
      <w:r w:rsidRPr="00061E19">
        <w:rPr>
          <w:rFonts w:ascii="Verdana" w:hAnsi="Verdana" w:cstheme="minorHAnsi"/>
          <w:sz w:val="16"/>
          <w:szCs w:val="16"/>
        </w:rPr>
        <w:t>ño” para ser considerados víctimas indirectas</w:t>
      </w:r>
      <w:r w:rsidRPr="009F0486">
        <w:rPr>
          <w:rFonts w:ascii="Verdana" w:hAnsi="Verdana" w:cstheme="minorHAnsi"/>
          <w:sz w:val="16"/>
          <w:szCs w:val="16"/>
        </w:rPr>
        <w:t>. Se puntualiza la necesidad de fijar estándares internacio</w:t>
      </w:r>
      <w:r w:rsidRPr="00FA3B0E">
        <w:rPr>
          <w:rFonts w:ascii="Verdana" w:hAnsi="Verdana" w:cstheme="minorHAnsi"/>
          <w:sz w:val="16"/>
          <w:szCs w:val="16"/>
        </w:rPr>
        <w:t xml:space="preserve">nales en materia de reparación. </w:t>
      </w:r>
    </w:p>
  </w:footnote>
  <w:footnote w:id="14">
    <w:p w14:paraId="64AA613E" w14:textId="73FFCEE5" w:rsidR="00146958" w:rsidRPr="0063619F" w:rsidRDefault="00146958" w:rsidP="00757DF0">
      <w:pPr>
        <w:pStyle w:val="Textonotapie"/>
        <w:jc w:val="both"/>
        <w:rPr>
          <w:rFonts w:ascii="Verdana" w:hAnsi="Verdana" w:cstheme="minorHAnsi"/>
          <w:iCs/>
          <w:sz w:val="16"/>
          <w:szCs w:val="16"/>
        </w:rPr>
      </w:pPr>
      <w:r w:rsidRPr="00757DF0">
        <w:rPr>
          <w:rStyle w:val="Refdenotaalpie"/>
          <w:rFonts w:ascii="Verdana" w:hAnsi="Verdana" w:cstheme="minorHAnsi"/>
          <w:sz w:val="16"/>
          <w:szCs w:val="16"/>
        </w:rPr>
        <w:footnoteRef/>
      </w:r>
      <w:r w:rsidRPr="00757DF0">
        <w:rPr>
          <w:rFonts w:ascii="Verdana" w:hAnsi="Verdana" w:cstheme="minorHAnsi"/>
          <w:sz w:val="16"/>
          <w:szCs w:val="16"/>
        </w:rPr>
        <w:t xml:space="preserve"> </w:t>
      </w:r>
      <w:r w:rsidRPr="00757DF0">
        <w:rPr>
          <w:rFonts w:ascii="Verdana" w:hAnsi="Verdana" w:cstheme="minorHAnsi"/>
          <w:sz w:val="16"/>
          <w:szCs w:val="16"/>
        </w:rPr>
        <w:tab/>
      </w:r>
      <w:r w:rsidRPr="00757DF0">
        <w:rPr>
          <w:rFonts w:ascii="Verdana" w:hAnsi="Verdana" w:cstheme="minorHAnsi"/>
          <w:iCs/>
          <w:sz w:val="16"/>
          <w:szCs w:val="16"/>
        </w:rPr>
        <w:t xml:space="preserve">El escrito trata de la militarización y violencia durante el Operativo Conjunto Chihuahua. Detalla que las reformas del Código de Justicia Militar y la Ley de Seguridad </w:t>
      </w:r>
      <w:r>
        <w:rPr>
          <w:rFonts w:ascii="Verdana" w:hAnsi="Verdana" w:cstheme="minorHAnsi"/>
          <w:iCs/>
          <w:sz w:val="16"/>
          <w:szCs w:val="16"/>
        </w:rPr>
        <w:t xml:space="preserve">Interior </w:t>
      </w:r>
      <w:r w:rsidRPr="00757DF0">
        <w:rPr>
          <w:rFonts w:ascii="Verdana" w:hAnsi="Verdana" w:cstheme="minorHAnsi"/>
          <w:iCs/>
          <w:sz w:val="16"/>
          <w:szCs w:val="16"/>
        </w:rPr>
        <w:t xml:space="preserve">son incompatibles con los estándares interamericanos </w:t>
      </w:r>
      <w:r>
        <w:rPr>
          <w:rFonts w:ascii="Verdana" w:hAnsi="Verdana" w:cstheme="minorHAnsi"/>
          <w:iCs/>
          <w:sz w:val="16"/>
          <w:szCs w:val="16"/>
        </w:rPr>
        <w:t xml:space="preserve">sobre </w:t>
      </w:r>
      <w:r w:rsidRPr="00757DF0">
        <w:rPr>
          <w:rFonts w:ascii="Verdana" w:hAnsi="Verdana" w:cstheme="minorHAnsi"/>
          <w:iCs/>
          <w:sz w:val="16"/>
          <w:szCs w:val="16"/>
        </w:rPr>
        <w:t xml:space="preserve">el uso de la fuerza. </w:t>
      </w:r>
    </w:p>
  </w:footnote>
  <w:footnote w:id="15">
    <w:p w14:paraId="64AA613F" w14:textId="0A2C114C" w:rsidR="00146958" w:rsidRPr="00757DF0" w:rsidRDefault="00146958" w:rsidP="00757DF0">
      <w:pPr>
        <w:pStyle w:val="Textonotapie"/>
        <w:jc w:val="both"/>
        <w:rPr>
          <w:rFonts w:ascii="Verdana" w:hAnsi="Verdana" w:cstheme="minorHAnsi"/>
          <w:iCs/>
          <w:sz w:val="16"/>
          <w:szCs w:val="16"/>
        </w:rPr>
      </w:pPr>
      <w:r w:rsidRPr="00757DF0">
        <w:rPr>
          <w:rStyle w:val="Refdenotaalpie"/>
          <w:rFonts w:ascii="Verdana" w:hAnsi="Verdana" w:cstheme="minorHAnsi"/>
          <w:sz w:val="16"/>
          <w:szCs w:val="16"/>
        </w:rPr>
        <w:footnoteRef/>
      </w:r>
      <w:r w:rsidRPr="00757DF0">
        <w:rPr>
          <w:rFonts w:ascii="Verdana" w:hAnsi="Verdana" w:cstheme="minorHAnsi"/>
          <w:sz w:val="16"/>
          <w:szCs w:val="16"/>
        </w:rPr>
        <w:t xml:space="preserve"> </w:t>
      </w:r>
      <w:r w:rsidRPr="00757DF0">
        <w:rPr>
          <w:rFonts w:ascii="Verdana" w:hAnsi="Verdana" w:cstheme="minorHAnsi"/>
          <w:sz w:val="16"/>
          <w:szCs w:val="16"/>
        </w:rPr>
        <w:tab/>
      </w:r>
      <w:r w:rsidRPr="00757DF0">
        <w:rPr>
          <w:rFonts w:ascii="Verdana" w:hAnsi="Verdana" w:cstheme="minorHAnsi"/>
          <w:iCs/>
          <w:sz w:val="16"/>
          <w:szCs w:val="16"/>
        </w:rPr>
        <w:t>El escrito trata de la supuesta militarización y eventuales graves violaciones a derechos humanos en M</w:t>
      </w:r>
      <w:r w:rsidRPr="008D0846">
        <w:rPr>
          <w:rFonts w:ascii="Verdana" w:hAnsi="Verdana" w:cs="Arial"/>
          <w:iCs/>
          <w:sz w:val="16"/>
          <w:szCs w:val="16"/>
        </w:rPr>
        <w:t>éxico que habría</w:t>
      </w:r>
      <w:r>
        <w:rPr>
          <w:rFonts w:ascii="Verdana" w:hAnsi="Verdana" w:cs="Arial"/>
          <w:iCs/>
          <w:sz w:val="16"/>
          <w:szCs w:val="16"/>
        </w:rPr>
        <w:t xml:space="preserve"> traído consigo. Adicionalmente aborda la manera diferenciada en que se ve afectada la población femenina y masculina, debido al patrón de violencia y desigualdad de género en dicho contexto.</w:t>
      </w:r>
      <w:r w:rsidRPr="008D0846">
        <w:rPr>
          <w:rFonts w:ascii="Verdana" w:hAnsi="Verdana" w:cs="Arial"/>
          <w:iCs/>
          <w:sz w:val="16"/>
          <w:szCs w:val="16"/>
        </w:rPr>
        <w:t xml:space="preserve"> </w:t>
      </w:r>
    </w:p>
  </w:footnote>
  <w:footnote w:id="16">
    <w:p w14:paraId="64AA6140" w14:textId="77777777" w:rsidR="00146958" w:rsidRPr="0063619F" w:rsidRDefault="00146958" w:rsidP="00757DF0">
      <w:pPr>
        <w:pStyle w:val="Textonotapie"/>
        <w:jc w:val="both"/>
        <w:rPr>
          <w:rFonts w:ascii="Verdana" w:hAnsi="Verdana" w:cstheme="minorHAnsi"/>
          <w:sz w:val="16"/>
          <w:szCs w:val="16"/>
        </w:rPr>
      </w:pPr>
      <w:r w:rsidRPr="00757DF0">
        <w:rPr>
          <w:rStyle w:val="Refdenotaalpie"/>
          <w:rFonts w:ascii="Verdana" w:hAnsi="Verdana" w:cstheme="minorHAnsi"/>
          <w:sz w:val="16"/>
          <w:szCs w:val="16"/>
        </w:rPr>
        <w:footnoteRef/>
      </w:r>
      <w:r w:rsidRPr="00757DF0">
        <w:rPr>
          <w:rFonts w:ascii="Verdana" w:hAnsi="Verdana" w:cstheme="minorHAnsi"/>
          <w:sz w:val="16"/>
          <w:szCs w:val="16"/>
        </w:rPr>
        <w:t xml:space="preserve"> </w:t>
      </w:r>
      <w:r w:rsidRPr="00757DF0">
        <w:rPr>
          <w:rFonts w:ascii="Verdana" w:hAnsi="Verdana" w:cstheme="minorHAnsi"/>
          <w:sz w:val="16"/>
          <w:szCs w:val="16"/>
        </w:rPr>
        <w:tab/>
        <w:t xml:space="preserve">El escrito versa sobre la falta de límites para el uso de la fuerza militar de la Ley de Seguridad Interior y el riesgo que representa para los derechos de civiles que puedan ser violados  por parte de los militares durante la lucha contra la delincuencia </w:t>
      </w:r>
      <w:r w:rsidRPr="0063619F">
        <w:rPr>
          <w:rFonts w:ascii="Verdana" w:hAnsi="Verdana" w:cstheme="minorHAnsi"/>
          <w:sz w:val="16"/>
          <w:szCs w:val="16"/>
        </w:rPr>
        <w:t xml:space="preserve">organizada. </w:t>
      </w:r>
    </w:p>
  </w:footnote>
  <w:footnote w:id="17">
    <w:p w14:paraId="64AA6141" w14:textId="3B1309A5" w:rsidR="00146958" w:rsidRPr="00432ABC" w:rsidRDefault="00146958" w:rsidP="00757DF0">
      <w:pPr>
        <w:pStyle w:val="Textonotapie"/>
        <w:jc w:val="both"/>
        <w:rPr>
          <w:rFonts w:ascii="Verdana" w:hAnsi="Verdana" w:cstheme="minorHAnsi"/>
          <w:sz w:val="16"/>
          <w:szCs w:val="16"/>
        </w:rPr>
      </w:pPr>
      <w:r w:rsidRPr="00757DF0">
        <w:rPr>
          <w:rStyle w:val="Refdenotaalpie"/>
          <w:rFonts w:ascii="Verdana" w:hAnsi="Verdana" w:cstheme="minorHAnsi"/>
          <w:sz w:val="16"/>
          <w:szCs w:val="16"/>
        </w:rPr>
        <w:footnoteRef/>
      </w:r>
      <w:r w:rsidRPr="00757DF0">
        <w:rPr>
          <w:rFonts w:ascii="Verdana" w:hAnsi="Verdana" w:cstheme="minorHAnsi"/>
          <w:sz w:val="16"/>
          <w:szCs w:val="16"/>
        </w:rPr>
        <w:t xml:space="preserve"> </w:t>
      </w:r>
      <w:r w:rsidRPr="00757DF0">
        <w:rPr>
          <w:rFonts w:ascii="Verdana" w:hAnsi="Verdana" w:cstheme="minorHAnsi"/>
          <w:sz w:val="16"/>
          <w:szCs w:val="16"/>
        </w:rPr>
        <w:tab/>
        <w:t>El escrito analiza la correlación entre el despliegue de las fuerzas armadas, la violencia y las violaciones de los derechos humanos. Además destaca un patrón de impunidad por parte del Estado mexicano.</w:t>
      </w:r>
      <w:r w:rsidRPr="00432ABC">
        <w:rPr>
          <w:rFonts w:ascii="Verdana" w:hAnsi="Verdana" w:cstheme="minorHAnsi"/>
          <w:sz w:val="16"/>
          <w:szCs w:val="16"/>
        </w:rPr>
        <w:t xml:space="preserve">  </w:t>
      </w:r>
    </w:p>
  </w:footnote>
  <w:footnote w:id="18">
    <w:p w14:paraId="64AA6142" w14:textId="6465E55E" w:rsidR="00146958" w:rsidRPr="0063619F" w:rsidRDefault="00146958" w:rsidP="0063619F">
      <w:pPr>
        <w:pStyle w:val="Textonotapie"/>
        <w:jc w:val="both"/>
        <w:rPr>
          <w:rFonts w:ascii="Verdana" w:hAnsi="Verdana" w:cstheme="minorHAnsi"/>
          <w:sz w:val="16"/>
          <w:szCs w:val="16"/>
        </w:rPr>
      </w:pPr>
      <w:r w:rsidRPr="00432ABC">
        <w:rPr>
          <w:rStyle w:val="Refdenotaalpie"/>
          <w:rFonts w:ascii="Verdana" w:hAnsi="Verdana" w:cstheme="minorHAnsi"/>
          <w:sz w:val="16"/>
          <w:szCs w:val="16"/>
        </w:rPr>
        <w:footnoteRef/>
      </w:r>
      <w:r w:rsidRPr="00432ABC">
        <w:rPr>
          <w:rFonts w:ascii="Verdana" w:hAnsi="Verdana" w:cstheme="minorHAnsi"/>
          <w:sz w:val="16"/>
          <w:szCs w:val="16"/>
        </w:rPr>
        <w:t xml:space="preserve"> </w:t>
      </w:r>
      <w:r w:rsidRPr="00432ABC">
        <w:rPr>
          <w:rFonts w:ascii="Verdana" w:hAnsi="Verdana" w:cstheme="minorHAnsi"/>
          <w:sz w:val="16"/>
          <w:szCs w:val="16"/>
        </w:rPr>
        <w:tab/>
      </w:r>
      <w:r w:rsidRPr="0063619F">
        <w:rPr>
          <w:rFonts w:ascii="Verdana" w:hAnsi="Verdana" w:cstheme="minorHAnsi"/>
          <w:sz w:val="16"/>
          <w:szCs w:val="16"/>
        </w:rPr>
        <w:t xml:space="preserve">El escrito trata sobre las obligaciones de los Estados de proteger los derechos a la seguridad pública y la seguridad personal, específicamente, destaca dicha responsabilidad para las mujeres que son vulnerables al abuso de estos derechos por el ámbito sociocultural. </w:t>
      </w:r>
    </w:p>
  </w:footnote>
  <w:footnote w:id="19">
    <w:p w14:paraId="64AA6143" w14:textId="77777777" w:rsidR="00146958" w:rsidRPr="00061E19" w:rsidRDefault="00146958" w:rsidP="0063619F">
      <w:pPr>
        <w:pStyle w:val="Textonotapie"/>
        <w:jc w:val="both"/>
        <w:rPr>
          <w:rFonts w:ascii="Verdana" w:hAnsi="Verdana" w:cstheme="minorHAnsi"/>
          <w:sz w:val="16"/>
          <w:szCs w:val="16"/>
        </w:rPr>
      </w:pPr>
      <w:r w:rsidRPr="0063619F">
        <w:rPr>
          <w:rStyle w:val="Refdenotaalpie"/>
          <w:rFonts w:ascii="Verdana" w:hAnsi="Verdana" w:cstheme="minorHAnsi"/>
          <w:sz w:val="16"/>
          <w:szCs w:val="16"/>
        </w:rPr>
        <w:footnoteRef/>
      </w:r>
      <w:r w:rsidRPr="0063619F">
        <w:rPr>
          <w:rFonts w:ascii="Verdana" w:hAnsi="Verdana" w:cstheme="minorHAnsi"/>
          <w:sz w:val="16"/>
          <w:szCs w:val="16"/>
        </w:rPr>
        <w:t xml:space="preserve"> </w:t>
      </w:r>
      <w:r w:rsidRPr="0063619F">
        <w:rPr>
          <w:rFonts w:ascii="Verdana" w:hAnsi="Verdana" w:cstheme="minorHAnsi"/>
          <w:sz w:val="16"/>
          <w:szCs w:val="16"/>
        </w:rPr>
        <w:tab/>
        <w:t xml:space="preserve">El escrito realiza una crítica a la Ley de Seguridad Interior por la falta de garantía a los derechos humanos en los casos de desaparición forzada, y sugiere que el amparo o un sistema parecido a </w:t>
      </w:r>
      <w:r w:rsidRPr="008D0846">
        <w:rPr>
          <w:rFonts w:ascii="Verdana" w:hAnsi="Verdana" w:cstheme="minorHAnsi"/>
          <w:i/>
          <w:sz w:val="16"/>
          <w:szCs w:val="16"/>
        </w:rPr>
        <w:t>Habeas Corpus</w:t>
      </w:r>
      <w:r w:rsidRPr="0063619F">
        <w:rPr>
          <w:rFonts w:ascii="Verdana" w:hAnsi="Verdana" w:cstheme="minorHAnsi"/>
          <w:sz w:val="16"/>
          <w:szCs w:val="16"/>
        </w:rPr>
        <w:t xml:space="preserve"> aumenten el poder de los tribunales para ayudar en la</w:t>
      </w:r>
      <w:r w:rsidRPr="005E5714">
        <w:rPr>
          <w:rFonts w:ascii="Verdana" w:hAnsi="Verdana" w:cstheme="minorHAnsi"/>
          <w:sz w:val="16"/>
          <w:szCs w:val="16"/>
        </w:rPr>
        <w:t xml:space="preserve"> búsqueda efectiva de los desap</w:t>
      </w:r>
      <w:r w:rsidRPr="00061E19">
        <w:rPr>
          <w:rFonts w:ascii="Verdana" w:hAnsi="Verdana" w:cstheme="minorHAnsi"/>
          <w:sz w:val="16"/>
          <w:szCs w:val="16"/>
        </w:rPr>
        <w:t>arecidos.</w:t>
      </w:r>
    </w:p>
  </w:footnote>
  <w:footnote w:id="20">
    <w:p w14:paraId="64AA6144" w14:textId="14735993" w:rsidR="00146958" w:rsidRPr="0063619F" w:rsidRDefault="00146958" w:rsidP="0063619F">
      <w:pPr>
        <w:pStyle w:val="Textonotapie"/>
        <w:jc w:val="both"/>
        <w:rPr>
          <w:rFonts w:ascii="Verdana" w:hAnsi="Verdana" w:cstheme="minorHAnsi"/>
          <w:sz w:val="16"/>
          <w:szCs w:val="16"/>
        </w:rPr>
      </w:pPr>
      <w:r w:rsidRPr="0063619F">
        <w:rPr>
          <w:rStyle w:val="Refdenotaalpie"/>
          <w:rFonts w:ascii="Verdana" w:hAnsi="Verdana" w:cstheme="minorHAnsi"/>
          <w:sz w:val="16"/>
          <w:szCs w:val="16"/>
        </w:rPr>
        <w:footnoteRef/>
      </w:r>
      <w:r w:rsidRPr="0063619F">
        <w:rPr>
          <w:rFonts w:ascii="Verdana" w:hAnsi="Verdana" w:cstheme="minorHAnsi"/>
          <w:sz w:val="16"/>
          <w:szCs w:val="16"/>
        </w:rPr>
        <w:t xml:space="preserve"> </w:t>
      </w:r>
      <w:r w:rsidRPr="0063619F">
        <w:rPr>
          <w:rFonts w:ascii="Verdana" w:hAnsi="Verdana" w:cstheme="minorHAnsi"/>
          <w:sz w:val="16"/>
          <w:szCs w:val="16"/>
        </w:rPr>
        <w:tab/>
        <w:t xml:space="preserve">El escrito establece que la Ley de Seguridad Interior aún sigue perpetuando un patrón de violaciones a los derechos humanos porque no pone límites a las fuerzas armadas con respecto al tiempo que se puedan utilizar, a dónde pueden ir o términos específicos que detallen sus responsabilidades, límites territoriales ni una misión claramente definida para limitar las tareas de las fuerzas armadas. </w:t>
      </w:r>
    </w:p>
  </w:footnote>
  <w:footnote w:id="21">
    <w:p w14:paraId="64AA6145" w14:textId="57248B18" w:rsidR="00146958" w:rsidRPr="00880A3E" w:rsidRDefault="00146958" w:rsidP="0063619F">
      <w:pPr>
        <w:pStyle w:val="Textonotapie"/>
        <w:jc w:val="both"/>
        <w:rPr>
          <w:rFonts w:ascii="Verdana" w:hAnsi="Verdana" w:cstheme="minorHAnsi"/>
          <w:sz w:val="16"/>
          <w:szCs w:val="16"/>
        </w:rPr>
      </w:pPr>
      <w:r w:rsidRPr="0063619F">
        <w:rPr>
          <w:rStyle w:val="Refdenotaalpie"/>
          <w:rFonts w:ascii="Verdana" w:hAnsi="Verdana" w:cstheme="minorHAnsi"/>
          <w:sz w:val="16"/>
          <w:szCs w:val="16"/>
        </w:rPr>
        <w:footnoteRef/>
      </w:r>
      <w:r w:rsidRPr="0063619F">
        <w:rPr>
          <w:rFonts w:ascii="Verdana" w:hAnsi="Verdana" w:cstheme="minorHAnsi"/>
          <w:sz w:val="16"/>
          <w:szCs w:val="16"/>
        </w:rPr>
        <w:t xml:space="preserve"> </w:t>
      </w:r>
      <w:r w:rsidRPr="0063619F">
        <w:rPr>
          <w:rFonts w:ascii="Verdana" w:hAnsi="Verdana" w:cstheme="minorHAnsi"/>
          <w:sz w:val="16"/>
          <w:szCs w:val="16"/>
        </w:rPr>
        <w:tab/>
        <w:t>El escrito analiza la Ley General en Materia de Desaparición Forzada de Personas, Desaparición Cometida por Particulares y del Sistema Nacional de Búsqueda de Personas. Se menciona que dicha ley “fue influenciada” por el “Movimiento</w:t>
      </w:r>
      <w:r w:rsidRPr="005E5714">
        <w:rPr>
          <w:rFonts w:ascii="Verdana" w:hAnsi="Verdana" w:cstheme="minorHAnsi"/>
          <w:sz w:val="16"/>
          <w:szCs w:val="16"/>
        </w:rPr>
        <w:t xml:space="preserve"> por Nuestros Desaparecidos en M</w:t>
      </w:r>
      <w:r w:rsidRPr="00061E19">
        <w:rPr>
          <w:rFonts w:ascii="Verdana" w:hAnsi="Verdana" w:cstheme="minorHAnsi"/>
          <w:sz w:val="16"/>
          <w:szCs w:val="16"/>
        </w:rPr>
        <w:t>éxico”</w:t>
      </w:r>
      <w:r>
        <w:rPr>
          <w:rFonts w:ascii="Verdana" w:hAnsi="Verdana" w:cstheme="minorHAnsi"/>
          <w:sz w:val="16"/>
          <w:szCs w:val="16"/>
        </w:rPr>
        <w:t xml:space="preserve">. </w:t>
      </w:r>
      <w:r w:rsidRPr="00FA3B0E">
        <w:rPr>
          <w:rFonts w:ascii="Verdana" w:hAnsi="Verdana" w:cstheme="minorHAnsi"/>
          <w:sz w:val="16"/>
          <w:szCs w:val="16"/>
        </w:rPr>
        <w:t xml:space="preserve">El </w:t>
      </w:r>
      <w:r w:rsidRPr="0063619F">
        <w:rPr>
          <w:rFonts w:ascii="Verdana" w:hAnsi="Verdana" w:cstheme="minorHAnsi"/>
          <w:sz w:val="16"/>
          <w:szCs w:val="16"/>
        </w:rPr>
        <w:t>objeto de la mencionada ley era “coordinar métodos para prevenir, sancionar y erradicar la desaparición forzada”, así como y garantizar la reparación a las víctimas y la no repetición de tales hechos. Sin embargo, el “Movimiento” señala que existe una falta de inter</w:t>
      </w:r>
      <w:r w:rsidRPr="008D0846">
        <w:rPr>
          <w:rFonts w:ascii="Verdana" w:hAnsi="Verdana" w:cs="Arial"/>
          <w:sz w:val="16"/>
          <w:szCs w:val="16"/>
        </w:rPr>
        <w:t xml:space="preserve">és, </w:t>
      </w:r>
      <w:r w:rsidRPr="0063619F">
        <w:rPr>
          <w:rFonts w:ascii="Verdana" w:hAnsi="Verdana" w:cstheme="minorHAnsi"/>
          <w:sz w:val="16"/>
          <w:szCs w:val="16"/>
        </w:rPr>
        <w:t>coordinación, colaboración e intercambio de información entre l</w:t>
      </w:r>
      <w:r w:rsidRPr="00880A3E">
        <w:rPr>
          <w:rFonts w:ascii="Verdana" w:hAnsi="Verdana" w:cstheme="minorHAnsi"/>
          <w:sz w:val="16"/>
          <w:szCs w:val="16"/>
        </w:rPr>
        <w:t xml:space="preserve">as autoridades. </w:t>
      </w:r>
    </w:p>
  </w:footnote>
  <w:footnote w:id="22">
    <w:p w14:paraId="64AA6146" w14:textId="77777777" w:rsidR="00146958" w:rsidRPr="00061E19" w:rsidRDefault="00146958" w:rsidP="0063619F">
      <w:pPr>
        <w:pStyle w:val="Textonotapie"/>
        <w:jc w:val="both"/>
        <w:rPr>
          <w:rFonts w:ascii="Verdana" w:hAnsi="Verdana" w:cstheme="minorHAnsi"/>
          <w:sz w:val="16"/>
          <w:szCs w:val="16"/>
        </w:rPr>
      </w:pPr>
      <w:r w:rsidRPr="0063619F">
        <w:rPr>
          <w:rStyle w:val="Refdenotaalpie"/>
          <w:rFonts w:ascii="Verdana" w:hAnsi="Verdana" w:cstheme="minorHAnsi"/>
          <w:sz w:val="16"/>
          <w:szCs w:val="16"/>
        </w:rPr>
        <w:footnoteRef/>
      </w:r>
      <w:r w:rsidRPr="0063619F">
        <w:rPr>
          <w:rFonts w:ascii="Verdana" w:hAnsi="Verdana" w:cstheme="minorHAnsi"/>
          <w:sz w:val="16"/>
          <w:szCs w:val="16"/>
        </w:rPr>
        <w:t xml:space="preserve"> </w:t>
      </w:r>
      <w:r w:rsidRPr="0063619F">
        <w:rPr>
          <w:rFonts w:ascii="Verdana" w:hAnsi="Verdana" w:cstheme="minorHAnsi"/>
          <w:sz w:val="16"/>
          <w:szCs w:val="16"/>
        </w:rPr>
        <w:tab/>
        <w:t>El escrito se enfoca en las violaciones a los derechos humanos  en México y su relación con las fuerzas militares y la seguridad pública. Esta situación ha provocado impunidad de los responsables y la falta de investigaciones imparciales, independient</w:t>
      </w:r>
      <w:r w:rsidRPr="005E5714">
        <w:rPr>
          <w:rFonts w:ascii="Verdana" w:hAnsi="Verdana" w:cstheme="minorHAnsi"/>
          <w:sz w:val="16"/>
          <w:szCs w:val="16"/>
        </w:rPr>
        <w:t>es y com</w:t>
      </w:r>
      <w:r w:rsidRPr="00061E19">
        <w:rPr>
          <w:rFonts w:ascii="Verdana" w:hAnsi="Verdana" w:cstheme="minorHAnsi"/>
          <w:sz w:val="16"/>
          <w:szCs w:val="16"/>
        </w:rPr>
        <w:t xml:space="preserve">pletas. </w:t>
      </w:r>
    </w:p>
  </w:footnote>
  <w:footnote w:id="23">
    <w:p w14:paraId="64AA6147" w14:textId="71EFD991" w:rsidR="00146958" w:rsidRPr="00880A3E" w:rsidRDefault="00146958">
      <w:pPr>
        <w:pStyle w:val="Textonotapie"/>
        <w:jc w:val="both"/>
        <w:rPr>
          <w:rFonts w:ascii="Verdana" w:hAnsi="Verdana" w:cstheme="minorHAnsi"/>
          <w:sz w:val="16"/>
          <w:szCs w:val="16"/>
        </w:rPr>
      </w:pPr>
      <w:r w:rsidRPr="0063619F">
        <w:rPr>
          <w:rStyle w:val="Refdenotaalpie"/>
          <w:rFonts w:ascii="Verdana" w:hAnsi="Verdana" w:cstheme="minorHAnsi"/>
          <w:sz w:val="16"/>
          <w:szCs w:val="16"/>
        </w:rPr>
        <w:footnoteRef/>
      </w:r>
      <w:r w:rsidRPr="0063619F">
        <w:rPr>
          <w:rFonts w:ascii="Verdana" w:hAnsi="Verdana" w:cstheme="minorHAnsi"/>
          <w:sz w:val="16"/>
          <w:szCs w:val="16"/>
        </w:rPr>
        <w:t xml:space="preserve"> </w:t>
      </w:r>
      <w:r w:rsidRPr="0063619F">
        <w:rPr>
          <w:rFonts w:ascii="Verdana" w:hAnsi="Verdana" w:cstheme="minorHAnsi"/>
          <w:sz w:val="16"/>
          <w:szCs w:val="16"/>
        </w:rPr>
        <w:tab/>
        <w:t>El escrito describe el contexto del “Operativ</w:t>
      </w:r>
      <w:r w:rsidRPr="00880A3E">
        <w:rPr>
          <w:rFonts w:ascii="Verdana" w:hAnsi="Verdana" w:cstheme="minorHAnsi"/>
          <w:sz w:val="16"/>
          <w:szCs w:val="16"/>
        </w:rPr>
        <w:t>o Conjunto Chihuahua” y las supuestas violaciones a derechos humanos que desencadenó. Señala que la Ley de Seguridad Interior “da autorización a las fuerzas armadas para realizar operativos de seguridad id</w:t>
      </w:r>
      <w:r w:rsidRPr="008D0846">
        <w:rPr>
          <w:rFonts w:ascii="Verdana" w:hAnsi="Verdana" w:cs="Arial"/>
          <w:sz w:val="16"/>
          <w:szCs w:val="16"/>
        </w:rPr>
        <w:t>énticos al Operativo Conjunto Chihuahua”</w:t>
      </w:r>
      <w:r w:rsidRPr="0063619F">
        <w:rPr>
          <w:rFonts w:ascii="Verdana" w:hAnsi="Verdana" w:cstheme="minorHAnsi"/>
          <w:sz w:val="16"/>
          <w:szCs w:val="16"/>
        </w:rPr>
        <w:t>.</w:t>
      </w:r>
    </w:p>
  </w:footnote>
  <w:footnote w:id="24">
    <w:p w14:paraId="64AA6148" w14:textId="1FCB6AC0" w:rsidR="00146958" w:rsidRPr="00880A3E" w:rsidRDefault="00146958">
      <w:pPr>
        <w:pStyle w:val="Textonotapie"/>
        <w:jc w:val="both"/>
        <w:rPr>
          <w:rFonts w:ascii="Verdana" w:hAnsi="Verdana" w:cstheme="minorHAnsi"/>
          <w:sz w:val="16"/>
          <w:szCs w:val="16"/>
        </w:rPr>
      </w:pPr>
      <w:r w:rsidRPr="0063619F">
        <w:rPr>
          <w:rStyle w:val="Refdenotaalpie"/>
          <w:rFonts w:ascii="Verdana" w:hAnsi="Verdana" w:cstheme="minorHAnsi"/>
          <w:sz w:val="16"/>
          <w:szCs w:val="16"/>
        </w:rPr>
        <w:footnoteRef/>
      </w:r>
      <w:r w:rsidRPr="0063619F">
        <w:rPr>
          <w:rFonts w:ascii="Verdana" w:hAnsi="Verdana" w:cstheme="minorHAnsi"/>
          <w:sz w:val="16"/>
          <w:szCs w:val="16"/>
        </w:rPr>
        <w:t xml:space="preserve"> </w:t>
      </w:r>
      <w:r w:rsidRPr="0063619F">
        <w:rPr>
          <w:rFonts w:ascii="Verdana" w:hAnsi="Verdana" w:cstheme="minorHAnsi"/>
          <w:sz w:val="16"/>
          <w:szCs w:val="16"/>
        </w:rPr>
        <w:tab/>
        <w:t>El escrito</w:t>
      </w:r>
      <w:r>
        <w:rPr>
          <w:rFonts w:ascii="Verdana" w:hAnsi="Verdana" w:cstheme="minorHAnsi"/>
          <w:sz w:val="16"/>
          <w:szCs w:val="16"/>
        </w:rPr>
        <w:t>, firmado por Alma Guadalupe Melgarito Rocha</w:t>
      </w:r>
      <w:r w:rsidRPr="0063619F">
        <w:rPr>
          <w:rFonts w:ascii="Verdana" w:hAnsi="Verdana" w:cstheme="minorHAnsi"/>
          <w:sz w:val="16"/>
          <w:szCs w:val="16"/>
        </w:rPr>
        <w:t xml:space="preserve"> </w:t>
      </w:r>
      <w:r>
        <w:rPr>
          <w:rFonts w:ascii="Verdana" w:hAnsi="Verdana" w:cstheme="minorHAnsi"/>
          <w:sz w:val="16"/>
          <w:szCs w:val="16"/>
        </w:rPr>
        <w:t xml:space="preserve">señala </w:t>
      </w:r>
      <w:r w:rsidRPr="0063619F">
        <w:rPr>
          <w:rFonts w:ascii="Verdana" w:hAnsi="Verdana" w:cstheme="minorHAnsi"/>
          <w:sz w:val="16"/>
          <w:szCs w:val="16"/>
        </w:rPr>
        <w:t xml:space="preserve">el deber </w:t>
      </w:r>
      <w:r>
        <w:rPr>
          <w:rFonts w:ascii="Verdana" w:hAnsi="Verdana" w:cstheme="minorHAnsi"/>
          <w:sz w:val="16"/>
          <w:szCs w:val="16"/>
        </w:rPr>
        <w:t xml:space="preserve">que tiene el Estado </w:t>
      </w:r>
      <w:r w:rsidRPr="0063619F">
        <w:rPr>
          <w:rFonts w:ascii="Verdana" w:hAnsi="Verdana" w:cstheme="minorHAnsi"/>
          <w:sz w:val="16"/>
          <w:szCs w:val="16"/>
        </w:rPr>
        <w:t>mexicano para prevenir, investigar y sancionar en materia de desaparición forzada</w:t>
      </w:r>
      <w:r>
        <w:rPr>
          <w:rFonts w:ascii="Verdana" w:hAnsi="Verdana" w:cstheme="minorHAnsi"/>
          <w:sz w:val="16"/>
          <w:szCs w:val="16"/>
        </w:rPr>
        <w:t xml:space="preserve"> de personas. Menciona que</w:t>
      </w:r>
      <w:r w:rsidRPr="0063619F">
        <w:rPr>
          <w:rFonts w:ascii="Verdana" w:hAnsi="Verdana" w:cstheme="minorHAnsi"/>
          <w:sz w:val="16"/>
          <w:szCs w:val="16"/>
        </w:rPr>
        <w:t xml:space="preserve"> las fuerzas militares </w:t>
      </w:r>
      <w:r>
        <w:rPr>
          <w:rFonts w:ascii="Verdana" w:hAnsi="Verdana" w:cstheme="minorHAnsi"/>
          <w:sz w:val="16"/>
          <w:szCs w:val="16"/>
        </w:rPr>
        <w:t>“pueden contribuir en labores de seguridad pública bajo los principios de excepcionalidad, en auxilio y con un mando civil” [sic], en todo momento bajo supervisión.</w:t>
      </w:r>
      <w:r w:rsidRPr="00880A3E">
        <w:rPr>
          <w:rFonts w:ascii="Verdana" w:hAnsi="Verdana" w:cstheme="minorHAnsi"/>
          <w:sz w:val="16"/>
          <w:szCs w:val="16"/>
        </w:rPr>
        <w:t xml:space="preserve"> </w:t>
      </w:r>
    </w:p>
  </w:footnote>
  <w:footnote w:id="25">
    <w:p w14:paraId="64AA6149" w14:textId="28A605A7" w:rsidR="00146958" w:rsidRPr="00432ABC" w:rsidRDefault="00146958">
      <w:pPr>
        <w:pStyle w:val="Textonotapie"/>
        <w:jc w:val="both"/>
        <w:rPr>
          <w:rFonts w:ascii="Verdana" w:hAnsi="Verdana" w:cstheme="minorHAnsi"/>
          <w:sz w:val="16"/>
          <w:szCs w:val="16"/>
        </w:rPr>
      </w:pPr>
      <w:r w:rsidRPr="0063619F">
        <w:rPr>
          <w:rStyle w:val="Refdenotaalpie"/>
          <w:rFonts w:ascii="Verdana" w:hAnsi="Verdana" w:cstheme="minorHAnsi"/>
          <w:sz w:val="16"/>
          <w:szCs w:val="16"/>
        </w:rPr>
        <w:footnoteRef/>
      </w:r>
      <w:r w:rsidRPr="0063619F">
        <w:rPr>
          <w:rFonts w:ascii="Verdana" w:hAnsi="Verdana" w:cstheme="minorHAnsi"/>
          <w:sz w:val="16"/>
          <w:szCs w:val="16"/>
        </w:rPr>
        <w:t xml:space="preserve"> </w:t>
      </w:r>
      <w:r w:rsidRPr="0063619F">
        <w:rPr>
          <w:rFonts w:ascii="Verdana" w:hAnsi="Verdana" w:cstheme="minorHAnsi"/>
          <w:sz w:val="16"/>
          <w:szCs w:val="16"/>
        </w:rPr>
        <w:tab/>
        <w:t xml:space="preserve">El escrito </w:t>
      </w:r>
      <w:r>
        <w:rPr>
          <w:rFonts w:ascii="Verdana" w:hAnsi="Verdana" w:cstheme="minorHAnsi"/>
          <w:sz w:val="16"/>
          <w:szCs w:val="16"/>
        </w:rPr>
        <w:t>señala que “no hay una adecuada clasificación de la desaparición forzada” en la legislación mexicana, que las reformas al Código de Justicia Militar de 2014 resultaron insufcientes para excluir al fuero militar del conocimiento de violaciones a derechos humanos. De igual manera, las presuntas víctimas se enfrentan con la “falta de voluntad y capacidad […] de las autoridades encargadas de investigar, procesar y sancionar graves crímenes”, como en casos de desapariciones forzadas.</w:t>
      </w:r>
      <w:r w:rsidRPr="00432ABC">
        <w:rPr>
          <w:rFonts w:ascii="Verdana" w:hAnsi="Verdana" w:cstheme="minorHAnsi"/>
          <w:sz w:val="16"/>
          <w:szCs w:val="16"/>
        </w:rPr>
        <w:t xml:space="preserve"> </w:t>
      </w:r>
    </w:p>
  </w:footnote>
  <w:footnote w:id="26">
    <w:p w14:paraId="64AA614A" w14:textId="32C024E9"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lang w:val="es-CR"/>
        </w:rPr>
        <w:tab/>
        <w:t xml:space="preserve">En sus observaciones a los anexos a los alegatos finales y </w:t>
      </w:r>
      <w:r w:rsidRPr="002C462C">
        <w:rPr>
          <w:rFonts w:ascii="Verdana" w:hAnsi="Verdana"/>
          <w:i/>
          <w:sz w:val="16"/>
          <w:lang w:val="es-CR"/>
        </w:rPr>
        <w:t>amicus curiae</w:t>
      </w:r>
      <w:r w:rsidRPr="002C462C">
        <w:rPr>
          <w:rFonts w:ascii="Verdana" w:hAnsi="Verdana"/>
          <w:sz w:val="16"/>
          <w:szCs w:val="16"/>
          <w:lang w:val="es-CR"/>
        </w:rPr>
        <w:t>, el Estado alegó que los amicus curiae presentados por la Clínica de Interés Público contra la Trata de Personas del Inst</w:t>
      </w:r>
      <w:r w:rsidRPr="00432ABC">
        <w:rPr>
          <w:rFonts w:ascii="Verdana" w:hAnsi="Verdana"/>
          <w:sz w:val="16"/>
          <w:szCs w:val="16"/>
          <w:lang w:val="es-CR"/>
        </w:rPr>
        <w:t xml:space="preserve">ituto Tecnológico Autónomo de México, el Grupo de Trabajo sobre Desapariciones Forzadas o Involuntarias de la ONU, Carlos María Pelayo Moller, Dra. Alma Guadalupe Melgarito </w:t>
      </w:r>
      <w:r>
        <w:rPr>
          <w:rFonts w:ascii="Verdana" w:hAnsi="Verdana"/>
          <w:sz w:val="16"/>
          <w:szCs w:val="16"/>
          <w:lang w:val="es-CR"/>
        </w:rPr>
        <w:t>Roch</w:t>
      </w:r>
      <w:r w:rsidRPr="00432ABC">
        <w:rPr>
          <w:rFonts w:ascii="Verdana" w:hAnsi="Verdana"/>
          <w:sz w:val="16"/>
          <w:szCs w:val="16"/>
          <w:lang w:val="es-CR"/>
        </w:rPr>
        <w:t xml:space="preserve">a de la Asociación Nuestramerica de Estudios Interdisciplinarios de Crítica Jurídica, México Unido contra la Delincuencia, Facultad de Derecho, Ciencias Políticas y Criminología de la Universidad </w:t>
      </w:r>
      <w:r>
        <w:rPr>
          <w:rFonts w:ascii="Verdana" w:hAnsi="Verdana"/>
          <w:sz w:val="16"/>
          <w:szCs w:val="16"/>
          <w:lang w:val="es-CR"/>
        </w:rPr>
        <w:t>A</w:t>
      </w:r>
      <w:r w:rsidRPr="00432ABC">
        <w:rPr>
          <w:rFonts w:ascii="Verdana" w:hAnsi="Verdana"/>
          <w:sz w:val="16"/>
          <w:szCs w:val="16"/>
          <w:lang w:val="es-CR"/>
        </w:rPr>
        <w:t xml:space="preserve">utónoma de Tlaxcala y MTS Edwin Eric Urizar Rodas fueron presentados fuera del plazo fijado para tal fin. La Corte nota que los amicus curiae presentados el 14 de mayo de 2018 llegaron dentro del plazo requerido por la Corte, al ser el primer día hábil después de los 15 días posteriores a la audiencia pública. Respecto de los amicus curiae presentados el 15 de mayo de 2018, la Corte constata que mediante notas de </w:t>
      </w:r>
      <w:r>
        <w:rPr>
          <w:rFonts w:ascii="Verdana" w:hAnsi="Verdana"/>
          <w:sz w:val="16"/>
          <w:szCs w:val="16"/>
          <w:lang w:val="es-CR"/>
        </w:rPr>
        <w:t>S</w:t>
      </w:r>
      <w:r w:rsidRPr="00432ABC">
        <w:rPr>
          <w:rFonts w:ascii="Verdana" w:hAnsi="Verdana"/>
          <w:sz w:val="16"/>
          <w:szCs w:val="16"/>
          <w:lang w:val="es-CR"/>
        </w:rPr>
        <w:t xml:space="preserve">ecretaría de 1 de junio de 2018 dichos escritos no fueron admitidos al ser recibidos en el tribunal de manera extemporánea </w:t>
      </w:r>
      <w:r>
        <w:rPr>
          <w:rFonts w:ascii="Verdana" w:hAnsi="Verdana"/>
          <w:sz w:val="16"/>
          <w:szCs w:val="16"/>
          <w:lang w:val="es-CR"/>
        </w:rPr>
        <w:t>(expediente de fondo, ff. 2185-2197).</w:t>
      </w:r>
      <w:r w:rsidRPr="00DB378B">
        <w:rPr>
          <w:rFonts w:ascii="Verdana" w:hAnsi="Verdana"/>
          <w:b/>
          <w:sz w:val="16"/>
          <w:szCs w:val="16"/>
          <w:lang w:val="es-CR"/>
        </w:rPr>
        <w:t xml:space="preserve">  </w:t>
      </w:r>
    </w:p>
  </w:footnote>
  <w:footnote w:id="27">
    <w:p w14:paraId="64AA614B" w14:textId="73FCD5BB" w:rsidR="00146958" w:rsidRPr="00432ABC" w:rsidRDefault="00146958" w:rsidP="00531EF3">
      <w:pPr>
        <w:pStyle w:val="Textonotapie"/>
        <w:jc w:val="both"/>
        <w:rPr>
          <w:rFonts w:ascii="Verdana" w:hAnsi="Verdana" w:cs="Arial"/>
          <w:sz w:val="16"/>
          <w:szCs w:val="16"/>
          <w:lang w:val="es-EC"/>
        </w:rPr>
      </w:pPr>
      <w:r w:rsidRPr="00432ABC">
        <w:rPr>
          <w:rStyle w:val="Refdenotaalpie"/>
          <w:rFonts w:ascii="Verdana" w:hAnsi="Verdana"/>
          <w:sz w:val="16"/>
          <w:szCs w:val="16"/>
        </w:rPr>
        <w:footnoteRef/>
      </w:r>
      <w:r w:rsidRPr="00432ABC">
        <w:rPr>
          <w:rFonts w:ascii="Verdana" w:hAnsi="Verdana"/>
          <w:sz w:val="16"/>
          <w:szCs w:val="16"/>
          <w:lang w:val="es-AR"/>
        </w:rPr>
        <w:t xml:space="preserve"> </w:t>
      </w:r>
      <w:r w:rsidRPr="00432ABC">
        <w:rPr>
          <w:rFonts w:ascii="Verdana" w:hAnsi="Verdana"/>
          <w:sz w:val="16"/>
          <w:szCs w:val="16"/>
          <w:lang w:val="es-AR"/>
        </w:rPr>
        <w:tab/>
      </w:r>
      <w:r w:rsidRPr="002C462C">
        <w:rPr>
          <w:rFonts w:ascii="Verdana" w:hAnsi="Verdana"/>
          <w:sz w:val="16"/>
          <w:szCs w:val="16"/>
          <w:lang w:val="es-AR"/>
        </w:rPr>
        <w:t>“</w:t>
      </w:r>
      <w:r w:rsidRPr="002C462C">
        <w:rPr>
          <w:rFonts w:ascii="Verdana" w:hAnsi="Verdana" w:cs="Arial"/>
          <w:sz w:val="16"/>
          <w:szCs w:val="16"/>
          <w:lang w:val="es-EC"/>
        </w:rPr>
        <w:t>La Ley General en Materia de Desaparición Forzada de Person</w:t>
      </w:r>
      <w:r w:rsidRPr="00432ABC">
        <w:rPr>
          <w:rFonts w:ascii="Verdana" w:hAnsi="Verdana" w:cs="Arial"/>
          <w:sz w:val="16"/>
          <w:szCs w:val="16"/>
          <w:lang w:val="es-EC"/>
        </w:rPr>
        <w:t>as, Desaparición cometida por Particulares y del Sistema Nacional de Búsqueda de Personas fue promulgada por el</w:t>
      </w:r>
      <w:r>
        <w:rPr>
          <w:rFonts w:ascii="Verdana" w:hAnsi="Verdana" w:cs="Arial"/>
          <w:sz w:val="16"/>
          <w:szCs w:val="16"/>
          <w:lang w:val="es-EC"/>
        </w:rPr>
        <w:t xml:space="preserve"> [titular del]</w:t>
      </w:r>
      <w:r w:rsidRPr="00432ABC">
        <w:rPr>
          <w:rFonts w:ascii="Verdana" w:hAnsi="Verdana" w:cs="Arial"/>
          <w:sz w:val="16"/>
          <w:szCs w:val="16"/>
          <w:lang w:val="es-EC"/>
        </w:rPr>
        <w:t xml:space="preserve"> Ejecutivo Federal el 16 de noviembre de 2017, publicada en el Diario Oficial de la Federación y, de acuerdo con sus transitorios, entrará en vigencia a partir del 16 de enero del presente año” </w:t>
      </w:r>
      <w:r w:rsidRPr="00432ABC">
        <w:rPr>
          <w:rFonts w:ascii="Verdana" w:hAnsi="Verdana"/>
          <w:sz w:val="16"/>
          <w:szCs w:val="16"/>
          <w:lang w:val="es-AR"/>
        </w:rPr>
        <w:t>(</w:t>
      </w:r>
      <w:r>
        <w:rPr>
          <w:rFonts w:ascii="Verdana" w:hAnsi="Verdana"/>
          <w:sz w:val="16"/>
          <w:szCs w:val="16"/>
          <w:lang w:val="es-AR"/>
        </w:rPr>
        <w:t>expediente de fondo,</w:t>
      </w:r>
      <w:r w:rsidRPr="00432ABC">
        <w:rPr>
          <w:rFonts w:ascii="Verdana" w:hAnsi="Verdana"/>
          <w:sz w:val="16"/>
          <w:szCs w:val="16"/>
          <w:lang w:val="es-AR"/>
        </w:rPr>
        <w:t xml:space="preserve"> f. 758).</w:t>
      </w:r>
    </w:p>
  </w:footnote>
  <w:footnote w:id="28">
    <w:p w14:paraId="64AA614C" w14:textId="5996616A" w:rsidR="00146958" w:rsidRPr="00432ABC" w:rsidRDefault="00146958">
      <w:pPr>
        <w:pStyle w:val="Textonotapie"/>
        <w:jc w:val="both"/>
        <w:rPr>
          <w:rFonts w:ascii="Verdana" w:hAnsi="Verdana"/>
          <w:i/>
          <w:sz w:val="16"/>
          <w:szCs w:val="16"/>
          <w:lang w:val="es-AR"/>
        </w:rPr>
      </w:pPr>
      <w:r w:rsidRPr="00432ABC">
        <w:rPr>
          <w:rStyle w:val="Refdenotaalpie"/>
          <w:rFonts w:ascii="Verdana" w:hAnsi="Verdana"/>
          <w:sz w:val="16"/>
          <w:szCs w:val="16"/>
        </w:rPr>
        <w:footnoteRef/>
      </w:r>
      <w:r w:rsidRPr="00432ABC">
        <w:rPr>
          <w:rFonts w:ascii="Verdana" w:hAnsi="Verdana"/>
          <w:sz w:val="16"/>
          <w:szCs w:val="16"/>
          <w:lang w:val="es-AR"/>
        </w:rPr>
        <w:t xml:space="preserve"> </w:t>
      </w:r>
      <w:r w:rsidRPr="00432ABC">
        <w:rPr>
          <w:rFonts w:ascii="Verdana" w:hAnsi="Verdana"/>
          <w:sz w:val="16"/>
          <w:szCs w:val="16"/>
          <w:lang w:val="es-AR"/>
        </w:rPr>
        <w:tab/>
      </w:r>
      <w:r w:rsidRPr="00CD5C54">
        <w:rPr>
          <w:rFonts w:ascii="Verdana" w:hAnsi="Verdana"/>
          <w:i/>
          <w:sz w:val="16"/>
          <w:szCs w:val="16"/>
          <w:lang w:val="es-AR"/>
        </w:rPr>
        <w:t>Cfr.</w:t>
      </w:r>
      <w:r w:rsidRPr="002C462C">
        <w:rPr>
          <w:rFonts w:ascii="Verdana" w:hAnsi="Verdana"/>
          <w:sz w:val="16"/>
          <w:szCs w:val="16"/>
          <w:lang w:val="es-AR"/>
        </w:rPr>
        <w:t xml:space="preserve"> </w:t>
      </w:r>
      <w:r w:rsidRPr="00432ABC">
        <w:rPr>
          <w:rFonts w:ascii="Verdana" w:hAnsi="Verdana"/>
          <w:i/>
          <w:sz w:val="16"/>
          <w:szCs w:val="16"/>
          <w:lang w:val="es-AR"/>
        </w:rPr>
        <w:t xml:space="preserve">Caso Radilla Pacheco Vs. </w:t>
      </w:r>
      <w:r>
        <w:rPr>
          <w:rFonts w:ascii="Verdana" w:hAnsi="Verdana"/>
          <w:i/>
          <w:sz w:val="16"/>
          <w:szCs w:val="16"/>
          <w:lang w:val="es-AR"/>
        </w:rPr>
        <w:t>México</w:t>
      </w:r>
      <w:r w:rsidRPr="00432ABC">
        <w:rPr>
          <w:rFonts w:ascii="Verdana" w:hAnsi="Verdana"/>
          <w:sz w:val="16"/>
          <w:szCs w:val="16"/>
          <w:lang w:val="es-AR"/>
        </w:rPr>
        <w:t xml:space="preserve">. </w:t>
      </w:r>
      <w:r w:rsidRPr="00432ABC">
        <w:rPr>
          <w:rFonts w:ascii="Verdana" w:hAnsi="Verdana"/>
          <w:i/>
          <w:sz w:val="16"/>
          <w:szCs w:val="16"/>
          <w:lang w:val="es-AR"/>
        </w:rPr>
        <w:t>Excepciones Preliminares, Fondo, Reparaciones y Costas.</w:t>
      </w:r>
      <w:r w:rsidRPr="00432ABC">
        <w:rPr>
          <w:rFonts w:ascii="Verdana" w:hAnsi="Verdana"/>
          <w:sz w:val="16"/>
          <w:szCs w:val="16"/>
          <w:lang w:val="es-AR"/>
        </w:rPr>
        <w:t xml:space="preserve"> Sentencia de 23 de noviembre de 2009. </w:t>
      </w:r>
      <w:r w:rsidRPr="00432ABC">
        <w:rPr>
          <w:rFonts w:ascii="Verdana" w:hAnsi="Verdana"/>
          <w:sz w:val="16"/>
          <w:szCs w:val="16"/>
          <w:lang w:val="es-CR"/>
        </w:rPr>
        <w:t>Serie C No. 209, párr. 324.</w:t>
      </w:r>
    </w:p>
  </w:footnote>
  <w:footnote w:id="29">
    <w:p w14:paraId="64AA614D" w14:textId="7763377F" w:rsidR="00146958" w:rsidRPr="00432ABC" w:rsidRDefault="00146958">
      <w:pPr>
        <w:pStyle w:val="Textonotapie"/>
        <w:jc w:val="both"/>
        <w:rPr>
          <w:rFonts w:ascii="Verdana" w:hAnsi="Verdana"/>
          <w:sz w:val="16"/>
          <w:szCs w:val="16"/>
          <w:lang w:val="es-CR"/>
        </w:rPr>
      </w:pPr>
      <w:r w:rsidRPr="00432ABC">
        <w:rPr>
          <w:rStyle w:val="Refdenotaalpie"/>
          <w:rFonts w:ascii="Verdana" w:eastAsia="Calibri"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iCs/>
          <w:sz w:val="16"/>
          <w:szCs w:val="16"/>
        </w:rPr>
        <w:t>Cfr.</w:t>
      </w:r>
      <w:r w:rsidRPr="002C462C">
        <w:rPr>
          <w:rFonts w:ascii="Verdana" w:hAnsi="Verdana"/>
          <w:i/>
          <w:iCs/>
          <w:sz w:val="16"/>
          <w:szCs w:val="16"/>
        </w:rPr>
        <w:t xml:space="preserve"> </w:t>
      </w:r>
      <w:r w:rsidRPr="00432ABC">
        <w:rPr>
          <w:rFonts w:ascii="Verdana" w:hAnsi="Verdana"/>
          <w:i/>
          <w:sz w:val="16"/>
          <w:szCs w:val="16"/>
        </w:rPr>
        <w:t xml:space="preserve">Caso Benavides Cevallos Vs. Ecuador. Fondo, Reparaciones y Costas. </w:t>
      </w:r>
      <w:r w:rsidRPr="00432ABC">
        <w:rPr>
          <w:rFonts w:ascii="Verdana" w:hAnsi="Verdana"/>
          <w:sz w:val="16"/>
          <w:szCs w:val="16"/>
        </w:rPr>
        <w:t>Sentencia de 19 de junio de 1998. Serie C N</w:t>
      </w:r>
      <w:r w:rsidRPr="00432ABC">
        <w:rPr>
          <w:rFonts w:ascii="Verdana" w:hAnsi="Verdana"/>
          <w:sz w:val="16"/>
          <w:szCs w:val="16"/>
          <w:lang w:val="es-EC"/>
        </w:rPr>
        <w:t xml:space="preserve">o. 38, párr. 57, </w:t>
      </w:r>
      <w:r w:rsidRPr="00432ABC">
        <w:rPr>
          <w:rFonts w:ascii="Verdana" w:hAnsi="Verdana"/>
          <w:sz w:val="16"/>
          <w:szCs w:val="16"/>
        </w:rPr>
        <w:t>y</w:t>
      </w:r>
      <w:r w:rsidRPr="00432ABC">
        <w:rPr>
          <w:rFonts w:ascii="Verdana" w:hAnsi="Verdana"/>
          <w:i/>
          <w:sz w:val="16"/>
          <w:szCs w:val="16"/>
        </w:rPr>
        <w:t xml:space="preserve"> </w:t>
      </w:r>
      <w:r w:rsidRPr="00432ABC">
        <w:rPr>
          <w:rFonts w:ascii="Verdana" w:hAnsi="Verdana"/>
          <w:bCs/>
          <w:i/>
          <w:sz w:val="16"/>
          <w:szCs w:val="16"/>
          <w:lang w:val="es-CR"/>
        </w:rPr>
        <w:t xml:space="preserve">Caso </w:t>
      </w:r>
      <w:r>
        <w:rPr>
          <w:rFonts w:ascii="Verdana" w:hAnsi="Verdana"/>
          <w:bCs/>
          <w:i/>
          <w:sz w:val="16"/>
          <w:szCs w:val="16"/>
          <w:lang w:val="es-CR"/>
        </w:rPr>
        <w:t xml:space="preserve">López Soto y otros Vs. Venezuela. Fondo, Reparaciones y Costas. </w:t>
      </w:r>
      <w:r w:rsidRPr="00073C9D">
        <w:rPr>
          <w:rFonts w:ascii="Verdana" w:hAnsi="Verdana"/>
          <w:bCs/>
          <w:sz w:val="16"/>
          <w:szCs w:val="16"/>
          <w:lang w:val="es-CR"/>
        </w:rPr>
        <w:t>Sentencia de 26 de septiembre de 2018. Serie C No. 362, párr.34</w:t>
      </w:r>
      <w:r w:rsidRPr="00432ABC">
        <w:rPr>
          <w:rFonts w:ascii="Verdana" w:hAnsi="Verdana"/>
          <w:bCs/>
          <w:sz w:val="16"/>
          <w:szCs w:val="16"/>
          <w:lang w:val="es-CR"/>
        </w:rPr>
        <w:t>.</w:t>
      </w:r>
      <w:r w:rsidRPr="00432ABC">
        <w:rPr>
          <w:rFonts w:ascii="Verdana" w:hAnsi="Verdana"/>
          <w:bCs/>
          <w:i/>
          <w:sz w:val="16"/>
          <w:szCs w:val="16"/>
          <w:lang w:val="es-CR"/>
        </w:rPr>
        <w:t xml:space="preserve"> </w:t>
      </w:r>
    </w:p>
  </w:footnote>
  <w:footnote w:id="30">
    <w:p w14:paraId="64AA614E" w14:textId="3B7C7D37" w:rsidR="00146958" w:rsidRPr="00432ABC" w:rsidRDefault="00146958">
      <w:pPr>
        <w:pStyle w:val="Textonotapie"/>
        <w:jc w:val="both"/>
        <w:rPr>
          <w:rFonts w:ascii="Verdana" w:hAnsi="Verdana"/>
          <w:sz w:val="16"/>
          <w:szCs w:val="16"/>
          <w:lang w:val="es-CR"/>
        </w:rPr>
      </w:pPr>
      <w:r w:rsidRPr="00432ABC">
        <w:rPr>
          <w:rStyle w:val="Refdenotaalpie"/>
          <w:rFonts w:ascii="Verdana" w:eastAsia="Calibri"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lang w:val="es-CR"/>
        </w:rPr>
        <w:t>Cfr.</w:t>
      </w:r>
      <w:r w:rsidRPr="002C462C">
        <w:rPr>
          <w:rFonts w:ascii="Verdana" w:hAnsi="Verdana"/>
          <w:sz w:val="16"/>
          <w:szCs w:val="16"/>
          <w:lang w:val="es-CR"/>
        </w:rPr>
        <w:t xml:space="preserve"> </w:t>
      </w:r>
      <w:r w:rsidRPr="00432ABC">
        <w:rPr>
          <w:rFonts w:ascii="Verdana" w:hAnsi="Verdana"/>
          <w:i/>
          <w:sz w:val="16"/>
          <w:szCs w:val="16"/>
          <w:lang w:val="es-CR"/>
        </w:rPr>
        <w:t>Caso Acevedo Jaramillo y otros Vs. Perú. Excepciones Preliminares, Fondo, Reparaciones y Costas</w:t>
      </w:r>
      <w:r w:rsidRPr="00432ABC">
        <w:rPr>
          <w:rFonts w:ascii="Verdana" w:hAnsi="Verdana"/>
          <w:sz w:val="16"/>
          <w:szCs w:val="16"/>
          <w:lang w:val="es-CR"/>
        </w:rPr>
        <w:t>. Sentencia de 7 de febrero de 2006. Serie C No. 144, p</w:t>
      </w:r>
      <w:r>
        <w:rPr>
          <w:rFonts w:ascii="Verdana" w:hAnsi="Verdana"/>
          <w:sz w:val="16"/>
          <w:szCs w:val="16"/>
          <w:lang w:val="es-CR"/>
        </w:rPr>
        <w:t>á</w:t>
      </w:r>
      <w:r w:rsidRPr="00432ABC">
        <w:rPr>
          <w:rFonts w:ascii="Verdana" w:hAnsi="Verdana"/>
          <w:sz w:val="16"/>
          <w:szCs w:val="16"/>
          <w:lang w:val="es-CR"/>
        </w:rPr>
        <w:t xml:space="preserve">rrs. 176 a 180, y </w:t>
      </w:r>
      <w:r w:rsidRPr="00432ABC">
        <w:rPr>
          <w:rFonts w:ascii="Verdana" w:hAnsi="Verdana"/>
          <w:bCs/>
          <w:i/>
          <w:sz w:val="16"/>
          <w:szCs w:val="16"/>
          <w:lang w:val="es-CR"/>
        </w:rPr>
        <w:t xml:space="preserve">Caso </w:t>
      </w:r>
      <w:r>
        <w:rPr>
          <w:rFonts w:ascii="Verdana" w:hAnsi="Verdana"/>
          <w:bCs/>
          <w:i/>
          <w:sz w:val="16"/>
          <w:szCs w:val="16"/>
          <w:lang w:val="es-CR"/>
        </w:rPr>
        <w:t xml:space="preserve">López Soto y otros Vs. Venezuela, supra </w:t>
      </w:r>
      <w:r w:rsidRPr="008D0846">
        <w:rPr>
          <w:rFonts w:ascii="Verdana" w:hAnsi="Verdana"/>
          <w:bCs/>
          <w:sz w:val="16"/>
          <w:szCs w:val="16"/>
          <w:lang w:val="es-CR"/>
        </w:rPr>
        <w:t>párr. 35</w:t>
      </w:r>
      <w:r w:rsidRPr="00E40B4F">
        <w:rPr>
          <w:rFonts w:ascii="Verdana" w:hAnsi="Verdana"/>
          <w:bCs/>
          <w:sz w:val="16"/>
          <w:szCs w:val="16"/>
          <w:lang w:val="es-CR"/>
        </w:rPr>
        <w:t>.</w:t>
      </w:r>
      <w:r w:rsidRPr="00432ABC">
        <w:rPr>
          <w:rFonts w:ascii="Verdana" w:hAnsi="Verdana"/>
          <w:bCs/>
          <w:sz w:val="16"/>
          <w:szCs w:val="16"/>
          <w:lang w:val="es-CR"/>
        </w:rPr>
        <w:t xml:space="preserve"> </w:t>
      </w:r>
    </w:p>
  </w:footnote>
  <w:footnote w:id="31">
    <w:p w14:paraId="64AA614F" w14:textId="77777777" w:rsidR="00146958" w:rsidRPr="002C462C" w:rsidRDefault="00146958">
      <w:pPr>
        <w:pStyle w:val="Textonotapie"/>
        <w:jc w:val="both"/>
        <w:rPr>
          <w:rFonts w:ascii="Verdana" w:hAnsi="Verdana"/>
          <w:sz w:val="16"/>
          <w:szCs w:val="16"/>
        </w:rPr>
      </w:pPr>
      <w:r w:rsidRPr="00432ABC">
        <w:rPr>
          <w:rStyle w:val="Refdenotaalpie"/>
          <w:rFonts w:ascii="Verdana" w:eastAsia="Calibri" w:hAnsi="Verdana"/>
          <w:sz w:val="16"/>
          <w:szCs w:val="16"/>
        </w:rPr>
        <w:footnoteRef/>
      </w:r>
      <w:r w:rsidRPr="00432ABC">
        <w:rPr>
          <w:rFonts w:ascii="Verdana" w:hAnsi="Verdana"/>
          <w:sz w:val="16"/>
          <w:szCs w:val="16"/>
        </w:rPr>
        <w:t xml:space="preserve"> </w:t>
      </w:r>
      <w:r w:rsidRPr="00432ABC">
        <w:rPr>
          <w:rFonts w:ascii="Verdana" w:hAnsi="Verdana"/>
          <w:sz w:val="16"/>
          <w:szCs w:val="16"/>
        </w:rPr>
        <w:tab/>
        <w:t>Artículo 62. Reconocimiento. 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w:t>
      </w:r>
      <w:r w:rsidRPr="002C462C">
        <w:rPr>
          <w:rFonts w:ascii="Verdana" w:hAnsi="Verdana"/>
          <w:sz w:val="16"/>
          <w:szCs w:val="16"/>
        </w:rPr>
        <w:t xml:space="preserve"> proceso, resolverá, en el momento procesal oportuno, sobre su procedencia y sus efectos jurídicos.</w:t>
      </w:r>
    </w:p>
  </w:footnote>
  <w:footnote w:id="32">
    <w:p w14:paraId="64AA6150" w14:textId="77777777" w:rsidR="00146958" w:rsidRPr="00432ABC" w:rsidRDefault="00146958">
      <w:pPr>
        <w:pStyle w:val="Textonotapie"/>
        <w:jc w:val="both"/>
        <w:rPr>
          <w:rFonts w:ascii="Verdana" w:hAnsi="Verdana"/>
          <w:sz w:val="16"/>
          <w:szCs w:val="16"/>
        </w:rPr>
      </w:pPr>
      <w:r w:rsidRPr="00432ABC">
        <w:rPr>
          <w:rStyle w:val="Refdenotaalpie"/>
          <w:rFonts w:ascii="Verdana" w:eastAsia="Calibri"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Artículo 64. Prosecución del examen del caso. La Corte, teniendo en cuenta las responsabilidades que le incumben de proteger los derechos humanos, podrá decidir que prosiga el examen del caso, aun en presencia de los supuestos señalados en los artículos precedentes. </w:t>
      </w:r>
    </w:p>
  </w:footnote>
  <w:footnote w:id="33">
    <w:p w14:paraId="64AA6151" w14:textId="74635D28" w:rsidR="00146958" w:rsidRPr="00432ABC" w:rsidRDefault="00146958">
      <w:pPr>
        <w:pStyle w:val="Textonotapie"/>
        <w:jc w:val="both"/>
        <w:rPr>
          <w:rFonts w:ascii="Verdana" w:hAnsi="Verdana" w:cs="Courier New"/>
          <w:noProof/>
          <w:sz w:val="16"/>
          <w:szCs w:val="16"/>
        </w:rPr>
      </w:pPr>
      <w:r w:rsidRPr="00432ABC">
        <w:rPr>
          <w:rStyle w:val="Refdenotaalpie"/>
          <w:rFonts w:ascii="Verdana" w:eastAsia="Calibri"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lang w:val="es-AR"/>
        </w:rPr>
        <w:t>Cfr.</w:t>
      </w:r>
      <w:r w:rsidRPr="002C462C">
        <w:rPr>
          <w:rFonts w:ascii="Verdana" w:hAnsi="Verdana"/>
          <w:b/>
          <w:i/>
          <w:sz w:val="16"/>
          <w:szCs w:val="16"/>
          <w:lang w:val="es-AR"/>
        </w:rPr>
        <w:t xml:space="preserve"> </w:t>
      </w:r>
      <w:r w:rsidRPr="002C462C">
        <w:rPr>
          <w:rFonts w:ascii="Verdana" w:hAnsi="Verdana"/>
          <w:bCs/>
          <w:i/>
          <w:sz w:val="16"/>
          <w:szCs w:val="16"/>
          <w:lang w:val="es-AR"/>
        </w:rPr>
        <w:t xml:space="preserve">Caso Kimel Vs. Argentina. </w:t>
      </w:r>
      <w:r w:rsidRPr="00432ABC">
        <w:rPr>
          <w:rFonts w:ascii="Verdana" w:hAnsi="Verdana"/>
          <w:i/>
          <w:sz w:val="16"/>
          <w:szCs w:val="16"/>
          <w:lang w:val="es-AR"/>
        </w:rPr>
        <w:t>Fondo, Reparaciones y Costas.</w:t>
      </w:r>
      <w:r w:rsidRPr="00432ABC">
        <w:rPr>
          <w:rFonts w:ascii="Verdana" w:hAnsi="Verdana"/>
          <w:sz w:val="16"/>
          <w:szCs w:val="16"/>
          <w:lang w:val="es-AR"/>
        </w:rPr>
        <w:t xml:space="preserve"> Sentencia de 2 de mayo de 2008. Serie C No. 177, párr. 24, y </w:t>
      </w:r>
      <w:r w:rsidRPr="00432ABC">
        <w:rPr>
          <w:rFonts w:ascii="Verdana" w:hAnsi="Verdana" w:cs="Courier New"/>
          <w:bCs/>
          <w:i/>
          <w:noProof/>
          <w:sz w:val="16"/>
          <w:szCs w:val="16"/>
        </w:rPr>
        <w:t>Caso</w:t>
      </w:r>
      <w:r>
        <w:rPr>
          <w:rFonts w:ascii="Verdana" w:hAnsi="Verdana" w:cs="Courier New"/>
          <w:bCs/>
          <w:i/>
          <w:noProof/>
          <w:sz w:val="16"/>
          <w:szCs w:val="16"/>
        </w:rPr>
        <w:t xml:space="preserve"> Poblete Vilches y otros Vs. Chile. Fondo, Reparaciones y Costas. </w:t>
      </w:r>
      <w:r w:rsidRPr="00073C9D">
        <w:rPr>
          <w:rFonts w:ascii="Verdana" w:hAnsi="Verdana" w:cs="Courier New"/>
          <w:bCs/>
          <w:noProof/>
          <w:sz w:val="16"/>
          <w:szCs w:val="16"/>
        </w:rPr>
        <w:t>Sentencia de 8 de marzo de 2018. Serie C No. 349, párr. 26</w:t>
      </w:r>
      <w:r w:rsidRPr="00432ABC">
        <w:rPr>
          <w:rFonts w:ascii="Verdana" w:hAnsi="Verdana" w:cs="Courier New"/>
          <w:bCs/>
          <w:noProof/>
          <w:sz w:val="16"/>
          <w:szCs w:val="16"/>
        </w:rPr>
        <w:t>.</w:t>
      </w:r>
    </w:p>
  </w:footnote>
  <w:footnote w:id="34">
    <w:p w14:paraId="64AA6152" w14:textId="5FB8D3C6" w:rsidR="00146958" w:rsidRPr="00432ABC" w:rsidRDefault="00146958">
      <w:pPr>
        <w:pStyle w:val="Textonotapie"/>
        <w:jc w:val="both"/>
        <w:rPr>
          <w:rFonts w:ascii="Verdana" w:hAnsi="Verdana"/>
          <w:sz w:val="16"/>
          <w:szCs w:val="16"/>
          <w:lang w:val="es-AR"/>
        </w:rPr>
      </w:pPr>
      <w:r w:rsidRPr="00432ABC">
        <w:rPr>
          <w:rStyle w:val="Refdenotaalpie"/>
          <w:rFonts w:ascii="Verdana" w:eastAsia="Calibri"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b/>
          <w:i/>
          <w:sz w:val="16"/>
          <w:szCs w:val="16"/>
        </w:rPr>
        <w:t xml:space="preserve"> </w:t>
      </w:r>
      <w:r w:rsidRPr="002C462C">
        <w:rPr>
          <w:rFonts w:ascii="Verdana" w:hAnsi="Verdana"/>
          <w:bCs/>
          <w:i/>
          <w:sz w:val="16"/>
          <w:szCs w:val="16"/>
        </w:rPr>
        <w:t xml:space="preserve">Caso Manuel Cepeda Vargas Vs. </w:t>
      </w:r>
      <w:r w:rsidRPr="00432ABC">
        <w:rPr>
          <w:rFonts w:ascii="Verdana" w:hAnsi="Verdana"/>
          <w:bCs/>
          <w:i/>
          <w:sz w:val="16"/>
          <w:szCs w:val="16"/>
          <w:lang w:val="es-AR"/>
        </w:rPr>
        <w:t xml:space="preserve">Colombia. </w:t>
      </w:r>
      <w:r w:rsidRPr="00432ABC">
        <w:rPr>
          <w:rFonts w:ascii="Verdana" w:hAnsi="Verdana"/>
          <w:i/>
          <w:sz w:val="16"/>
          <w:szCs w:val="16"/>
          <w:lang w:val="es-AR"/>
        </w:rPr>
        <w:t>Excepciones Preliminares, Fondo, Reparaciones y Costas.</w:t>
      </w:r>
      <w:r w:rsidRPr="00432ABC">
        <w:rPr>
          <w:rFonts w:ascii="Verdana" w:hAnsi="Verdana"/>
          <w:sz w:val="16"/>
          <w:szCs w:val="16"/>
          <w:lang w:val="es-AR"/>
        </w:rPr>
        <w:t xml:space="preserve"> Sentencia de 26 de mayo de 2010. Serie C No. 213, párr. 17, y </w:t>
      </w:r>
      <w:r w:rsidRPr="00432ABC">
        <w:rPr>
          <w:rFonts w:ascii="Verdana" w:hAnsi="Verdana" w:cs="Courier New"/>
          <w:bCs/>
          <w:i/>
          <w:noProof/>
          <w:sz w:val="16"/>
          <w:szCs w:val="16"/>
        </w:rPr>
        <w:t xml:space="preserve">Caso </w:t>
      </w:r>
      <w:r>
        <w:rPr>
          <w:rFonts w:ascii="Verdana" w:hAnsi="Verdana" w:cs="Courier New"/>
          <w:bCs/>
          <w:i/>
          <w:noProof/>
          <w:sz w:val="16"/>
          <w:szCs w:val="16"/>
        </w:rPr>
        <w:t xml:space="preserve">Poblete Vilches y otros Vs. Chile, </w:t>
      </w:r>
      <w:r w:rsidRPr="00432ABC">
        <w:rPr>
          <w:rFonts w:ascii="Verdana" w:hAnsi="Verdana" w:cs="Courier New"/>
          <w:bCs/>
          <w:i/>
          <w:noProof/>
          <w:sz w:val="16"/>
          <w:szCs w:val="16"/>
        </w:rPr>
        <w:t>supra</w:t>
      </w:r>
      <w:r>
        <w:rPr>
          <w:rFonts w:ascii="Verdana" w:hAnsi="Verdana" w:cs="Courier New"/>
          <w:bCs/>
          <w:i/>
          <w:noProof/>
          <w:sz w:val="16"/>
          <w:szCs w:val="16"/>
        </w:rPr>
        <w:t>,</w:t>
      </w:r>
      <w:r w:rsidRPr="00432ABC">
        <w:rPr>
          <w:rFonts w:ascii="Verdana" w:hAnsi="Verdana" w:cs="Courier New"/>
          <w:bCs/>
          <w:noProof/>
          <w:sz w:val="16"/>
          <w:szCs w:val="16"/>
        </w:rPr>
        <w:t xml:space="preserve"> párr. 2</w:t>
      </w:r>
      <w:r>
        <w:rPr>
          <w:rFonts w:ascii="Verdana" w:hAnsi="Verdana" w:cs="Courier New"/>
          <w:bCs/>
          <w:noProof/>
          <w:sz w:val="16"/>
          <w:szCs w:val="16"/>
        </w:rPr>
        <w:t>6</w:t>
      </w:r>
      <w:r w:rsidRPr="00432ABC">
        <w:rPr>
          <w:rFonts w:ascii="Verdana" w:hAnsi="Verdana" w:cs="Courier New"/>
          <w:bCs/>
          <w:noProof/>
          <w:sz w:val="16"/>
          <w:szCs w:val="16"/>
        </w:rPr>
        <w:t xml:space="preserve">. </w:t>
      </w:r>
      <w:r w:rsidRPr="00432ABC">
        <w:rPr>
          <w:rFonts w:ascii="Verdana" w:hAnsi="Verdana" w:cs="Courier New"/>
          <w:bCs/>
          <w:i/>
          <w:noProof/>
          <w:sz w:val="16"/>
          <w:szCs w:val="16"/>
        </w:rPr>
        <w:t xml:space="preserve"> </w:t>
      </w:r>
    </w:p>
  </w:footnote>
  <w:footnote w:id="35">
    <w:p w14:paraId="64AA6153" w14:textId="77777777" w:rsidR="00146958" w:rsidRPr="00432ABC" w:rsidRDefault="00146958">
      <w:pPr>
        <w:pStyle w:val="Textonotapie"/>
        <w:jc w:val="both"/>
        <w:rPr>
          <w:rFonts w:ascii="Verdana" w:hAnsi="Verdana"/>
          <w:sz w:val="16"/>
          <w:szCs w:val="16"/>
        </w:rPr>
      </w:pPr>
      <w:r w:rsidRPr="00432ABC">
        <w:rPr>
          <w:rStyle w:val="Refdenotaalpie"/>
          <w:rFonts w:ascii="Verdana" w:eastAsia="Calibri" w:hAnsi="Verdana"/>
          <w:sz w:val="16"/>
          <w:szCs w:val="16"/>
        </w:rPr>
        <w:footnoteRef/>
      </w:r>
      <w:r w:rsidRPr="00432ABC">
        <w:rPr>
          <w:rFonts w:ascii="Verdana" w:hAnsi="Verdana"/>
          <w:sz w:val="16"/>
          <w:szCs w:val="16"/>
        </w:rPr>
        <w:t xml:space="preserve"> </w:t>
      </w:r>
      <w:r w:rsidRPr="00432ABC">
        <w:rPr>
          <w:rFonts w:ascii="Verdana" w:hAnsi="Verdana"/>
          <w:sz w:val="16"/>
          <w:szCs w:val="16"/>
        </w:rPr>
        <w:tab/>
        <w:t>El artículo 62.3 de la Convención</w:t>
      </w:r>
      <w:r w:rsidRPr="00432ABC">
        <w:rPr>
          <w:rFonts w:ascii="Verdana" w:hAnsi="Verdana"/>
          <w:sz w:val="16"/>
          <w:szCs w:val="16"/>
          <w:lang w:val="es-CO"/>
        </w:rPr>
        <w:t xml:space="preserve"> establece: “[l]a Corte tiene competencia para conocer de cualquier caso relativo a la interpretación y aplicación de las disposiciones de esta Convención que le sea sometido, siempre que los Estados Partes en e</w:t>
      </w:r>
      <w:r w:rsidRPr="002C462C">
        <w:rPr>
          <w:rFonts w:ascii="Verdana" w:hAnsi="Verdana"/>
          <w:sz w:val="16"/>
          <w:szCs w:val="16"/>
          <w:lang w:val="es-CO"/>
        </w:rPr>
        <w:t>l caso hayan reconocido o reconozcan dicha competencia, ora por declaración especial, como se indica en los incisos anteriores, ora por convención especial”.</w:t>
      </w:r>
    </w:p>
  </w:footnote>
  <w:footnote w:id="36">
    <w:p w14:paraId="64AA6154" w14:textId="77777777" w:rsidR="00146958" w:rsidRPr="00432ABC" w:rsidRDefault="00146958">
      <w:pPr>
        <w:pStyle w:val="Textonotapie"/>
        <w:jc w:val="both"/>
        <w:rPr>
          <w:rFonts w:ascii="Verdana" w:hAnsi="Verdana"/>
          <w:sz w:val="16"/>
          <w:szCs w:val="16"/>
          <w:lang w:val="es-CO"/>
        </w:rPr>
      </w:pPr>
      <w:r w:rsidRPr="00432ABC">
        <w:rPr>
          <w:rStyle w:val="Refdenotaalpie"/>
          <w:rFonts w:ascii="Verdana" w:eastAsia="Calibri" w:hAnsi="Verdana"/>
          <w:sz w:val="16"/>
          <w:szCs w:val="16"/>
        </w:rPr>
        <w:footnoteRef/>
      </w:r>
      <w:r w:rsidRPr="00432ABC">
        <w:rPr>
          <w:rFonts w:ascii="Verdana" w:hAnsi="Verdana"/>
          <w:sz w:val="16"/>
          <w:szCs w:val="16"/>
        </w:rPr>
        <w:t xml:space="preserve"> </w:t>
      </w:r>
      <w:r w:rsidRPr="00432ABC">
        <w:rPr>
          <w:rFonts w:ascii="Verdana" w:hAnsi="Verdana"/>
          <w:sz w:val="16"/>
          <w:szCs w:val="16"/>
        </w:rPr>
        <w:tab/>
        <w:t>El artículo 63.1 de la Convención.</w:t>
      </w:r>
    </w:p>
  </w:footnote>
  <w:footnote w:id="37">
    <w:p w14:paraId="64AA6155" w14:textId="55614F28" w:rsidR="00146958" w:rsidRPr="00432ABC" w:rsidRDefault="00146958">
      <w:pPr>
        <w:pStyle w:val="Textonotapie"/>
        <w:jc w:val="both"/>
        <w:rPr>
          <w:rFonts w:ascii="Verdana" w:hAnsi="Verdana"/>
          <w:sz w:val="16"/>
          <w:szCs w:val="16"/>
          <w:lang w:bidi="en-US"/>
        </w:rPr>
      </w:pPr>
      <w:r w:rsidRPr="00432ABC">
        <w:rPr>
          <w:rStyle w:val="Refdenotaalpie"/>
          <w:rFonts w:ascii="Verdana" w:eastAsia="Calibri" w:hAnsi="Verdana"/>
          <w:sz w:val="16"/>
          <w:szCs w:val="16"/>
        </w:rPr>
        <w:footnoteRef/>
      </w:r>
      <w:r w:rsidRPr="00432ABC">
        <w:rPr>
          <w:rFonts w:ascii="Verdana" w:hAnsi="Verdana"/>
          <w:sz w:val="16"/>
          <w:szCs w:val="16"/>
        </w:rPr>
        <w:tab/>
      </w:r>
      <w:r w:rsidRPr="00CD5C54">
        <w:rPr>
          <w:rFonts w:ascii="Verdana" w:hAnsi="Verdana"/>
          <w:i/>
          <w:sz w:val="16"/>
          <w:szCs w:val="16"/>
          <w:lang w:val="es-AR"/>
        </w:rPr>
        <w:t>Cfr.</w:t>
      </w:r>
      <w:r w:rsidRPr="002C462C">
        <w:rPr>
          <w:rFonts w:ascii="Verdana" w:hAnsi="Verdana"/>
          <w:sz w:val="16"/>
          <w:szCs w:val="16"/>
          <w:lang w:val="es-AR"/>
        </w:rPr>
        <w:t xml:space="preserve"> </w:t>
      </w:r>
      <w:r w:rsidRPr="002C462C">
        <w:rPr>
          <w:rFonts w:ascii="Verdana" w:hAnsi="Verdana" w:cs="Verdana-Italic"/>
          <w:i/>
          <w:iCs/>
          <w:sz w:val="16"/>
          <w:szCs w:val="16"/>
          <w:lang w:val="es-AR" w:bidi="en-US"/>
        </w:rPr>
        <w:t>Caso Myrna Mack Chang Vs. Guatemala</w:t>
      </w:r>
      <w:r w:rsidRPr="00286809">
        <w:rPr>
          <w:rFonts w:ascii="Verdana" w:hAnsi="Verdana" w:cs="Verdana-Italic"/>
          <w:i/>
          <w:iCs/>
          <w:sz w:val="16"/>
          <w:szCs w:val="16"/>
          <w:lang w:val="es-AR" w:bidi="en-US"/>
        </w:rPr>
        <w:t>. Fondo, Reparaciones y Costas.</w:t>
      </w:r>
      <w:r>
        <w:rPr>
          <w:rFonts w:ascii="Verdana" w:hAnsi="Verdana" w:cs="Verdana-Italic"/>
          <w:iCs/>
          <w:sz w:val="16"/>
          <w:szCs w:val="16"/>
          <w:lang w:val="es-AR" w:bidi="en-US"/>
        </w:rPr>
        <w:t xml:space="preserve"> </w:t>
      </w:r>
      <w:r w:rsidRPr="00432ABC">
        <w:rPr>
          <w:rFonts w:ascii="Verdana" w:hAnsi="Verdana"/>
          <w:sz w:val="16"/>
          <w:szCs w:val="16"/>
          <w:lang w:val="es-AR" w:bidi="en-US"/>
        </w:rPr>
        <w:t>Sentencia de 25 de noviembre de 2003. Serie C No. 101, párr</w:t>
      </w:r>
      <w:r w:rsidRPr="00432ABC">
        <w:rPr>
          <w:rFonts w:ascii="Verdana" w:hAnsi="Verdana" w:cs="Verdana-Italic"/>
          <w:i/>
          <w:iCs/>
          <w:sz w:val="16"/>
          <w:szCs w:val="16"/>
          <w:lang w:val="es-AR" w:bidi="en-US"/>
        </w:rPr>
        <w:t xml:space="preserve">. </w:t>
      </w:r>
      <w:r w:rsidRPr="00432ABC">
        <w:rPr>
          <w:rFonts w:ascii="Verdana" w:hAnsi="Verdana"/>
          <w:sz w:val="16"/>
          <w:szCs w:val="16"/>
          <w:lang w:val="es-AR" w:bidi="en-US"/>
        </w:rPr>
        <w:t xml:space="preserve">105, y </w:t>
      </w:r>
      <w:r w:rsidRPr="00432ABC">
        <w:rPr>
          <w:rFonts w:ascii="Verdana" w:hAnsi="Verdana"/>
          <w:i/>
          <w:sz w:val="16"/>
          <w:szCs w:val="16"/>
          <w:lang w:val="es-AR"/>
        </w:rPr>
        <w:t xml:space="preserve">Caso </w:t>
      </w:r>
      <w:r>
        <w:rPr>
          <w:rFonts w:ascii="Verdana" w:hAnsi="Verdana"/>
          <w:i/>
          <w:sz w:val="16"/>
          <w:szCs w:val="16"/>
          <w:lang w:val="es-AR"/>
        </w:rPr>
        <w:t>Poblete Vilches y otros Vs. Chile</w:t>
      </w:r>
      <w:r w:rsidRPr="00432ABC">
        <w:rPr>
          <w:rFonts w:ascii="Verdana" w:hAnsi="Verdana"/>
          <w:i/>
          <w:sz w:val="16"/>
          <w:szCs w:val="16"/>
          <w:lang w:val="es-AR"/>
        </w:rPr>
        <w:t>, supra</w:t>
      </w:r>
      <w:r w:rsidRPr="00432ABC">
        <w:rPr>
          <w:rFonts w:ascii="Verdana" w:hAnsi="Verdana"/>
          <w:sz w:val="16"/>
          <w:szCs w:val="16"/>
          <w:lang w:val="es-AR"/>
        </w:rPr>
        <w:t xml:space="preserve"> párr. 2</w:t>
      </w:r>
      <w:r>
        <w:rPr>
          <w:rFonts w:ascii="Verdana" w:hAnsi="Verdana"/>
          <w:sz w:val="16"/>
          <w:szCs w:val="16"/>
          <w:lang w:val="es-AR"/>
        </w:rPr>
        <w:t>6</w:t>
      </w:r>
      <w:r w:rsidRPr="00432ABC">
        <w:rPr>
          <w:rFonts w:ascii="Verdana" w:hAnsi="Verdana"/>
          <w:sz w:val="16"/>
          <w:szCs w:val="16"/>
          <w:lang w:val="es-AR"/>
        </w:rPr>
        <w:t>.</w:t>
      </w:r>
    </w:p>
  </w:footnote>
  <w:footnote w:id="38">
    <w:p w14:paraId="64AA6156" w14:textId="21F35529" w:rsidR="00146958" w:rsidRPr="006D530E" w:rsidRDefault="00146958" w:rsidP="006D530E">
      <w:pPr>
        <w:pStyle w:val="Textonotapie"/>
        <w:jc w:val="both"/>
        <w:rPr>
          <w:rFonts w:ascii="Verdana" w:hAnsi="Verdana"/>
          <w:sz w:val="16"/>
          <w:szCs w:val="16"/>
          <w:lang w:val="es-AR"/>
        </w:rPr>
      </w:pPr>
      <w:r w:rsidRPr="006D530E">
        <w:rPr>
          <w:rStyle w:val="Refdenotaalpie"/>
          <w:rFonts w:ascii="Verdana" w:hAnsi="Verdana"/>
          <w:sz w:val="16"/>
          <w:szCs w:val="16"/>
        </w:rPr>
        <w:footnoteRef/>
      </w:r>
      <w:r w:rsidRPr="006D530E">
        <w:rPr>
          <w:rFonts w:ascii="Verdana" w:hAnsi="Verdana"/>
          <w:sz w:val="16"/>
          <w:szCs w:val="16"/>
          <w:lang w:val="es-AR"/>
        </w:rPr>
        <w:t xml:space="preserve"> </w:t>
      </w:r>
      <w:r w:rsidRPr="006D530E">
        <w:rPr>
          <w:rFonts w:ascii="Verdana" w:hAnsi="Verdana"/>
          <w:sz w:val="16"/>
          <w:szCs w:val="16"/>
          <w:lang w:val="es-AR"/>
        </w:rPr>
        <w:tab/>
        <w:t xml:space="preserve">Publicada en el Diario Oficial de la Federación el 2 de abril de 2013. </w:t>
      </w:r>
    </w:p>
  </w:footnote>
  <w:footnote w:id="39">
    <w:p w14:paraId="337D7744" w14:textId="2023BF08"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6D530E">
        <w:rPr>
          <w:rFonts w:ascii="Verdana" w:hAnsi="Verdana"/>
          <w:sz w:val="16"/>
          <w:szCs w:val="16"/>
        </w:rPr>
        <w:t>Ley General en Materia de Desaparición Forzada de Personas, Desaparición Cometida por Particulares y del Sistema Nacional de Búsqueda de Personas, publicada en el Diario Oficial de la Federación el 17 de noviembre de 2017.</w:t>
      </w:r>
    </w:p>
  </w:footnote>
  <w:footnote w:id="40">
    <w:p w14:paraId="64AA6157" w14:textId="0ED76C06" w:rsidR="00146958" w:rsidRPr="00B232A7" w:rsidRDefault="00146958" w:rsidP="00B232A7">
      <w:pPr>
        <w:pStyle w:val="Textonotapie"/>
        <w:jc w:val="both"/>
        <w:rPr>
          <w:rFonts w:ascii="Verdana" w:hAnsi="Verdana"/>
          <w:sz w:val="16"/>
          <w:szCs w:val="16"/>
          <w:lang w:val="es-CR"/>
        </w:rPr>
      </w:pPr>
      <w:r w:rsidRPr="00B232A7">
        <w:rPr>
          <w:rStyle w:val="Refdenotaalpie"/>
          <w:rFonts w:ascii="Verdana" w:hAnsi="Verdana"/>
          <w:sz w:val="16"/>
          <w:szCs w:val="16"/>
        </w:rPr>
        <w:footnoteRef/>
      </w:r>
      <w:r w:rsidRPr="00B232A7">
        <w:rPr>
          <w:rFonts w:ascii="Verdana" w:hAnsi="Verdana"/>
          <w:sz w:val="16"/>
          <w:szCs w:val="16"/>
        </w:rPr>
        <w:t xml:space="preserve"> </w:t>
      </w:r>
      <w:r w:rsidRPr="00B232A7">
        <w:rPr>
          <w:rFonts w:ascii="Verdana" w:hAnsi="Verdana"/>
          <w:sz w:val="16"/>
          <w:szCs w:val="16"/>
        </w:rPr>
        <w:tab/>
      </w:r>
      <w:r w:rsidRPr="00CD5C54">
        <w:rPr>
          <w:rFonts w:ascii="Verdana" w:hAnsi="Verdana"/>
          <w:i/>
          <w:sz w:val="16"/>
          <w:szCs w:val="16"/>
        </w:rPr>
        <w:t>Cfr.</w:t>
      </w:r>
      <w:r w:rsidRPr="00570B7B">
        <w:rPr>
          <w:rFonts w:ascii="Verdana" w:hAnsi="Verdana"/>
          <w:i/>
          <w:sz w:val="16"/>
          <w:szCs w:val="16"/>
        </w:rPr>
        <w:t xml:space="preserve"> Caso de la "Masacre de Mapiripán" Vs. Colombia. Fondo, Reparaciones y Costas.</w:t>
      </w:r>
      <w:r w:rsidRPr="00570B7B">
        <w:rPr>
          <w:rFonts w:ascii="Verdana" w:hAnsi="Verdana"/>
          <w:sz w:val="16"/>
          <w:szCs w:val="16"/>
        </w:rPr>
        <w:t xml:space="preserve"> Sentencia de 15 de septiembre de 2005. Serie C No. 134, párr. 69, y </w:t>
      </w:r>
      <w:r w:rsidRPr="00B232A7">
        <w:rPr>
          <w:rStyle w:val="Textoennegrita"/>
          <w:rFonts w:ascii="Verdana" w:eastAsia="MS ????" w:hAnsi="Verdana"/>
          <w:b w:val="0"/>
          <w:i/>
          <w:color w:val="000000"/>
          <w:sz w:val="16"/>
          <w:szCs w:val="16"/>
          <w:shd w:val="clear" w:color="auto" w:fill="FFFFFF"/>
        </w:rPr>
        <w:t xml:space="preserve">Caso </w:t>
      </w:r>
      <w:r w:rsidRPr="008D0846">
        <w:rPr>
          <w:rStyle w:val="Textoennegrita"/>
          <w:rFonts w:ascii="Verdana" w:eastAsia="MS ????" w:hAnsi="Verdana"/>
          <w:b w:val="0"/>
          <w:i/>
          <w:color w:val="000000"/>
          <w:sz w:val="16"/>
          <w:szCs w:val="16"/>
          <w:shd w:val="clear" w:color="auto" w:fill="FFFFFF"/>
        </w:rPr>
        <w:t>López Soto y otros Vs. Venezuela, supra</w:t>
      </w:r>
      <w:r>
        <w:rPr>
          <w:rStyle w:val="Textoennegrita"/>
          <w:rFonts w:ascii="Verdana" w:eastAsia="MS ????" w:hAnsi="Verdana"/>
          <w:b w:val="0"/>
          <w:color w:val="000000"/>
          <w:sz w:val="16"/>
          <w:szCs w:val="16"/>
          <w:shd w:val="clear" w:color="auto" w:fill="FFFFFF"/>
        </w:rPr>
        <w:t xml:space="preserve"> párr.35</w:t>
      </w:r>
      <w:r w:rsidRPr="00B232A7">
        <w:rPr>
          <w:rStyle w:val="Textoennegrita"/>
          <w:rFonts w:ascii="Verdana" w:eastAsia="MS ????" w:hAnsi="Verdana"/>
          <w:color w:val="000000"/>
          <w:sz w:val="16"/>
          <w:szCs w:val="16"/>
          <w:shd w:val="clear" w:color="auto" w:fill="FFFFFF"/>
        </w:rPr>
        <w:t>.</w:t>
      </w:r>
    </w:p>
  </w:footnote>
  <w:footnote w:id="41">
    <w:p w14:paraId="64AA6158" w14:textId="39CBFE48" w:rsidR="00146958" w:rsidRPr="00B232A7" w:rsidRDefault="00146958" w:rsidP="00B232A7">
      <w:pPr>
        <w:pStyle w:val="Textonotapie"/>
        <w:jc w:val="both"/>
        <w:rPr>
          <w:rFonts w:ascii="Verdana" w:hAnsi="Verdana"/>
          <w:b/>
          <w:sz w:val="16"/>
          <w:szCs w:val="16"/>
          <w:lang w:val="es-CR"/>
        </w:rPr>
      </w:pPr>
      <w:r w:rsidRPr="00B232A7">
        <w:rPr>
          <w:rStyle w:val="Refdenotaalpie"/>
          <w:rFonts w:ascii="Verdana" w:hAnsi="Verdana"/>
          <w:sz w:val="16"/>
          <w:szCs w:val="16"/>
        </w:rPr>
        <w:footnoteRef/>
      </w:r>
      <w:r w:rsidRPr="00B232A7">
        <w:rPr>
          <w:rFonts w:ascii="Verdana" w:hAnsi="Verdana"/>
          <w:sz w:val="16"/>
          <w:szCs w:val="16"/>
        </w:rPr>
        <w:t xml:space="preserve"> </w:t>
      </w:r>
      <w:r w:rsidRPr="00B232A7">
        <w:rPr>
          <w:rFonts w:ascii="Verdana" w:hAnsi="Verdana"/>
          <w:sz w:val="16"/>
          <w:szCs w:val="16"/>
        </w:rPr>
        <w:tab/>
      </w:r>
      <w:r w:rsidRPr="00CD5C54">
        <w:rPr>
          <w:rFonts w:ascii="Verdana" w:hAnsi="Verdana"/>
          <w:i/>
          <w:sz w:val="16"/>
          <w:szCs w:val="16"/>
        </w:rPr>
        <w:t>Cfr.</w:t>
      </w:r>
      <w:r w:rsidRPr="00570B7B">
        <w:rPr>
          <w:rFonts w:ascii="Verdana" w:hAnsi="Verdana"/>
          <w:i/>
          <w:sz w:val="16"/>
          <w:szCs w:val="16"/>
        </w:rPr>
        <w:t xml:space="preserve"> Caso de la Masacre de La Rochela Vs. Colombia. Fondo, Reparaciones y Costas. Sentencia de 11 de mayo de 2007. Serie C No. 163</w:t>
      </w:r>
      <w:r w:rsidRPr="00B232A7">
        <w:rPr>
          <w:rFonts w:ascii="Verdana" w:hAnsi="Verdana"/>
          <w:sz w:val="16"/>
          <w:szCs w:val="16"/>
        </w:rPr>
        <w:t>, párr. 54, y</w:t>
      </w:r>
      <w:r w:rsidRPr="00B232A7">
        <w:rPr>
          <w:rStyle w:val="Textoennegrita"/>
          <w:rFonts w:ascii="Verdana" w:eastAsia="MS ????" w:hAnsi="Verdana"/>
          <w:b w:val="0"/>
          <w:i/>
          <w:color w:val="000000"/>
          <w:sz w:val="16"/>
          <w:szCs w:val="16"/>
          <w:shd w:val="clear" w:color="auto" w:fill="FFFFFF"/>
        </w:rPr>
        <w:t xml:space="preserve"> Caso</w:t>
      </w:r>
      <w:r>
        <w:rPr>
          <w:rStyle w:val="Textoennegrita"/>
          <w:rFonts w:ascii="Verdana" w:eastAsia="MS ????" w:hAnsi="Verdana"/>
          <w:b w:val="0"/>
          <w:i/>
          <w:color w:val="000000"/>
          <w:sz w:val="16"/>
          <w:szCs w:val="16"/>
          <w:shd w:val="clear" w:color="auto" w:fill="FFFFFF"/>
        </w:rPr>
        <w:t xml:space="preserve"> López Soto y otros Vs. Venezuela,</w:t>
      </w:r>
      <w:r w:rsidRPr="00B232A7">
        <w:rPr>
          <w:rStyle w:val="Textoennegrita"/>
          <w:rFonts w:ascii="Verdana" w:eastAsia="MS ????" w:hAnsi="Verdana"/>
          <w:b w:val="0"/>
          <w:i/>
          <w:color w:val="000000"/>
          <w:sz w:val="16"/>
          <w:szCs w:val="16"/>
          <w:shd w:val="clear" w:color="auto" w:fill="FFFFFF"/>
        </w:rPr>
        <w:t xml:space="preserve"> supra</w:t>
      </w:r>
      <w:r w:rsidRPr="00B232A7">
        <w:rPr>
          <w:rStyle w:val="Textoennegrita"/>
          <w:rFonts w:ascii="Verdana" w:eastAsia="MS ????" w:hAnsi="Verdana"/>
          <w:b w:val="0"/>
          <w:color w:val="000000"/>
          <w:sz w:val="16"/>
          <w:szCs w:val="16"/>
          <w:shd w:val="clear" w:color="auto" w:fill="FFFFFF"/>
        </w:rPr>
        <w:t xml:space="preserve"> párr. 3</w:t>
      </w:r>
      <w:r>
        <w:rPr>
          <w:rStyle w:val="Textoennegrita"/>
          <w:rFonts w:ascii="Verdana" w:eastAsia="MS ????" w:hAnsi="Verdana"/>
          <w:b w:val="0"/>
          <w:color w:val="000000"/>
          <w:sz w:val="16"/>
          <w:szCs w:val="16"/>
          <w:shd w:val="clear" w:color="auto" w:fill="FFFFFF"/>
        </w:rPr>
        <w:t>6</w:t>
      </w:r>
      <w:r w:rsidRPr="00B232A7">
        <w:rPr>
          <w:rStyle w:val="Textoennegrita"/>
          <w:rFonts w:ascii="Verdana" w:eastAsia="MS ????" w:hAnsi="Verdana"/>
          <w:b w:val="0"/>
          <w:color w:val="000000"/>
          <w:sz w:val="16"/>
          <w:szCs w:val="16"/>
          <w:shd w:val="clear" w:color="auto" w:fill="FFFFFF"/>
        </w:rPr>
        <w:t>.</w:t>
      </w:r>
    </w:p>
  </w:footnote>
  <w:footnote w:id="42">
    <w:p w14:paraId="64AA6159" w14:textId="7191F9FB" w:rsidR="00146958" w:rsidRPr="009F0486" w:rsidRDefault="00146958" w:rsidP="00B232A7">
      <w:pPr>
        <w:pStyle w:val="Textonotapie"/>
        <w:jc w:val="both"/>
        <w:rPr>
          <w:rFonts w:ascii="Verdana" w:hAnsi="Verdana"/>
          <w:sz w:val="16"/>
          <w:szCs w:val="16"/>
        </w:rPr>
      </w:pPr>
      <w:r w:rsidRPr="00B232A7">
        <w:rPr>
          <w:rStyle w:val="Refdenotaalpie"/>
          <w:rFonts w:ascii="Verdana" w:eastAsia="Calibri" w:hAnsi="Verdana"/>
          <w:sz w:val="16"/>
          <w:szCs w:val="16"/>
        </w:rPr>
        <w:footnoteRef/>
      </w:r>
      <w:r w:rsidRPr="00B232A7">
        <w:rPr>
          <w:rFonts w:ascii="Verdana" w:hAnsi="Verdana"/>
          <w:sz w:val="16"/>
          <w:szCs w:val="16"/>
        </w:rPr>
        <w:tab/>
      </w:r>
      <w:r w:rsidRPr="00CD5C54">
        <w:rPr>
          <w:rFonts w:ascii="Verdana" w:hAnsi="Verdana"/>
          <w:i/>
          <w:sz w:val="16"/>
          <w:szCs w:val="16"/>
        </w:rPr>
        <w:t>Cfr.</w:t>
      </w:r>
      <w:r w:rsidRPr="008D0846">
        <w:rPr>
          <w:rFonts w:ascii="Verdana" w:hAnsi="Verdana"/>
          <w:i/>
          <w:sz w:val="16"/>
          <w:szCs w:val="16"/>
        </w:rPr>
        <w:t xml:space="preserve"> </w:t>
      </w:r>
      <w:r w:rsidRPr="008D0846">
        <w:rPr>
          <w:rFonts w:ascii="Verdana" w:hAnsi="Verdana" w:cs="Courier New"/>
          <w:i/>
          <w:sz w:val="16"/>
          <w:szCs w:val="16"/>
        </w:rPr>
        <w:t>Caso Velásquez Rodríguez Vs. Honduras. Fondo</w:t>
      </w:r>
      <w:r>
        <w:rPr>
          <w:rFonts w:ascii="Verdana" w:hAnsi="Verdana" w:cs="Courier New"/>
          <w:sz w:val="16"/>
          <w:szCs w:val="16"/>
        </w:rPr>
        <w:t>. Sentencia de 29 de julio de 1988. Serie C No. 4,</w:t>
      </w:r>
      <w:r w:rsidRPr="00570B7B">
        <w:rPr>
          <w:rFonts w:ascii="Verdana" w:hAnsi="Verdana" w:cs="Courier New"/>
          <w:sz w:val="16"/>
          <w:szCs w:val="16"/>
        </w:rPr>
        <w:t xml:space="preserve"> párr. 140, </w:t>
      </w:r>
      <w:r w:rsidRPr="00570B7B">
        <w:rPr>
          <w:rFonts w:ascii="Verdana" w:hAnsi="Verdana"/>
          <w:sz w:val="16"/>
          <w:szCs w:val="16"/>
        </w:rPr>
        <w:t xml:space="preserve">y </w:t>
      </w:r>
      <w:r w:rsidRPr="008D0846">
        <w:rPr>
          <w:rFonts w:ascii="Verdana" w:hAnsi="Verdana"/>
          <w:i/>
          <w:sz w:val="16"/>
          <w:szCs w:val="16"/>
        </w:rPr>
        <w:t>Caso Terrones Silva y otros Vs. Perú. Excepciones Preliminares, Fondo, Reparaciones y Costas</w:t>
      </w:r>
      <w:r w:rsidRPr="009F0486">
        <w:rPr>
          <w:rFonts w:ascii="Verdana" w:hAnsi="Verdana"/>
          <w:sz w:val="16"/>
          <w:szCs w:val="16"/>
        </w:rPr>
        <w:t xml:space="preserve">. Sentencia de </w:t>
      </w:r>
      <w:r>
        <w:rPr>
          <w:rFonts w:ascii="Verdana" w:hAnsi="Verdana"/>
          <w:sz w:val="16"/>
          <w:szCs w:val="16"/>
        </w:rPr>
        <w:t>26</w:t>
      </w:r>
      <w:r w:rsidRPr="009F0486">
        <w:rPr>
          <w:rFonts w:ascii="Verdana" w:hAnsi="Verdana"/>
          <w:sz w:val="16"/>
          <w:szCs w:val="16"/>
        </w:rPr>
        <w:t xml:space="preserve"> de </w:t>
      </w:r>
      <w:r>
        <w:rPr>
          <w:rFonts w:ascii="Verdana" w:hAnsi="Verdana"/>
          <w:sz w:val="16"/>
          <w:szCs w:val="16"/>
        </w:rPr>
        <w:t>septiembre</w:t>
      </w:r>
      <w:r w:rsidRPr="009F0486">
        <w:rPr>
          <w:rFonts w:ascii="Verdana" w:hAnsi="Verdana"/>
          <w:sz w:val="16"/>
          <w:szCs w:val="16"/>
        </w:rPr>
        <w:t xml:space="preserve"> de 2018. Serie C No. 3</w:t>
      </w:r>
      <w:r>
        <w:rPr>
          <w:rFonts w:ascii="Verdana" w:hAnsi="Verdana"/>
          <w:sz w:val="16"/>
          <w:szCs w:val="16"/>
        </w:rPr>
        <w:t>60</w:t>
      </w:r>
      <w:r w:rsidRPr="009F0486">
        <w:rPr>
          <w:rFonts w:ascii="Verdana" w:hAnsi="Verdana"/>
          <w:sz w:val="16"/>
          <w:szCs w:val="16"/>
        </w:rPr>
        <w:t xml:space="preserve">, párr. </w:t>
      </w:r>
      <w:r>
        <w:rPr>
          <w:rFonts w:ascii="Verdana" w:hAnsi="Verdana"/>
          <w:sz w:val="16"/>
          <w:szCs w:val="16"/>
        </w:rPr>
        <w:t>40</w:t>
      </w:r>
      <w:r w:rsidRPr="009F0486">
        <w:rPr>
          <w:rFonts w:ascii="Verdana" w:hAnsi="Verdana"/>
          <w:sz w:val="16"/>
          <w:szCs w:val="16"/>
        </w:rPr>
        <w:t>.</w:t>
      </w:r>
    </w:p>
  </w:footnote>
  <w:footnote w:id="43">
    <w:p w14:paraId="64AA615A" w14:textId="347551C9" w:rsidR="00146958" w:rsidRPr="00B232A7" w:rsidRDefault="00146958" w:rsidP="00570B7B">
      <w:pPr>
        <w:pStyle w:val="Textonotapie"/>
        <w:jc w:val="both"/>
        <w:rPr>
          <w:rFonts w:ascii="Verdana" w:hAnsi="Verdana"/>
          <w:sz w:val="16"/>
          <w:szCs w:val="16"/>
        </w:rPr>
      </w:pPr>
      <w:r w:rsidRPr="00B232A7">
        <w:rPr>
          <w:rStyle w:val="Refdenotaalpie"/>
          <w:rFonts w:ascii="Verdana" w:hAnsi="Verdana"/>
          <w:sz w:val="16"/>
          <w:szCs w:val="16"/>
        </w:rPr>
        <w:footnoteRef/>
      </w:r>
      <w:r w:rsidRPr="00B232A7">
        <w:rPr>
          <w:rFonts w:ascii="Verdana" w:hAnsi="Verdana"/>
          <w:sz w:val="16"/>
          <w:szCs w:val="16"/>
        </w:rPr>
        <w:t xml:space="preserve"> </w:t>
      </w:r>
      <w:r w:rsidRPr="00B232A7">
        <w:rPr>
          <w:rFonts w:ascii="Verdana" w:hAnsi="Verdana"/>
          <w:sz w:val="16"/>
          <w:szCs w:val="16"/>
        </w:rPr>
        <w:tab/>
      </w:r>
      <w:r w:rsidRPr="00CD5C54">
        <w:rPr>
          <w:rFonts w:ascii="Verdana" w:hAnsi="Verdana"/>
          <w:i/>
          <w:sz w:val="16"/>
          <w:szCs w:val="16"/>
        </w:rPr>
        <w:t>Cfr.</w:t>
      </w:r>
      <w:r w:rsidRPr="008D0846">
        <w:rPr>
          <w:rFonts w:ascii="Verdana" w:hAnsi="Verdana"/>
          <w:i/>
          <w:sz w:val="16"/>
          <w:szCs w:val="16"/>
        </w:rPr>
        <w:t xml:space="preserve"> Caso Carvajal Carvajal y otros Vs. Colombia. Fondo, Reparaciones y Costas</w:t>
      </w:r>
      <w:r w:rsidRPr="00570B7B">
        <w:rPr>
          <w:rFonts w:ascii="Verdana" w:hAnsi="Verdana"/>
          <w:sz w:val="16"/>
          <w:szCs w:val="16"/>
        </w:rPr>
        <w:t>. Sentencia de 13 de marzo de 2018. Serie C No.</w:t>
      </w:r>
      <w:r w:rsidRPr="00B232A7">
        <w:rPr>
          <w:rFonts w:ascii="Verdana" w:hAnsi="Verdana"/>
          <w:sz w:val="16"/>
          <w:szCs w:val="16"/>
        </w:rPr>
        <w:t xml:space="preserve"> 352, párr. 18</w:t>
      </w:r>
      <w:r>
        <w:rPr>
          <w:rFonts w:ascii="Verdana" w:hAnsi="Verdana"/>
          <w:sz w:val="16"/>
          <w:szCs w:val="16"/>
        </w:rPr>
        <w:t xml:space="preserve">, y </w:t>
      </w:r>
      <w:r w:rsidRPr="008D0846">
        <w:rPr>
          <w:rFonts w:ascii="Verdana" w:hAnsi="Verdana"/>
          <w:i/>
          <w:sz w:val="16"/>
          <w:szCs w:val="16"/>
        </w:rPr>
        <w:t>Caso Terrones Silva y otros Vs. Perú, supra</w:t>
      </w:r>
      <w:r>
        <w:rPr>
          <w:rFonts w:ascii="Verdana" w:hAnsi="Verdana"/>
          <w:sz w:val="16"/>
          <w:szCs w:val="16"/>
        </w:rPr>
        <w:t xml:space="preserve"> párr.41.</w:t>
      </w:r>
    </w:p>
  </w:footnote>
  <w:footnote w:id="44">
    <w:p w14:paraId="64AA615B" w14:textId="7B409BD4" w:rsidR="00146958" w:rsidRPr="00B232A7" w:rsidRDefault="00146958" w:rsidP="00570B7B">
      <w:pPr>
        <w:pStyle w:val="Textonotapie"/>
        <w:jc w:val="both"/>
        <w:rPr>
          <w:rFonts w:ascii="Verdana" w:hAnsi="Verdana"/>
          <w:sz w:val="16"/>
          <w:szCs w:val="16"/>
        </w:rPr>
      </w:pPr>
      <w:r w:rsidRPr="00B232A7">
        <w:rPr>
          <w:rStyle w:val="Refdenotaalpie"/>
          <w:rFonts w:ascii="Verdana" w:hAnsi="Verdana"/>
          <w:sz w:val="16"/>
          <w:szCs w:val="16"/>
        </w:rPr>
        <w:footnoteRef/>
      </w:r>
      <w:r w:rsidRPr="00B232A7">
        <w:rPr>
          <w:rFonts w:ascii="Verdana" w:hAnsi="Verdana"/>
          <w:sz w:val="16"/>
          <w:szCs w:val="16"/>
        </w:rPr>
        <w:t xml:space="preserve"> </w:t>
      </w:r>
      <w:r w:rsidRPr="00B232A7">
        <w:rPr>
          <w:rFonts w:ascii="Verdana" w:hAnsi="Verdana"/>
          <w:sz w:val="16"/>
          <w:szCs w:val="16"/>
        </w:rPr>
        <w:tab/>
      </w:r>
      <w:r w:rsidRPr="00570B7B">
        <w:rPr>
          <w:rFonts w:ascii="Verdana" w:hAnsi="Verdana"/>
          <w:bCs/>
          <w:sz w:val="16"/>
          <w:szCs w:val="16"/>
        </w:rPr>
        <w:t>Esos documentos consistieron en los Informes del Estado de México ante el Comité de Desaparición Forzada del Alto Comisionado para los Derechos Humanos de las Naciones Unidas de los años 2014, 2015, 2016</w:t>
      </w:r>
      <w:r>
        <w:rPr>
          <w:rFonts w:ascii="Verdana" w:hAnsi="Verdana"/>
          <w:bCs/>
          <w:sz w:val="16"/>
          <w:szCs w:val="16"/>
        </w:rPr>
        <w:t>,</w:t>
      </w:r>
      <w:r w:rsidRPr="00570B7B">
        <w:rPr>
          <w:rFonts w:ascii="Verdana" w:hAnsi="Verdana"/>
          <w:bCs/>
          <w:sz w:val="16"/>
          <w:szCs w:val="16"/>
        </w:rPr>
        <w:t xml:space="preserve"> </w:t>
      </w:r>
      <w:r>
        <w:rPr>
          <w:rFonts w:ascii="Verdana" w:hAnsi="Verdana"/>
          <w:bCs/>
          <w:sz w:val="16"/>
          <w:szCs w:val="16"/>
        </w:rPr>
        <w:t>201</w:t>
      </w:r>
      <w:r w:rsidRPr="00570B7B">
        <w:rPr>
          <w:rFonts w:ascii="Verdana" w:hAnsi="Verdana"/>
          <w:bCs/>
          <w:sz w:val="16"/>
          <w:szCs w:val="16"/>
        </w:rPr>
        <w:t>7</w:t>
      </w:r>
      <w:r>
        <w:rPr>
          <w:rFonts w:ascii="Verdana" w:hAnsi="Verdana"/>
          <w:bCs/>
          <w:sz w:val="16"/>
          <w:szCs w:val="16"/>
        </w:rPr>
        <w:t xml:space="preserve"> y</w:t>
      </w:r>
      <w:r w:rsidRPr="00570B7B">
        <w:rPr>
          <w:rFonts w:ascii="Verdana" w:hAnsi="Verdana"/>
          <w:bCs/>
          <w:sz w:val="16"/>
          <w:szCs w:val="16"/>
        </w:rPr>
        <w:t xml:space="preserve"> 2018.</w:t>
      </w:r>
    </w:p>
  </w:footnote>
  <w:footnote w:id="45">
    <w:p w14:paraId="3553F000" w14:textId="2620D484"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Ley de Seguridad Interior, publicada en el Diario Oficial de la Federación el 21 de diciembre de 2017. Disponible en</w:t>
      </w:r>
      <w:r w:rsidRPr="00B232A7">
        <w:rPr>
          <w:rFonts w:ascii="Verdana" w:hAnsi="Verdana"/>
          <w:sz w:val="16"/>
          <w:szCs w:val="16"/>
        </w:rPr>
        <w:t xml:space="preserve">: </w:t>
      </w:r>
      <w:hyperlink r:id="rId4" w:history="1">
        <w:r w:rsidRPr="00B232A7">
          <w:rPr>
            <w:rStyle w:val="Hipervnculo"/>
            <w:rFonts w:ascii="Verdana" w:hAnsi="Verdana"/>
            <w:sz w:val="16"/>
            <w:szCs w:val="16"/>
          </w:rPr>
          <w:t>http://www.dof.gob.mx/nota_detalle.php?codigo=5508716&amp;fecha=21/12/2017</w:t>
        </w:r>
      </w:hyperlink>
      <w:r w:rsidRPr="00B232A7">
        <w:rPr>
          <w:rStyle w:val="Hipervnculo"/>
          <w:rFonts w:ascii="Verdana" w:hAnsi="Verdana"/>
          <w:sz w:val="16"/>
          <w:szCs w:val="16"/>
        </w:rPr>
        <w:t>.</w:t>
      </w:r>
    </w:p>
  </w:footnote>
  <w:footnote w:id="46">
    <w:p w14:paraId="2A1FA7E2" w14:textId="0CC9576F"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 xml:space="preserve">Legislación disponible en: </w:t>
      </w:r>
      <w:hyperlink r:id="rId5" w:history="1">
        <w:r w:rsidRPr="00B232A7">
          <w:rPr>
            <w:rStyle w:val="Hipervnculo"/>
            <w:rFonts w:ascii="Verdana" w:hAnsi="Verdana"/>
            <w:bCs/>
            <w:sz w:val="16"/>
            <w:szCs w:val="16"/>
          </w:rPr>
          <w:t>http://www.internet2.scjn.gob.mx/red2/comunicados/noticia.asp?id=5794</w:t>
        </w:r>
      </w:hyperlink>
    </w:p>
  </w:footnote>
  <w:footnote w:id="47">
    <w:p w14:paraId="488362A4" w14:textId="1758DDDB"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Pr>
          <w:rFonts w:ascii="Verdana" w:hAnsi="Verdana"/>
          <w:sz w:val="16"/>
          <w:szCs w:val="16"/>
        </w:rPr>
        <w:t>Disponible</w:t>
      </w:r>
      <w:r w:rsidRPr="008D0846">
        <w:rPr>
          <w:rFonts w:ascii="Verdana" w:hAnsi="Verdana"/>
          <w:sz w:val="16"/>
          <w:szCs w:val="16"/>
        </w:rPr>
        <w:t xml:space="preserve"> en: </w:t>
      </w:r>
      <w:hyperlink r:id="rId6" w:history="1">
        <w:r w:rsidRPr="008D0846">
          <w:rPr>
            <w:rStyle w:val="Hipervnculo"/>
            <w:rFonts w:ascii="Verdana" w:hAnsi="Verdana"/>
            <w:sz w:val="16"/>
            <w:szCs w:val="16"/>
          </w:rPr>
          <w:t>https://lopezobrador.org.mx/wp-content/uploads/2018/11/Plan-Nacional-de-Paz-y-Seguridad_.pdf</w:t>
        </w:r>
      </w:hyperlink>
    </w:p>
  </w:footnote>
  <w:footnote w:id="48">
    <w:p w14:paraId="61CD569E" w14:textId="156CA724" w:rsidR="00146958" w:rsidRPr="008D0846" w:rsidRDefault="00146958" w:rsidP="00583119">
      <w:pPr>
        <w:spacing w:after="0" w:line="240" w:lineRule="auto"/>
        <w:jc w:val="both"/>
        <w:rPr>
          <w:rFonts w:ascii="Verdana" w:eastAsia="PMingLiU" w:hAnsi="Verdana"/>
          <w:bCs/>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 xml:space="preserve">Dicha iniciativa de reforma fue turnada a la Comisión de Puntos Constitucionales de la Cámara de Diputados para su estudio. </w:t>
      </w:r>
      <w:r w:rsidRPr="00CD5C54">
        <w:rPr>
          <w:rFonts w:ascii="Verdana" w:eastAsia="PMingLiU" w:hAnsi="Verdana"/>
          <w:bCs/>
          <w:i/>
          <w:sz w:val="16"/>
          <w:szCs w:val="16"/>
        </w:rPr>
        <w:t>Cfr.</w:t>
      </w:r>
      <w:r w:rsidRPr="008D0846">
        <w:rPr>
          <w:rFonts w:ascii="Verdana" w:eastAsia="PMingLiU" w:hAnsi="Verdana"/>
          <w:bCs/>
          <w:sz w:val="16"/>
          <w:szCs w:val="16"/>
        </w:rPr>
        <w:t xml:space="preserve"> Gaceta Parlamentaria, año XXI, número 5159-II, </w:t>
      </w:r>
      <w:r>
        <w:rPr>
          <w:rFonts w:ascii="Verdana" w:eastAsia="PMingLiU" w:hAnsi="Verdana"/>
          <w:bCs/>
          <w:sz w:val="16"/>
          <w:szCs w:val="16"/>
        </w:rPr>
        <w:t>20</w:t>
      </w:r>
      <w:r w:rsidRPr="008D0846">
        <w:rPr>
          <w:rFonts w:ascii="Verdana" w:eastAsia="PMingLiU" w:hAnsi="Verdana"/>
          <w:bCs/>
          <w:sz w:val="16"/>
          <w:szCs w:val="16"/>
        </w:rPr>
        <w:t xml:space="preserve"> de noviembre de 2018, disponible en: </w:t>
      </w:r>
      <w:hyperlink r:id="rId7" w:history="1">
        <w:r w:rsidRPr="008D0846">
          <w:rPr>
            <w:rStyle w:val="Hipervnculo"/>
            <w:rFonts w:ascii="Verdana" w:eastAsia="PMingLiU" w:hAnsi="Verdana"/>
            <w:bCs/>
            <w:sz w:val="16"/>
            <w:szCs w:val="16"/>
          </w:rPr>
          <w:t>http://gaceta.diputados.gob.mx/Gaceta/64/2018/nov/20181120-II.html</w:t>
        </w:r>
      </w:hyperlink>
      <w:r w:rsidRPr="00531EF3">
        <w:rPr>
          <w:rFonts w:ascii="Verdana" w:eastAsia="PMingLiU" w:hAnsi="Verdana"/>
          <w:bCs/>
          <w:sz w:val="16"/>
          <w:szCs w:val="16"/>
        </w:rPr>
        <w:t xml:space="preserve">. </w:t>
      </w:r>
      <w:r w:rsidRPr="008D0846">
        <w:rPr>
          <w:rFonts w:ascii="Verdana" w:eastAsia="PMingLiU" w:hAnsi="Verdana"/>
          <w:bCs/>
          <w:sz w:val="16"/>
          <w:szCs w:val="16"/>
        </w:rPr>
        <w:t xml:space="preserve"> </w:t>
      </w:r>
    </w:p>
  </w:footnote>
  <w:footnote w:id="49">
    <w:p w14:paraId="0B03BE9D" w14:textId="3FAF64EC" w:rsidR="00146958" w:rsidRPr="00531EF3" w:rsidRDefault="00146958">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531EF3">
        <w:rPr>
          <w:rFonts w:ascii="Verdana" w:hAnsi="Verdana"/>
          <w:sz w:val="16"/>
          <w:szCs w:val="16"/>
        </w:rPr>
        <w:t>En cuanto a la prueba rendida en audiencia pública, la Corte recibió las declaraciones de las presuntas víctimas Jaime Alvarado Herrera y María de Jesús Alvarado Espinoza, de la testigo propuesta por el Estado, Mariana Colín Ayala; así como los dictámenes de los peritos Federico Andreu Guzmán, propuesto por la Comisión; Salvador Salazar Gutiérrez, propuesto por las representantes, y Carlos Rodríguez Ulloa, propuesto por el Estado</w:t>
      </w:r>
      <w:r>
        <w:rPr>
          <w:rFonts w:ascii="Verdana" w:hAnsi="Verdana"/>
          <w:sz w:val="16"/>
          <w:szCs w:val="16"/>
        </w:rPr>
        <w:t xml:space="preserve"> (</w:t>
      </w:r>
      <w:r w:rsidRPr="00531EF3">
        <w:rPr>
          <w:rFonts w:ascii="Verdana" w:hAnsi="Verdana"/>
          <w:sz w:val="16"/>
          <w:szCs w:val="16"/>
        </w:rPr>
        <w:t>expediente de fondo, ff</w:t>
      </w:r>
      <w:r>
        <w:rPr>
          <w:rFonts w:ascii="Verdana" w:hAnsi="Verdana"/>
          <w:sz w:val="16"/>
          <w:szCs w:val="16"/>
        </w:rPr>
        <w:t>.</w:t>
      </w:r>
      <w:r w:rsidRPr="00531EF3">
        <w:rPr>
          <w:rFonts w:ascii="Verdana" w:hAnsi="Verdana"/>
          <w:sz w:val="16"/>
          <w:szCs w:val="16"/>
        </w:rPr>
        <w:t xml:space="preserve"> 918 y 1174</w:t>
      </w:r>
      <w:r>
        <w:rPr>
          <w:rFonts w:ascii="Verdana" w:hAnsi="Verdana"/>
          <w:sz w:val="16"/>
          <w:szCs w:val="16"/>
        </w:rPr>
        <w:t>)</w:t>
      </w:r>
      <w:r w:rsidRPr="00531EF3">
        <w:rPr>
          <w:rFonts w:ascii="Verdana" w:hAnsi="Verdana"/>
          <w:sz w:val="16"/>
          <w:szCs w:val="16"/>
        </w:rPr>
        <w:t>.</w:t>
      </w:r>
    </w:p>
  </w:footnote>
  <w:footnote w:id="50">
    <w:p w14:paraId="7E50E593" w14:textId="5FC0ED45" w:rsidR="00146958" w:rsidRPr="00531EF3" w:rsidRDefault="00146958">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lang w:val="es-CR"/>
        </w:rPr>
        <w:tab/>
      </w:r>
      <w:r w:rsidRPr="00531EF3">
        <w:rPr>
          <w:rFonts w:ascii="Verdana" w:hAnsi="Verdana"/>
          <w:sz w:val="16"/>
          <w:szCs w:val="16"/>
          <w:lang w:val="es-CR"/>
        </w:rPr>
        <w:t>La Corte recibió las declaraciones rendidas ante fedatario público (</w:t>
      </w:r>
      <w:r w:rsidRPr="008D0846">
        <w:rPr>
          <w:rFonts w:ascii="Verdana" w:hAnsi="Verdana"/>
          <w:i/>
          <w:sz w:val="16"/>
          <w:lang w:val="es-CR"/>
        </w:rPr>
        <w:t>affidávit</w:t>
      </w:r>
      <w:r w:rsidRPr="00531EF3">
        <w:rPr>
          <w:rFonts w:ascii="Verdana" w:hAnsi="Verdana"/>
          <w:sz w:val="16"/>
          <w:szCs w:val="16"/>
          <w:lang w:val="es-CR"/>
        </w:rPr>
        <w:t xml:space="preserve">) de Adrián Alvarado Reyes, Alán Rafael Alvarado Reyes, José Ángel Alvarado Fabela, Deisy Alvarado Espinoza, Mitzy Paola Alvarado Espinoza, Nitza Sitlaly Alvarado Espinoza, Obdulia Espinoza Beltrán, Rosa Olivia Alvarado, Salomón Baltazar Samayoa, Sandra Luz rueda Quesada y los peritajes de Alejandro Madrazo Lajous, Carlos Martín Beristain, Gabriella Citroni y del Grupo de Investigación en Antropología Social y Forense (GIASF), propuestos por las representantes. Además, la Corte recibió las declaraciones ante fedatario público de los testigos: Aaron Enríquez Duarte, Víctor Cruz Martínez, José Emilio Serrano Santiago, Efraín Arzola Herrejón, Óscar Arias Ocampo, Marín Adrián Lasso Carbajal, Ramón Iván Sotomayor Siller y Argene Blásquez Morales, propuestos por el Estado </w:t>
      </w:r>
      <w:r>
        <w:rPr>
          <w:rFonts w:ascii="Verdana" w:hAnsi="Verdana"/>
          <w:sz w:val="16"/>
          <w:szCs w:val="16"/>
          <w:lang w:val="es-CR"/>
        </w:rPr>
        <w:t>(</w:t>
      </w:r>
      <w:r w:rsidRPr="00531EF3">
        <w:rPr>
          <w:rFonts w:ascii="Verdana" w:hAnsi="Verdana"/>
          <w:sz w:val="16"/>
          <w:szCs w:val="16"/>
          <w:lang w:val="es-CR"/>
        </w:rPr>
        <w:t xml:space="preserve">expediente de prueba, </w:t>
      </w:r>
      <w:r w:rsidRPr="00453199">
        <w:rPr>
          <w:rFonts w:ascii="Verdana" w:hAnsi="Verdana"/>
          <w:i/>
          <w:sz w:val="16"/>
          <w:szCs w:val="16"/>
          <w:lang w:val="es-CR"/>
        </w:rPr>
        <w:t>Affidávits</w:t>
      </w:r>
      <w:r>
        <w:rPr>
          <w:rFonts w:ascii="Verdana" w:hAnsi="Verdana"/>
          <w:sz w:val="16"/>
          <w:szCs w:val="16"/>
          <w:lang w:val="es-CR"/>
        </w:rPr>
        <w:t xml:space="preserve">, </w:t>
      </w:r>
      <w:r w:rsidRPr="00531EF3">
        <w:rPr>
          <w:rFonts w:ascii="Verdana" w:hAnsi="Verdana"/>
          <w:sz w:val="16"/>
          <w:szCs w:val="16"/>
          <w:lang w:val="es-CR"/>
        </w:rPr>
        <w:t>ff. 30865 a 31228</w:t>
      </w:r>
      <w:r>
        <w:rPr>
          <w:rFonts w:ascii="Verdana" w:hAnsi="Verdana"/>
          <w:sz w:val="16"/>
          <w:szCs w:val="16"/>
          <w:lang w:val="es-CR"/>
        </w:rPr>
        <w:t>)</w:t>
      </w:r>
      <w:r w:rsidRPr="00531EF3">
        <w:rPr>
          <w:rFonts w:ascii="Verdana" w:hAnsi="Verdana"/>
          <w:sz w:val="16"/>
          <w:szCs w:val="16"/>
          <w:lang w:val="es-CR"/>
        </w:rPr>
        <w:t xml:space="preserve">.  </w:t>
      </w:r>
    </w:p>
  </w:footnote>
  <w:footnote w:id="51">
    <w:p w14:paraId="64AA615D" w14:textId="3B8472C7" w:rsidR="00146958" w:rsidRPr="00531EF3" w:rsidRDefault="00146958">
      <w:pPr>
        <w:pStyle w:val="Textonotapie"/>
        <w:jc w:val="both"/>
        <w:rPr>
          <w:rFonts w:ascii="Verdana" w:eastAsia="ヒラギノ角ゴ Pro W3" w:hAnsi="Verdana"/>
          <w:sz w:val="16"/>
          <w:szCs w:val="16"/>
          <w:lang w:val="es-CR"/>
        </w:rPr>
      </w:pPr>
      <w:r w:rsidRPr="00531EF3">
        <w:rPr>
          <w:rStyle w:val="Refdenotaalpie"/>
          <w:rFonts w:ascii="Verdana" w:eastAsia="Calibri" w:hAnsi="Verdana"/>
          <w:sz w:val="16"/>
          <w:szCs w:val="16"/>
          <w:lang w:val="es-CR"/>
        </w:rPr>
        <w:footnoteRef/>
      </w:r>
      <w:r w:rsidRPr="00531EF3">
        <w:rPr>
          <w:rFonts w:ascii="Verdana" w:hAnsi="Verdana"/>
          <w:sz w:val="16"/>
          <w:szCs w:val="16"/>
          <w:lang w:val="es-CR"/>
        </w:rPr>
        <w:t xml:space="preserve"> </w:t>
      </w:r>
      <w:r w:rsidRPr="00531EF3">
        <w:rPr>
          <w:rFonts w:ascii="Verdana" w:hAnsi="Verdana"/>
          <w:sz w:val="16"/>
          <w:szCs w:val="16"/>
          <w:lang w:val="es-CR"/>
        </w:rPr>
        <w:tab/>
        <w:t xml:space="preserve">Los objetos de todas estas declaraciones se encuentran establecidos en la Resolución del Presidente en ejercicio </w:t>
      </w:r>
      <w:r w:rsidRPr="003B4EBE">
        <w:rPr>
          <w:rFonts w:ascii="Verdana" w:hAnsi="Verdana"/>
          <w:sz w:val="16"/>
          <w:szCs w:val="16"/>
          <w:lang w:val="es-CR"/>
        </w:rPr>
        <w:t xml:space="preserve">de la Corte </w:t>
      </w:r>
      <w:r>
        <w:rPr>
          <w:rFonts w:ascii="Verdana" w:hAnsi="Verdana"/>
          <w:sz w:val="16"/>
          <w:szCs w:val="16"/>
          <w:lang w:val="es-CR"/>
        </w:rPr>
        <w:t>IDH</w:t>
      </w:r>
      <w:r w:rsidRPr="003B4EBE">
        <w:rPr>
          <w:rFonts w:ascii="Verdana" w:hAnsi="Verdana"/>
          <w:sz w:val="16"/>
          <w:szCs w:val="16"/>
          <w:lang w:val="es-CR"/>
        </w:rPr>
        <w:t xml:space="preserve"> de 23 de marzo de 2018</w:t>
      </w:r>
      <w:r>
        <w:rPr>
          <w:rFonts w:ascii="Verdana" w:hAnsi="Verdana"/>
          <w:sz w:val="16"/>
          <w:szCs w:val="16"/>
          <w:lang w:val="es-CR"/>
        </w:rPr>
        <w:t>, supra.</w:t>
      </w:r>
      <w:r w:rsidRPr="003B4EBE">
        <w:rPr>
          <w:rFonts w:ascii="Verdana" w:hAnsi="Verdana"/>
          <w:sz w:val="16"/>
          <w:szCs w:val="16"/>
          <w:lang w:val="es-CR"/>
        </w:rPr>
        <w:t xml:space="preserve"> Disponible en: </w:t>
      </w:r>
      <w:hyperlink r:id="rId8" w:history="1">
        <w:r w:rsidRPr="00531EF3">
          <w:rPr>
            <w:rStyle w:val="Hipervnculo"/>
            <w:rFonts w:ascii="Verdana" w:hAnsi="Verdana"/>
            <w:sz w:val="16"/>
            <w:szCs w:val="16"/>
            <w:lang w:val="es-CR"/>
          </w:rPr>
          <w:t>http://www.corteidh.or.cr/docs/asuntos/alvarado_23_03_18.pdf</w:t>
        </w:r>
      </w:hyperlink>
      <w:r w:rsidRPr="00531EF3">
        <w:rPr>
          <w:rFonts w:ascii="Verdana" w:hAnsi="Verdana"/>
          <w:sz w:val="16"/>
          <w:szCs w:val="16"/>
          <w:lang w:val="es-CR"/>
        </w:rPr>
        <w:t xml:space="preserve"> </w:t>
      </w:r>
    </w:p>
  </w:footnote>
  <w:footnote w:id="52">
    <w:p w14:paraId="64AA615E" w14:textId="4537B53B" w:rsidR="00146958" w:rsidRPr="00531EF3" w:rsidRDefault="00146958">
      <w:pPr>
        <w:pStyle w:val="Textonotapie"/>
        <w:jc w:val="both"/>
        <w:rPr>
          <w:rFonts w:ascii="Verdana" w:hAnsi="Verdana"/>
          <w:sz w:val="16"/>
          <w:szCs w:val="16"/>
        </w:rPr>
      </w:pPr>
      <w:r w:rsidRPr="00531EF3">
        <w:rPr>
          <w:rStyle w:val="Refdenotaalpie"/>
          <w:rFonts w:ascii="Verdana" w:hAnsi="Verdana"/>
          <w:sz w:val="16"/>
          <w:szCs w:val="16"/>
        </w:rPr>
        <w:footnoteRef/>
      </w:r>
      <w:r w:rsidRPr="00531EF3">
        <w:rPr>
          <w:rFonts w:ascii="Verdana" w:hAnsi="Verdana"/>
          <w:sz w:val="16"/>
          <w:szCs w:val="16"/>
        </w:rPr>
        <w:t xml:space="preserve"> </w:t>
      </w:r>
      <w:r w:rsidRPr="00531EF3">
        <w:rPr>
          <w:rFonts w:ascii="Verdana" w:hAnsi="Verdana"/>
          <w:sz w:val="16"/>
          <w:szCs w:val="16"/>
        </w:rPr>
        <w:tab/>
      </w:r>
      <w:r w:rsidRPr="00CD5C54">
        <w:rPr>
          <w:rFonts w:ascii="Verdana" w:hAnsi="Verdana"/>
          <w:i/>
          <w:sz w:val="16"/>
          <w:szCs w:val="16"/>
        </w:rPr>
        <w:t>Cfr.</w:t>
      </w:r>
      <w:r w:rsidRPr="008D0846">
        <w:rPr>
          <w:rFonts w:ascii="Verdana" w:hAnsi="Verdana"/>
          <w:i/>
          <w:sz w:val="16"/>
          <w:szCs w:val="16"/>
        </w:rPr>
        <w:t xml:space="preserve"> Caso Díaz Peña Vs. Venezuela. Excepción Preliminar, Fondo, Reparaciones y Costas</w:t>
      </w:r>
      <w:r w:rsidRPr="00531EF3">
        <w:rPr>
          <w:rFonts w:ascii="Verdana" w:hAnsi="Verdana"/>
          <w:sz w:val="16"/>
          <w:szCs w:val="16"/>
        </w:rPr>
        <w:t xml:space="preserve">. Sentencia de 26 de junio de 2012. Serie C No. 244, párr. 33, y </w:t>
      </w:r>
      <w:r w:rsidRPr="008D0846">
        <w:rPr>
          <w:rFonts w:ascii="Verdana" w:hAnsi="Verdana"/>
          <w:i/>
          <w:sz w:val="16"/>
          <w:szCs w:val="16"/>
        </w:rPr>
        <w:t>Caso Trabajadores Cesados de Petroperú y otros Vs. Perú. Excepciones Preliminares, Fondo, Reparaciones y Costas.</w:t>
      </w:r>
      <w:r w:rsidRPr="00531EF3">
        <w:rPr>
          <w:rFonts w:ascii="Verdana" w:hAnsi="Verdana"/>
          <w:sz w:val="16"/>
          <w:szCs w:val="16"/>
        </w:rPr>
        <w:t xml:space="preserve"> </w:t>
      </w:r>
      <w:r w:rsidRPr="003B4EBE">
        <w:rPr>
          <w:rFonts w:ascii="Verdana" w:hAnsi="Verdana"/>
          <w:sz w:val="16"/>
          <w:szCs w:val="16"/>
        </w:rPr>
        <w:t>Sentencia de 23 de noviembre de 2017. Serie C No. 34</w:t>
      </w:r>
      <w:r w:rsidRPr="00531EF3">
        <w:rPr>
          <w:rFonts w:ascii="Verdana" w:hAnsi="Verdana"/>
          <w:sz w:val="16"/>
          <w:szCs w:val="16"/>
        </w:rPr>
        <w:t xml:space="preserve">4, párr. 78. </w:t>
      </w:r>
    </w:p>
  </w:footnote>
  <w:footnote w:id="53">
    <w:p w14:paraId="64AA615F" w14:textId="2BF377C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Presidencia de la Repúbli</w:t>
      </w:r>
      <w:r w:rsidRPr="00432ABC">
        <w:rPr>
          <w:rFonts w:ascii="Verdana" w:hAnsi="Verdana"/>
          <w:sz w:val="16"/>
          <w:szCs w:val="16"/>
        </w:rPr>
        <w:t xml:space="preserve">ca, Estados Unidos Mexicanos. Conferencia de Prensa, “Anuncio sobre la Operación Conjunta Michoacán”, Ciudad de México, 11 de diciembre de 2006, disponible en: </w:t>
      </w:r>
      <w:hyperlink r:id="rId9" w:history="1">
        <w:r w:rsidRPr="00432ABC">
          <w:rPr>
            <w:rStyle w:val="Hipervnculo"/>
            <w:rFonts w:ascii="Verdana" w:hAnsi="Verdana"/>
            <w:sz w:val="16"/>
            <w:szCs w:val="16"/>
          </w:rPr>
          <w:t>http://calderon.presidencia.gob.mx/2006/12/anuncio-sobre-la-operacion-conjunta-michoacan/</w:t>
        </w:r>
      </w:hyperlink>
      <w:r w:rsidRPr="00432ABC">
        <w:rPr>
          <w:rFonts w:ascii="Verdana" w:hAnsi="Verdana"/>
          <w:sz w:val="16"/>
          <w:szCs w:val="16"/>
        </w:rPr>
        <w:t xml:space="preserve">. </w:t>
      </w:r>
    </w:p>
  </w:footnote>
  <w:footnote w:id="54">
    <w:p w14:paraId="64AA6160" w14:textId="3371E6E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 </w:t>
      </w:r>
      <w:r w:rsidRPr="00CD5C54">
        <w:rPr>
          <w:rFonts w:ascii="Verdana" w:hAnsi="Verdana"/>
          <w:i/>
          <w:sz w:val="16"/>
          <w:szCs w:val="16"/>
        </w:rPr>
        <w:t>Cfr.</w:t>
      </w:r>
      <w:r w:rsidRPr="002C462C">
        <w:rPr>
          <w:rFonts w:ascii="Verdana" w:hAnsi="Verdana"/>
          <w:sz w:val="16"/>
          <w:szCs w:val="16"/>
        </w:rPr>
        <w:t xml:space="preserve"> “</w:t>
      </w:r>
      <w:r w:rsidRPr="002C462C">
        <w:rPr>
          <w:rStyle w:val="Textoennegrita"/>
          <w:rFonts w:ascii="Verdana" w:hAnsi="Verdana"/>
          <w:b w:val="0"/>
          <w:sz w:val="16"/>
          <w:szCs w:val="16"/>
        </w:rPr>
        <w:t>Mensaje a la Nación del Presidente</w:t>
      </w:r>
      <w:r>
        <w:rPr>
          <w:rStyle w:val="Textoennegrita"/>
          <w:rFonts w:ascii="Verdana" w:hAnsi="Verdana"/>
          <w:b w:val="0"/>
          <w:sz w:val="16"/>
          <w:szCs w:val="16"/>
        </w:rPr>
        <w:t xml:space="preserve"> de</w:t>
      </w:r>
      <w:r w:rsidRPr="002C462C">
        <w:rPr>
          <w:rStyle w:val="Textoennegrita"/>
          <w:rFonts w:ascii="Verdana" w:hAnsi="Verdana"/>
          <w:b w:val="0"/>
          <w:sz w:val="16"/>
          <w:szCs w:val="16"/>
        </w:rPr>
        <w:t xml:space="preserve"> </w:t>
      </w:r>
      <w:r>
        <w:rPr>
          <w:rStyle w:val="Textoennegrita"/>
          <w:rFonts w:ascii="Verdana" w:hAnsi="Verdana"/>
          <w:b w:val="0"/>
          <w:sz w:val="16"/>
          <w:szCs w:val="16"/>
        </w:rPr>
        <w:t>[México]</w:t>
      </w:r>
      <w:r w:rsidRPr="002C462C">
        <w:rPr>
          <w:rStyle w:val="Textoennegrita"/>
          <w:rFonts w:ascii="Verdana" w:hAnsi="Verdana"/>
          <w:b w:val="0"/>
          <w:sz w:val="16"/>
          <w:szCs w:val="16"/>
        </w:rPr>
        <w:t>, licenciado Felipe Calderón Hinojosa, co</w:t>
      </w:r>
      <w:r w:rsidRPr="00432ABC">
        <w:rPr>
          <w:rStyle w:val="Textoennegrita"/>
          <w:rFonts w:ascii="Verdana" w:hAnsi="Verdana"/>
          <w:b w:val="0"/>
          <w:sz w:val="16"/>
          <w:szCs w:val="16"/>
        </w:rPr>
        <w:t>n motivo de su Primer Informe de Gobierno”</w:t>
      </w:r>
      <w:r w:rsidRPr="00432ABC">
        <w:rPr>
          <w:rFonts w:ascii="Verdana" w:hAnsi="Verdana"/>
          <w:sz w:val="16"/>
          <w:szCs w:val="16"/>
        </w:rPr>
        <w:t xml:space="preserve">, Ciudad de México, 2 de septiembre de 2007, disponible en: </w:t>
      </w:r>
      <w:hyperlink w:history="1"/>
      <w:hyperlink r:id="rId10" w:history="1">
        <w:r w:rsidRPr="00432ABC">
          <w:rPr>
            <w:rStyle w:val="Hipervnculo"/>
            <w:rFonts w:ascii="Verdana" w:hAnsi="Verdana"/>
            <w:sz w:val="16"/>
            <w:szCs w:val="16"/>
          </w:rPr>
          <w:t>http://calderon.presidencia.gob.mx/informe/primer/mensajealanacion/index.html</w:t>
        </w:r>
      </w:hyperlink>
      <w:r w:rsidRPr="00432ABC">
        <w:rPr>
          <w:rFonts w:ascii="Verdana" w:hAnsi="Verdana"/>
          <w:sz w:val="16"/>
          <w:szCs w:val="16"/>
        </w:rPr>
        <w:t>; ONU, Consejo de Derechos Humanos.</w:t>
      </w:r>
      <w:r w:rsidRPr="00432ABC">
        <w:rPr>
          <w:rFonts w:ascii="Verdana" w:hAnsi="Verdana"/>
          <w:i/>
          <w:sz w:val="16"/>
          <w:szCs w:val="16"/>
        </w:rPr>
        <w:t xml:space="preserve"> Informe del Relator Especial sobre las Ejecuciones Extrajudiciales, Sumarias o Arbitrarias, Christof Heyns, Adición, Misión a México, </w:t>
      </w:r>
      <w:r w:rsidRPr="002C462C">
        <w:rPr>
          <w:rFonts w:ascii="Verdana" w:hAnsi="Verdana"/>
          <w:sz w:val="16"/>
          <w:szCs w:val="16"/>
        </w:rPr>
        <w:t>A/HCR/26/36/Add.1, 28 de abril de 2014, párr. 8; ONU, Consejo de Derechos Humanos.</w:t>
      </w:r>
      <w:r w:rsidRPr="00432ABC">
        <w:rPr>
          <w:rFonts w:ascii="Verdana" w:hAnsi="Verdana"/>
          <w:i/>
          <w:sz w:val="16"/>
          <w:szCs w:val="16"/>
        </w:rPr>
        <w:t xml:space="preserve"> Informe del Relator Especial sobre la tortura y otros tratos o penas crueles, inhumanos o degradantes, Juan E. Méndez. Misión a México</w:t>
      </w:r>
      <w:r w:rsidRPr="00432ABC">
        <w:rPr>
          <w:rFonts w:ascii="Verdana" w:hAnsi="Verdana"/>
          <w:sz w:val="16"/>
          <w:szCs w:val="16"/>
        </w:rPr>
        <w:t xml:space="preserve">, A/HRC/28/68/Add.3, 29 diciembre 2014, párrs. 20 y 22, e Informe </w:t>
      </w:r>
      <w:r w:rsidRPr="00432ABC">
        <w:rPr>
          <w:rFonts w:ascii="Verdana" w:hAnsi="Verdana"/>
          <w:i/>
          <w:sz w:val="16"/>
          <w:szCs w:val="16"/>
        </w:rPr>
        <w:t>Seguridad Interior, ¿seguridad para quién?</w:t>
      </w:r>
      <w:r w:rsidRPr="00432ABC">
        <w:rPr>
          <w:rFonts w:ascii="Verdana" w:hAnsi="Verdana"/>
          <w:sz w:val="16"/>
          <w:szCs w:val="16"/>
        </w:rPr>
        <w:t xml:space="preserve">, emitido por el “Colectivo Seguridad Sin Guerra” en marzo de 2017 (expediente de prueba, f. 26434).  </w:t>
      </w:r>
    </w:p>
  </w:footnote>
  <w:footnote w:id="55">
    <w:p w14:paraId="16358537" w14:textId="559F15D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432ABC">
        <w:rPr>
          <w:rFonts w:ascii="Verdana" w:hAnsi="Verdana"/>
          <w:i/>
          <w:sz w:val="16"/>
          <w:szCs w:val="16"/>
        </w:rPr>
        <w:t xml:space="preserve"> </w:t>
      </w:r>
      <w:r w:rsidRPr="002C462C">
        <w:rPr>
          <w:rFonts w:ascii="Verdana" w:hAnsi="Verdana"/>
          <w:sz w:val="16"/>
          <w:szCs w:val="16"/>
        </w:rPr>
        <w:t xml:space="preserve">Presidencia de la República. </w:t>
      </w:r>
      <w:r>
        <w:rPr>
          <w:rFonts w:ascii="Verdana" w:hAnsi="Verdana"/>
          <w:sz w:val="16"/>
          <w:szCs w:val="16"/>
        </w:rPr>
        <w:t>[México]</w:t>
      </w:r>
      <w:r w:rsidRPr="002C462C">
        <w:rPr>
          <w:rFonts w:ascii="Verdana" w:hAnsi="Verdana"/>
          <w:sz w:val="16"/>
          <w:szCs w:val="16"/>
        </w:rPr>
        <w:t xml:space="preserve">. </w:t>
      </w:r>
      <w:r w:rsidRPr="00432ABC">
        <w:rPr>
          <w:rFonts w:ascii="Verdana" w:hAnsi="Verdana"/>
          <w:i/>
          <w:sz w:val="16"/>
          <w:szCs w:val="16"/>
        </w:rPr>
        <w:t>Primer Informe de Gobierno</w:t>
      </w:r>
      <w:r w:rsidRPr="00432ABC">
        <w:rPr>
          <w:rFonts w:ascii="Verdana" w:hAnsi="Verdana"/>
          <w:sz w:val="16"/>
          <w:szCs w:val="16"/>
        </w:rPr>
        <w:t xml:space="preserve">, 1 de septiembre de 2007, pág. 26. De acuerdo con los sucesivos “Informes de Gobierno” rendidos anualmente por el titular del Poder Ejecutivo Federal al Congreso General mexicano a partir de 2007, hacia el término del sexenio del entonces Presidente de la República en el año 2012 habían sido implementados un total de 16 “Operativos Conjuntos” en 16 Estados (Michoacán, Baja California, Guerrero, Chihuahua, Durango, Sinaloa, Nuevo León, Tamaulipas, Chiapas, Campeche, Tabasco, Quintana Roo, Aguascalientes, Coahuila, Veracruz y San Luis Potosí) con la participación de elementos de la Secretaría de la Defensa Nacional [SEDENA], de la Secretaría de Marina [SEMAR] y de la Secretaría de Seguridad Pública Federal [SSPF], así como de las respectivas autoridades estatales y municipales. </w:t>
      </w:r>
      <w:r w:rsidRPr="00CD5C54">
        <w:rPr>
          <w:rFonts w:ascii="Verdana" w:hAnsi="Verdana"/>
          <w:i/>
          <w:sz w:val="16"/>
          <w:szCs w:val="16"/>
        </w:rPr>
        <w:t>Cfr.</w:t>
      </w:r>
      <w:r w:rsidRPr="00432ABC">
        <w:rPr>
          <w:rFonts w:ascii="Verdana" w:hAnsi="Verdana"/>
          <w:sz w:val="16"/>
          <w:szCs w:val="16"/>
        </w:rPr>
        <w:t xml:space="preserve"> </w:t>
      </w:r>
      <w:r w:rsidRPr="00432ABC">
        <w:rPr>
          <w:rFonts w:ascii="Verdana" w:hAnsi="Verdana"/>
          <w:i/>
          <w:sz w:val="16"/>
          <w:szCs w:val="16"/>
        </w:rPr>
        <w:t>Informes de Gobierno</w:t>
      </w:r>
      <w:r w:rsidRPr="00432ABC">
        <w:rPr>
          <w:rFonts w:ascii="Verdana" w:hAnsi="Verdana"/>
          <w:sz w:val="16"/>
          <w:szCs w:val="16"/>
        </w:rPr>
        <w:t>:</w:t>
      </w:r>
      <w:r w:rsidRPr="00432ABC">
        <w:rPr>
          <w:rFonts w:ascii="Verdana" w:hAnsi="Verdana"/>
          <w:i/>
          <w:sz w:val="16"/>
          <w:szCs w:val="16"/>
        </w:rPr>
        <w:t xml:space="preserve"> (2007)</w:t>
      </w:r>
      <w:r w:rsidRPr="00432ABC">
        <w:rPr>
          <w:rFonts w:ascii="Verdana" w:hAnsi="Verdana"/>
          <w:sz w:val="16"/>
          <w:szCs w:val="16"/>
        </w:rPr>
        <w:t xml:space="preserve">, pág. 26, </w:t>
      </w:r>
      <w:r w:rsidRPr="00432ABC">
        <w:rPr>
          <w:rFonts w:ascii="Verdana" w:hAnsi="Verdana"/>
          <w:i/>
          <w:sz w:val="16"/>
          <w:szCs w:val="16"/>
        </w:rPr>
        <w:t>(2008),</w:t>
      </w:r>
      <w:r w:rsidRPr="00432ABC">
        <w:rPr>
          <w:rFonts w:ascii="Verdana" w:hAnsi="Verdana"/>
          <w:sz w:val="16"/>
          <w:szCs w:val="16"/>
        </w:rPr>
        <w:t xml:space="preserve"> pág. 23, </w:t>
      </w:r>
      <w:r w:rsidRPr="00432ABC">
        <w:rPr>
          <w:rFonts w:ascii="Verdana" w:hAnsi="Verdana"/>
          <w:i/>
          <w:sz w:val="16"/>
          <w:szCs w:val="16"/>
        </w:rPr>
        <w:t>(2009)</w:t>
      </w:r>
      <w:r w:rsidRPr="00432ABC">
        <w:rPr>
          <w:rFonts w:ascii="Verdana" w:hAnsi="Verdana"/>
          <w:sz w:val="16"/>
          <w:szCs w:val="16"/>
        </w:rPr>
        <w:t xml:space="preserve">, pág. 34, </w:t>
      </w:r>
      <w:r w:rsidRPr="00432ABC">
        <w:rPr>
          <w:rFonts w:ascii="Verdana" w:hAnsi="Verdana"/>
          <w:i/>
          <w:sz w:val="16"/>
          <w:szCs w:val="16"/>
        </w:rPr>
        <w:t>(2010)</w:t>
      </w:r>
      <w:r w:rsidRPr="00432ABC">
        <w:rPr>
          <w:rFonts w:ascii="Verdana" w:hAnsi="Verdana"/>
          <w:sz w:val="16"/>
          <w:szCs w:val="16"/>
        </w:rPr>
        <w:t xml:space="preserve">, págs. 30 a 31, </w:t>
      </w:r>
      <w:r w:rsidRPr="00432ABC">
        <w:rPr>
          <w:rFonts w:ascii="Verdana" w:hAnsi="Verdana"/>
          <w:i/>
          <w:sz w:val="16"/>
          <w:szCs w:val="16"/>
        </w:rPr>
        <w:t>(2011)</w:t>
      </w:r>
      <w:r w:rsidRPr="00432ABC">
        <w:rPr>
          <w:rFonts w:ascii="Verdana" w:hAnsi="Verdana"/>
          <w:sz w:val="16"/>
          <w:szCs w:val="16"/>
        </w:rPr>
        <w:t xml:space="preserve">, págs. 36 a 37, y </w:t>
      </w:r>
      <w:r w:rsidRPr="00432ABC">
        <w:rPr>
          <w:rFonts w:ascii="Verdana" w:hAnsi="Verdana"/>
          <w:i/>
          <w:sz w:val="16"/>
          <w:szCs w:val="16"/>
        </w:rPr>
        <w:t>(2012)</w:t>
      </w:r>
      <w:r w:rsidRPr="00432ABC">
        <w:rPr>
          <w:rFonts w:ascii="Verdana" w:hAnsi="Verdana"/>
          <w:sz w:val="16"/>
          <w:szCs w:val="16"/>
        </w:rPr>
        <w:t xml:space="preserve">, pág. 41. Asimismo, sobre la implementación de los “Operativos Conjuntos” como política de seguridad pública del Estado mexicano, </w:t>
      </w:r>
      <w:r w:rsidRPr="00CD5C54">
        <w:rPr>
          <w:rFonts w:ascii="Verdana" w:hAnsi="Verdana"/>
          <w:i/>
          <w:sz w:val="16"/>
          <w:szCs w:val="16"/>
        </w:rPr>
        <w:t>Cfr.</w:t>
      </w:r>
      <w:r w:rsidRPr="00432ABC">
        <w:rPr>
          <w:rFonts w:ascii="Verdana" w:hAnsi="Verdana"/>
          <w:sz w:val="16"/>
          <w:szCs w:val="16"/>
        </w:rPr>
        <w:t xml:space="preserve"> Declaración pericial de Alejandro Madrazo Lajous rendida </w:t>
      </w:r>
      <w:r>
        <w:rPr>
          <w:rFonts w:ascii="Verdana" w:hAnsi="Verdana"/>
          <w:sz w:val="16"/>
          <w:szCs w:val="16"/>
        </w:rPr>
        <w:t>el</w:t>
      </w:r>
      <w:r w:rsidRPr="00432ABC">
        <w:rPr>
          <w:rFonts w:ascii="Verdana" w:hAnsi="Verdana"/>
          <w:sz w:val="16"/>
          <w:szCs w:val="16"/>
        </w:rPr>
        <w:t xml:space="preserve"> 19 de abril de 2018 (expediente de prueba, </w:t>
      </w:r>
      <w:r w:rsidRPr="00453199">
        <w:rPr>
          <w:rFonts w:ascii="Verdana" w:hAnsi="Verdana"/>
          <w:i/>
          <w:sz w:val="16"/>
        </w:rPr>
        <w:t>Affidávits</w:t>
      </w:r>
      <w:r w:rsidRPr="00432ABC">
        <w:rPr>
          <w:rFonts w:ascii="Verdana" w:hAnsi="Verdana"/>
          <w:i/>
          <w:sz w:val="16"/>
          <w:szCs w:val="16"/>
        </w:rPr>
        <w:t xml:space="preserve">, </w:t>
      </w:r>
      <w:r w:rsidRPr="00432ABC">
        <w:rPr>
          <w:rFonts w:ascii="Verdana" w:hAnsi="Verdana"/>
          <w:sz w:val="16"/>
          <w:szCs w:val="16"/>
        </w:rPr>
        <w:t xml:space="preserve">f. 30969). </w:t>
      </w:r>
    </w:p>
  </w:footnote>
  <w:footnote w:id="56">
    <w:p w14:paraId="2A607DFC" w14:textId="0417EC4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Presidencia de la República, Estados Unidos Mexicanos. “Los Operativos Conjuntos”, 16 de mayo de 2011, disponible en: </w:t>
      </w:r>
      <w:hyperlink r:id="rId11" w:history="1">
        <w:r w:rsidRPr="00432ABC">
          <w:rPr>
            <w:rStyle w:val="Hipervnculo"/>
            <w:rFonts w:ascii="Verdana" w:hAnsi="Verdana"/>
            <w:sz w:val="16"/>
            <w:szCs w:val="16"/>
          </w:rPr>
          <w:t>http://calderon.presidencia.gob.mx/el-blog/los-operativos-conjuntos/</w:t>
        </w:r>
      </w:hyperlink>
      <w:r w:rsidRPr="00432ABC">
        <w:rPr>
          <w:rFonts w:ascii="Verdana" w:hAnsi="Verdana"/>
          <w:sz w:val="16"/>
          <w:szCs w:val="16"/>
        </w:rPr>
        <w:t xml:space="preserve">, y </w:t>
      </w:r>
      <w:r w:rsidRPr="002C462C">
        <w:rPr>
          <w:rFonts w:ascii="Verdana" w:hAnsi="Verdana"/>
          <w:sz w:val="16"/>
          <w:szCs w:val="16"/>
        </w:rPr>
        <w:t xml:space="preserve">CNDH. </w:t>
      </w:r>
      <w:r w:rsidRPr="002C462C">
        <w:rPr>
          <w:rFonts w:ascii="Verdana" w:hAnsi="Verdana"/>
          <w:i/>
          <w:sz w:val="16"/>
          <w:szCs w:val="16"/>
        </w:rPr>
        <w:t>Segundo Informe Especial de la CNDH sobre el Ejercicio Efectivo del Derecho Fundamental a la Seguridad en Nuestro País</w:t>
      </w:r>
      <w:r w:rsidRPr="00432ABC">
        <w:rPr>
          <w:rFonts w:ascii="Verdana" w:hAnsi="Verdana"/>
          <w:sz w:val="16"/>
          <w:szCs w:val="16"/>
        </w:rPr>
        <w:t xml:space="preserve"> [sic], 2008, págs. 6 a 7. Disponible en: </w:t>
      </w:r>
      <w:hyperlink r:id="rId12" w:history="1">
        <w:r w:rsidRPr="00432ABC">
          <w:rPr>
            <w:rStyle w:val="Hipervnculo"/>
            <w:rFonts w:ascii="Verdana" w:hAnsi="Verdana"/>
            <w:sz w:val="16"/>
            <w:szCs w:val="16"/>
          </w:rPr>
          <w:t>http://www.cndh.org.mx/sites/all/doc/Informes/Especiales/2008_segpublica1.pdf</w:t>
        </w:r>
      </w:hyperlink>
      <w:r w:rsidRPr="00432ABC">
        <w:rPr>
          <w:rFonts w:ascii="Verdana" w:hAnsi="Verdana"/>
          <w:sz w:val="16"/>
          <w:szCs w:val="16"/>
        </w:rPr>
        <w:t xml:space="preserve">. En el mismo sentido: Declaración pericial de Gabriella Citroni rendida </w:t>
      </w:r>
      <w:r>
        <w:rPr>
          <w:rFonts w:ascii="Verdana" w:hAnsi="Verdana"/>
          <w:sz w:val="16"/>
          <w:szCs w:val="16"/>
        </w:rPr>
        <w:t>el</w:t>
      </w:r>
      <w:r w:rsidRPr="00432ABC">
        <w:rPr>
          <w:rFonts w:ascii="Verdana" w:hAnsi="Verdana"/>
          <w:sz w:val="16"/>
          <w:szCs w:val="16"/>
        </w:rPr>
        <w:t xml:space="preserve"> 18 de abril de 2018</w:t>
      </w:r>
      <w:r w:rsidRPr="002C462C">
        <w:rPr>
          <w:rFonts w:ascii="Verdana" w:hAnsi="Verdana"/>
          <w:i/>
          <w:sz w:val="16"/>
          <w:szCs w:val="16"/>
        </w:rPr>
        <w:t xml:space="preserve"> </w:t>
      </w:r>
      <w:r w:rsidRPr="002C462C">
        <w:rPr>
          <w:rFonts w:ascii="Verdana" w:hAnsi="Verdana"/>
          <w:sz w:val="16"/>
          <w:szCs w:val="16"/>
        </w:rPr>
        <w:t xml:space="preserve">(expediente de prueba, </w:t>
      </w:r>
      <w:r w:rsidRPr="00453199">
        <w:rPr>
          <w:rFonts w:ascii="Verdana" w:hAnsi="Verdana"/>
          <w:i/>
          <w:sz w:val="16"/>
        </w:rPr>
        <w:t>Affidávits</w:t>
      </w:r>
      <w:r w:rsidRPr="00432ABC">
        <w:rPr>
          <w:rFonts w:ascii="Verdana" w:hAnsi="Verdana"/>
          <w:sz w:val="16"/>
          <w:szCs w:val="16"/>
        </w:rPr>
        <w:t xml:space="preserve">, f. 31061), y Declaración pericial de Carolina Robledo Silvestre, Erika Liliana López López, May-ek Querales Mendoza y Rosalva Aída Hernández Castillo, del Grupo de Investigación en Antropología Social y Forense [GIASF], rendida conjuntamente </w:t>
      </w:r>
      <w:r>
        <w:rPr>
          <w:rFonts w:ascii="Verdana" w:hAnsi="Verdana"/>
          <w:sz w:val="16"/>
          <w:szCs w:val="16"/>
        </w:rPr>
        <w:t>el</w:t>
      </w:r>
      <w:r w:rsidRPr="00432ABC">
        <w:rPr>
          <w:rFonts w:ascii="Verdana" w:hAnsi="Verdana"/>
          <w:sz w:val="16"/>
          <w:szCs w:val="16"/>
        </w:rPr>
        <w:t xml:space="preserve"> 17 de abril de 2018 (expediente de prueba, </w:t>
      </w:r>
      <w:r w:rsidRPr="00453199">
        <w:rPr>
          <w:rFonts w:ascii="Verdana" w:hAnsi="Verdana"/>
          <w:i/>
          <w:sz w:val="16"/>
        </w:rPr>
        <w:t>Affidávits</w:t>
      </w:r>
      <w:r w:rsidRPr="00432ABC">
        <w:rPr>
          <w:rFonts w:ascii="Verdana" w:hAnsi="Verdana"/>
          <w:sz w:val="16"/>
          <w:szCs w:val="16"/>
        </w:rPr>
        <w:t>, f. 31148).</w:t>
      </w:r>
    </w:p>
  </w:footnote>
  <w:footnote w:id="57">
    <w:p w14:paraId="26A5DE7B" w14:textId="5379233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ONU. </w:t>
      </w:r>
      <w:r w:rsidRPr="002C462C">
        <w:rPr>
          <w:rFonts w:ascii="Verdana" w:hAnsi="Verdana"/>
          <w:i/>
          <w:sz w:val="16"/>
          <w:szCs w:val="16"/>
        </w:rPr>
        <w:t>Informe del Relator Especial sobre la tortura</w:t>
      </w:r>
      <w:r>
        <w:rPr>
          <w:rFonts w:ascii="Verdana" w:hAnsi="Verdana"/>
          <w:i/>
          <w:sz w:val="16"/>
          <w:szCs w:val="16"/>
        </w:rPr>
        <w:t>,</w:t>
      </w:r>
      <w:r w:rsidRPr="002C462C">
        <w:rPr>
          <w:rFonts w:ascii="Verdana" w:hAnsi="Verdana"/>
          <w:i/>
          <w:sz w:val="16"/>
          <w:szCs w:val="16"/>
        </w:rPr>
        <w:t xml:space="preserve"> </w:t>
      </w:r>
      <w:r w:rsidRPr="00432ABC">
        <w:rPr>
          <w:rFonts w:ascii="Verdana" w:hAnsi="Verdana"/>
          <w:sz w:val="16"/>
          <w:szCs w:val="16"/>
        </w:rPr>
        <w:t xml:space="preserve">29 de diciembre de 2014, </w:t>
      </w:r>
      <w:r w:rsidRPr="00432ABC">
        <w:rPr>
          <w:rFonts w:ascii="Verdana" w:hAnsi="Verdana"/>
          <w:i/>
          <w:sz w:val="16"/>
          <w:szCs w:val="16"/>
        </w:rPr>
        <w:t>supra</w:t>
      </w:r>
      <w:r w:rsidRPr="00432ABC">
        <w:rPr>
          <w:rFonts w:ascii="Verdana" w:hAnsi="Verdana"/>
          <w:sz w:val="16"/>
          <w:szCs w:val="16"/>
        </w:rPr>
        <w:t>, párr. 20.</w:t>
      </w:r>
      <w:r w:rsidRPr="00432ABC">
        <w:rPr>
          <w:rFonts w:ascii="Verdana" w:hAnsi="Verdana"/>
          <w:i/>
          <w:sz w:val="16"/>
          <w:szCs w:val="16"/>
        </w:rPr>
        <w:t xml:space="preserve"> </w:t>
      </w:r>
      <w:r w:rsidRPr="00CD5C54">
        <w:rPr>
          <w:rFonts w:ascii="Verdana" w:hAnsi="Verdana"/>
          <w:i/>
          <w:sz w:val="16"/>
          <w:szCs w:val="16"/>
        </w:rPr>
        <w:t>Cfr.</w:t>
      </w:r>
      <w:r w:rsidRPr="00432ABC">
        <w:rPr>
          <w:rFonts w:ascii="Verdana" w:hAnsi="Verdana"/>
          <w:sz w:val="16"/>
          <w:szCs w:val="16"/>
        </w:rPr>
        <w:t xml:space="preserve"> Declaración pericial de Alejandro Madrazo Lajous rendida </w:t>
      </w:r>
      <w:r>
        <w:rPr>
          <w:rFonts w:ascii="Verdana" w:hAnsi="Verdana"/>
          <w:sz w:val="16"/>
          <w:szCs w:val="16"/>
        </w:rPr>
        <w:t>el</w:t>
      </w:r>
      <w:r w:rsidRPr="00432ABC">
        <w:rPr>
          <w:rFonts w:ascii="Verdana" w:hAnsi="Verdana"/>
          <w:sz w:val="16"/>
          <w:szCs w:val="16"/>
        </w:rPr>
        <w:t xml:space="preserve"> 19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ff. 30964 y 30969</w:t>
      </w:r>
      <w:r>
        <w:rPr>
          <w:rFonts w:ascii="Verdana" w:hAnsi="Verdana"/>
          <w:sz w:val="16"/>
          <w:szCs w:val="16"/>
        </w:rPr>
        <w:t>).</w:t>
      </w:r>
      <w:r w:rsidRPr="00432ABC">
        <w:rPr>
          <w:rFonts w:ascii="Verdana" w:eastAsiaTheme="minorHAnsi" w:hAnsi="Verdana"/>
          <w:sz w:val="16"/>
          <w:szCs w:val="16"/>
        </w:rPr>
        <w:t xml:space="preserve"> En el mismo sentido, </w:t>
      </w:r>
      <w:r w:rsidRPr="00432ABC">
        <w:rPr>
          <w:rFonts w:ascii="Verdana" w:hAnsi="Verdana"/>
          <w:sz w:val="16"/>
          <w:szCs w:val="16"/>
        </w:rPr>
        <w:t>en su informe sobre la situación de los derechos humanos en México de 2015</w:t>
      </w:r>
      <w:r>
        <w:rPr>
          <w:rFonts w:ascii="Verdana" w:hAnsi="Verdana"/>
          <w:sz w:val="16"/>
          <w:szCs w:val="16"/>
        </w:rPr>
        <w:t>,</w:t>
      </w:r>
      <w:r w:rsidRPr="00432ABC">
        <w:rPr>
          <w:rFonts w:ascii="Verdana" w:hAnsi="Verdana"/>
          <w:sz w:val="16"/>
          <w:szCs w:val="16"/>
        </w:rPr>
        <w:t xml:space="preserve"> la Comisión Interamericana observó que en la implementación de dicha estrategia de seguridad “las autoridades mexicanas optaron por aumentar el rol de las Fuerzas Armadas – particularmente la SEDENA y la SEMAR – en tareas de seguridad pública, incluyendo una política de confrontación contra el crimen organizado y el despliegue de operativos conjuntos entre la</w:t>
      </w:r>
      <w:r>
        <w:rPr>
          <w:rFonts w:ascii="Verdana" w:hAnsi="Verdana"/>
          <w:sz w:val="16"/>
          <w:szCs w:val="16"/>
        </w:rPr>
        <w:t>s</w:t>
      </w:r>
      <w:r w:rsidRPr="00432ABC">
        <w:rPr>
          <w:rFonts w:ascii="Verdana" w:hAnsi="Verdana"/>
          <w:sz w:val="16"/>
          <w:szCs w:val="16"/>
        </w:rPr>
        <w:t xml:space="preserve"> fuerzas armadas y las instituciones de seguridad estatales y municipales”. </w:t>
      </w:r>
      <w:r w:rsidRPr="00CD5C54">
        <w:rPr>
          <w:rFonts w:ascii="Verdana" w:hAnsi="Verdana"/>
          <w:i/>
          <w:sz w:val="16"/>
          <w:szCs w:val="16"/>
        </w:rPr>
        <w:t>Cfr.</w:t>
      </w:r>
      <w:r w:rsidRPr="00432ABC">
        <w:rPr>
          <w:rFonts w:ascii="Verdana" w:hAnsi="Verdana"/>
          <w:sz w:val="16"/>
          <w:szCs w:val="16"/>
        </w:rPr>
        <w:t xml:space="preserve"> Comisión Interamericana de Derechos Humanos, “Situación de los derechos humanos en México”</w:t>
      </w:r>
      <w:r w:rsidRPr="00432ABC">
        <w:rPr>
          <w:rFonts w:ascii="Verdana" w:hAnsi="Verdana"/>
          <w:i/>
          <w:sz w:val="16"/>
          <w:szCs w:val="16"/>
        </w:rPr>
        <w:t xml:space="preserve">, </w:t>
      </w:r>
      <w:r w:rsidRPr="00432ABC">
        <w:rPr>
          <w:rFonts w:ascii="Verdana" w:hAnsi="Verdana"/>
          <w:sz w:val="16"/>
          <w:szCs w:val="16"/>
        </w:rPr>
        <w:t>OEA/Ser.L/V/II. Doc. 44/15, 31 diciembre 2015, párr. 87.</w:t>
      </w:r>
    </w:p>
  </w:footnote>
  <w:footnote w:id="58">
    <w:p w14:paraId="0AF50D4F" w14:textId="464652B0" w:rsidR="00146958" w:rsidRPr="002C462C" w:rsidRDefault="00146958" w:rsidP="00321DA9">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Gobierno de la República, Estados Unidos Mexicanos. </w:t>
      </w:r>
      <w:r w:rsidRPr="002C462C">
        <w:rPr>
          <w:rFonts w:ascii="Verdana" w:hAnsi="Verdana"/>
          <w:i/>
          <w:sz w:val="16"/>
          <w:szCs w:val="16"/>
        </w:rPr>
        <w:t xml:space="preserve">Plan Nacional de Desarrollo 2013-2018, </w:t>
      </w:r>
      <w:r w:rsidRPr="00432ABC">
        <w:rPr>
          <w:rFonts w:ascii="Verdana" w:hAnsi="Verdana"/>
          <w:sz w:val="16"/>
          <w:szCs w:val="16"/>
        </w:rPr>
        <w:t xml:space="preserve">pág. 32. Disponible en: </w:t>
      </w:r>
      <w:hyperlink r:id="rId13" w:history="1">
        <w:r w:rsidRPr="00432ABC">
          <w:rPr>
            <w:rStyle w:val="Hipervnculo"/>
            <w:rFonts w:ascii="Verdana" w:hAnsi="Verdana"/>
            <w:sz w:val="16"/>
            <w:szCs w:val="16"/>
          </w:rPr>
          <w:t>http://pnd.gob.mx/</w:t>
        </w:r>
      </w:hyperlink>
      <w:r w:rsidRPr="00432ABC">
        <w:rPr>
          <w:rFonts w:ascii="Verdana" w:hAnsi="Verdana"/>
          <w:sz w:val="16"/>
          <w:szCs w:val="16"/>
        </w:rPr>
        <w:t>: “[…</w:t>
      </w:r>
      <w:r w:rsidRPr="002C462C">
        <w:rPr>
          <w:rFonts w:ascii="Verdana" w:hAnsi="Verdana"/>
          <w:sz w:val="16"/>
          <w:szCs w:val="16"/>
        </w:rPr>
        <w:t>] La colaboración de las Fuerzas Armadas para garantizar la seguridad interior ha tomado un papel predominante en los últimos años, debido a la violencia generada por las organizaciones delictivas […]”.</w:t>
      </w:r>
    </w:p>
  </w:footnote>
  <w:footnote w:id="59">
    <w:p w14:paraId="4DEF75EA" w14:textId="39F6BEE1" w:rsidR="00146958" w:rsidRPr="00432ABC" w:rsidRDefault="00146958" w:rsidP="00321DA9">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ONU. </w:t>
      </w:r>
      <w:r w:rsidRPr="00432ABC">
        <w:rPr>
          <w:rFonts w:ascii="Verdana" w:hAnsi="Verdana"/>
          <w:i/>
          <w:sz w:val="16"/>
          <w:szCs w:val="16"/>
        </w:rPr>
        <w:t xml:space="preserve">Informe del Relator Especial sobre las Ejecuciones Extrajudiciales, Sumarias o Arbitrarias, Christof Heyns, Adición, Misión a México, </w:t>
      </w:r>
      <w:r w:rsidRPr="00432ABC">
        <w:rPr>
          <w:rFonts w:ascii="Verdana" w:hAnsi="Verdana"/>
          <w:sz w:val="16"/>
          <w:szCs w:val="16"/>
        </w:rPr>
        <w:t xml:space="preserve">28 de abril de 2014, </w:t>
      </w:r>
      <w:r w:rsidRPr="00432ABC">
        <w:rPr>
          <w:rFonts w:ascii="Verdana" w:hAnsi="Verdana"/>
          <w:i/>
          <w:sz w:val="16"/>
          <w:szCs w:val="16"/>
        </w:rPr>
        <w:t>supra</w:t>
      </w:r>
      <w:r w:rsidRPr="00432ABC">
        <w:rPr>
          <w:rFonts w:ascii="Verdana" w:hAnsi="Verdana"/>
          <w:sz w:val="16"/>
          <w:szCs w:val="16"/>
        </w:rPr>
        <w:t xml:space="preserve">, párrs. 20; ONU. </w:t>
      </w:r>
      <w:r w:rsidRPr="00432ABC">
        <w:rPr>
          <w:rFonts w:ascii="Verdana" w:hAnsi="Verdana"/>
          <w:i/>
          <w:sz w:val="16"/>
          <w:szCs w:val="16"/>
        </w:rPr>
        <w:t>Informe del Relator Especial sobre la tortura</w:t>
      </w:r>
      <w:r>
        <w:rPr>
          <w:rFonts w:ascii="Verdana" w:hAnsi="Verdana"/>
          <w:i/>
          <w:sz w:val="16"/>
          <w:szCs w:val="16"/>
        </w:rPr>
        <w:t>,</w:t>
      </w:r>
      <w:r w:rsidRPr="008D0846">
        <w:rPr>
          <w:rFonts w:ascii="Verdana" w:hAnsi="Verdana"/>
          <w:sz w:val="16"/>
          <w:szCs w:val="16"/>
        </w:rPr>
        <w:t xml:space="preserve"> </w:t>
      </w:r>
      <w:r w:rsidRPr="00432ABC">
        <w:rPr>
          <w:rFonts w:ascii="Verdana" w:hAnsi="Verdana"/>
          <w:sz w:val="16"/>
          <w:szCs w:val="16"/>
        </w:rPr>
        <w:t xml:space="preserve">29 de diciembre de 2014, </w:t>
      </w:r>
      <w:r w:rsidRPr="00432ABC">
        <w:rPr>
          <w:rFonts w:ascii="Verdana" w:hAnsi="Verdana"/>
          <w:i/>
          <w:sz w:val="16"/>
          <w:szCs w:val="16"/>
        </w:rPr>
        <w:t>supra</w:t>
      </w:r>
      <w:r w:rsidRPr="00432ABC">
        <w:rPr>
          <w:rFonts w:ascii="Verdana" w:hAnsi="Verdana"/>
          <w:sz w:val="16"/>
          <w:szCs w:val="16"/>
        </w:rPr>
        <w:t xml:space="preserve">, párr. 22; ONU. </w:t>
      </w:r>
      <w:r w:rsidRPr="00432ABC">
        <w:rPr>
          <w:rFonts w:ascii="Verdana" w:hAnsi="Verdana"/>
          <w:i/>
          <w:sz w:val="16"/>
          <w:szCs w:val="16"/>
        </w:rPr>
        <w:t>Informe del Relator Especial sobre las ejecuciones extrajudiciales, sumarias o arbitrarias de las Naciones Unidas acerca del seguimiento de su misión a México</w:t>
      </w:r>
      <w:r w:rsidRPr="00432ABC">
        <w:rPr>
          <w:rFonts w:ascii="Verdana" w:hAnsi="Verdana"/>
          <w:sz w:val="16"/>
          <w:szCs w:val="16"/>
        </w:rPr>
        <w:t>, A/HRC/32/39/Add.2, 6 de mayo de 2016, párrs. 13 y 66; ONU.</w:t>
      </w:r>
      <w:r w:rsidRPr="00432ABC">
        <w:rPr>
          <w:rFonts w:ascii="Verdana" w:hAnsi="Verdana"/>
          <w:i/>
          <w:sz w:val="16"/>
          <w:szCs w:val="16"/>
        </w:rPr>
        <w:t xml:space="preserve"> Informe de seguimiento del Relator Especial sobre la Tortura y otros Tratos o Penas Crueles, Inhumanos y Degradantes - México</w:t>
      </w:r>
      <w:r w:rsidRPr="00432ABC">
        <w:rPr>
          <w:rFonts w:ascii="Verdana" w:hAnsi="Verdana"/>
          <w:sz w:val="16"/>
          <w:szCs w:val="16"/>
        </w:rPr>
        <w:t xml:space="preserve">, A/HCR/34/54/Add.4, 17 de febrero de 2017, párr. 33; ONU. </w:t>
      </w:r>
      <w:r w:rsidRPr="00432ABC">
        <w:rPr>
          <w:rFonts w:ascii="Verdana" w:hAnsi="Verdana"/>
          <w:i/>
          <w:sz w:val="16"/>
          <w:szCs w:val="16"/>
        </w:rPr>
        <w:t xml:space="preserve">Informe del Relator Especial sobre la Situación de los Defensores de los Derechos Humanos </w:t>
      </w:r>
      <w:r w:rsidRPr="00432ABC">
        <w:rPr>
          <w:rFonts w:ascii="Verdana" w:hAnsi="Verdana"/>
          <w:sz w:val="16"/>
          <w:szCs w:val="16"/>
        </w:rPr>
        <w:t xml:space="preserve">[,] </w:t>
      </w:r>
      <w:r w:rsidRPr="00432ABC">
        <w:rPr>
          <w:rFonts w:ascii="Verdana" w:hAnsi="Verdana"/>
          <w:i/>
          <w:sz w:val="16"/>
          <w:szCs w:val="16"/>
        </w:rPr>
        <w:t xml:space="preserve">relativo a su Misión a México, </w:t>
      </w:r>
      <w:r w:rsidRPr="00432ABC">
        <w:rPr>
          <w:rFonts w:ascii="Verdana" w:hAnsi="Verdana"/>
          <w:sz w:val="16"/>
          <w:szCs w:val="16"/>
        </w:rPr>
        <w:t xml:space="preserve">A/HCR/37/51/Add.2, 12 de febrero de 2018, párrs. 12 y 15, y ONU. </w:t>
      </w:r>
      <w:r w:rsidRPr="00432ABC">
        <w:rPr>
          <w:rFonts w:ascii="Verdana" w:hAnsi="Verdana"/>
          <w:i/>
          <w:sz w:val="16"/>
          <w:szCs w:val="16"/>
        </w:rPr>
        <w:t xml:space="preserve">Informe de la Relatora Especial sobre los derechos de los pueblos indígenas sobre su visita a México, </w:t>
      </w:r>
      <w:r w:rsidRPr="00432ABC">
        <w:rPr>
          <w:rFonts w:ascii="Verdana" w:hAnsi="Verdana"/>
          <w:sz w:val="16"/>
          <w:szCs w:val="16"/>
        </w:rPr>
        <w:t>A/HCR/39/17/Add.2, 28 de junio de 2018, párr. 60. En el mismo sentido</w:t>
      </w:r>
      <w:r>
        <w:rPr>
          <w:rFonts w:ascii="Verdana" w:hAnsi="Verdana"/>
          <w:sz w:val="16"/>
          <w:szCs w:val="16"/>
        </w:rPr>
        <w:t>:</w:t>
      </w:r>
      <w:r w:rsidRPr="00432ABC">
        <w:rPr>
          <w:rFonts w:ascii="Verdana" w:hAnsi="Verdana"/>
          <w:sz w:val="16"/>
          <w:szCs w:val="16"/>
        </w:rPr>
        <w:t xml:space="preserve"> </w:t>
      </w:r>
      <w:r w:rsidRPr="00CD5C54">
        <w:rPr>
          <w:rFonts w:ascii="Verdana" w:hAnsi="Verdana"/>
          <w:i/>
          <w:sz w:val="16"/>
          <w:szCs w:val="16"/>
        </w:rPr>
        <w:t>Cfr.</w:t>
      </w:r>
      <w:r w:rsidRPr="00432ABC">
        <w:rPr>
          <w:rFonts w:ascii="Verdana" w:hAnsi="Verdana"/>
          <w:sz w:val="16"/>
          <w:szCs w:val="16"/>
        </w:rPr>
        <w:t xml:space="preserve"> Declaración pericial de Alejandro Madrazo Lajous rendida </w:t>
      </w:r>
      <w:r>
        <w:rPr>
          <w:rFonts w:ascii="Verdana" w:hAnsi="Verdana"/>
          <w:sz w:val="16"/>
          <w:szCs w:val="16"/>
        </w:rPr>
        <w:t>el</w:t>
      </w:r>
      <w:r w:rsidRPr="00432ABC">
        <w:rPr>
          <w:rFonts w:ascii="Verdana" w:hAnsi="Verdana"/>
          <w:sz w:val="16"/>
          <w:szCs w:val="16"/>
        </w:rPr>
        <w:t xml:space="preserve"> 19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30969</w:t>
      </w:r>
      <w:r>
        <w:rPr>
          <w:rFonts w:ascii="Verdana" w:hAnsi="Verdana"/>
          <w:sz w:val="16"/>
          <w:szCs w:val="16"/>
        </w:rPr>
        <w:t>)</w:t>
      </w:r>
      <w:r w:rsidRPr="00432ABC">
        <w:rPr>
          <w:rFonts w:ascii="Verdana" w:hAnsi="Verdana"/>
          <w:sz w:val="16"/>
          <w:szCs w:val="16"/>
        </w:rPr>
        <w:t>.</w:t>
      </w:r>
    </w:p>
  </w:footnote>
  <w:footnote w:id="60">
    <w:p w14:paraId="3BDC2CDF" w14:textId="6EC5D8B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ONU. Consejo de Derechos Humanos, </w:t>
      </w:r>
      <w:r w:rsidRPr="00432ABC">
        <w:rPr>
          <w:rFonts w:ascii="Verdana" w:hAnsi="Verdana"/>
          <w:i/>
          <w:sz w:val="16"/>
          <w:szCs w:val="16"/>
        </w:rPr>
        <w:t xml:space="preserve">Informe del Grupo de Trabajo sobre las Desapariciones Forzadas o Involuntarias </w:t>
      </w:r>
      <w:r w:rsidRPr="002C462C">
        <w:rPr>
          <w:rFonts w:ascii="Verdana" w:hAnsi="Verdana"/>
          <w:sz w:val="16"/>
          <w:szCs w:val="16"/>
        </w:rPr>
        <w:t>[GTDFI]</w:t>
      </w:r>
      <w:r>
        <w:rPr>
          <w:rFonts w:ascii="Verdana" w:hAnsi="Verdana"/>
          <w:sz w:val="16"/>
          <w:szCs w:val="16"/>
        </w:rPr>
        <w:t xml:space="preserve">, Adición, </w:t>
      </w:r>
      <w:r w:rsidRPr="002C462C">
        <w:rPr>
          <w:rFonts w:ascii="Verdana" w:hAnsi="Verdana"/>
          <w:i/>
          <w:sz w:val="16"/>
          <w:szCs w:val="16"/>
        </w:rPr>
        <w:t>Misión a Méx</w:t>
      </w:r>
      <w:r w:rsidRPr="00432ABC">
        <w:rPr>
          <w:rFonts w:ascii="Verdana" w:hAnsi="Verdana"/>
          <w:i/>
          <w:sz w:val="16"/>
          <w:szCs w:val="16"/>
        </w:rPr>
        <w:t xml:space="preserve">ico, </w:t>
      </w:r>
      <w:r w:rsidRPr="00432ABC">
        <w:rPr>
          <w:rFonts w:ascii="Verdana" w:hAnsi="Verdana"/>
          <w:sz w:val="16"/>
          <w:szCs w:val="16"/>
        </w:rPr>
        <w:t xml:space="preserve">A/HRC/19/58/Add.2, 20 de diciembre de 2011, párr. 23. Por su parte, la CNDH señaló que, en su concepto, “las fuerzas armadas del país constitucionalmente no tienen la posibilidad de intervenir en tareas de seguridad pública; menos de sustituir la función encomendada a la autoridad civil […] en tareas policiales […]”.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CNDH. </w:t>
      </w:r>
      <w:r w:rsidRPr="00432ABC">
        <w:rPr>
          <w:rFonts w:ascii="Verdana" w:hAnsi="Verdana"/>
          <w:i/>
          <w:sz w:val="16"/>
          <w:szCs w:val="16"/>
        </w:rPr>
        <w:t>Segundo Informe Especial de la CNDH sobre el Ejercicio Efectivo del Derecho Fundamental a la Seguridad en Nuestro País</w:t>
      </w:r>
      <w:r w:rsidRPr="00432ABC">
        <w:rPr>
          <w:rFonts w:ascii="Verdana" w:hAnsi="Verdana"/>
          <w:sz w:val="16"/>
          <w:szCs w:val="16"/>
        </w:rPr>
        <w:t xml:space="preserve"> [sic], 2008, </w:t>
      </w:r>
      <w:r w:rsidRPr="00432ABC">
        <w:rPr>
          <w:rFonts w:ascii="Verdana" w:hAnsi="Verdana"/>
          <w:i/>
          <w:sz w:val="16"/>
          <w:szCs w:val="16"/>
        </w:rPr>
        <w:t>supra</w:t>
      </w:r>
      <w:r w:rsidRPr="00432ABC">
        <w:rPr>
          <w:rFonts w:ascii="Verdana" w:hAnsi="Verdana"/>
          <w:sz w:val="16"/>
          <w:szCs w:val="16"/>
        </w:rPr>
        <w:t>, pág. 94. En este mismo sentido, los peritos Gabriella Citroni y Alejandro</w:t>
      </w:r>
      <w:r>
        <w:rPr>
          <w:rFonts w:ascii="Verdana" w:hAnsi="Verdana"/>
          <w:sz w:val="16"/>
          <w:szCs w:val="16"/>
        </w:rPr>
        <w:t xml:space="preserve"> Madrazo</w:t>
      </w:r>
      <w:r w:rsidRPr="00432ABC">
        <w:rPr>
          <w:rFonts w:ascii="Verdana" w:hAnsi="Verdana"/>
          <w:sz w:val="16"/>
          <w:szCs w:val="16"/>
        </w:rPr>
        <w:t xml:space="preserve"> Lajous coincidieron en señalar en sus declaraciones juradas rendidas ante el Tribunal, que en el marco del despliegue masivo de las fuerzas armadas en México</w:t>
      </w:r>
      <w:r>
        <w:rPr>
          <w:rFonts w:ascii="Verdana" w:hAnsi="Verdana"/>
          <w:sz w:val="16"/>
          <w:szCs w:val="16"/>
        </w:rPr>
        <w:t>,</w:t>
      </w:r>
      <w:r w:rsidRPr="00432ABC">
        <w:rPr>
          <w:rFonts w:ascii="Verdana" w:hAnsi="Verdana"/>
          <w:sz w:val="16"/>
          <w:szCs w:val="16"/>
        </w:rPr>
        <w:t xml:space="preserve"> eran asignadas a estas últimas “tareas normalmente reservadas para la policía y otras autoridades civiles y [les] [eran] reconoci[dos] poderes especiales” con base en “un frágil sustento constitucional”.</w:t>
      </w:r>
      <w:r w:rsidRPr="00432ABC">
        <w:rPr>
          <w:rFonts w:ascii="Verdana" w:hAnsi="Verdana"/>
          <w:i/>
          <w:sz w:val="16"/>
          <w:szCs w:val="16"/>
        </w:rPr>
        <w:t xml:space="preserve">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Declaración pericial de Gabriella Citroni rendida </w:t>
      </w:r>
      <w:r>
        <w:rPr>
          <w:rFonts w:ascii="Verdana" w:hAnsi="Verdana"/>
          <w:sz w:val="16"/>
          <w:szCs w:val="16"/>
        </w:rPr>
        <w:t>el</w:t>
      </w:r>
      <w:r w:rsidRPr="00432ABC">
        <w:rPr>
          <w:rFonts w:ascii="Verdana" w:hAnsi="Verdana"/>
          <w:sz w:val="16"/>
          <w:szCs w:val="16"/>
        </w:rPr>
        <w:t xml:space="preserve"> 18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31061</w:t>
      </w:r>
      <w:r>
        <w:rPr>
          <w:rFonts w:ascii="Verdana" w:hAnsi="Verdana"/>
          <w:sz w:val="16"/>
          <w:szCs w:val="16"/>
        </w:rPr>
        <w:t>)</w:t>
      </w:r>
      <w:r w:rsidRPr="00432ABC">
        <w:rPr>
          <w:rFonts w:ascii="Verdana" w:hAnsi="Verdana"/>
          <w:sz w:val="16"/>
          <w:szCs w:val="16"/>
        </w:rPr>
        <w:t xml:space="preserve">, y Declaración pericial de Alejandro Madrazo Lajous rendida </w:t>
      </w:r>
      <w:r>
        <w:rPr>
          <w:rFonts w:ascii="Verdana" w:hAnsi="Verdana"/>
          <w:sz w:val="16"/>
          <w:szCs w:val="16"/>
        </w:rPr>
        <w:t>el</w:t>
      </w:r>
      <w:r w:rsidRPr="00432ABC">
        <w:rPr>
          <w:rFonts w:ascii="Verdana" w:hAnsi="Verdana"/>
          <w:sz w:val="16"/>
          <w:szCs w:val="16"/>
        </w:rPr>
        <w:t xml:space="preserve"> 19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ff. 30969, 30970, 30972, 30974 y 30975</w:t>
      </w:r>
      <w:r>
        <w:rPr>
          <w:rFonts w:ascii="Verdana" w:hAnsi="Verdana"/>
          <w:sz w:val="16"/>
          <w:szCs w:val="16"/>
        </w:rPr>
        <w:t>)</w:t>
      </w:r>
      <w:r w:rsidRPr="00432ABC">
        <w:rPr>
          <w:rFonts w:ascii="Verdana" w:hAnsi="Verdana"/>
          <w:sz w:val="16"/>
          <w:szCs w:val="16"/>
        </w:rPr>
        <w:t xml:space="preserve">. </w:t>
      </w:r>
    </w:p>
  </w:footnote>
  <w:footnote w:id="61">
    <w:p w14:paraId="72C741D1" w14:textId="55CDB3C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ONU. </w:t>
      </w:r>
      <w:r w:rsidRPr="002C462C">
        <w:rPr>
          <w:rFonts w:ascii="Verdana" w:hAnsi="Verdana"/>
          <w:i/>
          <w:sz w:val="16"/>
          <w:szCs w:val="16"/>
        </w:rPr>
        <w:t xml:space="preserve">Informe del GTDFI, Misión a México, </w:t>
      </w:r>
      <w:r w:rsidRPr="00432ABC">
        <w:rPr>
          <w:rFonts w:ascii="Verdana" w:hAnsi="Verdana"/>
          <w:sz w:val="16"/>
          <w:szCs w:val="16"/>
        </w:rPr>
        <w:t>20 de diciembre de 2011,</w:t>
      </w:r>
      <w:r w:rsidRPr="00432ABC">
        <w:rPr>
          <w:rFonts w:ascii="Verdana" w:hAnsi="Verdana"/>
          <w:i/>
          <w:sz w:val="16"/>
          <w:szCs w:val="16"/>
        </w:rPr>
        <w:t xml:space="preserve"> supra</w:t>
      </w:r>
      <w:r w:rsidRPr="00432ABC">
        <w:rPr>
          <w:rFonts w:ascii="Verdana" w:hAnsi="Verdana"/>
          <w:sz w:val="16"/>
          <w:szCs w:val="16"/>
        </w:rPr>
        <w:t>, párrs. 23 y 26.</w:t>
      </w:r>
    </w:p>
  </w:footnote>
  <w:footnote w:id="62">
    <w:p w14:paraId="2A28A277" w14:textId="1907C26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Al respecto, el GTDFI señaló en 2011: “U</w:t>
      </w:r>
      <w:r w:rsidRPr="002C462C">
        <w:rPr>
          <w:rFonts w:ascii="Verdana" w:hAnsi="Verdana"/>
          <w:sz w:val="16"/>
          <w:szCs w:val="16"/>
        </w:rPr>
        <w:t xml:space="preserve">n elevado número de elementos castrenses son titulares de la policía estatal (en seis entidades) o de las Secretarías de Seguridad Pública estatal (en 14 estados). Adicionalmente, un número significativo de los cuerpos de policía municipal son dirigidos por oficiales militares. [La] SEDENA informó al Grupo de Trabajo que estos elementos militares (en la mayoría de los casos en retiro) no se encontraban bajo su supervisión […]”. </w:t>
      </w:r>
      <w:r w:rsidRPr="00CD5C54">
        <w:rPr>
          <w:rFonts w:ascii="Verdana" w:hAnsi="Verdana"/>
          <w:i/>
          <w:sz w:val="16"/>
          <w:szCs w:val="16"/>
        </w:rPr>
        <w:t>Cfr.</w:t>
      </w:r>
      <w:r w:rsidRPr="00432ABC">
        <w:rPr>
          <w:rFonts w:ascii="Verdana" w:hAnsi="Verdana"/>
          <w:sz w:val="16"/>
          <w:szCs w:val="16"/>
        </w:rPr>
        <w:t xml:space="preserve"> ONU. </w:t>
      </w:r>
      <w:r w:rsidRPr="00432ABC">
        <w:rPr>
          <w:rFonts w:ascii="Verdana" w:hAnsi="Verdana"/>
          <w:i/>
          <w:sz w:val="16"/>
          <w:szCs w:val="16"/>
        </w:rPr>
        <w:t xml:space="preserve">Informe del GTDFI, Misión a México, </w:t>
      </w:r>
      <w:r w:rsidRPr="00432ABC">
        <w:rPr>
          <w:rFonts w:ascii="Verdana" w:hAnsi="Verdana"/>
          <w:sz w:val="16"/>
          <w:szCs w:val="16"/>
        </w:rPr>
        <w:t xml:space="preserve">20 de diciembre de 2011, </w:t>
      </w:r>
      <w:r w:rsidRPr="00432ABC">
        <w:rPr>
          <w:rFonts w:ascii="Verdana" w:hAnsi="Verdana"/>
          <w:i/>
          <w:sz w:val="16"/>
          <w:szCs w:val="16"/>
        </w:rPr>
        <w:t>supra</w:t>
      </w:r>
      <w:r w:rsidRPr="00432ABC">
        <w:rPr>
          <w:rFonts w:ascii="Verdana" w:hAnsi="Verdana"/>
          <w:sz w:val="16"/>
          <w:szCs w:val="16"/>
        </w:rPr>
        <w:t>, párr. 24.</w:t>
      </w:r>
    </w:p>
  </w:footnote>
  <w:footnote w:id="63">
    <w:p w14:paraId="0330710D" w14:textId="24DFB18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Pr>
          <w:rFonts w:ascii="Verdana" w:hAnsi="Verdana"/>
          <w:sz w:val="16"/>
          <w:szCs w:val="16"/>
        </w:rPr>
        <w:t>El</w:t>
      </w:r>
      <w:r w:rsidRPr="00432ABC">
        <w:rPr>
          <w:rFonts w:ascii="Verdana" w:hAnsi="Verdana"/>
          <w:sz w:val="16"/>
          <w:szCs w:val="16"/>
        </w:rPr>
        <w:t xml:space="preserve"> Relator Especial sobre la tortura indicó en 2014: “La militarización de la seguridad pública se mantiene como estrategia, ya </w:t>
      </w:r>
      <w:r w:rsidRPr="002C462C">
        <w:rPr>
          <w:rFonts w:ascii="Verdana" w:hAnsi="Verdana"/>
          <w:sz w:val="16"/>
          <w:szCs w:val="16"/>
        </w:rPr>
        <w:t>que más de 32.000 militares aún cumplen tareas propias de corporaciones civiles. También se incorporaron militares retirados o en licencia a corporaciones civiles de seguridad y se creó una Gendarmería con entrenamiento militar, lo que compromete los princi</w:t>
      </w:r>
      <w:r w:rsidRPr="00432ABC">
        <w:rPr>
          <w:rFonts w:ascii="Verdana" w:hAnsi="Verdana"/>
          <w:sz w:val="16"/>
          <w:szCs w:val="16"/>
        </w:rPr>
        <w:t xml:space="preserve">pios que deben regir la fuerza pública y las garantías de los detenidos […]”. </w:t>
      </w:r>
      <w:r w:rsidRPr="00CD5C54">
        <w:rPr>
          <w:rFonts w:ascii="Verdana" w:hAnsi="Verdana"/>
          <w:i/>
          <w:sz w:val="16"/>
          <w:szCs w:val="16"/>
        </w:rPr>
        <w:t>Cfr.</w:t>
      </w:r>
      <w:r w:rsidRPr="00432ABC">
        <w:rPr>
          <w:rFonts w:ascii="Verdana" w:hAnsi="Verdana"/>
          <w:sz w:val="16"/>
          <w:szCs w:val="16"/>
        </w:rPr>
        <w:t xml:space="preserve"> ONU. </w:t>
      </w:r>
      <w:r w:rsidRPr="00432ABC">
        <w:rPr>
          <w:rFonts w:ascii="Verdana" w:hAnsi="Verdana"/>
          <w:i/>
          <w:sz w:val="16"/>
          <w:szCs w:val="16"/>
        </w:rPr>
        <w:t>Informe del Relator Especial sobre la tortura</w:t>
      </w:r>
      <w:r>
        <w:rPr>
          <w:rFonts w:ascii="Verdana" w:hAnsi="Verdana"/>
          <w:i/>
          <w:sz w:val="16"/>
          <w:szCs w:val="16"/>
        </w:rPr>
        <w:t>,</w:t>
      </w:r>
      <w:r w:rsidRPr="00432ABC">
        <w:rPr>
          <w:rFonts w:ascii="Verdana" w:hAnsi="Verdana"/>
          <w:i/>
          <w:sz w:val="16"/>
          <w:szCs w:val="16"/>
        </w:rPr>
        <w:t xml:space="preserve"> </w:t>
      </w:r>
      <w:r w:rsidRPr="00432ABC">
        <w:rPr>
          <w:rFonts w:ascii="Verdana" w:hAnsi="Verdana"/>
          <w:sz w:val="16"/>
          <w:szCs w:val="16"/>
        </w:rPr>
        <w:t xml:space="preserve">29 diciembre de 2014, </w:t>
      </w:r>
      <w:r w:rsidRPr="00432ABC">
        <w:rPr>
          <w:rFonts w:ascii="Verdana" w:hAnsi="Verdana"/>
          <w:i/>
          <w:sz w:val="16"/>
          <w:szCs w:val="16"/>
        </w:rPr>
        <w:t>supra</w:t>
      </w:r>
      <w:r w:rsidRPr="00432ABC">
        <w:rPr>
          <w:rFonts w:ascii="Verdana" w:hAnsi="Verdana"/>
          <w:sz w:val="16"/>
          <w:szCs w:val="16"/>
        </w:rPr>
        <w:t xml:space="preserve">, párr. 22. Por su parte, el Relator Especial sobre las ejecuciones extrajudiciales, sumarias o arbitrarias de la ONU, en su informe de seguimiento sobre el avance realizado por el Estado en la aplicación de las recomendaciones formuladas tras su visita oficial a México en 2013 (A/HRC/26/36/Add.1), indicó haber recibido información en el sentido de que en algunas entidades federativas la seguridad pública había sido encomendada a elementos castrenses.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ONU. </w:t>
      </w:r>
      <w:r w:rsidRPr="00432ABC">
        <w:rPr>
          <w:rFonts w:ascii="Verdana" w:hAnsi="Verdana"/>
          <w:i/>
          <w:sz w:val="16"/>
          <w:szCs w:val="16"/>
        </w:rPr>
        <w:t>Informe del Relator Especial sobre las ejecuciones extrajudiciales, sumarias o arbitrarias de las Naciones Unidas acerca del seguimiento de su misión a México</w:t>
      </w:r>
      <w:r w:rsidRPr="00432ABC">
        <w:rPr>
          <w:rFonts w:ascii="Verdana" w:hAnsi="Verdana"/>
          <w:sz w:val="16"/>
          <w:szCs w:val="16"/>
        </w:rPr>
        <w:t xml:space="preserve">,  A/HRC/32/39/Add.2, 6 de mayo de 2016, párr. 12. </w:t>
      </w:r>
      <w:r w:rsidRPr="00432ABC">
        <w:rPr>
          <w:rFonts w:ascii="Verdana" w:hAnsi="Verdana" w:cs="Arial"/>
          <w:sz w:val="16"/>
          <w:szCs w:val="16"/>
          <w:lang w:val="es-CR"/>
        </w:rPr>
        <w:t>Por otra parte, se toma nota de diversas recomendaciones realizadas a México por distintos organismos internacionales y procedimientos especiales dirigidas al Estado mexicano</w:t>
      </w:r>
      <w:r w:rsidRPr="00432ABC">
        <w:rPr>
          <w:rFonts w:ascii="Verdana" w:hAnsi="Verdana" w:cs="Arial"/>
          <w:sz w:val="16"/>
          <w:szCs w:val="16"/>
        </w:rPr>
        <w:t xml:space="preserve"> ante el contexto de militarización de la seguridad ciudadana y las alegadas violaciones de derechos humanos que habrían sucedido en su jurisdicción.</w:t>
      </w:r>
      <w:r w:rsidRPr="00432ABC">
        <w:rPr>
          <w:rFonts w:ascii="Verdana" w:hAnsi="Verdana" w:cs="Arial"/>
          <w:sz w:val="16"/>
          <w:szCs w:val="16"/>
          <w:lang w:val="es-CR"/>
        </w:rPr>
        <w:t xml:space="preserve"> Dichas recomendaciones concluyen de manera similar en aspectos como: </w:t>
      </w:r>
      <w:r w:rsidRPr="00432ABC">
        <w:rPr>
          <w:rFonts w:ascii="Verdana" w:hAnsi="Verdana" w:cs="Arial"/>
          <w:sz w:val="16"/>
          <w:szCs w:val="16"/>
        </w:rPr>
        <w:t xml:space="preserve">i) la necesidad de desmilitarizar las estrategias de combate al crimen organizado y adecuar el marco constitucional interno para permitir un abordaje estatal de la defensa de la seguridad ciudadana conforme a estándares internacionales; ii) el establecimiento de mecanismos eficientes para el control y gradualidad en el uso de la fuerza, así como de transparencia y rendición de cuentas que permitan fiscalizar dichas labores; iii) la necesidad de adecuar su normativa interna para investigar y eventualmente sancionar en la esfera de los tribunales civiles las violaciones cometidas por elementos militares en el marco de dichas labores y garantizar la reparación de las víctimas; iv) </w:t>
      </w:r>
      <w:r w:rsidRPr="00432ABC">
        <w:rPr>
          <w:rFonts w:ascii="Verdana" w:hAnsi="Verdana" w:cs="Arial"/>
          <w:bCs/>
          <w:sz w:val="16"/>
          <w:szCs w:val="16"/>
          <w:lang w:val="es-CR"/>
        </w:rPr>
        <w:t>el combate a la impunidad mediante todos los medios disponibles que garanticen que las investigaciones y procedimientos judiciales sean expeditos y se realicen de forma independiente e imparcial y,</w:t>
      </w:r>
      <w:r w:rsidRPr="00432ABC">
        <w:rPr>
          <w:rFonts w:ascii="Verdana" w:hAnsi="Verdana" w:cs="Arial"/>
          <w:b/>
          <w:bCs/>
          <w:sz w:val="16"/>
          <w:szCs w:val="16"/>
          <w:lang w:val="es-CR"/>
        </w:rPr>
        <w:t xml:space="preserve"> </w:t>
      </w:r>
      <w:r w:rsidRPr="00432ABC">
        <w:rPr>
          <w:rFonts w:ascii="Verdana" w:hAnsi="Verdana" w:cs="Arial"/>
          <w:sz w:val="16"/>
          <w:szCs w:val="16"/>
        </w:rPr>
        <w:t>por último, v) la exigencia de una estricta separación entre tareas propiamente militares y labores policiales al llevar a cabo funciones de orden público en dichos escenarios.</w:t>
      </w:r>
      <w:r w:rsidRPr="00432ABC">
        <w:rPr>
          <w:rFonts w:ascii="Verdana" w:hAnsi="Verdana"/>
          <w:i/>
          <w:sz w:val="16"/>
          <w:szCs w:val="16"/>
        </w:rPr>
        <w:t xml:space="preserve"> </w:t>
      </w:r>
      <w:r w:rsidRPr="00CD5C54">
        <w:rPr>
          <w:rFonts w:ascii="Verdana" w:hAnsi="Verdana"/>
          <w:i/>
          <w:sz w:val="16"/>
          <w:szCs w:val="16"/>
        </w:rPr>
        <w:t>Cfr.</w:t>
      </w:r>
      <w:r w:rsidRPr="00432ABC">
        <w:rPr>
          <w:rFonts w:ascii="Verdana" w:hAnsi="Verdana"/>
          <w:sz w:val="16"/>
          <w:szCs w:val="16"/>
        </w:rPr>
        <w:t xml:space="preserve"> </w:t>
      </w:r>
      <w:r w:rsidRPr="00432ABC">
        <w:rPr>
          <w:rFonts w:ascii="Verdana" w:hAnsi="Verdana"/>
          <w:i/>
          <w:sz w:val="16"/>
          <w:szCs w:val="16"/>
        </w:rPr>
        <w:t xml:space="preserve">inter alia: </w:t>
      </w:r>
      <w:r w:rsidRPr="00432ABC">
        <w:rPr>
          <w:rFonts w:ascii="Verdana" w:hAnsi="Verdana"/>
          <w:sz w:val="16"/>
          <w:szCs w:val="16"/>
        </w:rPr>
        <w:t xml:space="preserve">ONU. Comité de Derechos Humanos. </w:t>
      </w:r>
      <w:r w:rsidRPr="00432ABC">
        <w:rPr>
          <w:rFonts w:ascii="Verdana" w:hAnsi="Verdana"/>
          <w:i/>
          <w:sz w:val="16"/>
          <w:szCs w:val="16"/>
        </w:rPr>
        <w:t>Observaciones Finales</w:t>
      </w:r>
      <w:r>
        <w:rPr>
          <w:rFonts w:ascii="Verdana" w:hAnsi="Verdana"/>
          <w:i/>
          <w:sz w:val="16"/>
          <w:szCs w:val="16"/>
        </w:rPr>
        <w:t>. México</w:t>
      </w:r>
      <w:r w:rsidRPr="00432ABC">
        <w:rPr>
          <w:rFonts w:ascii="Verdana" w:hAnsi="Verdana"/>
          <w:sz w:val="16"/>
          <w:szCs w:val="16"/>
        </w:rPr>
        <w:t>, CCPR/C/79/Add.109, 27 de julio de 1999, párr. 9</w:t>
      </w:r>
      <w:r>
        <w:rPr>
          <w:rFonts w:ascii="Verdana" w:hAnsi="Verdana"/>
          <w:sz w:val="16"/>
          <w:szCs w:val="16"/>
        </w:rPr>
        <w:t xml:space="preserve">; </w:t>
      </w:r>
      <w:r w:rsidRPr="00432ABC">
        <w:rPr>
          <w:rFonts w:ascii="Verdana" w:hAnsi="Verdana"/>
          <w:i/>
          <w:sz w:val="16"/>
          <w:szCs w:val="16"/>
          <w:lang w:val="es-CR"/>
        </w:rPr>
        <w:t>Informe del Grupo de Trabajo sobre la Detención Arbitraria acerca de su visita a México (27 de octubre a 10 de noviembre de 2002)</w:t>
      </w:r>
      <w:r w:rsidRPr="00432ABC">
        <w:rPr>
          <w:rFonts w:ascii="Verdana" w:hAnsi="Verdana"/>
          <w:sz w:val="16"/>
          <w:szCs w:val="16"/>
          <w:lang w:val="es-CR"/>
        </w:rPr>
        <w:t xml:space="preserve">, </w:t>
      </w:r>
      <w:r w:rsidRPr="00432ABC">
        <w:rPr>
          <w:rFonts w:ascii="Verdana" w:hAnsi="Verdana"/>
          <w:sz w:val="16"/>
          <w:szCs w:val="16"/>
        </w:rPr>
        <w:t xml:space="preserve">E/CN.4/2003/8/Add.3 17 de diciembre de 2002, párr. 72, inciso e); ONU. Comisión de Derechos Humanos, </w:t>
      </w:r>
      <w:r w:rsidRPr="00432ABC">
        <w:rPr>
          <w:rFonts w:ascii="Verdana" w:hAnsi="Verdana"/>
          <w:i/>
          <w:sz w:val="16"/>
          <w:szCs w:val="16"/>
        </w:rPr>
        <w:t xml:space="preserve">Informe del Relator Especial sobre la independencia de los magistrados y abogados, Sr. Dato'Param Coomaraswamy, presentado de conformidad con la resolución 2001/39 de la Comisión de Derechos Humanos, </w:t>
      </w:r>
      <w:r w:rsidRPr="00432ABC">
        <w:rPr>
          <w:rFonts w:ascii="Verdana" w:hAnsi="Verdana"/>
          <w:sz w:val="16"/>
          <w:szCs w:val="16"/>
          <w:lang w:val="es-CR"/>
        </w:rPr>
        <w:t xml:space="preserve">E/CN.4/2002/72/Add.1, 24 de enero de 2002, párrafo 192 inciso d); </w:t>
      </w:r>
      <w:r w:rsidRPr="00432ABC">
        <w:rPr>
          <w:rFonts w:ascii="Verdana" w:hAnsi="Verdana"/>
          <w:i/>
          <w:sz w:val="16"/>
          <w:szCs w:val="16"/>
        </w:rPr>
        <w:t xml:space="preserve">Informe del Relator Especial sobre la situación de los derechos humanos y las libertades fundamentales de los indígenas, Sr. Rodolfo Stavenhagen, </w:t>
      </w:r>
      <w:r w:rsidRPr="00432ABC">
        <w:rPr>
          <w:rFonts w:ascii="Verdana" w:hAnsi="Verdana"/>
          <w:sz w:val="16"/>
          <w:szCs w:val="16"/>
        </w:rPr>
        <w:t>E/CN.4/2004/80/Add.2, 23 de diciembre de 2003, párr. 90;</w:t>
      </w:r>
      <w:r w:rsidRPr="00432ABC">
        <w:rPr>
          <w:rFonts w:ascii="Verdana" w:hAnsi="Verdana"/>
          <w:i/>
          <w:sz w:val="16"/>
          <w:szCs w:val="16"/>
        </w:rPr>
        <w:t xml:space="preserve"> </w:t>
      </w:r>
      <w:r>
        <w:rPr>
          <w:rFonts w:ascii="Verdana" w:hAnsi="Verdana"/>
          <w:sz w:val="16"/>
          <w:szCs w:val="16"/>
        </w:rPr>
        <w:t xml:space="preserve">ONU. </w:t>
      </w:r>
      <w:r w:rsidRPr="008D0846">
        <w:rPr>
          <w:rFonts w:ascii="Verdana" w:hAnsi="Verdana"/>
          <w:i/>
          <w:sz w:val="16"/>
          <w:szCs w:val="16"/>
        </w:rPr>
        <w:t>Informe de la Relatora Especial sobre la violencia contra la mujer, sus causas y consecuencias, Yakin Ertürk, Adición, Misión a México</w:t>
      </w:r>
      <w:r>
        <w:rPr>
          <w:rFonts w:ascii="Verdana" w:hAnsi="Verdana"/>
          <w:sz w:val="16"/>
          <w:szCs w:val="16"/>
        </w:rPr>
        <w:t xml:space="preserve">, E/CN.4/2006/61/Add.4, 13 de enero de 2006, párrafo 69, inciso a), numeral vi; </w:t>
      </w:r>
      <w:r w:rsidRPr="002C462C">
        <w:rPr>
          <w:rFonts w:ascii="Verdana" w:hAnsi="Verdana"/>
          <w:sz w:val="16"/>
          <w:szCs w:val="16"/>
        </w:rPr>
        <w:t>ONU. Comité de Derechos Humanos</w:t>
      </w:r>
      <w:r w:rsidRPr="002C462C">
        <w:rPr>
          <w:rFonts w:ascii="Verdana" w:hAnsi="Verdana"/>
          <w:i/>
          <w:sz w:val="16"/>
          <w:szCs w:val="16"/>
        </w:rPr>
        <w:t>, Examen de los informes periódicos presentados por los Estados partes en virtud del artículo 40 del Pacto,</w:t>
      </w:r>
      <w:r w:rsidRPr="00432ABC">
        <w:rPr>
          <w:rFonts w:ascii="Verdana" w:hAnsi="Verdana"/>
          <w:sz w:val="16"/>
          <w:szCs w:val="16"/>
        </w:rPr>
        <w:t xml:space="preserve"> CCPR/C/MEX/CO/5, 7 de abril de 2010, párrs. 11 y 18; ONU. Consejo de Derechos Humanos (CDH): </w:t>
      </w:r>
      <w:r w:rsidRPr="00432ABC">
        <w:rPr>
          <w:rFonts w:ascii="Verdana" w:hAnsi="Verdana"/>
          <w:i/>
          <w:sz w:val="16"/>
          <w:szCs w:val="16"/>
        </w:rPr>
        <w:t>Informe de la Relatora especial sobre la independencia de los magistrados y abogados. Misión a México,</w:t>
      </w:r>
      <w:r w:rsidRPr="00432ABC">
        <w:rPr>
          <w:rFonts w:ascii="Verdana" w:hAnsi="Verdana"/>
          <w:sz w:val="16"/>
          <w:szCs w:val="16"/>
        </w:rPr>
        <w:t xml:space="preserve"> A/HCR/17/30/Add.3, 18 de abril de 2011, párrs. 38 y 94, inciso r); </w:t>
      </w:r>
      <w:r w:rsidRPr="00432ABC">
        <w:rPr>
          <w:rFonts w:ascii="Verdana" w:hAnsi="Verdana"/>
          <w:i/>
          <w:sz w:val="16"/>
          <w:szCs w:val="16"/>
        </w:rPr>
        <w:t xml:space="preserve">Informe del Grupo de Trabajo sobre las Desapariciones Forzadas o Involuntarias, </w:t>
      </w:r>
      <w:r w:rsidRPr="00432ABC">
        <w:rPr>
          <w:rFonts w:ascii="Verdana" w:hAnsi="Verdana"/>
          <w:sz w:val="16"/>
          <w:szCs w:val="16"/>
        </w:rPr>
        <w:t>A/HR</w:t>
      </w:r>
      <w:r>
        <w:rPr>
          <w:rFonts w:ascii="Verdana" w:hAnsi="Verdana"/>
          <w:sz w:val="16"/>
          <w:szCs w:val="16"/>
        </w:rPr>
        <w:t>C</w:t>
      </w:r>
      <w:r w:rsidRPr="00432ABC">
        <w:rPr>
          <w:rFonts w:ascii="Verdana" w:hAnsi="Verdana"/>
          <w:sz w:val="16"/>
          <w:szCs w:val="16"/>
        </w:rPr>
        <w:t xml:space="preserve">/19/58/Add.2, 20 de diciembre de 2011, párrs. 90, 91, 96 y 98; ONU. Comité contra la Tortura, </w:t>
      </w:r>
      <w:r w:rsidRPr="00432ABC">
        <w:rPr>
          <w:rFonts w:ascii="Verdana" w:hAnsi="Verdana"/>
          <w:i/>
          <w:sz w:val="16"/>
          <w:szCs w:val="16"/>
        </w:rPr>
        <w:t xml:space="preserve">Observaciones finales sobre los informes periódicos quinto y sexto combinados de México, adoptados por el Comité en su 49º período de sesiones (29 de octubre a 23 de noviembre de 2012), </w:t>
      </w:r>
      <w:r w:rsidRPr="00432ABC">
        <w:rPr>
          <w:rFonts w:ascii="Verdana" w:hAnsi="Verdana"/>
          <w:sz w:val="16"/>
          <w:szCs w:val="16"/>
        </w:rPr>
        <w:t>CAT/C/MEX/CO/5-6, 11 de diciembre de 2012,</w:t>
      </w:r>
      <w:r w:rsidRPr="00432ABC">
        <w:rPr>
          <w:rFonts w:ascii="Verdana" w:hAnsi="Verdana"/>
          <w:i/>
          <w:sz w:val="16"/>
          <w:szCs w:val="16"/>
        </w:rPr>
        <w:t xml:space="preserve"> </w:t>
      </w:r>
      <w:r w:rsidRPr="00432ABC">
        <w:rPr>
          <w:rFonts w:ascii="Verdana" w:hAnsi="Verdana"/>
          <w:sz w:val="16"/>
          <w:szCs w:val="16"/>
        </w:rPr>
        <w:t xml:space="preserve">párrs. 12 incisos c) y d), 16, inciso a), 18 </w:t>
      </w:r>
      <w:r>
        <w:rPr>
          <w:rFonts w:ascii="Verdana" w:hAnsi="Verdana"/>
          <w:sz w:val="16"/>
          <w:szCs w:val="16"/>
        </w:rPr>
        <w:t xml:space="preserve">inciso </w:t>
      </w:r>
      <w:r w:rsidRPr="00432ABC">
        <w:rPr>
          <w:rFonts w:ascii="Verdana" w:hAnsi="Verdana"/>
          <w:sz w:val="16"/>
          <w:szCs w:val="16"/>
        </w:rPr>
        <w:t xml:space="preserve">b) y 24; ONU. CDH, </w:t>
      </w:r>
      <w:r w:rsidRPr="00432ABC">
        <w:rPr>
          <w:rFonts w:ascii="Verdana" w:hAnsi="Verdana"/>
          <w:i/>
          <w:sz w:val="16"/>
          <w:szCs w:val="16"/>
        </w:rPr>
        <w:t xml:space="preserve">Informe del Relator especial sobre las ejecuciones extrajudiciales, sumarias o arbitrarias, Christof Heyns, </w:t>
      </w:r>
      <w:r w:rsidRPr="00432ABC">
        <w:rPr>
          <w:rFonts w:ascii="Verdana" w:hAnsi="Verdana"/>
          <w:sz w:val="16"/>
          <w:szCs w:val="16"/>
        </w:rPr>
        <w:t>A/HR</w:t>
      </w:r>
      <w:r>
        <w:rPr>
          <w:rFonts w:ascii="Verdana" w:hAnsi="Verdana"/>
          <w:sz w:val="16"/>
          <w:szCs w:val="16"/>
        </w:rPr>
        <w:t>C</w:t>
      </w:r>
      <w:r w:rsidRPr="00432ABC">
        <w:rPr>
          <w:rFonts w:ascii="Verdana" w:hAnsi="Verdana"/>
          <w:sz w:val="16"/>
          <w:szCs w:val="16"/>
        </w:rPr>
        <w:t xml:space="preserve">/26/36/Add.1, 28 de abril de 2014, párrs. 24, 29, 30, 52, 90, 100, 103, 105, 106, 107, y  ONU. CDH, </w:t>
      </w:r>
      <w:r w:rsidRPr="00432ABC">
        <w:rPr>
          <w:rFonts w:ascii="Verdana" w:hAnsi="Verdana"/>
          <w:i/>
          <w:sz w:val="16"/>
          <w:szCs w:val="16"/>
        </w:rPr>
        <w:t>Informe del Relator Especial sobre la Tortura</w:t>
      </w:r>
      <w:r>
        <w:rPr>
          <w:rFonts w:ascii="Verdana" w:hAnsi="Verdana"/>
          <w:i/>
          <w:sz w:val="16"/>
          <w:szCs w:val="16"/>
        </w:rPr>
        <w:t>,</w:t>
      </w:r>
      <w:r w:rsidRPr="00432ABC">
        <w:rPr>
          <w:rFonts w:ascii="Verdana" w:hAnsi="Verdana"/>
          <w:i/>
          <w:sz w:val="16"/>
          <w:szCs w:val="16"/>
        </w:rPr>
        <w:t xml:space="preserve"> </w:t>
      </w:r>
      <w:r w:rsidRPr="00432ABC">
        <w:rPr>
          <w:rFonts w:ascii="Verdana" w:hAnsi="Verdana"/>
          <w:sz w:val="16"/>
          <w:szCs w:val="16"/>
        </w:rPr>
        <w:t xml:space="preserve">29 de diciembre de 2014, párrs. 76, 81 incisos b) y g), y 83 inciso a); </w:t>
      </w:r>
      <w:r w:rsidRPr="00432ABC">
        <w:rPr>
          <w:rFonts w:ascii="Verdana" w:hAnsi="Verdana"/>
          <w:i/>
          <w:sz w:val="16"/>
          <w:szCs w:val="16"/>
        </w:rPr>
        <w:t>Recomendaciones a México por el Alto Comisionado de las Naciones Unidas para los Derechos Humanos, Zeid Ra’ad al Hussein</w:t>
      </w:r>
      <w:r w:rsidRPr="00432ABC">
        <w:rPr>
          <w:rStyle w:val="Textoennegrita"/>
          <w:rFonts w:ascii="Verdana" w:hAnsi="Verdana"/>
          <w:b w:val="0"/>
          <w:sz w:val="16"/>
          <w:szCs w:val="16"/>
          <w:shd w:val="clear" w:color="auto" w:fill="FFFFFF"/>
        </w:rPr>
        <w:t xml:space="preserve">, </w:t>
      </w:r>
      <w:r w:rsidRPr="00432ABC">
        <w:rPr>
          <w:rStyle w:val="Textoennegrita"/>
          <w:rFonts w:ascii="Verdana" w:hAnsi="Verdana"/>
          <w:b w:val="0"/>
          <w:i/>
          <w:sz w:val="16"/>
          <w:szCs w:val="16"/>
          <w:shd w:val="clear" w:color="auto" w:fill="FFFFFF"/>
        </w:rPr>
        <w:t>resultado de su visita oficial al país en octubre de 2015</w:t>
      </w:r>
      <w:r w:rsidRPr="00432ABC">
        <w:rPr>
          <w:rFonts w:ascii="Verdana" w:hAnsi="Verdana"/>
          <w:sz w:val="16"/>
          <w:szCs w:val="16"/>
        </w:rPr>
        <w:t xml:space="preserve">, marzo de 2016, recomendaciones 3, 4 y 5  disponibles en </w:t>
      </w:r>
      <w:hyperlink r:id="rId14" w:history="1">
        <w:r w:rsidRPr="00432ABC">
          <w:rPr>
            <w:rStyle w:val="Hipervnculo"/>
            <w:rFonts w:ascii="Verdana" w:hAnsi="Verdana"/>
            <w:sz w:val="16"/>
            <w:szCs w:val="16"/>
          </w:rPr>
          <w:t>http://www.hchr.org.mx/images/doc_pub/RecomendacionesMX_AltoComisionadoDH_ES.pdf</w:t>
        </w:r>
      </w:hyperlink>
      <w:r w:rsidRPr="00432ABC">
        <w:rPr>
          <w:rFonts w:ascii="Verdana" w:hAnsi="Verdana"/>
          <w:sz w:val="16"/>
          <w:szCs w:val="16"/>
        </w:rPr>
        <w:t>; CIDH. Grupo In</w:t>
      </w:r>
      <w:r w:rsidRPr="002C462C">
        <w:rPr>
          <w:rFonts w:ascii="Verdana" w:hAnsi="Verdana"/>
          <w:sz w:val="16"/>
          <w:szCs w:val="16"/>
        </w:rPr>
        <w:t>terdisciplinario de Expertos Independientes</w:t>
      </w:r>
      <w:r w:rsidRPr="00432ABC">
        <w:rPr>
          <w:rFonts w:ascii="Verdana" w:hAnsi="Verdana"/>
          <w:i/>
          <w:sz w:val="16"/>
          <w:szCs w:val="16"/>
        </w:rPr>
        <w:t xml:space="preserve">,   </w:t>
      </w:r>
      <w:r w:rsidRPr="00432ABC">
        <w:rPr>
          <w:rFonts w:ascii="Verdana" w:hAnsi="Verdana"/>
          <w:i/>
          <w:sz w:val="16"/>
          <w:szCs w:val="16"/>
          <w:lang w:val="es-CR"/>
        </w:rPr>
        <w:t xml:space="preserve">Informe Ayotzinapa. Investigación y primeras conclusiones, </w:t>
      </w:r>
      <w:r w:rsidRPr="00432ABC">
        <w:rPr>
          <w:rFonts w:ascii="Verdana" w:hAnsi="Verdana"/>
          <w:sz w:val="16"/>
          <w:szCs w:val="16"/>
          <w:lang w:val="es-CR"/>
        </w:rPr>
        <w:t xml:space="preserve">2015, pág. 358, y CIDH, </w:t>
      </w:r>
      <w:r w:rsidRPr="00432ABC">
        <w:rPr>
          <w:rFonts w:ascii="Verdana" w:hAnsi="Verdana"/>
          <w:i/>
          <w:sz w:val="16"/>
          <w:szCs w:val="16"/>
        </w:rPr>
        <w:t xml:space="preserve">Situación de los derechos humanos en México, </w:t>
      </w:r>
      <w:r w:rsidRPr="00432ABC">
        <w:rPr>
          <w:rFonts w:ascii="Verdana" w:hAnsi="Verdana"/>
          <w:sz w:val="16"/>
          <w:szCs w:val="16"/>
        </w:rPr>
        <w:t>OEA/Ser.L/V/II. Doc. 44/15, 31 diciembre 2015, párr. 539, recomendación 8.</w:t>
      </w:r>
    </w:p>
  </w:footnote>
  <w:footnote w:id="64">
    <w:p w14:paraId="60428339" w14:textId="6B34B391" w:rsidR="00146958" w:rsidRPr="002C462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lang w:val="es-CR"/>
        </w:rPr>
        <w:tab/>
        <w:t>Ley</w:t>
      </w:r>
      <w:r w:rsidRPr="002C462C">
        <w:rPr>
          <w:rFonts w:ascii="Verdana" w:hAnsi="Verdana"/>
          <w:sz w:val="16"/>
          <w:szCs w:val="16"/>
          <w:lang w:val="es-CR"/>
        </w:rPr>
        <w:t xml:space="preserve"> de Seguridad Interior. Aprobada por el Congreso General de los Estados Unidos Mexicanos. Publicada en el Diario Oficial de la Federación el 21 de diciembre de 2017. Disponible en: </w:t>
      </w:r>
      <w:hyperlink r:id="rId15" w:history="1">
        <w:r w:rsidRPr="00432ABC">
          <w:rPr>
            <w:rStyle w:val="Hipervnculo"/>
            <w:rFonts w:ascii="Verdana" w:hAnsi="Verdana"/>
            <w:sz w:val="16"/>
            <w:szCs w:val="16"/>
            <w:lang w:val="es-CR"/>
          </w:rPr>
          <w:t>http://www.dof.gob.mx/nota_detalle.php?codigo=5508716&amp;fecha=21/12/2017</w:t>
        </w:r>
      </w:hyperlink>
      <w:r w:rsidRPr="00432ABC">
        <w:rPr>
          <w:rFonts w:ascii="Verdana" w:hAnsi="Verdana"/>
          <w:sz w:val="16"/>
          <w:szCs w:val="16"/>
          <w:lang w:val="es-CR"/>
        </w:rPr>
        <w:t xml:space="preserve">. De acuerdo con el artículo 1 de esta Ley, </w:t>
      </w:r>
      <w:r>
        <w:rPr>
          <w:rFonts w:ascii="Verdana" w:hAnsi="Verdana"/>
          <w:sz w:val="16"/>
          <w:szCs w:val="16"/>
          <w:lang w:val="es-CR"/>
        </w:rPr>
        <w:t>tenía</w:t>
      </w:r>
      <w:r w:rsidRPr="00432ABC">
        <w:rPr>
          <w:rFonts w:ascii="Verdana" w:hAnsi="Verdana"/>
          <w:sz w:val="16"/>
          <w:szCs w:val="16"/>
          <w:lang w:val="es-CR"/>
        </w:rPr>
        <w:t xml:space="preserve"> po</w:t>
      </w:r>
      <w:r w:rsidRPr="002C462C">
        <w:rPr>
          <w:rFonts w:ascii="Verdana" w:hAnsi="Verdana"/>
          <w:sz w:val="16"/>
          <w:szCs w:val="16"/>
          <w:lang w:val="es-CR"/>
        </w:rPr>
        <w:t>r objeto regular la función del Estado para preservar la Seguridad Interior, así como establecer las bases, procedimientos y modalidades de coordinación entre la Federación, las entidades federativas y los municipios, en la materia.</w:t>
      </w:r>
    </w:p>
  </w:footnote>
  <w:footnote w:id="65">
    <w:p w14:paraId="251B7905" w14:textId="772D421D" w:rsidR="00146958" w:rsidRPr="008D0846" w:rsidRDefault="00146958" w:rsidP="008D0846">
      <w:pPr>
        <w:spacing w:after="0" w:line="240" w:lineRule="auto"/>
        <w:jc w:val="both"/>
        <w:rPr>
          <w:color w:val="1F497D"/>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bCs/>
          <w:i/>
          <w:iCs/>
          <w:sz w:val="16"/>
          <w:szCs w:val="16"/>
        </w:rPr>
        <w:t>Cfr.</w:t>
      </w:r>
      <w:r w:rsidRPr="008D0846">
        <w:rPr>
          <w:rFonts w:ascii="Verdana" w:hAnsi="Verdana"/>
          <w:bCs/>
          <w:sz w:val="16"/>
          <w:szCs w:val="16"/>
        </w:rPr>
        <w:t xml:space="preserve"> Presidencia de la República, Estados Unidos Mexicanos. </w:t>
      </w:r>
      <w:r w:rsidRPr="008D0846">
        <w:rPr>
          <w:rFonts w:ascii="Verdana" w:hAnsi="Verdana"/>
          <w:bCs/>
          <w:i/>
          <w:iCs/>
          <w:sz w:val="16"/>
          <w:szCs w:val="16"/>
        </w:rPr>
        <w:t xml:space="preserve">Sexto Informe de Gobierno, 2017-2018, </w:t>
      </w:r>
      <w:r w:rsidRPr="008D0846">
        <w:rPr>
          <w:rFonts w:ascii="Verdana" w:hAnsi="Verdana"/>
          <w:bCs/>
          <w:sz w:val="16"/>
          <w:szCs w:val="16"/>
        </w:rPr>
        <w:t xml:space="preserve">1 de septiembre de 2018, págs. 78 a 79. Disponible en: </w:t>
      </w:r>
      <w:hyperlink r:id="rId16" w:history="1">
        <w:r w:rsidRPr="008D0846">
          <w:rPr>
            <w:rStyle w:val="Hipervnculo"/>
            <w:rFonts w:ascii="Verdana" w:hAnsi="Verdana"/>
            <w:sz w:val="16"/>
            <w:szCs w:val="16"/>
          </w:rPr>
          <w:t>http://cdn.presidencia.gob.mx/sextoinforme/informe/6_IG_INFORME_COMPLETO.pdf</w:t>
        </w:r>
      </w:hyperlink>
      <w:r>
        <w:rPr>
          <w:rFonts w:ascii="Verdana" w:hAnsi="Verdana"/>
          <w:color w:val="1F497D"/>
          <w:sz w:val="16"/>
          <w:szCs w:val="16"/>
        </w:rPr>
        <w:t xml:space="preserve">. </w:t>
      </w:r>
      <w:r w:rsidRPr="00432ABC">
        <w:rPr>
          <w:rFonts w:ascii="Verdana" w:hAnsi="Verdana"/>
          <w:sz w:val="16"/>
          <w:szCs w:val="16"/>
        </w:rPr>
        <w:t>Al respecto, la Corte nota que desde la publicación de la Ley de Seguridad Interior diversos actores de la sociedad civil, entes públicos autónomos, fracciones parlamentarias del Congreso de la Unión</w:t>
      </w:r>
      <w:r w:rsidRPr="002C462C">
        <w:rPr>
          <w:rFonts w:ascii="Verdana" w:hAnsi="Verdana"/>
          <w:sz w:val="16"/>
          <w:szCs w:val="16"/>
        </w:rPr>
        <w:t>, así como Gobiernos locales y un partido político</w:t>
      </w:r>
      <w:r>
        <w:rPr>
          <w:rFonts w:ascii="Verdana" w:hAnsi="Verdana"/>
          <w:sz w:val="16"/>
          <w:szCs w:val="16"/>
        </w:rPr>
        <w:t xml:space="preserve"> promovieron </w:t>
      </w:r>
      <w:r w:rsidRPr="002C462C">
        <w:rPr>
          <w:rFonts w:ascii="Verdana" w:hAnsi="Verdana"/>
          <w:sz w:val="16"/>
          <w:szCs w:val="16"/>
        </w:rPr>
        <w:t>distintos medios de impugnación ante el Poder Judicial de la Federación, incluyendo la Suprema Corte de Justicia de la Nación, alegando la inconstitucionalidad de las disposiciones de dicha legislación. Entre estas se destac</w:t>
      </w:r>
      <w:r>
        <w:rPr>
          <w:rFonts w:ascii="Verdana" w:hAnsi="Verdana"/>
          <w:sz w:val="16"/>
          <w:szCs w:val="16"/>
        </w:rPr>
        <w:t>ó</w:t>
      </w:r>
      <w:r w:rsidRPr="002C462C">
        <w:rPr>
          <w:rFonts w:ascii="Verdana" w:hAnsi="Verdana"/>
          <w:sz w:val="16"/>
          <w:szCs w:val="16"/>
        </w:rPr>
        <w:t xml:space="preserve"> la acc</w:t>
      </w:r>
      <w:r w:rsidRPr="00432ABC">
        <w:rPr>
          <w:rFonts w:ascii="Verdana" w:hAnsi="Verdana"/>
          <w:sz w:val="16"/>
          <w:szCs w:val="16"/>
        </w:rPr>
        <w:t>ión de inconstitucionalidad -fundamentada en el artículo 105, fracción II de la Constitución Política mexicana-, promovida por la CNDH el 20 de enero de 2018</w:t>
      </w:r>
      <w:r>
        <w:rPr>
          <w:rFonts w:ascii="Verdana" w:hAnsi="Verdana"/>
          <w:sz w:val="16"/>
          <w:szCs w:val="16"/>
        </w:rPr>
        <w:t xml:space="preserve">. </w:t>
      </w:r>
      <w:r w:rsidRPr="00CD5C54">
        <w:rPr>
          <w:rFonts w:ascii="Verdana" w:eastAsia="Times New Roman" w:hAnsi="Verdana" w:cs="Arial"/>
          <w:i/>
          <w:sz w:val="16"/>
          <w:szCs w:val="16"/>
        </w:rPr>
        <w:t>Cfr.</w:t>
      </w:r>
      <w:r w:rsidRPr="00432ABC">
        <w:rPr>
          <w:rFonts w:ascii="Verdana" w:eastAsia="Times New Roman" w:hAnsi="Verdana" w:cs="Arial"/>
          <w:sz w:val="16"/>
          <w:szCs w:val="16"/>
        </w:rPr>
        <w:t xml:space="preserve"> </w:t>
      </w:r>
      <w:r w:rsidRPr="00432ABC">
        <w:rPr>
          <w:rFonts w:ascii="Verdana" w:hAnsi="Verdana"/>
          <w:sz w:val="16"/>
          <w:szCs w:val="16"/>
        </w:rPr>
        <w:t>Demanda de acción de inconstitucionalidad, promovida por la CNDH</w:t>
      </w:r>
      <w:r w:rsidRPr="00432ABC">
        <w:rPr>
          <w:rFonts w:ascii="Verdana" w:eastAsia="Times New Roman" w:hAnsi="Verdana" w:cs="Arial"/>
          <w:sz w:val="16"/>
          <w:szCs w:val="16"/>
        </w:rPr>
        <w:t xml:space="preserve">. Consultable en </w:t>
      </w:r>
      <w:hyperlink r:id="rId17" w:history="1">
        <w:r w:rsidRPr="00432ABC">
          <w:rPr>
            <w:rStyle w:val="Hipervnculo"/>
            <w:rFonts w:ascii="Verdana" w:hAnsi="Verdana"/>
            <w:sz w:val="16"/>
            <w:szCs w:val="16"/>
          </w:rPr>
          <w:t>http://www.cndh.org.mx/sites/all/doc/Acciones/Acc_Inc_2018_LSI.pdf</w:t>
        </w:r>
      </w:hyperlink>
      <w:r w:rsidRPr="00432ABC">
        <w:rPr>
          <w:rStyle w:val="Hipervnculo"/>
          <w:rFonts w:ascii="Verdana" w:hAnsi="Verdana"/>
          <w:sz w:val="16"/>
          <w:szCs w:val="16"/>
        </w:rPr>
        <w:t xml:space="preserve">. </w:t>
      </w:r>
    </w:p>
  </w:footnote>
  <w:footnote w:id="66">
    <w:p w14:paraId="165C71E0" w14:textId="721E5657" w:rsidR="00146958" w:rsidRPr="00DB378B" w:rsidRDefault="00146958" w:rsidP="009B18E2">
      <w:pPr>
        <w:pStyle w:val="Textonotapie"/>
        <w:jc w:val="both"/>
        <w:rPr>
          <w:rFonts w:ascii="Verdana" w:hAnsi="Verdana"/>
          <w:bCs/>
          <w:color w:val="0000FF"/>
          <w:sz w:val="16"/>
          <w:szCs w:val="16"/>
        </w:rPr>
      </w:pPr>
      <w:r w:rsidRPr="00146958">
        <w:rPr>
          <w:rStyle w:val="Refdenotaalpie"/>
          <w:rFonts w:ascii="Verdana" w:hAnsi="Verdana"/>
          <w:sz w:val="16"/>
        </w:rPr>
        <w:footnoteRef/>
      </w:r>
      <w:r w:rsidRPr="00FC2C7B">
        <w:rPr>
          <w:rFonts w:ascii="Verdana" w:hAnsi="Verdana"/>
        </w:rPr>
        <w:t xml:space="preserve"> </w:t>
      </w:r>
      <w:r w:rsidRPr="00FC2C7B">
        <w:rPr>
          <w:rFonts w:ascii="Verdana" w:hAnsi="Verdana"/>
        </w:rPr>
        <w:tab/>
      </w:r>
      <w:r w:rsidRPr="009B18E2">
        <w:rPr>
          <w:rStyle w:val="Hipervnculo"/>
          <w:rFonts w:ascii="Verdana" w:hAnsi="Verdana"/>
          <w:color w:val="auto"/>
          <w:sz w:val="16"/>
          <w:szCs w:val="16"/>
          <w:u w:val="none"/>
        </w:rPr>
        <w:t xml:space="preserve">El 15 de noviembre de 2018 el Pleno de la SCJN resolvió por mayoría de 9 votos contra 1, la inconstitucionalidad general de la Ley de Seguridad Interior [LSI]. </w:t>
      </w:r>
      <w:r w:rsidRPr="00CD5C54">
        <w:rPr>
          <w:rStyle w:val="Hipervnculo"/>
          <w:rFonts w:ascii="Verdana" w:hAnsi="Verdana"/>
          <w:i/>
          <w:color w:val="auto"/>
          <w:sz w:val="16"/>
          <w:szCs w:val="16"/>
          <w:u w:val="none"/>
        </w:rPr>
        <w:t>Cfr.</w:t>
      </w:r>
      <w:r w:rsidRPr="00FC2C7B">
        <w:rPr>
          <w:rStyle w:val="Hipervnculo"/>
          <w:rFonts w:ascii="Verdana" w:hAnsi="Verdana"/>
          <w:color w:val="auto"/>
          <w:sz w:val="16"/>
          <w:szCs w:val="16"/>
          <w:u w:val="none"/>
        </w:rPr>
        <w:t xml:space="preserve"> SCJN.  Comunicado</w:t>
      </w:r>
      <w:r w:rsidRPr="00FC2C7B">
        <w:rPr>
          <w:rFonts w:ascii="Verdana" w:hAnsi="Verdana" w:cs="Arial"/>
          <w:bCs/>
          <w:sz w:val="18"/>
          <w:szCs w:val="18"/>
          <w:shd w:val="clear" w:color="auto" w:fill="FFFFFF"/>
        </w:rPr>
        <w:t xml:space="preserve"> </w:t>
      </w:r>
      <w:r w:rsidRPr="00FC2C7B">
        <w:rPr>
          <w:rFonts w:ascii="Verdana" w:hAnsi="Verdana"/>
          <w:bCs/>
          <w:sz w:val="16"/>
          <w:szCs w:val="16"/>
        </w:rPr>
        <w:t>No. 149/2018, Disponible en:</w:t>
      </w:r>
      <w:r w:rsidRPr="00432ABC">
        <w:rPr>
          <w:rFonts w:ascii="Verdana" w:hAnsi="Verdana"/>
          <w:bCs/>
          <w:color w:val="0000FF"/>
          <w:sz w:val="16"/>
          <w:szCs w:val="16"/>
        </w:rPr>
        <w:t xml:space="preserve"> </w:t>
      </w:r>
      <w:hyperlink r:id="rId18" w:history="1">
        <w:r w:rsidRPr="00432ABC">
          <w:rPr>
            <w:rStyle w:val="Hipervnculo"/>
            <w:rFonts w:ascii="Verdana" w:hAnsi="Verdana"/>
            <w:bCs/>
            <w:sz w:val="16"/>
            <w:szCs w:val="16"/>
          </w:rPr>
          <w:t>http://www.internet2.scjn.gob.mx/red2/comunicados/noticia.asp?id=5794</w:t>
        </w:r>
      </w:hyperlink>
      <w:r>
        <w:rPr>
          <w:rFonts w:ascii="Verdana" w:hAnsi="Verdana"/>
          <w:bCs/>
          <w:color w:val="0000FF"/>
          <w:sz w:val="16"/>
          <w:szCs w:val="16"/>
        </w:rPr>
        <w:t xml:space="preserve">. </w:t>
      </w:r>
      <w:r w:rsidRPr="009B18E2">
        <w:rPr>
          <w:rStyle w:val="Hipervnculo"/>
          <w:rFonts w:ascii="Verdana" w:hAnsi="Verdana"/>
          <w:color w:val="auto"/>
          <w:sz w:val="16"/>
          <w:szCs w:val="16"/>
          <w:u w:val="none"/>
        </w:rPr>
        <w:t>Al fijar sus posiciones individuales en la deliberación sobre la LSI, una parte de los ministros del Pleno también consideró que de conformidad con lo establecido en el artículo 73, fracción XXIX-M de la Constitución Mexican</w:t>
      </w:r>
      <w:r>
        <w:rPr>
          <w:rStyle w:val="Hipervnculo"/>
          <w:rFonts w:ascii="Verdana" w:hAnsi="Verdana"/>
          <w:color w:val="auto"/>
          <w:sz w:val="16"/>
          <w:szCs w:val="16"/>
          <w:u w:val="none"/>
        </w:rPr>
        <w:t>a</w:t>
      </w:r>
      <w:r w:rsidRPr="009B18E2">
        <w:rPr>
          <w:rStyle w:val="Hipervnculo"/>
          <w:rFonts w:ascii="Verdana" w:hAnsi="Verdana"/>
          <w:color w:val="auto"/>
          <w:sz w:val="16"/>
          <w:szCs w:val="16"/>
          <w:u w:val="none"/>
        </w:rPr>
        <w:t>, el Poder Legislativo Federal no tiene competencia para legislar en materia de “seguridad interior”, toda vez que dicha expresión resulta indeterminada y no resulta subsumible en la definición constitucional de “seguridad nacional”. En este sentido, cabe destacar que dicha declaratoria de invalidez total por falta de competencia del Congreso General</w:t>
      </w:r>
      <w:r w:rsidRPr="00FC2C7B">
        <w:rPr>
          <w:rStyle w:val="Hipervnculo"/>
          <w:rFonts w:ascii="Verdana" w:hAnsi="Verdana"/>
          <w:color w:val="auto"/>
          <w:sz w:val="16"/>
          <w:szCs w:val="16"/>
          <w:u w:val="none"/>
        </w:rPr>
        <w:t xml:space="preserve"> tuvo como efecto que no se analizara el fondo de los argumentos sustantivos vertidos por los peticionarios. </w:t>
      </w:r>
    </w:p>
  </w:footnote>
  <w:footnote w:id="67">
    <w:p w14:paraId="1361B81B" w14:textId="345E074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ONU. Comité de Derechos Humanos, </w:t>
      </w:r>
      <w:r w:rsidRPr="00432ABC">
        <w:rPr>
          <w:rFonts w:ascii="Verdana" w:hAnsi="Verdana"/>
          <w:i/>
          <w:sz w:val="16"/>
          <w:szCs w:val="16"/>
        </w:rPr>
        <w:t>Examen de los Informes Periódicos Presentados por los Estados Partes de con</w:t>
      </w:r>
      <w:r w:rsidRPr="002C462C">
        <w:rPr>
          <w:rFonts w:ascii="Verdana" w:hAnsi="Verdana"/>
          <w:i/>
          <w:sz w:val="16"/>
          <w:szCs w:val="16"/>
        </w:rPr>
        <w:t xml:space="preserve">formidad con el Artículo 40 de Pacto, </w:t>
      </w:r>
      <w:r w:rsidRPr="00432ABC">
        <w:rPr>
          <w:rFonts w:ascii="Verdana" w:hAnsi="Verdana"/>
          <w:sz w:val="16"/>
          <w:szCs w:val="16"/>
        </w:rPr>
        <w:t>CCPR/CMEX/CO/5,</w:t>
      </w:r>
      <w:r w:rsidRPr="00432ABC">
        <w:rPr>
          <w:rFonts w:ascii="Verdana" w:hAnsi="Verdana"/>
          <w:i/>
          <w:sz w:val="16"/>
          <w:szCs w:val="16"/>
        </w:rPr>
        <w:t xml:space="preserve"> </w:t>
      </w:r>
      <w:r w:rsidRPr="00432ABC">
        <w:rPr>
          <w:rFonts w:ascii="Verdana" w:hAnsi="Verdana"/>
          <w:sz w:val="16"/>
          <w:szCs w:val="16"/>
        </w:rPr>
        <w:t xml:space="preserve"> 7 de abril de 2010, párr. 11</w:t>
      </w:r>
      <w:r>
        <w:rPr>
          <w:rFonts w:ascii="Verdana" w:hAnsi="Verdana"/>
          <w:sz w:val="16"/>
          <w:szCs w:val="16"/>
        </w:rPr>
        <w:t>. En el mismo sentido,</w:t>
      </w:r>
      <w:r w:rsidRPr="00432ABC">
        <w:rPr>
          <w:rFonts w:ascii="Verdana" w:hAnsi="Verdana"/>
          <w:sz w:val="16"/>
          <w:szCs w:val="16"/>
        </w:rPr>
        <w:t xml:space="preserve"> </w:t>
      </w:r>
      <w:r>
        <w:rPr>
          <w:rFonts w:ascii="Verdana" w:hAnsi="Verdana"/>
          <w:sz w:val="16"/>
          <w:szCs w:val="16"/>
        </w:rPr>
        <w:t xml:space="preserve">el </w:t>
      </w:r>
      <w:r w:rsidRPr="00432ABC">
        <w:rPr>
          <w:rFonts w:ascii="Verdana" w:hAnsi="Verdana"/>
          <w:sz w:val="16"/>
          <w:szCs w:val="16"/>
        </w:rPr>
        <w:t>Relator Especial sobre las ejecuciones extrajudiciales</w:t>
      </w:r>
      <w:r>
        <w:rPr>
          <w:rFonts w:ascii="Verdana" w:hAnsi="Verdana"/>
          <w:sz w:val="16"/>
          <w:szCs w:val="16"/>
        </w:rPr>
        <w:t>,</w:t>
      </w:r>
      <w:r w:rsidRPr="00432ABC">
        <w:rPr>
          <w:rFonts w:ascii="Verdana" w:hAnsi="Verdana"/>
          <w:sz w:val="16"/>
          <w:szCs w:val="16"/>
        </w:rPr>
        <w:t xml:space="preserve"> expresó que “[…] la aplicación de un enfoque militar al mantenimiento de la seguridad pública puede crear una situación en que la población civil se vea expuesta a toda una serie de atropellos. Además, no hay suficiente rendición de cuentas por esos actos en el sistema de justicia militar, el cual carece de independencia y transparencia</w:t>
      </w:r>
      <w:r>
        <w:rPr>
          <w:rFonts w:ascii="Verdana" w:hAnsi="Verdana"/>
          <w:sz w:val="16"/>
          <w:szCs w:val="16"/>
        </w:rPr>
        <w:t xml:space="preserve"> […]</w:t>
      </w:r>
      <w:r w:rsidRPr="00432ABC">
        <w:rPr>
          <w:rFonts w:ascii="Verdana" w:hAnsi="Verdana"/>
          <w:sz w:val="16"/>
          <w:szCs w:val="16"/>
        </w:rPr>
        <w:t>”</w:t>
      </w:r>
      <w:r>
        <w:rPr>
          <w:rFonts w:ascii="Verdana" w:hAnsi="Verdana"/>
          <w:sz w:val="16"/>
          <w:szCs w:val="16"/>
        </w:rPr>
        <w:t>.</w:t>
      </w:r>
      <w:r w:rsidRPr="00432ABC">
        <w:rPr>
          <w:rFonts w:ascii="Verdana" w:hAnsi="Verdana"/>
          <w:sz w:val="16"/>
          <w:szCs w:val="16"/>
        </w:rPr>
        <w:t xml:space="preserve"> </w:t>
      </w:r>
      <w:r w:rsidRPr="00CD5C54">
        <w:rPr>
          <w:rFonts w:ascii="Verdana" w:hAnsi="Verdana"/>
          <w:i/>
          <w:sz w:val="16"/>
          <w:szCs w:val="16"/>
        </w:rPr>
        <w:t>Cfr.</w:t>
      </w:r>
      <w:r w:rsidRPr="00432ABC">
        <w:rPr>
          <w:rFonts w:ascii="Verdana" w:hAnsi="Verdana"/>
          <w:sz w:val="16"/>
          <w:szCs w:val="16"/>
        </w:rPr>
        <w:t xml:space="preserve"> ONU. </w:t>
      </w:r>
      <w:r w:rsidRPr="00432ABC">
        <w:rPr>
          <w:rFonts w:ascii="Verdana" w:hAnsi="Verdana"/>
          <w:i/>
          <w:sz w:val="16"/>
          <w:szCs w:val="16"/>
        </w:rPr>
        <w:t xml:space="preserve">Informe del Relator Especial sobre las ejecuciones extrajudiciales, sumarias o arbitrarias, Christof Heyns, visita a México, </w:t>
      </w:r>
      <w:r w:rsidRPr="00432ABC">
        <w:rPr>
          <w:rFonts w:ascii="Verdana" w:hAnsi="Verdana"/>
          <w:sz w:val="16"/>
          <w:szCs w:val="16"/>
        </w:rPr>
        <w:t xml:space="preserve">28 de abril de 2014, </w:t>
      </w:r>
      <w:r w:rsidRPr="00432ABC">
        <w:rPr>
          <w:rFonts w:ascii="Verdana" w:hAnsi="Verdana"/>
          <w:i/>
          <w:sz w:val="16"/>
          <w:szCs w:val="16"/>
        </w:rPr>
        <w:t xml:space="preserve">supra, </w:t>
      </w:r>
      <w:r w:rsidRPr="00432ABC">
        <w:rPr>
          <w:rFonts w:ascii="Verdana" w:hAnsi="Verdana"/>
          <w:sz w:val="16"/>
          <w:szCs w:val="16"/>
        </w:rPr>
        <w:t>párr. 21</w:t>
      </w:r>
      <w:r>
        <w:rPr>
          <w:rFonts w:ascii="Verdana" w:hAnsi="Verdana"/>
          <w:sz w:val="16"/>
          <w:szCs w:val="16"/>
        </w:rPr>
        <w:t>;</w:t>
      </w:r>
      <w:r w:rsidRPr="00432ABC">
        <w:rPr>
          <w:rFonts w:ascii="Verdana" w:hAnsi="Verdana"/>
          <w:sz w:val="16"/>
          <w:szCs w:val="16"/>
        </w:rPr>
        <w:t xml:space="preserve"> </w:t>
      </w:r>
      <w:r>
        <w:rPr>
          <w:rFonts w:ascii="Verdana" w:hAnsi="Verdana"/>
          <w:sz w:val="16"/>
          <w:szCs w:val="16"/>
        </w:rPr>
        <w:t>Además</w:t>
      </w:r>
      <w:r w:rsidRPr="00432ABC">
        <w:rPr>
          <w:rFonts w:ascii="Verdana" w:hAnsi="Verdana"/>
          <w:sz w:val="16"/>
          <w:szCs w:val="16"/>
        </w:rPr>
        <w:t>, el GTDFI reiteró</w:t>
      </w:r>
      <w:r w:rsidRPr="00146958">
        <w:rPr>
          <w:rFonts w:ascii="Verdana" w:hAnsi="Verdana"/>
          <w:sz w:val="16"/>
          <w:szCs w:val="16"/>
        </w:rPr>
        <w:t>,</w:t>
      </w:r>
      <w:r w:rsidRPr="008D0846">
        <w:rPr>
          <w:rFonts w:ascii="Verdana" w:hAnsi="Verdana"/>
          <w:strike/>
          <w:sz w:val="16"/>
          <w:szCs w:val="16"/>
        </w:rPr>
        <w:t xml:space="preserve"> </w:t>
      </w:r>
      <w:r w:rsidRPr="00146958">
        <w:rPr>
          <w:rFonts w:ascii="Verdana" w:hAnsi="Verdana"/>
          <w:sz w:val="16"/>
          <w:szCs w:val="16"/>
        </w:rPr>
        <w:t>entre otras,</w:t>
      </w:r>
      <w:r w:rsidRPr="00432ABC">
        <w:rPr>
          <w:rFonts w:ascii="Verdana" w:hAnsi="Verdana"/>
          <w:sz w:val="16"/>
          <w:szCs w:val="16"/>
        </w:rPr>
        <w:t xml:space="preserve"> su recomendación al Estado mexicano para “que se consider[ara] el retiro de las fuerzas militares de las operaciones de seguridad pública y de la aplicación de la ley penal […]”. </w:t>
      </w:r>
      <w:r w:rsidRPr="00CD5C54">
        <w:rPr>
          <w:rFonts w:ascii="Verdana" w:hAnsi="Verdana"/>
          <w:i/>
          <w:sz w:val="16"/>
          <w:szCs w:val="16"/>
        </w:rPr>
        <w:t>Cfr.</w:t>
      </w:r>
      <w:r w:rsidRPr="00432ABC">
        <w:rPr>
          <w:rFonts w:ascii="Verdana" w:hAnsi="Verdana"/>
          <w:sz w:val="16"/>
          <w:szCs w:val="16"/>
        </w:rPr>
        <w:t xml:space="preserve"> GTDFI, </w:t>
      </w:r>
      <w:r w:rsidRPr="00432ABC">
        <w:rPr>
          <w:rFonts w:ascii="Verdana" w:hAnsi="Verdana"/>
          <w:bCs/>
          <w:i/>
          <w:sz w:val="16"/>
          <w:szCs w:val="16"/>
          <w:lang w:val="es-ES"/>
        </w:rPr>
        <w:t>Seguimiento a las recomendaciones del GTDFI en su informe relativo a su visita a México del 18 al 31 de marzo de 2011</w:t>
      </w:r>
      <w:r w:rsidRPr="00432ABC">
        <w:rPr>
          <w:rFonts w:ascii="Verdana" w:hAnsi="Verdana"/>
          <w:bCs/>
          <w:sz w:val="16"/>
          <w:szCs w:val="16"/>
          <w:lang w:val="es-ES"/>
        </w:rPr>
        <w:t xml:space="preserve">, 11 de septiembre de 2015, </w:t>
      </w:r>
      <w:r w:rsidRPr="00432ABC">
        <w:rPr>
          <w:rFonts w:ascii="Verdana" w:hAnsi="Verdana"/>
          <w:sz w:val="16"/>
          <w:szCs w:val="16"/>
        </w:rPr>
        <w:t>A/HR</w:t>
      </w:r>
      <w:r>
        <w:rPr>
          <w:rFonts w:ascii="Verdana" w:hAnsi="Verdana"/>
          <w:sz w:val="16"/>
          <w:szCs w:val="16"/>
        </w:rPr>
        <w:t>C</w:t>
      </w:r>
      <w:r w:rsidRPr="00432ABC">
        <w:rPr>
          <w:rFonts w:ascii="Verdana" w:hAnsi="Verdana"/>
          <w:sz w:val="16"/>
          <w:szCs w:val="16"/>
        </w:rPr>
        <w:t>/30/38/Add.4, párr. 25</w:t>
      </w:r>
      <w:r>
        <w:rPr>
          <w:rFonts w:ascii="Verdana" w:hAnsi="Verdana"/>
          <w:sz w:val="16"/>
          <w:szCs w:val="16"/>
        </w:rPr>
        <w:t>;</w:t>
      </w:r>
      <w:r w:rsidRPr="00432ABC">
        <w:rPr>
          <w:rFonts w:ascii="Verdana" w:hAnsi="Verdana"/>
          <w:sz w:val="16"/>
          <w:szCs w:val="16"/>
        </w:rPr>
        <w:t xml:space="preserve"> De forma similar, en 2015 el Alto Comisionado de la ONU para los Derechos Humanos manifestó su preocupación por </w:t>
      </w:r>
      <w:r>
        <w:rPr>
          <w:rFonts w:ascii="Verdana" w:hAnsi="Verdana"/>
          <w:sz w:val="16"/>
          <w:szCs w:val="16"/>
        </w:rPr>
        <w:t xml:space="preserve">la </w:t>
      </w:r>
      <w:r w:rsidRPr="00432ABC">
        <w:rPr>
          <w:rFonts w:ascii="Verdana" w:hAnsi="Verdana"/>
          <w:sz w:val="16"/>
          <w:szCs w:val="16"/>
        </w:rPr>
        <w:t xml:space="preserve">gravedad de la situación de los derechos humanos en el país y recomendó, entre otras medidas, la adopción “de un cronograma para el retiro de las fuerzas militares de las funciones de seguridad pública”. </w:t>
      </w:r>
      <w:r w:rsidRPr="00CD5C54">
        <w:rPr>
          <w:rFonts w:ascii="Verdana" w:hAnsi="Verdana"/>
          <w:i/>
          <w:sz w:val="16"/>
          <w:szCs w:val="16"/>
        </w:rPr>
        <w:t>Cfr.</w:t>
      </w:r>
      <w:r w:rsidRPr="00432ABC">
        <w:rPr>
          <w:rFonts w:ascii="Verdana" w:hAnsi="Verdana"/>
          <w:sz w:val="16"/>
          <w:szCs w:val="16"/>
        </w:rPr>
        <w:t xml:space="preserve"> </w:t>
      </w:r>
      <w:r w:rsidRPr="00432ABC">
        <w:rPr>
          <w:rFonts w:ascii="Verdana" w:hAnsi="Verdana"/>
          <w:bCs/>
          <w:sz w:val="16"/>
          <w:szCs w:val="16"/>
        </w:rPr>
        <w:t>Declaración del Alto Comisionado de la ONU para los Derechos Humanos, Zeid Ra’ad Al Hussein, con motivo de su visita a México, 7 de octubre de 2015</w:t>
      </w:r>
      <w:r w:rsidRPr="00432ABC">
        <w:rPr>
          <w:rFonts w:ascii="Verdana" w:hAnsi="Verdana"/>
          <w:sz w:val="16"/>
          <w:szCs w:val="16"/>
        </w:rPr>
        <w:t xml:space="preserve">, </w:t>
      </w:r>
      <w:r w:rsidRPr="00432ABC">
        <w:rPr>
          <w:rFonts w:ascii="Verdana" w:hAnsi="Verdana"/>
          <w:i/>
          <w:sz w:val="16"/>
          <w:szCs w:val="16"/>
        </w:rPr>
        <w:t>supr</w:t>
      </w:r>
      <w:r>
        <w:rPr>
          <w:rFonts w:ascii="Verdana" w:hAnsi="Verdana"/>
          <w:i/>
          <w:sz w:val="16"/>
          <w:szCs w:val="16"/>
        </w:rPr>
        <w:t>a</w:t>
      </w:r>
      <w:r>
        <w:rPr>
          <w:rFonts w:ascii="Verdana" w:hAnsi="Verdana"/>
          <w:sz w:val="16"/>
          <w:szCs w:val="16"/>
        </w:rPr>
        <w:t>, y, por último</w:t>
      </w:r>
      <w:r w:rsidRPr="00220312">
        <w:rPr>
          <w:rFonts w:ascii="Verdana" w:hAnsi="Verdana"/>
          <w:sz w:val="16"/>
          <w:szCs w:val="16"/>
        </w:rPr>
        <w:t>,</w:t>
      </w:r>
      <w:r w:rsidRPr="00432ABC">
        <w:rPr>
          <w:rFonts w:ascii="Verdana" w:hAnsi="Verdana"/>
          <w:sz w:val="16"/>
          <w:szCs w:val="16"/>
        </w:rPr>
        <w:t xml:space="preserve"> el Relator Especial de las Naciones Unidas sobre la situación de los defensores de los derechos humanos ha señalado que en México “el uso de las fuerzas armadas en las funciones de seguridad pública y la falta de un programa para el regreso a un enfoque de seguridad completamente civil levanta varias preocupaciones en términos de gobernanza democrática [,] [s]in tampoco [sic] haber puesto fin a la violencia”. </w:t>
      </w:r>
      <w:r w:rsidRPr="00CD5C54">
        <w:rPr>
          <w:rFonts w:ascii="Verdana" w:hAnsi="Verdana"/>
          <w:i/>
          <w:sz w:val="16"/>
          <w:szCs w:val="16"/>
        </w:rPr>
        <w:t>Cfr.</w:t>
      </w:r>
      <w:r w:rsidRPr="00432ABC">
        <w:rPr>
          <w:rFonts w:ascii="Verdana" w:hAnsi="Verdana"/>
          <w:sz w:val="16"/>
          <w:szCs w:val="16"/>
        </w:rPr>
        <w:t xml:space="preserve"> ONU. </w:t>
      </w:r>
      <w:r w:rsidRPr="00432ABC">
        <w:rPr>
          <w:rFonts w:ascii="Verdana" w:hAnsi="Verdana"/>
          <w:i/>
          <w:sz w:val="16"/>
          <w:szCs w:val="16"/>
        </w:rPr>
        <w:t xml:space="preserve">Informe cierre de misión del Relator Especial de las Naciones Unidas sobre la situación de los defensores de los derechos humanos, Michel Forst, Visita a México, </w:t>
      </w:r>
      <w:r w:rsidRPr="00432ABC">
        <w:rPr>
          <w:rFonts w:ascii="Verdana" w:hAnsi="Verdana"/>
          <w:sz w:val="16"/>
          <w:szCs w:val="16"/>
        </w:rPr>
        <w:t xml:space="preserve">24 de enero de 2017, pág. 4, disponible en </w:t>
      </w:r>
      <w:hyperlink r:id="rId19" w:history="1">
        <w:r w:rsidRPr="00432ABC">
          <w:rPr>
            <w:rStyle w:val="Hipervnculo"/>
            <w:rFonts w:ascii="Verdana" w:hAnsi="Verdana"/>
            <w:sz w:val="16"/>
            <w:szCs w:val="16"/>
          </w:rPr>
          <w:t>https://www.hchr.org.mx/images/doc_pub/SRHRD-END-OF-MISSION-STATEMENT-FINAL_ESP.pdf</w:t>
        </w:r>
      </w:hyperlink>
      <w:r w:rsidRPr="00432ABC">
        <w:rPr>
          <w:rFonts w:ascii="Verdana" w:hAnsi="Verdana"/>
          <w:sz w:val="16"/>
          <w:szCs w:val="16"/>
        </w:rPr>
        <w:t xml:space="preserve">. </w:t>
      </w:r>
    </w:p>
  </w:footnote>
  <w:footnote w:id="68">
    <w:p w14:paraId="64ECF8F2" w14:textId="4767211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ONU. </w:t>
      </w:r>
      <w:r w:rsidRPr="00432ABC">
        <w:rPr>
          <w:rFonts w:ascii="Verdana" w:hAnsi="Verdana"/>
          <w:i/>
          <w:sz w:val="16"/>
          <w:szCs w:val="16"/>
        </w:rPr>
        <w:t xml:space="preserve">Informe del Relator Especial sobre las ejecuciones extrajudiciales, </w:t>
      </w:r>
      <w:r>
        <w:rPr>
          <w:rFonts w:ascii="Verdana" w:hAnsi="Verdana"/>
          <w:i/>
          <w:sz w:val="16"/>
          <w:szCs w:val="16"/>
        </w:rPr>
        <w:t>M</w:t>
      </w:r>
      <w:r w:rsidRPr="00432ABC">
        <w:rPr>
          <w:rFonts w:ascii="Verdana" w:hAnsi="Verdana"/>
          <w:i/>
          <w:sz w:val="16"/>
          <w:szCs w:val="16"/>
        </w:rPr>
        <w:t>isión a México</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28 de abril de 2014, párrs. 8, 11, 13 y 15. </w:t>
      </w:r>
    </w:p>
  </w:footnote>
  <w:footnote w:id="69">
    <w:p w14:paraId="016D0828" w14:textId="26703D1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Pr>
          <w:rFonts w:ascii="Verdana" w:eastAsiaTheme="minorHAnsi" w:hAnsi="Verdana"/>
          <w:color w:val="000000"/>
          <w:sz w:val="16"/>
          <w:szCs w:val="16"/>
          <w:shd w:val="clear" w:color="auto" w:fill="FFFFFF"/>
        </w:rPr>
        <w:t xml:space="preserve">El </w:t>
      </w:r>
      <w:r w:rsidRPr="00432ABC">
        <w:rPr>
          <w:rFonts w:ascii="Verdana" w:eastAsiaTheme="minorHAnsi" w:hAnsi="Verdana"/>
          <w:color w:val="000000"/>
          <w:sz w:val="16"/>
          <w:szCs w:val="16"/>
          <w:shd w:val="clear" w:color="auto" w:fill="FFFFFF"/>
        </w:rPr>
        <w:t>Alto Comisionado de la ONU para los D</w:t>
      </w:r>
      <w:r w:rsidRPr="002C462C">
        <w:rPr>
          <w:rFonts w:ascii="Verdana" w:eastAsiaTheme="minorHAnsi" w:hAnsi="Verdana"/>
          <w:color w:val="000000"/>
          <w:sz w:val="16"/>
          <w:szCs w:val="16"/>
          <w:shd w:val="clear" w:color="auto" w:fill="FFFFFF"/>
        </w:rPr>
        <w:t>erechos Humanos, Zeid Ra’ad Al Hussein, declaró tras su visita a México en 2015: “[…] Para un país que no se encuentra en medio de un conflicto, las cifras calculadas son, simplemente, impactantes: 151,233 personas asesinadas entre diciembre de 2006 y agost</w:t>
      </w:r>
      <w:r w:rsidRPr="00432ABC">
        <w:rPr>
          <w:rFonts w:ascii="Verdana" w:eastAsiaTheme="minorHAnsi" w:hAnsi="Verdana"/>
          <w:color w:val="000000"/>
          <w:sz w:val="16"/>
          <w:szCs w:val="16"/>
          <w:shd w:val="clear" w:color="auto" w:fill="FFFFFF"/>
        </w:rPr>
        <w:t xml:space="preserve">o de 2015, incluyendo miles de migrantes en tránsito. Desde 2007, hay al menos 26,000 personas cuyo paradero se desconoce, muchas posiblemente como resultado de desapariciones forzadas. Miles de mujeres y niñas son abusadas sexualmente o se convierten en víctimas de feminicidio. Y prácticamente nadie ha sido condenado por dichos crímenes […]”. </w:t>
      </w:r>
      <w:r w:rsidRPr="00CD5C54">
        <w:rPr>
          <w:rFonts w:ascii="Verdana" w:eastAsiaTheme="minorHAnsi" w:hAnsi="Verdana"/>
          <w:i/>
          <w:color w:val="000000"/>
          <w:sz w:val="16"/>
          <w:szCs w:val="16"/>
          <w:shd w:val="clear" w:color="auto" w:fill="FFFFFF"/>
        </w:rPr>
        <w:t>Cfr.</w:t>
      </w:r>
      <w:r w:rsidRPr="00432ABC">
        <w:rPr>
          <w:rFonts w:ascii="Verdana" w:eastAsiaTheme="minorHAnsi" w:hAnsi="Verdana"/>
          <w:color w:val="000000"/>
          <w:sz w:val="16"/>
          <w:szCs w:val="16"/>
          <w:shd w:val="clear" w:color="auto" w:fill="FFFFFF"/>
        </w:rPr>
        <w:t xml:space="preserve"> </w:t>
      </w:r>
      <w:r w:rsidRPr="00432ABC">
        <w:rPr>
          <w:rFonts w:ascii="Verdana" w:eastAsiaTheme="minorHAnsi" w:hAnsi="Verdana"/>
          <w:bCs/>
          <w:color w:val="000000"/>
          <w:sz w:val="16"/>
          <w:szCs w:val="16"/>
          <w:shd w:val="clear" w:color="auto" w:fill="FFFFFF"/>
        </w:rPr>
        <w:t xml:space="preserve">Declaración del Alto Comisionado de la ONU para los Derechos Humanos, </w:t>
      </w:r>
      <w:r>
        <w:rPr>
          <w:rFonts w:ascii="Verdana" w:eastAsiaTheme="minorHAnsi" w:hAnsi="Verdana"/>
          <w:bCs/>
          <w:color w:val="000000"/>
          <w:sz w:val="16"/>
          <w:szCs w:val="16"/>
          <w:shd w:val="clear" w:color="auto" w:fill="FFFFFF"/>
        </w:rPr>
        <w:t>V</w:t>
      </w:r>
      <w:r w:rsidRPr="00432ABC">
        <w:rPr>
          <w:rFonts w:ascii="Verdana" w:eastAsiaTheme="minorHAnsi" w:hAnsi="Verdana"/>
          <w:bCs/>
          <w:color w:val="000000"/>
          <w:sz w:val="16"/>
          <w:szCs w:val="16"/>
          <w:shd w:val="clear" w:color="auto" w:fill="FFFFFF"/>
        </w:rPr>
        <w:t xml:space="preserve">isita a México, 7 de octubre de 2015, disponible en </w:t>
      </w:r>
      <w:hyperlink r:id="rId20" w:history="1">
        <w:r w:rsidRPr="00432ABC">
          <w:rPr>
            <w:rStyle w:val="Hipervnculo"/>
            <w:rFonts w:ascii="Verdana" w:eastAsiaTheme="minorHAnsi" w:hAnsi="Verdana"/>
            <w:bCs/>
            <w:sz w:val="16"/>
            <w:szCs w:val="16"/>
            <w:shd w:val="clear" w:color="auto" w:fill="FFFFFF"/>
          </w:rPr>
          <w:t>https://www.ohchr.org/sp/NewsEvents/Pages/DisplayNews.aspx?NewsID=16578&amp;LangID=S</w:t>
        </w:r>
      </w:hyperlink>
      <w:r w:rsidRPr="00432ABC">
        <w:rPr>
          <w:rStyle w:val="Hipervnculo"/>
          <w:rFonts w:ascii="Verdana" w:eastAsiaTheme="minorHAnsi" w:hAnsi="Verdana"/>
          <w:bCs/>
          <w:sz w:val="16"/>
          <w:szCs w:val="16"/>
          <w:shd w:val="clear" w:color="auto" w:fill="FFFFFF"/>
        </w:rPr>
        <w:t>.</w:t>
      </w:r>
      <w:r>
        <w:rPr>
          <w:rFonts w:ascii="Verdana" w:hAnsi="Verdana"/>
          <w:bCs/>
          <w:sz w:val="16"/>
          <w:szCs w:val="16"/>
        </w:rPr>
        <w:t xml:space="preserve"> </w:t>
      </w:r>
      <w:r w:rsidRPr="002C462C">
        <w:rPr>
          <w:rFonts w:ascii="Verdana" w:hAnsi="Verdana"/>
          <w:bCs/>
          <w:sz w:val="16"/>
          <w:szCs w:val="16"/>
        </w:rPr>
        <w:t>Por su parte, los peritos Alejandro Madrazo y Gabriella Citroni coincideron en señalar que partir de 2007 con la implementación de los “Operativos Conjuntos” como estrategia central de esta política de seguridad militarizada del Estado, “no solo no logr[ó] reducir la violencia sino que […] la exacerb[ó] y provoc[ó] la crisis de d</w:t>
      </w:r>
      <w:r w:rsidRPr="00432ABC">
        <w:rPr>
          <w:rFonts w:ascii="Verdana" w:hAnsi="Verdana"/>
          <w:bCs/>
          <w:sz w:val="16"/>
          <w:szCs w:val="16"/>
        </w:rPr>
        <w:t>erechos humanos, desplazamiento [forzado] y violencia más grave que ha sufrido el país en un siglo [,] […]”</w:t>
      </w:r>
      <w:r w:rsidRPr="00432ABC">
        <w:rPr>
          <w:rFonts w:ascii="Verdana" w:hAnsi="Verdana"/>
          <w:sz w:val="16"/>
          <w:szCs w:val="16"/>
        </w:rPr>
        <w:t xml:space="preserve">. </w:t>
      </w:r>
      <w:r w:rsidRPr="00432ABC">
        <w:rPr>
          <w:rFonts w:ascii="Verdana" w:hAnsi="Verdana"/>
          <w:bCs/>
          <w:sz w:val="16"/>
          <w:szCs w:val="16"/>
        </w:rPr>
        <w:t xml:space="preserve">En el marco del combate al narcotráfico y al crimen organizado, “en México se registr[ó] un número de desapariciones entre los más elevados del mundo y el aumento del número absoluto de homicidios más elevado en el Hemisferio Occidental”, que superan o igualan a los de países en guerra. </w:t>
      </w:r>
      <w:r w:rsidRPr="00CD5C54">
        <w:rPr>
          <w:rFonts w:ascii="Verdana" w:hAnsi="Verdana"/>
          <w:bCs/>
          <w:i/>
          <w:sz w:val="16"/>
          <w:szCs w:val="16"/>
        </w:rPr>
        <w:t>Cfr.</w:t>
      </w:r>
      <w:r w:rsidRPr="00432ABC">
        <w:rPr>
          <w:rFonts w:ascii="Verdana" w:hAnsi="Verdana"/>
          <w:bCs/>
          <w:sz w:val="16"/>
          <w:szCs w:val="16"/>
        </w:rPr>
        <w:t xml:space="preserve"> Declaración pericial de Alejandro Madrazo Lajous rendida </w:t>
      </w:r>
      <w:r>
        <w:rPr>
          <w:rFonts w:ascii="Verdana" w:hAnsi="Verdana"/>
          <w:bCs/>
          <w:sz w:val="16"/>
          <w:szCs w:val="16"/>
        </w:rPr>
        <w:t>el</w:t>
      </w:r>
      <w:r w:rsidRPr="00432ABC">
        <w:rPr>
          <w:rFonts w:ascii="Verdana" w:hAnsi="Verdana"/>
          <w:bCs/>
          <w:sz w:val="16"/>
          <w:szCs w:val="16"/>
        </w:rPr>
        <w:t xml:space="preserve"> 19 de abril de 2018, </w:t>
      </w:r>
      <w:r w:rsidRPr="00432ABC">
        <w:rPr>
          <w:rFonts w:ascii="Verdana" w:hAnsi="Verdana"/>
          <w:bCs/>
          <w:i/>
          <w:sz w:val="16"/>
          <w:szCs w:val="16"/>
        </w:rPr>
        <w:t>supra</w:t>
      </w:r>
      <w:r w:rsidRPr="00432ABC">
        <w:rPr>
          <w:rFonts w:ascii="Verdana" w:hAnsi="Verdana"/>
          <w:bCs/>
          <w:sz w:val="16"/>
          <w:szCs w:val="16"/>
        </w:rPr>
        <w:t xml:space="preserve"> </w:t>
      </w:r>
      <w:r>
        <w:rPr>
          <w:rFonts w:ascii="Verdana" w:hAnsi="Verdana"/>
          <w:bCs/>
          <w:sz w:val="16"/>
          <w:szCs w:val="16"/>
        </w:rPr>
        <w:t xml:space="preserve">(expediente de prueba, </w:t>
      </w:r>
      <w:r w:rsidRPr="00453199">
        <w:rPr>
          <w:rFonts w:ascii="Verdana" w:hAnsi="Verdana"/>
          <w:bCs/>
          <w:i/>
          <w:sz w:val="16"/>
          <w:szCs w:val="16"/>
        </w:rPr>
        <w:t>Affidávits</w:t>
      </w:r>
      <w:r>
        <w:rPr>
          <w:rFonts w:ascii="Verdana" w:hAnsi="Verdana"/>
          <w:bCs/>
          <w:sz w:val="16"/>
          <w:szCs w:val="16"/>
        </w:rPr>
        <w:t xml:space="preserve">, </w:t>
      </w:r>
      <w:r w:rsidRPr="00432ABC">
        <w:rPr>
          <w:rFonts w:ascii="Verdana" w:hAnsi="Verdana"/>
          <w:bCs/>
          <w:sz w:val="16"/>
          <w:szCs w:val="16"/>
        </w:rPr>
        <w:t>f. 30979</w:t>
      </w:r>
      <w:r>
        <w:rPr>
          <w:rFonts w:ascii="Verdana" w:hAnsi="Verdana"/>
          <w:bCs/>
          <w:sz w:val="16"/>
          <w:szCs w:val="16"/>
        </w:rPr>
        <w:t>)</w:t>
      </w:r>
      <w:r w:rsidRPr="00432ABC">
        <w:rPr>
          <w:rFonts w:ascii="Verdana" w:hAnsi="Verdana"/>
          <w:bCs/>
          <w:sz w:val="16"/>
          <w:szCs w:val="16"/>
        </w:rPr>
        <w:t xml:space="preserve">, y </w:t>
      </w:r>
      <w:r w:rsidRPr="00432ABC">
        <w:rPr>
          <w:rFonts w:ascii="Verdana" w:hAnsi="Verdana"/>
          <w:sz w:val="16"/>
          <w:szCs w:val="16"/>
        </w:rPr>
        <w:t xml:space="preserve">Declaración pericial de Gabriella Citroni rendida </w:t>
      </w:r>
      <w:r>
        <w:rPr>
          <w:rFonts w:ascii="Verdana" w:hAnsi="Verdana"/>
          <w:sz w:val="16"/>
          <w:szCs w:val="16"/>
        </w:rPr>
        <w:t>el</w:t>
      </w:r>
      <w:r w:rsidRPr="00432ABC">
        <w:rPr>
          <w:rFonts w:ascii="Verdana" w:hAnsi="Verdana"/>
          <w:sz w:val="16"/>
          <w:szCs w:val="16"/>
        </w:rPr>
        <w:t xml:space="preserve"> 18 de abril de 2018</w:t>
      </w:r>
      <w:r w:rsidRPr="00432ABC">
        <w:rPr>
          <w:rFonts w:ascii="Verdana" w:hAnsi="Verdana"/>
          <w:i/>
          <w:sz w:val="16"/>
          <w:szCs w:val="16"/>
        </w:rPr>
        <w:t>, supra</w:t>
      </w:r>
      <w:r w:rsidRPr="00432AB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31062).</w:t>
      </w:r>
    </w:p>
  </w:footnote>
  <w:footnote w:id="70">
    <w:p w14:paraId="37F8CBFA" w14:textId="14913AB7" w:rsidR="00146958" w:rsidRPr="00432ABC" w:rsidRDefault="00146958">
      <w:pPr>
        <w:pStyle w:val="Textonotapie"/>
        <w:jc w:val="both"/>
        <w:rPr>
          <w:rFonts w:ascii="Verdana" w:hAnsi="Verdana" w:cs="Arial"/>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ONU. GTDFI, </w:t>
      </w:r>
      <w:r w:rsidRPr="002C462C">
        <w:rPr>
          <w:rFonts w:ascii="Verdana" w:hAnsi="Verdana"/>
          <w:bCs/>
          <w:i/>
          <w:sz w:val="16"/>
          <w:szCs w:val="16"/>
        </w:rPr>
        <w:t>Observaciones preliminares</w:t>
      </w:r>
      <w:r w:rsidRPr="00432ABC">
        <w:rPr>
          <w:rFonts w:ascii="Verdana" w:hAnsi="Verdana"/>
          <w:bCs/>
          <w:sz w:val="16"/>
          <w:szCs w:val="16"/>
        </w:rPr>
        <w:t xml:space="preserve">, </w:t>
      </w:r>
      <w:r w:rsidRPr="00432ABC">
        <w:rPr>
          <w:rFonts w:ascii="Verdana" w:hAnsi="Verdana"/>
          <w:bCs/>
          <w:i/>
          <w:sz w:val="16"/>
          <w:szCs w:val="16"/>
        </w:rPr>
        <w:t>Misión a México</w:t>
      </w:r>
      <w:r w:rsidRPr="00432ABC">
        <w:rPr>
          <w:rFonts w:ascii="Verdana" w:hAnsi="Verdana"/>
          <w:bCs/>
          <w:sz w:val="16"/>
          <w:szCs w:val="16"/>
        </w:rPr>
        <w:t>, 31 de marzo de 2011, pág. 5, disponible en</w:t>
      </w:r>
      <w:r w:rsidRPr="00432ABC">
        <w:rPr>
          <w:rFonts w:ascii="Verdana" w:hAnsi="Verdana"/>
          <w:sz w:val="16"/>
          <w:szCs w:val="16"/>
        </w:rPr>
        <w:t xml:space="preserve"> </w:t>
      </w:r>
      <w:hyperlink r:id="rId21" w:history="1">
        <w:r w:rsidRPr="00432ABC">
          <w:rPr>
            <w:rStyle w:val="Hipervnculo"/>
            <w:rFonts w:ascii="Verdana" w:hAnsi="Verdana"/>
            <w:sz w:val="16"/>
            <w:szCs w:val="16"/>
          </w:rPr>
          <w:t>http://www.hchr.org.mx/images/GTDFI2011.pdf</w:t>
        </w:r>
      </w:hyperlink>
      <w:r>
        <w:rPr>
          <w:rFonts w:ascii="Verdana" w:hAnsi="Verdana"/>
          <w:bCs/>
          <w:sz w:val="16"/>
          <w:szCs w:val="16"/>
        </w:rPr>
        <w:t>;</w:t>
      </w:r>
      <w:r w:rsidRPr="00432ABC">
        <w:rPr>
          <w:rFonts w:ascii="Verdana" w:hAnsi="Verdana"/>
          <w:bCs/>
          <w:sz w:val="16"/>
          <w:szCs w:val="16"/>
        </w:rPr>
        <w:t xml:space="preserve"> </w:t>
      </w:r>
      <w:r w:rsidRPr="00432ABC">
        <w:rPr>
          <w:rFonts w:ascii="Verdana" w:hAnsi="Verdana"/>
          <w:bCs/>
          <w:i/>
          <w:sz w:val="16"/>
          <w:szCs w:val="16"/>
        </w:rPr>
        <w:t xml:space="preserve">Informe del GTDFI, Misión a México, </w:t>
      </w:r>
      <w:r w:rsidRPr="002C462C">
        <w:rPr>
          <w:rFonts w:ascii="Verdana" w:hAnsi="Verdana"/>
          <w:bCs/>
          <w:sz w:val="16"/>
          <w:szCs w:val="16"/>
        </w:rPr>
        <w:t>20 de diciembre de 2011,</w:t>
      </w:r>
      <w:r w:rsidRPr="002C462C">
        <w:rPr>
          <w:rFonts w:ascii="Verdana" w:hAnsi="Verdana"/>
          <w:bCs/>
          <w:i/>
          <w:sz w:val="16"/>
          <w:szCs w:val="16"/>
        </w:rPr>
        <w:t xml:space="preserve"> supra</w:t>
      </w:r>
      <w:r w:rsidRPr="00432ABC">
        <w:rPr>
          <w:rFonts w:ascii="Verdana" w:hAnsi="Verdana"/>
          <w:bCs/>
          <w:sz w:val="16"/>
          <w:szCs w:val="16"/>
        </w:rPr>
        <w:t>, párrs. 19 y 25.</w:t>
      </w:r>
      <w:r w:rsidRPr="00432ABC">
        <w:rPr>
          <w:rFonts w:ascii="Verdana" w:hAnsi="Verdana"/>
          <w:sz w:val="16"/>
          <w:szCs w:val="16"/>
        </w:rPr>
        <w:t xml:space="preserve"> En dicho informe, el GTDFI señaló: Las recomendaciones de la CNDH son, en muchas ocasiones, el único registro público sobre las investigaciones de abusos cometidos por militares y, como tales, constituyen un instrumento fundamental para resaltar los patrones de violaciones a los derechos humanos […]”</w:t>
      </w:r>
      <w:r>
        <w:rPr>
          <w:rFonts w:ascii="Verdana" w:hAnsi="Verdana"/>
          <w:sz w:val="16"/>
          <w:szCs w:val="16"/>
        </w:rPr>
        <w:t xml:space="preserve">, y </w:t>
      </w:r>
      <w:r w:rsidRPr="00CD5C54">
        <w:rPr>
          <w:rFonts w:ascii="Verdana" w:hAnsi="Verdana"/>
          <w:i/>
          <w:sz w:val="16"/>
          <w:szCs w:val="16"/>
        </w:rPr>
        <w:t>Cfr.</w:t>
      </w:r>
      <w:r w:rsidRPr="00432ABC">
        <w:rPr>
          <w:rFonts w:ascii="Verdana" w:hAnsi="Verdana"/>
          <w:sz w:val="16"/>
          <w:szCs w:val="16"/>
        </w:rPr>
        <w:t xml:space="preserve"> ONU. Comité contra la Tortura, </w:t>
      </w:r>
      <w:r w:rsidRPr="00432ABC">
        <w:rPr>
          <w:rFonts w:ascii="Verdana" w:hAnsi="Verdana"/>
          <w:bCs/>
          <w:i/>
          <w:sz w:val="16"/>
          <w:szCs w:val="16"/>
        </w:rPr>
        <w:t xml:space="preserve">Observaciones finales sobre los informes periódicos quinto y sexto combinados de México, adoptadas por el Comité en su 49º período de sesiones (29 de octubre a 23 de noviembre de 2012), </w:t>
      </w:r>
      <w:r w:rsidRPr="00432ABC">
        <w:rPr>
          <w:rFonts w:ascii="Verdana" w:hAnsi="Verdana"/>
          <w:bCs/>
          <w:sz w:val="16"/>
          <w:szCs w:val="16"/>
        </w:rPr>
        <w:t xml:space="preserve"> CAT/C/MEX/CO/5-6, 11 de diciembre de 2012, párr. 10. </w:t>
      </w:r>
    </w:p>
  </w:footnote>
  <w:footnote w:id="71">
    <w:p w14:paraId="5EB5FBF4" w14:textId="144AF23E" w:rsidR="00146958" w:rsidRPr="00DB378B" w:rsidRDefault="00146958">
      <w:pPr>
        <w:pStyle w:val="Textonotapie"/>
        <w:jc w:val="both"/>
        <w:rPr>
          <w:rFonts w:ascii="Verdana" w:hAnsi="Verdana"/>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432ABC">
        <w:rPr>
          <w:rFonts w:ascii="Verdana" w:hAnsi="Verdana"/>
          <w:bCs/>
          <w:sz w:val="16"/>
          <w:szCs w:val="16"/>
        </w:rPr>
        <w:t>L</w:t>
      </w:r>
      <w:r w:rsidRPr="002C462C">
        <w:rPr>
          <w:rFonts w:ascii="Verdana" w:hAnsi="Verdana"/>
          <w:bCs/>
          <w:sz w:val="16"/>
          <w:szCs w:val="16"/>
        </w:rPr>
        <w:t xml:space="preserve">a CNDH señaló que el número de quejas contra la SEDENA sometidas a su conocimiento por violaciones a derechos humanos evolucionó de la siguiente manera; 367, en 2007 (3er. lugar); 1,230 en 2008 (1er. lugar); 1,791, en 2009 (1er. lugar); 1,415, en 2010 (1er. lugar); 1,695, en 2011 (1er. lugar); 1,503, en 2012 (2º lugar); 811, en 2013 (3er. lugar); 642, en  2014 (3er. lugar); 622, en 2015 (7º lugar); 439, en 2016 (8º lugar), y 415, en 2017 (7º lugar). </w:t>
      </w:r>
      <w:r w:rsidRPr="00CD5C54">
        <w:rPr>
          <w:rFonts w:ascii="Verdana" w:hAnsi="Verdana"/>
          <w:bCs/>
          <w:i/>
          <w:sz w:val="16"/>
          <w:szCs w:val="16"/>
        </w:rPr>
        <w:t>Cfr.</w:t>
      </w:r>
      <w:r w:rsidRPr="00432ABC">
        <w:rPr>
          <w:rFonts w:ascii="Verdana" w:hAnsi="Verdana"/>
          <w:bCs/>
          <w:sz w:val="16"/>
          <w:szCs w:val="16"/>
        </w:rPr>
        <w:t xml:space="preserve"> CNDH, </w:t>
      </w:r>
      <w:r w:rsidRPr="00432ABC">
        <w:rPr>
          <w:rFonts w:ascii="Verdana" w:hAnsi="Verdana"/>
          <w:bCs/>
          <w:i/>
          <w:sz w:val="16"/>
          <w:szCs w:val="16"/>
        </w:rPr>
        <w:t>Informes Anuales de Actividades</w:t>
      </w:r>
      <w:r w:rsidRPr="00432ABC">
        <w:rPr>
          <w:rFonts w:ascii="Verdana" w:hAnsi="Verdana"/>
          <w:bCs/>
          <w:sz w:val="16"/>
          <w:szCs w:val="16"/>
        </w:rPr>
        <w:t xml:space="preserve">: </w:t>
      </w:r>
      <w:r w:rsidRPr="00432ABC">
        <w:rPr>
          <w:rFonts w:ascii="Verdana" w:hAnsi="Verdana"/>
          <w:bCs/>
          <w:i/>
          <w:sz w:val="16"/>
          <w:szCs w:val="16"/>
        </w:rPr>
        <w:t>2007</w:t>
      </w:r>
      <w:r w:rsidRPr="00432ABC">
        <w:rPr>
          <w:rFonts w:ascii="Verdana" w:hAnsi="Verdana"/>
          <w:bCs/>
          <w:sz w:val="16"/>
          <w:szCs w:val="16"/>
        </w:rPr>
        <w:t xml:space="preserve">, pág. 47; </w:t>
      </w:r>
      <w:r w:rsidRPr="00432ABC">
        <w:rPr>
          <w:rFonts w:ascii="Verdana" w:hAnsi="Verdana"/>
          <w:bCs/>
          <w:i/>
          <w:sz w:val="16"/>
          <w:szCs w:val="16"/>
        </w:rPr>
        <w:t>2008</w:t>
      </w:r>
      <w:r w:rsidRPr="00432ABC">
        <w:rPr>
          <w:rFonts w:ascii="Verdana" w:hAnsi="Verdana"/>
          <w:bCs/>
          <w:sz w:val="16"/>
          <w:szCs w:val="16"/>
        </w:rPr>
        <w:t xml:space="preserve">, pág. 36; </w:t>
      </w:r>
      <w:r w:rsidRPr="00432ABC">
        <w:rPr>
          <w:rFonts w:ascii="Verdana" w:hAnsi="Verdana"/>
          <w:bCs/>
          <w:i/>
          <w:sz w:val="16"/>
          <w:szCs w:val="16"/>
        </w:rPr>
        <w:t>2009</w:t>
      </w:r>
      <w:r w:rsidRPr="00432ABC">
        <w:rPr>
          <w:rFonts w:ascii="Verdana" w:hAnsi="Verdana"/>
          <w:bCs/>
          <w:sz w:val="16"/>
          <w:szCs w:val="16"/>
        </w:rPr>
        <w:t xml:space="preserve">, pág. 28; </w:t>
      </w:r>
      <w:r w:rsidRPr="00432ABC">
        <w:rPr>
          <w:rFonts w:ascii="Verdana" w:hAnsi="Verdana"/>
          <w:bCs/>
          <w:i/>
          <w:sz w:val="16"/>
          <w:szCs w:val="16"/>
        </w:rPr>
        <w:t>2010</w:t>
      </w:r>
      <w:r w:rsidRPr="00432ABC">
        <w:rPr>
          <w:rFonts w:ascii="Verdana" w:hAnsi="Verdana"/>
          <w:bCs/>
          <w:sz w:val="16"/>
          <w:szCs w:val="16"/>
        </w:rPr>
        <w:t xml:space="preserve">, pág. 52; </w:t>
      </w:r>
      <w:r w:rsidRPr="00432ABC">
        <w:rPr>
          <w:rFonts w:ascii="Verdana" w:hAnsi="Verdana"/>
          <w:bCs/>
          <w:i/>
          <w:sz w:val="16"/>
          <w:szCs w:val="16"/>
        </w:rPr>
        <w:t>2011</w:t>
      </w:r>
      <w:r w:rsidRPr="00432ABC">
        <w:rPr>
          <w:rFonts w:ascii="Verdana" w:hAnsi="Verdana"/>
          <w:bCs/>
          <w:sz w:val="16"/>
          <w:szCs w:val="16"/>
        </w:rPr>
        <w:t xml:space="preserve">, pág. 11; </w:t>
      </w:r>
      <w:r w:rsidRPr="00432ABC">
        <w:rPr>
          <w:rFonts w:ascii="Verdana" w:hAnsi="Verdana"/>
          <w:bCs/>
          <w:i/>
          <w:sz w:val="16"/>
          <w:szCs w:val="16"/>
        </w:rPr>
        <w:t>2012, Tomo I</w:t>
      </w:r>
      <w:r w:rsidRPr="00432ABC">
        <w:rPr>
          <w:rFonts w:ascii="Verdana" w:hAnsi="Verdana"/>
          <w:bCs/>
          <w:sz w:val="16"/>
          <w:szCs w:val="16"/>
        </w:rPr>
        <w:t xml:space="preserve">, pág. 11; </w:t>
      </w:r>
      <w:r w:rsidRPr="00432ABC">
        <w:rPr>
          <w:rFonts w:ascii="Verdana" w:hAnsi="Verdana"/>
          <w:bCs/>
          <w:i/>
          <w:sz w:val="16"/>
          <w:szCs w:val="16"/>
        </w:rPr>
        <w:t>2013, Tomo I</w:t>
      </w:r>
      <w:r w:rsidRPr="00432ABC">
        <w:rPr>
          <w:rFonts w:ascii="Verdana" w:hAnsi="Verdana"/>
          <w:bCs/>
          <w:sz w:val="16"/>
          <w:szCs w:val="16"/>
        </w:rPr>
        <w:t xml:space="preserve">, pág. 16; </w:t>
      </w:r>
      <w:r w:rsidRPr="00432ABC">
        <w:rPr>
          <w:rFonts w:ascii="Verdana" w:hAnsi="Verdana"/>
          <w:bCs/>
          <w:i/>
          <w:sz w:val="16"/>
          <w:szCs w:val="16"/>
        </w:rPr>
        <w:t>2014, Tomo I</w:t>
      </w:r>
      <w:r w:rsidRPr="00432ABC">
        <w:rPr>
          <w:rFonts w:ascii="Verdana" w:hAnsi="Verdana"/>
          <w:bCs/>
          <w:sz w:val="16"/>
          <w:szCs w:val="16"/>
        </w:rPr>
        <w:t xml:space="preserve">, pág. 41; </w:t>
      </w:r>
      <w:r w:rsidRPr="00432ABC">
        <w:rPr>
          <w:rFonts w:ascii="Verdana" w:hAnsi="Verdana"/>
          <w:bCs/>
          <w:i/>
          <w:sz w:val="16"/>
          <w:szCs w:val="16"/>
        </w:rPr>
        <w:t>2015, Resumen Ejecutivo</w:t>
      </w:r>
      <w:r w:rsidRPr="00432ABC">
        <w:rPr>
          <w:rFonts w:ascii="Verdana" w:hAnsi="Verdana"/>
          <w:bCs/>
          <w:sz w:val="16"/>
          <w:szCs w:val="16"/>
        </w:rPr>
        <w:t xml:space="preserve">, pág. 17; </w:t>
      </w:r>
      <w:r w:rsidRPr="00432ABC">
        <w:rPr>
          <w:rFonts w:ascii="Verdana" w:hAnsi="Verdana"/>
          <w:bCs/>
          <w:i/>
          <w:sz w:val="16"/>
          <w:szCs w:val="16"/>
        </w:rPr>
        <w:t>2016</w:t>
      </w:r>
      <w:r w:rsidRPr="00432ABC">
        <w:rPr>
          <w:rFonts w:ascii="Verdana" w:hAnsi="Verdana"/>
          <w:bCs/>
          <w:sz w:val="16"/>
          <w:szCs w:val="16"/>
        </w:rPr>
        <w:t>,</w:t>
      </w:r>
      <w:r w:rsidRPr="00432ABC">
        <w:rPr>
          <w:rFonts w:ascii="Verdana" w:hAnsi="Verdana"/>
          <w:bCs/>
          <w:i/>
          <w:sz w:val="16"/>
          <w:szCs w:val="16"/>
        </w:rPr>
        <w:t xml:space="preserve"> Resumen Ejecutivo, </w:t>
      </w:r>
      <w:r w:rsidRPr="00432ABC">
        <w:rPr>
          <w:rFonts w:ascii="Verdana" w:hAnsi="Verdana"/>
          <w:bCs/>
          <w:sz w:val="16"/>
          <w:szCs w:val="16"/>
        </w:rPr>
        <w:t xml:space="preserve">pág. 23; y </w:t>
      </w:r>
      <w:r w:rsidRPr="00432ABC">
        <w:rPr>
          <w:rFonts w:ascii="Verdana" w:hAnsi="Verdana"/>
          <w:bCs/>
          <w:i/>
          <w:sz w:val="16"/>
          <w:szCs w:val="16"/>
        </w:rPr>
        <w:t xml:space="preserve">2017, </w:t>
      </w:r>
      <w:r w:rsidRPr="00432ABC">
        <w:rPr>
          <w:rFonts w:ascii="Verdana" w:hAnsi="Verdana"/>
          <w:bCs/>
          <w:sz w:val="16"/>
          <w:szCs w:val="16"/>
        </w:rPr>
        <w:t xml:space="preserve">pág. 32. Disponibles en: </w:t>
      </w:r>
      <w:hyperlink r:id="rId22" w:history="1">
        <w:r w:rsidRPr="00432ABC">
          <w:rPr>
            <w:rStyle w:val="Hipervnculo"/>
            <w:rFonts w:ascii="Verdana" w:hAnsi="Verdana"/>
            <w:bCs/>
            <w:sz w:val="16"/>
            <w:szCs w:val="16"/>
          </w:rPr>
          <w:t>http://www.cndh.org.mx/Informes_Anuales_Actividades</w:t>
        </w:r>
      </w:hyperlink>
      <w:r w:rsidRPr="00432ABC">
        <w:rPr>
          <w:rFonts w:ascii="Verdana" w:hAnsi="Verdana"/>
          <w:bCs/>
          <w:sz w:val="16"/>
          <w:szCs w:val="16"/>
        </w:rPr>
        <w:t>.</w:t>
      </w:r>
    </w:p>
  </w:footnote>
  <w:footnote w:id="72">
    <w:p w14:paraId="068F9A15" w14:textId="0A7074F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El número de quejas por violaciones a derechos humanos registradas ante la CNDH en contra de la SEMAR f</w:t>
      </w:r>
      <w:r w:rsidRPr="002C462C">
        <w:rPr>
          <w:rFonts w:ascii="Verdana" w:hAnsi="Verdana"/>
          <w:sz w:val="16"/>
          <w:szCs w:val="16"/>
        </w:rPr>
        <w:t xml:space="preserve">ueron: </w:t>
      </w:r>
      <w:r w:rsidRPr="00432ABC">
        <w:rPr>
          <w:rFonts w:ascii="Verdana" w:hAnsi="Verdana"/>
          <w:bCs/>
          <w:sz w:val="16"/>
          <w:szCs w:val="16"/>
        </w:rPr>
        <w:t xml:space="preserve">31, en 2007 (32º lugar); 43, en 2008 (24º lugar); 42, en 2009 (24º lugar); 198, en 2010 (11º lugar); 495, en 2011 (9º lugar); 418, en 2012 (10º lugar); 385, en 2013 (10º lugar); 374, en  2014 (9º lugar); 378, en 2015 (9º lugar); 258, en 2016 (9º lugar), y 259, en 2017 (10º lugar). </w:t>
      </w:r>
      <w:r w:rsidRPr="00CD5C54">
        <w:rPr>
          <w:rFonts w:ascii="Verdana" w:hAnsi="Verdana"/>
          <w:bCs/>
          <w:i/>
          <w:sz w:val="16"/>
          <w:szCs w:val="16"/>
        </w:rPr>
        <w:t>Cfr.</w:t>
      </w:r>
      <w:r w:rsidRPr="00432ABC">
        <w:rPr>
          <w:rFonts w:ascii="Verdana" w:hAnsi="Verdana"/>
          <w:bCs/>
          <w:sz w:val="16"/>
          <w:szCs w:val="16"/>
        </w:rPr>
        <w:t xml:space="preserve"> CNDH. Informes Anuales de Actividades: </w:t>
      </w:r>
      <w:r w:rsidRPr="00432ABC">
        <w:rPr>
          <w:rFonts w:ascii="Verdana" w:hAnsi="Verdana"/>
          <w:bCs/>
          <w:i/>
          <w:sz w:val="16"/>
          <w:szCs w:val="16"/>
        </w:rPr>
        <w:t>2007</w:t>
      </w:r>
      <w:r w:rsidRPr="00432ABC">
        <w:rPr>
          <w:rFonts w:ascii="Verdana" w:hAnsi="Verdana"/>
          <w:bCs/>
          <w:sz w:val="16"/>
          <w:szCs w:val="16"/>
        </w:rPr>
        <w:t xml:space="preserve">, pág. 741; </w:t>
      </w:r>
      <w:r w:rsidRPr="00432ABC">
        <w:rPr>
          <w:rFonts w:ascii="Verdana" w:hAnsi="Verdana"/>
          <w:bCs/>
          <w:i/>
          <w:sz w:val="16"/>
          <w:szCs w:val="16"/>
        </w:rPr>
        <w:t>2008</w:t>
      </w:r>
      <w:r w:rsidRPr="00432ABC">
        <w:rPr>
          <w:rFonts w:ascii="Verdana" w:hAnsi="Verdana"/>
          <w:bCs/>
          <w:sz w:val="16"/>
          <w:szCs w:val="16"/>
        </w:rPr>
        <w:t xml:space="preserve">, pág. 337; </w:t>
      </w:r>
      <w:r w:rsidRPr="00432ABC">
        <w:rPr>
          <w:rFonts w:ascii="Verdana" w:hAnsi="Verdana"/>
          <w:bCs/>
          <w:i/>
          <w:sz w:val="16"/>
          <w:szCs w:val="16"/>
        </w:rPr>
        <w:t>2009</w:t>
      </w:r>
      <w:r w:rsidRPr="00432ABC">
        <w:rPr>
          <w:rFonts w:ascii="Verdana" w:hAnsi="Verdana"/>
          <w:bCs/>
          <w:sz w:val="16"/>
          <w:szCs w:val="16"/>
        </w:rPr>
        <w:t xml:space="preserve">, pág. 339; </w:t>
      </w:r>
      <w:r w:rsidRPr="00432ABC">
        <w:rPr>
          <w:rFonts w:ascii="Verdana" w:hAnsi="Verdana"/>
          <w:bCs/>
          <w:i/>
          <w:sz w:val="16"/>
          <w:szCs w:val="16"/>
        </w:rPr>
        <w:t>2010</w:t>
      </w:r>
      <w:r w:rsidRPr="00432ABC">
        <w:rPr>
          <w:rFonts w:ascii="Verdana" w:hAnsi="Verdana"/>
          <w:bCs/>
          <w:sz w:val="16"/>
          <w:szCs w:val="16"/>
        </w:rPr>
        <w:t xml:space="preserve">, pág. 371; </w:t>
      </w:r>
      <w:r w:rsidRPr="00432ABC">
        <w:rPr>
          <w:rFonts w:ascii="Verdana" w:hAnsi="Verdana"/>
          <w:bCs/>
          <w:i/>
          <w:sz w:val="16"/>
          <w:szCs w:val="16"/>
        </w:rPr>
        <w:t>2011</w:t>
      </w:r>
      <w:r w:rsidRPr="00432ABC">
        <w:rPr>
          <w:rFonts w:ascii="Verdana" w:hAnsi="Verdana"/>
          <w:bCs/>
          <w:sz w:val="16"/>
          <w:szCs w:val="16"/>
        </w:rPr>
        <w:t xml:space="preserve">, pág. 11; </w:t>
      </w:r>
      <w:r w:rsidRPr="00432ABC">
        <w:rPr>
          <w:rFonts w:ascii="Verdana" w:hAnsi="Verdana"/>
          <w:bCs/>
          <w:i/>
          <w:sz w:val="16"/>
          <w:szCs w:val="16"/>
        </w:rPr>
        <w:t>2012, Tomo I</w:t>
      </w:r>
      <w:r w:rsidRPr="00432ABC">
        <w:rPr>
          <w:rFonts w:ascii="Verdana" w:hAnsi="Verdana"/>
          <w:bCs/>
          <w:sz w:val="16"/>
          <w:szCs w:val="16"/>
        </w:rPr>
        <w:t xml:space="preserve">, pág. 11; </w:t>
      </w:r>
      <w:r w:rsidRPr="00432ABC">
        <w:rPr>
          <w:rFonts w:ascii="Verdana" w:hAnsi="Verdana"/>
          <w:bCs/>
          <w:i/>
          <w:sz w:val="16"/>
          <w:szCs w:val="16"/>
        </w:rPr>
        <w:t>2013, Tomo I</w:t>
      </w:r>
      <w:r w:rsidRPr="00432ABC">
        <w:rPr>
          <w:rFonts w:ascii="Verdana" w:hAnsi="Verdana"/>
          <w:bCs/>
          <w:sz w:val="16"/>
          <w:szCs w:val="16"/>
        </w:rPr>
        <w:t xml:space="preserve">, pág. 16; </w:t>
      </w:r>
      <w:r w:rsidRPr="00432ABC">
        <w:rPr>
          <w:rFonts w:ascii="Verdana" w:hAnsi="Verdana"/>
          <w:bCs/>
          <w:i/>
          <w:sz w:val="16"/>
          <w:szCs w:val="16"/>
        </w:rPr>
        <w:t>2014, Tomo I</w:t>
      </w:r>
      <w:r w:rsidRPr="00432ABC">
        <w:rPr>
          <w:rFonts w:ascii="Verdana" w:hAnsi="Verdana"/>
          <w:bCs/>
          <w:sz w:val="16"/>
          <w:szCs w:val="16"/>
        </w:rPr>
        <w:t xml:space="preserve">, pág. 41; </w:t>
      </w:r>
      <w:r w:rsidRPr="00432ABC">
        <w:rPr>
          <w:rFonts w:ascii="Verdana" w:hAnsi="Verdana"/>
          <w:bCs/>
          <w:i/>
          <w:sz w:val="16"/>
          <w:szCs w:val="16"/>
        </w:rPr>
        <w:t>2015, Resumen Ejecutivo</w:t>
      </w:r>
      <w:r w:rsidRPr="00432ABC">
        <w:rPr>
          <w:rFonts w:ascii="Verdana" w:hAnsi="Verdana"/>
          <w:bCs/>
          <w:sz w:val="16"/>
          <w:szCs w:val="16"/>
        </w:rPr>
        <w:t xml:space="preserve">, pág. 17; </w:t>
      </w:r>
      <w:r w:rsidRPr="00432ABC">
        <w:rPr>
          <w:rFonts w:ascii="Verdana" w:hAnsi="Verdana"/>
          <w:bCs/>
          <w:i/>
          <w:sz w:val="16"/>
          <w:szCs w:val="16"/>
        </w:rPr>
        <w:t>2016</w:t>
      </w:r>
      <w:r w:rsidRPr="00432ABC">
        <w:rPr>
          <w:rFonts w:ascii="Verdana" w:hAnsi="Verdana"/>
          <w:bCs/>
          <w:sz w:val="16"/>
          <w:szCs w:val="16"/>
        </w:rPr>
        <w:t>,</w:t>
      </w:r>
      <w:r w:rsidRPr="00432ABC">
        <w:rPr>
          <w:rFonts w:ascii="Verdana" w:hAnsi="Verdana"/>
          <w:bCs/>
          <w:i/>
          <w:sz w:val="16"/>
          <w:szCs w:val="16"/>
        </w:rPr>
        <w:t xml:space="preserve"> Resumen Ejecutivo, </w:t>
      </w:r>
      <w:r w:rsidRPr="00432ABC">
        <w:rPr>
          <w:rFonts w:ascii="Verdana" w:hAnsi="Verdana"/>
          <w:bCs/>
          <w:sz w:val="16"/>
          <w:szCs w:val="16"/>
        </w:rPr>
        <w:t xml:space="preserve">pág. 23; y </w:t>
      </w:r>
      <w:r w:rsidRPr="00432ABC">
        <w:rPr>
          <w:rFonts w:ascii="Verdana" w:hAnsi="Verdana"/>
          <w:bCs/>
          <w:i/>
          <w:sz w:val="16"/>
          <w:szCs w:val="16"/>
        </w:rPr>
        <w:t xml:space="preserve">2017, </w:t>
      </w:r>
      <w:r w:rsidRPr="00432ABC">
        <w:rPr>
          <w:rFonts w:ascii="Verdana" w:hAnsi="Verdana"/>
          <w:bCs/>
          <w:sz w:val="16"/>
          <w:szCs w:val="16"/>
        </w:rPr>
        <w:t xml:space="preserve">pág. 32, </w:t>
      </w:r>
      <w:r w:rsidRPr="00432ABC">
        <w:rPr>
          <w:rFonts w:ascii="Verdana" w:hAnsi="Verdana"/>
          <w:bCs/>
          <w:i/>
          <w:sz w:val="16"/>
          <w:szCs w:val="16"/>
        </w:rPr>
        <w:t>supra</w:t>
      </w:r>
      <w:r w:rsidRPr="00432ABC">
        <w:rPr>
          <w:rFonts w:ascii="Verdana" w:hAnsi="Verdana"/>
          <w:bCs/>
          <w:sz w:val="16"/>
          <w:szCs w:val="16"/>
        </w:rPr>
        <w:t>.</w:t>
      </w:r>
    </w:p>
  </w:footnote>
  <w:footnote w:id="73">
    <w:p w14:paraId="4E16D452" w14:textId="26A3F670" w:rsidR="00146958" w:rsidRPr="00DB378B" w:rsidRDefault="00146958">
      <w:pPr>
        <w:pStyle w:val="Textonotapie"/>
        <w:jc w:val="both"/>
        <w:rPr>
          <w:rFonts w:ascii="Verdana" w:hAnsi="Verdana"/>
        </w:rPr>
      </w:pPr>
      <w:r w:rsidRPr="00432ABC">
        <w:rPr>
          <w:rStyle w:val="Refdenotaalpie"/>
          <w:rFonts w:ascii="Verdana" w:hAnsi="Verdana"/>
          <w:sz w:val="16"/>
          <w:szCs w:val="16"/>
        </w:rPr>
        <w:footnoteRef/>
      </w:r>
      <w:r w:rsidRPr="00432ABC">
        <w:rPr>
          <w:rFonts w:ascii="Verdana" w:hAnsi="Verdana"/>
          <w:sz w:val="16"/>
          <w:szCs w:val="16"/>
        </w:rPr>
        <w:t xml:space="preserve"> </w:t>
      </w:r>
      <w:r w:rsidRPr="00DB378B">
        <w:rPr>
          <w:rFonts w:ascii="Verdana" w:hAnsi="Verdana"/>
        </w:rPr>
        <w:tab/>
      </w:r>
      <w:r w:rsidRPr="00CD5C54">
        <w:rPr>
          <w:rFonts w:ascii="Verdana" w:hAnsi="Verdana"/>
          <w:i/>
          <w:sz w:val="16"/>
          <w:szCs w:val="16"/>
        </w:rPr>
        <w:t>Cfr.</w:t>
      </w:r>
      <w:r w:rsidRPr="00432ABC">
        <w:rPr>
          <w:rFonts w:ascii="Verdana" w:hAnsi="Verdana"/>
          <w:sz w:val="16"/>
          <w:szCs w:val="16"/>
        </w:rPr>
        <w:t xml:space="preserve"> CNDH, </w:t>
      </w:r>
      <w:r w:rsidRPr="002C462C">
        <w:rPr>
          <w:rFonts w:ascii="Verdana" w:hAnsi="Verdana"/>
          <w:i/>
          <w:sz w:val="16"/>
          <w:szCs w:val="16"/>
        </w:rPr>
        <w:t>Informe Especial sobre las Recomendaciones en Trámite dirigidas a las Autoridades Estatales, Federales y Municipales,</w:t>
      </w:r>
      <w:r w:rsidRPr="002C462C">
        <w:rPr>
          <w:rFonts w:ascii="Verdana" w:hAnsi="Verdana"/>
          <w:sz w:val="16"/>
          <w:szCs w:val="16"/>
        </w:rPr>
        <w:t xml:space="preserve"> junio de 2016, págs. 191 y 196. Disponible en </w:t>
      </w:r>
      <w:hyperlink r:id="rId23" w:history="1">
        <w:r w:rsidRPr="00432ABC">
          <w:rPr>
            <w:rStyle w:val="Hipervnculo"/>
            <w:rFonts w:ascii="Verdana" w:hAnsi="Verdana"/>
            <w:sz w:val="16"/>
            <w:szCs w:val="16"/>
          </w:rPr>
          <w:t>http://www.cndh.org.mx/sites/all/doc/Informes/Especiales/2016_IE_Recomendaciones.pdf</w:t>
        </w:r>
      </w:hyperlink>
      <w:r w:rsidRPr="00432ABC">
        <w:rPr>
          <w:rStyle w:val="Hipervnculo"/>
          <w:rFonts w:ascii="Verdana" w:hAnsi="Verdana"/>
          <w:sz w:val="16"/>
          <w:szCs w:val="16"/>
          <w:u w:val="none"/>
        </w:rPr>
        <w:t xml:space="preserve">. </w:t>
      </w:r>
      <w:r w:rsidRPr="002C462C">
        <w:rPr>
          <w:rStyle w:val="Hipervnculo"/>
          <w:rFonts w:ascii="Verdana" w:hAnsi="Verdana"/>
          <w:color w:val="auto"/>
          <w:sz w:val="16"/>
          <w:szCs w:val="16"/>
          <w:u w:val="none"/>
        </w:rPr>
        <w:t xml:space="preserve">El período de análisis de los datos disponibles de la CNDH en dicho “Informe Especial” comprendió hasta el 15 de marzo </w:t>
      </w:r>
      <w:r w:rsidRPr="00432ABC">
        <w:rPr>
          <w:rFonts w:ascii="Verdana" w:hAnsi="Verdana"/>
          <w:sz w:val="16"/>
          <w:szCs w:val="16"/>
        </w:rPr>
        <w:t xml:space="preserve">de 2016 (pág. 17). </w:t>
      </w:r>
      <w:r w:rsidRPr="00432ABC">
        <w:rPr>
          <w:rStyle w:val="Hipervnculo"/>
          <w:rFonts w:ascii="Verdana" w:hAnsi="Verdana"/>
          <w:color w:val="auto"/>
          <w:sz w:val="16"/>
          <w:szCs w:val="16"/>
          <w:u w:val="none"/>
        </w:rPr>
        <w:t xml:space="preserve">Con respecto a las “Recomendaciones” dirigidas a la SEDENA (3) y SEMAR (4) en 2017, </w:t>
      </w:r>
      <w:r w:rsidRPr="00CD5C54">
        <w:rPr>
          <w:rStyle w:val="Hipervnculo"/>
          <w:rFonts w:ascii="Verdana" w:hAnsi="Verdana"/>
          <w:i/>
          <w:color w:val="auto"/>
          <w:sz w:val="16"/>
          <w:szCs w:val="16"/>
          <w:u w:val="none"/>
        </w:rPr>
        <w:t>Cfr.</w:t>
      </w:r>
      <w:r w:rsidRPr="00432ABC">
        <w:rPr>
          <w:rStyle w:val="Hipervnculo"/>
          <w:rFonts w:ascii="Verdana" w:hAnsi="Verdana"/>
          <w:color w:val="auto"/>
          <w:sz w:val="16"/>
          <w:szCs w:val="16"/>
          <w:u w:val="none"/>
        </w:rPr>
        <w:t xml:space="preserve"> CNDH, Informe Anual de Actividades 2017, </w:t>
      </w:r>
      <w:r w:rsidRPr="00432ABC">
        <w:rPr>
          <w:rStyle w:val="Hipervnculo"/>
          <w:rFonts w:ascii="Verdana" w:hAnsi="Verdana"/>
          <w:i/>
          <w:color w:val="auto"/>
          <w:sz w:val="16"/>
          <w:szCs w:val="16"/>
          <w:u w:val="none"/>
        </w:rPr>
        <w:t xml:space="preserve">supra, </w:t>
      </w:r>
      <w:r w:rsidRPr="00432ABC">
        <w:rPr>
          <w:rStyle w:val="Hipervnculo"/>
          <w:rFonts w:ascii="Verdana" w:hAnsi="Verdana"/>
          <w:color w:val="auto"/>
          <w:sz w:val="16"/>
          <w:szCs w:val="16"/>
          <w:u w:val="none"/>
        </w:rPr>
        <w:t>págs. 42 a 43.</w:t>
      </w:r>
      <w:r w:rsidRPr="00432ABC">
        <w:rPr>
          <w:rStyle w:val="Hipervnculo"/>
          <w:rFonts w:ascii="Verdana" w:hAnsi="Verdana"/>
          <w:sz w:val="16"/>
          <w:szCs w:val="16"/>
          <w:u w:val="none"/>
        </w:rPr>
        <w:t xml:space="preserve"> </w:t>
      </w:r>
    </w:p>
  </w:footnote>
  <w:footnote w:id="74">
    <w:p w14:paraId="319A3699" w14:textId="42D6196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ONU. CEDAW</w:t>
      </w:r>
      <w:r>
        <w:rPr>
          <w:rFonts w:ascii="Verdana" w:hAnsi="Verdana"/>
          <w:sz w:val="16"/>
          <w:szCs w:val="16"/>
        </w:rPr>
        <w:t>,</w:t>
      </w:r>
      <w:r w:rsidRPr="00432ABC">
        <w:rPr>
          <w:rFonts w:ascii="Verdana" w:hAnsi="Verdana"/>
          <w:i/>
          <w:sz w:val="16"/>
          <w:szCs w:val="16"/>
        </w:rPr>
        <w:t xml:space="preserve"> Observaciones finales. México, </w:t>
      </w:r>
      <w:r w:rsidRPr="00432ABC">
        <w:rPr>
          <w:rFonts w:ascii="Verdana" w:hAnsi="Verdana"/>
          <w:sz w:val="16"/>
          <w:szCs w:val="16"/>
        </w:rPr>
        <w:t xml:space="preserve">CEDAW/C/MEX/CO/7-8, 7 de agosto de 2012, párrs. 11 a 12, y </w:t>
      </w:r>
      <w:r w:rsidRPr="00432ABC">
        <w:rPr>
          <w:rFonts w:ascii="Verdana" w:hAnsi="Verdana"/>
          <w:i/>
          <w:sz w:val="16"/>
          <w:szCs w:val="16"/>
        </w:rPr>
        <w:t xml:space="preserve">Observaciones finales sobre el noveno informe periódico de México, </w:t>
      </w:r>
      <w:r w:rsidRPr="00432ABC">
        <w:rPr>
          <w:rFonts w:ascii="Verdana" w:hAnsi="Verdana"/>
          <w:sz w:val="16"/>
          <w:szCs w:val="16"/>
        </w:rPr>
        <w:t xml:space="preserve">CEDAW/C/MEX/CO/9, 25 de julio de 2018, párrs. 9 a 10. </w:t>
      </w:r>
    </w:p>
  </w:footnote>
  <w:footnote w:id="75">
    <w:p w14:paraId="1C1B146B" w14:textId="58EDA0EF" w:rsidR="00146958" w:rsidRPr="00DB378B" w:rsidRDefault="00146958">
      <w:pPr>
        <w:pStyle w:val="HTMLconformatoprevio"/>
        <w:shd w:val="clear" w:color="auto" w:fill="FFFFFF"/>
        <w:jc w:val="both"/>
        <w:rPr>
          <w:rFonts w:ascii="Verdana" w:hAnsi="Verdana"/>
        </w:rPr>
      </w:pPr>
      <w:r w:rsidRPr="00432ABC">
        <w:rPr>
          <w:rStyle w:val="Refdenotaalpie"/>
          <w:rFonts w:ascii="Verdana" w:hAnsi="Verdana"/>
          <w:sz w:val="16"/>
          <w:szCs w:val="16"/>
        </w:rPr>
        <w:footnoteRef/>
      </w:r>
      <w:r w:rsidRPr="00432ABC">
        <w:rPr>
          <w:rFonts w:ascii="Verdana" w:hAnsi="Verdana"/>
          <w:sz w:val="16"/>
          <w:szCs w:val="16"/>
          <w:lang w:val="es-MX"/>
        </w:rPr>
        <w:t xml:space="preserve"> </w:t>
      </w:r>
      <w:r w:rsidRPr="00432ABC">
        <w:rPr>
          <w:rFonts w:ascii="Verdana" w:hAnsi="Verdana"/>
          <w:sz w:val="16"/>
          <w:szCs w:val="16"/>
          <w:lang w:val="es-MX"/>
        </w:rPr>
        <w:tab/>
      </w:r>
      <w:r w:rsidRPr="00CD5C54">
        <w:rPr>
          <w:rFonts w:ascii="Verdana" w:hAnsi="Verdana"/>
          <w:i/>
          <w:sz w:val="16"/>
          <w:szCs w:val="16"/>
          <w:lang w:val="es-MX"/>
        </w:rPr>
        <w:t>Cfr.</w:t>
      </w:r>
      <w:r w:rsidRPr="002C462C">
        <w:rPr>
          <w:rFonts w:ascii="Verdana" w:hAnsi="Verdana"/>
          <w:sz w:val="16"/>
          <w:szCs w:val="16"/>
          <w:lang w:val="es-MX"/>
        </w:rPr>
        <w:t xml:space="preserve"> CNDH, </w:t>
      </w:r>
      <w:r w:rsidRPr="00432ABC">
        <w:rPr>
          <w:rFonts w:ascii="Verdana" w:hAnsi="Verdana"/>
          <w:i/>
          <w:sz w:val="16"/>
          <w:szCs w:val="16"/>
          <w:lang w:val="es-MX"/>
        </w:rPr>
        <w:t>Informe Especial sobre Desplazamiento forzado Interno</w:t>
      </w:r>
      <w:r w:rsidRPr="00432ABC">
        <w:rPr>
          <w:rFonts w:ascii="Verdana" w:hAnsi="Verdana"/>
          <w:sz w:val="16"/>
          <w:szCs w:val="16"/>
          <w:lang w:val="es-MX"/>
        </w:rPr>
        <w:t xml:space="preserve">, 2016, págs. 3 y 152 a 154. Disponible en: </w:t>
      </w:r>
      <w:hyperlink r:id="rId24" w:history="1">
        <w:r w:rsidRPr="00432ABC">
          <w:rPr>
            <w:rStyle w:val="Hipervnculo"/>
            <w:rFonts w:ascii="Verdana" w:hAnsi="Verdana"/>
            <w:sz w:val="16"/>
            <w:szCs w:val="16"/>
            <w:lang w:val="es-MX"/>
          </w:rPr>
          <w:t>http://www.cndh.org.mx/sites/all/doc/Informes/Especiales/2016_IE_Desplazados.pdf</w:t>
        </w:r>
      </w:hyperlink>
      <w:r w:rsidRPr="00432ABC">
        <w:rPr>
          <w:rFonts w:ascii="Verdana" w:hAnsi="Verdana"/>
          <w:sz w:val="16"/>
          <w:szCs w:val="16"/>
          <w:lang w:val="es-MX"/>
        </w:rPr>
        <w:t>. Sin perjuicio de lo anterior, el Consejo Noruego para Refugiados [CNR] se</w:t>
      </w:r>
      <w:r w:rsidRPr="002C462C">
        <w:rPr>
          <w:rFonts w:ascii="Verdana" w:hAnsi="Verdana" w:cs="Arial"/>
          <w:sz w:val="16"/>
          <w:szCs w:val="16"/>
          <w:lang w:val="es-MX"/>
        </w:rPr>
        <w:t xml:space="preserve">ñaló que el número de </w:t>
      </w:r>
      <w:r w:rsidRPr="002C462C">
        <w:rPr>
          <w:rFonts w:ascii="Verdana" w:hAnsi="Verdana"/>
          <w:sz w:val="16"/>
          <w:szCs w:val="16"/>
          <w:lang w:val="es-MX"/>
        </w:rPr>
        <w:t xml:space="preserve">desplazamientos forzados internos en México alcanzó, al 31 de diciembre de 2017, la cifra de 215,000 personas, de las cuales 20,000 tuvieron como causa desplazamiento la violencia criminal. Sin embargo, </w:t>
      </w:r>
      <w:r w:rsidRPr="00432ABC">
        <w:rPr>
          <w:rFonts w:ascii="Verdana" w:hAnsi="Verdana"/>
          <w:sz w:val="16"/>
          <w:szCs w:val="16"/>
          <w:lang w:val="es-MX"/>
        </w:rPr>
        <w:t>cálculos realizados por un organismo no gubernamental mexicano, estim</w:t>
      </w:r>
      <w:r>
        <w:rPr>
          <w:rFonts w:ascii="Verdana" w:hAnsi="Verdana"/>
          <w:sz w:val="16"/>
          <w:szCs w:val="16"/>
          <w:lang w:val="es-MX"/>
        </w:rPr>
        <w:t>aron</w:t>
      </w:r>
      <w:r w:rsidRPr="00432ABC">
        <w:rPr>
          <w:rFonts w:ascii="Verdana" w:hAnsi="Verdana"/>
          <w:sz w:val="16"/>
          <w:szCs w:val="16"/>
          <w:lang w:val="es-MX"/>
        </w:rPr>
        <w:t xml:space="preserve"> que el número de DFI en México podría alcanzar las 345,000 personas hacia 2017, destacando que dado que </w:t>
      </w:r>
      <w:r w:rsidRPr="00432ABC">
        <w:rPr>
          <w:rFonts w:ascii="Verdana" w:hAnsi="Verdana"/>
          <w:sz w:val="16"/>
          <w:szCs w:val="16"/>
          <w:lang w:val="es-ES"/>
        </w:rPr>
        <w:t>el gobierno de México no reconoce oficialmente el fenómeno de desplazamiento [interno], “las estimaciones relativas a los movimientos de la población han sido históricamente desafiantes”.</w:t>
      </w:r>
      <w:r w:rsidRPr="00432ABC">
        <w:rPr>
          <w:rFonts w:ascii="Verdana" w:hAnsi="Verdana"/>
          <w:sz w:val="16"/>
          <w:szCs w:val="16"/>
          <w:lang w:val="es-MX"/>
        </w:rPr>
        <w:t xml:space="preserve"> </w:t>
      </w:r>
      <w:r w:rsidRPr="00CD5C54">
        <w:rPr>
          <w:rFonts w:ascii="Verdana" w:hAnsi="Verdana"/>
          <w:i/>
          <w:sz w:val="16"/>
          <w:szCs w:val="16"/>
          <w:lang w:val="es-MX"/>
        </w:rPr>
        <w:t>Cfr.</w:t>
      </w:r>
      <w:r w:rsidRPr="00432ABC">
        <w:rPr>
          <w:rFonts w:ascii="Verdana" w:hAnsi="Verdana"/>
          <w:sz w:val="16"/>
          <w:szCs w:val="16"/>
          <w:lang w:val="es-MX"/>
        </w:rPr>
        <w:t xml:space="preserve"> Consejo Noruego para Refugiados. </w:t>
      </w:r>
      <w:r w:rsidRPr="00432ABC">
        <w:rPr>
          <w:rFonts w:ascii="Verdana" w:hAnsi="Verdana"/>
          <w:i/>
          <w:sz w:val="16"/>
          <w:szCs w:val="16"/>
          <w:lang w:val="es-MX"/>
        </w:rPr>
        <w:t xml:space="preserve">Informe Global sobre Desplazamiento Interno 2018, </w:t>
      </w:r>
      <w:r w:rsidRPr="00432ABC">
        <w:rPr>
          <w:rFonts w:ascii="Verdana" w:hAnsi="Verdana"/>
          <w:sz w:val="16"/>
          <w:szCs w:val="16"/>
          <w:lang w:val="es-MX"/>
        </w:rPr>
        <w:t xml:space="preserve">págs. 2, 38, 49, 60, 95 y 105. Disponible en: </w:t>
      </w:r>
      <w:hyperlink r:id="rId25" w:history="1">
        <w:r w:rsidRPr="00432ABC">
          <w:rPr>
            <w:rStyle w:val="Hipervnculo"/>
            <w:rFonts w:ascii="Verdana" w:hAnsi="Verdana"/>
            <w:sz w:val="16"/>
            <w:szCs w:val="16"/>
            <w:lang w:val="es-MX"/>
          </w:rPr>
          <w:t>http://www.internal-displacement.org/global-report/grid2018/downloads/2018-GRID.pdf</w:t>
        </w:r>
      </w:hyperlink>
    </w:p>
  </w:footnote>
  <w:footnote w:id="76">
    <w:p w14:paraId="64AA6174" w14:textId="5632F3E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ONU. </w:t>
      </w:r>
      <w:r w:rsidRPr="002C462C">
        <w:rPr>
          <w:rFonts w:ascii="Verdana" w:hAnsi="Verdana"/>
          <w:i/>
          <w:sz w:val="16"/>
          <w:szCs w:val="16"/>
        </w:rPr>
        <w:t>Informe del GTDFI, Misión a México, supra</w:t>
      </w:r>
      <w:r w:rsidRPr="00432ABC">
        <w:rPr>
          <w:rFonts w:ascii="Verdana" w:hAnsi="Verdana"/>
          <w:sz w:val="16"/>
          <w:szCs w:val="16"/>
        </w:rPr>
        <w:t xml:space="preserve">, párrs. 17, 20 y 26. </w:t>
      </w:r>
    </w:p>
  </w:footnote>
  <w:footnote w:id="77">
    <w:p w14:paraId="64AA6175" w14:textId="160B56C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ONU. Comité contra la Tortura, </w:t>
      </w:r>
      <w:r w:rsidRPr="002C462C">
        <w:rPr>
          <w:rFonts w:ascii="Verdana" w:hAnsi="Verdana"/>
          <w:bCs/>
          <w:i/>
          <w:sz w:val="16"/>
          <w:szCs w:val="16"/>
        </w:rPr>
        <w:t>Observaciones finales sobre los informes periódicos quinto y sexto combinados de México, adoptadas por el Comité en su 49º período de sesiones (29 de octubre a</w:t>
      </w:r>
      <w:r w:rsidRPr="00432ABC">
        <w:rPr>
          <w:rFonts w:ascii="Verdana" w:hAnsi="Verdana"/>
          <w:bCs/>
          <w:i/>
          <w:sz w:val="16"/>
          <w:szCs w:val="16"/>
        </w:rPr>
        <w:t xml:space="preserve"> 23 de noviembre de 2012), </w:t>
      </w:r>
      <w:r w:rsidRPr="00432ABC">
        <w:rPr>
          <w:rFonts w:ascii="Verdana" w:hAnsi="Verdana"/>
          <w:bCs/>
          <w:sz w:val="16"/>
          <w:szCs w:val="16"/>
        </w:rPr>
        <w:t xml:space="preserve">11 de diciembre de 2012, </w:t>
      </w:r>
      <w:r w:rsidRPr="00432ABC">
        <w:rPr>
          <w:rFonts w:ascii="Verdana" w:hAnsi="Verdana"/>
          <w:bCs/>
          <w:i/>
          <w:sz w:val="16"/>
          <w:szCs w:val="16"/>
        </w:rPr>
        <w:t xml:space="preserve">supra, </w:t>
      </w:r>
      <w:r w:rsidRPr="00432ABC">
        <w:rPr>
          <w:rFonts w:ascii="Verdana" w:hAnsi="Verdana"/>
          <w:bCs/>
          <w:sz w:val="16"/>
          <w:szCs w:val="16"/>
        </w:rPr>
        <w:t xml:space="preserve">párr. 12.  </w:t>
      </w:r>
    </w:p>
  </w:footnote>
  <w:footnote w:id="78">
    <w:p w14:paraId="71924A70" w14:textId="2D865B1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2C462C">
        <w:rPr>
          <w:rFonts w:ascii="Verdana" w:hAnsi="Verdana"/>
          <w:bCs/>
          <w:sz w:val="16"/>
          <w:szCs w:val="16"/>
        </w:rPr>
        <w:t xml:space="preserve">Declaración del Alto Comisionado de la ONU para los Derechos Humanos, </w:t>
      </w:r>
      <w:r>
        <w:rPr>
          <w:rFonts w:ascii="Verdana" w:hAnsi="Verdana"/>
          <w:bCs/>
          <w:sz w:val="16"/>
          <w:szCs w:val="16"/>
        </w:rPr>
        <w:t>V</w:t>
      </w:r>
      <w:r w:rsidRPr="002C462C">
        <w:rPr>
          <w:rFonts w:ascii="Verdana" w:hAnsi="Verdana"/>
          <w:bCs/>
          <w:sz w:val="16"/>
          <w:szCs w:val="16"/>
        </w:rPr>
        <w:t xml:space="preserve">isita a México, 7 de octubre de 2015, </w:t>
      </w:r>
      <w:r w:rsidRPr="00432ABC">
        <w:rPr>
          <w:rFonts w:ascii="Verdana" w:hAnsi="Verdana"/>
          <w:bCs/>
          <w:i/>
          <w:sz w:val="16"/>
          <w:szCs w:val="16"/>
        </w:rPr>
        <w:t>supra.</w:t>
      </w:r>
    </w:p>
  </w:footnote>
  <w:footnote w:id="79">
    <w:p w14:paraId="59994DD4" w14:textId="0BFA7D3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CNDH. Informes Anuales de Actividades:</w:t>
      </w:r>
      <w:r w:rsidRPr="00432ABC">
        <w:rPr>
          <w:rFonts w:ascii="Verdana" w:hAnsi="Verdana"/>
          <w:i/>
          <w:sz w:val="16"/>
          <w:szCs w:val="16"/>
        </w:rPr>
        <w:t xml:space="preserve"> 2009, </w:t>
      </w:r>
      <w:r w:rsidRPr="00432ABC">
        <w:rPr>
          <w:rFonts w:ascii="Verdana" w:hAnsi="Verdana"/>
          <w:sz w:val="16"/>
          <w:szCs w:val="16"/>
        </w:rPr>
        <w:t xml:space="preserve">pág. 55; </w:t>
      </w:r>
      <w:r w:rsidRPr="00432ABC">
        <w:rPr>
          <w:rFonts w:ascii="Verdana" w:hAnsi="Verdana"/>
          <w:i/>
          <w:sz w:val="16"/>
          <w:szCs w:val="16"/>
        </w:rPr>
        <w:t xml:space="preserve">2010, </w:t>
      </w:r>
      <w:r w:rsidRPr="00432ABC">
        <w:rPr>
          <w:rFonts w:ascii="Verdana" w:hAnsi="Verdana"/>
          <w:sz w:val="16"/>
          <w:szCs w:val="16"/>
        </w:rPr>
        <w:t xml:space="preserve">pág. 60; </w:t>
      </w:r>
      <w:r w:rsidRPr="00432ABC">
        <w:rPr>
          <w:rFonts w:ascii="Verdana" w:hAnsi="Verdana"/>
          <w:i/>
          <w:sz w:val="16"/>
          <w:szCs w:val="16"/>
        </w:rPr>
        <w:t xml:space="preserve">2011, </w:t>
      </w:r>
      <w:r w:rsidRPr="00432ABC">
        <w:rPr>
          <w:rFonts w:ascii="Verdana" w:hAnsi="Verdana"/>
          <w:sz w:val="16"/>
          <w:szCs w:val="16"/>
        </w:rPr>
        <w:t xml:space="preserve">pág. 57, y </w:t>
      </w:r>
      <w:r w:rsidRPr="00432ABC">
        <w:rPr>
          <w:rFonts w:ascii="Verdana" w:hAnsi="Verdana"/>
          <w:i/>
          <w:sz w:val="16"/>
          <w:szCs w:val="16"/>
        </w:rPr>
        <w:t xml:space="preserve">2012, </w:t>
      </w:r>
      <w:r w:rsidRPr="00432ABC">
        <w:rPr>
          <w:rFonts w:ascii="Verdana" w:hAnsi="Verdana"/>
          <w:sz w:val="16"/>
          <w:szCs w:val="16"/>
        </w:rPr>
        <w:t xml:space="preserve">pág. 73. En </w:t>
      </w:r>
      <w:r>
        <w:rPr>
          <w:rFonts w:ascii="Verdana" w:hAnsi="Verdana"/>
          <w:sz w:val="16"/>
          <w:szCs w:val="16"/>
        </w:rPr>
        <w:t>éstos</w:t>
      </w:r>
      <w:r w:rsidRPr="00432ABC">
        <w:rPr>
          <w:rFonts w:ascii="Verdana" w:hAnsi="Verdana"/>
          <w:sz w:val="16"/>
          <w:szCs w:val="16"/>
        </w:rPr>
        <w:t xml:space="preserve">, señaló que en el período comprendido entre los años 2009 y 2012, recibió 359 denuncias sobre presuntas desapariciones forzadas, e indicó haber emitido 10 recomendaciones dirigidas las corporaciones de seguridad estatal por esta grave violación, incluida la SEDENA, tras haber probado la participación de agentes estatales. </w:t>
      </w:r>
    </w:p>
  </w:footnote>
  <w:footnote w:id="80">
    <w:p w14:paraId="68F059BF" w14:textId="106D49E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CNDH, </w:t>
      </w:r>
      <w:r w:rsidRPr="00432ABC">
        <w:rPr>
          <w:rFonts w:ascii="Verdana" w:hAnsi="Verdana"/>
          <w:i/>
          <w:sz w:val="16"/>
          <w:szCs w:val="16"/>
        </w:rPr>
        <w:t xml:space="preserve">Informe Especial sobre Desaparición de Personas y Fosas Clandestinas en México, </w:t>
      </w:r>
      <w:r w:rsidRPr="00432ABC">
        <w:rPr>
          <w:rFonts w:ascii="Verdana" w:hAnsi="Verdana"/>
          <w:sz w:val="16"/>
          <w:szCs w:val="16"/>
        </w:rPr>
        <w:t xml:space="preserve"> 6 de abril de 2017, disponible en: </w:t>
      </w:r>
      <w:hyperlink r:id="rId26" w:history="1">
        <w:r w:rsidRPr="00432ABC">
          <w:rPr>
            <w:rStyle w:val="Hipervnculo"/>
            <w:rFonts w:ascii="Verdana" w:hAnsi="Verdana"/>
            <w:sz w:val="16"/>
            <w:szCs w:val="16"/>
          </w:rPr>
          <w:t>http://www.cndh.org.mx/sites/all/doc/Informes/Especiales/InformeEspecial_20170406.pdf</w:t>
        </w:r>
      </w:hyperlink>
      <w:r w:rsidRPr="00432ABC">
        <w:rPr>
          <w:rFonts w:ascii="Verdana" w:hAnsi="Verdana"/>
          <w:sz w:val="16"/>
          <w:szCs w:val="16"/>
        </w:rPr>
        <w:t xml:space="preserve">. Véase también el Comunicado de Prensa DGC/103/17 de la CNDH de la misma fecha, localizable en  </w:t>
      </w:r>
      <w:hyperlink r:id="rId27" w:history="1">
        <w:r w:rsidRPr="00432ABC">
          <w:rPr>
            <w:rStyle w:val="Hipervnculo"/>
            <w:rFonts w:ascii="Verdana" w:hAnsi="Verdana"/>
            <w:sz w:val="16"/>
            <w:szCs w:val="16"/>
          </w:rPr>
          <w:t>http://www.cndh.org.mx/sites/all/doc/Comunicados/2017/Com_2017_103.pdf</w:t>
        </w:r>
      </w:hyperlink>
      <w:r w:rsidRPr="00432ABC">
        <w:rPr>
          <w:rFonts w:ascii="Verdana" w:hAnsi="Verdana"/>
          <w:sz w:val="16"/>
          <w:szCs w:val="16"/>
        </w:rPr>
        <w:t>.</w:t>
      </w:r>
    </w:p>
  </w:footnote>
  <w:footnote w:id="81">
    <w:p w14:paraId="694B9AED" w14:textId="2294BA0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CNDH, </w:t>
      </w:r>
      <w:r w:rsidRPr="00432ABC">
        <w:rPr>
          <w:rFonts w:ascii="Verdana" w:hAnsi="Verdana"/>
          <w:i/>
          <w:sz w:val="16"/>
          <w:szCs w:val="16"/>
        </w:rPr>
        <w:t xml:space="preserve">Consideraciones de la CNDH ante el Comité contra la Desaparición Forzada de la Organización de las Naciones Unidas </w:t>
      </w:r>
      <w:r w:rsidRPr="00432ABC">
        <w:rPr>
          <w:rFonts w:ascii="Verdana" w:hAnsi="Verdana"/>
          <w:sz w:val="16"/>
          <w:szCs w:val="16"/>
        </w:rPr>
        <w:t>[sic], párrs. 4 a 5</w:t>
      </w:r>
      <w:r w:rsidRPr="00432ABC">
        <w:rPr>
          <w:rFonts w:ascii="Verdana" w:hAnsi="Verdana"/>
          <w:i/>
          <w:sz w:val="16"/>
          <w:szCs w:val="16"/>
        </w:rPr>
        <w:t xml:space="preserve"> </w:t>
      </w:r>
      <w:r w:rsidRPr="00432ABC">
        <w:rPr>
          <w:rFonts w:ascii="Verdana" w:hAnsi="Verdana"/>
          <w:sz w:val="16"/>
          <w:szCs w:val="16"/>
        </w:rPr>
        <w:t xml:space="preserve">y 66. Disponible en: </w:t>
      </w:r>
      <w:hyperlink r:id="rId28" w:history="1">
        <w:r w:rsidRPr="00432ABC">
          <w:rPr>
            <w:rStyle w:val="Hipervnculo"/>
            <w:rFonts w:ascii="Verdana" w:hAnsi="Verdana"/>
            <w:sz w:val="16"/>
            <w:szCs w:val="16"/>
          </w:rPr>
          <w:t>https://tbinternet.ohchr.org/Treaties/CED/Shared%20Documents/MEX/INT_CED_IFN_MEX_19449_S.pdf</w:t>
        </w:r>
      </w:hyperlink>
      <w:r w:rsidRPr="00220312">
        <w:rPr>
          <w:rFonts w:ascii="Verdana" w:hAnsi="Verdana"/>
          <w:sz w:val="16"/>
          <w:szCs w:val="16"/>
        </w:rPr>
        <w:t>.</w:t>
      </w:r>
    </w:p>
  </w:footnote>
  <w:footnote w:id="82">
    <w:p w14:paraId="64AA6178" w14:textId="65E0D8E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CNDH, Informe Especial sobre Desaparición de Personas y Fosas Clandestinas</w:t>
      </w:r>
      <w:r w:rsidRPr="009B6C7B">
        <w:rPr>
          <w:rFonts w:ascii="Verdana" w:hAnsi="Verdana"/>
          <w:sz w:val="16"/>
        </w:rPr>
        <w:t>,</w:t>
      </w:r>
      <w:r>
        <w:rPr>
          <w:rFonts w:ascii="Verdana" w:hAnsi="Verdana"/>
          <w:sz w:val="16"/>
        </w:rPr>
        <w:t xml:space="preserve"> 2017,</w:t>
      </w:r>
      <w:r w:rsidRPr="009B6C7B">
        <w:rPr>
          <w:rFonts w:ascii="Verdana" w:hAnsi="Verdana"/>
          <w:sz w:val="16"/>
        </w:rPr>
        <w:t xml:space="preserve"> </w:t>
      </w:r>
      <w:r w:rsidRPr="00432ABC">
        <w:rPr>
          <w:rFonts w:ascii="Verdana" w:hAnsi="Verdana"/>
          <w:i/>
          <w:sz w:val="16"/>
          <w:szCs w:val="16"/>
        </w:rPr>
        <w:t>supra</w:t>
      </w:r>
      <w:r w:rsidRPr="00432ABC">
        <w:rPr>
          <w:rFonts w:ascii="Verdana" w:hAnsi="Verdana"/>
          <w:sz w:val="16"/>
          <w:szCs w:val="16"/>
        </w:rPr>
        <w:t xml:space="preserve">, párrs. 28 a 29. De acuerdo con dicho informe, el incremento paulatino de la desaparición de personas en México </w:t>
      </w:r>
      <w:r w:rsidRPr="00432ABC">
        <w:rPr>
          <w:rFonts w:ascii="Verdana" w:hAnsi="Verdana" w:cs="Cambria"/>
          <w:sz w:val="16"/>
          <w:szCs w:val="16"/>
        </w:rPr>
        <w:t>evolucionó de la siguiente manera: en 2007, 662 casos; en 2008, 822 casos; en 2009, 1,401 casos; en 2010, 3,227 casos; en 2011, 4,094 casos; en 2012, 3,343 casos; en 2013, 3,878 casos; en 2014, 4,196 casos; en 2015, 3,768 casos, y hasta octubre de 2016, 3,805 casos. Asimismo, el 82.71% -23,934 casos- de personas reportadas como desaparecidas del fuero común se concentra en 11 estados del país de la siguiente forma: Tamaulipas 19.22%, 5,563 casos; Estado de México, 10.31%, 2,984; Jalisco, 8.71%, 2,523; Sinaloa 8.24%, 2,385; Nuevo León 8.20%, 2,374; Chihuahua 6.68%, 1,933; Coahuila, 5.59%, 1,620; Sonora 4.45%, 1,288; Guerrero, 3.99%, 1,155; Puebla 3.73%, 1,080</w:t>
      </w:r>
      <w:r>
        <w:rPr>
          <w:rFonts w:ascii="Verdana" w:hAnsi="Verdana" w:cs="Cambria"/>
          <w:sz w:val="16"/>
          <w:szCs w:val="16"/>
        </w:rPr>
        <w:t>,</w:t>
      </w:r>
      <w:r w:rsidRPr="00432ABC">
        <w:rPr>
          <w:rFonts w:ascii="Verdana" w:hAnsi="Verdana" w:cs="Cambria"/>
          <w:sz w:val="16"/>
          <w:szCs w:val="16"/>
        </w:rPr>
        <w:t xml:space="preserve"> y Michoacán 3.55%, 1,029 casos.</w:t>
      </w:r>
    </w:p>
  </w:footnote>
  <w:footnote w:id="83">
    <w:p w14:paraId="64AA617A" w14:textId="118868E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CNDH, Informe Especial sobre Desaparición de Personas y Fosas Clandestinas en México</w:t>
      </w:r>
      <w:r w:rsidRPr="002C462C">
        <w:rPr>
          <w:rFonts w:ascii="Verdana" w:hAnsi="Verdana"/>
          <w:i/>
          <w:sz w:val="16"/>
          <w:szCs w:val="16"/>
        </w:rPr>
        <w:t xml:space="preserve">, </w:t>
      </w:r>
      <w:r>
        <w:rPr>
          <w:rFonts w:ascii="Verdana" w:hAnsi="Verdana"/>
          <w:sz w:val="16"/>
          <w:szCs w:val="16"/>
        </w:rPr>
        <w:t xml:space="preserve">2017, supra, </w:t>
      </w:r>
      <w:r w:rsidRPr="002C462C">
        <w:rPr>
          <w:rFonts w:ascii="Verdana" w:hAnsi="Verdana"/>
          <w:i/>
          <w:sz w:val="16"/>
          <w:szCs w:val="16"/>
        </w:rPr>
        <w:t xml:space="preserve">Resumen Ejecutivo, </w:t>
      </w:r>
      <w:r w:rsidRPr="00432ABC">
        <w:rPr>
          <w:rFonts w:ascii="Verdana" w:hAnsi="Verdana"/>
          <w:sz w:val="16"/>
          <w:szCs w:val="16"/>
        </w:rPr>
        <w:t>2017,</w:t>
      </w:r>
      <w:r w:rsidRPr="00432ABC">
        <w:rPr>
          <w:rFonts w:ascii="Verdana" w:hAnsi="Verdana"/>
          <w:i/>
          <w:sz w:val="16"/>
          <w:szCs w:val="16"/>
        </w:rPr>
        <w:t xml:space="preserve"> </w:t>
      </w:r>
      <w:r w:rsidRPr="00432ABC">
        <w:rPr>
          <w:rFonts w:ascii="Verdana" w:hAnsi="Verdana"/>
          <w:sz w:val="16"/>
          <w:szCs w:val="16"/>
        </w:rPr>
        <w:t>párr. 33.</w:t>
      </w:r>
      <w:r>
        <w:rPr>
          <w:rFonts w:ascii="Verdana" w:hAnsi="Verdana"/>
          <w:sz w:val="16"/>
          <w:szCs w:val="16"/>
        </w:rPr>
        <w:t xml:space="preserve"> </w:t>
      </w:r>
      <w:r w:rsidRPr="00432ABC">
        <w:rPr>
          <w:rFonts w:ascii="Verdana" w:hAnsi="Verdana"/>
          <w:sz w:val="16"/>
          <w:szCs w:val="16"/>
        </w:rPr>
        <w:t xml:space="preserve">Disponible en:  </w:t>
      </w:r>
      <w:hyperlink r:id="rId29" w:history="1">
        <w:r w:rsidRPr="00432ABC">
          <w:rPr>
            <w:rStyle w:val="Hipervnculo"/>
            <w:rFonts w:ascii="Verdana" w:hAnsi="Verdana"/>
            <w:sz w:val="16"/>
            <w:szCs w:val="16"/>
          </w:rPr>
          <w:t>http://www.cndh.org.mx/sites/all/doc/Informes/Especiales/InformeEspecial_20170406_Resumen.pdf</w:t>
        </w:r>
      </w:hyperlink>
      <w:r w:rsidRPr="00432ABC">
        <w:rPr>
          <w:rFonts w:ascii="Verdana" w:hAnsi="Verdana"/>
          <w:sz w:val="16"/>
          <w:szCs w:val="16"/>
        </w:rPr>
        <w:t xml:space="preserve"> </w:t>
      </w:r>
    </w:p>
    <w:p w14:paraId="64AA617B" w14:textId="72ABA687" w:rsidR="00146958" w:rsidRPr="00432ABC" w:rsidRDefault="00146958">
      <w:pPr>
        <w:pStyle w:val="Textonotapie"/>
        <w:jc w:val="both"/>
        <w:rPr>
          <w:rFonts w:ascii="Verdana" w:hAnsi="Verdana"/>
          <w:i/>
          <w:sz w:val="16"/>
          <w:szCs w:val="16"/>
        </w:rPr>
      </w:pPr>
      <w:r w:rsidRPr="00432ABC">
        <w:rPr>
          <w:rFonts w:ascii="Verdana" w:hAnsi="Verdana"/>
          <w:sz w:val="16"/>
          <w:szCs w:val="16"/>
        </w:rPr>
        <w:t>Del mismo modo, la CNDH enfatizó “la urgencia de que en México se realice una labor de sistematización, compulsa y depuració</w:t>
      </w:r>
      <w:r w:rsidRPr="002C462C">
        <w:rPr>
          <w:rFonts w:ascii="Verdana" w:hAnsi="Verdana"/>
          <w:sz w:val="16"/>
          <w:szCs w:val="16"/>
        </w:rPr>
        <w:t>n de las bases de datos de que se dispone, mediante adecuada metodología y criterios claros, que permitan establecer en qué casos existen señalamientos de desaparición forzada de personas, imputada a agentes del Estado o a particulares que actúan con el apo</w:t>
      </w:r>
      <w:r w:rsidRPr="00432ABC">
        <w:rPr>
          <w:rFonts w:ascii="Verdana" w:hAnsi="Verdana"/>
          <w:sz w:val="16"/>
          <w:szCs w:val="16"/>
        </w:rPr>
        <w:t xml:space="preserve">yo, tolerancia o aquiescencia de agentes del Estado […]”.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CNDH, Comunicado de Prensa No. CGCP/023/15 emitido el 2 de febrero de 2015 en Ginebra, Suiza. Disponible en </w:t>
      </w:r>
      <w:hyperlink r:id="rId30" w:history="1">
        <w:r w:rsidRPr="00432ABC">
          <w:rPr>
            <w:rStyle w:val="Hipervnculo"/>
            <w:rFonts w:ascii="Verdana" w:hAnsi="Verdana"/>
            <w:sz w:val="16"/>
            <w:szCs w:val="16"/>
          </w:rPr>
          <w:t>http://www.cndh.org.mx/sites/all/doc/Comunicados/2015/Com_2015_023.pdf</w:t>
        </w:r>
      </w:hyperlink>
      <w:r w:rsidRPr="00432ABC">
        <w:rPr>
          <w:rFonts w:ascii="Verdana" w:hAnsi="Verdana"/>
          <w:sz w:val="16"/>
          <w:szCs w:val="16"/>
        </w:rPr>
        <w:t xml:space="preserve">. En este sentido, el perito Federico Andreu Guzmán señaló que “uno de los problemas grandes con el tema de la desaparición forzada en México es la ausencia de cifras consolidadas a nivel estatal […]”. </w:t>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rendida </w:t>
      </w:r>
      <w:r>
        <w:rPr>
          <w:rFonts w:ascii="Verdana" w:hAnsi="Verdana"/>
          <w:sz w:val="16"/>
          <w:szCs w:val="16"/>
        </w:rPr>
        <w:t>en la Audiencia Pública</w:t>
      </w:r>
      <w:r w:rsidRPr="002C462C">
        <w:rPr>
          <w:rFonts w:ascii="Verdana" w:hAnsi="Verdana"/>
          <w:sz w:val="16"/>
          <w:szCs w:val="16"/>
        </w:rPr>
        <w:t xml:space="preserve"> ante la Corte por el perito Federico Andreu Guzmán, </w:t>
      </w:r>
      <w:r w:rsidRPr="00432ABC">
        <w:rPr>
          <w:rFonts w:ascii="Verdana" w:hAnsi="Verdana"/>
          <w:i/>
          <w:sz w:val="16"/>
          <w:szCs w:val="16"/>
        </w:rPr>
        <w:t>supra,</w:t>
      </w:r>
      <w:r w:rsidRPr="00432ABC">
        <w:rPr>
          <w:rFonts w:ascii="Verdana" w:hAnsi="Verdana"/>
          <w:sz w:val="16"/>
          <w:szCs w:val="16"/>
        </w:rPr>
        <w:t xml:space="preserve"> pág. 81. Por su parte, sobre las implicaciones que las deficiencias metodológicas para la sistematización de la información sobre personas desaparecidas en las fuentes oficiales mexicanas, la perita Gabriella Citroni manifestó: “La determinación de la cifra precisa de las personas desaparecidas en México ha sido un reto durante la última década y los intentos de establecer un registro único completo (por ejemplo el Registro Nacional de Datos de Personas Extraviadas o Desaparecidas) han sido plagados por demoras y deficiencias […]”.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Declaración pericial de Gabriella Citroni rendida </w:t>
      </w:r>
      <w:r>
        <w:rPr>
          <w:rFonts w:ascii="Verdana" w:hAnsi="Verdana"/>
          <w:sz w:val="16"/>
          <w:szCs w:val="16"/>
        </w:rPr>
        <w:t>el</w:t>
      </w:r>
      <w:r w:rsidRPr="00432ABC">
        <w:rPr>
          <w:rFonts w:ascii="Verdana" w:hAnsi="Verdana"/>
          <w:sz w:val="16"/>
          <w:szCs w:val="16"/>
        </w:rPr>
        <w:t xml:space="preserve"> 18 de abril de 2018</w:t>
      </w:r>
      <w:r w:rsidRPr="00432ABC">
        <w:rPr>
          <w:rFonts w:ascii="Verdana" w:hAnsi="Verdana"/>
          <w:i/>
          <w:sz w:val="16"/>
          <w:szCs w:val="16"/>
        </w:rPr>
        <w:t>, supra</w:t>
      </w:r>
      <w:r>
        <w:rPr>
          <w:rFonts w:ascii="Verdana" w:hAnsi="Verdana"/>
          <w:i/>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31082</w:t>
      </w:r>
      <w:r>
        <w:rPr>
          <w:rFonts w:ascii="Verdana" w:hAnsi="Verdana"/>
          <w:sz w:val="16"/>
          <w:szCs w:val="16"/>
        </w:rPr>
        <w:t>)</w:t>
      </w:r>
      <w:r w:rsidRPr="00432ABC">
        <w:rPr>
          <w:rFonts w:ascii="Verdana" w:hAnsi="Verdana"/>
          <w:sz w:val="16"/>
          <w:szCs w:val="16"/>
        </w:rPr>
        <w:t xml:space="preserve">. </w:t>
      </w:r>
    </w:p>
  </w:footnote>
  <w:footnote w:id="84">
    <w:p w14:paraId="64AA617C" w14:textId="2AB68A1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CNDH, Informe Especial sobre Desaparición de Personas y Fosas Clandestinas en México, Resumen Ejecutivo, </w:t>
      </w:r>
      <w:r w:rsidRPr="002C462C">
        <w:rPr>
          <w:rFonts w:ascii="Verdana" w:hAnsi="Verdana"/>
          <w:i/>
          <w:sz w:val="16"/>
          <w:szCs w:val="16"/>
        </w:rPr>
        <w:t>supra</w:t>
      </w:r>
      <w:r w:rsidRPr="00432ABC">
        <w:rPr>
          <w:rFonts w:ascii="Verdana" w:hAnsi="Verdana"/>
          <w:sz w:val="16"/>
          <w:szCs w:val="16"/>
        </w:rPr>
        <w:t>,</w:t>
      </w:r>
      <w:r w:rsidRPr="00432ABC">
        <w:rPr>
          <w:rFonts w:ascii="Verdana" w:hAnsi="Verdana"/>
          <w:i/>
          <w:sz w:val="16"/>
          <w:szCs w:val="16"/>
        </w:rPr>
        <w:t xml:space="preserve"> </w:t>
      </w:r>
      <w:r w:rsidRPr="00432ABC">
        <w:rPr>
          <w:rFonts w:ascii="Verdana" w:hAnsi="Verdana"/>
          <w:sz w:val="16"/>
          <w:szCs w:val="16"/>
        </w:rPr>
        <w:t xml:space="preserve">párrs. 31 a 32. </w:t>
      </w:r>
    </w:p>
  </w:footnote>
  <w:footnote w:id="85">
    <w:p w14:paraId="0FA1D650" w14:textId="3302D96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eastAsiaTheme="minorHAnsi" w:hAnsi="Verdana"/>
          <w:bCs/>
          <w:color w:val="000000"/>
          <w:sz w:val="16"/>
          <w:szCs w:val="16"/>
          <w:shd w:val="clear" w:color="auto" w:fill="FFFFFF"/>
        </w:rPr>
        <w:t xml:space="preserve">Declaración del Alto Comisionado de la ONU para los Derechos Humanos, Zeid Ra’ad Al Hussein, </w:t>
      </w:r>
      <w:r>
        <w:rPr>
          <w:rFonts w:ascii="Verdana" w:eastAsiaTheme="minorHAnsi" w:hAnsi="Verdana"/>
          <w:bCs/>
          <w:color w:val="000000"/>
          <w:sz w:val="16"/>
          <w:szCs w:val="16"/>
          <w:shd w:val="clear" w:color="auto" w:fill="FFFFFF"/>
        </w:rPr>
        <w:t>V</w:t>
      </w:r>
      <w:r w:rsidRPr="00432ABC">
        <w:rPr>
          <w:rFonts w:ascii="Verdana" w:eastAsiaTheme="minorHAnsi" w:hAnsi="Verdana"/>
          <w:bCs/>
          <w:color w:val="000000"/>
          <w:sz w:val="16"/>
          <w:szCs w:val="16"/>
          <w:shd w:val="clear" w:color="auto" w:fill="FFFFFF"/>
        </w:rPr>
        <w:t xml:space="preserve">isita a México, 7 de octubre de 2015, </w:t>
      </w:r>
      <w:r w:rsidRPr="00432ABC">
        <w:rPr>
          <w:rFonts w:ascii="Verdana" w:eastAsiaTheme="minorHAnsi" w:hAnsi="Verdana"/>
          <w:bCs/>
          <w:i/>
          <w:color w:val="000000"/>
          <w:sz w:val="16"/>
          <w:szCs w:val="16"/>
          <w:shd w:val="clear" w:color="auto" w:fill="FFFFFF"/>
        </w:rPr>
        <w:t xml:space="preserve">supra, </w:t>
      </w:r>
      <w:r w:rsidRPr="00432ABC">
        <w:rPr>
          <w:rFonts w:ascii="Verdana" w:eastAsiaTheme="minorHAnsi" w:hAnsi="Verdana"/>
          <w:bCs/>
          <w:color w:val="000000"/>
          <w:sz w:val="16"/>
          <w:szCs w:val="16"/>
          <w:shd w:val="clear" w:color="auto" w:fill="FFFFFF"/>
        </w:rPr>
        <w:t>y</w:t>
      </w:r>
      <w:r w:rsidRPr="00432ABC">
        <w:rPr>
          <w:rFonts w:ascii="Verdana" w:eastAsiaTheme="minorHAnsi" w:hAnsi="Verdana"/>
          <w:bCs/>
          <w:i/>
          <w:color w:val="000000"/>
          <w:sz w:val="16"/>
          <w:szCs w:val="16"/>
          <w:shd w:val="clear" w:color="auto" w:fill="FFFFFF"/>
        </w:rPr>
        <w:t xml:space="preserve"> </w:t>
      </w:r>
      <w:r w:rsidRPr="00432ABC">
        <w:rPr>
          <w:rFonts w:ascii="Verdana" w:hAnsi="Verdana"/>
          <w:i/>
          <w:sz w:val="16"/>
          <w:szCs w:val="16"/>
        </w:rPr>
        <w:t>Recomendaciones a México por el Alto Comisionado de las Naciones Unidas para los Derechos Humanos, Zeid Ra’ad al Hussein</w:t>
      </w:r>
      <w:r w:rsidRPr="00432ABC">
        <w:rPr>
          <w:rStyle w:val="Textoennegrita"/>
          <w:rFonts w:ascii="Verdana" w:hAnsi="Verdana"/>
          <w:b w:val="0"/>
          <w:sz w:val="16"/>
          <w:szCs w:val="16"/>
          <w:shd w:val="clear" w:color="auto" w:fill="FFFFFF"/>
        </w:rPr>
        <w:t xml:space="preserve">, </w:t>
      </w:r>
      <w:r w:rsidRPr="00432ABC">
        <w:rPr>
          <w:rStyle w:val="Textoennegrita"/>
          <w:rFonts w:ascii="Verdana" w:hAnsi="Verdana"/>
          <w:b w:val="0"/>
          <w:i/>
          <w:sz w:val="16"/>
          <w:szCs w:val="16"/>
          <w:shd w:val="clear" w:color="auto" w:fill="FFFFFF"/>
        </w:rPr>
        <w:t>resultado de su visita oficial al país en octubre de 2015</w:t>
      </w:r>
      <w:r w:rsidRPr="00432ABC">
        <w:rPr>
          <w:rFonts w:ascii="Verdana" w:hAnsi="Verdana"/>
          <w:sz w:val="16"/>
          <w:szCs w:val="16"/>
        </w:rPr>
        <w:t xml:space="preserve">, marzo de 2016, </w:t>
      </w:r>
      <w:r>
        <w:rPr>
          <w:rFonts w:ascii="Verdana" w:hAnsi="Verdana"/>
          <w:sz w:val="16"/>
          <w:szCs w:val="16"/>
        </w:rPr>
        <w:t>R</w:t>
      </w:r>
      <w:r w:rsidRPr="00432ABC">
        <w:rPr>
          <w:rFonts w:ascii="Verdana" w:hAnsi="Verdana"/>
          <w:sz w:val="16"/>
          <w:szCs w:val="16"/>
        </w:rPr>
        <w:t xml:space="preserve">ecomendación 1. </w:t>
      </w:r>
      <w:r w:rsidRPr="00432ABC">
        <w:rPr>
          <w:rFonts w:ascii="Verdana" w:eastAsiaTheme="minorHAnsi" w:hAnsi="Verdana"/>
          <w:bCs/>
          <w:i/>
          <w:color w:val="000000"/>
          <w:sz w:val="16"/>
          <w:szCs w:val="16"/>
          <w:shd w:val="clear" w:color="auto" w:fill="FFFFFF"/>
        </w:rPr>
        <w:t xml:space="preserve"> </w:t>
      </w:r>
      <w:r w:rsidRPr="00432ABC">
        <w:rPr>
          <w:rFonts w:ascii="Verdana" w:hAnsi="Verdana"/>
          <w:sz w:val="16"/>
          <w:szCs w:val="16"/>
        </w:rPr>
        <w:t xml:space="preserve"> </w:t>
      </w:r>
    </w:p>
  </w:footnote>
  <w:footnote w:id="86">
    <w:p w14:paraId="4EA78145" w14:textId="5BB5253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ONU. CEDAW, </w:t>
      </w:r>
      <w:r w:rsidRPr="002C462C">
        <w:rPr>
          <w:rFonts w:ascii="Verdana" w:hAnsi="Verdana"/>
          <w:i/>
          <w:sz w:val="16"/>
          <w:szCs w:val="16"/>
        </w:rPr>
        <w:t xml:space="preserve">Observacionales Finales del Comité para la Eliminación de la Discriminación contra la Mujer, </w:t>
      </w:r>
      <w:r w:rsidRPr="00432ABC">
        <w:rPr>
          <w:rFonts w:ascii="Verdana" w:hAnsi="Verdana"/>
          <w:sz w:val="16"/>
          <w:szCs w:val="16"/>
        </w:rPr>
        <w:t xml:space="preserve">CEDAW/C/MEX/CO/7-8, 7 de agosto de 2012, párr. 11, y ONU. Comité contra la Tortura, </w:t>
      </w:r>
      <w:r w:rsidRPr="00432ABC">
        <w:rPr>
          <w:rFonts w:ascii="Verdana" w:hAnsi="Verdana"/>
          <w:i/>
          <w:sz w:val="16"/>
          <w:szCs w:val="16"/>
        </w:rPr>
        <w:t xml:space="preserve">Observaciones Finales sobre los informes periódicos quinto y sexto combinados de México, adoptadas por el Comité en su 49º período de sesiones (29 de octubre a 23 de noviembre de 2012), </w:t>
      </w:r>
      <w:r w:rsidRPr="00432ABC">
        <w:rPr>
          <w:rFonts w:ascii="Verdana" w:hAnsi="Verdana"/>
          <w:sz w:val="16"/>
          <w:szCs w:val="16"/>
        </w:rPr>
        <w:t>CAT/C/MEX/CO/5-6, 11 de diciembre de 2012, párr. 14.</w:t>
      </w:r>
    </w:p>
  </w:footnote>
  <w:footnote w:id="87">
    <w:p w14:paraId="0B17157A" w14:textId="078C7245" w:rsidR="00146958" w:rsidRPr="00B71DDF" w:rsidRDefault="00146958">
      <w:pPr>
        <w:pStyle w:val="Textonotapie"/>
        <w:jc w:val="both"/>
        <w:rPr>
          <w:rFonts w:ascii="Verdana" w:hAnsi="Verdana"/>
          <w:sz w:val="16"/>
          <w:szCs w:val="16"/>
        </w:rPr>
      </w:pPr>
      <w:r w:rsidRPr="00B71DDF">
        <w:rPr>
          <w:rStyle w:val="Refdenotaalpie"/>
          <w:rFonts w:ascii="Verdana" w:hAnsi="Verdana"/>
          <w:sz w:val="16"/>
          <w:szCs w:val="16"/>
        </w:rPr>
        <w:footnoteRef/>
      </w:r>
      <w:r w:rsidRPr="00B71DDF">
        <w:rPr>
          <w:rFonts w:ascii="Verdana" w:hAnsi="Verdana"/>
          <w:sz w:val="16"/>
          <w:szCs w:val="16"/>
        </w:rPr>
        <w:t xml:space="preserve"> </w:t>
      </w:r>
      <w:r w:rsidRPr="00B71DDF">
        <w:rPr>
          <w:rFonts w:ascii="Verdana" w:hAnsi="Verdana"/>
          <w:sz w:val="16"/>
          <w:szCs w:val="16"/>
        </w:rPr>
        <w:tab/>
      </w:r>
      <w:r w:rsidRPr="00CD5C54">
        <w:rPr>
          <w:rFonts w:ascii="Verdana" w:hAnsi="Verdana"/>
          <w:i/>
          <w:sz w:val="16"/>
          <w:szCs w:val="16"/>
        </w:rPr>
        <w:t>Cfr.</w:t>
      </w:r>
      <w:r w:rsidRPr="00134B64">
        <w:rPr>
          <w:rFonts w:ascii="Verdana" w:hAnsi="Verdana"/>
          <w:sz w:val="16"/>
          <w:szCs w:val="16"/>
        </w:rPr>
        <w:t xml:space="preserve"> ONU: </w:t>
      </w:r>
      <w:r w:rsidRPr="00B71DDF">
        <w:rPr>
          <w:rFonts w:ascii="Verdana" w:hAnsi="Verdana"/>
          <w:i/>
          <w:sz w:val="16"/>
          <w:szCs w:val="16"/>
        </w:rPr>
        <w:t>Informe de la Relatora Especial sobre la Independencia de los magistrados y abogados,</w:t>
      </w:r>
      <w:r w:rsidRPr="00B71DDF">
        <w:rPr>
          <w:rFonts w:ascii="Verdana" w:hAnsi="Verdana"/>
          <w:sz w:val="16"/>
          <w:szCs w:val="16"/>
        </w:rPr>
        <w:t xml:space="preserve"> </w:t>
      </w:r>
      <w:r w:rsidRPr="001D1E2A">
        <w:rPr>
          <w:rFonts w:ascii="Verdana" w:hAnsi="Verdana"/>
          <w:i/>
          <w:sz w:val="16"/>
          <w:szCs w:val="16"/>
        </w:rPr>
        <w:t>supra</w:t>
      </w:r>
      <w:r w:rsidRPr="00134B64">
        <w:rPr>
          <w:rFonts w:ascii="Verdana" w:hAnsi="Verdana"/>
          <w:sz w:val="16"/>
          <w:szCs w:val="16"/>
        </w:rPr>
        <w:t>,</w:t>
      </w:r>
      <w:r w:rsidRPr="00B71DDF">
        <w:rPr>
          <w:rFonts w:ascii="Verdana" w:hAnsi="Verdana"/>
          <w:sz w:val="16"/>
          <w:szCs w:val="16"/>
        </w:rPr>
        <w:t xml:space="preserve"> 18 de abril de 2011, párr. 54; </w:t>
      </w:r>
      <w:r w:rsidRPr="00B71DDF">
        <w:rPr>
          <w:rFonts w:ascii="Verdana" w:hAnsi="Verdana"/>
          <w:i/>
          <w:sz w:val="16"/>
          <w:szCs w:val="16"/>
        </w:rPr>
        <w:t xml:space="preserve">Informe del Relator </w:t>
      </w:r>
      <w:r w:rsidRPr="00B71DDF">
        <w:rPr>
          <w:rFonts w:ascii="Verdana" w:eastAsiaTheme="minorHAnsi" w:hAnsi="Verdana" w:cs="Cambria"/>
          <w:i/>
          <w:sz w:val="16"/>
          <w:szCs w:val="16"/>
        </w:rPr>
        <w:t xml:space="preserve">sobre la Libertad de Expresión y Protección del Derecho a la Libertad de Opinión y Expresión, Frank La Rue. Adición, Misión a México, </w:t>
      </w:r>
      <w:r w:rsidRPr="00B71DDF">
        <w:rPr>
          <w:rFonts w:ascii="Verdana" w:eastAsiaTheme="minorHAnsi" w:hAnsi="Verdana" w:cs="Cambria"/>
          <w:sz w:val="16"/>
          <w:szCs w:val="16"/>
        </w:rPr>
        <w:t xml:space="preserve">A/HRC/17/27/Add.3, 19 de mayo de 2011, párr. 16; </w:t>
      </w:r>
      <w:r w:rsidRPr="00B71DDF">
        <w:rPr>
          <w:rFonts w:ascii="Verdana" w:eastAsiaTheme="minorHAnsi" w:hAnsi="Verdana" w:cs="Cambria"/>
          <w:i/>
          <w:sz w:val="16"/>
          <w:szCs w:val="16"/>
        </w:rPr>
        <w:t xml:space="preserve">Informe del GTDFI. Misión a México, </w:t>
      </w:r>
      <w:r w:rsidRPr="00B71DDF">
        <w:rPr>
          <w:rFonts w:ascii="Verdana" w:eastAsiaTheme="minorHAnsi" w:hAnsi="Verdana" w:cs="Cambria"/>
          <w:sz w:val="16"/>
          <w:szCs w:val="16"/>
        </w:rPr>
        <w:t xml:space="preserve">20 de diciembre de 2011, </w:t>
      </w:r>
      <w:r w:rsidRPr="00B71DDF">
        <w:rPr>
          <w:rFonts w:ascii="Verdana" w:eastAsiaTheme="minorHAnsi" w:hAnsi="Verdana" w:cs="Cambria"/>
          <w:i/>
          <w:sz w:val="16"/>
          <w:szCs w:val="16"/>
        </w:rPr>
        <w:t xml:space="preserve">supra, </w:t>
      </w:r>
      <w:r w:rsidRPr="00B71DDF">
        <w:rPr>
          <w:rFonts w:ascii="Verdana" w:eastAsiaTheme="minorHAnsi" w:hAnsi="Verdana" w:cs="Cambria"/>
          <w:sz w:val="16"/>
          <w:szCs w:val="16"/>
        </w:rPr>
        <w:t xml:space="preserve">párr.  32; </w:t>
      </w:r>
      <w:r w:rsidRPr="00B71DDF">
        <w:rPr>
          <w:rFonts w:ascii="Verdana" w:eastAsiaTheme="minorHAnsi" w:hAnsi="Verdana" w:cs="Cambria"/>
          <w:i/>
          <w:sz w:val="16"/>
          <w:szCs w:val="16"/>
        </w:rPr>
        <w:t xml:space="preserve">Informe del Relator Especial sobre la Tortura, </w:t>
      </w:r>
      <w:r w:rsidRPr="001D1E2A">
        <w:rPr>
          <w:rFonts w:ascii="Verdana" w:eastAsiaTheme="minorHAnsi" w:hAnsi="Verdana" w:cs="Cambria"/>
          <w:sz w:val="16"/>
          <w:szCs w:val="16"/>
        </w:rPr>
        <w:t xml:space="preserve">29 de diciembre de 2014, </w:t>
      </w:r>
      <w:r w:rsidRPr="00134B64">
        <w:rPr>
          <w:rFonts w:ascii="Verdana" w:eastAsiaTheme="minorHAnsi" w:hAnsi="Verdana" w:cs="Cambria"/>
          <w:sz w:val="16"/>
          <w:szCs w:val="16"/>
        </w:rPr>
        <w:t>pá</w:t>
      </w:r>
      <w:r w:rsidRPr="00B71DDF">
        <w:rPr>
          <w:rFonts w:ascii="Verdana" w:eastAsiaTheme="minorHAnsi" w:hAnsi="Verdana" w:cs="Cambria"/>
          <w:sz w:val="16"/>
          <w:szCs w:val="16"/>
        </w:rPr>
        <w:t>rrs. 32 a 34;</w:t>
      </w:r>
      <w:r w:rsidRPr="00B71DDF">
        <w:rPr>
          <w:rFonts w:ascii="Verdana" w:hAnsi="Verdana"/>
          <w:sz w:val="16"/>
          <w:szCs w:val="16"/>
        </w:rPr>
        <w:t xml:space="preserve"> GTDFI, </w:t>
      </w:r>
      <w:r w:rsidRPr="00B71DDF">
        <w:rPr>
          <w:rFonts w:ascii="Verdana" w:hAnsi="Verdana"/>
          <w:bCs/>
          <w:i/>
          <w:sz w:val="16"/>
          <w:szCs w:val="16"/>
          <w:lang w:val="es-ES"/>
        </w:rPr>
        <w:t>Seguimiento a las recomendaciones del GTDFI en su informe relativo a su visita a México del 18 al 31 de marzo de 2011</w:t>
      </w:r>
      <w:r w:rsidRPr="00B71DDF">
        <w:rPr>
          <w:rFonts w:ascii="Verdana" w:hAnsi="Verdana"/>
          <w:bCs/>
          <w:sz w:val="16"/>
          <w:szCs w:val="16"/>
          <w:lang w:val="es-ES"/>
        </w:rPr>
        <w:t xml:space="preserve">, 11 de septiembre de 2015, </w:t>
      </w:r>
      <w:r w:rsidRPr="00B71DDF">
        <w:rPr>
          <w:rFonts w:ascii="Verdana" w:hAnsi="Verdana"/>
          <w:i/>
          <w:sz w:val="16"/>
          <w:szCs w:val="16"/>
        </w:rPr>
        <w:t>supra</w:t>
      </w:r>
      <w:r w:rsidRPr="00B71DDF">
        <w:rPr>
          <w:rFonts w:ascii="Verdana" w:hAnsi="Verdana"/>
          <w:sz w:val="16"/>
          <w:szCs w:val="16"/>
        </w:rPr>
        <w:t xml:space="preserve">, párrs. 18 y 34; </w:t>
      </w:r>
      <w:r w:rsidRPr="00B71DDF">
        <w:rPr>
          <w:rFonts w:ascii="Verdana" w:hAnsi="Verdana"/>
          <w:i/>
          <w:sz w:val="16"/>
          <w:szCs w:val="16"/>
        </w:rPr>
        <w:t xml:space="preserve">Informe del Relator especial sobre las ejecuciones extrajudiciales, sumarias o arbitrarias acerca del seguimiento de su misión a México, </w:t>
      </w:r>
      <w:r w:rsidRPr="00B71DDF">
        <w:rPr>
          <w:rFonts w:ascii="Verdana" w:hAnsi="Verdana"/>
          <w:sz w:val="16"/>
          <w:szCs w:val="16"/>
        </w:rPr>
        <w:t xml:space="preserve">A/HRC/32/39/Add.2, 6 de mayo de 2016, párr. 64; </w:t>
      </w:r>
      <w:r w:rsidRPr="00B71DDF">
        <w:rPr>
          <w:rFonts w:ascii="Verdana" w:hAnsi="Verdana"/>
          <w:i/>
          <w:sz w:val="16"/>
          <w:szCs w:val="16"/>
        </w:rPr>
        <w:t xml:space="preserve">Informe de seguimiento del Relator Especial sobre la Tortura, </w:t>
      </w:r>
      <w:r w:rsidRPr="001D1E2A">
        <w:rPr>
          <w:rFonts w:ascii="Verdana" w:hAnsi="Verdana"/>
          <w:sz w:val="16"/>
          <w:szCs w:val="16"/>
        </w:rPr>
        <w:t xml:space="preserve">17 de febrero de 2017, párr. 34; CIDH/ONU. </w:t>
      </w:r>
      <w:r w:rsidRPr="00134B64">
        <w:rPr>
          <w:rFonts w:ascii="Verdana" w:hAnsi="Verdana"/>
          <w:i/>
          <w:sz w:val="16"/>
          <w:szCs w:val="16"/>
        </w:rPr>
        <w:t>Informe Especial sobre la Situació</w:t>
      </w:r>
      <w:r w:rsidRPr="00B71DDF">
        <w:rPr>
          <w:rFonts w:ascii="Verdana" w:hAnsi="Verdana"/>
          <w:i/>
          <w:sz w:val="16"/>
          <w:szCs w:val="16"/>
        </w:rPr>
        <w:t xml:space="preserve">n de la Libertad de Expresión en México, </w:t>
      </w:r>
      <w:r w:rsidRPr="00B71DDF">
        <w:rPr>
          <w:rFonts w:ascii="Verdana" w:hAnsi="Verdana"/>
          <w:sz w:val="16"/>
          <w:szCs w:val="16"/>
        </w:rPr>
        <w:t xml:space="preserve">Informe conjunto, junio de 2018, párr. 43. Disponible en </w:t>
      </w:r>
      <w:hyperlink r:id="rId31" w:history="1">
        <w:r w:rsidRPr="008D0846">
          <w:rPr>
            <w:rFonts w:ascii="Verdana" w:hAnsi="Verdana"/>
            <w:sz w:val="16"/>
            <w:szCs w:val="16"/>
          </w:rPr>
          <w:t>https://www.oas.org/es/cidh/expresion/docs/2018_06_18%20CIDH-UN_FINAL_MX_report_SPA.PDF</w:t>
        </w:r>
      </w:hyperlink>
      <w:r w:rsidRPr="008D0846">
        <w:t>, y</w:t>
      </w:r>
      <w:r w:rsidRPr="00B71DDF">
        <w:rPr>
          <w:rFonts w:ascii="Verdana" w:hAnsi="Verdana"/>
          <w:sz w:val="16"/>
          <w:szCs w:val="16"/>
        </w:rPr>
        <w:t xml:space="preserve"> ONU. </w:t>
      </w:r>
      <w:r w:rsidRPr="001D1E2A">
        <w:rPr>
          <w:rFonts w:ascii="Verdana" w:hAnsi="Verdana"/>
          <w:i/>
          <w:sz w:val="16"/>
          <w:szCs w:val="16"/>
        </w:rPr>
        <w:t>Informe de la Relatora Especial sobre los derechos de los pueblos indígenas sobre su visita a México</w:t>
      </w:r>
      <w:r w:rsidRPr="00134B64">
        <w:rPr>
          <w:rFonts w:ascii="Verdana" w:hAnsi="Verdana"/>
          <w:sz w:val="16"/>
          <w:szCs w:val="16"/>
        </w:rPr>
        <w:t xml:space="preserve">, 28 de junio de 2018, </w:t>
      </w:r>
      <w:r w:rsidRPr="00C56E31">
        <w:rPr>
          <w:rFonts w:ascii="Verdana" w:hAnsi="Verdana"/>
          <w:i/>
          <w:sz w:val="16"/>
          <w:szCs w:val="16"/>
        </w:rPr>
        <w:t>supra</w:t>
      </w:r>
      <w:r w:rsidRPr="00B71DDF">
        <w:rPr>
          <w:rFonts w:ascii="Verdana" w:hAnsi="Verdana"/>
          <w:sz w:val="16"/>
          <w:szCs w:val="16"/>
        </w:rPr>
        <w:t xml:space="preserve">, párr. 64.  </w:t>
      </w:r>
    </w:p>
  </w:footnote>
  <w:footnote w:id="88">
    <w:p w14:paraId="7BF57A34" w14:textId="0BF56CF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2C462C">
        <w:rPr>
          <w:rFonts w:ascii="Verdana" w:hAnsi="Verdana"/>
          <w:bCs/>
          <w:sz w:val="16"/>
          <w:szCs w:val="16"/>
        </w:rPr>
        <w:t>Informe del GTDFI, Misión a México</w:t>
      </w:r>
      <w:r w:rsidRPr="00432ABC">
        <w:rPr>
          <w:rFonts w:ascii="Verdana" w:hAnsi="Verdana"/>
          <w:bCs/>
          <w:i/>
          <w:sz w:val="16"/>
          <w:szCs w:val="16"/>
        </w:rPr>
        <w:t xml:space="preserve">, </w:t>
      </w:r>
      <w:r w:rsidRPr="00432ABC">
        <w:rPr>
          <w:rFonts w:ascii="Verdana" w:hAnsi="Verdana"/>
          <w:bCs/>
          <w:sz w:val="16"/>
          <w:szCs w:val="16"/>
        </w:rPr>
        <w:t xml:space="preserve">20 de diciembre de 2011, </w:t>
      </w:r>
      <w:r w:rsidRPr="00432ABC">
        <w:rPr>
          <w:rFonts w:ascii="Verdana" w:hAnsi="Verdana"/>
          <w:bCs/>
          <w:i/>
          <w:sz w:val="16"/>
          <w:szCs w:val="16"/>
        </w:rPr>
        <w:t xml:space="preserve">supra, </w:t>
      </w:r>
      <w:r w:rsidRPr="00432ABC">
        <w:rPr>
          <w:rFonts w:ascii="Verdana" w:hAnsi="Verdana"/>
          <w:bCs/>
          <w:sz w:val="16"/>
          <w:szCs w:val="16"/>
        </w:rPr>
        <w:t>párr. 76.</w:t>
      </w:r>
    </w:p>
  </w:footnote>
  <w:footnote w:id="89">
    <w:p w14:paraId="135E1D66" w14:textId="7F721C5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GTDFI, </w:t>
      </w:r>
      <w:r w:rsidRPr="002C462C">
        <w:rPr>
          <w:rFonts w:ascii="Verdana" w:hAnsi="Verdana"/>
          <w:bCs/>
          <w:i/>
          <w:sz w:val="16"/>
          <w:szCs w:val="16"/>
          <w:lang w:val="es-ES"/>
        </w:rPr>
        <w:t>Seguimiento a las recomendaciones del GTDFI</w:t>
      </w:r>
      <w:r w:rsidRPr="00432ABC">
        <w:rPr>
          <w:rFonts w:ascii="Verdana" w:hAnsi="Verdana"/>
          <w:bCs/>
          <w:i/>
          <w:sz w:val="16"/>
          <w:szCs w:val="16"/>
          <w:lang w:val="es-ES"/>
        </w:rPr>
        <w:t xml:space="preserve"> en su informe relativo a su visita a México del 18 al 31 de marzo de 2011</w:t>
      </w:r>
      <w:r w:rsidRPr="00432ABC">
        <w:rPr>
          <w:rFonts w:ascii="Verdana" w:hAnsi="Verdana"/>
          <w:bCs/>
          <w:sz w:val="16"/>
          <w:szCs w:val="16"/>
          <w:lang w:val="es-ES"/>
        </w:rPr>
        <w:t xml:space="preserve">, 11 de septiembre de 2015, </w:t>
      </w:r>
      <w:r w:rsidRPr="00432ABC">
        <w:rPr>
          <w:rFonts w:ascii="Verdana" w:hAnsi="Verdana"/>
          <w:i/>
          <w:sz w:val="16"/>
          <w:szCs w:val="16"/>
        </w:rPr>
        <w:t>supra</w:t>
      </w:r>
      <w:r w:rsidRPr="00432ABC">
        <w:rPr>
          <w:rFonts w:ascii="Verdana" w:hAnsi="Verdana"/>
          <w:sz w:val="16"/>
          <w:szCs w:val="16"/>
        </w:rPr>
        <w:t xml:space="preserve">, párr. 18.  </w:t>
      </w:r>
      <w:r w:rsidRPr="00432ABC">
        <w:rPr>
          <w:rFonts w:ascii="Verdana" w:eastAsiaTheme="minorHAnsi" w:hAnsi="Verdana"/>
          <w:sz w:val="16"/>
          <w:szCs w:val="16"/>
        </w:rPr>
        <w:t xml:space="preserve">En el mismo sentido, </w:t>
      </w:r>
      <w:r w:rsidRPr="00CD5C54">
        <w:rPr>
          <w:rFonts w:ascii="Verdana" w:eastAsiaTheme="minorHAnsi" w:hAnsi="Verdana"/>
          <w:i/>
          <w:sz w:val="16"/>
          <w:szCs w:val="16"/>
        </w:rPr>
        <w:t>Cfr.</w:t>
      </w:r>
      <w:r w:rsidRPr="00432ABC">
        <w:rPr>
          <w:rFonts w:ascii="Verdana" w:eastAsiaTheme="minorHAnsi" w:hAnsi="Verdana"/>
          <w:sz w:val="16"/>
          <w:szCs w:val="16"/>
        </w:rPr>
        <w:t xml:space="preserve"> </w:t>
      </w:r>
      <w:r w:rsidRPr="00432ABC">
        <w:rPr>
          <w:rFonts w:ascii="Verdana" w:hAnsi="Verdana"/>
          <w:sz w:val="16"/>
          <w:szCs w:val="16"/>
        </w:rPr>
        <w:t xml:space="preserve">Declaración pericial de Gabriella Citroni rendida </w:t>
      </w:r>
      <w:r>
        <w:rPr>
          <w:rFonts w:ascii="Verdana" w:hAnsi="Verdana"/>
          <w:sz w:val="16"/>
          <w:szCs w:val="16"/>
        </w:rPr>
        <w:t>el</w:t>
      </w:r>
      <w:r w:rsidRPr="00432ABC">
        <w:rPr>
          <w:rFonts w:ascii="Verdana" w:hAnsi="Verdana"/>
          <w:sz w:val="16"/>
          <w:szCs w:val="16"/>
        </w:rPr>
        <w:t xml:space="preserve"> 18 de abril de 2018</w:t>
      </w:r>
      <w:r w:rsidRPr="00432ABC">
        <w:rPr>
          <w:rFonts w:ascii="Verdana" w:hAnsi="Verdana"/>
          <w:i/>
          <w:sz w:val="16"/>
          <w:szCs w:val="16"/>
        </w:rPr>
        <w:t>, supra</w:t>
      </w:r>
      <w:r>
        <w:rPr>
          <w:rFonts w:ascii="Verdana" w:hAnsi="Verdana"/>
          <w:i/>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31059</w:t>
      </w:r>
      <w:r>
        <w:rPr>
          <w:rFonts w:ascii="Verdana" w:hAnsi="Verdana"/>
          <w:sz w:val="16"/>
          <w:szCs w:val="16"/>
        </w:rPr>
        <w:t>)</w:t>
      </w:r>
      <w:r w:rsidRPr="00432ABC">
        <w:rPr>
          <w:rFonts w:ascii="Verdana" w:hAnsi="Verdana"/>
          <w:sz w:val="16"/>
          <w:szCs w:val="16"/>
        </w:rPr>
        <w:t xml:space="preserve">; Declaración rendida </w:t>
      </w:r>
      <w:r>
        <w:rPr>
          <w:rFonts w:ascii="Verdana" w:hAnsi="Verdana"/>
          <w:sz w:val="16"/>
          <w:szCs w:val="16"/>
        </w:rPr>
        <w:t>en la Audiencia Pública</w:t>
      </w:r>
      <w:r w:rsidRPr="00432ABC">
        <w:rPr>
          <w:rFonts w:ascii="Verdana" w:hAnsi="Verdana"/>
          <w:sz w:val="16"/>
          <w:szCs w:val="16"/>
        </w:rPr>
        <w:t xml:space="preserve"> ante la Corte por el perito Federico Andreu Guzmán, </w:t>
      </w:r>
      <w:r w:rsidRPr="00432ABC">
        <w:rPr>
          <w:rFonts w:ascii="Verdana" w:hAnsi="Verdana"/>
          <w:i/>
          <w:sz w:val="16"/>
          <w:szCs w:val="16"/>
        </w:rPr>
        <w:t>supra</w:t>
      </w:r>
      <w:r w:rsidRPr="00432ABC">
        <w:rPr>
          <w:rFonts w:ascii="Verdana" w:hAnsi="Verdana"/>
          <w:sz w:val="16"/>
          <w:szCs w:val="16"/>
        </w:rPr>
        <w:t xml:space="preserve">, pág. 81, y Declaración rendida </w:t>
      </w:r>
      <w:r>
        <w:rPr>
          <w:rFonts w:ascii="Verdana" w:hAnsi="Verdana"/>
          <w:sz w:val="16"/>
          <w:szCs w:val="16"/>
        </w:rPr>
        <w:t>en la Audiencia Pública</w:t>
      </w:r>
      <w:r w:rsidRPr="00432ABC">
        <w:rPr>
          <w:rFonts w:ascii="Verdana" w:hAnsi="Verdana"/>
          <w:sz w:val="16"/>
          <w:szCs w:val="16"/>
        </w:rPr>
        <w:t xml:space="preserve"> ante la Corte por el perito Salvador Salazar Gutiérrez, </w:t>
      </w:r>
      <w:r w:rsidRPr="00432ABC">
        <w:rPr>
          <w:rFonts w:ascii="Verdana" w:hAnsi="Verdana"/>
          <w:i/>
          <w:sz w:val="16"/>
          <w:szCs w:val="16"/>
        </w:rPr>
        <w:t>supra,</w:t>
      </w:r>
      <w:r w:rsidRPr="00432ABC">
        <w:rPr>
          <w:rFonts w:ascii="Verdana" w:hAnsi="Verdana"/>
          <w:sz w:val="16"/>
          <w:szCs w:val="16"/>
        </w:rPr>
        <w:t xml:space="preserve"> pág. 110.</w:t>
      </w:r>
    </w:p>
  </w:footnote>
  <w:footnote w:id="90">
    <w:p w14:paraId="1C9A89E1" w14:textId="26B547F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ONU. Comité contra la Desaparición Forzada, </w:t>
      </w:r>
      <w:r w:rsidRPr="00432ABC">
        <w:rPr>
          <w:rFonts w:ascii="Verdana" w:hAnsi="Verdana"/>
          <w:i/>
          <w:sz w:val="16"/>
          <w:szCs w:val="16"/>
        </w:rPr>
        <w:t xml:space="preserve">Observaciones finales sobre el informe presentado por México en virtud del artículo 29, párrafo 1, de la Convención [Internacional para la Protección de Todas las Personas contras las Desapariciones Forzadas], </w:t>
      </w:r>
      <w:r w:rsidRPr="00432ABC">
        <w:rPr>
          <w:rFonts w:ascii="Verdana" w:hAnsi="Verdana"/>
          <w:sz w:val="16"/>
          <w:szCs w:val="16"/>
        </w:rPr>
        <w:t xml:space="preserve">CED/C/MEX/CO/1, 5 de marzo de 2015, párr. 27. En el mismo sentido: </w:t>
      </w:r>
      <w:r w:rsidRPr="00CD5C54">
        <w:rPr>
          <w:rFonts w:ascii="Verdana" w:hAnsi="Verdana"/>
          <w:i/>
          <w:sz w:val="16"/>
          <w:szCs w:val="16"/>
          <w:lang w:val="es-CR"/>
        </w:rPr>
        <w:t>Cfr.</w:t>
      </w:r>
      <w:r w:rsidRPr="00432ABC">
        <w:rPr>
          <w:rFonts w:ascii="Verdana" w:hAnsi="Verdana"/>
          <w:i/>
          <w:sz w:val="16"/>
          <w:szCs w:val="16"/>
          <w:lang w:val="es-CR"/>
        </w:rPr>
        <w:t xml:space="preserve"> </w:t>
      </w:r>
      <w:r w:rsidRPr="00432ABC">
        <w:rPr>
          <w:rFonts w:ascii="Verdana" w:hAnsi="Verdana"/>
          <w:sz w:val="16"/>
          <w:szCs w:val="16"/>
          <w:lang w:val="es-CR"/>
        </w:rPr>
        <w:t xml:space="preserve">CNDH, </w:t>
      </w:r>
      <w:r w:rsidRPr="00432ABC">
        <w:rPr>
          <w:rFonts w:ascii="Verdana" w:hAnsi="Verdana"/>
          <w:i/>
          <w:sz w:val="16"/>
          <w:szCs w:val="16"/>
          <w:lang w:val="es-CR"/>
        </w:rPr>
        <w:t xml:space="preserve">Informe Especial sobre Desaparición de Personas y Fosas Clandestinas en México, supra, </w:t>
      </w:r>
      <w:r w:rsidRPr="00432ABC">
        <w:rPr>
          <w:rFonts w:ascii="Verdana" w:hAnsi="Verdana"/>
          <w:sz w:val="16"/>
          <w:szCs w:val="16"/>
          <w:lang w:val="es-CR"/>
        </w:rPr>
        <w:t>párrs. 12, 14, 22 y 96.</w:t>
      </w:r>
    </w:p>
  </w:footnote>
  <w:footnote w:id="91">
    <w:p w14:paraId="64AA6182" w14:textId="3A51962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del Equipo Internacional de Peritos [EIP], rendido en el marco de asistencia a la Fiscalía General del Estado de Chihuahua [FGE - Chihuahua], de 31 de marzo de 2015 (expediente de prueba,</w:t>
      </w:r>
      <w:r>
        <w:rPr>
          <w:rFonts w:ascii="Verdana" w:hAnsi="Verdana"/>
          <w:sz w:val="16"/>
          <w:szCs w:val="16"/>
        </w:rPr>
        <w:t xml:space="preserve"> </w:t>
      </w:r>
      <w:r w:rsidRPr="002C462C">
        <w:rPr>
          <w:rFonts w:ascii="Verdana" w:hAnsi="Verdana"/>
          <w:sz w:val="16"/>
          <w:szCs w:val="16"/>
        </w:rPr>
        <w:t xml:space="preserve">f. 28882), y Declaración rendida </w:t>
      </w:r>
      <w:r>
        <w:rPr>
          <w:rFonts w:ascii="Verdana" w:hAnsi="Verdana"/>
          <w:sz w:val="16"/>
          <w:szCs w:val="16"/>
        </w:rPr>
        <w:t xml:space="preserve">en la Audiencia Pública </w:t>
      </w:r>
      <w:r w:rsidRPr="002C462C">
        <w:rPr>
          <w:rFonts w:ascii="Verdana" w:hAnsi="Verdana"/>
          <w:sz w:val="16"/>
          <w:szCs w:val="16"/>
        </w:rPr>
        <w:t>ante la Corte por el perito Carlos Rodrí</w:t>
      </w:r>
      <w:r w:rsidRPr="00432ABC">
        <w:rPr>
          <w:rFonts w:ascii="Verdana" w:hAnsi="Verdana"/>
          <w:sz w:val="16"/>
          <w:szCs w:val="16"/>
        </w:rPr>
        <w:t>guez Ulloa, especialista en seguridad, el 26 de abril de 2018  (Transcripción de la Audiencia Pública, págs. 131 a 132).</w:t>
      </w:r>
    </w:p>
  </w:footnote>
  <w:footnote w:id="92">
    <w:p w14:paraId="64AA6183" w14:textId="698A6B4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pericial del GIASF rendida el 19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31143</w:t>
      </w:r>
      <w:r>
        <w:rPr>
          <w:rFonts w:ascii="Verdana" w:hAnsi="Verdana"/>
          <w:sz w:val="16"/>
          <w:szCs w:val="16"/>
        </w:rPr>
        <w:t>)</w:t>
      </w:r>
      <w:r w:rsidRPr="00432ABC">
        <w:rPr>
          <w:rFonts w:ascii="Verdana" w:hAnsi="Verdana"/>
          <w:sz w:val="16"/>
          <w:szCs w:val="16"/>
        </w:rPr>
        <w:t>.</w:t>
      </w:r>
    </w:p>
  </w:footnote>
  <w:footnote w:id="93">
    <w:p w14:paraId="64AA6184" w14:textId="54CE4EA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emitido por el Centro de Planeación, Análisis e Información para el Combate a la Delincuencia [CENAPI – PGR] sobre el </w:t>
      </w:r>
      <w:r w:rsidRPr="002C462C">
        <w:rPr>
          <w:rFonts w:ascii="Verdana" w:hAnsi="Verdana"/>
          <w:i/>
          <w:sz w:val="16"/>
          <w:szCs w:val="16"/>
        </w:rPr>
        <w:t>Caso Alvarado Espinoza y Otros Vs. México</w:t>
      </w:r>
      <w:r w:rsidRPr="00432ABC">
        <w:rPr>
          <w:rFonts w:ascii="Verdana" w:hAnsi="Verdana"/>
          <w:sz w:val="16"/>
          <w:szCs w:val="16"/>
        </w:rPr>
        <w:t xml:space="preserve"> el 13 de octubre de 2017 (expediente de prueba, f. 28510), y Declaración de </w:t>
      </w:r>
      <w:r>
        <w:rPr>
          <w:rFonts w:ascii="Verdana" w:hAnsi="Verdana"/>
          <w:sz w:val="16"/>
          <w:szCs w:val="16"/>
        </w:rPr>
        <w:t xml:space="preserve">José </w:t>
      </w:r>
      <w:r w:rsidRPr="00432ABC">
        <w:rPr>
          <w:rFonts w:ascii="Verdana" w:hAnsi="Verdana"/>
          <w:sz w:val="16"/>
          <w:szCs w:val="16"/>
        </w:rPr>
        <w:t xml:space="preserve">Emilio Serrano Santiago, Director General de Análisis del CENAPI – PGR, rendida el 12 de abril de 2018 ante la Agente del Ministerio Público de la Federación [AMPF] adscrita a la Fiscalía Especializada en Investigación de los Delitos de Desaparición Forzada de la PGR [FEIDDF - PGR] (expediente de prueba, </w:t>
      </w:r>
      <w:r w:rsidRPr="00453199">
        <w:rPr>
          <w:rFonts w:ascii="Verdana" w:hAnsi="Verdana"/>
          <w:i/>
          <w:sz w:val="16"/>
        </w:rPr>
        <w:t>Affidávits</w:t>
      </w:r>
      <w:r w:rsidRPr="00432ABC">
        <w:rPr>
          <w:rFonts w:ascii="Verdana" w:hAnsi="Verdana"/>
          <w:sz w:val="16"/>
          <w:szCs w:val="16"/>
        </w:rPr>
        <w:t>, f. 31195).</w:t>
      </w:r>
    </w:p>
  </w:footnote>
  <w:footnote w:id="94">
    <w:p w14:paraId="64AA6185" w14:textId="44C16CE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pericial del GIASF, rendida el 19 de abril de 2018, </w:t>
      </w:r>
      <w:r w:rsidRPr="002C462C">
        <w:rPr>
          <w:rFonts w:ascii="Verdana" w:hAnsi="Verdana"/>
          <w:i/>
          <w:sz w:val="16"/>
          <w:szCs w:val="16"/>
        </w:rPr>
        <w:t>supr</w:t>
      </w:r>
      <w:r w:rsidRPr="00432ABC">
        <w:rPr>
          <w:rFonts w:ascii="Verdana" w:hAnsi="Verdana"/>
          <w:i/>
          <w:sz w:val="16"/>
          <w:szCs w:val="16"/>
        </w:rPr>
        <w:t>a</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ff. 31142 a 31143</w:t>
      </w:r>
      <w:r>
        <w:rPr>
          <w:rFonts w:ascii="Verdana" w:hAnsi="Verdana"/>
          <w:sz w:val="16"/>
          <w:szCs w:val="16"/>
        </w:rPr>
        <w:t>)</w:t>
      </w:r>
      <w:r w:rsidRPr="00432ABC">
        <w:rPr>
          <w:rFonts w:ascii="Verdana" w:hAnsi="Verdana"/>
          <w:sz w:val="16"/>
          <w:szCs w:val="16"/>
        </w:rPr>
        <w:t xml:space="preserve">, e Informe emitido por el CENAPI – PGR sobre el </w:t>
      </w:r>
      <w:r w:rsidRPr="00432ABC">
        <w:rPr>
          <w:rFonts w:ascii="Verdana" w:hAnsi="Verdana"/>
          <w:i/>
          <w:sz w:val="16"/>
          <w:szCs w:val="16"/>
        </w:rPr>
        <w:t>Caso Alvarado Espinoza y Otros Vs. México</w:t>
      </w:r>
      <w:r w:rsidRPr="00432ABC">
        <w:rPr>
          <w:rFonts w:ascii="Verdana" w:hAnsi="Verdana"/>
          <w:sz w:val="16"/>
          <w:szCs w:val="16"/>
        </w:rPr>
        <w:t xml:space="preserve"> el 13 de octubre de 2017,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28517</w:t>
      </w:r>
      <w:r>
        <w:rPr>
          <w:rFonts w:ascii="Verdana" w:hAnsi="Verdana"/>
          <w:sz w:val="16"/>
          <w:szCs w:val="16"/>
        </w:rPr>
        <w:t>)</w:t>
      </w:r>
      <w:r w:rsidRPr="00432ABC">
        <w:rPr>
          <w:rFonts w:ascii="Verdana" w:hAnsi="Verdana"/>
          <w:sz w:val="16"/>
          <w:szCs w:val="16"/>
        </w:rPr>
        <w:t>.</w:t>
      </w:r>
    </w:p>
  </w:footnote>
  <w:footnote w:id="95">
    <w:p w14:paraId="64AA6186" w14:textId="52F617C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pericial del GIASF rendida el 19 de abril de 2018, </w:t>
      </w:r>
      <w:r w:rsidRPr="002C462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afidávits, </w:t>
      </w:r>
      <w:r w:rsidRPr="00432ABC">
        <w:rPr>
          <w:rFonts w:ascii="Verdana" w:hAnsi="Verdana"/>
          <w:sz w:val="16"/>
          <w:szCs w:val="16"/>
        </w:rPr>
        <w:t>ff. 31146 a 31147 y 31153</w:t>
      </w:r>
      <w:r>
        <w:rPr>
          <w:rFonts w:ascii="Verdana" w:hAnsi="Verdana"/>
          <w:sz w:val="16"/>
          <w:szCs w:val="16"/>
        </w:rPr>
        <w:t>)</w:t>
      </w:r>
      <w:r w:rsidRPr="00432ABC">
        <w:rPr>
          <w:rFonts w:ascii="Verdana" w:hAnsi="Verdana"/>
          <w:sz w:val="16"/>
          <w:szCs w:val="16"/>
        </w:rPr>
        <w:t>.</w:t>
      </w:r>
    </w:p>
  </w:footnote>
  <w:footnote w:id="96">
    <w:p w14:paraId="64AA6187" w14:textId="324609C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El </w:t>
      </w:r>
      <w:r>
        <w:rPr>
          <w:rFonts w:ascii="Verdana" w:hAnsi="Verdana"/>
          <w:sz w:val="16"/>
          <w:szCs w:val="16"/>
        </w:rPr>
        <w:t>Equipo Internacional de Peritos [</w:t>
      </w:r>
      <w:r w:rsidRPr="00432ABC">
        <w:rPr>
          <w:rFonts w:ascii="Verdana" w:hAnsi="Verdana"/>
          <w:sz w:val="16"/>
          <w:szCs w:val="16"/>
        </w:rPr>
        <w:t>EIP</w:t>
      </w:r>
      <w:r>
        <w:rPr>
          <w:rFonts w:ascii="Verdana" w:hAnsi="Verdana"/>
          <w:sz w:val="16"/>
          <w:szCs w:val="16"/>
        </w:rPr>
        <w:t>]</w:t>
      </w:r>
      <w:r w:rsidRPr="00432ABC">
        <w:rPr>
          <w:rFonts w:ascii="Verdana" w:hAnsi="Verdana"/>
          <w:sz w:val="16"/>
          <w:szCs w:val="16"/>
        </w:rPr>
        <w:t xml:space="preserve"> concluyó que para la comprensión de las circunstancias en que ocurrieron los hechos del caso concreto</w:t>
      </w:r>
      <w:r>
        <w:rPr>
          <w:rFonts w:ascii="Verdana" w:hAnsi="Verdana"/>
          <w:sz w:val="16"/>
          <w:szCs w:val="16"/>
        </w:rPr>
        <w:t>,</w:t>
      </w:r>
      <w:r w:rsidRPr="00432ABC">
        <w:rPr>
          <w:rFonts w:ascii="Verdana" w:hAnsi="Verdana"/>
          <w:sz w:val="16"/>
          <w:szCs w:val="16"/>
        </w:rPr>
        <w:t xml:space="preserve"> deben tomarse en cuenta, entre otros factores, “la orografía altamente accidentada y los diferentes tipos de clima y suelo [que] dificultan el acceso, limitan la cobertura por parte de las instituciones de seguridad y justicia del Estado, y la han convertido en un área estratégica para el cultivo, procesamiento y tráfico de narcóticos […]”. </w:t>
      </w:r>
      <w:r w:rsidRPr="00CD5C54">
        <w:rPr>
          <w:rFonts w:ascii="Verdana" w:hAnsi="Verdana"/>
          <w:i/>
          <w:sz w:val="16"/>
          <w:szCs w:val="16"/>
        </w:rPr>
        <w:t>Cfr.</w:t>
      </w:r>
      <w:r w:rsidRPr="002C462C">
        <w:rPr>
          <w:rFonts w:ascii="Verdana" w:hAnsi="Verdana"/>
          <w:sz w:val="16"/>
          <w:szCs w:val="16"/>
        </w:rPr>
        <w:t xml:space="preserve"> Informe del EIP rendido en</w:t>
      </w:r>
      <w:r w:rsidRPr="00432ABC">
        <w:rPr>
          <w:rFonts w:ascii="Verdana" w:hAnsi="Verdana"/>
          <w:sz w:val="16"/>
          <w:szCs w:val="16"/>
        </w:rPr>
        <w:t xml:space="preserve"> el marco de asistencia a la FGE - Chihuahua de 31 de marzo de 2015,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28882</w:t>
      </w:r>
      <w:r>
        <w:rPr>
          <w:rFonts w:ascii="Verdana" w:hAnsi="Verdana"/>
          <w:sz w:val="16"/>
          <w:szCs w:val="16"/>
        </w:rPr>
        <w:t>)</w:t>
      </w:r>
      <w:r w:rsidRPr="00432ABC">
        <w:rPr>
          <w:rFonts w:ascii="Verdana" w:hAnsi="Verdana"/>
          <w:sz w:val="16"/>
          <w:szCs w:val="16"/>
        </w:rPr>
        <w:t>.</w:t>
      </w:r>
    </w:p>
  </w:footnote>
  <w:footnote w:id="97">
    <w:p w14:paraId="64AA6188" w14:textId="63BD2A5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De acuerdo con el GIASF, dichos factores incluyen “su trayectoria de lucha en la defensa de sus recursos y sus derechos agrarios y una identidad fuertemente relacionada con el arraigo a la tierra y el trabajo del campo […] procesos organizativos y por las diversas manifestaciones de violencia social y política que han impactado las dinámicas ejidales”. </w:t>
      </w:r>
      <w:r w:rsidRPr="00CD5C54">
        <w:rPr>
          <w:rFonts w:ascii="Verdana" w:hAnsi="Verdana"/>
          <w:i/>
          <w:sz w:val="16"/>
          <w:szCs w:val="16"/>
        </w:rPr>
        <w:t>Cfr.</w:t>
      </w:r>
      <w:r>
        <w:rPr>
          <w:rFonts w:ascii="Verdana" w:hAnsi="Verdana"/>
          <w:i/>
          <w:sz w:val="16"/>
          <w:szCs w:val="16"/>
        </w:rPr>
        <w:t xml:space="preserve"> </w:t>
      </w:r>
      <w:r w:rsidRPr="00432ABC">
        <w:rPr>
          <w:rFonts w:ascii="Verdana" w:hAnsi="Verdana"/>
          <w:sz w:val="16"/>
          <w:szCs w:val="16"/>
        </w:rPr>
        <w:t xml:space="preserve">Declaración pericial del GIASF rendida </w:t>
      </w:r>
      <w:r>
        <w:rPr>
          <w:rFonts w:ascii="Verdana" w:hAnsi="Verdana"/>
          <w:sz w:val="16"/>
          <w:szCs w:val="16"/>
        </w:rPr>
        <w:t>el</w:t>
      </w:r>
      <w:r w:rsidRPr="00432ABC">
        <w:rPr>
          <w:rFonts w:ascii="Verdana" w:hAnsi="Verdana"/>
          <w:sz w:val="16"/>
          <w:szCs w:val="16"/>
        </w:rPr>
        <w:t xml:space="preserve"> 19</w:t>
      </w:r>
      <w:r w:rsidRPr="002C462C">
        <w:rPr>
          <w:rFonts w:ascii="Verdana" w:hAnsi="Verdana"/>
          <w:sz w:val="16"/>
          <w:szCs w:val="16"/>
        </w:rPr>
        <w:t xml:space="preserve">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ff. 31145</w:t>
      </w:r>
      <w:r>
        <w:rPr>
          <w:rFonts w:ascii="Verdana" w:hAnsi="Verdana"/>
          <w:sz w:val="16"/>
          <w:szCs w:val="16"/>
        </w:rPr>
        <w:t>)</w:t>
      </w:r>
      <w:r w:rsidRPr="00432ABC">
        <w:rPr>
          <w:rFonts w:ascii="Verdana" w:hAnsi="Verdana"/>
          <w:sz w:val="16"/>
          <w:szCs w:val="16"/>
        </w:rPr>
        <w:t>.</w:t>
      </w:r>
    </w:p>
  </w:footnote>
  <w:footnote w:id="98">
    <w:p w14:paraId="64AA6189" w14:textId="1AB1B9C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emitido por el CENAPI – PGR </w:t>
      </w:r>
      <w:r w:rsidRPr="00432ABC">
        <w:rPr>
          <w:rFonts w:ascii="Verdana" w:hAnsi="Verdana"/>
          <w:sz w:val="16"/>
          <w:szCs w:val="16"/>
        </w:rPr>
        <w:t xml:space="preserve">el 13 de octubre de 2017,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28511</w:t>
      </w:r>
      <w:r>
        <w:rPr>
          <w:rFonts w:ascii="Verdana" w:hAnsi="Verdana"/>
          <w:sz w:val="16"/>
          <w:szCs w:val="16"/>
        </w:rPr>
        <w:t>)</w:t>
      </w:r>
      <w:r w:rsidRPr="00432ABC">
        <w:rPr>
          <w:rFonts w:ascii="Verdana" w:hAnsi="Verdana"/>
          <w:sz w:val="16"/>
          <w:szCs w:val="16"/>
        </w:rPr>
        <w:t>. En dicho documento</w:t>
      </w:r>
      <w:r>
        <w:rPr>
          <w:rFonts w:ascii="Verdana" w:hAnsi="Verdana"/>
          <w:sz w:val="16"/>
          <w:szCs w:val="16"/>
        </w:rPr>
        <w:t>,</w:t>
      </w:r>
      <w:r w:rsidRPr="00432ABC">
        <w:rPr>
          <w:rFonts w:ascii="Verdana" w:hAnsi="Verdana"/>
          <w:sz w:val="16"/>
          <w:szCs w:val="16"/>
        </w:rPr>
        <w:t xml:space="preserve"> se señal</w:t>
      </w:r>
      <w:r>
        <w:rPr>
          <w:rFonts w:ascii="Verdana" w:hAnsi="Verdana"/>
          <w:sz w:val="16"/>
          <w:szCs w:val="16"/>
        </w:rPr>
        <w:t>ó</w:t>
      </w:r>
      <w:r w:rsidRPr="00432ABC">
        <w:rPr>
          <w:rFonts w:ascii="Verdana" w:hAnsi="Verdana"/>
          <w:sz w:val="16"/>
          <w:szCs w:val="16"/>
        </w:rPr>
        <w:t xml:space="preserve"> que las principales organizaciones del crimen organizado que se encuentran en disputa por el dominio territorial del Estado de Chihuahua, además de las organizaciones del “Carrillo Fuentes” y ”Pacífico”, son sus respectivos “brazos armados” conocidos como “La Línea” y la pandilla de “Los Aztecas”, por un lado, y por el otro, el grupo criminal denominado ”Gente Nueva” y las pandillas conocidas como “Los Mexicles” y ”Artistas Asesinos”. En el mismo sentido, </w:t>
      </w:r>
      <w:r w:rsidRPr="00CD5C54">
        <w:rPr>
          <w:rFonts w:ascii="Verdana" w:hAnsi="Verdana"/>
          <w:i/>
          <w:sz w:val="16"/>
          <w:szCs w:val="16"/>
        </w:rPr>
        <w:t>Cfr.</w:t>
      </w:r>
      <w:r w:rsidRPr="00432ABC">
        <w:rPr>
          <w:rFonts w:ascii="Verdana" w:hAnsi="Verdana"/>
          <w:sz w:val="16"/>
          <w:szCs w:val="16"/>
        </w:rPr>
        <w:t xml:space="preserve"> Declaración rendida </w:t>
      </w:r>
      <w:r>
        <w:rPr>
          <w:rFonts w:ascii="Verdana" w:hAnsi="Verdana"/>
          <w:sz w:val="16"/>
          <w:szCs w:val="16"/>
        </w:rPr>
        <w:t xml:space="preserve">en la Audiencia Pública </w:t>
      </w:r>
      <w:r w:rsidRPr="00432ABC">
        <w:rPr>
          <w:rFonts w:ascii="Verdana" w:hAnsi="Verdana"/>
          <w:sz w:val="16"/>
          <w:szCs w:val="16"/>
        </w:rPr>
        <w:t>ante la Corte por el perito Carlos Rodríguez Ulloa</w:t>
      </w:r>
      <w:r>
        <w:rPr>
          <w:rFonts w:ascii="Verdana" w:hAnsi="Verdana"/>
          <w:sz w:val="16"/>
          <w:szCs w:val="16"/>
        </w:rPr>
        <w:t>,</w:t>
      </w:r>
      <w:r w:rsidRPr="00432ABC">
        <w:rPr>
          <w:rFonts w:ascii="Verdana" w:hAnsi="Verdana"/>
          <w:sz w:val="16"/>
          <w:szCs w:val="16"/>
        </w:rPr>
        <w:t xml:space="preserve"> el 26 de abril de 2018, </w:t>
      </w:r>
      <w:r w:rsidRPr="00432ABC">
        <w:rPr>
          <w:rFonts w:ascii="Verdana" w:hAnsi="Verdana"/>
          <w:i/>
          <w:sz w:val="16"/>
          <w:szCs w:val="16"/>
        </w:rPr>
        <w:t xml:space="preserve">supra, </w:t>
      </w:r>
      <w:r w:rsidRPr="00432ABC">
        <w:rPr>
          <w:rFonts w:ascii="Verdana" w:hAnsi="Verdana"/>
          <w:sz w:val="16"/>
          <w:szCs w:val="16"/>
        </w:rPr>
        <w:t>pág.</w:t>
      </w:r>
      <w:r>
        <w:rPr>
          <w:rFonts w:ascii="Verdana" w:hAnsi="Verdana"/>
          <w:sz w:val="16"/>
          <w:szCs w:val="16"/>
        </w:rPr>
        <w:t xml:space="preserve"> 131-134.</w:t>
      </w:r>
    </w:p>
  </w:footnote>
  <w:footnote w:id="99">
    <w:p w14:paraId="64AA618A" w14:textId="5E81B6E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emitido por CENAPI – PGR </w:t>
      </w:r>
      <w:r w:rsidRPr="00432ABC">
        <w:rPr>
          <w:rFonts w:ascii="Verdana" w:hAnsi="Verdana"/>
          <w:sz w:val="16"/>
          <w:szCs w:val="16"/>
        </w:rPr>
        <w:t xml:space="preserve">el 13 de octubre de 2017,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28517</w:t>
      </w:r>
      <w:r>
        <w:rPr>
          <w:rFonts w:ascii="Verdana" w:hAnsi="Verdana"/>
          <w:sz w:val="16"/>
          <w:szCs w:val="16"/>
        </w:rPr>
        <w:t>)</w:t>
      </w:r>
      <w:r w:rsidRPr="00432ABC">
        <w:rPr>
          <w:rFonts w:ascii="Verdana" w:hAnsi="Verdana"/>
          <w:sz w:val="16"/>
          <w:szCs w:val="16"/>
        </w:rPr>
        <w:t xml:space="preserve">, y Declaración de José Emilio Serrano Santiago, Director General de Análisis Nacional y Encargado de la Dirección General de Análisis contra la Delincuencia en el CENAPI - PGR rendida el 12 de abril de 2018 ante la AMPF de la FEIDDF - PGR,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31197</w:t>
      </w:r>
      <w:r>
        <w:rPr>
          <w:rFonts w:ascii="Verdana" w:hAnsi="Verdana"/>
          <w:sz w:val="16"/>
          <w:szCs w:val="16"/>
        </w:rPr>
        <w:t>)</w:t>
      </w:r>
      <w:r w:rsidRPr="00432ABC">
        <w:rPr>
          <w:rFonts w:ascii="Verdana" w:hAnsi="Verdana"/>
          <w:sz w:val="16"/>
          <w:szCs w:val="16"/>
        </w:rPr>
        <w:t>.</w:t>
      </w:r>
    </w:p>
  </w:footnote>
  <w:footnote w:id="100">
    <w:p w14:paraId="64AA618B" w14:textId="43517E5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emitido por el CENAPI – PGR </w:t>
      </w:r>
      <w:r w:rsidRPr="00432ABC">
        <w:rPr>
          <w:rFonts w:ascii="Verdana" w:hAnsi="Verdana"/>
          <w:sz w:val="16"/>
          <w:szCs w:val="16"/>
        </w:rPr>
        <w:t xml:space="preserve">el 13 de octubre de 2017, </w:t>
      </w:r>
      <w:r w:rsidRPr="009B6C7B">
        <w:rPr>
          <w:rFonts w:ascii="Verdana" w:hAnsi="Verdana"/>
          <w:i/>
          <w:sz w:val="16"/>
        </w:rPr>
        <w:t>supra</w:t>
      </w:r>
      <w:r>
        <w:rPr>
          <w:rFonts w:ascii="Verdana" w:hAnsi="Verdana"/>
          <w:i/>
          <w:sz w:val="16"/>
          <w:szCs w:val="16"/>
        </w:rPr>
        <w:t xml:space="preserve"> </w:t>
      </w:r>
      <w:r>
        <w:rPr>
          <w:rFonts w:ascii="Verdana" w:hAnsi="Verdana"/>
          <w:sz w:val="16"/>
          <w:szCs w:val="16"/>
        </w:rPr>
        <w:t>(expediente de prueba,</w:t>
      </w:r>
      <w:r w:rsidRPr="00432ABC">
        <w:rPr>
          <w:rFonts w:ascii="Verdana" w:hAnsi="Verdana"/>
          <w:i/>
          <w:sz w:val="16"/>
          <w:szCs w:val="16"/>
        </w:rPr>
        <w:t xml:space="preserve"> </w:t>
      </w:r>
      <w:r w:rsidRPr="00432ABC">
        <w:rPr>
          <w:rFonts w:ascii="Verdana" w:hAnsi="Verdana"/>
          <w:sz w:val="16"/>
          <w:szCs w:val="16"/>
        </w:rPr>
        <w:t>ff. 28511, 28513 y 28519</w:t>
      </w:r>
      <w:r>
        <w:rPr>
          <w:rFonts w:ascii="Verdana" w:hAnsi="Verdana"/>
          <w:sz w:val="16"/>
          <w:szCs w:val="16"/>
        </w:rPr>
        <w:t>)</w:t>
      </w:r>
      <w:r w:rsidRPr="00432ABC">
        <w:rPr>
          <w:rFonts w:ascii="Verdana" w:hAnsi="Verdana"/>
          <w:sz w:val="16"/>
          <w:szCs w:val="16"/>
        </w:rPr>
        <w:t xml:space="preserve">. </w:t>
      </w:r>
    </w:p>
  </w:footnote>
  <w:footnote w:id="101">
    <w:p w14:paraId="64AA618C" w14:textId="26ED3EC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del EIP</w:t>
      </w:r>
      <w:r>
        <w:rPr>
          <w:rFonts w:ascii="Verdana" w:hAnsi="Verdana"/>
          <w:sz w:val="16"/>
          <w:szCs w:val="16"/>
        </w:rPr>
        <w:t xml:space="preserve">, </w:t>
      </w:r>
      <w:r w:rsidRPr="002C462C">
        <w:rPr>
          <w:rFonts w:ascii="Verdana" w:hAnsi="Verdana"/>
          <w:sz w:val="16"/>
          <w:szCs w:val="16"/>
        </w:rPr>
        <w:t xml:space="preserve">2015, </w:t>
      </w:r>
      <w:r w:rsidRPr="002C462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ff. 28880 a 28881 y 28892</w:t>
      </w:r>
      <w:r>
        <w:rPr>
          <w:rFonts w:ascii="Verdana" w:hAnsi="Verdana"/>
          <w:sz w:val="16"/>
          <w:szCs w:val="16"/>
        </w:rPr>
        <w:t>)</w:t>
      </w:r>
      <w:r w:rsidRPr="00432ABC">
        <w:rPr>
          <w:rFonts w:ascii="Verdana" w:hAnsi="Verdana"/>
          <w:sz w:val="16"/>
          <w:szCs w:val="16"/>
        </w:rPr>
        <w:t>.</w:t>
      </w:r>
    </w:p>
  </w:footnote>
  <w:footnote w:id="102">
    <w:p w14:paraId="4E9E4B2C" w14:textId="38178CF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del EIP</w:t>
      </w:r>
      <w:r>
        <w:rPr>
          <w:rFonts w:ascii="Verdana" w:hAnsi="Verdana"/>
          <w:sz w:val="16"/>
          <w:szCs w:val="16"/>
        </w:rPr>
        <w:t xml:space="preserve">, </w:t>
      </w:r>
      <w:r w:rsidRPr="002C462C">
        <w:rPr>
          <w:rFonts w:ascii="Verdana" w:hAnsi="Verdana"/>
          <w:sz w:val="16"/>
          <w:szCs w:val="16"/>
        </w:rPr>
        <w:t xml:space="preserve">2015, </w:t>
      </w:r>
      <w:r w:rsidRPr="002C462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28891</w:t>
      </w:r>
      <w:r>
        <w:rPr>
          <w:rFonts w:ascii="Verdana" w:hAnsi="Verdana"/>
          <w:sz w:val="16"/>
          <w:szCs w:val="16"/>
        </w:rPr>
        <w:t>)</w:t>
      </w:r>
      <w:r w:rsidRPr="00432ABC">
        <w:rPr>
          <w:rFonts w:ascii="Verdana" w:hAnsi="Verdana"/>
          <w:sz w:val="16"/>
          <w:szCs w:val="16"/>
        </w:rPr>
        <w:t xml:space="preserve">. </w:t>
      </w:r>
    </w:p>
  </w:footnote>
  <w:footnote w:id="103">
    <w:p w14:paraId="64AA618E" w14:textId="3BDCC44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vanish/>
          <w:sz w:val="16"/>
          <w:szCs w:val="16"/>
        </w:rPr>
        <w:t xml:space="preserve"> </w:t>
      </w:r>
      <w:r w:rsidRPr="00432ABC">
        <w:rPr>
          <w:rFonts w:ascii="Verdana" w:hAnsi="Verdana"/>
          <w:sz w:val="16"/>
          <w:szCs w:val="16"/>
        </w:rPr>
        <w:t xml:space="preserve">Informe emitido por el CENAPI – PGR el 13 de octubre de 2017,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28534</w:t>
      </w:r>
      <w:r>
        <w:rPr>
          <w:rFonts w:ascii="Verdana" w:hAnsi="Verdana"/>
          <w:sz w:val="16"/>
          <w:szCs w:val="16"/>
        </w:rPr>
        <w:t>)</w:t>
      </w:r>
      <w:r w:rsidRPr="00432ABC">
        <w:rPr>
          <w:rFonts w:ascii="Verdana" w:hAnsi="Verdana"/>
          <w:sz w:val="16"/>
          <w:szCs w:val="16"/>
        </w:rPr>
        <w:t>.</w:t>
      </w:r>
    </w:p>
  </w:footnote>
  <w:footnote w:id="104">
    <w:p w14:paraId="6B57F772" w14:textId="55B39A4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Presidencia de la República. Estados Unidos Mexicanos. Cuarto Informe de Gobierno</w:t>
      </w:r>
      <w:r w:rsidRPr="002C462C">
        <w:rPr>
          <w:rFonts w:ascii="Verdana" w:hAnsi="Verdana"/>
          <w:i/>
          <w:sz w:val="16"/>
          <w:szCs w:val="16"/>
        </w:rPr>
        <w:t>,</w:t>
      </w:r>
      <w:r w:rsidRPr="00432ABC">
        <w:rPr>
          <w:rFonts w:ascii="Verdana" w:hAnsi="Verdana"/>
          <w:sz w:val="16"/>
          <w:szCs w:val="16"/>
        </w:rPr>
        <w:t xml:space="preserve"> </w:t>
      </w:r>
      <w:r w:rsidRPr="00432ABC">
        <w:rPr>
          <w:rFonts w:ascii="Verdana" w:hAnsi="Verdana"/>
          <w:i/>
          <w:sz w:val="16"/>
          <w:szCs w:val="16"/>
        </w:rPr>
        <w:t xml:space="preserve">supra, </w:t>
      </w:r>
      <w:r w:rsidRPr="00432ABC">
        <w:rPr>
          <w:rFonts w:ascii="Verdana" w:hAnsi="Verdana"/>
          <w:sz w:val="16"/>
          <w:szCs w:val="16"/>
        </w:rPr>
        <w:t>pág. 30, y Declaración en la Audiencia Pública</w:t>
      </w:r>
      <w:r w:rsidRPr="00432ABC" w:rsidDel="00E9724A">
        <w:rPr>
          <w:rFonts w:ascii="Verdana" w:hAnsi="Verdana"/>
          <w:sz w:val="16"/>
          <w:szCs w:val="16"/>
        </w:rPr>
        <w:t xml:space="preserve"> </w:t>
      </w:r>
      <w:r w:rsidRPr="00432ABC">
        <w:rPr>
          <w:rFonts w:ascii="Verdana" w:hAnsi="Verdana"/>
          <w:sz w:val="16"/>
          <w:szCs w:val="16"/>
        </w:rPr>
        <w:t xml:space="preserve">ante la Corte del perito Salvador Salazar Gutiérrez, </w:t>
      </w:r>
      <w:r w:rsidRPr="00432ABC">
        <w:rPr>
          <w:rFonts w:ascii="Verdana" w:hAnsi="Verdana"/>
          <w:i/>
          <w:sz w:val="16"/>
          <w:szCs w:val="16"/>
        </w:rPr>
        <w:t>supra</w:t>
      </w:r>
      <w:r w:rsidRPr="00432ABC">
        <w:rPr>
          <w:rFonts w:ascii="Verdana" w:hAnsi="Verdana"/>
          <w:sz w:val="16"/>
          <w:szCs w:val="16"/>
        </w:rPr>
        <w:t>, pág. 102.</w:t>
      </w:r>
    </w:p>
  </w:footnote>
  <w:footnote w:id="105">
    <w:p w14:paraId="64AA6190" w14:textId="2E82D829" w:rsidR="00146958" w:rsidRPr="008D0846" w:rsidRDefault="00146958">
      <w:pPr>
        <w:pStyle w:val="Textonotapie"/>
        <w:jc w:val="both"/>
        <w:rPr>
          <w:rFonts w:ascii="Verdana" w:hAnsi="Verdana"/>
          <w:strike/>
          <w:sz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Pr>
          <w:rFonts w:ascii="Verdana" w:hAnsi="Verdana"/>
          <w:sz w:val="16"/>
          <w:szCs w:val="16"/>
        </w:rPr>
        <w:t xml:space="preserve">El </w:t>
      </w:r>
      <w:r w:rsidRPr="00432ABC">
        <w:rPr>
          <w:rFonts w:ascii="Verdana" w:hAnsi="Verdana"/>
          <w:sz w:val="16"/>
          <w:szCs w:val="16"/>
        </w:rPr>
        <w:t xml:space="preserve">“Operativo Conjunto Chihuahua”, “[…] implicó el despliegue de 10 “Bases de Operación Mixta”, de carácter permanente y cuya sede se localizaba en Ciudad Juárez, 46 puestos de control móviles y el refuerzo de la Guarnición Militar en el municipio de Palomas, más el envío de fuerzas especiales […] [e] incluía operaciones en las ciudades de Chihuahua, Buenaventura, Janos, Casas Grandes, Nuevo Casas Grandes y Asunción”. Estaban integradas, cada una de ellas, “con un agente del Ministerio Público de la Federación, elementos [castrenses] y vehículos de distintas corporaciones como SEDENA, Procuraduría General de la República [PGR], Policía Federal [PF], Policía Estatal y Policía Municipal”. </w:t>
      </w:r>
      <w:r w:rsidRPr="00CD5C54">
        <w:rPr>
          <w:rFonts w:ascii="Verdana" w:hAnsi="Verdana"/>
          <w:i/>
          <w:sz w:val="16"/>
          <w:szCs w:val="16"/>
        </w:rPr>
        <w:t>Cfr.</w:t>
      </w:r>
      <w:r w:rsidRPr="002C462C">
        <w:rPr>
          <w:rFonts w:ascii="Verdana" w:hAnsi="Verdana"/>
          <w:sz w:val="16"/>
          <w:szCs w:val="16"/>
        </w:rPr>
        <w:t xml:space="preserve"> Declaración pericial del GIASF rendida </w:t>
      </w:r>
      <w:r>
        <w:rPr>
          <w:rFonts w:ascii="Verdana" w:hAnsi="Verdana"/>
          <w:sz w:val="16"/>
          <w:szCs w:val="16"/>
        </w:rPr>
        <w:t>el</w:t>
      </w:r>
      <w:r w:rsidRPr="002C462C">
        <w:rPr>
          <w:rFonts w:ascii="Verdana" w:hAnsi="Verdana"/>
          <w:sz w:val="16"/>
          <w:szCs w:val="16"/>
        </w:rPr>
        <w:t xml:space="preserve"> 19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ff. 31150 a 31151</w:t>
      </w:r>
      <w:r>
        <w:rPr>
          <w:rFonts w:ascii="Verdana" w:hAnsi="Verdana"/>
          <w:sz w:val="16"/>
          <w:szCs w:val="16"/>
        </w:rPr>
        <w:t>)</w:t>
      </w:r>
      <w:r w:rsidRPr="00432ABC">
        <w:rPr>
          <w:rFonts w:ascii="Verdana" w:hAnsi="Verdana"/>
          <w:sz w:val="16"/>
          <w:szCs w:val="16"/>
        </w:rPr>
        <w:t>.</w:t>
      </w:r>
      <w:r w:rsidRPr="00432ABC">
        <w:rPr>
          <w:rFonts w:ascii="Verdana" w:eastAsiaTheme="minorHAnsi" w:hAnsi="Verdana"/>
          <w:sz w:val="16"/>
          <w:szCs w:val="16"/>
        </w:rPr>
        <w:t xml:space="preserve"> </w:t>
      </w:r>
    </w:p>
  </w:footnote>
  <w:footnote w:id="106">
    <w:p w14:paraId="64AA6191" w14:textId="047ECF7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w:t>
      </w:r>
      <w:r>
        <w:rPr>
          <w:rFonts w:ascii="Verdana" w:hAnsi="Verdana"/>
          <w:sz w:val="16"/>
          <w:szCs w:val="16"/>
        </w:rPr>
        <w:t xml:space="preserve">en Audiencia Pública </w:t>
      </w:r>
      <w:r w:rsidRPr="002C462C">
        <w:rPr>
          <w:rFonts w:ascii="Verdana" w:hAnsi="Verdana"/>
          <w:sz w:val="16"/>
          <w:szCs w:val="16"/>
        </w:rPr>
        <w:t xml:space="preserve">ante la Corte por el perito Salvador Salazar Gutiérrez, </w:t>
      </w:r>
      <w:r w:rsidRPr="00432ABC">
        <w:rPr>
          <w:rFonts w:ascii="Verdana" w:hAnsi="Verdana"/>
          <w:i/>
          <w:sz w:val="16"/>
          <w:szCs w:val="16"/>
        </w:rPr>
        <w:t>supra,</w:t>
      </w:r>
      <w:r w:rsidRPr="00432ABC">
        <w:rPr>
          <w:rFonts w:ascii="Verdana" w:hAnsi="Verdana"/>
          <w:sz w:val="16"/>
          <w:szCs w:val="16"/>
        </w:rPr>
        <w:t xml:space="preserve"> pág. 102. </w:t>
      </w:r>
    </w:p>
  </w:footnote>
  <w:footnote w:id="107">
    <w:p w14:paraId="64AA6192" w14:textId="7698BC9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sin número de 21 de octubre de 2009 de la Dirección General de Tráfico y Contrabando de la Policía Federal (expediente de prueba, </w:t>
      </w:r>
      <w:r>
        <w:rPr>
          <w:rFonts w:ascii="Verdana" w:hAnsi="Verdana"/>
          <w:sz w:val="16"/>
          <w:szCs w:val="16"/>
        </w:rPr>
        <w:t>e</w:t>
      </w:r>
      <w:r w:rsidRPr="002C462C">
        <w:rPr>
          <w:rFonts w:ascii="Verdana" w:hAnsi="Verdana"/>
          <w:sz w:val="16"/>
          <w:szCs w:val="16"/>
        </w:rPr>
        <w:t>xpediente penal, ff. 8362 a 8363); Fe Ministerial de Inspección Ocular de Identificación de Cadáveres [de quienes en vida llevaron los nombres de José Alfredo Zilli Peña, Felipe Arizpe Hernández y Armando Vega López] de 31 de octubre de 2009 suscrita por el AMPF adscrito a la Unidad Mixta de Atención al Na</w:t>
      </w:r>
      <w:r w:rsidRPr="00432ABC">
        <w:rPr>
          <w:rFonts w:ascii="Verdana" w:hAnsi="Verdana"/>
          <w:sz w:val="16"/>
          <w:szCs w:val="16"/>
        </w:rPr>
        <w:t xml:space="preserve">rcomenudeo de la PGR en Ciudad Juárez (expediente de prueba, </w:t>
      </w:r>
      <w:r>
        <w:rPr>
          <w:rFonts w:ascii="Verdana" w:hAnsi="Verdana"/>
          <w:sz w:val="16"/>
          <w:szCs w:val="16"/>
        </w:rPr>
        <w:t>e</w:t>
      </w:r>
      <w:r w:rsidRPr="00432ABC">
        <w:rPr>
          <w:rFonts w:ascii="Verdana" w:hAnsi="Verdana"/>
          <w:sz w:val="16"/>
          <w:szCs w:val="16"/>
        </w:rPr>
        <w:t xml:space="preserve">xpediente penal, ff. 8737 a 8742), y Oficio sin número de 4 de noviembre de 2009 de la Dirección General de Tráfico y Contrabando de la Policía Federal (expediente de prueba, </w:t>
      </w:r>
      <w:r>
        <w:rPr>
          <w:rFonts w:ascii="Verdana" w:hAnsi="Verdana"/>
          <w:sz w:val="16"/>
          <w:szCs w:val="16"/>
        </w:rPr>
        <w:t>e</w:t>
      </w:r>
      <w:r w:rsidRPr="00432ABC">
        <w:rPr>
          <w:rFonts w:ascii="Verdana" w:hAnsi="Verdana"/>
          <w:sz w:val="16"/>
          <w:szCs w:val="16"/>
        </w:rPr>
        <w:t>xpediente penal, f. 8772).</w:t>
      </w:r>
    </w:p>
  </w:footnote>
  <w:footnote w:id="108">
    <w:p w14:paraId="64AA6193" w14:textId="4416EC5D"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Nota de Prensa titulada “Sigue la búsqueda de ‘Federales’ levantados en Chihuahua”, publicada en “El Siglo de Torreón”  (expediente de prueba, </w:t>
      </w:r>
      <w:r>
        <w:rPr>
          <w:rFonts w:ascii="Verdana" w:hAnsi="Verdana"/>
          <w:sz w:val="16"/>
          <w:szCs w:val="16"/>
        </w:rPr>
        <w:t>e</w:t>
      </w:r>
      <w:r w:rsidRPr="002C462C">
        <w:rPr>
          <w:rFonts w:ascii="Verdana" w:hAnsi="Verdana"/>
          <w:sz w:val="16"/>
          <w:szCs w:val="16"/>
        </w:rPr>
        <w:t xml:space="preserve">xpediente penal, f. 12020 a 12021), y Nota de Prensa titulada “Hallan cuerpos de los 3 agentes federales que habían sido levantados en Chihuahua”, publicada en el Diario “La Jornada” el 1 de noviembre de 2009 (expediente de prueba, </w:t>
      </w:r>
      <w:r>
        <w:rPr>
          <w:rFonts w:ascii="Verdana" w:hAnsi="Verdana"/>
          <w:sz w:val="16"/>
          <w:szCs w:val="16"/>
        </w:rPr>
        <w:t>e</w:t>
      </w:r>
      <w:r w:rsidRPr="002C462C">
        <w:rPr>
          <w:rFonts w:ascii="Verdana" w:hAnsi="Verdana"/>
          <w:sz w:val="16"/>
          <w:szCs w:val="16"/>
        </w:rPr>
        <w:t xml:space="preserve">xpediente penal, f. 12022 a 12023). </w:t>
      </w:r>
    </w:p>
  </w:footnote>
  <w:footnote w:id="109">
    <w:p w14:paraId="64AA6194" w14:textId="638C815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Informe del EIP</w:t>
      </w:r>
      <w:r>
        <w:rPr>
          <w:rFonts w:ascii="Verdana" w:hAnsi="Verdana"/>
          <w:sz w:val="16"/>
          <w:szCs w:val="16"/>
        </w:rPr>
        <w:t xml:space="preserve">, </w:t>
      </w:r>
      <w:r w:rsidRPr="00432ABC">
        <w:rPr>
          <w:rFonts w:ascii="Verdana" w:hAnsi="Verdana"/>
          <w:sz w:val="16"/>
          <w:szCs w:val="16"/>
        </w:rPr>
        <w:t xml:space="preserve">2015,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w:t>
      </w:r>
      <w:r>
        <w:rPr>
          <w:rFonts w:ascii="Verdana" w:hAnsi="Verdana"/>
          <w:sz w:val="16"/>
          <w:szCs w:val="16"/>
        </w:rPr>
        <w:t>f</w:t>
      </w:r>
      <w:r w:rsidRPr="00432ABC">
        <w:rPr>
          <w:rFonts w:ascii="Verdana" w:hAnsi="Verdana"/>
          <w:sz w:val="16"/>
          <w:szCs w:val="16"/>
        </w:rPr>
        <w:t>. 28892 y 28896</w:t>
      </w:r>
      <w:r>
        <w:rPr>
          <w:rFonts w:ascii="Verdana" w:hAnsi="Verdana"/>
          <w:sz w:val="16"/>
          <w:szCs w:val="16"/>
        </w:rPr>
        <w:t>)</w:t>
      </w:r>
      <w:r w:rsidRPr="00432ABC">
        <w:rPr>
          <w:rFonts w:ascii="Verdana" w:hAnsi="Verdana"/>
          <w:sz w:val="16"/>
          <w:szCs w:val="16"/>
        </w:rPr>
        <w:t xml:space="preserve">, y Nota de prensa titulada “Hallan cuerpo de inspector”, de 24 de octubre de 2009 (expediente de prueba, </w:t>
      </w:r>
      <w:r>
        <w:rPr>
          <w:rFonts w:ascii="Verdana" w:hAnsi="Verdana"/>
          <w:sz w:val="16"/>
          <w:szCs w:val="16"/>
        </w:rPr>
        <w:t>e</w:t>
      </w:r>
      <w:r w:rsidRPr="00432ABC">
        <w:rPr>
          <w:rFonts w:ascii="Verdana" w:hAnsi="Verdana"/>
          <w:sz w:val="16"/>
          <w:szCs w:val="16"/>
        </w:rPr>
        <w:t>xpediente penal, f. 12025).</w:t>
      </w:r>
    </w:p>
  </w:footnote>
  <w:footnote w:id="110">
    <w:p w14:paraId="64AA6195" w14:textId="5653E0A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emitido por el CENAPI – PGR </w:t>
      </w:r>
      <w:r w:rsidRPr="00432ABC">
        <w:rPr>
          <w:rFonts w:ascii="Verdana" w:hAnsi="Verdana"/>
          <w:sz w:val="16"/>
          <w:szCs w:val="16"/>
        </w:rPr>
        <w:t xml:space="preserve">el 13 de octubre de 2017,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28532</w:t>
      </w:r>
      <w:r>
        <w:rPr>
          <w:rFonts w:ascii="Verdana" w:hAnsi="Verdana"/>
          <w:sz w:val="16"/>
          <w:szCs w:val="16"/>
        </w:rPr>
        <w:t>)</w:t>
      </w:r>
      <w:r w:rsidRPr="00432ABC">
        <w:rPr>
          <w:rFonts w:ascii="Verdana" w:hAnsi="Verdana"/>
          <w:sz w:val="16"/>
          <w:szCs w:val="16"/>
        </w:rPr>
        <w:t>.</w:t>
      </w:r>
    </w:p>
  </w:footnote>
  <w:footnote w:id="111">
    <w:p w14:paraId="64AA6196" w14:textId="47FC046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rendida </w:t>
      </w:r>
      <w:r>
        <w:rPr>
          <w:rFonts w:ascii="Verdana" w:hAnsi="Verdana"/>
          <w:sz w:val="16"/>
          <w:szCs w:val="16"/>
        </w:rPr>
        <w:t xml:space="preserve">en la Audiencia Pública </w:t>
      </w:r>
      <w:r w:rsidRPr="002C462C">
        <w:rPr>
          <w:rFonts w:ascii="Verdana" w:hAnsi="Verdana"/>
          <w:sz w:val="16"/>
          <w:szCs w:val="16"/>
        </w:rPr>
        <w:t xml:space="preserve">ante la Corte por el perito Salvador Salazar Gutiérrez, </w:t>
      </w:r>
      <w:r w:rsidRPr="00432ABC">
        <w:rPr>
          <w:rFonts w:ascii="Verdana" w:hAnsi="Verdana"/>
          <w:i/>
          <w:sz w:val="16"/>
          <w:szCs w:val="16"/>
        </w:rPr>
        <w:t xml:space="preserve">supra, </w:t>
      </w:r>
      <w:r w:rsidRPr="00432ABC">
        <w:rPr>
          <w:rFonts w:ascii="Verdana" w:hAnsi="Verdana"/>
          <w:sz w:val="16"/>
          <w:szCs w:val="16"/>
        </w:rPr>
        <w:t>pág. 102.</w:t>
      </w:r>
    </w:p>
  </w:footnote>
  <w:footnote w:id="112">
    <w:p w14:paraId="64AA6197" w14:textId="48B72F9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emitido por el CENAPI – PGR, </w:t>
      </w:r>
      <w:r w:rsidRPr="00432ABC">
        <w:rPr>
          <w:rFonts w:ascii="Verdana" w:hAnsi="Verdana"/>
          <w:i/>
          <w:sz w:val="16"/>
          <w:szCs w:val="16"/>
        </w:rPr>
        <w:t>supra</w:t>
      </w:r>
      <w:r>
        <w:rPr>
          <w:rFonts w:ascii="Verdana" w:hAnsi="Verdana"/>
          <w:sz w:val="16"/>
          <w:szCs w:val="16"/>
        </w:rPr>
        <w:t xml:space="preserve"> (expediente de prueba, </w:t>
      </w:r>
      <w:r w:rsidRPr="00432ABC">
        <w:rPr>
          <w:rFonts w:ascii="Verdana" w:hAnsi="Verdana"/>
          <w:sz w:val="16"/>
          <w:szCs w:val="16"/>
        </w:rPr>
        <w:t>f. 28533</w:t>
      </w:r>
      <w:r>
        <w:rPr>
          <w:rFonts w:ascii="Verdana" w:hAnsi="Verdana"/>
          <w:sz w:val="16"/>
          <w:szCs w:val="16"/>
        </w:rPr>
        <w:t>)</w:t>
      </w:r>
      <w:r w:rsidRPr="00432ABC">
        <w:rPr>
          <w:rFonts w:ascii="Verdana" w:hAnsi="Verdana"/>
          <w:sz w:val="16"/>
          <w:szCs w:val="16"/>
        </w:rPr>
        <w:t xml:space="preserve">, y Declaración de </w:t>
      </w:r>
      <w:r>
        <w:rPr>
          <w:rFonts w:ascii="Verdana" w:hAnsi="Verdana"/>
          <w:sz w:val="16"/>
          <w:szCs w:val="16"/>
        </w:rPr>
        <w:t xml:space="preserve">José </w:t>
      </w:r>
      <w:r w:rsidRPr="00432ABC">
        <w:rPr>
          <w:rFonts w:ascii="Verdana" w:hAnsi="Verdana"/>
          <w:sz w:val="16"/>
          <w:szCs w:val="16"/>
        </w:rPr>
        <w:t xml:space="preserve">Emilio Serrano Santiago, Director General de Análisis del CENAPI – PGR, rendida el 12 de abril de 2018 ante la AMPF de la FEIDDDF - PGR, </w:t>
      </w:r>
      <w:r w:rsidRPr="00432AB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31195</w:t>
      </w:r>
      <w:r>
        <w:rPr>
          <w:rFonts w:ascii="Verdana" w:hAnsi="Verdana"/>
          <w:sz w:val="16"/>
          <w:szCs w:val="16"/>
        </w:rPr>
        <w:t>)</w:t>
      </w:r>
      <w:r w:rsidRPr="00432ABC">
        <w:rPr>
          <w:rFonts w:ascii="Verdana" w:hAnsi="Verdana"/>
          <w:sz w:val="16"/>
          <w:szCs w:val="16"/>
        </w:rPr>
        <w:t>.</w:t>
      </w:r>
    </w:p>
  </w:footnote>
  <w:footnote w:id="113">
    <w:p w14:paraId="64AA6198" w14:textId="3925690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Declaración rendida</w:t>
      </w:r>
      <w:r>
        <w:rPr>
          <w:rFonts w:ascii="Verdana" w:hAnsi="Verdana"/>
          <w:sz w:val="16"/>
          <w:szCs w:val="16"/>
        </w:rPr>
        <w:t xml:space="preserve"> en la Audiencia Pública</w:t>
      </w:r>
      <w:r w:rsidRPr="002C462C">
        <w:rPr>
          <w:rFonts w:ascii="Verdana" w:hAnsi="Verdana"/>
          <w:sz w:val="16"/>
          <w:szCs w:val="16"/>
        </w:rPr>
        <w:t xml:space="preserve"> ante la Corte por el perito Salvador Salazar Gutiérrez, </w:t>
      </w:r>
      <w:r w:rsidRPr="00432ABC">
        <w:rPr>
          <w:rFonts w:ascii="Verdana" w:hAnsi="Verdana"/>
          <w:i/>
          <w:sz w:val="16"/>
          <w:szCs w:val="16"/>
        </w:rPr>
        <w:t xml:space="preserve">supra, </w:t>
      </w:r>
      <w:r w:rsidRPr="00432ABC">
        <w:rPr>
          <w:rFonts w:ascii="Verdana" w:hAnsi="Verdana"/>
          <w:sz w:val="16"/>
          <w:szCs w:val="16"/>
        </w:rPr>
        <w:t>págs. 113 a 114.</w:t>
      </w:r>
      <w:r w:rsidRPr="00432ABC">
        <w:rPr>
          <w:rFonts w:ascii="Verdana" w:hAnsi="Verdana"/>
          <w:i/>
          <w:sz w:val="16"/>
          <w:szCs w:val="16"/>
        </w:rPr>
        <w:t xml:space="preserve"> </w:t>
      </w:r>
      <w:r w:rsidRPr="00432ABC">
        <w:rPr>
          <w:rFonts w:ascii="Verdana" w:hAnsi="Verdana"/>
          <w:sz w:val="16"/>
          <w:szCs w:val="16"/>
        </w:rPr>
        <w:t>En el mismo sentido,</w:t>
      </w:r>
      <w:r>
        <w:rPr>
          <w:rFonts w:ascii="Verdana" w:hAnsi="Verdana"/>
          <w:i/>
          <w:sz w:val="16"/>
          <w:szCs w:val="16"/>
        </w:rPr>
        <w:t xml:space="preserve"> </w:t>
      </w:r>
      <w:r w:rsidRPr="00432ABC">
        <w:rPr>
          <w:rFonts w:ascii="Verdana" w:hAnsi="Verdana"/>
          <w:sz w:val="16"/>
          <w:szCs w:val="16"/>
        </w:rPr>
        <w:t xml:space="preserve">Declaración pericial de Gabriella Citroni rendida el 18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31061</w:t>
      </w:r>
      <w:r>
        <w:rPr>
          <w:rFonts w:ascii="Verdana" w:hAnsi="Verdana"/>
          <w:sz w:val="16"/>
          <w:szCs w:val="16"/>
        </w:rPr>
        <w:t>)</w:t>
      </w:r>
      <w:r w:rsidRPr="00432ABC">
        <w:rPr>
          <w:rFonts w:ascii="Verdana" w:hAnsi="Verdana"/>
          <w:sz w:val="16"/>
          <w:szCs w:val="16"/>
        </w:rPr>
        <w:t>. La citada perito</w:t>
      </w:r>
      <w:r>
        <w:rPr>
          <w:rFonts w:ascii="Verdana" w:hAnsi="Verdana"/>
          <w:sz w:val="16"/>
          <w:szCs w:val="16"/>
        </w:rPr>
        <w:t>,</w:t>
      </w:r>
      <w:r w:rsidRPr="00432ABC">
        <w:rPr>
          <w:rFonts w:ascii="Verdana" w:hAnsi="Verdana"/>
          <w:sz w:val="16"/>
          <w:szCs w:val="16"/>
        </w:rPr>
        <w:t xml:space="preserve"> señaló que en el marco de la implementación del “Operativo Conjunto Chihuahua” tuvo lugar “la comisión de violaciones graves de derechos humanos, incluyendo desapariciones forzadas, y, en general, el uso excesivo de la fuerza [fueron] notorios […] ha desatado [sic] mayor violencia así como […] una falta de rendición de cuentas conforme a los estándares internacionales”.</w:t>
      </w:r>
    </w:p>
  </w:footnote>
  <w:footnote w:id="114">
    <w:p w14:paraId="64AA6199" w14:textId="2988684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Comisión Estatal de los Derechos Humanos, Chihuahua</w:t>
      </w:r>
      <w:r>
        <w:rPr>
          <w:rFonts w:ascii="Verdana" w:hAnsi="Verdana"/>
          <w:sz w:val="16"/>
          <w:szCs w:val="16"/>
        </w:rPr>
        <w:t xml:space="preserve"> [CEDH-Ch]</w:t>
      </w:r>
      <w:r w:rsidRPr="002C462C">
        <w:rPr>
          <w:rFonts w:ascii="Verdana" w:hAnsi="Verdana"/>
          <w:sz w:val="16"/>
          <w:szCs w:val="16"/>
        </w:rPr>
        <w:t>. Informe Anual 2008: 167 quejas (</w:t>
      </w:r>
      <w:r>
        <w:rPr>
          <w:rFonts w:ascii="Verdana" w:hAnsi="Verdana"/>
          <w:sz w:val="16"/>
          <w:szCs w:val="16"/>
        </w:rPr>
        <w:t>pág</w:t>
      </w:r>
      <w:r w:rsidRPr="002C462C">
        <w:rPr>
          <w:rFonts w:ascii="Verdana" w:hAnsi="Verdana"/>
          <w:sz w:val="16"/>
          <w:szCs w:val="16"/>
        </w:rPr>
        <w:t xml:space="preserve">. 39), disponible en: </w:t>
      </w:r>
      <w:hyperlink r:id="rId32" w:history="1">
        <w:r w:rsidRPr="00432ABC">
          <w:rPr>
            <w:rStyle w:val="Hipervnculo"/>
            <w:rFonts w:ascii="Verdana" w:hAnsi="Verdana"/>
            <w:sz w:val="16"/>
            <w:szCs w:val="16"/>
          </w:rPr>
          <w:t>http://www.cedhchihuahua.org.mx/portal/Informes/Informe_2008.pdf</w:t>
        </w:r>
      </w:hyperlink>
      <w:r w:rsidRPr="00432ABC">
        <w:rPr>
          <w:rFonts w:ascii="Verdana" w:hAnsi="Verdana"/>
          <w:sz w:val="16"/>
          <w:szCs w:val="16"/>
        </w:rPr>
        <w:t xml:space="preserve"> ;   Informe Anual  2009: 169 quejas (</w:t>
      </w:r>
      <w:r>
        <w:rPr>
          <w:rFonts w:ascii="Verdana" w:hAnsi="Verdana"/>
          <w:sz w:val="16"/>
          <w:szCs w:val="16"/>
        </w:rPr>
        <w:t>pág.</w:t>
      </w:r>
      <w:r w:rsidRPr="00432ABC">
        <w:rPr>
          <w:rFonts w:ascii="Verdana" w:hAnsi="Verdana"/>
          <w:sz w:val="16"/>
          <w:szCs w:val="16"/>
        </w:rPr>
        <w:t xml:space="preserve"> 45), disponible en </w:t>
      </w:r>
      <w:hyperlink r:id="rId33" w:history="1">
        <w:r w:rsidRPr="00432ABC">
          <w:rPr>
            <w:rStyle w:val="Hipervnculo"/>
            <w:rFonts w:ascii="Verdana" w:hAnsi="Verdana"/>
            <w:sz w:val="16"/>
            <w:szCs w:val="16"/>
          </w:rPr>
          <w:t>http://www.cedhchihuahua.org.mx/portal/Informes/Informe_2009.pdf</w:t>
        </w:r>
      </w:hyperlink>
      <w:r w:rsidRPr="00432ABC">
        <w:rPr>
          <w:rFonts w:ascii="Verdana" w:hAnsi="Verdana"/>
          <w:sz w:val="16"/>
          <w:szCs w:val="16"/>
        </w:rPr>
        <w:t xml:space="preserve"> ; Informe Anual 2010: 103 quejas (</w:t>
      </w:r>
      <w:r>
        <w:rPr>
          <w:rFonts w:ascii="Verdana" w:hAnsi="Verdana"/>
          <w:sz w:val="16"/>
          <w:szCs w:val="16"/>
        </w:rPr>
        <w:t>pág.</w:t>
      </w:r>
      <w:r w:rsidRPr="00432ABC">
        <w:rPr>
          <w:rFonts w:ascii="Verdana" w:hAnsi="Verdana"/>
          <w:sz w:val="16"/>
          <w:szCs w:val="16"/>
        </w:rPr>
        <w:t xml:space="preserve"> 34 a 36), disponible en:</w:t>
      </w:r>
      <w:r w:rsidRPr="00432ABC">
        <w:rPr>
          <w:rFonts w:ascii="Verdana" w:eastAsiaTheme="minorHAnsi" w:hAnsi="Verdana"/>
          <w:sz w:val="16"/>
          <w:szCs w:val="16"/>
        </w:rPr>
        <w:t xml:space="preserve"> </w:t>
      </w:r>
      <w:hyperlink r:id="rId34" w:history="1">
        <w:r w:rsidRPr="00432ABC">
          <w:rPr>
            <w:rStyle w:val="Hipervnculo"/>
            <w:rFonts w:ascii="Verdana" w:eastAsiaTheme="minorHAnsi" w:hAnsi="Verdana"/>
            <w:sz w:val="16"/>
            <w:szCs w:val="16"/>
          </w:rPr>
          <w:t>http://www.cedhchihuahua.org.mx/portal/Informes/Informe_2010.pdf</w:t>
        </w:r>
      </w:hyperlink>
      <w:r w:rsidRPr="00432ABC">
        <w:rPr>
          <w:rFonts w:ascii="Verdana" w:eastAsiaTheme="minorHAnsi" w:hAnsi="Verdana"/>
          <w:sz w:val="16"/>
          <w:szCs w:val="16"/>
        </w:rPr>
        <w:t xml:space="preserve">; e </w:t>
      </w:r>
      <w:r w:rsidRPr="00432ABC">
        <w:rPr>
          <w:rFonts w:ascii="Verdana" w:hAnsi="Verdana"/>
          <w:sz w:val="16"/>
          <w:szCs w:val="16"/>
        </w:rPr>
        <w:t>Informe Anual 2011: 18 quejas (</w:t>
      </w:r>
      <w:r>
        <w:rPr>
          <w:rFonts w:ascii="Verdana" w:hAnsi="Verdana"/>
          <w:sz w:val="16"/>
          <w:szCs w:val="16"/>
        </w:rPr>
        <w:t xml:space="preserve">pág. </w:t>
      </w:r>
      <w:r w:rsidRPr="00432ABC">
        <w:rPr>
          <w:rFonts w:ascii="Verdana" w:hAnsi="Verdana"/>
          <w:sz w:val="16"/>
          <w:szCs w:val="16"/>
        </w:rPr>
        <w:t xml:space="preserve">111), disponible en: </w:t>
      </w:r>
      <w:hyperlink r:id="rId35" w:history="1">
        <w:r w:rsidRPr="00432ABC">
          <w:rPr>
            <w:rStyle w:val="Hipervnculo"/>
            <w:rFonts w:ascii="Verdana" w:hAnsi="Verdana"/>
            <w:sz w:val="16"/>
            <w:szCs w:val="16"/>
          </w:rPr>
          <w:t>http://www.cedhchihuahua.org.mx/portal/Informes/Informe_2011.pdf</w:t>
        </w:r>
      </w:hyperlink>
      <w:r w:rsidRPr="00432ABC">
        <w:rPr>
          <w:rFonts w:ascii="Verdana" w:hAnsi="Verdana"/>
          <w:sz w:val="16"/>
          <w:szCs w:val="16"/>
        </w:rPr>
        <w:t xml:space="preserve">. Información de público conocimiento.  </w:t>
      </w:r>
    </w:p>
  </w:footnote>
  <w:footnote w:id="115">
    <w:p w14:paraId="64AA619A" w14:textId="6CECD7D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pericial del GIASF rendida </w:t>
      </w:r>
      <w:r>
        <w:rPr>
          <w:rFonts w:ascii="Verdana" w:hAnsi="Verdana"/>
          <w:sz w:val="16"/>
          <w:szCs w:val="16"/>
        </w:rPr>
        <w:t>el</w:t>
      </w:r>
      <w:r w:rsidRPr="002C462C">
        <w:rPr>
          <w:rFonts w:ascii="Verdana" w:hAnsi="Verdana"/>
          <w:sz w:val="16"/>
          <w:szCs w:val="16"/>
        </w:rPr>
        <w:t xml:space="preserve"> 19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ff. 31151</w:t>
      </w:r>
      <w:r>
        <w:rPr>
          <w:rFonts w:ascii="Verdana" w:hAnsi="Verdana"/>
          <w:sz w:val="16"/>
          <w:szCs w:val="16"/>
        </w:rPr>
        <w:t>)</w:t>
      </w:r>
      <w:r w:rsidRPr="00432ABC">
        <w:rPr>
          <w:rFonts w:ascii="Verdana" w:hAnsi="Verdana"/>
          <w:sz w:val="16"/>
          <w:szCs w:val="16"/>
        </w:rPr>
        <w:t xml:space="preserve">, y Declaración rendida </w:t>
      </w:r>
      <w:r>
        <w:rPr>
          <w:rFonts w:ascii="Verdana" w:hAnsi="Verdana"/>
          <w:sz w:val="16"/>
          <w:szCs w:val="16"/>
        </w:rPr>
        <w:t xml:space="preserve">en la Audiencia Pública </w:t>
      </w:r>
      <w:r w:rsidRPr="00432ABC">
        <w:rPr>
          <w:rFonts w:ascii="Verdana" w:hAnsi="Verdana"/>
          <w:sz w:val="16"/>
          <w:szCs w:val="16"/>
        </w:rPr>
        <w:t xml:space="preserve">ante la Corte por el perito Salvador Salazar Gutiérrez, </w:t>
      </w:r>
      <w:r w:rsidRPr="00432ABC">
        <w:rPr>
          <w:rFonts w:ascii="Verdana" w:hAnsi="Verdana"/>
          <w:i/>
          <w:sz w:val="16"/>
          <w:szCs w:val="16"/>
        </w:rPr>
        <w:t xml:space="preserve">supra, </w:t>
      </w:r>
      <w:r w:rsidRPr="00432ABC">
        <w:rPr>
          <w:rFonts w:ascii="Verdana" w:hAnsi="Verdana"/>
          <w:sz w:val="16"/>
          <w:szCs w:val="16"/>
        </w:rPr>
        <w:t>pág. 105.</w:t>
      </w:r>
    </w:p>
  </w:footnote>
  <w:footnote w:id="116">
    <w:p w14:paraId="64AA619B" w14:textId="103D1555"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Declaración pericial del GIASF rendida </w:t>
      </w:r>
      <w:r>
        <w:rPr>
          <w:rFonts w:ascii="Verdana" w:hAnsi="Verdana"/>
          <w:sz w:val="16"/>
          <w:szCs w:val="16"/>
        </w:rPr>
        <w:t>el</w:t>
      </w:r>
      <w:r w:rsidRPr="00432ABC">
        <w:rPr>
          <w:rFonts w:ascii="Verdana" w:hAnsi="Verdana"/>
          <w:sz w:val="16"/>
          <w:szCs w:val="16"/>
        </w:rPr>
        <w:t xml:space="preserve"> 19 de abril de 2018, </w:t>
      </w:r>
      <w:r w:rsidRPr="00432ABC">
        <w:rPr>
          <w:rFonts w:ascii="Verdana" w:hAnsi="Verdana"/>
          <w:i/>
          <w:sz w:val="16"/>
          <w:szCs w:val="16"/>
        </w:rPr>
        <w:t>supra</w:t>
      </w:r>
      <w:r w:rsidRPr="002C462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2C462C">
        <w:rPr>
          <w:rFonts w:ascii="Verdana" w:hAnsi="Verdana"/>
          <w:sz w:val="16"/>
          <w:szCs w:val="16"/>
        </w:rPr>
        <w:t>f. 31153</w:t>
      </w:r>
      <w:r>
        <w:rPr>
          <w:rFonts w:ascii="Verdana" w:hAnsi="Verdana"/>
          <w:sz w:val="16"/>
          <w:szCs w:val="16"/>
        </w:rPr>
        <w:t>)</w:t>
      </w:r>
      <w:r w:rsidRPr="002C462C">
        <w:rPr>
          <w:rFonts w:ascii="Verdana" w:hAnsi="Verdana"/>
          <w:sz w:val="16"/>
          <w:szCs w:val="16"/>
        </w:rPr>
        <w:t>.</w:t>
      </w:r>
    </w:p>
  </w:footnote>
  <w:footnote w:id="117">
    <w:p w14:paraId="4BA4027E" w14:textId="3C65E4B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2C462C">
        <w:rPr>
          <w:rFonts w:ascii="Verdana" w:hAnsi="Verdana"/>
          <w:sz w:val="16"/>
          <w:szCs w:val="16"/>
        </w:rPr>
        <w:t>Los familiares que se citan con siglas corresponde a menores de edad que desde el trámite de medidas provisionales se ha mantenido en reserva sus nombres.</w:t>
      </w:r>
      <w:r w:rsidRPr="00432ABC">
        <w:rPr>
          <w:rFonts w:ascii="Verdana" w:hAnsi="Verdana"/>
          <w:sz w:val="16"/>
          <w:szCs w:val="16"/>
          <w:highlight w:val="yellow"/>
        </w:rPr>
        <w:t xml:space="preserve">  </w:t>
      </w:r>
    </w:p>
    <w:p w14:paraId="64AA619C" w14:textId="6E0078FB" w:rsidR="00146958" w:rsidRPr="00432ABC" w:rsidRDefault="00146958">
      <w:pPr>
        <w:pStyle w:val="Textonotapie"/>
        <w:jc w:val="both"/>
        <w:rPr>
          <w:rFonts w:ascii="Verdana" w:hAnsi="Verdana"/>
          <w:sz w:val="16"/>
          <w:szCs w:val="16"/>
        </w:rPr>
      </w:pPr>
      <w:r w:rsidRPr="00432ABC">
        <w:rPr>
          <w:rFonts w:ascii="Verdana" w:hAnsi="Verdana"/>
          <w:sz w:val="16"/>
          <w:szCs w:val="16"/>
        </w:rPr>
        <w:t>En lo sucesivo, para efectos de citación de las fuentes obrantes en el acervo probatorio en el presente caso, se emplearán de manera genérica las siglas “AMPF” para identificar a los titulares de los órganos de investigación denominados “Agentes del Ministerio Público” del fuero federal pertenecientes a las distintas unidades, dependencias y fiscalías de Procuraduría General de la República intervinientes, y “AMP” para designar a los “Agentes del Ministerio Público” correspondientes al fuero local del Estado de Chihuahua, salvo las excepciones en su caso señaladas.</w:t>
      </w:r>
    </w:p>
  </w:footnote>
  <w:footnote w:id="118">
    <w:p w14:paraId="64AA619D" w14:textId="34E8682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Oficio No. PGR/FEVIMTRA/TRA/0589/2010</w:t>
      </w:r>
      <w:r w:rsidRPr="00432ABC">
        <w:rPr>
          <w:rFonts w:ascii="Verdana" w:hAnsi="Verdana" w:cs="Arial"/>
          <w:bCs/>
          <w:sz w:val="16"/>
          <w:szCs w:val="16"/>
        </w:rPr>
        <w:t xml:space="preserve"> de 23 de junio de 2010</w:t>
      </w:r>
      <w:r w:rsidRPr="002C462C">
        <w:rPr>
          <w:rFonts w:ascii="Verdana" w:hAnsi="Verdana"/>
          <w:sz w:val="16"/>
          <w:szCs w:val="16"/>
        </w:rPr>
        <w:t>, suscrito la Fiscal</w:t>
      </w:r>
      <w:r w:rsidRPr="002C462C">
        <w:rPr>
          <w:rFonts w:ascii="Verdana" w:hAnsi="Verdana" w:cs="Arial"/>
          <w:sz w:val="16"/>
          <w:szCs w:val="16"/>
        </w:rPr>
        <w:t xml:space="preserve">ía Especial </w:t>
      </w:r>
      <w:r w:rsidRPr="00432ABC">
        <w:rPr>
          <w:rFonts w:ascii="Verdana" w:hAnsi="Verdana" w:cs="Arial"/>
          <w:bCs/>
          <w:sz w:val="16"/>
          <w:szCs w:val="16"/>
        </w:rPr>
        <w:t xml:space="preserve">para los Delitos de Violencia contra las Mujeres y Trata de Personas [FEVIMTRA – PGR], dirigido a la Directora General de Cooperación Internacional de la PGR </w:t>
      </w:r>
      <w:r w:rsidRPr="00432ABC">
        <w:rPr>
          <w:rFonts w:ascii="Verdana" w:hAnsi="Verdana"/>
          <w:sz w:val="16"/>
          <w:szCs w:val="16"/>
        </w:rPr>
        <w:t xml:space="preserve">(expediente de prueba, f. 92).  </w:t>
      </w:r>
    </w:p>
  </w:footnote>
  <w:footnote w:id="119">
    <w:p w14:paraId="64AA619F" w14:textId="4B6BD1E7"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432ABC">
        <w:rPr>
          <w:rFonts w:ascii="Verdana" w:hAnsi="Verdana"/>
          <w:i/>
          <w:sz w:val="16"/>
          <w:szCs w:val="16"/>
        </w:rPr>
        <w:t xml:space="preserve"> </w:t>
      </w:r>
      <w:r w:rsidRPr="002C462C">
        <w:rPr>
          <w:rFonts w:ascii="Verdana" w:hAnsi="Verdana"/>
          <w:sz w:val="16"/>
          <w:szCs w:val="16"/>
        </w:rPr>
        <w:t>Dictamen de invalidez emitido por el Instituto Mexicano del Seguro Social (expediente de prueba,</w:t>
      </w:r>
      <w:r>
        <w:rPr>
          <w:rFonts w:ascii="Verdana" w:hAnsi="Verdana"/>
          <w:sz w:val="16"/>
          <w:szCs w:val="16"/>
        </w:rPr>
        <w:t xml:space="preserve"> </w:t>
      </w:r>
      <w:r w:rsidRPr="002C462C">
        <w:rPr>
          <w:rFonts w:ascii="Verdana" w:hAnsi="Verdana"/>
          <w:sz w:val="16"/>
          <w:szCs w:val="16"/>
        </w:rPr>
        <w:t>ff. 89 a 90).</w:t>
      </w:r>
    </w:p>
  </w:footnote>
  <w:footnote w:id="120">
    <w:p w14:paraId="64AA61A1" w14:textId="6E99421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Acta de Nacimiento No. 176 de Rocío Irene Alvarado Reyes, expedida por la Oficialía No. 92 del Registro Civil del Estado de Chihuahua (expediente de prueba, </w:t>
      </w:r>
      <w:r>
        <w:rPr>
          <w:rFonts w:ascii="Verdana" w:hAnsi="Verdana"/>
          <w:sz w:val="16"/>
          <w:szCs w:val="16"/>
        </w:rPr>
        <w:t>e</w:t>
      </w:r>
      <w:r w:rsidRPr="00432ABC">
        <w:rPr>
          <w:rFonts w:ascii="Verdana" w:hAnsi="Verdana"/>
          <w:sz w:val="16"/>
          <w:szCs w:val="16"/>
        </w:rPr>
        <w:t>xpediente penal, f. 7391).</w:t>
      </w:r>
    </w:p>
  </w:footnote>
  <w:footnote w:id="121">
    <w:p w14:paraId="2DDF6E68" w14:textId="4745754E" w:rsidR="00146958" w:rsidRPr="00D16B59" w:rsidRDefault="00146958" w:rsidP="008D0846">
      <w:pPr>
        <w:pStyle w:val="Textonotapie"/>
        <w:jc w:val="both"/>
      </w:pPr>
      <w:r>
        <w:rPr>
          <w:rStyle w:val="Refdenotaalpie"/>
        </w:rPr>
        <w:footnoteRef/>
      </w:r>
      <w:r>
        <w:t xml:space="preserve"> </w:t>
      </w:r>
      <w:r>
        <w:tab/>
      </w:r>
      <w:r w:rsidRPr="00CD5C54">
        <w:rPr>
          <w:rFonts w:ascii="Verdana" w:hAnsi="Verdana"/>
          <w:i/>
          <w:iCs/>
          <w:sz w:val="16"/>
        </w:rPr>
        <w:t>Cfr.</w:t>
      </w:r>
      <w:r w:rsidRPr="008D0846">
        <w:rPr>
          <w:rFonts w:ascii="Verdana" w:hAnsi="Verdana"/>
          <w:i/>
          <w:iCs/>
          <w:sz w:val="16"/>
        </w:rPr>
        <w:t xml:space="preserve"> </w:t>
      </w:r>
      <w:r w:rsidRPr="008D0846">
        <w:rPr>
          <w:rFonts w:ascii="Verdana" w:hAnsi="Verdana"/>
          <w:sz w:val="16"/>
        </w:rPr>
        <w:t xml:space="preserve">Oficio No. PGR/FEVIMTRA/TRA/0589/2010 de 23 de junio de 2010, suscrito por la </w:t>
      </w:r>
      <w:r>
        <w:rPr>
          <w:rFonts w:ascii="Verdana" w:hAnsi="Verdana"/>
          <w:sz w:val="16"/>
        </w:rPr>
        <w:t>FEVIMTRA-PGR</w:t>
      </w:r>
      <w:r w:rsidRPr="008D0846">
        <w:rPr>
          <w:rFonts w:ascii="Verdana" w:hAnsi="Verdana"/>
          <w:sz w:val="16"/>
        </w:rPr>
        <w:t xml:space="preserve">, </w:t>
      </w:r>
      <w:r w:rsidRPr="008D0846">
        <w:rPr>
          <w:rFonts w:ascii="Verdana" w:hAnsi="Verdana"/>
          <w:i/>
          <w:sz w:val="16"/>
        </w:rPr>
        <w:t>supra</w:t>
      </w:r>
      <w:r>
        <w:rPr>
          <w:rFonts w:ascii="Verdana" w:hAnsi="Verdana"/>
          <w:sz w:val="16"/>
        </w:rPr>
        <w:t xml:space="preserve"> </w:t>
      </w:r>
      <w:r w:rsidRPr="00D16B59">
        <w:rPr>
          <w:rFonts w:ascii="Verdana" w:hAnsi="Verdana"/>
          <w:sz w:val="16"/>
        </w:rPr>
        <w:t xml:space="preserve">(expediente de prueba, </w:t>
      </w:r>
      <w:r>
        <w:rPr>
          <w:rFonts w:ascii="Verdana" w:hAnsi="Verdana"/>
          <w:sz w:val="16"/>
        </w:rPr>
        <w:t>e</w:t>
      </w:r>
      <w:r w:rsidRPr="008D0846">
        <w:rPr>
          <w:rFonts w:ascii="Verdana" w:hAnsi="Verdana"/>
          <w:sz w:val="16"/>
        </w:rPr>
        <w:t>xpediente penal, f. 13735).</w:t>
      </w:r>
    </w:p>
  </w:footnote>
  <w:footnote w:id="122">
    <w:p w14:paraId="64AA61A6" w14:textId="7777777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Acta de Nacimiento No. 69 de José Ángel Alvarado Herrera expedida por el Juez del Registro Civil del Ejido Benito Juárez, Buenaventura, Chihuahua (expediente de prueba, f. 7389).</w:t>
      </w:r>
    </w:p>
  </w:footnote>
  <w:footnote w:id="123">
    <w:p w14:paraId="64AA61A7" w14:textId="1D3BBEDB" w:rsidR="00146958" w:rsidRPr="00432ABC" w:rsidRDefault="00146958">
      <w:pPr>
        <w:pStyle w:val="Textonotapie"/>
        <w:jc w:val="both"/>
        <w:rPr>
          <w:rFonts w:ascii="Verdana" w:hAnsi="Verdana"/>
          <w:sz w:val="16"/>
          <w:szCs w:val="16"/>
          <w:highlight w:val="yellow"/>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432ABC">
        <w:rPr>
          <w:rFonts w:ascii="Verdana" w:hAnsi="Verdana"/>
          <w:i/>
          <w:sz w:val="16"/>
          <w:szCs w:val="16"/>
        </w:rPr>
        <w:t xml:space="preserve"> </w:t>
      </w:r>
      <w:r w:rsidRPr="002C462C">
        <w:rPr>
          <w:rFonts w:ascii="Verdana" w:hAnsi="Verdana"/>
          <w:sz w:val="16"/>
          <w:szCs w:val="16"/>
        </w:rPr>
        <w:t xml:space="preserve">Constancia laboral de la Empresa Vientek México S. de R. L. de C. V. (expediente de prueba, f. 96), y Declaración rendida por María de Jesús Alvarado Espinoza ante la Corte en la Audiencia Pública, </w:t>
      </w:r>
      <w:r w:rsidRPr="00432ABC">
        <w:rPr>
          <w:rFonts w:ascii="Verdana" w:hAnsi="Verdana"/>
          <w:i/>
          <w:sz w:val="16"/>
          <w:szCs w:val="16"/>
        </w:rPr>
        <w:t>supra,</w:t>
      </w:r>
      <w:r w:rsidRPr="00432ABC">
        <w:rPr>
          <w:rFonts w:ascii="Verdana" w:hAnsi="Verdana"/>
          <w:sz w:val="16"/>
          <w:szCs w:val="16"/>
        </w:rPr>
        <w:t xml:space="preserve"> pág. 27.</w:t>
      </w:r>
    </w:p>
  </w:footnote>
  <w:footnote w:id="124">
    <w:p w14:paraId="7917625B" w14:textId="0FAE70F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2C462C">
        <w:rPr>
          <w:rFonts w:ascii="Verdana" w:hAnsi="Verdana"/>
          <w:sz w:val="16"/>
          <w:szCs w:val="16"/>
        </w:rPr>
        <w:t xml:space="preserve">De acuerdo con la Resolución de Medidas Provisionales de esta Corte  14 de noviembre de 2017, el beneficiario identificado dentro del trámite de las mismas con las siglas “A.A.E” corresponde a la misma persona señalada por la Comisión como familiar de José Ángel Alvarado Herrera en el párrafo </w:t>
      </w:r>
      <w:r w:rsidRPr="00432ABC">
        <w:rPr>
          <w:rFonts w:ascii="Verdana" w:hAnsi="Verdana"/>
          <w:sz w:val="16"/>
          <w:szCs w:val="16"/>
        </w:rPr>
        <w:t xml:space="preserve">62 de su Informe de fondo con las iniciales “A.E.B.”. </w:t>
      </w:r>
      <w:r w:rsidRPr="00CD5C54">
        <w:rPr>
          <w:rFonts w:ascii="Verdana" w:hAnsi="Verdana"/>
          <w:i/>
          <w:sz w:val="16"/>
          <w:szCs w:val="16"/>
        </w:rPr>
        <w:t>Cfr.</w:t>
      </w:r>
      <w:r w:rsidRPr="00432ABC">
        <w:rPr>
          <w:rFonts w:ascii="Verdana" w:hAnsi="Verdana"/>
          <w:sz w:val="16"/>
          <w:szCs w:val="16"/>
        </w:rPr>
        <w:t xml:space="preserve"> </w:t>
      </w:r>
      <w:r w:rsidRPr="00432ABC">
        <w:rPr>
          <w:rFonts w:ascii="Verdana" w:hAnsi="Verdana"/>
          <w:bCs/>
          <w:i/>
          <w:sz w:val="16"/>
          <w:szCs w:val="16"/>
        </w:rPr>
        <w:t>Asunto Alvarado Reyes y otros respecto de México. Medidas Provisionales.</w:t>
      </w:r>
      <w:r w:rsidRPr="00432ABC">
        <w:rPr>
          <w:rFonts w:ascii="Verdana" w:hAnsi="Verdana"/>
          <w:bCs/>
          <w:sz w:val="16"/>
          <w:szCs w:val="16"/>
        </w:rPr>
        <w:t xml:space="preserve"> Resolución de 14 de noviembre de 2017. </w:t>
      </w:r>
      <w:r w:rsidRPr="00432ABC">
        <w:rPr>
          <w:rFonts w:ascii="Verdana" w:hAnsi="Verdana"/>
          <w:sz w:val="16"/>
          <w:szCs w:val="16"/>
        </w:rPr>
        <w:t xml:space="preserve">Considerando 13, y nota al pie número 6. Disponible en: </w:t>
      </w:r>
      <w:hyperlink r:id="rId36" w:history="1">
        <w:r w:rsidRPr="00432ABC">
          <w:rPr>
            <w:rStyle w:val="Hipervnculo"/>
            <w:rFonts w:ascii="Verdana" w:hAnsi="Verdana"/>
            <w:sz w:val="16"/>
            <w:szCs w:val="16"/>
          </w:rPr>
          <w:t>http://www.corteidh.or.cr/docs/medidas/alvarado_se_07.pdf</w:t>
        </w:r>
      </w:hyperlink>
      <w:r w:rsidRPr="00432ABC">
        <w:rPr>
          <w:rFonts w:ascii="Verdana" w:hAnsi="Verdana"/>
          <w:sz w:val="16"/>
          <w:szCs w:val="16"/>
        </w:rPr>
        <w:t xml:space="preserve">  </w:t>
      </w:r>
    </w:p>
  </w:footnote>
  <w:footnote w:id="125">
    <w:p w14:paraId="64AA61AA" w14:textId="242B71E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Árbol genealógico presentado por las representantes dentro del trámite de admisibilidad ante la Comisión Interamericana el 24 de diciembre de 2012,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1672</w:t>
      </w:r>
      <w:r>
        <w:rPr>
          <w:rFonts w:ascii="Verdana" w:hAnsi="Verdana"/>
          <w:sz w:val="16"/>
          <w:szCs w:val="16"/>
        </w:rPr>
        <w:t>)</w:t>
      </w:r>
      <w:r w:rsidRPr="00432ABC">
        <w:rPr>
          <w:rFonts w:ascii="Verdana" w:hAnsi="Verdana"/>
          <w:sz w:val="16"/>
          <w:szCs w:val="16"/>
        </w:rPr>
        <w:t>.</w:t>
      </w:r>
      <w:r>
        <w:rPr>
          <w:rFonts w:ascii="Verdana" w:hAnsi="Verdana"/>
          <w:sz w:val="16"/>
          <w:szCs w:val="16"/>
        </w:rPr>
        <w:t xml:space="preserve"> Ver también cita 1, respecto de Manuel Melquiades y familia. </w:t>
      </w:r>
      <w:r w:rsidRPr="00432ABC">
        <w:rPr>
          <w:rFonts w:ascii="Verdana" w:hAnsi="Verdana"/>
          <w:sz w:val="16"/>
          <w:szCs w:val="16"/>
        </w:rPr>
        <w:t xml:space="preserve"> </w:t>
      </w:r>
    </w:p>
  </w:footnote>
  <w:footnote w:id="126">
    <w:p w14:paraId="64AA61AB" w14:textId="599EB94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Árbol genealógico presentado por las representantes, </w:t>
      </w:r>
      <w:r w:rsidRPr="002C462C">
        <w:rPr>
          <w:rFonts w:ascii="Verdana" w:hAnsi="Verdana"/>
          <w:i/>
          <w:sz w:val="16"/>
          <w:szCs w:val="16"/>
        </w:rPr>
        <w:t>supr</w:t>
      </w:r>
      <w:r>
        <w:rPr>
          <w:rFonts w:ascii="Verdana" w:hAnsi="Verdana"/>
          <w:i/>
          <w:sz w:val="16"/>
          <w:szCs w:val="16"/>
        </w:rPr>
        <w:t>a</w:t>
      </w:r>
      <w:r w:rsidRPr="002C462C">
        <w:rPr>
          <w:rFonts w:ascii="Verdana" w:hAnsi="Verdana"/>
          <w:i/>
          <w:sz w:val="16"/>
          <w:szCs w:val="16"/>
        </w:rPr>
        <w:t xml:space="preserve"> </w:t>
      </w:r>
      <w:r>
        <w:rPr>
          <w:rFonts w:ascii="Verdana" w:hAnsi="Verdana"/>
          <w:sz w:val="16"/>
          <w:szCs w:val="16"/>
        </w:rPr>
        <w:t>(expediente de prueba</w:t>
      </w:r>
      <w:r>
        <w:rPr>
          <w:rFonts w:ascii="Verdana" w:hAnsi="Verdana"/>
          <w:sz w:val="16"/>
        </w:rPr>
        <w:t xml:space="preserve">, </w:t>
      </w:r>
      <w:r w:rsidRPr="00432ABC">
        <w:rPr>
          <w:rFonts w:ascii="Verdana" w:hAnsi="Verdana"/>
          <w:sz w:val="16"/>
          <w:szCs w:val="16"/>
        </w:rPr>
        <w:t>f. 1672</w:t>
      </w:r>
      <w:r>
        <w:rPr>
          <w:rFonts w:ascii="Verdana" w:hAnsi="Verdana"/>
          <w:sz w:val="16"/>
          <w:szCs w:val="16"/>
        </w:rPr>
        <w:t>)</w:t>
      </w:r>
      <w:r w:rsidRPr="00432ABC">
        <w:rPr>
          <w:rFonts w:ascii="Verdana" w:hAnsi="Verdana"/>
          <w:sz w:val="16"/>
          <w:szCs w:val="16"/>
        </w:rPr>
        <w:t>.</w:t>
      </w:r>
    </w:p>
  </w:footnote>
  <w:footnote w:id="127">
    <w:p w14:paraId="64AA61AC" w14:textId="3FD2E62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pericial de Carlos Martín Beristáin rendida </w:t>
      </w:r>
      <w:r>
        <w:rPr>
          <w:rFonts w:ascii="Verdana" w:hAnsi="Verdana"/>
          <w:sz w:val="16"/>
          <w:szCs w:val="16"/>
        </w:rPr>
        <w:t>el</w:t>
      </w:r>
      <w:r w:rsidRPr="002C462C">
        <w:rPr>
          <w:rFonts w:ascii="Verdana" w:hAnsi="Verdana"/>
          <w:sz w:val="16"/>
          <w:szCs w:val="16"/>
        </w:rPr>
        <w:t xml:space="preserve"> 16 de abril de 2018, y Familiograma [sic] anexo (expediente de prueba, </w:t>
      </w:r>
      <w:r w:rsidRPr="00453199">
        <w:rPr>
          <w:rFonts w:ascii="Verdana" w:hAnsi="Verdana"/>
          <w:i/>
          <w:sz w:val="16"/>
        </w:rPr>
        <w:t>Affidávits</w:t>
      </w:r>
      <w:r w:rsidRPr="00432ABC">
        <w:rPr>
          <w:rFonts w:ascii="Verdana" w:hAnsi="Verdana"/>
          <w:sz w:val="16"/>
          <w:szCs w:val="16"/>
        </w:rPr>
        <w:t>, ff. 31002 y 31050).</w:t>
      </w:r>
    </w:p>
  </w:footnote>
  <w:footnote w:id="128">
    <w:p w14:paraId="64AA61AD" w14:textId="0508B7D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10 de junio de 2010 ante el Subdirector de Manejo y Control de Averiguaciones Previas [SMC] de la FEVIMTRA – PGR (expediente de prueba, f. 27919), y Declaración de Obdulia Espinoza Beltrán rendida el 16 de enero de 2013 ante el AMPF en apoyo de la Agencia Décima Primera Investigador</w:t>
      </w:r>
      <w:r w:rsidRPr="00432ABC">
        <w:rPr>
          <w:rFonts w:ascii="Verdana" w:hAnsi="Verdana"/>
          <w:sz w:val="16"/>
          <w:szCs w:val="16"/>
        </w:rPr>
        <w:t>a de la PGR – Chihuahua [11ªAMPF – PGR] (expediente de prueba, f. 27929).</w:t>
      </w:r>
    </w:p>
  </w:footnote>
  <w:footnote w:id="129">
    <w:p w14:paraId="64AA61AE" w14:textId="008594E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Declaración de Obdulia Espinoza Beltrán rendida el 27 de octubre de 2014 ante el AMPF de la Unidad Especializada de Búsqueda de Person</w:t>
      </w:r>
      <w:r w:rsidRPr="00432ABC">
        <w:rPr>
          <w:rFonts w:ascii="Verdana" w:hAnsi="Verdana"/>
          <w:sz w:val="16"/>
          <w:szCs w:val="16"/>
        </w:rPr>
        <w:t>as Desaparecidas [UEBPD – PGR] (expediente de prueba, f. 27932</w:t>
      </w:r>
      <w:r>
        <w:rPr>
          <w:rFonts w:ascii="Verdana" w:hAnsi="Verdana"/>
          <w:sz w:val="16"/>
          <w:szCs w:val="16"/>
        </w:rPr>
        <w:t>)</w:t>
      </w:r>
      <w:r w:rsidRPr="00432ABC">
        <w:rPr>
          <w:rFonts w:ascii="Verdana" w:hAnsi="Verdana"/>
          <w:sz w:val="16"/>
          <w:szCs w:val="16"/>
        </w:rPr>
        <w:t xml:space="preserve">. </w:t>
      </w:r>
    </w:p>
  </w:footnote>
  <w:footnote w:id="130">
    <w:p w14:paraId="64AA61AF" w14:textId="5F97E5C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10 de junio de 2010 ante el SMC de la FEVIMTRA – PGR, </w:t>
      </w:r>
      <w:r w:rsidRPr="002C462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27919</w:t>
      </w:r>
      <w:r>
        <w:rPr>
          <w:rFonts w:ascii="Verdana" w:hAnsi="Verdana"/>
          <w:sz w:val="16"/>
          <w:szCs w:val="16"/>
        </w:rPr>
        <w:t>)</w:t>
      </w:r>
      <w:r w:rsidRPr="00432ABC">
        <w:rPr>
          <w:rFonts w:ascii="Verdana" w:hAnsi="Verdana"/>
          <w:sz w:val="16"/>
          <w:szCs w:val="16"/>
        </w:rPr>
        <w:t>.</w:t>
      </w:r>
    </w:p>
  </w:footnote>
  <w:footnote w:id="131">
    <w:p w14:paraId="64AA61B0" w14:textId="621861D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16 de enero de 2013 ante la 11ªAMPF – PGR,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27929</w:t>
      </w:r>
      <w:r>
        <w:rPr>
          <w:rFonts w:ascii="Verdana" w:hAnsi="Verdana"/>
          <w:sz w:val="16"/>
          <w:szCs w:val="16"/>
        </w:rPr>
        <w:t>)</w:t>
      </w:r>
      <w:r w:rsidRPr="00432ABC">
        <w:rPr>
          <w:rFonts w:ascii="Verdana" w:hAnsi="Verdana"/>
          <w:sz w:val="16"/>
          <w:szCs w:val="16"/>
        </w:rPr>
        <w:t>.</w:t>
      </w:r>
    </w:p>
  </w:footnote>
  <w:footnote w:id="132">
    <w:p w14:paraId="64AA61B1" w14:textId="50446591"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19 de abril de 2018 (expediente de prueba, </w:t>
      </w:r>
      <w:r w:rsidRPr="00453199">
        <w:rPr>
          <w:rFonts w:ascii="Verdana" w:hAnsi="Verdana"/>
          <w:i/>
          <w:sz w:val="16"/>
          <w:szCs w:val="16"/>
        </w:rPr>
        <w:t>Affidávits</w:t>
      </w:r>
      <w:r w:rsidRPr="002C462C">
        <w:rPr>
          <w:rFonts w:ascii="Verdana" w:hAnsi="Verdana"/>
          <w:sz w:val="16"/>
          <w:szCs w:val="16"/>
        </w:rPr>
        <w:t xml:space="preserve">, f. 30911). </w:t>
      </w:r>
    </w:p>
  </w:footnote>
  <w:footnote w:id="133">
    <w:p w14:paraId="64AA61B2" w14:textId="651EEB77"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Recomendación 43/11 emitida el 30 de junio de 2011 por la Comisión Nacional de Derechos Humanos [CNDH] (expediente de prueba, </w:t>
      </w:r>
      <w:r>
        <w:rPr>
          <w:rFonts w:ascii="Verdana" w:hAnsi="Verdana"/>
          <w:sz w:val="16"/>
          <w:szCs w:val="16"/>
        </w:rPr>
        <w:t>f</w:t>
      </w:r>
      <w:r w:rsidRPr="002C462C">
        <w:rPr>
          <w:rFonts w:ascii="Verdana" w:hAnsi="Verdana"/>
          <w:sz w:val="16"/>
          <w:szCs w:val="16"/>
        </w:rPr>
        <w:t xml:space="preserve">f. 27856 a 27857). </w:t>
      </w:r>
    </w:p>
  </w:footnote>
  <w:footnote w:id="134">
    <w:p w14:paraId="64AA61B3" w14:textId="6E5568DA"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Declaración de Obdulia Espinoza Beltrán rendida el 16 de enero de 2013 ante la 11ªAMPF – PGR, </w:t>
      </w:r>
      <w:r w:rsidRPr="002C462C">
        <w:rPr>
          <w:rFonts w:ascii="Verdana" w:hAnsi="Verdana"/>
          <w:i/>
          <w:sz w:val="16"/>
          <w:szCs w:val="16"/>
        </w:rPr>
        <w:t>supra</w:t>
      </w:r>
      <w:r w:rsidRPr="002C462C">
        <w:rPr>
          <w:rFonts w:ascii="Verdana" w:hAnsi="Verdana"/>
          <w:sz w:val="16"/>
          <w:szCs w:val="16"/>
        </w:rPr>
        <w:t xml:space="preserve"> </w:t>
      </w:r>
      <w:r>
        <w:rPr>
          <w:rFonts w:ascii="Verdana" w:hAnsi="Verdana"/>
          <w:sz w:val="16"/>
          <w:szCs w:val="16"/>
        </w:rPr>
        <w:t xml:space="preserve">(expediente de prueba, </w:t>
      </w:r>
      <w:r w:rsidRPr="002C462C">
        <w:rPr>
          <w:rFonts w:ascii="Verdana" w:hAnsi="Verdana"/>
          <w:sz w:val="16"/>
          <w:szCs w:val="16"/>
        </w:rPr>
        <w:t>f. 27928</w:t>
      </w:r>
      <w:r>
        <w:rPr>
          <w:rFonts w:ascii="Verdana" w:hAnsi="Verdana"/>
          <w:sz w:val="16"/>
          <w:szCs w:val="16"/>
        </w:rPr>
        <w:t>)</w:t>
      </w:r>
      <w:r w:rsidRPr="002C462C">
        <w:rPr>
          <w:rFonts w:ascii="Verdana" w:hAnsi="Verdana"/>
          <w:sz w:val="16"/>
          <w:szCs w:val="16"/>
        </w:rPr>
        <w:t>.</w:t>
      </w:r>
    </w:p>
  </w:footnote>
  <w:footnote w:id="135">
    <w:p w14:paraId="64AA61B4" w14:textId="113C76F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10 de junio de 2010 ante el SMC</w:t>
      </w:r>
      <w:r w:rsidRPr="002C462C" w:rsidDel="00731DB7">
        <w:rPr>
          <w:rFonts w:ascii="Verdana" w:hAnsi="Verdana"/>
          <w:sz w:val="16"/>
          <w:szCs w:val="16"/>
        </w:rPr>
        <w:t xml:space="preserve"> </w:t>
      </w:r>
      <w:r w:rsidRPr="00432ABC">
        <w:rPr>
          <w:rFonts w:ascii="Verdana" w:hAnsi="Verdana"/>
          <w:sz w:val="16"/>
          <w:szCs w:val="16"/>
        </w:rPr>
        <w:t xml:space="preserve">de la FEVIMTRA – PGR, </w:t>
      </w:r>
      <w:r w:rsidRPr="00432ABC">
        <w:rPr>
          <w:rFonts w:ascii="Verdana" w:hAnsi="Verdana"/>
          <w:i/>
          <w:sz w:val="16"/>
          <w:szCs w:val="16"/>
        </w:rPr>
        <w:t>supra</w:t>
      </w:r>
      <w:r>
        <w:rPr>
          <w:rFonts w:ascii="Verdana" w:hAnsi="Verdana"/>
          <w:sz w:val="16"/>
          <w:szCs w:val="16"/>
        </w:rPr>
        <w:t xml:space="preserve"> (expediente de prueba, </w:t>
      </w:r>
      <w:r w:rsidRPr="00432ABC">
        <w:rPr>
          <w:rFonts w:ascii="Verdana" w:hAnsi="Verdana"/>
          <w:sz w:val="16"/>
          <w:szCs w:val="16"/>
        </w:rPr>
        <w:t>f. 27919</w:t>
      </w:r>
      <w:r>
        <w:rPr>
          <w:rFonts w:ascii="Verdana" w:hAnsi="Verdana"/>
          <w:sz w:val="16"/>
          <w:szCs w:val="16"/>
        </w:rPr>
        <w:t>)</w:t>
      </w:r>
      <w:r w:rsidRPr="00432ABC">
        <w:rPr>
          <w:rFonts w:ascii="Verdana" w:hAnsi="Verdana"/>
          <w:sz w:val="16"/>
          <w:szCs w:val="16"/>
        </w:rPr>
        <w:t>, y</w:t>
      </w:r>
      <w:r w:rsidRPr="00432ABC">
        <w:rPr>
          <w:rFonts w:ascii="Verdana" w:hAnsi="Verdana"/>
          <w:i/>
          <w:sz w:val="16"/>
          <w:szCs w:val="16"/>
        </w:rPr>
        <w:t xml:space="preserve"> </w:t>
      </w:r>
      <w:r w:rsidRPr="00432ABC">
        <w:rPr>
          <w:rFonts w:ascii="Verdana" w:hAnsi="Verdana"/>
          <w:sz w:val="16"/>
          <w:szCs w:val="16"/>
        </w:rPr>
        <w:t xml:space="preserve">Declaración de Obdulia Espinoza Beltrán rendida el 27 de octubre de 2014 ante el AMPF de la UEBPD – PGR,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27932</w:t>
      </w:r>
      <w:r>
        <w:rPr>
          <w:rFonts w:ascii="Verdana" w:hAnsi="Verdana"/>
          <w:sz w:val="16"/>
          <w:szCs w:val="16"/>
        </w:rPr>
        <w:t>)</w:t>
      </w:r>
      <w:r w:rsidRPr="00432ABC">
        <w:rPr>
          <w:rFonts w:ascii="Verdana" w:hAnsi="Verdana"/>
          <w:sz w:val="16"/>
          <w:szCs w:val="16"/>
        </w:rPr>
        <w:t>.</w:t>
      </w:r>
    </w:p>
  </w:footnote>
  <w:footnote w:id="136">
    <w:p w14:paraId="64AA61B5" w14:textId="7862855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19 de abril de 2018, </w:t>
      </w:r>
      <w:r w:rsidRPr="002C462C">
        <w:rPr>
          <w:rFonts w:ascii="Verdana" w:hAnsi="Verdana"/>
          <w:i/>
          <w:sz w:val="16"/>
          <w:szCs w:val="16"/>
        </w:rPr>
        <w:t>supra</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30911</w:t>
      </w:r>
      <w:r>
        <w:rPr>
          <w:rFonts w:ascii="Verdana" w:hAnsi="Verdana"/>
          <w:sz w:val="16"/>
          <w:szCs w:val="16"/>
        </w:rPr>
        <w:t>)</w:t>
      </w:r>
      <w:r w:rsidRPr="00432ABC">
        <w:rPr>
          <w:rFonts w:ascii="Verdana" w:hAnsi="Verdana"/>
          <w:sz w:val="16"/>
          <w:szCs w:val="16"/>
        </w:rPr>
        <w:t>.</w:t>
      </w:r>
    </w:p>
  </w:footnote>
  <w:footnote w:id="137">
    <w:p w14:paraId="64AA61B6" w14:textId="3CCF0C8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16 de enero de 2013 ante la 11ªAMPF – PGR,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27929</w:t>
      </w:r>
      <w:r>
        <w:rPr>
          <w:rFonts w:ascii="Verdana" w:hAnsi="Verdana"/>
          <w:sz w:val="16"/>
          <w:szCs w:val="16"/>
        </w:rPr>
        <w:t>)</w:t>
      </w:r>
      <w:r w:rsidRPr="00432ABC">
        <w:rPr>
          <w:rFonts w:ascii="Verdana" w:hAnsi="Verdana"/>
          <w:sz w:val="16"/>
          <w:szCs w:val="16"/>
        </w:rPr>
        <w:t>.</w:t>
      </w:r>
    </w:p>
  </w:footnote>
  <w:footnote w:id="138">
    <w:p w14:paraId="64AA61B7" w14:textId="2E626F7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de Obdulia Espinoza Beltrán rendida el 10 de junio de 2010 ante el SMC de la FEVIMTRA – PGR,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ff. 27919 a 27921 y 27929</w:t>
      </w:r>
      <w:r>
        <w:rPr>
          <w:rFonts w:ascii="Verdana" w:hAnsi="Verdana"/>
          <w:sz w:val="16"/>
          <w:szCs w:val="16"/>
        </w:rPr>
        <w:t>)</w:t>
      </w:r>
      <w:r w:rsidRPr="00432ABC">
        <w:rPr>
          <w:rFonts w:ascii="Verdana" w:hAnsi="Verdana"/>
          <w:sz w:val="16"/>
          <w:szCs w:val="16"/>
        </w:rPr>
        <w:t xml:space="preserve">, y Declaración de Obdulia Espinoza Beltrán rendida el 19 de abril de 2018, </w:t>
      </w:r>
      <w:r w:rsidRPr="00432ABC">
        <w:rPr>
          <w:rFonts w:ascii="Verdana" w:hAnsi="Verdana"/>
          <w:i/>
          <w:sz w:val="16"/>
          <w:szCs w:val="16"/>
        </w:rPr>
        <w:t>supra</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ff. 30910 a 30911</w:t>
      </w:r>
      <w:r>
        <w:rPr>
          <w:rFonts w:ascii="Verdana" w:hAnsi="Verdana"/>
          <w:sz w:val="16"/>
          <w:szCs w:val="16"/>
        </w:rPr>
        <w:t>)</w:t>
      </w:r>
      <w:r w:rsidRPr="00432ABC">
        <w:rPr>
          <w:rFonts w:ascii="Verdana" w:hAnsi="Verdana"/>
          <w:sz w:val="16"/>
          <w:szCs w:val="16"/>
        </w:rPr>
        <w:t xml:space="preserve">. En su declaración jurada rendida para la Corte, la señora Beltrán expuso: “Cuando estábamos adentro […] fue cuando vimos que llegan las trocas (camionetas), bueno oímos [sic] y en eso nos asomamos mi hija </w:t>
      </w:r>
      <w:r>
        <w:rPr>
          <w:rFonts w:ascii="Verdana" w:hAnsi="Verdana"/>
          <w:sz w:val="16"/>
          <w:szCs w:val="16"/>
        </w:rPr>
        <w:t>[…] [J.A.E]</w:t>
      </w:r>
      <w:r w:rsidRPr="00432ABC">
        <w:rPr>
          <w:rFonts w:ascii="Verdana" w:hAnsi="Verdana"/>
          <w:sz w:val="16"/>
          <w:szCs w:val="16"/>
        </w:rPr>
        <w:t xml:space="preserve"> y yo, y vemos que están dos o tres vehículos y me dice la niña: “¡son soldados mamá y se quieren llevar a mi papá! […] y me fijo que sí, que eran soldados, mi esposo estaba debajo de la troca de Paola, a un lado afuera de la cabina, él estaba parado [sic], entonces llega uno de los soldados, se para [sic] uno cerca de José Ángel [Alvarado Herrera] y los demás están hacia con [sic] [Nitza] Paola que seguía en el lado del volante. Eran alrededor de ocho o diez militares […] Recuerdo que llevaban uniformes verdes y cafés y que ahí no llevaban pasamontañas […]”. </w:t>
      </w:r>
    </w:p>
  </w:footnote>
  <w:footnote w:id="139">
    <w:p w14:paraId="64AA61B8" w14:textId="3B86159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Acta</w:t>
      </w:r>
      <w:r w:rsidRPr="00432ABC">
        <w:rPr>
          <w:rFonts w:ascii="Verdana" w:hAnsi="Verdana"/>
          <w:i/>
          <w:sz w:val="16"/>
          <w:szCs w:val="16"/>
        </w:rPr>
        <w:t xml:space="preserve"> </w:t>
      </w:r>
      <w:r w:rsidRPr="00432ABC">
        <w:rPr>
          <w:rFonts w:ascii="Verdana" w:hAnsi="Verdana"/>
          <w:sz w:val="16"/>
          <w:szCs w:val="16"/>
        </w:rPr>
        <w:t xml:space="preserve">de denuncia de María de Jesús Alvarado Espinoza promovida el 31 de diciembre de 2009 ante el Agente Auxiliar del Ministerio Público de Buenaventura, Chihuahua [AAMP - Buenaventura] (expediente de prueba, f. 27901); y Declaraciones rendidas el 18 de abril de 2018 por D.A.E. (expediente de prueba, </w:t>
      </w:r>
      <w:r w:rsidRPr="00453199">
        <w:rPr>
          <w:rFonts w:ascii="Verdana" w:hAnsi="Verdana"/>
          <w:i/>
          <w:sz w:val="16"/>
          <w:szCs w:val="16"/>
        </w:rPr>
        <w:t>Affidávits</w:t>
      </w:r>
      <w:r w:rsidRPr="00432ABC">
        <w:rPr>
          <w:rFonts w:ascii="Verdana" w:hAnsi="Verdana"/>
          <w:sz w:val="16"/>
          <w:szCs w:val="16"/>
        </w:rPr>
        <w:t xml:space="preserve">, f. 30889); M.P.A.E. (expediente de prueba, </w:t>
      </w:r>
      <w:r w:rsidRPr="00453199">
        <w:rPr>
          <w:rFonts w:ascii="Verdana" w:hAnsi="Verdana"/>
          <w:i/>
          <w:sz w:val="16"/>
          <w:szCs w:val="16"/>
        </w:rPr>
        <w:t>Affidávits</w:t>
      </w:r>
      <w:r w:rsidRPr="00432ABC">
        <w:rPr>
          <w:rFonts w:ascii="Verdana" w:hAnsi="Verdana"/>
          <w:sz w:val="16"/>
          <w:szCs w:val="16"/>
        </w:rPr>
        <w:t xml:space="preserve">, f. 30895), y N.S.A.E. (expediente de prueba, </w:t>
      </w:r>
      <w:r w:rsidRPr="00453199">
        <w:rPr>
          <w:rFonts w:ascii="Verdana" w:hAnsi="Verdana"/>
          <w:i/>
          <w:sz w:val="16"/>
          <w:szCs w:val="16"/>
        </w:rPr>
        <w:t>Affidávits</w:t>
      </w:r>
      <w:r w:rsidRPr="00432ABC">
        <w:rPr>
          <w:rFonts w:ascii="Verdana" w:hAnsi="Verdana"/>
          <w:sz w:val="16"/>
          <w:szCs w:val="16"/>
        </w:rPr>
        <w:t>, f. 30902).</w:t>
      </w:r>
    </w:p>
  </w:footnote>
  <w:footnote w:id="140">
    <w:p w14:paraId="64AA61B9" w14:textId="35DF10A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Acta</w:t>
      </w:r>
      <w:r w:rsidRPr="00432ABC">
        <w:rPr>
          <w:rFonts w:ascii="Verdana" w:hAnsi="Verdana"/>
          <w:i/>
          <w:sz w:val="16"/>
          <w:szCs w:val="16"/>
        </w:rPr>
        <w:t xml:space="preserve"> </w:t>
      </w:r>
      <w:r w:rsidRPr="00432ABC">
        <w:rPr>
          <w:rFonts w:ascii="Verdana" w:hAnsi="Verdana"/>
          <w:sz w:val="16"/>
          <w:szCs w:val="16"/>
        </w:rPr>
        <w:t xml:space="preserve">de denuncia de María de Jesús Alvarado Espinoza de 31 de diciembre de 2009 ante el AAMP - Buenaventura, </w:t>
      </w:r>
      <w:r w:rsidRPr="00432ABC">
        <w:rPr>
          <w:rFonts w:ascii="Verdana" w:hAnsi="Verdana"/>
          <w:i/>
          <w:sz w:val="16"/>
          <w:szCs w:val="16"/>
        </w:rPr>
        <w:t xml:space="preserve">supra, </w:t>
      </w:r>
      <w:r w:rsidRPr="00432ABC">
        <w:rPr>
          <w:rFonts w:ascii="Verdana" w:hAnsi="Verdana"/>
          <w:sz w:val="16"/>
          <w:szCs w:val="16"/>
        </w:rPr>
        <w:t>f. 27901; Declaración rendid</w:t>
      </w:r>
      <w:r>
        <w:rPr>
          <w:rFonts w:ascii="Verdana" w:hAnsi="Verdana"/>
          <w:sz w:val="16"/>
          <w:szCs w:val="16"/>
        </w:rPr>
        <w:t xml:space="preserve">a </w:t>
      </w:r>
      <w:r w:rsidRPr="00432ABC">
        <w:rPr>
          <w:rFonts w:ascii="Verdana" w:hAnsi="Verdana"/>
          <w:sz w:val="16"/>
          <w:szCs w:val="16"/>
        </w:rPr>
        <w:t xml:space="preserve">por M.P.A.E. el 18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30895</w:t>
      </w:r>
      <w:r>
        <w:rPr>
          <w:rFonts w:ascii="Verdana" w:hAnsi="Verdana"/>
          <w:sz w:val="16"/>
          <w:szCs w:val="16"/>
        </w:rPr>
        <w:t>)</w:t>
      </w:r>
      <w:r w:rsidRPr="00432ABC">
        <w:rPr>
          <w:rFonts w:ascii="Verdana" w:hAnsi="Verdana"/>
          <w:sz w:val="16"/>
          <w:szCs w:val="16"/>
        </w:rPr>
        <w:t xml:space="preserve">, y Declaración rendida </w:t>
      </w:r>
      <w:r>
        <w:rPr>
          <w:rFonts w:ascii="Verdana" w:hAnsi="Verdana"/>
          <w:sz w:val="16"/>
          <w:szCs w:val="16"/>
        </w:rPr>
        <w:t xml:space="preserve">en la Audiencia Pública </w:t>
      </w:r>
      <w:r w:rsidRPr="00432ABC">
        <w:rPr>
          <w:rFonts w:ascii="Verdana" w:hAnsi="Verdana"/>
          <w:sz w:val="16"/>
          <w:szCs w:val="16"/>
        </w:rPr>
        <w:t>ante la Corte por María de Jesús Alvarado Espinoza el 26 de abril de 2018  (Transcripción de la Audiencia Pública, pág. 7).</w:t>
      </w:r>
    </w:p>
  </w:footnote>
  <w:footnote w:id="141">
    <w:p w14:paraId="64AA61BA" w14:textId="2D6744C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rendida </w:t>
      </w:r>
      <w:r>
        <w:rPr>
          <w:rFonts w:ascii="Verdana" w:hAnsi="Verdana"/>
          <w:sz w:val="16"/>
          <w:szCs w:val="16"/>
        </w:rPr>
        <w:t xml:space="preserve">en la Audiencia Pública </w:t>
      </w:r>
      <w:r w:rsidRPr="002C462C">
        <w:rPr>
          <w:rFonts w:ascii="Verdana" w:hAnsi="Verdana"/>
          <w:sz w:val="16"/>
          <w:szCs w:val="16"/>
        </w:rPr>
        <w:t>ante la Corte po</w:t>
      </w:r>
      <w:r w:rsidRPr="00432ABC">
        <w:rPr>
          <w:rFonts w:ascii="Verdana" w:hAnsi="Verdana"/>
          <w:sz w:val="16"/>
          <w:szCs w:val="16"/>
        </w:rPr>
        <w:t xml:space="preserve">r María de Jesús Alvarado Espinoza, </w:t>
      </w:r>
      <w:r w:rsidRPr="00432ABC">
        <w:rPr>
          <w:rFonts w:ascii="Verdana" w:hAnsi="Verdana"/>
          <w:i/>
          <w:sz w:val="16"/>
          <w:szCs w:val="16"/>
        </w:rPr>
        <w:t>supra,</w:t>
      </w:r>
      <w:r w:rsidRPr="00432ABC">
        <w:rPr>
          <w:rFonts w:ascii="Verdana" w:hAnsi="Verdana"/>
          <w:sz w:val="16"/>
          <w:szCs w:val="16"/>
        </w:rPr>
        <w:t xml:space="preserve"> pág. 7; y Declaración rendida por D.A.E. el 18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30889</w:t>
      </w:r>
      <w:r>
        <w:rPr>
          <w:rFonts w:ascii="Verdana" w:hAnsi="Verdana"/>
          <w:sz w:val="16"/>
          <w:szCs w:val="16"/>
        </w:rPr>
        <w:t>)</w:t>
      </w:r>
      <w:r w:rsidRPr="00432ABC">
        <w:rPr>
          <w:rFonts w:ascii="Verdana" w:hAnsi="Verdana"/>
          <w:sz w:val="16"/>
          <w:szCs w:val="16"/>
        </w:rPr>
        <w:t xml:space="preserve">; Declaración rendida por M.P.A.E. el 18 de abril de 2018, </w:t>
      </w:r>
      <w:r w:rsidRPr="00432ABC">
        <w:rPr>
          <w:rFonts w:ascii="Verdana" w:hAnsi="Verdana"/>
          <w:i/>
          <w:sz w:val="16"/>
          <w:szCs w:val="16"/>
        </w:rPr>
        <w:t>supra</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30895</w:t>
      </w:r>
      <w:r>
        <w:rPr>
          <w:rFonts w:ascii="Verdana" w:hAnsi="Verdana"/>
          <w:sz w:val="16"/>
          <w:szCs w:val="16"/>
        </w:rPr>
        <w:t>)</w:t>
      </w:r>
      <w:r w:rsidRPr="00432ABC">
        <w:rPr>
          <w:rFonts w:ascii="Verdana" w:hAnsi="Verdana"/>
          <w:sz w:val="16"/>
          <w:szCs w:val="16"/>
        </w:rPr>
        <w:t xml:space="preserve">, y Declaración rendida por N.S.A.E. el 18 de abril de 2018, </w:t>
      </w:r>
      <w:r w:rsidRPr="00432ABC">
        <w:rPr>
          <w:rFonts w:ascii="Verdana" w:hAnsi="Verdana"/>
          <w:i/>
          <w:sz w:val="16"/>
          <w:szCs w:val="16"/>
        </w:rPr>
        <w:t>supr</w:t>
      </w:r>
      <w:r>
        <w:rPr>
          <w:rFonts w:ascii="Verdana" w:hAnsi="Verdana"/>
          <w:i/>
          <w:sz w:val="16"/>
          <w:szCs w:val="16"/>
        </w:rPr>
        <w:t>a</w:t>
      </w:r>
      <w:r w:rsidRPr="00432ABC">
        <w:rPr>
          <w:rFonts w:ascii="Verdana" w:hAnsi="Verdana"/>
          <w:i/>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rPr>
        <w:t xml:space="preserve">, </w:t>
      </w:r>
      <w:r w:rsidRPr="00432ABC">
        <w:rPr>
          <w:rFonts w:ascii="Verdana" w:hAnsi="Verdana"/>
          <w:sz w:val="16"/>
          <w:szCs w:val="16"/>
        </w:rPr>
        <w:t>f. 30902</w:t>
      </w:r>
      <w:r>
        <w:rPr>
          <w:rFonts w:ascii="Verdana" w:hAnsi="Verdana"/>
          <w:sz w:val="16"/>
          <w:szCs w:val="16"/>
        </w:rPr>
        <w:t>)</w:t>
      </w:r>
      <w:r w:rsidRPr="00432ABC">
        <w:rPr>
          <w:rFonts w:ascii="Verdana" w:hAnsi="Verdana"/>
          <w:sz w:val="16"/>
          <w:szCs w:val="16"/>
        </w:rPr>
        <w:t>.</w:t>
      </w:r>
    </w:p>
  </w:footnote>
  <w:footnote w:id="142">
    <w:p w14:paraId="64AA61BB" w14:textId="283F22A9"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A.R.A.R. rendida el 15 de enero de 2010 ante la CNDH (expediente de prueba, f. 27939), y Declaración de A.A.R. rendida el 15 de enero de 2010 ante la CNDH (expediente de prueba, f. 29045). </w:t>
      </w:r>
    </w:p>
  </w:footnote>
  <w:footnote w:id="143">
    <w:p w14:paraId="64AA61BC" w14:textId="329C250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Acta de denuncia de Patricia Reyes Rueda promovida el 31 de diciembre de 2009 ante el AAMP - Buena</w:t>
      </w:r>
      <w:r w:rsidRPr="00432ABC">
        <w:rPr>
          <w:rFonts w:ascii="Verdana" w:hAnsi="Verdana"/>
          <w:sz w:val="16"/>
          <w:szCs w:val="16"/>
        </w:rPr>
        <w:t>ventura</w:t>
      </w:r>
      <w:r w:rsidRPr="00432ABC" w:rsidDel="00E73075">
        <w:rPr>
          <w:rFonts w:ascii="Verdana" w:hAnsi="Verdana"/>
          <w:sz w:val="16"/>
          <w:szCs w:val="16"/>
        </w:rPr>
        <w:t xml:space="preserve"> </w:t>
      </w:r>
      <w:r w:rsidRPr="00432ABC">
        <w:rPr>
          <w:rFonts w:ascii="Verdana" w:hAnsi="Verdana"/>
          <w:sz w:val="16"/>
          <w:szCs w:val="16"/>
        </w:rPr>
        <w:t>(expediente de prueba, f. 27877).</w:t>
      </w:r>
    </w:p>
  </w:footnote>
  <w:footnote w:id="144">
    <w:p w14:paraId="64AA61BD" w14:textId="0EDCAD11"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Declaración de Patricia Reyes Rueda rendida el 16 de enero de 2013 ante la 11ªAMPF – PGR (expediente de prueba, f. 27887).</w:t>
      </w:r>
    </w:p>
  </w:footnote>
  <w:footnote w:id="145">
    <w:p w14:paraId="64AA61BE" w14:textId="4E781805"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por A.A.R. el 19 de abril de 2018 (expediente de prueba, </w:t>
      </w:r>
      <w:r w:rsidRPr="00453199">
        <w:rPr>
          <w:rFonts w:ascii="Verdana" w:hAnsi="Verdana"/>
          <w:i/>
          <w:sz w:val="16"/>
          <w:szCs w:val="16"/>
        </w:rPr>
        <w:t>Affidávits</w:t>
      </w:r>
      <w:r w:rsidRPr="002C462C">
        <w:rPr>
          <w:rFonts w:ascii="Verdana" w:hAnsi="Verdana"/>
          <w:sz w:val="16"/>
          <w:szCs w:val="16"/>
        </w:rPr>
        <w:t xml:space="preserve">, f. 30865), y Declaración rendida por A.R.A.R. el 19 de abril de 2018 (expediente de prueba, </w:t>
      </w:r>
      <w:r w:rsidRPr="00453199">
        <w:rPr>
          <w:rFonts w:ascii="Verdana" w:hAnsi="Verdana"/>
          <w:i/>
          <w:sz w:val="16"/>
          <w:szCs w:val="16"/>
        </w:rPr>
        <w:t>Affidávits</w:t>
      </w:r>
      <w:r w:rsidRPr="002C462C">
        <w:rPr>
          <w:rFonts w:ascii="Verdana" w:hAnsi="Verdana"/>
          <w:sz w:val="16"/>
          <w:szCs w:val="16"/>
        </w:rPr>
        <w:t>, f. 30871).</w:t>
      </w:r>
    </w:p>
  </w:footnote>
  <w:footnote w:id="146">
    <w:p w14:paraId="64AA61BF" w14:textId="21F7A9E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por A.A.R. el 19 de abril de 2018, </w:t>
      </w:r>
      <w:r w:rsidRPr="002C462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30865</w:t>
      </w:r>
      <w:r>
        <w:rPr>
          <w:rFonts w:ascii="Verdana" w:hAnsi="Verdana"/>
          <w:sz w:val="16"/>
          <w:szCs w:val="16"/>
        </w:rPr>
        <w:t>)</w:t>
      </w:r>
      <w:r w:rsidRPr="00432ABC">
        <w:rPr>
          <w:rFonts w:ascii="Verdana" w:hAnsi="Verdana"/>
          <w:sz w:val="16"/>
          <w:szCs w:val="16"/>
        </w:rPr>
        <w:t>. Señaló que los captores tenían “voz chilanga (del centro-sur del país), como la de los militares que habían estado en el pueblo”.</w:t>
      </w:r>
    </w:p>
  </w:footnote>
  <w:footnote w:id="147">
    <w:p w14:paraId="64AA61C0" w14:textId="1CE4318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Declaración de P</w:t>
      </w:r>
      <w:r w:rsidRPr="00432ABC">
        <w:rPr>
          <w:rFonts w:ascii="Verdana" w:hAnsi="Verdana"/>
          <w:sz w:val="16"/>
          <w:szCs w:val="16"/>
        </w:rPr>
        <w:t xml:space="preserve">atricia Reyes Rueda rendida el 16 de enero de 2013 ante la 11ªAMPF – PGR, </w:t>
      </w:r>
      <w:r w:rsidRPr="00432ABC">
        <w:rPr>
          <w:rFonts w:ascii="Verdana" w:hAnsi="Verdana"/>
          <w:i/>
          <w:sz w:val="16"/>
          <w:szCs w:val="16"/>
        </w:rPr>
        <w:t xml:space="preserve">supra, </w:t>
      </w:r>
      <w:r w:rsidRPr="00432ABC">
        <w:rPr>
          <w:rFonts w:ascii="Verdana" w:hAnsi="Verdana"/>
          <w:sz w:val="16"/>
          <w:szCs w:val="16"/>
        </w:rPr>
        <w:t xml:space="preserve">f. 27887. Asimismo, en su declaración rendida ante el Agente del Ministerio Público Militar adscrito a la Quinta Zona Militar [AMPM - 5ªZM], la señora Patricia Reyes Rueda manifestó que una vez que accedió a abrir la puerta, uno de los elementos la empujó con el arma que portaba, la cual era similar a las que emplean elementos castrenses, y que los mismos vestían uniformes de color beige tipo desierto, añadiendo: “[…] este tipo de uniforme lo he visto en el precos [sic] [puesto de control] [ubicado en Samayaluca, camino] hacia Ciudad Juárez […] igualmente, había [a]fuera de mi domicilio militares con el uniforme verde y otros con uniforme verde más obscuro”. </w:t>
      </w:r>
      <w:r w:rsidRPr="00CD5C54">
        <w:rPr>
          <w:rFonts w:ascii="Verdana" w:hAnsi="Verdana"/>
          <w:i/>
          <w:sz w:val="16"/>
          <w:szCs w:val="16"/>
        </w:rPr>
        <w:t>Cfr.</w:t>
      </w:r>
      <w:r w:rsidRPr="00432ABC">
        <w:rPr>
          <w:rFonts w:ascii="Verdana" w:hAnsi="Verdana"/>
          <w:sz w:val="16"/>
          <w:szCs w:val="16"/>
        </w:rPr>
        <w:t xml:space="preserve"> Declaración de Patricia Reyes Rueda rendida el 9 de marzo de 2010 ante el AMPM - 5ªZM (expediente de prueba, ff. 27883 a 27884).</w:t>
      </w:r>
    </w:p>
  </w:footnote>
  <w:footnote w:id="148">
    <w:p w14:paraId="64AA61C1" w14:textId="12D476B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A.R.A.R. rendida el 15 de enero de 2010 ante la CNDH, </w:t>
      </w:r>
      <w:r w:rsidRPr="002C462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27939</w:t>
      </w:r>
      <w:r>
        <w:rPr>
          <w:rFonts w:ascii="Verdana" w:hAnsi="Verdana"/>
          <w:sz w:val="16"/>
          <w:szCs w:val="16"/>
        </w:rPr>
        <w:t>)</w:t>
      </w:r>
      <w:r w:rsidRPr="00432ABC">
        <w:rPr>
          <w:rFonts w:ascii="Verdana" w:hAnsi="Verdana"/>
          <w:sz w:val="16"/>
          <w:szCs w:val="16"/>
        </w:rPr>
        <w:t xml:space="preserve">, y Declaración rendida por A.A.R. el 19 de abril de 2018,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30865</w:t>
      </w:r>
      <w:r>
        <w:rPr>
          <w:rFonts w:ascii="Verdana" w:hAnsi="Verdana"/>
          <w:sz w:val="16"/>
          <w:szCs w:val="16"/>
        </w:rPr>
        <w:t>)</w:t>
      </w:r>
      <w:r w:rsidRPr="00432ABC">
        <w:rPr>
          <w:rFonts w:ascii="Verdana" w:hAnsi="Verdana"/>
          <w:sz w:val="16"/>
          <w:szCs w:val="16"/>
        </w:rPr>
        <w:t>.</w:t>
      </w:r>
    </w:p>
  </w:footnote>
  <w:footnote w:id="149">
    <w:p w14:paraId="64AA61C2" w14:textId="04435B8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Patricia Reyes Rueda rendida el 9 de marzo de 2010 ante el AMPM - 5ªZM, </w:t>
      </w:r>
      <w:r w:rsidRPr="002C462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27884</w:t>
      </w:r>
      <w:r>
        <w:rPr>
          <w:rFonts w:ascii="Verdana" w:hAnsi="Verdana"/>
          <w:sz w:val="16"/>
          <w:szCs w:val="16"/>
        </w:rPr>
        <w:t>)</w:t>
      </w:r>
      <w:r w:rsidRPr="00432ABC">
        <w:rPr>
          <w:rFonts w:ascii="Verdana" w:hAnsi="Verdana"/>
          <w:sz w:val="16"/>
          <w:szCs w:val="16"/>
        </w:rPr>
        <w:t>.</w:t>
      </w:r>
    </w:p>
  </w:footnote>
  <w:footnote w:id="150">
    <w:p w14:paraId="64AA61C3" w14:textId="3065861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i/>
          <w:sz w:val="16"/>
          <w:szCs w:val="16"/>
        </w:rPr>
        <w:t xml:space="preserve"> </w:t>
      </w:r>
      <w:r w:rsidRPr="00432ABC">
        <w:rPr>
          <w:rFonts w:ascii="Verdana" w:hAnsi="Verdana"/>
          <w:i/>
          <w:sz w:val="16"/>
          <w:szCs w:val="16"/>
        </w:rPr>
        <w:tab/>
      </w:r>
      <w:r w:rsidRPr="00CD5C54">
        <w:rPr>
          <w:rFonts w:ascii="Verdana" w:hAnsi="Verdana"/>
          <w:i/>
          <w:sz w:val="16"/>
          <w:szCs w:val="16"/>
        </w:rPr>
        <w:t>Cfr.</w:t>
      </w:r>
      <w:r w:rsidRPr="002C462C">
        <w:rPr>
          <w:rFonts w:ascii="Verdana" w:hAnsi="Verdana"/>
          <w:sz w:val="16"/>
          <w:szCs w:val="16"/>
        </w:rPr>
        <w:t xml:space="preserve"> Declaración de A.R.A.R. rendida el 15 de enero de 2010 ante la CNDH,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27939</w:t>
      </w:r>
      <w:r>
        <w:rPr>
          <w:rFonts w:ascii="Verdana" w:hAnsi="Verdana"/>
          <w:sz w:val="16"/>
          <w:szCs w:val="16"/>
        </w:rPr>
        <w:t>)</w:t>
      </w:r>
      <w:r w:rsidRPr="00432ABC">
        <w:rPr>
          <w:rFonts w:ascii="Verdana" w:hAnsi="Verdana"/>
          <w:sz w:val="16"/>
          <w:szCs w:val="16"/>
        </w:rPr>
        <w:t>.</w:t>
      </w:r>
    </w:p>
  </w:footnote>
  <w:footnote w:id="151">
    <w:p w14:paraId="64AA61C4" w14:textId="211B2D1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rendida por A.A.R. el 19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30865</w:t>
      </w:r>
      <w:r>
        <w:rPr>
          <w:rFonts w:ascii="Verdana" w:hAnsi="Verdana"/>
          <w:sz w:val="16"/>
          <w:szCs w:val="16"/>
        </w:rPr>
        <w:t>)</w:t>
      </w:r>
      <w:r w:rsidRPr="00432ABC">
        <w:rPr>
          <w:rFonts w:ascii="Verdana" w:hAnsi="Verdana"/>
          <w:sz w:val="16"/>
          <w:szCs w:val="16"/>
        </w:rPr>
        <w:t xml:space="preserve">, y Declaración rendida por A.R.A.R. el 19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30871</w:t>
      </w:r>
      <w:r>
        <w:rPr>
          <w:rFonts w:ascii="Verdana" w:hAnsi="Verdana"/>
          <w:sz w:val="16"/>
          <w:szCs w:val="16"/>
        </w:rPr>
        <w:t>)</w:t>
      </w:r>
      <w:r w:rsidRPr="00432ABC">
        <w:rPr>
          <w:rFonts w:ascii="Verdana" w:hAnsi="Verdana"/>
          <w:sz w:val="16"/>
          <w:szCs w:val="16"/>
        </w:rPr>
        <w:t>.</w:t>
      </w:r>
    </w:p>
  </w:footnote>
  <w:footnote w:id="152">
    <w:p w14:paraId="64AA61C5" w14:textId="1B45225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por A.R.A.R. el 19 de abril de 2018, </w:t>
      </w:r>
      <w:r w:rsidRPr="00432ABC">
        <w:rPr>
          <w:rFonts w:ascii="Verdana" w:hAnsi="Verdana"/>
          <w:i/>
          <w:sz w:val="16"/>
          <w:szCs w:val="16"/>
        </w:rPr>
        <w:t>supr</w:t>
      </w:r>
      <w:r>
        <w:rPr>
          <w:rFonts w:ascii="Verdana" w:hAnsi="Verdana"/>
          <w:i/>
          <w:sz w:val="16"/>
          <w:szCs w:val="16"/>
        </w:rPr>
        <w:t>a</w:t>
      </w:r>
      <w:r w:rsidRPr="00432ABC">
        <w:rPr>
          <w:rFonts w:ascii="Verdana" w:hAnsi="Verdana"/>
          <w:i/>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30871</w:t>
      </w:r>
      <w:r>
        <w:rPr>
          <w:rFonts w:ascii="Verdana" w:hAnsi="Verdana"/>
          <w:sz w:val="16"/>
          <w:szCs w:val="16"/>
        </w:rPr>
        <w:t>)</w:t>
      </w:r>
      <w:r w:rsidRPr="00432ABC">
        <w:rPr>
          <w:rFonts w:ascii="Verdana" w:hAnsi="Verdana"/>
          <w:sz w:val="16"/>
          <w:szCs w:val="16"/>
        </w:rPr>
        <w:t>.</w:t>
      </w:r>
    </w:p>
  </w:footnote>
  <w:footnote w:id="153">
    <w:p w14:paraId="64AA61C6" w14:textId="5D6F5FE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de Patricia Reyes Rueda rendida el 16 de enero de 2013 ante la 11ªAMPF – PGR,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27888</w:t>
      </w:r>
      <w:r>
        <w:rPr>
          <w:rFonts w:ascii="Verdana" w:hAnsi="Verdana"/>
          <w:sz w:val="16"/>
          <w:szCs w:val="16"/>
        </w:rPr>
        <w:t>)</w:t>
      </w:r>
      <w:r w:rsidRPr="00432ABC">
        <w:rPr>
          <w:rFonts w:ascii="Verdana" w:hAnsi="Verdana"/>
          <w:sz w:val="16"/>
          <w:szCs w:val="16"/>
        </w:rPr>
        <w:t>.</w:t>
      </w:r>
    </w:p>
  </w:footnote>
  <w:footnote w:id="154">
    <w:p w14:paraId="64AA61C7" w14:textId="3E5F8B1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En cuanto a las características de los vehículos empleados por los perpetradores de la detención de su familiar, A.R.A.R. señaló que uno de los vehículos se trataba de una camioneta diésel de cabina y media gris o negra, sin focos y la cual era conducida en el Ejido Benito Juárez días en anteriores por</w:t>
      </w:r>
      <w:r w:rsidRPr="002C462C">
        <w:rPr>
          <w:rFonts w:ascii="Verdana" w:hAnsi="Verdana"/>
          <w:sz w:val="16"/>
          <w:szCs w:val="16"/>
        </w:rPr>
        <w:t xml:space="preserve"> elementos militares.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Declaración rendida por A.R.A.R. el 19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30872</w:t>
      </w:r>
      <w:r>
        <w:rPr>
          <w:rFonts w:ascii="Verdana" w:hAnsi="Verdana"/>
          <w:sz w:val="16"/>
          <w:szCs w:val="16"/>
        </w:rPr>
        <w:t>)</w:t>
      </w:r>
      <w:r w:rsidRPr="00432ABC">
        <w:rPr>
          <w:rFonts w:ascii="Verdana" w:hAnsi="Verdana"/>
          <w:sz w:val="16"/>
          <w:szCs w:val="16"/>
        </w:rPr>
        <w:t>.</w:t>
      </w:r>
    </w:p>
  </w:footnote>
  <w:footnote w:id="155">
    <w:p w14:paraId="64AA61C8" w14:textId="7B22E0B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de Patricia Reyes Rueda rendida el 16 de enero de 2013 ante la 11ªAMPF – PGR,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27887</w:t>
      </w:r>
      <w:r>
        <w:rPr>
          <w:rFonts w:ascii="Verdana" w:hAnsi="Verdana"/>
          <w:sz w:val="16"/>
          <w:szCs w:val="16"/>
        </w:rPr>
        <w:t>)</w:t>
      </w:r>
      <w:r w:rsidRPr="00432ABC">
        <w:rPr>
          <w:rFonts w:ascii="Verdana" w:hAnsi="Verdana"/>
          <w:sz w:val="16"/>
          <w:szCs w:val="16"/>
        </w:rPr>
        <w:t xml:space="preserve">, y Declaración rendida por A.R.A.R. el 19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30871</w:t>
      </w:r>
      <w:r>
        <w:rPr>
          <w:rFonts w:ascii="Verdana" w:hAnsi="Verdana"/>
          <w:sz w:val="16"/>
          <w:szCs w:val="16"/>
        </w:rPr>
        <w:t>)</w:t>
      </w:r>
      <w:r w:rsidRPr="00432ABC">
        <w:rPr>
          <w:rFonts w:ascii="Verdana" w:hAnsi="Verdana"/>
          <w:sz w:val="16"/>
          <w:szCs w:val="16"/>
        </w:rPr>
        <w:t>.</w:t>
      </w:r>
    </w:p>
  </w:footnote>
  <w:footnote w:id="156">
    <w:p w14:paraId="64AA61C9" w14:textId="2C2DA8D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Patricia Reyes Rueda rendida el 16 de enero de 2013 ante la 11ªAMPF – PGR, </w:t>
      </w:r>
      <w:r w:rsidRPr="002C462C">
        <w:rPr>
          <w:rFonts w:ascii="Verdana" w:hAnsi="Verdana"/>
          <w:i/>
          <w:sz w:val="16"/>
          <w:szCs w:val="16"/>
        </w:rPr>
        <w:t>su</w:t>
      </w:r>
      <w:r w:rsidRPr="008D0846">
        <w:rPr>
          <w:rFonts w:ascii="Verdana" w:hAnsi="Verdana"/>
          <w:i/>
          <w:sz w:val="16"/>
        </w:rPr>
        <w:t>pra</w:t>
      </w:r>
      <w:r>
        <w:rPr>
          <w:rFonts w:ascii="Verdana" w:hAnsi="Verdana"/>
          <w:sz w:val="16"/>
          <w:szCs w:val="16"/>
        </w:rPr>
        <w:t xml:space="preserve"> (expediente de prueba, </w:t>
      </w:r>
      <w:r w:rsidRPr="00432ABC">
        <w:rPr>
          <w:rFonts w:ascii="Verdana" w:hAnsi="Verdana"/>
          <w:sz w:val="16"/>
          <w:szCs w:val="16"/>
        </w:rPr>
        <w:t>f. 27887</w:t>
      </w:r>
      <w:r>
        <w:rPr>
          <w:rFonts w:ascii="Verdana" w:hAnsi="Verdana"/>
          <w:sz w:val="16"/>
          <w:szCs w:val="16"/>
        </w:rPr>
        <w:t>)</w:t>
      </w:r>
      <w:r w:rsidRPr="00432ABC">
        <w:rPr>
          <w:rFonts w:ascii="Verdana" w:hAnsi="Verdana"/>
          <w:sz w:val="16"/>
          <w:szCs w:val="16"/>
        </w:rPr>
        <w:t>.</w:t>
      </w:r>
    </w:p>
  </w:footnote>
  <w:footnote w:id="157">
    <w:p w14:paraId="64AA61CA" w14:textId="68A0C2F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Acta de denuncia de Patricia Reyes Rueda de 31 de d</w:t>
      </w:r>
      <w:r w:rsidRPr="00432ABC">
        <w:rPr>
          <w:rFonts w:ascii="Verdana" w:hAnsi="Verdana"/>
          <w:sz w:val="16"/>
          <w:szCs w:val="16"/>
        </w:rPr>
        <w:t xml:space="preserve">iciembre de 2009 ante el AAMP - Buenaventura,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27877</w:t>
      </w:r>
      <w:r>
        <w:rPr>
          <w:rFonts w:ascii="Verdana" w:hAnsi="Verdana"/>
          <w:sz w:val="16"/>
          <w:szCs w:val="16"/>
        </w:rPr>
        <w:t>)</w:t>
      </w:r>
      <w:r w:rsidRPr="00432ABC">
        <w:rPr>
          <w:rFonts w:ascii="Verdana" w:hAnsi="Verdana"/>
          <w:sz w:val="16"/>
          <w:szCs w:val="16"/>
        </w:rPr>
        <w:t xml:space="preserve">; Acta de denuncia AP/PGR/CHIH/JUA/27/2010-VII-A de Patricia Reyes Rueda y de María de Jesús Alvarado Espinoza promovida el 6 de enero de 2010 ante el AMPF adscrito a la Mesa Séptima en la PGR en Ciudad Juárez,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27881</w:t>
      </w:r>
      <w:r>
        <w:rPr>
          <w:rFonts w:ascii="Verdana" w:hAnsi="Verdana"/>
          <w:sz w:val="16"/>
          <w:szCs w:val="16"/>
        </w:rPr>
        <w:t>)</w:t>
      </w:r>
      <w:r w:rsidRPr="00432ABC">
        <w:rPr>
          <w:rFonts w:ascii="Verdana" w:hAnsi="Verdana"/>
          <w:sz w:val="16"/>
          <w:szCs w:val="16"/>
        </w:rPr>
        <w:t xml:space="preserve">; Declaración de Patricia Reyes Rueda rendida el 9 de marzo de 2010 ante el AMPM – 5ªZM,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27884</w:t>
      </w:r>
      <w:r>
        <w:rPr>
          <w:rFonts w:ascii="Verdana" w:hAnsi="Verdana"/>
          <w:sz w:val="16"/>
          <w:szCs w:val="16"/>
        </w:rPr>
        <w:t>)</w:t>
      </w:r>
      <w:r w:rsidRPr="00432ABC">
        <w:rPr>
          <w:rFonts w:ascii="Verdana" w:hAnsi="Verdana"/>
          <w:sz w:val="16"/>
          <w:szCs w:val="16"/>
        </w:rPr>
        <w:t xml:space="preserve">, y Declaración de Patricia Reyes Rueda rendida el 16 de enero de 2013 ante la 11ªAMPF – PGR,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27888</w:t>
      </w:r>
      <w:r>
        <w:rPr>
          <w:rFonts w:ascii="Verdana" w:hAnsi="Verdana"/>
          <w:sz w:val="16"/>
          <w:szCs w:val="16"/>
        </w:rPr>
        <w:t>)</w:t>
      </w:r>
      <w:r w:rsidRPr="00432ABC">
        <w:rPr>
          <w:rFonts w:ascii="Verdana" w:hAnsi="Verdana"/>
          <w:sz w:val="16"/>
          <w:szCs w:val="16"/>
        </w:rPr>
        <w:t>.</w:t>
      </w:r>
    </w:p>
  </w:footnote>
  <w:footnote w:id="158">
    <w:p w14:paraId="64AA61CB" w14:textId="6901292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w:t>
      </w:r>
      <w:r w:rsidRPr="00432ABC">
        <w:rPr>
          <w:rFonts w:ascii="Verdana" w:hAnsi="Verdana"/>
          <w:sz w:val="16"/>
          <w:szCs w:val="16"/>
        </w:rPr>
        <w:t xml:space="preserve">claración de A.R.A.R. rendida el 15 de enero de 2010 ante la CNDH,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27939</w:t>
      </w:r>
      <w:r>
        <w:rPr>
          <w:rFonts w:ascii="Verdana" w:hAnsi="Verdana"/>
          <w:sz w:val="16"/>
          <w:szCs w:val="16"/>
        </w:rPr>
        <w:t>)</w:t>
      </w:r>
      <w:r w:rsidRPr="00432ABC">
        <w:rPr>
          <w:rFonts w:ascii="Verdana" w:hAnsi="Verdana"/>
          <w:sz w:val="16"/>
          <w:szCs w:val="16"/>
        </w:rPr>
        <w:t>.</w:t>
      </w:r>
    </w:p>
  </w:footnote>
  <w:footnote w:id="159">
    <w:p w14:paraId="64AA61CC" w14:textId="03A619A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denuncia de Patricia Reyes Rueda promovida el 31 de diciembre de 2009 ante el AAMP - Buenaventura,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27877</w:t>
      </w:r>
      <w:r>
        <w:rPr>
          <w:rFonts w:ascii="Verdana" w:hAnsi="Verdana"/>
          <w:sz w:val="16"/>
          <w:szCs w:val="16"/>
        </w:rPr>
        <w:t>)</w:t>
      </w:r>
      <w:r w:rsidRPr="00432ABC">
        <w:rPr>
          <w:rFonts w:ascii="Verdana" w:hAnsi="Verdana"/>
          <w:sz w:val="16"/>
          <w:szCs w:val="16"/>
        </w:rPr>
        <w:t xml:space="preserve">; Declaración de Patricia Reyes Rueda rendida el 6 de enero de 2010 ante el AMPF de la Mesa Séptima de la PGR en Ciudad Juárez, Chihuahua,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27881</w:t>
      </w:r>
      <w:r>
        <w:rPr>
          <w:rFonts w:ascii="Verdana" w:hAnsi="Verdana"/>
          <w:sz w:val="16"/>
          <w:szCs w:val="16"/>
        </w:rPr>
        <w:t>)</w:t>
      </w:r>
      <w:r w:rsidRPr="00432ABC">
        <w:rPr>
          <w:rFonts w:ascii="Verdana" w:hAnsi="Verdana"/>
          <w:sz w:val="16"/>
          <w:szCs w:val="16"/>
        </w:rPr>
        <w:t>;</w:t>
      </w:r>
      <w:r w:rsidRPr="00432ABC">
        <w:rPr>
          <w:rFonts w:ascii="Verdana" w:eastAsiaTheme="minorHAnsi" w:hAnsi="Verdana"/>
          <w:sz w:val="16"/>
          <w:szCs w:val="16"/>
        </w:rPr>
        <w:t xml:space="preserve"> </w:t>
      </w:r>
      <w:r w:rsidRPr="00432ABC">
        <w:rPr>
          <w:rFonts w:ascii="Verdana" w:hAnsi="Verdana"/>
          <w:sz w:val="16"/>
          <w:szCs w:val="16"/>
        </w:rPr>
        <w:t xml:space="preserve">Declaración de Patricia Reyes Rueda rendida el 9 de marzo de 2010 ante el AMPM – 5ªZM,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27884</w:t>
      </w:r>
      <w:r>
        <w:rPr>
          <w:rFonts w:ascii="Verdana" w:hAnsi="Verdana"/>
          <w:sz w:val="16"/>
          <w:szCs w:val="16"/>
        </w:rPr>
        <w:t>)</w:t>
      </w:r>
      <w:r w:rsidRPr="00432ABC">
        <w:rPr>
          <w:rFonts w:ascii="Verdana" w:hAnsi="Verdana"/>
          <w:sz w:val="16"/>
          <w:szCs w:val="16"/>
        </w:rPr>
        <w:t xml:space="preserve">, y Declaración de Patricia Reyes Rueda rendida el 16 de enero de 2013 ante la 11ªAMPF – PGR,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27888</w:t>
      </w:r>
      <w:r>
        <w:rPr>
          <w:rFonts w:ascii="Verdana" w:hAnsi="Verdana"/>
          <w:sz w:val="16"/>
          <w:szCs w:val="16"/>
        </w:rPr>
        <w:t>)</w:t>
      </w:r>
      <w:r w:rsidRPr="00432ABC">
        <w:rPr>
          <w:rFonts w:ascii="Verdana" w:hAnsi="Verdana"/>
          <w:sz w:val="16"/>
          <w:szCs w:val="16"/>
        </w:rPr>
        <w:t xml:space="preserve">. En sus comparecencias ante estas autoridades, Patricia Reyes Rueda declaró que una vez que los desconocidos le dijeron a Rocío Irene Alvarado que quedaba arrestada ella preguntó el motivo de la detención de su hija y le contestaron, respectivamente, “que se callara”, “que se callara y no estuviera preguntando”, “que se mantuviera callada” y, finalmente, “que no le dijeron nada”. No obstante lo anterior, el Informe Policial rendido por la División de la Investigación de la Policía Federal el 4 de enero de 2011 ante el Agente del Ministerio Público de la Federación realizado “con base en un análisis de las constancias que integran la referida investigación penal” [sic], al momento se realizar la detención de Rocío Irene Alvarado Reyes los captores habrían manifestado a la señora Patricia Reyes Rueda que se trataba de una detención en el marco del “Operativo Chihuahua” [sic]. </w:t>
      </w:r>
      <w:r w:rsidRPr="00CD5C54">
        <w:rPr>
          <w:rFonts w:ascii="Verdana" w:hAnsi="Verdana"/>
          <w:i/>
          <w:sz w:val="16"/>
          <w:szCs w:val="16"/>
        </w:rPr>
        <w:t>Cfr.</w:t>
      </w:r>
      <w:r w:rsidRPr="00432ABC">
        <w:rPr>
          <w:rFonts w:ascii="Verdana" w:hAnsi="Verdana"/>
          <w:sz w:val="16"/>
          <w:szCs w:val="16"/>
        </w:rPr>
        <w:t xml:space="preserve"> Informe Policial rendido el 4 de enero de 2011 rendido por la División de Investigación de la Policía Federal ante la AMPF de la FEVIMTRA – PGR (expediente de prueba, ff. 284 y 287).</w:t>
      </w:r>
    </w:p>
  </w:footnote>
  <w:footnote w:id="160">
    <w:p w14:paraId="64AA61CD" w14:textId="31C9B63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por A.A.R. el 19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30865</w:t>
      </w:r>
      <w:r>
        <w:rPr>
          <w:rFonts w:ascii="Verdana" w:hAnsi="Verdana"/>
          <w:sz w:val="16"/>
          <w:szCs w:val="16"/>
        </w:rPr>
        <w:t>)</w:t>
      </w:r>
      <w:r w:rsidRPr="00432ABC">
        <w:rPr>
          <w:rFonts w:ascii="Verdana" w:hAnsi="Verdana"/>
          <w:sz w:val="16"/>
          <w:szCs w:val="16"/>
        </w:rPr>
        <w:t xml:space="preserve">, y Declaración rendida por A.R.A.R. el 19 de abril de 2018,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30871</w:t>
      </w:r>
      <w:r>
        <w:rPr>
          <w:rFonts w:ascii="Verdana" w:hAnsi="Verdana"/>
          <w:sz w:val="16"/>
          <w:szCs w:val="16"/>
        </w:rPr>
        <w:t>)</w:t>
      </w:r>
      <w:r w:rsidRPr="00432ABC">
        <w:rPr>
          <w:rFonts w:ascii="Verdana" w:hAnsi="Verdana"/>
          <w:sz w:val="16"/>
          <w:szCs w:val="16"/>
        </w:rPr>
        <w:t>.</w:t>
      </w:r>
    </w:p>
  </w:footnote>
  <w:footnote w:id="161">
    <w:p w14:paraId="64AA61CE" w14:textId="621872B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10 de junio de 2010 ante el SMC de la FEVIMTRA – PGR,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27921</w:t>
      </w:r>
      <w:r>
        <w:rPr>
          <w:rFonts w:ascii="Verdana" w:hAnsi="Verdana"/>
          <w:sz w:val="16"/>
          <w:szCs w:val="16"/>
        </w:rPr>
        <w:t>)</w:t>
      </w:r>
      <w:r w:rsidRPr="00432ABC">
        <w:rPr>
          <w:rFonts w:ascii="Verdana" w:hAnsi="Verdana"/>
          <w:sz w:val="16"/>
          <w:szCs w:val="16"/>
        </w:rPr>
        <w:t xml:space="preserve">; Declaración de Obdulia Espinoza Beltrán rendida el 19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30911</w:t>
      </w:r>
      <w:r>
        <w:rPr>
          <w:rFonts w:ascii="Verdana" w:hAnsi="Verdana"/>
          <w:sz w:val="16"/>
          <w:szCs w:val="16"/>
        </w:rPr>
        <w:t>)</w:t>
      </w:r>
      <w:r w:rsidRPr="00432ABC">
        <w:rPr>
          <w:rFonts w:ascii="Verdana" w:hAnsi="Verdana"/>
          <w:sz w:val="16"/>
          <w:szCs w:val="16"/>
        </w:rPr>
        <w:t xml:space="preserve">; Declaración de José Ángel Alvarado Fabela rendida el 19 de abril de 2018 (expediente de prueba, </w:t>
      </w:r>
      <w:r w:rsidRPr="00453199">
        <w:rPr>
          <w:rFonts w:ascii="Verdana" w:hAnsi="Verdana"/>
          <w:i/>
          <w:sz w:val="16"/>
        </w:rPr>
        <w:t>Affidávits</w:t>
      </w:r>
      <w:r w:rsidRPr="00432ABC">
        <w:rPr>
          <w:rFonts w:ascii="Verdana" w:hAnsi="Verdana"/>
          <w:sz w:val="16"/>
          <w:szCs w:val="16"/>
        </w:rPr>
        <w:t xml:space="preserve">, f. 30880), y Declaración rendida </w:t>
      </w:r>
      <w:r>
        <w:rPr>
          <w:rFonts w:ascii="Verdana" w:hAnsi="Verdana"/>
          <w:sz w:val="16"/>
          <w:szCs w:val="16"/>
        </w:rPr>
        <w:t xml:space="preserve">en la Audiencia Pública </w:t>
      </w:r>
      <w:r w:rsidRPr="00432ABC">
        <w:rPr>
          <w:rFonts w:ascii="Verdana" w:hAnsi="Verdana"/>
          <w:sz w:val="16"/>
          <w:szCs w:val="16"/>
        </w:rPr>
        <w:t>ante la Corte por Jaime Alvarado Herrera</w:t>
      </w:r>
      <w:r>
        <w:rPr>
          <w:rFonts w:ascii="Verdana" w:hAnsi="Verdana"/>
          <w:sz w:val="16"/>
          <w:szCs w:val="16"/>
        </w:rPr>
        <w:t xml:space="preserve">, </w:t>
      </w:r>
      <w:r w:rsidRPr="00432ABC">
        <w:rPr>
          <w:rFonts w:ascii="Verdana" w:hAnsi="Verdana"/>
          <w:sz w:val="16"/>
          <w:szCs w:val="16"/>
        </w:rPr>
        <w:t>el 26 de abril de 2018 (Transcripción de la audiencia pública</w:t>
      </w:r>
      <w:r>
        <w:rPr>
          <w:rFonts w:ascii="Verdana" w:hAnsi="Verdana"/>
          <w:sz w:val="16"/>
          <w:szCs w:val="16"/>
        </w:rPr>
        <w:t xml:space="preserve">, </w:t>
      </w:r>
      <w:r w:rsidRPr="00432ABC">
        <w:rPr>
          <w:rFonts w:ascii="Verdana" w:hAnsi="Verdana"/>
          <w:sz w:val="16"/>
          <w:szCs w:val="16"/>
        </w:rPr>
        <w:t>pág. 31).</w:t>
      </w:r>
    </w:p>
  </w:footnote>
  <w:footnote w:id="162">
    <w:p w14:paraId="64AA61CF" w14:textId="3CAF4553" w:rsidR="00146958" w:rsidRPr="00432ABC" w:rsidRDefault="00146958">
      <w:pPr>
        <w:pStyle w:val="Textonotapie"/>
        <w:jc w:val="both"/>
        <w:rPr>
          <w:rFonts w:ascii="Verdana" w:hAnsi="Verdana"/>
          <w:sz w:val="16"/>
          <w:szCs w:val="16"/>
          <w:highlight w:val="yellow"/>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w:t>
      </w:r>
      <w:r>
        <w:rPr>
          <w:rFonts w:ascii="Verdana" w:hAnsi="Verdana"/>
          <w:sz w:val="16"/>
          <w:szCs w:val="16"/>
        </w:rPr>
        <w:t>en la Audiencia Pública</w:t>
      </w:r>
      <w:r w:rsidRPr="002C462C">
        <w:rPr>
          <w:rFonts w:ascii="Verdana" w:hAnsi="Verdana"/>
          <w:sz w:val="16"/>
          <w:szCs w:val="16"/>
        </w:rPr>
        <w:t xml:space="preserve"> ante la Corte por Jaime Alvarado Herrera, </w:t>
      </w:r>
      <w:r w:rsidRPr="00432ABC">
        <w:rPr>
          <w:rFonts w:ascii="Verdana" w:hAnsi="Verdana"/>
          <w:i/>
          <w:sz w:val="16"/>
          <w:szCs w:val="16"/>
        </w:rPr>
        <w:t xml:space="preserve">supra, </w:t>
      </w:r>
      <w:r w:rsidRPr="00432ABC">
        <w:rPr>
          <w:rFonts w:ascii="Verdana" w:hAnsi="Verdana"/>
          <w:sz w:val="16"/>
          <w:szCs w:val="16"/>
        </w:rPr>
        <w:t xml:space="preserve">pág. 31, y Declaración de José Ángel Alvarado Fabela rendida el 18 de abril de 2018, </w:t>
      </w:r>
      <w:r w:rsidRPr="00432ABC">
        <w:rPr>
          <w:rFonts w:ascii="Verdana" w:hAnsi="Verdana"/>
          <w:i/>
          <w:sz w:val="16"/>
          <w:szCs w:val="16"/>
        </w:rPr>
        <w:t>supra</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30880</w:t>
      </w:r>
      <w:r>
        <w:rPr>
          <w:rFonts w:ascii="Verdana" w:hAnsi="Verdana"/>
          <w:sz w:val="16"/>
          <w:szCs w:val="16"/>
        </w:rPr>
        <w:t>)</w:t>
      </w:r>
      <w:r w:rsidRPr="00432ABC">
        <w:rPr>
          <w:rFonts w:ascii="Verdana" w:hAnsi="Verdana"/>
          <w:sz w:val="16"/>
          <w:szCs w:val="16"/>
        </w:rPr>
        <w:t>.</w:t>
      </w:r>
    </w:p>
  </w:footnote>
  <w:footnote w:id="163">
    <w:p w14:paraId="64AA61D0" w14:textId="3BDD6767" w:rsidR="00146958" w:rsidRPr="00432ABC" w:rsidRDefault="00146958">
      <w:pPr>
        <w:pStyle w:val="Textonotapie"/>
        <w:jc w:val="both"/>
        <w:rPr>
          <w:rFonts w:ascii="Verdana" w:hAnsi="Verdana"/>
          <w:sz w:val="16"/>
          <w:szCs w:val="16"/>
          <w:highlight w:val="yellow"/>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rendida </w:t>
      </w:r>
      <w:r>
        <w:rPr>
          <w:rFonts w:ascii="Verdana" w:hAnsi="Verdana"/>
          <w:sz w:val="16"/>
          <w:szCs w:val="16"/>
        </w:rPr>
        <w:t>en la Audiencia Pública</w:t>
      </w:r>
      <w:r w:rsidRPr="002C462C">
        <w:rPr>
          <w:rFonts w:ascii="Verdana" w:hAnsi="Verdana"/>
          <w:sz w:val="16"/>
          <w:szCs w:val="16"/>
        </w:rPr>
        <w:t xml:space="preserve"> ante la Corte por Jaime Alvarado Herrera, </w:t>
      </w:r>
      <w:r w:rsidRPr="00432ABC">
        <w:rPr>
          <w:rFonts w:ascii="Verdana" w:hAnsi="Verdana"/>
          <w:i/>
          <w:sz w:val="16"/>
          <w:szCs w:val="16"/>
        </w:rPr>
        <w:t>supra,</w:t>
      </w:r>
      <w:r w:rsidRPr="00432ABC">
        <w:rPr>
          <w:rFonts w:ascii="Verdana" w:hAnsi="Verdana"/>
          <w:sz w:val="16"/>
          <w:szCs w:val="16"/>
        </w:rPr>
        <w:t xml:space="preserve"> pág. 31; Relación de hechos realizada por María de Jesús Alvarado Espinoza el 19 de febrero de 2010 ante el Titular de la Unidad para la Promoción y Defensa de los Derechos Humanos de la Secretaría de Gobernación [UPPDDH - SEGOB] (expediente de prueba, f. 314); Declaración de Obdulia Espinoza Beltrán rendida el 10 de junio de 2010 ante el SMC de la FEVIMTRA – PGR,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27923</w:t>
      </w:r>
      <w:r>
        <w:rPr>
          <w:rFonts w:ascii="Verdana" w:hAnsi="Verdana"/>
          <w:sz w:val="16"/>
          <w:szCs w:val="16"/>
        </w:rPr>
        <w:t>)</w:t>
      </w:r>
      <w:r w:rsidRPr="00432ABC">
        <w:rPr>
          <w:rFonts w:ascii="Verdana" w:hAnsi="Verdana"/>
          <w:sz w:val="16"/>
          <w:szCs w:val="16"/>
        </w:rPr>
        <w:t xml:space="preserve">, y Declaración de José Ángel Alvarado Fabela rendida el 18 de abril de 2018, </w:t>
      </w:r>
      <w:r w:rsidRPr="00432ABC">
        <w:rPr>
          <w:rFonts w:ascii="Verdana" w:hAnsi="Verdana"/>
          <w:i/>
          <w:sz w:val="16"/>
          <w:szCs w:val="16"/>
        </w:rPr>
        <w:t>supra</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30880</w:t>
      </w:r>
      <w:r>
        <w:rPr>
          <w:rFonts w:ascii="Verdana" w:hAnsi="Verdana"/>
          <w:sz w:val="16"/>
          <w:szCs w:val="16"/>
        </w:rPr>
        <w:t>)</w:t>
      </w:r>
      <w:r w:rsidRPr="00432ABC">
        <w:rPr>
          <w:rFonts w:ascii="Verdana" w:hAnsi="Verdana"/>
          <w:sz w:val="16"/>
          <w:szCs w:val="16"/>
        </w:rPr>
        <w:t xml:space="preserve">. </w:t>
      </w:r>
    </w:p>
  </w:footnote>
  <w:footnote w:id="164">
    <w:p w14:paraId="64AA61D1" w14:textId="2E0A051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Mario Castro García rendida el 24 de mayo de 2013 ante la 11ªAMPF – PGR (expediente de prueba</w:t>
      </w:r>
      <w:r w:rsidRPr="00432ABC">
        <w:rPr>
          <w:rFonts w:ascii="Verdana" w:hAnsi="Verdana"/>
          <w:sz w:val="16"/>
          <w:szCs w:val="16"/>
        </w:rPr>
        <w:t>, f. 27973), y  Declaración de Mario Castro García rendida el 9 de marzo de 2010 ante el AMPM – 5ªZM (expediente de prueba, f. 27978).</w:t>
      </w:r>
    </w:p>
  </w:footnote>
  <w:footnote w:id="165">
    <w:p w14:paraId="64AA61D2" w14:textId="7398D63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Parte informativo rendido el 30 d</w:t>
      </w:r>
      <w:r w:rsidRPr="00432ABC">
        <w:rPr>
          <w:rFonts w:ascii="Verdana" w:hAnsi="Verdana"/>
          <w:sz w:val="16"/>
          <w:szCs w:val="16"/>
        </w:rPr>
        <w:t xml:space="preserve">e diciembre de 2009 por Mario Castro García ante el Director de Seguridad Pública y Vialidad Municipal de Buenaventura, Chihuahua (expediente de prueba, </w:t>
      </w:r>
      <w:r>
        <w:rPr>
          <w:rFonts w:ascii="Verdana" w:hAnsi="Verdana"/>
          <w:sz w:val="16"/>
          <w:szCs w:val="16"/>
        </w:rPr>
        <w:t>e</w:t>
      </w:r>
      <w:r w:rsidRPr="00432ABC">
        <w:rPr>
          <w:rFonts w:ascii="Verdana" w:hAnsi="Verdana"/>
          <w:sz w:val="16"/>
          <w:szCs w:val="16"/>
        </w:rPr>
        <w:t xml:space="preserve">xpediente penal, f. 5753 a 5754); Declaración rendida </w:t>
      </w:r>
      <w:r>
        <w:rPr>
          <w:rFonts w:ascii="Verdana" w:hAnsi="Verdana"/>
          <w:sz w:val="16"/>
          <w:szCs w:val="16"/>
        </w:rPr>
        <w:t xml:space="preserve">en la Audiencia Pública </w:t>
      </w:r>
      <w:r w:rsidRPr="00432ABC">
        <w:rPr>
          <w:rFonts w:ascii="Verdana" w:hAnsi="Verdana"/>
          <w:sz w:val="16"/>
          <w:szCs w:val="16"/>
        </w:rPr>
        <w:t xml:space="preserve">ante la Corte por Jaime Alvarado Herrera en la, </w:t>
      </w:r>
      <w:r w:rsidRPr="00432ABC">
        <w:rPr>
          <w:rFonts w:ascii="Verdana" w:hAnsi="Verdana"/>
          <w:i/>
          <w:sz w:val="16"/>
          <w:szCs w:val="16"/>
        </w:rPr>
        <w:t xml:space="preserve">supra, </w:t>
      </w:r>
      <w:r w:rsidRPr="00432ABC">
        <w:rPr>
          <w:rFonts w:ascii="Verdana" w:hAnsi="Verdana"/>
          <w:sz w:val="16"/>
          <w:szCs w:val="16"/>
        </w:rPr>
        <w:t xml:space="preserve">pág. 31, Declaración de José Ángel Alvarado Fabela rendida el 18 de abril de 2018, </w:t>
      </w:r>
      <w:r w:rsidRPr="00432ABC">
        <w:rPr>
          <w:rFonts w:ascii="Verdana" w:hAnsi="Verdana"/>
          <w:i/>
          <w:sz w:val="16"/>
          <w:szCs w:val="16"/>
        </w:rPr>
        <w:t>supra</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30880</w:t>
      </w:r>
      <w:r>
        <w:rPr>
          <w:rFonts w:ascii="Verdana" w:hAnsi="Verdana"/>
          <w:sz w:val="16"/>
          <w:szCs w:val="16"/>
        </w:rPr>
        <w:t>)</w:t>
      </w:r>
      <w:r w:rsidRPr="00432ABC">
        <w:rPr>
          <w:rFonts w:ascii="Verdana" w:hAnsi="Verdana"/>
          <w:sz w:val="16"/>
          <w:szCs w:val="16"/>
        </w:rPr>
        <w:t>, y Declaración de Verónica Colomo Reyes rendida el 9 de marzo de 2010 ante el AMPM – 5ªZM (expediente de prueba, f. 27951).</w:t>
      </w:r>
    </w:p>
  </w:footnote>
  <w:footnote w:id="166">
    <w:p w14:paraId="64AA61D3" w14:textId="461DA3E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16 de enero de 2013 ante la 11ªAMPF – PGR,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27929</w:t>
      </w:r>
      <w:r>
        <w:rPr>
          <w:rFonts w:ascii="Verdana" w:hAnsi="Verdana"/>
          <w:sz w:val="16"/>
          <w:szCs w:val="16"/>
        </w:rPr>
        <w:t>)</w:t>
      </w:r>
      <w:r w:rsidRPr="00432ABC">
        <w:rPr>
          <w:rFonts w:ascii="Verdana" w:hAnsi="Verdana"/>
          <w:sz w:val="16"/>
          <w:szCs w:val="16"/>
        </w:rPr>
        <w:t>.</w:t>
      </w:r>
    </w:p>
  </w:footnote>
  <w:footnote w:id="167">
    <w:p w14:paraId="64AA61D4" w14:textId="434F8A0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10 de junio </w:t>
      </w:r>
      <w:r w:rsidRPr="00432ABC">
        <w:rPr>
          <w:rFonts w:ascii="Verdana" w:hAnsi="Verdana"/>
          <w:sz w:val="16"/>
          <w:szCs w:val="16"/>
        </w:rPr>
        <w:t xml:space="preserve">de 2010 ante el SMC de la FEVIMTRA – PGR,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27923</w:t>
      </w:r>
      <w:r>
        <w:rPr>
          <w:rFonts w:ascii="Verdana" w:hAnsi="Verdana"/>
          <w:sz w:val="16"/>
          <w:szCs w:val="16"/>
        </w:rPr>
        <w:t>)</w:t>
      </w:r>
      <w:r w:rsidRPr="00432ABC">
        <w:rPr>
          <w:rFonts w:ascii="Verdana" w:hAnsi="Verdana"/>
          <w:sz w:val="16"/>
          <w:szCs w:val="16"/>
        </w:rPr>
        <w:t>.</w:t>
      </w:r>
    </w:p>
  </w:footnote>
  <w:footnote w:id="168">
    <w:p w14:paraId="64AA61D5" w14:textId="176AF37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10 de junio de 2010 ante el SMC de la FEVIMTRA – PGR, </w:t>
      </w:r>
      <w:r w:rsidRPr="00432ABC">
        <w:rPr>
          <w:rFonts w:ascii="Verdana" w:hAnsi="Verdana"/>
          <w:i/>
          <w:sz w:val="16"/>
          <w:szCs w:val="16"/>
        </w:rPr>
        <w:t>supra</w:t>
      </w:r>
      <w:r>
        <w:rPr>
          <w:rFonts w:ascii="Verdana" w:hAnsi="Verdana"/>
          <w:sz w:val="16"/>
          <w:szCs w:val="16"/>
        </w:rPr>
        <w:t xml:space="preserve"> (expediente de prueba</w:t>
      </w:r>
      <w:r w:rsidRPr="00432ABC">
        <w:rPr>
          <w:rFonts w:ascii="Verdana" w:hAnsi="Verdana"/>
          <w:sz w:val="16"/>
          <w:szCs w:val="16"/>
        </w:rPr>
        <w:t>, ff. 27923 a 27924</w:t>
      </w:r>
      <w:r>
        <w:rPr>
          <w:rFonts w:ascii="Verdana" w:hAnsi="Verdana"/>
          <w:sz w:val="16"/>
          <w:szCs w:val="16"/>
        </w:rPr>
        <w:t>)</w:t>
      </w:r>
      <w:r w:rsidRPr="00432ABC">
        <w:rPr>
          <w:rFonts w:ascii="Verdana" w:hAnsi="Verdana"/>
          <w:sz w:val="16"/>
          <w:szCs w:val="16"/>
        </w:rPr>
        <w:t xml:space="preserve">. </w:t>
      </w:r>
    </w:p>
  </w:footnote>
  <w:footnote w:id="169">
    <w:p w14:paraId="64AA61D6" w14:textId="05CB729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rendida </w:t>
      </w:r>
      <w:r>
        <w:rPr>
          <w:rFonts w:ascii="Verdana" w:hAnsi="Verdana"/>
          <w:sz w:val="16"/>
          <w:szCs w:val="16"/>
        </w:rPr>
        <w:t xml:space="preserve">en la Audiencia Pública </w:t>
      </w:r>
      <w:r w:rsidRPr="002C462C">
        <w:rPr>
          <w:rFonts w:ascii="Verdana" w:hAnsi="Verdana"/>
          <w:sz w:val="16"/>
          <w:szCs w:val="16"/>
        </w:rPr>
        <w:t>ante la Corte por María de Jes</w:t>
      </w:r>
      <w:r w:rsidRPr="00432ABC">
        <w:rPr>
          <w:rFonts w:ascii="Verdana" w:hAnsi="Verdana"/>
          <w:sz w:val="16"/>
          <w:szCs w:val="16"/>
        </w:rPr>
        <w:t xml:space="preserve">ús Alvarado Espinoza, </w:t>
      </w:r>
      <w:r w:rsidRPr="00432ABC">
        <w:rPr>
          <w:rFonts w:ascii="Verdana" w:hAnsi="Verdana"/>
          <w:i/>
          <w:sz w:val="16"/>
          <w:szCs w:val="16"/>
        </w:rPr>
        <w:t xml:space="preserve">supra, </w:t>
      </w:r>
      <w:r w:rsidRPr="00432ABC">
        <w:rPr>
          <w:rFonts w:ascii="Verdana" w:hAnsi="Verdana"/>
          <w:sz w:val="16"/>
          <w:szCs w:val="16"/>
        </w:rPr>
        <w:t>pág. 8; Declaración rendida</w:t>
      </w:r>
      <w:r>
        <w:rPr>
          <w:rFonts w:ascii="Verdana" w:hAnsi="Verdana"/>
          <w:sz w:val="16"/>
          <w:szCs w:val="16"/>
        </w:rPr>
        <w:t xml:space="preserve"> en la Audiencia Pública ante la Corte</w:t>
      </w:r>
      <w:r w:rsidRPr="00432ABC">
        <w:rPr>
          <w:rFonts w:ascii="Verdana" w:hAnsi="Verdana"/>
          <w:sz w:val="16"/>
          <w:szCs w:val="16"/>
        </w:rPr>
        <w:t xml:space="preserve"> por Jaime Alvarado Herrera</w:t>
      </w:r>
      <w:r w:rsidRPr="00432ABC">
        <w:rPr>
          <w:rFonts w:ascii="Verdana" w:hAnsi="Verdana"/>
          <w:i/>
          <w:sz w:val="16"/>
          <w:szCs w:val="16"/>
        </w:rPr>
        <w:t>,</w:t>
      </w:r>
      <w:r w:rsidRPr="00432ABC">
        <w:rPr>
          <w:rFonts w:ascii="Verdana" w:hAnsi="Verdana"/>
          <w:sz w:val="16"/>
          <w:szCs w:val="16"/>
        </w:rPr>
        <w:t xml:space="preserve"> </w:t>
      </w:r>
      <w:r w:rsidRPr="00432ABC">
        <w:rPr>
          <w:rFonts w:ascii="Verdana" w:hAnsi="Verdana"/>
          <w:i/>
          <w:sz w:val="16"/>
          <w:szCs w:val="16"/>
        </w:rPr>
        <w:t xml:space="preserve">supra, </w:t>
      </w:r>
      <w:r w:rsidRPr="00432ABC">
        <w:rPr>
          <w:rFonts w:ascii="Verdana" w:hAnsi="Verdana"/>
          <w:sz w:val="16"/>
          <w:szCs w:val="16"/>
        </w:rPr>
        <w:t xml:space="preserve">pág. 32; Declaración de Patricia Reyes Rueda rendida el 9 de marzo de 2010 ante el AMPM – 5ªZM (expediente de prueba, f. 27884), y Relación de hechos realizada por María de Jesús Alvarado Espinoza el 19 de febrero de 2010 ante la UPPDDH - SEGOB,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315</w:t>
      </w:r>
      <w:r>
        <w:rPr>
          <w:rFonts w:ascii="Verdana" w:hAnsi="Verdana"/>
          <w:sz w:val="16"/>
          <w:szCs w:val="16"/>
        </w:rPr>
        <w:t>)</w:t>
      </w:r>
      <w:r w:rsidRPr="00432ABC">
        <w:rPr>
          <w:rFonts w:ascii="Verdana" w:hAnsi="Verdana"/>
          <w:sz w:val="16"/>
          <w:szCs w:val="16"/>
        </w:rPr>
        <w:t>.</w:t>
      </w:r>
    </w:p>
  </w:footnote>
  <w:footnote w:id="170">
    <w:p w14:paraId="64AA61D8" w14:textId="6AB9D55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rendida </w:t>
      </w:r>
      <w:r>
        <w:rPr>
          <w:rFonts w:ascii="Verdana" w:hAnsi="Verdana"/>
          <w:sz w:val="16"/>
          <w:szCs w:val="16"/>
        </w:rPr>
        <w:t xml:space="preserve">en la Audiencia Pública </w:t>
      </w:r>
      <w:r w:rsidRPr="002C462C">
        <w:rPr>
          <w:rFonts w:ascii="Verdana" w:hAnsi="Verdana"/>
          <w:sz w:val="16"/>
          <w:szCs w:val="16"/>
        </w:rPr>
        <w:t>ante la Corte por María de Je</w:t>
      </w:r>
      <w:r w:rsidRPr="00432ABC">
        <w:rPr>
          <w:rFonts w:ascii="Verdana" w:hAnsi="Verdana"/>
          <w:sz w:val="16"/>
          <w:szCs w:val="16"/>
        </w:rPr>
        <w:t xml:space="preserve">sús Alvarado Espinoza en la, </w:t>
      </w:r>
      <w:r w:rsidRPr="00432ABC">
        <w:rPr>
          <w:rFonts w:ascii="Verdana" w:hAnsi="Verdana"/>
          <w:i/>
          <w:sz w:val="16"/>
          <w:szCs w:val="16"/>
        </w:rPr>
        <w:t xml:space="preserve">supra, </w:t>
      </w:r>
      <w:r w:rsidRPr="00432ABC">
        <w:rPr>
          <w:rFonts w:ascii="Verdana" w:hAnsi="Verdana"/>
          <w:sz w:val="16"/>
          <w:szCs w:val="16"/>
        </w:rPr>
        <w:t xml:space="preserve">págs. 8 a 9; Declaración de Verónica Colomo Reyes rendida el 9 de marzo de 2010 ante el AMPM – 5ªZM,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27951</w:t>
      </w:r>
      <w:r>
        <w:rPr>
          <w:rFonts w:ascii="Verdana" w:hAnsi="Verdana"/>
          <w:sz w:val="16"/>
          <w:szCs w:val="16"/>
        </w:rPr>
        <w:t>)</w:t>
      </w:r>
      <w:r w:rsidRPr="00432ABC">
        <w:rPr>
          <w:rFonts w:ascii="Verdana" w:hAnsi="Verdana"/>
          <w:sz w:val="16"/>
          <w:szCs w:val="16"/>
        </w:rPr>
        <w:t xml:space="preserve">, y Declaración de Manuel Reyes Lira rendida el 9 de marzo de 2010 ante el AMPM – 5ªZM (expediente de prueba, f. 27982). De acuerdo con el General Felipe de Jesús Espitia Hernández, entonces Comandante de la Quinta Zona Militar [5ªZM], María de Jesús Alvarado, Patricia Reyes Rueda y Manuel Reyes Lira acudieron el 31 de diciembre de 2010 a las instalaciones del 35 Batallón de Infantería y fueron atendidos por el Teniente de Infantería Santiago Díaz Pineda, quien les manifestó que sus familiares no se encontraban detenidos en las instalaciones de dicha unidad militar y les preguntó por qué atribuían a la desaparición de sus familiares al 35 Batallón, a lo cual contestaron “que no culpaban a [esa] Unidad de ese hecho, que únicamente [fueron] a preguntar si a[llí] se encontraban […]”.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Mensaje C.E.I. de 7 de enero de 2010 dirigido al Comandante de la XI Región Militar (expediente de prueba, </w:t>
      </w:r>
      <w:r>
        <w:rPr>
          <w:rFonts w:ascii="Verdana" w:hAnsi="Verdana"/>
          <w:sz w:val="16"/>
          <w:szCs w:val="16"/>
        </w:rPr>
        <w:t>e</w:t>
      </w:r>
      <w:r w:rsidRPr="00432ABC">
        <w:rPr>
          <w:rFonts w:ascii="Verdana" w:hAnsi="Verdana"/>
          <w:sz w:val="16"/>
          <w:szCs w:val="16"/>
        </w:rPr>
        <w:t xml:space="preserve">xpediente </w:t>
      </w:r>
      <w:r>
        <w:rPr>
          <w:rFonts w:ascii="Verdana" w:hAnsi="Verdana"/>
          <w:sz w:val="16"/>
          <w:szCs w:val="16"/>
        </w:rPr>
        <w:t>p</w:t>
      </w:r>
      <w:r w:rsidRPr="00432ABC">
        <w:rPr>
          <w:rFonts w:ascii="Verdana" w:hAnsi="Verdana"/>
          <w:sz w:val="16"/>
          <w:szCs w:val="16"/>
        </w:rPr>
        <w:t xml:space="preserve">enal, f. 5406). </w:t>
      </w:r>
    </w:p>
  </w:footnote>
  <w:footnote w:id="171">
    <w:p w14:paraId="64AA61D9" w14:textId="2332A0F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Verónica Colomo Reyes rendida el 9 de marzo de 2010 ante el AMPM – 5ªZM, </w:t>
      </w:r>
      <w:r w:rsidRPr="00432ABC">
        <w:rPr>
          <w:rFonts w:ascii="Verdana" w:hAnsi="Verdana"/>
          <w:i/>
          <w:sz w:val="16"/>
          <w:szCs w:val="16"/>
        </w:rPr>
        <w:t>supra</w:t>
      </w:r>
      <w:r>
        <w:rPr>
          <w:rFonts w:ascii="Verdana" w:hAnsi="Verdana"/>
          <w:sz w:val="16"/>
          <w:szCs w:val="16"/>
        </w:rPr>
        <w:t xml:space="preserve"> (expediente de prueba, </w:t>
      </w:r>
      <w:r w:rsidRPr="00432ABC">
        <w:rPr>
          <w:rFonts w:ascii="Verdana" w:hAnsi="Verdana"/>
          <w:sz w:val="16"/>
          <w:szCs w:val="16"/>
        </w:rPr>
        <w:t>f. 27951</w:t>
      </w:r>
      <w:r>
        <w:rPr>
          <w:rFonts w:ascii="Verdana" w:hAnsi="Verdana"/>
          <w:sz w:val="16"/>
          <w:szCs w:val="16"/>
        </w:rPr>
        <w:t>)</w:t>
      </w:r>
      <w:r w:rsidRPr="00432ABC">
        <w:rPr>
          <w:rFonts w:ascii="Verdana" w:hAnsi="Verdana"/>
          <w:sz w:val="16"/>
          <w:szCs w:val="16"/>
        </w:rPr>
        <w:t>, y Declaración de Manuel Reyes Lira rendida el 9 de marzo de 2010 ante el AMPM – 5ªZM</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f. 27982</w:t>
      </w:r>
      <w:r>
        <w:rPr>
          <w:rFonts w:ascii="Verdana" w:hAnsi="Verdana"/>
          <w:sz w:val="16"/>
          <w:szCs w:val="16"/>
        </w:rPr>
        <w:t>)</w:t>
      </w:r>
      <w:r w:rsidRPr="00432ABC">
        <w:rPr>
          <w:rFonts w:ascii="Verdana" w:hAnsi="Verdana"/>
          <w:sz w:val="16"/>
          <w:szCs w:val="16"/>
        </w:rPr>
        <w:t>.</w:t>
      </w:r>
    </w:p>
  </w:footnote>
  <w:footnote w:id="172">
    <w:p w14:paraId="64AA61DA" w14:textId="36A84B9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Declaración rendida</w:t>
      </w:r>
      <w:r>
        <w:rPr>
          <w:rFonts w:ascii="Verdana" w:hAnsi="Verdana"/>
          <w:sz w:val="16"/>
          <w:szCs w:val="16"/>
        </w:rPr>
        <w:t xml:space="preserve"> en la Audiencia Pública</w:t>
      </w:r>
      <w:r w:rsidRPr="002C462C">
        <w:rPr>
          <w:rFonts w:ascii="Verdana" w:hAnsi="Verdana"/>
          <w:sz w:val="16"/>
          <w:szCs w:val="16"/>
        </w:rPr>
        <w:t xml:space="preserve"> ante la Corte por María de Jesús Alvarado Espinoza, </w:t>
      </w:r>
      <w:r w:rsidRPr="00432ABC">
        <w:rPr>
          <w:rFonts w:ascii="Verdana" w:hAnsi="Verdana"/>
          <w:i/>
          <w:sz w:val="16"/>
          <w:szCs w:val="16"/>
        </w:rPr>
        <w:t xml:space="preserve">supra, </w:t>
      </w:r>
      <w:r w:rsidRPr="00432ABC">
        <w:rPr>
          <w:rFonts w:ascii="Verdana" w:hAnsi="Verdana"/>
          <w:sz w:val="16"/>
          <w:szCs w:val="16"/>
        </w:rPr>
        <w:t xml:space="preserve">pág. 8; Declaración de María de Jesús Alvarado Espinoza rendida el 12 de febrero de 2010 ante el AMP de la PGJE - Chihuahua (expediente de prueba, f. 27908), y Acta de Cadena de Eslabones y Custodia de Evidencia Folio 1655 de la Agencia Estatal de Investigación de Chihuahua [AEI – Chihuahua] (expediente de prueba, ff. 1838 a 1850). </w:t>
      </w:r>
    </w:p>
  </w:footnote>
  <w:footnote w:id="173">
    <w:p w14:paraId="64AA61DB" w14:textId="5FE12BB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vanish/>
          <w:sz w:val="16"/>
          <w:szCs w:val="16"/>
        </w:rPr>
        <w:t xml:space="preserve">ZMM - 5a por el 27901 a 27902. </w:t>
      </w:r>
      <w:r w:rsidRPr="00432ABC">
        <w:rPr>
          <w:rFonts w:ascii="Verdana" w:hAnsi="Verdana"/>
          <w:sz w:val="16"/>
          <w:szCs w:val="16"/>
        </w:rPr>
        <w:t>Denuncia promovida por Patricia Reyes Rueda el 4 de enero de 2010 en el Programa para la Atención de Quejas y Denuncias sobre el Operativo Conjunto Juárez, en Ciudad Juárez, Chihuahua (expediente de prueba, f. 306), y Declaración de Hora</w:t>
      </w:r>
      <w:r>
        <w:rPr>
          <w:rFonts w:ascii="Verdana" w:hAnsi="Verdana"/>
          <w:sz w:val="16"/>
          <w:szCs w:val="16"/>
        </w:rPr>
        <w:t>s</w:t>
      </w:r>
      <w:r w:rsidRPr="00432ABC">
        <w:rPr>
          <w:rFonts w:ascii="Verdana" w:hAnsi="Verdana"/>
          <w:sz w:val="16"/>
          <w:szCs w:val="16"/>
        </w:rPr>
        <w:t>io Flores Martínez rendida el 9 de junio de 2010 ante el AMPF de la FEVIMTRA - PGR (expediente de prueba, ff. 28078 a 28079).</w:t>
      </w:r>
    </w:p>
  </w:footnote>
  <w:footnote w:id="174">
    <w:p w14:paraId="64AA61DC" w14:textId="67277C6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Acta de denuncia de Patricia Reyes Rueda (expediente de prueba, ff. 27877 a 27878), y Acta de denuncia de María de Jesús Alvarado Espinoza (exped</w:t>
      </w:r>
      <w:r w:rsidRPr="00432ABC">
        <w:rPr>
          <w:rFonts w:ascii="Verdana" w:hAnsi="Verdana"/>
          <w:sz w:val="16"/>
          <w:szCs w:val="16"/>
        </w:rPr>
        <w:t xml:space="preserve">iente de prueba, ff. 27901 a 27902), ambas promovidas el 31 de diciembre de 2009 ante el AMP – Buenaventura. </w:t>
      </w:r>
    </w:p>
  </w:footnote>
  <w:footnote w:id="175">
    <w:p w14:paraId="64AA61DD" w14:textId="59F760F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Queja promovida el 4 de enero de 2010 por Jaime Alvarado Herrera ante la CNDH en Ciudad Juárez, Ch</w:t>
      </w:r>
      <w:r w:rsidRPr="00432ABC">
        <w:rPr>
          <w:rFonts w:ascii="Verdana" w:hAnsi="Verdana"/>
          <w:sz w:val="16"/>
          <w:szCs w:val="16"/>
        </w:rPr>
        <w:t>ihuahua (expediente de prueba, ff. 1833 a 1834).</w:t>
      </w:r>
    </w:p>
  </w:footnote>
  <w:footnote w:id="176">
    <w:p w14:paraId="64AA61DE" w14:textId="43C18E6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Denuncia promovida por Patricia Reyes Rueda el 4 de enero de 2010 en el Programa para la Atención de Quejas y Denuncias sobre el Operativo Conjunto Juárez,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ff. 305 a 307</w:t>
      </w:r>
      <w:r>
        <w:rPr>
          <w:rFonts w:ascii="Verdana" w:hAnsi="Verdana"/>
          <w:sz w:val="16"/>
          <w:szCs w:val="16"/>
        </w:rPr>
        <w:t>)</w:t>
      </w:r>
      <w:r w:rsidRPr="00432ABC">
        <w:rPr>
          <w:rFonts w:ascii="Verdana" w:hAnsi="Verdana"/>
          <w:sz w:val="16"/>
          <w:szCs w:val="16"/>
        </w:rPr>
        <w:t xml:space="preserve">, y Declaración de Patricia Reyes Rueda rendida el 9 de marzo de 2010 ante el AMPM – 5ªZM, </w:t>
      </w:r>
      <w:r w:rsidRPr="00432ABC">
        <w:rPr>
          <w:rFonts w:ascii="Verdana" w:hAnsi="Verdana"/>
          <w:i/>
          <w:sz w:val="16"/>
          <w:szCs w:val="16"/>
        </w:rPr>
        <w:t>supra</w:t>
      </w:r>
      <w:r>
        <w:rPr>
          <w:rFonts w:ascii="Verdana" w:hAnsi="Verdana"/>
          <w:sz w:val="16"/>
          <w:szCs w:val="16"/>
        </w:rPr>
        <w:t xml:space="preserve"> (expediente de prueba, </w:t>
      </w:r>
      <w:r w:rsidRPr="00432ABC">
        <w:rPr>
          <w:rFonts w:ascii="Verdana" w:hAnsi="Verdana"/>
          <w:sz w:val="16"/>
          <w:szCs w:val="16"/>
        </w:rPr>
        <w:t>f. 27884</w:t>
      </w:r>
      <w:r>
        <w:rPr>
          <w:rFonts w:ascii="Verdana" w:hAnsi="Verdana"/>
          <w:sz w:val="16"/>
          <w:szCs w:val="16"/>
        </w:rPr>
        <w:t>)</w:t>
      </w:r>
      <w:r w:rsidRPr="00432ABC">
        <w:rPr>
          <w:rFonts w:ascii="Verdana" w:hAnsi="Verdana"/>
          <w:sz w:val="16"/>
          <w:szCs w:val="16"/>
        </w:rPr>
        <w:t xml:space="preserve">. </w:t>
      </w:r>
    </w:p>
  </w:footnote>
  <w:footnote w:id="177">
    <w:p w14:paraId="64AA61DF" w14:textId="385146F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denuncia AP/PGR/CHIH/JUA/27/2010-VII-A de Patricia Reyes Rueda y de María de Jesús Alvarado Espinoza promovida el 6 de ene</w:t>
      </w:r>
      <w:r w:rsidRPr="00432ABC">
        <w:rPr>
          <w:rFonts w:ascii="Verdana" w:hAnsi="Verdana"/>
          <w:sz w:val="16"/>
          <w:szCs w:val="16"/>
        </w:rPr>
        <w:t>ro de 2010 ante el AMPF adscrito a la Mesa Séptima de la PGR en Ciudad Juárez, Chihuahua [7ªAMPF - PGR]</w:t>
      </w:r>
      <w:r>
        <w:rPr>
          <w:rFonts w:ascii="Verdana" w:hAnsi="Verdana"/>
          <w:sz w:val="16"/>
          <w:szCs w:val="16"/>
        </w:rPr>
        <w:t xml:space="preserve"> </w:t>
      </w:r>
      <w:r w:rsidRPr="00432ABC">
        <w:rPr>
          <w:rFonts w:ascii="Verdana" w:hAnsi="Verdana"/>
          <w:sz w:val="16"/>
          <w:szCs w:val="16"/>
        </w:rPr>
        <w:t>(expediente de prueba, ff. 27880 a 27881</w:t>
      </w:r>
      <w:r>
        <w:rPr>
          <w:rFonts w:ascii="Verdana" w:hAnsi="Verdana"/>
          <w:sz w:val="16"/>
          <w:szCs w:val="16"/>
        </w:rPr>
        <w:t xml:space="preserve"> </w:t>
      </w:r>
      <w:r w:rsidRPr="00432ABC">
        <w:rPr>
          <w:rFonts w:ascii="Verdana" w:hAnsi="Verdana"/>
          <w:sz w:val="16"/>
          <w:szCs w:val="16"/>
        </w:rPr>
        <w:t xml:space="preserve">y ff. 27904 a 27905). </w:t>
      </w:r>
    </w:p>
  </w:footnote>
  <w:footnote w:id="178">
    <w:p w14:paraId="64AA61E0" w14:textId="5D7F162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sz w:val="16"/>
          <w:szCs w:val="16"/>
        </w:rPr>
        <w:t xml:space="preserve">Demanda de Amparo promovida por José Ángel Alvarado Fabela el 6 de enero ante el Juez de Distrito de Amparo en Materia Penal en turno en Ciudad Juárez, Chihuahua (expediente de prueba, ff. 2625 a 2628). </w:t>
      </w:r>
    </w:p>
  </w:footnote>
  <w:footnote w:id="179">
    <w:p w14:paraId="64AA61E1" w14:textId="761A2CE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Mensaje F.C.A</w:t>
      </w:r>
      <w:r w:rsidRPr="00432ABC">
        <w:rPr>
          <w:rFonts w:ascii="Verdana" w:hAnsi="Verdana"/>
          <w:sz w:val="16"/>
          <w:szCs w:val="16"/>
        </w:rPr>
        <w:t xml:space="preserve">. No. 44 de 7 de enero de 2010 dirigido al Comandante de la Guarnición Militar de Palomas, Chihuahua (expediente de prueba, </w:t>
      </w:r>
      <w:r>
        <w:rPr>
          <w:rFonts w:ascii="Verdana" w:hAnsi="Verdana"/>
          <w:sz w:val="16"/>
          <w:szCs w:val="16"/>
        </w:rPr>
        <w:t>e</w:t>
      </w:r>
      <w:r w:rsidRPr="00432ABC">
        <w:rPr>
          <w:rFonts w:ascii="Verdana" w:hAnsi="Verdana"/>
          <w:sz w:val="16"/>
          <w:szCs w:val="16"/>
        </w:rPr>
        <w:t xml:space="preserve">xpediente penal, f.5405). En su declaración de 18 de junio de 2013 dentro de la Averiguación Previa AP/PGR/CHIH/JUA/467/2012-XI-A el General Lohmann señaló que quien le instruyó para realizar la investigación de los hechos fue el Comandante de la XI Región Militar.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Declaración de Jens Pedro Lohmann Iturburu rendida el 18 de junio de 2013 ante la AMPF, en apoyo a la la 11ªAMPF – PGR (expediente de prueba, f. 28394)</w:t>
      </w:r>
    </w:p>
  </w:footnote>
  <w:footnote w:id="180">
    <w:p w14:paraId="64AA61E2" w14:textId="0EEEAC05" w:rsidR="00146958" w:rsidRPr="00432ABC" w:rsidRDefault="00146958">
      <w:pPr>
        <w:pStyle w:val="Textonotapie"/>
        <w:jc w:val="both"/>
        <w:rPr>
          <w:rFonts w:ascii="Verdana" w:hAnsi="Verdana"/>
          <w:b/>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Mensaje F.C.A. No. 030/GAO [págs. 2653 a 2656] de 15 de enero de 2010 suscrito por el Gral. De Bgda. D.E.M. Jens Pedro Lohmann Iturburu, Comandante de la Guarnición </w:t>
      </w:r>
      <w:r w:rsidRPr="00432ABC">
        <w:rPr>
          <w:rFonts w:ascii="Verdana" w:hAnsi="Verdana"/>
          <w:sz w:val="16"/>
          <w:szCs w:val="16"/>
        </w:rPr>
        <w:t>Militar de Palomas, Chihuahua, dirigido al Comandante de la 5ªZM</w:t>
      </w:r>
      <w:r w:rsidRPr="00432ABC" w:rsidDel="00071615">
        <w:rPr>
          <w:rFonts w:ascii="Verdana" w:hAnsi="Verdana"/>
          <w:sz w:val="16"/>
          <w:szCs w:val="16"/>
        </w:rPr>
        <w:t xml:space="preserve"> </w:t>
      </w:r>
      <w:r w:rsidRPr="00432ABC">
        <w:rPr>
          <w:rFonts w:ascii="Verdana" w:hAnsi="Verdana"/>
          <w:sz w:val="16"/>
          <w:szCs w:val="16"/>
        </w:rPr>
        <w:t xml:space="preserve">(expediente de prueba, ff. 28796 a 28799).  </w:t>
      </w:r>
    </w:p>
  </w:footnote>
  <w:footnote w:id="181">
    <w:p w14:paraId="64AA61E3" w14:textId="2EBBD57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María de Jesús Alvarado declaró ante la Corte que la visita realizada al 35 Batallón por el General</w:t>
      </w:r>
      <w:r w:rsidRPr="002C462C">
        <w:rPr>
          <w:rFonts w:ascii="Verdana" w:hAnsi="Verdana"/>
          <w:sz w:val="16"/>
          <w:szCs w:val="16"/>
        </w:rPr>
        <w:t xml:space="preserve"> Jens Pedro Lohmann en compañía de los familiares</w:t>
      </w:r>
      <w:r w:rsidRPr="00432ABC">
        <w:rPr>
          <w:rFonts w:ascii="Verdana" w:hAnsi="Verdana"/>
          <w:b/>
          <w:sz w:val="16"/>
          <w:szCs w:val="16"/>
        </w:rPr>
        <w:t xml:space="preserve"> </w:t>
      </w:r>
      <w:r w:rsidRPr="00432ABC">
        <w:rPr>
          <w:rFonts w:ascii="Verdana" w:hAnsi="Verdana"/>
          <w:sz w:val="16"/>
          <w:szCs w:val="16"/>
        </w:rPr>
        <w:t>tuvo lugar el 8 de enero de 2010. Sin embargo, en su declaración ante el AMPF, el General Jens Lohmann se</w:t>
      </w:r>
      <w:r w:rsidRPr="00432ABC">
        <w:rPr>
          <w:rFonts w:ascii="Verdana" w:hAnsi="Verdana" w:cs="Arial"/>
          <w:sz w:val="16"/>
          <w:szCs w:val="16"/>
        </w:rPr>
        <w:t>ñaló</w:t>
      </w:r>
      <w:r w:rsidRPr="00432ABC">
        <w:rPr>
          <w:rFonts w:ascii="Verdana" w:hAnsi="Verdana"/>
          <w:sz w:val="16"/>
          <w:szCs w:val="16"/>
        </w:rPr>
        <w:t xml:space="preserve"> que dicho encuentro se verificó el 9 de febrero de 2010. </w:t>
      </w:r>
      <w:r w:rsidRPr="00CD5C54">
        <w:rPr>
          <w:rFonts w:ascii="Verdana" w:hAnsi="Verdana"/>
          <w:i/>
          <w:sz w:val="16"/>
          <w:szCs w:val="16"/>
        </w:rPr>
        <w:t>Cfr.</w:t>
      </w:r>
      <w:r w:rsidRPr="00432ABC">
        <w:rPr>
          <w:rFonts w:ascii="Verdana" w:hAnsi="Verdana"/>
          <w:sz w:val="16"/>
          <w:szCs w:val="16"/>
        </w:rPr>
        <w:t xml:space="preserve"> Declaración rendida</w:t>
      </w:r>
      <w:r>
        <w:rPr>
          <w:rFonts w:ascii="Verdana" w:hAnsi="Verdana"/>
          <w:sz w:val="16"/>
          <w:szCs w:val="16"/>
        </w:rPr>
        <w:t xml:space="preserve"> en la Audiencia Pública</w:t>
      </w:r>
      <w:r w:rsidRPr="00432ABC">
        <w:rPr>
          <w:rFonts w:ascii="Verdana" w:hAnsi="Verdana"/>
          <w:sz w:val="16"/>
          <w:szCs w:val="16"/>
        </w:rPr>
        <w:t xml:space="preserve"> ante la Corte por María de Jesús Alvarado Espinoza, </w:t>
      </w:r>
      <w:r w:rsidRPr="00432ABC">
        <w:rPr>
          <w:rFonts w:ascii="Verdana" w:hAnsi="Verdana"/>
          <w:i/>
          <w:sz w:val="16"/>
          <w:szCs w:val="16"/>
        </w:rPr>
        <w:t xml:space="preserve">supra, </w:t>
      </w:r>
      <w:r w:rsidRPr="00432ABC">
        <w:rPr>
          <w:rFonts w:ascii="Verdana" w:hAnsi="Verdana"/>
          <w:sz w:val="16"/>
          <w:szCs w:val="16"/>
        </w:rPr>
        <w:t xml:space="preserve">pág. 11, y Declaración de Jens Pedro Lohmann Iturburu rendida el 18 de junio de 2013 ante la la 11ªAMPF – PGR,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28394</w:t>
      </w:r>
      <w:r>
        <w:rPr>
          <w:rFonts w:ascii="Verdana" w:hAnsi="Verdana"/>
          <w:sz w:val="16"/>
          <w:szCs w:val="16"/>
        </w:rPr>
        <w:t>)</w:t>
      </w:r>
      <w:r w:rsidRPr="00432ABC">
        <w:rPr>
          <w:rFonts w:ascii="Verdana" w:hAnsi="Verdana"/>
          <w:sz w:val="16"/>
          <w:szCs w:val="16"/>
        </w:rPr>
        <w:t xml:space="preserve">.  </w:t>
      </w:r>
    </w:p>
  </w:footnote>
  <w:footnote w:id="182">
    <w:p w14:paraId="64AA61E4" w14:textId="083B8BC9" w:rsidR="00146958" w:rsidRPr="00432ABC" w:rsidRDefault="00146958">
      <w:pPr>
        <w:pStyle w:val="Textonotapie"/>
        <w:jc w:val="both"/>
        <w:rPr>
          <w:rFonts w:ascii="Verdana" w:hAnsi="Verdana"/>
          <w:sz w:val="16"/>
          <w:szCs w:val="16"/>
          <w:highlight w:val="green"/>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w:t>
      </w:r>
      <w:r>
        <w:rPr>
          <w:rFonts w:ascii="Verdana" w:hAnsi="Verdana"/>
          <w:sz w:val="16"/>
          <w:szCs w:val="16"/>
        </w:rPr>
        <w:t>en la Audiencia Pública</w:t>
      </w:r>
      <w:r w:rsidRPr="002C462C">
        <w:rPr>
          <w:rFonts w:ascii="Verdana" w:hAnsi="Verdana"/>
          <w:sz w:val="16"/>
          <w:szCs w:val="16"/>
        </w:rPr>
        <w:t xml:space="preserve"> ante la Corte por María de Jes</w:t>
      </w:r>
      <w:r w:rsidRPr="00432ABC">
        <w:rPr>
          <w:rFonts w:ascii="Verdana" w:hAnsi="Verdana"/>
          <w:sz w:val="16"/>
          <w:szCs w:val="16"/>
        </w:rPr>
        <w:t xml:space="preserve">ús Alvarado Espinoza en la, </w:t>
      </w:r>
      <w:r w:rsidRPr="00432ABC">
        <w:rPr>
          <w:rFonts w:ascii="Verdana" w:hAnsi="Verdana"/>
          <w:i/>
          <w:sz w:val="16"/>
          <w:szCs w:val="16"/>
        </w:rPr>
        <w:t xml:space="preserve">supra, </w:t>
      </w:r>
      <w:r w:rsidRPr="00432ABC">
        <w:rPr>
          <w:rFonts w:ascii="Verdana" w:hAnsi="Verdana"/>
          <w:sz w:val="16"/>
          <w:szCs w:val="16"/>
        </w:rPr>
        <w:t xml:space="preserve">pág. 11; Declaración rendida por Obdulia Espinoza Beltrán el 19 de abril de 2018,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30912</w:t>
      </w:r>
      <w:r>
        <w:rPr>
          <w:rFonts w:ascii="Verdana" w:hAnsi="Verdana"/>
          <w:sz w:val="16"/>
          <w:szCs w:val="16"/>
        </w:rPr>
        <w:t>)</w:t>
      </w:r>
      <w:r w:rsidRPr="00432ABC">
        <w:rPr>
          <w:rFonts w:ascii="Verdana" w:hAnsi="Verdana"/>
          <w:sz w:val="16"/>
          <w:szCs w:val="16"/>
        </w:rPr>
        <w:t xml:space="preserve">, y Declaración rendida por Rosa Olivia Alvarado Herrera el 18 de abril de 2018 (expediente de prueba, </w:t>
      </w:r>
      <w:r w:rsidRPr="00453199">
        <w:rPr>
          <w:rFonts w:ascii="Verdana" w:hAnsi="Verdana"/>
          <w:i/>
          <w:sz w:val="16"/>
        </w:rPr>
        <w:t>Affidávits</w:t>
      </w:r>
      <w:r w:rsidRPr="00432ABC">
        <w:rPr>
          <w:rFonts w:ascii="Verdana" w:hAnsi="Verdana"/>
          <w:sz w:val="16"/>
          <w:szCs w:val="16"/>
        </w:rPr>
        <w:t>, f. 30922).</w:t>
      </w:r>
    </w:p>
  </w:footnote>
  <w:footnote w:id="183">
    <w:p w14:paraId="64AA61E5" w14:textId="3D7E6AC5" w:rsidR="00146958" w:rsidRPr="00432ABC" w:rsidRDefault="00146958">
      <w:pPr>
        <w:pStyle w:val="Textonotapie"/>
        <w:jc w:val="both"/>
        <w:rPr>
          <w:rFonts w:ascii="Verdana" w:hAnsi="Verdana"/>
          <w:sz w:val="16"/>
          <w:szCs w:val="16"/>
          <w:highlight w:val="green"/>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Mensaje C.E.I. No. 929 de 15 de enero de 2010 suscrito por el Coronel de Infantería Élfego José Luján Ruiz, Comandante del 35 Batallón de Infantería, dirigido al Comandante de la 5ªZ</w:t>
      </w:r>
      <w:r w:rsidRPr="00432ABC">
        <w:rPr>
          <w:rFonts w:ascii="Verdana" w:hAnsi="Verdana"/>
          <w:sz w:val="16"/>
          <w:szCs w:val="16"/>
        </w:rPr>
        <w:t>M</w:t>
      </w:r>
      <w:r w:rsidRPr="00432ABC" w:rsidDel="00071615">
        <w:rPr>
          <w:rFonts w:ascii="Verdana" w:hAnsi="Verdana"/>
          <w:sz w:val="16"/>
          <w:szCs w:val="16"/>
        </w:rPr>
        <w:t xml:space="preserve">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 5610). </w:t>
      </w:r>
    </w:p>
  </w:footnote>
  <w:footnote w:id="184">
    <w:p w14:paraId="64AA61E6" w14:textId="712FC58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Mensaje F.C.A. No. 030/GAO [págs. 2653 a 2656] de 15 de enero de 2010 suscrito por el Comandante de la Guarnición Militar de Palomas, Chihuahua, dirigido al Comandante de la 5ªZM,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 xml:space="preserve">f. 28796), y Declaración de Jens Pedro Lohmann Iturburu rendida el 18 de junio de 2013 ante la 11ªAMPF – PGR,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ff. 28394 a 28396</w:t>
      </w:r>
      <w:r>
        <w:rPr>
          <w:rFonts w:ascii="Verdana" w:hAnsi="Verdana"/>
          <w:sz w:val="16"/>
          <w:szCs w:val="16"/>
        </w:rPr>
        <w:t>)</w:t>
      </w:r>
      <w:r w:rsidRPr="00432ABC">
        <w:rPr>
          <w:rFonts w:ascii="Verdana" w:hAnsi="Verdana"/>
          <w:sz w:val="16"/>
          <w:szCs w:val="16"/>
        </w:rPr>
        <w:t xml:space="preserve">. En su declaración rendida el 18 de junio de 2010 ante el AMPM – 5ªZM, el Mayor de Infantería Manuel Gutiérrez Reyes declaró que nunca tuvo conocimiento del supuesto aseguramiento de la camioneta de Nitza Paola Alvarado y “mucho menos” </w:t>
      </w:r>
      <w:r>
        <w:rPr>
          <w:rFonts w:ascii="Verdana" w:hAnsi="Verdana"/>
          <w:sz w:val="16"/>
          <w:szCs w:val="16"/>
        </w:rPr>
        <w:t xml:space="preserve">de que </w:t>
      </w:r>
      <w:r w:rsidRPr="00432ABC">
        <w:rPr>
          <w:rFonts w:ascii="Verdana" w:hAnsi="Verdana"/>
          <w:sz w:val="16"/>
          <w:szCs w:val="16"/>
        </w:rPr>
        <w:t xml:space="preserve">dicho vehículo estuvo en las instalaciones del 35 Batallón de Infantería. Por el contrario, en su declaración rendida ante la Corte, María de Jesús Alvarado señaló que a pregunta expresa formulada por el General Jens Lohmann al “Teniente” Manuel Gutiérrez sobre la eventual participación de personal castrense del 35 Batallón en el aseguramiento de la camioneta de Nitza Paola Alvarado, éste habría contestado: “sí, nosotros tuvimos esta camioneta, nosotros la teníamos en el cuartel y la pusimos a disposición aquí”. </w:t>
      </w:r>
      <w:r w:rsidRPr="00CD5C54">
        <w:rPr>
          <w:rFonts w:ascii="Verdana" w:hAnsi="Verdana"/>
          <w:i/>
          <w:sz w:val="16"/>
          <w:szCs w:val="16"/>
        </w:rPr>
        <w:t>Cfr.</w:t>
      </w:r>
      <w:r w:rsidRPr="00432ABC">
        <w:rPr>
          <w:rFonts w:ascii="Verdana" w:hAnsi="Verdana"/>
          <w:sz w:val="16"/>
          <w:szCs w:val="16"/>
        </w:rPr>
        <w:t xml:space="preserve"> Declaración de Manuel Gutiérrez Reyes rendida el 18 de junio de 2010 ante el AMPM – 5ªZM (expediente de prueba, </w:t>
      </w:r>
      <w:r>
        <w:rPr>
          <w:rFonts w:ascii="Verdana" w:hAnsi="Verdana"/>
          <w:sz w:val="16"/>
          <w:szCs w:val="16"/>
        </w:rPr>
        <w:t>e</w:t>
      </w:r>
      <w:r w:rsidRPr="00432ABC">
        <w:rPr>
          <w:rFonts w:ascii="Verdana" w:hAnsi="Verdana"/>
          <w:sz w:val="16"/>
          <w:szCs w:val="16"/>
        </w:rPr>
        <w:t>xpediente penal, f</w:t>
      </w:r>
      <w:r>
        <w:rPr>
          <w:rFonts w:ascii="Verdana" w:hAnsi="Verdana"/>
          <w:sz w:val="16"/>
          <w:szCs w:val="16"/>
        </w:rPr>
        <w:t>f</w:t>
      </w:r>
      <w:r w:rsidRPr="00432ABC">
        <w:rPr>
          <w:rFonts w:ascii="Verdana" w:hAnsi="Verdana"/>
          <w:sz w:val="16"/>
          <w:szCs w:val="16"/>
        </w:rPr>
        <w:t xml:space="preserve">.7427 a 7428), y Declaración rendida </w:t>
      </w:r>
      <w:r>
        <w:rPr>
          <w:rFonts w:ascii="Verdana" w:hAnsi="Verdana"/>
          <w:sz w:val="16"/>
          <w:szCs w:val="16"/>
        </w:rPr>
        <w:t>en la Audiencia Pública</w:t>
      </w:r>
      <w:r w:rsidRPr="00432ABC">
        <w:rPr>
          <w:rFonts w:ascii="Verdana" w:hAnsi="Verdana"/>
          <w:sz w:val="16"/>
          <w:szCs w:val="16"/>
        </w:rPr>
        <w:t xml:space="preserve"> ante la Corte por María de Jesús Alvarado Espinoza, </w:t>
      </w:r>
      <w:r w:rsidRPr="00432ABC">
        <w:rPr>
          <w:rFonts w:ascii="Verdana" w:hAnsi="Verdana"/>
          <w:i/>
          <w:sz w:val="16"/>
          <w:szCs w:val="16"/>
        </w:rPr>
        <w:t xml:space="preserve">supra, </w:t>
      </w:r>
      <w:r w:rsidRPr="00432ABC">
        <w:rPr>
          <w:rFonts w:ascii="Verdana" w:hAnsi="Verdana"/>
          <w:sz w:val="16"/>
          <w:szCs w:val="16"/>
        </w:rPr>
        <w:t xml:space="preserve">pág. 11.  </w:t>
      </w:r>
    </w:p>
  </w:footnote>
  <w:footnote w:id="185">
    <w:p w14:paraId="64AA61E7" w14:textId="6092A99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w:t>
      </w:r>
      <w:r>
        <w:rPr>
          <w:rFonts w:ascii="Verdana" w:hAnsi="Verdana"/>
          <w:sz w:val="16"/>
          <w:szCs w:val="16"/>
        </w:rPr>
        <w:t>en la Audiencia Pública</w:t>
      </w:r>
      <w:r w:rsidRPr="002C462C">
        <w:rPr>
          <w:rFonts w:ascii="Verdana" w:hAnsi="Verdana"/>
          <w:sz w:val="16"/>
          <w:szCs w:val="16"/>
        </w:rPr>
        <w:t xml:space="preserve"> ante la Corte por María de Jesús Alvarado Espinoza, </w:t>
      </w:r>
      <w:r w:rsidRPr="00432ABC">
        <w:rPr>
          <w:rFonts w:ascii="Verdana" w:hAnsi="Verdana"/>
          <w:i/>
          <w:sz w:val="16"/>
          <w:szCs w:val="16"/>
        </w:rPr>
        <w:t xml:space="preserve">supra, </w:t>
      </w:r>
      <w:r w:rsidRPr="00432ABC">
        <w:rPr>
          <w:rFonts w:ascii="Verdana" w:hAnsi="Verdana"/>
          <w:sz w:val="16"/>
          <w:szCs w:val="16"/>
        </w:rPr>
        <w:t xml:space="preserve">pág. 11, Mensaje F.C.A. No. 68 de 9 de enero de 2010 suscrito por el Comandante de la 5ªZM, dirigido al Comandante de la XI Región Militar (expediente de prueba, </w:t>
      </w:r>
      <w:r>
        <w:rPr>
          <w:rFonts w:ascii="Verdana" w:hAnsi="Verdana"/>
          <w:sz w:val="16"/>
          <w:szCs w:val="16"/>
        </w:rPr>
        <w:t>e</w:t>
      </w:r>
      <w:r w:rsidRPr="00432ABC">
        <w:rPr>
          <w:rFonts w:ascii="Verdana" w:hAnsi="Verdana"/>
          <w:sz w:val="16"/>
          <w:szCs w:val="16"/>
        </w:rPr>
        <w:t>xpediente penal, f.5330), e Informe de la División de Investigación de la Policía Federal de 4 de enero de 2011 (expediente de prueba, f.288)</w:t>
      </w:r>
    </w:p>
  </w:footnote>
  <w:footnote w:id="186">
    <w:p w14:paraId="64AA61E8" w14:textId="787B0CD0" w:rsidR="00146958" w:rsidRPr="00432ABC" w:rsidRDefault="00146958">
      <w:pPr>
        <w:pStyle w:val="Textonotapie"/>
        <w:jc w:val="both"/>
        <w:rPr>
          <w:rFonts w:ascii="Verdana" w:hAnsi="Verdana" w:cs="Arial"/>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w:t>
      </w:r>
      <w:r>
        <w:rPr>
          <w:rFonts w:ascii="Verdana" w:hAnsi="Verdana"/>
          <w:sz w:val="16"/>
          <w:szCs w:val="16"/>
        </w:rPr>
        <w:t>en la Audiencia Pública</w:t>
      </w:r>
      <w:r w:rsidRPr="002C462C">
        <w:rPr>
          <w:rFonts w:ascii="Verdana" w:hAnsi="Verdana"/>
          <w:sz w:val="16"/>
          <w:szCs w:val="16"/>
        </w:rPr>
        <w:t xml:space="preserve"> ante la Corte por María de Jesús Alvarado Espinoza, </w:t>
      </w:r>
      <w:r w:rsidRPr="00432ABC">
        <w:rPr>
          <w:rFonts w:ascii="Verdana" w:hAnsi="Verdana"/>
          <w:i/>
          <w:sz w:val="16"/>
          <w:szCs w:val="16"/>
        </w:rPr>
        <w:t xml:space="preserve">supra, </w:t>
      </w:r>
      <w:r w:rsidRPr="00432ABC">
        <w:rPr>
          <w:rFonts w:ascii="Verdana" w:hAnsi="Verdana"/>
          <w:sz w:val="16"/>
          <w:szCs w:val="16"/>
        </w:rPr>
        <w:t>pág. 12; Informe de la División de Investigación de la Policía Federal dirigido al AMPF</w:t>
      </w:r>
      <w:r w:rsidRPr="00432ABC">
        <w:rPr>
          <w:rFonts w:ascii="Verdana" w:hAnsi="Verdana" w:cs="Arial"/>
          <w:sz w:val="16"/>
          <w:szCs w:val="16"/>
        </w:rPr>
        <w:t xml:space="preserve"> el 4 de enero de 2011, </w:t>
      </w:r>
      <w:r w:rsidRPr="00432ABC">
        <w:rPr>
          <w:rFonts w:ascii="Verdana" w:hAnsi="Verdana" w:cs="Arial"/>
          <w:i/>
          <w:sz w:val="16"/>
          <w:szCs w:val="16"/>
        </w:rPr>
        <w:t>supra</w:t>
      </w:r>
      <w:r>
        <w:rPr>
          <w:rFonts w:ascii="Verdana" w:hAnsi="Verdana" w:cs="Arial"/>
          <w:sz w:val="16"/>
          <w:szCs w:val="16"/>
        </w:rPr>
        <w:t xml:space="preserve"> (expediente de prueba, </w:t>
      </w:r>
      <w:r w:rsidRPr="00432ABC">
        <w:rPr>
          <w:rFonts w:ascii="Verdana" w:hAnsi="Verdana" w:cs="Arial"/>
          <w:sz w:val="16"/>
          <w:szCs w:val="16"/>
        </w:rPr>
        <w:t>f.288</w:t>
      </w:r>
      <w:r>
        <w:rPr>
          <w:rFonts w:ascii="Verdana" w:hAnsi="Verdana" w:cs="Arial"/>
          <w:sz w:val="16"/>
          <w:szCs w:val="16"/>
        </w:rPr>
        <w:t>)</w:t>
      </w:r>
      <w:r w:rsidRPr="00432ABC">
        <w:rPr>
          <w:rFonts w:ascii="Verdana" w:hAnsi="Verdana" w:cs="Arial"/>
          <w:sz w:val="16"/>
          <w:szCs w:val="16"/>
        </w:rPr>
        <w:t xml:space="preserve">; </w:t>
      </w:r>
      <w:r w:rsidRPr="00432ABC">
        <w:rPr>
          <w:rFonts w:ascii="Verdana" w:hAnsi="Verdana"/>
          <w:sz w:val="16"/>
          <w:szCs w:val="16"/>
        </w:rPr>
        <w:t xml:space="preserve">Declaración rendida por Obdulia Espinoza Beltrán el 19 de abril de 2018, </w:t>
      </w:r>
      <w:r w:rsidRPr="00432ABC">
        <w:rPr>
          <w:rFonts w:ascii="Verdana" w:hAnsi="Verdana"/>
          <w:i/>
          <w:sz w:val="16"/>
          <w:szCs w:val="16"/>
        </w:rPr>
        <w:t>supra</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f.30912)</w:t>
      </w:r>
      <w:r w:rsidRPr="00432ABC">
        <w:rPr>
          <w:rFonts w:ascii="Verdana" w:hAnsi="Verdana" w:cs="Arial"/>
          <w:sz w:val="16"/>
          <w:szCs w:val="16"/>
        </w:rPr>
        <w:t xml:space="preserve">, y </w:t>
      </w:r>
      <w:r w:rsidRPr="00432ABC">
        <w:rPr>
          <w:rFonts w:ascii="Verdana" w:hAnsi="Verdana"/>
          <w:sz w:val="16"/>
          <w:szCs w:val="16"/>
        </w:rPr>
        <w:t xml:space="preserve">Declaración rendida por Rosa Olivia Alvarado Herrera el 18 de abril de 2018, </w:t>
      </w:r>
      <w:r w:rsidRPr="00432ABC">
        <w:rPr>
          <w:rFonts w:ascii="Verdana" w:hAnsi="Verdana"/>
          <w:i/>
          <w:sz w:val="16"/>
          <w:szCs w:val="16"/>
        </w:rPr>
        <w:t>supra</w:t>
      </w:r>
      <w:r>
        <w:rPr>
          <w:rFonts w:ascii="Verdana" w:hAnsi="Verdana"/>
          <w:sz w:val="16"/>
          <w:szCs w:val="16"/>
        </w:rPr>
        <w:t xml:space="preserve"> (expediente de prueba, </w:t>
      </w:r>
      <w:r w:rsidRPr="00432ABC">
        <w:rPr>
          <w:rFonts w:ascii="Verdana" w:hAnsi="Verdana"/>
          <w:sz w:val="16"/>
          <w:szCs w:val="16"/>
        </w:rPr>
        <w:t>f. 30923</w:t>
      </w:r>
      <w:r>
        <w:rPr>
          <w:rFonts w:ascii="Verdana" w:hAnsi="Verdana"/>
          <w:sz w:val="16"/>
          <w:szCs w:val="16"/>
        </w:rPr>
        <w:t>)</w:t>
      </w:r>
      <w:r w:rsidRPr="00432ABC">
        <w:rPr>
          <w:rFonts w:ascii="Verdana" w:hAnsi="Verdana" w:cs="Arial"/>
          <w:sz w:val="16"/>
          <w:szCs w:val="16"/>
        </w:rPr>
        <w:t xml:space="preserve">. </w:t>
      </w:r>
    </w:p>
  </w:footnote>
  <w:footnote w:id="187">
    <w:p w14:paraId="64AA61E9" w14:textId="2FDFDA60" w:rsidR="00146958" w:rsidRPr="00432ABC" w:rsidRDefault="00146958">
      <w:pPr>
        <w:pStyle w:val="Textonotapie"/>
        <w:jc w:val="both"/>
        <w:rPr>
          <w:rFonts w:ascii="Verdana" w:hAnsi="Verdana" w:cs="Arial"/>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Declaración de Mar</w:t>
      </w:r>
      <w:r w:rsidRPr="002C462C">
        <w:rPr>
          <w:rFonts w:ascii="Verdana" w:hAnsi="Verdana" w:cs="Arial"/>
          <w:sz w:val="16"/>
          <w:szCs w:val="16"/>
        </w:rPr>
        <w:t xml:space="preserve">ía de Jesús Alvarado Espinoza rendida el 14 de enero de 2010 ante la CNDH dentro del </w:t>
      </w:r>
      <w:r w:rsidRPr="002C462C">
        <w:rPr>
          <w:rFonts w:ascii="Verdana" w:hAnsi="Verdana"/>
          <w:sz w:val="16"/>
          <w:szCs w:val="16"/>
        </w:rPr>
        <w:t>Acta Circunstanciada CNDH/2/2010/108/Q (expediente de prueba, f</w:t>
      </w:r>
      <w:r w:rsidRPr="00432ABC">
        <w:rPr>
          <w:rFonts w:ascii="Verdana" w:hAnsi="Verdana"/>
          <w:sz w:val="16"/>
          <w:szCs w:val="16"/>
        </w:rPr>
        <w:t xml:space="preserve">f.311 a 312). </w:t>
      </w:r>
      <w:r w:rsidRPr="00CD5C54">
        <w:rPr>
          <w:rFonts w:ascii="Verdana" w:hAnsi="Verdana"/>
          <w:i/>
          <w:sz w:val="16"/>
          <w:szCs w:val="16"/>
        </w:rPr>
        <w:t>Cfr.</w:t>
      </w:r>
      <w:r w:rsidRPr="00432ABC">
        <w:rPr>
          <w:rFonts w:ascii="Verdana" w:hAnsi="Verdana"/>
          <w:sz w:val="16"/>
          <w:szCs w:val="16"/>
        </w:rPr>
        <w:t xml:space="preserve"> Declaración rendida</w:t>
      </w:r>
      <w:r>
        <w:rPr>
          <w:rFonts w:ascii="Verdana" w:hAnsi="Verdana"/>
          <w:sz w:val="16"/>
          <w:szCs w:val="16"/>
        </w:rPr>
        <w:t xml:space="preserve"> en la Audiencia Pública ante la Corte </w:t>
      </w:r>
      <w:r w:rsidRPr="00432ABC">
        <w:rPr>
          <w:rFonts w:ascii="Verdana" w:hAnsi="Verdana"/>
          <w:sz w:val="16"/>
          <w:szCs w:val="16"/>
        </w:rPr>
        <w:t xml:space="preserve">por María de Jesús Alvarado Espinoza, </w:t>
      </w:r>
      <w:r w:rsidRPr="00432ABC">
        <w:rPr>
          <w:rFonts w:ascii="Verdana" w:hAnsi="Verdana"/>
          <w:i/>
          <w:sz w:val="16"/>
          <w:szCs w:val="16"/>
        </w:rPr>
        <w:t>supra,</w:t>
      </w:r>
      <w:r w:rsidRPr="00432ABC">
        <w:rPr>
          <w:rFonts w:ascii="Verdana" w:hAnsi="Verdana"/>
          <w:sz w:val="16"/>
          <w:szCs w:val="16"/>
        </w:rPr>
        <w:t xml:space="preserve"> pág. 7. </w:t>
      </w:r>
    </w:p>
  </w:footnote>
  <w:footnote w:id="188">
    <w:p w14:paraId="64AA61EA" w14:textId="699AE3C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María de Jesús Alvarado Espinoza rendida el 14 de enero de 2010 ante la CNDH, </w:t>
      </w:r>
      <w:r w:rsidRPr="008D0846">
        <w:rPr>
          <w:rFonts w:ascii="Verdana" w:hAnsi="Verdana"/>
          <w:sz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ff. 311 a 312</w:t>
      </w:r>
      <w:r>
        <w:rPr>
          <w:rFonts w:ascii="Verdana" w:hAnsi="Verdana"/>
          <w:sz w:val="16"/>
          <w:szCs w:val="16"/>
        </w:rPr>
        <w:t>)</w:t>
      </w:r>
      <w:r w:rsidRPr="00432ABC">
        <w:rPr>
          <w:rFonts w:ascii="Verdana" w:hAnsi="Verdana"/>
          <w:sz w:val="16"/>
          <w:szCs w:val="16"/>
        </w:rPr>
        <w:t>, y Declaración rendida</w:t>
      </w:r>
      <w:r>
        <w:rPr>
          <w:rFonts w:ascii="Verdana" w:hAnsi="Verdana"/>
          <w:sz w:val="16"/>
          <w:szCs w:val="16"/>
        </w:rPr>
        <w:t xml:space="preserve"> en la Audiencia Pública ante la Corte</w:t>
      </w:r>
      <w:r w:rsidRPr="00432ABC">
        <w:rPr>
          <w:rFonts w:ascii="Verdana" w:hAnsi="Verdana"/>
          <w:sz w:val="16"/>
          <w:szCs w:val="16"/>
        </w:rPr>
        <w:t xml:space="preserve"> por María de Jesús Alvarado Espinoza, </w:t>
      </w:r>
      <w:r w:rsidRPr="00432ABC">
        <w:rPr>
          <w:rFonts w:ascii="Verdana" w:hAnsi="Verdana"/>
          <w:i/>
          <w:sz w:val="16"/>
          <w:szCs w:val="16"/>
        </w:rPr>
        <w:t>supra</w:t>
      </w:r>
      <w:r w:rsidRPr="00432ABC">
        <w:rPr>
          <w:rFonts w:ascii="Verdana" w:hAnsi="Verdana"/>
          <w:sz w:val="16"/>
          <w:szCs w:val="16"/>
        </w:rPr>
        <w:t xml:space="preserve">, pág. 7.  No obstante lo señalado por María de Jesús Alvarado, Aarón Enríquez Duarte en sus declaraciones de 24 de mayo de 2010, 25 de octubre de 2010 y 16 de abril de 2018 negó haber afirmado que tuviera conocimiento o le constara que las tres personas desaparecidas se encontraban detenidas en el 35 Batallón de Infantería y que dado que María de Jesús Alvarado y Patricia Reyes Rueda fueron quienes al momento de acudir a presentar su denuncia le manifestaron que sus familiares habían sido detenidos por personas vestidas “como militares”, únicamente les había “sugerido u orientado” que acudieran a preguntar a dichas instalaciones, “[lo cual es] una manifestación muy diferente a una afirmación o aseveración de tal hecho”. </w:t>
      </w:r>
      <w:r w:rsidRPr="00CD5C54">
        <w:rPr>
          <w:rFonts w:ascii="Verdana" w:hAnsi="Verdana"/>
          <w:i/>
          <w:sz w:val="16"/>
          <w:szCs w:val="16"/>
        </w:rPr>
        <w:t>Cfr.</w:t>
      </w:r>
      <w:r w:rsidRPr="00432ABC">
        <w:rPr>
          <w:rFonts w:ascii="Verdana" w:hAnsi="Verdana"/>
          <w:sz w:val="16"/>
          <w:szCs w:val="16"/>
        </w:rPr>
        <w:t xml:space="preserve"> Declaraciones de Aarón </w:t>
      </w:r>
      <w:r w:rsidRPr="00432ABC">
        <w:rPr>
          <w:rFonts w:ascii="Verdana" w:hAnsi="Verdana" w:cs="Arial"/>
          <w:sz w:val="16"/>
          <w:szCs w:val="16"/>
        </w:rPr>
        <w:t xml:space="preserve">Enríquez Duarte rendidas el 24 de mayo de 2010 ante el AMPM – 5ªZM (expediente de prueba, f. 28031.); el 25 de octubre de 2010 ante la FEVIMTRA – PGR (expediente de prueba, f. 28036), y el 16 de abril de 2018 ante la FEIDDF - PGR (expediente de prueba, </w:t>
      </w:r>
      <w:r w:rsidRPr="00453199">
        <w:rPr>
          <w:rFonts w:ascii="Verdana" w:hAnsi="Verdana" w:cs="Arial"/>
          <w:i/>
          <w:sz w:val="16"/>
          <w:szCs w:val="16"/>
        </w:rPr>
        <w:t>Affidávits</w:t>
      </w:r>
      <w:r w:rsidRPr="00432ABC">
        <w:rPr>
          <w:rFonts w:ascii="Verdana" w:hAnsi="Verdana" w:cs="Arial"/>
          <w:sz w:val="16"/>
          <w:szCs w:val="16"/>
        </w:rPr>
        <w:t>, f. 31177).</w:t>
      </w:r>
    </w:p>
  </w:footnote>
  <w:footnote w:id="189">
    <w:p w14:paraId="64AA61EB" w14:textId="4F93422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Relación de hechos realizada por María de Jesús Alvar</w:t>
      </w:r>
      <w:r w:rsidRPr="00432ABC">
        <w:rPr>
          <w:rFonts w:ascii="Verdana" w:hAnsi="Verdana"/>
          <w:sz w:val="16"/>
          <w:szCs w:val="16"/>
        </w:rPr>
        <w:t xml:space="preserve">ado Espinoza el 19 de febrero de 2010 ante la UPDDH - SEGOB,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f. 317</w:t>
      </w:r>
      <w:r>
        <w:rPr>
          <w:rFonts w:ascii="Verdana" w:hAnsi="Verdana"/>
          <w:sz w:val="16"/>
          <w:szCs w:val="16"/>
        </w:rPr>
        <w:t>)</w:t>
      </w:r>
      <w:r w:rsidRPr="00432ABC">
        <w:rPr>
          <w:rFonts w:ascii="Verdana" w:hAnsi="Verdana"/>
          <w:sz w:val="16"/>
          <w:szCs w:val="16"/>
        </w:rPr>
        <w:t xml:space="preserve">. </w:t>
      </w:r>
      <w:r w:rsidRPr="00CD5C54">
        <w:rPr>
          <w:rFonts w:ascii="Verdana" w:hAnsi="Verdana"/>
          <w:i/>
          <w:sz w:val="16"/>
          <w:szCs w:val="16"/>
        </w:rPr>
        <w:t>Cfr.</w:t>
      </w:r>
      <w:r w:rsidRPr="00432ABC">
        <w:rPr>
          <w:rFonts w:ascii="Verdana" w:hAnsi="Verdana"/>
          <w:sz w:val="16"/>
          <w:szCs w:val="16"/>
        </w:rPr>
        <w:t xml:space="preserve"> Declaración rendida </w:t>
      </w:r>
      <w:r>
        <w:rPr>
          <w:rFonts w:ascii="Verdana" w:hAnsi="Verdana"/>
          <w:sz w:val="16"/>
          <w:szCs w:val="16"/>
        </w:rPr>
        <w:t xml:space="preserve">en la Audiencia Pública ante la Corte </w:t>
      </w:r>
      <w:r w:rsidRPr="00432ABC">
        <w:rPr>
          <w:rFonts w:ascii="Verdana" w:hAnsi="Verdana"/>
          <w:sz w:val="16"/>
          <w:szCs w:val="16"/>
        </w:rPr>
        <w:t xml:space="preserve">por María de Jesús Alvarado Espinoza, </w:t>
      </w:r>
      <w:r w:rsidRPr="00432ABC">
        <w:rPr>
          <w:rFonts w:ascii="Verdana" w:hAnsi="Verdana"/>
          <w:i/>
          <w:sz w:val="16"/>
          <w:szCs w:val="16"/>
        </w:rPr>
        <w:t>supra,</w:t>
      </w:r>
      <w:r w:rsidRPr="00432ABC">
        <w:rPr>
          <w:rFonts w:ascii="Verdana" w:hAnsi="Verdana"/>
          <w:sz w:val="16"/>
          <w:szCs w:val="16"/>
        </w:rPr>
        <w:t xml:space="preserve"> págs. 7 y 18.</w:t>
      </w:r>
    </w:p>
  </w:footnote>
  <w:footnote w:id="190">
    <w:p w14:paraId="64AA61EC" w14:textId="3DB49AC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Relación de hechos realizada por María de Jesús </w:t>
      </w:r>
      <w:r w:rsidRPr="00432ABC">
        <w:rPr>
          <w:rFonts w:ascii="Verdana" w:hAnsi="Verdana"/>
          <w:sz w:val="16"/>
          <w:szCs w:val="16"/>
        </w:rPr>
        <w:t xml:space="preserve">Alvarado Espinoza el 19 de febrero de 2010,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f. 317</w:t>
      </w:r>
      <w:r>
        <w:rPr>
          <w:rFonts w:ascii="Verdana" w:hAnsi="Verdana"/>
          <w:sz w:val="16"/>
          <w:szCs w:val="16"/>
        </w:rPr>
        <w:t>)</w:t>
      </w:r>
      <w:r w:rsidRPr="00432ABC">
        <w:rPr>
          <w:rFonts w:ascii="Verdana" w:hAnsi="Verdana"/>
          <w:sz w:val="16"/>
          <w:szCs w:val="16"/>
        </w:rPr>
        <w:t xml:space="preserve">. Por su parte, el 10 de junio de 2010 el titular Jesús Durazo Hoyos declaró ante la FEVIMTRA - PGR que cuando tomó la comparecencia de María de Jesús Alvarado Espinoza y Patricia Reyes Rueda no recibió comentario alguno de sus secretarias o secretarios con relación a las tres personas desaparecidas ni manifestaron que tuvieran conocimiento de su paradero. También negó haber hecho algún comentario sobre la camioneta de la cual fue sustraída Nitza Paola Alvarado el día de su detención o haber recibido de dicho personal cualquier comentario al respecto. </w:t>
      </w:r>
      <w:r w:rsidRPr="00CD5C54">
        <w:rPr>
          <w:rFonts w:ascii="Verdana" w:hAnsi="Verdana"/>
          <w:i/>
          <w:sz w:val="16"/>
          <w:szCs w:val="16"/>
        </w:rPr>
        <w:t>Cfr.</w:t>
      </w:r>
      <w:r w:rsidRPr="00432ABC">
        <w:rPr>
          <w:rFonts w:ascii="Verdana" w:hAnsi="Verdana"/>
          <w:sz w:val="16"/>
          <w:szCs w:val="16"/>
        </w:rPr>
        <w:t xml:space="preserve"> Declaración de Jesús Durazo Hoyos rendida el 10 de junio de 2010 ante el SCM de la FEVIMTRA – PGR (expediente de prueba, f. 28041).</w:t>
      </w:r>
    </w:p>
  </w:footnote>
  <w:footnote w:id="191">
    <w:p w14:paraId="64AA61ED" w14:textId="7CDE125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Denuncia de hechos presentada por la CNDH en el marco de la Recomendación 43/2011 el 9 de septiembre de 2011 emitida por la CNDH (expediente de prueba, f. 332), y  Declaración rendida</w:t>
      </w:r>
      <w:r>
        <w:rPr>
          <w:rFonts w:ascii="Verdana" w:hAnsi="Verdana"/>
          <w:sz w:val="16"/>
          <w:szCs w:val="16"/>
        </w:rPr>
        <w:t xml:space="preserve"> en la Audiencia Pública</w:t>
      </w:r>
      <w:r w:rsidRPr="002C462C">
        <w:rPr>
          <w:rFonts w:ascii="Verdana" w:hAnsi="Verdana"/>
          <w:sz w:val="16"/>
          <w:szCs w:val="16"/>
        </w:rPr>
        <w:t xml:space="preserve"> ante l</w:t>
      </w:r>
      <w:r w:rsidRPr="00432ABC">
        <w:rPr>
          <w:rFonts w:ascii="Verdana" w:hAnsi="Verdana"/>
          <w:sz w:val="16"/>
          <w:szCs w:val="16"/>
        </w:rPr>
        <w:t xml:space="preserve">a Corte por Jaime Alvarado Herrera, </w:t>
      </w:r>
      <w:r w:rsidRPr="00432ABC">
        <w:rPr>
          <w:rFonts w:ascii="Verdana" w:hAnsi="Verdana"/>
          <w:i/>
          <w:sz w:val="16"/>
          <w:szCs w:val="16"/>
        </w:rPr>
        <w:t xml:space="preserve">supra, </w:t>
      </w:r>
      <w:r w:rsidRPr="00432ABC">
        <w:rPr>
          <w:rFonts w:ascii="Verdana" w:hAnsi="Verdana"/>
          <w:sz w:val="16"/>
          <w:szCs w:val="16"/>
        </w:rPr>
        <w:t>pág. 12. Al respecto, el 9 de junio de 2010 Hora</w:t>
      </w:r>
      <w:r>
        <w:rPr>
          <w:rFonts w:ascii="Verdana" w:hAnsi="Verdana"/>
          <w:sz w:val="16"/>
          <w:szCs w:val="16"/>
        </w:rPr>
        <w:t>s</w:t>
      </w:r>
      <w:r w:rsidRPr="00432ABC">
        <w:rPr>
          <w:rFonts w:ascii="Verdana" w:hAnsi="Verdana"/>
          <w:sz w:val="16"/>
          <w:szCs w:val="16"/>
        </w:rPr>
        <w:t xml:space="preserve">io Flores Martínez, agente la Policía Ministerial adscrito a Nuevo Casas Grandes al momento de los hechos, declaró ante la FEVIMTRA – PGR que sin recordar la fecha exacta familiares de los tres desaparecidos acudieron a dicha agencia del MPF para preguntar si éstos habían estado detenidos en dicha corporación y por qué se encontraba asegurada allí la camioneta de Nitza Paola Alvarado. Agregó que fue él quien los atendió personalmente y respondió a los familiares que la razón por la cual había sido asegurado tal vehículo era “porque se había recibido una llamada del radio operador en turno  en el sentido de que este vehículo se encontraba abandonado en el poblado de Benito Juárez”, que los tres desaparecidos no habían estado detenidos en dicha agencia y que no contaba con información acerca de su paradero. </w:t>
      </w:r>
      <w:r w:rsidRPr="00CD5C54">
        <w:rPr>
          <w:rFonts w:ascii="Verdana" w:hAnsi="Verdana"/>
          <w:i/>
          <w:sz w:val="16"/>
          <w:szCs w:val="16"/>
        </w:rPr>
        <w:t>Cfr.</w:t>
      </w:r>
      <w:r w:rsidRPr="00432ABC">
        <w:rPr>
          <w:rFonts w:ascii="Verdana" w:hAnsi="Verdana"/>
          <w:sz w:val="16"/>
          <w:szCs w:val="16"/>
        </w:rPr>
        <w:t xml:space="preserve"> Declaración de Hor</w:t>
      </w:r>
      <w:r>
        <w:rPr>
          <w:rFonts w:ascii="Verdana" w:hAnsi="Verdana"/>
          <w:sz w:val="16"/>
          <w:szCs w:val="16"/>
        </w:rPr>
        <w:t>as</w:t>
      </w:r>
      <w:r w:rsidRPr="00432ABC">
        <w:rPr>
          <w:rFonts w:ascii="Verdana" w:hAnsi="Verdana"/>
          <w:sz w:val="16"/>
          <w:szCs w:val="16"/>
        </w:rPr>
        <w:t>io Flores Martínez rendida el 9 de junio de 2010 ante SMC de la FEVIMTRA (expediente de prueba, ff. 28078 a 28079</w:t>
      </w:r>
      <w:r>
        <w:rPr>
          <w:rFonts w:ascii="Verdana" w:hAnsi="Verdana"/>
          <w:sz w:val="16"/>
          <w:szCs w:val="16"/>
        </w:rPr>
        <w:t>)</w:t>
      </w:r>
      <w:r w:rsidRPr="00432ABC">
        <w:rPr>
          <w:rFonts w:ascii="Verdana" w:hAnsi="Verdana"/>
          <w:sz w:val="16"/>
          <w:szCs w:val="16"/>
        </w:rPr>
        <w:t>.</w:t>
      </w:r>
    </w:p>
  </w:footnote>
  <w:footnote w:id="192">
    <w:p w14:paraId="64AA61EE" w14:textId="2F2F589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testimonial de Alberto Hernández de la Cruz rendida el 5 de febrero de 2010 ante el AMPM, citada en la Resolución de Segunda Instancia relativo al </w:t>
      </w:r>
      <w:r w:rsidRPr="00432ABC">
        <w:rPr>
          <w:rFonts w:ascii="Verdana" w:hAnsi="Verdana"/>
          <w:sz w:val="16"/>
          <w:szCs w:val="16"/>
        </w:rPr>
        <w:t>Toca de Apelación 61/2010 emitida por el Supremo Tribunal Militar el 20 de diciembre de 2010 (expediente de prueba, f. 28105).</w:t>
      </w:r>
      <w:r w:rsidRPr="00432ABC">
        <w:rPr>
          <w:rFonts w:ascii="Verdana" w:hAnsi="Verdana"/>
          <w:i/>
          <w:sz w:val="16"/>
          <w:szCs w:val="16"/>
        </w:rPr>
        <w:t xml:space="preserve"> </w:t>
      </w:r>
    </w:p>
  </w:footnote>
  <w:footnote w:id="193">
    <w:p w14:paraId="64AA61EF" w14:textId="0F436DE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testimonial de Alberto Hernández de la Cruz rendida el 5 de febrero </w:t>
      </w:r>
      <w:r w:rsidRPr="00432ABC">
        <w:rPr>
          <w:rFonts w:ascii="Verdana" w:hAnsi="Verdana"/>
          <w:sz w:val="16"/>
          <w:szCs w:val="16"/>
        </w:rPr>
        <w:t xml:space="preserve">de 2010 ante el AMPM, </w:t>
      </w:r>
      <w:r w:rsidRPr="00432ABC">
        <w:rPr>
          <w:rFonts w:ascii="Verdana" w:hAnsi="Verdana"/>
          <w:i/>
          <w:sz w:val="16"/>
          <w:szCs w:val="16"/>
        </w:rPr>
        <w:t>supra</w:t>
      </w:r>
      <w:r>
        <w:rPr>
          <w:rFonts w:ascii="Verdana" w:hAnsi="Verdana"/>
          <w:sz w:val="16"/>
          <w:szCs w:val="16"/>
        </w:rPr>
        <w:t xml:space="preserve"> (expediente de prueba, </w:t>
      </w:r>
      <w:r w:rsidRPr="00432ABC">
        <w:rPr>
          <w:rFonts w:ascii="Verdana" w:hAnsi="Verdana"/>
          <w:sz w:val="16"/>
          <w:szCs w:val="16"/>
        </w:rPr>
        <w:t>f. 28105</w:t>
      </w:r>
      <w:r>
        <w:rPr>
          <w:rFonts w:ascii="Verdana" w:hAnsi="Verdana"/>
          <w:sz w:val="16"/>
          <w:szCs w:val="16"/>
        </w:rPr>
        <w:t>)</w:t>
      </w:r>
      <w:r w:rsidRPr="00432ABC">
        <w:rPr>
          <w:rFonts w:ascii="Verdana" w:hAnsi="Verdana"/>
          <w:sz w:val="16"/>
          <w:szCs w:val="16"/>
        </w:rPr>
        <w:t>.</w:t>
      </w:r>
    </w:p>
  </w:footnote>
  <w:footnote w:id="194">
    <w:p w14:paraId="64AA61F0" w14:textId="25E60BA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Con relación a estos hechos, el Juzgado 5º Militar adscrito a la I Región Militar inició el 22 de febrero de 2010 la Causa Penal 141/2010 en contra de Mauricio Isabel Altamirano, Subteniente de Infantería, así com</w:t>
      </w:r>
      <w:r w:rsidRPr="002C462C">
        <w:rPr>
          <w:rFonts w:ascii="Verdana" w:hAnsi="Verdana"/>
          <w:sz w:val="16"/>
          <w:szCs w:val="16"/>
        </w:rPr>
        <w:t>o de otros elementos castrenses del 35 Batallón al mando del Coronel Élfego José Luján Ruiz por su probable participación en la tortura, homicidio e inhumación clandestina de los civiles Jorge Alejandro Yáñez Molina y Jesús Alberto Campos Moreno ocurridas e</w:t>
      </w:r>
      <w:r w:rsidRPr="00432ABC">
        <w:rPr>
          <w:rFonts w:ascii="Verdana" w:hAnsi="Verdana"/>
          <w:sz w:val="16"/>
          <w:szCs w:val="16"/>
        </w:rPr>
        <w:t xml:space="preserve">l 18 de octubre de 2009. Dentro de la investigación de estos hechos en la jurisdicción militar, el Sargento Primero Conductor Alberto Hernández de la Cruz rindió su testimonio y señaló la supuesta participación de elementos de dicha Unidad militar y del Coronel Luján Ruiz en la venta ilegal de bienes asegurados al crimen organizado y que “[s]e enter[ó] que en el poblado Benito Juárez levantaron [sic, privaron de la libertad] a una mujer inválida y a un hombre” (expediente de prueba, </w:t>
      </w:r>
      <w:r>
        <w:rPr>
          <w:rFonts w:ascii="Verdana" w:hAnsi="Verdana"/>
          <w:sz w:val="16"/>
          <w:szCs w:val="16"/>
        </w:rPr>
        <w:t>e</w:t>
      </w:r>
      <w:r w:rsidRPr="00432ABC">
        <w:rPr>
          <w:rFonts w:ascii="Verdana" w:hAnsi="Verdana"/>
          <w:sz w:val="16"/>
          <w:szCs w:val="16"/>
        </w:rPr>
        <w:t>xpediente penal, ff. 7774 a 7775; 7780 a 7785, y 7872 a 7877).</w:t>
      </w:r>
    </w:p>
  </w:footnote>
  <w:footnote w:id="195">
    <w:p w14:paraId="64AA61F1" w14:textId="13D9631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Resolución de Segunda Instancia relativo al Toca de Apelación 61/2010 emitida por el Supremo Tribunal Militar el 20 de diciembre de 2010 (expediente de prueba, </w:t>
      </w:r>
      <w:r>
        <w:rPr>
          <w:rFonts w:ascii="Verdana" w:hAnsi="Verdana"/>
          <w:sz w:val="16"/>
          <w:szCs w:val="16"/>
        </w:rPr>
        <w:t>e</w:t>
      </w:r>
      <w:r w:rsidRPr="002C462C">
        <w:rPr>
          <w:rFonts w:ascii="Verdana" w:hAnsi="Verdana"/>
          <w:sz w:val="16"/>
          <w:szCs w:val="16"/>
        </w:rPr>
        <w:t>xpediente penal, f. 787</w:t>
      </w:r>
      <w:r w:rsidRPr="00432ABC">
        <w:rPr>
          <w:rFonts w:ascii="Verdana" w:hAnsi="Verdana"/>
          <w:sz w:val="16"/>
          <w:szCs w:val="16"/>
        </w:rPr>
        <w:t xml:space="preserve">7). </w:t>
      </w:r>
    </w:p>
  </w:footnote>
  <w:footnote w:id="196">
    <w:p w14:paraId="64AA61F2" w14:textId="69B2516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testimonial de Alberto Hernández de la Cruz rendida el 13 de abril de 2011 ante el AMPM adscrito a la Sección de Averiguaciones Previas de la PGJM en la Ciudad de México (expediente de prueba, </w:t>
      </w:r>
      <w:r>
        <w:rPr>
          <w:rFonts w:ascii="Verdana" w:hAnsi="Verdana"/>
          <w:sz w:val="16"/>
          <w:szCs w:val="16"/>
        </w:rPr>
        <w:t>e</w:t>
      </w:r>
      <w:r w:rsidRPr="002C462C">
        <w:rPr>
          <w:rFonts w:ascii="Verdana" w:hAnsi="Verdana"/>
          <w:sz w:val="16"/>
          <w:szCs w:val="16"/>
        </w:rPr>
        <w:t xml:space="preserve">xpediente penal, ff. 8327 a </w:t>
      </w:r>
      <w:r w:rsidRPr="00432ABC">
        <w:rPr>
          <w:rFonts w:ascii="Verdana" w:hAnsi="Verdana"/>
          <w:sz w:val="16"/>
          <w:szCs w:val="16"/>
        </w:rPr>
        <w:t>8332).</w:t>
      </w:r>
    </w:p>
  </w:footnote>
  <w:footnote w:id="197">
    <w:p w14:paraId="64AA61F3" w14:textId="4C85B2E1"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Alberto Hernández de la Cruz rendida el 30 de junio de 2014 ante la UEBPD – PGR (expediente de prueba, f. 28111).</w:t>
      </w:r>
    </w:p>
  </w:footnote>
  <w:footnote w:id="198">
    <w:p w14:paraId="64AA61F4" w14:textId="362CE458"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Pliego de consignación sin detenido de la Averiguación Previa No. A</w:t>
      </w:r>
      <w:r w:rsidRPr="002C462C">
        <w:rPr>
          <w:rFonts w:ascii="Verdana" w:hAnsi="Verdana"/>
          <w:sz w:val="16"/>
          <w:szCs w:val="16"/>
        </w:rPr>
        <w:t>P/PGR/SDHAVSC/M5/66/2013 de 31 de marzo de 2014 (expediente de prueba, f. 372).</w:t>
      </w:r>
    </w:p>
  </w:footnote>
  <w:footnote w:id="199">
    <w:p w14:paraId="64AA61F5" w14:textId="7D9FDB4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Declaración de Argene Blásquez Morales rendida el 30 de marzo de 2011 ante el AMPM Auxiliar adscrito a la Cuarta Zona Militar (expedien</w:t>
      </w:r>
      <w:r w:rsidRPr="00432ABC">
        <w:rPr>
          <w:rFonts w:ascii="Verdana" w:hAnsi="Verdana"/>
          <w:sz w:val="16"/>
          <w:szCs w:val="16"/>
        </w:rPr>
        <w:t>te de prueba, f. 28017).</w:t>
      </w:r>
    </w:p>
  </w:footnote>
  <w:footnote w:id="200">
    <w:p w14:paraId="64AA61F6" w14:textId="19BE090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Declaración de Ramón Iván Sotomayor Siller rendida el 12 de marzo de 2010 ante el AMPM – 5ªZM (expediente de prueba, f. 28024).</w:t>
      </w:r>
    </w:p>
  </w:footnote>
  <w:footnote w:id="201">
    <w:p w14:paraId="64AA61F7" w14:textId="18B0639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w:t>
      </w:r>
      <w:r w:rsidRPr="00432ABC">
        <w:rPr>
          <w:rFonts w:ascii="Verdana" w:hAnsi="Verdana"/>
          <w:sz w:val="16"/>
          <w:szCs w:val="16"/>
        </w:rPr>
        <w:t>testimonial de Damaris Baglietto Hernández rendida el 12 de marzo de 2010 ante el AMPM – 5ªZM (expediente de prueba, f. 28699).</w:t>
      </w:r>
    </w:p>
  </w:footnote>
  <w:footnote w:id="202">
    <w:p w14:paraId="64AA61F8" w14:textId="1E0FC4F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SSP ”C” 22/2010 de 21 de enero de 2010 suscrito por Damaris Baglietto</w:t>
      </w:r>
      <w:r w:rsidRPr="00432ABC">
        <w:rPr>
          <w:rFonts w:ascii="Verdana" w:hAnsi="Verdana"/>
          <w:sz w:val="16"/>
          <w:szCs w:val="16"/>
        </w:rPr>
        <w:t xml:space="preserve"> Hernández, Subdelegada de Procedimientos “C” de la PGR – Chihuahua, dirigido al Comandante de la 5ªZM en Chihuahua (expediente de prueba, </w:t>
      </w:r>
      <w:r>
        <w:rPr>
          <w:rFonts w:ascii="Verdana" w:hAnsi="Verdana"/>
          <w:sz w:val="16"/>
          <w:szCs w:val="16"/>
        </w:rPr>
        <w:t>e</w:t>
      </w:r>
      <w:r w:rsidRPr="00432ABC">
        <w:rPr>
          <w:rFonts w:ascii="Verdana" w:hAnsi="Verdana"/>
          <w:sz w:val="16"/>
          <w:szCs w:val="16"/>
        </w:rPr>
        <w:t xml:space="preserve">xpediente penal, f. 5885). </w:t>
      </w:r>
    </w:p>
  </w:footnote>
  <w:footnote w:id="203">
    <w:p w14:paraId="64AA61F9" w14:textId="30F0DCB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Mensaje S.I.I.O. de 21 de enero de 2010 suscrito por el Comandante del</w:t>
      </w:r>
      <w:r w:rsidRPr="00432ABC">
        <w:rPr>
          <w:rFonts w:ascii="Verdana" w:hAnsi="Verdana"/>
          <w:sz w:val="16"/>
          <w:szCs w:val="16"/>
        </w:rPr>
        <w:t xml:space="preserve"> 35 Batallón de Infantería, dirigido al Comandante de la 5ªZM (expediente de prueba, </w:t>
      </w:r>
      <w:r>
        <w:rPr>
          <w:rFonts w:ascii="Verdana" w:hAnsi="Verdana"/>
          <w:sz w:val="16"/>
          <w:szCs w:val="16"/>
        </w:rPr>
        <w:t>e</w:t>
      </w:r>
      <w:r w:rsidRPr="00432ABC">
        <w:rPr>
          <w:rFonts w:ascii="Verdana" w:hAnsi="Verdana"/>
          <w:sz w:val="16"/>
          <w:szCs w:val="16"/>
        </w:rPr>
        <w:t xml:space="preserve">xpediente </w:t>
      </w:r>
      <w:r>
        <w:rPr>
          <w:rFonts w:ascii="Verdana" w:hAnsi="Verdana"/>
          <w:sz w:val="16"/>
          <w:szCs w:val="16"/>
        </w:rPr>
        <w:t>p</w:t>
      </w:r>
      <w:r w:rsidRPr="00432ABC">
        <w:rPr>
          <w:rFonts w:ascii="Verdana" w:hAnsi="Verdana"/>
          <w:sz w:val="16"/>
          <w:szCs w:val="16"/>
        </w:rPr>
        <w:t xml:space="preserve">enal, f. 5607); Oficio No. SSP “C” 22/2010 de 21 de enero de 2010 suscrito por Damaris Baglietto Hernández dirigido al Comandante de la 5ªZM en Chihuahua, </w:t>
      </w:r>
      <w:r w:rsidRPr="009B6C7B">
        <w:rPr>
          <w:rFonts w:ascii="Verdana" w:hAnsi="Verdana"/>
          <w:i/>
          <w:sz w:val="16"/>
        </w:rPr>
        <w:t>supr</w:t>
      </w:r>
      <w:r w:rsidRPr="0061057A">
        <w:rPr>
          <w:rFonts w:ascii="Verdana" w:hAnsi="Verdana"/>
          <w:i/>
          <w:sz w:val="16"/>
        </w:rPr>
        <w:t>a</w:t>
      </w:r>
      <w:r>
        <w:rPr>
          <w:rFonts w:ascii="Verdana" w:hAnsi="Verdana"/>
          <w:i/>
          <w:sz w:val="16"/>
          <w:szCs w:val="16"/>
        </w:rPr>
        <w:t xml:space="preserve"> </w:t>
      </w:r>
      <w:r>
        <w:rPr>
          <w:rFonts w:ascii="Verdana" w:hAnsi="Verdana"/>
          <w:sz w:val="16"/>
          <w:szCs w:val="16"/>
        </w:rPr>
        <w:t>(expediente de prueba, expediente penal,</w:t>
      </w:r>
      <w:r w:rsidRPr="00432ABC">
        <w:rPr>
          <w:rFonts w:ascii="Verdana" w:hAnsi="Verdana"/>
          <w:i/>
          <w:sz w:val="16"/>
          <w:szCs w:val="16"/>
        </w:rPr>
        <w:t xml:space="preserve"> </w:t>
      </w:r>
      <w:r w:rsidRPr="00432ABC">
        <w:rPr>
          <w:rFonts w:ascii="Verdana" w:hAnsi="Verdana"/>
          <w:sz w:val="16"/>
          <w:szCs w:val="16"/>
        </w:rPr>
        <w:t>f. 5885</w:t>
      </w:r>
      <w:r>
        <w:rPr>
          <w:rFonts w:ascii="Verdana" w:hAnsi="Verdana"/>
          <w:sz w:val="16"/>
          <w:szCs w:val="16"/>
        </w:rPr>
        <w:t>)</w:t>
      </w:r>
      <w:r w:rsidRPr="00432ABC">
        <w:rPr>
          <w:rFonts w:ascii="Verdana" w:hAnsi="Verdana"/>
          <w:sz w:val="16"/>
          <w:szCs w:val="16"/>
        </w:rPr>
        <w:t xml:space="preserve">, y Declaración testimonial de Damaris Baglietto Hernández rendida el 12 de marzo de 2010 ante el AMPM – 5ªZM,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ff. 28699 a 28700</w:t>
      </w:r>
      <w:r>
        <w:rPr>
          <w:rFonts w:ascii="Verdana" w:hAnsi="Verdana"/>
          <w:sz w:val="16"/>
          <w:szCs w:val="16"/>
        </w:rPr>
        <w:t>)</w:t>
      </w:r>
      <w:r w:rsidRPr="00432ABC">
        <w:rPr>
          <w:rFonts w:ascii="Verdana" w:hAnsi="Verdana"/>
          <w:sz w:val="16"/>
          <w:szCs w:val="16"/>
        </w:rPr>
        <w:t xml:space="preserve">. </w:t>
      </w:r>
    </w:p>
  </w:footnote>
  <w:footnote w:id="204">
    <w:p w14:paraId="64AA61FA" w14:textId="7785EDD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Ramón Iván Sotomayor Siller rendida el 17 de abril de 2018 ante la AMPF adsc</w:t>
      </w:r>
      <w:r w:rsidRPr="00432ABC">
        <w:rPr>
          <w:rFonts w:ascii="Verdana" w:hAnsi="Verdana"/>
          <w:sz w:val="16"/>
          <w:szCs w:val="16"/>
        </w:rPr>
        <w:t xml:space="preserve">rita a la FEIDDF - PGR (expediente de prueba, </w:t>
      </w:r>
      <w:r w:rsidRPr="00453199">
        <w:rPr>
          <w:rFonts w:ascii="Verdana" w:hAnsi="Verdana"/>
          <w:i/>
          <w:sz w:val="16"/>
        </w:rPr>
        <w:t>Affidávits</w:t>
      </w:r>
      <w:r w:rsidRPr="00432ABC">
        <w:rPr>
          <w:rFonts w:ascii="Verdana" w:hAnsi="Verdana"/>
          <w:sz w:val="16"/>
          <w:szCs w:val="16"/>
        </w:rPr>
        <w:t>, f. 31220).</w:t>
      </w:r>
    </w:p>
  </w:footnote>
  <w:footnote w:id="205">
    <w:p w14:paraId="64AA61FB" w14:textId="42FEC17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177/2010 de 22 de febrero de 2010 suscrito por Ramón Iván Sotomayor Siller, AMPF en apoyo de la Agencia Investigadora en Nuevo Casas Grandes, Chihuahua, dirigido a Dama</w:t>
      </w:r>
      <w:r w:rsidRPr="00432ABC">
        <w:rPr>
          <w:rFonts w:ascii="Verdana" w:hAnsi="Verdana"/>
          <w:sz w:val="16"/>
          <w:szCs w:val="16"/>
        </w:rPr>
        <w:t xml:space="preserve">ris Baglietto Hernández, Subdelegada de Procedimientos Penales “C” de la PGR – Chihuahua (expediente de prueba, </w:t>
      </w:r>
      <w:r>
        <w:rPr>
          <w:rFonts w:ascii="Verdana" w:hAnsi="Verdana"/>
          <w:sz w:val="16"/>
          <w:szCs w:val="16"/>
        </w:rPr>
        <w:t>e</w:t>
      </w:r>
      <w:r w:rsidRPr="00432ABC">
        <w:rPr>
          <w:rFonts w:ascii="Verdana" w:hAnsi="Verdana"/>
          <w:sz w:val="16"/>
          <w:szCs w:val="16"/>
        </w:rPr>
        <w:t>xpediente penal, f. 5450).</w:t>
      </w:r>
    </w:p>
  </w:footnote>
  <w:footnote w:id="206">
    <w:p w14:paraId="64AA61FC" w14:textId="5DFBCD9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177/2010 de 22 de febrero de 2010, </w:t>
      </w:r>
      <w:r w:rsidRPr="00432ABC">
        <w:rPr>
          <w:rFonts w:ascii="Verdana" w:hAnsi="Verdana"/>
          <w:i/>
          <w:sz w:val="16"/>
          <w:szCs w:val="16"/>
        </w:rPr>
        <w:t xml:space="preserve">supra </w:t>
      </w:r>
      <w:r>
        <w:rPr>
          <w:rFonts w:ascii="Verdana" w:hAnsi="Verdana"/>
          <w:sz w:val="16"/>
          <w:szCs w:val="16"/>
        </w:rPr>
        <w:t xml:space="preserve">(expediente de prueba, expediente penal, </w:t>
      </w:r>
      <w:r w:rsidRPr="00432ABC">
        <w:rPr>
          <w:rFonts w:ascii="Verdana" w:hAnsi="Verdana"/>
          <w:sz w:val="16"/>
          <w:szCs w:val="16"/>
        </w:rPr>
        <w:t>ff. 5459 a 5450</w:t>
      </w:r>
      <w:r>
        <w:rPr>
          <w:rFonts w:ascii="Verdana" w:hAnsi="Verdana"/>
          <w:sz w:val="16"/>
          <w:szCs w:val="16"/>
        </w:rPr>
        <w:t>)</w:t>
      </w:r>
      <w:r w:rsidRPr="00432ABC">
        <w:rPr>
          <w:rFonts w:ascii="Verdana" w:hAnsi="Verdana"/>
          <w:sz w:val="16"/>
          <w:szCs w:val="16"/>
        </w:rPr>
        <w:t xml:space="preserve">; Declaración de Ramón Iván Sotomayor Siller rendida el 12 de marzo de 2010 ante el AMPM – 5ªZM (expediente de prueba, ff. 475 a 476), y Declaración de Ramón Iván Sotomayor Siller rendida el 17 de abril de 2018 ante la ante la AMPF adscrita a la FEIDDF – PGR, </w:t>
      </w:r>
      <w:r w:rsidRPr="00432ABC">
        <w:rPr>
          <w:rFonts w:ascii="Verdana" w:hAnsi="Verdana"/>
          <w:i/>
          <w:sz w:val="16"/>
          <w:szCs w:val="16"/>
        </w:rPr>
        <w:t>supra</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 xml:space="preserve">, </w:t>
      </w:r>
      <w:r w:rsidRPr="00432ABC">
        <w:rPr>
          <w:rFonts w:ascii="Verdana" w:hAnsi="Verdana"/>
          <w:sz w:val="16"/>
          <w:szCs w:val="16"/>
        </w:rPr>
        <w:t>f. 31221</w:t>
      </w:r>
      <w:r>
        <w:rPr>
          <w:rFonts w:ascii="Verdana" w:hAnsi="Verdana"/>
          <w:sz w:val="16"/>
          <w:szCs w:val="16"/>
        </w:rPr>
        <w:t>)</w:t>
      </w:r>
      <w:r w:rsidRPr="00432ABC">
        <w:rPr>
          <w:rFonts w:ascii="Verdana" w:hAnsi="Verdana"/>
          <w:sz w:val="16"/>
          <w:szCs w:val="16"/>
        </w:rPr>
        <w:t xml:space="preserve">. </w:t>
      </w:r>
    </w:p>
  </w:footnote>
  <w:footnote w:id="207">
    <w:p w14:paraId="64AA61FD" w14:textId="2488A11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177/2010 de 22 de febrero de 2010,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expediente penal, </w:t>
      </w:r>
      <w:r w:rsidRPr="00432ABC">
        <w:rPr>
          <w:rFonts w:ascii="Verdana" w:hAnsi="Verdana"/>
          <w:sz w:val="16"/>
          <w:szCs w:val="16"/>
        </w:rPr>
        <w:t>f. 5450</w:t>
      </w:r>
      <w:r>
        <w:rPr>
          <w:rFonts w:ascii="Verdana" w:hAnsi="Verdana"/>
          <w:sz w:val="16"/>
          <w:szCs w:val="16"/>
        </w:rPr>
        <w:t>)</w:t>
      </w:r>
      <w:r w:rsidRPr="00432ABC">
        <w:rPr>
          <w:rFonts w:ascii="Verdana" w:hAnsi="Verdana"/>
          <w:sz w:val="16"/>
          <w:szCs w:val="16"/>
        </w:rPr>
        <w:t>.</w:t>
      </w:r>
    </w:p>
  </w:footnote>
  <w:footnote w:id="208">
    <w:p w14:paraId="64AA61FE" w14:textId="324492D7" w:rsidR="00146958" w:rsidRPr="00432ABC" w:rsidRDefault="00146958">
      <w:pPr>
        <w:pStyle w:val="Textonotapie"/>
        <w:jc w:val="both"/>
        <w:rPr>
          <w:rFonts w:ascii="Verdana" w:hAnsi="Verdana"/>
          <w:b/>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PF/CSR/CECH/062/2010 de 27 de enero de 2010 suscrito por el Comisario de la Policía Federal en Chihuahua, dirigido al Comandante de la 5ªZM (e</w:t>
      </w:r>
      <w:r w:rsidRPr="00432ABC">
        <w:rPr>
          <w:rFonts w:ascii="Verdana" w:hAnsi="Verdana"/>
          <w:sz w:val="16"/>
          <w:szCs w:val="16"/>
        </w:rPr>
        <w:t xml:space="preserve">xpediente de prueba, </w:t>
      </w:r>
      <w:r>
        <w:rPr>
          <w:rFonts w:ascii="Verdana" w:hAnsi="Verdana"/>
          <w:sz w:val="16"/>
          <w:szCs w:val="16"/>
        </w:rPr>
        <w:t>e</w:t>
      </w:r>
      <w:r w:rsidRPr="00432ABC">
        <w:rPr>
          <w:rFonts w:ascii="Verdana" w:hAnsi="Verdana"/>
          <w:sz w:val="16"/>
          <w:szCs w:val="16"/>
        </w:rPr>
        <w:t>xpediente penal, f. 5341).</w:t>
      </w:r>
    </w:p>
  </w:footnote>
  <w:footnote w:id="209">
    <w:p w14:paraId="64AA61FF" w14:textId="2E91DD4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No. 197 de 29 de enero de 2010 suscrito por el Comandante de la 5ªZM en Chihuahua, dirigido a DN-1, S-1 (R.H.) en el D.F. [sic] (expediente de prueba, expediente penal, f. 5</w:t>
      </w:r>
      <w:r w:rsidRPr="00432ABC">
        <w:rPr>
          <w:rFonts w:ascii="Verdana" w:hAnsi="Verdana"/>
          <w:sz w:val="16"/>
          <w:szCs w:val="16"/>
        </w:rPr>
        <w:t>333).</w:t>
      </w:r>
    </w:p>
  </w:footnote>
  <w:footnote w:id="210">
    <w:p w14:paraId="64AA6200" w14:textId="5D5F3A6A" w:rsidR="00146958" w:rsidRPr="00432ABC" w:rsidRDefault="00146958">
      <w:pPr>
        <w:pStyle w:val="Textonotapie"/>
        <w:jc w:val="both"/>
        <w:rPr>
          <w:rFonts w:ascii="Verdana" w:hAnsi="Verdana" w:cs="Arial"/>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Declaración de Argene Blásquez Morales rendida el 30 de marzo de 2011 ante el AMPM Auxiliar adscrito a la Cuarta Zona Militar </w:t>
      </w:r>
      <w:r w:rsidRPr="00432ABC">
        <w:rPr>
          <w:rFonts w:ascii="Verdana" w:hAnsi="Verdana"/>
          <w:i/>
          <w:sz w:val="16"/>
          <w:szCs w:val="16"/>
        </w:rPr>
        <w:t>supra</w:t>
      </w:r>
      <w:r>
        <w:rPr>
          <w:rFonts w:ascii="Verdana" w:hAnsi="Verdana"/>
          <w:sz w:val="16"/>
          <w:szCs w:val="16"/>
        </w:rPr>
        <w:t xml:space="preserve"> (expediente de prueba, </w:t>
      </w:r>
      <w:r w:rsidRPr="00432ABC">
        <w:rPr>
          <w:rFonts w:ascii="Verdana" w:hAnsi="Verdana"/>
          <w:sz w:val="16"/>
          <w:szCs w:val="16"/>
        </w:rPr>
        <w:t>ff. 28017 a 28018</w:t>
      </w:r>
      <w:r>
        <w:rPr>
          <w:rFonts w:ascii="Verdana" w:hAnsi="Verdana"/>
          <w:sz w:val="16"/>
          <w:szCs w:val="16"/>
        </w:rPr>
        <w:t>)</w:t>
      </w:r>
      <w:r w:rsidRPr="00432ABC">
        <w:rPr>
          <w:rFonts w:ascii="Verdana" w:hAnsi="Verdana"/>
          <w:sz w:val="16"/>
          <w:szCs w:val="16"/>
        </w:rPr>
        <w:t xml:space="preserve">, y Declaración de Argene Blásquez Morales rendida el 17 de abril de 2018 ante la AMPF de la FEIDDF - PGR (expediente de prueba, </w:t>
      </w:r>
      <w:r w:rsidRPr="00453199">
        <w:rPr>
          <w:rFonts w:ascii="Verdana" w:hAnsi="Verdana"/>
          <w:i/>
          <w:sz w:val="16"/>
        </w:rPr>
        <w:t>Affidávits</w:t>
      </w:r>
      <w:r w:rsidRPr="00432ABC">
        <w:rPr>
          <w:rFonts w:ascii="Verdana" w:hAnsi="Verdana"/>
          <w:sz w:val="16"/>
          <w:szCs w:val="16"/>
        </w:rPr>
        <w:t xml:space="preserve">, f. 31225). </w:t>
      </w:r>
      <w:r w:rsidRPr="00432ABC">
        <w:rPr>
          <w:rFonts w:ascii="Verdana" w:hAnsi="Verdana"/>
          <w:sz w:val="16"/>
          <w:szCs w:val="16"/>
        </w:rPr>
        <w:tab/>
      </w:r>
    </w:p>
  </w:footnote>
  <w:footnote w:id="211">
    <w:p w14:paraId="64AA6201" w14:textId="38C5A0E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Diagrama de actuaciones para la identificación del supuesto “Comandante Meza de la Policía Federal” (expediente de prueba, ff. 30852, 3085</w:t>
      </w:r>
      <w:r w:rsidRPr="00432ABC">
        <w:rPr>
          <w:rFonts w:ascii="Verdana" w:hAnsi="Verdana"/>
          <w:sz w:val="16"/>
          <w:szCs w:val="16"/>
        </w:rPr>
        <w:t>4, 30856 y 30858)</w:t>
      </w:r>
      <w:r>
        <w:rPr>
          <w:rFonts w:ascii="Verdana" w:hAnsi="Verdana"/>
          <w:sz w:val="16"/>
          <w:szCs w:val="16"/>
        </w:rPr>
        <w:t>.</w:t>
      </w:r>
      <w:r w:rsidRPr="00432ABC">
        <w:rPr>
          <w:rFonts w:ascii="Verdana" w:hAnsi="Verdana"/>
          <w:sz w:val="16"/>
          <w:szCs w:val="16"/>
        </w:rPr>
        <w:t xml:space="preserve"> </w:t>
      </w:r>
    </w:p>
  </w:footnote>
  <w:footnote w:id="212">
    <w:p w14:paraId="64AA6202" w14:textId="76661B0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testigo protegido [correspondiente a Juana Bustamante Ramos] rendida el 13 de febrero de 2010 ante el AMP de la PGJE - Chihuahua (expediente de prueba, </w:t>
      </w:r>
      <w:r>
        <w:rPr>
          <w:rFonts w:ascii="Verdana" w:hAnsi="Verdana"/>
          <w:sz w:val="16"/>
          <w:szCs w:val="16"/>
        </w:rPr>
        <w:t>e</w:t>
      </w:r>
      <w:r w:rsidRPr="002C462C">
        <w:rPr>
          <w:rFonts w:ascii="Verdana" w:hAnsi="Verdana"/>
          <w:sz w:val="16"/>
          <w:szCs w:val="16"/>
        </w:rPr>
        <w:t>xpediente penal, ff. 6897 a 6899). Con relación al c</w:t>
      </w:r>
      <w:r w:rsidRPr="00432ABC">
        <w:rPr>
          <w:rFonts w:ascii="Verdana" w:hAnsi="Verdana"/>
          <w:sz w:val="16"/>
          <w:szCs w:val="16"/>
        </w:rPr>
        <w:t xml:space="preserve">ontenido de dicha llamada telefónica: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Declaración de María de Jesús Alvarado Espinoza rendida el 12 de febrero de 2010 ante el AMP de la PGJE - Chihuahua,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f. 27907</w:t>
      </w:r>
      <w:r>
        <w:rPr>
          <w:rFonts w:ascii="Verdana" w:hAnsi="Verdana"/>
          <w:sz w:val="16"/>
          <w:szCs w:val="16"/>
        </w:rPr>
        <w:t>)</w:t>
      </w:r>
      <w:r w:rsidRPr="00432ABC">
        <w:rPr>
          <w:rFonts w:ascii="Verdana" w:hAnsi="Verdana"/>
          <w:sz w:val="16"/>
          <w:szCs w:val="16"/>
        </w:rPr>
        <w:t xml:space="preserve">; Declaración de María de Jesús Alvarado de 22 de febrero de 2010 ante la 7ªAMPF </w:t>
      </w:r>
      <w:r>
        <w:rPr>
          <w:rFonts w:ascii="Verdana" w:hAnsi="Verdana"/>
          <w:sz w:val="16"/>
          <w:szCs w:val="16"/>
        </w:rPr>
        <w:t>–</w:t>
      </w:r>
      <w:r w:rsidRPr="00432ABC">
        <w:rPr>
          <w:rFonts w:ascii="Verdana" w:hAnsi="Verdana"/>
          <w:sz w:val="16"/>
          <w:szCs w:val="16"/>
        </w:rPr>
        <w:t xml:space="preserve"> PGR</w:t>
      </w:r>
      <w:r>
        <w:rPr>
          <w:rFonts w:ascii="Verdana" w:hAnsi="Verdana"/>
          <w:sz w:val="16"/>
          <w:szCs w:val="16"/>
        </w:rPr>
        <w:t xml:space="preserve"> </w:t>
      </w:r>
      <w:r w:rsidRPr="00432ABC">
        <w:rPr>
          <w:rFonts w:ascii="Verdana" w:hAnsi="Verdana"/>
          <w:sz w:val="16"/>
          <w:szCs w:val="16"/>
        </w:rPr>
        <w:t xml:space="preserve">(expediente de prueba, ff. 27910 a 27911); Declaración de Verónica Colomo Reyes rendida el 9 de marzo de 2010 ante el AMPM – 5ªZM,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f. 27951</w:t>
      </w:r>
      <w:r>
        <w:rPr>
          <w:rFonts w:ascii="Verdana" w:hAnsi="Verdana"/>
          <w:sz w:val="16"/>
          <w:szCs w:val="16"/>
        </w:rPr>
        <w:t>)</w:t>
      </w:r>
      <w:r w:rsidRPr="00432ABC">
        <w:rPr>
          <w:rFonts w:ascii="Verdana" w:hAnsi="Verdana"/>
          <w:sz w:val="16"/>
          <w:szCs w:val="16"/>
        </w:rPr>
        <w:t xml:space="preserve">; Declaración de Manuel Reyes Lira rendida el 9 de marzo de 2010 ante el AMPM – 5ªZM,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f. 27982</w:t>
      </w:r>
      <w:r>
        <w:rPr>
          <w:rFonts w:ascii="Verdana" w:hAnsi="Verdana"/>
          <w:sz w:val="16"/>
          <w:szCs w:val="16"/>
        </w:rPr>
        <w:t>)</w:t>
      </w:r>
      <w:r w:rsidRPr="00432ABC">
        <w:rPr>
          <w:rFonts w:ascii="Verdana" w:hAnsi="Verdana"/>
          <w:sz w:val="16"/>
          <w:szCs w:val="16"/>
        </w:rPr>
        <w:t xml:space="preserve">, y Declaración rendida </w:t>
      </w:r>
      <w:r>
        <w:rPr>
          <w:rFonts w:ascii="Verdana" w:hAnsi="Verdana"/>
          <w:sz w:val="16"/>
          <w:szCs w:val="16"/>
        </w:rPr>
        <w:t>en la Audiencia Pública</w:t>
      </w:r>
      <w:r w:rsidRPr="00432ABC">
        <w:rPr>
          <w:rFonts w:ascii="Verdana" w:hAnsi="Verdana"/>
          <w:sz w:val="16"/>
          <w:szCs w:val="16"/>
        </w:rPr>
        <w:t xml:space="preserve"> ante la Corte por María de Jesús Alvarado Espinoza, </w:t>
      </w:r>
      <w:r w:rsidRPr="00432ABC">
        <w:rPr>
          <w:rFonts w:ascii="Verdana" w:hAnsi="Verdana"/>
          <w:i/>
          <w:sz w:val="16"/>
          <w:szCs w:val="16"/>
        </w:rPr>
        <w:t xml:space="preserve">supra, </w:t>
      </w:r>
      <w:r w:rsidRPr="00432ABC">
        <w:rPr>
          <w:rFonts w:ascii="Verdana" w:hAnsi="Verdana"/>
          <w:sz w:val="16"/>
          <w:szCs w:val="16"/>
        </w:rPr>
        <w:t>pág. 23.</w:t>
      </w:r>
    </w:p>
  </w:footnote>
  <w:footnote w:id="213">
    <w:p w14:paraId="64AA6203" w14:textId="09D427A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María de Jesús Alvarado Espinoza rendida el 12 de febrero de 2010 ante el AMP de </w:t>
      </w:r>
      <w:r w:rsidRPr="00432ABC">
        <w:rPr>
          <w:rFonts w:ascii="Verdana" w:hAnsi="Verdana"/>
          <w:sz w:val="16"/>
          <w:szCs w:val="16"/>
        </w:rPr>
        <w:t xml:space="preserve">la PGJE – Chihuahua, </w:t>
      </w:r>
      <w:r w:rsidRPr="00432ABC">
        <w:rPr>
          <w:rFonts w:ascii="Verdana" w:hAnsi="Verdana"/>
          <w:i/>
          <w:sz w:val="16"/>
          <w:szCs w:val="16"/>
        </w:rPr>
        <w:t>supra</w:t>
      </w:r>
      <w:r>
        <w:rPr>
          <w:rFonts w:ascii="Verdana" w:hAnsi="Verdana"/>
          <w:i/>
          <w:sz w:val="16"/>
          <w:szCs w:val="16"/>
        </w:rPr>
        <w:t xml:space="preserve"> </w:t>
      </w:r>
      <w:r>
        <w:rPr>
          <w:rFonts w:ascii="Verdana" w:hAnsi="Verdana"/>
          <w:sz w:val="16"/>
          <w:szCs w:val="16"/>
        </w:rPr>
        <w:t xml:space="preserve">(expediente de prueba, </w:t>
      </w:r>
      <w:r w:rsidRPr="00432ABC">
        <w:rPr>
          <w:rFonts w:ascii="Verdana" w:hAnsi="Verdana"/>
          <w:sz w:val="16"/>
          <w:szCs w:val="16"/>
        </w:rPr>
        <w:t>f. 27907</w:t>
      </w:r>
      <w:r>
        <w:rPr>
          <w:rFonts w:ascii="Verdana" w:hAnsi="Verdana"/>
          <w:sz w:val="16"/>
          <w:szCs w:val="16"/>
        </w:rPr>
        <w:t>)</w:t>
      </w:r>
      <w:r w:rsidRPr="00432ABC">
        <w:rPr>
          <w:rFonts w:ascii="Verdana" w:hAnsi="Verdana"/>
          <w:sz w:val="16"/>
          <w:szCs w:val="16"/>
        </w:rPr>
        <w:t xml:space="preserve">, y Comparecencia de María de Jesús Alvarado de 22 de febrero de 2010 ante la 7ªAMPF – PGR (expediente de prueba, ff. 27910 a 27911). </w:t>
      </w:r>
    </w:p>
  </w:footnote>
  <w:footnote w:id="214">
    <w:p w14:paraId="64AA6204" w14:textId="293B72E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testigo protegido [cor</w:t>
      </w:r>
      <w:r w:rsidRPr="00432ABC">
        <w:rPr>
          <w:rFonts w:ascii="Verdana" w:hAnsi="Verdana"/>
          <w:sz w:val="16"/>
          <w:szCs w:val="16"/>
        </w:rPr>
        <w:t>respondiente a Juana Bustamante Ramos] rendida el 13 de febrero de 2010 ante el AMP de la PGJE – Chihuahua</w:t>
      </w:r>
      <w:r w:rsidRPr="00432ABC">
        <w:rPr>
          <w:rFonts w:ascii="Verdana" w:hAnsi="Verdana"/>
          <w:i/>
          <w:sz w:val="16"/>
          <w:szCs w:val="16"/>
        </w:rPr>
        <w:t>, supra</w:t>
      </w:r>
      <w:r>
        <w:rPr>
          <w:rFonts w:ascii="Verdana" w:hAnsi="Verdana"/>
          <w:i/>
          <w:sz w:val="16"/>
          <w:szCs w:val="16"/>
        </w:rPr>
        <w:t xml:space="preserve"> </w:t>
      </w:r>
      <w:r>
        <w:rPr>
          <w:rFonts w:ascii="Verdana" w:hAnsi="Verdana"/>
          <w:sz w:val="16"/>
          <w:szCs w:val="16"/>
        </w:rPr>
        <w:t xml:space="preserve">(expediente de prueba, expediente penal, </w:t>
      </w:r>
      <w:r w:rsidRPr="00432ABC">
        <w:rPr>
          <w:rFonts w:ascii="Verdana" w:hAnsi="Verdana"/>
          <w:sz w:val="16"/>
          <w:szCs w:val="16"/>
        </w:rPr>
        <w:t>ff. 6897 a 6899</w:t>
      </w:r>
      <w:r>
        <w:rPr>
          <w:rFonts w:ascii="Verdana" w:hAnsi="Verdana"/>
          <w:sz w:val="16"/>
          <w:szCs w:val="16"/>
        </w:rPr>
        <w:t>)</w:t>
      </w:r>
      <w:r w:rsidRPr="00432ABC">
        <w:rPr>
          <w:rFonts w:ascii="Verdana" w:hAnsi="Verdana"/>
          <w:sz w:val="16"/>
          <w:szCs w:val="16"/>
        </w:rPr>
        <w:t>.</w:t>
      </w:r>
    </w:p>
  </w:footnote>
  <w:footnote w:id="215">
    <w:p w14:paraId="64AA6205" w14:textId="68504434" w:rsidR="00146958" w:rsidRPr="00432ABC" w:rsidRDefault="00146958">
      <w:pPr>
        <w:pStyle w:val="Textonotapie"/>
        <w:jc w:val="both"/>
        <w:rPr>
          <w:rFonts w:ascii="Verdana" w:hAnsi="Verdana"/>
          <w:sz w:val="16"/>
          <w:szCs w:val="16"/>
          <w:lang w:val="es-AR"/>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2C462C">
        <w:rPr>
          <w:rFonts w:ascii="Verdana" w:hAnsi="Verdana" w:cs="Arial"/>
          <w:sz w:val="16"/>
          <w:szCs w:val="16"/>
          <w:lang w:eastAsia="ja-JP"/>
        </w:rPr>
        <w:t xml:space="preserve">En especial se encuentran las practicadas por la FEVIMTRA –PGR, entre las cuales se destacan: a) la solicitud realizada </w:t>
      </w:r>
      <w:r w:rsidRPr="002C462C">
        <w:rPr>
          <w:rFonts w:ascii="Verdana" w:hAnsi="Verdana"/>
          <w:sz w:val="16"/>
          <w:szCs w:val="16"/>
          <w:lang w:val="es-AR"/>
        </w:rPr>
        <w:t>l</w:t>
      </w:r>
      <w:r w:rsidRPr="00432ABC">
        <w:rPr>
          <w:rFonts w:ascii="Verdana" w:hAnsi="Verdana"/>
          <w:sz w:val="16"/>
          <w:szCs w:val="16"/>
          <w:lang w:val="es-AR"/>
        </w:rPr>
        <w:t xml:space="preserve">os días 31 de marzo y 5 de abril de 2010 a las empresas telefónicas TELMEX y PEGASO Comunicaciones y Sistemas para que informaran el nombre o razón social de propietario, “sábanas de registros de llamadas entrantes y salientes” [sic] y “ubicación digital del posicionamiento geográfico o ubicación física de los teléfonos en tiempo real” de las líneas telefónicas relacionadas con dicha supuesta llamada de auxilio. Dicha información fue remitida parcialmente a la autoridad los días 16 y 27 de abril de 2010, y b) Los días 18 de mayo, 23 de junio y 28 de junio de 2010 el Consejo Ciudadano de Seguridad Pública y Procuración de Justicia del Distrito Federal, el CENAPI – PGR y la AFI informaron a la FEVIMTRA que el número telefónico desde la cual se realizó dicha comunicación telefónica estaba vinculado con extorsiones telefónicas previas realizadas desde dos direcciones próximas al Centro Penitenciario Federal de Santa Martha Acatitla en la Ciudad de México. </w:t>
      </w:r>
      <w:r w:rsidRPr="00CD5C54">
        <w:rPr>
          <w:rFonts w:ascii="Verdana" w:hAnsi="Verdana"/>
          <w:i/>
          <w:sz w:val="16"/>
          <w:szCs w:val="16"/>
        </w:rPr>
        <w:t>Cfr.</w:t>
      </w:r>
      <w:r w:rsidRPr="00432ABC">
        <w:rPr>
          <w:rFonts w:ascii="Verdana" w:hAnsi="Verdana"/>
          <w:sz w:val="16"/>
          <w:szCs w:val="16"/>
        </w:rPr>
        <w:t xml:space="preserve"> Oficio PGR/FEVIMTRA/TRA/0200/2010 de 31 de marzo de 2010 (expediente de prueba, </w:t>
      </w:r>
      <w:r>
        <w:rPr>
          <w:rFonts w:ascii="Verdana" w:hAnsi="Verdana"/>
          <w:sz w:val="16"/>
          <w:szCs w:val="16"/>
        </w:rPr>
        <w:t>e</w:t>
      </w:r>
      <w:r w:rsidRPr="00432ABC">
        <w:rPr>
          <w:rFonts w:ascii="Verdana" w:hAnsi="Verdana"/>
          <w:sz w:val="16"/>
          <w:szCs w:val="16"/>
        </w:rPr>
        <w:t>xpediente penal, ff. 13205 a 13207)</w:t>
      </w:r>
      <w:r>
        <w:rPr>
          <w:rFonts w:ascii="Verdana" w:hAnsi="Verdana"/>
          <w:sz w:val="16"/>
          <w:szCs w:val="16"/>
        </w:rPr>
        <w:t>;</w:t>
      </w:r>
      <w:r w:rsidRPr="00432ABC">
        <w:rPr>
          <w:rFonts w:ascii="Verdana" w:hAnsi="Verdana"/>
          <w:sz w:val="16"/>
          <w:szCs w:val="16"/>
        </w:rPr>
        <w:t xml:space="preserve"> Oficio PGR/FEVIMTRA/TRA/0201/2010 de 5 de abril de 2010, ambos dirigidos al </w:t>
      </w:r>
      <w:r w:rsidRPr="00432ABC">
        <w:rPr>
          <w:rFonts w:ascii="Verdana" w:hAnsi="Verdana"/>
          <w:sz w:val="16"/>
          <w:szCs w:val="16"/>
          <w:lang w:val="es-AR"/>
        </w:rPr>
        <w:t xml:space="preserve">Subprocurador de Control Regional, Procedimientos Penales y Amparo de la PGR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 13209); Oficio de 16 de abril de 2010 del Apoderado Legal de Pegaso Comunicaciones y Sistemas, S.A. de C.V., dirigido al Coordinador General de Delegaciones de la PGR (expediente de prueba, </w:t>
      </w:r>
      <w:r>
        <w:rPr>
          <w:rFonts w:ascii="Verdana" w:hAnsi="Verdana"/>
          <w:sz w:val="16"/>
          <w:szCs w:val="16"/>
        </w:rPr>
        <w:t>e</w:t>
      </w:r>
      <w:r w:rsidRPr="00432ABC">
        <w:rPr>
          <w:rFonts w:ascii="Verdana" w:hAnsi="Verdana"/>
          <w:sz w:val="16"/>
          <w:szCs w:val="16"/>
        </w:rPr>
        <w:t xml:space="preserve">xpediente penal, f. 13310), y Oficio 05380/2010 de 27 de abril de 2010 del Apoderado Legal de TELMEX, dirigido al Procurador General de la República (expediente de prueba, </w:t>
      </w:r>
      <w:r>
        <w:rPr>
          <w:rFonts w:ascii="Verdana" w:hAnsi="Verdana"/>
          <w:sz w:val="16"/>
          <w:szCs w:val="16"/>
        </w:rPr>
        <w:t>e</w:t>
      </w:r>
      <w:r w:rsidRPr="00432ABC">
        <w:rPr>
          <w:rFonts w:ascii="Verdana" w:hAnsi="Verdana"/>
          <w:sz w:val="16"/>
          <w:szCs w:val="16"/>
        </w:rPr>
        <w:t xml:space="preserve">xpediente penal, f. 13330); Oficio CCSPPJDF/CG/690/2010 de 18 de mayo de 2010 de la Coordinadora General del </w:t>
      </w:r>
      <w:r w:rsidRPr="00432ABC">
        <w:rPr>
          <w:rFonts w:ascii="Verdana" w:hAnsi="Verdana"/>
          <w:sz w:val="16"/>
          <w:szCs w:val="16"/>
          <w:lang w:val="es-AR"/>
        </w:rPr>
        <w:t xml:space="preserve">Consejo Ciudadano de Seguridad Pública y Procuración de Justicia del Distrito Federal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 13383); Oficio de 23 de junio de 2010 del Director de Análisis Táctico del CENAPI - PGR (expediente de prueba, </w:t>
      </w:r>
      <w:r>
        <w:rPr>
          <w:rFonts w:ascii="Verdana" w:hAnsi="Verdana"/>
          <w:sz w:val="16"/>
          <w:szCs w:val="16"/>
        </w:rPr>
        <w:t>e</w:t>
      </w:r>
      <w:r w:rsidRPr="00432ABC">
        <w:rPr>
          <w:rFonts w:ascii="Verdana" w:hAnsi="Verdana"/>
          <w:sz w:val="16"/>
          <w:szCs w:val="16"/>
        </w:rPr>
        <w:t xml:space="preserve">xpediente penal, f. 13730), y Oficio AFI/DGIP/DTI/PI/572/2010 de 28 de junio de 2010 de la Dirección Técnica de Investigación de la AFI (expediente de prueba, </w:t>
      </w:r>
      <w:r>
        <w:rPr>
          <w:rFonts w:ascii="Verdana" w:hAnsi="Verdana"/>
          <w:sz w:val="16"/>
          <w:szCs w:val="16"/>
        </w:rPr>
        <w:t>e</w:t>
      </w:r>
      <w:r w:rsidRPr="00432ABC">
        <w:rPr>
          <w:rFonts w:ascii="Verdana" w:hAnsi="Verdana"/>
          <w:sz w:val="16"/>
          <w:szCs w:val="16"/>
        </w:rPr>
        <w:t>xpediente penal, ff. 13741 A 13746).</w:t>
      </w:r>
    </w:p>
  </w:footnote>
  <w:footnote w:id="216">
    <w:p w14:paraId="64AA6206" w14:textId="677BECA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y Oficio AFI/DGIP/D</w:t>
      </w:r>
      <w:r w:rsidRPr="00432ABC">
        <w:rPr>
          <w:rFonts w:ascii="Verdana" w:hAnsi="Verdana"/>
          <w:sz w:val="16"/>
          <w:szCs w:val="16"/>
        </w:rPr>
        <w:t xml:space="preserve">TI/PI/572/2010 de 28 de junio de 2010 de la AFI - PGR, dirigido a la AMPF de la FEVIMTRA – PGR, </w:t>
      </w:r>
      <w:r w:rsidRPr="00432ABC">
        <w:rPr>
          <w:rFonts w:ascii="Verdana" w:hAnsi="Verdana"/>
          <w:i/>
          <w:sz w:val="16"/>
          <w:szCs w:val="16"/>
        </w:rPr>
        <w:t>supra</w:t>
      </w:r>
      <w:r>
        <w:rPr>
          <w:rFonts w:ascii="Verdana" w:hAnsi="Verdana"/>
          <w:sz w:val="16"/>
          <w:szCs w:val="16"/>
        </w:rPr>
        <w:t xml:space="preserve"> (expediente de prueba, </w:t>
      </w:r>
      <w:r w:rsidRPr="00432ABC">
        <w:rPr>
          <w:rFonts w:ascii="Verdana" w:hAnsi="Verdana"/>
          <w:sz w:val="16"/>
          <w:szCs w:val="16"/>
        </w:rPr>
        <w:t xml:space="preserve">ff. 29522 a 29523), y Declaración rendida </w:t>
      </w:r>
      <w:r>
        <w:rPr>
          <w:rFonts w:ascii="Verdana" w:hAnsi="Verdana"/>
          <w:sz w:val="16"/>
          <w:szCs w:val="16"/>
        </w:rPr>
        <w:t xml:space="preserve">en la Audiencia Pública </w:t>
      </w:r>
      <w:r w:rsidRPr="00432ABC">
        <w:rPr>
          <w:rFonts w:ascii="Verdana" w:hAnsi="Verdana"/>
          <w:sz w:val="16"/>
          <w:szCs w:val="16"/>
        </w:rPr>
        <w:t>ante la Corte por Mariana Colín Ayala (Transcripción de la Audiencia Pública, pág. 49).</w:t>
      </w:r>
    </w:p>
  </w:footnote>
  <w:footnote w:id="217">
    <w:p w14:paraId="64AA6207" w14:textId="492643E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Incompetencia de la Averiguación Previa AP/PGR/FEVIMTRA/TRA009/2010 de 30 de septiembre de 2011 suscrito por la AMPF adscrita a la FEVIMTRA – PGR (expediente de prueb</w:t>
      </w:r>
      <w:r w:rsidRPr="00432ABC">
        <w:rPr>
          <w:rFonts w:ascii="Verdana" w:hAnsi="Verdana"/>
          <w:sz w:val="16"/>
          <w:szCs w:val="16"/>
        </w:rPr>
        <w:t xml:space="preserve">a, </w:t>
      </w:r>
      <w:r>
        <w:rPr>
          <w:rFonts w:ascii="Verdana" w:hAnsi="Verdana"/>
          <w:sz w:val="16"/>
          <w:szCs w:val="16"/>
        </w:rPr>
        <w:t>e</w:t>
      </w:r>
      <w:r w:rsidRPr="00432ABC">
        <w:rPr>
          <w:rFonts w:ascii="Verdana" w:hAnsi="Verdana"/>
          <w:sz w:val="16"/>
          <w:szCs w:val="16"/>
        </w:rPr>
        <w:t>xpediente penal,</w:t>
      </w:r>
      <w:r>
        <w:rPr>
          <w:rFonts w:ascii="Verdana" w:hAnsi="Verdana"/>
          <w:sz w:val="16"/>
          <w:szCs w:val="16"/>
        </w:rPr>
        <w:t xml:space="preserve"> </w:t>
      </w:r>
      <w:r w:rsidRPr="00432ABC">
        <w:rPr>
          <w:rFonts w:ascii="Verdana" w:hAnsi="Verdana"/>
          <w:sz w:val="16"/>
          <w:szCs w:val="16"/>
        </w:rPr>
        <w:t>ff. 16128 y 16131).</w:t>
      </w:r>
    </w:p>
  </w:footnote>
  <w:footnote w:id="218">
    <w:p w14:paraId="64AA6208" w14:textId="46D270F9"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Denuncia de 31 de diciembre de 2009 (expediente de prueba, Expediente penal, Tomo XI, ff. 4498 a 4499). </w:t>
      </w:r>
    </w:p>
  </w:footnote>
  <w:footnote w:id="219">
    <w:p w14:paraId="64AA6209" w14:textId="783AB2F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Comunicación del Estado dentro de la implementación de las Medidas Cautelare</w:t>
      </w:r>
      <w:r w:rsidRPr="00432ABC">
        <w:rPr>
          <w:rFonts w:ascii="Verdana" w:hAnsi="Verdana"/>
          <w:sz w:val="16"/>
          <w:szCs w:val="16"/>
        </w:rPr>
        <w:t>s MC-55-10 (expediente de prueba, f. 1946), y Acta de Reunión de Trabajo en el marco de la implementación de Medidas Provisionales de 18 de febrero de 2011 (expediente de prueba,</w:t>
      </w:r>
      <w:r>
        <w:rPr>
          <w:rFonts w:ascii="Verdana" w:hAnsi="Verdana"/>
          <w:sz w:val="16"/>
          <w:szCs w:val="16"/>
        </w:rPr>
        <w:t xml:space="preserve"> f. 2121</w:t>
      </w:r>
      <w:r w:rsidRPr="00432ABC">
        <w:rPr>
          <w:rFonts w:ascii="Verdana" w:hAnsi="Verdana"/>
          <w:sz w:val="16"/>
          <w:szCs w:val="16"/>
        </w:rPr>
        <w:t>)</w:t>
      </w:r>
    </w:p>
  </w:footnote>
  <w:footnote w:id="220">
    <w:p w14:paraId="64AA620A" w14:textId="7E820EE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Pr>
          <w:rFonts w:ascii="Verdana" w:hAnsi="Verdana"/>
          <w:sz w:val="16"/>
          <w:szCs w:val="16"/>
        </w:rPr>
        <w:t>3</w:t>
      </w:r>
      <w:r w:rsidRPr="002C462C">
        <w:rPr>
          <w:rFonts w:ascii="Verdana" w:hAnsi="Verdana"/>
          <w:sz w:val="16"/>
          <w:szCs w:val="16"/>
        </w:rPr>
        <w:t>84/2009 de 31 de diciembre de 2009, dirigido al Coordinador</w:t>
      </w:r>
      <w:r w:rsidRPr="00432ABC">
        <w:rPr>
          <w:rFonts w:ascii="Verdana" w:hAnsi="Verdana"/>
          <w:sz w:val="16"/>
          <w:szCs w:val="16"/>
        </w:rPr>
        <w:t xml:space="preserve"> Especial “B” de la Policía Ministerial de la AEI -Chihuahua  (expediente de prueba, expediente penal, f. 12298).   </w:t>
      </w:r>
    </w:p>
  </w:footnote>
  <w:footnote w:id="221">
    <w:p w14:paraId="64AA620B" w14:textId="69CBC59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1656/2010 de 5 de enero de 2010 suscrito por Óscar Arias Ocampo, Agente Ministerial de la Agencia Estatal de Inves</w:t>
      </w:r>
      <w:r w:rsidRPr="00432ABC">
        <w:rPr>
          <w:rFonts w:ascii="Verdana" w:hAnsi="Verdana"/>
          <w:sz w:val="16"/>
          <w:szCs w:val="16"/>
        </w:rPr>
        <w:t xml:space="preserve">tigación en Nuevo Casas Grandes, Chihuahua, dirigido al AAMP - Buenaventura (expediente de prueba, </w:t>
      </w:r>
      <w:r>
        <w:rPr>
          <w:rFonts w:ascii="Verdana" w:hAnsi="Verdana"/>
          <w:sz w:val="16"/>
          <w:szCs w:val="16"/>
        </w:rPr>
        <w:t>e</w:t>
      </w:r>
      <w:r w:rsidRPr="00432ABC">
        <w:rPr>
          <w:rFonts w:ascii="Verdana" w:hAnsi="Verdana"/>
          <w:sz w:val="16"/>
          <w:szCs w:val="16"/>
        </w:rPr>
        <w:t>xpediente pena</w:t>
      </w:r>
      <w:r>
        <w:rPr>
          <w:rFonts w:ascii="Verdana" w:hAnsi="Verdana"/>
          <w:sz w:val="16"/>
          <w:szCs w:val="16"/>
        </w:rPr>
        <w:t xml:space="preserve">l, </w:t>
      </w:r>
      <w:r w:rsidRPr="00432ABC">
        <w:rPr>
          <w:rFonts w:ascii="Verdana" w:hAnsi="Verdana"/>
          <w:sz w:val="16"/>
          <w:szCs w:val="16"/>
        </w:rPr>
        <w:t xml:space="preserve">f. 12299). </w:t>
      </w:r>
    </w:p>
  </w:footnote>
  <w:footnote w:id="222">
    <w:p w14:paraId="64AA620C" w14:textId="652350A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432ABC">
        <w:rPr>
          <w:rFonts w:ascii="Verdana" w:hAnsi="Verdana"/>
          <w:sz w:val="16"/>
          <w:szCs w:val="16"/>
        </w:rPr>
        <w:t xml:space="preserve">Declaración de testigo identificado con huella dactilar rendida el 12 de febrero de 2010 ante el AMP de la PGJE - Chihuahua (expediente de prueba, expediente penal, f. 12328).   </w:t>
      </w:r>
    </w:p>
  </w:footnote>
  <w:footnote w:id="223">
    <w:p w14:paraId="64AA620D" w14:textId="3CDBD03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testigo identificado con huella dactilar rendida el 13 de febrero de 2010 ante el AMP de la PGJE - Chihuahua (expediente de prueba, </w:t>
      </w:r>
      <w:r>
        <w:rPr>
          <w:rFonts w:ascii="Verdana" w:hAnsi="Verdana"/>
          <w:sz w:val="16"/>
          <w:szCs w:val="16"/>
        </w:rPr>
        <w:t>e</w:t>
      </w:r>
      <w:r w:rsidRPr="002C462C">
        <w:rPr>
          <w:rFonts w:ascii="Verdana" w:hAnsi="Verdana"/>
          <w:sz w:val="16"/>
          <w:szCs w:val="16"/>
        </w:rPr>
        <w:t>xpediente penal</w:t>
      </w:r>
      <w:r>
        <w:rPr>
          <w:rFonts w:ascii="Verdana" w:hAnsi="Verdana"/>
          <w:sz w:val="16"/>
          <w:szCs w:val="16"/>
        </w:rPr>
        <w:t xml:space="preserve">, f. </w:t>
      </w:r>
      <w:r w:rsidRPr="00432ABC">
        <w:rPr>
          <w:rFonts w:ascii="Verdana" w:hAnsi="Verdana"/>
          <w:sz w:val="16"/>
          <w:szCs w:val="16"/>
        </w:rPr>
        <w:t xml:space="preserve">12330). La señora Juana Bustamante señaló que identificó la voz de su interlocutor pidiendo ayuda como perteneciente a Nitza Paola </w:t>
      </w:r>
      <w:r w:rsidRPr="00432ABC">
        <w:rPr>
          <w:rFonts w:ascii="Verdana" w:hAnsi="Verdana" w:cs="Cambria"/>
          <w:sz w:val="16"/>
          <w:szCs w:val="16"/>
        </w:rPr>
        <w:t>en razón de que “toda [su] vida h[a] vivido en [el Ejido Benito Juárez]</w:t>
      </w:r>
      <w:r w:rsidRPr="00432ABC">
        <w:rPr>
          <w:rFonts w:ascii="Verdana" w:hAnsi="Verdana"/>
          <w:sz w:val="16"/>
          <w:szCs w:val="16"/>
        </w:rPr>
        <w:t xml:space="preserve"> y a sus familiares que se encuentran perdidos, de hecho [ella] le bauti[zó] a las hijas de Nitza”. Asimismo, declaró que escuchó “una voz de una persona del sexo masculino tipo chilango y como que le dijo a otra persona ‘para qué la dejastes’ [sic] […]”. </w:t>
      </w:r>
      <w:r w:rsidRPr="00CD5C54">
        <w:rPr>
          <w:rFonts w:ascii="Verdana" w:hAnsi="Verdana"/>
          <w:i/>
          <w:sz w:val="16"/>
          <w:szCs w:val="16"/>
        </w:rPr>
        <w:t>Cfr.</w:t>
      </w:r>
      <w:r w:rsidRPr="00432ABC">
        <w:rPr>
          <w:rFonts w:ascii="Verdana" w:hAnsi="Verdana"/>
          <w:sz w:val="16"/>
          <w:szCs w:val="16"/>
        </w:rPr>
        <w:t xml:space="preserve"> Declaración rendida por María de Jesús Alvarado Espinoza ante la Corte en la Audiencia Pública</w:t>
      </w:r>
      <w:r w:rsidRPr="00432ABC">
        <w:rPr>
          <w:rFonts w:ascii="Verdana" w:hAnsi="Verdana"/>
          <w:i/>
          <w:sz w:val="16"/>
          <w:szCs w:val="16"/>
        </w:rPr>
        <w:t>, supra</w:t>
      </w:r>
      <w:r w:rsidRPr="00432ABC">
        <w:rPr>
          <w:rFonts w:ascii="Verdana" w:hAnsi="Verdana"/>
          <w:sz w:val="16"/>
          <w:szCs w:val="16"/>
        </w:rPr>
        <w:t xml:space="preserve"> pág. 27. </w:t>
      </w:r>
    </w:p>
  </w:footnote>
  <w:footnote w:id="224">
    <w:p w14:paraId="64AA620E" w14:textId="61835DE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CU-030-10 de 9 de febrero de 2010 suscrito por el Representante Legal de TELMEX, dirigido a la titular de la PGJE - Chihuahua (expediente de prueba, </w:t>
      </w:r>
      <w:r>
        <w:rPr>
          <w:rFonts w:ascii="Verdana" w:hAnsi="Verdana"/>
          <w:sz w:val="16"/>
          <w:szCs w:val="16"/>
        </w:rPr>
        <w:t>e</w:t>
      </w:r>
      <w:r w:rsidRPr="002C462C">
        <w:rPr>
          <w:rFonts w:ascii="Verdana" w:hAnsi="Verdana"/>
          <w:sz w:val="16"/>
          <w:szCs w:val="16"/>
        </w:rPr>
        <w:t xml:space="preserve">xpediente penal, </w:t>
      </w:r>
      <w:r w:rsidRPr="00432ABC">
        <w:rPr>
          <w:rFonts w:ascii="Verdana" w:hAnsi="Verdana"/>
          <w:sz w:val="16"/>
          <w:szCs w:val="16"/>
        </w:rPr>
        <w:t xml:space="preserve">f. 12321). </w:t>
      </w:r>
    </w:p>
  </w:footnote>
  <w:footnote w:id="225">
    <w:p w14:paraId="64AA620F" w14:textId="7E9B7F88" w:rsidR="00146958" w:rsidRPr="00432ABC" w:rsidRDefault="00146958">
      <w:pPr>
        <w:pStyle w:val="Textonotapie"/>
        <w:jc w:val="both"/>
        <w:rPr>
          <w:rFonts w:ascii="Verdana" w:hAnsi="Verdana"/>
          <w:i/>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Registro de “comportamiento telefónico” anexo al </w:t>
      </w:r>
      <w:r>
        <w:rPr>
          <w:rFonts w:ascii="Verdana" w:hAnsi="Verdana"/>
          <w:sz w:val="16"/>
          <w:szCs w:val="16"/>
        </w:rPr>
        <w:t>o</w:t>
      </w:r>
      <w:r w:rsidRPr="002C462C">
        <w:rPr>
          <w:rFonts w:ascii="Verdana" w:hAnsi="Verdana"/>
          <w:sz w:val="16"/>
          <w:szCs w:val="16"/>
        </w:rPr>
        <w:t xml:space="preserve">ficio CU-030-10 de 9 de febrero de 2010, </w:t>
      </w:r>
      <w:r w:rsidRPr="00432ABC">
        <w:rPr>
          <w:rFonts w:ascii="Verdana" w:hAnsi="Verdana"/>
          <w:i/>
          <w:sz w:val="16"/>
          <w:szCs w:val="16"/>
        </w:rPr>
        <w:t xml:space="preserve">supra </w:t>
      </w:r>
      <w:r w:rsidRPr="00432ABC">
        <w:rPr>
          <w:rFonts w:ascii="Verdana" w:hAnsi="Verdana"/>
          <w:sz w:val="16"/>
          <w:szCs w:val="16"/>
        </w:rPr>
        <w:t xml:space="preserve">f. 12324. </w:t>
      </w:r>
      <w:r w:rsidRPr="00432ABC">
        <w:rPr>
          <w:rFonts w:ascii="Verdana" w:hAnsi="Verdana"/>
          <w:i/>
          <w:sz w:val="16"/>
          <w:szCs w:val="16"/>
        </w:rPr>
        <w:t xml:space="preserve"> </w:t>
      </w:r>
    </w:p>
  </w:footnote>
  <w:footnote w:id="226">
    <w:p w14:paraId="64AA6210" w14:textId="5D25CD3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Comparecencia de María de Jesús Alvarado de 15 de febrero de 2010 ante el AMP adscrito a la </w:t>
      </w:r>
      <w:r w:rsidRPr="00432ABC">
        <w:rPr>
          <w:rFonts w:ascii="Verdana" w:hAnsi="Verdana" w:cs="Cambria"/>
          <w:sz w:val="16"/>
          <w:szCs w:val="16"/>
        </w:rPr>
        <w:t>UEIPAE - Chihuahua</w:t>
      </w:r>
      <w:r w:rsidRPr="00432ABC" w:rsidDel="00942E1E">
        <w:rPr>
          <w:rFonts w:ascii="Verdana" w:hAnsi="Verdana"/>
          <w:sz w:val="16"/>
          <w:szCs w:val="16"/>
        </w:rPr>
        <w:t xml:space="preserve">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 12333). </w:t>
      </w:r>
    </w:p>
  </w:footnote>
  <w:footnote w:id="227">
    <w:p w14:paraId="64AA6211" w14:textId="138E1FB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 Acuerdo de devolución de vehículo de 15 de febrero de 2010 suscrito por el AMP adscrito a la </w:t>
      </w:r>
      <w:r w:rsidRPr="00432ABC">
        <w:rPr>
          <w:rFonts w:ascii="Verdana" w:hAnsi="Verdana" w:cs="Cambria"/>
          <w:sz w:val="16"/>
          <w:szCs w:val="16"/>
        </w:rPr>
        <w:t>UEIPAE - Chihuahua</w:t>
      </w:r>
      <w:r w:rsidRPr="00432ABC">
        <w:rPr>
          <w:rFonts w:ascii="Verdana" w:hAnsi="Verdana"/>
          <w:sz w:val="16"/>
          <w:szCs w:val="16"/>
        </w:rPr>
        <w:t xml:space="preserve"> (expediente de prueba, </w:t>
      </w:r>
      <w:r>
        <w:rPr>
          <w:rFonts w:ascii="Verdana" w:hAnsi="Verdana"/>
          <w:sz w:val="16"/>
          <w:szCs w:val="16"/>
        </w:rPr>
        <w:t>e</w:t>
      </w:r>
      <w:r w:rsidRPr="00432ABC">
        <w:rPr>
          <w:rFonts w:ascii="Verdana" w:hAnsi="Verdana"/>
          <w:sz w:val="16"/>
          <w:szCs w:val="16"/>
        </w:rPr>
        <w:t xml:space="preserve">xpediente penal, f. 12334), y Oficio de Devolución de vehículo 246/2010 de 16 de febrero de 2010 suscrito por el AMP adscrito a la </w:t>
      </w:r>
      <w:r w:rsidRPr="00432ABC">
        <w:rPr>
          <w:rFonts w:ascii="Verdana" w:hAnsi="Verdana" w:cs="Cambria"/>
          <w:sz w:val="16"/>
          <w:szCs w:val="16"/>
        </w:rPr>
        <w:t>UEIPAE - Chihuahua</w:t>
      </w:r>
      <w:r w:rsidRPr="00432ABC">
        <w:rPr>
          <w:rFonts w:ascii="Verdana" w:hAnsi="Verdana"/>
          <w:sz w:val="16"/>
          <w:szCs w:val="16"/>
        </w:rPr>
        <w:t xml:space="preserve">, dirigido a la Coordinadora de la UEIPAE – Chihuahua (expediente de prueba, </w:t>
      </w:r>
      <w:r>
        <w:rPr>
          <w:rFonts w:ascii="Verdana" w:hAnsi="Verdana"/>
          <w:sz w:val="16"/>
          <w:szCs w:val="16"/>
        </w:rPr>
        <w:t>e</w:t>
      </w:r>
      <w:r w:rsidRPr="00432ABC">
        <w:rPr>
          <w:rFonts w:ascii="Verdana" w:hAnsi="Verdana"/>
          <w:sz w:val="16"/>
          <w:szCs w:val="16"/>
        </w:rPr>
        <w:t xml:space="preserve">xpediente penal, f. 12338).  </w:t>
      </w:r>
    </w:p>
  </w:footnote>
  <w:footnote w:id="228">
    <w:p w14:paraId="64AA6212" w14:textId="5123B8D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Oficio No. PGJE</w:t>
      </w:r>
      <w:r w:rsidRPr="00432ABC">
        <w:rPr>
          <w:rFonts w:ascii="Verdana" w:hAnsi="Verdana"/>
          <w:sz w:val="16"/>
          <w:szCs w:val="16"/>
        </w:rPr>
        <w:t xml:space="preserve">-UEIPAE-CDJ-312/2010 de 24 de febrero de 2010 suscrito por la AMP Coordinadora de la </w:t>
      </w:r>
      <w:r w:rsidRPr="00432ABC">
        <w:rPr>
          <w:rFonts w:ascii="Verdana" w:hAnsi="Verdana" w:cs="Cambria"/>
          <w:sz w:val="16"/>
          <w:szCs w:val="16"/>
        </w:rPr>
        <w:t>UEIPAE - Chihuahua</w:t>
      </w:r>
      <w:r w:rsidRPr="00432ABC">
        <w:rPr>
          <w:rFonts w:ascii="Verdana" w:hAnsi="Verdana"/>
          <w:sz w:val="16"/>
          <w:szCs w:val="16"/>
        </w:rPr>
        <w:t xml:space="preserve">, dirigido al Subprocurador General de Justicia de Chihuahua (expediente de prueba, </w:t>
      </w:r>
      <w:r>
        <w:rPr>
          <w:rFonts w:ascii="Verdana" w:hAnsi="Verdana"/>
          <w:sz w:val="16"/>
          <w:szCs w:val="16"/>
        </w:rPr>
        <w:t>e</w:t>
      </w:r>
      <w:r w:rsidRPr="00432ABC">
        <w:rPr>
          <w:rFonts w:ascii="Verdana" w:hAnsi="Verdana"/>
          <w:sz w:val="16"/>
          <w:szCs w:val="16"/>
        </w:rPr>
        <w:t>xpediente penal, f. 12359)</w:t>
      </w:r>
      <w:r>
        <w:rPr>
          <w:rFonts w:ascii="Verdana" w:hAnsi="Verdana"/>
          <w:sz w:val="16"/>
          <w:szCs w:val="16"/>
        </w:rPr>
        <w:t xml:space="preserve">, y </w:t>
      </w:r>
      <w:r w:rsidRPr="00432ABC">
        <w:rPr>
          <w:rFonts w:ascii="Verdana" w:hAnsi="Verdana"/>
          <w:sz w:val="16"/>
          <w:szCs w:val="16"/>
        </w:rPr>
        <w:t xml:space="preserve">Oficio </w:t>
      </w:r>
      <w:r>
        <w:rPr>
          <w:rFonts w:ascii="Verdana" w:hAnsi="Verdana"/>
          <w:sz w:val="16"/>
          <w:szCs w:val="16"/>
        </w:rPr>
        <w:t xml:space="preserve">No. </w:t>
      </w:r>
      <w:r w:rsidRPr="00432ABC">
        <w:rPr>
          <w:rFonts w:ascii="Verdana" w:hAnsi="Verdana"/>
          <w:sz w:val="16"/>
          <w:szCs w:val="16"/>
        </w:rPr>
        <w:t xml:space="preserve">949/2010 de 3 de marzo de 2010, suscrito por el Subprocurador General de Justicia de Chihuahua, dirigido al apoderado legal de Pegaso Comunicaciones y Sistemas Movistar, S.A. de C.V. (expediente de prueba, </w:t>
      </w:r>
      <w:r>
        <w:rPr>
          <w:rFonts w:ascii="Verdana" w:hAnsi="Verdana"/>
          <w:sz w:val="16"/>
          <w:szCs w:val="16"/>
        </w:rPr>
        <w:t>e</w:t>
      </w:r>
      <w:r w:rsidRPr="00432ABC">
        <w:rPr>
          <w:rFonts w:ascii="Verdana" w:hAnsi="Verdana"/>
          <w:sz w:val="16"/>
          <w:szCs w:val="16"/>
        </w:rPr>
        <w:t xml:space="preserve">xpediente penal, f. 12360). </w:t>
      </w:r>
    </w:p>
  </w:footnote>
  <w:footnote w:id="229">
    <w:p w14:paraId="64AA6213" w14:textId="29754D6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Oficio </w:t>
      </w:r>
      <w:r>
        <w:rPr>
          <w:rFonts w:ascii="Verdana" w:hAnsi="Verdana"/>
          <w:sz w:val="16"/>
          <w:szCs w:val="16"/>
        </w:rPr>
        <w:t xml:space="preserve">No. </w:t>
      </w:r>
      <w:r w:rsidRPr="002C462C">
        <w:rPr>
          <w:rFonts w:ascii="Verdana" w:hAnsi="Verdana"/>
          <w:sz w:val="16"/>
          <w:szCs w:val="16"/>
        </w:rPr>
        <w:t>700/2010 de 24 de f</w:t>
      </w:r>
      <w:r w:rsidRPr="00432ABC">
        <w:rPr>
          <w:rFonts w:ascii="Verdana" w:hAnsi="Verdana"/>
          <w:sz w:val="16"/>
          <w:szCs w:val="16"/>
        </w:rPr>
        <w:t>ebrero de 2010</w:t>
      </w:r>
      <w:r w:rsidRPr="00432ABC">
        <w:rPr>
          <w:rFonts w:ascii="Verdana" w:hAnsi="Verdana" w:cs="Cambria"/>
          <w:sz w:val="16"/>
          <w:szCs w:val="16"/>
        </w:rPr>
        <w:t xml:space="preserve"> dirigido a la Procuradora General de Justicia del Estado de Chihuahua (expediente de prueba, expediente penal, f. 12374), </w:t>
      </w:r>
      <w:r>
        <w:rPr>
          <w:rFonts w:ascii="Verdana" w:hAnsi="Verdana" w:cs="Cambria"/>
          <w:sz w:val="16"/>
          <w:szCs w:val="16"/>
        </w:rPr>
        <w:t xml:space="preserve"> </w:t>
      </w:r>
      <w:r w:rsidRPr="00432ABC">
        <w:rPr>
          <w:rFonts w:ascii="Verdana" w:hAnsi="Verdana" w:cs="Cambria"/>
          <w:sz w:val="16"/>
          <w:szCs w:val="16"/>
        </w:rPr>
        <w:t xml:space="preserve">Escrito de Respuesta a Oficio 949/2010 de 16 de marzo de 2010 dirigido a la PGJE – Chihuahua (expediente de prueba, </w:t>
      </w:r>
      <w:r>
        <w:rPr>
          <w:rFonts w:ascii="Verdana" w:hAnsi="Verdana" w:cs="Cambria"/>
          <w:sz w:val="16"/>
          <w:szCs w:val="16"/>
        </w:rPr>
        <w:t>e</w:t>
      </w:r>
      <w:r w:rsidRPr="00432ABC">
        <w:rPr>
          <w:rFonts w:ascii="Verdana" w:hAnsi="Verdana" w:cs="Cambria"/>
          <w:sz w:val="16"/>
          <w:szCs w:val="16"/>
        </w:rPr>
        <w:t xml:space="preserve">xpediente penal, f. 12375), y Oficio 1123/2010 de 5 de enero de 2011 dirigido a la Fiscalía Especializada en Control, Análisis y Evaluación de la FGE – Chihuahua (expediente de prueba, </w:t>
      </w:r>
      <w:r>
        <w:rPr>
          <w:rFonts w:ascii="Verdana" w:hAnsi="Verdana" w:cs="Cambria"/>
          <w:sz w:val="16"/>
          <w:szCs w:val="16"/>
        </w:rPr>
        <w:t>e</w:t>
      </w:r>
      <w:r w:rsidRPr="00432ABC">
        <w:rPr>
          <w:rFonts w:ascii="Verdana" w:hAnsi="Verdana" w:cs="Cambria"/>
          <w:sz w:val="16"/>
          <w:szCs w:val="16"/>
        </w:rPr>
        <w:t>xpediente penal, f. 12677).</w:t>
      </w:r>
    </w:p>
  </w:footnote>
  <w:footnote w:id="230">
    <w:p w14:paraId="64AA6214" w14:textId="6430FC0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Parte </w:t>
      </w:r>
      <w:r w:rsidRPr="00432ABC">
        <w:rPr>
          <w:rFonts w:ascii="Verdana" w:hAnsi="Verdana"/>
          <w:sz w:val="16"/>
          <w:szCs w:val="16"/>
        </w:rPr>
        <w:t xml:space="preserve">informativo de investigación de 31 de agosto de 2010, anexo al Oficio No. 2410/2010 suscrito por el Coordinador “B” de la Policía Ministerial de la Agencia Estatal de Investigaciones adscrito a la UEIPAE – Chihuahua (expediente de prueba, </w:t>
      </w:r>
      <w:r>
        <w:rPr>
          <w:rFonts w:ascii="Verdana" w:hAnsi="Verdana"/>
          <w:sz w:val="16"/>
          <w:szCs w:val="16"/>
        </w:rPr>
        <w:t>e</w:t>
      </w:r>
      <w:r w:rsidRPr="00432ABC">
        <w:rPr>
          <w:rFonts w:ascii="Verdana" w:hAnsi="Verdana"/>
          <w:sz w:val="16"/>
          <w:szCs w:val="16"/>
        </w:rPr>
        <w:t xml:space="preserve">xpediente penal, ff. 12596 a 12605). </w:t>
      </w:r>
    </w:p>
  </w:footnote>
  <w:footnote w:id="231">
    <w:p w14:paraId="64AA6215" w14:textId="4BAFBFD7"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Oficio </w:t>
      </w:r>
      <w:r>
        <w:rPr>
          <w:rFonts w:ascii="Verdana" w:hAnsi="Verdana"/>
          <w:sz w:val="16"/>
          <w:szCs w:val="16"/>
        </w:rPr>
        <w:t xml:space="preserve">No. </w:t>
      </w:r>
      <w:r w:rsidRPr="00432ABC">
        <w:rPr>
          <w:rFonts w:ascii="Verdana" w:hAnsi="Verdana"/>
          <w:sz w:val="16"/>
          <w:szCs w:val="16"/>
        </w:rPr>
        <w:t>PGJE-UEIPAE-CDJ-310/2011 de 1 de febrero de 2011 suscrito por el Fiscal de Distrito de la Fiscalía Especializada en Investigación y Persecución del Delito, dirigido al Director General de Ecología y Protección Ci</w:t>
      </w:r>
      <w:r w:rsidRPr="002C462C">
        <w:rPr>
          <w:rFonts w:ascii="Verdana" w:hAnsi="Verdana"/>
          <w:sz w:val="16"/>
          <w:szCs w:val="16"/>
        </w:rPr>
        <w:t xml:space="preserve">vil (expediente de prueba, expediente penal, f. 12689). </w:t>
      </w:r>
    </w:p>
  </w:footnote>
  <w:footnote w:id="232">
    <w:p w14:paraId="64AA6216" w14:textId="5A526B5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Oficio </w:t>
      </w:r>
      <w:r>
        <w:rPr>
          <w:rFonts w:ascii="Verdana" w:hAnsi="Verdana"/>
          <w:sz w:val="16"/>
          <w:szCs w:val="16"/>
        </w:rPr>
        <w:t xml:space="preserve">No. </w:t>
      </w:r>
      <w:r w:rsidRPr="00432ABC">
        <w:rPr>
          <w:rFonts w:ascii="Verdana" w:hAnsi="Verdana"/>
          <w:sz w:val="16"/>
          <w:szCs w:val="16"/>
        </w:rPr>
        <w:t xml:space="preserve">PGJE-UEIPAE-CDJ-/487/2011 de 23 de febrero de 2011 </w:t>
      </w:r>
      <w:r>
        <w:rPr>
          <w:rFonts w:ascii="Verdana" w:hAnsi="Verdana"/>
          <w:sz w:val="16"/>
          <w:szCs w:val="16"/>
        </w:rPr>
        <w:t xml:space="preserve">suscrito por el AMP-UEIPAE Chihuahua, </w:t>
      </w:r>
      <w:r w:rsidRPr="00432ABC">
        <w:rPr>
          <w:rFonts w:ascii="Verdana" w:hAnsi="Verdana"/>
          <w:sz w:val="16"/>
          <w:szCs w:val="16"/>
        </w:rPr>
        <w:t xml:space="preserve">dirigido a la Fiscal Especial de la FEVIMTRA - PGR (expediente de prueba, </w:t>
      </w:r>
      <w:r>
        <w:rPr>
          <w:rFonts w:ascii="Verdana" w:hAnsi="Verdana"/>
          <w:sz w:val="16"/>
          <w:szCs w:val="16"/>
        </w:rPr>
        <w:t>e</w:t>
      </w:r>
      <w:r w:rsidRPr="00432ABC">
        <w:rPr>
          <w:rFonts w:ascii="Verdana" w:hAnsi="Verdana"/>
          <w:sz w:val="16"/>
          <w:szCs w:val="16"/>
        </w:rPr>
        <w:t xml:space="preserve">xpediente penal, f. 12690). </w:t>
      </w:r>
    </w:p>
  </w:footnote>
  <w:footnote w:id="233">
    <w:p w14:paraId="64AA6217" w14:textId="5078DFB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sidRPr="00432ABC">
        <w:rPr>
          <w:rFonts w:ascii="Verdana" w:hAnsi="Verdana"/>
          <w:sz w:val="16"/>
          <w:szCs w:val="16"/>
        </w:rPr>
        <w:t xml:space="preserve">No. FGE-UEIPAE-CDJ-1486/2011 de 16 de junio de 2011 </w:t>
      </w:r>
      <w:r>
        <w:rPr>
          <w:rFonts w:ascii="Verdana" w:hAnsi="Verdana"/>
          <w:sz w:val="16"/>
          <w:szCs w:val="16"/>
        </w:rPr>
        <w:t xml:space="preserve">suscrito por el Coordinador de la UEIPAE-Chihuahua, </w:t>
      </w:r>
      <w:r w:rsidRPr="00432ABC">
        <w:rPr>
          <w:rFonts w:ascii="Verdana" w:hAnsi="Verdana"/>
          <w:sz w:val="16"/>
          <w:szCs w:val="16"/>
        </w:rPr>
        <w:t xml:space="preserve">dirigido al Fiscal Especializado en Seguridad Pública y Prevención del Delito (expediente de prueba, </w:t>
      </w:r>
      <w:r>
        <w:rPr>
          <w:rFonts w:ascii="Verdana" w:hAnsi="Verdana"/>
          <w:sz w:val="16"/>
          <w:szCs w:val="16"/>
        </w:rPr>
        <w:t>e</w:t>
      </w:r>
      <w:r w:rsidRPr="00432ABC">
        <w:rPr>
          <w:rFonts w:ascii="Verdana" w:hAnsi="Verdana"/>
          <w:sz w:val="16"/>
          <w:szCs w:val="16"/>
        </w:rPr>
        <w:t xml:space="preserve">xpediente penal, f. 12716), y Oficio No. FGE-UEIPAE-CDJ-1486/2011 de 16 de junio de 2011 suscrito por el Coordinador de la UEIPAE – Chihuahua, dirigido al Director Operativo de la Coordinadora Estatal de Protección Civil del Gobierno del Estado de Chihuahua (expediente de prueba, </w:t>
      </w:r>
      <w:r>
        <w:rPr>
          <w:rFonts w:ascii="Verdana" w:hAnsi="Verdana"/>
          <w:sz w:val="16"/>
          <w:szCs w:val="16"/>
        </w:rPr>
        <w:t>e</w:t>
      </w:r>
      <w:r w:rsidRPr="00432ABC">
        <w:rPr>
          <w:rFonts w:ascii="Verdana" w:hAnsi="Verdana"/>
          <w:sz w:val="16"/>
          <w:szCs w:val="16"/>
        </w:rPr>
        <w:t xml:space="preserve">xpediente penal, f. 12717). </w:t>
      </w:r>
    </w:p>
  </w:footnote>
  <w:footnote w:id="234">
    <w:p w14:paraId="64AA6218" w14:textId="4BEE731B" w:rsidR="00146958" w:rsidRPr="00432ABC" w:rsidRDefault="00146958">
      <w:pPr>
        <w:pStyle w:val="Textonotapie"/>
        <w:jc w:val="both"/>
        <w:rPr>
          <w:rFonts w:ascii="Verdana" w:hAnsi="Verdana"/>
          <w:sz w:val="16"/>
          <w:szCs w:val="16"/>
          <w:highlight w:val="yellow"/>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2042/2011 de</w:t>
      </w:r>
      <w:r w:rsidRPr="00432ABC">
        <w:rPr>
          <w:rFonts w:ascii="Verdana" w:hAnsi="Verdana"/>
          <w:sz w:val="16"/>
          <w:szCs w:val="16"/>
        </w:rPr>
        <w:t xml:space="preserve"> 11 de febrero de 2011 suscrito por el Director General Ecología y Protección Civil, dirigido a la Fiscal de Distrito de la Fiscalía Especializada en Investigación y Persecución del Delito de la PGJE – Chihuahua (expediente de prueba, </w:t>
      </w:r>
      <w:r>
        <w:rPr>
          <w:rFonts w:ascii="Verdana" w:hAnsi="Verdana"/>
          <w:sz w:val="16"/>
          <w:szCs w:val="16"/>
        </w:rPr>
        <w:t>e</w:t>
      </w:r>
      <w:r w:rsidRPr="00432ABC">
        <w:rPr>
          <w:rFonts w:ascii="Verdana" w:hAnsi="Verdana"/>
          <w:sz w:val="16"/>
          <w:szCs w:val="16"/>
        </w:rPr>
        <w:t xml:space="preserve">xpediente penal, f. 12694); Oficio FEVIMTRA-N/DAP/0136/2011 de 18 de abril de 2011 suscrito por la AMPF adscrita a la Oficina Regional Norte de la FEVIMTRA - PGR, dirigido al Coordinador de la UEIPAE – Chihuahua  (expediente de prueba, </w:t>
      </w:r>
      <w:r>
        <w:rPr>
          <w:rFonts w:ascii="Verdana" w:hAnsi="Verdana"/>
          <w:sz w:val="16"/>
          <w:szCs w:val="16"/>
        </w:rPr>
        <w:t>e</w:t>
      </w:r>
      <w:r w:rsidRPr="00432ABC">
        <w:rPr>
          <w:rFonts w:ascii="Verdana" w:hAnsi="Verdana"/>
          <w:sz w:val="16"/>
          <w:szCs w:val="16"/>
        </w:rPr>
        <w:t xml:space="preserve">xpediente penal, f. 12695), y Oficio No. O.C. 541.2011 de 17 de junio de 2011 suscrito por el Coordinador Estatal de Protección Civil, dirigido al Fiscal Especializado en Seguridad Pública y Prevención del Delito (expediente de prueba, </w:t>
      </w:r>
      <w:r>
        <w:rPr>
          <w:rFonts w:ascii="Verdana" w:hAnsi="Verdana"/>
          <w:sz w:val="16"/>
          <w:szCs w:val="16"/>
        </w:rPr>
        <w:t>e</w:t>
      </w:r>
      <w:r w:rsidRPr="00432ABC">
        <w:rPr>
          <w:rFonts w:ascii="Verdana" w:hAnsi="Verdana"/>
          <w:sz w:val="16"/>
          <w:szCs w:val="16"/>
        </w:rPr>
        <w:t xml:space="preserve">xpediente penal, f. 12719). </w:t>
      </w:r>
    </w:p>
  </w:footnote>
  <w:footnote w:id="235">
    <w:p w14:paraId="64AA6219" w14:textId="6BB627D3"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Incompetencia de 28 de mayo de 2010 suscrito por el Fiscal Especializado en la Investigación y Persecución del Delito Zona Norte (expediente de prueba, </w:t>
      </w:r>
      <w:r>
        <w:rPr>
          <w:rFonts w:ascii="Verdana" w:hAnsi="Verdana"/>
          <w:sz w:val="16"/>
          <w:szCs w:val="16"/>
        </w:rPr>
        <w:t>e</w:t>
      </w:r>
      <w:r w:rsidRPr="002C462C">
        <w:rPr>
          <w:rFonts w:ascii="Verdana" w:hAnsi="Verdana"/>
          <w:sz w:val="16"/>
          <w:szCs w:val="16"/>
        </w:rPr>
        <w:t>xpediente penal, ff. 12771 a 12772).</w:t>
      </w:r>
    </w:p>
  </w:footnote>
  <w:footnote w:id="236">
    <w:p w14:paraId="64AA621A" w14:textId="10E33B4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1658/2012 de 28 d</w:t>
      </w:r>
      <w:r w:rsidRPr="00432ABC">
        <w:rPr>
          <w:rFonts w:ascii="Verdana" w:hAnsi="Verdana"/>
          <w:sz w:val="16"/>
          <w:szCs w:val="16"/>
        </w:rPr>
        <w:t xml:space="preserve">e mayo de 2012 suscrito por el Coordinador de la UEIPAE – Chihuahua [por el que remite la Av. Prev. 124/2009 a la Delegación de la PGR -  Chihuahua] (expediente de prueba, </w:t>
      </w:r>
      <w:r>
        <w:rPr>
          <w:rFonts w:ascii="Verdana" w:hAnsi="Verdana"/>
          <w:sz w:val="16"/>
          <w:szCs w:val="16"/>
        </w:rPr>
        <w:t>e</w:t>
      </w:r>
      <w:r w:rsidRPr="00432ABC">
        <w:rPr>
          <w:rFonts w:ascii="Verdana" w:hAnsi="Verdana"/>
          <w:sz w:val="16"/>
          <w:szCs w:val="16"/>
        </w:rPr>
        <w:t xml:space="preserve">xpediente penal, f. 12290), y </w:t>
      </w:r>
      <w:r>
        <w:rPr>
          <w:rFonts w:ascii="Verdana" w:hAnsi="Verdana"/>
          <w:sz w:val="16"/>
          <w:szCs w:val="16"/>
        </w:rPr>
        <w:t>O</w:t>
      </w:r>
      <w:r w:rsidRPr="00432ABC">
        <w:rPr>
          <w:rFonts w:ascii="Verdana" w:hAnsi="Verdana"/>
          <w:sz w:val="16"/>
          <w:szCs w:val="16"/>
        </w:rPr>
        <w:t>ficio No. SSP “A”/388/2012 de 28 de mayo de 201</w:t>
      </w:r>
      <w:r>
        <w:rPr>
          <w:rFonts w:ascii="Verdana" w:hAnsi="Verdana"/>
          <w:sz w:val="16"/>
          <w:szCs w:val="16"/>
        </w:rPr>
        <w:t>2</w:t>
      </w:r>
      <w:r w:rsidRPr="00432ABC">
        <w:rPr>
          <w:rFonts w:ascii="Verdana" w:hAnsi="Verdana"/>
          <w:sz w:val="16"/>
          <w:szCs w:val="16"/>
        </w:rPr>
        <w:t xml:space="preserve"> suscrito por el AMPF, Encargado de la Subdelegación de Procedimientos Penales “A”, dirigido a la 11ªAMPF – PGR [por el que ordena que la Carpeta de Investigación 124/2009-5326 se integre a la Averiguación Previa AP/PGR/CHIH/JUA/467/2012] (expediente de prueba, </w:t>
      </w:r>
      <w:r>
        <w:rPr>
          <w:rFonts w:ascii="Verdana" w:hAnsi="Verdana"/>
          <w:sz w:val="16"/>
          <w:szCs w:val="16"/>
        </w:rPr>
        <w:t>e</w:t>
      </w:r>
      <w:r w:rsidRPr="00432ABC">
        <w:rPr>
          <w:rFonts w:ascii="Verdana" w:hAnsi="Verdana"/>
          <w:sz w:val="16"/>
          <w:szCs w:val="16"/>
        </w:rPr>
        <w:t>xpediente penal,</w:t>
      </w:r>
      <w:r>
        <w:rPr>
          <w:rFonts w:ascii="Verdana" w:hAnsi="Verdana"/>
          <w:sz w:val="16"/>
          <w:szCs w:val="16"/>
        </w:rPr>
        <w:t xml:space="preserve"> </w:t>
      </w:r>
      <w:r w:rsidRPr="00432ABC">
        <w:rPr>
          <w:rFonts w:ascii="Verdana" w:hAnsi="Verdana"/>
          <w:sz w:val="16"/>
          <w:szCs w:val="16"/>
        </w:rPr>
        <w:t xml:space="preserve">f. 12289). </w:t>
      </w:r>
    </w:p>
  </w:footnote>
  <w:footnote w:id="237">
    <w:p w14:paraId="64AA621B" w14:textId="660ACC15"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sin número de 6 de enero de 2010 dirigido al Delegado Estatal de la PGR – Chihuahua (expediente de prueba, </w:t>
      </w:r>
      <w:r>
        <w:rPr>
          <w:rFonts w:ascii="Verdana" w:hAnsi="Verdana"/>
          <w:sz w:val="16"/>
          <w:szCs w:val="16"/>
        </w:rPr>
        <w:t>e</w:t>
      </w:r>
      <w:r w:rsidRPr="002C462C">
        <w:rPr>
          <w:rFonts w:ascii="Verdana" w:hAnsi="Verdana"/>
          <w:sz w:val="16"/>
          <w:szCs w:val="16"/>
        </w:rPr>
        <w:t>xpediente penal, f. 5231).</w:t>
      </w:r>
    </w:p>
  </w:footnote>
  <w:footnote w:id="238">
    <w:p w14:paraId="64AA621C" w14:textId="1E3FD55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María de Jesús </w:t>
      </w:r>
      <w:r>
        <w:rPr>
          <w:rFonts w:ascii="Verdana" w:hAnsi="Verdana"/>
          <w:sz w:val="16"/>
          <w:szCs w:val="16"/>
        </w:rPr>
        <w:t xml:space="preserve">Alvarado </w:t>
      </w:r>
      <w:r w:rsidRPr="002C462C">
        <w:rPr>
          <w:rFonts w:ascii="Verdana" w:hAnsi="Verdana"/>
          <w:sz w:val="16"/>
          <w:szCs w:val="16"/>
        </w:rPr>
        <w:t>Espinoz</w:t>
      </w:r>
      <w:r w:rsidRPr="00432ABC">
        <w:rPr>
          <w:rFonts w:ascii="Verdana" w:hAnsi="Verdana"/>
          <w:sz w:val="16"/>
          <w:szCs w:val="16"/>
        </w:rPr>
        <w:t xml:space="preserve">a rendida el 6 de enero de 2010 ante la 7ªAMPF (expediente de prueba, </w:t>
      </w:r>
      <w:r>
        <w:rPr>
          <w:rFonts w:ascii="Verdana" w:hAnsi="Verdana"/>
          <w:sz w:val="16"/>
          <w:szCs w:val="16"/>
        </w:rPr>
        <w:t>e</w:t>
      </w:r>
      <w:r w:rsidRPr="00432ABC">
        <w:rPr>
          <w:rFonts w:ascii="Verdana" w:hAnsi="Verdana"/>
          <w:sz w:val="16"/>
          <w:szCs w:val="16"/>
        </w:rPr>
        <w:t>xpediente penal, f. 5231).</w:t>
      </w:r>
    </w:p>
  </w:footnote>
  <w:footnote w:id="239">
    <w:p w14:paraId="64AA621D" w14:textId="1499D1F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declinatoria de competencia por razón de fuero de</w:t>
      </w:r>
      <w:r w:rsidRPr="00432ABC">
        <w:rPr>
          <w:rFonts w:ascii="Verdana" w:hAnsi="Verdana"/>
          <w:b/>
          <w:sz w:val="16"/>
          <w:szCs w:val="16"/>
        </w:rPr>
        <w:t xml:space="preserve"> </w:t>
      </w:r>
      <w:r w:rsidRPr="00432ABC">
        <w:rPr>
          <w:rFonts w:ascii="Verdana" w:hAnsi="Verdana"/>
          <w:sz w:val="16"/>
          <w:szCs w:val="16"/>
        </w:rPr>
        <w:t>1</w:t>
      </w:r>
      <w:r>
        <w:rPr>
          <w:rFonts w:ascii="Verdana" w:hAnsi="Verdana"/>
          <w:sz w:val="16"/>
          <w:szCs w:val="16"/>
        </w:rPr>
        <w:t>3</w:t>
      </w:r>
      <w:r w:rsidRPr="00432ABC">
        <w:rPr>
          <w:rFonts w:ascii="Verdana" w:hAnsi="Verdana"/>
          <w:sz w:val="16"/>
          <w:szCs w:val="16"/>
        </w:rPr>
        <w:t xml:space="preserve"> de </w:t>
      </w:r>
      <w:r>
        <w:rPr>
          <w:rFonts w:ascii="Verdana" w:hAnsi="Verdana"/>
          <w:sz w:val="16"/>
          <w:szCs w:val="16"/>
        </w:rPr>
        <w:t>en</w:t>
      </w:r>
      <w:r w:rsidRPr="00432ABC">
        <w:rPr>
          <w:rFonts w:ascii="Verdana" w:hAnsi="Verdana"/>
          <w:sz w:val="16"/>
          <w:szCs w:val="16"/>
        </w:rPr>
        <w:t xml:space="preserve">ero de </w:t>
      </w:r>
      <w:r>
        <w:rPr>
          <w:rFonts w:ascii="Verdana" w:hAnsi="Verdana"/>
          <w:sz w:val="16"/>
          <w:szCs w:val="16"/>
        </w:rPr>
        <w:t>[</w:t>
      </w:r>
      <w:r w:rsidRPr="00432ABC">
        <w:rPr>
          <w:rFonts w:ascii="Verdana" w:hAnsi="Verdana"/>
          <w:sz w:val="16"/>
          <w:szCs w:val="16"/>
        </w:rPr>
        <w:t>2010</w:t>
      </w:r>
      <w:r>
        <w:rPr>
          <w:rFonts w:ascii="Verdana" w:hAnsi="Verdana"/>
          <w:sz w:val="16"/>
          <w:szCs w:val="16"/>
        </w:rPr>
        <w:t>]</w:t>
      </w:r>
      <w:r w:rsidRPr="00432ABC">
        <w:rPr>
          <w:rFonts w:ascii="Verdana" w:hAnsi="Verdana"/>
          <w:sz w:val="16"/>
          <w:szCs w:val="16"/>
        </w:rPr>
        <w:t xml:space="preserve"> del titular de la 7ªAMPF</w:t>
      </w:r>
      <w:r w:rsidRPr="00432ABC" w:rsidDel="00F17DBC">
        <w:rPr>
          <w:rFonts w:ascii="Verdana" w:hAnsi="Verdana"/>
          <w:sz w:val="16"/>
          <w:szCs w:val="16"/>
        </w:rPr>
        <w:t xml:space="preserve"> </w:t>
      </w:r>
      <w:r w:rsidRPr="00432ABC">
        <w:rPr>
          <w:rFonts w:ascii="Verdana" w:hAnsi="Verdana"/>
          <w:sz w:val="16"/>
          <w:szCs w:val="16"/>
        </w:rPr>
        <w:t>de la PGR – Chihuahua</w:t>
      </w:r>
      <w:r w:rsidRPr="00432ABC" w:rsidDel="00F17DBC">
        <w:rPr>
          <w:rFonts w:ascii="Verdana" w:hAnsi="Verdana"/>
          <w:sz w:val="16"/>
          <w:szCs w:val="16"/>
        </w:rPr>
        <w:t xml:space="preserve">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ff. 5238 a 5239).</w:t>
      </w:r>
    </w:p>
  </w:footnote>
  <w:footnote w:id="240">
    <w:p w14:paraId="64AA621E" w14:textId="7866977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sin número de 10 de febrero de 2010 suscrito por el </w:t>
      </w:r>
      <w:r w:rsidRPr="00432ABC">
        <w:rPr>
          <w:rFonts w:ascii="Verdana" w:hAnsi="Verdana"/>
          <w:sz w:val="16"/>
          <w:szCs w:val="16"/>
          <w:lang w:val="es-AR"/>
        </w:rPr>
        <w:t>Encargado del Despacho de la Delegación Estatal de la PGR -  Chihuahua</w:t>
      </w:r>
      <w:r w:rsidRPr="00432ABC">
        <w:rPr>
          <w:rFonts w:ascii="Verdana" w:hAnsi="Verdana"/>
          <w:sz w:val="16"/>
          <w:szCs w:val="16"/>
        </w:rPr>
        <w:t xml:space="preserve"> en Ciudad Juárez, dirigido al titular de la 7ªAMPF de la PGR – Chihuahua (expediente de prueba, </w:t>
      </w:r>
      <w:r>
        <w:rPr>
          <w:rFonts w:ascii="Verdana" w:hAnsi="Verdana"/>
          <w:sz w:val="16"/>
          <w:szCs w:val="16"/>
        </w:rPr>
        <w:t>e</w:t>
      </w:r>
      <w:r w:rsidRPr="00432ABC">
        <w:rPr>
          <w:rFonts w:ascii="Verdana" w:hAnsi="Verdana"/>
          <w:sz w:val="16"/>
          <w:szCs w:val="16"/>
        </w:rPr>
        <w:t xml:space="preserve">xpediente penal, ff. 5241 a 5242), y </w:t>
      </w:r>
      <w:r>
        <w:rPr>
          <w:rFonts w:ascii="Verdana" w:hAnsi="Verdana"/>
          <w:sz w:val="16"/>
          <w:szCs w:val="16"/>
        </w:rPr>
        <w:t>O</w:t>
      </w:r>
      <w:r w:rsidRPr="00432ABC">
        <w:rPr>
          <w:rFonts w:ascii="Verdana" w:hAnsi="Verdana"/>
          <w:sz w:val="16"/>
          <w:szCs w:val="16"/>
        </w:rPr>
        <w:t xml:space="preserve">ficio No. 842/2010 de 20 de febrero de 2010 suscrito por el titular de la 7ªAMPF de la PGR – Chihuahua, dirigido al Agente del Ministerio Público Militar de la Guarnición Militar de Ciudad Juárez, Chihuahua [AMPM – GMCJ] (expediente de prueba, </w:t>
      </w:r>
      <w:r>
        <w:rPr>
          <w:rFonts w:ascii="Verdana" w:hAnsi="Verdana"/>
          <w:sz w:val="16"/>
          <w:szCs w:val="16"/>
        </w:rPr>
        <w:t>e</w:t>
      </w:r>
      <w:r w:rsidRPr="00432ABC">
        <w:rPr>
          <w:rFonts w:ascii="Verdana" w:hAnsi="Verdana"/>
          <w:sz w:val="16"/>
          <w:szCs w:val="16"/>
        </w:rPr>
        <w:t>xpediente penal, f. 5226).</w:t>
      </w:r>
    </w:p>
  </w:footnote>
  <w:footnote w:id="241">
    <w:p w14:paraId="64AA621F" w14:textId="6C71A7F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Acuerdo de </w:t>
      </w:r>
      <w:r>
        <w:rPr>
          <w:rFonts w:ascii="Verdana" w:hAnsi="Verdana"/>
          <w:sz w:val="16"/>
          <w:szCs w:val="16"/>
        </w:rPr>
        <w:t>i</w:t>
      </w:r>
      <w:r w:rsidRPr="002C462C">
        <w:rPr>
          <w:rFonts w:ascii="Verdana" w:hAnsi="Verdana"/>
          <w:sz w:val="16"/>
          <w:szCs w:val="16"/>
        </w:rPr>
        <w:t xml:space="preserve">nicio de </w:t>
      </w:r>
      <w:r>
        <w:rPr>
          <w:rFonts w:ascii="Verdana" w:hAnsi="Verdana"/>
          <w:sz w:val="16"/>
          <w:szCs w:val="16"/>
        </w:rPr>
        <w:t>a</w:t>
      </w:r>
      <w:r w:rsidRPr="002C462C">
        <w:rPr>
          <w:rFonts w:ascii="Verdana" w:hAnsi="Verdana"/>
          <w:sz w:val="16"/>
          <w:szCs w:val="16"/>
        </w:rPr>
        <w:t xml:space="preserve">cta </w:t>
      </w:r>
      <w:r>
        <w:rPr>
          <w:rFonts w:ascii="Verdana" w:hAnsi="Verdana"/>
          <w:sz w:val="16"/>
          <w:szCs w:val="16"/>
        </w:rPr>
        <w:t>c</w:t>
      </w:r>
      <w:r w:rsidRPr="002C462C">
        <w:rPr>
          <w:rFonts w:ascii="Verdana" w:hAnsi="Verdana"/>
          <w:sz w:val="16"/>
          <w:szCs w:val="16"/>
        </w:rPr>
        <w:t xml:space="preserve">ircunstanciada </w:t>
      </w:r>
      <w:r w:rsidRPr="00432ABC">
        <w:rPr>
          <w:rFonts w:ascii="Verdana" w:hAnsi="Verdana"/>
          <w:sz w:val="16"/>
          <w:szCs w:val="16"/>
          <w:lang w:val="es-AR"/>
        </w:rPr>
        <w:t>AC/PGR/CHIH/NCG/219/2010 de 15 de febrero de 2010</w:t>
      </w:r>
      <w:r w:rsidRPr="00432ABC">
        <w:rPr>
          <w:rFonts w:ascii="Verdana" w:hAnsi="Verdana"/>
          <w:sz w:val="16"/>
          <w:szCs w:val="16"/>
        </w:rPr>
        <w:t xml:space="preserve"> suscrito por el Agente del Ministerio Público de la Federación titular de la Agencia Única Investigadora en Nuevo Casas Grandes, Chihuahua [AMPF - NCG] (expediente de prueba, </w:t>
      </w:r>
      <w:r>
        <w:rPr>
          <w:rFonts w:ascii="Verdana" w:hAnsi="Verdana"/>
          <w:sz w:val="16"/>
          <w:szCs w:val="16"/>
        </w:rPr>
        <w:t>e</w:t>
      </w:r>
      <w:r w:rsidRPr="00432ABC">
        <w:rPr>
          <w:rFonts w:ascii="Verdana" w:hAnsi="Verdana"/>
          <w:sz w:val="16"/>
          <w:szCs w:val="16"/>
        </w:rPr>
        <w:t>xpediente penal,</w:t>
      </w:r>
      <w:r>
        <w:rPr>
          <w:rFonts w:ascii="Verdana" w:hAnsi="Verdana"/>
          <w:sz w:val="16"/>
          <w:szCs w:val="16"/>
        </w:rPr>
        <w:t xml:space="preserve"> </w:t>
      </w:r>
      <w:r w:rsidRPr="00432ABC">
        <w:rPr>
          <w:rFonts w:ascii="Verdana" w:hAnsi="Verdana"/>
          <w:sz w:val="16"/>
          <w:szCs w:val="16"/>
        </w:rPr>
        <w:t xml:space="preserve">ff. 24240 a 24242), y </w:t>
      </w:r>
      <w:r>
        <w:rPr>
          <w:rFonts w:ascii="Verdana" w:hAnsi="Verdana"/>
          <w:sz w:val="16"/>
          <w:szCs w:val="16"/>
        </w:rPr>
        <w:t>o</w:t>
      </w:r>
      <w:r w:rsidRPr="00432ABC">
        <w:rPr>
          <w:rFonts w:ascii="Verdana" w:hAnsi="Verdana"/>
          <w:sz w:val="16"/>
          <w:szCs w:val="16"/>
        </w:rPr>
        <w:t xml:space="preserve">ficio No. SCRPPA/ST/01573/2010 de 8 de febrero de 2010 suscrito por el Secretario Técnico del Subprocurador de Control Regional, Procedimiento Penales y Amparo de la PGR, dirigido al Encargado de Despacho de la Delegación de la PGR - Chihuahua (expediente de prueba, </w:t>
      </w:r>
      <w:r>
        <w:rPr>
          <w:rFonts w:ascii="Verdana" w:hAnsi="Verdana"/>
          <w:sz w:val="16"/>
          <w:szCs w:val="16"/>
        </w:rPr>
        <w:t>e</w:t>
      </w:r>
      <w:r w:rsidRPr="00432ABC">
        <w:rPr>
          <w:rFonts w:ascii="Verdana" w:hAnsi="Verdana"/>
          <w:sz w:val="16"/>
          <w:szCs w:val="16"/>
        </w:rPr>
        <w:t>xpediente penal, f. 24255).</w:t>
      </w:r>
    </w:p>
  </w:footnote>
  <w:footnote w:id="242">
    <w:p w14:paraId="64AA6220" w14:textId="12CDADA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219/2010 de 1 de marzo de 2010 suscrito por el AMPF - NCG, dirigido al Encargado de la Agencia Federal de Investigación en Nuevo Casas Grandes, Chihuahua (expediente de prueba, </w:t>
      </w:r>
      <w:r>
        <w:rPr>
          <w:rFonts w:ascii="Verdana" w:hAnsi="Verdana"/>
          <w:sz w:val="16"/>
          <w:szCs w:val="16"/>
        </w:rPr>
        <w:t>e</w:t>
      </w:r>
      <w:r w:rsidRPr="002C462C">
        <w:rPr>
          <w:rFonts w:ascii="Verdana" w:hAnsi="Verdana"/>
          <w:sz w:val="16"/>
          <w:szCs w:val="16"/>
        </w:rPr>
        <w:t xml:space="preserve">xpediente penal, f. 24250), y </w:t>
      </w:r>
      <w:r>
        <w:rPr>
          <w:rFonts w:ascii="Verdana" w:hAnsi="Verdana"/>
          <w:sz w:val="16"/>
          <w:szCs w:val="16"/>
        </w:rPr>
        <w:t>O</w:t>
      </w:r>
      <w:r w:rsidRPr="002C462C">
        <w:rPr>
          <w:rFonts w:ascii="Verdana" w:hAnsi="Verdana"/>
          <w:sz w:val="16"/>
          <w:szCs w:val="16"/>
        </w:rPr>
        <w:t>ficio No. 222/20</w:t>
      </w:r>
      <w:r w:rsidRPr="00432ABC">
        <w:rPr>
          <w:rFonts w:ascii="Verdana" w:hAnsi="Verdana"/>
          <w:sz w:val="16"/>
          <w:szCs w:val="16"/>
        </w:rPr>
        <w:t xml:space="preserve">10 de 1 de marzo de 2010 suscrito por el AMPF - NCG, dirigido al Comandante del 35 Batallón de Infantería (expediente de prueba, </w:t>
      </w:r>
      <w:r>
        <w:rPr>
          <w:rFonts w:ascii="Verdana" w:hAnsi="Verdana"/>
          <w:sz w:val="16"/>
          <w:szCs w:val="16"/>
        </w:rPr>
        <w:t>e</w:t>
      </w:r>
      <w:r w:rsidRPr="00432ABC">
        <w:rPr>
          <w:rFonts w:ascii="Verdana" w:hAnsi="Verdana"/>
          <w:sz w:val="16"/>
          <w:szCs w:val="16"/>
        </w:rPr>
        <w:t xml:space="preserve">xpediente penal, f. 24252). </w:t>
      </w:r>
    </w:p>
  </w:footnote>
  <w:footnote w:id="243">
    <w:p w14:paraId="64AA6221" w14:textId="6945BCF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Oficio No. 1996/2010 de 22 de octubre de 2010 del AMPF - NCG, dirigido</w:t>
      </w:r>
      <w:r w:rsidRPr="00432ABC">
        <w:rPr>
          <w:rFonts w:ascii="Verdana" w:hAnsi="Verdana"/>
          <w:sz w:val="16"/>
          <w:szCs w:val="16"/>
        </w:rPr>
        <w:t xml:space="preserve"> a la AMPF adscrita a la Oficina Regional de la FEVIMTRA – PGR en Ciudad Juárez (expediente de prueba, </w:t>
      </w:r>
      <w:r>
        <w:rPr>
          <w:rFonts w:ascii="Verdana" w:hAnsi="Verdana"/>
          <w:sz w:val="16"/>
          <w:szCs w:val="16"/>
        </w:rPr>
        <w:t>e</w:t>
      </w:r>
      <w:r w:rsidRPr="00432ABC">
        <w:rPr>
          <w:rFonts w:ascii="Verdana" w:hAnsi="Verdana"/>
          <w:sz w:val="16"/>
          <w:szCs w:val="16"/>
        </w:rPr>
        <w:t>xpediente penal, f. 13967).</w:t>
      </w:r>
    </w:p>
  </w:footnote>
  <w:footnote w:id="244">
    <w:p w14:paraId="64AA6222" w14:textId="6E9FF8D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Auto de inicio de Averiguación Previa </w:t>
      </w:r>
      <w:r w:rsidRPr="00432ABC">
        <w:rPr>
          <w:rFonts w:ascii="Verdana" w:hAnsi="Verdana"/>
          <w:sz w:val="16"/>
          <w:szCs w:val="16"/>
          <w:lang w:val="es-AR"/>
        </w:rPr>
        <w:t xml:space="preserve">5ZM/04/2010 de 15 de enero de 2010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 528</w:t>
      </w:r>
      <w:r>
        <w:rPr>
          <w:rFonts w:ascii="Verdana" w:hAnsi="Verdana"/>
          <w:sz w:val="16"/>
          <w:szCs w:val="16"/>
        </w:rPr>
        <w:t>3</w:t>
      </w:r>
      <w:r w:rsidRPr="00432ABC">
        <w:rPr>
          <w:rFonts w:ascii="Verdana" w:hAnsi="Verdana"/>
          <w:sz w:val="16"/>
          <w:szCs w:val="16"/>
        </w:rPr>
        <w:t xml:space="preserve">), y Mensaje C.E.I. No. 044 de 15 de enero de 2010 </w:t>
      </w:r>
      <w:r w:rsidRPr="00432ABC">
        <w:rPr>
          <w:rFonts w:ascii="Verdana" w:hAnsi="Verdana"/>
          <w:sz w:val="16"/>
          <w:szCs w:val="16"/>
          <w:lang w:val="es-AR"/>
        </w:rPr>
        <w:t xml:space="preserve">suscrito por el Myr. J.M. y Lic. G. H. Leal Estévez, A.M.P.M. ADSC. 5/a Z.M. en Chihuahua, Chihuahua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 5285).</w:t>
      </w:r>
    </w:p>
  </w:footnote>
  <w:footnote w:id="245">
    <w:p w14:paraId="64AA6223" w14:textId="1F76260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Mensaje C.</w:t>
      </w:r>
      <w:r w:rsidRPr="00432ABC">
        <w:rPr>
          <w:rFonts w:ascii="Verdana" w:hAnsi="Verdana"/>
          <w:sz w:val="16"/>
          <w:szCs w:val="16"/>
        </w:rPr>
        <w:t xml:space="preserve">E.I. No. 929 de 15 de enero de 2010 suscrito por el Coronel Élfego José Luján Ruiz, Comandante del 35 Batallón, dirigido al Comandante de la 5ªZM en Chihuahua (expediente de prueba, </w:t>
      </w:r>
      <w:r>
        <w:rPr>
          <w:rFonts w:ascii="Verdana" w:hAnsi="Verdana"/>
          <w:sz w:val="16"/>
          <w:szCs w:val="16"/>
        </w:rPr>
        <w:t>e</w:t>
      </w:r>
      <w:r w:rsidRPr="00432ABC">
        <w:rPr>
          <w:rFonts w:ascii="Verdana" w:hAnsi="Verdana"/>
          <w:sz w:val="16"/>
          <w:szCs w:val="16"/>
        </w:rPr>
        <w:t>xpediente penal, ff. 5609 a 5611).</w:t>
      </w:r>
    </w:p>
  </w:footnote>
  <w:footnote w:id="246">
    <w:p w14:paraId="64AA6224" w14:textId="778C08C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3625 de 2 </w:t>
      </w:r>
      <w:r w:rsidRPr="00432ABC">
        <w:rPr>
          <w:rFonts w:ascii="Verdana" w:hAnsi="Verdana"/>
          <w:sz w:val="16"/>
          <w:szCs w:val="16"/>
        </w:rPr>
        <w:t xml:space="preserve">de marzo de 2010 suscrito por el Comandante del 23º Batallón de Infantería (expediente de prueba, </w:t>
      </w:r>
      <w:r>
        <w:rPr>
          <w:rFonts w:ascii="Verdana" w:hAnsi="Verdana"/>
          <w:sz w:val="16"/>
          <w:szCs w:val="16"/>
        </w:rPr>
        <w:t>e</w:t>
      </w:r>
      <w:r w:rsidRPr="00432ABC">
        <w:rPr>
          <w:rFonts w:ascii="Verdana" w:hAnsi="Verdana"/>
          <w:sz w:val="16"/>
          <w:szCs w:val="16"/>
        </w:rPr>
        <w:t xml:space="preserve">xpediente penal, ff. 5595 a 5596), y </w:t>
      </w:r>
      <w:r>
        <w:rPr>
          <w:rFonts w:ascii="Verdana" w:hAnsi="Verdana"/>
          <w:sz w:val="16"/>
          <w:szCs w:val="16"/>
        </w:rPr>
        <w:t>O</w:t>
      </w:r>
      <w:r w:rsidRPr="00432ABC">
        <w:rPr>
          <w:rFonts w:ascii="Verdana" w:hAnsi="Verdana"/>
          <w:sz w:val="16"/>
          <w:szCs w:val="16"/>
        </w:rPr>
        <w:t xml:space="preserve">ficio No. 4401 de 2 de marzo de 2010 suscrito por el Comandante del 20º Regimiento de Caballería Motorizada (expediente de prueba, </w:t>
      </w:r>
      <w:r>
        <w:rPr>
          <w:rFonts w:ascii="Verdana" w:hAnsi="Verdana"/>
          <w:sz w:val="16"/>
          <w:szCs w:val="16"/>
        </w:rPr>
        <w:t>e</w:t>
      </w:r>
      <w:r w:rsidRPr="00432ABC">
        <w:rPr>
          <w:rFonts w:ascii="Verdana" w:hAnsi="Verdana"/>
          <w:sz w:val="16"/>
          <w:szCs w:val="16"/>
        </w:rPr>
        <w:t xml:space="preserve">xpediente penal, f. 5600). </w:t>
      </w:r>
    </w:p>
  </w:footnote>
  <w:footnote w:id="247">
    <w:p w14:paraId="64AA6225" w14:textId="0B7DCE4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4405 de 10 de marzo de 2010 suscrito por el Comandante del 35º Batallón de Infantería, (expediente de prueba, </w:t>
      </w:r>
      <w:r>
        <w:rPr>
          <w:rFonts w:ascii="Verdana" w:hAnsi="Verdana"/>
          <w:sz w:val="16"/>
          <w:szCs w:val="16"/>
        </w:rPr>
        <w:t>e</w:t>
      </w:r>
      <w:r w:rsidRPr="002C462C">
        <w:rPr>
          <w:rFonts w:ascii="Verdana" w:hAnsi="Verdana"/>
          <w:sz w:val="16"/>
          <w:szCs w:val="16"/>
        </w:rPr>
        <w:t>xpediente penal, ff. 6193 a 6199). La información referid</w:t>
      </w:r>
      <w:r w:rsidRPr="00432ABC">
        <w:rPr>
          <w:rFonts w:ascii="Verdana" w:hAnsi="Verdana"/>
          <w:sz w:val="16"/>
          <w:szCs w:val="16"/>
        </w:rPr>
        <w:t xml:space="preserve">a fue remitida en respuesta a los pedimentos del </w:t>
      </w:r>
      <w:r w:rsidRPr="00432ABC">
        <w:rPr>
          <w:rFonts w:ascii="Verdana" w:hAnsi="Verdana"/>
          <w:sz w:val="16"/>
          <w:szCs w:val="16"/>
          <w:lang w:val="es-AR"/>
        </w:rPr>
        <w:t>AMPM-5ªZM</w:t>
      </w:r>
      <w:r w:rsidRPr="00432ABC">
        <w:rPr>
          <w:rFonts w:ascii="Verdana" w:hAnsi="Verdana"/>
          <w:sz w:val="16"/>
          <w:szCs w:val="16"/>
        </w:rPr>
        <w:t xml:space="preserve"> realizados al Comandante de la 5ªZM: i) </w:t>
      </w:r>
      <w:r w:rsidRPr="00432ABC">
        <w:rPr>
          <w:rFonts w:ascii="Verdana" w:hAnsi="Verdana"/>
          <w:sz w:val="16"/>
          <w:szCs w:val="16"/>
          <w:lang w:val="es-AR"/>
        </w:rPr>
        <w:t xml:space="preserve">el 19 de enero de 2010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 5561); ii) </w:t>
      </w:r>
      <w:r>
        <w:rPr>
          <w:rFonts w:ascii="Verdana" w:hAnsi="Verdana"/>
          <w:sz w:val="16"/>
          <w:szCs w:val="16"/>
        </w:rPr>
        <w:t>O</w:t>
      </w:r>
      <w:r w:rsidRPr="00432ABC">
        <w:rPr>
          <w:rFonts w:ascii="Verdana" w:hAnsi="Verdana"/>
          <w:sz w:val="16"/>
          <w:szCs w:val="16"/>
        </w:rPr>
        <w:t xml:space="preserve">ficio No. ZM-196 de 26 de febrero de 2010 (expediente de prueba, </w:t>
      </w:r>
      <w:r>
        <w:rPr>
          <w:rFonts w:ascii="Verdana" w:hAnsi="Verdana"/>
          <w:sz w:val="16"/>
          <w:szCs w:val="16"/>
        </w:rPr>
        <w:t>e</w:t>
      </w:r>
      <w:r w:rsidRPr="00432ABC">
        <w:rPr>
          <w:rFonts w:ascii="Verdana" w:hAnsi="Verdana"/>
          <w:sz w:val="16"/>
          <w:szCs w:val="16"/>
        </w:rPr>
        <w:t xml:space="preserve">xpediente penal, f. 5563), y iii) </w:t>
      </w:r>
      <w:r>
        <w:rPr>
          <w:rFonts w:ascii="Verdana" w:hAnsi="Verdana"/>
          <w:sz w:val="16"/>
          <w:szCs w:val="16"/>
        </w:rPr>
        <w:t>O</w:t>
      </w:r>
      <w:r w:rsidRPr="00432ABC">
        <w:rPr>
          <w:rFonts w:ascii="Verdana" w:hAnsi="Verdana"/>
          <w:sz w:val="16"/>
          <w:szCs w:val="16"/>
        </w:rPr>
        <w:t xml:space="preserve">ficio No. ZM-197 de 26 de febrero de 2010 (expediente de prueba, </w:t>
      </w:r>
      <w:r>
        <w:rPr>
          <w:rFonts w:ascii="Verdana" w:hAnsi="Verdana"/>
          <w:sz w:val="16"/>
          <w:szCs w:val="16"/>
        </w:rPr>
        <w:t>e</w:t>
      </w:r>
      <w:r w:rsidRPr="00432ABC">
        <w:rPr>
          <w:rFonts w:ascii="Verdana" w:hAnsi="Verdana"/>
          <w:sz w:val="16"/>
          <w:szCs w:val="16"/>
        </w:rPr>
        <w:t>xpediente penal, f. 5564).</w:t>
      </w:r>
    </w:p>
  </w:footnote>
  <w:footnote w:id="248">
    <w:p w14:paraId="66535D8E" w14:textId="1A49663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Fe Ministerial de 9 de marzo de 2010 suscrita por el AMPM – 5ªZM  (expediente de prueba, </w:t>
      </w:r>
      <w:r>
        <w:rPr>
          <w:rFonts w:ascii="Verdana" w:hAnsi="Verdana"/>
          <w:sz w:val="16"/>
          <w:szCs w:val="16"/>
        </w:rPr>
        <w:t>e</w:t>
      </w:r>
      <w:r w:rsidRPr="002C462C">
        <w:rPr>
          <w:rFonts w:ascii="Verdana" w:hAnsi="Verdana"/>
          <w:sz w:val="16"/>
          <w:szCs w:val="16"/>
        </w:rPr>
        <w:t>xpedien</w:t>
      </w:r>
      <w:r w:rsidRPr="00432ABC">
        <w:rPr>
          <w:rFonts w:ascii="Verdana" w:hAnsi="Verdana"/>
          <w:sz w:val="16"/>
          <w:szCs w:val="16"/>
        </w:rPr>
        <w:t xml:space="preserve">te penal, </w:t>
      </w:r>
      <w:r>
        <w:rPr>
          <w:rFonts w:ascii="Verdana" w:hAnsi="Verdana"/>
          <w:sz w:val="16"/>
          <w:szCs w:val="16"/>
        </w:rPr>
        <w:t>f</w:t>
      </w:r>
      <w:r w:rsidRPr="00432ABC">
        <w:rPr>
          <w:rFonts w:ascii="Verdana" w:hAnsi="Verdana"/>
          <w:sz w:val="16"/>
          <w:szCs w:val="16"/>
        </w:rPr>
        <w:t>f. 5726 a 5728).</w:t>
      </w:r>
      <w:r w:rsidRPr="00432ABC">
        <w:rPr>
          <w:rFonts w:ascii="Verdana" w:hAnsi="Verdana"/>
          <w:sz w:val="16"/>
          <w:szCs w:val="16"/>
        </w:rPr>
        <w:tab/>
      </w:r>
    </w:p>
  </w:footnote>
  <w:footnote w:id="249">
    <w:p w14:paraId="64AA6227" w14:textId="206E730D" w:rsidR="00146958" w:rsidRPr="00432ABC" w:rsidRDefault="00146958">
      <w:pPr>
        <w:pStyle w:val="Textonotapie"/>
        <w:jc w:val="both"/>
        <w:rPr>
          <w:rFonts w:ascii="Verdana" w:hAnsi="Verdana" w:cs="Arial"/>
          <w:color w:val="FF0000"/>
          <w:sz w:val="16"/>
          <w:szCs w:val="16"/>
        </w:rPr>
      </w:pPr>
      <w:r w:rsidRPr="00432ABC">
        <w:rPr>
          <w:rStyle w:val="Refdenotaalpie"/>
          <w:rFonts w:ascii="Verdana" w:hAnsi="Verdana" w:cs="Arial"/>
          <w:sz w:val="16"/>
          <w:szCs w:val="16"/>
        </w:rPr>
        <w:footnoteRef/>
      </w:r>
      <w:r w:rsidRPr="00432ABC">
        <w:rPr>
          <w:rFonts w:ascii="Verdana" w:hAnsi="Verdana" w:cs="Arial"/>
          <w:sz w:val="16"/>
          <w:szCs w:val="16"/>
        </w:rPr>
        <w:t xml:space="preserve"> </w:t>
      </w:r>
      <w:r w:rsidRPr="00432ABC">
        <w:rPr>
          <w:rFonts w:ascii="Verdana" w:hAnsi="Verdana" w:cs="Arial"/>
          <w:sz w:val="16"/>
          <w:szCs w:val="16"/>
        </w:rPr>
        <w:tab/>
      </w:r>
      <w:r w:rsidRPr="00CD5C54">
        <w:rPr>
          <w:rFonts w:ascii="Verdana" w:hAnsi="Verdana" w:cs="Arial"/>
          <w:i/>
          <w:sz w:val="16"/>
          <w:szCs w:val="16"/>
        </w:rPr>
        <w:t>Cfr.</w:t>
      </w:r>
      <w:r w:rsidRPr="002C462C">
        <w:rPr>
          <w:rFonts w:ascii="Verdana" w:hAnsi="Verdana" w:cs="Arial"/>
          <w:sz w:val="16"/>
          <w:szCs w:val="16"/>
        </w:rPr>
        <w:t xml:space="preserve"> Declaración de </w:t>
      </w:r>
      <w:r w:rsidRPr="00432ABC">
        <w:rPr>
          <w:rFonts w:ascii="Verdana" w:hAnsi="Verdana" w:cs="Arial"/>
          <w:sz w:val="16"/>
          <w:szCs w:val="16"/>
          <w:lang w:val="es-AR"/>
        </w:rPr>
        <w:t xml:space="preserve">Verónica Colomo Reyes </w:t>
      </w:r>
      <w:r w:rsidRPr="00432ABC">
        <w:rPr>
          <w:rFonts w:ascii="Verdana" w:hAnsi="Verdana" w:cs="Arial"/>
          <w:sz w:val="16"/>
          <w:szCs w:val="16"/>
        </w:rPr>
        <w:t xml:space="preserve">(expediente de prueba, </w:t>
      </w:r>
      <w:r>
        <w:rPr>
          <w:rFonts w:ascii="Verdana" w:hAnsi="Verdana" w:cs="Arial"/>
          <w:sz w:val="16"/>
          <w:szCs w:val="16"/>
        </w:rPr>
        <w:t>e</w:t>
      </w:r>
      <w:r w:rsidRPr="00432ABC">
        <w:rPr>
          <w:rFonts w:ascii="Verdana" w:hAnsi="Verdana" w:cs="Arial"/>
          <w:sz w:val="16"/>
          <w:szCs w:val="16"/>
        </w:rPr>
        <w:t xml:space="preserve">xpediente penal, ff. 5729 a 5731); Declaración de </w:t>
      </w:r>
      <w:r w:rsidRPr="00432ABC">
        <w:rPr>
          <w:rFonts w:ascii="Verdana" w:hAnsi="Verdana" w:cs="Arial"/>
          <w:sz w:val="16"/>
          <w:szCs w:val="16"/>
          <w:lang w:val="es-AR"/>
        </w:rPr>
        <w:t xml:space="preserve">Patricia Reyes Rueda rendida el 9 de marzo de 2010 ante el </w:t>
      </w:r>
      <w:r w:rsidRPr="00432ABC">
        <w:rPr>
          <w:rFonts w:ascii="Verdana" w:hAnsi="Verdana" w:cs="Arial"/>
          <w:sz w:val="16"/>
          <w:szCs w:val="16"/>
        </w:rPr>
        <w:t xml:space="preserve">AMPM – 5ªZM (expediente de prueba, </w:t>
      </w:r>
      <w:r>
        <w:rPr>
          <w:rFonts w:ascii="Verdana" w:hAnsi="Verdana" w:cs="Arial"/>
          <w:sz w:val="16"/>
          <w:szCs w:val="16"/>
        </w:rPr>
        <w:t>e</w:t>
      </w:r>
      <w:r w:rsidRPr="00432ABC">
        <w:rPr>
          <w:rFonts w:ascii="Verdana" w:hAnsi="Verdana" w:cs="Arial"/>
          <w:sz w:val="16"/>
          <w:szCs w:val="16"/>
        </w:rPr>
        <w:t xml:space="preserve">xpediente penal, ff. 5733 a 5735); </w:t>
      </w:r>
      <w:r>
        <w:rPr>
          <w:rFonts w:ascii="Verdana" w:hAnsi="Verdana" w:cs="Arial"/>
          <w:sz w:val="16"/>
          <w:szCs w:val="16"/>
        </w:rPr>
        <w:t>d</w:t>
      </w:r>
      <w:r w:rsidRPr="00432ABC">
        <w:rPr>
          <w:rFonts w:ascii="Verdana" w:hAnsi="Verdana" w:cs="Arial"/>
          <w:sz w:val="16"/>
          <w:szCs w:val="16"/>
        </w:rPr>
        <w:t xml:space="preserve">eclaración de </w:t>
      </w:r>
      <w:r w:rsidRPr="00432ABC">
        <w:rPr>
          <w:rFonts w:ascii="Verdana" w:hAnsi="Verdana" w:cs="Arial"/>
          <w:sz w:val="16"/>
          <w:szCs w:val="16"/>
          <w:lang w:val="es-AR"/>
        </w:rPr>
        <w:t xml:space="preserve">Manuel Reyes Lira rendida el 9 de marzo de 2010 ante el </w:t>
      </w:r>
      <w:r w:rsidRPr="00432ABC">
        <w:rPr>
          <w:rFonts w:ascii="Verdana" w:hAnsi="Verdana" w:cs="Arial"/>
          <w:sz w:val="16"/>
          <w:szCs w:val="16"/>
        </w:rPr>
        <w:t xml:space="preserve">AMPM – 5ªZM  (expediente de prueba, </w:t>
      </w:r>
      <w:r>
        <w:rPr>
          <w:rFonts w:ascii="Verdana" w:hAnsi="Verdana" w:cs="Arial"/>
          <w:sz w:val="16"/>
          <w:szCs w:val="16"/>
        </w:rPr>
        <w:t>e</w:t>
      </w:r>
      <w:r w:rsidRPr="00432ABC">
        <w:rPr>
          <w:rFonts w:ascii="Verdana" w:hAnsi="Verdana" w:cs="Arial"/>
          <w:sz w:val="16"/>
          <w:szCs w:val="16"/>
        </w:rPr>
        <w:t xml:space="preserve">xpediente penal, ff. 5739 a 5711), y </w:t>
      </w:r>
      <w:r>
        <w:rPr>
          <w:rFonts w:ascii="Verdana" w:hAnsi="Verdana" w:cs="Arial"/>
          <w:sz w:val="16"/>
          <w:szCs w:val="16"/>
        </w:rPr>
        <w:t>d</w:t>
      </w:r>
      <w:r w:rsidRPr="00432ABC">
        <w:rPr>
          <w:rFonts w:ascii="Verdana" w:hAnsi="Verdana" w:cs="Arial"/>
          <w:sz w:val="16"/>
          <w:szCs w:val="16"/>
        </w:rPr>
        <w:t xml:space="preserve">eclaración de </w:t>
      </w:r>
      <w:r w:rsidRPr="00432ABC">
        <w:rPr>
          <w:rFonts w:ascii="Verdana" w:hAnsi="Verdana" w:cs="Arial"/>
          <w:sz w:val="16"/>
          <w:szCs w:val="16"/>
          <w:lang w:val="es-AR"/>
        </w:rPr>
        <w:t xml:space="preserve">Marissa Reyes Rueda rendida el 9 de marzo de 2010 ante el </w:t>
      </w:r>
      <w:r w:rsidRPr="00432ABC">
        <w:rPr>
          <w:rFonts w:ascii="Verdana" w:hAnsi="Verdana" w:cs="Arial"/>
          <w:sz w:val="16"/>
          <w:szCs w:val="16"/>
        </w:rPr>
        <w:t xml:space="preserve">AMPM – 5ªZM (expediente de prueba, </w:t>
      </w:r>
      <w:r>
        <w:rPr>
          <w:rFonts w:ascii="Verdana" w:hAnsi="Verdana" w:cs="Arial"/>
          <w:sz w:val="16"/>
          <w:szCs w:val="16"/>
        </w:rPr>
        <w:t>e</w:t>
      </w:r>
      <w:r w:rsidRPr="00432ABC">
        <w:rPr>
          <w:rFonts w:ascii="Verdana" w:hAnsi="Verdana" w:cs="Arial"/>
          <w:sz w:val="16"/>
          <w:szCs w:val="16"/>
        </w:rPr>
        <w:t xml:space="preserve">xpediente penal, ff. 5744 a 5745). </w:t>
      </w:r>
    </w:p>
  </w:footnote>
  <w:footnote w:id="250">
    <w:p w14:paraId="64AA6228" w14:textId="6ADAED00" w:rsidR="00146958" w:rsidRPr="00432ABC" w:rsidRDefault="00146958">
      <w:pPr>
        <w:pStyle w:val="Textonotapie"/>
        <w:jc w:val="both"/>
        <w:rPr>
          <w:rFonts w:ascii="Verdana" w:hAnsi="Verdana"/>
          <w:sz w:val="16"/>
          <w:szCs w:val="16"/>
        </w:rPr>
      </w:pPr>
      <w:r w:rsidRPr="00432ABC">
        <w:rPr>
          <w:rStyle w:val="Refdenotaalpie"/>
          <w:rFonts w:ascii="Verdana" w:hAnsi="Verdana" w:cs="Arial"/>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w:t>
      </w:r>
      <w:r w:rsidRPr="00432ABC">
        <w:rPr>
          <w:rFonts w:ascii="Verdana" w:hAnsi="Verdana"/>
          <w:sz w:val="16"/>
          <w:szCs w:val="16"/>
          <w:lang w:val="es-AR"/>
        </w:rPr>
        <w:t xml:space="preserve">Ernesto Luján Romero rendida el 9 de marzo de 2010 ante el </w:t>
      </w:r>
      <w:r w:rsidRPr="00432ABC">
        <w:rPr>
          <w:rFonts w:ascii="Verdana" w:hAnsi="Verdana" w:cs="Arial"/>
          <w:sz w:val="16"/>
          <w:szCs w:val="16"/>
        </w:rPr>
        <w:t xml:space="preserve">AMPM – 5ªZM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ff. 5722 a 5723); </w:t>
      </w:r>
      <w:r>
        <w:rPr>
          <w:rFonts w:ascii="Verdana" w:hAnsi="Verdana"/>
          <w:sz w:val="16"/>
          <w:szCs w:val="16"/>
        </w:rPr>
        <w:t>d</w:t>
      </w:r>
      <w:r w:rsidRPr="00432ABC">
        <w:rPr>
          <w:rFonts w:ascii="Verdana" w:hAnsi="Verdana"/>
          <w:sz w:val="16"/>
          <w:szCs w:val="16"/>
        </w:rPr>
        <w:t xml:space="preserve">eclaración de </w:t>
      </w:r>
      <w:r w:rsidRPr="00432ABC">
        <w:rPr>
          <w:rFonts w:ascii="Verdana" w:hAnsi="Verdana"/>
          <w:sz w:val="16"/>
          <w:szCs w:val="16"/>
          <w:lang w:val="es-AR"/>
        </w:rPr>
        <w:t xml:space="preserve">Mario Castro García rendida el 9 de marzo de 2010 ante el </w:t>
      </w:r>
      <w:r w:rsidRPr="00432ABC">
        <w:rPr>
          <w:rFonts w:ascii="Verdana" w:hAnsi="Verdana" w:cs="Arial"/>
          <w:sz w:val="16"/>
          <w:szCs w:val="16"/>
        </w:rPr>
        <w:t xml:space="preserve">AMPM – 5ªZM </w:t>
      </w:r>
      <w:r w:rsidRPr="00432ABC">
        <w:rPr>
          <w:rFonts w:ascii="Verdana" w:hAnsi="Verdana"/>
          <w:sz w:val="16"/>
          <w:szCs w:val="16"/>
        </w:rPr>
        <w:t xml:space="preserve"> (expediente de prueba, </w:t>
      </w:r>
      <w:r>
        <w:rPr>
          <w:rFonts w:ascii="Verdana" w:hAnsi="Verdana"/>
          <w:sz w:val="16"/>
          <w:szCs w:val="16"/>
        </w:rPr>
        <w:t>e</w:t>
      </w:r>
      <w:r w:rsidRPr="00432ABC">
        <w:rPr>
          <w:rFonts w:ascii="Verdana" w:hAnsi="Verdana"/>
          <w:sz w:val="16"/>
          <w:szCs w:val="16"/>
        </w:rPr>
        <w:t>xpediente penal, ff. 574</w:t>
      </w:r>
      <w:r>
        <w:rPr>
          <w:rFonts w:ascii="Verdana" w:hAnsi="Verdana"/>
          <w:sz w:val="16"/>
          <w:szCs w:val="16"/>
        </w:rPr>
        <w:t>7</w:t>
      </w:r>
      <w:r w:rsidRPr="00432ABC">
        <w:rPr>
          <w:rFonts w:ascii="Verdana" w:hAnsi="Verdana"/>
          <w:sz w:val="16"/>
          <w:szCs w:val="16"/>
        </w:rPr>
        <w:t xml:space="preserve"> a 574</w:t>
      </w:r>
      <w:r>
        <w:rPr>
          <w:rFonts w:ascii="Verdana" w:hAnsi="Verdana"/>
          <w:sz w:val="16"/>
          <w:szCs w:val="16"/>
        </w:rPr>
        <w:t>8</w:t>
      </w:r>
      <w:r w:rsidRPr="00432ABC">
        <w:rPr>
          <w:rFonts w:ascii="Verdana" w:hAnsi="Verdana"/>
          <w:sz w:val="16"/>
          <w:szCs w:val="16"/>
        </w:rPr>
        <w:t xml:space="preserve">), y </w:t>
      </w:r>
      <w:r>
        <w:rPr>
          <w:rFonts w:ascii="Verdana" w:hAnsi="Verdana"/>
          <w:sz w:val="16"/>
          <w:szCs w:val="16"/>
        </w:rPr>
        <w:t>d</w:t>
      </w:r>
      <w:r w:rsidRPr="00432ABC">
        <w:rPr>
          <w:rFonts w:ascii="Verdana" w:hAnsi="Verdana"/>
          <w:sz w:val="16"/>
          <w:szCs w:val="16"/>
        </w:rPr>
        <w:t xml:space="preserve">eclaración de </w:t>
      </w:r>
      <w:r w:rsidRPr="00432ABC">
        <w:rPr>
          <w:rFonts w:ascii="Verdana" w:hAnsi="Verdana"/>
          <w:sz w:val="16"/>
          <w:szCs w:val="16"/>
          <w:lang w:val="es-AR"/>
        </w:rPr>
        <w:t xml:space="preserve">José Bejarano García rendida el 9 de marzo de 2010 ante el </w:t>
      </w:r>
      <w:r w:rsidRPr="00432ABC">
        <w:rPr>
          <w:rFonts w:ascii="Verdana" w:hAnsi="Verdana" w:cs="Arial"/>
          <w:sz w:val="16"/>
          <w:szCs w:val="16"/>
        </w:rPr>
        <w:t xml:space="preserve">AMPM – 5ªZM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ff. 5765 a 5766).</w:t>
      </w:r>
    </w:p>
  </w:footnote>
  <w:footnote w:id="251">
    <w:p w14:paraId="64AA6229" w14:textId="426104B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Declaración de Damaris Baglietto Hernández rendida el 12 de marzo de 2010 ante </w:t>
      </w:r>
      <w:r w:rsidRPr="002C462C">
        <w:rPr>
          <w:rFonts w:ascii="Verdana" w:hAnsi="Verdana" w:cs="Arial"/>
          <w:sz w:val="16"/>
          <w:szCs w:val="16"/>
        </w:rPr>
        <w:t xml:space="preserve">AMPM – 5ªZM </w:t>
      </w:r>
      <w:r w:rsidRPr="002C462C">
        <w:rPr>
          <w:rFonts w:ascii="Verdana" w:hAnsi="Verdana"/>
          <w:sz w:val="16"/>
          <w:szCs w:val="16"/>
        </w:rPr>
        <w:t xml:space="preserve"> (expediente de prueba, </w:t>
      </w:r>
      <w:r>
        <w:rPr>
          <w:rFonts w:ascii="Verdana" w:hAnsi="Verdana"/>
          <w:sz w:val="16"/>
          <w:szCs w:val="16"/>
        </w:rPr>
        <w:t>e</w:t>
      </w:r>
      <w:r w:rsidRPr="002C462C">
        <w:rPr>
          <w:rFonts w:ascii="Verdana" w:hAnsi="Verdana"/>
          <w:sz w:val="16"/>
          <w:szCs w:val="16"/>
        </w:rPr>
        <w:t xml:space="preserve">xpediente penal, ff. 5870 a 5873); </w:t>
      </w:r>
      <w:r>
        <w:rPr>
          <w:rFonts w:ascii="Verdana" w:hAnsi="Verdana"/>
          <w:sz w:val="16"/>
          <w:szCs w:val="16"/>
        </w:rPr>
        <w:t>d</w:t>
      </w:r>
      <w:r w:rsidRPr="002C462C">
        <w:rPr>
          <w:rFonts w:ascii="Verdana" w:hAnsi="Verdana"/>
          <w:sz w:val="16"/>
          <w:szCs w:val="16"/>
        </w:rPr>
        <w:t>eclaración de Ramón Ivá</w:t>
      </w:r>
      <w:r w:rsidRPr="00432ABC">
        <w:rPr>
          <w:rFonts w:ascii="Verdana" w:hAnsi="Verdana"/>
          <w:sz w:val="16"/>
          <w:szCs w:val="16"/>
        </w:rPr>
        <w:t xml:space="preserve">n Sotomayor Siller rendida el 12 de marzo de 2010 ante el </w:t>
      </w:r>
      <w:r w:rsidRPr="00432ABC">
        <w:rPr>
          <w:rFonts w:ascii="Verdana" w:hAnsi="Verdana" w:cs="Arial"/>
          <w:sz w:val="16"/>
          <w:szCs w:val="16"/>
        </w:rPr>
        <w:t xml:space="preserve">AMPM – 5ªZM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ff. 5875 a 5878), y </w:t>
      </w:r>
      <w:r>
        <w:rPr>
          <w:rFonts w:ascii="Verdana" w:hAnsi="Verdana"/>
          <w:sz w:val="16"/>
          <w:szCs w:val="16"/>
        </w:rPr>
        <w:t>d</w:t>
      </w:r>
      <w:r w:rsidRPr="00432ABC">
        <w:rPr>
          <w:rFonts w:ascii="Verdana" w:hAnsi="Verdana"/>
          <w:sz w:val="16"/>
          <w:szCs w:val="16"/>
        </w:rPr>
        <w:t xml:space="preserve">eclaración de Juan Ciro Valiente rendida el 12 de marzo de 2010 ante el </w:t>
      </w:r>
      <w:r w:rsidRPr="00432ABC">
        <w:rPr>
          <w:rFonts w:ascii="Verdana" w:hAnsi="Verdana" w:cs="Arial"/>
          <w:sz w:val="16"/>
          <w:szCs w:val="16"/>
        </w:rPr>
        <w:t xml:space="preserve">AMPM – 5ªZM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ff. 5880 a 5882).</w:t>
      </w:r>
    </w:p>
  </w:footnote>
  <w:footnote w:id="252">
    <w:p w14:paraId="64AA622A" w14:textId="31D9890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Auto de inicio de </w:t>
      </w:r>
      <w:r>
        <w:rPr>
          <w:rFonts w:ascii="Verdana" w:hAnsi="Verdana"/>
          <w:sz w:val="16"/>
          <w:szCs w:val="16"/>
        </w:rPr>
        <w:t>a</w:t>
      </w:r>
      <w:r w:rsidRPr="002C462C">
        <w:rPr>
          <w:rFonts w:ascii="Verdana" w:hAnsi="Verdana"/>
          <w:sz w:val="16"/>
          <w:szCs w:val="16"/>
        </w:rPr>
        <w:t xml:space="preserve">veriguación </w:t>
      </w:r>
      <w:r>
        <w:rPr>
          <w:rFonts w:ascii="Verdana" w:hAnsi="Verdana"/>
          <w:sz w:val="16"/>
          <w:szCs w:val="16"/>
        </w:rPr>
        <w:t>p</w:t>
      </w:r>
      <w:r w:rsidRPr="002C462C">
        <w:rPr>
          <w:rFonts w:ascii="Verdana" w:hAnsi="Verdana"/>
          <w:sz w:val="16"/>
          <w:szCs w:val="16"/>
        </w:rPr>
        <w:t xml:space="preserve">revia GN/CD.JUAREZ/079/2010 </w:t>
      </w:r>
      <w:r w:rsidRPr="00432ABC">
        <w:rPr>
          <w:rFonts w:ascii="Verdana" w:hAnsi="Verdana"/>
          <w:sz w:val="16"/>
          <w:szCs w:val="16"/>
          <w:lang w:val="es-AR"/>
        </w:rPr>
        <w:t xml:space="preserve">de 26 de febrero de 2010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ff. 5274 a 5275), y Mensaje C.E.I. No. AP-674 de </w:t>
      </w:r>
      <w:r w:rsidRPr="00432ABC">
        <w:rPr>
          <w:rFonts w:ascii="Verdana" w:hAnsi="Verdana"/>
          <w:sz w:val="16"/>
          <w:szCs w:val="16"/>
          <w:lang w:val="es-AR"/>
        </w:rPr>
        <w:t xml:space="preserve">26 de febrero de 2010 suscrito por el Myr. J.M. y Lic. G. H. A. Gallardo, A.M.P.M. ADSC. GN. Mil. en Ciudad Juárez, Chihuahua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 5276).</w:t>
      </w:r>
    </w:p>
  </w:footnote>
  <w:footnote w:id="253">
    <w:p w14:paraId="64AA622B" w14:textId="0BA9D28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w:t>
      </w:r>
      <w:r>
        <w:rPr>
          <w:rFonts w:ascii="Verdana" w:hAnsi="Verdana"/>
          <w:sz w:val="16"/>
          <w:szCs w:val="16"/>
        </w:rPr>
        <w:t>4</w:t>
      </w:r>
      <w:r w:rsidRPr="002C462C">
        <w:rPr>
          <w:rFonts w:ascii="Verdana" w:hAnsi="Verdana"/>
          <w:sz w:val="16"/>
          <w:szCs w:val="16"/>
        </w:rPr>
        <w:t xml:space="preserve"> de marzo de 2010 por el que </w:t>
      </w:r>
      <w:r>
        <w:rPr>
          <w:rFonts w:ascii="Verdana" w:hAnsi="Verdana"/>
          <w:sz w:val="16"/>
          <w:szCs w:val="16"/>
        </w:rPr>
        <w:t xml:space="preserve">se </w:t>
      </w:r>
      <w:r w:rsidRPr="002C462C">
        <w:rPr>
          <w:rFonts w:ascii="Verdana" w:hAnsi="Verdana"/>
          <w:sz w:val="16"/>
          <w:szCs w:val="16"/>
        </w:rPr>
        <w:t xml:space="preserve">ordena </w:t>
      </w:r>
      <w:r>
        <w:rPr>
          <w:rFonts w:ascii="Verdana" w:hAnsi="Verdana"/>
          <w:sz w:val="16"/>
          <w:szCs w:val="16"/>
        </w:rPr>
        <w:t xml:space="preserve">la </w:t>
      </w:r>
      <w:r w:rsidRPr="002C462C">
        <w:rPr>
          <w:rFonts w:ascii="Verdana" w:hAnsi="Verdana"/>
          <w:sz w:val="16"/>
          <w:szCs w:val="16"/>
        </w:rPr>
        <w:t xml:space="preserve">acumulación de Averiguación Previa </w:t>
      </w:r>
      <w:r w:rsidRPr="00432ABC">
        <w:rPr>
          <w:rFonts w:ascii="Verdana" w:hAnsi="Verdana"/>
          <w:sz w:val="16"/>
          <w:szCs w:val="16"/>
          <w:lang w:val="es-AR"/>
        </w:rPr>
        <w:t xml:space="preserve">5ZM/04/2010  a la </w:t>
      </w:r>
      <w:r w:rsidRPr="00432ABC">
        <w:rPr>
          <w:rFonts w:ascii="Verdana" w:hAnsi="Verdana"/>
          <w:sz w:val="16"/>
          <w:szCs w:val="16"/>
        </w:rPr>
        <w:t xml:space="preserve">Averiguación Previa GN/CDJUAREZ/079/2010 (expediente de prueba, </w:t>
      </w:r>
      <w:r>
        <w:rPr>
          <w:rFonts w:ascii="Verdana" w:hAnsi="Verdana"/>
          <w:sz w:val="16"/>
          <w:szCs w:val="16"/>
        </w:rPr>
        <w:t>e</w:t>
      </w:r>
      <w:r w:rsidRPr="00432ABC">
        <w:rPr>
          <w:rFonts w:ascii="Verdana" w:hAnsi="Verdana"/>
          <w:sz w:val="16"/>
          <w:szCs w:val="16"/>
        </w:rPr>
        <w:t xml:space="preserve">xpediente penal, f. 5280), y </w:t>
      </w:r>
      <w:r>
        <w:rPr>
          <w:rFonts w:ascii="Verdana" w:hAnsi="Verdana"/>
          <w:sz w:val="16"/>
          <w:szCs w:val="16"/>
        </w:rPr>
        <w:t>o</w:t>
      </w:r>
      <w:r w:rsidRPr="00432ABC">
        <w:rPr>
          <w:rFonts w:ascii="Verdana" w:hAnsi="Verdana"/>
          <w:sz w:val="16"/>
          <w:szCs w:val="16"/>
        </w:rPr>
        <w:t xml:space="preserve">ficio No. ZM-305 de 22 de marzo de 2010 suscrito por el </w:t>
      </w:r>
      <w:r w:rsidRPr="00432ABC">
        <w:rPr>
          <w:rFonts w:ascii="Verdana" w:hAnsi="Verdana"/>
          <w:sz w:val="16"/>
          <w:szCs w:val="16"/>
          <w:lang w:val="es-AR"/>
        </w:rPr>
        <w:t xml:space="preserve">AMPM – 5ªZM, dirigido al AMPM -GMCJ (expediente de prueba, </w:t>
      </w:r>
      <w:r>
        <w:rPr>
          <w:rFonts w:ascii="Verdana" w:hAnsi="Verdana"/>
          <w:sz w:val="16"/>
          <w:szCs w:val="16"/>
          <w:lang w:val="es-AR"/>
        </w:rPr>
        <w:t>e</w:t>
      </w:r>
      <w:r w:rsidRPr="00432ABC">
        <w:rPr>
          <w:rFonts w:ascii="Verdana" w:hAnsi="Verdana"/>
          <w:sz w:val="16"/>
          <w:szCs w:val="16"/>
          <w:lang w:val="es-AR"/>
        </w:rPr>
        <w:t>xpediente penal, f. 5281)</w:t>
      </w:r>
      <w:r w:rsidRPr="00432ABC">
        <w:rPr>
          <w:rFonts w:ascii="Verdana" w:hAnsi="Verdana"/>
          <w:sz w:val="16"/>
          <w:szCs w:val="16"/>
        </w:rPr>
        <w:t xml:space="preserve">. </w:t>
      </w:r>
    </w:p>
  </w:footnote>
  <w:footnote w:id="254">
    <w:p w14:paraId="64AA622C" w14:textId="745EE1A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Remisión de </w:t>
      </w:r>
      <w:r>
        <w:rPr>
          <w:rFonts w:ascii="Verdana" w:hAnsi="Verdana"/>
          <w:sz w:val="16"/>
          <w:szCs w:val="16"/>
        </w:rPr>
        <w:t>la a</w:t>
      </w:r>
      <w:r w:rsidRPr="002C462C">
        <w:rPr>
          <w:rFonts w:ascii="Verdana" w:hAnsi="Verdana"/>
          <w:sz w:val="16"/>
          <w:szCs w:val="16"/>
        </w:rPr>
        <w:t xml:space="preserve">veriguación </w:t>
      </w:r>
      <w:r>
        <w:rPr>
          <w:rFonts w:ascii="Verdana" w:hAnsi="Verdana"/>
          <w:sz w:val="16"/>
          <w:szCs w:val="16"/>
        </w:rPr>
        <w:t>p</w:t>
      </w:r>
      <w:r w:rsidRPr="002C462C">
        <w:rPr>
          <w:rFonts w:ascii="Verdana" w:hAnsi="Verdana"/>
          <w:sz w:val="16"/>
          <w:szCs w:val="16"/>
        </w:rPr>
        <w:t xml:space="preserve">revia GN/CD.JUAREZ/079/2010 </w:t>
      </w:r>
      <w:r w:rsidRPr="00432ABC">
        <w:rPr>
          <w:rFonts w:ascii="Verdana" w:hAnsi="Verdana"/>
          <w:sz w:val="16"/>
          <w:szCs w:val="16"/>
          <w:lang w:val="es-AR"/>
        </w:rPr>
        <w:t xml:space="preserve">de 8 de abril de 2010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 6288), y </w:t>
      </w:r>
      <w:r>
        <w:rPr>
          <w:rFonts w:ascii="Verdana" w:hAnsi="Verdana"/>
          <w:sz w:val="16"/>
          <w:szCs w:val="16"/>
        </w:rPr>
        <w:t>O</w:t>
      </w:r>
      <w:r w:rsidRPr="00432ABC">
        <w:rPr>
          <w:rFonts w:ascii="Verdana" w:hAnsi="Verdana"/>
          <w:sz w:val="16"/>
          <w:szCs w:val="16"/>
        </w:rPr>
        <w:t>ficio No. AP-</w:t>
      </w:r>
      <w:r>
        <w:rPr>
          <w:rFonts w:ascii="Verdana" w:hAnsi="Verdana"/>
          <w:sz w:val="16"/>
          <w:szCs w:val="16"/>
        </w:rPr>
        <w:t>8</w:t>
      </w:r>
      <w:r w:rsidRPr="00432ABC">
        <w:rPr>
          <w:rFonts w:ascii="Verdana" w:hAnsi="Verdana"/>
          <w:sz w:val="16"/>
          <w:szCs w:val="16"/>
        </w:rPr>
        <w:t xml:space="preserve">76 de </w:t>
      </w:r>
      <w:r w:rsidRPr="00432ABC">
        <w:rPr>
          <w:rFonts w:ascii="Verdana" w:hAnsi="Verdana"/>
          <w:sz w:val="16"/>
          <w:szCs w:val="16"/>
          <w:lang w:val="es-AR"/>
        </w:rPr>
        <w:t>8 de abril de 2010</w:t>
      </w:r>
      <w:r>
        <w:rPr>
          <w:rFonts w:ascii="Verdana" w:hAnsi="Verdana"/>
          <w:sz w:val="16"/>
          <w:szCs w:val="16"/>
          <w:lang w:val="es-AR"/>
        </w:rPr>
        <w:t xml:space="preserve"> suscrito por el AMPM-GMCJ, dirigido al AMPME-PGJM</w:t>
      </w:r>
      <w:r w:rsidRPr="00432ABC">
        <w:rPr>
          <w:rFonts w:ascii="Verdana" w:hAnsi="Verdana"/>
          <w:sz w:val="16"/>
          <w:szCs w:val="16"/>
          <w:lang w:val="es-AR"/>
        </w:rPr>
        <w:t xml:space="preserve">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 6290.</w:t>
      </w:r>
    </w:p>
  </w:footnote>
  <w:footnote w:id="255">
    <w:p w14:paraId="64AA622D" w14:textId="721243B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sz w:val="16"/>
          <w:szCs w:val="16"/>
        </w:rPr>
        <w:t xml:space="preserve">Acuerdo de Radicación de Averiguación Previa </w:t>
      </w:r>
      <w:r w:rsidRPr="00432ABC">
        <w:rPr>
          <w:rFonts w:ascii="Verdana" w:hAnsi="Verdana"/>
          <w:sz w:val="16"/>
          <w:szCs w:val="16"/>
          <w:lang w:val="es-AR"/>
        </w:rPr>
        <w:t xml:space="preserve">PGJM/AMPME/CDJUAREZ/196-II/2010 de 16 de abril de 2010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ff. 6294 a 6299). </w:t>
      </w:r>
    </w:p>
  </w:footnote>
  <w:footnote w:id="256">
    <w:p w14:paraId="64AA622E" w14:textId="299C763C"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Inspección Ministerial de 14 de mayo de 2010 (expediente de prueba, </w:t>
      </w:r>
      <w:r>
        <w:rPr>
          <w:rFonts w:ascii="Verdana" w:hAnsi="Verdana"/>
          <w:sz w:val="16"/>
          <w:szCs w:val="16"/>
        </w:rPr>
        <w:t>e</w:t>
      </w:r>
      <w:r w:rsidRPr="002C462C">
        <w:rPr>
          <w:rFonts w:ascii="Verdana" w:hAnsi="Verdana"/>
          <w:sz w:val="16"/>
          <w:szCs w:val="16"/>
        </w:rPr>
        <w:t>xpediente penal, ff. 7367 a 7380).</w:t>
      </w:r>
    </w:p>
  </w:footnote>
  <w:footnote w:id="257">
    <w:p w14:paraId="64AA622F" w14:textId="7704243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Correograma No. 12938 dirig</w:t>
      </w:r>
      <w:r w:rsidRPr="00432ABC">
        <w:rPr>
          <w:rFonts w:ascii="Verdana" w:hAnsi="Verdana"/>
          <w:sz w:val="16"/>
          <w:szCs w:val="16"/>
        </w:rPr>
        <w:t xml:space="preserve">ido al </w:t>
      </w:r>
      <w:r w:rsidRPr="00432ABC">
        <w:rPr>
          <w:rFonts w:ascii="Verdana" w:hAnsi="Verdana"/>
          <w:sz w:val="16"/>
          <w:szCs w:val="16"/>
          <w:lang w:val="es-AR"/>
        </w:rPr>
        <w:t>AMPM – 5ªZM</w:t>
      </w:r>
      <w:r w:rsidRPr="00432ABC">
        <w:rPr>
          <w:rFonts w:ascii="Verdana" w:hAnsi="Verdana"/>
          <w:sz w:val="16"/>
          <w:szCs w:val="16"/>
        </w:rPr>
        <w:t xml:space="preserve"> (expediente de prueba, </w:t>
      </w:r>
      <w:r>
        <w:rPr>
          <w:rFonts w:ascii="Verdana" w:hAnsi="Verdana"/>
          <w:sz w:val="16"/>
          <w:szCs w:val="16"/>
        </w:rPr>
        <w:t>e</w:t>
      </w:r>
      <w:r w:rsidRPr="00432ABC">
        <w:rPr>
          <w:rFonts w:ascii="Verdana" w:hAnsi="Verdana"/>
          <w:sz w:val="16"/>
          <w:szCs w:val="16"/>
        </w:rPr>
        <w:t xml:space="preserve">xpediente penal, f. 7396), y </w:t>
      </w:r>
      <w:r>
        <w:rPr>
          <w:rFonts w:ascii="Verdana" w:hAnsi="Verdana"/>
          <w:sz w:val="16"/>
          <w:szCs w:val="16"/>
        </w:rPr>
        <w:t>O</w:t>
      </w:r>
      <w:r w:rsidRPr="00432ABC">
        <w:rPr>
          <w:rFonts w:ascii="Verdana" w:hAnsi="Verdana"/>
          <w:sz w:val="16"/>
          <w:szCs w:val="16"/>
        </w:rPr>
        <w:t>ficio N</w:t>
      </w:r>
      <w:r>
        <w:rPr>
          <w:rFonts w:ascii="Verdana" w:hAnsi="Verdana"/>
          <w:sz w:val="16"/>
          <w:szCs w:val="16"/>
        </w:rPr>
        <w:t>o</w:t>
      </w:r>
      <w:r w:rsidRPr="00432ABC">
        <w:rPr>
          <w:rFonts w:ascii="Verdana" w:hAnsi="Verdana"/>
          <w:sz w:val="16"/>
          <w:szCs w:val="16"/>
        </w:rPr>
        <w:t xml:space="preserve">. 13000 de 24 de mayo de 2010 emitido por el Estado Mayor de la Comandancia de la 5ªZM, dirigido </w:t>
      </w:r>
      <w:r w:rsidRPr="00432ABC">
        <w:rPr>
          <w:rFonts w:ascii="Verdana" w:hAnsi="Verdana"/>
          <w:sz w:val="16"/>
          <w:szCs w:val="16"/>
          <w:lang w:val="es-AR"/>
        </w:rPr>
        <w:t>AMPM – 5ªZM</w:t>
      </w:r>
      <w:r w:rsidRPr="00432ABC">
        <w:rPr>
          <w:rFonts w:ascii="Verdana" w:hAnsi="Verdana"/>
          <w:sz w:val="16"/>
          <w:szCs w:val="16"/>
        </w:rPr>
        <w:t xml:space="preserve"> (expediente de prueba, </w:t>
      </w:r>
      <w:r>
        <w:rPr>
          <w:rFonts w:ascii="Verdana" w:hAnsi="Verdana"/>
          <w:sz w:val="16"/>
          <w:szCs w:val="16"/>
        </w:rPr>
        <w:t>e</w:t>
      </w:r>
      <w:r w:rsidRPr="00432ABC">
        <w:rPr>
          <w:rFonts w:ascii="Verdana" w:hAnsi="Verdana"/>
          <w:sz w:val="16"/>
          <w:szCs w:val="16"/>
        </w:rPr>
        <w:t xml:space="preserve">xpediente penal, f. 7398).  </w:t>
      </w:r>
    </w:p>
  </w:footnote>
  <w:footnote w:id="258">
    <w:p w14:paraId="64AA6230" w14:textId="3DA62419"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Aarón Enríquez Duarte rendida el 24 de mayo de 2010 (expediente de prueba, </w:t>
      </w:r>
      <w:r>
        <w:rPr>
          <w:rFonts w:ascii="Verdana" w:hAnsi="Verdana"/>
          <w:sz w:val="16"/>
          <w:szCs w:val="16"/>
        </w:rPr>
        <w:t>e</w:t>
      </w:r>
      <w:r w:rsidRPr="002C462C">
        <w:rPr>
          <w:rFonts w:ascii="Verdana" w:hAnsi="Verdana"/>
          <w:sz w:val="16"/>
          <w:szCs w:val="16"/>
        </w:rPr>
        <w:t>xpediente penal, ff. 7401 a 7402).</w:t>
      </w:r>
    </w:p>
  </w:footnote>
  <w:footnote w:id="259">
    <w:p w14:paraId="64AA6231" w14:textId="51693B7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21670 de 6 de noviembre de 2010 </w:t>
      </w:r>
      <w:r w:rsidRPr="00432ABC">
        <w:rPr>
          <w:rFonts w:ascii="Verdana" w:hAnsi="Verdana"/>
          <w:sz w:val="16"/>
          <w:szCs w:val="16"/>
          <w:lang w:val="es-AR"/>
        </w:rPr>
        <w:t xml:space="preserve">(expediente de prueba, </w:t>
      </w:r>
      <w:r>
        <w:rPr>
          <w:rFonts w:ascii="Verdana" w:hAnsi="Verdana"/>
          <w:sz w:val="16"/>
          <w:szCs w:val="16"/>
          <w:lang w:val="es-AR"/>
        </w:rPr>
        <w:t>e</w:t>
      </w:r>
      <w:r w:rsidRPr="00432ABC">
        <w:rPr>
          <w:rFonts w:ascii="Verdana" w:hAnsi="Verdana"/>
          <w:sz w:val="16"/>
          <w:szCs w:val="16"/>
          <w:lang w:val="es-AR"/>
        </w:rPr>
        <w:t xml:space="preserve">xpediente penal, ff. 7234 a 7247). </w:t>
      </w:r>
    </w:p>
  </w:footnote>
  <w:footnote w:id="260">
    <w:p w14:paraId="64AA6232" w14:textId="03A52312"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i/>
          <w:sz w:val="16"/>
          <w:szCs w:val="16"/>
        </w:rPr>
        <w:t xml:space="preserve"> </w:t>
      </w:r>
      <w:r w:rsidRPr="002C462C">
        <w:rPr>
          <w:rFonts w:ascii="Verdana" w:hAnsi="Verdana"/>
          <w:i/>
          <w:sz w:val="16"/>
          <w:szCs w:val="16"/>
        </w:rPr>
        <w:tab/>
      </w:r>
      <w:r w:rsidRPr="00CD5C54">
        <w:rPr>
          <w:rFonts w:ascii="Verdana" w:hAnsi="Verdana"/>
          <w:i/>
          <w:sz w:val="16"/>
          <w:szCs w:val="16"/>
        </w:rPr>
        <w:t>Cfr.</w:t>
      </w:r>
      <w:r w:rsidRPr="002C462C">
        <w:rPr>
          <w:rFonts w:ascii="Verdana" w:hAnsi="Verdana"/>
          <w:sz w:val="16"/>
          <w:szCs w:val="16"/>
        </w:rPr>
        <w:t xml:space="preserve"> Declaración de Argene Blásquez Morales rendida el 30 de marzo de 2011 ante el AMPM Auxiliar adscrito a la Cuarta Zona Militar en Hermosillo, Sonora (expediente de prueba, </w:t>
      </w:r>
      <w:r>
        <w:rPr>
          <w:rFonts w:ascii="Verdana" w:hAnsi="Verdana"/>
          <w:sz w:val="16"/>
          <w:szCs w:val="16"/>
        </w:rPr>
        <w:t>e</w:t>
      </w:r>
      <w:r w:rsidRPr="002C462C">
        <w:rPr>
          <w:rFonts w:ascii="Verdana" w:hAnsi="Verdana"/>
          <w:sz w:val="16"/>
          <w:szCs w:val="16"/>
        </w:rPr>
        <w:t>xpediente penal, ff. 8251 a 8256).</w:t>
      </w:r>
    </w:p>
  </w:footnote>
  <w:footnote w:id="261">
    <w:p w14:paraId="64AA6233" w14:textId="1D5FF31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sidRPr="00432ABC">
        <w:rPr>
          <w:rFonts w:ascii="Verdana" w:hAnsi="Verdana"/>
          <w:sz w:val="16"/>
          <w:szCs w:val="16"/>
        </w:rPr>
        <w:t xml:space="preserve">No. ilegible de 2 de abril de 2011 por el que se </w:t>
      </w:r>
      <w:r w:rsidRPr="00432ABC">
        <w:rPr>
          <w:rFonts w:ascii="Verdana" w:hAnsi="Verdana"/>
          <w:sz w:val="16"/>
          <w:szCs w:val="16"/>
          <w:lang w:val="es-AR"/>
        </w:rPr>
        <w:t xml:space="preserve">remite </w:t>
      </w:r>
      <w:r w:rsidRPr="00432ABC">
        <w:rPr>
          <w:rFonts w:ascii="Verdana" w:hAnsi="Verdana"/>
          <w:sz w:val="16"/>
          <w:szCs w:val="16"/>
        </w:rPr>
        <w:t xml:space="preserve">“Partes de novedades” de días 29, 30 y 31 de diciembre de 2009 certificados por el Jefe Accidental de la Sección de Personal, Abastecimientos y Ayudantía del 35 Batallón de Infantería (expediente de prueba, </w:t>
      </w:r>
      <w:r>
        <w:rPr>
          <w:rFonts w:ascii="Verdana" w:hAnsi="Verdana"/>
          <w:sz w:val="16"/>
          <w:szCs w:val="16"/>
        </w:rPr>
        <w:t>e</w:t>
      </w:r>
      <w:r w:rsidRPr="00432ABC">
        <w:rPr>
          <w:rFonts w:ascii="Verdana" w:hAnsi="Verdana"/>
          <w:sz w:val="16"/>
          <w:szCs w:val="16"/>
        </w:rPr>
        <w:t xml:space="preserve">xpediente penal, ff. 8173 a 8183). </w:t>
      </w:r>
    </w:p>
  </w:footnote>
  <w:footnote w:id="262">
    <w:p w14:paraId="64AA6234" w14:textId="0FC26E4E"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Radiograma No. 22416 de 30 de diciembre de 2009 dirigido al Comandante P.M. “Bélgica Uno” en Basaseachi, Chihuahua (expediente de prueba, </w:t>
      </w:r>
      <w:r>
        <w:rPr>
          <w:rFonts w:ascii="Verdana" w:hAnsi="Verdana"/>
          <w:sz w:val="16"/>
          <w:szCs w:val="16"/>
        </w:rPr>
        <w:t>e</w:t>
      </w:r>
      <w:r w:rsidRPr="002C462C">
        <w:rPr>
          <w:rFonts w:ascii="Verdana" w:hAnsi="Verdana"/>
          <w:sz w:val="16"/>
          <w:szCs w:val="16"/>
        </w:rPr>
        <w:t>xpediente penal, ff. 8170</w:t>
      </w:r>
      <w:r>
        <w:rPr>
          <w:rFonts w:ascii="Verdana" w:hAnsi="Verdana"/>
          <w:sz w:val="16"/>
          <w:szCs w:val="16"/>
        </w:rPr>
        <w:t xml:space="preserve"> y 8171</w:t>
      </w:r>
      <w:r w:rsidRPr="002C462C">
        <w:rPr>
          <w:rFonts w:ascii="Verdana" w:hAnsi="Verdana"/>
          <w:sz w:val="16"/>
          <w:szCs w:val="16"/>
        </w:rPr>
        <w:t>).</w:t>
      </w:r>
    </w:p>
  </w:footnote>
  <w:footnote w:id="263">
    <w:p w14:paraId="64AA6235" w14:textId="0E02D8F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w:t>
      </w:r>
      <w:r w:rsidRPr="00432ABC">
        <w:rPr>
          <w:rFonts w:ascii="Verdana" w:hAnsi="Verdana"/>
          <w:sz w:val="16"/>
          <w:szCs w:val="16"/>
        </w:rPr>
        <w:t xml:space="preserve">laración testimonial de Alberto Hernández de la Cruz rendida el 13 de abril de 2011 ante el AMPME - GMCJ (expediente de prueba, </w:t>
      </w:r>
      <w:r>
        <w:rPr>
          <w:rFonts w:ascii="Verdana" w:hAnsi="Verdana"/>
          <w:sz w:val="16"/>
          <w:szCs w:val="16"/>
        </w:rPr>
        <w:t>e</w:t>
      </w:r>
      <w:r w:rsidRPr="00432ABC">
        <w:rPr>
          <w:rFonts w:ascii="Verdana" w:hAnsi="Verdana"/>
          <w:sz w:val="16"/>
          <w:szCs w:val="16"/>
        </w:rPr>
        <w:t xml:space="preserve">xpediente penal, </w:t>
      </w:r>
      <w:r>
        <w:rPr>
          <w:rFonts w:ascii="Verdana" w:hAnsi="Verdana"/>
          <w:sz w:val="16"/>
          <w:szCs w:val="16"/>
        </w:rPr>
        <w:t>f</w:t>
      </w:r>
      <w:r w:rsidRPr="00432ABC">
        <w:rPr>
          <w:rFonts w:ascii="Verdana" w:hAnsi="Verdana"/>
          <w:sz w:val="16"/>
          <w:szCs w:val="16"/>
        </w:rPr>
        <w:t>f. 8327 a 8332).</w:t>
      </w:r>
    </w:p>
  </w:footnote>
  <w:footnote w:id="264">
    <w:p w14:paraId="64AA6236" w14:textId="74EEAD7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w:t>
      </w:r>
      <w:r>
        <w:rPr>
          <w:rFonts w:ascii="Verdana" w:hAnsi="Verdana"/>
          <w:sz w:val="16"/>
          <w:szCs w:val="16"/>
        </w:rPr>
        <w:t>r</w:t>
      </w:r>
      <w:r w:rsidRPr="002C462C">
        <w:rPr>
          <w:rFonts w:ascii="Verdana" w:hAnsi="Verdana"/>
          <w:sz w:val="16"/>
          <w:szCs w:val="16"/>
        </w:rPr>
        <w:t xml:space="preserve">ecepción de </w:t>
      </w:r>
      <w:r>
        <w:rPr>
          <w:rFonts w:ascii="Verdana" w:hAnsi="Verdana"/>
          <w:sz w:val="16"/>
          <w:szCs w:val="16"/>
        </w:rPr>
        <w:t>d</w:t>
      </w:r>
      <w:r w:rsidRPr="002C462C">
        <w:rPr>
          <w:rFonts w:ascii="Verdana" w:hAnsi="Verdana"/>
          <w:sz w:val="16"/>
          <w:szCs w:val="16"/>
        </w:rPr>
        <w:t xml:space="preserve">ocumentos de 12 de septiembre de 2011 suscrito por </w:t>
      </w:r>
      <w:r w:rsidRPr="00432ABC">
        <w:rPr>
          <w:rFonts w:ascii="Verdana" w:hAnsi="Verdana"/>
          <w:sz w:val="16"/>
          <w:szCs w:val="16"/>
        </w:rPr>
        <w:t xml:space="preserve">el II AMPM Investigador adscrito a la Ciudad de México (expediente de prueba, </w:t>
      </w:r>
      <w:r>
        <w:rPr>
          <w:rFonts w:ascii="Verdana" w:hAnsi="Verdana"/>
          <w:sz w:val="16"/>
          <w:szCs w:val="16"/>
        </w:rPr>
        <w:t>e</w:t>
      </w:r>
      <w:r w:rsidRPr="00432ABC">
        <w:rPr>
          <w:rFonts w:ascii="Verdana" w:hAnsi="Verdana"/>
          <w:sz w:val="16"/>
          <w:szCs w:val="16"/>
        </w:rPr>
        <w:t xml:space="preserve">xpediente penal, f. 9903), y </w:t>
      </w:r>
      <w:r>
        <w:rPr>
          <w:rFonts w:ascii="Verdana" w:hAnsi="Verdana"/>
          <w:sz w:val="16"/>
          <w:szCs w:val="16"/>
        </w:rPr>
        <w:t>O</w:t>
      </w:r>
      <w:r w:rsidRPr="00432ABC">
        <w:rPr>
          <w:rFonts w:ascii="Verdana" w:hAnsi="Verdana"/>
          <w:sz w:val="16"/>
          <w:szCs w:val="16"/>
        </w:rPr>
        <w:t xml:space="preserve">ficio No. CNDH/DGAJ/1097/2011 de 9 de septiembre de 2011 suscrito por el </w:t>
      </w:r>
      <w:r>
        <w:rPr>
          <w:rFonts w:ascii="Verdana" w:hAnsi="Verdana"/>
          <w:sz w:val="16"/>
          <w:szCs w:val="16"/>
        </w:rPr>
        <w:t>a</w:t>
      </w:r>
      <w:r w:rsidRPr="00432ABC">
        <w:rPr>
          <w:rFonts w:ascii="Verdana" w:hAnsi="Verdana"/>
          <w:sz w:val="16"/>
          <w:szCs w:val="16"/>
        </w:rPr>
        <w:t xml:space="preserve">poderado legal de la CNDH (expediente de prueba, </w:t>
      </w:r>
      <w:r>
        <w:rPr>
          <w:rFonts w:ascii="Verdana" w:hAnsi="Verdana"/>
          <w:sz w:val="16"/>
          <w:szCs w:val="16"/>
        </w:rPr>
        <w:t>e</w:t>
      </w:r>
      <w:r w:rsidRPr="00432ABC">
        <w:rPr>
          <w:rFonts w:ascii="Verdana" w:hAnsi="Verdana"/>
          <w:sz w:val="16"/>
          <w:szCs w:val="16"/>
        </w:rPr>
        <w:t xml:space="preserve">xpediente penal, ff. 9904 a 9935). </w:t>
      </w:r>
    </w:p>
  </w:footnote>
  <w:footnote w:id="265">
    <w:p w14:paraId="64AA6237" w14:textId="7834436E"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Proveído de </w:t>
      </w:r>
      <w:r>
        <w:rPr>
          <w:rFonts w:ascii="Verdana" w:hAnsi="Verdana"/>
          <w:sz w:val="16"/>
          <w:szCs w:val="16"/>
        </w:rPr>
        <w:t>d</w:t>
      </w:r>
      <w:r w:rsidRPr="002C462C">
        <w:rPr>
          <w:rFonts w:ascii="Verdana" w:hAnsi="Verdana"/>
          <w:sz w:val="16"/>
          <w:szCs w:val="16"/>
        </w:rPr>
        <w:t xml:space="preserve">eterminación de </w:t>
      </w:r>
      <w:r>
        <w:rPr>
          <w:rFonts w:ascii="Verdana" w:hAnsi="Verdana"/>
          <w:sz w:val="16"/>
          <w:szCs w:val="16"/>
        </w:rPr>
        <w:t>a</w:t>
      </w:r>
      <w:r w:rsidRPr="002C462C">
        <w:rPr>
          <w:rFonts w:ascii="Verdana" w:hAnsi="Verdana"/>
          <w:sz w:val="16"/>
          <w:szCs w:val="16"/>
        </w:rPr>
        <w:t xml:space="preserve">veriguación </w:t>
      </w:r>
      <w:r>
        <w:rPr>
          <w:rFonts w:ascii="Verdana" w:hAnsi="Verdana"/>
          <w:sz w:val="16"/>
          <w:szCs w:val="16"/>
        </w:rPr>
        <w:t>p</w:t>
      </w:r>
      <w:r w:rsidRPr="002C462C">
        <w:rPr>
          <w:rFonts w:ascii="Verdana" w:hAnsi="Verdana"/>
          <w:sz w:val="16"/>
          <w:szCs w:val="16"/>
        </w:rPr>
        <w:t xml:space="preserve">revia de 29 de diciembre de 2011 (expediente de prueba, f. 617). </w:t>
      </w:r>
    </w:p>
  </w:footnote>
  <w:footnote w:id="266">
    <w:p w14:paraId="64AA6238" w14:textId="46A59B8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inicio de </w:t>
      </w:r>
      <w:r>
        <w:rPr>
          <w:rFonts w:ascii="Verdana" w:hAnsi="Verdana"/>
          <w:sz w:val="16"/>
          <w:szCs w:val="16"/>
        </w:rPr>
        <w:t>la a</w:t>
      </w:r>
      <w:r w:rsidRPr="002C462C">
        <w:rPr>
          <w:rFonts w:ascii="Verdana" w:hAnsi="Verdana"/>
          <w:sz w:val="16"/>
          <w:szCs w:val="16"/>
        </w:rPr>
        <w:t xml:space="preserve">veriguación </w:t>
      </w:r>
      <w:r>
        <w:rPr>
          <w:rFonts w:ascii="Verdana" w:hAnsi="Verdana"/>
          <w:sz w:val="16"/>
          <w:szCs w:val="16"/>
        </w:rPr>
        <w:t>p</w:t>
      </w:r>
      <w:r w:rsidRPr="002C462C">
        <w:rPr>
          <w:rFonts w:ascii="Verdana" w:hAnsi="Verdana"/>
          <w:sz w:val="16"/>
          <w:szCs w:val="16"/>
        </w:rPr>
        <w:t>revia de 8 de marzo de 2010 s</w:t>
      </w:r>
      <w:r w:rsidRPr="00432ABC">
        <w:rPr>
          <w:rFonts w:ascii="Verdana" w:hAnsi="Verdana"/>
          <w:sz w:val="16"/>
          <w:szCs w:val="16"/>
        </w:rPr>
        <w:t xml:space="preserve">uscrito por el Jefe de Manejo y Control de Averiguaciones Previas adscrito a la FEVIMTRA – PGR (expediente de prueba, </w:t>
      </w:r>
      <w:r>
        <w:rPr>
          <w:rFonts w:ascii="Verdana" w:hAnsi="Verdana"/>
          <w:sz w:val="16"/>
          <w:szCs w:val="16"/>
        </w:rPr>
        <w:t>e</w:t>
      </w:r>
      <w:r w:rsidRPr="00432ABC">
        <w:rPr>
          <w:rFonts w:ascii="Verdana" w:hAnsi="Verdana"/>
          <w:sz w:val="16"/>
          <w:szCs w:val="16"/>
        </w:rPr>
        <w:t xml:space="preserve">xpediente penal, f. 12869). </w:t>
      </w:r>
    </w:p>
  </w:footnote>
  <w:footnote w:id="267">
    <w:p w14:paraId="64AA6239" w14:textId="5504906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Acuerdo de diligencias</w:t>
      </w:r>
      <w:r w:rsidRPr="00432ABC">
        <w:rPr>
          <w:rFonts w:ascii="Verdana" w:hAnsi="Verdana"/>
          <w:i/>
          <w:sz w:val="16"/>
          <w:szCs w:val="16"/>
        </w:rPr>
        <w:t xml:space="preserve"> </w:t>
      </w:r>
      <w:r w:rsidRPr="00432ABC">
        <w:rPr>
          <w:rFonts w:ascii="Verdana" w:hAnsi="Verdana"/>
          <w:sz w:val="16"/>
          <w:szCs w:val="16"/>
        </w:rPr>
        <w:t xml:space="preserve">de 4 de junio de 2010 (expediente de prueba, </w:t>
      </w:r>
      <w:r>
        <w:rPr>
          <w:rFonts w:ascii="Verdana" w:hAnsi="Verdana"/>
          <w:sz w:val="16"/>
          <w:szCs w:val="16"/>
        </w:rPr>
        <w:t>e</w:t>
      </w:r>
      <w:r w:rsidRPr="00432ABC">
        <w:rPr>
          <w:rFonts w:ascii="Verdana" w:hAnsi="Verdana"/>
          <w:sz w:val="16"/>
          <w:szCs w:val="16"/>
        </w:rPr>
        <w:t xml:space="preserve">xpediente penal, ff. 13516 a 13518). </w:t>
      </w:r>
    </w:p>
  </w:footnote>
  <w:footnote w:id="268">
    <w:p w14:paraId="64AA623A" w14:textId="3DDA914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Proveídos de Inspección Ministerial de 9 de junio de 2010 suscritos por el SMC de la FEVIMTRA – PGR (expediente de prueba, </w:t>
      </w:r>
      <w:r>
        <w:rPr>
          <w:rFonts w:ascii="Verdana" w:hAnsi="Verdana"/>
          <w:sz w:val="16"/>
          <w:szCs w:val="16"/>
        </w:rPr>
        <w:t>e</w:t>
      </w:r>
      <w:r w:rsidRPr="002C462C">
        <w:rPr>
          <w:rFonts w:ascii="Verdana" w:hAnsi="Verdana"/>
          <w:sz w:val="16"/>
          <w:szCs w:val="16"/>
        </w:rPr>
        <w:t>xpediente penal, ff. 13542 a 13545, y 13550 a 13551).</w:t>
      </w:r>
      <w:r w:rsidRPr="00432ABC" w:rsidDel="00FA4407">
        <w:rPr>
          <w:rFonts w:ascii="Verdana" w:hAnsi="Verdana"/>
          <w:sz w:val="16"/>
          <w:szCs w:val="16"/>
        </w:rPr>
        <w:t xml:space="preserve"> </w:t>
      </w:r>
    </w:p>
  </w:footnote>
  <w:footnote w:id="269">
    <w:p w14:paraId="64AA623B" w14:textId="1602460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En su declaración, el age</w:t>
      </w:r>
      <w:r w:rsidRPr="002C462C">
        <w:rPr>
          <w:rFonts w:ascii="Verdana" w:hAnsi="Verdana"/>
          <w:sz w:val="16"/>
          <w:szCs w:val="16"/>
        </w:rPr>
        <w:t>nte Flores Martínez señaló:</w:t>
      </w:r>
      <w:r w:rsidRPr="00432ABC">
        <w:rPr>
          <w:rFonts w:ascii="Verdana" w:hAnsi="Verdana"/>
          <w:sz w:val="16"/>
          <w:szCs w:val="16"/>
          <w:lang w:val="es-AR"/>
        </w:rPr>
        <w:t xml:space="preserve"> “[…] A finales del mes de noviembre de [2009] […] llegaron a mi oficina [en la Agencia Estatal de Investigaciones en Nuevo Casas Grandes] tres elementos de la Policía Federal, uniformados y se dirigieron conmigo y en razón de que yo estaba encargado de la plaza […] me manifestaron sobre el asunto de una camioneta que estaba asegurada por parte de la policía ministerial en el Ejido Benito Juárez […] y le informaron que uno de los agentes que había asegurado dicho vehículo es Óscar Arias Ocampo […] posteriormente Óscar [Arias] y el comandante Calvillo se entrevistaron con dichos elementos de la Policía Federal desconociendo en qué vehículo [iban] […]”. Por su parte, el señor </w:t>
      </w:r>
      <w:r w:rsidRPr="00432ABC">
        <w:rPr>
          <w:rFonts w:ascii="Verdana" w:hAnsi="Verdana"/>
          <w:sz w:val="16"/>
          <w:szCs w:val="16"/>
        </w:rPr>
        <w:t xml:space="preserve">Francisco Calvillo declaró: “[…] los primeros días de enero [de 2010] se present[ó] un teniente del [E]jército [M]exicano […] y me manifestó que si había el vehículo asegurado, y que porqué lo había asegurado, a lo que le contesté que por una llamada habíamos intervenido, y tomó los datos de vehículo y se retiró, posteriormente llegaron varios agentes de la Policía Federal uniformados, preguntando lo mismo […]”. </w:t>
      </w:r>
      <w:r w:rsidRPr="00CD5C54">
        <w:rPr>
          <w:rFonts w:ascii="Verdana" w:hAnsi="Verdana"/>
          <w:i/>
          <w:sz w:val="16"/>
          <w:szCs w:val="16"/>
        </w:rPr>
        <w:t>Cfr.</w:t>
      </w:r>
      <w:r w:rsidRPr="00432ABC">
        <w:rPr>
          <w:rFonts w:ascii="Verdana" w:hAnsi="Verdana"/>
          <w:sz w:val="16"/>
          <w:szCs w:val="16"/>
        </w:rPr>
        <w:t xml:space="preserve"> Declaración de Hora</w:t>
      </w:r>
      <w:r>
        <w:rPr>
          <w:rFonts w:ascii="Verdana" w:hAnsi="Verdana"/>
          <w:sz w:val="16"/>
          <w:szCs w:val="16"/>
        </w:rPr>
        <w:t>s</w:t>
      </w:r>
      <w:r w:rsidRPr="00432ABC">
        <w:rPr>
          <w:rFonts w:ascii="Verdana" w:hAnsi="Verdana"/>
          <w:sz w:val="16"/>
          <w:szCs w:val="16"/>
        </w:rPr>
        <w:t xml:space="preserve">io Flores Martínez (expediente de prueba, </w:t>
      </w:r>
      <w:r>
        <w:rPr>
          <w:rFonts w:ascii="Verdana" w:hAnsi="Verdana"/>
          <w:sz w:val="16"/>
          <w:szCs w:val="16"/>
        </w:rPr>
        <w:t>e</w:t>
      </w:r>
      <w:r w:rsidRPr="00432ABC">
        <w:rPr>
          <w:rFonts w:ascii="Verdana" w:hAnsi="Verdana"/>
          <w:sz w:val="16"/>
          <w:szCs w:val="16"/>
        </w:rPr>
        <w:t xml:space="preserve">xpediente penal, ff. 13555 a 13557), y </w:t>
      </w:r>
      <w:r>
        <w:rPr>
          <w:rFonts w:ascii="Verdana" w:hAnsi="Verdana"/>
          <w:sz w:val="16"/>
          <w:szCs w:val="16"/>
        </w:rPr>
        <w:t>d</w:t>
      </w:r>
      <w:r w:rsidRPr="00432ABC">
        <w:rPr>
          <w:rFonts w:ascii="Verdana" w:hAnsi="Verdana"/>
          <w:sz w:val="16"/>
          <w:szCs w:val="16"/>
        </w:rPr>
        <w:t xml:space="preserve">eclaración de Francisco Calvillo Barrio (expediente de prueba, </w:t>
      </w:r>
      <w:r>
        <w:rPr>
          <w:rFonts w:ascii="Verdana" w:hAnsi="Verdana"/>
          <w:sz w:val="16"/>
          <w:szCs w:val="16"/>
        </w:rPr>
        <w:t>e</w:t>
      </w:r>
      <w:r w:rsidRPr="00432ABC">
        <w:rPr>
          <w:rFonts w:ascii="Verdana" w:hAnsi="Verdana"/>
          <w:sz w:val="16"/>
          <w:szCs w:val="16"/>
        </w:rPr>
        <w:t>xpediente penal, ff. 13560 a 13561), ambas rendidas el 9 de junio de 2010 ante el SMC de la FEVIMTRA – PGR.</w:t>
      </w:r>
    </w:p>
  </w:footnote>
  <w:footnote w:id="270">
    <w:p w14:paraId="64AA623C" w14:textId="07ACE77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Obdulia Espinoza Beltrán rendida el 10 de junio de 2010 (expediente de prueba, </w:t>
      </w:r>
      <w:r>
        <w:rPr>
          <w:rFonts w:ascii="Verdana" w:hAnsi="Verdana"/>
          <w:sz w:val="16"/>
          <w:szCs w:val="16"/>
        </w:rPr>
        <w:t>e</w:t>
      </w:r>
      <w:r w:rsidRPr="002C462C">
        <w:rPr>
          <w:rFonts w:ascii="Verdana" w:hAnsi="Verdana"/>
          <w:sz w:val="16"/>
          <w:szCs w:val="16"/>
        </w:rPr>
        <w:t>xpedi</w:t>
      </w:r>
      <w:r w:rsidRPr="00432ABC">
        <w:rPr>
          <w:rFonts w:ascii="Verdana" w:hAnsi="Verdana"/>
          <w:sz w:val="16"/>
          <w:szCs w:val="16"/>
        </w:rPr>
        <w:t xml:space="preserve">ente penal, ff. 13576 a 13588). </w:t>
      </w:r>
    </w:p>
  </w:footnote>
  <w:footnote w:id="271">
    <w:p w14:paraId="64AA623D" w14:textId="7D8EBF8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Jesús Durazo Hoyos (expediente de prueba, </w:t>
      </w:r>
      <w:r>
        <w:rPr>
          <w:rFonts w:ascii="Verdana" w:hAnsi="Verdana"/>
          <w:sz w:val="16"/>
          <w:szCs w:val="16"/>
        </w:rPr>
        <w:t>e</w:t>
      </w:r>
      <w:r w:rsidRPr="002C462C">
        <w:rPr>
          <w:rFonts w:ascii="Verdana" w:hAnsi="Verdana"/>
          <w:sz w:val="16"/>
          <w:szCs w:val="16"/>
        </w:rPr>
        <w:t xml:space="preserve">xpediente penal, ff. 13589 a 13591), y </w:t>
      </w:r>
      <w:r>
        <w:rPr>
          <w:rFonts w:ascii="Verdana" w:hAnsi="Verdana"/>
          <w:sz w:val="16"/>
          <w:szCs w:val="16"/>
        </w:rPr>
        <w:t>d</w:t>
      </w:r>
      <w:r w:rsidRPr="002C462C">
        <w:rPr>
          <w:rFonts w:ascii="Verdana" w:hAnsi="Verdana"/>
          <w:sz w:val="16"/>
          <w:szCs w:val="16"/>
        </w:rPr>
        <w:t xml:space="preserve">eclaración de Guadalupe Angélica Escobedo Domínguez (expediente de prueba, </w:t>
      </w:r>
      <w:r>
        <w:rPr>
          <w:rFonts w:ascii="Verdana" w:hAnsi="Verdana"/>
          <w:sz w:val="16"/>
          <w:szCs w:val="16"/>
        </w:rPr>
        <w:t>e</w:t>
      </w:r>
      <w:r w:rsidRPr="002C462C">
        <w:rPr>
          <w:rFonts w:ascii="Verdana" w:hAnsi="Verdana"/>
          <w:sz w:val="16"/>
          <w:szCs w:val="16"/>
        </w:rPr>
        <w:t xml:space="preserve">xpediente penal, </w:t>
      </w:r>
      <w:r w:rsidRPr="00432ABC">
        <w:rPr>
          <w:rFonts w:ascii="Verdana" w:hAnsi="Verdana"/>
          <w:sz w:val="16"/>
          <w:szCs w:val="16"/>
        </w:rPr>
        <w:t>ff. 13596 a 13598), ambas rendidas el 10 de junio de 2010 ante el SMC de la FEVIMTRA – PGR.</w:t>
      </w:r>
    </w:p>
  </w:footnote>
  <w:footnote w:id="272">
    <w:p w14:paraId="64AA623E" w14:textId="0380C94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diligencias de 27 de julio de 2010 (expediente de prueba, </w:t>
      </w:r>
      <w:r>
        <w:rPr>
          <w:rFonts w:ascii="Verdana" w:hAnsi="Verdana"/>
          <w:sz w:val="16"/>
          <w:szCs w:val="16"/>
        </w:rPr>
        <w:t>e</w:t>
      </w:r>
      <w:r w:rsidRPr="002C462C">
        <w:rPr>
          <w:rFonts w:ascii="Verdana" w:hAnsi="Verdana"/>
          <w:sz w:val="16"/>
          <w:szCs w:val="16"/>
        </w:rPr>
        <w:t xml:space="preserve">xpediente penal, ff. 13805 a 13806), y </w:t>
      </w:r>
      <w:r>
        <w:rPr>
          <w:rFonts w:ascii="Verdana" w:hAnsi="Verdana"/>
          <w:sz w:val="16"/>
          <w:szCs w:val="16"/>
        </w:rPr>
        <w:t>O</w:t>
      </w:r>
      <w:r w:rsidRPr="002C462C">
        <w:rPr>
          <w:rFonts w:ascii="Verdana" w:hAnsi="Verdana"/>
          <w:sz w:val="16"/>
          <w:szCs w:val="16"/>
        </w:rPr>
        <w:t xml:space="preserve">ficio </w:t>
      </w:r>
      <w:r>
        <w:rPr>
          <w:rFonts w:ascii="Verdana" w:hAnsi="Verdana"/>
          <w:sz w:val="16"/>
          <w:szCs w:val="16"/>
        </w:rPr>
        <w:t xml:space="preserve">No. </w:t>
      </w:r>
      <w:r w:rsidRPr="002C462C">
        <w:rPr>
          <w:rFonts w:ascii="Verdana" w:hAnsi="Verdana"/>
          <w:sz w:val="16"/>
          <w:szCs w:val="16"/>
        </w:rPr>
        <w:t>PGR/FEVIMTRA/TRA/083</w:t>
      </w:r>
      <w:r w:rsidRPr="00432ABC">
        <w:rPr>
          <w:rFonts w:ascii="Verdana" w:hAnsi="Verdana"/>
          <w:sz w:val="16"/>
          <w:szCs w:val="16"/>
        </w:rPr>
        <w:t xml:space="preserve">8/2010 de 27 de julio de 2010 (expediente de prueba, </w:t>
      </w:r>
      <w:r>
        <w:rPr>
          <w:rFonts w:ascii="Verdana" w:hAnsi="Verdana"/>
          <w:sz w:val="16"/>
          <w:szCs w:val="16"/>
        </w:rPr>
        <w:t>e</w:t>
      </w:r>
      <w:r w:rsidRPr="00432ABC">
        <w:rPr>
          <w:rFonts w:ascii="Verdana" w:hAnsi="Verdana"/>
          <w:sz w:val="16"/>
          <w:szCs w:val="16"/>
        </w:rPr>
        <w:t>xpediente penal, f. 13807). La AMPF de la FEVIMTRA – PGR solicitó la colaboración del PGJM para que coadyuvara al desahogo de las siguientes diligencias: “[1.] Se constituy[era] en el 35 Batallón de Infantería, junto con Peritos en Fotografía, Criminalística de Campo y aquéllos que le resulten necesarios, para que realice inspección de sus instalaciones en la búsqueda de las personas [desaparecidas] [;] [2.] Solicit[e] que se ponga a la vista los libros de registros de visitas del mes de enero de 2010, dar fe de su contenido y recabar las fotografías correspondientes [;] [3.] Pid[a] se pongan a la vista las Bitácoras de Servicios, informes y partes de novedades rendidos el 29 y 30 de noviembre de 2009, dar fe de su contenido y recabar las fotografías correspondientes [;] [4.] Requier[a] se pongan a la vista los partes informativos de los vehículos puestos a disposición por parte del personal de[l] Batallón a otras instancias, concretamente del 29, 30 y 31 de diciembre de 2009 [;] [5.] Solicit[e] se informe[n] los operativos en que hayan participado personal del multicitado Batallón el 29 de diciembre de 2009, de ser posible se realice inspección del libro de registro correspondiente, se dé fe y se recaben las impresiones fotográficas [correspondientes] [;] [6.] Pid[a] se informe [sic] sobre los últimos operativos realizados en el Municipio de Buenaventura, Chihuahua, y los resultados obtenidos, es decir, nombres de personas aseguradas</w:t>
      </w:r>
      <w:r>
        <w:rPr>
          <w:rFonts w:ascii="Verdana" w:hAnsi="Verdana"/>
          <w:sz w:val="16"/>
          <w:szCs w:val="16"/>
        </w:rPr>
        <w:t>,</w:t>
      </w:r>
      <w:r w:rsidRPr="00432ABC">
        <w:rPr>
          <w:rFonts w:ascii="Verdana" w:hAnsi="Verdana"/>
          <w:sz w:val="16"/>
          <w:szCs w:val="16"/>
        </w:rPr>
        <w:t xml:space="preserve"> vehículos encontrados, etc. [,] [y] [7.] Obtenga relación del personal con fotografía a color del Batallón 35 que estuvo laborando el 29 de diciembre de 2009 al 15 de enero de 2010, especificándose nombre de la[s] personas a cargo […]”.    </w:t>
      </w:r>
    </w:p>
  </w:footnote>
  <w:footnote w:id="273">
    <w:p w14:paraId="64AA623F" w14:textId="5F256F3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Acuerdo de diligencias de 3 de ag</w:t>
      </w:r>
      <w:r w:rsidRPr="00432ABC">
        <w:rPr>
          <w:rFonts w:ascii="Verdana" w:hAnsi="Verdana"/>
          <w:sz w:val="16"/>
          <w:szCs w:val="16"/>
        </w:rPr>
        <w:t xml:space="preserve">osto de 2010 (expediente de prueba, </w:t>
      </w:r>
      <w:r>
        <w:rPr>
          <w:rFonts w:ascii="Verdana" w:hAnsi="Verdana"/>
          <w:sz w:val="16"/>
          <w:szCs w:val="16"/>
        </w:rPr>
        <w:t>e</w:t>
      </w:r>
      <w:r w:rsidRPr="00432ABC">
        <w:rPr>
          <w:rFonts w:ascii="Verdana" w:hAnsi="Verdana"/>
          <w:sz w:val="16"/>
          <w:szCs w:val="16"/>
        </w:rPr>
        <w:t xml:space="preserve">xpediente penal, f. 13827); </w:t>
      </w:r>
      <w:r>
        <w:rPr>
          <w:rFonts w:ascii="Verdana" w:hAnsi="Verdana"/>
          <w:sz w:val="16"/>
          <w:szCs w:val="16"/>
        </w:rPr>
        <w:t>O</w:t>
      </w:r>
      <w:r w:rsidRPr="00432ABC">
        <w:rPr>
          <w:rFonts w:ascii="Verdana" w:hAnsi="Verdana"/>
          <w:sz w:val="16"/>
          <w:szCs w:val="16"/>
        </w:rPr>
        <w:t xml:space="preserve">ficio PGR/FEVIMTRA/TRA/0885/2010 de 3 de agosto de 2010 dirigido al Jefe de Averiguaciones Previas de la PGJM (expediente de prueba, </w:t>
      </w:r>
      <w:r>
        <w:rPr>
          <w:rFonts w:ascii="Verdana" w:hAnsi="Verdana"/>
          <w:sz w:val="16"/>
          <w:szCs w:val="16"/>
        </w:rPr>
        <w:t>e</w:t>
      </w:r>
      <w:r w:rsidRPr="00432ABC">
        <w:rPr>
          <w:rFonts w:ascii="Verdana" w:hAnsi="Verdana"/>
          <w:sz w:val="16"/>
          <w:szCs w:val="16"/>
        </w:rPr>
        <w:t xml:space="preserve">xpediente penal, f. 13827); </w:t>
      </w:r>
      <w:r>
        <w:rPr>
          <w:rFonts w:ascii="Verdana" w:hAnsi="Verdana"/>
          <w:sz w:val="16"/>
          <w:szCs w:val="16"/>
        </w:rPr>
        <w:t>a</w:t>
      </w:r>
      <w:r w:rsidRPr="00432ABC">
        <w:rPr>
          <w:rFonts w:ascii="Verdana" w:hAnsi="Verdana"/>
          <w:sz w:val="16"/>
          <w:szCs w:val="16"/>
        </w:rPr>
        <w:t xml:space="preserve">cuerdo de diligencias de 28 de septiembre de 2010 (expediente de prueba, </w:t>
      </w:r>
      <w:r>
        <w:rPr>
          <w:rFonts w:ascii="Verdana" w:hAnsi="Verdana"/>
          <w:sz w:val="16"/>
          <w:szCs w:val="16"/>
        </w:rPr>
        <w:t>e</w:t>
      </w:r>
      <w:r w:rsidRPr="00432ABC">
        <w:rPr>
          <w:rFonts w:ascii="Verdana" w:hAnsi="Verdana"/>
          <w:sz w:val="16"/>
          <w:szCs w:val="16"/>
        </w:rPr>
        <w:t>xpediente penal, f. 139</w:t>
      </w:r>
      <w:r>
        <w:rPr>
          <w:rFonts w:ascii="Verdana" w:hAnsi="Verdana"/>
          <w:sz w:val="16"/>
          <w:szCs w:val="16"/>
        </w:rPr>
        <w:t>28</w:t>
      </w:r>
      <w:r w:rsidRPr="00432ABC">
        <w:rPr>
          <w:rFonts w:ascii="Verdana" w:hAnsi="Verdana"/>
          <w:sz w:val="16"/>
          <w:szCs w:val="16"/>
        </w:rPr>
        <w:t xml:space="preserve">), y </w:t>
      </w:r>
      <w:r>
        <w:rPr>
          <w:rFonts w:ascii="Verdana" w:hAnsi="Verdana"/>
          <w:sz w:val="16"/>
          <w:szCs w:val="16"/>
        </w:rPr>
        <w:t>O</w:t>
      </w:r>
      <w:r w:rsidRPr="00432ABC">
        <w:rPr>
          <w:rFonts w:ascii="Verdana" w:hAnsi="Verdana"/>
          <w:sz w:val="16"/>
          <w:szCs w:val="16"/>
        </w:rPr>
        <w:t xml:space="preserve">ficio </w:t>
      </w:r>
      <w:r>
        <w:rPr>
          <w:rFonts w:ascii="Verdana" w:hAnsi="Verdana"/>
          <w:sz w:val="16"/>
          <w:szCs w:val="16"/>
        </w:rPr>
        <w:t xml:space="preserve">No. </w:t>
      </w:r>
      <w:r w:rsidRPr="00432ABC">
        <w:rPr>
          <w:rFonts w:ascii="Verdana" w:hAnsi="Verdana"/>
          <w:sz w:val="16"/>
          <w:szCs w:val="16"/>
        </w:rPr>
        <w:t xml:space="preserve">PGR/FEVIMTRA-N/DAP/0399/2010 de 28 de septiembre de 2010 dirigido al PGJM (expediente de prueba, </w:t>
      </w:r>
      <w:r>
        <w:rPr>
          <w:rFonts w:ascii="Verdana" w:hAnsi="Verdana"/>
          <w:sz w:val="16"/>
          <w:szCs w:val="16"/>
        </w:rPr>
        <w:t>e</w:t>
      </w:r>
      <w:r w:rsidRPr="00432ABC">
        <w:rPr>
          <w:rFonts w:ascii="Verdana" w:hAnsi="Verdana"/>
          <w:sz w:val="16"/>
          <w:szCs w:val="16"/>
        </w:rPr>
        <w:t>xpediente penal, f. 13940).</w:t>
      </w:r>
    </w:p>
  </w:footnote>
  <w:footnote w:id="274">
    <w:p w14:paraId="64AA6240" w14:textId="2171A62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Pr>
          <w:rFonts w:ascii="Verdana" w:hAnsi="Verdana"/>
          <w:sz w:val="16"/>
          <w:szCs w:val="16"/>
        </w:rPr>
        <w:t xml:space="preserve">No. </w:t>
      </w:r>
      <w:r w:rsidRPr="002C462C">
        <w:rPr>
          <w:rFonts w:ascii="Verdana" w:hAnsi="Verdana"/>
          <w:sz w:val="16"/>
          <w:szCs w:val="16"/>
        </w:rPr>
        <w:t xml:space="preserve">PGR/FEVIMTRA/TRA/0883/2010 de 3 de agosto de 2010 dirigido al Presidente de la </w:t>
      </w:r>
      <w:r w:rsidRPr="00432ABC">
        <w:rPr>
          <w:rFonts w:ascii="Verdana" w:hAnsi="Verdana"/>
          <w:sz w:val="16"/>
          <w:szCs w:val="16"/>
          <w:lang w:val="es-AR"/>
        </w:rPr>
        <w:t xml:space="preserve">Comisión Nacional Bancaria y de Valores [CNBV]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ff. 13825 a 13826).</w:t>
      </w:r>
    </w:p>
  </w:footnote>
  <w:footnote w:id="275">
    <w:p w14:paraId="64AA6241" w14:textId="1860ADC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Pr>
          <w:rFonts w:ascii="Verdana" w:hAnsi="Verdana"/>
          <w:sz w:val="16"/>
          <w:szCs w:val="16"/>
        </w:rPr>
        <w:t xml:space="preserve">No. </w:t>
      </w:r>
      <w:r w:rsidRPr="002C462C">
        <w:rPr>
          <w:rFonts w:ascii="Verdana" w:hAnsi="Verdana"/>
          <w:sz w:val="16"/>
          <w:szCs w:val="16"/>
        </w:rPr>
        <w:t>213/3304716/2010 (expedie</w:t>
      </w:r>
      <w:r w:rsidRPr="00432ABC">
        <w:rPr>
          <w:rFonts w:ascii="Verdana" w:hAnsi="Verdana"/>
          <w:sz w:val="16"/>
          <w:szCs w:val="16"/>
        </w:rPr>
        <w:t xml:space="preserve">nte de prueba, </w:t>
      </w:r>
      <w:r>
        <w:rPr>
          <w:rFonts w:ascii="Verdana" w:hAnsi="Verdana"/>
          <w:sz w:val="16"/>
          <w:szCs w:val="16"/>
        </w:rPr>
        <w:t>e</w:t>
      </w:r>
      <w:r w:rsidRPr="00432ABC">
        <w:rPr>
          <w:rFonts w:ascii="Verdana" w:hAnsi="Verdana"/>
          <w:sz w:val="16"/>
          <w:szCs w:val="16"/>
        </w:rPr>
        <w:t>xpediente penal, f. 13910).</w:t>
      </w:r>
    </w:p>
  </w:footnote>
  <w:footnote w:id="276">
    <w:p w14:paraId="64AA6242" w14:textId="474D597F"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Pr>
          <w:rFonts w:ascii="Verdana" w:hAnsi="Verdana"/>
          <w:sz w:val="16"/>
          <w:szCs w:val="16"/>
        </w:rPr>
        <w:t xml:space="preserve">No. </w:t>
      </w:r>
      <w:r w:rsidRPr="002C462C">
        <w:rPr>
          <w:rFonts w:ascii="Verdana" w:hAnsi="Verdana"/>
          <w:sz w:val="16"/>
          <w:szCs w:val="16"/>
        </w:rPr>
        <w:t xml:space="preserve">213/390593/2011 (expediente de prueba, </w:t>
      </w:r>
      <w:r>
        <w:rPr>
          <w:rFonts w:ascii="Verdana" w:hAnsi="Verdana"/>
          <w:sz w:val="16"/>
          <w:szCs w:val="16"/>
        </w:rPr>
        <w:t>e</w:t>
      </w:r>
      <w:r w:rsidRPr="002C462C">
        <w:rPr>
          <w:rFonts w:ascii="Verdana" w:hAnsi="Verdana"/>
          <w:sz w:val="16"/>
          <w:szCs w:val="16"/>
        </w:rPr>
        <w:t>xpediente penal, ff. 14183 a 14230).</w:t>
      </w:r>
    </w:p>
  </w:footnote>
  <w:footnote w:id="277">
    <w:p w14:paraId="64AA6243" w14:textId="2F325FC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Pr>
          <w:rFonts w:ascii="Verdana" w:hAnsi="Verdana"/>
          <w:sz w:val="16"/>
          <w:szCs w:val="16"/>
        </w:rPr>
        <w:t xml:space="preserve">No. </w:t>
      </w:r>
      <w:r w:rsidRPr="002C462C">
        <w:rPr>
          <w:rFonts w:ascii="Verdana" w:hAnsi="Verdana"/>
          <w:sz w:val="16"/>
          <w:szCs w:val="16"/>
        </w:rPr>
        <w:t>PGR/FEVIMTRA/TRA/0924/2010 de 10 de agosto de 2010 dirigido al titular del Centro</w:t>
      </w:r>
      <w:r w:rsidRPr="00432ABC">
        <w:rPr>
          <w:rFonts w:ascii="Verdana" w:hAnsi="Verdana"/>
          <w:sz w:val="16"/>
          <w:szCs w:val="16"/>
        </w:rPr>
        <w:t xml:space="preserve"> de Emergencias y Respuesta Inmediata</w:t>
      </w:r>
      <w:r>
        <w:rPr>
          <w:rFonts w:ascii="Verdana" w:hAnsi="Verdana"/>
          <w:sz w:val="16"/>
          <w:szCs w:val="16"/>
        </w:rPr>
        <w:t xml:space="preserve"> de Chihuahua</w:t>
      </w:r>
      <w:r w:rsidRPr="00432ABC">
        <w:rPr>
          <w:rFonts w:ascii="Verdana" w:hAnsi="Verdana"/>
          <w:sz w:val="16"/>
          <w:szCs w:val="16"/>
        </w:rPr>
        <w:t xml:space="preserve"> (expediente de prueba, </w:t>
      </w:r>
      <w:r>
        <w:rPr>
          <w:rFonts w:ascii="Verdana" w:hAnsi="Verdana"/>
          <w:sz w:val="16"/>
          <w:szCs w:val="16"/>
        </w:rPr>
        <w:t>e</w:t>
      </w:r>
      <w:r w:rsidRPr="00432ABC">
        <w:rPr>
          <w:rFonts w:ascii="Verdana" w:hAnsi="Verdana"/>
          <w:sz w:val="16"/>
          <w:szCs w:val="16"/>
        </w:rPr>
        <w:t>xpediente penal, f. 13839).</w:t>
      </w:r>
    </w:p>
  </w:footnote>
  <w:footnote w:id="278">
    <w:p w14:paraId="64AA6244" w14:textId="5FDAE90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Pr>
          <w:rFonts w:ascii="Verdana" w:hAnsi="Verdana"/>
          <w:sz w:val="16"/>
          <w:szCs w:val="16"/>
        </w:rPr>
        <w:t xml:space="preserve">No. </w:t>
      </w:r>
      <w:r w:rsidRPr="002C462C">
        <w:rPr>
          <w:rFonts w:ascii="Verdana" w:hAnsi="Verdana"/>
          <w:sz w:val="16"/>
          <w:szCs w:val="16"/>
        </w:rPr>
        <w:t xml:space="preserve">166/2010 de 11 de agosto de 2010 suscrito por el Insp. P.F. Coordinador CERI 066 de la Secretaría de Seguridad Pública Municipal de Juárez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 13847).</w:t>
      </w:r>
    </w:p>
  </w:footnote>
  <w:footnote w:id="279">
    <w:p w14:paraId="64AA6245" w14:textId="3663099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w:t>
      </w:r>
      <w:r w:rsidRPr="00432ABC">
        <w:rPr>
          <w:rFonts w:ascii="Verdana" w:hAnsi="Verdana"/>
          <w:sz w:val="16"/>
          <w:szCs w:val="16"/>
          <w:lang w:val="es-AR"/>
        </w:rPr>
        <w:t xml:space="preserve">Felipe Morales Avitia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 xml:space="preserve">xpediente penal, ff. 13863 a 13866), </w:t>
      </w:r>
      <w:r w:rsidRPr="00432ABC">
        <w:rPr>
          <w:rFonts w:ascii="Verdana" w:hAnsi="Verdana"/>
          <w:sz w:val="16"/>
          <w:szCs w:val="16"/>
          <w:lang w:val="es-AR"/>
        </w:rPr>
        <w:t xml:space="preserve">y </w:t>
      </w:r>
      <w:r>
        <w:rPr>
          <w:rFonts w:ascii="Verdana" w:hAnsi="Verdana"/>
          <w:sz w:val="16"/>
          <w:szCs w:val="16"/>
        </w:rPr>
        <w:t>d</w:t>
      </w:r>
      <w:r w:rsidRPr="00432ABC">
        <w:rPr>
          <w:rFonts w:ascii="Verdana" w:hAnsi="Verdana"/>
          <w:sz w:val="16"/>
          <w:szCs w:val="16"/>
        </w:rPr>
        <w:t xml:space="preserve">eclaración de </w:t>
      </w:r>
      <w:r w:rsidRPr="00432ABC">
        <w:rPr>
          <w:rFonts w:ascii="Verdana" w:hAnsi="Verdana"/>
          <w:sz w:val="16"/>
          <w:szCs w:val="16"/>
          <w:lang w:val="es-AR"/>
        </w:rPr>
        <w:t xml:space="preserve">Emmanuel Peralta Robles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ff. 13868 a 13871), ambas</w:t>
      </w:r>
      <w:r w:rsidRPr="00432ABC">
        <w:rPr>
          <w:rFonts w:ascii="Verdana" w:hAnsi="Verdana"/>
          <w:sz w:val="16"/>
          <w:szCs w:val="16"/>
          <w:lang w:val="es-AR"/>
        </w:rPr>
        <w:t xml:space="preserve"> rendidas el 26 de agosto de 2010 ante AMPF </w:t>
      </w:r>
      <w:r w:rsidRPr="00432ABC">
        <w:rPr>
          <w:rFonts w:ascii="Verdana" w:hAnsi="Verdana"/>
          <w:sz w:val="16"/>
          <w:szCs w:val="16"/>
        </w:rPr>
        <w:t xml:space="preserve">adscrita a la FEVIMTRA – PGR. </w:t>
      </w:r>
      <w:r w:rsidRPr="00432ABC">
        <w:rPr>
          <w:rFonts w:ascii="Verdana" w:hAnsi="Verdana"/>
          <w:sz w:val="16"/>
          <w:szCs w:val="16"/>
          <w:lang w:val="es-AR"/>
        </w:rPr>
        <w:t>En su comparecencia de 26 de agosto de 2010, los señores Felipe Morales Avitia y Emmanuel Peralta Robles declararon que la camioneta que conducía Nitza Paola Alvarado el día de su desaparición fue asegurada por policías ministeriales procedentes de Nuevo Casas Grandes sin participación de elementos militares</w:t>
      </w:r>
      <w:r w:rsidRPr="00432ABC">
        <w:rPr>
          <w:rFonts w:ascii="Verdana" w:hAnsi="Verdana"/>
          <w:i/>
          <w:sz w:val="16"/>
          <w:szCs w:val="16"/>
        </w:rPr>
        <w:t xml:space="preserve">. </w:t>
      </w:r>
    </w:p>
  </w:footnote>
  <w:footnote w:id="280">
    <w:p w14:paraId="64AA6246" w14:textId="3C35F5E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w:t>
      </w:r>
      <w:r w:rsidRPr="00432ABC">
        <w:rPr>
          <w:rFonts w:ascii="Verdana" w:hAnsi="Verdana"/>
          <w:sz w:val="16"/>
          <w:szCs w:val="16"/>
          <w:lang w:val="es-AR"/>
        </w:rPr>
        <w:t xml:space="preserve">Aarón Enríquez Duarte rendida el 25 de octubre de 2010 ante la </w:t>
      </w:r>
      <w:r w:rsidRPr="00432ABC">
        <w:rPr>
          <w:rFonts w:ascii="Verdana" w:hAnsi="Verdana"/>
          <w:sz w:val="16"/>
          <w:szCs w:val="16"/>
        </w:rPr>
        <w:t xml:space="preserve">AMPF de la FEVIMTRA – PGR (expediente de prueba, </w:t>
      </w:r>
      <w:r>
        <w:rPr>
          <w:rFonts w:ascii="Verdana" w:hAnsi="Verdana"/>
          <w:sz w:val="16"/>
          <w:szCs w:val="16"/>
        </w:rPr>
        <w:t>e</w:t>
      </w:r>
      <w:r w:rsidRPr="00432ABC">
        <w:rPr>
          <w:rFonts w:ascii="Verdana" w:hAnsi="Verdana"/>
          <w:sz w:val="16"/>
          <w:szCs w:val="16"/>
        </w:rPr>
        <w:t xml:space="preserve">xpediente penal, f. 13972). </w:t>
      </w:r>
      <w:r w:rsidRPr="00432ABC">
        <w:rPr>
          <w:rFonts w:ascii="Verdana" w:hAnsi="Verdana"/>
          <w:sz w:val="16"/>
          <w:szCs w:val="16"/>
          <w:lang w:val="es-AR"/>
        </w:rPr>
        <w:t>En su comparecencia, Aarón Enríquez Duarte señaló: “[L]os familiares [de las tres personas desaparecidas] mencionaron que los sujetos o personas que [se los] habían llevado […] iban vestidos de militar por lo cual les dije que si los soldados eran los que se los habían llevado podrían ir a buscarlos o pedir información en el treinta y cinco batallón militar que se ubica en la ciudad de Nuevos Casas Grandes ya que ahí corresponde el Distrito de Galeana a ese batallón militar pero no les aseguré que estuvieran ahí […]”.</w:t>
      </w:r>
    </w:p>
  </w:footnote>
  <w:footnote w:id="281">
    <w:p w14:paraId="64AA6247" w14:textId="00F4257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Policial  de la División de Investigación de la Policía Federal de 4 de enero de 2011 (expediente de prueba, </w:t>
      </w:r>
      <w:r>
        <w:rPr>
          <w:rFonts w:ascii="Verdana" w:hAnsi="Verdana"/>
          <w:sz w:val="16"/>
          <w:szCs w:val="16"/>
        </w:rPr>
        <w:t>e</w:t>
      </w:r>
      <w:r w:rsidRPr="002C462C">
        <w:rPr>
          <w:rFonts w:ascii="Verdana" w:hAnsi="Verdana"/>
          <w:sz w:val="16"/>
          <w:szCs w:val="16"/>
        </w:rPr>
        <w:t xml:space="preserve">xpediente penal, </w:t>
      </w:r>
      <w:r w:rsidRPr="00432ABC">
        <w:rPr>
          <w:rFonts w:ascii="Verdana" w:hAnsi="Verdana"/>
          <w:sz w:val="16"/>
          <w:szCs w:val="16"/>
        </w:rPr>
        <w:t>ff. 14087 a 14088).</w:t>
      </w:r>
    </w:p>
  </w:footnote>
  <w:footnote w:id="282">
    <w:p w14:paraId="64AA6248" w14:textId="00BFBEB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diligencias de 13 de junio de 2011 (expediente de prueba, </w:t>
      </w:r>
      <w:r>
        <w:rPr>
          <w:rFonts w:ascii="Verdana" w:hAnsi="Verdana"/>
          <w:sz w:val="16"/>
          <w:szCs w:val="16"/>
        </w:rPr>
        <w:t>e</w:t>
      </w:r>
      <w:r w:rsidRPr="002C462C">
        <w:rPr>
          <w:rFonts w:ascii="Verdana" w:hAnsi="Verdana"/>
          <w:sz w:val="16"/>
          <w:szCs w:val="16"/>
        </w:rPr>
        <w:t>xpediente penal, ff. 14688 a 14689); Dictamen No. ilegible de 28 de junio de 2011 suscrito por el encargado de la Perito Estomatóloga Foren</w:t>
      </w:r>
      <w:r w:rsidRPr="00432ABC">
        <w:rPr>
          <w:rFonts w:ascii="Verdana" w:hAnsi="Verdana"/>
          <w:sz w:val="16"/>
          <w:szCs w:val="16"/>
        </w:rPr>
        <w:t xml:space="preserve">se encargada del Área de Personas Desaparecidas y Control de Cadáveres No Identificados de la Procuraduría General de Justicia [PGJ] de Puebla (expediente de prueba, </w:t>
      </w:r>
      <w:r>
        <w:rPr>
          <w:rFonts w:ascii="Verdana" w:hAnsi="Verdana"/>
          <w:sz w:val="16"/>
          <w:szCs w:val="16"/>
        </w:rPr>
        <w:t>e</w:t>
      </w:r>
      <w:r w:rsidRPr="00432ABC">
        <w:rPr>
          <w:rFonts w:ascii="Verdana" w:hAnsi="Verdana"/>
          <w:sz w:val="16"/>
          <w:szCs w:val="16"/>
        </w:rPr>
        <w:t xml:space="preserve">xpediente penal, f. 14896); </w:t>
      </w:r>
      <w:r>
        <w:rPr>
          <w:rFonts w:ascii="Verdana" w:hAnsi="Verdana"/>
          <w:sz w:val="16"/>
          <w:szCs w:val="16"/>
        </w:rPr>
        <w:t>O</w:t>
      </w:r>
      <w:r w:rsidRPr="00432ABC">
        <w:rPr>
          <w:rFonts w:ascii="Verdana" w:hAnsi="Verdana"/>
          <w:sz w:val="16"/>
          <w:szCs w:val="16"/>
        </w:rPr>
        <w:t xml:space="preserve">ficio No. MF-O/9338/0925/2011 de 29 de junio de 2011 suscrito por el Director General de Servicios Periciales de la PGJ - Michoacán (expediente de prueba, </w:t>
      </w:r>
      <w:r>
        <w:rPr>
          <w:rFonts w:ascii="Verdana" w:hAnsi="Verdana"/>
          <w:sz w:val="16"/>
          <w:szCs w:val="16"/>
        </w:rPr>
        <w:t>e</w:t>
      </w:r>
      <w:r w:rsidRPr="00432ABC">
        <w:rPr>
          <w:rFonts w:ascii="Verdana" w:hAnsi="Verdana"/>
          <w:sz w:val="16"/>
          <w:szCs w:val="16"/>
        </w:rPr>
        <w:t xml:space="preserve">xpediente penal, f. 14898 a 14900); </w:t>
      </w:r>
      <w:r>
        <w:rPr>
          <w:rFonts w:ascii="Verdana" w:hAnsi="Verdana"/>
          <w:sz w:val="16"/>
          <w:szCs w:val="16"/>
        </w:rPr>
        <w:t>O</w:t>
      </w:r>
      <w:r w:rsidRPr="00432ABC">
        <w:rPr>
          <w:rFonts w:ascii="Verdana" w:hAnsi="Verdana"/>
          <w:sz w:val="16"/>
          <w:szCs w:val="16"/>
        </w:rPr>
        <w:t xml:space="preserve">ficio No. 226/2011 de 24 de junio de 2011 del Director General de Servicios Periciales de la PGJ - Colima (expediente de prueba, </w:t>
      </w:r>
      <w:r>
        <w:rPr>
          <w:rFonts w:ascii="Verdana" w:hAnsi="Verdana"/>
          <w:sz w:val="16"/>
          <w:szCs w:val="16"/>
        </w:rPr>
        <w:t>e</w:t>
      </w:r>
      <w:r w:rsidRPr="00432ABC">
        <w:rPr>
          <w:rFonts w:ascii="Verdana" w:hAnsi="Verdana"/>
          <w:sz w:val="16"/>
          <w:szCs w:val="16"/>
        </w:rPr>
        <w:t xml:space="preserve">xpediente penal, f. 14904); </w:t>
      </w:r>
      <w:r>
        <w:rPr>
          <w:rFonts w:ascii="Verdana" w:hAnsi="Verdana"/>
          <w:sz w:val="16"/>
          <w:szCs w:val="16"/>
        </w:rPr>
        <w:t>O</w:t>
      </w:r>
      <w:r w:rsidRPr="00432ABC">
        <w:rPr>
          <w:rFonts w:ascii="Verdana" w:hAnsi="Verdana"/>
          <w:sz w:val="16"/>
          <w:szCs w:val="16"/>
        </w:rPr>
        <w:t xml:space="preserve">ficio FEVIMTRA-N/DAP/0190/2011 de 13 de junio de 2011 dirigido al Director de Servicios Periciales de la PGJ - Baja California Sur (expediente de prueba, </w:t>
      </w:r>
      <w:r>
        <w:rPr>
          <w:rFonts w:ascii="Verdana" w:hAnsi="Verdana"/>
          <w:sz w:val="16"/>
          <w:szCs w:val="16"/>
        </w:rPr>
        <w:t>e</w:t>
      </w:r>
      <w:r w:rsidRPr="00432ABC">
        <w:rPr>
          <w:rFonts w:ascii="Verdana" w:hAnsi="Verdana"/>
          <w:sz w:val="16"/>
          <w:szCs w:val="16"/>
        </w:rPr>
        <w:t xml:space="preserve">xpediente penal, f. 14906 a 14907); </w:t>
      </w:r>
      <w:r>
        <w:rPr>
          <w:rFonts w:ascii="Verdana" w:hAnsi="Verdana"/>
          <w:sz w:val="16"/>
          <w:szCs w:val="16"/>
        </w:rPr>
        <w:t>O</w:t>
      </w:r>
      <w:r w:rsidRPr="00432ABC">
        <w:rPr>
          <w:rFonts w:ascii="Verdana" w:hAnsi="Verdana"/>
          <w:sz w:val="16"/>
          <w:szCs w:val="16"/>
        </w:rPr>
        <w:t xml:space="preserve">ficio SEMEFO/220/2011 de 27 de junio de 2011 suscrito el Encargado del Servicio Médico Forense de la PGJ - Baja California Sur (expediente de prueba, </w:t>
      </w:r>
      <w:r>
        <w:rPr>
          <w:rFonts w:ascii="Verdana" w:hAnsi="Verdana"/>
          <w:sz w:val="16"/>
          <w:szCs w:val="16"/>
        </w:rPr>
        <w:t>e</w:t>
      </w:r>
      <w:r w:rsidRPr="00432ABC">
        <w:rPr>
          <w:rFonts w:ascii="Verdana" w:hAnsi="Verdana"/>
          <w:sz w:val="16"/>
          <w:szCs w:val="16"/>
        </w:rPr>
        <w:t xml:space="preserve">xpediente penal, f. 14908); </w:t>
      </w:r>
      <w:r>
        <w:rPr>
          <w:rFonts w:ascii="Verdana" w:hAnsi="Verdana"/>
          <w:sz w:val="16"/>
          <w:szCs w:val="16"/>
        </w:rPr>
        <w:t>O</w:t>
      </w:r>
      <w:r w:rsidRPr="00432ABC">
        <w:rPr>
          <w:rFonts w:ascii="Verdana" w:hAnsi="Verdana"/>
          <w:sz w:val="16"/>
          <w:szCs w:val="16"/>
        </w:rPr>
        <w:t xml:space="preserve">ficio FEVIMTRA-N/DAP/0202/2011 de 13 de junio de 2011 dirigido al Coordinador de Servicios Periciales de la PGJ - Guanajuato (expediente de prueba, </w:t>
      </w:r>
      <w:r>
        <w:rPr>
          <w:rFonts w:ascii="Verdana" w:hAnsi="Verdana"/>
          <w:sz w:val="16"/>
          <w:szCs w:val="16"/>
        </w:rPr>
        <w:t>e</w:t>
      </w:r>
      <w:r w:rsidRPr="00432ABC">
        <w:rPr>
          <w:rFonts w:ascii="Verdana" w:hAnsi="Verdana"/>
          <w:sz w:val="16"/>
          <w:szCs w:val="16"/>
        </w:rPr>
        <w:t xml:space="preserve">xpediente penal, </w:t>
      </w:r>
      <w:r>
        <w:rPr>
          <w:rFonts w:ascii="Verdana" w:hAnsi="Verdana"/>
          <w:sz w:val="16"/>
          <w:szCs w:val="16"/>
        </w:rPr>
        <w:t>f</w:t>
      </w:r>
      <w:r w:rsidRPr="00432ABC">
        <w:rPr>
          <w:rFonts w:ascii="Verdana" w:hAnsi="Verdana"/>
          <w:sz w:val="16"/>
          <w:szCs w:val="16"/>
        </w:rPr>
        <w:t>f. 15856 a 15857).</w:t>
      </w:r>
    </w:p>
  </w:footnote>
  <w:footnote w:id="283">
    <w:p w14:paraId="64AA6249" w14:textId="06444D7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Inspección Ministerial de 9 de agosto de 2011 (expediente de prueba, </w:t>
      </w:r>
      <w:r>
        <w:rPr>
          <w:rFonts w:ascii="Verdana" w:hAnsi="Verdana"/>
          <w:sz w:val="16"/>
          <w:szCs w:val="16"/>
        </w:rPr>
        <w:t>e</w:t>
      </w:r>
      <w:r w:rsidRPr="002C462C">
        <w:rPr>
          <w:rFonts w:ascii="Verdana" w:hAnsi="Verdana"/>
          <w:sz w:val="16"/>
          <w:szCs w:val="16"/>
        </w:rPr>
        <w:t xml:space="preserve">xpediente penal, </w:t>
      </w:r>
      <w:r w:rsidRPr="00432ABC">
        <w:rPr>
          <w:rFonts w:ascii="Verdana" w:hAnsi="Verdana"/>
          <w:sz w:val="16"/>
          <w:szCs w:val="16"/>
        </w:rPr>
        <w:t xml:space="preserve">ff. </w:t>
      </w:r>
      <w:r>
        <w:rPr>
          <w:rFonts w:ascii="Verdana" w:hAnsi="Verdana"/>
          <w:sz w:val="16"/>
          <w:szCs w:val="16"/>
        </w:rPr>
        <w:t>15209</w:t>
      </w:r>
      <w:r w:rsidRPr="00432ABC">
        <w:rPr>
          <w:rFonts w:ascii="Verdana" w:hAnsi="Verdana"/>
          <w:sz w:val="16"/>
          <w:szCs w:val="16"/>
        </w:rPr>
        <w:t xml:space="preserve"> a 1</w:t>
      </w:r>
      <w:r>
        <w:rPr>
          <w:rFonts w:ascii="Verdana" w:hAnsi="Verdana"/>
          <w:sz w:val="16"/>
          <w:szCs w:val="16"/>
        </w:rPr>
        <w:t>5223</w:t>
      </w:r>
      <w:r w:rsidRPr="00432ABC">
        <w:rPr>
          <w:rFonts w:ascii="Verdana" w:hAnsi="Verdana"/>
          <w:sz w:val="16"/>
          <w:szCs w:val="16"/>
        </w:rPr>
        <w:t>).</w:t>
      </w:r>
    </w:p>
  </w:footnote>
  <w:footnote w:id="284">
    <w:p w14:paraId="64AA624A" w14:textId="3359C6B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Dictamen pericial folio CESP/CHIH/5486/2011 en materia de Criminalística de Campo de 16 de agosto de 2011 (expediente de prueba, </w:t>
      </w:r>
      <w:r>
        <w:rPr>
          <w:rFonts w:ascii="Verdana" w:hAnsi="Verdana"/>
          <w:sz w:val="16"/>
          <w:szCs w:val="16"/>
        </w:rPr>
        <w:t>e</w:t>
      </w:r>
      <w:r w:rsidRPr="002C462C">
        <w:rPr>
          <w:rFonts w:ascii="Verdana" w:hAnsi="Verdana"/>
          <w:sz w:val="16"/>
          <w:szCs w:val="16"/>
        </w:rPr>
        <w:t>xpediente penal, f. 15351); Dictamen pericial folio 68904 en materia de Odontología Fore</w:t>
      </w:r>
      <w:r w:rsidRPr="00432ABC">
        <w:rPr>
          <w:rFonts w:ascii="Verdana" w:hAnsi="Verdana"/>
          <w:sz w:val="16"/>
          <w:szCs w:val="16"/>
        </w:rPr>
        <w:t xml:space="preserve">nse de 26 de agosto de 2011 (expediente de prueba, </w:t>
      </w:r>
      <w:r>
        <w:rPr>
          <w:rFonts w:ascii="Verdana" w:hAnsi="Verdana"/>
          <w:sz w:val="16"/>
          <w:szCs w:val="16"/>
        </w:rPr>
        <w:t>e</w:t>
      </w:r>
      <w:r w:rsidRPr="00432ABC">
        <w:rPr>
          <w:rFonts w:ascii="Verdana" w:hAnsi="Verdana"/>
          <w:sz w:val="16"/>
          <w:szCs w:val="16"/>
        </w:rPr>
        <w:t>xpediente penal, f. 15724). Asimismo, los Dictámenes Periciales en materia de Antropología Forense</w:t>
      </w:r>
      <w:r>
        <w:rPr>
          <w:rFonts w:ascii="Verdana" w:hAnsi="Verdana"/>
          <w:sz w:val="16"/>
          <w:szCs w:val="16"/>
        </w:rPr>
        <w:t xml:space="preserve"> por parte de la FGE-Chihuahua del 5 de septiembre de 2011,</w:t>
      </w:r>
      <w:r w:rsidRPr="00432ABC">
        <w:rPr>
          <w:rFonts w:ascii="Verdana" w:hAnsi="Verdana"/>
          <w:sz w:val="16"/>
          <w:szCs w:val="16"/>
        </w:rPr>
        <w:t xml:space="preserve">Folio 5477/2011 (expediente de prueba, </w:t>
      </w:r>
      <w:r>
        <w:rPr>
          <w:rFonts w:ascii="Verdana" w:hAnsi="Verdana"/>
          <w:sz w:val="16"/>
          <w:szCs w:val="16"/>
        </w:rPr>
        <w:t>e</w:t>
      </w:r>
      <w:r w:rsidRPr="00432ABC">
        <w:rPr>
          <w:rFonts w:ascii="Verdana" w:hAnsi="Verdana"/>
          <w:sz w:val="16"/>
          <w:szCs w:val="16"/>
        </w:rPr>
        <w:t xml:space="preserve">xpediente penal, </w:t>
      </w:r>
      <w:r>
        <w:rPr>
          <w:rFonts w:ascii="Verdana" w:hAnsi="Verdana"/>
          <w:sz w:val="16"/>
          <w:szCs w:val="16"/>
        </w:rPr>
        <w:t>f</w:t>
      </w:r>
      <w:r w:rsidRPr="00432ABC">
        <w:rPr>
          <w:rFonts w:ascii="Verdana" w:hAnsi="Verdana"/>
          <w:sz w:val="16"/>
          <w:szCs w:val="16"/>
        </w:rPr>
        <w:t>f. 157</w:t>
      </w:r>
      <w:r>
        <w:rPr>
          <w:rFonts w:ascii="Verdana" w:hAnsi="Verdana"/>
          <w:sz w:val="16"/>
          <w:szCs w:val="16"/>
        </w:rPr>
        <w:t>32 a 15751</w:t>
      </w:r>
      <w:r w:rsidRPr="00432ABC">
        <w:rPr>
          <w:rFonts w:ascii="Verdana" w:hAnsi="Verdana"/>
          <w:sz w:val="16"/>
          <w:szCs w:val="16"/>
        </w:rPr>
        <w:t xml:space="preserve">); Folio 5478/2011 (expediente de prueba, </w:t>
      </w:r>
      <w:r>
        <w:rPr>
          <w:rFonts w:ascii="Verdana" w:hAnsi="Verdana"/>
          <w:sz w:val="16"/>
          <w:szCs w:val="16"/>
        </w:rPr>
        <w:t>e</w:t>
      </w:r>
      <w:r w:rsidRPr="00432ABC">
        <w:rPr>
          <w:rFonts w:ascii="Verdana" w:hAnsi="Verdana"/>
          <w:sz w:val="16"/>
          <w:szCs w:val="16"/>
        </w:rPr>
        <w:t xml:space="preserve">xpediente penal, </w:t>
      </w:r>
      <w:r>
        <w:rPr>
          <w:rFonts w:ascii="Verdana" w:hAnsi="Verdana"/>
          <w:sz w:val="16"/>
          <w:szCs w:val="16"/>
        </w:rPr>
        <w:t>f</w:t>
      </w:r>
      <w:r w:rsidRPr="00432ABC">
        <w:rPr>
          <w:rFonts w:ascii="Verdana" w:hAnsi="Verdana"/>
          <w:sz w:val="16"/>
          <w:szCs w:val="16"/>
        </w:rPr>
        <w:t>f. 157</w:t>
      </w:r>
      <w:r>
        <w:rPr>
          <w:rFonts w:ascii="Verdana" w:hAnsi="Verdana"/>
          <w:sz w:val="16"/>
          <w:szCs w:val="16"/>
        </w:rPr>
        <w:t>52 a 15771</w:t>
      </w:r>
      <w:r w:rsidRPr="00432ABC">
        <w:rPr>
          <w:rFonts w:ascii="Verdana" w:hAnsi="Verdana"/>
          <w:sz w:val="16"/>
          <w:szCs w:val="16"/>
        </w:rPr>
        <w:t xml:space="preserve">); Folio 5479/2011 (expediente de prueba, </w:t>
      </w:r>
      <w:r>
        <w:rPr>
          <w:rFonts w:ascii="Verdana" w:hAnsi="Verdana"/>
          <w:sz w:val="16"/>
          <w:szCs w:val="16"/>
        </w:rPr>
        <w:t>e</w:t>
      </w:r>
      <w:r w:rsidRPr="00432ABC">
        <w:rPr>
          <w:rFonts w:ascii="Verdana" w:hAnsi="Verdana"/>
          <w:sz w:val="16"/>
          <w:szCs w:val="16"/>
        </w:rPr>
        <w:t xml:space="preserve">xpediente penal, f. 15790), y Folio 5480/2011 (expediente de prueba, </w:t>
      </w:r>
      <w:r>
        <w:rPr>
          <w:rFonts w:ascii="Verdana" w:hAnsi="Verdana"/>
          <w:sz w:val="16"/>
          <w:szCs w:val="16"/>
        </w:rPr>
        <w:t>e</w:t>
      </w:r>
      <w:r w:rsidRPr="00432ABC">
        <w:rPr>
          <w:rFonts w:ascii="Verdana" w:hAnsi="Verdana"/>
          <w:sz w:val="16"/>
          <w:szCs w:val="16"/>
        </w:rPr>
        <w:t xml:space="preserve">xpediente penal, </w:t>
      </w:r>
      <w:r>
        <w:rPr>
          <w:rFonts w:ascii="Verdana" w:hAnsi="Verdana"/>
          <w:sz w:val="16"/>
          <w:szCs w:val="16"/>
        </w:rPr>
        <w:t>f</w:t>
      </w:r>
      <w:r w:rsidRPr="00432ABC">
        <w:rPr>
          <w:rFonts w:ascii="Verdana" w:hAnsi="Verdana"/>
          <w:sz w:val="16"/>
          <w:szCs w:val="16"/>
        </w:rPr>
        <w:t>f. 15</w:t>
      </w:r>
      <w:r>
        <w:rPr>
          <w:rFonts w:ascii="Verdana" w:hAnsi="Verdana"/>
          <w:sz w:val="16"/>
          <w:szCs w:val="16"/>
        </w:rPr>
        <w:t>791 a 15807</w:t>
      </w:r>
      <w:r w:rsidRPr="00432ABC">
        <w:rPr>
          <w:rFonts w:ascii="Verdana" w:hAnsi="Verdana"/>
          <w:sz w:val="16"/>
          <w:szCs w:val="16"/>
        </w:rPr>
        <w:t xml:space="preserve">).    </w:t>
      </w:r>
    </w:p>
  </w:footnote>
  <w:footnote w:id="285">
    <w:p w14:paraId="64AA624B" w14:textId="5E26A6D2"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w:t>
      </w:r>
      <w:r>
        <w:rPr>
          <w:rFonts w:ascii="Verdana" w:hAnsi="Verdana"/>
          <w:sz w:val="16"/>
          <w:szCs w:val="16"/>
        </w:rPr>
        <w:t xml:space="preserve"> No.</w:t>
      </w:r>
      <w:r w:rsidRPr="002C462C">
        <w:rPr>
          <w:rFonts w:ascii="Verdana" w:hAnsi="Verdana"/>
          <w:sz w:val="16"/>
          <w:szCs w:val="16"/>
        </w:rPr>
        <w:t xml:space="preserve"> CNDH/DGAJ/1096/2011 de 8 de septiembre de 2011 del apoderado legal de la CNDH, dirigido a la </w:t>
      </w:r>
      <w:r>
        <w:rPr>
          <w:rFonts w:ascii="Verdana" w:hAnsi="Verdana"/>
          <w:sz w:val="16"/>
          <w:szCs w:val="16"/>
        </w:rPr>
        <w:t xml:space="preserve">titular de la </w:t>
      </w:r>
      <w:r w:rsidRPr="002C462C">
        <w:rPr>
          <w:rFonts w:ascii="Verdana" w:hAnsi="Verdana"/>
          <w:sz w:val="16"/>
          <w:szCs w:val="16"/>
        </w:rPr>
        <w:t xml:space="preserve">PGR (expediente de prueba, </w:t>
      </w:r>
      <w:r>
        <w:rPr>
          <w:rFonts w:ascii="Verdana" w:hAnsi="Verdana"/>
          <w:sz w:val="16"/>
          <w:szCs w:val="16"/>
        </w:rPr>
        <w:t>e</w:t>
      </w:r>
      <w:r w:rsidRPr="002C462C">
        <w:rPr>
          <w:rFonts w:ascii="Verdana" w:hAnsi="Verdana"/>
          <w:sz w:val="16"/>
          <w:szCs w:val="16"/>
        </w:rPr>
        <w:t xml:space="preserve">xpediente penal, </w:t>
      </w:r>
      <w:r>
        <w:rPr>
          <w:rFonts w:ascii="Verdana" w:hAnsi="Verdana"/>
          <w:sz w:val="16"/>
          <w:szCs w:val="16"/>
        </w:rPr>
        <w:t>f</w:t>
      </w:r>
      <w:r w:rsidRPr="002C462C">
        <w:rPr>
          <w:rFonts w:ascii="Verdana" w:hAnsi="Verdana"/>
          <w:sz w:val="16"/>
          <w:szCs w:val="16"/>
        </w:rPr>
        <w:t xml:space="preserve">f. 15817 a 15848).    </w:t>
      </w:r>
    </w:p>
  </w:footnote>
  <w:footnote w:id="286">
    <w:p w14:paraId="64AA624C" w14:textId="6251293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declinatoria de competencia en razón de materia de</w:t>
      </w:r>
      <w:r w:rsidRPr="00432ABC">
        <w:rPr>
          <w:rFonts w:ascii="Verdana" w:hAnsi="Verdana"/>
          <w:b/>
          <w:sz w:val="16"/>
          <w:szCs w:val="16"/>
        </w:rPr>
        <w:t xml:space="preserve"> </w:t>
      </w:r>
      <w:r w:rsidRPr="00432ABC">
        <w:rPr>
          <w:rFonts w:ascii="Verdana" w:hAnsi="Verdana"/>
          <w:sz w:val="16"/>
          <w:szCs w:val="16"/>
        </w:rPr>
        <w:t xml:space="preserve">30 de septiembre de 2011 (expediente de prueba, </w:t>
      </w:r>
      <w:r>
        <w:rPr>
          <w:rFonts w:ascii="Verdana" w:hAnsi="Verdana"/>
          <w:sz w:val="16"/>
          <w:szCs w:val="16"/>
        </w:rPr>
        <w:t>e</w:t>
      </w:r>
      <w:r w:rsidRPr="00432ABC">
        <w:rPr>
          <w:rFonts w:ascii="Verdana" w:hAnsi="Verdana"/>
          <w:sz w:val="16"/>
          <w:szCs w:val="16"/>
        </w:rPr>
        <w:t>xpediente penal f. 16139).</w:t>
      </w:r>
    </w:p>
  </w:footnote>
  <w:footnote w:id="287">
    <w:p w14:paraId="64AA624D" w14:textId="387CBFE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declinatoria de competencia de</w:t>
      </w:r>
      <w:r w:rsidRPr="00432ABC">
        <w:rPr>
          <w:rFonts w:ascii="Verdana" w:hAnsi="Verdana"/>
          <w:b/>
          <w:sz w:val="16"/>
          <w:szCs w:val="16"/>
        </w:rPr>
        <w:t xml:space="preserve"> </w:t>
      </w:r>
      <w:r w:rsidRPr="00432ABC">
        <w:rPr>
          <w:rFonts w:ascii="Verdana" w:hAnsi="Verdana"/>
          <w:sz w:val="16"/>
          <w:szCs w:val="16"/>
        </w:rPr>
        <w:t>30 de septiembre de 2011</w:t>
      </w:r>
      <w:r>
        <w:rPr>
          <w:rFonts w:ascii="Verdana" w:hAnsi="Verdana"/>
          <w:sz w:val="16"/>
          <w:szCs w:val="16"/>
        </w:rPr>
        <w:t xml:space="preserve"> (expediente de prueba, </w:t>
      </w:r>
      <w:r w:rsidRPr="00432ABC">
        <w:rPr>
          <w:rFonts w:ascii="Verdana" w:hAnsi="Verdana"/>
          <w:sz w:val="16"/>
          <w:szCs w:val="16"/>
        </w:rPr>
        <w:t>f. 16</w:t>
      </w:r>
      <w:r>
        <w:rPr>
          <w:rFonts w:ascii="Verdana" w:hAnsi="Verdana"/>
          <w:sz w:val="16"/>
          <w:szCs w:val="16"/>
        </w:rPr>
        <w:t>127)</w:t>
      </w:r>
      <w:r w:rsidRPr="00432ABC">
        <w:rPr>
          <w:rFonts w:ascii="Verdana" w:hAnsi="Verdana"/>
          <w:sz w:val="16"/>
          <w:szCs w:val="16"/>
        </w:rPr>
        <w:t xml:space="preserve">. </w:t>
      </w:r>
    </w:p>
  </w:footnote>
  <w:footnote w:id="288">
    <w:p w14:paraId="64AA624E" w14:textId="7056914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i/>
          <w:sz w:val="16"/>
          <w:szCs w:val="16"/>
        </w:rPr>
        <w:t xml:space="preserve"> </w:t>
      </w:r>
      <w:r w:rsidRPr="00432ABC">
        <w:rPr>
          <w:rFonts w:ascii="Verdana" w:hAnsi="Verdana"/>
          <w:i/>
          <w:sz w:val="16"/>
          <w:szCs w:val="16"/>
        </w:rPr>
        <w:tab/>
      </w:r>
      <w:r w:rsidRPr="00CD5C54">
        <w:rPr>
          <w:rFonts w:ascii="Verdana" w:hAnsi="Verdana"/>
          <w:i/>
          <w:sz w:val="16"/>
          <w:szCs w:val="16"/>
        </w:rPr>
        <w:t>Cfr.</w:t>
      </w:r>
      <w:r w:rsidRPr="002C462C">
        <w:rPr>
          <w:rFonts w:ascii="Verdana" w:hAnsi="Verdana"/>
          <w:sz w:val="16"/>
          <w:szCs w:val="16"/>
        </w:rPr>
        <w:t xml:space="preserve"> Acuerdo de declinatoria de competencia de</w:t>
      </w:r>
      <w:r w:rsidRPr="00432ABC">
        <w:rPr>
          <w:rFonts w:ascii="Verdana" w:hAnsi="Verdana"/>
          <w:b/>
          <w:sz w:val="16"/>
          <w:szCs w:val="16"/>
        </w:rPr>
        <w:t xml:space="preserve"> </w:t>
      </w:r>
      <w:r w:rsidRPr="00432ABC">
        <w:rPr>
          <w:rFonts w:ascii="Verdana" w:hAnsi="Verdana"/>
          <w:sz w:val="16"/>
          <w:szCs w:val="16"/>
        </w:rPr>
        <w:t>30 de septiembre de 2011</w:t>
      </w:r>
      <w:r>
        <w:rPr>
          <w:rFonts w:ascii="Verdana" w:hAnsi="Verdana"/>
          <w:sz w:val="16"/>
          <w:szCs w:val="16"/>
        </w:rPr>
        <w:t xml:space="preserve"> (expediente de prueba,</w:t>
      </w:r>
      <w:r w:rsidRPr="00432ABC">
        <w:rPr>
          <w:rFonts w:ascii="Verdana" w:hAnsi="Verdana"/>
          <w:i/>
          <w:sz w:val="16"/>
          <w:szCs w:val="16"/>
        </w:rPr>
        <w:t xml:space="preserve"> </w:t>
      </w:r>
      <w:r w:rsidRPr="00432ABC">
        <w:rPr>
          <w:rFonts w:ascii="Verdana" w:hAnsi="Verdana"/>
          <w:sz w:val="16"/>
          <w:szCs w:val="16"/>
        </w:rPr>
        <w:t xml:space="preserve">ff. 16118, 16127, 16137 a 16139). </w:t>
      </w:r>
    </w:p>
  </w:footnote>
  <w:footnote w:id="289">
    <w:p w14:paraId="64AA624F" w14:textId="376EADE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Style w:val="Refdenotaalpie"/>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432ABC">
        <w:rPr>
          <w:rFonts w:ascii="Verdana" w:hAnsi="Verdana"/>
          <w:sz w:val="16"/>
          <w:szCs w:val="16"/>
        </w:rPr>
        <w:t xml:space="preserve">Tarjeta informativa de inicio de Averiguación Previa en la </w:t>
      </w:r>
      <w:r w:rsidRPr="00432ABC">
        <w:rPr>
          <w:rFonts w:ascii="Verdana" w:hAnsi="Verdana" w:cs="Arial"/>
          <w:sz w:val="16"/>
          <w:szCs w:val="16"/>
          <w:lang w:val="es-AR"/>
        </w:rPr>
        <w:t xml:space="preserve">5ªAMPF </w:t>
      </w:r>
      <w:r>
        <w:rPr>
          <w:rFonts w:ascii="Verdana" w:hAnsi="Verdana" w:cs="Arial"/>
          <w:sz w:val="16"/>
          <w:szCs w:val="16"/>
          <w:lang w:val="es-AR"/>
        </w:rPr>
        <w:t>–</w:t>
      </w:r>
      <w:r w:rsidRPr="00432ABC">
        <w:rPr>
          <w:rFonts w:ascii="Verdana" w:hAnsi="Verdana" w:cs="Arial"/>
          <w:sz w:val="16"/>
          <w:szCs w:val="16"/>
          <w:lang w:val="es-AR"/>
        </w:rPr>
        <w:t xml:space="preserve"> PGR</w:t>
      </w:r>
      <w:r>
        <w:rPr>
          <w:rFonts w:ascii="Verdana" w:hAnsi="Verdana" w:cs="Arial"/>
          <w:sz w:val="16"/>
          <w:szCs w:val="16"/>
          <w:lang w:val="es-AR"/>
        </w:rPr>
        <w:t xml:space="preserve"> del 13 de febrero de 2012</w:t>
      </w:r>
      <w:r w:rsidRPr="00432ABC" w:rsidDel="00473283">
        <w:rPr>
          <w:rFonts w:ascii="Verdana" w:hAnsi="Verdana"/>
          <w:sz w:val="16"/>
          <w:szCs w:val="16"/>
        </w:rPr>
        <w:t xml:space="preserve"> </w:t>
      </w:r>
      <w:r w:rsidRPr="00432ABC">
        <w:rPr>
          <w:rFonts w:ascii="Verdana" w:hAnsi="Verdana"/>
          <w:sz w:val="16"/>
          <w:szCs w:val="16"/>
        </w:rPr>
        <w:t xml:space="preserve">(expediente de prueba, </w:t>
      </w:r>
      <w:r>
        <w:rPr>
          <w:rFonts w:ascii="Verdana" w:hAnsi="Verdana"/>
          <w:sz w:val="16"/>
          <w:szCs w:val="16"/>
        </w:rPr>
        <w:t>f</w:t>
      </w:r>
      <w:r w:rsidRPr="00432ABC">
        <w:rPr>
          <w:rFonts w:ascii="Verdana" w:hAnsi="Verdana"/>
          <w:sz w:val="16"/>
          <w:szCs w:val="16"/>
        </w:rPr>
        <w:t>f. 638</w:t>
      </w:r>
      <w:r>
        <w:rPr>
          <w:rFonts w:ascii="Verdana" w:hAnsi="Verdana"/>
          <w:sz w:val="16"/>
          <w:szCs w:val="16"/>
        </w:rPr>
        <w:t xml:space="preserve"> y 639</w:t>
      </w:r>
      <w:r w:rsidRPr="00432ABC">
        <w:rPr>
          <w:rFonts w:ascii="Verdana" w:hAnsi="Verdana"/>
          <w:sz w:val="16"/>
          <w:szCs w:val="16"/>
        </w:rPr>
        <w:t xml:space="preserve">). Con relación a los hechos, la PGR – Chihuahua radicó las siguientes averiguaciones previas: i. </w:t>
      </w:r>
      <w:r w:rsidRPr="00432ABC">
        <w:rPr>
          <w:rFonts w:ascii="Verdana" w:hAnsi="Verdana"/>
          <w:sz w:val="16"/>
          <w:szCs w:val="16"/>
          <w:lang w:val="es-AR"/>
        </w:rPr>
        <w:t xml:space="preserve">AP/PGR/CHIH/JUA/2503/2011-V-A, iniciada el 11 de agosto de 2011 a partir de la denuncia presentada por María de Jesús Alvarado ante la Quinta Mesa Investigadora de la en Ciudad Juárez PGR por la desaparición de </w:t>
      </w:r>
      <w:r w:rsidRPr="00432ABC">
        <w:rPr>
          <w:rFonts w:ascii="Verdana" w:hAnsi="Verdana"/>
          <w:sz w:val="16"/>
          <w:szCs w:val="16"/>
        </w:rPr>
        <w:t xml:space="preserve">sus familiares, “en contra de quien o quienes result[ar]n responsables por la comisión del delito de desaparición forzada de personas y lo que result[ar]e”, y ii. </w:t>
      </w:r>
      <w:r w:rsidRPr="00432ABC">
        <w:rPr>
          <w:rFonts w:ascii="Verdana" w:hAnsi="Verdana"/>
          <w:sz w:val="16"/>
          <w:szCs w:val="16"/>
          <w:lang w:val="es-AR"/>
        </w:rPr>
        <w:t>AP/PGR/CHIH/JUA/3634/2011, iniciada el 16 de noviembre de 2011 con motivo de la declinatoria de la FEVIMTRA (</w:t>
      </w:r>
      <w:r w:rsidRPr="00432ABC">
        <w:rPr>
          <w:rFonts w:ascii="Verdana" w:hAnsi="Verdana"/>
          <w:i/>
          <w:sz w:val="16"/>
          <w:szCs w:val="16"/>
          <w:lang w:val="es-AR"/>
        </w:rPr>
        <w:t>supra</w:t>
      </w:r>
      <w:r w:rsidRPr="00432ABC">
        <w:rPr>
          <w:rFonts w:ascii="Verdana" w:hAnsi="Verdana"/>
          <w:sz w:val="16"/>
          <w:szCs w:val="16"/>
          <w:lang w:val="es-AR"/>
        </w:rPr>
        <w:t xml:space="preserve">, párr. **), “en contra de quien result[ar]e responsable por el delito de privación ilegal de la libertad y/o lo que result[ar]e” en perjuicio de los tres desaparecidos. </w:t>
      </w:r>
      <w:r w:rsidRPr="00432ABC">
        <w:rPr>
          <w:rFonts w:ascii="Verdana" w:hAnsi="Verdana"/>
          <w:sz w:val="16"/>
          <w:szCs w:val="16"/>
        </w:rPr>
        <w:t xml:space="preserve">El 26 de noviembre de 2011 la primera de las averiguaciones previas señaladas se acumuló a la segunda, y el 31 de octubre de 2012 ambas fueron integradas a la averiguación previa </w:t>
      </w:r>
      <w:r w:rsidRPr="00432ABC">
        <w:rPr>
          <w:rFonts w:ascii="Verdana" w:hAnsi="Verdana"/>
          <w:sz w:val="16"/>
          <w:szCs w:val="16"/>
          <w:lang w:val="es-AR"/>
        </w:rPr>
        <w:t xml:space="preserve">AP/PGR/CHIH/JUA/467/2012-XI-A, iniciada el 13 de febrero de 2012. </w:t>
      </w:r>
      <w:r w:rsidRPr="00CD5C54">
        <w:rPr>
          <w:rFonts w:ascii="Verdana" w:hAnsi="Verdana"/>
          <w:i/>
          <w:sz w:val="16"/>
          <w:szCs w:val="16"/>
        </w:rPr>
        <w:t>Cfr.</w:t>
      </w:r>
      <w:r w:rsidRPr="00432ABC">
        <w:rPr>
          <w:rFonts w:ascii="Verdana" w:hAnsi="Verdana"/>
          <w:sz w:val="16"/>
          <w:szCs w:val="16"/>
        </w:rPr>
        <w:t xml:space="preserve"> Acuerdo de inicio sin detenido de 11 de agosto de 2011 de </w:t>
      </w:r>
      <w:r>
        <w:rPr>
          <w:rFonts w:ascii="Verdana" w:hAnsi="Verdana"/>
          <w:sz w:val="16"/>
          <w:szCs w:val="16"/>
        </w:rPr>
        <w:t>a</w:t>
      </w:r>
      <w:r w:rsidRPr="00432ABC">
        <w:rPr>
          <w:rFonts w:ascii="Verdana" w:hAnsi="Verdana"/>
          <w:sz w:val="16"/>
          <w:szCs w:val="16"/>
        </w:rPr>
        <w:t xml:space="preserve">veriguación </w:t>
      </w:r>
      <w:r>
        <w:rPr>
          <w:rFonts w:ascii="Verdana" w:hAnsi="Verdana"/>
          <w:sz w:val="16"/>
          <w:szCs w:val="16"/>
        </w:rPr>
        <w:t>p</w:t>
      </w:r>
      <w:r w:rsidRPr="00432ABC">
        <w:rPr>
          <w:rFonts w:ascii="Verdana" w:hAnsi="Verdana"/>
          <w:sz w:val="16"/>
          <w:szCs w:val="16"/>
        </w:rPr>
        <w:t xml:space="preserve">revia </w:t>
      </w:r>
      <w:r w:rsidRPr="00432ABC">
        <w:rPr>
          <w:rFonts w:ascii="Verdana" w:hAnsi="Verdana"/>
          <w:sz w:val="16"/>
          <w:szCs w:val="16"/>
          <w:lang w:val="es-AR"/>
        </w:rPr>
        <w:t>AP/PGR/CHIH/JUA/2503/2011-V-A</w:t>
      </w:r>
      <w:r w:rsidRPr="00432ABC">
        <w:rPr>
          <w:rFonts w:ascii="Verdana" w:hAnsi="Verdana"/>
          <w:sz w:val="16"/>
          <w:szCs w:val="16"/>
        </w:rPr>
        <w:t xml:space="preserve"> (expediente de prueba, anexo II.78 del Informe de Fondo, f. 1071); Acuerdo de inicio de </w:t>
      </w:r>
      <w:r>
        <w:rPr>
          <w:rFonts w:ascii="Verdana" w:hAnsi="Verdana"/>
          <w:sz w:val="16"/>
          <w:szCs w:val="16"/>
        </w:rPr>
        <w:t>a</w:t>
      </w:r>
      <w:r w:rsidRPr="00432ABC">
        <w:rPr>
          <w:rFonts w:ascii="Verdana" w:hAnsi="Verdana"/>
          <w:sz w:val="16"/>
          <w:szCs w:val="16"/>
        </w:rPr>
        <w:t xml:space="preserve">veriguación </w:t>
      </w:r>
      <w:r>
        <w:rPr>
          <w:rFonts w:ascii="Verdana" w:hAnsi="Verdana"/>
          <w:sz w:val="16"/>
          <w:szCs w:val="16"/>
        </w:rPr>
        <w:t>p</w:t>
      </w:r>
      <w:r w:rsidRPr="00432ABC">
        <w:rPr>
          <w:rFonts w:ascii="Verdana" w:hAnsi="Verdana"/>
          <w:sz w:val="16"/>
          <w:szCs w:val="16"/>
        </w:rPr>
        <w:t xml:space="preserve">revia </w:t>
      </w:r>
      <w:r>
        <w:rPr>
          <w:rFonts w:ascii="Verdana" w:hAnsi="Verdana"/>
          <w:sz w:val="16"/>
          <w:szCs w:val="16"/>
        </w:rPr>
        <w:t xml:space="preserve">AP/PGR/CHIH/JUA/3634/2011-XI-A </w:t>
      </w:r>
      <w:r w:rsidRPr="00432ABC">
        <w:rPr>
          <w:rFonts w:ascii="Verdana" w:hAnsi="Verdana"/>
          <w:sz w:val="16"/>
          <w:szCs w:val="16"/>
        </w:rPr>
        <w:t xml:space="preserve">de 16 de noviembre de 2011 suscrito por el AMPF de la PGR - Chihuahua (expediente de prueba, </w:t>
      </w:r>
      <w:r>
        <w:rPr>
          <w:rFonts w:ascii="Verdana" w:hAnsi="Verdana"/>
          <w:sz w:val="16"/>
          <w:szCs w:val="16"/>
        </w:rPr>
        <w:t>e</w:t>
      </w:r>
      <w:r w:rsidRPr="00432ABC">
        <w:rPr>
          <w:rFonts w:ascii="Verdana" w:hAnsi="Verdana"/>
          <w:sz w:val="16"/>
          <w:szCs w:val="16"/>
        </w:rPr>
        <w:t xml:space="preserve">xpediente penal, f. 16209); Acuerdo de acumulación de 24 de noviembre de 2011 (expediente de prueba, expediente penal, ff. 16327 a 16329); </w:t>
      </w:r>
      <w:r>
        <w:rPr>
          <w:rFonts w:ascii="Verdana" w:hAnsi="Verdana"/>
          <w:sz w:val="16"/>
          <w:szCs w:val="16"/>
        </w:rPr>
        <w:t>O</w:t>
      </w:r>
      <w:r w:rsidRPr="00432ABC">
        <w:rPr>
          <w:rFonts w:ascii="Verdana" w:hAnsi="Verdana"/>
          <w:sz w:val="16"/>
          <w:szCs w:val="16"/>
        </w:rPr>
        <w:t xml:space="preserve">ficio DECH/5708/2011 de 26 de noviembre de 2011 que autoriza acumulación, suscrito por delegado estatal de la PGR – Chihuahua (expediente de prueba, </w:t>
      </w:r>
      <w:r>
        <w:rPr>
          <w:rFonts w:ascii="Verdana" w:hAnsi="Verdana"/>
          <w:sz w:val="16"/>
          <w:szCs w:val="16"/>
        </w:rPr>
        <w:t>e</w:t>
      </w:r>
      <w:r w:rsidRPr="00432ABC">
        <w:rPr>
          <w:rFonts w:ascii="Verdana" w:hAnsi="Verdana"/>
          <w:sz w:val="16"/>
          <w:szCs w:val="16"/>
        </w:rPr>
        <w:t xml:space="preserve">xpediente penal, ff. 16332 a 16333); </w:t>
      </w:r>
      <w:r>
        <w:rPr>
          <w:rFonts w:ascii="Verdana" w:hAnsi="Verdana"/>
          <w:sz w:val="16"/>
          <w:szCs w:val="16"/>
        </w:rPr>
        <w:t>O</w:t>
      </w:r>
      <w:r w:rsidRPr="00432ABC">
        <w:rPr>
          <w:rFonts w:ascii="Verdana" w:hAnsi="Verdana"/>
          <w:sz w:val="16"/>
          <w:szCs w:val="16"/>
        </w:rPr>
        <w:t>ficio No. 4122 de 5 de diciembre de 20</w:t>
      </w:r>
      <w:r>
        <w:rPr>
          <w:rFonts w:ascii="Verdana" w:hAnsi="Verdana"/>
          <w:sz w:val="16"/>
          <w:szCs w:val="16"/>
        </w:rPr>
        <w:t>1</w:t>
      </w:r>
      <w:r w:rsidRPr="00432ABC">
        <w:rPr>
          <w:rFonts w:ascii="Verdana" w:hAnsi="Verdana"/>
          <w:sz w:val="16"/>
          <w:szCs w:val="16"/>
        </w:rPr>
        <w:t xml:space="preserve">1 suscrito por la titular de la 5ªAMPF - PGR (expediente de prueba, f. 1073), y </w:t>
      </w:r>
      <w:r>
        <w:rPr>
          <w:rFonts w:ascii="Verdana" w:hAnsi="Verdana"/>
          <w:sz w:val="16"/>
          <w:szCs w:val="16"/>
        </w:rPr>
        <w:t>O</w:t>
      </w:r>
      <w:r w:rsidRPr="00432ABC">
        <w:rPr>
          <w:rFonts w:ascii="Verdana" w:hAnsi="Verdana"/>
          <w:sz w:val="16"/>
          <w:szCs w:val="16"/>
        </w:rPr>
        <w:t>ficio número ilegible de 31 de octubre de 2012, dirigido a la titular de la Agencia Décimo Segunda Investigadora (expediente de prueba, ff. 1077 a 1079).</w:t>
      </w:r>
    </w:p>
  </w:footnote>
  <w:footnote w:id="290">
    <w:p w14:paraId="64AA6250" w14:textId="40BBC5E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Declaraciones rendidas el 16 de enero de 2013 ante la AMPF en apoyo de la Agencia Décima Primera</w:t>
      </w:r>
      <w:r w:rsidRPr="00432ABC">
        <w:rPr>
          <w:rFonts w:ascii="Verdana" w:hAnsi="Verdana"/>
          <w:sz w:val="16"/>
          <w:szCs w:val="16"/>
        </w:rPr>
        <w:t xml:space="preserve"> Investigadora de la PGR – Chihuahua [11ªAMPF – PGR] de: Patricia Reyes Rueda (expediente de prueba, </w:t>
      </w:r>
      <w:r>
        <w:rPr>
          <w:rFonts w:ascii="Verdana" w:hAnsi="Verdana"/>
          <w:sz w:val="16"/>
          <w:szCs w:val="16"/>
        </w:rPr>
        <w:t>e</w:t>
      </w:r>
      <w:r w:rsidRPr="00432ABC">
        <w:rPr>
          <w:rFonts w:ascii="Verdana" w:hAnsi="Verdana"/>
          <w:sz w:val="16"/>
          <w:szCs w:val="16"/>
        </w:rPr>
        <w:t xml:space="preserve">xpediente penal, ff. 16474 a 16476); José Ángel Alvarado Fabela (expediente de prueba, </w:t>
      </w:r>
      <w:r>
        <w:rPr>
          <w:rFonts w:ascii="Verdana" w:hAnsi="Verdana"/>
          <w:sz w:val="16"/>
          <w:szCs w:val="16"/>
        </w:rPr>
        <w:t>e</w:t>
      </w:r>
      <w:r w:rsidRPr="00432ABC">
        <w:rPr>
          <w:rFonts w:ascii="Verdana" w:hAnsi="Verdana"/>
          <w:sz w:val="16"/>
          <w:szCs w:val="16"/>
        </w:rPr>
        <w:t xml:space="preserve">xpediente penal, ff. 16483 a 16485); Manuel Reyes Lira (expediente de prueba, </w:t>
      </w:r>
      <w:r>
        <w:rPr>
          <w:rFonts w:ascii="Verdana" w:hAnsi="Verdana"/>
          <w:sz w:val="16"/>
          <w:szCs w:val="16"/>
        </w:rPr>
        <w:t>e</w:t>
      </w:r>
      <w:r w:rsidRPr="00432ABC">
        <w:rPr>
          <w:rFonts w:ascii="Verdana" w:hAnsi="Verdana"/>
          <w:sz w:val="16"/>
          <w:szCs w:val="16"/>
        </w:rPr>
        <w:t xml:space="preserve">xpediente penal, ff. 16494 a 16496), y Obdulia Espinoza Beltrán (expediente de prueba, </w:t>
      </w:r>
      <w:r>
        <w:rPr>
          <w:rFonts w:ascii="Verdana" w:hAnsi="Verdana"/>
          <w:sz w:val="16"/>
          <w:szCs w:val="16"/>
        </w:rPr>
        <w:t>e</w:t>
      </w:r>
      <w:r w:rsidRPr="00432ABC">
        <w:rPr>
          <w:rFonts w:ascii="Verdana" w:hAnsi="Verdana"/>
          <w:sz w:val="16"/>
          <w:szCs w:val="16"/>
        </w:rPr>
        <w:t>xpediente penal, ff. 16496 a 16497).</w:t>
      </w:r>
    </w:p>
  </w:footnote>
  <w:footnote w:id="291">
    <w:p w14:paraId="64AA6251" w14:textId="6A68B0F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Élfego José Luján Ruiz rendida el 13 de junio de 20</w:t>
      </w:r>
      <w:r w:rsidRPr="00432ABC">
        <w:rPr>
          <w:rFonts w:ascii="Verdana" w:hAnsi="Verdana"/>
          <w:sz w:val="16"/>
          <w:szCs w:val="16"/>
        </w:rPr>
        <w:t>13 ante la 11ªAMPF – PGR</w:t>
      </w:r>
      <w:r w:rsidRPr="00432ABC" w:rsidDel="00AF67EF">
        <w:rPr>
          <w:rFonts w:ascii="Verdana" w:hAnsi="Verdana"/>
          <w:sz w:val="16"/>
          <w:szCs w:val="16"/>
        </w:rPr>
        <w:t xml:space="preserve"> </w:t>
      </w:r>
      <w:r w:rsidRPr="00432ABC">
        <w:rPr>
          <w:rFonts w:ascii="Verdana" w:hAnsi="Verdana"/>
          <w:sz w:val="16"/>
          <w:szCs w:val="16"/>
        </w:rPr>
        <w:t>(expediente de prueba, ff. 1155 a 1160).</w:t>
      </w:r>
    </w:p>
  </w:footnote>
  <w:footnote w:id="292">
    <w:p w14:paraId="64AA6252" w14:textId="0AFC170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Jens Pedro Lohmann Iturburu rendida el 18 de junio de 2013 ante la AMPF – PGR</w:t>
      </w:r>
      <w:r w:rsidRPr="00432ABC" w:rsidDel="00AF67EF">
        <w:rPr>
          <w:rFonts w:ascii="Verdana" w:hAnsi="Verdana"/>
          <w:sz w:val="16"/>
          <w:szCs w:val="16"/>
        </w:rPr>
        <w:t xml:space="preserve"> </w:t>
      </w:r>
      <w:r w:rsidRPr="00432ABC">
        <w:rPr>
          <w:rFonts w:ascii="Verdana" w:hAnsi="Verdana"/>
          <w:sz w:val="16"/>
          <w:szCs w:val="16"/>
        </w:rPr>
        <w:t xml:space="preserve">(expediente de prueba, </w:t>
      </w:r>
      <w:r>
        <w:rPr>
          <w:rFonts w:ascii="Verdana" w:hAnsi="Verdana"/>
          <w:sz w:val="16"/>
          <w:szCs w:val="16"/>
        </w:rPr>
        <w:t>a</w:t>
      </w:r>
      <w:r w:rsidRPr="00432ABC">
        <w:rPr>
          <w:rFonts w:ascii="Verdana" w:hAnsi="Verdana"/>
          <w:sz w:val="16"/>
          <w:szCs w:val="16"/>
        </w:rPr>
        <w:t>nexo 71 de la contestación del Estado, ff. 28394 a 28396).</w:t>
      </w:r>
    </w:p>
  </w:footnote>
  <w:footnote w:id="293">
    <w:p w14:paraId="64AA6253" w14:textId="58906FE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incompetencia por razón de especialidad de 30 de junio de 2013 de la 11ªAMPF – PGR</w:t>
      </w:r>
      <w:r w:rsidRPr="00432ABC" w:rsidDel="00AF67EF">
        <w:rPr>
          <w:rFonts w:ascii="Verdana" w:hAnsi="Verdana"/>
          <w:sz w:val="16"/>
          <w:szCs w:val="16"/>
        </w:rPr>
        <w:t xml:space="preserve"> </w:t>
      </w:r>
      <w:r w:rsidRPr="00432ABC">
        <w:rPr>
          <w:rFonts w:ascii="Verdana" w:hAnsi="Verdana"/>
          <w:sz w:val="16"/>
          <w:szCs w:val="16"/>
        </w:rPr>
        <w:t xml:space="preserve">(expediente de prueba, </w:t>
      </w:r>
      <w:r>
        <w:rPr>
          <w:rFonts w:ascii="Verdana" w:hAnsi="Verdana"/>
          <w:sz w:val="16"/>
          <w:szCs w:val="16"/>
        </w:rPr>
        <w:t>f</w:t>
      </w:r>
      <w:r w:rsidRPr="00432ABC">
        <w:rPr>
          <w:rFonts w:ascii="Verdana" w:hAnsi="Verdana"/>
          <w:sz w:val="16"/>
          <w:szCs w:val="16"/>
        </w:rPr>
        <w:t>f. 11</w:t>
      </w:r>
      <w:r>
        <w:rPr>
          <w:rFonts w:ascii="Verdana" w:hAnsi="Verdana"/>
          <w:sz w:val="16"/>
          <w:szCs w:val="16"/>
        </w:rPr>
        <w:t>17 a 1144</w:t>
      </w:r>
      <w:r w:rsidRPr="00432ABC">
        <w:rPr>
          <w:rFonts w:ascii="Verdana" w:hAnsi="Verdana"/>
          <w:sz w:val="16"/>
          <w:szCs w:val="16"/>
        </w:rPr>
        <w:t>).</w:t>
      </w:r>
    </w:p>
  </w:footnote>
  <w:footnote w:id="294">
    <w:p w14:paraId="64AA6254" w14:textId="779C4E3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DECH/2610/2013 </w:t>
      </w:r>
      <w:r>
        <w:rPr>
          <w:rFonts w:ascii="Verdana" w:hAnsi="Verdana"/>
          <w:sz w:val="16"/>
          <w:szCs w:val="16"/>
        </w:rPr>
        <w:t xml:space="preserve">del 18 de julio de 2013 </w:t>
      </w:r>
      <w:r w:rsidRPr="002C462C">
        <w:rPr>
          <w:rFonts w:ascii="Verdana" w:hAnsi="Verdana"/>
          <w:sz w:val="16"/>
          <w:szCs w:val="16"/>
        </w:rPr>
        <w:t>que autoriza incompete</w:t>
      </w:r>
      <w:r w:rsidRPr="00432ABC">
        <w:rPr>
          <w:rFonts w:ascii="Verdana" w:hAnsi="Verdana"/>
          <w:sz w:val="16"/>
          <w:szCs w:val="16"/>
        </w:rPr>
        <w:t>ncia, suscrito por el Delegado Estatal de la PGR – Chihuahua</w:t>
      </w:r>
      <w:r w:rsidRPr="00432ABC" w:rsidDel="00AF67EF">
        <w:rPr>
          <w:rFonts w:ascii="Verdana" w:hAnsi="Verdana"/>
          <w:sz w:val="16"/>
          <w:szCs w:val="16"/>
        </w:rPr>
        <w:t xml:space="preserve"> </w:t>
      </w:r>
      <w:r w:rsidRPr="00432ABC">
        <w:rPr>
          <w:rFonts w:ascii="Verdana" w:hAnsi="Verdana"/>
          <w:sz w:val="16"/>
          <w:szCs w:val="16"/>
        </w:rPr>
        <w:t>(expediente de prueba, ff. 1167 a 1168).</w:t>
      </w:r>
    </w:p>
  </w:footnote>
  <w:footnote w:id="295">
    <w:p w14:paraId="64AA6255" w14:textId="7D8A2C2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inicio de Averiguación Previa </w:t>
      </w:r>
      <w:r w:rsidRPr="00432ABC">
        <w:rPr>
          <w:rFonts w:ascii="Verdana" w:hAnsi="Verdana" w:cs="Cambria"/>
          <w:sz w:val="16"/>
          <w:szCs w:val="16"/>
        </w:rPr>
        <w:t xml:space="preserve">AP/PGR/SDHAVSC/M5/066/2013 de 4 de abril de 2013 suscrito por el AMPF Titular de la Mesa V de la Dirección General de Atención y Seguimiento de Recomendaciones y Conciliaciones en Materia de Derechos Humanos de la PGR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judicial, ff. 4491 a 4494).</w:t>
      </w:r>
    </w:p>
  </w:footnote>
  <w:footnote w:id="296">
    <w:p w14:paraId="64AA6256" w14:textId="1EE5FD0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Salomón Baltaza</w:t>
      </w:r>
      <w:r w:rsidRPr="00432ABC">
        <w:rPr>
          <w:rFonts w:ascii="Verdana" w:hAnsi="Verdana"/>
          <w:sz w:val="16"/>
          <w:szCs w:val="16"/>
        </w:rPr>
        <w:t xml:space="preserve">r Samayoa rendida </w:t>
      </w:r>
      <w:r>
        <w:rPr>
          <w:rFonts w:ascii="Verdana" w:hAnsi="Verdana"/>
          <w:sz w:val="16"/>
          <w:szCs w:val="16"/>
        </w:rPr>
        <w:t>el</w:t>
      </w:r>
      <w:r w:rsidRPr="00432ABC">
        <w:rPr>
          <w:rFonts w:ascii="Verdana" w:hAnsi="Verdana"/>
          <w:sz w:val="16"/>
          <w:szCs w:val="16"/>
        </w:rPr>
        <w:t xml:space="preserve"> 17 de abril de 2018</w:t>
      </w:r>
      <w:r w:rsidRPr="00432ABC">
        <w:rPr>
          <w:rFonts w:ascii="Verdana" w:hAnsi="Verdana"/>
          <w:i/>
          <w:sz w:val="16"/>
          <w:szCs w:val="16"/>
        </w:rPr>
        <w:t xml:space="preserve"> </w:t>
      </w:r>
      <w:r w:rsidRPr="00432ABC">
        <w:rPr>
          <w:rFonts w:ascii="Verdana" w:hAnsi="Verdana"/>
          <w:sz w:val="16"/>
          <w:szCs w:val="16"/>
        </w:rPr>
        <w:t xml:space="preserve">(expediente de prueba, </w:t>
      </w:r>
      <w:r w:rsidRPr="00453199">
        <w:rPr>
          <w:rFonts w:ascii="Verdana" w:hAnsi="Verdana"/>
          <w:i/>
          <w:sz w:val="16"/>
        </w:rPr>
        <w:t>Affidávits</w:t>
      </w:r>
      <w:r w:rsidRPr="00432ABC">
        <w:rPr>
          <w:rFonts w:ascii="Verdana" w:hAnsi="Verdana"/>
          <w:sz w:val="16"/>
          <w:szCs w:val="16"/>
        </w:rPr>
        <w:t xml:space="preserve">, f. 30930). El testigo referido se desempeñó como titular de la </w:t>
      </w:r>
      <w:r>
        <w:rPr>
          <w:rFonts w:ascii="Verdana" w:hAnsi="Verdana" w:cs="Cambria"/>
          <w:sz w:val="16"/>
          <w:szCs w:val="16"/>
        </w:rPr>
        <w:t>UEBPD-PGR</w:t>
      </w:r>
      <w:r w:rsidRPr="00432ABC">
        <w:rPr>
          <w:rFonts w:ascii="Verdana" w:hAnsi="Verdana"/>
          <w:sz w:val="16"/>
          <w:szCs w:val="16"/>
        </w:rPr>
        <w:t xml:space="preserve"> </w:t>
      </w:r>
      <w:r>
        <w:rPr>
          <w:rFonts w:ascii="Verdana" w:hAnsi="Verdana"/>
          <w:sz w:val="16"/>
          <w:szCs w:val="16"/>
        </w:rPr>
        <w:t>d</w:t>
      </w:r>
      <w:r w:rsidRPr="00432ABC">
        <w:rPr>
          <w:rFonts w:ascii="Verdana" w:hAnsi="Verdana"/>
          <w:sz w:val="16"/>
          <w:szCs w:val="16"/>
        </w:rPr>
        <w:t>e</w:t>
      </w:r>
      <w:r>
        <w:rPr>
          <w:rFonts w:ascii="Verdana" w:hAnsi="Verdana"/>
          <w:sz w:val="16"/>
          <w:szCs w:val="16"/>
        </w:rPr>
        <w:t>sde</w:t>
      </w:r>
      <w:r w:rsidRPr="00432ABC">
        <w:rPr>
          <w:rFonts w:ascii="Verdana" w:hAnsi="Verdana"/>
          <w:sz w:val="16"/>
          <w:szCs w:val="16"/>
        </w:rPr>
        <w:t xml:space="preserve"> el 21 de junio de 2013 </w:t>
      </w:r>
      <w:r>
        <w:rPr>
          <w:rFonts w:ascii="Verdana" w:hAnsi="Verdana"/>
          <w:sz w:val="16"/>
          <w:szCs w:val="16"/>
        </w:rPr>
        <w:t>a</w:t>
      </w:r>
      <w:r w:rsidRPr="00432ABC">
        <w:rPr>
          <w:rFonts w:ascii="Verdana" w:hAnsi="Verdana"/>
          <w:sz w:val="16"/>
          <w:szCs w:val="16"/>
        </w:rPr>
        <w:t>l 31 de julio de 2015.</w:t>
      </w:r>
    </w:p>
  </w:footnote>
  <w:footnote w:id="297">
    <w:p w14:paraId="64AA6257" w14:textId="677DE99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Pliego de consignación sin detenido de 31 de marzo de 2014 suscrito por el </w:t>
      </w:r>
      <w:r w:rsidRPr="00432ABC">
        <w:rPr>
          <w:rFonts w:ascii="Verdana" w:hAnsi="Verdana" w:cs="Cambria"/>
          <w:sz w:val="16"/>
          <w:szCs w:val="16"/>
        </w:rPr>
        <w:t xml:space="preserve">AMPF titular de la Mesa </w:t>
      </w:r>
      <w:r>
        <w:rPr>
          <w:rFonts w:ascii="Verdana" w:hAnsi="Verdana" w:cs="Cambria"/>
          <w:sz w:val="16"/>
          <w:szCs w:val="16"/>
        </w:rPr>
        <w:t>V</w:t>
      </w:r>
      <w:r w:rsidRPr="00432ABC">
        <w:rPr>
          <w:rFonts w:ascii="Verdana" w:hAnsi="Verdana" w:cs="Cambria"/>
          <w:sz w:val="16"/>
          <w:szCs w:val="16"/>
        </w:rPr>
        <w:t xml:space="preserve"> de la AMPF5ªM – UEBP</w:t>
      </w:r>
      <w:r>
        <w:rPr>
          <w:rFonts w:ascii="Verdana" w:hAnsi="Verdana" w:cs="Cambria"/>
          <w:sz w:val="16"/>
          <w:szCs w:val="16"/>
        </w:rPr>
        <w:t>D</w:t>
      </w:r>
      <w:r w:rsidRPr="00432ABC">
        <w:rPr>
          <w:rFonts w:ascii="Verdana" w:hAnsi="Verdana" w:cs="Cambria"/>
          <w:sz w:val="16"/>
          <w:szCs w:val="16"/>
        </w:rPr>
        <w:t xml:space="preserve"> </w:t>
      </w:r>
      <w:r w:rsidRPr="00432ABC">
        <w:rPr>
          <w:rFonts w:ascii="Verdana" w:hAnsi="Verdana"/>
          <w:sz w:val="16"/>
          <w:szCs w:val="16"/>
        </w:rPr>
        <w:t>(expediente de prueba, expediente judicial</w:t>
      </w:r>
      <w:r>
        <w:rPr>
          <w:rFonts w:ascii="Verdana" w:hAnsi="Verdana"/>
          <w:sz w:val="16"/>
          <w:szCs w:val="16"/>
        </w:rPr>
        <w:t xml:space="preserve">, </w:t>
      </w:r>
      <w:r w:rsidRPr="00432ABC">
        <w:rPr>
          <w:rFonts w:ascii="Verdana" w:hAnsi="Verdana"/>
          <w:sz w:val="16"/>
          <w:szCs w:val="16"/>
        </w:rPr>
        <w:t>ff. 17016 a 17121).</w:t>
      </w:r>
    </w:p>
  </w:footnote>
  <w:footnote w:id="298">
    <w:p w14:paraId="64AA6258" w14:textId="40B0016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Pliego de consignación sin detenido de 31 de marzo de 2014 suscrito por el AMPF5ªM – UEBDP, </w:t>
      </w:r>
      <w:r w:rsidRPr="00432ABC">
        <w:rPr>
          <w:rFonts w:ascii="Verdana" w:hAnsi="Verdana"/>
          <w:i/>
          <w:sz w:val="16"/>
          <w:szCs w:val="16"/>
        </w:rPr>
        <w:t xml:space="preserve">supra </w:t>
      </w:r>
      <w:r w:rsidRPr="00432ABC">
        <w:rPr>
          <w:rFonts w:ascii="Verdana" w:hAnsi="Verdana"/>
          <w:sz w:val="16"/>
          <w:szCs w:val="16"/>
        </w:rPr>
        <w:t xml:space="preserve">f. 17025. </w:t>
      </w:r>
    </w:p>
  </w:footnote>
  <w:footnote w:id="299">
    <w:p w14:paraId="64AA6259" w14:textId="427D236C"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Resolución de 31 de marzo de 2014 dentro de la Causa Penal 22/2014-III del J7ºDtto - Chihuahua (expediente de prueba, </w:t>
      </w:r>
      <w:r>
        <w:rPr>
          <w:rFonts w:ascii="Verdana" w:hAnsi="Verdana"/>
          <w:sz w:val="16"/>
          <w:szCs w:val="16"/>
        </w:rPr>
        <w:t>e</w:t>
      </w:r>
      <w:r w:rsidRPr="002C462C">
        <w:rPr>
          <w:rFonts w:ascii="Verdana" w:hAnsi="Verdana"/>
          <w:sz w:val="16"/>
          <w:szCs w:val="16"/>
        </w:rPr>
        <w:t xml:space="preserve">xpediente </w:t>
      </w:r>
      <w:r>
        <w:rPr>
          <w:rFonts w:ascii="Verdana" w:hAnsi="Verdana"/>
          <w:sz w:val="16"/>
          <w:szCs w:val="16"/>
        </w:rPr>
        <w:t>pen</w:t>
      </w:r>
      <w:r w:rsidRPr="002C462C">
        <w:rPr>
          <w:rFonts w:ascii="Verdana" w:hAnsi="Verdana"/>
          <w:sz w:val="16"/>
          <w:szCs w:val="16"/>
        </w:rPr>
        <w:t>al, f. 17155).</w:t>
      </w:r>
    </w:p>
  </w:footnote>
  <w:footnote w:id="300">
    <w:p w14:paraId="64AA625A" w14:textId="2C11E25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3 de abril de 2014 dictado por el Juez Séptimo de Distrito </w:t>
      </w:r>
      <w:r w:rsidRPr="00432ABC">
        <w:rPr>
          <w:rFonts w:ascii="Verdana" w:hAnsi="Verdana"/>
          <w:sz w:val="16"/>
          <w:szCs w:val="16"/>
        </w:rPr>
        <w:t xml:space="preserve">en el Estado de Chihuahua (expediente de prueba, prueba para mejor resolver remitida por el Estado, f. 31698); </w:t>
      </w:r>
      <w:r>
        <w:rPr>
          <w:rFonts w:ascii="Verdana" w:hAnsi="Verdana"/>
          <w:sz w:val="16"/>
          <w:szCs w:val="16"/>
        </w:rPr>
        <w:t>O</w:t>
      </w:r>
      <w:r w:rsidRPr="00432ABC">
        <w:rPr>
          <w:rFonts w:ascii="Verdana" w:hAnsi="Verdana"/>
          <w:sz w:val="16"/>
          <w:szCs w:val="16"/>
        </w:rPr>
        <w:t xml:space="preserve">ficio 2971 de 3 de abril de 2014 suscrito por el J7ºDtto – Chihuahua, dirigido al </w:t>
      </w:r>
      <w:r>
        <w:rPr>
          <w:rFonts w:ascii="Verdana" w:hAnsi="Verdana"/>
          <w:sz w:val="16"/>
          <w:szCs w:val="16"/>
        </w:rPr>
        <w:t>M</w:t>
      </w:r>
      <w:r w:rsidRPr="00432ABC">
        <w:rPr>
          <w:rFonts w:ascii="Verdana" w:hAnsi="Verdana"/>
          <w:sz w:val="16"/>
          <w:szCs w:val="16"/>
        </w:rPr>
        <w:t xml:space="preserve">agistrado del Tribunal Unitario de Circuito en turno en Ciudad Juárez (expediente de prueba, prueba para mejor resolver remitida por el Estado, f. 31700); </w:t>
      </w:r>
      <w:r>
        <w:rPr>
          <w:rFonts w:ascii="Verdana" w:hAnsi="Verdana"/>
          <w:sz w:val="16"/>
          <w:szCs w:val="16"/>
        </w:rPr>
        <w:t>a</w:t>
      </w:r>
      <w:r w:rsidRPr="00432ABC">
        <w:rPr>
          <w:rFonts w:ascii="Verdana" w:hAnsi="Verdana"/>
          <w:sz w:val="16"/>
          <w:szCs w:val="16"/>
        </w:rPr>
        <w:t>uto de admisión de</w:t>
      </w:r>
      <w:r>
        <w:rPr>
          <w:rFonts w:ascii="Verdana" w:hAnsi="Verdana"/>
          <w:sz w:val="16"/>
          <w:szCs w:val="16"/>
        </w:rPr>
        <w:t>l</w:t>
      </w:r>
      <w:r w:rsidRPr="00432ABC">
        <w:rPr>
          <w:rFonts w:ascii="Verdana" w:hAnsi="Verdana"/>
          <w:sz w:val="16"/>
          <w:szCs w:val="16"/>
        </w:rPr>
        <w:t xml:space="preserve"> </w:t>
      </w:r>
      <w:r>
        <w:rPr>
          <w:rFonts w:ascii="Verdana" w:hAnsi="Verdana"/>
          <w:sz w:val="16"/>
          <w:szCs w:val="16"/>
        </w:rPr>
        <w:t>r</w:t>
      </w:r>
      <w:r w:rsidRPr="00432ABC">
        <w:rPr>
          <w:rFonts w:ascii="Verdana" w:hAnsi="Verdana"/>
          <w:sz w:val="16"/>
          <w:szCs w:val="16"/>
        </w:rPr>
        <w:t xml:space="preserve">ecurso de </w:t>
      </w:r>
      <w:r>
        <w:rPr>
          <w:rFonts w:ascii="Verdana" w:hAnsi="Verdana"/>
          <w:sz w:val="16"/>
          <w:szCs w:val="16"/>
        </w:rPr>
        <w:t>a</w:t>
      </w:r>
      <w:r w:rsidRPr="00432ABC">
        <w:rPr>
          <w:rFonts w:ascii="Verdana" w:hAnsi="Verdana"/>
          <w:sz w:val="16"/>
          <w:szCs w:val="16"/>
        </w:rPr>
        <w:t xml:space="preserve">pelación de 3 abril de 2014 dentro de la Causa Penal 22/2014-III proveído por el J7ºDtto - Chihuahua (expediente de prueba, </w:t>
      </w:r>
      <w:r>
        <w:rPr>
          <w:rFonts w:ascii="Verdana" w:hAnsi="Verdana"/>
          <w:sz w:val="16"/>
          <w:szCs w:val="16"/>
        </w:rPr>
        <w:t>e</w:t>
      </w:r>
      <w:r w:rsidRPr="00432ABC">
        <w:rPr>
          <w:rFonts w:ascii="Verdana" w:hAnsi="Verdana"/>
          <w:sz w:val="16"/>
          <w:szCs w:val="16"/>
        </w:rPr>
        <w:t xml:space="preserve">xpediente penal, ff. 17158 y 17159), y Pedimento No. 45/2014 de 24 de abril de 2014 suscrito por la AMPF Fiscal Ejecutiva Asistente adscrita al Cuarto Tribunal Unitario del 17º Circuito, por el que formula agravios dentro del Toca Penal 96/2014 (expediente de prueba, </w:t>
      </w:r>
      <w:r>
        <w:rPr>
          <w:rFonts w:ascii="Verdana" w:hAnsi="Verdana"/>
          <w:sz w:val="16"/>
          <w:szCs w:val="16"/>
        </w:rPr>
        <w:t>e</w:t>
      </w:r>
      <w:r w:rsidRPr="00432ABC">
        <w:rPr>
          <w:rFonts w:ascii="Verdana" w:hAnsi="Verdana"/>
          <w:sz w:val="16"/>
          <w:szCs w:val="16"/>
        </w:rPr>
        <w:t>xpediente penal, ff. 17265 a 17300).</w:t>
      </w:r>
    </w:p>
  </w:footnote>
  <w:footnote w:id="301">
    <w:p w14:paraId="64AA625B" w14:textId="5AFED324"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Sentencia del Toca Penal 94/2014 dictada el 27 de junio de 2014 por la </w:t>
      </w:r>
      <w:r>
        <w:rPr>
          <w:rFonts w:ascii="Verdana" w:hAnsi="Verdana"/>
          <w:sz w:val="16"/>
          <w:szCs w:val="16"/>
        </w:rPr>
        <w:t>M</w:t>
      </w:r>
      <w:r w:rsidRPr="002C462C">
        <w:rPr>
          <w:rFonts w:ascii="Verdana" w:hAnsi="Verdana"/>
          <w:sz w:val="16"/>
          <w:szCs w:val="16"/>
        </w:rPr>
        <w:t>agistrada del 4ºTU/17ºC - Chihuahua (expediente de prueba, ff. 28592 a 28696).</w:t>
      </w:r>
    </w:p>
  </w:footnote>
  <w:footnote w:id="302">
    <w:p w14:paraId="64AA625C" w14:textId="2852095D"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Resolución del Juicio de Amparo Indirecto 21/2014 de 31 de diciembre de 2014 emitida por el titular del 3ºTU/17ºC – Chihuahua (expediente de prueba, f. 1246).</w:t>
      </w:r>
    </w:p>
  </w:footnote>
  <w:footnote w:id="303">
    <w:p w14:paraId="64AA625D" w14:textId="58C79B3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Resolución de 17 de septiembre de 2014 emitida p</w:t>
      </w:r>
      <w:r w:rsidRPr="00432ABC">
        <w:rPr>
          <w:rFonts w:ascii="Verdana" w:hAnsi="Verdana"/>
          <w:sz w:val="16"/>
          <w:szCs w:val="16"/>
        </w:rPr>
        <w:t xml:space="preserve">or el </w:t>
      </w:r>
      <w:r>
        <w:rPr>
          <w:rFonts w:ascii="Verdana" w:hAnsi="Verdana"/>
          <w:sz w:val="16"/>
          <w:szCs w:val="16"/>
        </w:rPr>
        <w:t>M</w:t>
      </w:r>
      <w:r w:rsidRPr="00432ABC">
        <w:rPr>
          <w:rFonts w:ascii="Verdana" w:hAnsi="Verdana"/>
          <w:sz w:val="16"/>
          <w:szCs w:val="16"/>
        </w:rPr>
        <w:t xml:space="preserve">agistrado del </w:t>
      </w:r>
      <w:r w:rsidRPr="00432ABC">
        <w:rPr>
          <w:rFonts w:ascii="Verdana" w:hAnsi="Verdana" w:cs="Cambria"/>
          <w:sz w:val="16"/>
          <w:szCs w:val="16"/>
        </w:rPr>
        <w:t xml:space="preserve">3ºTU/17ºC </w:t>
      </w:r>
      <w:r w:rsidRPr="00432ABC">
        <w:rPr>
          <w:rFonts w:ascii="Verdana" w:hAnsi="Verdana"/>
          <w:sz w:val="16"/>
          <w:szCs w:val="16"/>
        </w:rPr>
        <w:t>(expediente de prueba, prueba para mejor resolver remitida por el Estado, f. 32475).</w:t>
      </w:r>
    </w:p>
  </w:footnote>
  <w:footnote w:id="304">
    <w:p w14:paraId="64AA625E" w14:textId="4E556AB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Escrito de Queja promovido el 29 de septiembre de 2014 (expediente de prueba, prueba para mejor resolver remitida por el Estado, </w:t>
      </w:r>
      <w:r>
        <w:rPr>
          <w:rFonts w:ascii="Verdana" w:hAnsi="Verdana"/>
          <w:sz w:val="16"/>
          <w:szCs w:val="16"/>
        </w:rPr>
        <w:t>f</w:t>
      </w:r>
      <w:r w:rsidRPr="002C462C">
        <w:rPr>
          <w:rFonts w:ascii="Verdana" w:hAnsi="Verdana"/>
          <w:sz w:val="16"/>
          <w:szCs w:val="16"/>
        </w:rPr>
        <w:t xml:space="preserve">f. </w:t>
      </w:r>
      <w:r w:rsidRPr="00432ABC">
        <w:rPr>
          <w:rFonts w:ascii="Verdana" w:hAnsi="Verdana"/>
          <w:sz w:val="16"/>
          <w:szCs w:val="16"/>
        </w:rPr>
        <w:t xml:space="preserve">32486 a 32490). </w:t>
      </w:r>
    </w:p>
  </w:footnote>
  <w:footnote w:id="305">
    <w:p w14:paraId="64AA625F" w14:textId="7EF0F4A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del Tribunal Colegiado de</w:t>
      </w:r>
      <w:r>
        <w:rPr>
          <w:rFonts w:ascii="Verdana" w:hAnsi="Verdana"/>
          <w:sz w:val="16"/>
          <w:szCs w:val="16"/>
        </w:rPr>
        <w:t>l Decimoséptimo</w:t>
      </w:r>
      <w:r w:rsidRPr="002C462C">
        <w:rPr>
          <w:rFonts w:ascii="Verdana" w:hAnsi="Verdana"/>
          <w:sz w:val="16"/>
          <w:szCs w:val="16"/>
        </w:rPr>
        <w:t xml:space="preserve"> Circuito de 21 de noviembre de 2014 (expediente de prueba, prueba para mejor resolver remitida por el Estado, f. 32522). </w:t>
      </w:r>
      <w:r w:rsidRPr="00432ABC">
        <w:rPr>
          <w:rFonts w:ascii="Verdana" w:hAnsi="Verdana"/>
          <w:sz w:val="16"/>
          <w:szCs w:val="16"/>
          <w:highlight w:val="lightGray"/>
        </w:rPr>
        <w:t xml:space="preserve"> </w:t>
      </w:r>
    </w:p>
  </w:footnote>
  <w:footnote w:id="306">
    <w:p w14:paraId="64AA6260" w14:textId="4C5AD6B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5 de diciembre de 2014 suscrito por el magistrado del 3</w:t>
      </w:r>
      <w:r w:rsidRPr="00432ABC">
        <w:rPr>
          <w:rFonts w:ascii="Verdana" w:hAnsi="Verdana"/>
          <w:sz w:val="16"/>
          <w:szCs w:val="16"/>
        </w:rPr>
        <w:t>ºTU/17ºC – Chihuahua (expediente de prueba, prueba para mejor resolver remitida por el Estado, f. 32526).</w:t>
      </w:r>
      <w:r w:rsidRPr="00432ABC">
        <w:rPr>
          <w:rFonts w:ascii="Verdana" w:hAnsi="Verdana"/>
          <w:sz w:val="16"/>
          <w:szCs w:val="16"/>
          <w:highlight w:val="lightGray"/>
        </w:rPr>
        <w:t xml:space="preserve"> </w:t>
      </w:r>
    </w:p>
  </w:footnote>
  <w:footnote w:id="307">
    <w:p w14:paraId="64AA6261" w14:textId="510D1F7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Resolución del Juicio de Amparo Indirecto 21/2014 de 31 de diciembre de 2014 emitida por el magistrado del 3ºTU/17ºC – Chihuahua</w:t>
      </w:r>
      <w:r>
        <w:rPr>
          <w:rFonts w:ascii="Verdana" w:hAnsi="Verdana"/>
          <w:sz w:val="16"/>
          <w:szCs w:val="16"/>
        </w:rPr>
        <w:t xml:space="preserve"> (expediente de prueba, </w:t>
      </w:r>
      <w:r w:rsidRPr="00432ABC">
        <w:rPr>
          <w:rFonts w:ascii="Verdana" w:hAnsi="Verdana"/>
          <w:sz w:val="16"/>
          <w:szCs w:val="16"/>
        </w:rPr>
        <w:t>ff. 1246 a 137</w:t>
      </w:r>
      <w:r>
        <w:rPr>
          <w:rFonts w:ascii="Verdana" w:hAnsi="Verdana"/>
          <w:sz w:val="16"/>
          <w:szCs w:val="16"/>
        </w:rPr>
        <w:t>5)</w:t>
      </w:r>
      <w:r w:rsidRPr="00432ABC">
        <w:rPr>
          <w:rFonts w:ascii="Verdana" w:hAnsi="Verdana"/>
          <w:sz w:val="16"/>
          <w:szCs w:val="16"/>
        </w:rPr>
        <w:t xml:space="preserve">. </w:t>
      </w:r>
    </w:p>
  </w:footnote>
  <w:footnote w:id="308">
    <w:p w14:paraId="29EBFD3E" w14:textId="0D83EF2F" w:rsidR="00146958" w:rsidRPr="00432ABC" w:rsidRDefault="00146958">
      <w:pPr>
        <w:autoSpaceDE w:val="0"/>
        <w:autoSpaceDN w:val="0"/>
        <w:adjustRightInd w:val="0"/>
        <w:spacing w:after="0" w:line="240" w:lineRule="auto"/>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Acuerdo de 21 de enero de 2015 suscrito por el </w:t>
      </w:r>
      <w:r w:rsidRPr="00432ABC">
        <w:rPr>
          <w:rFonts w:ascii="Verdana" w:eastAsiaTheme="minorHAnsi" w:hAnsi="Verdana" w:cs="Arial"/>
          <w:sz w:val="16"/>
          <w:szCs w:val="16"/>
        </w:rPr>
        <w:t>Secretario del 3ºTU/17ºC – Chihuahua, Encargado del Despacho</w:t>
      </w:r>
      <w:r w:rsidRPr="00432ABC">
        <w:rPr>
          <w:rFonts w:ascii="Verdana" w:hAnsi="Verdana"/>
          <w:sz w:val="16"/>
          <w:szCs w:val="16"/>
        </w:rPr>
        <w:t xml:space="preserve"> (expediente de prueba, prueba para mejor resolver remitida por el Estado, ff. 32750 a 32751).</w:t>
      </w:r>
    </w:p>
  </w:footnote>
  <w:footnote w:id="309">
    <w:p w14:paraId="64AA6263" w14:textId="356BD5C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Sentencia de 9 de junio </w:t>
      </w:r>
      <w:r w:rsidRPr="00432ABC">
        <w:rPr>
          <w:rFonts w:ascii="Verdana" w:hAnsi="Verdana"/>
          <w:sz w:val="16"/>
          <w:szCs w:val="16"/>
        </w:rPr>
        <w:t>de 2016, correspondiente al toca 80/2015 (expediente de prueba, prueba para mejor resolver remitida por el Estado, ff. 32840 a 32842).</w:t>
      </w:r>
    </w:p>
  </w:footnote>
  <w:footnote w:id="310">
    <w:p w14:paraId="6C528991" w14:textId="73C4AB2B" w:rsidR="00146958" w:rsidRPr="00432ABC" w:rsidRDefault="00146958">
      <w:pPr>
        <w:autoSpaceDE w:val="0"/>
        <w:autoSpaceDN w:val="0"/>
        <w:adjustRightInd w:val="0"/>
        <w:spacing w:after="0" w:line="240" w:lineRule="auto"/>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Resolución de 7 de octubre de 2016 emitida por la </w:t>
      </w:r>
      <w:r>
        <w:rPr>
          <w:rFonts w:ascii="Verdana" w:hAnsi="Verdana"/>
          <w:sz w:val="16"/>
          <w:szCs w:val="16"/>
        </w:rPr>
        <w:t>M</w:t>
      </w:r>
      <w:r w:rsidRPr="00432ABC">
        <w:rPr>
          <w:rFonts w:ascii="Verdana" w:hAnsi="Verdana"/>
          <w:sz w:val="16"/>
          <w:szCs w:val="16"/>
        </w:rPr>
        <w:t xml:space="preserve">agistrada del 4ºTU/17ºC – Chihuahua, </w:t>
      </w:r>
      <w:r w:rsidRPr="00432ABC">
        <w:rPr>
          <w:rFonts w:ascii="Verdana" w:eastAsiaTheme="minorHAnsi" w:hAnsi="Verdana" w:cs="Arial"/>
          <w:sz w:val="16"/>
          <w:szCs w:val="16"/>
        </w:rPr>
        <w:t>en cumplimiento a la sentencia del Tribunal</w:t>
      </w:r>
      <w:r w:rsidRPr="00432ABC">
        <w:rPr>
          <w:rFonts w:ascii="Verdana" w:hAnsi="Verdana"/>
          <w:sz w:val="16"/>
          <w:szCs w:val="16"/>
        </w:rPr>
        <w:t xml:space="preserve"> Colegiado de Circuito </w:t>
      </w:r>
      <w:r w:rsidRPr="00432ABC">
        <w:rPr>
          <w:rFonts w:ascii="Verdana" w:hAnsi="Verdana" w:cs="Cambria"/>
          <w:sz w:val="16"/>
          <w:szCs w:val="16"/>
        </w:rPr>
        <w:t>del Decimoséptimo Circuito en Chihuahua</w:t>
      </w:r>
      <w:r w:rsidRPr="00432ABC">
        <w:rPr>
          <w:rFonts w:ascii="Verdana" w:hAnsi="Verdana"/>
          <w:sz w:val="16"/>
          <w:szCs w:val="16"/>
        </w:rPr>
        <w:t xml:space="preserve"> el 9 de junio de 2016 (expediente de prueba, prueba para mejor resolver remitida por el Estado, ff. 33140 a 33141).</w:t>
      </w:r>
    </w:p>
  </w:footnote>
  <w:footnote w:id="311">
    <w:p w14:paraId="34C30A62" w14:textId="7DA3A350" w:rsidR="00146958" w:rsidRPr="00DB378B" w:rsidRDefault="00146958">
      <w:pPr>
        <w:pStyle w:val="Textonotapie"/>
        <w:jc w:val="both"/>
        <w:rPr>
          <w:rFonts w:ascii="Verdana" w:hAnsi="Verdana"/>
        </w:rPr>
      </w:pPr>
      <w:r w:rsidRPr="00432ABC">
        <w:rPr>
          <w:rStyle w:val="Refdenotaalpie"/>
          <w:rFonts w:ascii="Verdana" w:hAnsi="Verdana"/>
          <w:sz w:val="16"/>
          <w:szCs w:val="16"/>
        </w:rPr>
        <w:footnoteRef/>
      </w:r>
      <w:r w:rsidRPr="00DB378B">
        <w:rPr>
          <w:rFonts w:ascii="Verdana" w:hAnsi="Verdana"/>
        </w:rPr>
        <w:t xml:space="preserve"> </w:t>
      </w:r>
      <w:r w:rsidRPr="00DB378B">
        <w:rPr>
          <w:rFonts w:ascii="Verdana" w:hAnsi="Verdana"/>
        </w:rPr>
        <w:tab/>
      </w:r>
      <w:r w:rsidRPr="00CD5C54">
        <w:rPr>
          <w:rFonts w:ascii="Verdana" w:hAnsi="Verdana"/>
          <w:i/>
          <w:sz w:val="16"/>
          <w:szCs w:val="16"/>
        </w:rPr>
        <w:t>Cfr.</w:t>
      </w:r>
      <w:r w:rsidRPr="002C462C">
        <w:rPr>
          <w:rFonts w:ascii="Verdana" w:hAnsi="Verdana"/>
          <w:sz w:val="16"/>
          <w:szCs w:val="16"/>
        </w:rPr>
        <w:t xml:space="preserve"> Acuerdo de 7 de noviembre de 2016 suscrito por el magistrado del 3ºTU/17ºC – Chihuahua (expediente de prueba, prueba para mejor resolver remitida por el Estado, f. 33294).</w:t>
      </w:r>
    </w:p>
  </w:footnote>
  <w:footnote w:id="312">
    <w:p w14:paraId="64AA6264" w14:textId="3A788AB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Según</w:t>
      </w:r>
      <w:r w:rsidRPr="002C462C">
        <w:rPr>
          <w:rFonts w:ascii="Verdana" w:hAnsi="Verdana"/>
          <w:sz w:val="16"/>
          <w:szCs w:val="16"/>
        </w:rPr>
        <w:t xml:space="preserve"> informó el Estado en su escrito de contestación, el término “desglose” </w:t>
      </w:r>
      <w:r w:rsidRPr="00432ABC">
        <w:rPr>
          <w:rFonts w:ascii="Verdana" w:hAnsi="Verdana" w:cs="Cambria"/>
          <w:sz w:val="16"/>
          <w:szCs w:val="16"/>
        </w:rPr>
        <w:t>corresponde a una separación de actuaciones para que una autoridad distinta a la que lleva el expediente conozca de determinado hecho que la ley señala como delito y diferente al que se está investigando en el expediente principal, por tratarse de un delito de la competencia de la autoridad a quien se le desglosan las actuaciones” (expediente de fondo, f. 444, párr. 453).</w:t>
      </w:r>
    </w:p>
  </w:footnote>
  <w:footnote w:id="313">
    <w:p w14:paraId="64AA6265" w14:textId="4523F2C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Pliego de consignación sin detenido de 31 de marzo de 2014 suscrito p</w:t>
      </w:r>
      <w:r w:rsidRPr="00432ABC">
        <w:rPr>
          <w:rFonts w:ascii="Verdana" w:hAnsi="Verdana"/>
          <w:sz w:val="16"/>
          <w:szCs w:val="16"/>
        </w:rPr>
        <w:t xml:space="preserve">or el AMPF5ªM – UEBDP, </w:t>
      </w:r>
      <w:r w:rsidRPr="00432ABC">
        <w:rPr>
          <w:rFonts w:ascii="Verdana" w:hAnsi="Verdana"/>
          <w:i/>
          <w:sz w:val="16"/>
          <w:szCs w:val="16"/>
        </w:rPr>
        <w:t xml:space="preserve">supra, </w:t>
      </w:r>
      <w:r w:rsidRPr="00432ABC">
        <w:rPr>
          <w:rFonts w:ascii="Verdana" w:hAnsi="Verdana"/>
          <w:sz w:val="16"/>
          <w:szCs w:val="16"/>
        </w:rPr>
        <w:t xml:space="preserve">ff. 17120 a 17121. Resolutivo Cuarto; Acuerdo de inicio de </w:t>
      </w:r>
      <w:r>
        <w:rPr>
          <w:rFonts w:ascii="Verdana" w:hAnsi="Verdana"/>
          <w:sz w:val="16"/>
          <w:szCs w:val="16"/>
        </w:rPr>
        <w:t>a</w:t>
      </w:r>
      <w:r w:rsidRPr="00432ABC">
        <w:rPr>
          <w:rFonts w:ascii="Verdana" w:hAnsi="Verdana"/>
          <w:sz w:val="16"/>
          <w:szCs w:val="16"/>
        </w:rPr>
        <w:t xml:space="preserve">veriguación </w:t>
      </w:r>
      <w:r>
        <w:rPr>
          <w:rFonts w:ascii="Verdana" w:hAnsi="Verdana"/>
          <w:sz w:val="16"/>
          <w:szCs w:val="16"/>
        </w:rPr>
        <w:t>p</w:t>
      </w:r>
      <w:r w:rsidRPr="00432ABC">
        <w:rPr>
          <w:rFonts w:ascii="Verdana" w:hAnsi="Verdana"/>
          <w:sz w:val="16"/>
          <w:szCs w:val="16"/>
        </w:rPr>
        <w:t xml:space="preserve">revia </w:t>
      </w:r>
      <w:r>
        <w:rPr>
          <w:rFonts w:ascii="Verdana" w:hAnsi="Verdana"/>
          <w:sz w:val="16"/>
          <w:szCs w:val="16"/>
        </w:rPr>
        <w:t>50</w:t>
      </w:r>
      <w:r w:rsidRPr="00432ABC">
        <w:rPr>
          <w:rFonts w:ascii="Verdana" w:hAnsi="Verdana"/>
          <w:sz w:val="16"/>
          <w:szCs w:val="16"/>
        </w:rPr>
        <w:t xml:space="preserve">/2013 </w:t>
      </w:r>
      <w:r w:rsidRPr="00432ABC">
        <w:rPr>
          <w:rFonts w:ascii="Verdana" w:hAnsi="Verdana" w:cs="Cambria"/>
          <w:sz w:val="16"/>
          <w:szCs w:val="16"/>
        </w:rPr>
        <w:t xml:space="preserve">de </w:t>
      </w:r>
      <w:r>
        <w:rPr>
          <w:rFonts w:ascii="Verdana" w:hAnsi="Verdana" w:cs="Cambria"/>
          <w:sz w:val="16"/>
          <w:szCs w:val="16"/>
        </w:rPr>
        <w:t>1</w:t>
      </w:r>
      <w:r w:rsidRPr="00432ABC">
        <w:rPr>
          <w:rFonts w:ascii="Verdana" w:hAnsi="Verdana" w:cs="Cambria"/>
          <w:sz w:val="16"/>
          <w:szCs w:val="16"/>
        </w:rPr>
        <w:t xml:space="preserve"> de abril de 201</w:t>
      </w:r>
      <w:r>
        <w:rPr>
          <w:rFonts w:ascii="Verdana" w:hAnsi="Verdana" w:cs="Cambria"/>
          <w:sz w:val="16"/>
          <w:szCs w:val="16"/>
        </w:rPr>
        <w:t>4</w:t>
      </w:r>
      <w:r w:rsidRPr="00432ABC">
        <w:rPr>
          <w:rFonts w:ascii="Verdana" w:hAnsi="Verdana" w:cs="Cambria"/>
          <w:sz w:val="16"/>
          <w:szCs w:val="16"/>
        </w:rPr>
        <w:t xml:space="preserve">, </w:t>
      </w:r>
      <w:r w:rsidRPr="00432ABC">
        <w:rPr>
          <w:rFonts w:ascii="Verdana" w:hAnsi="Verdana"/>
          <w:sz w:val="16"/>
          <w:szCs w:val="16"/>
        </w:rPr>
        <w:t>ff. 4487 a 449</w:t>
      </w:r>
      <w:r>
        <w:rPr>
          <w:rFonts w:ascii="Verdana" w:hAnsi="Verdana"/>
          <w:sz w:val="16"/>
          <w:szCs w:val="16"/>
        </w:rPr>
        <w:t>0</w:t>
      </w:r>
      <w:r w:rsidRPr="00432ABC">
        <w:rPr>
          <w:rFonts w:ascii="Verdana" w:hAnsi="Verdana"/>
          <w:sz w:val="16"/>
          <w:szCs w:val="16"/>
        </w:rPr>
        <w:t xml:space="preserve"> y </w:t>
      </w:r>
      <w:r>
        <w:rPr>
          <w:rFonts w:ascii="Verdana" w:hAnsi="Verdana"/>
          <w:sz w:val="16"/>
          <w:szCs w:val="16"/>
        </w:rPr>
        <w:t>O</w:t>
      </w:r>
      <w:r w:rsidRPr="00432ABC">
        <w:rPr>
          <w:rFonts w:ascii="Verdana" w:hAnsi="Verdana"/>
          <w:sz w:val="16"/>
          <w:szCs w:val="16"/>
        </w:rPr>
        <w:t xml:space="preserve">ficio de 1 de abril de 2013 del </w:t>
      </w:r>
      <w:r w:rsidRPr="00432ABC">
        <w:rPr>
          <w:rFonts w:ascii="Verdana" w:hAnsi="Verdana" w:cs="Cambria"/>
          <w:sz w:val="16"/>
          <w:szCs w:val="16"/>
        </w:rPr>
        <w:t>AMPF5ªM – UEBDP</w:t>
      </w:r>
      <w:r w:rsidRPr="00432ABC">
        <w:rPr>
          <w:rFonts w:ascii="Verdana" w:hAnsi="Verdana"/>
          <w:sz w:val="16"/>
          <w:szCs w:val="16"/>
        </w:rPr>
        <w:t xml:space="preserve"> (expediente de prueba, ff. 1377).</w:t>
      </w:r>
    </w:p>
  </w:footnote>
  <w:footnote w:id="314">
    <w:p w14:paraId="64AA6266" w14:textId="414842F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de 1 de abril de 201</w:t>
      </w:r>
      <w:r>
        <w:rPr>
          <w:rFonts w:ascii="Verdana" w:hAnsi="Verdana"/>
          <w:sz w:val="16"/>
          <w:szCs w:val="16"/>
        </w:rPr>
        <w:t>[</w:t>
      </w:r>
      <w:r w:rsidRPr="002C462C">
        <w:rPr>
          <w:rFonts w:ascii="Verdana" w:hAnsi="Verdana"/>
          <w:sz w:val="16"/>
          <w:szCs w:val="16"/>
        </w:rPr>
        <w:t>4</w:t>
      </w:r>
      <w:r>
        <w:rPr>
          <w:rFonts w:ascii="Verdana" w:hAnsi="Verdana"/>
          <w:sz w:val="16"/>
          <w:szCs w:val="16"/>
        </w:rPr>
        <w:t>]</w:t>
      </w:r>
      <w:r w:rsidRPr="002C462C">
        <w:rPr>
          <w:rFonts w:ascii="Verdana" w:hAnsi="Verdana"/>
          <w:sz w:val="16"/>
          <w:szCs w:val="16"/>
        </w:rPr>
        <w:t xml:space="preserve"> suscrito por el AMPF Titular de la Mesa V de la UEBDP – PGR, dirigido al titular de la UEBDP –PGR (expediente de prueba, </w:t>
      </w:r>
      <w:r>
        <w:rPr>
          <w:rFonts w:ascii="Verdana" w:hAnsi="Verdana"/>
          <w:sz w:val="16"/>
          <w:szCs w:val="16"/>
        </w:rPr>
        <w:t>e</w:t>
      </w:r>
      <w:r w:rsidRPr="002C462C">
        <w:rPr>
          <w:rFonts w:ascii="Verdana" w:hAnsi="Verdana"/>
          <w:sz w:val="16"/>
          <w:szCs w:val="16"/>
        </w:rPr>
        <w:t xml:space="preserve">xpediente penal, f. 17166), y </w:t>
      </w:r>
      <w:r>
        <w:rPr>
          <w:rFonts w:ascii="Verdana" w:hAnsi="Verdana"/>
          <w:sz w:val="16"/>
          <w:szCs w:val="16"/>
        </w:rPr>
        <w:t>a</w:t>
      </w:r>
      <w:r w:rsidRPr="002C462C">
        <w:rPr>
          <w:rFonts w:ascii="Verdana" w:hAnsi="Verdana"/>
          <w:sz w:val="16"/>
          <w:szCs w:val="16"/>
        </w:rPr>
        <w:t xml:space="preserve">cuerdo de inicio de </w:t>
      </w:r>
      <w:r>
        <w:rPr>
          <w:rFonts w:ascii="Verdana" w:hAnsi="Verdana"/>
          <w:sz w:val="16"/>
          <w:szCs w:val="16"/>
        </w:rPr>
        <w:t>a</w:t>
      </w:r>
      <w:r w:rsidRPr="002C462C">
        <w:rPr>
          <w:rFonts w:ascii="Verdana" w:hAnsi="Verdana"/>
          <w:sz w:val="16"/>
          <w:szCs w:val="16"/>
        </w:rPr>
        <w:t>verigu</w:t>
      </w:r>
      <w:r w:rsidRPr="00432ABC">
        <w:rPr>
          <w:rFonts w:ascii="Verdana" w:hAnsi="Verdana"/>
          <w:sz w:val="16"/>
          <w:szCs w:val="16"/>
        </w:rPr>
        <w:t xml:space="preserve">ación </w:t>
      </w:r>
      <w:r>
        <w:rPr>
          <w:rFonts w:ascii="Verdana" w:hAnsi="Verdana"/>
          <w:sz w:val="16"/>
          <w:szCs w:val="16"/>
        </w:rPr>
        <w:t>p</w:t>
      </w:r>
      <w:r w:rsidRPr="00432ABC">
        <w:rPr>
          <w:rFonts w:ascii="Verdana" w:hAnsi="Verdana"/>
          <w:sz w:val="16"/>
          <w:szCs w:val="16"/>
        </w:rPr>
        <w:t xml:space="preserve">revia 66/2013 de 4 de abril de 2013, </w:t>
      </w:r>
      <w:r w:rsidRPr="00432ABC">
        <w:rPr>
          <w:rFonts w:ascii="Verdana" w:hAnsi="Verdana"/>
          <w:i/>
          <w:sz w:val="16"/>
          <w:szCs w:val="16"/>
        </w:rPr>
        <w:t xml:space="preserve">supra </w:t>
      </w:r>
      <w:r w:rsidRPr="00432ABC">
        <w:rPr>
          <w:rFonts w:ascii="Verdana" w:hAnsi="Verdana"/>
          <w:sz w:val="16"/>
          <w:szCs w:val="16"/>
        </w:rPr>
        <w:t>ff. 4491 a 4494.</w:t>
      </w:r>
    </w:p>
  </w:footnote>
  <w:footnote w:id="315">
    <w:p w14:paraId="64AA6267" w14:textId="49AC8AA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inspección ministerial de 14 de mayo de 2014 (expediente de prueba, expediente penal, ff. 17321 a 17327). Derivado de dicha inspección ministerial, la PGR reci</w:t>
      </w:r>
      <w:r w:rsidRPr="00432ABC">
        <w:rPr>
          <w:rFonts w:ascii="Verdana" w:hAnsi="Verdana"/>
          <w:sz w:val="16"/>
          <w:szCs w:val="16"/>
        </w:rPr>
        <w:t xml:space="preserve">bió el 26 de mayo de 2014 los siguientes peritajes: a) dictamen en materia de fotografía forense; b) dictamen en materia de criminalística de campo; y c) dictamen en la especialidad de medicina forense (expediente de prueba, </w:t>
      </w:r>
      <w:r>
        <w:rPr>
          <w:rFonts w:ascii="Verdana" w:hAnsi="Verdana"/>
          <w:sz w:val="16"/>
          <w:szCs w:val="16"/>
        </w:rPr>
        <w:t>e</w:t>
      </w:r>
      <w:r w:rsidRPr="00432ABC">
        <w:rPr>
          <w:rFonts w:ascii="Verdana" w:hAnsi="Verdana"/>
          <w:sz w:val="16"/>
          <w:szCs w:val="16"/>
        </w:rPr>
        <w:t xml:space="preserve">xpediente judicial, ff. 19162 a 19333). El </w:t>
      </w:r>
      <w:r>
        <w:rPr>
          <w:rFonts w:ascii="Verdana" w:hAnsi="Verdana"/>
          <w:sz w:val="16"/>
          <w:szCs w:val="16"/>
        </w:rPr>
        <w:t>30</w:t>
      </w:r>
      <w:r w:rsidRPr="00432ABC">
        <w:rPr>
          <w:rFonts w:ascii="Verdana" w:hAnsi="Verdana"/>
          <w:sz w:val="16"/>
          <w:szCs w:val="16"/>
        </w:rPr>
        <w:t xml:space="preserve"> de junio de 2014, se recibió el dictamen antropológico (ff. 19419 a 19475) y el 9 de octubre siguiente el correspondiente al de materia genética, en el que se determinó que no existió coincidencia con los perfiles genéticos de los familiares de las víctimas (ff. 1975</w:t>
      </w:r>
      <w:r>
        <w:rPr>
          <w:rFonts w:ascii="Verdana" w:hAnsi="Verdana"/>
          <w:sz w:val="16"/>
          <w:szCs w:val="16"/>
        </w:rPr>
        <w:t>5</w:t>
      </w:r>
      <w:r w:rsidRPr="00432ABC">
        <w:rPr>
          <w:rFonts w:ascii="Verdana" w:hAnsi="Verdana"/>
          <w:sz w:val="16"/>
          <w:szCs w:val="16"/>
        </w:rPr>
        <w:t xml:space="preserve"> a 19769).</w:t>
      </w:r>
    </w:p>
  </w:footnote>
  <w:footnote w:id="316">
    <w:p w14:paraId="64AA6268" w14:textId="0F257C5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PF/SG/CSG/DGRH/DRLO/5257/2014 de 14 de octubre de 2014 del Director de Relaciones Laborales de la Policía Federal, dirigido a la DARJMI - SEGOB  (expediente de prueba, </w:t>
      </w:r>
      <w:r>
        <w:rPr>
          <w:rFonts w:ascii="Verdana" w:hAnsi="Verdana"/>
          <w:sz w:val="16"/>
          <w:szCs w:val="16"/>
        </w:rPr>
        <w:t>e</w:t>
      </w:r>
      <w:r w:rsidRPr="002C462C">
        <w:rPr>
          <w:rFonts w:ascii="Verdana" w:hAnsi="Verdana"/>
          <w:sz w:val="16"/>
          <w:szCs w:val="16"/>
        </w:rPr>
        <w:t xml:space="preserve">xpediente penal, </w:t>
      </w:r>
      <w:r w:rsidRPr="00432ABC">
        <w:rPr>
          <w:rFonts w:ascii="Verdana" w:hAnsi="Verdana"/>
          <w:sz w:val="16"/>
          <w:szCs w:val="16"/>
        </w:rPr>
        <w:t xml:space="preserve">ff. 20763 a 20765); </w:t>
      </w:r>
      <w:r>
        <w:rPr>
          <w:rFonts w:ascii="Verdana" w:hAnsi="Verdana"/>
          <w:sz w:val="16"/>
          <w:szCs w:val="16"/>
        </w:rPr>
        <w:t>O</w:t>
      </w:r>
      <w:r w:rsidRPr="00432ABC">
        <w:rPr>
          <w:rFonts w:ascii="Verdana" w:hAnsi="Verdana"/>
          <w:sz w:val="16"/>
          <w:szCs w:val="16"/>
        </w:rPr>
        <w:t xml:space="preserve">ficio No. PF/DGAJ/DGAAP/DARJMI/7023/2014 de 20 de octubre de 2014 suscrito por la DARJMI - SEGOB, dirigido al AMPF5ªM – UEBDP (expediente de prueba, expediente penal, f. 20762), y </w:t>
      </w:r>
      <w:r>
        <w:rPr>
          <w:rFonts w:ascii="Verdana" w:hAnsi="Verdana"/>
          <w:sz w:val="16"/>
          <w:szCs w:val="16"/>
        </w:rPr>
        <w:t>c</w:t>
      </w:r>
      <w:r w:rsidRPr="00432ABC">
        <w:rPr>
          <w:rFonts w:ascii="Verdana" w:hAnsi="Verdana"/>
          <w:sz w:val="16"/>
          <w:szCs w:val="16"/>
        </w:rPr>
        <w:t xml:space="preserve">onstancia ministerial de 21 de octubre de 2014 del AMPF5ªM – UEBDP (expediente de prueba, </w:t>
      </w:r>
      <w:r>
        <w:rPr>
          <w:rFonts w:ascii="Verdana" w:hAnsi="Verdana"/>
          <w:sz w:val="16"/>
          <w:szCs w:val="16"/>
        </w:rPr>
        <w:t>e</w:t>
      </w:r>
      <w:r w:rsidRPr="00432ABC">
        <w:rPr>
          <w:rFonts w:ascii="Verdana" w:hAnsi="Verdana"/>
          <w:sz w:val="16"/>
          <w:szCs w:val="16"/>
        </w:rPr>
        <w:t>xpediente penal, f. 20761).</w:t>
      </w:r>
    </w:p>
  </w:footnote>
  <w:footnote w:id="317">
    <w:p w14:paraId="64AA6269" w14:textId="2C20948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PF/SG/CSG/DGRH/DRLO/6403/2014 de 6 de noviembre de 2014 del Director de Relaciones Laborales de la Policía Federal, dirigido a la DARJMI - S</w:t>
      </w:r>
      <w:r w:rsidRPr="00432ABC">
        <w:rPr>
          <w:rFonts w:ascii="Verdana" w:hAnsi="Verdana"/>
          <w:sz w:val="16"/>
          <w:szCs w:val="16"/>
        </w:rPr>
        <w:t xml:space="preserve">EGOB (expediente de prueba, </w:t>
      </w:r>
      <w:r>
        <w:rPr>
          <w:rFonts w:ascii="Verdana" w:hAnsi="Verdana"/>
          <w:sz w:val="16"/>
          <w:szCs w:val="16"/>
        </w:rPr>
        <w:t>e</w:t>
      </w:r>
      <w:r w:rsidRPr="00432ABC">
        <w:rPr>
          <w:rFonts w:ascii="Verdana" w:hAnsi="Verdana"/>
          <w:sz w:val="16"/>
          <w:szCs w:val="16"/>
        </w:rPr>
        <w:t xml:space="preserve">xpediente penal, f. 20912); </w:t>
      </w:r>
      <w:r>
        <w:rPr>
          <w:rFonts w:ascii="Verdana" w:hAnsi="Verdana"/>
          <w:sz w:val="16"/>
          <w:szCs w:val="16"/>
        </w:rPr>
        <w:t>O</w:t>
      </w:r>
      <w:r w:rsidRPr="00432ABC">
        <w:rPr>
          <w:rFonts w:ascii="Verdana" w:hAnsi="Verdana"/>
          <w:sz w:val="16"/>
          <w:szCs w:val="16"/>
        </w:rPr>
        <w:t xml:space="preserve">ficio No. PF/DGAJ/DGAAP/DARJMI/7507/2014 de 11 de noviembre de 2014 de la </w:t>
      </w:r>
      <w:r w:rsidRPr="00432ABC">
        <w:rPr>
          <w:rFonts w:ascii="Verdana" w:hAnsi="Verdana" w:cs="Arial"/>
          <w:sz w:val="16"/>
          <w:szCs w:val="16"/>
        </w:rPr>
        <w:t>DARJMI - SEGOB</w:t>
      </w:r>
      <w:r w:rsidRPr="00432ABC">
        <w:rPr>
          <w:rFonts w:ascii="Verdana" w:hAnsi="Verdana"/>
          <w:sz w:val="16"/>
          <w:szCs w:val="16"/>
        </w:rPr>
        <w:t xml:space="preserve"> dirigido al AMPF5ªM – UEBDP (expediente de prueba, expediente penal, f. 20911), y</w:t>
      </w:r>
      <w:r w:rsidRPr="00432ABC" w:rsidDel="00245526">
        <w:rPr>
          <w:rFonts w:ascii="Verdana" w:hAnsi="Verdana"/>
          <w:sz w:val="16"/>
          <w:szCs w:val="16"/>
        </w:rPr>
        <w:t xml:space="preserve"> </w:t>
      </w:r>
      <w:r>
        <w:rPr>
          <w:rFonts w:ascii="Verdana" w:hAnsi="Verdana"/>
          <w:sz w:val="16"/>
          <w:szCs w:val="16"/>
        </w:rPr>
        <w:t>a</w:t>
      </w:r>
      <w:r w:rsidRPr="00432ABC">
        <w:rPr>
          <w:rFonts w:ascii="Verdana" w:hAnsi="Verdana"/>
          <w:sz w:val="16"/>
          <w:szCs w:val="16"/>
        </w:rPr>
        <w:t xml:space="preserve">cuerdo ministerial de 18 de noviembre del AMPF5ªM – UEBDP (expediente de prueba, </w:t>
      </w:r>
      <w:r>
        <w:rPr>
          <w:rFonts w:ascii="Verdana" w:hAnsi="Verdana"/>
          <w:sz w:val="16"/>
          <w:szCs w:val="16"/>
        </w:rPr>
        <w:t>e</w:t>
      </w:r>
      <w:r w:rsidRPr="00432ABC">
        <w:rPr>
          <w:rFonts w:ascii="Verdana" w:hAnsi="Verdana"/>
          <w:sz w:val="16"/>
          <w:szCs w:val="16"/>
        </w:rPr>
        <w:t xml:space="preserve">xpediente penal, f. 20910). </w:t>
      </w:r>
    </w:p>
  </w:footnote>
  <w:footnote w:id="318">
    <w:p w14:paraId="64AA626A" w14:textId="5B0C029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inspección ministerial de 4 de diciembre de 2014 (expediente de prueba, ff. 28182 </w:t>
      </w:r>
      <w:r w:rsidRPr="00432ABC">
        <w:rPr>
          <w:rFonts w:ascii="Verdana" w:hAnsi="Verdana"/>
          <w:sz w:val="16"/>
          <w:szCs w:val="16"/>
        </w:rPr>
        <w:t>a 2818</w:t>
      </w:r>
      <w:r>
        <w:rPr>
          <w:rFonts w:ascii="Verdana" w:hAnsi="Verdana"/>
          <w:sz w:val="16"/>
          <w:szCs w:val="16"/>
        </w:rPr>
        <w:t>4</w:t>
      </w:r>
      <w:r w:rsidRPr="00432ABC">
        <w:rPr>
          <w:rFonts w:ascii="Verdana" w:hAnsi="Verdana"/>
          <w:sz w:val="16"/>
          <w:szCs w:val="16"/>
        </w:rPr>
        <w:t>).</w:t>
      </w:r>
    </w:p>
  </w:footnote>
  <w:footnote w:id="319">
    <w:p w14:paraId="64AA626B" w14:textId="3D29BD5D"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inspección ministerial de 4 de marzo de 2015 (expediente de prueba, ff. 1402 a 1414).</w:t>
      </w:r>
    </w:p>
  </w:footnote>
  <w:footnote w:id="320">
    <w:p w14:paraId="64AA626C" w14:textId="47EA2B7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inspección ministerial de 26 de marzo de 2015 (expediente de prueba, </w:t>
      </w:r>
      <w:r>
        <w:rPr>
          <w:rFonts w:ascii="Verdana" w:hAnsi="Verdana"/>
          <w:sz w:val="16"/>
          <w:szCs w:val="16"/>
        </w:rPr>
        <w:t>e</w:t>
      </w:r>
      <w:r w:rsidRPr="002C462C">
        <w:rPr>
          <w:rFonts w:ascii="Verdana" w:hAnsi="Verdana"/>
          <w:sz w:val="16"/>
          <w:szCs w:val="16"/>
        </w:rPr>
        <w:t xml:space="preserve">xpediente penal, </w:t>
      </w:r>
      <w:r w:rsidRPr="00432ABC">
        <w:rPr>
          <w:rFonts w:ascii="Verdana" w:hAnsi="Verdana"/>
          <w:sz w:val="16"/>
          <w:szCs w:val="16"/>
        </w:rPr>
        <w:t>ff. 22948 a 22950).</w:t>
      </w:r>
    </w:p>
  </w:footnote>
  <w:footnote w:id="321">
    <w:p w14:paraId="64AA626D" w14:textId="78EE3D2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ministerial de 12 de febrero de 2015 del AMPF5ªM – UEBDP (expediente de prueba, </w:t>
      </w:r>
      <w:r>
        <w:rPr>
          <w:rFonts w:ascii="Verdana" w:hAnsi="Verdana"/>
          <w:sz w:val="16"/>
          <w:szCs w:val="16"/>
        </w:rPr>
        <w:t>e</w:t>
      </w:r>
      <w:r w:rsidRPr="002C462C">
        <w:rPr>
          <w:rFonts w:ascii="Verdana" w:hAnsi="Verdana"/>
          <w:sz w:val="16"/>
          <w:szCs w:val="16"/>
        </w:rPr>
        <w:t xml:space="preserve">xpediente penal, f. 22309); </w:t>
      </w:r>
      <w:r>
        <w:rPr>
          <w:rFonts w:ascii="Verdana" w:hAnsi="Verdana"/>
          <w:sz w:val="16"/>
          <w:szCs w:val="16"/>
        </w:rPr>
        <w:t>O</w:t>
      </w:r>
      <w:r w:rsidRPr="002C462C">
        <w:rPr>
          <w:rFonts w:ascii="Verdana" w:hAnsi="Verdana"/>
          <w:sz w:val="16"/>
          <w:szCs w:val="16"/>
        </w:rPr>
        <w:t>ficio de colaboración s/n dirigido a la DARJMI - SEGOB</w:t>
      </w:r>
      <w:r w:rsidRPr="00432ABC" w:rsidDel="00770C50">
        <w:rPr>
          <w:rFonts w:ascii="Verdana" w:hAnsi="Verdana"/>
          <w:sz w:val="16"/>
          <w:szCs w:val="16"/>
        </w:rPr>
        <w:t xml:space="preserve"> </w:t>
      </w:r>
      <w:r w:rsidRPr="00432ABC">
        <w:rPr>
          <w:rFonts w:ascii="Verdana" w:hAnsi="Verdana"/>
          <w:sz w:val="16"/>
          <w:szCs w:val="16"/>
        </w:rPr>
        <w:t xml:space="preserve">(expediente de prueba, </w:t>
      </w:r>
      <w:r>
        <w:rPr>
          <w:rFonts w:ascii="Verdana" w:hAnsi="Verdana"/>
          <w:sz w:val="16"/>
          <w:szCs w:val="16"/>
        </w:rPr>
        <w:t>e</w:t>
      </w:r>
      <w:r w:rsidRPr="00432ABC">
        <w:rPr>
          <w:rFonts w:ascii="Verdana" w:hAnsi="Verdana"/>
          <w:sz w:val="16"/>
          <w:szCs w:val="16"/>
        </w:rPr>
        <w:t>xpediente penal, f. 22311).</w:t>
      </w:r>
    </w:p>
  </w:footnote>
  <w:footnote w:id="322">
    <w:p w14:paraId="64AA626E" w14:textId="7F927BA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Declaraciones rendidas el 12 de marzo de 2015 ante el AMPF5ªM – UEBDP por Gabriel Flores Meza (expediente de prueba, </w:t>
      </w:r>
      <w:r>
        <w:rPr>
          <w:rFonts w:ascii="Verdana" w:hAnsi="Verdana"/>
          <w:sz w:val="16"/>
          <w:szCs w:val="16"/>
        </w:rPr>
        <w:t>e</w:t>
      </w:r>
      <w:r w:rsidRPr="002C462C">
        <w:rPr>
          <w:rFonts w:ascii="Verdana" w:hAnsi="Verdana"/>
          <w:sz w:val="16"/>
          <w:szCs w:val="16"/>
        </w:rPr>
        <w:t xml:space="preserve">xpediente penal, ff. 22878 a 22879), y David Meza Espinoza (expediente de prueba, </w:t>
      </w:r>
      <w:r>
        <w:rPr>
          <w:rFonts w:ascii="Verdana" w:hAnsi="Verdana"/>
          <w:sz w:val="16"/>
          <w:szCs w:val="16"/>
        </w:rPr>
        <w:t>e</w:t>
      </w:r>
      <w:r w:rsidRPr="002C462C">
        <w:rPr>
          <w:rFonts w:ascii="Verdana" w:hAnsi="Verdana"/>
          <w:sz w:val="16"/>
          <w:szCs w:val="16"/>
        </w:rPr>
        <w:t xml:space="preserve">xpediente penal, </w:t>
      </w:r>
      <w:r w:rsidRPr="00432ABC">
        <w:rPr>
          <w:rFonts w:ascii="Verdana" w:hAnsi="Verdana"/>
          <w:sz w:val="16"/>
          <w:szCs w:val="16"/>
        </w:rPr>
        <w:t>ff. 22885 a 22887).</w:t>
      </w:r>
    </w:p>
  </w:footnote>
  <w:footnote w:id="323">
    <w:p w14:paraId="64AA626F" w14:textId="1FF8FE75"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Acta de inspección ministerial de 25 de marzo de 2015 (expediente de prueba, </w:t>
      </w:r>
      <w:r>
        <w:rPr>
          <w:rFonts w:ascii="Verdana" w:hAnsi="Verdana"/>
          <w:sz w:val="16"/>
          <w:szCs w:val="16"/>
        </w:rPr>
        <w:t>e</w:t>
      </w:r>
      <w:r w:rsidRPr="002C462C">
        <w:rPr>
          <w:rFonts w:ascii="Verdana" w:hAnsi="Verdana"/>
          <w:sz w:val="16"/>
          <w:szCs w:val="16"/>
        </w:rPr>
        <w:t>xpediente judicial,</w:t>
      </w:r>
      <w:r>
        <w:rPr>
          <w:rFonts w:ascii="Verdana" w:hAnsi="Verdana"/>
          <w:sz w:val="16"/>
          <w:szCs w:val="16"/>
        </w:rPr>
        <w:t xml:space="preserve"> </w:t>
      </w:r>
      <w:r w:rsidRPr="002C462C">
        <w:rPr>
          <w:rFonts w:ascii="Verdana" w:hAnsi="Verdana"/>
          <w:sz w:val="16"/>
          <w:szCs w:val="16"/>
        </w:rPr>
        <w:t>ff. 22942 a 2294</w:t>
      </w:r>
      <w:r>
        <w:rPr>
          <w:rFonts w:ascii="Verdana" w:hAnsi="Verdana"/>
          <w:sz w:val="16"/>
          <w:szCs w:val="16"/>
        </w:rPr>
        <w:t>7</w:t>
      </w:r>
      <w:r w:rsidRPr="002C462C">
        <w:rPr>
          <w:rFonts w:ascii="Verdana" w:hAnsi="Verdana"/>
          <w:sz w:val="16"/>
          <w:szCs w:val="16"/>
        </w:rPr>
        <w:t>).</w:t>
      </w:r>
    </w:p>
  </w:footnote>
  <w:footnote w:id="324">
    <w:p w14:paraId="64AA6270" w14:textId="63459CB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Demanda de Amparo promovida por José Ángel Alvarado Fabela el 6 de enero de 2010 a</w:t>
      </w:r>
      <w:r w:rsidRPr="00432ABC">
        <w:rPr>
          <w:rFonts w:ascii="Verdana" w:hAnsi="Verdana"/>
          <w:sz w:val="16"/>
          <w:szCs w:val="16"/>
        </w:rPr>
        <w:t xml:space="preserve">nte el Juez de Distrito de Amparo en Materia Penal en turno en Ciudad Juárez, Chihuahua (expediente de prueba, ff. 2625 a 2628). En dicha demanda, se señalaron como autoridades responsables de los actos reclamados a los titulares de: 1. El 35 Batallón de Infantería con sede en Nuevo Casas Grandes; 2. La Guarnición Militar de Ciudad Juárez; 3. El Operativo Conjunto Chihuahua en Ciudad Juárez; 4. La PGR en Ciudad Juárez; 5. El Departamento de Averiguaciones Previas de la PGJE </w:t>
      </w:r>
      <w:r>
        <w:rPr>
          <w:rFonts w:ascii="Verdana" w:hAnsi="Verdana"/>
          <w:sz w:val="16"/>
          <w:szCs w:val="16"/>
        </w:rPr>
        <w:t>de la ciudad de</w:t>
      </w:r>
      <w:r w:rsidRPr="00432ABC">
        <w:rPr>
          <w:rFonts w:ascii="Verdana" w:hAnsi="Verdana"/>
          <w:sz w:val="16"/>
          <w:szCs w:val="16"/>
        </w:rPr>
        <w:t xml:space="preserve"> Casas Grandes, Chihuahua [sic], y 6. la Agencia del </w:t>
      </w:r>
      <w:r>
        <w:rPr>
          <w:rFonts w:ascii="Verdana" w:hAnsi="Verdana"/>
          <w:sz w:val="16"/>
          <w:szCs w:val="16"/>
        </w:rPr>
        <w:t xml:space="preserve">Ministerio Público del </w:t>
      </w:r>
      <w:r w:rsidRPr="00432ABC">
        <w:rPr>
          <w:rFonts w:ascii="Verdana" w:hAnsi="Verdana"/>
          <w:sz w:val="16"/>
          <w:szCs w:val="16"/>
        </w:rPr>
        <w:t>Fuero Común en Buenaventura, Chihuahua. Asimismo: 7. El Teniente o Capitán Élfido Luján [sic].</w:t>
      </w:r>
    </w:p>
  </w:footnote>
  <w:footnote w:id="325">
    <w:p w14:paraId="64AA6271" w14:textId="3ADB853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Incidente de Suspensión Provisional de 6 de enero de 2010 proveído por la Secretaria del</w:t>
      </w:r>
      <w:r w:rsidRPr="00432ABC">
        <w:rPr>
          <w:rFonts w:ascii="Verdana" w:hAnsi="Verdana"/>
          <w:sz w:val="16"/>
          <w:szCs w:val="16"/>
        </w:rPr>
        <w:t xml:space="preserve"> Juzgado Sexto de Distrito en el Estado de Chihuahua (expediente de prueba, ff. 2367 a 2369). </w:t>
      </w:r>
    </w:p>
  </w:footnote>
  <w:footnote w:id="326">
    <w:p w14:paraId="57DD1BD5" w14:textId="266D3DE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Acuerdo de 6 de mayo de 2010 proveído por el Juez Sexto de Distrito en el Estado de Chihuahua (expediente de prueba, pru</w:t>
      </w:r>
      <w:r w:rsidRPr="00432ABC">
        <w:rPr>
          <w:rFonts w:ascii="Verdana" w:hAnsi="Verdana"/>
          <w:sz w:val="16"/>
          <w:szCs w:val="16"/>
        </w:rPr>
        <w:t>eba para mejor resolver presentada por el Estado, f. 31621).</w:t>
      </w:r>
    </w:p>
  </w:footnote>
  <w:footnote w:id="327">
    <w:p w14:paraId="64AA6272" w14:textId="4E949D45" w:rsidR="00146958" w:rsidRPr="00E33422" w:rsidRDefault="00146958" w:rsidP="00E33422">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Acuerdo de 17 de mayo de 2011 proveído por el Juez Sexto de Distrito en el Estado de Chihuahua (</w:t>
      </w:r>
      <w:r w:rsidRPr="00E33422">
        <w:rPr>
          <w:rFonts w:ascii="Verdana" w:hAnsi="Verdana"/>
          <w:sz w:val="16"/>
          <w:szCs w:val="16"/>
        </w:rPr>
        <w:t>expediente de prueba, prueba para mejor resolver presentada por el Estado, f. 31623).</w:t>
      </w:r>
    </w:p>
  </w:footnote>
  <w:footnote w:id="328">
    <w:p w14:paraId="281DC4DE" w14:textId="6E5846EE" w:rsidR="00146958" w:rsidRPr="003564A3" w:rsidRDefault="00146958" w:rsidP="003564A3">
      <w:pPr>
        <w:spacing w:after="0" w:line="240" w:lineRule="auto"/>
        <w:jc w:val="both"/>
        <w:rPr>
          <w:rFonts w:ascii="Verdana" w:hAnsi="Verdana"/>
          <w:b/>
          <w:sz w:val="16"/>
          <w:szCs w:val="16"/>
          <w:lang w:val="es-ES"/>
        </w:rPr>
      </w:pPr>
      <w:r w:rsidRPr="003564A3">
        <w:rPr>
          <w:rStyle w:val="Refdenotaalpie"/>
          <w:rFonts w:ascii="Verdana" w:hAnsi="Verdana"/>
          <w:b/>
          <w:sz w:val="16"/>
          <w:szCs w:val="16"/>
        </w:rPr>
        <w:footnoteRef/>
      </w:r>
      <w:r w:rsidRPr="003564A3">
        <w:rPr>
          <w:rFonts w:ascii="Verdana" w:hAnsi="Verdana"/>
          <w:b/>
          <w:sz w:val="16"/>
          <w:szCs w:val="16"/>
        </w:rPr>
        <w:t xml:space="preserve"> </w:t>
      </w:r>
      <w:r w:rsidRPr="003564A3">
        <w:rPr>
          <w:rFonts w:ascii="Verdana" w:hAnsi="Verdana"/>
          <w:b/>
          <w:sz w:val="16"/>
          <w:szCs w:val="16"/>
        </w:rPr>
        <w:tab/>
      </w:r>
      <w:r w:rsidRPr="008D0846">
        <w:rPr>
          <w:rFonts w:ascii="Verdana" w:hAnsi="Verdana"/>
          <w:sz w:val="16"/>
          <w:szCs w:val="16"/>
          <w:lang w:val="es-AR"/>
        </w:rPr>
        <w:t xml:space="preserve">La </w:t>
      </w:r>
      <w:r w:rsidRPr="008D0846">
        <w:rPr>
          <w:rFonts w:ascii="Verdana" w:hAnsi="Verdana"/>
          <w:sz w:val="16"/>
          <w:szCs w:val="16"/>
          <w:lang w:val="es-ES"/>
        </w:rPr>
        <w:t xml:space="preserve">Comisión Nacional de los Derechos Humanos (CNDH) es un organismo estatal, público autónomo no jurisdiccional de defensa y protección de los derechos humanos. Tiene la misión de proteger, observar, promover, estudiar y divulgar los derechos humanos que ampara el orden jurídico mexicano, así como los tratados internacionales aplicables a México. De acreditarse violaciones, tiene la facultad de emitir recomendaciones, </w:t>
      </w:r>
      <w:r>
        <w:rPr>
          <w:rFonts w:ascii="Verdana" w:hAnsi="Verdana"/>
          <w:sz w:val="16"/>
          <w:szCs w:val="16"/>
          <w:lang w:val="es-ES"/>
        </w:rPr>
        <w:t>mismas que contemplan medidas encaminadas a una efectiva restitución y de ser procedente</w:t>
      </w:r>
      <w:r w:rsidRPr="008D0846">
        <w:rPr>
          <w:rFonts w:ascii="Verdana" w:hAnsi="Verdana"/>
          <w:sz w:val="16"/>
          <w:szCs w:val="16"/>
          <w:lang w:val="es-ES"/>
        </w:rPr>
        <w:t>,</w:t>
      </w:r>
      <w:r>
        <w:rPr>
          <w:rFonts w:ascii="Verdana" w:hAnsi="Verdana"/>
          <w:sz w:val="16"/>
          <w:szCs w:val="16"/>
          <w:lang w:val="es-ES"/>
        </w:rPr>
        <w:t xml:space="preserve"> para la</w:t>
      </w:r>
      <w:r w:rsidRPr="008D0846">
        <w:rPr>
          <w:rFonts w:ascii="Verdana" w:hAnsi="Verdana"/>
          <w:sz w:val="16"/>
          <w:szCs w:val="16"/>
          <w:lang w:val="es-ES"/>
        </w:rPr>
        <w:t xml:space="preserve"> reparación de los daños y perjuicios que se hubiesen ocasionado. Dichas recomendaciones no tienen el carácter imperativo para las autoridades involucradas, por lo que pueden ser o no aceptadas por éstas</w:t>
      </w:r>
      <w:r w:rsidRPr="008D0846">
        <w:rPr>
          <w:rFonts w:ascii="Verdana" w:hAnsi="Verdana"/>
          <w:sz w:val="16"/>
          <w:szCs w:val="16"/>
          <w:lang w:val="es-CR"/>
        </w:rPr>
        <w:t xml:space="preserve">; </w:t>
      </w:r>
      <w:r w:rsidRPr="008D0846">
        <w:rPr>
          <w:rFonts w:ascii="Verdana" w:hAnsi="Verdana"/>
          <w:sz w:val="16"/>
          <w:szCs w:val="16"/>
          <w:lang w:val="es-ES"/>
        </w:rPr>
        <w:t>en el segundo supuesto, la autoridad en cuestión puede ser llamada a rendir cuentas ante la Cámara de Senadores o en sus recesos la Comisión Permanente, o a las legislaturas de las entidades federativas, de conformidad con los artículos 15, fracción X y 46, tercer párrafo, inciso a), de la Ley de la CNDH, publicada en el Diario Oficial de la Federación el 29 de junio de 1992.</w:t>
      </w:r>
    </w:p>
  </w:footnote>
  <w:footnote w:id="329">
    <w:p w14:paraId="64AA6273" w14:textId="7256FF50" w:rsidR="00146958" w:rsidRPr="00432ABC" w:rsidRDefault="00146958" w:rsidP="003564A3">
      <w:pPr>
        <w:pStyle w:val="Textonotapie"/>
        <w:jc w:val="both"/>
        <w:rPr>
          <w:rFonts w:ascii="Verdana" w:hAnsi="Verdana"/>
          <w:sz w:val="16"/>
          <w:szCs w:val="16"/>
        </w:rPr>
      </w:pPr>
      <w:r w:rsidRPr="00E33422">
        <w:rPr>
          <w:rStyle w:val="Refdenotaalpie"/>
          <w:rFonts w:ascii="Verdana" w:hAnsi="Verdana"/>
          <w:sz w:val="16"/>
          <w:szCs w:val="16"/>
        </w:rPr>
        <w:footnoteRef/>
      </w:r>
      <w:r w:rsidRPr="00E33422">
        <w:rPr>
          <w:rFonts w:ascii="Verdana" w:hAnsi="Verdana"/>
          <w:sz w:val="16"/>
          <w:szCs w:val="16"/>
        </w:rPr>
        <w:t xml:space="preserve"> </w:t>
      </w:r>
      <w:r w:rsidRPr="00E33422">
        <w:rPr>
          <w:rFonts w:ascii="Verdana" w:hAnsi="Verdana"/>
          <w:sz w:val="16"/>
          <w:szCs w:val="16"/>
        </w:rPr>
        <w:tab/>
      </w:r>
      <w:r w:rsidRPr="00CD5C54">
        <w:rPr>
          <w:rFonts w:ascii="Verdana" w:hAnsi="Verdana"/>
          <w:i/>
          <w:sz w:val="16"/>
          <w:szCs w:val="16"/>
        </w:rPr>
        <w:t>Cfr.</w:t>
      </w:r>
      <w:r w:rsidRPr="00E33422">
        <w:rPr>
          <w:rFonts w:ascii="Verdana" w:hAnsi="Verdana"/>
          <w:i/>
          <w:sz w:val="16"/>
          <w:szCs w:val="16"/>
        </w:rPr>
        <w:t xml:space="preserve"> </w:t>
      </w:r>
      <w:r w:rsidRPr="00E33422">
        <w:rPr>
          <w:rFonts w:ascii="Verdana" w:hAnsi="Verdana"/>
          <w:sz w:val="16"/>
          <w:szCs w:val="16"/>
        </w:rPr>
        <w:t>Queja promovida el 4 de enero de 2010 por Jaime Alvarado Herrera ante la CNDH en Ciudad Juárez, Chihuahua (expediente de prueba, ff. 1833 a 1834).</w:t>
      </w:r>
    </w:p>
  </w:footnote>
  <w:footnote w:id="330">
    <w:p w14:paraId="64AA6274" w14:textId="6661CF7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Recomendación 43/2011 de la CNDH emitida el 30 de junio de 2011 (ex</w:t>
      </w:r>
      <w:r w:rsidRPr="00432ABC">
        <w:rPr>
          <w:rFonts w:ascii="Verdana" w:hAnsi="Verdana"/>
          <w:sz w:val="16"/>
          <w:szCs w:val="16"/>
        </w:rPr>
        <w:t>pediente de prueba, anexo 7 de la contestación del Estado, ff. 2</w:t>
      </w:r>
      <w:r>
        <w:rPr>
          <w:rFonts w:ascii="Verdana" w:hAnsi="Verdana"/>
          <w:sz w:val="16"/>
          <w:szCs w:val="16"/>
        </w:rPr>
        <w:t>7839</w:t>
      </w:r>
      <w:r w:rsidRPr="00432ABC">
        <w:rPr>
          <w:rFonts w:ascii="Verdana" w:hAnsi="Verdana"/>
          <w:sz w:val="16"/>
          <w:szCs w:val="16"/>
        </w:rPr>
        <w:t xml:space="preserve"> a 27875).</w:t>
      </w:r>
    </w:p>
  </w:footnote>
  <w:footnote w:id="331">
    <w:p w14:paraId="64AA6276" w14:textId="7EBBE04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Pr>
          <w:rFonts w:ascii="Verdana" w:hAnsi="Verdana"/>
          <w:sz w:val="16"/>
          <w:szCs w:val="16"/>
        </w:rPr>
        <w:t xml:space="preserve">No. </w:t>
      </w:r>
      <w:r w:rsidRPr="002C462C">
        <w:rPr>
          <w:rFonts w:ascii="Verdana" w:hAnsi="Verdana"/>
          <w:sz w:val="16"/>
          <w:szCs w:val="16"/>
        </w:rPr>
        <w:t>SSP/S</w:t>
      </w:r>
      <w:r>
        <w:rPr>
          <w:rFonts w:ascii="Verdana" w:hAnsi="Verdana"/>
          <w:sz w:val="16"/>
          <w:szCs w:val="16"/>
        </w:rPr>
        <w:t>P</w:t>
      </w:r>
      <w:r w:rsidRPr="002C462C">
        <w:rPr>
          <w:rFonts w:ascii="Verdana" w:hAnsi="Verdana"/>
          <w:sz w:val="16"/>
          <w:szCs w:val="16"/>
        </w:rPr>
        <w:t>PC/DGDH/6035/2011 de 4 de agosto de 2011 del Director General de Derechos Huma</w:t>
      </w:r>
      <w:r w:rsidRPr="00432ABC">
        <w:rPr>
          <w:rFonts w:ascii="Verdana" w:hAnsi="Verdana"/>
          <w:sz w:val="16"/>
          <w:szCs w:val="16"/>
        </w:rPr>
        <w:t xml:space="preserve">nos de la SSPF, dirigido al Presidente de la CNDH (expediente de prueba, </w:t>
      </w:r>
      <w:r>
        <w:rPr>
          <w:rFonts w:ascii="Verdana" w:hAnsi="Verdana"/>
          <w:sz w:val="16"/>
          <w:szCs w:val="16"/>
        </w:rPr>
        <w:t>e</w:t>
      </w:r>
      <w:r w:rsidRPr="00432ABC">
        <w:rPr>
          <w:rFonts w:ascii="Verdana" w:hAnsi="Verdana"/>
          <w:sz w:val="16"/>
          <w:szCs w:val="16"/>
        </w:rPr>
        <w:t>xpediente penal, ff. 4623 a 4639).</w:t>
      </w:r>
    </w:p>
  </w:footnote>
  <w:footnote w:id="332">
    <w:p w14:paraId="64AA6277" w14:textId="260127E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Pr>
          <w:rFonts w:ascii="Verdana" w:hAnsi="Verdana"/>
          <w:sz w:val="16"/>
          <w:szCs w:val="16"/>
        </w:rPr>
        <w:t xml:space="preserve">No. </w:t>
      </w:r>
      <w:r w:rsidRPr="002C462C">
        <w:rPr>
          <w:rFonts w:ascii="Verdana" w:hAnsi="Verdana"/>
          <w:sz w:val="16"/>
          <w:szCs w:val="16"/>
        </w:rPr>
        <w:t>FEAVOD/O86/2012 de 30 de enero de 2012 suscrito por el Fiscal Especializado en Atención a Víctimas y Ofendidos del Delito de</w:t>
      </w:r>
      <w:r w:rsidRPr="00432ABC">
        <w:rPr>
          <w:rFonts w:ascii="Verdana" w:hAnsi="Verdana"/>
          <w:sz w:val="16"/>
          <w:szCs w:val="16"/>
        </w:rPr>
        <w:t xml:space="preserve">l Estado de Chihuahua, dirigido a la Segunda Visitadora General de la CNDH en referencia al Oficio DE-078/2011 por el que el Gobernador del Estado de Chihuahua aceptó la Recomendación 43/11 de la CNDH (expediente de prueba, </w:t>
      </w:r>
      <w:r>
        <w:rPr>
          <w:rFonts w:ascii="Verdana" w:hAnsi="Verdana"/>
          <w:sz w:val="16"/>
          <w:szCs w:val="16"/>
        </w:rPr>
        <w:t>e</w:t>
      </w:r>
      <w:r w:rsidRPr="00432ABC">
        <w:rPr>
          <w:rFonts w:ascii="Verdana" w:hAnsi="Verdana"/>
          <w:sz w:val="16"/>
          <w:szCs w:val="16"/>
        </w:rPr>
        <w:t xml:space="preserve">xpediente penal, f. 4666). </w:t>
      </w:r>
    </w:p>
  </w:footnote>
  <w:footnote w:id="333">
    <w:p w14:paraId="64AA6278" w14:textId="37C8FDE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w:t>
      </w:r>
      <w:r>
        <w:rPr>
          <w:rFonts w:ascii="Verdana" w:hAnsi="Verdana"/>
          <w:sz w:val="16"/>
          <w:szCs w:val="16"/>
        </w:rPr>
        <w:t xml:space="preserve">No. </w:t>
      </w:r>
      <w:r w:rsidRPr="002C462C">
        <w:rPr>
          <w:rFonts w:ascii="Verdana" w:hAnsi="Verdana"/>
          <w:sz w:val="16"/>
          <w:szCs w:val="16"/>
        </w:rPr>
        <w:t xml:space="preserve">DH-R-8356 de 3 de agosto de 2011 del Director General de Derechos Humanos de la SEDENA, dirigido al Presidente de la CNDH (expediente de prueba, </w:t>
      </w:r>
      <w:r>
        <w:rPr>
          <w:rFonts w:ascii="Verdana" w:hAnsi="Verdana"/>
          <w:sz w:val="16"/>
          <w:szCs w:val="16"/>
        </w:rPr>
        <w:t>e</w:t>
      </w:r>
      <w:r w:rsidRPr="002C462C">
        <w:rPr>
          <w:rFonts w:ascii="Verdana" w:hAnsi="Verdana"/>
          <w:sz w:val="16"/>
          <w:szCs w:val="16"/>
        </w:rPr>
        <w:t>xpediente penal, f. 4722). Con respecto al cumplimiento de la Recomendación 43/11,</w:t>
      </w:r>
      <w:r w:rsidRPr="00432ABC">
        <w:rPr>
          <w:rFonts w:ascii="Verdana" w:hAnsi="Verdana"/>
          <w:sz w:val="16"/>
          <w:szCs w:val="16"/>
        </w:rPr>
        <w:t xml:space="preserve"> en dicha comunicación el Director General de Derechos Humanos de la SEDENA aclaró que “las acciones para su cumplimiento, relativas a la investigación de los hechos y a la reparación del daño, quedarán sujeta al resultado de las investigaciones ministeriales y administrativas de las autoridades competentes”.</w:t>
      </w:r>
    </w:p>
  </w:footnote>
  <w:footnote w:id="334">
    <w:p w14:paraId="64AA6279" w14:textId="4E55AF0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Convenio de cumplimiento de la Recomendación 43/11 firmado entre la SEDENA y </w:t>
      </w:r>
      <w:r w:rsidRPr="00432ABC">
        <w:rPr>
          <w:rFonts w:ascii="Verdana" w:hAnsi="Verdana" w:cs="Arial"/>
          <w:sz w:val="16"/>
          <w:szCs w:val="16"/>
        </w:rPr>
        <w:t>Obdulia Espinoza Beltrán, Patricia Reyes Rueda y Ascensión Alvarado Fabela</w:t>
      </w:r>
      <w:r w:rsidRPr="00432ABC">
        <w:rPr>
          <w:rFonts w:ascii="Verdana" w:hAnsi="Verdana"/>
          <w:sz w:val="16"/>
          <w:szCs w:val="16"/>
        </w:rPr>
        <w:t xml:space="preserve"> (expediente de prueba, </w:t>
      </w:r>
      <w:r>
        <w:rPr>
          <w:rFonts w:ascii="Verdana" w:hAnsi="Verdana"/>
          <w:sz w:val="16"/>
          <w:szCs w:val="16"/>
        </w:rPr>
        <w:t>e</w:t>
      </w:r>
      <w:r w:rsidRPr="00432ABC">
        <w:rPr>
          <w:rFonts w:ascii="Verdana" w:hAnsi="Verdana"/>
          <w:sz w:val="16"/>
          <w:szCs w:val="16"/>
        </w:rPr>
        <w:t xml:space="preserve">xpediente penal, </w:t>
      </w:r>
      <w:r w:rsidRPr="00432ABC">
        <w:rPr>
          <w:rFonts w:ascii="Verdana" w:hAnsi="Verdana" w:cs="Arial"/>
          <w:sz w:val="16"/>
          <w:szCs w:val="16"/>
        </w:rPr>
        <w:t>ff. 5139 a 51</w:t>
      </w:r>
      <w:r>
        <w:rPr>
          <w:rFonts w:ascii="Verdana" w:hAnsi="Verdana" w:cs="Arial"/>
          <w:sz w:val="16"/>
          <w:szCs w:val="16"/>
        </w:rPr>
        <w:t>42</w:t>
      </w:r>
      <w:r w:rsidRPr="00432ABC">
        <w:rPr>
          <w:rFonts w:ascii="Verdana" w:hAnsi="Verdana" w:cs="Arial"/>
          <w:sz w:val="16"/>
          <w:szCs w:val="16"/>
        </w:rPr>
        <w:t xml:space="preserve">), y </w:t>
      </w:r>
      <w:r w:rsidRPr="00432ABC">
        <w:rPr>
          <w:rFonts w:ascii="Verdana" w:hAnsi="Verdana"/>
          <w:sz w:val="16"/>
          <w:szCs w:val="16"/>
        </w:rPr>
        <w:t xml:space="preserve">Declaración pericial de Carlos Martín Beristáin rendida </w:t>
      </w:r>
      <w:r>
        <w:rPr>
          <w:rFonts w:ascii="Verdana" w:hAnsi="Verdana"/>
          <w:sz w:val="16"/>
          <w:szCs w:val="16"/>
        </w:rPr>
        <w:t>el</w:t>
      </w:r>
      <w:r w:rsidRPr="00432ABC">
        <w:rPr>
          <w:rFonts w:ascii="Verdana" w:hAnsi="Verdana"/>
          <w:sz w:val="16"/>
          <w:szCs w:val="16"/>
        </w:rPr>
        <w:t xml:space="preserve"> 16 de abril de 2018</w:t>
      </w:r>
      <w:r>
        <w:rPr>
          <w:rFonts w:ascii="Verdana" w:hAnsi="Verdana"/>
          <w:sz w:val="16"/>
          <w:szCs w:val="16"/>
        </w:rPr>
        <w:t xml:space="preserve"> (expediente de prueba, </w:t>
      </w:r>
      <w:r w:rsidRPr="00453199">
        <w:rPr>
          <w:rFonts w:ascii="Verdana" w:hAnsi="Verdana"/>
          <w:i/>
          <w:sz w:val="16"/>
          <w:szCs w:val="16"/>
        </w:rPr>
        <w:t>Affidávits</w:t>
      </w:r>
      <w:r>
        <w:rPr>
          <w:rFonts w:ascii="Verdana" w:hAnsi="Verdana"/>
          <w:sz w:val="16"/>
          <w:szCs w:val="16"/>
        </w:rPr>
        <w:t>,</w:t>
      </w:r>
      <w:r w:rsidRPr="00432ABC">
        <w:rPr>
          <w:rFonts w:ascii="Verdana" w:hAnsi="Verdana"/>
          <w:sz w:val="16"/>
          <w:szCs w:val="16"/>
        </w:rPr>
        <w:t xml:space="preserve"> f. 3101</w:t>
      </w:r>
      <w:r w:rsidRPr="00432ABC">
        <w:rPr>
          <w:rFonts w:ascii="Verdana" w:hAnsi="Verdana" w:cs="Times New Roman"/>
          <w:sz w:val="16"/>
          <w:szCs w:val="16"/>
        </w:rPr>
        <w:t>5).</w:t>
      </w:r>
    </w:p>
  </w:footnote>
  <w:footnote w:id="335">
    <w:p w14:paraId="64AA627A" w14:textId="341D97C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Queja 886/09 de 4 de enero de 2010 (expediente de prueba, </w:t>
      </w:r>
      <w:r>
        <w:rPr>
          <w:rFonts w:ascii="Verdana" w:hAnsi="Verdana"/>
          <w:sz w:val="16"/>
          <w:szCs w:val="16"/>
        </w:rPr>
        <w:t>e</w:t>
      </w:r>
      <w:r w:rsidRPr="002C462C">
        <w:rPr>
          <w:rFonts w:ascii="Verdana" w:hAnsi="Verdana"/>
          <w:sz w:val="16"/>
          <w:szCs w:val="16"/>
        </w:rPr>
        <w:t>xpediente penal, ff. 6837 a 683</w:t>
      </w:r>
      <w:r w:rsidRPr="00432ABC">
        <w:rPr>
          <w:rFonts w:ascii="Verdana" w:hAnsi="Verdana"/>
          <w:sz w:val="16"/>
          <w:szCs w:val="16"/>
        </w:rPr>
        <w:t xml:space="preserve">9). </w:t>
      </w:r>
    </w:p>
  </w:footnote>
  <w:footnote w:id="336">
    <w:p w14:paraId="6FA09167" w14:textId="22B76083" w:rsidR="00146958" w:rsidRPr="00432ABC" w:rsidRDefault="00146958">
      <w:pPr>
        <w:autoSpaceDE w:val="0"/>
        <w:autoSpaceDN w:val="0"/>
        <w:adjustRightInd w:val="0"/>
        <w:spacing w:after="0" w:line="240" w:lineRule="auto"/>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t>El 16 de octubre de 2018 el Estado remitió una comunicación en la cual, con respecto a dicha prueba para mejor resolver solicitada por la Corte, informó</w:t>
      </w:r>
      <w:r>
        <w:rPr>
          <w:rFonts w:ascii="Verdana" w:hAnsi="Verdana"/>
          <w:sz w:val="16"/>
          <w:szCs w:val="16"/>
        </w:rPr>
        <w:t xml:space="preserve"> que</w:t>
      </w:r>
      <w:r w:rsidRPr="002C462C">
        <w:rPr>
          <w:rFonts w:ascii="Verdana" w:hAnsi="Verdana"/>
          <w:sz w:val="16"/>
          <w:szCs w:val="16"/>
        </w:rPr>
        <w:t>: “</w:t>
      </w:r>
      <w:r w:rsidRPr="002C462C">
        <w:rPr>
          <w:rFonts w:ascii="Verdana" w:eastAsiaTheme="minorHAnsi" w:hAnsi="Verdana" w:cs="Times New Roman"/>
          <w:sz w:val="16"/>
          <w:szCs w:val="16"/>
        </w:rPr>
        <w:t xml:space="preserve">luego de una búsqueda exhaustiva por partes [sic] de las autoridades que pudieran contar con </w:t>
      </w:r>
      <w:r w:rsidRPr="00432ABC">
        <w:rPr>
          <w:rFonts w:ascii="Verdana" w:eastAsiaTheme="minorHAnsi" w:hAnsi="Verdana" w:cs="Times New Roman"/>
          <w:sz w:val="16"/>
          <w:szCs w:val="16"/>
        </w:rPr>
        <w:t>la información solicitada, únicamente se encontró la copia de la queja 886/09 presentada en las oficinas del programa para atención de quejas y denuncias del [O]perativo [C]onjunto Chihuahua en Ciudad Juárez […]” (expediente de fondo, f. 2324).</w:t>
      </w:r>
    </w:p>
  </w:footnote>
  <w:footnote w:id="337">
    <w:p w14:paraId="662E1DEB" w14:textId="392D736A" w:rsidR="00146958" w:rsidRPr="00432ABC" w:rsidRDefault="00146958">
      <w:pPr>
        <w:pStyle w:val="Textonotapie"/>
        <w:jc w:val="both"/>
        <w:rPr>
          <w:rFonts w:ascii="Verdana" w:hAnsi="Verdana"/>
          <w:sz w:val="16"/>
          <w:szCs w:val="16"/>
        </w:rPr>
      </w:pPr>
      <w:r w:rsidRPr="00DB378B">
        <w:rPr>
          <w:rStyle w:val="Refdenotaalpie"/>
          <w:rFonts w:ascii="Verdana" w:hAnsi="Verdana"/>
        </w:rPr>
        <w:footnoteRef/>
      </w:r>
      <w:r w:rsidRPr="00DB378B">
        <w:rPr>
          <w:rFonts w:ascii="Verdana" w:hAnsi="Verdana"/>
        </w:rPr>
        <w:t xml:space="preserve"> </w:t>
      </w:r>
      <w:r w:rsidRPr="00DB378B">
        <w:rPr>
          <w:rFonts w:ascii="Verdana" w:hAnsi="Verdana"/>
          <w:i/>
        </w:rPr>
        <w:tab/>
      </w:r>
      <w:r w:rsidRPr="00CD5C54">
        <w:rPr>
          <w:rFonts w:ascii="Verdana" w:hAnsi="Verdana"/>
          <w:i/>
          <w:sz w:val="16"/>
          <w:szCs w:val="16"/>
        </w:rPr>
        <w:t>Cfr.</w:t>
      </w:r>
      <w:r w:rsidRPr="002C462C">
        <w:rPr>
          <w:rFonts w:ascii="Verdana" w:hAnsi="Verdana"/>
          <w:sz w:val="16"/>
          <w:szCs w:val="16"/>
        </w:rPr>
        <w:t xml:space="preserve"> </w:t>
      </w:r>
      <w:r w:rsidRPr="002C462C">
        <w:rPr>
          <w:rFonts w:ascii="Verdana" w:hAnsi="Verdana"/>
          <w:i/>
          <w:sz w:val="16"/>
          <w:szCs w:val="16"/>
        </w:rPr>
        <w:t>Asu</w:t>
      </w:r>
      <w:r w:rsidRPr="00432ABC">
        <w:rPr>
          <w:rFonts w:ascii="Verdana" w:hAnsi="Verdana"/>
          <w:i/>
          <w:sz w:val="16"/>
          <w:szCs w:val="16"/>
        </w:rPr>
        <w:t>nto Alvarado Reyes y otros. Medidas Provisionales respecto de México</w:t>
      </w:r>
      <w:r w:rsidRPr="00432ABC">
        <w:rPr>
          <w:rFonts w:ascii="Verdana" w:hAnsi="Verdana"/>
          <w:sz w:val="16"/>
          <w:szCs w:val="16"/>
        </w:rPr>
        <w:t>. Resolución de 26 de mayo de 2010, párr. 1.</w:t>
      </w:r>
    </w:p>
  </w:footnote>
  <w:footnote w:id="338">
    <w:p w14:paraId="123EB975" w14:textId="7961AF7B" w:rsidR="00146958" w:rsidRPr="00E40B4F"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w:t>
      </w:r>
      <w:r w:rsidRPr="008D0846">
        <w:rPr>
          <w:rFonts w:ascii="Verdana" w:hAnsi="Verdana"/>
          <w:i/>
          <w:sz w:val="16"/>
          <w:szCs w:val="16"/>
        </w:rPr>
        <w:t>Asunto Alvarado Reyes y otros</w:t>
      </w:r>
      <w:r>
        <w:rPr>
          <w:rFonts w:ascii="Verdana" w:hAnsi="Verdana"/>
          <w:sz w:val="16"/>
          <w:szCs w:val="16"/>
        </w:rPr>
        <w:t xml:space="preserve">. </w:t>
      </w:r>
      <w:r w:rsidRPr="008D0846">
        <w:rPr>
          <w:rFonts w:ascii="Verdana" w:hAnsi="Verdana"/>
          <w:i/>
          <w:sz w:val="16"/>
          <w:szCs w:val="16"/>
        </w:rPr>
        <w:t>Medidas Provisionales respecto de México</w:t>
      </w:r>
      <w:r>
        <w:rPr>
          <w:rFonts w:ascii="Verdana" w:hAnsi="Verdana"/>
          <w:sz w:val="16"/>
          <w:szCs w:val="16"/>
        </w:rPr>
        <w:t>. Resolución de 26 de mayo de 2010,</w:t>
      </w:r>
      <w:r w:rsidRPr="00432ABC">
        <w:rPr>
          <w:rFonts w:ascii="Verdana" w:hAnsi="Verdana"/>
          <w:sz w:val="16"/>
          <w:szCs w:val="16"/>
        </w:rPr>
        <w:t xml:space="preserve"> </w:t>
      </w:r>
      <w:r>
        <w:rPr>
          <w:rFonts w:ascii="Verdana" w:hAnsi="Verdana"/>
          <w:i/>
          <w:sz w:val="16"/>
          <w:szCs w:val="16"/>
        </w:rPr>
        <w:t>s</w:t>
      </w:r>
      <w:r w:rsidRPr="00432ABC">
        <w:rPr>
          <w:rFonts w:ascii="Verdana" w:hAnsi="Verdana"/>
          <w:i/>
          <w:sz w:val="16"/>
          <w:szCs w:val="16"/>
        </w:rPr>
        <w:t>upr</w:t>
      </w:r>
      <w:r>
        <w:rPr>
          <w:rFonts w:ascii="Verdana" w:hAnsi="Verdana"/>
          <w:i/>
          <w:sz w:val="16"/>
          <w:szCs w:val="16"/>
        </w:rPr>
        <w:t>a,</w:t>
      </w:r>
      <w:r w:rsidRPr="00432ABC">
        <w:rPr>
          <w:rFonts w:ascii="Verdana" w:hAnsi="Verdana"/>
          <w:sz w:val="16"/>
          <w:szCs w:val="16"/>
        </w:rPr>
        <w:t xml:space="preserve"> </w:t>
      </w:r>
      <w:r w:rsidRPr="008D0846">
        <w:rPr>
          <w:rFonts w:ascii="Verdana" w:hAnsi="Verdana"/>
          <w:sz w:val="16"/>
          <w:szCs w:val="16"/>
        </w:rPr>
        <w:t>P</w:t>
      </w:r>
      <w:r w:rsidRPr="00E40B4F">
        <w:rPr>
          <w:rFonts w:ascii="Verdana" w:hAnsi="Verdana"/>
          <w:sz w:val="16"/>
          <w:szCs w:val="16"/>
        </w:rPr>
        <w:t xml:space="preserve">untos </w:t>
      </w:r>
      <w:r w:rsidRPr="008D0846">
        <w:rPr>
          <w:rFonts w:ascii="Verdana" w:hAnsi="Verdana"/>
          <w:sz w:val="16"/>
          <w:szCs w:val="16"/>
        </w:rPr>
        <w:t>R</w:t>
      </w:r>
      <w:r w:rsidRPr="00E40B4F">
        <w:rPr>
          <w:rFonts w:ascii="Verdana" w:hAnsi="Verdana"/>
          <w:sz w:val="16"/>
          <w:szCs w:val="16"/>
        </w:rPr>
        <w:t xml:space="preserve">esolutivos 1, 2, y 3. </w:t>
      </w:r>
    </w:p>
  </w:footnote>
  <w:footnote w:id="339">
    <w:p w14:paraId="0B5D855D" w14:textId="1D62ECBF" w:rsidR="00146958" w:rsidRPr="00432ABC" w:rsidRDefault="00146958">
      <w:pPr>
        <w:pStyle w:val="Textonotapie"/>
        <w:jc w:val="both"/>
        <w:rPr>
          <w:rFonts w:ascii="Verdana" w:hAnsi="Verdana"/>
          <w:sz w:val="16"/>
          <w:szCs w:val="16"/>
        </w:rPr>
      </w:pPr>
      <w:r w:rsidRPr="00E40B4F">
        <w:rPr>
          <w:rStyle w:val="Refdenotaalpie"/>
          <w:rFonts w:ascii="Verdana" w:hAnsi="Verdana"/>
          <w:sz w:val="16"/>
          <w:szCs w:val="16"/>
        </w:rPr>
        <w:footnoteRef/>
      </w:r>
      <w:r w:rsidRPr="00E40B4F">
        <w:rPr>
          <w:rFonts w:ascii="Verdana" w:hAnsi="Verdana"/>
          <w:sz w:val="16"/>
          <w:szCs w:val="16"/>
        </w:rPr>
        <w:t xml:space="preserve"> </w:t>
      </w:r>
      <w:r w:rsidRPr="00E40B4F">
        <w:rPr>
          <w:rFonts w:ascii="Verdana" w:hAnsi="Verdana"/>
          <w:sz w:val="16"/>
          <w:szCs w:val="16"/>
        </w:rPr>
        <w:tab/>
      </w:r>
      <w:r w:rsidRPr="00CD5C54">
        <w:rPr>
          <w:rFonts w:ascii="Verdana" w:hAnsi="Verdana"/>
          <w:i/>
          <w:sz w:val="16"/>
          <w:szCs w:val="16"/>
        </w:rPr>
        <w:t>Cfr.</w:t>
      </w:r>
      <w:r w:rsidRPr="00312F00">
        <w:rPr>
          <w:rFonts w:ascii="Verdana" w:hAnsi="Verdana"/>
          <w:sz w:val="16"/>
          <w:szCs w:val="16"/>
        </w:rPr>
        <w:t xml:space="preserve"> </w:t>
      </w:r>
      <w:r w:rsidRPr="008D0846">
        <w:rPr>
          <w:rFonts w:ascii="Verdana" w:hAnsi="Verdana"/>
          <w:i/>
          <w:sz w:val="16"/>
          <w:szCs w:val="16"/>
        </w:rPr>
        <w:t xml:space="preserve">Asunto Alvarado Reyes y otros. Medidas Provisionales respecto de </w:t>
      </w:r>
      <w:r w:rsidRPr="00312F00">
        <w:rPr>
          <w:rFonts w:ascii="Verdana" w:hAnsi="Verdana"/>
          <w:i/>
          <w:sz w:val="16"/>
          <w:szCs w:val="16"/>
        </w:rPr>
        <w:t>México</w:t>
      </w:r>
      <w:r w:rsidRPr="00E40B4F">
        <w:rPr>
          <w:rFonts w:ascii="Verdana" w:hAnsi="Verdana"/>
          <w:sz w:val="16"/>
          <w:szCs w:val="16"/>
        </w:rPr>
        <w:t>.</w:t>
      </w:r>
      <w:r w:rsidRPr="00312F00">
        <w:rPr>
          <w:rFonts w:ascii="Verdana" w:hAnsi="Verdana"/>
          <w:sz w:val="16"/>
          <w:szCs w:val="16"/>
        </w:rPr>
        <w:t xml:space="preserve"> Resolución de 26 de noviembre de 2010, </w:t>
      </w:r>
      <w:r w:rsidRPr="008D0846">
        <w:rPr>
          <w:rFonts w:ascii="Verdana" w:hAnsi="Verdana"/>
          <w:sz w:val="16"/>
          <w:szCs w:val="16"/>
        </w:rPr>
        <w:t>P</w:t>
      </w:r>
      <w:r w:rsidRPr="00E40B4F">
        <w:rPr>
          <w:rFonts w:ascii="Verdana" w:hAnsi="Verdana"/>
          <w:sz w:val="16"/>
          <w:szCs w:val="16"/>
        </w:rPr>
        <w:t xml:space="preserve">untos </w:t>
      </w:r>
      <w:r w:rsidRPr="008D0846">
        <w:rPr>
          <w:rFonts w:ascii="Verdana" w:hAnsi="Verdana"/>
          <w:sz w:val="16"/>
          <w:szCs w:val="16"/>
        </w:rPr>
        <w:t>R</w:t>
      </w:r>
      <w:r w:rsidRPr="00E40B4F">
        <w:rPr>
          <w:rFonts w:ascii="Verdana" w:hAnsi="Verdana"/>
          <w:sz w:val="16"/>
          <w:szCs w:val="16"/>
        </w:rPr>
        <w:t>esolutivos</w:t>
      </w:r>
      <w:r w:rsidRPr="00432ABC">
        <w:rPr>
          <w:rFonts w:ascii="Verdana" w:hAnsi="Verdana"/>
          <w:sz w:val="16"/>
          <w:szCs w:val="16"/>
        </w:rPr>
        <w:t xml:space="preserve"> 1, 2 y 3.</w:t>
      </w:r>
      <w:r>
        <w:rPr>
          <w:rFonts w:ascii="Verdana" w:hAnsi="Verdana"/>
          <w:sz w:val="16"/>
          <w:szCs w:val="16"/>
        </w:rPr>
        <w:t xml:space="preserve"> </w:t>
      </w:r>
    </w:p>
  </w:footnote>
  <w:footnote w:id="340">
    <w:p w14:paraId="1DD1FBAE" w14:textId="6C11DE6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i/>
          <w:sz w:val="16"/>
          <w:szCs w:val="16"/>
        </w:rPr>
        <w:t>Asunto Alvarado Reyes y otros. Medidas Provisionales</w:t>
      </w:r>
      <w:r>
        <w:rPr>
          <w:rFonts w:ascii="Verdana" w:hAnsi="Verdana"/>
          <w:i/>
          <w:sz w:val="16"/>
          <w:szCs w:val="16"/>
        </w:rPr>
        <w:t xml:space="preserve"> respecto de México.</w:t>
      </w:r>
      <w:r w:rsidRPr="00432ABC">
        <w:rPr>
          <w:rFonts w:ascii="Verdana" w:hAnsi="Verdana" w:cs="Verdana"/>
          <w:sz w:val="16"/>
          <w:szCs w:val="16"/>
          <w:lang w:val="es-ES"/>
        </w:rPr>
        <w:t xml:space="preserve"> </w:t>
      </w:r>
      <w:r>
        <w:rPr>
          <w:rFonts w:ascii="Verdana" w:hAnsi="Verdana" w:cs="Verdana"/>
          <w:sz w:val="16"/>
          <w:szCs w:val="16"/>
          <w:lang w:val="es-ES"/>
        </w:rPr>
        <w:t xml:space="preserve">Resolución </w:t>
      </w:r>
      <w:r w:rsidRPr="00432ABC">
        <w:rPr>
          <w:rFonts w:ascii="Verdana" w:hAnsi="Verdana"/>
          <w:sz w:val="16"/>
          <w:szCs w:val="16"/>
          <w:lang w:val="es-ES"/>
        </w:rPr>
        <w:t xml:space="preserve">de </w:t>
      </w:r>
      <w:r w:rsidRPr="00432ABC">
        <w:rPr>
          <w:rFonts w:ascii="Verdana" w:hAnsi="Verdana"/>
          <w:sz w:val="16"/>
          <w:szCs w:val="16"/>
        </w:rPr>
        <w:t>1 de abril de 2011</w:t>
      </w:r>
      <w:r w:rsidRPr="00432ABC">
        <w:rPr>
          <w:rFonts w:ascii="Verdana" w:hAnsi="Verdana"/>
          <w:i/>
          <w:sz w:val="16"/>
          <w:szCs w:val="16"/>
        </w:rPr>
        <w:t xml:space="preserve">. </w:t>
      </w:r>
      <w:r w:rsidRPr="00432ABC">
        <w:rPr>
          <w:rFonts w:ascii="Verdana" w:hAnsi="Verdana"/>
          <w:sz w:val="16"/>
          <w:szCs w:val="16"/>
        </w:rPr>
        <w:t xml:space="preserve">Visto 7, inciso d); Declaración rendida ante la Corte por Jaime Alvarado Herrera en la Audiencia Pública, </w:t>
      </w:r>
      <w:r w:rsidRPr="002C462C">
        <w:rPr>
          <w:rFonts w:ascii="Verdana" w:hAnsi="Verdana"/>
          <w:i/>
          <w:sz w:val="16"/>
          <w:szCs w:val="16"/>
        </w:rPr>
        <w:t>supra</w:t>
      </w:r>
      <w:r w:rsidRPr="002C462C">
        <w:rPr>
          <w:rFonts w:ascii="Verdana" w:hAnsi="Verdana"/>
          <w:sz w:val="16"/>
          <w:szCs w:val="16"/>
        </w:rPr>
        <w:t>, pág. 34, y Declaración de José Ángel Alvarado Fabela rendida el 19 de</w:t>
      </w:r>
      <w:r w:rsidRPr="00432ABC">
        <w:rPr>
          <w:rFonts w:ascii="Verdana" w:hAnsi="Verdana"/>
          <w:sz w:val="16"/>
          <w:szCs w:val="16"/>
        </w:rPr>
        <w:t xml:space="preserve"> abril de 2018 (expediente de prueba, </w:t>
      </w:r>
      <w:r w:rsidRPr="00453199">
        <w:rPr>
          <w:rFonts w:ascii="Verdana" w:hAnsi="Verdana"/>
          <w:i/>
          <w:sz w:val="16"/>
        </w:rPr>
        <w:t>Affidávits</w:t>
      </w:r>
      <w:r w:rsidRPr="00432ABC">
        <w:rPr>
          <w:rFonts w:ascii="Verdana" w:hAnsi="Verdana"/>
          <w:sz w:val="16"/>
          <w:szCs w:val="16"/>
        </w:rPr>
        <w:t>,</w:t>
      </w:r>
      <w:r w:rsidRPr="00432ABC" w:rsidDel="00873CE0">
        <w:rPr>
          <w:rFonts w:ascii="Verdana" w:hAnsi="Verdana"/>
          <w:sz w:val="16"/>
          <w:szCs w:val="16"/>
        </w:rPr>
        <w:t xml:space="preserve"> </w:t>
      </w:r>
      <w:r w:rsidRPr="00432ABC">
        <w:rPr>
          <w:rFonts w:ascii="Verdana" w:hAnsi="Verdana"/>
          <w:sz w:val="16"/>
          <w:szCs w:val="16"/>
        </w:rPr>
        <w:t>f. 30882).</w:t>
      </w:r>
    </w:p>
  </w:footnote>
  <w:footnote w:id="341">
    <w:p w14:paraId="1BB11336" w14:textId="5E8530B8"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V2/1447 de 16 de marzo de 2011 suscrito por el Segundo Visitador de la CNDH (expediente de prueba, ff. 11957 a 11959). </w:t>
      </w:r>
    </w:p>
  </w:footnote>
  <w:footnote w:id="342">
    <w:p w14:paraId="733ABFA7" w14:textId="53C4388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DH-II-2800 de 18 de marzo de 2011 de </w:t>
      </w:r>
      <w:r w:rsidRPr="00432ABC">
        <w:rPr>
          <w:rFonts w:ascii="Verdana" w:hAnsi="Verdana"/>
          <w:sz w:val="16"/>
          <w:szCs w:val="16"/>
        </w:rPr>
        <w:t>la Dirección General de Derechos Humanos de la SEDENA (expediente de prueba, ff. 11960 a 11961).</w:t>
      </w:r>
    </w:p>
  </w:footnote>
  <w:footnote w:id="343">
    <w:p w14:paraId="2FD75CFC" w14:textId="5B2E20F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w:t>
      </w:r>
      <w:r w:rsidRPr="008D0846">
        <w:rPr>
          <w:rFonts w:ascii="Verdana" w:hAnsi="Verdana"/>
          <w:i/>
          <w:sz w:val="16"/>
          <w:szCs w:val="16"/>
        </w:rPr>
        <w:t>Asunto Alvarado Reyes y otros.</w:t>
      </w:r>
      <w:r>
        <w:rPr>
          <w:rFonts w:ascii="Verdana" w:hAnsi="Verdana"/>
          <w:sz w:val="16"/>
          <w:szCs w:val="16"/>
        </w:rPr>
        <w:t xml:space="preserve"> Resolución de 15 de mayo de 2011,</w:t>
      </w:r>
      <w:r w:rsidRPr="00432ABC">
        <w:rPr>
          <w:rFonts w:ascii="Verdana" w:hAnsi="Verdana"/>
          <w:sz w:val="16"/>
          <w:szCs w:val="16"/>
        </w:rPr>
        <w:t xml:space="preserve"> </w:t>
      </w:r>
      <w:r>
        <w:rPr>
          <w:rFonts w:ascii="Verdana" w:hAnsi="Verdana"/>
          <w:i/>
          <w:sz w:val="16"/>
          <w:szCs w:val="16"/>
        </w:rPr>
        <w:t>s</w:t>
      </w:r>
      <w:r w:rsidRPr="00432ABC">
        <w:rPr>
          <w:rFonts w:ascii="Verdana" w:hAnsi="Verdana"/>
          <w:i/>
          <w:sz w:val="16"/>
          <w:szCs w:val="16"/>
        </w:rPr>
        <w:t>upra</w:t>
      </w:r>
      <w:r w:rsidRPr="00432ABC">
        <w:rPr>
          <w:rFonts w:ascii="Verdana" w:hAnsi="Verdana"/>
          <w:sz w:val="16"/>
          <w:szCs w:val="16"/>
        </w:rPr>
        <w:t>, párr. 18.</w:t>
      </w:r>
    </w:p>
  </w:footnote>
  <w:footnote w:id="344">
    <w:p w14:paraId="7416F800" w14:textId="0D8E29F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w:t>
      </w:r>
      <w:r w:rsidRPr="008D0846">
        <w:rPr>
          <w:rFonts w:ascii="Verdana" w:hAnsi="Verdana"/>
          <w:i/>
          <w:sz w:val="16"/>
          <w:szCs w:val="16"/>
        </w:rPr>
        <w:t>Asunto Alvarado Reyes y otros</w:t>
      </w:r>
      <w:r w:rsidRPr="00432ABC">
        <w:rPr>
          <w:rFonts w:ascii="Verdana" w:hAnsi="Verdana"/>
          <w:sz w:val="16"/>
          <w:szCs w:val="16"/>
        </w:rPr>
        <w:t>.</w:t>
      </w:r>
      <w:r w:rsidRPr="00B25027">
        <w:rPr>
          <w:rFonts w:ascii="Verdana" w:hAnsi="Verdana"/>
          <w:sz w:val="16"/>
          <w:szCs w:val="16"/>
        </w:rPr>
        <w:t xml:space="preserve"> Resolución de 15 de mayo de 2011</w:t>
      </w:r>
      <w:r>
        <w:rPr>
          <w:rFonts w:ascii="Verdana" w:hAnsi="Verdana"/>
          <w:sz w:val="16"/>
          <w:szCs w:val="16"/>
        </w:rPr>
        <w:t xml:space="preserve">. </w:t>
      </w:r>
      <w:r>
        <w:rPr>
          <w:rFonts w:ascii="Verdana" w:hAnsi="Verdana"/>
          <w:i/>
          <w:sz w:val="16"/>
          <w:szCs w:val="16"/>
        </w:rPr>
        <w:t>s</w:t>
      </w:r>
      <w:r w:rsidRPr="00432ABC">
        <w:rPr>
          <w:rFonts w:ascii="Verdana" w:hAnsi="Verdana"/>
          <w:i/>
          <w:sz w:val="16"/>
          <w:szCs w:val="16"/>
        </w:rPr>
        <w:t>upra</w:t>
      </w:r>
      <w:r w:rsidRPr="00432ABC">
        <w:rPr>
          <w:rFonts w:ascii="Verdana" w:hAnsi="Verdana"/>
          <w:sz w:val="16"/>
          <w:szCs w:val="16"/>
        </w:rPr>
        <w:t xml:space="preserve">, </w:t>
      </w:r>
      <w:r>
        <w:rPr>
          <w:rFonts w:ascii="Verdana" w:hAnsi="Verdana"/>
          <w:sz w:val="16"/>
          <w:szCs w:val="16"/>
        </w:rPr>
        <w:t>P</w:t>
      </w:r>
      <w:r w:rsidRPr="00432ABC">
        <w:rPr>
          <w:rFonts w:ascii="Verdana" w:hAnsi="Verdana"/>
          <w:sz w:val="16"/>
          <w:szCs w:val="16"/>
        </w:rPr>
        <w:t xml:space="preserve">untos </w:t>
      </w:r>
      <w:r>
        <w:rPr>
          <w:rFonts w:ascii="Verdana" w:hAnsi="Verdana"/>
          <w:sz w:val="16"/>
          <w:szCs w:val="16"/>
        </w:rPr>
        <w:t>R</w:t>
      </w:r>
      <w:r w:rsidRPr="00432ABC">
        <w:rPr>
          <w:rFonts w:ascii="Verdana" w:hAnsi="Verdana"/>
          <w:sz w:val="16"/>
          <w:szCs w:val="16"/>
        </w:rPr>
        <w:t>esolutivos 1, 2, 3, 4, 6 y 7.</w:t>
      </w:r>
    </w:p>
  </w:footnote>
  <w:footnote w:id="345">
    <w:p w14:paraId="30350AA4" w14:textId="7FF18787"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8D0846">
        <w:rPr>
          <w:rFonts w:ascii="Verdana" w:hAnsi="Verdana"/>
          <w:i/>
          <w:sz w:val="16"/>
          <w:szCs w:val="16"/>
        </w:rPr>
        <w:t xml:space="preserve">Asunto Alvarado Reyes y otros. Medidas Provisionales respecto </w:t>
      </w:r>
      <w:r w:rsidRPr="008178CA">
        <w:rPr>
          <w:rFonts w:ascii="Verdana" w:hAnsi="Verdana"/>
          <w:i/>
          <w:sz w:val="16"/>
          <w:szCs w:val="16"/>
        </w:rPr>
        <w:t>Méxic</w:t>
      </w:r>
      <w:r>
        <w:rPr>
          <w:rFonts w:ascii="Verdana" w:hAnsi="Verdana"/>
          <w:i/>
          <w:sz w:val="16"/>
          <w:szCs w:val="16"/>
        </w:rPr>
        <w:t>o</w:t>
      </w:r>
      <w:r w:rsidRPr="002C462C">
        <w:rPr>
          <w:rFonts w:ascii="Verdana" w:hAnsi="Verdana"/>
          <w:sz w:val="16"/>
          <w:szCs w:val="16"/>
        </w:rPr>
        <w:t>. Resolución del 23 de noviembre de 2012, párrs. 5 a 7.</w:t>
      </w:r>
    </w:p>
  </w:footnote>
  <w:footnote w:id="346">
    <w:p w14:paraId="7DE60BF8" w14:textId="61C3017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i/>
          <w:sz w:val="16"/>
          <w:szCs w:val="16"/>
        </w:rPr>
        <w:t>Asunto Alvarado Reyes. Medidas Provisionales respecto de México</w:t>
      </w:r>
      <w:r w:rsidRPr="00432ABC">
        <w:rPr>
          <w:rFonts w:ascii="Verdana" w:hAnsi="Verdana"/>
          <w:sz w:val="16"/>
          <w:szCs w:val="16"/>
        </w:rPr>
        <w:t xml:space="preserve">. </w:t>
      </w:r>
      <w:r w:rsidRPr="00432ABC">
        <w:rPr>
          <w:rFonts w:ascii="Verdana" w:hAnsi="Verdana" w:cs="Verdana"/>
          <w:color w:val="000000"/>
          <w:sz w:val="16"/>
          <w:szCs w:val="16"/>
        </w:rPr>
        <w:t xml:space="preserve">Resolución de </w:t>
      </w:r>
      <w:r w:rsidRPr="00432ABC">
        <w:rPr>
          <w:rFonts w:ascii="Verdana" w:hAnsi="Verdana"/>
          <w:sz w:val="16"/>
          <w:szCs w:val="16"/>
        </w:rPr>
        <w:t>23 de noviembre de 2012</w:t>
      </w:r>
      <w:r w:rsidRPr="00432ABC">
        <w:rPr>
          <w:rFonts w:ascii="Verdana" w:hAnsi="Verdana"/>
          <w:i/>
          <w:sz w:val="16"/>
          <w:szCs w:val="16"/>
        </w:rPr>
        <w:t xml:space="preserve">, </w:t>
      </w:r>
      <w:r w:rsidRPr="00432ABC">
        <w:rPr>
          <w:rFonts w:ascii="Verdana" w:hAnsi="Verdana"/>
          <w:sz w:val="16"/>
          <w:szCs w:val="16"/>
        </w:rPr>
        <w:t>Considerando 17, inciso f)</w:t>
      </w:r>
      <w:r>
        <w:rPr>
          <w:rFonts w:ascii="Verdana" w:hAnsi="Verdana"/>
          <w:sz w:val="16"/>
          <w:szCs w:val="16"/>
        </w:rPr>
        <w:t xml:space="preserve">, y </w:t>
      </w:r>
      <w:r w:rsidRPr="002C462C">
        <w:rPr>
          <w:rFonts w:ascii="Verdana" w:hAnsi="Verdana"/>
          <w:sz w:val="16"/>
          <w:szCs w:val="16"/>
        </w:rPr>
        <w:t xml:space="preserve">Declaración rendida ante la Corte por Jaime Alvarado Herrera en la Audiencia Pública, </w:t>
      </w:r>
      <w:r w:rsidRPr="00432ABC">
        <w:rPr>
          <w:rFonts w:ascii="Verdana" w:hAnsi="Verdana"/>
          <w:i/>
          <w:sz w:val="16"/>
          <w:szCs w:val="16"/>
        </w:rPr>
        <w:t>supra</w:t>
      </w:r>
      <w:r w:rsidRPr="00432ABC">
        <w:rPr>
          <w:rFonts w:ascii="Verdana" w:hAnsi="Verdana"/>
          <w:sz w:val="16"/>
          <w:szCs w:val="16"/>
        </w:rPr>
        <w:t>, pág. 34.</w:t>
      </w:r>
    </w:p>
  </w:footnote>
  <w:footnote w:id="347">
    <w:p w14:paraId="7D66137D" w14:textId="6012623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Escrito del Estado de 28 de enero de 2014 enviado en el marco de la implementación de las Medidas Provisionales otorgadas por la Corte en el </w:t>
      </w:r>
      <w:r w:rsidRPr="00432ABC">
        <w:rPr>
          <w:rFonts w:ascii="Verdana" w:hAnsi="Verdana"/>
          <w:i/>
          <w:sz w:val="16"/>
          <w:szCs w:val="16"/>
        </w:rPr>
        <w:t xml:space="preserve">Asunto Alvarado Reyes y otros respecto de </w:t>
      </w:r>
      <w:r>
        <w:rPr>
          <w:rFonts w:ascii="Verdana" w:hAnsi="Verdana"/>
          <w:i/>
          <w:sz w:val="16"/>
          <w:szCs w:val="16"/>
        </w:rPr>
        <w:t>México</w:t>
      </w:r>
      <w:r w:rsidRPr="00432ABC">
        <w:rPr>
          <w:rFonts w:ascii="Verdana" w:hAnsi="Verdana"/>
          <w:sz w:val="16"/>
          <w:szCs w:val="16"/>
        </w:rPr>
        <w:t xml:space="preserve"> el 23 de noviembre de 2012 (expediente de prueba, f. 2250).</w:t>
      </w:r>
    </w:p>
  </w:footnote>
  <w:footnote w:id="348">
    <w:p w14:paraId="50069FEA" w14:textId="0A1B293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Declaración de Sandra Luz Rueda Quezada rendida el 15 de noviembre de 2013 ante el AMP de la Unida</w:t>
      </w:r>
      <w:r w:rsidRPr="002C462C">
        <w:rPr>
          <w:rFonts w:ascii="Verdana" w:hAnsi="Verdana"/>
          <w:sz w:val="16"/>
          <w:szCs w:val="16"/>
        </w:rPr>
        <w:t xml:space="preserve">d Especializada de Delitos contra la Integridad Física y Daños de la PGJE –Chihuahua (expediente de prueba, f. 29054), y </w:t>
      </w:r>
      <w:r w:rsidRPr="00432ABC">
        <w:rPr>
          <w:rFonts w:ascii="Verdana" w:hAnsi="Verdana"/>
          <w:i/>
          <w:sz w:val="16"/>
          <w:szCs w:val="16"/>
        </w:rPr>
        <w:t>Asunto Alvarado Reyes. Medidas Provisionales respecto de México</w:t>
      </w:r>
      <w:r w:rsidRPr="00432ABC">
        <w:rPr>
          <w:rFonts w:ascii="Verdana" w:hAnsi="Verdana"/>
          <w:sz w:val="16"/>
          <w:szCs w:val="16"/>
        </w:rPr>
        <w:t xml:space="preserve">. </w:t>
      </w:r>
      <w:r w:rsidRPr="00432ABC">
        <w:rPr>
          <w:rFonts w:ascii="Verdana" w:hAnsi="Verdana" w:cs="Verdana"/>
          <w:color w:val="000000"/>
          <w:sz w:val="16"/>
          <w:szCs w:val="16"/>
        </w:rPr>
        <w:t xml:space="preserve">Resolución de </w:t>
      </w:r>
      <w:r w:rsidRPr="00432ABC">
        <w:rPr>
          <w:rFonts w:ascii="Verdana" w:hAnsi="Verdana" w:cs="Verdana"/>
          <w:sz w:val="16"/>
          <w:szCs w:val="16"/>
          <w:lang w:val="es-ES"/>
        </w:rPr>
        <w:t xml:space="preserve"> </w:t>
      </w:r>
      <w:r w:rsidRPr="00432ABC">
        <w:rPr>
          <w:rFonts w:ascii="Verdana" w:hAnsi="Verdana"/>
          <w:sz w:val="16"/>
          <w:szCs w:val="16"/>
        </w:rPr>
        <w:t>23 de noviembre de 2012,</w:t>
      </w:r>
      <w:r w:rsidRPr="00432ABC">
        <w:rPr>
          <w:rFonts w:ascii="Verdana" w:hAnsi="Verdana"/>
          <w:i/>
          <w:sz w:val="16"/>
          <w:szCs w:val="16"/>
        </w:rPr>
        <w:t xml:space="preserve"> supra. </w:t>
      </w:r>
      <w:r w:rsidRPr="00432ABC">
        <w:rPr>
          <w:rFonts w:ascii="Verdana" w:hAnsi="Verdana"/>
          <w:sz w:val="16"/>
          <w:szCs w:val="16"/>
        </w:rPr>
        <w:t>Considerando 17, inciso g)</w:t>
      </w:r>
      <w:r w:rsidRPr="00432ABC">
        <w:rPr>
          <w:rFonts w:ascii="Verdana" w:hAnsi="Verdana"/>
          <w:i/>
          <w:sz w:val="16"/>
          <w:szCs w:val="16"/>
        </w:rPr>
        <w:t>.</w:t>
      </w:r>
      <w:r w:rsidRPr="00432ABC">
        <w:rPr>
          <w:rFonts w:ascii="Verdana" w:hAnsi="Verdana"/>
          <w:sz w:val="16"/>
          <w:szCs w:val="16"/>
        </w:rPr>
        <w:t xml:space="preserve"> </w:t>
      </w:r>
    </w:p>
  </w:footnote>
  <w:footnote w:id="349">
    <w:p w14:paraId="2931B770" w14:textId="62A82160"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Declaración de Sandra Luz Rueda Quezada rendida el 19 de abril de 2018 (expediente de prueba,</w:t>
      </w:r>
      <w:r w:rsidRPr="008D0846">
        <w:rPr>
          <w:rFonts w:ascii="Verdana" w:hAnsi="Verdana"/>
          <w:i/>
          <w:sz w:val="16"/>
          <w:szCs w:val="16"/>
        </w:rPr>
        <w:t xml:space="preserve"> </w:t>
      </w:r>
      <w:r w:rsidRPr="00453199">
        <w:rPr>
          <w:rFonts w:ascii="Verdana" w:hAnsi="Verdana"/>
          <w:i/>
          <w:sz w:val="16"/>
        </w:rPr>
        <w:t>Affidávits</w:t>
      </w:r>
      <w:r w:rsidRPr="00432ABC">
        <w:rPr>
          <w:rFonts w:ascii="Verdana" w:hAnsi="Verdana"/>
          <w:sz w:val="16"/>
          <w:szCs w:val="16"/>
        </w:rPr>
        <w:t xml:space="preserve">, f. 30955).   </w:t>
      </w:r>
    </w:p>
  </w:footnote>
  <w:footnote w:id="350">
    <w:p w14:paraId="73571EF3" w14:textId="4BB96F1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Nota manus</w:t>
      </w:r>
      <w:r w:rsidRPr="00432ABC">
        <w:rPr>
          <w:rFonts w:ascii="Verdana" w:hAnsi="Verdana"/>
          <w:sz w:val="16"/>
          <w:szCs w:val="16"/>
        </w:rPr>
        <w:t xml:space="preserve">crita hallada en el lugar de los hechos el 28 de agosto de 2011 (expediente de prueba, </w:t>
      </w:r>
      <w:r>
        <w:rPr>
          <w:rFonts w:ascii="Verdana" w:hAnsi="Verdana"/>
          <w:sz w:val="16"/>
          <w:szCs w:val="16"/>
        </w:rPr>
        <w:t>e</w:t>
      </w:r>
      <w:r w:rsidRPr="00432ABC">
        <w:rPr>
          <w:rFonts w:ascii="Verdana" w:hAnsi="Verdana"/>
          <w:sz w:val="16"/>
          <w:szCs w:val="16"/>
        </w:rPr>
        <w:t xml:space="preserve">xpediente de trámite ante la CIDH, f. 3046).  </w:t>
      </w:r>
    </w:p>
  </w:footnote>
  <w:footnote w:id="351">
    <w:p w14:paraId="704B3341" w14:textId="60C594A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Oficio No. V2/56240 de 31 de agosto de 2011 suscrito por el Segundo Visitador General, dirigido al Fiscal General</w:t>
      </w:r>
      <w:r w:rsidRPr="00432ABC">
        <w:rPr>
          <w:rFonts w:ascii="Verdana" w:hAnsi="Verdana"/>
          <w:sz w:val="16"/>
          <w:szCs w:val="16"/>
        </w:rPr>
        <w:t xml:space="preserve"> del Estado de Chihuahua (expediente de prueba, ff. 4647 a 4648).</w:t>
      </w:r>
    </w:p>
  </w:footnote>
  <w:footnote w:id="352">
    <w:p w14:paraId="0FFA42DF" w14:textId="77777777"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Oficio No. SSP/SPPC/DGDH/6557/2011 de 2 de septiembre de 2011, del Director General de Derechos Humanos de la Secretaría de Seguridad Pública Federal, dirigido al Segundo Visitador de la</w:t>
      </w:r>
      <w:r w:rsidRPr="002C462C">
        <w:rPr>
          <w:rFonts w:ascii="Verdana" w:hAnsi="Verdana"/>
          <w:sz w:val="16"/>
          <w:szCs w:val="16"/>
        </w:rPr>
        <w:t xml:space="preserve"> CNDH (expediente de prueba, ff. 4642 a 4643). </w:t>
      </w:r>
    </w:p>
  </w:footnote>
  <w:footnote w:id="353">
    <w:p w14:paraId="0EE41B0A" w14:textId="3D7EC65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Oficio No. SJAI/CAIA/DGCI/45190/2011 de 20 de septiembre de 2011 de la Dirección General de Cooperación Internacional de la PGR, dirigido a la Titular de la UPDDH – SEGOB (expediente de prueba, </w:t>
      </w:r>
      <w:r w:rsidRPr="00432ABC">
        <w:rPr>
          <w:rFonts w:ascii="Verdana" w:hAnsi="Verdana"/>
          <w:sz w:val="16"/>
          <w:szCs w:val="16"/>
        </w:rPr>
        <w:t xml:space="preserve">f. 2299). </w:t>
      </w:r>
    </w:p>
  </w:footnote>
  <w:footnote w:id="354">
    <w:p w14:paraId="5FEE00AF" w14:textId="35484829"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w:t>
      </w:r>
      <w:r>
        <w:rPr>
          <w:rFonts w:ascii="Verdana" w:hAnsi="Verdana"/>
          <w:sz w:val="16"/>
          <w:szCs w:val="16"/>
        </w:rPr>
        <w:t>D.A.E.</w:t>
      </w:r>
      <w:r w:rsidRPr="002C462C">
        <w:rPr>
          <w:rFonts w:ascii="Verdana" w:hAnsi="Verdana"/>
          <w:sz w:val="16"/>
          <w:szCs w:val="16"/>
        </w:rPr>
        <w:t xml:space="preserve"> rendida el 18 de abril de 2018 (expediente de prueba, </w:t>
      </w:r>
      <w:r w:rsidRPr="00453199">
        <w:rPr>
          <w:rFonts w:ascii="Verdana" w:hAnsi="Verdana"/>
          <w:i/>
          <w:sz w:val="16"/>
        </w:rPr>
        <w:t>Affidávits</w:t>
      </w:r>
      <w:r w:rsidRPr="002C462C">
        <w:rPr>
          <w:rFonts w:ascii="Verdana" w:hAnsi="Verdana"/>
          <w:sz w:val="16"/>
          <w:szCs w:val="16"/>
        </w:rPr>
        <w:t xml:space="preserve">, f. 30890). </w:t>
      </w:r>
    </w:p>
  </w:footnote>
  <w:footnote w:id="355">
    <w:p w14:paraId="489D204D" w14:textId="1DBAFE7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Declaraciones rendidas el 18 de abril</w:t>
      </w:r>
      <w:r w:rsidRPr="00432ABC">
        <w:rPr>
          <w:rFonts w:ascii="Verdana" w:hAnsi="Verdana"/>
          <w:sz w:val="16"/>
          <w:szCs w:val="16"/>
        </w:rPr>
        <w:t xml:space="preserve"> de 2018 por: </w:t>
      </w:r>
      <w:r>
        <w:rPr>
          <w:rFonts w:ascii="Verdana" w:hAnsi="Verdana"/>
          <w:sz w:val="16"/>
          <w:szCs w:val="16"/>
        </w:rPr>
        <w:t>D.A.E.</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f. 30890; </w:t>
      </w:r>
      <w:r>
        <w:rPr>
          <w:rFonts w:ascii="Verdana" w:hAnsi="Verdana"/>
          <w:sz w:val="16"/>
          <w:szCs w:val="16"/>
        </w:rPr>
        <w:t>M.P.A.E.</w:t>
      </w:r>
      <w:r w:rsidRPr="00432ABC">
        <w:rPr>
          <w:rFonts w:ascii="Verdana" w:hAnsi="Verdana"/>
          <w:sz w:val="16"/>
          <w:szCs w:val="16"/>
        </w:rPr>
        <w:t xml:space="preserve"> (expediente de prueba, </w:t>
      </w:r>
      <w:r w:rsidRPr="00453199">
        <w:rPr>
          <w:rFonts w:ascii="Verdana" w:hAnsi="Verdana"/>
          <w:i/>
          <w:sz w:val="16"/>
        </w:rPr>
        <w:t>Affidávits</w:t>
      </w:r>
      <w:r w:rsidRPr="00432ABC">
        <w:rPr>
          <w:rFonts w:ascii="Verdana" w:hAnsi="Verdana"/>
          <w:sz w:val="16"/>
          <w:szCs w:val="16"/>
        </w:rPr>
        <w:t xml:space="preserve">, f. 30896), y </w:t>
      </w:r>
      <w:r>
        <w:rPr>
          <w:rFonts w:ascii="Verdana" w:hAnsi="Verdana"/>
          <w:sz w:val="16"/>
          <w:szCs w:val="16"/>
        </w:rPr>
        <w:t>N.S.A.E.</w:t>
      </w:r>
      <w:r w:rsidRPr="00432ABC">
        <w:rPr>
          <w:rFonts w:ascii="Verdana" w:hAnsi="Verdana"/>
          <w:sz w:val="16"/>
          <w:szCs w:val="16"/>
        </w:rPr>
        <w:t xml:space="preserve"> (expediente de prueba, </w:t>
      </w:r>
      <w:r w:rsidRPr="00453199">
        <w:rPr>
          <w:rFonts w:ascii="Verdana" w:hAnsi="Verdana"/>
          <w:i/>
          <w:sz w:val="16"/>
        </w:rPr>
        <w:t>Affidávits</w:t>
      </w:r>
      <w:r w:rsidRPr="00432ABC">
        <w:rPr>
          <w:rFonts w:ascii="Verdana" w:hAnsi="Verdana"/>
          <w:sz w:val="16"/>
          <w:szCs w:val="16"/>
        </w:rPr>
        <w:t xml:space="preserve">, f. 30903). </w:t>
      </w:r>
    </w:p>
  </w:footnote>
  <w:footnote w:id="356">
    <w:p w14:paraId="4EED04EF" w14:textId="5D7D2C8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 xml:space="preserve">Declaraciones rendidas el 18 de abril de 2018 por: </w:t>
      </w:r>
      <w:r>
        <w:rPr>
          <w:rFonts w:ascii="Verdana" w:hAnsi="Verdana"/>
          <w:sz w:val="16"/>
          <w:szCs w:val="16"/>
        </w:rPr>
        <w:t>D.A.E.</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w:t>
      </w:r>
      <w:r>
        <w:rPr>
          <w:rFonts w:ascii="Verdana" w:hAnsi="Verdana"/>
          <w:sz w:val="16"/>
          <w:szCs w:val="16"/>
        </w:rPr>
        <w:t xml:space="preserve"> (expediente de prueba, </w:t>
      </w:r>
      <w:r w:rsidRPr="00432ABC">
        <w:rPr>
          <w:rFonts w:ascii="Verdana" w:hAnsi="Verdana"/>
          <w:sz w:val="16"/>
          <w:szCs w:val="16"/>
        </w:rPr>
        <w:t xml:space="preserve"> f. 30890</w:t>
      </w:r>
      <w:r>
        <w:rPr>
          <w:rFonts w:ascii="Verdana" w:hAnsi="Verdana"/>
          <w:sz w:val="16"/>
          <w:szCs w:val="16"/>
        </w:rPr>
        <w:t>)</w:t>
      </w:r>
      <w:r w:rsidRPr="00432ABC">
        <w:rPr>
          <w:rFonts w:ascii="Verdana" w:hAnsi="Verdana"/>
          <w:sz w:val="16"/>
          <w:szCs w:val="16"/>
        </w:rPr>
        <w:t>;</w:t>
      </w:r>
      <w:r w:rsidRPr="00432ABC">
        <w:rPr>
          <w:rFonts w:ascii="Verdana" w:eastAsiaTheme="minorHAnsi" w:hAnsi="Verdana"/>
          <w:sz w:val="16"/>
          <w:szCs w:val="16"/>
        </w:rPr>
        <w:t xml:space="preserve"> </w:t>
      </w:r>
      <w:r>
        <w:rPr>
          <w:rFonts w:ascii="Verdana" w:hAnsi="Verdana"/>
          <w:sz w:val="16"/>
          <w:szCs w:val="16"/>
        </w:rPr>
        <w:t>M.P.A.E.</w:t>
      </w:r>
      <w:r w:rsidRPr="00432ABC">
        <w:rPr>
          <w:rFonts w:ascii="Verdana" w:hAnsi="Verdana"/>
          <w:sz w:val="16"/>
          <w:szCs w:val="16"/>
        </w:rPr>
        <w:t xml:space="preserve">, </w:t>
      </w:r>
      <w:r>
        <w:rPr>
          <w:rFonts w:ascii="Verdana" w:hAnsi="Verdana"/>
          <w:sz w:val="16"/>
          <w:szCs w:val="16"/>
        </w:rPr>
        <w:t>(</w:t>
      </w:r>
      <w:r w:rsidRPr="00432ABC">
        <w:rPr>
          <w:rFonts w:ascii="Verdana" w:hAnsi="Verdana"/>
          <w:i/>
          <w:sz w:val="16"/>
          <w:szCs w:val="16"/>
        </w:rPr>
        <w:t>supra</w:t>
      </w:r>
      <w:r w:rsidRPr="00432ABC">
        <w:rPr>
          <w:rFonts w:ascii="Verdana" w:hAnsi="Verdana"/>
          <w:sz w:val="16"/>
          <w:szCs w:val="16"/>
        </w:rPr>
        <w:t>, f. 30897</w:t>
      </w:r>
      <w:r>
        <w:rPr>
          <w:rFonts w:ascii="Verdana" w:hAnsi="Verdana"/>
          <w:sz w:val="16"/>
          <w:szCs w:val="16"/>
        </w:rPr>
        <w:t>)</w:t>
      </w:r>
      <w:r w:rsidRPr="00432ABC">
        <w:rPr>
          <w:rFonts w:ascii="Verdana" w:hAnsi="Verdana"/>
          <w:sz w:val="16"/>
          <w:szCs w:val="16"/>
        </w:rPr>
        <w:t xml:space="preserve">, y </w:t>
      </w:r>
      <w:r>
        <w:rPr>
          <w:rFonts w:ascii="Verdana" w:hAnsi="Verdana"/>
          <w:sz w:val="16"/>
          <w:szCs w:val="16"/>
        </w:rPr>
        <w:t>N.S.A.E.,</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30904).</w:t>
      </w:r>
    </w:p>
  </w:footnote>
  <w:footnote w:id="357">
    <w:p w14:paraId="75E3324B" w14:textId="6002FD7C" w:rsidR="00146958" w:rsidRPr="00432ABC" w:rsidRDefault="00146958" w:rsidP="00DB378B">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w:t>
      </w:r>
      <w:r>
        <w:rPr>
          <w:rFonts w:ascii="Verdana" w:hAnsi="Verdana"/>
          <w:sz w:val="16"/>
          <w:szCs w:val="16"/>
        </w:rPr>
        <w:t>D.A.E.</w:t>
      </w:r>
      <w:r w:rsidRPr="002C462C">
        <w:rPr>
          <w:rFonts w:ascii="Verdana" w:hAnsi="Verdana"/>
          <w:sz w:val="16"/>
          <w:szCs w:val="16"/>
        </w:rPr>
        <w:t xml:space="preserve"> rendida </w:t>
      </w:r>
      <w:r w:rsidRPr="00432ABC">
        <w:rPr>
          <w:rFonts w:ascii="Verdana" w:hAnsi="Verdana"/>
          <w:sz w:val="16"/>
          <w:szCs w:val="16"/>
        </w:rPr>
        <w:t xml:space="preserve">el 18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30891</w:t>
      </w:r>
      <w:r>
        <w:rPr>
          <w:rFonts w:ascii="Verdana" w:hAnsi="Verdana"/>
          <w:sz w:val="16"/>
          <w:szCs w:val="16"/>
        </w:rPr>
        <w:t>)</w:t>
      </w:r>
      <w:r w:rsidRPr="00432ABC">
        <w:rPr>
          <w:rFonts w:ascii="Verdana" w:hAnsi="Verdana"/>
          <w:sz w:val="16"/>
          <w:szCs w:val="16"/>
        </w:rPr>
        <w:t xml:space="preserve">. </w:t>
      </w:r>
    </w:p>
  </w:footnote>
  <w:footnote w:id="358">
    <w:p w14:paraId="280D4F8C" w14:textId="7DAFE75C" w:rsidR="00146958" w:rsidRPr="00432ABC" w:rsidRDefault="00146958" w:rsidP="00432ABC">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w:t>
      </w:r>
      <w:r>
        <w:rPr>
          <w:rFonts w:ascii="Verdana" w:hAnsi="Verdana"/>
          <w:sz w:val="16"/>
          <w:szCs w:val="16"/>
        </w:rPr>
        <w:t>M.P.A.E.</w:t>
      </w:r>
      <w:r w:rsidRPr="002C462C">
        <w:rPr>
          <w:rFonts w:ascii="Verdana" w:hAnsi="Verdana"/>
          <w:sz w:val="16"/>
          <w:szCs w:val="16"/>
        </w:rPr>
        <w:t xml:space="preserve"> rendida el 18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30897</w:t>
      </w:r>
      <w:r>
        <w:rPr>
          <w:rFonts w:ascii="Verdana" w:hAnsi="Verdana"/>
          <w:sz w:val="16"/>
          <w:szCs w:val="16"/>
        </w:rPr>
        <w:t>).</w:t>
      </w:r>
    </w:p>
  </w:footnote>
  <w:footnote w:id="359">
    <w:p w14:paraId="21B181B5" w14:textId="550C5C79" w:rsidR="00146958" w:rsidRPr="00432ABC" w:rsidRDefault="00146958" w:rsidP="002C462C">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Declaraciones rendidas el 18 de abril de 2018 por: </w:t>
      </w:r>
      <w:r>
        <w:rPr>
          <w:rFonts w:ascii="Verdana" w:hAnsi="Verdana"/>
          <w:sz w:val="16"/>
          <w:szCs w:val="16"/>
        </w:rPr>
        <w:t>D.A.E.</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w:t>
      </w:r>
      <w:r w:rsidRPr="00432ABC">
        <w:rPr>
          <w:rFonts w:ascii="Verdana" w:hAnsi="Verdana"/>
          <w:sz w:val="16"/>
          <w:szCs w:val="16"/>
        </w:rPr>
        <w:t>f. 30891</w:t>
      </w:r>
      <w:r>
        <w:rPr>
          <w:rFonts w:ascii="Verdana" w:hAnsi="Verdana"/>
          <w:sz w:val="16"/>
          <w:szCs w:val="16"/>
        </w:rPr>
        <w:t>)</w:t>
      </w:r>
      <w:r w:rsidRPr="00432ABC">
        <w:rPr>
          <w:rFonts w:ascii="Verdana" w:eastAsiaTheme="minorHAnsi" w:hAnsi="Verdana"/>
          <w:i/>
          <w:sz w:val="16"/>
          <w:szCs w:val="16"/>
        </w:rPr>
        <w:t xml:space="preserve">, </w:t>
      </w:r>
      <w:r w:rsidRPr="00432ABC">
        <w:rPr>
          <w:rFonts w:ascii="Verdana" w:eastAsiaTheme="minorHAnsi" w:hAnsi="Verdana"/>
          <w:sz w:val="16"/>
          <w:szCs w:val="16"/>
        </w:rPr>
        <w:t xml:space="preserve">y </w:t>
      </w:r>
      <w:r>
        <w:rPr>
          <w:rFonts w:ascii="Verdana" w:hAnsi="Verdana"/>
          <w:sz w:val="16"/>
          <w:szCs w:val="16"/>
        </w:rPr>
        <w:t>M.P.A.E.</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30897</w:t>
      </w:r>
      <w:r>
        <w:rPr>
          <w:rFonts w:ascii="Verdana" w:hAnsi="Verdana"/>
          <w:sz w:val="16"/>
          <w:szCs w:val="16"/>
        </w:rPr>
        <w:t>)</w:t>
      </w:r>
      <w:r w:rsidRPr="00432ABC">
        <w:rPr>
          <w:rFonts w:ascii="Verdana" w:hAnsi="Verdana"/>
          <w:sz w:val="16"/>
          <w:szCs w:val="16"/>
        </w:rPr>
        <w:t>.</w:t>
      </w:r>
    </w:p>
  </w:footnote>
  <w:footnote w:id="360">
    <w:p w14:paraId="31C9BA0C" w14:textId="19A22B09" w:rsidR="00146958" w:rsidRPr="00432ABC" w:rsidRDefault="00146958" w:rsidP="002C462C">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w:t>
      </w:r>
      <w:r>
        <w:rPr>
          <w:rFonts w:ascii="Verdana" w:hAnsi="Verdana"/>
          <w:sz w:val="16"/>
          <w:szCs w:val="16"/>
        </w:rPr>
        <w:t>D.A.E.</w:t>
      </w:r>
      <w:r w:rsidRPr="002C462C">
        <w:rPr>
          <w:rFonts w:ascii="Verdana" w:hAnsi="Verdana"/>
          <w:sz w:val="16"/>
          <w:szCs w:val="16"/>
        </w:rPr>
        <w:t xml:space="preserve"> </w:t>
      </w:r>
      <w:r>
        <w:rPr>
          <w:rFonts w:ascii="Verdana" w:hAnsi="Verdana"/>
          <w:sz w:val="16"/>
          <w:szCs w:val="16"/>
        </w:rPr>
        <w:t xml:space="preserve">rendida </w:t>
      </w:r>
      <w:r w:rsidRPr="002C462C">
        <w:rPr>
          <w:rFonts w:ascii="Verdana" w:hAnsi="Verdana"/>
          <w:sz w:val="16"/>
          <w:szCs w:val="16"/>
        </w:rPr>
        <w:t xml:space="preserve">el 18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30891</w:t>
      </w:r>
      <w:r>
        <w:rPr>
          <w:rFonts w:ascii="Verdana" w:hAnsi="Verdana"/>
          <w:sz w:val="16"/>
          <w:szCs w:val="16"/>
        </w:rPr>
        <w:t>)</w:t>
      </w:r>
      <w:r w:rsidRPr="00432ABC">
        <w:rPr>
          <w:rFonts w:ascii="Verdana" w:hAnsi="Verdana"/>
          <w:sz w:val="16"/>
          <w:szCs w:val="16"/>
        </w:rPr>
        <w:t>.</w:t>
      </w:r>
    </w:p>
  </w:footnote>
  <w:footnote w:id="361">
    <w:p w14:paraId="22F3282A" w14:textId="7231CCE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pericial de Carlos Martín</w:t>
      </w:r>
      <w:r w:rsidRPr="00432ABC">
        <w:rPr>
          <w:rFonts w:ascii="Verdana" w:hAnsi="Verdana"/>
          <w:sz w:val="16"/>
          <w:szCs w:val="16"/>
        </w:rPr>
        <w:t xml:space="preserve"> Beristáin rendida </w:t>
      </w:r>
      <w:r>
        <w:rPr>
          <w:rFonts w:ascii="Verdana" w:hAnsi="Verdana"/>
          <w:sz w:val="16"/>
          <w:szCs w:val="16"/>
        </w:rPr>
        <w:t>el</w:t>
      </w:r>
      <w:r w:rsidRPr="00432ABC">
        <w:rPr>
          <w:rFonts w:ascii="Verdana" w:hAnsi="Verdana"/>
          <w:sz w:val="16"/>
          <w:szCs w:val="16"/>
        </w:rPr>
        <w:t xml:space="preserve"> 16 de abril de 2018</w:t>
      </w:r>
      <w:r w:rsidRPr="00432ABC">
        <w:rPr>
          <w:rFonts w:ascii="Verdana" w:hAnsi="Verdana"/>
          <w:i/>
          <w:sz w:val="16"/>
          <w:szCs w:val="16"/>
        </w:rPr>
        <w:t xml:space="preserve"> </w:t>
      </w:r>
      <w:r w:rsidRPr="00432ABC">
        <w:rPr>
          <w:rFonts w:ascii="Verdana" w:hAnsi="Verdana"/>
          <w:sz w:val="16"/>
          <w:szCs w:val="16"/>
        </w:rPr>
        <w:t xml:space="preserve">(expediente de prueba, </w:t>
      </w:r>
      <w:r w:rsidRPr="00453199">
        <w:rPr>
          <w:rFonts w:ascii="Verdana" w:hAnsi="Verdana"/>
          <w:i/>
          <w:sz w:val="16"/>
        </w:rPr>
        <w:t>Affidávits</w:t>
      </w:r>
      <w:r w:rsidRPr="00432ABC">
        <w:rPr>
          <w:rFonts w:ascii="Verdana" w:hAnsi="Verdana"/>
          <w:sz w:val="16"/>
          <w:szCs w:val="16"/>
        </w:rPr>
        <w:t xml:space="preserve">, f. 31013). Asimismo, </w:t>
      </w:r>
      <w:r w:rsidRPr="00CD5C54">
        <w:rPr>
          <w:rFonts w:ascii="Verdana" w:hAnsi="Verdana"/>
          <w:i/>
          <w:sz w:val="16"/>
          <w:szCs w:val="16"/>
        </w:rPr>
        <w:t>Cfr.</w:t>
      </w:r>
      <w:r w:rsidRPr="00432ABC">
        <w:rPr>
          <w:rFonts w:ascii="Verdana" w:hAnsi="Verdana"/>
          <w:sz w:val="16"/>
          <w:szCs w:val="16"/>
        </w:rPr>
        <w:t xml:space="preserve"> Declaraciones rendidas el 18 de abril de 2018 por: </w:t>
      </w:r>
      <w:r>
        <w:rPr>
          <w:rFonts w:ascii="Verdana" w:hAnsi="Verdana"/>
          <w:sz w:val="16"/>
          <w:szCs w:val="16"/>
        </w:rPr>
        <w:t>D.A.E.</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w:t>
      </w:r>
      <w:r>
        <w:rPr>
          <w:rFonts w:ascii="Verdana" w:hAnsi="Verdana"/>
          <w:sz w:val="16"/>
          <w:szCs w:val="16"/>
        </w:rPr>
        <w:t>f</w:t>
      </w:r>
      <w:r w:rsidRPr="00432ABC">
        <w:rPr>
          <w:rFonts w:ascii="Verdana" w:hAnsi="Verdana"/>
          <w:sz w:val="16"/>
          <w:szCs w:val="16"/>
        </w:rPr>
        <w:t xml:space="preserve">. 30891 a </w:t>
      </w:r>
      <w:r w:rsidRPr="00432ABC">
        <w:rPr>
          <w:rFonts w:ascii="Verdana" w:hAnsi="Verdana"/>
          <w:sz w:val="16"/>
          <w:szCs w:val="16"/>
          <w:lang w:val="es-AR"/>
        </w:rPr>
        <w:t>30892</w:t>
      </w:r>
      <w:r>
        <w:rPr>
          <w:rFonts w:ascii="Verdana" w:hAnsi="Verdana"/>
          <w:sz w:val="16"/>
          <w:szCs w:val="16"/>
          <w:lang w:val="es-AR"/>
        </w:rPr>
        <w:t>)</w:t>
      </w:r>
      <w:r w:rsidRPr="00432ABC">
        <w:rPr>
          <w:rFonts w:ascii="Verdana" w:hAnsi="Verdana"/>
          <w:sz w:val="16"/>
          <w:szCs w:val="16"/>
        </w:rPr>
        <w:t xml:space="preserve">, y </w:t>
      </w:r>
      <w:r>
        <w:rPr>
          <w:rFonts w:ascii="Verdana" w:hAnsi="Verdana"/>
          <w:sz w:val="16"/>
          <w:szCs w:val="16"/>
        </w:rPr>
        <w:t>M.P.A.E.</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w:t>
      </w:r>
      <w:r>
        <w:rPr>
          <w:rFonts w:ascii="Verdana" w:hAnsi="Verdana"/>
          <w:sz w:val="16"/>
          <w:szCs w:val="16"/>
        </w:rPr>
        <w:t>f</w:t>
      </w:r>
      <w:r w:rsidRPr="00432ABC">
        <w:rPr>
          <w:rFonts w:ascii="Verdana" w:hAnsi="Verdana"/>
          <w:sz w:val="16"/>
          <w:szCs w:val="16"/>
        </w:rPr>
        <w:t>. 30897 a 30898</w:t>
      </w:r>
      <w:r>
        <w:rPr>
          <w:rFonts w:ascii="Verdana" w:hAnsi="Verdana"/>
          <w:sz w:val="16"/>
          <w:szCs w:val="16"/>
        </w:rPr>
        <w:t>)</w:t>
      </w:r>
      <w:r w:rsidRPr="00432ABC">
        <w:rPr>
          <w:rFonts w:ascii="Verdana" w:hAnsi="Verdana"/>
          <w:sz w:val="16"/>
          <w:szCs w:val="16"/>
        </w:rPr>
        <w:t xml:space="preserve">. De acuerdo con las respectivas declaraciones de estas últimas, </w:t>
      </w:r>
      <w:r w:rsidRPr="00432ABC">
        <w:rPr>
          <w:rFonts w:ascii="Verdana" w:hAnsi="Verdana" w:cs="Arial"/>
          <w:sz w:val="16"/>
          <w:szCs w:val="16"/>
          <w:lang w:val="es-AR"/>
        </w:rPr>
        <w:t xml:space="preserve">una vez que arribaron a El Paso, Texas, las tres hijas de Nitza Paola Alvarado fueron separadas del resto de sus familiares por las autoridades migratorias al tener la condición de “menores no acompañadas”, siendo trasladadas a un albergue en Phoenix, estado de Arizona, EUA, por un lapso de 2 meses. Una semana antes de que </w:t>
      </w:r>
      <w:r>
        <w:rPr>
          <w:rFonts w:ascii="Verdana" w:hAnsi="Verdana" w:cs="Arial"/>
          <w:sz w:val="16"/>
          <w:szCs w:val="16"/>
          <w:lang w:val="es-AR"/>
        </w:rPr>
        <w:t>N.S.A.E.</w:t>
      </w:r>
      <w:r w:rsidRPr="00432ABC">
        <w:rPr>
          <w:rFonts w:ascii="Verdana" w:hAnsi="Verdana" w:cs="Arial"/>
          <w:sz w:val="16"/>
          <w:szCs w:val="16"/>
          <w:lang w:val="es-AR"/>
        </w:rPr>
        <w:t xml:space="preserve"> y </w:t>
      </w:r>
      <w:r>
        <w:rPr>
          <w:rFonts w:ascii="Verdana" w:hAnsi="Verdana" w:cs="Arial"/>
          <w:sz w:val="16"/>
          <w:szCs w:val="16"/>
          <w:lang w:val="es-AR"/>
        </w:rPr>
        <w:t>M.P.A.E.</w:t>
      </w:r>
      <w:r w:rsidRPr="00432ABC">
        <w:rPr>
          <w:rFonts w:ascii="Verdana" w:hAnsi="Verdana" w:cs="Arial"/>
          <w:sz w:val="16"/>
          <w:szCs w:val="16"/>
          <w:lang w:val="es-AR"/>
        </w:rPr>
        <w:t xml:space="preserve"> cumplieran los 18 años de edad, fueron egresadas del albergue</w:t>
      </w:r>
      <w:r w:rsidRPr="00432ABC">
        <w:rPr>
          <w:rFonts w:ascii="Verdana" w:hAnsi="Verdana" w:cs="Arial"/>
          <w:sz w:val="16"/>
          <w:szCs w:val="16"/>
        </w:rPr>
        <w:t xml:space="preserve"> en el que se encontraban. </w:t>
      </w:r>
    </w:p>
  </w:footnote>
  <w:footnote w:id="362">
    <w:p w14:paraId="6558A9DF" w14:textId="0DEDF60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2C462C">
        <w:rPr>
          <w:rFonts w:ascii="Verdana" w:eastAsiaTheme="minorHAnsi" w:hAnsi="Verdana"/>
          <w:sz w:val="16"/>
          <w:szCs w:val="16"/>
        </w:rPr>
        <w:t xml:space="preserve"> </w:t>
      </w:r>
      <w:r w:rsidRPr="00CD5C54">
        <w:rPr>
          <w:rFonts w:ascii="Verdana" w:eastAsiaTheme="minorHAnsi" w:hAnsi="Verdana"/>
          <w:i/>
          <w:sz w:val="16"/>
          <w:szCs w:val="16"/>
        </w:rPr>
        <w:t>Cfr.</w:t>
      </w:r>
      <w:r w:rsidRPr="00432ABC">
        <w:rPr>
          <w:rFonts w:ascii="Verdana" w:eastAsiaTheme="minorHAnsi" w:hAnsi="Verdana"/>
          <w:sz w:val="16"/>
          <w:szCs w:val="16"/>
        </w:rPr>
        <w:t xml:space="preserve"> CNDH, </w:t>
      </w:r>
      <w:r w:rsidRPr="00432ABC">
        <w:rPr>
          <w:rFonts w:ascii="Verdana" w:eastAsiaTheme="minorHAnsi" w:hAnsi="Verdana"/>
          <w:i/>
          <w:sz w:val="16"/>
          <w:szCs w:val="16"/>
        </w:rPr>
        <w:t xml:space="preserve">Informe de riesgo de 23 de marzo de 2018, rendido en el marco de los solicitado en el Resolutivo 7 las Medidas Provisionales ordenadas por la Corte el 14 de </w:t>
      </w:r>
      <w:r w:rsidRPr="00432ABC">
        <w:rPr>
          <w:rFonts w:ascii="Verdana" w:eastAsiaTheme="minorHAnsi" w:hAnsi="Verdana"/>
          <w:bCs/>
          <w:i/>
          <w:sz w:val="16"/>
          <w:szCs w:val="16"/>
        </w:rPr>
        <w:t xml:space="preserve">noviembre </w:t>
      </w:r>
      <w:r w:rsidRPr="00432ABC">
        <w:rPr>
          <w:rFonts w:ascii="Verdana" w:eastAsiaTheme="minorHAnsi" w:hAnsi="Verdana"/>
          <w:i/>
          <w:sz w:val="16"/>
          <w:szCs w:val="16"/>
        </w:rPr>
        <w:t xml:space="preserve">de 2017 en el Asunto </w:t>
      </w:r>
      <w:r w:rsidRPr="00432ABC">
        <w:rPr>
          <w:rFonts w:ascii="Verdana" w:eastAsiaTheme="minorHAnsi" w:hAnsi="Verdana"/>
          <w:bCs/>
          <w:i/>
          <w:sz w:val="16"/>
          <w:szCs w:val="16"/>
        </w:rPr>
        <w:t>Alvarado Reyes y otros respecto de México</w:t>
      </w:r>
      <w:r w:rsidRPr="00432ABC">
        <w:rPr>
          <w:rFonts w:ascii="Verdana" w:eastAsiaTheme="minorHAnsi" w:hAnsi="Verdana"/>
          <w:bCs/>
          <w:sz w:val="16"/>
          <w:szCs w:val="16"/>
        </w:rPr>
        <w:t xml:space="preserve"> (Medidas Provisionales, expediente, f. 3254)</w:t>
      </w:r>
      <w:r w:rsidRPr="00432ABC">
        <w:rPr>
          <w:rFonts w:ascii="Verdana" w:eastAsiaTheme="minorHAnsi" w:hAnsi="Verdana"/>
          <w:sz w:val="16"/>
          <w:szCs w:val="16"/>
        </w:rPr>
        <w:t xml:space="preserve">. </w:t>
      </w:r>
    </w:p>
  </w:footnote>
  <w:footnote w:id="363">
    <w:p w14:paraId="1579CF51" w14:textId="084983A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 xml:space="preserve">CNDH, </w:t>
      </w:r>
      <w:r w:rsidRPr="00432ABC">
        <w:rPr>
          <w:rFonts w:ascii="Verdana" w:hAnsi="Verdana"/>
          <w:i/>
          <w:sz w:val="16"/>
          <w:szCs w:val="16"/>
        </w:rPr>
        <w:t xml:space="preserve">Informe de riesgo de 23 de marzo de 2018, supra, </w:t>
      </w:r>
      <w:r w:rsidRPr="00432ABC">
        <w:rPr>
          <w:rFonts w:ascii="Verdana" w:hAnsi="Verdana"/>
          <w:sz w:val="16"/>
          <w:szCs w:val="16"/>
        </w:rPr>
        <w:t xml:space="preserve">f. 3249, y Declaración de </w:t>
      </w:r>
      <w:r>
        <w:rPr>
          <w:rFonts w:ascii="Verdana" w:hAnsi="Verdana"/>
          <w:sz w:val="16"/>
          <w:szCs w:val="16"/>
        </w:rPr>
        <w:t>D.A.E.</w:t>
      </w:r>
      <w:r w:rsidRPr="00432ABC">
        <w:rPr>
          <w:rFonts w:ascii="Verdana" w:hAnsi="Verdana"/>
          <w:sz w:val="16"/>
          <w:szCs w:val="16"/>
        </w:rPr>
        <w:t xml:space="preserve"> rendida el 18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30892</w:t>
      </w:r>
      <w:r>
        <w:rPr>
          <w:rFonts w:ascii="Verdana" w:hAnsi="Verdana"/>
          <w:sz w:val="16"/>
          <w:szCs w:val="16"/>
        </w:rPr>
        <w:t>)</w:t>
      </w:r>
      <w:r w:rsidRPr="00432ABC">
        <w:rPr>
          <w:rFonts w:ascii="Verdana" w:hAnsi="Verdana"/>
          <w:sz w:val="16"/>
          <w:szCs w:val="16"/>
        </w:rPr>
        <w:t xml:space="preserve">.  </w:t>
      </w:r>
    </w:p>
  </w:footnote>
  <w:footnote w:id="364">
    <w:p w14:paraId="7D132133" w14:textId="358D1CA4" w:rsidR="00146958" w:rsidRPr="000E4E05"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rendida ante la Corte por María de Jesús Alvarado Espinoza en la Audiencia Pública el 26 de abril de 2018  (Transcripción de la Audiencia Pública, pág. 13)</w:t>
      </w:r>
      <w:r w:rsidRPr="00432ABC">
        <w:rPr>
          <w:rFonts w:ascii="Verdana" w:hAnsi="Verdana" w:cs="Arial"/>
          <w:sz w:val="16"/>
          <w:szCs w:val="16"/>
          <w:lang w:val="es-AR"/>
        </w:rPr>
        <w:t>.</w:t>
      </w:r>
    </w:p>
  </w:footnote>
  <w:footnote w:id="365">
    <w:p w14:paraId="61EDAC5E" w14:textId="1FFC165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CNDH, </w:t>
      </w:r>
      <w:r w:rsidRPr="00432ABC">
        <w:rPr>
          <w:rFonts w:ascii="Verdana" w:hAnsi="Verdana"/>
          <w:i/>
          <w:sz w:val="16"/>
          <w:szCs w:val="16"/>
        </w:rPr>
        <w:t xml:space="preserve">Informe de riesgo de 23 de marzo de 2018, </w:t>
      </w:r>
      <w:r>
        <w:rPr>
          <w:rFonts w:ascii="Verdana" w:hAnsi="Verdana"/>
          <w:i/>
          <w:sz w:val="16"/>
          <w:szCs w:val="16"/>
        </w:rPr>
        <w:t>(</w:t>
      </w:r>
      <w:r w:rsidRPr="00432ABC">
        <w:rPr>
          <w:rFonts w:ascii="Verdana" w:hAnsi="Verdana"/>
          <w:i/>
          <w:sz w:val="16"/>
          <w:szCs w:val="16"/>
        </w:rPr>
        <w:t xml:space="preserve">supra </w:t>
      </w:r>
      <w:r w:rsidRPr="00432ABC">
        <w:rPr>
          <w:rFonts w:ascii="Verdana" w:hAnsi="Verdana"/>
          <w:sz w:val="16"/>
          <w:szCs w:val="16"/>
        </w:rPr>
        <w:t>ff. 3266 y 3268</w:t>
      </w:r>
      <w:r>
        <w:rPr>
          <w:rFonts w:ascii="Verdana" w:hAnsi="Verdana"/>
          <w:sz w:val="16"/>
          <w:szCs w:val="16"/>
        </w:rPr>
        <w:t>)</w:t>
      </w:r>
      <w:r w:rsidRPr="00432ABC">
        <w:rPr>
          <w:rFonts w:ascii="Verdana" w:hAnsi="Verdana"/>
          <w:sz w:val="16"/>
          <w:szCs w:val="16"/>
        </w:rPr>
        <w:t xml:space="preserve">, y Declaración pericial de Carlos Martín Beristáin rendida ante fedatario público de 16 de abril de 2018, </w:t>
      </w:r>
      <w:r w:rsidRPr="00432ABC">
        <w:rPr>
          <w:rFonts w:ascii="Verdana" w:hAnsi="Verdana"/>
          <w:i/>
          <w:sz w:val="16"/>
          <w:szCs w:val="16"/>
        </w:rPr>
        <w:t>supr</w:t>
      </w:r>
      <w:r>
        <w:rPr>
          <w:rFonts w:ascii="Verdana" w:hAnsi="Verdana"/>
          <w:i/>
          <w:sz w:val="16"/>
          <w:szCs w:val="16"/>
        </w:rPr>
        <w:t>a</w:t>
      </w:r>
      <w:r w:rsidRPr="00432ABC">
        <w:rPr>
          <w:rFonts w:ascii="Verdana" w:hAnsi="Verdana"/>
          <w:i/>
          <w:sz w:val="16"/>
          <w:szCs w:val="16"/>
        </w:rPr>
        <w:t>,</w:t>
      </w:r>
      <w:r>
        <w:rPr>
          <w:rFonts w:ascii="Verdana" w:hAnsi="Verdana"/>
          <w:i/>
          <w:sz w:val="16"/>
          <w:szCs w:val="16"/>
        </w:rPr>
        <w:t xml:space="preserve"> </w:t>
      </w:r>
      <w:r w:rsidRPr="00E42B72">
        <w:rPr>
          <w:rFonts w:ascii="Verdana" w:hAnsi="Verdana"/>
          <w:sz w:val="16"/>
          <w:szCs w:val="16"/>
        </w:rPr>
        <w:t>(expediente</w:t>
      </w:r>
      <w:r w:rsidRPr="008D0846">
        <w:rPr>
          <w:rFonts w:ascii="Verdana" w:hAnsi="Verdana"/>
          <w:sz w:val="16"/>
          <w:szCs w:val="16"/>
        </w:rPr>
        <w:t xml:space="preserve"> de prueba</w:t>
      </w:r>
      <w:r w:rsidRPr="00432ABC">
        <w:rPr>
          <w:rFonts w:ascii="Verdana" w:hAnsi="Verdana"/>
          <w:sz w:val="16"/>
          <w:szCs w:val="16"/>
        </w:rPr>
        <w:t xml:space="preserve"> ff. 30998 y 31013</w:t>
      </w:r>
      <w:r>
        <w:rPr>
          <w:rFonts w:ascii="Verdana" w:hAnsi="Verdana"/>
          <w:sz w:val="16"/>
          <w:szCs w:val="16"/>
        </w:rPr>
        <w:t>)</w:t>
      </w:r>
      <w:r w:rsidRPr="00432ABC">
        <w:rPr>
          <w:rFonts w:ascii="Verdana" w:hAnsi="Verdana"/>
          <w:sz w:val="16"/>
          <w:szCs w:val="16"/>
        </w:rPr>
        <w:t>.</w:t>
      </w:r>
    </w:p>
  </w:footnote>
  <w:footnote w:id="366">
    <w:p w14:paraId="75FA8250" w14:textId="6F9EE15C" w:rsidR="00146958" w:rsidRPr="00432ABC" w:rsidRDefault="00146958">
      <w:pPr>
        <w:autoSpaceDE w:val="0"/>
        <w:autoSpaceDN w:val="0"/>
        <w:adjustRightInd w:val="0"/>
        <w:spacing w:after="0" w:line="240" w:lineRule="auto"/>
        <w:jc w:val="both"/>
        <w:rPr>
          <w:rFonts w:ascii="Verdana" w:hAnsi="Verdana" w:cs="Arial"/>
          <w:sz w:val="16"/>
          <w:szCs w:val="16"/>
          <w:lang w:val="es-AR"/>
        </w:rPr>
      </w:pPr>
      <w:r w:rsidRPr="00432ABC">
        <w:rPr>
          <w:rStyle w:val="Refdenotaalpie"/>
          <w:rFonts w:ascii="Verdana" w:hAnsi="Verdana"/>
          <w:sz w:val="16"/>
          <w:szCs w:val="16"/>
        </w:rPr>
        <w:footnoteRef/>
      </w:r>
      <w:r w:rsidRPr="00432ABC">
        <w:rPr>
          <w:rFonts w:ascii="Verdana" w:hAnsi="Verdana"/>
          <w:sz w:val="16"/>
          <w:szCs w:val="16"/>
          <w:lang w:val="es-AR"/>
        </w:rPr>
        <w:t xml:space="preserve"> </w:t>
      </w:r>
      <w:r w:rsidRPr="00432ABC">
        <w:rPr>
          <w:rFonts w:ascii="Verdana" w:hAnsi="Verdana"/>
          <w:sz w:val="16"/>
          <w:szCs w:val="16"/>
          <w:lang w:val="es-AR"/>
        </w:rPr>
        <w:tab/>
      </w:r>
      <w:r w:rsidRPr="00CD5C54">
        <w:rPr>
          <w:rFonts w:ascii="Verdana" w:hAnsi="Verdana"/>
          <w:i/>
          <w:sz w:val="16"/>
          <w:szCs w:val="16"/>
        </w:rPr>
        <w:t>Cfr.</w:t>
      </w:r>
      <w:r w:rsidRPr="002C462C">
        <w:rPr>
          <w:rFonts w:ascii="Verdana" w:hAnsi="Verdana"/>
          <w:sz w:val="16"/>
          <w:szCs w:val="16"/>
        </w:rPr>
        <w:t xml:space="preserve"> CNDH, </w:t>
      </w:r>
      <w:r w:rsidRPr="00432ABC">
        <w:rPr>
          <w:rFonts w:ascii="Verdana" w:hAnsi="Verdana"/>
          <w:i/>
          <w:sz w:val="16"/>
          <w:szCs w:val="16"/>
        </w:rPr>
        <w:t xml:space="preserve">Informe de riesgo de 23 de marzo de 2018, </w:t>
      </w:r>
      <w:r>
        <w:rPr>
          <w:rFonts w:ascii="Verdana" w:hAnsi="Verdana"/>
          <w:i/>
          <w:sz w:val="16"/>
          <w:szCs w:val="16"/>
        </w:rPr>
        <w:t>(</w:t>
      </w:r>
      <w:r w:rsidRPr="00432ABC">
        <w:rPr>
          <w:rFonts w:ascii="Verdana" w:hAnsi="Verdana"/>
          <w:i/>
          <w:sz w:val="16"/>
          <w:szCs w:val="16"/>
        </w:rPr>
        <w:t xml:space="preserve">supra </w:t>
      </w:r>
      <w:r w:rsidRPr="00432ABC">
        <w:rPr>
          <w:rFonts w:ascii="Verdana" w:hAnsi="Verdana"/>
          <w:sz w:val="16"/>
          <w:szCs w:val="16"/>
        </w:rPr>
        <w:t>f. 3266</w:t>
      </w:r>
      <w:r>
        <w:rPr>
          <w:rFonts w:ascii="Verdana" w:hAnsi="Verdana"/>
          <w:sz w:val="16"/>
          <w:szCs w:val="16"/>
        </w:rPr>
        <w:t>)</w:t>
      </w:r>
      <w:r w:rsidRPr="00432ABC">
        <w:rPr>
          <w:rFonts w:ascii="Verdana" w:hAnsi="Verdana"/>
          <w:sz w:val="16"/>
          <w:szCs w:val="16"/>
        </w:rPr>
        <w:t xml:space="preserve">, y Declaración pericial de Carlos Martín Beristáin rendida </w:t>
      </w:r>
      <w:r>
        <w:rPr>
          <w:rFonts w:ascii="Verdana" w:hAnsi="Verdana"/>
          <w:sz w:val="16"/>
          <w:szCs w:val="16"/>
        </w:rPr>
        <w:t>el</w:t>
      </w:r>
      <w:r w:rsidRPr="00432ABC">
        <w:rPr>
          <w:rFonts w:ascii="Verdana" w:hAnsi="Verdana"/>
          <w:sz w:val="16"/>
          <w:szCs w:val="16"/>
        </w:rPr>
        <w:t xml:space="preserve"> 16 de abril de 2018, </w:t>
      </w:r>
      <w:r w:rsidRPr="00432ABC">
        <w:rPr>
          <w:rFonts w:ascii="Verdana" w:hAnsi="Verdana"/>
          <w:i/>
          <w:sz w:val="16"/>
          <w:szCs w:val="16"/>
        </w:rPr>
        <w:t>supra,</w:t>
      </w:r>
      <w:r w:rsidRPr="00432ABC">
        <w:rPr>
          <w:rFonts w:ascii="Verdana" w:hAnsi="Verdana"/>
          <w:sz w:val="16"/>
          <w:szCs w:val="16"/>
        </w:rPr>
        <w:t xml:space="preserve"> f. 31013.</w:t>
      </w:r>
    </w:p>
  </w:footnote>
  <w:footnote w:id="367">
    <w:p w14:paraId="2666340B" w14:textId="0383809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sz w:val="16"/>
          <w:szCs w:val="16"/>
        </w:rPr>
        <w:t>Declaración de José Án</w:t>
      </w:r>
      <w:r w:rsidRPr="00432ABC">
        <w:rPr>
          <w:rFonts w:ascii="Verdana" w:hAnsi="Verdana"/>
          <w:sz w:val="16"/>
          <w:szCs w:val="16"/>
        </w:rPr>
        <w:t xml:space="preserve">gel Alvarado Fabela rendida el 19 de abril de 2018 </w:t>
      </w:r>
      <w:r w:rsidRPr="00432ABC">
        <w:rPr>
          <w:rFonts w:ascii="Verdana" w:hAnsi="Verdana"/>
          <w:i/>
          <w:sz w:val="16"/>
          <w:szCs w:val="16"/>
        </w:rPr>
        <w:t xml:space="preserve">supra, </w:t>
      </w:r>
      <w:r w:rsidRPr="008D0846">
        <w:rPr>
          <w:rFonts w:ascii="Verdana" w:hAnsi="Verdana"/>
          <w:sz w:val="16"/>
          <w:szCs w:val="16"/>
        </w:rPr>
        <w:t>(</w:t>
      </w:r>
      <w:r>
        <w:rPr>
          <w:rFonts w:ascii="Verdana" w:hAnsi="Verdana"/>
          <w:sz w:val="16"/>
          <w:szCs w:val="16"/>
        </w:rPr>
        <w:t xml:space="preserve">expediente de prueba, </w:t>
      </w:r>
      <w:r w:rsidRPr="00432ABC">
        <w:rPr>
          <w:rFonts w:ascii="Verdana" w:hAnsi="Verdana"/>
          <w:sz w:val="16"/>
          <w:szCs w:val="16"/>
        </w:rPr>
        <w:t xml:space="preserve">ff. 30882 a </w:t>
      </w:r>
      <w:r w:rsidRPr="00432ABC">
        <w:rPr>
          <w:rFonts w:ascii="Verdana" w:hAnsi="Verdana"/>
          <w:sz w:val="16"/>
          <w:szCs w:val="16"/>
          <w:lang w:val="es-AR"/>
        </w:rPr>
        <w:t>30883</w:t>
      </w:r>
      <w:r>
        <w:rPr>
          <w:rFonts w:ascii="Verdana" w:hAnsi="Verdana"/>
          <w:sz w:val="16"/>
          <w:szCs w:val="16"/>
          <w:lang w:val="es-AR"/>
        </w:rPr>
        <w:t>)</w:t>
      </w:r>
      <w:r w:rsidRPr="00432ABC">
        <w:rPr>
          <w:rFonts w:ascii="Verdana" w:hAnsi="Verdana"/>
          <w:sz w:val="16"/>
          <w:szCs w:val="16"/>
        </w:rPr>
        <w:t xml:space="preserve">; Declaración de Obdulia Espinoza Beltrán rendida el 19 de abril de 2018 (expediente de prueba, </w:t>
      </w:r>
      <w:r w:rsidRPr="00453199">
        <w:rPr>
          <w:rFonts w:ascii="Verdana" w:hAnsi="Verdana"/>
          <w:i/>
          <w:sz w:val="16"/>
        </w:rPr>
        <w:t>Affidávits</w:t>
      </w:r>
      <w:r w:rsidRPr="00432ABC">
        <w:rPr>
          <w:rFonts w:ascii="Verdana" w:hAnsi="Verdana"/>
          <w:sz w:val="16"/>
          <w:szCs w:val="16"/>
        </w:rPr>
        <w:t>,</w:t>
      </w:r>
      <w:r w:rsidRPr="00432ABC" w:rsidDel="00873CE0">
        <w:rPr>
          <w:rFonts w:ascii="Verdana" w:hAnsi="Verdana"/>
          <w:sz w:val="16"/>
          <w:szCs w:val="16"/>
        </w:rPr>
        <w:t xml:space="preserve"> </w:t>
      </w:r>
      <w:r w:rsidRPr="00432ABC">
        <w:rPr>
          <w:rFonts w:ascii="Verdana" w:hAnsi="Verdana"/>
          <w:sz w:val="16"/>
          <w:szCs w:val="16"/>
        </w:rPr>
        <w:t xml:space="preserve">f. 30912); Declaración rendida ante la Corte por Jaime Alvarado Herrera en la Audiencia Pública, </w:t>
      </w:r>
      <w:r w:rsidRPr="00432ABC">
        <w:rPr>
          <w:rFonts w:ascii="Verdana" w:hAnsi="Verdana"/>
          <w:i/>
          <w:sz w:val="16"/>
          <w:szCs w:val="16"/>
        </w:rPr>
        <w:t>supra</w:t>
      </w:r>
      <w:r w:rsidRPr="00432ABC">
        <w:rPr>
          <w:rFonts w:ascii="Verdana" w:hAnsi="Verdana"/>
          <w:sz w:val="16"/>
          <w:szCs w:val="16"/>
        </w:rPr>
        <w:t xml:space="preserve">, pág. 34; </w:t>
      </w:r>
      <w:r w:rsidRPr="00432ABC">
        <w:rPr>
          <w:rFonts w:ascii="Verdana" w:hAnsi="Verdana"/>
          <w:sz w:val="16"/>
          <w:szCs w:val="16"/>
          <w:lang w:val="es-AR"/>
        </w:rPr>
        <w:t xml:space="preserve">Declaración de Sandra Luz Rueda Quezada rendida el 19 de abril de 2018 (expediente de prueba, </w:t>
      </w:r>
      <w:r w:rsidRPr="00453199">
        <w:rPr>
          <w:rFonts w:ascii="Verdana" w:hAnsi="Verdana"/>
          <w:i/>
          <w:sz w:val="16"/>
          <w:lang w:val="es-AR"/>
        </w:rPr>
        <w:t>Affidávits</w:t>
      </w:r>
      <w:r w:rsidRPr="00432ABC">
        <w:rPr>
          <w:rFonts w:ascii="Verdana" w:hAnsi="Verdana"/>
          <w:sz w:val="16"/>
          <w:szCs w:val="16"/>
          <w:lang w:val="es-AR"/>
        </w:rPr>
        <w:t xml:space="preserve">, f. 30954; </w:t>
      </w:r>
      <w:r w:rsidRPr="00432ABC">
        <w:rPr>
          <w:rFonts w:ascii="Verdana" w:hAnsi="Verdana"/>
          <w:sz w:val="16"/>
          <w:szCs w:val="16"/>
        </w:rPr>
        <w:t>Declaración de Rosa Olivia Alvarado Herrera rendida el 18 de abril de 2018 (expediente de prueba</w:t>
      </w:r>
      <w:r w:rsidRPr="008D0846">
        <w:rPr>
          <w:rFonts w:ascii="Verdana" w:hAnsi="Verdana"/>
          <w:i/>
          <w:sz w:val="16"/>
          <w:szCs w:val="16"/>
        </w:rPr>
        <w:t xml:space="preserve">, </w:t>
      </w:r>
      <w:r w:rsidRPr="00453199">
        <w:rPr>
          <w:rFonts w:ascii="Verdana" w:hAnsi="Verdana"/>
          <w:i/>
          <w:sz w:val="16"/>
        </w:rPr>
        <w:t>Affidávits</w:t>
      </w:r>
      <w:r w:rsidRPr="00432ABC">
        <w:rPr>
          <w:rFonts w:ascii="Verdana" w:hAnsi="Verdana"/>
          <w:sz w:val="16"/>
          <w:szCs w:val="16"/>
        </w:rPr>
        <w:t xml:space="preserve">, f. 30924); Declaración pericial de Carlos Martín Beristáin rendida </w:t>
      </w:r>
      <w:r>
        <w:rPr>
          <w:rFonts w:ascii="Verdana" w:hAnsi="Verdana"/>
          <w:sz w:val="16"/>
          <w:szCs w:val="16"/>
        </w:rPr>
        <w:t>el</w:t>
      </w:r>
      <w:r w:rsidRPr="00432ABC">
        <w:rPr>
          <w:rFonts w:ascii="Verdana" w:hAnsi="Verdana"/>
          <w:sz w:val="16"/>
          <w:szCs w:val="16"/>
        </w:rPr>
        <w:t xml:space="preserve"> 16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31013</w:t>
      </w:r>
      <w:r>
        <w:rPr>
          <w:rFonts w:ascii="Verdana" w:hAnsi="Verdana"/>
          <w:sz w:val="16"/>
          <w:szCs w:val="16"/>
        </w:rPr>
        <w:t>)</w:t>
      </w:r>
      <w:r w:rsidRPr="00432ABC">
        <w:rPr>
          <w:rFonts w:ascii="Verdana" w:hAnsi="Verdana"/>
          <w:sz w:val="16"/>
          <w:szCs w:val="16"/>
        </w:rPr>
        <w:t xml:space="preserve">, y CNDH, </w:t>
      </w:r>
      <w:r w:rsidRPr="00432ABC">
        <w:rPr>
          <w:rFonts w:ascii="Verdana" w:hAnsi="Verdana"/>
          <w:i/>
          <w:sz w:val="16"/>
          <w:szCs w:val="16"/>
        </w:rPr>
        <w:t>Informe de riesgo de 23 de marzo de 2018, supra,</w:t>
      </w:r>
      <w:r>
        <w:rPr>
          <w:rFonts w:ascii="Verdana" w:hAnsi="Verdana"/>
          <w:i/>
          <w:sz w:val="16"/>
          <w:szCs w:val="16"/>
        </w:rPr>
        <w:t xml:space="preserve"> </w:t>
      </w:r>
      <w:r>
        <w:rPr>
          <w:rFonts w:ascii="Verdana" w:hAnsi="Verdana"/>
          <w:sz w:val="16"/>
          <w:szCs w:val="16"/>
        </w:rPr>
        <w:t>(</w:t>
      </w:r>
      <w:r w:rsidRPr="00432ABC">
        <w:rPr>
          <w:rFonts w:ascii="Verdana" w:hAnsi="Verdana"/>
          <w:sz w:val="16"/>
          <w:szCs w:val="16"/>
        </w:rPr>
        <w:t>ff. 3233 a 3234</w:t>
      </w:r>
      <w:r>
        <w:rPr>
          <w:rFonts w:ascii="Verdana" w:hAnsi="Verdana"/>
          <w:sz w:val="16"/>
          <w:szCs w:val="16"/>
        </w:rPr>
        <w:t>)</w:t>
      </w:r>
      <w:r w:rsidRPr="00432ABC">
        <w:rPr>
          <w:rFonts w:ascii="Verdana" w:hAnsi="Verdana"/>
          <w:sz w:val="16"/>
          <w:szCs w:val="16"/>
        </w:rPr>
        <w:t>.</w:t>
      </w:r>
    </w:p>
  </w:footnote>
  <w:footnote w:id="368">
    <w:p w14:paraId="7CCB5BF6" w14:textId="3E941173"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Rosa Olivia Alvarado Herrera rendida </w:t>
      </w:r>
      <w:r w:rsidRPr="00432ABC">
        <w:rPr>
          <w:rFonts w:ascii="Verdana" w:hAnsi="Verdana"/>
          <w:sz w:val="16"/>
          <w:szCs w:val="16"/>
        </w:rPr>
        <w:t xml:space="preserve">el 18 de abril de 2018, </w:t>
      </w:r>
      <w:r w:rsidRPr="00432ABC">
        <w:rPr>
          <w:rFonts w:ascii="Verdana" w:hAnsi="Verdana"/>
          <w:i/>
          <w:sz w:val="16"/>
          <w:szCs w:val="16"/>
        </w:rPr>
        <w:t xml:space="preserve">supra, </w:t>
      </w:r>
      <w:r>
        <w:rPr>
          <w:rFonts w:ascii="Verdana" w:hAnsi="Verdana"/>
          <w:i/>
          <w:sz w:val="16"/>
          <w:szCs w:val="16"/>
        </w:rPr>
        <w:t>(</w:t>
      </w:r>
      <w:r>
        <w:rPr>
          <w:rFonts w:ascii="Verdana" w:hAnsi="Verdana"/>
          <w:sz w:val="16"/>
          <w:szCs w:val="16"/>
        </w:rPr>
        <w:t xml:space="preserve">expediente de prueba, </w:t>
      </w:r>
      <w:r w:rsidRPr="00432ABC">
        <w:rPr>
          <w:rFonts w:ascii="Verdana" w:hAnsi="Verdana"/>
          <w:sz w:val="16"/>
          <w:szCs w:val="16"/>
        </w:rPr>
        <w:t>ff. 30924 a 30925</w:t>
      </w:r>
      <w:r>
        <w:rPr>
          <w:rFonts w:ascii="Verdana" w:hAnsi="Verdana"/>
          <w:sz w:val="16"/>
          <w:szCs w:val="16"/>
        </w:rPr>
        <w:t>)</w:t>
      </w:r>
      <w:r w:rsidRPr="00432ABC">
        <w:rPr>
          <w:rFonts w:ascii="Verdana" w:hAnsi="Verdana"/>
          <w:sz w:val="16"/>
          <w:szCs w:val="16"/>
        </w:rPr>
        <w:t xml:space="preserve">. Al respecto, Rosa Olivia Alvarado señaló: “[…] Manuel [Melquíades Alvarado] se fue a Flores Magón que </w:t>
      </w:r>
      <w:r w:rsidRPr="00432ABC">
        <w:rPr>
          <w:rFonts w:ascii="Verdana" w:hAnsi="Verdana"/>
          <w:sz w:val="16"/>
          <w:szCs w:val="16"/>
          <w:lang w:val="es-AR"/>
        </w:rPr>
        <w:t>y los demás [sic] estábamos en Benito Juárez. Manuel duró medio año allá y luego se vino [a Ciudad Juárez] a trabajar solo sin traer a su familia porque tenía miedo. Él estaba solo en su casa y ya después se vinieron mejor todos, es decir, su esposa e hijas […] Yo me regresé a [Ciudad] Juárez a aliviarme (alumbrar) [sic], pero ya no llegué a mi casa porque tenía miedo. Renté otra casa aparte, acá en [Ciudad] Juárez. Primero nos venimos Félix y yo, y Jaqueline, Karina y Fabián (mis hijos) se quedaron en Benito Juárez, pero ya cuando me alivié (alumbré) los muchachos [sic] se regresaron conmigo, los tres. Luego, se regresaron también a Ciudad Juárez Jaime, Sandra y sus hijos. Todos estábamos en la misma casa, salvo mi papá, mi mamá, que sí se quedaron en Benito [Juárez] y fue hasta que mi mamá se enferma que se vinieron  a Ciudad Juárez […]”.</w:t>
      </w:r>
    </w:p>
  </w:footnote>
  <w:footnote w:id="369">
    <w:p w14:paraId="2093F736" w14:textId="0BB6F35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Declaración de Sandra Luz Rueda Quezada rendida el 19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30954</w:t>
      </w:r>
      <w:r>
        <w:rPr>
          <w:rFonts w:ascii="Verdana" w:hAnsi="Verdana"/>
          <w:sz w:val="16"/>
          <w:szCs w:val="16"/>
        </w:rPr>
        <w:t>)</w:t>
      </w:r>
      <w:r w:rsidRPr="00432ABC">
        <w:rPr>
          <w:rFonts w:ascii="Verdana" w:hAnsi="Verdana"/>
          <w:sz w:val="16"/>
          <w:szCs w:val="16"/>
        </w:rPr>
        <w:t>.</w:t>
      </w:r>
    </w:p>
  </w:footnote>
  <w:footnote w:id="370">
    <w:p w14:paraId="677F9C6B" w14:textId="44165F86" w:rsidR="00146958" w:rsidRPr="00432ABC" w:rsidRDefault="00146958">
      <w:pPr>
        <w:pStyle w:val="Textonotapie"/>
        <w:jc w:val="both"/>
        <w:rPr>
          <w:rFonts w:ascii="Verdana" w:hAnsi="Verdana"/>
          <w:sz w:val="16"/>
          <w:szCs w:val="16"/>
          <w:lang w:val="es-AR"/>
        </w:rPr>
      </w:pPr>
      <w:r w:rsidRPr="00432ABC">
        <w:rPr>
          <w:rStyle w:val="Refdenotaalpie"/>
          <w:rFonts w:ascii="Verdana" w:hAnsi="Verdana"/>
          <w:sz w:val="16"/>
          <w:szCs w:val="16"/>
        </w:rPr>
        <w:footnoteRef/>
      </w:r>
      <w:r w:rsidRPr="00432ABC">
        <w:rPr>
          <w:rFonts w:ascii="Verdana" w:hAnsi="Verdana"/>
          <w:sz w:val="16"/>
          <w:szCs w:val="16"/>
          <w:lang w:val="es-AR"/>
        </w:rPr>
        <w:t xml:space="preserve"> </w:t>
      </w:r>
      <w:r w:rsidRPr="00432ABC">
        <w:rPr>
          <w:rFonts w:ascii="Verdana" w:hAnsi="Verdana"/>
          <w:sz w:val="16"/>
          <w:szCs w:val="16"/>
          <w:lang w:val="es-AR"/>
        </w:rPr>
        <w:tab/>
      </w:r>
      <w:r w:rsidRPr="00CD5C54">
        <w:rPr>
          <w:rFonts w:ascii="Verdana" w:hAnsi="Verdana"/>
          <w:i/>
          <w:sz w:val="16"/>
          <w:szCs w:val="16"/>
          <w:lang w:val="es-AR"/>
        </w:rPr>
        <w:t>Cfr.</w:t>
      </w:r>
      <w:r w:rsidRPr="002C462C">
        <w:rPr>
          <w:rFonts w:ascii="Verdana" w:hAnsi="Verdana"/>
          <w:sz w:val="16"/>
          <w:szCs w:val="16"/>
          <w:lang w:val="es-AR"/>
        </w:rPr>
        <w:t xml:space="preserve"> </w:t>
      </w:r>
      <w:r w:rsidRPr="00432ABC">
        <w:rPr>
          <w:rFonts w:ascii="Verdana" w:hAnsi="Verdana"/>
          <w:sz w:val="16"/>
          <w:szCs w:val="16"/>
        </w:rPr>
        <w:t xml:space="preserve">Declaración pericial de Carlos Martín Beristáin rendida ante fedatario público de 16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31013</w:t>
      </w:r>
      <w:r>
        <w:rPr>
          <w:rFonts w:ascii="Verdana" w:hAnsi="Verdana"/>
          <w:sz w:val="16"/>
          <w:szCs w:val="16"/>
        </w:rPr>
        <w:t>)</w:t>
      </w:r>
      <w:r w:rsidRPr="00432ABC">
        <w:rPr>
          <w:rFonts w:ascii="Verdana" w:hAnsi="Verdana"/>
          <w:sz w:val="16"/>
          <w:szCs w:val="16"/>
        </w:rPr>
        <w:t xml:space="preserve">; CNDH, </w:t>
      </w:r>
      <w:r w:rsidRPr="00432ABC">
        <w:rPr>
          <w:rFonts w:ascii="Verdana" w:hAnsi="Verdana"/>
          <w:i/>
          <w:sz w:val="16"/>
          <w:szCs w:val="16"/>
        </w:rPr>
        <w:t xml:space="preserve">Informe de riesgo de 23 de marzo de 2018, supra, </w:t>
      </w:r>
      <w:r>
        <w:rPr>
          <w:rFonts w:ascii="Verdana" w:hAnsi="Verdana"/>
          <w:i/>
          <w:sz w:val="16"/>
          <w:szCs w:val="16"/>
        </w:rPr>
        <w:t>(</w:t>
      </w:r>
      <w:r w:rsidRPr="00432ABC">
        <w:rPr>
          <w:rFonts w:ascii="Verdana" w:hAnsi="Verdana"/>
          <w:sz w:val="16"/>
          <w:szCs w:val="16"/>
        </w:rPr>
        <w:t>f. 3235</w:t>
      </w:r>
      <w:r>
        <w:rPr>
          <w:rFonts w:ascii="Verdana" w:hAnsi="Verdana"/>
          <w:sz w:val="16"/>
          <w:szCs w:val="16"/>
        </w:rPr>
        <w:t>)</w:t>
      </w:r>
      <w:r w:rsidRPr="00432ABC">
        <w:rPr>
          <w:rFonts w:ascii="Verdana" w:hAnsi="Verdana"/>
          <w:sz w:val="16"/>
          <w:szCs w:val="16"/>
        </w:rPr>
        <w:t xml:space="preserve">, y Declaración de Sandra Luz Rueda Quezada rendida el 19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30955</w:t>
      </w:r>
      <w:r>
        <w:rPr>
          <w:rFonts w:ascii="Verdana" w:hAnsi="Verdana"/>
          <w:sz w:val="16"/>
          <w:szCs w:val="16"/>
        </w:rPr>
        <w:t>)</w:t>
      </w:r>
      <w:r w:rsidRPr="00432ABC">
        <w:rPr>
          <w:rFonts w:ascii="Verdana" w:hAnsi="Verdana"/>
          <w:sz w:val="16"/>
          <w:szCs w:val="16"/>
        </w:rPr>
        <w:t xml:space="preserve">. Sandra Luz Rueda Quezada, esposa de Jaime Alvarado, indicó a la Corte en su declaración jurada que en la fecha en sucedió el asesinato de F.A.H. (6 de febrero de 2018) ella se encontraba residiendo en el Ejido Benito Juárez, toda vez que se encontraba al cuidado de su madre.   </w:t>
      </w:r>
    </w:p>
  </w:footnote>
  <w:footnote w:id="371">
    <w:p w14:paraId="25A0B1DA" w14:textId="35A89B4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i/>
          <w:sz w:val="16"/>
          <w:szCs w:val="16"/>
        </w:rPr>
        <w:t>Asunto Alvarado Reyes y otros</w:t>
      </w:r>
      <w:r>
        <w:rPr>
          <w:rFonts w:ascii="Verdana" w:hAnsi="Verdana"/>
          <w:i/>
          <w:sz w:val="16"/>
          <w:szCs w:val="16"/>
        </w:rPr>
        <w:t>. Medidas Provisionales</w:t>
      </w:r>
      <w:r w:rsidRPr="00432ABC">
        <w:rPr>
          <w:rFonts w:ascii="Verdana" w:hAnsi="Verdana"/>
          <w:i/>
          <w:sz w:val="16"/>
          <w:szCs w:val="16"/>
        </w:rPr>
        <w:t xml:space="preserve"> respecto de México. </w:t>
      </w:r>
      <w:r w:rsidRPr="008D0846">
        <w:rPr>
          <w:rFonts w:ascii="Verdana" w:hAnsi="Verdana"/>
          <w:sz w:val="16"/>
          <w:szCs w:val="16"/>
        </w:rPr>
        <w:t>Resolución</w:t>
      </w:r>
      <w:r w:rsidRPr="00432ABC">
        <w:rPr>
          <w:rFonts w:ascii="Verdana" w:hAnsi="Verdana"/>
          <w:sz w:val="16"/>
          <w:szCs w:val="16"/>
          <w:lang w:val="es-ES"/>
        </w:rPr>
        <w:t xml:space="preserve"> de </w:t>
      </w:r>
      <w:r w:rsidRPr="00432ABC">
        <w:rPr>
          <w:rFonts w:ascii="Verdana" w:hAnsi="Verdana"/>
          <w:sz w:val="16"/>
          <w:szCs w:val="16"/>
        </w:rPr>
        <w:t>14 de marzo de 2018. Considerando 5.</w:t>
      </w:r>
    </w:p>
  </w:footnote>
  <w:footnote w:id="372">
    <w:p w14:paraId="20D3D123" w14:textId="7A818750" w:rsidR="00146958" w:rsidRPr="00432ABC" w:rsidRDefault="00146958">
      <w:pPr>
        <w:pStyle w:val="Textonotapie"/>
        <w:jc w:val="both"/>
        <w:rPr>
          <w:rFonts w:ascii="Verdana" w:hAnsi="Verdana"/>
          <w:sz w:val="16"/>
          <w:szCs w:val="16"/>
          <w:highlight w:val="yellow"/>
          <w:lang w:val="es-AR"/>
        </w:rPr>
      </w:pPr>
      <w:r w:rsidRPr="00432ABC">
        <w:rPr>
          <w:rStyle w:val="Refdenotaalpie"/>
          <w:rFonts w:ascii="Verdana" w:hAnsi="Verdana"/>
          <w:sz w:val="16"/>
          <w:szCs w:val="16"/>
        </w:rPr>
        <w:footnoteRef/>
      </w:r>
      <w:r w:rsidRPr="00432ABC">
        <w:rPr>
          <w:rFonts w:ascii="Verdana" w:hAnsi="Verdana"/>
          <w:sz w:val="16"/>
          <w:szCs w:val="16"/>
          <w:lang w:val="es-AR"/>
        </w:rPr>
        <w:t xml:space="preserve"> </w:t>
      </w:r>
      <w:r w:rsidRPr="00432ABC">
        <w:rPr>
          <w:rFonts w:ascii="Verdana" w:hAnsi="Verdana"/>
          <w:sz w:val="16"/>
          <w:szCs w:val="16"/>
          <w:lang w:val="es-AR"/>
        </w:rPr>
        <w:tab/>
        <w:t>Jaime Alvarado Herrera señaló a la CNDH que: “[D]ía</w:t>
      </w:r>
      <w:r w:rsidRPr="002C462C">
        <w:rPr>
          <w:rFonts w:ascii="Verdana" w:hAnsi="Verdana"/>
          <w:sz w:val="16"/>
          <w:szCs w:val="16"/>
          <w:lang w:val="es-AR"/>
        </w:rPr>
        <w:t>s después del asesinato de su sobrino Fabián [Alvarado Herrera, hijo de Rosa Olivia Alvarado], cuando la familia ya estaba en el [E]jido Benito Juárez [lugar en el que se llevó a cabo su sepelio y posterior entierro], personal de la funeraria que se hizo ca</w:t>
      </w:r>
      <w:r w:rsidRPr="00432ABC">
        <w:rPr>
          <w:rFonts w:ascii="Verdana" w:hAnsi="Verdana"/>
          <w:sz w:val="16"/>
          <w:szCs w:val="16"/>
          <w:lang w:val="es-AR"/>
        </w:rPr>
        <w:t xml:space="preserve">rgo del servicio [sic] de Fabián le indicó que un grupo de personas preguntó por la familia sin mayores explicaciones, solo comentando: ‘nos manda preguntar ya sabes quién’, por lo que, por su seguridad, fueron resguardados en el refugio en el que se encuentran actualmente […]”. </w:t>
      </w:r>
      <w:r w:rsidRPr="00CD5C54">
        <w:rPr>
          <w:rFonts w:ascii="Verdana" w:hAnsi="Verdana"/>
          <w:i/>
          <w:sz w:val="16"/>
          <w:szCs w:val="16"/>
          <w:lang w:val="es-AR"/>
        </w:rPr>
        <w:t>Cfr.</w:t>
      </w:r>
      <w:r w:rsidRPr="00432ABC">
        <w:rPr>
          <w:rFonts w:ascii="Verdana" w:hAnsi="Verdana"/>
          <w:sz w:val="16"/>
          <w:szCs w:val="16"/>
          <w:lang w:val="es-AR"/>
        </w:rPr>
        <w:t xml:space="preserve"> </w:t>
      </w:r>
      <w:r w:rsidRPr="00432ABC">
        <w:rPr>
          <w:rFonts w:ascii="Verdana" w:hAnsi="Verdana"/>
          <w:sz w:val="16"/>
          <w:szCs w:val="16"/>
        </w:rPr>
        <w:t xml:space="preserve">CNDH, </w:t>
      </w:r>
      <w:r w:rsidRPr="00432ABC">
        <w:rPr>
          <w:rFonts w:ascii="Verdana" w:hAnsi="Verdana"/>
          <w:i/>
          <w:sz w:val="16"/>
          <w:szCs w:val="16"/>
        </w:rPr>
        <w:t xml:space="preserve">Informe de riesgo de 23 de marzo de 2018, supra, </w:t>
      </w:r>
      <w:r>
        <w:rPr>
          <w:rFonts w:ascii="Verdana" w:hAnsi="Verdana"/>
          <w:sz w:val="16"/>
          <w:szCs w:val="16"/>
        </w:rPr>
        <w:t>(</w:t>
      </w:r>
      <w:r w:rsidRPr="00432ABC">
        <w:rPr>
          <w:rFonts w:ascii="Verdana" w:hAnsi="Verdana"/>
          <w:sz w:val="16"/>
          <w:szCs w:val="16"/>
        </w:rPr>
        <w:t>f. 3236</w:t>
      </w:r>
      <w:r>
        <w:rPr>
          <w:rFonts w:ascii="Verdana" w:hAnsi="Verdana"/>
          <w:sz w:val="16"/>
          <w:szCs w:val="16"/>
        </w:rPr>
        <w:t>)</w:t>
      </w:r>
      <w:r w:rsidRPr="00432ABC">
        <w:rPr>
          <w:rFonts w:ascii="Verdana" w:hAnsi="Verdana"/>
          <w:sz w:val="16"/>
          <w:szCs w:val="16"/>
        </w:rPr>
        <w:t xml:space="preserve">. En el mismo sentido, en su declaración jurada ante la Corte, </w:t>
      </w:r>
      <w:r w:rsidRPr="00432ABC">
        <w:rPr>
          <w:rFonts w:ascii="Verdana" w:hAnsi="Verdana"/>
          <w:sz w:val="16"/>
          <w:szCs w:val="16"/>
          <w:lang w:val="es-AR"/>
        </w:rPr>
        <w:t>Sandra Luz Rueda Quezada manifestó que tras el sepelio de F.A.H., recibió una llamada de su esposo Jaime Alvarado, quien le indicó “[…]</w:t>
      </w:r>
      <w:r w:rsidRPr="00432ABC">
        <w:rPr>
          <w:rFonts w:ascii="Verdana" w:hAnsi="Verdana" w:cs="Arial"/>
          <w:sz w:val="16"/>
          <w:szCs w:val="16"/>
          <w:lang w:val="es-AR"/>
        </w:rPr>
        <w:t xml:space="preserve"> [A]</w:t>
      </w:r>
      <w:r w:rsidRPr="00432ABC">
        <w:rPr>
          <w:rFonts w:ascii="Verdana" w:hAnsi="Verdana"/>
          <w:sz w:val="16"/>
          <w:szCs w:val="16"/>
          <w:lang w:val="es-AR"/>
        </w:rPr>
        <w:t xml:space="preserve">lista todo porque nos tenemos que ir […] nos andan buscando, fueron a la funeraria y el muchacho de la funeraria nos dijo que más vale que nos fuéramos porque no sabe uno […]”. </w:t>
      </w:r>
      <w:r w:rsidRPr="00CD5C54">
        <w:rPr>
          <w:rFonts w:ascii="Verdana" w:hAnsi="Verdana"/>
          <w:i/>
          <w:sz w:val="16"/>
          <w:szCs w:val="16"/>
          <w:lang w:val="es-AR"/>
        </w:rPr>
        <w:t>Cfr.</w:t>
      </w:r>
      <w:r w:rsidRPr="00432ABC">
        <w:rPr>
          <w:rFonts w:ascii="Verdana" w:hAnsi="Verdana"/>
          <w:sz w:val="16"/>
          <w:szCs w:val="16"/>
          <w:lang w:val="es-AR"/>
        </w:rPr>
        <w:t xml:space="preserve"> </w:t>
      </w:r>
      <w:r w:rsidRPr="00432ABC">
        <w:rPr>
          <w:rFonts w:ascii="Verdana" w:hAnsi="Verdana"/>
          <w:sz w:val="16"/>
          <w:szCs w:val="16"/>
        </w:rPr>
        <w:t xml:space="preserve">Declaración de Sandra Luz Rueda Quezada rendida ante fedatario público el 19 de abril de 2018,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 3095</w:t>
      </w:r>
      <w:r w:rsidRPr="00432ABC">
        <w:rPr>
          <w:rFonts w:ascii="Verdana" w:hAnsi="Verdana"/>
          <w:sz w:val="16"/>
          <w:szCs w:val="16"/>
          <w:lang w:val="es-AR"/>
        </w:rPr>
        <w:t>6</w:t>
      </w:r>
      <w:r>
        <w:rPr>
          <w:rFonts w:ascii="Verdana" w:hAnsi="Verdana"/>
          <w:sz w:val="16"/>
          <w:szCs w:val="16"/>
          <w:lang w:val="es-AR"/>
        </w:rPr>
        <w:t>)</w:t>
      </w:r>
      <w:r w:rsidRPr="00432ABC">
        <w:rPr>
          <w:rFonts w:ascii="Verdana" w:hAnsi="Verdana"/>
          <w:sz w:val="16"/>
          <w:szCs w:val="16"/>
          <w:lang w:val="es-AR"/>
        </w:rPr>
        <w:t xml:space="preserve">. </w:t>
      </w:r>
    </w:p>
  </w:footnote>
  <w:footnote w:id="373">
    <w:p w14:paraId="790AF67D" w14:textId="315C12C8" w:rsidR="00146958" w:rsidRPr="00432ABC" w:rsidRDefault="00146958" w:rsidP="00DB378B">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CNDH, </w:t>
      </w:r>
      <w:r w:rsidRPr="00432ABC">
        <w:rPr>
          <w:rFonts w:ascii="Verdana" w:hAnsi="Verdana"/>
          <w:i/>
          <w:sz w:val="16"/>
          <w:szCs w:val="16"/>
        </w:rPr>
        <w:t xml:space="preserve">Informe de riesgo de 23 de marzo de 2018, supra, </w:t>
      </w:r>
      <w:r>
        <w:rPr>
          <w:rFonts w:ascii="Verdana" w:hAnsi="Verdana"/>
          <w:sz w:val="16"/>
          <w:szCs w:val="16"/>
        </w:rPr>
        <w:t>(</w:t>
      </w:r>
      <w:r w:rsidRPr="00432ABC">
        <w:rPr>
          <w:rFonts w:ascii="Verdana" w:hAnsi="Verdana"/>
          <w:sz w:val="16"/>
          <w:szCs w:val="16"/>
        </w:rPr>
        <w:t>f. 3234</w:t>
      </w:r>
      <w:r>
        <w:rPr>
          <w:rFonts w:ascii="Verdana" w:hAnsi="Verdana"/>
          <w:sz w:val="16"/>
          <w:szCs w:val="16"/>
        </w:rPr>
        <w:t>)</w:t>
      </w:r>
      <w:r w:rsidRPr="00432ABC">
        <w:rPr>
          <w:rFonts w:ascii="Verdana" w:hAnsi="Verdana"/>
          <w:sz w:val="16"/>
          <w:szCs w:val="16"/>
        </w:rPr>
        <w:t>.</w:t>
      </w:r>
    </w:p>
  </w:footnote>
  <w:footnote w:id="374">
    <w:p w14:paraId="583E9B6B" w14:textId="7D4327BF" w:rsidR="00146958" w:rsidRPr="00432ABC" w:rsidRDefault="00146958" w:rsidP="00DB378B">
      <w:pPr>
        <w:spacing w:after="0" w:line="240" w:lineRule="auto"/>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CNDH, </w:t>
      </w:r>
      <w:r w:rsidRPr="00432ABC">
        <w:rPr>
          <w:rFonts w:ascii="Verdana" w:hAnsi="Verdana"/>
          <w:i/>
          <w:sz w:val="16"/>
          <w:szCs w:val="16"/>
        </w:rPr>
        <w:t>Informe de riesgo de 23 de marzo de 2018, s</w:t>
      </w:r>
      <w:r>
        <w:rPr>
          <w:rFonts w:ascii="Verdana" w:hAnsi="Verdana"/>
          <w:i/>
          <w:sz w:val="16"/>
          <w:szCs w:val="16"/>
        </w:rPr>
        <w:t>u</w:t>
      </w:r>
      <w:r w:rsidRPr="00432ABC">
        <w:rPr>
          <w:rFonts w:ascii="Verdana" w:hAnsi="Verdana"/>
          <w:i/>
          <w:sz w:val="16"/>
          <w:szCs w:val="16"/>
        </w:rPr>
        <w:t xml:space="preserve">pra, </w:t>
      </w:r>
      <w:r>
        <w:rPr>
          <w:rFonts w:ascii="Verdana" w:hAnsi="Verdana"/>
          <w:sz w:val="16"/>
          <w:szCs w:val="16"/>
        </w:rPr>
        <w:t>(</w:t>
      </w:r>
      <w:r w:rsidRPr="00432ABC">
        <w:rPr>
          <w:rFonts w:ascii="Verdana" w:hAnsi="Verdana"/>
          <w:sz w:val="16"/>
          <w:szCs w:val="16"/>
        </w:rPr>
        <w:t>f</w:t>
      </w:r>
      <w:r>
        <w:rPr>
          <w:rFonts w:ascii="Verdana" w:hAnsi="Verdana"/>
          <w:sz w:val="16"/>
          <w:szCs w:val="16"/>
        </w:rPr>
        <w:t>f</w:t>
      </w:r>
      <w:r w:rsidRPr="00432ABC">
        <w:rPr>
          <w:rFonts w:ascii="Verdana" w:hAnsi="Verdana"/>
          <w:sz w:val="16"/>
          <w:szCs w:val="16"/>
        </w:rPr>
        <w:t>. 3233 y 3236 a 3237</w:t>
      </w:r>
      <w:r>
        <w:rPr>
          <w:rFonts w:ascii="Verdana" w:hAnsi="Verdana"/>
          <w:sz w:val="16"/>
          <w:szCs w:val="16"/>
        </w:rPr>
        <w:t>)</w:t>
      </w:r>
      <w:r w:rsidRPr="00432ABC">
        <w:rPr>
          <w:rFonts w:ascii="Verdana" w:hAnsi="Verdana"/>
          <w:sz w:val="16"/>
          <w:szCs w:val="16"/>
        </w:rPr>
        <w:t xml:space="preserve">. </w:t>
      </w:r>
    </w:p>
  </w:footnote>
  <w:footnote w:id="375">
    <w:p w14:paraId="74DD2E7C" w14:textId="35808B2C" w:rsidR="00146958" w:rsidRPr="002C462C" w:rsidRDefault="00146958" w:rsidP="00432ABC">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lang w:val="es-CR"/>
        </w:rPr>
        <w:tab/>
        <w:t>Disponibles en: http://www.corteidh.or.cr/cf/Jurisprudencia2/busqueda_medidas_provisionales.cfm?lang=es</w:t>
      </w:r>
    </w:p>
  </w:footnote>
  <w:footnote w:id="376">
    <w:p w14:paraId="73448391" w14:textId="0EC3F3BC" w:rsidR="00146958" w:rsidRPr="008D0846" w:rsidRDefault="00146958" w:rsidP="003564A3">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8D0846">
        <w:rPr>
          <w:rFonts w:ascii="Verdana" w:hAnsi="Verdana"/>
          <w:bCs/>
          <w:sz w:val="16"/>
          <w:szCs w:val="16"/>
          <w:lang w:val="es-CR"/>
        </w:rPr>
        <w:t>Artículo 3.  Derecho al Reconocimiento de la Personalidad Jurídica.</w:t>
      </w:r>
      <w:r w:rsidRPr="008D0846">
        <w:rPr>
          <w:rFonts w:ascii="Verdana" w:hAnsi="Verdana"/>
          <w:sz w:val="16"/>
          <w:szCs w:val="16"/>
          <w:lang w:val="es-CR"/>
        </w:rPr>
        <w:t> “Toda persona tiene derecho al reconocimiento de su personalidad jurídica”.</w:t>
      </w:r>
    </w:p>
  </w:footnote>
  <w:footnote w:id="377">
    <w:p w14:paraId="79162EB0" w14:textId="75E83E78" w:rsidR="00146958" w:rsidRPr="008D0846" w:rsidRDefault="00146958" w:rsidP="003564A3">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8D0846">
        <w:rPr>
          <w:rFonts w:ascii="Verdana" w:hAnsi="Verdana"/>
          <w:bCs/>
          <w:sz w:val="16"/>
          <w:szCs w:val="16"/>
          <w:lang w:val="es-CR"/>
        </w:rPr>
        <w:t>Artículo 4.  Derecho a la Vida. “</w:t>
      </w:r>
      <w:r w:rsidRPr="008D0846">
        <w:rPr>
          <w:rFonts w:ascii="Verdana" w:hAnsi="Verdana"/>
          <w:sz w:val="16"/>
          <w:szCs w:val="16"/>
          <w:lang w:val="es-CR"/>
        </w:rPr>
        <w:t>1. Toda persona tiene derecho a que se respete su vida.  Este derecho estará protegido por la ley y, en general, a partir del momento de la concepción.  Nadie puede ser privado de la vida arbitrariamente […]”.</w:t>
      </w:r>
    </w:p>
  </w:footnote>
  <w:footnote w:id="378">
    <w:p w14:paraId="591BAAB5" w14:textId="02C55D06" w:rsidR="00146958" w:rsidRPr="008D0846" w:rsidRDefault="00146958" w:rsidP="003564A3">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8D0846">
        <w:rPr>
          <w:rFonts w:ascii="Verdana" w:hAnsi="Verdana"/>
          <w:bCs/>
          <w:sz w:val="16"/>
          <w:szCs w:val="16"/>
          <w:lang w:val="es-CR"/>
        </w:rPr>
        <w:t>Artículo 5.  Derecho a la Integridad Personal. “</w:t>
      </w:r>
      <w:r w:rsidRPr="008D0846">
        <w:rPr>
          <w:rFonts w:ascii="Verdana" w:hAnsi="Verdana"/>
          <w:sz w:val="16"/>
          <w:szCs w:val="16"/>
          <w:lang w:val="es-CR"/>
        </w:rPr>
        <w:t>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 […]”.</w:t>
      </w:r>
    </w:p>
  </w:footnote>
  <w:footnote w:id="379">
    <w:p w14:paraId="3AD51DC4" w14:textId="2374F650" w:rsidR="00146958" w:rsidRPr="008D0846" w:rsidRDefault="00146958" w:rsidP="003564A3">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8D0846">
        <w:rPr>
          <w:rFonts w:ascii="Verdana" w:hAnsi="Verdana" w:cs="Tahoma"/>
          <w:bCs/>
          <w:color w:val="000000"/>
          <w:sz w:val="16"/>
          <w:szCs w:val="16"/>
          <w:lang w:val="es-CR"/>
        </w:rPr>
        <w:t>Artículo 7.  Derecho a la Libertad Personal. “</w:t>
      </w:r>
      <w:r w:rsidRPr="008D0846">
        <w:rPr>
          <w:rFonts w:ascii="Verdana" w:hAnsi="Verdana"/>
          <w:sz w:val="16"/>
          <w:szCs w:val="16"/>
          <w:lang w:val="es-CR"/>
        </w:rPr>
        <w:t>1. Toda persona tiene derecho a la libertad y a la seguridad personal. 2. Nadie puede ser privado de su libertad física, salvo por las causas y en las condiciones fijadas de antemano por las Constituciones Políticas de los Estados Partes o por las leyes dictadas conforme a ellas. 3. Nadie puede ser sometido a detención o encarcelamiento arbitrarios […]”.</w:t>
      </w:r>
    </w:p>
  </w:footnote>
  <w:footnote w:id="380">
    <w:p w14:paraId="6E078301" w14:textId="1B756515" w:rsidR="00146958" w:rsidRPr="003564A3" w:rsidRDefault="00146958" w:rsidP="003564A3">
      <w:pPr>
        <w:pStyle w:val="Textonotapie"/>
        <w:jc w:val="both"/>
        <w:rPr>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8D0846">
        <w:rPr>
          <w:rFonts w:ascii="Verdana" w:hAnsi="Verdana" w:cs="Tahoma"/>
          <w:bCs/>
          <w:color w:val="000000"/>
          <w:sz w:val="16"/>
          <w:szCs w:val="16"/>
        </w:rPr>
        <w:t xml:space="preserve">Artículo </w:t>
      </w:r>
      <w:r w:rsidRPr="008D0846">
        <w:rPr>
          <w:rFonts w:ascii="Verdana" w:hAnsi="Verdana"/>
          <w:bCs/>
          <w:sz w:val="16"/>
          <w:szCs w:val="16"/>
          <w:lang w:val="es-ES"/>
        </w:rPr>
        <w:t>I.  “</w:t>
      </w:r>
      <w:r w:rsidRPr="008D0846">
        <w:rPr>
          <w:rFonts w:ascii="Verdana" w:hAnsi="Verdana"/>
          <w:sz w:val="16"/>
          <w:szCs w:val="16"/>
          <w:lang w:val="es-ES"/>
        </w:rPr>
        <w:t>Los Estados Partes en esta Convención se comprometen a: a) No practicar, no permitir, ni tolerar la desaparición forzada de personas, ni aun en estado de emergencia, excepción o suspensión de garantías individuales</w:t>
      </w:r>
      <w:r w:rsidRPr="008D0846">
        <w:rPr>
          <w:rFonts w:ascii="Verdana" w:hAnsi="Verdana" w:cs="Tahoma"/>
          <w:color w:val="000000"/>
          <w:sz w:val="16"/>
          <w:szCs w:val="16"/>
          <w:lang w:val="es-ES"/>
        </w:rPr>
        <w:t xml:space="preserve"> […]”.</w:t>
      </w:r>
    </w:p>
  </w:footnote>
  <w:footnote w:id="381">
    <w:p w14:paraId="241C976A" w14:textId="2B138F0A" w:rsidR="00146958" w:rsidRPr="000B4870" w:rsidRDefault="00146958">
      <w:pPr>
        <w:pStyle w:val="Textonotapie"/>
        <w:tabs>
          <w:tab w:val="left" w:pos="426"/>
        </w:tabs>
        <w:jc w:val="both"/>
        <w:rPr>
          <w:rFonts w:ascii="Verdana" w:hAnsi="Verdana"/>
          <w:bCs/>
          <w:sz w:val="16"/>
          <w:szCs w:val="16"/>
        </w:rPr>
      </w:pPr>
      <w:r w:rsidRPr="00432ABC">
        <w:rPr>
          <w:rStyle w:val="Refdenotaalpie"/>
          <w:rFonts w:ascii="Verdana" w:eastAsia="Calibri"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cs="Arial"/>
          <w:i/>
          <w:sz w:val="16"/>
          <w:szCs w:val="16"/>
        </w:rPr>
        <w:t>Cfr.</w:t>
      </w:r>
      <w:r w:rsidRPr="002C462C">
        <w:rPr>
          <w:rFonts w:ascii="Verdana" w:hAnsi="Verdana" w:cs="Arial"/>
          <w:i/>
          <w:sz w:val="16"/>
          <w:szCs w:val="16"/>
        </w:rPr>
        <w:t>, inter alia</w:t>
      </w:r>
      <w:r w:rsidRPr="002C462C">
        <w:rPr>
          <w:rFonts w:ascii="Verdana" w:hAnsi="Verdana" w:cs="Arial"/>
          <w:sz w:val="16"/>
          <w:szCs w:val="16"/>
        </w:rPr>
        <w:t xml:space="preserve">, </w:t>
      </w:r>
      <w:r w:rsidRPr="000B4870">
        <w:rPr>
          <w:rFonts w:ascii="Verdana" w:hAnsi="Verdana"/>
          <w:i/>
          <w:sz w:val="16"/>
          <w:szCs w:val="16"/>
        </w:rPr>
        <w:t xml:space="preserve">Caso Velásquez Rodríguez Vs. Honduras. </w:t>
      </w:r>
      <w:r w:rsidRPr="00E31399">
        <w:rPr>
          <w:rFonts w:ascii="Verdana" w:hAnsi="Verdana"/>
          <w:i/>
          <w:sz w:val="16"/>
          <w:szCs w:val="16"/>
          <w:lang w:val="es-ES"/>
        </w:rPr>
        <w:t>Fondo.</w:t>
      </w:r>
      <w:r w:rsidRPr="00E31399">
        <w:rPr>
          <w:rFonts w:ascii="Verdana" w:hAnsi="Verdana"/>
          <w:sz w:val="16"/>
          <w:szCs w:val="16"/>
          <w:lang w:val="es-ES"/>
        </w:rPr>
        <w:t xml:space="preserve"> </w:t>
      </w:r>
      <w:r>
        <w:rPr>
          <w:rFonts w:ascii="Verdana" w:hAnsi="Verdana"/>
          <w:i/>
          <w:sz w:val="16"/>
          <w:szCs w:val="16"/>
          <w:lang w:val="es-ES"/>
        </w:rPr>
        <w:t>S</w:t>
      </w:r>
      <w:r w:rsidRPr="008D0846">
        <w:rPr>
          <w:rFonts w:ascii="Verdana" w:hAnsi="Verdana"/>
          <w:i/>
          <w:sz w:val="16"/>
          <w:szCs w:val="16"/>
          <w:lang w:val="es-ES"/>
        </w:rPr>
        <w:t>upra</w:t>
      </w:r>
      <w:r w:rsidRPr="00E31399">
        <w:rPr>
          <w:rFonts w:ascii="Verdana" w:hAnsi="Verdana"/>
          <w:sz w:val="16"/>
          <w:szCs w:val="16"/>
          <w:lang w:val="es-ES"/>
        </w:rPr>
        <w:t xml:space="preserve">, </w:t>
      </w:r>
      <w:r w:rsidRPr="00E31399">
        <w:rPr>
          <w:rFonts w:ascii="Verdana" w:hAnsi="Verdana"/>
          <w:noProof/>
          <w:sz w:val="16"/>
          <w:szCs w:val="16"/>
        </w:rPr>
        <w:t xml:space="preserve">párrs. 155 a 157, y </w:t>
      </w:r>
      <w:r w:rsidRPr="008D0846">
        <w:rPr>
          <w:rFonts w:ascii="Verdana" w:hAnsi="Verdana"/>
          <w:bCs/>
          <w:i/>
          <w:color w:val="000000"/>
          <w:sz w:val="16"/>
          <w:szCs w:val="16"/>
          <w:shd w:val="clear" w:color="auto" w:fill="FFFFFF"/>
        </w:rPr>
        <w:t xml:space="preserve">Caso Terrones Silva y otros Vs. Perú. Excepciones Preliminares, Fondo, Reparaciones y Costas. </w:t>
      </w:r>
      <w:r w:rsidRPr="008D0846">
        <w:rPr>
          <w:rFonts w:ascii="Verdana" w:hAnsi="Verdana"/>
          <w:bCs/>
          <w:color w:val="000000"/>
          <w:sz w:val="16"/>
          <w:szCs w:val="16"/>
          <w:shd w:val="clear" w:color="auto" w:fill="FFFFFF"/>
        </w:rPr>
        <w:t>Sentencia de 26 de septiembre de 2018. Serie C No. 360</w:t>
      </w:r>
      <w:r w:rsidRPr="000B4870">
        <w:rPr>
          <w:rFonts w:ascii="Verdana" w:hAnsi="Verdana"/>
          <w:bCs/>
          <w:color w:val="000000"/>
          <w:sz w:val="16"/>
          <w:szCs w:val="16"/>
          <w:shd w:val="clear" w:color="auto" w:fill="FFFFFF"/>
        </w:rPr>
        <w:t>, p</w:t>
      </w:r>
      <w:r w:rsidRPr="00E31399">
        <w:rPr>
          <w:rFonts w:ascii="Verdana" w:hAnsi="Verdana"/>
          <w:bCs/>
          <w:color w:val="000000"/>
          <w:sz w:val="16"/>
          <w:szCs w:val="16"/>
          <w:shd w:val="clear" w:color="auto" w:fill="FFFFFF"/>
        </w:rPr>
        <w:t>árr. 134</w:t>
      </w:r>
      <w:r w:rsidRPr="00E31399">
        <w:rPr>
          <w:rStyle w:val="Textoennegrita"/>
          <w:rFonts w:ascii="Verdana" w:hAnsi="Verdana"/>
          <w:b w:val="0"/>
          <w:color w:val="000000"/>
          <w:sz w:val="16"/>
          <w:szCs w:val="16"/>
          <w:shd w:val="clear" w:color="auto" w:fill="FFFFFF"/>
        </w:rPr>
        <w:t>.</w:t>
      </w:r>
    </w:p>
  </w:footnote>
  <w:footnote w:id="382">
    <w:p w14:paraId="77E9800B" w14:textId="0487EEFC" w:rsidR="00146958" w:rsidRPr="00432ABC" w:rsidRDefault="00146958">
      <w:pPr>
        <w:tabs>
          <w:tab w:val="left" w:pos="426"/>
        </w:tabs>
        <w:autoSpaceDE w:val="0"/>
        <w:autoSpaceDN w:val="0"/>
        <w:adjustRightInd w:val="0"/>
        <w:spacing w:after="0" w:line="240" w:lineRule="auto"/>
        <w:contextualSpacing/>
        <w:jc w:val="both"/>
        <w:rPr>
          <w:rFonts w:ascii="Verdana" w:hAnsi="Verdana"/>
          <w:sz w:val="16"/>
          <w:szCs w:val="16"/>
        </w:rPr>
      </w:pPr>
      <w:r w:rsidRPr="003D4976">
        <w:rPr>
          <w:rStyle w:val="Refdenotaalpie"/>
          <w:rFonts w:ascii="Verdana" w:hAnsi="Verdana"/>
          <w:sz w:val="16"/>
          <w:szCs w:val="16"/>
        </w:rPr>
        <w:footnoteRef/>
      </w:r>
      <w:r w:rsidRPr="00425B6A">
        <w:rPr>
          <w:rFonts w:ascii="Verdana" w:hAnsi="Verdana"/>
          <w:sz w:val="16"/>
          <w:szCs w:val="16"/>
        </w:rPr>
        <w:t xml:space="preserve"> </w:t>
      </w:r>
      <w:r w:rsidRPr="00425B6A">
        <w:rPr>
          <w:rFonts w:ascii="Verdana" w:hAnsi="Verdana"/>
          <w:sz w:val="16"/>
          <w:szCs w:val="16"/>
        </w:rPr>
        <w:tab/>
      </w:r>
      <w:r w:rsidRPr="00425B6A">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w:t>
      </w:r>
      <w:r w:rsidRPr="00432ABC">
        <w:rPr>
          <w:rFonts w:ascii="Verdana" w:hAnsi="Verdana"/>
          <w:i/>
          <w:sz w:val="16"/>
          <w:szCs w:val="16"/>
        </w:rPr>
        <w:t>Caso Heliodoro Portugal Vs. Panamá</w:t>
      </w:r>
      <w:r w:rsidRPr="00432ABC">
        <w:rPr>
          <w:rFonts w:ascii="Verdana" w:hAnsi="Verdana"/>
          <w:sz w:val="16"/>
          <w:szCs w:val="16"/>
          <w:lang w:bidi="en-US"/>
        </w:rPr>
        <w:t xml:space="preserve">. </w:t>
      </w:r>
      <w:r w:rsidRPr="00432ABC">
        <w:rPr>
          <w:rFonts w:ascii="Verdana" w:hAnsi="Verdana"/>
          <w:i/>
          <w:sz w:val="16"/>
          <w:szCs w:val="16"/>
          <w:lang w:bidi="en-US"/>
        </w:rPr>
        <w:t xml:space="preserve">Excepciones Preliminares, Fondo, Reparaciones y Costas. </w:t>
      </w:r>
      <w:r w:rsidRPr="00432ABC">
        <w:rPr>
          <w:rFonts w:ascii="Verdana" w:hAnsi="Verdana"/>
          <w:sz w:val="16"/>
          <w:szCs w:val="16"/>
          <w:lang w:bidi="en-US"/>
        </w:rPr>
        <w:t>Sentencia de 12 de agosto de 2008. Serie C No. 186, párr. 112</w:t>
      </w:r>
      <w:r w:rsidRPr="00432ABC">
        <w:rPr>
          <w:rFonts w:ascii="Verdana" w:hAnsi="Verdana"/>
          <w:noProof/>
          <w:sz w:val="16"/>
          <w:szCs w:val="16"/>
        </w:rPr>
        <w:t xml:space="preserve">, y </w:t>
      </w:r>
      <w:r w:rsidRPr="008D0846">
        <w:rPr>
          <w:rFonts w:ascii="Verdana" w:eastAsiaTheme="majorEastAsia" w:hAnsi="Verdana"/>
          <w:bCs/>
          <w:i/>
          <w:color w:val="000000"/>
          <w:sz w:val="16"/>
          <w:szCs w:val="16"/>
          <w:shd w:val="clear" w:color="auto" w:fill="FFFFFF"/>
        </w:rPr>
        <w:t>Caso Terrones Silva y otros Vs. Perú</w:t>
      </w:r>
      <w:r>
        <w:rPr>
          <w:rFonts w:ascii="Verdana" w:eastAsiaTheme="majorEastAsia" w:hAnsi="Verdana"/>
          <w:bCs/>
          <w:color w:val="000000"/>
          <w:sz w:val="16"/>
          <w:szCs w:val="16"/>
          <w:shd w:val="clear" w:color="auto" w:fill="FFFFFF"/>
        </w:rPr>
        <w:t xml:space="preserve">, </w:t>
      </w:r>
      <w:r>
        <w:rPr>
          <w:rFonts w:ascii="Verdana" w:eastAsiaTheme="majorEastAsia" w:hAnsi="Verdana"/>
          <w:bCs/>
          <w:i/>
          <w:color w:val="000000"/>
          <w:sz w:val="16"/>
          <w:szCs w:val="16"/>
          <w:shd w:val="clear" w:color="auto" w:fill="FFFFFF"/>
        </w:rPr>
        <w:t>supra</w:t>
      </w:r>
      <w:r>
        <w:rPr>
          <w:rFonts w:ascii="Verdana" w:eastAsiaTheme="majorEastAsia" w:hAnsi="Verdana"/>
          <w:bCs/>
          <w:color w:val="000000"/>
          <w:sz w:val="16"/>
          <w:szCs w:val="16"/>
          <w:shd w:val="clear" w:color="auto" w:fill="FFFFFF"/>
        </w:rPr>
        <w:t>, párr. 134.</w:t>
      </w:r>
    </w:p>
  </w:footnote>
  <w:footnote w:id="383">
    <w:p w14:paraId="53E20B39" w14:textId="7814D2F9" w:rsidR="00146958" w:rsidRPr="00432ABC" w:rsidRDefault="00146958">
      <w:pPr>
        <w:tabs>
          <w:tab w:val="left" w:pos="426"/>
        </w:tabs>
        <w:autoSpaceDE w:val="0"/>
        <w:autoSpaceDN w:val="0"/>
        <w:adjustRightInd w:val="0"/>
        <w:spacing w:after="0" w:line="240" w:lineRule="auto"/>
        <w:contextualSpacing/>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w:t>
      </w:r>
      <w:r w:rsidRPr="00432ABC">
        <w:rPr>
          <w:rFonts w:ascii="Verdana" w:hAnsi="Verdana"/>
          <w:i/>
          <w:sz w:val="16"/>
          <w:szCs w:val="16"/>
        </w:rPr>
        <w:t>Caso Goiburú y otros Vs. Paraguay. Fondo, Reparaciones y Costas</w:t>
      </w:r>
      <w:r w:rsidRPr="00432ABC">
        <w:rPr>
          <w:rFonts w:ascii="Verdana" w:hAnsi="Verdana"/>
          <w:sz w:val="16"/>
          <w:szCs w:val="16"/>
        </w:rPr>
        <w:t>. Sentencia de 22 de septiembre de 2006. Serie C No. 153, párr. 85, y</w:t>
      </w:r>
      <w:r w:rsidRPr="00432ABC">
        <w:rPr>
          <w:rFonts w:ascii="Verdana" w:hAnsi="Verdana"/>
          <w:noProof/>
          <w:sz w:val="16"/>
          <w:szCs w:val="16"/>
        </w:rPr>
        <w:t xml:space="preserve"> </w:t>
      </w:r>
      <w:r w:rsidRPr="008D0846">
        <w:rPr>
          <w:rFonts w:ascii="Verdana" w:eastAsiaTheme="majorEastAsia" w:hAnsi="Verdana"/>
          <w:bCs/>
          <w:i/>
          <w:color w:val="000000"/>
          <w:sz w:val="16"/>
          <w:szCs w:val="16"/>
          <w:shd w:val="clear" w:color="auto" w:fill="FFFFFF"/>
        </w:rPr>
        <w:t>Caso Terrones Silva y otros Vs. Perú</w:t>
      </w:r>
      <w:r>
        <w:rPr>
          <w:rFonts w:ascii="Verdana" w:eastAsiaTheme="majorEastAsia" w:hAnsi="Verdana"/>
          <w:bCs/>
          <w:color w:val="000000"/>
          <w:sz w:val="16"/>
          <w:szCs w:val="16"/>
          <w:shd w:val="clear" w:color="auto" w:fill="FFFFFF"/>
        </w:rPr>
        <w:t xml:space="preserve">, </w:t>
      </w:r>
      <w:r>
        <w:rPr>
          <w:rFonts w:ascii="Verdana" w:eastAsiaTheme="majorEastAsia" w:hAnsi="Verdana"/>
          <w:bCs/>
          <w:i/>
          <w:color w:val="000000"/>
          <w:sz w:val="16"/>
          <w:szCs w:val="16"/>
          <w:shd w:val="clear" w:color="auto" w:fill="FFFFFF"/>
        </w:rPr>
        <w:t>supra</w:t>
      </w:r>
      <w:r>
        <w:rPr>
          <w:rFonts w:ascii="Verdana" w:eastAsiaTheme="majorEastAsia" w:hAnsi="Verdana"/>
          <w:bCs/>
          <w:color w:val="000000"/>
          <w:sz w:val="16"/>
          <w:szCs w:val="16"/>
          <w:shd w:val="clear" w:color="auto" w:fill="FFFFFF"/>
        </w:rPr>
        <w:t>, párr. 134.</w:t>
      </w:r>
    </w:p>
  </w:footnote>
  <w:footnote w:id="384">
    <w:p w14:paraId="64AA62C7" w14:textId="4AB2CB8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w:t>
      </w:r>
      <w:r w:rsidRPr="008D0846">
        <w:rPr>
          <w:rFonts w:ascii="Verdana" w:hAnsi="Verdana"/>
          <w:i/>
          <w:sz w:val="16"/>
          <w:szCs w:val="16"/>
        </w:rPr>
        <w:t>Caso Velásquez Rodríguez Vs. Honduras. Fondo</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párr. 173; párr. 144, y </w:t>
      </w:r>
      <w:r w:rsidRPr="008D0846">
        <w:rPr>
          <w:rFonts w:ascii="Verdana" w:hAnsi="Verdana"/>
          <w:bCs/>
          <w:i/>
          <w:sz w:val="16"/>
          <w:szCs w:val="16"/>
        </w:rPr>
        <w:t>Caso Terrones Silva y otros Vs. Perú,</w:t>
      </w:r>
      <w:r w:rsidRPr="006B1F64">
        <w:rPr>
          <w:rFonts w:ascii="Verdana" w:hAnsi="Verdana"/>
          <w:bCs/>
          <w:sz w:val="16"/>
          <w:szCs w:val="16"/>
        </w:rPr>
        <w:t xml:space="preserve"> </w:t>
      </w:r>
      <w:r w:rsidRPr="006B1F64">
        <w:rPr>
          <w:rFonts w:ascii="Verdana" w:hAnsi="Verdana"/>
          <w:bCs/>
          <w:i/>
          <w:sz w:val="16"/>
          <w:szCs w:val="16"/>
        </w:rPr>
        <w:t>supra</w:t>
      </w:r>
      <w:r w:rsidRPr="006B1F64">
        <w:rPr>
          <w:rFonts w:ascii="Verdana" w:hAnsi="Verdana"/>
          <w:bCs/>
          <w:sz w:val="16"/>
          <w:szCs w:val="16"/>
        </w:rPr>
        <w:t xml:space="preserve">, párr. </w:t>
      </w:r>
      <w:r w:rsidRPr="00432ABC">
        <w:rPr>
          <w:rFonts w:ascii="Verdana" w:hAnsi="Verdana"/>
          <w:sz w:val="16"/>
          <w:szCs w:val="16"/>
        </w:rPr>
        <w:t>138.</w:t>
      </w:r>
    </w:p>
  </w:footnote>
  <w:footnote w:id="385">
    <w:p w14:paraId="64AA62CA" w14:textId="550FE50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lang w:val="es-CR"/>
        </w:rPr>
        <w:t>Cfr.</w:t>
      </w:r>
      <w:r w:rsidRPr="002C462C">
        <w:rPr>
          <w:rFonts w:ascii="Verdana" w:hAnsi="Verdana"/>
          <w:sz w:val="16"/>
          <w:szCs w:val="16"/>
          <w:lang w:val="es-CR"/>
        </w:rPr>
        <w:t xml:space="preserve"> </w:t>
      </w:r>
      <w:r w:rsidRPr="008D0846">
        <w:rPr>
          <w:rFonts w:ascii="Verdana" w:hAnsi="Verdana"/>
          <w:i/>
          <w:sz w:val="16"/>
          <w:szCs w:val="16"/>
          <w:lang w:val="es-CR"/>
        </w:rPr>
        <w:t>Caso Velásquez Rodríguez</w:t>
      </w:r>
      <w:r w:rsidRPr="008D0846">
        <w:rPr>
          <w:rFonts w:ascii="Verdana" w:hAnsi="Verdana"/>
          <w:bCs/>
          <w:i/>
          <w:sz w:val="16"/>
          <w:szCs w:val="16"/>
        </w:rPr>
        <w:t xml:space="preserve"> Vs. Honduras</w:t>
      </w:r>
      <w:r>
        <w:rPr>
          <w:rFonts w:ascii="Verdana" w:hAnsi="Verdana"/>
          <w:i/>
          <w:sz w:val="16"/>
          <w:szCs w:val="16"/>
        </w:rPr>
        <w:t>,</w:t>
      </w:r>
      <w:r w:rsidRPr="00DA4056">
        <w:rPr>
          <w:rFonts w:ascii="Verdana" w:hAnsi="Verdana"/>
          <w:i/>
          <w:sz w:val="16"/>
          <w:szCs w:val="16"/>
        </w:rPr>
        <w:t xml:space="preserve"> </w:t>
      </w:r>
      <w:r>
        <w:rPr>
          <w:rFonts w:ascii="Verdana" w:hAnsi="Verdana"/>
          <w:i/>
          <w:sz w:val="16"/>
          <w:szCs w:val="16"/>
        </w:rPr>
        <w:t xml:space="preserve">Fondo, </w:t>
      </w:r>
      <w:r w:rsidRPr="00DA4056">
        <w:rPr>
          <w:rFonts w:ascii="Verdana" w:hAnsi="Verdana"/>
          <w:i/>
          <w:sz w:val="16"/>
          <w:szCs w:val="16"/>
        </w:rPr>
        <w:t>supra</w:t>
      </w:r>
      <w:r w:rsidRPr="00432ABC">
        <w:rPr>
          <w:rFonts w:ascii="Verdana" w:hAnsi="Verdana"/>
          <w:sz w:val="16"/>
          <w:szCs w:val="16"/>
        </w:rPr>
        <w:t>,</w:t>
      </w:r>
      <w:r w:rsidRPr="00432ABC">
        <w:rPr>
          <w:rFonts w:ascii="Verdana" w:hAnsi="Verdana"/>
          <w:sz w:val="16"/>
          <w:szCs w:val="16"/>
          <w:lang w:val="es-CR"/>
        </w:rPr>
        <w:t xml:space="preserve"> párr. 129, </w:t>
      </w:r>
      <w:r w:rsidRPr="00432ABC">
        <w:rPr>
          <w:rFonts w:ascii="Verdana" w:hAnsi="Verdana"/>
          <w:sz w:val="16"/>
          <w:szCs w:val="16"/>
        </w:rPr>
        <w:t xml:space="preserve">y </w:t>
      </w:r>
      <w:r w:rsidRPr="00432ABC">
        <w:rPr>
          <w:rFonts w:ascii="Verdana" w:hAnsi="Verdana"/>
          <w:bCs/>
          <w:i/>
          <w:sz w:val="16"/>
          <w:szCs w:val="16"/>
        </w:rPr>
        <w:t>Caso Miembros de la Aldea Chichupac y comunidades vecinas del Municipio de Rabinal Vs. Guatemala. Excepciones Preliminares, Fondo, Reparaciones y Costas</w:t>
      </w:r>
      <w:r w:rsidRPr="00432ABC">
        <w:rPr>
          <w:rFonts w:ascii="Verdana" w:hAnsi="Verdana"/>
          <w:bCs/>
          <w:sz w:val="16"/>
          <w:szCs w:val="16"/>
        </w:rPr>
        <w:t>. Sentencia de 30 de noviembre de 2016. Serie C No. 328, párr. 138.</w:t>
      </w:r>
    </w:p>
  </w:footnote>
  <w:footnote w:id="386">
    <w:p w14:paraId="64AA62CB" w14:textId="73479C6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8D0846">
        <w:rPr>
          <w:rFonts w:ascii="Verdana" w:hAnsi="Verdana"/>
          <w:i/>
          <w:sz w:val="16"/>
          <w:szCs w:val="16"/>
          <w:lang w:val="es-CR"/>
        </w:rPr>
        <w:t>Caso Velásquez Rodríguez</w:t>
      </w:r>
      <w:r w:rsidRPr="008D0846">
        <w:rPr>
          <w:rFonts w:ascii="Verdana" w:hAnsi="Verdana"/>
          <w:bCs/>
          <w:i/>
          <w:sz w:val="16"/>
          <w:szCs w:val="16"/>
        </w:rPr>
        <w:t xml:space="preserve"> Vs. Honduras</w:t>
      </w:r>
      <w:r w:rsidRPr="00425B6A">
        <w:rPr>
          <w:rFonts w:ascii="Verdana" w:hAnsi="Verdana"/>
          <w:i/>
          <w:sz w:val="16"/>
          <w:szCs w:val="16"/>
        </w:rPr>
        <w:t xml:space="preserve">, </w:t>
      </w:r>
      <w:r>
        <w:rPr>
          <w:rFonts w:ascii="Verdana" w:hAnsi="Verdana"/>
          <w:i/>
          <w:sz w:val="16"/>
          <w:szCs w:val="16"/>
        </w:rPr>
        <w:t xml:space="preserve">Fondo, </w:t>
      </w:r>
      <w:r w:rsidRPr="00425B6A">
        <w:rPr>
          <w:rFonts w:ascii="Verdana" w:hAnsi="Verdana"/>
          <w:i/>
          <w:sz w:val="16"/>
          <w:szCs w:val="16"/>
        </w:rPr>
        <w:t>supra</w:t>
      </w:r>
      <w:r w:rsidRPr="00432ABC">
        <w:rPr>
          <w:rFonts w:ascii="Verdana" w:hAnsi="Verdana"/>
          <w:sz w:val="16"/>
          <w:szCs w:val="16"/>
        </w:rPr>
        <w:t>,</w:t>
      </w:r>
      <w:r w:rsidRPr="00432ABC">
        <w:rPr>
          <w:rFonts w:ascii="Verdana" w:hAnsi="Verdana"/>
          <w:sz w:val="16"/>
          <w:szCs w:val="16"/>
          <w:lang w:val="es-CR"/>
        </w:rPr>
        <w:t xml:space="preserve"> párr.</w:t>
      </w:r>
      <w:r w:rsidRPr="00432ABC">
        <w:rPr>
          <w:rFonts w:ascii="Verdana" w:hAnsi="Verdana"/>
          <w:bCs/>
          <w:sz w:val="16"/>
          <w:szCs w:val="16"/>
        </w:rPr>
        <w:t>,</w:t>
      </w:r>
      <w:r>
        <w:rPr>
          <w:rFonts w:ascii="Verdana" w:hAnsi="Verdana"/>
          <w:bCs/>
          <w:sz w:val="16"/>
          <w:szCs w:val="16"/>
        </w:rPr>
        <w:t>131,</w:t>
      </w:r>
      <w:r w:rsidRPr="00432ABC">
        <w:rPr>
          <w:rFonts w:ascii="Verdana" w:hAnsi="Verdana"/>
          <w:bCs/>
          <w:sz w:val="16"/>
          <w:szCs w:val="16"/>
        </w:rPr>
        <w:t xml:space="preserve"> y </w:t>
      </w:r>
      <w:r w:rsidRPr="008D0846">
        <w:rPr>
          <w:rFonts w:ascii="Verdana" w:hAnsi="Verdana"/>
          <w:bCs/>
          <w:i/>
          <w:color w:val="000000"/>
          <w:sz w:val="16"/>
          <w:szCs w:val="16"/>
          <w:shd w:val="clear" w:color="auto" w:fill="FFFFFF"/>
        </w:rPr>
        <w:t>Caso Terrones Silva y otros Vs. Perú,</w:t>
      </w:r>
      <w:r w:rsidRPr="00A366DE">
        <w:rPr>
          <w:rFonts w:ascii="Verdana" w:hAnsi="Verdana"/>
          <w:bCs/>
          <w:color w:val="000000"/>
          <w:sz w:val="16"/>
          <w:szCs w:val="16"/>
          <w:shd w:val="clear" w:color="auto" w:fill="FFFFFF"/>
        </w:rPr>
        <w:t xml:space="preserve"> </w:t>
      </w:r>
      <w:r w:rsidRPr="00A366DE">
        <w:rPr>
          <w:rFonts w:ascii="Verdana" w:hAnsi="Verdana"/>
          <w:bCs/>
          <w:i/>
          <w:color w:val="000000"/>
          <w:sz w:val="16"/>
          <w:szCs w:val="16"/>
          <w:shd w:val="clear" w:color="auto" w:fill="FFFFFF"/>
        </w:rPr>
        <w:t>supra</w:t>
      </w:r>
      <w:r w:rsidRPr="00A366DE">
        <w:rPr>
          <w:rFonts w:ascii="Verdana" w:hAnsi="Verdana"/>
          <w:bCs/>
          <w:color w:val="000000"/>
          <w:sz w:val="16"/>
          <w:szCs w:val="16"/>
          <w:shd w:val="clear" w:color="auto" w:fill="FFFFFF"/>
        </w:rPr>
        <w:t>, párr. 13</w:t>
      </w:r>
      <w:r>
        <w:rPr>
          <w:rFonts w:ascii="Verdana" w:hAnsi="Verdana"/>
          <w:bCs/>
          <w:color w:val="000000"/>
          <w:sz w:val="16"/>
          <w:szCs w:val="16"/>
          <w:shd w:val="clear" w:color="auto" w:fill="FFFFFF"/>
        </w:rPr>
        <w:t>6</w:t>
      </w:r>
      <w:r>
        <w:rPr>
          <w:rStyle w:val="Textoennegrita"/>
          <w:rFonts w:ascii="Verdana" w:hAnsi="Verdana"/>
          <w:b w:val="0"/>
          <w:color w:val="000000"/>
          <w:sz w:val="16"/>
          <w:szCs w:val="16"/>
          <w:shd w:val="clear" w:color="auto" w:fill="FFFFFF"/>
        </w:rPr>
        <w:t>.</w:t>
      </w:r>
      <w:r w:rsidRPr="00432ABC">
        <w:rPr>
          <w:rFonts w:ascii="Verdana" w:hAnsi="Verdana"/>
          <w:bCs/>
          <w:sz w:val="16"/>
          <w:szCs w:val="16"/>
        </w:rPr>
        <w:t xml:space="preserve"> </w:t>
      </w:r>
    </w:p>
  </w:footnote>
  <w:footnote w:id="387">
    <w:p w14:paraId="64AA62CC" w14:textId="78548F8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lang w:val="es-CR"/>
        </w:rPr>
        <w:t>Cfr.</w:t>
      </w:r>
      <w:r w:rsidRPr="00663431">
        <w:rPr>
          <w:rFonts w:ascii="Verdana" w:hAnsi="Verdana"/>
          <w:sz w:val="16"/>
          <w:szCs w:val="16"/>
          <w:lang w:val="es-CR"/>
        </w:rPr>
        <w:t xml:space="preserve"> </w:t>
      </w:r>
      <w:r w:rsidRPr="00663431">
        <w:rPr>
          <w:rFonts w:ascii="Verdana" w:hAnsi="Verdana"/>
          <w:i/>
          <w:sz w:val="16"/>
          <w:szCs w:val="16"/>
          <w:lang w:val="es-CR"/>
        </w:rPr>
        <w:t>Caso Velásquez Rodríguez</w:t>
      </w:r>
      <w:r w:rsidRPr="00663431">
        <w:rPr>
          <w:rFonts w:ascii="Verdana" w:hAnsi="Verdana"/>
          <w:bCs/>
          <w:i/>
          <w:sz w:val="16"/>
          <w:szCs w:val="16"/>
        </w:rPr>
        <w:t xml:space="preserve"> Vs. Honduras</w:t>
      </w:r>
      <w:r w:rsidRPr="00663431">
        <w:rPr>
          <w:rFonts w:ascii="Verdana" w:hAnsi="Verdana"/>
          <w:i/>
          <w:sz w:val="16"/>
          <w:szCs w:val="16"/>
        </w:rPr>
        <w:t>,</w:t>
      </w:r>
      <w:r w:rsidRPr="003D4976">
        <w:rPr>
          <w:rFonts w:ascii="Verdana" w:hAnsi="Verdana"/>
          <w:i/>
          <w:sz w:val="16"/>
          <w:szCs w:val="16"/>
        </w:rPr>
        <w:t xml:space="preserve"> </w:t>
      </w:r>
      <w:r>
        <w:rPr>
          <w:rFonts w:ascii="Verdana" w:hAnsi="Verdana"/>
          <w:i/>
          <w:sz w:val="16"/>
          <w:szCs w:val="16"/>
        </w:rPr>
        <w:t xml:space="preserve">Fondo, </w:t>
      </w:r>
      <w:r w:rsidRPr="003D4976">
        <w:rPr>
          <w:rFonts w:ascii="Verdana" w:hAnsi="Verdana"/>
          <w:i/>
          <w:sz w:val="16"/>
          <w:szCs w:val="16"/>
        </w:rPr>
        <w:t>supra</w:t>
      </w:r>
      <w:r w:rsidRPr="00425B6A">
        <w:rPr>
          <w:rFonts w:ascii="Verdana" w:hAnsi="Verdana"/>
          <w:sz w:val="16"/>
          <w:szCs w:val="16"/>
        </w:rPr>
        <w:t>,</w:t>
      </w:r>
      <w:r w:rsidRPr="00425B6A">
        <w:rPr>
          <w:rFonts w:ascii="Verdana" w:hAnsi="Verdana"/>
          <w:sz w:val="16"/>
          <w:szCs w:val="16"/>
          <w:lang w:val="es-CR"/>
        </w:rPr>
        <w:t xml:space="preserve"> párr. 130, y </w:t>
      </w:r>
      <w:r w:rsidRPr="00425B6A">
        <w:rPr>
          <w:rStyle w:val="Textoennegrita"/>
          <w:rFonts w:ascii="Verdana" w:hAnsi="Verdana"/>
          <w:b w:val="0"/>
          <w:i/>
          <w:color w:val="000000"/>
          <w:sz w:val="16"/>
          <w:szCs w:val="16"/>
          <w:shd w:val="clear" w:color="auto" w:fill="FFFFFF"/>
        </w:rPr>
        <w:t>Caso Vásquez Durand y otros Vs. Ecuador. Excepciones Prelimin</w:t>
      </w:r>
      <w:r w:rsidRPr="008D6453">
        <w:rPr>
          <w:rStyle w:val="Textoennegrita"/>
          <w:rFonts w:ascii="Verdana" w:hAnsi="Verdana"/>
          <w:b w:val="0"/>
          <w:i/>
          <w:color w:val="000000"/>
          <w:sz w:val="16"/>
          <w:szCs w:val="16"/>
          <w:shd w:val="clear" w:color="auto" w:fill="FFFFFF"/>
        </w:rPr>
        <w:t>ares, Fondo, Reparaciones y Costas</w:t>
      </w:r>
      <w:r w:rsidRPr="008D6453">
        <w:rPr>
          <w:rStyle w:val="Textoennegrita"/>
          <w:rFonts w:ascii="Verdana" w:hAnsi="Verdana"/>
          <w:b w:val="0"/>
          <w:color w:val="000000"/>
          <w:sz w:val="16"/>
          <w:szCs w:val="16"/>
          <w:shd w:val="clear" w:color="auto" w:fill="FFFFFF"/>
        </w:rPr>
        <w:t>. Sentencia de 15 de febrero de 2017. Serie C No. 332, párr. 110</w:t>
      </w:r>
      <w:r w:rsidRPr="00BC58E5">
        <w:rPr>
          <w:rFonts w:ascii="Verdana" w:hAnsi="Verdana"/>
          <w:sz w:val="16"/>
          <w:szCs w:val="16"/>
        </w:rPr>
        <w:t>.</w:t>
      </w:r>
    </w:p>
  </w:footnote>
  <w:footnote w:id="388">
    <w:p w14:paraId="64AA62CD" w14:textId="5419F9C7" w:rsidR="00146958" w:rsidRPr="00432ABC" w:rsidRDefault="00146958">
      <w:pPr>
        <w:pStyle w:val="Textonotapie"/>
        <w:jc w:val="both"/>
        <w:rPr>
          <w:rFonts w:ascii="Verdana" w:hAnsi="Verdana"/>
          <w:b/>
          <w:sz w:val="16"/>
          <w:szCs w:val="16"/>
        </w:rPr>
      </w:pPr>
      <w:r w:rsidRPr="00425B6A">
        <w:rPr>
          <w:rStyle w:val="Refdenotaalpie"/>
          <w:rFonts w:ascii="Verdana" w:hAnsi="Verdana"/>
          <w:sz w:val="16"/>
          <w:szCs w:val="16"/>
        </w:rPr>
        <w:footnoteRef/>
      </w:r>
      <w:r w:rsidRPr="00425B6A">
        <w:rPr>
          <w:rFonts w:ascii="Verdana" w:hAnsi="Verdana"/>
          <w:sz w:val="16"/>
          <w:szCs w:val="16"/>
        </w:rPr>
        <w:t xml:space="preserve"> </w:t>
      </w:r>
      <w:r w:rsidRPr="00425B6A">
        <w:rPr>
          <w:rFonts w:ascii="Verdana" w:hAnsi="Verdana"/>
          <w:sz w:val="16"/>
          <w:szCs w:val="16"/>
        </w:rPr>
        <w:tab/>
      </w:r>
      <w:r w:rsidRPr="00CD5C54">
        <w:rPr>
          <w:rFonts w:ascii="Verdana" w:hAnsi="Verdana"/>
          <w:i/>
          <w:sz w:val="16"/>
          <w:szCs w:val="16"/>
        </w:rPr>
        <w:t>Cfr.</w:t>
      </w:r>
      <w:r w:rsidRPr="00425B6A">
        <w:rPr>
          <w:rFonts w:ascii="Verdana" w:hAnsi="Verdana"/>
          <w:sz w:val="16"/>
          <w:szCs w:val="16"/>
        </w:rPr>
        <w:t xml:space="preserve"> Caso</w:t>
      </w:r>
      <w:r w:rsidRPr="00425B6A">
        <w:rPr>
          <w:rFonts w:ascii="Verdana" w:hAnsi="Verdana"/>
          <w:i/>
          <w:sz w:val="16"/>
          <w:szCs w:val="16"/>
        </w:rPr>
        <w:t xml:space="preserve"> Fairén Garbi y Solís Corrales Vs. Honduras. Fondo</w:t>
      </w:r>
      <w:r w:rsidRPr="00425B6A">
        <w:rPr>
          <w:rFonts w:ascii="Verdana" w:hAnsi="Verdana"/>
          <w:sz w:val="16"/>
          <w:szCs w:val="16"/>
        </w:rPr>
        <w:t xml:space="preserve">. Sentencia de 15 de marzo de 1989. Serie C No. 6, párr. 15, y </w:t>
      </w:r>
      <w:r w:rsidRPr="00BC58E5">
        <w:rPr>
          <w:rFonts w:ascii="Verdana" w:hAnsi="Verdana"/>
          <w:i/>
          <w:sz w:val="16"/>
          <w:szCs w:val="16"/>
        </w:rPr>
        <w:t xml:space="preserve">Caso Osorio Rivera y familiares Vs. Perú. Excepciones Preliminares, Fondo, Reparaciones y Costas, supra, </w:t>
      </w:r>
      <w:r w:rsidRPr="00B57113">
        <w:rPr>
          <w:rFonts w:ascii="Verdana" w:hAnsi="Verdana"/>
          <w:sz w:val="16"/>
          <w:szCs w:val="16"/>
        </w:rPr>
        <w:t>párr.</w:t>
      </w:r>
      <w:r w:rsidRPr="00425B6A">
        <w:rPr>
          <w:rFonts w:ascii="Verdana" w:hAnsi="Verdana"/>
          <w:i/>
          <w:sz w:val="16"/>
          <w:szCs w:val="16"/>
        </w:rPr>
        <w:t xml:space="preserve"> </w:t>
      </w:r>
      <w:r w:rsidRPr="00425B6A">
        <w:rPr>
          <w:rFonts w:ascii="Verdana" w:hAnsi="Verdana"/>
          <w:sz w:val="16"/>
          <w:szCs w:val="16"/>
        </w:rPr>
        <w:t>146.</w:t>
      </w:r>
      <w:r w:rsidRPr="00432ABC">
        <w:rPr>
          <w:rFonts w:ascii="Verdana" w:hAnsi="Verdana"/>
          <w:i/>
          <w:sz w:val="16"/>
          <w:szCs w:val="16"/>
        </w:rPr>
        <w:t xml:space="preserve"> </w:t>
      </w:r>
    </w:p>
  </w:footnote>
  <w:footnote w:id="389">
    <w:p w14:paraId="64AA62CE" w14:textId="4F619856" w:rsidR="00146958" w:rsidRPr="00432ABC" w:rsidRDefault="00146958">
      <w:pPr>
        <w:pStyle w:val="Textonotapie"/>
        <w:jc w:val="both"/>
        <w:rPr>
          <w:rFonts w:ascii="Verdana" w:hAnsi="Verdana"/>
          <w:sz w:val="16"/>
          <w:szCs w:val="16"/>
          <w:lang w:val="es-A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sidRPr="002C462C">
        <w:rPr>
          <w:rFonts w:ascii="Verdana" w:hAnsi="Verdana"/>
          <w:i/>
          <w:sz w:val="16"/>
          <w:szCs w:val="16"/>
          <w:lang w:val="es-CR"/>
        </w:rPr>
        <w:t xml:space="preserve"> </w:t>
      </w:r>
      <w:r w:rsidRPr="001C6E26">
        <w:rPr>
          <w:rFonts w:ascii="Verdana" w:hAnsi="Verdana"/>
          <w:bCs/>
          <w:i/>
          <w:sz w:val="16"/>
          <w:szCs w:val="16"/>
        </w:rPr>
        <w:t>Caso Fairén Garbi y Solís Corrales Vs. Honduras</w:t>
      </w:r>
      <w:r w:rsidRPr="001C6E26">
        <w:rPr>
          <w:rFonts w:ascii="Verdana" w:hAnsi="Verdana"/>
          <w:bCs/>
          <w:sz w:val="16"/>
          <w:szCs w:val="16"/>
        </w:rPr>
        <w:t>,</w:t>
      </w:r>
      <w:r>
        <w:rPr>
          <w:sz w:val="22"/>
          <w:szCs w:val="22"/>
        </w:rPr>
        <w:t xml:space="preserve"> </w:t>
      </w:r>
      <w:r w:rsidRPr="008D0846">
        <w:rPr>
          <w:rFonts w:ascii="Verdana" w:hAnsi="Verdana"/>
          <w:i/>
          <w:sz w:val="16"/>
          <w:szCs w:val="22"/>
        </w:rPr>
        <w:t>Fondo,</w:t>
      </w:r>
      <w:r w:rsidRPr="008D0846">
        <w:rPr>
          <w:sz w:val="16"/>
          <w:szCs w:val="22"/>
        </w:rPr>
        <w:t xml:space="preserve"> </w:t>
      </w:r>
      <w:r w:rsidRPr="008D0846">
        <w:rPr>
          <w:rFonts w:ascii="Verdana" w:hAnsi="Verdana"/>
          <w:i/>
          <w:sz w:val="16"/>
          <w:szCs w:val="16"/>
        </w:rPr>
        <w:t>supra,</w:t>
      </w:r>
      <w:r w:rsidRPr="008D0846">
        <w:rPr>
          <w:rFonts w:ascii="Verdana" w:hAnsi="Verdana"/>
          <w:i/>
          <w:sz w:val="22"/>
          <w:szCs w:val="22"/>
        </w:rPr>
        <w:t xml:space="preserve"> </w:t>
      </w:r>
      <w:r w:rsidRPr="001C6E26">
        <w:rPr>
          <w:rFonts w:ascii="Verdana" w:hAnsi="Verdana"/>
          <w:bCs/>
          <w:sz w:val="16"/>
          <w:szCs w:val="16"/>
        </w:rPr>
        <w:t>párr. 157</w:t>
      </w:r>
      <w:r>
        <w:rPr>
          <w:rFonts w:ascii="Verdana" w:hAnsi="Verdana"/>
          <w:bCs/>
          <w:sz w:val="16"/>
          <w:szCs w:val="16"/>
        </w:rPr>
        <w:t xml:space="preserve">, y </w:t>
      </w:r>
      <w:r w:rsidRPr="002C462C">
        <w:rPr>
          <w:rFonts w:ascii="Verdana" w:hAnsi="Verdana"/>
          <w:i/>
          <w:sz w:val="16"/>
          <w:szCs w:val="16"/>
          <w:lang w:val="es-CR"/>
        </w:rPr>
        <w:t xml:space="preserve">Caso Terrones Silva y otros Vs. Perú, </w:t>
      </w:r>
      <w:r>
        <w:rPr>
          <w:rFonts w:ascii="Verdana" w:hAnsi="Verdana"/>
          <w:i/>
          <w:sz w:val="16"/>
          <w:szCs w:val="16"/>
          <w:lang w:val="es-CR"/>
        </w:rPr>
        <w:t xml:space="preserve">supra, </w:t>
      </w:r>
      <w:r w:rsidRPr="008D0846">
        <w:rPr>
          <w:rFonts w:ascii="Verdana" w:hAnsi="Verdana"/>
          <w:sz w:val="16"/>
          <w:szCs w:val="16"/>
          <w:lang w:val="es-CR"/>
        </w:rPr>
        <w:t>párr. 137</w:t>
      </w:r>
      <w:r>
        <w:rPr>
          <w:rFonts w:ascii="Verdana" w:hAnsi="Verdana"/>
          <w:sz w:val="16"/>
          <w:szCs w:val="16"/>
          <w:lang w:val="es-CR"/>
        </w:rPr>
        <w:t>.</w:t>
      </w:r>
      <w:r w:rsidRPr="00432ABC">
        <w:rPr>
          <w:rFonts w:ascii="Verdana" w:hAnsi="Verdana"/>
          <w:bCs/>
          <w:sz w:val="16"/>
          <w:szCs w:val="16"/>
          <w:lang w:val="es-CR"/>
        </w:rPr>
        <w:t xml:space="preserve"> </w:t>
      </w:r>
    </w:p>
  </w:footnote>
  <w:footnote w:id="390">
    <w:p w14:paraId="64AA62CF" w14:textId="0F838A77"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8D0846">
        <w:rPr>
          <w:rStyle w:val="Textoennegrita"/>
          <w:rFonts w:ascii="Verdana" w:hAnsi="Verdana"/>
          <w:b w:val="0"/>
          <w:i/>
          <w:color w:val="000000"/>
          <w:sz w:val="16"/>
          <w:szCs w:val="16"/>
          <w:shd w:val="clear" w:color="auto" w:fill="FFFFFF"/>
        </w:rPr>
        <w:t xml:space="preserve">Caso Rodríguez Vera y otros (Desaparecidos del Palacio de Justicia) Vs. Colombia. Excepciones Preliminares, Fondo, Reparaciones y Costas, </w:t>
      </w:r>
      <w:r w:rsidRPr="00432ABC">
        <w:rPr>
          <w:rStyle w:val="Textoennegrita"/>
          <w:rFonts w:ascii="Verdana" w:hAnsi="Verdana"/>
          <w:b w:val="0"/>
          <w:i/>
          <w:color w:val="000000"/>
          <w:sz w:val="16"/>
          <w:szCs w:val="16"/>
          <w:shd w:val="clear" w:color="auto" w:fill="FFFFFF"/>
        </w:rPr>
        <w:t xml:space="preserve">supra, </w:t>
      </w:r>
      <w:r w:rsidRPr="00432ABC">
        <w:rPr>
          <w:rStyle w:val="Textoennegrita"/>
          <w:rFonts w:ascii="Verdana" w:hAnsi="Verdana"/>
          <w:b w:val="0"/>
          <w:color w:val="000000"/>
          <w:sz w:val="16"/>
          <w:szCs w:val="16"/>
          <w:shd w:val="clear" w:color="auto" w:fill="FFFFFF"/>
        </w:rPr>
        <w:t xml:space="preserve">párr. 232, y </w:t>
      </w:r>
      <w:r w:rsidRPr="008D0846">
        <w:rPr>
          <w:rFonts w:ascii="Verdana" w:hAnsi="Verdana"/>
          <w:bCs/>
          <w:i/>
          <w:color w:val="000000"/>
          <w:sz w:val="16"/>
          <w:szCs w:val="16"/>
          <w:shd w:val="clear" w:color="auto" w:fill="FFFFFF"/>
        </w:rPr>
        <w:t>Caso Munárriz Escobar y otros Vs. Perú</w:t>
      </w:r>
      <w:r>
        <w:rPr>
          <w:rFonts w:ascii="Verdana" w:hAnsi="Verdana"/>
          <w:bCs/>
          <w:i/>
          <w:color w:val="000000"/>
          <w:sz w:val="16"/>
          <w:szCs w:val="16"/>
          <w:shd w:val="clear" w:color="auto" w:fill="FFFFFF"/>
        </w:rPr>
        <w:t>. Excepción Preliminar, Fondo, Reparaciones y Costas.</w:t>
      </w:r>
      <w:r>
        <w:rPr>
          <w:rFonts w:ascii="Verdana" w:hAnsi="Verdana"/>
          <w:bCs/>
          <w:color w:val="000000"/>
          <w:sz w:val="16"/>
          <w:szCs w:val="16"/>
          <w:shd w:val="clear" w:color="auto" w:fill="FFFFFF"/>
        </w:rPr>
        <w:t xml:space="preserve"> Sentencia de 20 de agosto de 2018. Serie C No. 355</w:t>
      </w:r>
      <w:r>
        <w:rPr>
          <w:rFonts w:ascii="Verdana" w:hAnsi="Verdana"/>
          <w:bCs/>
          <w:i/>
          <w:color w:val="000000"/>
          <w:sz w:val="16"/>
          <w:szCs w:val="16"/>
          <w:shd w:val="clear" w:color="auto" w:fill="FFFFFF"/>
        </w:rPr>
        <w:t xml:space="preserve">. </w:t>
      </w:r>
      <w:r>
        <w:rPr>
          <w:rFonts w:ascii="Verdana" w:hAnsi="Verdana"/>
          <w:bCs/>
          <w:color w:val="000000"/>
          <w:sz w:val="16"/>
          <w:szCs w:val="16"/>
          <w:shd w:val="clear" w:color="auto" w:fill="FFFFFF"/>
        </w:rPr>
        <w:t>P</w:t>
      </w:r>
      <w:r w:rsidRPr="00432ABC">
        <w:rPr>
          <w:rFonts w:ascii="Verdana" w:hAnsi="Verdana"/>
          <w:bCs/>
          <w:color w:val="000000"/>
          <w:sz w:val="16"/>
          <w:szCs w:val="16"/>
          <w:shd w:val="clear" w:color="auto" w:fill="FFFFFF"/>
        </w:rPr>
        <w:t xml:space="preserve">árr. </w:t>
      </w:r>
      <w:r>
        <w:rPr>
          <w:rFonts w:ascii="Verdana" w:hAnsi="Verdana"/>
          <w:bCs/>
          <w:color w:val="000000"/>
          <w:sz w:val="16"/>
          <w:szCs w:val="16"/>
          <w:shd w:val="clear" w:color="auto" w:fill="FFFFFF"/>
        </w:rPr>
        <w:t>70</w:t>
      </w:r>
      <w:r w:rsidRPr="00432ABC">
        <w:rPr>
          <w:rFonts w:ascii="Verdana" w:hAnsi="Verdana"/>
          <w:bCs/>
          <w:color w:val="000000"/>
          <w:sz w:val="16"/>
          <w:szCs w:val="16"/>
          <w:shd w:val="clear" w:color="auto" w:fill="FFFFFF"/>
        </w:rPr>
        <w:t xml:space="preserve">. </w:t>
      </w:r>
    </w:p>
  </w:footnote>
  <w:footnote w:id="391">
    <w:p w14:paraId="64AA62D0" w14:textId="4172D29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inter alia: </w:t>
      </w:r>
      <w:r w:rsidRPr="002C462C">
        <w:rPr>
          <w:rFonts w:ascii="Verdana" w:hAnsi="Verdana"/>
          <w:sz w:val="16"/>
          <w:szCs w:val="16"/>
        </w:rPr>
        <w:t xml:space="preserve">GTDFI, </w:t>
      </w:r>
      <w:r w:rsidRPr="00432ABC">
        <w:rPr>
          <w:rFonts w:ascii="Verdana" w:hAnsi="Verdana"/>
          <w:i/>
          <w:sz w:val="16"/>
          <w:szCs w:val="16"/>
        </w:rPr>
        <w:t>Informe del Grupo de Trabajo sobre las Desapariciones Forzadas o Involuntarias, Comentario general sobre la definición de desapariciones forzadas</w:t>
      </w:r>
      <w:r w:rsidRPr="00432ABC">
        <w:rPr>
          <w:rFonts w:ascii="Verdana" w:hAnsi="Verdana"/>
          <w:sz w:val="16"/>
          <w:szCs w:val="16"/>
        </w:rPr>
        <w:t xml:space="preserve">, A/HRC/7/2, 10 de enero de 2008, párr. 7; </w:t>
      </w:r>
      <w:r w:rsidRPr="00432ABC">
        <w:rPr>
          <w:rFonts w:ascii="Verdana" w:hAnsi="Verdana"/>
          <w:i/>
          <w:sz w:val="16"/>
          <w:szCs w:val="16"/>
        </w:rPr>
        <w:t>Caso Blanco Romero y otros Vs. Venezuela. Fondo, Reparaciones y Costas</w:t>
      </w:r>
      <w:r w:rsidRPr="00432ABC">
        <w:rPr>
          <w:rFonts w:ascii="Verdana" w:hAnsi="Verdana"/>
          <w:sz w:val="16"/>
          <w:szCs w:val="16"/>
        </w:rPr>
        <w:t>. Sentencia de 28 de noviembre de 2005. Serie C No. 138, párr. 105</w:t>
      </w:r>
      <w:r>
        <w:rPr>
          <w:rFonts w:ascii="Verdana" w:hAnsi="Verdana"/>
          <w:sz w:val="16"/>
          <w:szCs w:val="16"/>
        </w:rPr>
        <w:t xml:space="preserve">; </w:t>
      </w:r>
      <w:r w:rsidRPr="008D0846">
        <w:rPr>
          <w:rStyle w:val="Textoennegrita"/>
          <w:rFonts w:ascii="Verdana" w:hAnsi="Verdana"/>
          <w:b w:val="0"/>
          <w:i/>
          <w:color w:val="000000"/>
          <w:sz w:val="16"/>
          <w:szCs w:val="16"/>
          <w:shd w:val="clear" w:color="auto" w:fill="FFFFFF"/>
        </w:rPr>
        <w:t>Caso Rodríguez Vera y otros (Desaparecidos del Palacio de Justicia) Vs. Colombia</w:t>
      </w:r>
      <w:r w:rsidRPr="00432ABC">
        <w:rPr>
          <w:rStyle w:val="Textoennegrita"/>
          <w:rFonts w:ascii="Verdana" w:hAnsi="Verdana"/>
          <w:b w:val="0"/>
          <w:color w:val="000000"/>
          <w:sz w:val="16"/>
          <w:szCs w:val="16"/>
          <w:shd w:val="clear" w:color="auto" w:fill="FFFFFF"/>
        </w:rPr>
        <w:t xml:space="preserve">, </w:t>
      </w:r>
      <w:r w:rsidRPr="00432ABC">
        <w:rPr>
          <w:rStyle w:val="Textoennegrita"/>
          <w:rFonts w:ascii="Verdana" w:hAnsi="Verdana"/>
          <w:b w:val="0"/>
          <w:i/>
          <w:color w:val="000000"/>
          <w:sz w:val="16"/>
          <w:szCs w:val="16"/>
          <w:shd w:val="clear" w:color="auto" w:fill="FFFFFF"/>
        </w:rPr>
        <w:t>supra</w:t>
      </w:r>
      <w:r w:rsidRPr="00432ABC">
        <w:rPr>
          <w:rFonts w:ascii="Verdana" w:hAnsi="Verdana"/>
          <w:sz w:val="16"/>
          <w:szCs w:val="16"/>
        </w:rPr>
        <w:t>, párr. 232</w:t>
      </w:r>
      <w:r w:rsidRPr="00354EDD">
        <w:rPr>
          <w:rFonts w:ascii="Verdana" w:hAnsi="Verdana"/>
          <w:bCs/>
          <w:sz w:val="16"/>
          <w:szCs w:val="16"/>
        </w:rPr>
        <w:t xml:space="preserve">, y </w:t>
      </w:r>
      <w:r w:rsidRPr="00354EDD">
        <w:rPr>
          <w:rFonts w:ascii="Verdana" w:hAnsi="Verdana"/>
          <w:bCs/>
          <w:i/>
          <w:sz w:val="16"/>
          <w:szCs w:val="16"/>
        </w:rPr>
        <w:t xml:space="preserve">Caso Munárriz Escobar y otros Vs. Perú, supra, </w:t>
      </w:r>
      <w:r w:rsidRPr="00354EDD">
        <w:rPr>
          <w:rFonts w:ascii="Verdana" w:hAnsi="Verdana"/>
          <w:bCs/>
          <w:sz w:val="16"/>
          <w:szCs w:val="16"/>
        </w:rPr>
        <w:t>párr. 70</w:t>
      </w:r>
      <w:r w:rsidRPr="00432ABC">
        <w:rPr>
          <w:rFonts w:ascii="Verdana" w:hAnsi="Verdana"/>
          <w:sz w:val="16"/>
          <w:szCs w:val="16"/>
        </w:rPr>
        <w:t>.</w:t>
      </w:r>
    </w:p>
  </w:footnote>
  <w:footnote w:id="392">
    <w:p w14:paraId="1FEA8452" w14:textId="0432C450" w:rsidR="00146958" w:rsidRPr="00DB378B" w:rsidRDefault="00146958">
      <w:pPr>
        <w:pStyle w:val="Textonotapie"/>
        <w:jc w:val="both"/>
        <w:rPr>
          <w:rFonts w:ascii="Verdana" w:hAnsi="Verdana"/>
          <w:lang w:val="es-CR"/>
        </w:rPr>
      </w:pPr>
      <w:r w:rsidRPr="00350912">
        <w:rPr>
          <w:rStyle w:val="Refdenotaalpie"/>
          <w:rFonts w:ascii="Verdana" w:hAnsi="Verdana"/>
          <w:sz w:val="16"/>
        </w:rPr>
        <w:footnoteRef/>
      </w:r>
      <w:r w:rsidRPr="00350912">
        <w:rPr>
          <w:rFonts w:ascii="Verdana" w:hAnsi="Verdana"/>
          <w:sz w:val="16"/>
        </w:rPr>
        <w:t xml:space="preserve"> </w:t>
      </w:r>
      <w:r w:rsidRPr="00DB378B">
        <w:rPr>
          <w:rFonts w:ascii="Verdana" w:hAnsi="Verdana"/>
        </w:rPr>
        <w:tab/>
      </w:r>
      <w:r w:rsidRPr="00432ABC">
        <w:rPr>
          <w:rFonts w:ascii="Verdana" w:hAnsi="Verdana"/>
          <w:sz w:val="16"/>
        </w:rPr>
        <w:t>Adicionalmente, durante el proceso de</w:t>
      </w:r>
      <w:r>
        <w:rPr>
          <w:rFonts w:ascii="Verdana" w:hAnsi="Verdana"/>
          <w:sz w:val="16"/>
        </w:rPr>
        <w:t>l presente</w:t>
      </w:r>
      <w:r w:rsidRPr="00432ABC">
        <w:rPr>
          <w:rFonts w:ascii="Verdana" w:hAnsi="Verdana"/>
          <w:sz w:val="16"/>
        </w:rPr>
        <w:t xml:space="preserve"> caso ante el Tribunal se recibieron distintos pronunciamientos periciales, declaraciones testimoniales, prueba documental, e inclusive </w:t>
      </w:r>
      <w:r w:rsidRPr="002C462C">
        <w:rPr>
          <w:rFonts w:ascii="Verdana" w:hAnsi="Verdana"/>
          <w:i/>
          <w:sz w:val="16"/>
        </w:rPr>
        <w:t>amicus curiae</w:t>
      </w:r>
      <w:r w:rsidRPr="00432ABC">
        <w:rPr>
          <w:rFonts w:ascii="Verdana" w:hAnsi="Verdana"/>
          <w:sz w:val="16"/>
        </w:rPr>
        <w:t xml:space="preserve"> (</w:t>
      </w:r>
      <w:r w:rsidRPr="00432ABC">
        <w:rPr>
          <w:rFonts w:ascii="Verdana" w:hAnsi="Verdana"/>
          <w:i/>
          <w:sz w:val="16"/>
        </w:rPr>
        <w:t>supra</w:t>
      </w:r>
      <w:r w:rsidRPr="00432ABC">
        <w:rPr>
          <w:rFonts w:ascii="Verdana" w:hAnsi="Verdana"/>
          <w:sz w:val="16"/>
        </w:rPr>
        <w:t xml:space="preserve"> párr. </w:t>
      </w:r>
      <w:r>
        <w:rPr>
          <w:rFonts w:ascii="Verdana" w:hAnsi="Verdana"/>
          <w:sz w:val="16"/>
        </w:rPr>
        <w:t>10</w:t>
      </w:r>
      <w:r w:rsidRPr="00432ABC">
        <w:rPr>
          <w:rFonts w:ascii="Verdana" w:hAnsi="Verdana"/>
          <w:sz w:val="16"/>
        </w:rPr>
        <w:t xml:space="preserve">), que han reiterado la existencia de tal contexto y de la presencia militar en el lugar y al momento en que ocurrieron </w:t>
      </w:r>
      <w:r>
        <w:rPr>
          <w:rFonts w:ascii="Verdana" w:hAnsi="Verdana"/>
          <w:sz w:val="16"/>
        </w:rPr>
        <w:t>dichas</w:t>
      </w:r>
      <w:r w:rsidRPr="00432ABC">
        <w:rPr>
          <w:rFonts w:ascii="Verdana" w:hAnsi="Verdana"/>
          <w:sz w:val="16"/>
        </w:rPr>
        <w:t xml:space="preserve"> desapariciones (</w:t>
      </w:r>
      <w:r w:rsidRPr="00432ABC">
        <w:rPr>
          <w:rFonts w:ascii="Verdana" w:hAnsi="Verdana"/>
          <w:i/>
          <w:sz w:val="16"/>
        </w:rPr>
        <w:t>supra</w:t>
      </w:r>
      <w:r w:rsidRPr="00432ABC">
        <w:rPr>
          <w:rFonts w:ascii="Verdana" w:hAnsi="Verdana"/>
          <w:sz w:val="16"/>
        </w:rPr>
        <w:t xml:space="preserve"> párr</w:t>
      </w:r>
      <w:r>
        <w:rPr>
          <w:rFonts w:ascii="Verdana" w:hAnsi="Verdana"/>
          <w:sz w:val="16"/>
        </w:rPr>
        <w:t>s</w:t>
      </w:r>
      <w:r w:rsidRPr="00432ABC">
        <w:rPr>
          <w:rFonts w:ascii="Verdana" w:hAnsi="Verdana"/>
          <w:sz w:val="16"/>
        </w:rPr>
        <w:t xml:space="preserve">. </w:t>
      </w:r>
      <w:r>
        <w:rPr>
          <w:rFonts w:ascii="Verdana" w:hAnsi="Verdana"/>
          <w:sz w:val="16"/>
        </w:rPr>
        <w:t>72 a 75</w:t>
      </w:r>
      <w:r w:rsidRPr="00432ABC">
        <w:rPr>
          <w:rFonts w:ascii="Verdana" w:hAnsi="Verdana"/>
          <w:sz w:val="16"/>
        </w:rPr>
        <w:t>).</w:t>
      </w:r>
    </w:p>
  </w:footnote>
  <w:footnote w:id="393">
    <w:p w14:paraId="3FD6D280" w14:textId="251DD0C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Pr>
          <w:rFonts w:ascii="Verdana" w:hAnsi="Verdana"/>
          <w:sz w:val="16"/>
          <w:szCs w:val="16"/>
        </w:rPr>
        <w:t>La Corte nota que la noción</w:t>
      </w:r>
      <w:r w:rsidRPr="002C462C">
        <w:rPr>
          <w:rFonts w:ascii="Verdana" w:hAnsi="Verdana"/>
          <w:sz w:val="16"/>
          <w:szCs w:val="16"/>
        </w:rPr>
        <w:t xml:space="preserve"> de “seguridad ciudadana”</w:t>
      </w:r>
      <w:r>
        <w:rPr>
          <w:rFonts w:ascii="Verdana" w:hAnsi="Verdana"/>
          <w:sz w:val="16"/>
          <w:szCs w:val="16"/>
        </w:rPr>
        <w:t xml:space="preserve"> </w:t>
      </w:r>
      <w:r w:rsidRPr="002C462C">
        <w:rPr>
          <w:rFonts w:ascii="Verdana" w:hAnsi="Verdana"/>
          <w:sz w:val="16"/>
          <w:szCs w:val="16"/>
        </w:rPr>
        <w:t>goza de una paulatina consolidación conceptual en el ámbito internacional</w:t>
      </w:r>
      <w:r>
        <w:rPr>
          <w:rFonts w:ascii="Verdana" w:hAnsi="Verdana"/>
          <w:sz w:val="16"/>
          <w:szCs w:val="16"/>
        </w:rPr>
        <w:t xml:space="preserve">, </w:t>
      </w:r>
      <w:r w:rsidRPr="00432ABC">
        <w:rPr>
          <w:rFonts w:ascii="Verdana" w:hAnsi="Verdana"/>
          <w:sz w:val="16"/>
          <w:szCs w:val="16"/>
          <w:lang w:val="es-SV"/>
        </w:rPr>
        <w:t xml:space="preserve">cuyo pilar que le da origen radica en el concepto de “Seguridad Humana”, tal </w:t>
      </w:r>
      <w:r>
        <w:rPr>
          <w:rFonts w:ascii="Verdana" w:hAnsi="Verdana"/>
          <w:sz w:val="16"/>
          <w:szCs w:val="16"/>
          <w:lang w:val="es-SV"/>
        </w:rPr>
        <w:t xml:space="preserve">y </w:t>
      </w:r>
      <w:r w:rsidRPr="00432ABC">
        <w:rPr>
          <w:rFonts w:ascii="Verdana" w:hAnsi="Verdana"/>
          <w:sz w:val="16"/>
          <w:szCs w:val="16"/>
          <w:lang w:val="es-SV"/>
        </w:rPr>
        <w:t>como se ha desarrollado en el ámbito de la Organización de las Naciones Unidas. En este sentido, el Programa de las Naciones Unidas para el Desarrollo</w:t>
      </w:r>
      <w:r>
        <w:rPr>
          <w:rFonts w:ascii="Verdana" w:hAnsi="Verdana"/>
          <w:sz w:val="16"/>
          <w:szCs w:val="16"/>
          <w:lang w:val="es-SV"/>
        </w:rPr>
        <w:t xml:space="preserve"> [PNUD]</w:t>
      </w:r>
      <w:r w:rsidRPr="00432ABC">
        <w:rPr>
          <w:rFonts w:ascii="Verdana" w:hAnsi="Verdana"/>
          <w:sz w:val="16"/>
          <w:szCs w:val="16"/>
          <w:lang w:val="es-SV"/>
        </w:rPr>
        <w:t>, en su “Informe sobre Desarrollo Humano para América Central 2009-2010”, entendió la “seguridad ciudadana” como</w:t>
      </w:r>
      <w:r w:rsidRPr="00432ABC">
        <w:rPr>
          <w:rFonts w:ascii="Verdana" w:hAnsi="Verdana"/>
          <w:i/>
          <w:sz w:val="16"/>
          <w:szCs w:val="16"/>
          <w:lang w:val="es-SV"/>
        </w:rPr>
        <w:t xml:space="preserve"> “</w:t>
      </w:r>
      <w:r w:rsidRPr="00432ABC">
        <w:rPr>
          <w:rFonts w:ascii="Verdana" w:hAnsi="Verdana"/>
          <w:sz w:val="16"/>
          <w:szCs w:val="16"/>
          <w:lang w:val="es-SV"/>
        </w:rPr>
        <w:t>una modalidad específica de la seguridad humana, que puede ser definida inicialmente como la protección universal contra el delito violento o predatorio. Seguridad ciudadana es la protección de ciertas opciones u oportunidades de todas las personas –su vida, su integridad, su patrimonio- contra un tipo específico de riesgo (el delito) que altera en forma súbita y dolorosa la vida cotidiana de las víctimas”</w:t>
      </w:r>
      <w:r w:rsidRPr="00432ABC">
        <w:rPr>
          <w:rFonts w:ascii="Verdana" w:hAnsi="Verdana"/>
          <w:i/>
          <w:sz w:val="16"/>
          <w:szCs w:val="16"/>
          <w:lang w:val="es-SV"/>
        </w:rPr>
        <w:t xml:space="preserve">. </w:t>
      </w:r>
      <w:r w:rsidRPr="00CD5C54">
        <w:rPr>
          <w:rFonts w:ascii="Verdana" w:hAnsi="Verdana"/>
          <w:i/>
          <w:sz w:val="16"/>
          <w:szCs w:val="16"/>
          <w:lang w:val="es-SV"/>
        </w:rPr>
        <w:t>Cfr.</w:t>
      </w:r>
      <w:r w:rsidRPr="00432ABC">
        <w:rPr>
          <w:rFonts w:ascii="Verdana" w:hAnsi="Verdana"/>
          <w:sz w:val="16"/>
          <w:szCs w:val="16"/>
          <w:lang w:val="es-SV"/>
        </w:rPr>
        <w:t xml:space="preserve"> </w:t>
      </w:r>
      <w:r w:rsidRPr="00432ABC">
        <w:rPr>
          <w:rFonts w:ascii="Verdana" w:hAnsi="Verdana"/>
          <w:sz w:val="16"/>
          <w:szCs w:val="16"/>
        </w:rPr>
        <w:t xml:space="preserve">PNUD, </w:t>
      </w:r>
      <w:r w:rsidRPr="00432ABC">
        <w:rPr>
          <w:rFonts w:ascii="Verdana" w:hAnsi="Verdana"/>
          <w:i/>
          <w:sz w:val="16"/>
          <w:szCs w:val="16"/>
        </w:rPr>
        <w:t xml:space="preserve">Informe sobre Desarrollo Humano para América Central 2009-2010. Abrir espacios para la seguridad ciudadana y el desarrollo humano, </w:t>
      </w:r>
      <w:r w:rsidRPr="00432ABC">
        <w:rPr>
          <w:rFonts w:ascii="Verdana" w:hAnsi="Verdana"/>
          <w:sz w:val="16"/>
          <w:szCs w:val="16"/>
        </w:rPr>
        <w:t>pág. 31</w:t>
      </w:r>
      <w:r w:rsidRPr="00432ABC">
        <w:rPr>
          <w:rFonts w:ascii="Verdana" w:hAnsi="Verdana"/>
          <w:i/>
          <w:sz w:val="16"/>
          <w:szCs w:val="16"/>
        </w:rPr>
        <w:t xml:space="preserve">. </w:t>
      </w:r>
      <w:r w:rsidRPr="00432ABC">
        <w:rPr>
          <w:rFonts w:ascii="Verdana" w:hAnsi="Verdana"/>
          <w:sz w:val="16"/>
          <w:szCs w:val="16"/>
          <w:lang w:val="es-SV"/>
        </w:rPr>
        <w:t xml:space="preserve">Asimismo, véanse: OEA. Asamblea General, </w:t>
      </w:r>
      <w:r w:rsidRPr="00432ABC">
        <w:rPr>
          <w:rFonts w:ascii="Verdana" w:hAnsi="Verdana"/>
          <w:i/>
          <w:sz w:val="16"/>
          <w:szCs w:val="16"/>
          <w:lang w:val="es-SV"/>
        </w:rPr>
        <w:t xml:space="preserve"> </w:t>
      </w:r>
      <w:r w:rsidRPr="00432ABC">
        <w:rPr>
          <w:rFonts w:ascii="Verdana" w:hAnsi="Verdana"/>
          <w:bCs/>
          <w:i/>
          <w:sz w:val="16"/>
          <w:szCs w:val="16"/>
          <w:lang w:val="es-SV"/>
        </w:rPr>
        <w:t xml:space="preserve">Los Conceptos de Seguridad Pública y Seguridad Ciudadana en el ámbito de la OEA, </w:t>
      </w:r>
      <w:r w:rsidRPr="00432ABC">
        <w:rPr>
          <w:rFonts w:ascii="Verdana" w:hAnsi="Verdana"/>
          <w:bCs/>
          <w:sz w:val="16"/>
          <w:szCs w:val="16"/>
          <w:lang w:val="es-ES"/>
        </w:rPr>
        <w:t xml:space="preserve">OEA/Ser.P </w:t>
      </w:r>
      <w:r w:rsidRPr="00432ABC">
        <w:rPr>
          <w:rFonts w:ascii="Verdana" w:hAnsi="Verdana"/>
          <w:bCs/>
          <w:sz w:val="16"/>
          <w:szCs w:val="16"/>
          <w:lang w:val="es-AR"/>
        </w:rPr>
        <w:t>AG/CP/GTDSS-13/11</w:t>
      </w:r>
      <w:r w:rsidRPr="00432ABC">
        <w:rPr>
          <w:rFonts w:ascii="Verdana" w:hAnsi="Verdana"/>
          <w:sz w:val="16"/>
          <w:szCs w:val="16"/>
          <w:lang w:val="es-SV"/>
        </w:rPr>
        <w:t xml:space="preserve">. Documento elaborado por la Secretaría de Seguridad Multidimensional y </w:t>
      </w:r>
      <w:r w:rsidRPr="00432ABC">
        <w:rPr>
          <w:rFonts w:ascii="Verdana" w:eastAsia="Times New Roman" w:hAnsi="Verdana" w:cs="Times New Roman"/>
          <w:sz w:val="16"/>
          <w:szCs w:val="16"/>
          <w:lang w:val="es-ES"/>
        </w:rPr>
        <w:t xml:space="preserve">aprobado el </w:t>
      </w:r>
      <w:r w:rsidRPr="00432ABC">
        <w:rPr>
          <w:rFonts w:ascii="Verdana" w:hAnsi="Verdana"/>
          <w:sz w:val="16"/>
          <w:szCs w:val="16"/>
          <w:lang w:val="es-SV"/>
        </w:rPr>
        <w:t>11 de mayo de 2011</w:t>
      </w:r>
      <w:r w:rsidRPr="00432ABC">
        <w:rPr>
          <w:rFonts w:ascii="Verdana" w:eastAsia="Times New Roman" w:hAnsi="Verdana" w:cs="Times New Roman"/>
          <w:sz w:val="16"/>
          <w:szCs w:val="16"/>
          <w:lang w:val="es-ES"/>
        </w:rPr>
        <w:t xml:space="preserve"> en el </w:t>
      </w:r>
      <w:r w:rsidRPr="00432ABC">
        <w:rPr>
          <w:rFonts w:ascii="Verdana" w:hAnsi="Verdana"/>
          <w:sz w:val="16"/>
          <w:szCs w:val="16"/>
          <w:lang w:val="es-ES"/>
        </w:rPr>
        <w:t xml:space="preserve">Cuadragésimo primer período ordinario de sesiones. Asimismo: OEA, </w:t>
      </w:r>
      <w:r w:rsidRPr="00432ABC">
        <w:rPr>
          <w:rFonts w:ascii="Verdana" w:hAnsi="Verdana"/>
          <w:i/>
          <w:sz w:val="16"/>
          <w:szCs w:val="16"/>
          <w:lang w:val="es-SV"/>
        </w:rPr>
        <w:t>Fortalecimiento de la Seguridad Ciudadana</w:t>
      </w:r>
      <w:r w:rsidRPr="00432ABC">
        <w:rPr>
          <w:rFonts w:ascii="Verdana" w:hAnsi="Verdana"/>
          <w:sz w:val="16"/>
          <w:szCs w:val="16"/>
          <w:lang w:val="es-SV"/>
        </w:rPr>
        <w:t xml:space="preserve">, Resolución de la Asamblea General AG/RES. 1380 (XXVI-0/90). Aprobada el 6 de junio de 1996 en la séptima sesión plenaria del XXV período ordinario de sesiones; </w:t>
      </w:r>
      <w:r w:rsidRPr="00432ABC">
        <w:rPr>
          <w:rFonts w:ascii="Verdana" w:hAnsi="Verdana"/>
          <w:i/>
          <w:sz w:val="16"/>
          <w:szCs w:val="16"/>
          <w:lang w:val="es-ES"/>
        </w:rPr>
        <w:t>Declaración sobre Seguridad en las Américas</w:t>
      </w:r>
      <w:r w:rsidRPr="00432ABC">
        <w:rPr>
          <w:rFonts w:ascii="Verdana" w:hAnsi="Verdana"/>
          <w:sz w:val="16"/>
          <w:szCs w:val="16"/>
          <w:lang w:val="es-ES"/>
        </w:rPr>
        <w:t xml:space="preserve">, </w:t>
      </w:r>
      <w:r w:rsidRPr="00432ABC">
        <w:rPr>
          <w:rFonts w:ascii="Verdana" w:hAnsi="Verdana"/>
          <w:sz w:val="16"/>
          <w:szCs w:val="16"/>
          <w:lang w:val="es-ES_tradnl"/>
        </w:rPr>
        <w:t xml:space="preserve">OEA/Ser.K/XXXVIII, CES/dec.1/03 rev. 1. </w:t>
      </w:r>
      <w:r w:rsidRPr="00432ABC">
        <w:rPr>
          <w:rFonts w:ascii="Verdana" w:hAnsi="Verdana"/>
          <w:sz w:val="16"/>
          <w:szCs w:val="16"/>
          <w:lang w:val="es-ES"/>
        </w:rPr>
        <w:t>Aprobada el 28 de octubre de 2003 en la tercera sesión plenaria de la Conferencia Especial sobre Seguridad celebrada en la Ciudad de México, y</w:t>
      </w:r>
      <w:r w:rsidRPr="00432ABC">
        <w:rPr>
          <w:rFonts w:ascii="Verdana" w:hAnsi="Verdana"/>
          <w:i/>
          <w:sz w:val="16"/>
          <w:szCs w:val="16"/>
          <w:lang w:val="es-ES"/>
        </w:rPr>
        <w:t xml:space="preserve"> Compromiso por la seguridad en las Américas,</w:t>
      </w:r>
      <w:r w:rsidRPr="00432ABC">
        <w:rPr>
          <w:rFonts w:ascii="Verdana" w:hAnsi="Verdana"/>
          <w:sz w:val="16"/>
          <w:szCs w:val="16"/>
          <w:lang w:val="es-ES"/>
        </w:rPr>
        <w:t xml:space="preserve"> </w:t>
      </w:r>
      <w:r w:rsidRPr="00432ABC">
        <w:rPr>
          <w:rFonts w:ascii="Verdana" w:hAnsi="Verdana"/>
          <w:sz w:val="16"/>
          <w:szCs w:val="16"/>
          <w:lang w:val="es-VE"/>
        </w:rPr>
        <w:t>OEA/Ser.K/XLIX.1</w:t>
      </w:r>
      <w:r w:rsidRPr="00432ABC">
        <w:rPr>
          <w:rFonts w:ascii="Verdana" w:eastAsia="Times New Roman" w:hAnsi="Verdana" w:cs="Times New Roman"/>
          <w:sz w:val="16"/>
          <w:szCs w:val="16"/>
          <w:lang w:val="es-VE"/>
        </w:rPr>
        <w:t xml:space="preserve"> </w:t>
      </w:r>
      <w:r w:rsidRPr="00432ABC">
        <w:rPr>
          <w:rFonts w:ascii="Verdana" w:hAnsi="Verdana"/>
          <w:sz w:val="16"/>
          <w:szCs w:val="16"/>
          <w:lang w:val="es-VE"/>
        </w:rPr>
        <w:t>MISPA/doc. 7</w:t>
      </w:r>
      <w:r w:rsidRPr="00432ABC">
        <w:rPr>
          <w:rFonts w:ascii="Verdana" w:hAnsi="Verdana"/>
          <w:sz w:val="16"/>
          <w:szCs w:val="16"/>
          <w:lang w:val="es-CO"/>
        </w:rPr>
        <w:t>/08 rev. 4.</w:t>
      </w:r>
      <w:r w:rsidRPr="00432ABC">
        <w:rPr>
          <w:rFonts w:ascii="Verdana" w:hAnsi="Verdana"/>
          <w:sz w:val="16"/>
          <w:szCs w:val="16"/>
          <w:lang w:val="es-VE"/>
        </w:rPr>
        <w:t xml:space="preserve"> </w:t>
      </w:r>
      <w:r w:rsidRPr="00432ABC">
        <w:rPr>
          <w:rFonts w:ascii="Verdana" w:hAnsi="Verdana"/>
          <w:sz w:val="16"/>
          <w:szCs w:val="16"/>
        </w:rPr>
        <w:t xml:space="preserve">Aprobado el 8 de octubre de 2008 en la séptima sesión plenaria celebrada </w:t>
      </w:r>
      <w:r w:rsidRPr="00432ABC">
        <w:rPr>
          <w:rFonts w:ascii="Verdana" w:hAnsi="Verdana"/>
          <w:sz w:val="16"/>
          <w:szCs w:val="16"/>
          <w:lang w:val="es-ES"/>
        </w:rPr>
        <w:t>en la Ciudad de México</w:t>
      </w:r>
      <w:r w:rsidRPr="00432ABC">
        <w:rPr>
          <w:rFonts w:ascii="Verdana" w:hAnsi="Verdana"/>
          <w:sz w:val="16"/>
          <w:szCs w:val="16"/>
        </w:rPr>
        <w:t>.</w:t>
      </w:r>
      <w:r w:rsidRPr="008E093E">
        <w:rPr>
          <w:rFonts w:ascii="Verdana" w:hAnsi="Verdana" w:hint="eastAsia"/>
          <w:sz w:val="16"/>
          <w:szCs w:val="16"/>
        </w:rPr>
        <w:t>∞</w:t>
      </w:r>
    </w:p>
  </w:footnote>
  <w:footnote w:id="394">
    <w:p w14:paraId="513FC889" w14:textId="307A4CE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Style w:val="Textoennegrita"/>
          <w:rFonts w:ascii="Verdana" w:hAnsi="Verdana"/>
          <w:b w:val="0"/>
          <w:i/>
          <w:color w:val="000000"/>
          <w:sz w:val="16"/>
          <w:szCs w:val="16"/>
          <w:shd w:val="clear" w:color="auto" w:fill="FFFFFF"/>
        </w:rPr>
        <w:t>Caso Velásquez Rodríguez Vs. Honduras</w:t>
      </w:r>
      <w:r w:rsidRPr="00E2037B">
        <w:rPr>
          <w:rStyle w:val="Textoennegrita"/>
          <w:rFonts w:ascii="Verdana" w:hAnsi="Verdana"/>
          <w:b w:val="0"/>
          <w:color w:val="000000"/>
          <w:sz w:val="16"/>
          <w:szCs w:val="16"/>
          <w:shd w:val="clear" w:color="auto" w:fill="FFFFFF"/>
        </w:rPr>
        <w:t>,</w:t>
      </w:r>
      <w:r>
        <w:rPr>
          <w:rStyle w:val="Textoennegrita"/>
          <w:rFonts w:ascii="Verdana" w:hAnsi="Verdana"/>
          <w:b w:val="0"/>
          <w:color w:val="000000"/>
          <w:sz w:val="16"/>
          <w:szCs w:val="16"/>
          <w:shd w:val="clear" w:color="auto" w:fill="FFFFFF"/>
        </w:rPr>
        <w:t xml:space="preserve"> </w:t>
      </w:r>
      <w:r w:rsidRPr="008D0846">
        <w:rPr>
          <w:rStyle w:val="Textoennegrita"/>
          <w:rFonts w:ascii="Verdana" w:hAnsi="Verdana"/>
          <w:b w:val="0"/>
          <w:i/>
          <w:color w:val="000000"/>
          <w:sz w:val="16"/>
          <w:szCs w:val="16"/>
          <w:shd w:val="clear" w:color="auto" w:fill="FFFFFF"/>
        </w:rPr>
        <w:t>Fondo,</w:t>
      </w:r>
      <w:r>
        <w:rPr>
          <w:rStyle w:val="Textoennegrita"/>
          <w:rFonts w:ascii="Verdana" w:hAnsi="Verdana"/>
          <w:b w:val="0"/>
          <w:color w:val="000000"/>
          <w:sz w:val="16"/>
          <w:szCs w:val="16"/>
          <w:shd w:val="clear" w:color="auto" w:fill="FFFFFF"/>
        </w:rPr>
        <w:t xml:space="preserve"> </w:t>
      </w:r>
      <w:r>
        <w:rPr>
          <w:rStyle w:val="Textoennegrita"/>
          <w:rFonts w:ascii="Verdana" w:hAnsi="Verdana"/>
          <w:b w:val="0"/>
          <w:i/>
          <w:color w:val="000000"/>
          <w:sz w:val="16"/>
          <w:szCs w:val="16"/>
          <w:shd w:val="clear" w:color="auto" w:fill="FFFFFF"/>
        </w:rPr>
        <w:t>supra</w:t>
      </w:r>
      <w:r>
        <w:rPr>
          <w:rFonts w:ascii="Verdana" w:hAnsi="Verdana"/>
          <w:sz w:val="16"/>
          <w:szCs w:val="16"/>
        </w:rPr>
        <w:t>,</w:t>
      </w:r>
      <w:r w:rsidRPr="00432ABC">
        <w:rPr>
          <w:rFonts w:ascii="Verdana" w:hAnsi="Verdana"/>
          <w:sz w:val="16"/>
          <w:szCs w:val="16"/>
        </w:rPr>
        <w:t xml:space="preserve"> párr. 154, y </w:t>
      </w:r>
      <w:r w:rsidRPr="00432ABC">
        <w:rPr>
          <w:rStyle w:val="Textoennegrita"/>
          <w:rFonts w:ascii="Verdana" w:hAnsi="Verdana"/>
          <w:b w:val="0"/>
          <w:i/>
          <w:color w:val="000000"/>
          <w:sz w:val="16"/>
          <w:szCs w:val="16"/>
          <w:shd w:val="clear" w:color="auto" w:fill="FFFFFF"/>
        </w:rPr>
        <w:t>Caso del Penal Miguel Castro Castro Vs. Perú. Fondo, Reparaciones y Costas</w:t>
      </w:r>
      <w:r w:rsidRPr="00432ABC">
        <w:rPr>
          <w:rStyle w:val="Textoennegrita"/>
          <w:rFonts w:ascii="Verdana" w:hAnsi="Verdana"/>
          <w:b w:val="0"/>
          <w:color w:val="000000"/>
          <w:sz w:val="16"/>
          <w:szCs w:val="16"/>
          <w:shd w:val="clear" w:color="auto" w:fill="FFFFFF"/>
        </w:rPr>
        <w:t>. Sentencia de 25 de noviembre de 2006. Serie C No. 160</w:t>
      </w:r>
      <w:r w:rsidRPr="00432ABC">
        <w:rPr>
          <w:rFonts w:ascii="Verdana" w:hAnsi="Verdana"/>
          <w:sz w:val="16"/>
          <w:szCs w:val="16"/>
        </w:rPr>
        <w:t xml:space="preserve">, párr. 240.  </w:t>
      </w:r>
    </w:p>
  </w:footnote>
  <w:footnote w:id="395">
    <w:p w14:paraId="6ACD499B" w14:textId="2F998F4F" w:rsidR="00146958" w:rsidRPr="00350912" w:rsidRDefault="00146958" w:rsidP="00350912">
      <w:pPr>
        <w:pStyle w:val="Textonotapie"/>
        <w:jc w:val="both"/>
        <w:rPr>
          <w:rFonts w:ascii="Verdana" w:hAnsi="Verdana"/>
          <w:bCs/>
          <w:sz w:val="16"/>
          <w:szCs w:val="16"/>
          <w:lang w:val="es-CR"/>
        </w:rPr>
      </w:pPr>
      <w:r w:rsidRPr="002200ED">
        <w:rPr>
          <w:rStyle w:val="Refdenotaalpie"/>
          <w:rFonts w:ascii="Verdana" w:hAnsi="Verdana"/>
          <w:sz w:val="16"/>
          <w:szCs w:val="16"/>
        </w:rPr>
        <w:footnoteRef/>
      </w:r>
      <w:r w:rsidRPr="002200ED">
        <w:rPr>
          <w:rFonts w:ascii="Verdana" w:hAnsi="Verdana"/>
          <w:sz w:val="16"/>
          <w:szCs w:val="16"/>
        </w:rPr>
        <w:t xml:space="preserve"> </w:t>
      </w:r>
      <w:r>
        <w:tab/>
      </w:r>
      <w:r w:rsidRPr="00CD5C54">
        <w:rPr>
          <w:rFonts w:ascii="Verdana" w:hAnsi="Verdana"/>
          <w:i/>
          <w:sz w:val="16"/>
          <w:szCs w:val="16"/>
        </w:rPr>
        <w:t>Cfr.</w:t>
      </w:r>
      <w:r w:rsidRPr="00350912">
        <w:rPr>
          <w:rFonts w:ascii="Verdana" w:hAnsi="Verdana"/>
          <w:i/>
          <w:sz w:val="16"/>
          <w:szCs w:val="16"/>
        </w:rPr>
        <w:t xml:space="preserve"> </w:t>
      </w:r>
      <w:r w:rsidRPr="00350912">
        <w:rPr>
          <w:rFonts w:ascii="Verdana" w:hAnsi="Verdana"/>
          <w:bCs/>
          <w:i/>
          <w:sz w:val="16"/>
          <w:szCs w:val="16"/>
        </w:rPr>
        <w:t>Opinión Consultiva OC-5/85 de 13 de noviembre de 1985. Serie A No. 5</w:t>
      </w:r>
      <w:r w:rsidRPr="00350912">
        <w:rPr>
          <w:rFonts w:ascii="Verdana" w:hAnsi="Verdana"/>
          <w:sz w:val="16"/>
          <w:szCs w:val="16"/>
        </w:rPr>
        <w:t xml:space="preserve">, párr. 46; </w:t>
      </w:r>
      <w:r w:rsidRPr="00350912">
        <w:rPr>
          <w:rFonts w:ascii="Verdana" w:hAnsi="Verdana"/>
          <w:i/>
          <w:iCs/>
          <w:sz w:val="16"/>
          <w:szCs w:val="16"/>
        </w:rPr>
        <w:t>Garantías judiciales en estados de emergencia (Arts. 27.2, 25 y 8 Convención Am</w:t>
      </w:r>
      <w:r>
        <w:rPr>
          <w:rFonts w:ascii="Verdana" w:hAnsi="Verdana"/>
          <w:i/>
          <w:iCs/>
          <w:sz w:val="16"/>
          <w:szCs w:val="16"/>
        </w:rPr>
        <w:t>ericana sobre Derechos Humanos).</w:t>
      </w:r>
      <w:r w:rsidRPr="00350912">
        <w:rPr>
          <w:rFonts w:ascii="Verdana" w:hAnsi="Verdana"/>
          <w:i/>
          <w:iCs/>
          <w:sz w:val="16"/>
          <w:szCs w:val="16"/>
        </w:rPr>
        <w:t xml:space="preserve"> Opinión Consultiva OC-9/87 </w:t>
      </w:r>
      <w:r w:rsidRPr="00350912">
        <w:rPr>
          <w:rFonts w:ascii="Verdana" w:hAnsi="Verdana"/>
          <w:sz w:val="16"/>
          <w:szCs w:val="16"/>
        </w:rPr>
        <w:t xml:space="preserve">de 6 de octubre de 1987. Serie A No. 9, párr. 35; </w:t>
      </w:r>
      <w:r w:rsidRPr="00350912">
        <w:rPr>
          <w:rFonts w:ascii="Verdana" w:hAnsi="Verdana"/>
          <w:i/>
          <w:iCs/>
          <w:sz w:val="16"/>
          <w:szCs w:val="16"/>
        </w:rPr>
        <w:t>El Hábeas Corpus Bajo Suspensión de Garantías (arts. 27.2, 25.1 y 7.6 Convención Am</w:t>
      </w:r>
      <w:r>
        <w:rPr>
          <w:rFonts w:ascii="Verdana" w:hAnsi="Verdana"/>
          <w:i/>
          <w:iCs/>
          <w:sz w:val="16"/>
          <w:szCs w:val="16"/>
        </w:rPr>
        <w:t>ericana sobre Derechos Humanos), y</w:t>
      </w:r>
      <w:r w:rsidRPr="00350912">
        <w:rPr>
          <w:rFonts w:ascii="Verdana" w:hAnsi="Verdana"/>
          <w:i/>
          <w:iCs/>
          <w:sz w:val="16"/>
          <w:szCs w:val="16"/>
        </w:rPr>
        <w:t xml:space="preserve"> Opinión Consultiva OC-8/87</w:t>
      </w:r>
      <w:r w:rsidRPr="00350912">
        <w:rPr>
          <w:rFonts w:ascii="Verdana" w:hAnsi="Verdana"/>
          <w:sz w:val="16"/>
          <w:szCs w:val="16"/>
        </w:rPr>
        <w:t xml:space="preserve"> del 30 de enero de 1987. Serie A No. 8, párr. 26. Por su parte, de conformidad</w:t>
      </w:r>
      <w:r w:rsidRPr="00432ABC">
        <w:rPr>
          <w:rFonts w:ascii="Verdana" w:hAnsi="Verdana"/>
          <w:sz w:val="16"/>
          <w:szCs w:val="16"/>
        </w:rPr>
        <w:t xml:space="preserve"> con el artículo 30 de la Convención Americana, las restricciones a los derechos deben encontrarse previstas en una ley, no ser discriminatorias, basarse en criterios razonables, atender a un propósito útil y oportuno que las torne necesaria para satisfacer un interés público imperativo y ser proporcionales a ese objetivo.</w:t>
      </w:r>
      <w:r>
        <w:rPr>
          <w:rFonts w:ascii="Verdana" w:hAnsi="Verdana"/>
          <w:sz w:val="16"/>
          <w:szCs w:val="16"/>
        </w:rPr>
        <w:t xml:space="preserve"> Ver también: </w:t>
      </w:r>
      <w:r w:rsidRPr="00B7376E">
        <w:rPr>
          <w:rFonts w:ascii="Verdana" w:hAnsi="Verdana"/>
          <w:sz w:val="16"/>
          <w:szCs w:val="16"/>
          <w:lang w:val="es-CR"/>
        </w:rPr>
        <w:t xml:space="preserve">ONU, Comité de Derechos Humanos, </w:t>
      </w:r>
      <w:r w:rsidRPr="00B7376E">
        <w:rPr>
          <w:rFonts w:ascii="Verdana" w:hAnsi="Verdana"/>
          <w:i/>
          <w:sz w:val="16"/>
          <w:szCs w:val="16"/>
          <w:lang w:val="es-CR"/>
        </w:rPr>
        <w:t>Observación General Nº 27, Libertad de circulación (art. 12)</w:t>
      </w:r>
      <w:r w:rsidRPr="00B7376E">
        <w:rPr>
          <w:rFonts w:ascii="Verdana" w:hAnsi="Verdana"/>
          <w:sz w:val="16"/>
          <w:szCs w:val="16"/>
          <w:lang w:val="es-CR"/>
        </w:rPr>
        <w:t xml:space="preserve"> de 2 de noviembre de 1999, párr. 11.</w:t>
      </w:r>
      <w:r>
        <w:rPr>
          <w:rFonts w:ascii="Verdana" w:hAnsi="Verdana"/>
          <w:sz w:val="16"/>
          <w:szCs w:val="16"/>
          <w:lang w:val="es-CR"/>
        </w:rPr>
        <w:t xml:space="preserve"> </w:t>
      </w:r>
      <w:r w:rsidRPr="00CD5C54">
        <w:rPr>
          <w:rFonts w:ascii="Verdana" w:hAnsi="Verdana"/>
          <w:bCs/>
          <w:i/>
          <w:sz w:val="16"/>
          <w:szCs w:val="16"/>
          <w:lang w:val="es-CR"/>
        </w:rPr>
        <w:t>Cfr.</w:t>
      </w:r>
      <w:r w:rsidRPr="00432ABC">
        <w:rPr>
          <w:rFonts w:ascii="Verdana" w:hAnsi="Verdana"/>
          <w:bCs/>
          <w:sz w:val="16"/>
          <w:szCs w:val="16"/>
          <w:lang w:val="es-CR"/>
        </w:rPr>
        <w:t xml:space="preserve"> ONU. Comisión de Derechos Humanos, </w:t>
      </w:r>
      <w:r w:rsidRPr="00432ABC">
        <w:rPr>
          <w:rFonts w:ascii="Verdana" w:hAnsi="Verdana"/>
          <w:bCs/>
          <w:i/>
          <w:sz w:val="16"/>
          <w:szCs w:val="16"/>
          <w:lang w:val="es-CR"/>
        </w:rPr>
        <w:t xml:space="preserve">Principios de Siracusa sobre las disposiciones de limitación y derogación del Pacto Internacional de Derechos Civiles y Políticos </w:t>
      </w:r>
      <w:r w:rsidRPr="00432ABC">
        <w:rPr>
          <w:rFonts w:ascii="Verdana" w:hAnsi="Verdana"/>
          <w:bCs/>
          <w:sz w:val="16"/>
          <w:szCs w:val="16"/>
          <w:lang w:val="es-CR"/>
        </w:rPr>
        <w:t xml:space="preserve">[PIDCP], E/CN.4/1985/4, 28 de septiembre de 1984, principio 21. </w:t>
      </w:r>
    </w:p>
  </w:footnote>
  <w:footnote w:id="396">
    <w:p w14:paraId="204E88B4" w14:textId="7BAA6D1E" w:rsidR="00146958" w:rsidRPr="008D0846"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Acerca de dicha caracterización, </w:t>
      </w:r>
      <w:r w:rsidRPr="00CD5C54">
        <w:rPr>
          <w:rFonts w:ascii="Verdana" w:hAnsi="Verdana"/>
          <w:i/>
          <w:sz w:val="16"/>
          <w:szCs w:val="16"/>
        </w:rPr>
        <w:t>Cfr.</w:t>
      </w:r>
      <w:r w:rsidRPr="002C462C">
        <w:rPr>
          <w:rFonts w:ascii="Verdana" w:hAnsi="Verdana"/>
          <w:sz w:val="16"/>
          <w:szCs w:val="16"/>
        </w:rPr>
        <w:t>:</w:t>
      </w:r>
      <w:r w:rsidRPr="00432ABC">
        <w:rPr>
          <w:rFonts w:ascii="Verdana" w:hAnsi="Verdana"/>
          <w:sz w:val="16"/>
          <w:szCs w:val="16"/>
          <w:lang w:val="es-SV"/>
        </w:rPr>
        <w:t xml:space="preserve"> OEA. Asamblea General, </w:t>
      </w:r>
      <w:r w:rsidRPr="00432ABC">
        <w:rPr>
          <w:rFonts w:ascii="Verdana" w:hAnsi="Verdana"/>
          <w:i/>
          <w:sz w:val="16"/>
          <w:szCs w:val="16"/>
          <w:lang w:val="es-SV"/>
        </w:rPr>
        <w:t xml:space="preserve"> </w:t>
      </w:r>
      <w:r w:rsidRPr="00432ABC">
        <w:rPr>
          <w:rFonts w:ascii="Verdana" w:hAnsi="Verdana"/>
          <w:bCs/>
          <w:i/>
          <w:sz w:val="16"/>
          <w:szCs w:val="16"/>
          <w:lang w:val="es-SV"/>
        </w:rPr>
        <w:t>Los Conceptos de Seguridad Pública y Seguridad Ciudadana en el ámbito de la OEA</w:t>
      </w:r>
      <w:r w:rsidRPr="00432ABC">
        <w:rPr>
          <w:rFonts w:ascii="Verdana" w:hAnsi="Verdana"/>
          <w:sz w:val="16"/>
          <w:szCs w:val="16"/>
        </w:rPr>
        <w:t xml:space="preserve">, </w:t>
      </w:r>
      <w:r w:rsidRPr="00432ABC">
        <w:rPr>
          <w:rFonts w:ascii="Verdana" w:hAnsi="Verdana"/>
          <w:i/>
          <w:sz w:val="16"/>
          <w:szCs w:val="16"/>
        </w:rPr>
        <w:t xml:space="preserve">supra, </w:t>
      </w:r>
      <w:r w:rsidRPr="00432ABC">
        <w:rPr>
          <w:rFonts w:ascii="Verdana" w:hAnsi="Verdana"/>
          <w:sz w:val="16"/>
          <w:szCs w:val="16"/>
        </w:rPr>
        <w:t xml:space="preserve">pág. 2; OEA. Secretaría General, </w:t>
      </w:r>
      <w:r w:rsidRPr="00432ABC">
        <w:rPr>
          <w:rFonts w:ascii="Verdana" w:hAnsi="Verdana"/>
          <w:i/>
          <w:sz w:val="16"/>
          <w:szCs w:val="16"/>
        </w:rPr>
        <w:t xml:space="preserve">La Seguridad Pública en las Américas: Retos y Oportunidades, </w:t>
      </w:r>
      <w:r w:rsidRPr="00432ABC">
        <w:rPr>
          <w:rFonts w:ascii="Verdana" w:hAnsi="Verdana"/>
          <w:sz w:val="16"/>
          <w:szCs w:val="16"/>
        </w:rPr>
        <w:t xml:space="preserve">OEA/ Ser.D/ XXV.2, 2008, págs. 45 a 46; Programa de las Naciones Unidas para el Desarrollo [PNUD]. </w:t>
      </w:r>
      <w:r w:rsidRPr="00432ABC">
        <w:rPr>
          <w:rFonts w:ascii="Verdana" w:hAnsi="Verdana"/>
          <w:i/>
          <w:sz w:val="16"/>
          <w:szCs w:val="16"/>
        </w:rPr>
        <w:t xml:space="preserve">Informe Regional de Desarrollo Humano 2013-2014. Seguridad ciudadana con rostro humano: diagnóstico y propuestas para América Latina,  </w:t>
      </w:r>
      <w:r w:rsidRPr="00432ABC">
        <w:rPr>
          <w:rFonts w:ascii="Verdana" w:hAnsi="Verdana"/>
          <w:sz w:val="16"/>
          <w:szCs w:val="16"/>
        </w:rPr>
        <w:t xml:space="preserve">noviembre de 2013, pág. 76. Disponible en: </w:t>
      </w:r>
      <w:hyperlink r:id="rId37" w:history="1">
        <w:r w:rsidRPr="00432ABC">
          <w:rPr>
            <w:rStyle w:val="Hipervnculo"/>
            <w:rFonts w:ascii="Verdana" w:hAnsi="Verdana"/>
            <w:sz w:val="16"/>
            <w:szCs w:val="16"/>
          </w:rPr>
          <w:t>http://www.undp.org/content/dam/rblac/img/IDH/IDH-AL%20Informe%20completo.pdf</w:t>
        </w:r>
      </w:hyperlink>
      <w:r w:rsidRPr="00432ABC">
        <w:rPr>
          <w:rFonts w:ascii="Verdana" w:hAnsi="Verdana"/>
          <w:sz w:val="16"/>
          <w:szCs w:val="16"/>
        </w:rPr>
        <w:t>; Banco Mund</w:t>
      </w:r>
      <w:r w:rsidRPr="002C462C">
        <w:rPr>
          <w:rFonts w:ascii="Verdana" w:hAnsi="Verdana"/>
          <w:sz w:val="16"/>
          <w:szCs w:val="16"/>
        </w:rPr>
        <w:t xml:space="preserve">ial </w:t>
      </w:r>
      <w:r w:rsidRPr="002C462C">
        <w:rPr>
          <w:rFonts w:ascii="Verdana" w:hAnsi="Verdana"/>
          <w:i/>
          <w:sz w:val="16"/>
          <w:szCs w:val="16"/>
        </w:rPr>
        <w:t xml:space="preserve">Violence in the City. </w:t>
      </w:r>
      <w:r w:rsidRPr="00432ABC">
        <w:rPr>
          <w:rFonts w:ascii="Verdana" w:hAnsi="Verdana"/>
          <w:i/>
          <w:sz w:val="16"/>
          <w:szCs w:val="16"/>
          <w:lang w:val="en-US"/>
        </w:rPr>
        <w:t>Understanding and Supporting Community Responses to Urban Violence</w:t>
      </w:r>
      <w:r w:rsidRPr="00432ABC">
        <w:rPr>
          <w:rFonts w:ascii="Verdana" w:hAnsi="Verdana"/>
          <w:sz w:val="16"/>
          <w:szCs w:val="16"/>
          <w:lang w:val="en-US"/>
        </w:rPr>
        <w:t xml:space="preserve">, 2011, y Foro Económico Mundial, </w:t>
      </w:r>
      <w:r w:rsidRPr="00432ABC">
        <w:rPr>
          <w:rFonts w:ascii="Verdana" w:hAnsi="Verdana"/>
          <w:i/>
          <w:sz w:val="16"/>
          <w:szCs w:val="16"/>
          <w:lang w:val="en-US"/>
        </w:rPr>
        <w:t>The Global Competitiveness Report 2012-2013, 2012</w:t>
      </w:r>
      <w:r w:rsidRPr="00432ABC">
        <w:rPr>
          <w:rFonts w:ascii="Verdana" w:hAnsi="Verdana"/>
          <w:sz w:val="16"/>
          <w:szCs w:val="16"/>
          <w:lang w:val="en-US"/>
        </w:rPr>
        <w:t xml:space="preserve">, Ginebra. </w:t>
      </w:r>
      <w:r w:rsidRPr="008D0846">
        <w:rPr>
          <w:rFonts w:ascii="Verdana" w:hAnsi="Verdana"/>
          <w:sz w:val="16"/>
          <w:szCs w:val="16"/>
          <w:lang w:val="es-CR"/>
        </w:rPr>
        <w:t xml:space="preserve">Disponible en </w:t>
      </w:r>
      <w:hyperlink r:id="rId38" w:history="1">
        <w:r w:rsidRPr="008D0846">
          <w:rPr>
            <w:rStyle w:val="Hipervnculo"/>
            <w:rFonts w:ascii="Verdana" w:hAnsi="Verdana"/>
            <w:sz w:val="16"/>
            <w:szCs w:val="16"/>
            <w:lang w:val="es-CR"/>
          </w:rPr>
          <w:t>http://www3.weforum.org/docs/WEF_GlobalCompetitivenessReport_2012-13.pdf</w:t>
        </w:r>
      </w:hyperlink>
      <w:r w:rsidRPr="008D0846">
        <w:rPr>
          <w:rFonts w:ascii="Verdana" w:hAnsi="Verdana"/>
          <w:sz w:val="16"/>
          <w:szCs w:val="16"/>
          <w:lang w:val="es-CR"/>
        </w:rPr>
        <w:t xml:space="preserve">   </w:t>
      </w:r>
    </w:p>
  </w:footnote>
  <w:footnote w:id="397">
    <w:p w14:paraId="7FDF299E" w14:textId="49155D9B" w:rsidR="00146958" w:rsidRPr="00F80FD6"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2C462C">
        <w:rPr>
          <w:rFonts w:ascii="Verdana" w:hAnsi="Verdana"/>
          <w:bCs/>
          <w:i/>
          <w:sz w:val="16"/>
          <w:szCs w:val="16"/>
          <w:lang w:val="es-CR"/>
        </w:rPr>
        <w:t xml:space="preserve">Caso Bulacio Vs. Argentina. Fondo, Reparaciones y Costas. </w:t>
      </w:r>
      <w:r w:rsidRPr="00432ABC">
        <w:rPr>
          <w:rFonts w:ascii="Verdana" w:hAnsi="Verdana"/>
          <w:bCs/>
          <w:sz w:val="16"/>
          <w:szCs w:val="16"/>
          <w:lang w:val="es-CR"/>
        </w:rPr>
        <w:t xml:space="preserve">Sentencia de 18 de septiembre de 2003. Serie C </w:t>
      </w:r>
      <w:r w:rsidRPr="007F5381">
        <w:rPr>
          <w:rFonts w:ascii="Verdana" w:hAnsi="Verdana"/>
          <w:bCs/>
          <w:sz w:val="16"/>
          <w:szCs w:val="16"/>
          <w:lang w:val="es-CR"/>
        </w:rPr>
        <w:t xml:space="preserve">No. 100, párr. 124, y </w:t>
      </w:r>
      <w:r w:rsidRPr="00F80FD6">
        <w:rPr>
          <w:rStyle w:val="Textoennegrita"/>
          <w:rFonts w:ascii="Verdana" w:hAnsi="Verdana"/>
          <w:b w:val="0"/>
          <w:i/>
          <w:color w:val="000000"/>
          <w:sz w:val="16"/>
          <w:szCs w:val="16"/>
          <w:shd w:val="clear" w:color="auto" w:fill="FFFFFF"/>
        </w:rPr>
        <w:t>Caso del Penal Miguel Castro Castro Vs. Perú. Supra,</w:t>
      </w:r>
      <w:r w:rsidRPr="00F80FD6">
        <w:rPr>
          <w:rStyle w:val="Textoennegrita"/>
          <w:rFonts w:ascii="Verdana" w:hAnsi="Verdana"/>
          <w:b w:val="0"/>
          <w:color w:val="000000"/>
          <w:sz w:val="16"/>
          <w:szCs w:val="16"/>
          <w:shd w:val="clear" w:color="auto" w:fill="FFFFFF"/>
        </w:rPr>
        <w:t xml:space="preserve"> párr. 240. </w:t>
      </w:r>
    </w:p>
  </w:footnote>
  <w:footnote w:id="398">
    <w:p w14:paraId="7FDEE595" w14:textId="66ADF483" w:rsidR="00146958" w:rsidRPr="00432ABC" w:rsidRDefault="00146958">
      <w:pPr>
        <w:pStyle w:val="Textonotapie"/>
        <w:jc w:val="both"/>
        <w:rPr>
          <w:rFonts w:ascii="Verdana" w:hAnsi="Verdana"/>
          <w:sz w:val="16"/>
          <w:szCs w:val="16"/>
        </w:rPr>
      </w:pPr>
      <w:r w:rsidRPr="00F80FD6">
        <w:rPr>
          <w:rStyle w:val="Refdenotaalpie"/>
          <w:rFonts w:ascii="Verdana" w:hAnsi="Verdana"/>
          <w:sz w:val="16"/>
          <w:szCs w:val="16"/>
        </w:rPr>
        <w:footnoteRef/>
      </w:r>
      <w:r w:rsidRPr="00F80FD6">
        <w:rPr>
          <w:rFonts w:ascii="Verdana" w:hAnsi="Verdana"/>
          <w:sz w:val="16"/>
          <w:szCs w:val="16"/>
        </w:rPr>
        <w:t xml:space="preserve"> </w:t>
      </w:r>
      <w:r w:rsidRPr="00EF71F8">
        <w:rPr>
          <w:rFonts w:ascii="Verdana" w:hAnsi="Verdana"/>
          <w:sz w:val="16"/>
          <w:szCs w:val="16"/>
        </w:rPr>
        <w:tab/>
      </w:r>
      <w:r w:rsidRPr="00CD5C54">
        <w:rPr>
          <w:rFonts w:ascii="Verdana" w:hAnsi="Verdana"/>
          <w:i/>
          <w:sz w:val="16"/>
          <w:szCs w:val="16"/>
        </w:rPr>
        <w:t>Cfr.</w:t>
      </w:r>
      <w:r w:rsidRPr="00E16D4C">
        <w:rPr>
          <w:rFonts w:ascii="Verdana" w:hAnsi="Verdana"/>
          <w:i/>
          <w:sz w:val="16"/>
          <w:szCs w:val="16"/>
        </w:rPr>
        <w:t xml:space="preserve"> </w:t>
      </w:r>
      <w:r w:rsidRPr="008D0846">
        <w:rPr>
          <w:rFonts w:ascii="Verdana" w:hAnsi="Verdana"/>
          <w:i/>
          <w:sz w:val="16"/>
          <w:szCs w:val="16"/>
        </w:rPr>
        <w:t xml:space="preserve">inter alia: </w:t>
      </w:r>
      <w:r w:rsidRPr="00F80FD6">
        <w:rPr>
          <w:rFonts w:ascii="Verdana" w:hAnsi="Verdana"/>
          <w:sz w:val="16"/>
          <w:szCs w:val="16"/>
        </w:rPr>
        <w:t xml:space="preserve">ONU. Comité de Derechos Humanos, </w:t>
      </w:r>
      <w:r>
        <w:rPr>
          <w:rFonts w:ascii="Verdana" w:hAnsi="Verdana"/>
          <w:bCs/>
          <w:i/>
          <w:sz w:val="16"/>
          <w:szCs w:val="16"/>
          <w:lang w:val="es-CR"/>
        </w:rPr>
        <w:t>Principios de Siracusa</w:t>
      </w:r>
      <w:r w:rsidRPr="00EF71F8">
        <w:rPr>
          <w:rFonts w:ascii="Verdana" w:hAnsi="Verdana"/>
          <w:bCs/>
          <w:i/>
          <w:sz w:val="16"/>
          <w:szCs w:val="16"/>
          <w:lang w:val="es-CR"/>
        </w:rPr>
        <w:t xml:space="preserve"> </w:t>
      </w:r>
      <w:r w:rsidRPr="00E16D4C">
        <w:rPr>
          <w:rFonts w:ascii="Verdana" w:hAnsi="Verdana"/>
          <w:bCs/>
          <w:sz w:val="16"/>
          <w:szCs w:val="16"/>
          <w:lang w:val="es-CR"/>
        </w:rPr>
        <w:t xml:space="preserve">de 28 de septiembre de 1984, </w:t>
      </w:r>
      <w:r w:rsidRPr="00F80FD6">
        <w:rPr>
          <w:rFonts w:ascii="Verdana" w:hAnsi="Verdana"/>
          <w:bCs/>
          <w:i/>
          <w:sz w:val="16"/>
          <w:szCs w:val="16"/>
          <w:lang w:val="es-CR"/>
        </w:rPr>
        <w:t xml:space="preserve">supra, </w:t>
      </w:r>
      <w:r w:rsidRPr="00F80FD6">
        <w:rPr>
          <w:rFonts w:ascii="Verdana" w:hAnsi="Verdana"/>
          <w:bCs/>
          <w:sz w:val="16"/>
          <w:szCs w:val="16"/>
          <w:lang w:val="es-CR"/>
        </w:rPr>
        <w:t>principio 32</w:t>
      </w:r>
      <w:r w:rsidRPr="008D0846">
        <w:rPr>
          <w:rFonts w:ascii="Verdana" w:hAnsi="Verdana"/>
          <w:sz w:val="16"/>
          <w:szCs w:val="16"/>
          <w:lang w:val="es-CR"/>
        </w:rPr>
        <w:t xml:space="preserve">; </w:t>
      </w:r>
      <w:r w:rsidRPr="008D0846">
        <w:rPr>
          <w:rFonts w:ascii="Verdana" w:hAnsi="Verdana"/>
          <w:i/>
          <w:sz w:val="16"/>
          <w:szCs w:val="16"/>
        </w:rPr>
        <w:t>Declaración sobre la protección de todas las personas contra las desapariciones forzadas</w:t>
      </w:r>
      <w:r w:rsidRPr="008D0846">
        <w:rPr>
          <w:rFonts w:ascii="Verdana" w:hAnsi="Verdana"/>
          <w:sz w:val="16"/>
          <w:szCs w:val="16"/>
        </w:rPr>
        <w:t>. Aprobada por la Asamblea General de la ONU en su Resolución 47/133 de 18 de diciembre 1992</w:t>
      </w:r>
      <w:r w:rsidRPr="00F80FD6">
        <w:rPr>
          <w:rFonts w:ascii="Verdana" w:hAnsi="Verdana"/>
          <w:sz w:val="16"/>
          <w:szCs w:val="16"/>
        </w:rPr>
        <w:t>, a</w:t>
      </w:r>
      <w:r w:rsidRPr="008D0846">
        <w:rPr>
          <w:rFonts w:ascii="Verdana" w:hAnsi="Verdana"/>
          <w:sz w:val="16"/>
          <w:szCs w:val="16"/>
        </w:rPr>
        <w:t xml:space="preserve">rtículo 7; </w:t>
      </w:r>
      <w:r w:rsidRPr="00F80FD6">
        <w:rPr>
          <w:rFonts w:ascii="Verdana" w:hAnsi="Verdana"/>
          <w:i/>
          <w:sz w:val="16"/>
          <w:szCs w:val="16"/>
          <w:lang w:val="es-CR"/>
        </w:rPr>
        <w:t>Observación General No. 29. Estados de emergencia (artículo 4 del Pacto)</w:t>
      </w:r>
      <w:r w:rsidRPr="00EF71F8">
        <w:rPr>
          <w:rFonts w:ascii="Verdana" w:hAnsi="Verdana"/>
          <w:sz w:val="16"/>
          <w:szCs w:val="16"/>
          <w:lang w:val="es-CR"/>
        </w:rPr>
        <w:t>, CCPR/C/21/Rev.1/Add.11, 31 de</w:t>
      </w:r>
      <w:r w:rsidRPr="00E16D4C">
        <w:rPr>
          <w:rFonts w:ascii="Verdana" w:hAnsi="Verdana"/>
          <w:sz w:val="16"/>
          <w:szCs w:val="16"/>
          <w:lang w:val="es-CR"/>
        </w:rPr>
        <w:t xml:space="preserve"> agosto de 2001, párrs. 11 y 13 inciso b)</w:t>
      </w:r>
      <w:r w:rsidRPr="008D0846">
        <w:rPr>
          <w:rFonts w:ascii="Verdana" w:hAnsi="Verdana"/>
          <w:sz w:val="16"/>
          <w:szCs w:val="16"/>
          <w:lang w:val="es-CR"/>
        </w:rPr>
        <w:t xml:space="preserve">; </w:t>
      </w:r>
      <w:r w:rsidRPr="00F80FD6">
        <w:rPr>
          <w:rFonts w:ascii="Verdana" w:hAnsi="Verdana"/>
          <w:sz w:val="16"/>
          <w:szCs w:val="16"/>
          <w:lang w:val="es-CR"/>
        </w:rPr>
        <w:t>Comit</w:t>
      </w:r>
      <w:r w:rsidRPr="00EF71F8">
        <w:rPr>
          <w:rFonts w:ascii="Verdana" w:hAnsi="Verdana"/>
          <w:sz w:val="16"/>
          <w:szCs w:val="16"/>
          <w:lang w:val="es-CR"/>
        </w:rPr>
        <w:t xml:space="preserve">é contra la Tortura, </w:t>
      </w:r>
      <w:r w:rsidRPr="008D0846">
        <w:rPr>
          <w:rFonts w:ascii="Verdana" w:hAnsi="Verdana"/>
          <w:i/>
          <w:sz w:val="16"/>
          <w:szCs w:val="16"/>
          <w:lang w:val="es-ES_tradnl"/>
        </w:rPr>
        <w:t>Observación General No. 2. Aplicación del artículo 2 por los Estados Partes</w:t>
      </w:r>
      <w:r w:rsidRPr="00F80FD6">
        <w:rPr>
          <w:rFonts w:ascii="Verdana" w:hAnsi="Verdana"/>
          <w:i/>
          <w:sz w:val="16"/>
          <w:szCs w:val="16"/>
          <w:lang w:val="es-ES_tradnl"/>
        </w:rPr>
        <w:t>,</w:t>
      </w:r>
      <w:r w:rsidRPr="008D0846">
        <w:rPr>
          <w:rFonts w:ascii="Verdana" w:eastAsia="Times New Roman" w:hAnsi="Verdana" w:cs="Times New Roman"/>
          <w:sz w:val="16"/>
          <w:szCs w:val="16"/>
          <w:lang w:val="es-ES"/>
        </w:rPr>
        <w:t xml:space="preserve"> </w:t>
      </w:r>
      <w:r w:rsidRPr="008D0846">
        <w:rPr>
          <w:rFonts w:ascii="Verdana" w:hAnsi="Verdana"/>
          <w:sz w:val="16"/>
          <w:szCs w:val="16"/>
          <w:lang w:val="es-ES"/>
        </w:rPr>
        <w:t>CAT/C/GC/2</w:t>
      </w:r>
      <w:r w:rsidRPr="008D0846">
        <w:rPr>
          <w:rFonts w:ascii="Verdana" w:hAnsi="Verdana"/>
          <w:sz w:val="16"/>
          <w:szCs w:val="16"/>
          <w:lang w:val="es-ES"/>
        </w:rPr>
        <w:br/>
      </w:r>
      <w:r w:rsidRPr="008D0846">
        <w:rPr>
          <w:rFonts w:ascii="Verdana" w:hAnsi="Verdana"/>
          <w:sz w:val="16"/>
          <w:szCs w:val="16"/>
          <w:lang w:val="es-ES_tradnl"/>
        </w:rPr>
        <w:t>24 de enero de 2008</w:t>
      </w:r>
      <w:r w:rsidRPr="00F80FD6">
        <w:rPr>
          <w:rFonts w:ascii="Verdana" w:hAnsi="Verdana"/>
          <w:sz w:val="16"/>
          <w:szCs w:val="16"/>
          <w:lang w:val="es-ES_tradnl"/>
        </w:rPr>
        <w:t>, p</w:t>
      </w:r>
      <w:r w:rsidRPr="00EF71F8">
        <w:rPr>
          <w:rFonts w:ascii="Verdana" w:hAnsi="Verdana"/>
          <w:sz w:val="16"/>
          <w:szCs w:val="16"/>
          <w:lang w:val="es-ES_tradnl"/>
        </w:rPr>
        <w:t xml:space="preserve">árr. </w:t>
      </w:r>
      <w:r w:rsidRPr="00E16D4C">
        <w:rPr>
          <w:rFonts w:ascii="Verdana" w:hAnsi="Verdana"/>
          <w:sz w:val="16"/>
          <w:szCs w:val="16"/>
          <w:lang w:val="es-ES_tradnl"/>
        </w:rPr>
        <w:t xml:space="preserve">5; </w:t>
      </w:r>
      <w:r w:rsidRPr="008D0846">
        <w:rPr>
          <w:rFonts w:ascii="Verdana" w:hAnsi="Verdana"/>
          <w:i/>
          <w:spacing w:val="-4"/>
          <w:sz w:val="16"/>
          <w:szCs w:val="16"/>
        </w:rPr>
        <w:t>Informe del Grupo de Trabajo sobre la Detención Arbitraria</w:t>
      </w:r>
      <w:r w:rsidRPr="008D0846">
        <w:rPr>
          <w:rFonts w:ascii="Verdana" w:hAnsi="Verdana"/>
          <w:spacing w:val="-4"/>
          <w:sz w:val="16"/>
          <w:szCs w:val="16"/>
        </w:rPr>
        <w:t>, A/HRC/22/44, 24 de diciembre de 2012, párr. 50</w:t>
      </w:r>
      <w:r w:rsidRPr="00F80FD6">
        <w:rPr>
          <w:rFonts w:ascii="Verdana" w:hAnsi="Verdana"/>
          <w:spacing w:val="-4"/>
          <w:sz w:val="16"/>
          <w:szCs w:val="16"/>
        </w:rPr>
        <w:t>;</w:t>
      </w:r>
      <w:r w:rsidRPr="008D0846">
        <w:rPr>
          <w:rFonts w:ascii="Verdana" w:hAnsi="Verdana"/>
          <w:sz w:val="16"/>
          <w:szCs w:val="16"/>
        </w:rPr>
        <w:t xml:space="preserve"> </w:t>
      </w:r>
      <w:r w:rsidRPr="008D0846">
        <w:rPr>
          <w:rFonts w:ascii="Verdana" w:hAnsi="Verdana"/>
          <w:i/>
          <w:spacing w:val="-4"/>
          <w:sz w:val="16"/>
          <w:szCs w:val="16"/>
        </w:rPr>
        <w:t>Informe del Relator Especial sobre las ejecuciones extrajudiciales, sumarias o arbitrarias</w:t>
      </w:r>
      <w:r w:rsidRPr="008D0846">
        <w:rPr>
          <w:rFonts w:ascii="Verdana" w:hAnsi="Verdana"/>
          <w:sz w:val="16"/>
          <w:szCs w:val="16"/>
          <w:lang w:val="es-CR"/>
        </w:rPr>
        <w:t xml:space="preserve">, </w:t>
      </w:r>
      <w:r w:rsidRPr="008D0846">
        <w:rPr>
          <w:rFonts w:ascii="Verdana" w:hAnsi="Verdana"/>
          <w:sz w:val="16"/>
          <w:szCs w:val="16"/>
        </w:rPr>
        <w:t>A/HRC/26/36, 1 de abril de 2014, párr. 54</w:t>
      </w:r>
      <w:r w:rsidRPr="00F80FD6">
        <w:rPr>
          <w:rFonts w:ascii="Verdana" w:hAnsi="Verdana"/>
          <w:sz w:val="16"/>
          <w:szCs w:val="16"/>
        </w:rPr>
        <w:t>, e</w:t>
      </w:r>
      <w:r w:rsidRPr="008D0846">
        <w:rPr>
          <w:rFonts w:ascii="Verdana" w:hAnsi="Verdana"/>
          <w:sz w:val="16"/>
          <w:szCs w:val="16"/>
        </w:rPr>
        <w:t xml:space="preserve"> </w:t>
      </w:r>
      <w:r w:rsidRPr="008D0846">
        <w:rPr>
          <w:rFonts w:ascii="Verdana" w:hAnsi="Verdana"/>
          <w:i/>
          <w:sz w:val="16"/>
          <w:szCs w:val="16"/>
        </w:rPr>
        <w:t>Informe provisional del Relator Especial sobre la tortura y otros tratos o penas crueles, inhumanos o degradantes</w:t>
      </w:r>
      <w:r w:rsidRPr="008D0846">
        <w:rPr>
          <w:rFonts w:ascii="Verdana" w:hAnsi="Verdana"/>
          <w:sz w:val="16"/>
          <w:szCs w:val="16"/>
          <w:lang w:val="es-CR"/>
        </w:rPr>
        <w:t xml:space="preserve">, </w:t>
      </w:r>
      <w:r w:rsidRPr="008D0846">
        <w:rPr>
          <w:rFonts w:ascii="Verdana" w:hAnsi="Verdana"/>
          <w:sz w:val="16"/>
          <w:szCs w:val="16"/>
        </w:rPr>
        <w:t>A/70/303, 7 de agosto de 2015, párrs. 26 y 62</w:t>
      </w:r>
      <w:r w:rsidRPr="00F80FD6">
        <w:rPr>
          <w:rFonts w:ascii="Verdana" w:hAnsi="Verdana"/>
          <w:sz w:val="16"/>
          <w:szCs w:val="16"/>
          <w:lang w:val="es-CR"/>
        </w:rPr>
        <w:t>. En el mismo sentido</w:t>
      </w:r>
      <w:r w:rsidRPr="00F80FD6">
        <w:rPr>
          <w:rFonts w:ascii="Verdana" w:hAnsi="Verdana"/>
          <w:sz w:val="16"/>
          <w:szCs w:val="16"/>
        </w:rPr>
        <w:t>:</w:t>
      </w:r>
      <w:r w:rsidRPr="00F80FD6">
        <w:rPr>
          <w:rFonts w:ascii="Verdana" w:hAnsi="Verdana"/>
          <w:i/>
          <w:sz w:val="16"/>
          <w:szCs w:val="16"/>
        </w:rPr>
        <w:t xml:space="preserve"> </w:t>
      </w:r>
      <w:r w:rsidRPr="00F80FD6">
        <w:rPr>
          <w:rFonts w:ascii="Verdana" w:hAnsi="Verdana"/>
          <w:sz w:val="16"/>
          <w:szCs w:val="16"/>
        </w:rPr>
        <w:t>Declaración rendida ante la Corte por el p</w:t>
      </w:r>
      <w:r w:rsidRPr="00E16D4C">
        <w:rPr>
          <w:rFonts w:ascii="Verdana" w:hAnsi="Verdana"/>
          <w:sz w:val="16"/>
          <w:szCs w:val="16"/>
        </w:rPr>
        <w:t>erito Federico Andreu Guzmán en la Audiencia Pública el 26 de abril de 2018  (Transcripción de la Audiencia Pública, pág. 75).</w:t>
      </w:r>
    </w:p>
  </w:footnote>
  <w:footnote w:id="399">
    <w:p w14:paraId="739CDA6F" w14:textId="0227CB3D" w:rsidR="00146958" w:rsidRPr="00432ABC" w:rsidRDefault="00146958">
      <w:pPr>
        <w:pStyle w:val="Textonotapie"/>
        <w:jc w:val="both"/>
        <w:rPr>
          <w:rFonts w:ascii="Verdana" w:hAnsi="Verdana"/>
          <w:sz w:val="16"/>
          <w:szCs w:val="16"/>
          <w:lang w:val="es-ES"/>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sidRPr="002C462C">
        <w:rPr>
          <w:rFonts w:ascii="Verdana" w:hAnsi="Verdana"/>
          <w:sz w:val="16"/>
          <w:szCs w:val="16"/>
          <w:lang w:val="es-CR"/>
        </w:rPr>
        <w:t xml:space="preserve"> </w:t>
      </w:r>
      <w:r w:rsidRPr="00432ABC">
        <w:rPr>
          <w:rFonts w:ascii="Verdana" w:hAnsi="Verdana"/>
          <w:i/>
          <w:sz w:val="16"/>
          <w:szCs w:val="16"/>
          <w:lang w:val="es-CR"/>
        </w:rPr>
        <w:t>Caso Montero Aranguren y otros (Retén de Catia) Vs. Venezuela. Excepciones Preliminares, Fondo, Reparaciones y Costas</w:t>
      </w:r>
      <w:r w:rsidRPr="00432ABC">
        <w:rPr>
          <w:rFonts w:ascii="Verdana" w:hAnsi="Verdana"/>
          <w:sz w:val="16"/>
          <w:szCs w:val="16"/>
          <w:lang w:val="es-CR"/>
        </w:rPr>
        <w:t xml:space="preserve">. Sentencia de 5 de julio de 2006. Serie C No. 150, párr. 78. En este mismo sentido, el Relator Especial sobre las Ejecuciones Extrajudiciales, Sumarias o Arbitrarias de la ONU, tras su vista a México manifestó: “[…] [E]s bien sabido que, en cualquier país, a los soldados que realizan labores policiales les cuesta mucho renunciar al paradigma militar […] el principal objetivo de un cuerpo militar es someter al enemigo valiéndose de la superioridad de su fuerza”. </w:t>
      </w:r>
      <w:r w:rsidRPr="00432ABC">
        <w:rPr>
          <w:rFonts w:ascii="Verdana" w:hAnsi="Verdana"/>
          <w:sz w:val="16"/>
          <w:szCs w:val="16"/>
        </w:rPr>
        <w:t xml:space="preserve">En 2016, reiteró dichas consideraciones, señalando “el riesgo del abuso por los agentes que no podían renunciar al paradigma militar y la falta de rendición de cuentas por esos abusos en la justicia militar”. </w:t>
      </w:r>
      <w:r w:rsidRPr="00CD5C54">
        <w:rPr>
          <w:rFonts w:ascii="Verdana" w:hAnsi="Verdana"/>
          <w:i/>
          <w:sz w:val="16"/>
          <w:szCs w:val="16"/>
          <w:lang w:val="es-CR"/>
        </w:rPr>
        <w:t>Cfr.</w:t>
      </w:r>
      <w:r w:rsidRPr="00432ABC">
        <w:rPr>
          <w:rFonts w:ascii="Verdana" w:hAnsi="Verdana"/>
          <w:sz w:val="16"/>
          <w:szCs w:val="16"/>
          <w:lang w:val="es-CR"/>
        </w:rPr>
        <w:t xml:space="preserve"> </w:t>
      </w:r>
      <w:r w:rsidRPr="00432ABC">
        <w:rPr>
          <w:rFonts w:ascii="Verdana" w:hAnsi="Verdana"/>
          <w:sz w:val="16"/>
          <w:szCs w:val="16"/>
        </w:rPr>
        <w:t xml:space="preserve">ONU. Consejo de Derechos Humanos, </w:t>
      </w:r>
      <w:r w:rsidRPr="00432ABC">
        <w:rPr>
          <w:rFonts w:ascii="Verdana" w:hAnsi="Verdana"/>
          <w:i/>
          <w:sz w:val="16"/>
          <w:szCs w:val="16"/>
        </w:rPr>
        <w:t xml:space="preserve">Informe del Relator especial sobre las ejecuciones extrajudiciales, sumarias o arbitrarias, Christof Heyns, </w:t>
      </w:r>
      <w:r w:rsidRPr="00432ABC">
        <w:rPr>
          <w:rFonts w:ascii="Verdana" w:hAnsi="Verdana"/>
          <w:sz w:val="16"/>
          <w:szCs w:val="16"/>
        </w:rPr>
        <w:t xml:space="preserve">A/HCR/26/36/Add.1, 28 de abril de 2014, párr. 21, e </w:t>
      </w:r>
      <w:r w:rsidRPr="00432ABC">
        <w:rPr>
          <w:rFonts w:ascii="Verdana" w:hAnsi="Verdana"/>
          <w:i/>
          <w:sz w:val="16"/>
          <w:szCs w:val="16"/>
        </w:rPr>
        <w:t xml:space="preserve">Informe del Relator especial sobre las ejecuciones acerca del seguimiento de su misión a México, </w:t>
      </w:r>
      <w:r w:rsidRPr="00432ABC">
        <w:rPr>
          <w:rFonts w:ascii="Verdana" w:hAnsi="Verdana"/>
          <w:sz w:val="16"/>
          <w:szCs w:val="16"/>
        </w:rPr>
        <w:t>A/HCR/32/39/Add.2, 6 de mayo de 2016, párr. 11.</w:t>
      </w:r>
      <w:r w:rsidRPr="00432ABC">
        <w:rPr>
          <w:rFonts w:ascii="Verdana" w:eastAsiaTheme="minorHAnsi" w:hAnsi="Verdana"/>
          <w:i/>
          <w:sz w:val="16"/>
          <w:szCs w:val="16"/>
          <w:lang w:val="es-CR"/>
        </w:rPr>
        <w:t xml:space="preserve"> </w:t>
      </w:r>
    </w:p>
  </w:footnote>
  <w:footnote w:id="400">
    <w:p w14:paraId="2BC8C833" w14:textId="6F3EDE38"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sidRPr="002C462C">
        <w:rPr>
          <w:rFonts w:ascii="Verdana" w:hAnsi="Verdana"/>
          <w:i/>
          <w:sz w:val="16"/>
          <w:szCs w:val="16"/>
          <w:lang w:val="es-CR"/>
        </w:rPr>
        <w:t xml:space="preserve"> </w:t>
      </w:r>
      <w:r>
        <w:rPr>
          <w:rFonts w:ascii="Verdana" w:hAnsi="Verdana"/>
          <w:sz w:val="16"/>
          <w:szCs w:val="16"/>
          <w:lang w:val="es-CR"/>
        </w:rPr>
        <w:t xml:space="preserve">ONU: </w:t>
      </w:r>
      <w:r w:rsidRPr="00535E79">
        <w:rPr>
          <w:rFonts w:ascii="Verdana" w:hAnsi="Verdana"/>
          <w:i/>
          <w:sz w:val="16"/>
          <w:szCs w:val="16"/>
        </w:rPr>
        <w:t>Informe conjunto del Relator Especial encargado de la cuestión de la tortura, Sr. Nigel S. Rodley, y del Relator Especial encargado de la cuestión de las ejecuciones extrajudiciales, sumarias o arbitrarias, Sr. Bacre Waly Ndiaye, presentado en cumplimiento de las resoluciones 1994/37 y 1994/82 de la Comisión de Derechos Humanos</w:t>
      </w:r>
      <w:r>
        <w:rPr>
          <w:rFonts w:ascii="Verdana" w:hAnsi="Verdana"/>
          <w:sz w:val="16"/>
          <w:szCs w:val="16"/>
        </w:rPr>
        <w:t>,</w:t>
      </w:r>
      <w:r w:rsidRPr="00432ABC">
        <w:rPr>
          <w:rFonts w:ascii="Verdana" w:hAnsi="Verdana"/>
          <w:sz w:val="16"/>
          <w:szCs w:val="16"/>
        </w:rPr>
        <w:t xml:space="preserve"> E/CN.4/1995/111, </w:t>
      </w:r>
      <w:r w:rsidRPr="0002265E">
        <w:rPr>
          <w:rFonts w:ascii="Verdana" w:hAnsi="Verdana"/>
          <w:sz w:val="16"/>
          <w:szCs w:val="16"/>
        </w:rPr>
        <w:t>16 de enero de 1995</w:t>
      </w:r>
      <w:r>
        <w:rPr>
          <w:rFonts w:ascii="Verdana" w:hAnsi="Verdana"/>
          <w:sz w:val="16"/>
          <w:szCs w:val="16"/>
        </w:rPr>
        <w:t xml:space="preserve">, </w:t>
      </w:r>
      <w:r w:rsidRPr="00432ABC">
        <w:rPr>
          <w:rFonts w:ascii="Verdana" w:hAnsi="Verdana"/>
          <w:sz w:val="16"/>
          <w:szCs w:val="16"/>
        </w:rPr>
        <w:t>párr. 117.a</w:t>
      </w:r>
      <w:r>
        <w:rPr>
          <w:rFonts w:ascii="Verdana" w:hAnsi="Verdana"/>
          <w:sz w:val="16"/>
          <w:szCs w:val="16"/>
        </w:rPr>
        <w:t xml:space="preserve"> y 120; </w:t>
      </w:r>
      <w:r w:rsidRPr="00535E79">
        <w:rPr>
          <w:rFonts w:ascii="Verdana" w:hAnsi="Verdana"/>
          <w:bCs/>
          <w:i/>
          <w:sz w:val="16"/>
          <w:szCs w:val="16"/>
        </w:rPr>
        <w:t>Informe del Relator Especial sobre la Independencia de Jueces y Abogados sobre la visita a Colombia</w:t>
      </w:r>
      <w:r w:rsidRPr="0002265E">
        <w:rPr>
          <w:rFonts w:ascii="Verdana" w:hAnsi="Verdana"/>
          <w:bCs/>
          <w:i/>
          <w:sz w:val="16"/>
          <w:szCs w:val="16"/>
        </w:rPr>
        <w:t xml:space="preserve">, </w:t>
      </w:r>
      <w:r>
        <w:rPr>
          <w:rFonts w:ascii="Verdana" w:hAnsi="Verdana"/>
          <w:sz w:val="16"/>
          <w:szCs w:val="16"/>
        </w:rPr>
        <w:t>E/CN.4/1998/39/Add.</w:t>
      </w:r>
      <w:r w:rsidRPr="0002265E">
        <w:rPr>
          <w:rFonts w:ascii="Verdana" w:hAnsi="Verdana"/>
          <w:sz w:val="16"/>
          <w:szCs w:val="16"/>
        </w:rPr>
        <w:t xml:space="preserve">2, </w:t>
      </w:r>
      <w:r w:rsidRPr="00535E79">
        <w:rPr>
          <w:rFonts w:ascii="Verdana" w:hAnsi="Verdana"/>
          <w:color w:val="000000"/>
          <w:sz w:val="16"/>
          <w:szCs w:val="16"/>
          <w:shd w:val="clear" w:color="auto" w:fill="FFFFFF"/>
        </w:rPr>
        <w:t>30 de marzo de 1998,</w:t>
      </w:r>
      <w:r w:rsidRPr="0002265E">
        <w:rPr>
          <w:rFonts w:ascii="Verdana" w:hAnsi="Verdana"/>
          <w:sz w:val="16"/>
          <w:szCs w:val="16"/>
        </w:rPr>
        <w:t xml:space="preserve"> párr. 185</w:t>
      </w:r>
      <w:r>
        <w:rPr>
          <w:rFonts w:ascii="Verdana" w:hAnsi="Verdana"/>
          <w:sz w:val="16"/>
          <w:szCs w:val="16"/>
          <w:lang w:val="es-CR"/>
        </w:rPr>
        <w:t xml:space="preserve">, y Corte IDH, </w:t>
      </w:r>
      <w:r w:rsidRPr="002C462C">
        <w:rPr>
          <w:rFonts w:ascii="Verdana" w:hAnsi="Verdana"/>
          <w:i/>
          <w:sz w:val="16"/>
          <w:szCs w:val="16"/>
          <w:lang w:val="es-CR"/>
        </w:rPr>
        <w:t>Caso Cabrera García y Montiel Flores Vs. México. Excepciones Preliminares, Fondo, Reparaciones y Costas</w:t>
      </w:r>
      <w:r w:rsidRPr="002C462C">
        <w:rPr>
          <w:rFonts w:ascii="Verdana" w:hAnsi="Verdana"/>
          <w:sz w:val="16"/>
          <w:szCs w:val="16"/>
          <w:lang w:val="es-CR"/>
        </w:rPr>
        <w:t>. Sentencia de 26 de noviembre de 2010. Serie C No. 220, párrs. 86, 87 y 89</w:t>
      </w:r>
      <w:r>
        <w:rPr>
          <w:rFonts w:ascii="Verdana" w:hAnsi="Verdana"/>
          <w:sz w:val="16"/>
          <w:szCs w:val="16"/>
        </w:rPr>
        <w:t>.</w:t>
      </w:r>
      <w:r w:rsidRPr="00432ABC">
        <w:rPr>
          <w:rFonts w:ascii="Verdana" w:hAnsi="Verdana"/>
          <w:sz w:val="16"/>
          <w:szCs w:val="16"/>
        </w:rPr>
        <w:t xml:space="preserve"> </w:t>
      </w:r>
    </w:p>
  </w:footnote>
  <w:footnote w:id="401">
    <w:p w14:paraId="72E86463" w14:textId="4322A18F"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lang w:val="es-CR"/>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sidRPr="002C462C">
        <w:rPr>
          <w:rFonts w:ascii="Verdana" w:hAnsi="Verdana"/>
          <w:i/>
          <w:sz w:val="16"/>
          <w:szCs w:val="16"/>
          <w:lang w:val="es-CR"/>
        </w:rPr>
        <w:t xml:space="preserve"> </w:t>
      </w:r>
      <w:r w:rsidRPr="008D0846">
        <w:rPr>
          <w:rFonts w:ascii="Verdana" w:hAnsi="Verdana"/>
          <w:i/>
          <w:sz w:val="16"/>
          <w:szCs w:val="16"/>
          <w:lang w:val="es-CR"/>
        </w:rPr>
        <w:t>Caso Osorio Rivera y familiares Vs. Perú. Excepciones Preliminares, Fondo, Reparaciones y Costas</w:t>
      </w:r>
      <w:r w:rsidRPr="00432ABC">
        <w:rPr>
          <w:rFonts w:ascii="Verdana" w:hAnsi="Verdana"/>
          <w:sz w:val="16"/>
          <w:szCs w:val="16"/>
          <w:lang w:val="es-CR"/>
        </w:rPr>
        <w:t xml:space="preserve">. Sentencia de 26 de noviembre de 2013. Serie C No. 274, párr. 122. </w:t>
      </w:r>
    </w:p>
  </w:footnote>
  <w:footnote w:id="402">
    <w:p w14:paraId="35A2688C" w14:textId="7569B1B4" w:rsidR="00146958" w:rsidRPr="00432ABC" w:rsidRDefault="00146958" w:rsidP="00DB378B">
      <w:pPr>
        <w:pStyle w:val="Textonotapie"/>
        <w:ind w:right="49"/>
        <w:jc w:val="both"/>
        <w:rPr>
          <w:rFonts w:ascii="Verdana" w:hAnsi="Verdana"/>
          <w:sz w:val="16"/>
          <w:szCs w:val="16"/>
          <w:lang w:val="es-CO"/>
        </w:rPr>
      </w:pPr>
      <w:r w:rsidRPr="005E2900">
        <w:rPr>
          <w:rStyle w:val="Refdenotaalpie"/>
          <w:rFonts w:ascii="Verdana" w:hAnsi="Verdana"/>
          <w:sz w:val="16"/>
          <w:szCs w:val="16"/>
          <w:lang w:val="es-ES_tradnl"/>
        </w:rPr>
        <w:footnoteRef/>
      </w:r>
      <w:r w:rsidRPr="000318C4">
        <w:rPr>
          <w:rFonts w:ascii="Verdana" w:hAnsi="Verdana"/>
          <w:sz w:val="16"/>
          <w:szCs w:val="16"/>
          <w:lang w:val="es-ES_tradnl"/>
        </w:rPr>
        <w:t xml:space="preserve"> </w:t>
      </w:r>
      <w:r w:rsidRPr="000318C4">
        <w:rPr>
          <w:rFonts w:ascii="Verdana" w:hAnsi="Verdana"/>
          <w:sz w:val="16"/>
          <w:szCs w:val="16"/>
          <w:lang w:val="es-ES_tradnl"/>
        </w:rPr>
        <w:tab/>
      </w:r>
      <w:r w:rsidRPr="00CD5C54">
        <w:rPr>
          <w:rFonts w:ascii="Verdana" w:hAnsi="Verdana"/>
          <w:i/>
          <w:sz w:val="16"/>
          <w:szCs w:val="16"/>
          <w:lang w:val="es-ES_tradnl"/>
        </w:rPr>
        <w:t>Cfr.</w:t>
      </w:r>
      <w:r w:rsidRPr="000318C4">
        <w:rPr>
          <w:rFonts w:ascii="Verdana" w:hAnsi="Verdana"/>
          <w:sz w:val="16"/>
          <w:szCs w:val="16"/>
          <w:lang w:val="es-ES_tradnl"/>
        </w:rPr>
        <w:t xml:space="preserve"> </w:t>
      </w:r>
      <w:r w:rsidRPr="000318C4">
        <w:rPr>
          <w:rFonts w:ascii="Verdana" w:hAnsi="Verdana"/>
          <w:i/>
          <w:sz w:val="16"/>
          <w:szCs w:val="16"/>
          <w:lang w:val="es-ES_tradnl"/>
        </w:rPr>
        <w:t>Observaciones finales del Comité de Derechos Humanos</w:t>
      </w:r>
      <w:r w:rsidRPr="000318C4">
        <w:rPr>
          <w:rFonts w:ascii="Verdana" w:hAnsi="Verdana"/>
          <w:sz w:val="16"/>
          <w:szCs w:val="16"/>
          <w:lang w:val="es-ES_tradnl"/>
        </w:rPr>
        <w:t xml:space="preserve"> </w:t>
      </w:r>
      <w:r w:rsidRPr="008D0846">
        <w:rPr>
          <w:rFonts w:ascii="Verdana" w:hAnsi="Verdana"/>
          <w:i/>
          <w:sz w:val="16"/>
          <w:szCs w:val="16"/>
          <w:lang w:val="es-ES_tradnl"/>
        </w:rPr>
        <w:t>de la ONU</w:t>
      </w:r>
      <w:r w:rsidRPr="000318C4">
        <w:rPr>
          <w:rFonts w:ascii="Verdana" w:hAnsi="Verdana"/>
          <w:sz w:val="16"/>
          <w:szCs w:val="16"/>
          <w:lang w:val="es-ES_tradnl"/>
        </w:rPr>
        <w:t xml:space="preserve"> a: </w:t>
      </w:r>
      <w:r w:rsidRPr="00131AE6">
        <w:rPr>
          <w:rFonts w:ascii="Verdana" w:hAnsi="Verdana"/>
          <w:i/>
          <w:sz w:val="16"/>
          <w:szCs w:val="16"/>
          <w:lang w:val="es-CO"/>
        </w:rPr>
        <w:t>Sri Lanka</w:t>
      </w:r>
      <w:r w:rsidRPr="00131AE6">
        <w:rPr>
          <w:rFonts w:ascii="Verdana" w:hAnsi="Verdana"/>
          <w:sz w:val="16"/>
          <w:szCs w:val="16"/>
          <w:lang w:val="es-CO"/>
        </w:rPr>
        <w:t xml:space="preserve">, CCPR/C/79/Add.56, </w:t>
      </w:r>
      <w:r w:rsidRPr="008D0846">
        <w:rPr>
          <w:rFonts w:ascii="Verdana" w:hAnsi="Verdana"/>
          <w:sz w:val="16"/>
          <w:szCs w:val="16"/>
          <w:lang w:val="es-CO"/>
        </w:rPr>
        <w:t>23 de julio de 1995</w:t>
      </w:r>
      <w:r w:rsidRPr="005E2900">
        <w:rPr>
          <w:rFonts w:ascii="Verdana" w:hAnsi="Verdana"/>
          <w:sz w:val="16"/>
          <w:szCs w:val="16"/>
          <w:lang w:val="es-CO"/>
        </w:rPr>
        <w:t>, párr. 30</w:t>
      </w:r>
      <w:r w:rsidRPr="000318C4">
        <w:rPr>
          <w:rFonts w:ascii="Verdana" w:hAnsi="Verdana"/>
          <w:sz w:val="16"/>
          <w:szCs w:val="16"/>
          <w:lang w:val="es-CO"/>
        </w:rPr>
        <w:t xml:space="preserve">; </w:t>
      </w:r>
      <w:r w:rsidRPr="000318C4">
        <w:rPr>
          <w:rFonts w:ascii="Verdana" w:hAnsi="Verdana"/>
          <w:i/>
          <w:sz w:val="16"/>
          <w:szCs w:val="16"/>
          <w:lang w:val="es-CO"/>
        </w:rPr>
        <w:t>Yemen</w:t>
      </w:r>
      <w:r w:rsidRPr="000318C4">
        <w:rPr>
          <w:rFonts w:ascii="Verdana" w:hAnsi="Verdana"/>
          <w:sz w:val="16"/>
          <w:szCs w:val="16"/>
          <w:lang w:val="es-CO"/>
        </w:rPr>
        <w:t xml:space="preserve">, A/50/40, 3 de octubre de </w:t>
      </w:r>
      <w:r w:rsidRPr="008D0846">
        <w:rPr>
          <w:rFonts w:ascii="Verdana" w:hAnsi="Verdana"/>
          <w:sz w:val="16"/>
          <w:szCs w:val="16"/>
          <w:lang w:val="es-CO"/>
        </w:rPr>
        <w:t>1995</w:t>
      </w:r>
      <w:r w:rsidRPr="005E2900">
        <w:rPr>
          <w:rFonts w:ascii="Verdana" w:hAnsi="Verdana"/>
          <w:sz w:val="16"/>
          <w:szCs w:val="16"/>
          <w:lang w:val="es-CO"/>
        </w:rPr>
        <w:t>,</w:t>
      </w:r>
      <w:r w:rsidRPr="000318C4">
        <w:rPr>
          <w:rFonts w:ascii="Verdana" w:hAnsi="Verdana"/>
          <w:sz w:val="16"/>
          <w:szCs w:val="16"/>
          <w:lang w:val="es-CO"/>
        </w:rPr>
        <w:t xml:space="preserve"> párr. 260; </w:t>
      </w:r>
      <w:r w:rsidRPr="000318C4">
        <w:rPr>
          <w:rFonts w:ascii="Verdana" w:hAnsi="Verdana"/>
          <w:i/>
          <w:sz w:val="16"/>
          <w:szCs w:val="16"/>
          <w:lang w:val="es-CO"/>
        </w:rPr>
        <w:t>Mauricio</w:t>
      </w:r>
      <w:r w:rsidRPr="000318C4">
        <w:rPr>
          <w:rFonts w:ascii="Verdana" w:hAnsi="Verdana"/>
          <w:sz w:val="16"/>
          <w:szCs w:val="16"/>
          <w:lang w:val="es-CO"/>
        </w:rPr>
        <w:t xml:space="preserve">, CCPR/C/79/Add.60, 4 de junio de </w:t>
      </w:r>
      <w:r w:rsidRPr="008D0846">
        <w:rPr>
          <w:rFonts w:ascii="Verdana" w:hAnsi="Verdana"/>
          <w:sz w:val="16"/>
          <w:szCs w:val="16"/>
          <w:lang w:val="es-CO"/>
        </w:rPr>
        <w:t>1996</w:t>
      </w:r>
      <w:r w:rsidRPr="005E2900">
        <w:rPr>
          <w:rFonts w:ascii="Verdana" w:hAnsi="Verdana"/>
          <w:sz w:val="16"/>
          <w:szCs w:val="16"/>
          <w:lang w:val="es-CO"/>
        </w:rPr>
        <w:t xml:space="preserve">, literal E; </w:t>
      </w:r>
      <w:r w:rsidRPr="000318C4">
        <w:rPr>
          <w:rFonts w:ascii="Verdana" w:hAnsi="Verdana"/>
          <w:i/>
          <w:sz w:val="16"/>
          <w:szCs w:val="16"/>
          <w:lang w:val="es-CO"/>
        </w:rPr>
        <w:t>Brasil</w:t>
      </w:r>
      <w:r w:rsidRPr="000318C4">
        <w:rPr>
          <w:rFonts w:ascii="Verdana" w:hAnsi="Verdana"/>
          <w:sz w:val="16"/>
          <w:szCs w:val="16"/>
          <w:lang w:val="es-CO"/>
        </w:rPr>
        <w:t xml:space="preserve">, CCPR/C/79/Add.66, 24 de julio de </w:t>
      </w:r>
      <w:r w:rsidRPr="008D0846">
        <w:rPr>
          <w:rFonts w:ascii="Verdana" w:hAnsi="Verdana"/>
          <w:sz w:val="16"/>
          <w:szCs w:val="16"/>
          <w:lang w:val="es-CO"/>
        </w:rPr>
        <w:t>1996</w:t>
      </w:r>
      <w:r w:rsidRPr="005E2900">
        <w:rPr>
          <w:rFonts w:ascii="Verdana" w:hAnsi="Verdana"/>
          <w:sz w:val="16"/>
          <w:szCs w:val="16"/>
          <w:lang w:val="es-CO"/>
        </w:rPr>
        <w:t>, párr. 22</w:t>
      </w:r>
      <w:r w:rsidRPr="000318C4">
        <w:rPr>
          <w:rFonts w:ascii="Verdana" w:hAnsi="Verdana"/>
          <w:sz w:val="16"/>
          <w:szCs w:val="16"/>
          <w:lang w:val="es-CO"/>
        </w:rPr>
        <w:t xml:space="preserve">; </w:t>
      </w:r>
      <w:r w:rsidRPr="000318C4">
        <w:rPr>
          <w:rFonts w:ascii="Verdana" w:hAnsi="Verdana"/>
          <w:i/>
          <w:sz w:val="16"/>
          <w:szCs w:val="16"/>
          <w:lang w:val="es-CO"/>
        </w:rPr>
        <w:t>Alemania</w:t>
      </w:r>
      <w:r w:rsidRPr="000318C4">
        <w:rPr>
          <w:rFonts w:ascii="Verdana" w:hAnsi="Verdana"/>
          <w:sz w:val="16"/>
          <w:szCs w:val="16"/>
          <w:lang w:val="es-CO"/>
        </w:rPr>
        <w:t xml:space="preserve">, CCPR/C/79/Add.73, 18 de noviembre de </w:t>
      </w:r>
      <w:r w:rsidRPr="008D0846">
        <w:rPr>
          <w:rFonts w:ascii="Verdana" w:hAnsi="Verdana"/>
          <w:sz w:val="16"/>
          <w:szCs w:val="16"/>
          <w:lang w:val="es-CO"/>
        </w:rPr>
        <w:t>1996</w:t>
      </w:r>
      <w:r w:rsidRPr="005E2900">
        <w:rPr>
          <w:rFonts w:ascii="Verdana" w:hAnsi="Verdana"/>
          <w:sz w:val="16"/>
          <w:szCs w:val="16"/>
          <w:lang w:val="es-CO"/>
        </w:rPr>
        <w:t>, párr. 11</w:t>
      </w:r>
      <w:r w:rsidRPr="000318C4">
        <w:rPr>
          <w:rFonts w:ascii="Verdana" w:hAnsi="Verdana"/>
          <w:sz w:val="16"/>
          <w:szCs w:val="16"/>
          <w:lang w:val="es-CO"/>
        </w:rPr>
        <w:t xml:space="preserve">; </w:t>
      </w:r>
      <w:r w:rsidRPr="000318C4">
        <w:rPr>
          <w:rFonts w:ascii="Verdana" w:hAnsi="Verdana"/>
          <w:i/>
          <w:sz w:val="16"/>
          <w:szCs w:val="16"/>
          <w:lang w:val="es-CO"/>
        </w:rPr>
        <w:t>Bolivia</w:t>
      </w:r>
      <w:r w:rsidRPr="000318C4">
        <w:rPr>
          <w:rFonts w:ascii="Verdana" w:hAnsi="Verdana"/>
          <w:sz w:val="16"/>
          <w:szCs w:val="16"/>
          <w:lang w:val="es-CO"/>
        </w:rPr>
        <w:t xml:space="preserve">, CCPR/C/79/Add.74, 1 de mayo de </w:t>
      </w:r>
      <w:r w:rsidRPr="008D0846">
        <w:rPr>
          <w:rFonts w:ascii="Verdana" w:hAnsi="Verdana"/>
          <w:sz w:val="16"/>
          <w:szCs w:val="16"/>
          <w:lang w:val="es-CO"/>
        </w:rPr>
        <w:t>1997</w:t>
      </w:r>
      <w:r w:rsidRPr="005E2900">
        <w:rPr>
          <w:rFonts w:ascii="Verdana" w:hAnsi="Verdana"/>
          <w:sz w:val="16"/>
          <w:szCs w:val="16"/>
          <w:lang w:val="es-CO"/>
        </w:rPr>
        <w:t>, párr. 28</w:t>
      </w:r>
      <w:r w:rsidRPr="000318C4">
        <w:rPr>
          <w:rFonts w:ascii="Verdana" w:hAnsi="Verdana"/>
          <w:sz w:val="16"/>
          <w:szCs w:val="16"/>
          <w:lang w:val="es-CO"/>
        </w:rPr>
        <w:t xml:space="preserve">; </w:t>
      </w:r>
      <w:r w:rsidRPr="008D0846">
        <w:rPr>
          <w:rFonts w:ascii="Verdana" w:hAnsi="Verdana"/>
          <w:i/>
          <w:sz w:val="16"/>
          <w:szCs w:val="16"/>
        </w:rPr>
        <w:t>Francia</w:t>
      </w:r>
      <w:r w:rsidRPr="0063507B">
        <w:rPr>
          <w:rFonts w:ascii="Verdana" w:hAnsi="Verdana"/>
          <w:sz w:val="16"/>
          <w:szCs w:val="16"/>
        </w:rPr>
        <w:t xml:space="preserve">, de 4 de agosto de 1997, </w:t>
      </w:r>
      <w:r>
        <w:rPr>
          <w:rFonts w:ascii="Verdana" w:hAnsi="Verdana"/>
          <w:sz w:val="16"/>
          <w:szCs w:val="16"/>
        </w:rPr>
        <w:t xml:space="preserve">CCPR/C/79/Add.80, párr. 16; </w:t>
      </w:r>
      <w:r w:rsidRPr="000318C4">
        <w:rPr>
          <w:rFonts w:ascii="Verdana" w:hAnsi="Verdana"/>
          <w:i/>
          <w:sz w:val="16"/>
          <w:szCs w:val="16"/>
          <w:lang w:val="es-ES_tradnl"/>
        </w:rPr>
        <w:t>Belarús</w:t>
      </w:r>
      <w:r w:rsidRPr="000318C4">
        <w:rPr>
          <w:rFonts w:ascii="Verdana" w:hAnsi="Verdana"/>
          <w:sz w:val="16"/>
          <w:szCs w:val="16"/>
          <w:lang w:val="es-ES_tradnl"/>
        </w:rPr>
        <w:t xml:space="preserve">, CCPR/C/79/add.86, </w:t>
      </w:r>
      <w:r w:rsidRPr="008D0846">
        <w:rPr>
          <w:rFonts w:ascii="Verdana" w:hAnsi="Verdana"/>
          <w:sz w:val="16"/>
          <w:szCs w:val="16"/>
          <w:lang w:val="es-ES_tradnl"/>
        </w:rPr>
        <w:t>19 de noviembre de 1997</w:t>
      </w:r>
      <w:r w:rsidRPr="005E2900">
        <w:rPr>
          <w:rFonts w:ascii="Verdana" w:hAnsi="Verdana"/>
          <w:sz w:val="16"/>
          <w:szCs w:val="16"/>
          <w:lang w:val="es-ES_tradnl"/>
        </w:rPr>
        <w:t>, párr. 9</w:t>
      </w:r>
      <w:r w:rsidRPr="000318C4">
        <w:rPr>
          <w:rFonts w:ascii="Verdana" w:hAnsi="Verdana"/>
          <w:sz w:val="16"/>
          <w:szCs w:val="16"/>
          <w:lang w:val="es-ES_tradnl"/>
        </w:rPr>
        <w:t xml:space="preserve">; </w:t>
      </w:r>
      <w:r w:rsidRPr="000318C4">
        <w:rPr>
          <w:rFonts w:ascii="Verdana" w:hAnsi="Verdana"/>
          <w:i/>
          <w:sz w:val="16"/>
          <w:szCs w:val="16"/>
          <w:lang w:val="es-CO"/>
        </w:rPr>
        <w:t>Sudán</w:t>
      </w:r>
      <w:r w:rsidRPr="000318C4">
        <w:rPr>
          <w:rFonts w:ascii="Verdana" w:hAnsi="Verdana"/>
          <w:sz w:val="16"/>
          <w:szCs w:val="16"/>
          <w:lang w:val="es-CO"/>
        </w:rPr>
        <w:t xml:space="preserve">, CCPR/C/79/Add.85, </w:t>
      </w:r>
      <w:r w:rsidRPr="008D0846">
        <w:rPr>
          <w:rFonts w:ascii="Verdana" w:hAnsi="Verdana"/>
          <w:sz w:val="16"/>
          <w:szCs w:val="16"/>
          <w:lang w:val="es-CO"/>
        </w:rPr>
        <w:t>19 de noviembre de</w:t>
      </w:r>
      <w:r w:rsidRPr="005E2900">
        <w:rPr>
          <w:rFonts w:ascii="Verdana" w:hAnsi="Verdana"/>
          <w:sz w:val="16"/>
          <w:szCs w:val="16"/>
          <w:lang w:val="es-CO"/>
        </w:rPr>
        <w:t xml:space="preserve"> </w:t>
      </w:r>
      <w:r w:rsidRPr="008D0846">
        <w:rPr>
          <w:rFonts w:ascii="Verdana" w:hAnsi="Verdana"/>
          <w:sz w:val="16"/>
          <w:szCs w:val="16"/>
          <w:lang w:val="es-CO"/>
        </w:rPr>
        <w:t>1997</w:t>
      </w:r>
      <w:r w:rsidRPr="005E2900">
        <w:rPr>
          <w:rFonts w:ascii="Verdana" w:hAnsi="Verdana"/>
          <w:sz w:val="16"/>
          <w:szCs w:val="16"/>
          <w:lang w:val="es-CO"/>
        </w:rPr>
        <w:t>, párr. 12</w:t>
      </w:r>
      <w:r w:rsidRPr="000318C4">
        <w:rPr>
          <w:rFonts w:ascii="Verdana" w:hAnsi="Verdana"/>
          <w:sz w:val="16"/>
          <w:szCs w:val="16"/>
          <w:lang w:val="es-CO"/>
        </w:rPr>
        <w:t xml:space="preserve">; </w:t>
      </w:r>
      <w:r w:rsidRPr="000318C4">
        <w:rPr>
          <w:rFonts w:ascii="Verdana" w:hAnsi="Verdana"/>
          <w:i/>
          <w:sz w:val="16"/>
          <w:szCs w:val="16"/>
          <w:lang w:val="es-CO"/>
        </w:rPr>
        <w:t>Argelia</w:t>
      </w:r>
      <w:r w:rsidRPr="000318C4">
        <w:rPr>
          <w:rFonts w:ascii="Verdana" w:hAnsi="Verdana"/>
          <w:sz w:val="16"/>
          <w:szCs w:val="16"/>
          <w:lang w:val="es-CO"/>
        </w:rPr>
        <w:t xml:space="preserve">, CCPR/C/79/Add.95 de 18 de agosto de </w:t>
      </w:r>
      <w:r w:rsidRPr="008D0846">
        <w:rPr>
          <w:rFonts w:ascii="Verdana" w:hAnsi="Verdana"/>
          <w:sz w:val="16"/>
          <w:szCs w:val="16"/>
          <w:lang w:val="es-CO"/>
        </w:rPr>
        <w:t>1998</w:t>
      </w:r>
      <w:r w:rsidRPr="005E2900">
        <w:rPr>
          <w:rFonts w:ascii="Verdana" w:hAnsi="Verdana"/>
          <w:sz w:val="16"/>
          <w:szCs w:val="16"/>
          <w:lang w:val="es-CO"/>
        </w:rPr>
        <w:t>, párrs. 6, 7 y 9</w:t>
      </w:r>
      <w:r w:rsidRPr="000318C4">
        <w:rPr>
          <w:rFonts w:ascii="Verdana" w:hAnsi="Verdana"/>
          <w:sz w:val="16"/>
          <w:szCs w:val="16"/>
          <w:lang w:val="es-CO"/>
        </w:rPr>
        <w:t xml:space="preserve">; </w:t>
      </w:r>
      <w:r w:rsidRPr="000318C4">
        <w:rPr>
          <w:rFonts w:ascii="Verdana" w:hAnsi="Verdana"/>
          <w:i/>
          <w:sz w:val="16"/>
          <w:szCs w:val="16"/>
          <w:lang w:val="es-ES_tradnl"/>
        </w:rPr>
        <w:t>Ex República Yugoslavia de Macedonia</w:t>
      </w:r>
      <w:r>
        <w:rPr>
          <w:rFonts w:ascii="Verdana" w:hAnsi="Verdana"/>
          <w:sz w:val="16"/>
          <w:szCs w:val="16"/>
          <w:lang w:val="es-ES_tradnl"/>
        </w:rPr>
        <w:t xml:space="preserve">, </w:t>
      </w:r>
      <w:r w:rsidRPr="000318C4">
        <w:rPr>
          <w:rFonts w:ascii="Verdana" w:hAnsi="Verdana"/>
          <w:sz w:val="16"/>
          <w:szCs w:val="16"/>
          <w:lang w:val="es-ES_tradnl"/>
        </w:rPr>
        <w:t xml:space="preserve">CCPR/C/79/Add.96, </w:t>
      </w:r>
      <w:r w:rsidRPr="008D0846">
        <w:rPr>
          <w:rFonts w:ascii="Verdana" w:hAnsi="Verdana"/>
          <w:sz w:val="16"/>
          <w:szCs w:val="16"/>
          <w:lang w:val="es-ES_tradnl"/>
        </w:rPr>
        <w:t>18 de agosto de 1998</w:t>
      </w:r>
      <w:r w:rsidRPr="005E2900">
        <w:rPr>
          <w:rFonts w:ascii="Verdana" w:hAnsi="Verdana"/>
          <w:sz w:val="16"/>
          <w:szCs w:val="16"/>
          <w:lang w:val="es-ES_tradnl"/>
        </w:rPr>
        <w:t xml:space="preserve">, párr. </w:t>
      </w:r>
      <w:r w:rsidRPr="000318C4">
        <w:rPr>
          <w:rFonts w:ascii="Verdana" w:hAnsi="Verdana"/>
          <w:sz w:val="16"/>
          <w:szCs w:val="16"/>
          <w:lang w:val="es-CO"/>
        </w:rPr>
        <w:t xml:space="preserve">10; </w:t>
      </w:r>
      <w:r w:rsidRPr="000318C4">
        <w:rPr>
          <w:rFonts w:ascii="Verdana" w:hAnsi="Verdana"/>
          <w:i/>
          <w:sz w:val="16"/>
          <w:szCs w:val="16"/>
          <w:lang w:val="es-ES_tradnl"/>
        </w:rPr>
        <w:t>Chile</w:t>
      </w:r>
      <w:r w:rsidRPr="000318C4">
        <w:rPr>
          <w:rFonts w:ascii="Verdana" w:hAnsi="Verdana"/>
          <w:sz w:val="16"/>
          <w:szCs w:val="16"/>
          <w:lang w:val="es-ES_tradnl"/>
        </w:rPr>
        <w:t xml:space="preserve">, CCPR/C/79/Add.104, 30 de marzo de </w:t>
      </w:r>
      <w:r w:rsidRPr="008D0846">
        <w:rPr>
          <w:rFonts w:ascii="Verdana" w:hAnsi="Verdana"/>
          <w:sz w:val="16"/>
          <w:szCs w:val="16"/>
          <w:lang w:val="es-ES_tradnl"/>
        </w:rPr>
        <w:t>1999</w:t>
      </w:r>
      <w:r w:rsidRPr="005E2900">
        <w:rPr>
          <w:rFonts w:ascii="Verdana" w:hAnsi="Verdana"/>
          <w:sz w:val="16"/>
          <w:szCs w:val="16"/>
          <w:lang w:val="es-ES_tradnl"/>
        </w:rPr>
        <w:t>, párr. 10</w:t>
      </w:r>
      <w:r w:rsidRPr="000318C4">
        <w:rPr>
          <w:rFonts w:ascii="Verdana" w:hAnsi="Verdana"/>
          <w:sz w:val="16"/>
          <w:szCs w:val="16"/>
          <w:lang w:val="es-ES_tradnl"/>
        </w:rPr>
        <w:t xml:space="preserve">; </w:t>
      </w:r>
      <w:r w:rsidRPr="000318C4">
        <w:rPr>
          <w:rFonts w:ascii="Verdana" w:hAnsi="Verdana"/>
          <w:i/>
          <w:sz w:val="16"/>
          <w:szCs w:val="16"/>
          <w:lang w:val="es-CO"/>
        </w:rPr>
        <w:t>Camerún</w:t>
      </w:r>
      <w:r w:rsidRPr="000318C4">
        <w:rPr>
          <w:rFonts w:ascii="Verdana" w:hAnsi="Verdana"/>
          <w:sz w:val="16"/>
          <w:szCs w:val="16"/>
          <w:lang w:val="es-CO"/>
        </w:rPr>
        <w:t xml:space="preserve">, CCPR/C/79/Add.116, </w:t>
      </w:r>
      <w:r w:rsidRPr="008D0846">
        <w:rPr>
          <w:rFonts w:ascii="Verdana" w:hAnsi="Verdana"/>
          <w:sz w:val="16"/>
          <w:szCs w:val="16"/>
          <w:lang w:val="es-CO"/>
        </w:rPr>
        <w:t>4 de noviembre de</w:t>
      </w:r>
      <w:r w:rsidRPr="005E2900">
        <w:rPr>
          <w:rFonts w:ascii="Verdana" w:hAnsi="Verdana"/>
          <w:sz w:val="16"/>
          <w:szCs w:val="16"/>
          <w:lang w:val="es-CO"/>
        </w:rPr>
        <w:t xml:space="preserve"> </w:t>
      </w:r>
      <w:r w:rsidRPr="008D0846">
        <w:rPr>
          <w:rFonts w:ascii="Verdana" w:hAnsi="Verdana"/>
          <w:sz w:val="16"/>
          <w:szCs w:val="16"/>
          <w:lang w:val="es-CO"/>
        </w:rPr>
        <w:t>1999</w:t>
      </w:r>
      <w:r w:rsidRPr="005E2900">
        <w:rPr>
          <w:rFonts w:ascii="Verdana" w:hAnsi="Verdana"/>
          <w:sz w:val="16"/>
          <w:szCs w:val="16"/>
          <w:lang w:val="es-CO"/>
        </w:rPr>
        <w:t>, párr. 20</w:t>
      </w:r>
      <w:r w:rsidRPr="000318C4">
        <w:rPr>
          <w:rFonts w:ascii="Verdana" w:hAnsi="Verdana"/>
          <w:sz w:val="16"/>
          <w:szCs w:val="16"/>
          <w:lang w:val="es-CO"/>
        </w:rPr>
        <w:t xml:space="preserve">; </w:t>
      </w:r>
      <w:r w:rsidRPr="000318C4">
        <w:rPr>
          <w:rFonts w:ascii="Verdana" w:hAnsi="Verdana"/>
          <w:i/>
          <w:sz w:val="16"/>
          <w:szCs w:val="16"/>
          <w:lang w:val="es-CO"/>
        </w:rPr>
        <w:t>Guyana</w:t>
      </w:r>
      <w:r w:rsidRPr="000318C4">
        <w:rPr>
          <w:rFonts w:ascii="Verdana" w:hAnsi="Verdana"/>
          <w:sz w:val="16"/>
          <w:szCs w:val="16"/>
          <w:lang w:val="es-CO"/>
        </w:rPr>
        <w:t xml:space="preserve">, CCPR/C/79/Add.121 de 25 de abril de </w:t>
      </w:r>
      <w:r w:rsidRPr="008D0846">
        <w:rPr>
          <w:rFonts w:ascii="Verdana" w:hAnsi="Verdana"/>
          <w:sz w:val="16"/>
          <w:szCs w:val="16"/>
          <w:lang w:val="es-CO"/>
        </w:rPr>
        <w:t>2000</w:t>
      </w:r>
      <w:r w:rsidRPr="005E2900">
        <w:rPr>
          <w:rFonts w:ascii="Verdana" w:hAnsi="Verdana"/>
          <w:sz w:val="16"/>
          <w:szCs w:val="16"/>
          <w:lang w:val="es-CO"/>
        </w:rPr>
        <w:t>, párr. 10</w:t>
      </w:r>
      <w:r w:rsidRPr="000318C4">
        <w:rPr>
          <w:rFonts w:ascii="Verdana" w:hAnsi="Verdana"/>
          <w:sz w:val="16"/>
          <w:szCs w:val="16"/>
          <w:lang w:val="es-CO"/>
        </w:rPr>
        <w:t xml:space="preserve">; </w:t>
      </w:r>
      <w:r w:rsidRPr="000318C4">
        <w:rPr>
          <w:rFonts w:ascii="Verdana" w:hAnsi="Verdana"/>
          <w:i/>
          <w:sz w:val="16"/>
          <w:szCs w:val="16"/>
          <w:lang w:val="es-ES_tradnl"/>
        </w:rPr>
        <w:t>República Kirguisa</w:t>
      </w:r>
      <w:r w:rsidRPr="000318C4">
        <w:rPr>
          <w:rFonts w:ascii="Verdana" w:hAnsi="Verdana"/>
          <w:sz w:val="16"/>
          <w:szCs w:val="16"/>
          <w:lang w:val="es-ES_tradnl"/>
        </w:rPr>
        <w:t xml:space="preserve">, CCPR/C0/69/KGZ, </w:t>
      </w:r>
      <w:r w:rsidRPr="008D0846">
        <w:rPr>
          <w:rFonts w:ascii="Verdana" w:hAnsi="Verdana"/>
          <w:sz w:val="16"/>
          <w:szCs w:val="16"/>
          <w:lang w:val="es-ES_tradnl"/>
        </w:rPr>
        <w:t>24 de julio de</w:t>
      </w:r>
      <w:r w:rsidRPr="005E2900">
        <w:rPr>
          <w:rFonts w:ascii="Verdana" w:hAnsi="Verdana"/>
          <w:sz w:val="16"/>
          <w:szCs w:val="16"/>
          <w:lang w:val="es-ES_tradnl"/>
        </w:rPr>
        <w:t xml:space="preserve"> </w:t>
      </w:r>
      <w:r w:rsidRPr="008D0846">
        <w:rPr>
          <w:rFonts w:ascii="Verdana" w:hAnsi="Verdana"/>
          <w:sz w:val="16"/>
          <w:szCs w:val="16"/>
          <w:lang w:val="es-ES_tradnl"/>
        </w:rPr>
        <w:t>2000</w:t>
      </w:r>
      <w:r w:rsidRPr="005E2900">
        <w:rPr>
          <w:rFonts w:ascii="Verdana" w:hAnsi="Verdana"/>
          <w:sz w:val="16"/>
          <w:szCs w:val="16"/>
          <w:lang w:val="es-ES_tradnl"/>
        </w:rPr>
        <w:t>, párr. 7;</w:t>
      </w:r>
      <w:r w:rsidRPr="000318C4">
        <w:rPr>
          <w:rFonts w:ascii="Verdana" w:hAnsi="Verdana"/>
          <w:sz w:val="16"/>
          <w:szCs w:val="16"/>
          <w:lang w:val="es-ES_tradnl"/>
        </w:rPr>
        <w:t xml:space="preserve"> </w:t>
      </w:r>
      <w:r w:rsidRPr="000318C4">
        <w:rPr>
          <w:rFonts w:ascii="Verdana" w:hAnsi="Verdana"/>
          <w:i/>
          <w:sz w:val="16"/>
          <w:szCs w:val="16"/>
          <w:lang w:val="es-CO"/>
        </w:rPr>
        <w:t>Kuwait</w:t>
      </w:r>
      <w:r w:rsidRPr="000318C4">
        <w:rPr>
          <w:rFonts w:ascii="Verdana" w:hAnsi="Verdana"/>
          <w:sz w:val="16"/>
          <w:szCs w:val="16"/>
          <w:lang w:val="es-CO"/>
        </w:rPr>
        <w:t xml:space="preserve">, CCPR/CO/KWT, 27 de julio de </w:t>
      </w:r>
      <w:r w:rsidRPr="008D0846">
        <w:rPr>
          <w:rFonts w:ascii="Verdana" w:hAnsi="Verdana"/>
          <w:sz w:val="16"/>
          <w:szCs w:val="16"/>
          <w:lang w:val="es-CO"/>
        </w:rPr>
        <w:t>2000</w:t>
      </w:r>
      <w:r w:rsidRPr="005E2900">
        <w:rPr>
          <w:rFonts w:ascii="Verdana" w:hAnsi="Verdana"/>
          <w:sz w:val="16"/>
          <w:szCs w:val="16"/>
          <w:lang w:val="es-CO"/>
        </w:rPr>
        <w:t>, párr. 13</w:t>
      </w:r>
      <w:r w:rsidRPr="000318C4">
        <w:rPr>
          <w:rFonts w:ascii="Verdana" w:hAnsi="Verdana"/>
          <w:sz w:val="16"/>
          <w:szCs w:val="16"/>
          <w:lang w:val="es-CO"/>
        </w:rPr>
        <w:t xml:space="preserve">; </w:t>
      </w:r>
      <w:r w:rsidRPr="000318C4">
        <w:rPr>
          <w:rFonts w:ascii="Verdana" w:hAnsi="Verdana"/>
          <w:i/>
          <w:sz w:val="16"/>
          <w:szCs w:val="16"/>
          <w:lang w:val="es-ES_tradnl"/>
        </w:rPr>
        <w:t>Venezuela</w:t>
      </w:r>
      <w:r w:rsidRPr="000318C4">
        <w:rPr>
          <w:rFonts w:ascii="Verdana" w:hAnsi="Verdana"/>
          <w:sz w:val="16"/>
          <w:szCs w:val="16"/>
          <w:lang w:val="es-ES_tradnl"/>
        </w:rPr>
        <w:t>, CCPR/CO/71/VEN, 26</w:t>
      </w:r>
      <w:r w:rsidRPr="00131AE6">
        <w:rPr>
          <w:rFonts w:ascii="Verdana" w:hAnsi="Verdana"/>
          <w:sz w:val="16"/>
          <w:szCs w:val="16"/>
          <w:lang w:val="es-ES_tradnl"/>
        </w:rPr>
        <w:t xml:space="preserve"> de abril de 2001, párr. 8;</w:t>
      </w:r>
      <w:r w:rsidRPr="005E2900">
        <w:rPr>
          <w:rFonts w:ascii="Verdana" w:hAnsi="Verdana"/>
          <w:sz w:val="16"/>
          <w:szCs w:val="16"/>
          <w:lang w:val="es-CO"/>
        </w:rPr>
        <w:t xml:space="preserve"> </w:t>
      </w:r>
      <w:r w:rsidRPr="008D0846">
        <w:rPr>
          <w:rFonts w:ascii="Verdana" w:hAnsi="Verdana"/>
          <w:i/>
          <w:sz w:val="16"/>
          <w:szCs w:val="16"/>
          <w:lang w:val="es-CO"/>
        </w:rPr>
        <w:t>Filipinas</w:t>
      </w:r>
      <w:r w:rsidRPr="005E2900">
        <w:rPr>
          <w:rFonts w:ascii="Verdana" w:hAnsi="Verdana"/>
          <w:i/>
          <w:sz w:val="16"/>
          <w:szCs w:val="16"/>
          <w:lang w:val="es-CO"/>
        </w:rPr>
        <w:t>:</w:t>
      </w:r>
      <w:r w:rsidRPr="000318C4">
        <w:rPr>
          <w:rFonts w:ascii="Verdana" w:hAnsi="Verdana"/>
          <w:sz w:val="16"/>
          <w:szCs w:val="16"/>
          <w:lang w:val="es-CO"/>
        </w:rPr>
        <w:t xml:space="preserve"> </w:t>
      </w:r>
      <w:r w:rsidRPr="000318C4">
        <w:rPr>
          <w:rFonts w:ascii="Verdana" w:hAnsi="Verdana"/>
          <w:i/>
          <w:sz w:val="16"/>
          <w:szCs w:val="16"/>
        </w:rPr>
        <w:t>Examen de los informes presentados por los Estados Partes</w:t>
      </w:r>
      <w:r w:rsidRPr="008F7720">
        <w:rPr>
          <w:rFonts w:ascii="Verdana" w:hAnsi="Verdana"/>
          <w:i/>
          <w:sz w:val="16"/>
          <w:szCs w:val="16"/>
        </w:rPr>
        <w:t xml:space="preserve"> de conformidad con el Artículo 40 del Pacto, </w:t>
      </w:r>
      <w:r w:rsidRPr="008F7720">
        <w:rPr>
          <w:rFonts w:ascii="Verdana" w:hAnsi="Verdana"/>
          <w:sz w:val="16"/>
          <w:szCs w:val="16"/>
          <w:lang w:val="es-CO"/>
        </w:rPr>
        <w:t>CCPR/CO/79/PHL, 1</w:t>
      </w:r>
      <w:r w:rsidRPr="005E2900">
        <w:rPr>
          <w:rFonts w:ascii="Verdana" w:hAnsi="Verdana"/>
          <w:sz w:val="16"/>
          <w:szCs w:val="16"/>
          <w:lang w:val="es-CO"/>
        </w:rPr>
        <w:t xml:space="preserve"> de diciembre de 2003, párrs. 8 y 12,</w:t>
      </w:r>
      <w:r w:rsidRPr="005E2900">
        <w:rPr>
          <w:rFonts w:ascii="Verdana" w:hAnsi="Verdana"/>
          <w:i/>
          <w:sz w:val="16"/>
          <w:szCs w:val="16"/>
          <w:lang w:val="es-CO"/>
        </w:rPr>
        <w:t xml:space="preserve"> </w:t>
      </w:r>
      <w:r w:rsidRPr="005E2900">
        <w:rPr>
          <w:rFonts w:ascii="Verdana" w:hAnsi="Verdana"/>
          <w:sz w:val="16"/>
          <w:szCs w:val="16"/>
          <w:lang w:val="es-ES"/>
        </w:rPr>
        <w:t xml:space="preserve">y </w:t>
      </w:r>
      <w:r w:rsidRPr="005E2900">
        <w:rPr>
          <w:rFonts w:ascii="Verdana" w:hAnsi="Verdana"/>
          <w:i/>
          <w:sz w:val="16"/>
          <w:szCs w:val="16"/>
          <w:lang w:val="es-ES"/>
        </w:rPr>
        <w:t xml:space="preserve">Observaciones finales sobre el cuarto informe periódico, </w:t>
      </w:r>
      <w:r w:rsidRPr="008D0846">
        <w:rPr>
          <w:rFonts w:ascii="Verdana" w:hAnsi="Verdana"/>
          <w:sz w:val="16"/>
          <w:szCs w:val="16"/>
        </w:rPr>
        <w:t>CCPR/C/PHL/CO/4</w:t>
      </w:r>
      <w:r w:rsidRPr="005E2900">
        <w:rPr>
          <w:rFonts w:ascii="Verdana" w:hAnsi="Verdana"/>
          <w:i/>
          <w:sz w:val="16"/>
          <w:szCs w:val="16"/>
        </w:rPr>
        <w:t xml:space="preserve">, </w:t>
      </w:r>
      <w:r w:rsidRPr="000318C4">
        <w:rPr>
          <w:rFonts w:ascii="Verdana" w:hAnsi="Verdana"/>
          <w:sz w:val="16"/>
          <w:szCs w:val="16"/>
          <w:lang w:val="es-ES"/>
        </w:rPr>
        <w:t>13 de noviembre de 2012, párr. 17</w:t>
      </w:r>
      <w:r w:rsidRPr="000318C4">
        <w:rPr>
          <w:rFonts w:ascii="Verdana" w:hAnsi="Verdana"/>
          <w:sz w:val="16"/>
          <w:szCs w:val="16"/>
          <w:lang w:val="es-CO"/>
        </w:rPr>
        <w:t xml:space="preserve">. </w:t>
      </w:r>
      <w:r w:rsidRPr="008D0846">
        <w:rPr>
          <w:rFonts w:ascii="Verdana" w:hAnsi="Verdana"/>
          <w:sz w:val="16"/>
          <w:szCs w:val="16"/>
          <w:lang w:val="es-CO"/>
        </w:rPr>
        <w:t xml:space="preserve">Asimismo: </w:t>
      </w:r>
      <w:r w:rsidRPr="008D0846">
        <w:rPr>
          <w:rFonts w:ascii="Verdana" w:hAnsi="Verdana"/>
          <w:i/>
          <w:sz w:val="16"/>
          <w:szCs w:val="16"/>
          <w:lang w:val="es-CO"/>
        </w:rPr>
        <w:t>Observaciones preliminares a</w:t>
      </w:r>
      <w:r w:rsidRPr="008D0846">
        <w:rPr>
          <w:rFonts w:ascii="Verdana" w:hAnsi="Verdana"/>
          <w:sz w:val="16"/>
          <w:szCs w:val="16"/>
          <w:lang w:val="es-CO"/>
        </w:rPr>
        <w:t xml:space="preserve"> </w:t>
      </w:r>
      <w:r w:rsidRPr="005E2900">
        <w:rPr>
          <w:rFonts w:ascii="Verdana" w:hAnsi="Verdana"/>
          <w:i/>
          <w:sz w:val="16"/>
          <w:szCs w:val="16"/>
          <w:lang w:val="es-CO"/>
        </w:rPr>
        <w:t>Perú</w:t>
      </w:r>
      <w:r w:rsidRPr="000318C4">
        <w:rPr>
          <w:rFonts w:ascii="Verdana" w:hAnsi="Verdana"/>
          <w:sz w:val="16"/>
          <w:szCs w:val="16"/>
          <w:lang w:val="es-CO"/>
        </w:rPr>
        <w:t>, CCPR/C/79/Add.67, 25 de julio de 1995, párr. 22</w:t>
      </w:r>
      <w:r>
        <w:rPr>
          <w:rFonts w:ascii="Verdana" w:hAnsi="Verdana"/>
          <w:sz w:val="16"/>
          <w:szCs w:val="16"/>
          <w:lang w:val="es-CO"/>
        </w:rPr>
        <w:t xml:space="preserve">, y </w:t>
      </w:r>
      <w:r w:rsidRPr="008D0846">
        <w:rPr>
          <w:rFonts w:ascii="Verdana" w:hAnsi="Verdana"/>
          <w:i/>
          <w:sz w:val="16"/>
          <w:szCs w:val="16"/>
        </w:rPr>
        <w:t>Observación General No. 32. Artículo 14 el Pacto. El derecho a un juicio imparcial y a la igualdad ante los tribunales y cortes de justicia</w:t>
      </w:r>
      <w:r>
        <w:rPr>
          <w:rFonts w:ascii="Verdana" w:hAnsi="Verdana"/>
          <w:i/>
          <w:sz w:val="16"/>
          <w:szCs w:val="16"/>
        </w:rPr>
        <w:t>,</w:t>
      </w:r>
      <w:r w:rsidRPr="00432ABC">
        <w:rPr>
          <w:rFonts w:ascii="Verdana" w:hAnsi="Verdana"/>
          <w:sz w:val="16"/>
          <w:szCs w:val="16"/>
          <w:lang w:val="es-CO"/>
        </w:rPr>
        <w:t xml:space="preserve"> </w:t>
      </w:r>
      <w:r w:rsidRPr="00F902E2">
        <w:rPr>
          <w:rFonts w:ascii="Verdana" w:hAnsi="Verdana"/>
          <w:sz w:val="16"/>
          <w:szCs w:val="16"/>
        </w:rPr>
        <w:t>CCPR/C/GC/32</w:t>
      </w:r>
      <w:r>
        <w:rPr>
          <w:rFonts w:ascii="Verdana" w:hAnsi="Verdana"/>
          <w:sz w:val="16"/>
          <w:szCs w:val="16"/>
        </w:rPr>
        <w:t xml:space="preserve">, </w:t>
      </w:r>
      <w:r w:rsidRPr="00F902E2">
        <w:rPr>
          <w:rFonts w:ascii="Verdana" w:hAnsi="Verdana"/>
          <w:sz w:val="16"/>
          <w:szCs w:val="16"/>
        </w:rPr>
        <w:t>23 de agosto de 2007</w:t>
      </w:r>
      <w:r>
        <w:rPr>
          <w:rFonts w:ascii="Verdana" w:hAnsi="Verdana"/>
          <w:sz w:val="16"/>
          <w:szCs w:val="16"/>
        </w:rPr>
        <w:t>, párr. 22.</w:t>
      </w:r>
    </w:p>
  </w:footnote>
  <w:footnote w:id="403">
    <w:p w14:paraId="329188D8" w14:textId="2DE64B5D" w:rsidR="00146958" w:rsidRPr="00432ABC" w:rsidRDefault="00146958" w:rsidP="00DB378B">
      <w:pPr>
        <w:pStyle w:val="Textonotapie"/>
        <w:ind w:right="49"/>
        <w:jc w:val="both"/>
        <w:rPr>
          <w:rFonts w:ascii="Verdana" w:hAnsi="Verdana"/>
          <w:snapToGrid w:val="0"/>
          <w:sz w:val="16"/>
          <w:szCs w:val="16"/>
          <w:lang w:val="es-CO"/>
        </w:rPr>
      </w:pPr>
      <w:r w:rsidRPr="00432ABC">
        <w:rPr>
          <w:rStyle w:val="Refdenotaalpie"/>
          <w:rFonts w:ascii="Verdana" w:eastAsia="Times" w:hAnsi="Verdana"/>
          <w:sz w:val="16"/>
          <w:szCs w:val="16"/>
        </w:rPr>
        <w:footnoteRef/>
      </w:r>
      <w:r w:rsidRPr="00432ABC">
        <w:rPr>
          <w:rFonts w:ascii="Verdana" w:hAnsi="Verdana"/>
          <w:sz w:val="16"/>
          <w:szCs w:val="16"/>
          <w:lang w:val="es-CO"/>
        </w:rPr>
        <w:t xml:space="preserve"> </w:t>
      </w:r>
      <w:r w:rsidRPr="00432ABC">
        <w:rPr>
          <w:rFonts w:ascii="Verdana" w:hAnsi="Verdana"/>
          <w:sz w:val="16"/>
          <w:szCs w:val="16"/>
          <w:lang w:val="es-CO"/>
        </w:rPr>
        <w:tab/>
      </w:r>
      <w:r w:rsidRPr="00CD5C54">
        <w:rPr>
          <w:rFonts w:ascii="Verdana" w:hAnsi="Verdana"/>
          <w:i/>
          <w:sz w:val="16"/>
          <w:szCs w:val="16"/>
          <w:lang w:val="es-CO"/>
        </w:rPr>
        <w:t>Cfr.</w:t>
      </w:r>
      <w:r w:rsidRPr="002C462C">
        <w:rPr>
          <w:rFonts w:ascii="Verdana" w:hAnsi="Verdana"/>
          <w:sz w:val="16"/>
          <w:szCs w:val="16"/>
          <w:lang w:val="es-CO"/>
        </w:rPr>
        <w:t xml:space="preserve"> </w:t>
      </w:r>
      <w:r w:rsidRPr="008D0846">
        <w:rPr>
          <w:rFonts w:ascii="Verdana" w:hAnsi="Verdana"/>
          <w:i/>
          <w:sz w:val="16"/>
          <w:szCs w:val="16"/>
        </w:rPr>
        <w:t xml:space="preserve">Observaciones finales, </w:t>
      </w:r>
      <w:r w:rsidRPr="008D0846">
        <w:rPr>
          <w:rFonts w:ascii="Verdana" w:hAnsi="Verdana"/>
          <w:i/>
          <w:sz w:val="16"/>
          <w:szCs w:val="16"/>
          <w:lang w:val="es-CO"/>
        </w:rPr>
        <w:t xml:space="preserve">conclusiones y recomendaciones del Comité contra la Tortura de la ONU </w:t>
      </w:r>
      <w:r w:rsidRPr="00432ABC">
        <w:rPr>
          <w:rFonts w:ascii="Verdana" w:hAnsi="Verdana"/>
          <w:sz w:val="16"/>
          <w:szCs w:val="16"/>
          <w:lang w:val="es-CO"/>
        </w:rPr>
        <w:t xml:space="preserve">a: </w:t>
      </w:r>
      <w:r w:rsidRPr="00432ABC">
        <w:rPr>
          <w:rFonts w:ascii="Verdana" w:hAnsi="Verdana"/>
          <w:i/>
          <w:sz w:val="16"/>
          <w:szCs w:val="16"/>
          <w:lang w:val="es-CO"/>
        </w:rPr>
        <w:t>E</w:t>
      </w:r>
      <w:r>
        <w:rPr>
          <w:rFonts w:ascii="Verdana" w:hAnsi="Verdana"/>
          <w:i/>
          <w:sz w:val="16"/>
          <w:szCs w:val="16"/>
          <w:lang w:val="es-CO"/>
        </w:rPr>
        <w:t>gipto</w:t>
      </w:r>
      <w:r w:rsidRPr="00CB19EF">
        <w:rPr>
          <w:rFonts w:ascii="Verdana" w:hAnsi="Verdana"/>
          <w:sz w:val="16"/>
          <w:szCs w:val="16"/>
          <w:lang w:val="es-CO"/>
        </w:rPr>
        <w:t xml:space="preserve"> </w:t>
      </w:r>
      <w:r>
        <w:rPr>
          <w:rFonts w:ascii="Verdana" w:hAnsi="Verdana"/>
          <w:sz w:val="16"/>
          <w:szCs w:val="16"/>
          <w:lang w:val="es-CO"/>
        </w:rPr>
        <w:t>(</w:t>
      </w:r>
      <w:r w:rsidRPr="00432ABC">
        <w:rPr>
          <w:rFonts w:ascii="Verdana" w:hAnsi="Verdana"/>
          <w:sz w:val="16"/>
          <w:szCs w:val="16"/>
          <w:lang w:val="es-CO"/>
        </w:rPr>
        <w:t xml:space="preserve">párr. </w:t>
      </w:r>
      <w:r>
        <w:rPr>
          <w:rFonts w:ascii="Verdana" w:hAnsi="Verdana"/>
          <w:sz w:val="16"/>
          <w:szCs w:val="16"/>
          <w:lang w:val="es-CO"/>
        </w:rPr>
        <w:t xml:space="preserve">88) y </w:t>
      </w:r>
      <w:r w:rsidRPr="008D0846">
        <w:rPr>
          <w:rFonts w:ascii="Verdana" w:hAnsi="Verdana"/>
          <w:i/>
          <w:sz w:val="16"/>
          <w:szCs w:val="16"/>
          <w:lang w:val="es-CO"/>
        </w:rPr>
        <w:t>Ecuador</w:t>
      </w:r>
      <w:r>
        <w:rPr>
          <w:rFonts w:ascii="Verdana" w:hAnsi="Verdana"/>
          <w:i/>
          <w:sz w:val="16"/>
          <w:szCs w:val="16"/>
          <w:lang w:val="es-CO"/>
        </w:rPr>
        <w:t xml:space="preserve"> </w:t>
      </w:r>
      <w:r>
        <w:rPr>
          <w:rFonts w:ascii="Verdana" w:hAnsi="Verdana"/>
          <w:sz w:val="16"/>
          <w:szCs w:val="16"/>
          <w:lang w:val="es-CO"/>
        </w:rPr>
        <w:t>(párr. 105)</w:t>
      </w:r>
      <w:r w:rsidRPr="00432ABC">
        <w:rPr>
          <w:rFonts w:ascii="Verdana" w:hAnsi="Verdana"/>
          <w:sz w:val="16"/>
          <w:szCs w:val="16"/>
          <w:lang w:val="es-CO"/>
        </w:rPr>
        <w:t>, A/49/44</w:t>
      </w:r>
      <w:r>
        <w:rPr>
          <w:rFonts w:ascii="Verdana" w:hAnsi="Verdana"/>
          <w:sz w:val="16"/>
          <w:szCs w:val="16"/>
          <w:lang w:val="es-CO"/>
        </w:rPr>
        <w:t xml:space="preserve">, </w:t>
      </w:r>
      <w:r w:rsidRPr="00432ABC">
        <w:rPr>
          <w:rFonts w:ascii="Verdana" w:hAnsi="Verdana"/>
          <w:sz w:val="16"/>
          <w:szCs w:val="16"/>
          <w:lang w:val="es-CO"/>
        </w:rPr>
        <w:t xml:space="preserve">15 de noviembre de 1993; </w:t>
      </w:r>
      <w:r w:rsidRPr="00432ABC">
        <w:rPr>
          <w:rFonts w:ascii="Verdana" w:hAnsi="Verdana"/>
          <w:i/>
          <w:sz w:val="16"/>
          <w:szCs w:val="16"/>
          <w:lang w:val="es-CO"/>
        </w:rPr>
        <w:t>Guatemala</w:t>
      </w:r>
      <w:r>
        <w:rPr>
          <w:rFonts w:ascii="Verdana" w:hAnsi="Verdana"/>
          <w:sz w:val="16"/>
          <w:szCs w:val="16"/>
        </w:rPr>
        <w:t xml:space="preserve">, </w:t>
      </w:r>
      <w:r w:rsidRPr="005C6335">
        <w:rPr>
          <w:rFonts w:ascii="Verdana" w:hAnsi="Verdana"/>
          <w:sz w:val="16"/>
          <w:szCs w:val="16"/>
        </w:rPr>
        <w:t>A/56/44</w:t>
      </w:r>
      <w:r>
        <w:rPr>
          <w:rFonts w:ascii="Verdana" w:hAnsi="Verdana"/>
          <w:sz w:val="16"/>
          <w:szCs w:val="16"/>
        </w:rPr>
        <w:t xml:space="preserve">, 23 de noviembre de 2000, párrs. 72 (b) y 76 (b), y </w:t>
      </w:r>
      <w:r w:rsidRPr="00432ABC">
        <w:rPr>
          <w:rFonts w:ascii="Verdana" w:hAnsi="Verdana"/>
          <w:sz w:val="16"/>
          <w:szCs w:val="16"/>
          <w:lang w:val="es-CO"/>
        </w:rPr>
        <w:t>CAT/C/XXV/Concl.6</w:t>
      </w:r>
      <w:r>
        <w:rPr>
          <w:rFonts w:ascii="Verdana" w:hAnsi="Verdana"/>
          <w:sz w:val="16"/>
          <w:szCs w:val="16"/>
          <w:lang w:val="es-CO"/>
        </w:rPr>
        <w:t xml:space="preserve">, </w:t>
      </w:r>
      <w:r w:rsidRPr="00432ABC">
        <w:rPr>
          <w:rFonts w:ascii="Verdana" w:hAnsi="Verdana"/>
          <w:sz w:val="16"/>
          <w:szCs w:val="16"/>
          <w:lang w:val="es-CO"/>
        </w:rPr>
        <w:t>23 de noviembre de 2000, párr. 10</w:t>
      </w:r>
      <w:r>
        <w:rPr>
          <w:rFonts w:ascii="Verdana" w:hAnsi="Verdana"/>
          <w:sz w:val="16"/>
          <w:szCs w:val="16"/>
          <w:lang w:val="es-CO"/>
        </w:rPr>
        <w:t>, incisos b y d, y</w:t>
      </w:r>
      <w:r w:rsidRPr="00432ABC">
        <w:rPr>
          <w:rFonts w:ascii="Verdana" w:hAnsi="Verdana"/>
          <w:i/>
          <w:snapToGrid w:val="0"/>
          <w:sz w:val="16"/>
          <w:szCs w:val="16"/>
          <w:lang w:val="es-CO"/>
        </w:rPr>
        <w:t xml:space="preserve"> Honduras</w:t>
      </w:r>
      <w:r w:rsidRPr="00432ABC">
        <w:rPr>
          <w:rFonts w:ascii="Verdana" w:hAnsi="Verdana"/>
          <w:snapToGrid w:val="0"/>
          <w:sz w:val="16"/>
          <w:szCs w:val="16"/>
          <w:lang w:val="es-CO"/>
        </w:rPr>
        <w:t>, CAT/C/HND/CO/1</w:t>
      </w:r>
      <w:r>
        <w:rPr>
          <w:rFonts w:ascii="Verdana" w:hAnsi="Verdana"/>
          <w:sz w:val="16"/>
          <w:szCs w:val="16"/>
          <w:lang w:val="es-CO"/>
        </w:rPr>
        <w:t xml:space="preserve">, </w:t>
      </w:r>
      <w:r w:rsidRPr="00432ABC">
        <w:rPr>
          <w:rFonts w:ascii="Verdana" w:hAnsi="Verdana"/>
          <w:sz w:val="16"/>
          <w:szCs w:val="16"/>
          <w:lang w:val="es-CO"/>
        </w:rPr>
        <w:t>23 de junio de 2009, párr. 20.</w:t>
      </w:r>
    </w:p>
  </w:footnote>
  <w:footnote w:id="404">
    <w:p w14:paraId="143B92F9" w14:textId="70E2FF6F" w:rsidR="00146958" w:rsidRPr="00432ABC" w:rsidRDefault="00146958" w:rsidP="00DB378B">
      <w:pPr>
        <w:pStyle w:val="Textonotapie"/>
        <w:ind w:right="49"/>
        <w:jc w:val="both"/>
        <w:rPr>
          <w:rFonts w:ascii="Verdana" w:hAnsi="Verdana"/>
          <w:sz w:val="16"/>
          <w:szCs w:val="16"/>
          <w:lang w:val="es-CO"/>
        </w:rPr>
      </w:pPr>
      <w:r w:rsidRPr="00432ABC">
        <w:rPr>
          <w:rStyle w:val="Refdenotaalpie"/>
          <w:rFonts w:ascii="Verdana" w:eastAsia="Times" w:hAnsi="Verdana"/>
          <w:sz w:val="16"/>
          <w:szCs w:val="16"/>
          <w:lang w:val="es-CO"/>
        </w:rPr>
        <w:footnoteRef/>
      </w:r>
      <w:r w:rsidRPr="00432ABC">
        <w:rPr>
          <w:rFonts w:ascii="Verdana" w:hAnsi="Verdana"/>
          <w:sz w:val="16"/>
          <w:szCs w:val="16"/>
          <w:lang w:val="es-CO"/>
        </w:rPr>
        <w:t xml:space="preserve"> </w:t>
      </w:r>
      <w:r w:rsidRPr="00432ABC">
        <w:rPr>
          <w:rFonts w:ascii="Verdana" w:hAnsi="Verdana"/>
          <w:sz w:val="16"/>
          <w:szCs w:val="16"/>
          <w:lang w:val="es-CO"/>
        </w:rPr>
        <w:tab/>
      </w:r>
      <w:r w:rsidRPr="00CD5C54">
        <w:rPr>
          <w:rFonts w:ascii="Verdana" w:hAnsi="Verdana"/>
          <w:i/>
          <w:sz w:val="16"/>
          <w:szCs w:val="16"/>
          <w:lang w:val="es-CO"/>
        </w:rPr>
        <w:t>Cfr.</w:t>
      </w:r>
      <w:r w:rsidRPr="002C462C">
        <w:rPr>
          <w:rFonts w:ascii="Verdana" w:hAnsi="Verdana"/>
          <w:sz w:val="16"/>
          <w:szCs w:val="16"/>
          <w:lang w:val="es-CO"/>
        </w:rPr>
        <w:t xml:space="preserve"> </w:t>
      </w:r>
      <w:r w:rsidRPr="00432ABC">
        <w:rPr>
          <w:rFonts w:ascii="Verdana" w:hAnsi="Verdana" w:cs="Arial"/>
          <w:sz w:val="16"/>
          <w:szCs w:val="16"/>
          <w:shd w:val="clear" w:color="auto" w:fill="FFFFFF"/>
        </w:rPr>
        <w:t xml:space="preserve">ONU. </w:t>
      </w:r>
      <w:r w:rsidRPr="008D0846">
        <w:rPr>
          <w:rFonts w:ascii="Verdana" w:hAnsi="Verdana" w:cs="Arial"/>
          <w:i/>
          <w:sz w:val="16"/>
          <w:szCs w:val="16"/>
          <w:shd w:val="clear" w:color="auto" w:fill="FFFFFF"/>
        </w:rPr>
        <w:t>Informe del GTDFI tras su visita realizada a Colombia en 1988</w:t>
      </w:r>
      <w:r w:rsidRPr="00432ABC">
        <w:rPr>
          <w:rFonts w:ascii="Verdana" w:hAnsi="Verdana"/>
          <w:sz w:val="16"/>
          <w:szCs w:val="16"/>
          <w:lang w:val="es-CO"/>
        </w:rPr>
        <w:t xml:space="preserve">, E/CN.4/1989/18/Add.1, </w:t>
      </w:r>
      <w:r w:rsidRPr="00432ABC">
        <w:rPr>
          <w:rFonts w:ascii="Verdana" w:hAnsi="Verdana"/>
          <w:sz w:val="16"/>
          <w:szCs w:val="16"/>
          <w:shd w:val="clear" w:color="auto" w:fill="FFFFFF"/>
        </w:rPr>
        <w:t xml:space="preserve">6 de febrero de 1989, </w:t>
      </w:r>
      <w:r w:rsidRPr="00432ABC">
        <w:rPr>
          <w:rFonts w:ascii="Verdana" w:hAnsi="Verdana"/>
          <w:sz w:val="16"/>
          <w:szCs w:val="16"/>
          <w:lang w:val="es-CO"/>
        </w:rPr>
        <w:t>párr</w:t>
      </w:r>
      <w:r>
        <w:rPr>
          <w:rFonts w:ascii="Verdana" w:hAnsi="Verdana"/>
          <w:sz w:val="16"/>
          <w:szCs w:val="16"/>
          <w:lang w:val="es-CO"/>
        </w:rPr>
        <w:t>s</w:t>
      </w:r>
      <w:r w:rsidRPr="00432ABC">
        <w:rPr>
          <w:rFonts w:ascii="Verdana" w:hAnsi="Verdana"/>
          <w:sz w:val="16"/>
          <w:szCs w:val="16"/>
          <w:lang w:val="es-CO"/>
        </w:rPr>
        <w:t xml:space="preserve">. </w:t>
      </w:r>
      <w:r>
        <w:rPr>
          <w:rFonts w:ascii="Verdana" w:hAnsi="Verdana"/>
          <w:sz w:val="16"/>
          <w:szCs w:val="16"/>
          <w:lang w:val="es-CO"/>
        </w:rPr>
        <w:t xml:space="preserve">132 a </w:t>
      </w:r>
      <w:r w:rsidRPr="00432ABC">
        <w:rPr>
          <w:rFonts w:ascii="Verdana" w:hAnsi="Verdana"/>
          <w:sz w:val="16"/>
          <w:szCs w:val="16"/>
          <w:lang w:val="es-CO"/>
        </w:rPr>
        <w:t>133.</w:t>
      </w:r>
    </w:p>
  </w:footnote>
  <w:footnote w:id="405">
    <w:p w14:paraId="4C821F64" w14:textId="5274348D" w:rsidR="00146958" w:rsidRPr="00432ABC" w:rsidRDefault="00146958" w:rsidP="00432ABC">
      <w:pPr>
        <w:spacing w:after="0" w:line="240" w:lineRule="auto"/>
        <w:ind w:right="51"/>
        <w:jc w:val="both"/>
        <w:rPr>
          <w:rFonts w:ascii="Verdana" w:eastAsia="Times New Roman" w:hAnsi="Verdana"/>
          <w:sz w:val="16"/>
          <w:szCs w:val="16"/>
          <w:lang w:val="es-CO" w:eastAsia="es-CO"/>
        </w:rPr>
      </w:pPr>
      <w:r w:rsidRPr="00432ABC">
        <w:rPr>
          <w:rStyle w:val="Refdenotaalpie"/>
          <w:rFonts w:ascii="Verdana" w:hAnsi="Verdana"/>
          <w:sz w:val="16"/>
          <w:szCs w:val="16"/>
        </w:rPr>
        <w:footnoteRef/>
      </w:r>
      <w:r w:rsidRPr="00432ABC">
        <w:rPr>
          <w:rFonts w:ascii="Verdana" w:hAnsi="Verdana"/>
          <w:sz w:val="16"/>
          <w:szCs w:val="16"/>
          <w:lang w:val="es-CO"/>
        </w:rPr>
        <w:t xml:space="preserve"> </w:t>
      </w:r>
      <w:r w:rsidRPr="00432ABC">
        <w:rPr>
          <w:rFonts w:ascii="Verdana" w:hAnsi="Verdana"/>
          <w:sz w:val="16"/>
          <w:szCs w:val="16"/>
          <w:lang w:val="es-CO"/>
        </w:rPr>
        <w:tab/>
      </w:r>
      <w:r w:rsidRPr="00CD5C54">
        <w:rPr>
          <w:rFonts w:ascii="Verdana" w:hAnsi="Verdana"/>
          <w:i/>
          <w:sz w:val="16"/>
          <w:szCs w:val="16"/>
          <w:lang w:val="es-CO"/>
        </w:rPr>
        <w:t>Cfr.</w:t>
      </w:r>
      <w:r w:rsidRPr="002C462C">
        <w:rPr>
          <w:rFonts w:ascii="Verdana" w:hAnsi="Verdana"/>
          <w:sz w:val="16"/>
          <w:szCs w:val="16"/>
          <w:lang w:val="es-CO"/>
        </w:rPr>
        <w:t xml:space="preserve"> </w:t>
      </w:r>
      <w:r w:rsidRPr="00432ABC">
        <w:rPr>
          <w:rFonts w:ascii="Verdana" w:hAnsi="Verdana"/>
          <w:i/>
          <w:sz w:val="16"/>
          <w:szCs w:val="16"/>
          <w:shd w:val="clear" w:color="auto" w:fill="FFFFFF"/>
          <w:lang w:val="es-CO"/>
        </w:rPr>
        <w:t>Informe conjunto del Relator Especial encargado de la cuestión de la tortura y del Relator Especial encargado de la cuestión de las</w:t>
      </w:r>
      <w:r w:rsidRPr="00432ABC">
        <w:rPr>
          <w:rFonts w:ascii="Verdana" w:hAnsi="Verdana"/>
          <w:i/>
          <w:sz w:val="16"/>
          <w:szCs w:val="16"/>
          <w:lang w:val="es-CO"/>
        </w:rPr>
        <w:t xml:space="preserve"> </w:t>
      </w:r>
      <w:r w:rsidRPr="00432ABC">
        <w:rPr>
          <w:rFonts w:ascii="Verdana" w:hAnsi="Verdana"/>
          <w:i/>
          <w:sz w:val="16"/>
          <w:szCs w:val="16"/>
          <w:shd w:val="clear" w:color="auto" w:fill="FFFFFF"/>
          <w:lang w:val="es-CO"/>
        </w:rPr>
        <w:t xml:space="preserve">ejecuciones extrajudiciales, sumarias o arbitrarias, </w:t>
      </w:r>
      <w:r>
        <w:rPr>
          <w:rFonts w:ascii="Verdana" w:hAnsi="Verdana"/>
          <w:i/>
          <w:sz w:val="16"/>
          <w:szCs w:val="16"/>
          <w:shd w:val="clear" w:color="auto" w:fill="FFFFFF"/>
          <w:lang w:val="es-CO"/>
        </w:rPr>
        <w:t>supra</w:t>
      </w:r>
      <w:r w:rsidRPr="00432ABC">
        <w:rPr>
          <w:rFonts w:ascii="Verdana" w:eastAsia="Times New Roman" w:hAnsi="Verdana"/>
          <w:sz w:val="16"/>
          <w:szCs w:val="16"/>
          <w:lang w:val="es-CO" w:eastAsia="es-CO"/>
        </w:rPr>
        <w:t xml:space="preserve">, párr. 185. </w:t>
      </w:r>
    </w:p>
  </w:footnote>
  <w:footnote w:id="406">
    <w:p w14:paraId="36FB1D5D" w14:textId="55BA5571" w:rsidR="00146958" w:rsidRPr="00432ABC" w:rsidRDefault="00146958" w:rsidP="002C462C">
      <w:pPr>
        <w:pStyle w:val="Style1"/>
        <w:ind w:left="0" w:firstLine="0"/>
        <w:rPr>
          <w:rFonts w:ascii="Verdana" w:hAnsi="Verdana"/>
          <w:sz w:val="16"/>
          <w:szCs w:val="16"/>
          <w:lang w:val="es-CO"/>
        </w:rPr>
      </w:pPr>
      <w:r w:rsidRPr="00432ABC">
        <w:rPr>
          <w:rStyle w:val="Refdenotaalpie"/>
          <w:rFonts w:ascii="Verdana" w:hAnsi="Verdana"/>
          <w:sz w:val="16"/>
          <w:szCs w:val="16"/>
          <w:lang w:val="es-CO"/>
        </w:rPr>
        <w:footnoteRef/>
      </w:r>
      <w:r w:rsidRPr="00432ABC">
        <w:rPr>
          <w:rFonts w:ascii="Verdana" w:hAnsi="Verdana"/>
          <w:sz w:val="16"/>
          <w:szCs w:val="16"/>
          <w:lang w:val="es-CO"/>
        </w:rPr>
        <w:t xml:space="preserve"> </w:t>
      </w:r>
      <w:r w:rsidRPr="00432ABC">
        <w:rPr>
          <w:rFonts w:ascii="Verdana" w:hAnsi="Verdana"/>
          <w:sz w:val="16"/>
          <w:szCs w:val="16"/>
          <w:lang w:val="es-CO"/>
        </w:rPr>
        <w:tab/>
      </w:r>
      <w:r w:rsidRPr="00CD5C54">
        <w:rPr>
          <w:rFonts w:ascii="Verdana" w:hAnsi="Verdana"/>
          <w:i/>
          <w:sz w:val="16"/>
          <w:szCs w:val="16"/>
          <w:lang w:val="es-CO"/>
        </w:rPr>
        <w:t>Cfr.</w:t>
      </w:r>
      <w:r w:rsidRPr="002C462C">
        <w:rPr>
          <w:rFonts w:ascii="Verdana" w:hAnsi="Verdana"/>
          <w:sz w:val="16"/>
          <w:szCs w:val="16"/>
          <w:lang w:val="es-CO"/>
        </w:rPr>
        <w:t xml:space="preserve"> </w:t>
      </w:r>
      <w:r w:rsidRPr="00432ABC">
        <w:rPr>
          <w:rFonts w:ascii="Verdana" w:hAnsi="Verdana"/>
          <w:i/>
          <w:sz w:val="16"/>
          <w:szCs w:val="16"/>
        </w:rPr>
        <w:t>Informe</w:t>
      </w:r>
      <w:r>
        <w:rPr>
          <w:rFonts w:ascii="Verdana" w:hAnsi="Verdana"/>
          <w:i/>
          <w:sz w:val="16"/>
          <w:szCs w:val="16"/>
        </w:rPr>
        <w:t>s</w:t>
      </w:r>
      <w:r w:rsidRPr="00432ABC">
        <w:rPr>
          <w:rFonts w:ascii="Verdana" w:hAnsi="Verdana"/>
          <w:i/>
          <w:sz w:val="16"/>
          <w:szCs w:val="16"/>
        </w:rPr>
        <w:t xml:space="preserve"> del Alto Comisionado de las Naciones Unidas para los Derechos Humanos sobre la situación de los derechos humanos en Colombia</w:t>
      </w:r>
      <w:r>
        <w:rPr>
          <w:rFonts w:ascii="Verdana" w:hAnsi="Verdana"/>
          <w:sz w:val="16"/>
          <w:szCs w:val="16"/>
        </w:rPr>
        <w:t>:</w:t>
      </w:r>
      <w:r w:rsidRPr="00432ABC">
        <w:rPr>
          <w:rFonts w:ascii="Verdana" w:hAnsi="Verdana"/>
          <w:sz w:val="16"/>
          <w:szCs w:val="16"/>
        </w:rPr>
        <w:t xml:space="preserve"> </w:t>
      </w:r>
      <w:r w:rsidRPr="00432ABC">
        <w:rPr>
          <w:rFonts w:ascii="Verdana" w:hAnsi="Verdana"/>
          <w:sz w:val="16"/>
          <w:szCs w:val="16"/>
          <w:lang w:val="es-CO"/>
        </w:rPr>
        <w:t xml:space="preserve">E/CN.4/2003/13, 24 de febrero de 2003, párr. 169, </w:t>
      </w:r>
      <w:r>
        <w:rPr>
          <w:rFonts w:ascii="Verdana" w:hAnsi="Verdana"/>
          <w:sz w:val="16"/>
          <w:szCs w:val="16"/>
          <w:lang w:val="es-CO"/>
        </w:rPr>
        <w:t>y</w:t>
      </w:r>
      <w:r w:rsidRPr="00432ABC">
        <w:rPr>
          <w:rFonts w:ascii="Verdana" w:hAnsi="Verdana"/>
          <w:sz w:val="16"/>
          <w:szCs w:val="16"/>
          <w:lang w:val="es-CO"/>
        </w:rPr>
        <w:t xml:space="preserve"> E/CN.4/2004/13, 17 de febrero de 2004, párrs. 7</w:t>
      </w:r>
      <w:r>
        <w:rPr>
          <w:rFonts w:ascii="Verdana" w:hAnsi="Verdana"/>
          <w:sz w:val="16"/>
          <w:szCs w:val="16"/>
          <w:lang w:val="es-CO"/>
        </w:rPr>
        <w:t>8</w:t>
      </w:r>
      <w:r w:rsidRPr="00432ABC">
        <w:rPr>
          <w:rFonts w:ascii="Verdana" w:hAnsi="Verdana"/>
          <w:sz w:val="16"/>
          <w:szCs w:val="16"/>
          <w:lang w:val="es-CO"/>
        </w:rPr>
        <w:t xml:space="preserve"> y 1</w:t>
      </w:r>
      <w:r>
        <w:rPr>
          <w:rFonts w:ascii="Verdana" w:hAnsi="Verdana"/>
          <w:sz w:val="16"/>
          <w:szCs w:val="16"/>
          <w:lang w:val="es-CO"/>
        </w:rPr>
        <w:t>23</w:t>
      </w:r>
      <w:r w:rsidRPr="00432ABC">
        <w:rPr>
          <w:rFonts w:ascii="Verdana" w:hAnsi="Verdana"/>
          <w:sz w:val="16"/>
          <w:szCs w:val="16"/>
          <w:lang w:val="es-CO"/>
        </w:rPr>
        <w:t xml:space="preserve">.  </w:t>
      </w:r>
    </w:p>
  </w:footnote>
  <w:footnote w:id="407">
    <w:p w14:paraId="5AA2510D" w14:textId="2A964ED2" w:rsidR="00146958" w:rsidRPr="00432ABC" w:rsidRDefault="00146958" w:rsidP="002C462C">
      <w:pPr>
        <w:pStyle w:val="Textonotapie"/>
        <w:ind w:right="49"/>
        <w:jc w:val="both"/>
        <w:rPr>
          <w:rFonts w:ascii="Verdana" w:hAnsi="Verdana"/>
          <w:sz w:val="16"/>
          <w:szCs w:val="16"/>
          <w:lang w:val="es-CO"/>
        </w:rPr>
      </w:pPr>
      <w:r w:rsidRPr="00432ABC">
        <w:rPr>
          <w:rStyle w:val="Refdenotaalpie"/>
          <w:rFonts w:ascii="Verdana" w:eastAsia="Times" w:hAnsi="Verdana"/>
          <w:sz w:val="16"/>
          <w:szCs w:val="16"/>
          <w:lang w:val="es-CO"/>
        </w:rPr>
        <w:footnoteRef/>
      </w:r>
      <w:r w:rsidRPr="00432ABC">
        <w:rPr>
          <w:rFonts w:ascii="Verdana" w:hAnsi="Verdana"/>
          <w:sz w:val="16"/>
          <w:szCs w:val="16"/>
          <w:lang w:val="es-CO"/>
        </w:rPr>
        <w:t xml:space="preserve"> </w:t>
      </w:r>
      <w:r w:rsidRPr="00432ABC">
        <w:rPr>
          <w:rFonts w:ascii="Verdana" w:hAnsi="Verdana"/>
          <w:sz w:val="16"/>
          <w:szCs w:val="16"/>
          <w:lang w:val="es-CO"/>
        </w:rPr>
        <w:tab/>
      </w:r>
      <w:r w:rsidRPr="00CD5C54">
        <w:rPr>
          <w:rFonts w:ascii="Verdana" w:hAnsi="Verdana"/>
          <w:i/>
          <w:sz w:val="16"/>
          <w:szCs w:val="16"/>
          <w:lang w:val="es-CO"/>
        </w:rPr>
        <w:t>Cfr.</w:t>
      </w:r>
      <w:r w:rsidRPr="002C462C">
        <w:rPr>
          <w:rFonts w:ascii="Verdana" w:hAnsi="Verdana"/>
          <w:sz w:val="16"/>
          <w:szCs w:val="16"/>
          <w:lang w:val="es-CO"/>
        </w:rPr>
        <w:t xml:space="preserve"> CIDH. </w:t>
      </w:r>
      <w:r w:rsidRPr="00432ABC">
        <w:rPr>
          <w:rFonts w:ascii="Verdana" w:hAnsi="Verdana"/>
          <w:i/>
          <w:sz w:val="16"/>
          <w:szCs w:val="16"/>
          <w:lang w:val="es-CO"/>
        </w:rPr>
        <w:t>Segundo informe sobre la situación de los derechos humanos en Colombia</w:t>
      </w:r>
      <w:r w:rsidRPr="00432ABC">
        <w:rPr>
          <w:rFonts w:ascii="Verdana" w:hAnsi="Verdana"/>
          <w:sz w:val="16"/>
          <w:szCs w:val="16"/>
          <w:lang w:val="es-CO"/>
        </w:rPr>
        <w:t>, OEA/Ser.L/V/II.84, Doc. 39 rev., 14 octubre 1993, Capítulo III “Sistema político y normativo de Colombia”, letra F (“El régimen de excepción en el ordenamiento jurídico vigente”)</w:t>
      </w:r>
      <w:r>
        <w:rPr>
          <w:rFonts w:ascii="Verdana" w:hAnsi="Verdana"/>
          <w:sz w:val="16"/>
          <w:szCs w:val="16"/>
          <w:lang w:val="es-CO"/>
        </w:rPr>
        <w:t xml:space="preserve">, </w:t>
      </w:r>
      <w:r w:rsidRPr="00EF71F8">
        <w:rPr>
          <w:rFonts w:ascii="Verdana" w:hAnsi="Verdana"/>
          <w:sz w:val="16"/>
          <w:szCs w:val="16"/>
          <w:lang w:val="es-CO"/>
        </w:rPr>
        <w:t xml:space="preserve">y </w:t>
      </w:r>
      <w:r w:rsidRPr="00E16D4C">
        <w:rPr>
          <w:rFonts w:ascii="Verdana" w:hAnsi="Verdana"/>
          <w:i/>
          <w:sz w:val="16"/>
          <w:szCs w:val="16"/>
          <w:lang w:val="es-CO"/>
        </w:rPr>
        <w:t>Tercer informe sobre la situación de los derechos humanos en Colombia</w:t>
      </w:r>
      <w:r w:rsidRPr="00EF71F8">
        <w:rPr>
          <w:rFonts w:ascii="Verdana" w:hAnsi="Verdana"/>
          <w:sz w:val="16"/>
          <w:szCs w:val="16"/>
          <w:lang w:val="es-CO"/>
        </w:rPr>
        <w:t>,</w:t>
      </w:r>
      <w:r w:rsidRPr="00EF71F8">
        <w:rPr>
          <w:rFonts w:ascii="Verdana" w:hAnsi="Verdana"/>
          <w:vanish/>
          <w:sz w:val="16"/>
          <w:szCs w:val="16"/>
          <w:lang w:val="es-CO"/>
        </w:rPr>
        <w:t>e 169la cuestión de la tortura,ados Partes</w:t>
      </w:r>
      <w:r w:rsidRPr="00432ABC">
        <w:rPr>
          <w:rFonts w:ascii="Verdana" w:hAnsi="Verdana"/>
          <w:sz w:val="16"/>
          <w:szCs w:val="16"/>
          <w:lang w:val="es-CO"/>
        </w:rPr>
        <w:t xml:space="preserve"> </w:t>
      </w:r>
      <w:r>
        <w:rPr>
          <w:rFonts w:ascii="Verdana" w:hAnsi="Verdana"/>
          <w:sz w:val="16"/>
          <w:szCs w:val="16"/>
        </w:rPr>
        <w:t> OEA/Ser.L/V/II.102 Doc. 9 rev.</w:t>
      </w:r>
      <w:r w:rsidRPr="00CE634D">
        <w:rPr>
          <w:rFonts w:ascii="Verdana" w:hAnsi="Verdana"/>
          <w:sz w:val="16"/>
          <w:szCs w:val="16"/>
        </w:rPr>
        <w:t>1</w:t>
      </w:r>
      <w:r>
        <w:rPr>
          <w:rFonts w:ascii="Verdana" w:hAnsi="Verdana"/>
          <w:sz w:val="16"/>
          <w:szCs w:val="16"/>
        </w:rPr>
        <w:t xml:space="preserve">, </w:t>
      </w:r>
      <w:r w:rsidRPr="00432ABC">
        <w:rPr>
          <w:rFonts w:ascii="Verdana" w:hAnsi="Verdana"/>
          <w:sz w:val="16"/>
          <w:szCs w:val="16"/>
          <w:lang w:val="es-CO"/>
        </w:rPr>
        <w:t xml:space="preserve">26 </w:t>
      </w:r>
      <w:r>
        <w:rPr>
          <w:rFonts w:ascii="Verdana" w:hAnsi="Verdana"/>
          <w:sz w:val="16"/>
          <w:szCs w:val="16"/>
          <w:lang w:val="es-CO"/>
        </w:rPr>
        <w:t xml:space="preserve">de </w:t>
      </w:r>
      <w:r w:rsidRPr="00432ABC">
        <w:rPr>
          <w:rFonts w:ascii="Verdana" w:hAnsi="Verdana"/>
          <w:sz w:val="16"/>
          <w:szCs w:val="16"/>
          <w:lang w:val="es-CO"/>
        </w:rPr>
        <w:t xml:space="preserve">febrero </w:t>
      </w:r>
      <w:r>
        <w:rPr>
          <w:rFonts w:ascii="Verdana" w:hAnsi="Verdana"/>
          <w:sz w:val="16"/>
          <w:szCs w:val="16"/>
          <w:lang w:val="es-CO"/>
        </w:rPr>
        <w:t xml:space="preserve">de </w:t>
      </w:r>
      <w:r w:rsidRPr="00432ABC">
        <w:rPr>
          <w:rFonts w:ascii="Verdana" w:hAnsi="Verdana"/>
          <w:sz w:val="16"/>
          <w:szCs w:val="16"/>
          <w:lang w:val="es-CO"/>
        </w:rPr>
        <w:t xml:space="preserve">1999, </w:t>
      </w:r>
      <w:r>
        <w:rPr>
          <w:rFonts w:ascii="Verdana" w:hAnsi="Verdana"/>
          <w:sz w:val="16"/>
          <w:szCs w:val="16"/>
          <w:lang w:val="es-CO"/>
        </w:rPr>
        <w:t>Capítulo V “</w:t>
      </w:r>
      <w:r>
        <w:rPr>
          <w:rFonts w:ascii="Verdana" w:hAnsi="Verdana"/>
          <w:sz w:val="16"/>
          <w:szCs w:val="16"/>
        </w:rPr>
        <w:t>A</w:t>
      </w:r>
      <w:r w:rsidRPr="008F7720">
        <w:rPr>
          <w:rFonts w:ascii="Verdana" w:hAnsi="Verdana"/>
          <w:sz w:val="16"/>
          <w:szCs w:val="16"/>
        </w:rPr>
        <w:t xml:space="preserve">dministración de justicia y </w:t>
      </w:r>
      <w:r>
        <w:rPr>
          <w:rFonts w:ascii="Verdana" w:hAnsi="Verdana"/>
          <w:sz w:val="16"/>
          <w:szCs w:val="16"/>
        </w:rPr>
        <w:t>E</w:t>
      </w:r>
      <w:r w:rsidRPr="008F7720">
        <w:rPr>
          <w:rFonts w:ascii="Verdana" w:hAnsi="Verdana"/>
          <w:sz w:val="16"/>
          <w:szCs w:val="16"/>
        </w:rPr>
        <w:t xml:space="preserve">stado de </w:t>
      </w:r>
      <w:r>
        <w:rPr>
          <w:rFonts w:ascii="Verdana" w:hAnsi="Verdana"/>
          <w:sz w:val="16"/>
          <w:szCs w:val="16"/>
        </w:rPr>
        <w:t>D</w:t>
      </w:r>
      <w:r w:rsidRPr="008F7720">
        <w:rPr>
          <w:rFonts w:ascii="Verdana" w:hAnsi="Verdana"/>
          <w:sz w:val="16"/>
          <w:szCs w:val="16"/>
        </w:rPr>
        <w:t>erecho</w:t>
      </w:r>
      <w:r>
        <w:rPr>
          <w:rFonts w:ascii="Verdana" w:hAnsi="Verdana"/>
          <w:sz w:val="16"/>
          <w:szCs w:val="16"/>
          <w:lang w:val="es-CO"/>
        </w:rPr>
        <w:t>”, apartado B</w:t>
      </w:r>
      <w:r w:rsidRPr="00432ABC">
        <w:rPr>
          <w:rFonts w:ascii="Verdana" w:hAnsi="Verdana"/>
          <w:sz w:val="16"/>
          <w:szCs w:val="16"/>
          <w:lang w:val="es-CO"/>
        </w:rPr>
        <w:t>.</w:t>
      </w:r>
    </w:p>
  </w:footnote>
  <w:footnote w:id="408">
    <w:p w14:paraId="200C3884" w14:textId="283E682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Pr>
          <w:rFonts w:ascii="Verdana" w:hAnsi="Verdana"/>
          <w:sz w:val="16"/>
          <w:szCs w:val="16"/>
        </w:rPr>
        <w:t xml:space="preserve"> </w:t>
      </w:r>
      <w:r w:rsidRPr="00AE34A0">
        <w:rPr>
          <w:rFonts w:ascii="Verdana" w:hAnsi="Verdana"/>
          <w:sz w:val="16"/>
          <w:szCs w:val="16"/>
        </w:rPr>
        <w:t>ONU</w:t>
      </w:r>
      <w:r>
        <w:rPr>
          <w:rFonts w:ascii="Verdana" w:hAnsi="Verdana"/>
          <w:sz w:val="16"/>
          <w:szCs w:val="16"/>
        </w:rPr>
        <w:t>:</w:t>
      </w:r>
      <w:r w:rsidRPr="00AE34A0">
        <w:rPr>
          <w:rFonts w:ascii="Verdana" w:hAnsi="Verdana"/>
          <w:sz w:val="16"/>
          <w:szCs w:val="16"/>
        </w:rPr>
        <w:t xml:space="preserve"> </w:t>
      </w:r>
      <w:r w:rsidRPr="008D0846">
        <w:rPr>
          <w:rFonts w:ascii="Verdana" w:hAnsi="Verdana"/>
          <w:i/>
          <w:sz w:val="16"/>
          <w:szCs w:val="16"/>
        </w:rPr>
        <w:t>Informe del GTDFI</w:t>
      </w:r>
      <w:r>
        <w:rPr>
          <w:rFonts w:ascii="Verdana" w:hAnsi="Verdana"/>
          <w:i/>
          <w:sz w:val="16"/>
          <w:szCs w:val="16"/>
        </w:rPr>
        <w:t>. Cuestión de los derechos humanos de todas las personas sometidas a cualquier forma de detención o prisión</w:t>
      </w:r>
      <w:r>
        <w:rPr>
          <w:rFonts w:ascii="Verdana" w:hAnsi="Verdana"/>
          <w:sz w:val="16"/>
          <w:szCs w:val="16"/>
        </w:rPr>
        <w:t xml:space="preserve">, </w:t>
      </w:r>
      <w:r w:rsidRPr="00061E75">
        <w:rPr>
          <w:rFonts w:ascii="Verdana" w:hAnsi="Verdana"/>
          <w:sz w:val="16"/>
          <w:szCs w:val="16"/>
        </w:rPr>
        <w:t xml:space="preserve">E/CN.4/1990/13, </w:t>
      </w:r>
      <w:r>
        <w:rPr>
          <w:rFonts w:ascii="Verdana" w:hAnsi="Verdana"/>
          <w:sz w:val="16"/>
          <w:szCs w:val="16"/>
        </w:rPr>
        <w:t xml:space="preserve">24 de enero de 1990, </w:t>
      </w:r>
      <w:r w:rsidRPr="00061E75">
        <w:rPr>
          <w:rFonts w:ascii="Verdana" w:hAnsi="Verdana"/>
          <w:sz w:val="16"/>
          <w:szCs w:val="16"/>
        </w:rPr>
        <w:t>párr. 22</w:t>
      </w:r>
      <w:r>
        <w:rPr>
          <w:rFonts w:ascii="Verdana" w:hAnsi="Verdana"/>
          <w:sz w:val="16"/>
          <w:szCs w:val="16"/>
        </w:rPr>
        <w:t xml:space="preserve">, e </w:t>
      </w:r>
      <w:r w:rsidRPr="00AE34A0">
        <w:rPr>
          <w:rFonts w:ascii="Verdana" w:hAnsi="Verdana"/>
          <w:i/>
          <w:sz w:val="16"/>
          <w:szCs w:val="16"/>
        </w:rPr>
        <w:t>Informe de la Relatora Especial sobre la independencia de los magistrados y abogados</w:t>
      </w:r>
      <w:r w:rsidRPr="00AE34A0">
        <w:rPr>
          <w:rFonts w:ascii="Verdana" w:hAnsi="Verdana"/>
          <w:sz w:val="16"/>
          <w:szCs w:val="16"/>
        </w:rPr>
        <w:t>,</w:t>
      </w:r>
      <w:r w:rsidRPr="00AE34A0">
        <w:rPr>
          <w:rFonts w:ascii="Verdana" w:hAnsi="Verdana"/>
          <w:i/>
          <w:sz w:val="16"/>
          <w:szCs w:val="16"/>
        </w:rPr>
        <w:t xml:space="preserve"> Gabriela Knaul, sobre la administración de justicia de los tribunales militares</w:t>
      </w:r>
      <w:r w:rsidRPr="00AE34A0">
        <w:rPr>
          <w:rFonts w:ascii="Verdana" w:hAnsi="Verdana"/>
          <w:sz w:val="16"/>
          <w:szCs w:val="16"/>
        </w:rPr>
        <w:t>, A/68/285, 7 de agosto de 2013, párr</w:t>
      </w:r>
      <w:r>
        <w:rPr>
          <w:rFonts w:ascii="Verdana" w:hAnsi="Verdana"/>
          <w:sz w:val="16"/>
          <w:szCs w:val="16"/>
        </w:rPr>
        <w:t xml:space="preserve">s. 35, 38, 86 y 90. </w:t>
      </w:r>
      <w:r w:rsidRPr="002C462C">
        <w:rPr>
          <w:rFonts w:ascii="Verdana" w:hAnsi="Verdana"/>
          <w:sz w:val="16"/>
          <w:szCs w:val="16"/>
        </w:rPr>
        <w:t>En el mismo sentido:</w:t>
      </w:r>
      <w:r w:rsidRPr="002C462C">
        <w:rPr>
          <w:rFonts w:ascii="Verdana" w:hAnsi="Verdana"/>
          <w:i/>
          <w:sz w:val="16"/>
          <w:szCs w:val="16"/>
        </w:rPr>
        <w:t xml:space="preserve"> </w:t>
      </w:r>
      <w:r w:rsidRPr="00432ABC">
        <w:rPr>
          <w:rFonts w:ascii="Verdana" w:hAnsi="Verdana"/>
          <w:sz w:val="16"/>
          <w:szCs w:val="16"/>
        </w:rPr>
        <w:t xml:space="preserve">Declaración rendida </w:t>
      </w:r>
      <w:r>
        <w:rPr>
          <w:rFonts w:ascii="Verdana" w:hAnsi="Verdana"/>
          <w:sz w:val="16"/>
          <w:szCs w:val="16"/>
        </w:rPr>
        <w:t xml:space="preserve">en la Audiencia Pública </w:t>
      </w:r>
      <w:r w:rsidRPr="00432ABC">
        <w:rPr>
          <w:rFonts w:ascii="Verdana" w:hAnsi="Verdana"/>
          <w:sz w:val="16"/>
          <w:szCs w:val="16"/>
        </w:rPr>
        <w:t>ante la Corte por el perito Federico Andreu Guzmán</w:t>
      </w:r>
      <w:r>
        <w:rPr>
          <w:rFonts w:ascii="Verdana" w:hAnsi="Verdana"/>
          <w:sz w:val="16"/>
          <w:szCs w:val="16"/>
        </w:rPr>
        <w:t xml:space="preserve"> </w:t>
      </w:r>
      <w:r w:rsidRPr="00432ABC">
        <w:rPr>
          <w:rFonts w:ascii="Verdana" w:hAnsi="Verdana"/>
          <w:sz w:val="16"/>
          <w:szCs w:val="16"/>
        </w:rPr>
        <w:t>el 26 de abril de 2018  (Transcripción de la Audiencia Pública, pág. 7</w:t>
      </w:r>
      <w:r>
        <w:rPr>
          <w:rFonts w:ascii="Verdana" w:hAnsi="Verdana"/>
          <w:sz w:val="16"/>
          <w:szCs w:val="16"/>
        </w:rPr>
        <w:t>8</w:t>
      </w:r>
      <w:r w:rsidRPr="00432ABC">
        <w:rPr>
          <w:rFonts w:ascii="Verdana" w:hAnsi="Verdana"/>
          <w:sz w:val="16"/>
          <w:szCs w:val="16"/>
        </w:rPr>
        <w:t>).</w:t>
      </w:r>
    </w:p>
  </w:footnote>
  <w:footnote w:id="409">
    <w:p w14:paraId="382861B5" w14:textId="128BC1B9" w:rsidR="00146958" w:rsidRPr="002C462C" w:rsidRDefault="00146958">
      <w:pPr>
        <w:pStyle w:val="Prrafodelista"/>
        <w:spacing w:after="0" w:line="240" w:lineRule="auto"/>
        <w:ind w:left="0"/>
        <w:jc w:val="both"/>
        <w:rPr>
          <w:rFonts w:ascii="Verdana" w:hAnsi="Verdana"/>
          <w:sz w:val="16"/>
        </w:rPr>
      </w:pPr>
      <w:r w:rsidRPr="00432ABC">
        <w:rPr>
          <w:rStyle w:val="Refdenotaalpie"/>
          <w:rFonts w:ascii="Verdana" w:hAnsi="Verdana"/>
          <w:sz w:val="16"/>
          <w:szCs w:val="20"/>
        </w:rPr>
        <w:footnoteRef/>
      </w:r>
      <w:r w:rsidRPr="00432ABC">
        <w:rPr>
          <w:rFonts w:ascii="Verdana" w:hAnsi="Verdana"/>
          <w:sz w:val="16"/>
          <w:szCs w:val="20"/>
        </w:rPr>
        <w:t xml:space="preserve"> </w:t>
      </w:r>
      <w:r w:rsidRPr="00432ABC">
        <w:rPr>
          <w:rFonts w:ascii="Verdana" w:hAnsi="Verdana"/>
          <w:sz w:val="16"/>
          <w:szCs w:val="20"/>
        </w:rPr>
        <w:tab/>
      </w:r>
      <w:r w:rsidRPr="002C462C">
        <w:rPr>
          <w:rFonts w:ascii="Verdana" w:hAnsi="Verdana"/>
          <w:sz w:val="16"/>
          <w:szCs w:val="16"/>
          <w:lang w:val="es-CO"/>
        </w:rPr>
        <w:t xml:space="preserve"> Asimismo, el Tribunal nota que otros organismos regionales especializados han abordado la temática relacionada con el empleo de las </w:t>
      </w:r>
      <w:r>
        <w:rPr>
          <w:rFonts w:ascii="Verdana" w:hAnsi="Verdana"/>
          <w:sz w:val="16"/>
          <w:szCs w:val="16"/>
          <w:lang w:val="es-CO"/>
        </w:rPr>
        <w:t>f</w:t>
      </w:r>
      <w:r w:rsidRPr="002C462C">
        <w:rPr>
          <w:rFonts w:ascii="Verdana" w:hAnsi="Verdana"/>
          <w:sz w:val="16"/>
          <w:szCs w:val="16"/>
          <w:lang w:val="es-CO"/>
        </w:rPr>
        <w:t xml:space="preserve">uerzas </w:t>
      </w:r>
      <w:r>
        <w:rPr>
          <w:rFonts w:ascii="Verdana" w:hAnsi="Verdana"/>
          <w:sz w:val="16"/>
          <w:szCs w:val="16"/>
          <w:lang w:val="es-CO"/>
        </w:rPr>
        <w:t>a</w:t>
      </w:r>
      <w:r w:rsidRPr="002C462C">
        <w:rPr>
          <w:rFonts w:ascii="Verdana" w:hAnsi="Verdana"/>
          <w:sz w:val="16"/>
          <w:szCs w:val="16"/>
          <w:lang w:val="es-CO"/>
        </w:rPr>
        <w:t xml:space="preserve">rmadas en tareas de orden público interno. Entre ellos, el </w:t>
      </w:r>
      <w:r w:rsidRPr="00432ABC">
        <w:rPr>
          <w:rFonts w:ascii="Verdana" w:hAnsi="Verdana"/>
          <w:sz w:val="16"/>
          <w:szCs w:val="16"/>
        </w:rPr>
        <w:t xml:space="preserve">Consejo de Europa </w:t>
      </w:r>
      <w:r>
        <w:rPr>
          <w:rFonts w:ascii="Verdana" w:hAnsi="Verdana"/>
          <w:sz w:val="16"/>
          <w:szCs w:val="16"/>
        </w:rPr>
        <w:t>[</w:t>
      </w:r>
      <w:r w:rsidRPr="00432ABC">
        <w:rPr>
          <w:rFonts w:ascii="Verdana" w:hAnsi="Verdana"/>
          <w:sz w:val="16"/>
          <w:szCs w:val="16"/>
        </w:rPr>
        <w:t>CE</w:t>
      </w:r>
      <w:r>
        <w:rPr>
          <w:rFonts w:ascii="Verdana" w:hAnsi="Verdana"/>
          <w:sz w:val="16"/>
          <w:szCs w:val="16"/>
        </w:rPr>
        <w:t>]</w:t>
      </w:r>
      <w:r w:rsidRPr="00432ABC">
        <w:rPr>
          <w:rFonts w:ascii="Verdana" w:hAnsi="Verdana"/>
          <w:sz w:val="16"/>
          <w:szCs w:val="16"/>
        </w:rPr>
        <w:t xml:space="preserve">, a través de su Asamblea Parlamentaria, ha enfatizado que el deber principal de las </w:t>
      </w:r>
      <w:r>
        <w:rPr>
          <w:rFonts w:ascii="Verdana" w:hAnsi="Verdana"/>
          <w:sz w:val="16"/>
          <w:szCs w:val="16"/>
        </w:rPr>
        <w:t>F</w:t>
      </w:r>
      <w:r w:rsidRPr="00432ABC">
        <w:rPr>
          <w:rFonts w:ascii="Verdana" w:hAnsi="Verdana"/>
          <w:sz w:val="16"/>
          <w:szCs w:val="16"/>
        </w:rPr>
        <w:t xml:space="preserve">uerzas </w:t>
      </w:r>
      <w:r>
        <w:rPr>
          <w:rFonts w:ascii="Verdana" w:hAnsi="Verdana"/>
          <w:sz w:val="16"/>
          <w:szCs w:val="16"/>
        </w:rPr>
        <w:t>A</w:t>
      </w:r>
      <w:r w:rsidRPr="00432ABC">
        <w:rPr>
          <w:rFonts w:ascii="Verdana" w:hAnsi="Verdana"/>
          <w:sz w:val="16"/>
          <w:szCs w:val="16"/>
        </w:rPr>
        <w:t>rmadas es la salvaguarda de la seguridad nacional, por lo que dicha función esencial no debe ser desvirtuada asignándoles tareas auxiliares relacionadas con la seguridad interna, salvo en circunstancias verdaderamente excepcionales y con la necesaria supervisión de las autoridades civiles. En este sentido, adicionalmente la Comisión de Venecia del CE ha destacado la importancia de los mecani</w:t>
      </w:r>
      <w:r w:rsidRPr="002C462C">
        <w:rPr>
          <w:rFonts w:ascii="Verdana" w:hAnsi="Verdana"/>
          <w:sz w:val="16"/>
          <w:szCs w:val="16"/>
        </w:rPr>
        <w:t xml:space="preserve">smos de control civil como un componente crucial de la supervisión democrática de las </w:t>
      </w:r>
      <w:r>
        <w:rPr>
          <w:rFonts w:ascii="Verdana" w:hAnsi="Verdana"/>
          <w:sz w:val="16"/>
          <w:szCs w:val="16"/>
        </w:rPr>
        <w:t>F</w:t>
      </w:r>
      <w:r w:rsidRPr="002C462C">
        <w:rPr>
          <w:rFonts w:ascii="Verdana" w:hAnsi="Verdana"/>
          <w:sz w:val="16"/>
          <w:szCs w:val="16"/>
        </w:rPr>
        <w:t xml:space="preserve">uerzas </w:t>
      </w:r>
      <w:r>
        <w:rPr>
          <w:rFonts w:ascii="Verdana" w:hAnsi="Verdana"/>
          <w:sz w:val="16"/>
          <w:szCs w:val="16"/>
        </w:rPr>
        <w:t>A</w:t>
      </w:r>
      <w:r w:rsidRPr="002C462C">
        <w:rPr>
          <w:rFonts w:ascii="Verdana" w:hAnsi="Verdana"/>
          <w:sz w:val="16"/>
          <w:szCs w:val="16"/>
        </w:rPr>
        <w:t xml:space="preserve">rmadas y ha recomendado que cualquier decisión de desplegar a éstas en asuntos internos debe estar sujeta a los límites de proporcionalidad y subsidiariedad. </w:t>
      </w:r>
      <w:r w:rsidRPr="00CD5C54">
        <w:rPr>
          <w:rFonts w:ascii="Verdana" w:hAnsi="Verdana"/>
          <w:i/>
          <w:sz w:val="16"/>
          <w:szCs w:val="16"/>
          <w:lang w:val="es-CR"/>
        </w:rPr>
        <w:t>Cfr.</w:t>
      </w:r>
      <w:r w:rsidRPr="00432ABC">
        <w:rPr>
          <w:rFonts w:ascii="Verdana" w:hAnsi="Verdana"/>
          <w:sz w:val="16"/>
          <w:szCs w:val="16"/>
          <w:lang w:val="es-CR"/>
        </w:rPr>
        <w:t xml:space="preserve"> Consejo de Europa: Asamblea Parlamentaria, </w:t>
      </w:r>
      <w:r w:rsidRPr="00432ABC">
        <w:rPr>
          <w:rFonts w:ascii="Verdana" w:hAnsi="Verdana"/>
          <w:i/>
          <w:sz w:val="16"/>
          <w:szCs w:val="16"/>
          <w:lang w:val="es-CR"/>
        </w:rPr>
        <w:t>Recomendación 1713 (2005), Doc. 10972</w:t>
      </w:r>
      <w:r w:rsidRPr="00432ABC">
        <w:rPr>
          <w:rFonts w:ascii="Verdana" w:hAnsi="Verdana"/>
          <w:sz w:val="16"/>
          <w:szCs w:val="16"/>
          <w:lang w:val="es-CR"/>
        </w:rPr>
        <w:t>, párrs. 9, 23, 27 y 31.</w:t>
      </w:r>
      <w:r w:rsidRPr="00432ABC">
        <w:rPr>
          <w:rFonts w:ascii="Verdana" w:hAnsi="Verdana"/>
          <w:sz w:val="16"/>
          <w:szCs w:val="16"/>
          <w:u w:val="single"/>
          <w:lang w:val="es-CR"/>
        </w:rPr>
        <w:t>;</w:t>
      </w:r>
      <w:r w:rsidRPr="002C462C">
        <w:rPr>
          <w:rFonts w:ascii="Verdana" w:hAnsi="Verdana"/>
          <w:sz w:val="16"/>
          <w:szCs w:val="16"/>
          <w:lang w:val="es-CR"/>
        </w:rPr>
        <w:t xml:space="preserve"> Asamblea Parlamentaria, </w:t>
      </w:r>
      <w:r w:rsidRPr="002C462C">
        <w:rPr>
          <w:rFonts w:ascii="Verdana" w:hAnsi="Verdana"/>
          <w:i/>
          <w:sz w:val="16"/>
          <w:szCs w:val="16"/>
          <w:lang w:val="es-CR"/>
        </w:rPr>
        <w:t xml:space="preserve">La supervisión democrática del sector de la seguridad en los Estados miembros, </w:t>
      </w:r>
      <w:r w:rsidRPr="00432ABC">
        <w:rPr>
          <w:rFonts w:ascii="Verdana" w:hAnsi="Verdana"/>
          <w:sz w:val="16"/>
          <w:szCs w:val="16"/>
        </w:rPr>
        <w:t xml:space="preserve"> </w:t>
      </w:r>
      <w:r w:rsidRPr="00432ABC">
        <w:rPr>
          <w:rFonts w:ascii="Verdana" w:hAnsi="Verdana"/>
          <w:sz w:val="16"/>
          <w:szCs w:val="16"/>
          <w:lang w:val="es-CR"/>
        </w:rPr>
        <w:t xml:space="preserve">Recomendación 1713 (2005), 23 de junio de 2005, párrs. 9 y 31.;  Comisión de Venecia, </w:t>
      </w:r>
      <w:r w:rsidRPr="002C462C">
        <w:rPr>
          <w:rFonts w:ascii="Verdana" w:hAnsi="Verdana"/>
          <w:i/>
          <w:sz w:val="16"/>
          <w:szCs w:val="16"/>
        </w:rPr>
        <w:t>Informe Preliminar sobre la Autoridad de Mando Civil sobre las Fuerzas Armadas en sus Operaciones Nacionales e Internacionales</w:t>
      </w:r>
      <w:r w:rsidRPr="00432ABC">
        <w:rPr>
          <w:rFonts w:ascii="Verdana" w:hAnsi="Verdana"/>
          <w:sz w:val="16"/>
          <w:szCs w:val="16"/>
        </w:rPr>
        <w:t xml:space="preserve">, </w:t>
      </w:r>
      <w:r w:rsidRPr="00432ABC">
        <w:rPr>
          <w:rFonts w:ascii="Verdana" w:hAnsi="Verdana"/>
          <w:sz w:val="16"/>
          <w:szCs w:val="16"/>
          <w:lang w:val="es-CR"/>
        </w:rPr>
        <w:t xml:space="preserve">CDL-DEM(2006)003, Estudio no. 389/2006 de 5 de octubre de 2006, apartado 3; </w:t>
      </w:r>
      <w:r w:rsidRPr="002C462C">
        <w:rPr>
          <w:rFonts w:ascii="Verdana" w:hAnsi="Verdana"/>
          <w:i/>
          <w:sz w:val="16"/>
          <w:szCs w:val="16"/>
          <w:lang w:val="es-CR"/>
        </w:rPr>
        <w:t xml:space="preserve">Estudio sobre el control democrático de las </w:t>
      </w:r>
      <w:r>
        <w:rPr>
          <w:rFonts w:ascii="Verdana" w:hAnsi="Verdana"/>
          <w:i/>
          <w:sz w:val="16"/>
          <w:szCs w:val="16"/>
          <w:lang w:val="es-CR"/>
        </w:rPr>
        <w:t>F</w:t>
      </w:r>
      <w:r w:rsidRPr="002C462C">
        <w:rPr>
          <w:rFonts w:ascii="Verdana" w:hAnsi="Verdana"/>
          <w:i/>
          <w:sz w:val="16"/>
          <w:szCs w:val="16"/>
          <w:lang w:val="es-CR"/>
        </w:rPr>
        <w:t xml:space="preserve">uerzas </w:t>
      </w:r>
      <w:r>
        <w:rPr>
          <w:rFonts w:ascii="Verdana" w:hAnsi="Verdana"/>
          <w:i/>
          <w:sz w:val="16"/>
          <w:szCs w:val="16"/>
          <w:lang w:val="es-CR"/>
        </w:rPr>
        <w:t>A</w:t>
      </w:r>
      <w:r w:rsidRPr="002C462C">
        <w:rPr>
          <w:rFonts w:ascii="Verdana" w:hAnsi="Verdana"/>
          <w:i/>
          <w:sz w:val="16"/>
          <w:szCs w:val="16"/>
          <w:lang w:val="es-CR"/>
        </w:rPr>
        <w:t xml:space="preserve">rmadas ¿Qué actos o problemas están bajo control y cuando controlar?, </w:t>
      </w:r>
      <w:r w:rsidRPr="002C462C">
        <w:rPr>
          <w:rFonts w:ascii="Verdana" w:hAnsi="Verdana"/>
          <w:sz w:val="16"/>
          <w:szCs w:val="16"/>
          <w:lang w:val="es-CR"/>
        </w:rPr>
        <w:t>CDL-DEM(2007)006, Estudio No. 389/2007 de 26 de septiembr</w:t>
      </w:r>
      <w:r w:rsidRPr="00432ABC">
        <w:rPr>
          <w:rFonts w:ascii="Verdana" w:hAnsi="Verdana"/>
          <w:sz w:val="16"/>
          <w:szCs w:val="16"/>
          <w:lang w:val="es-CR"/>
        </w:rPr>
        <w:t>e de 2007, págs. 10 a 12,</w:t>
      </w:r>
      <w:r w:rsidRPr="00432ABC">
        <w:rPr>
          <w:rFonts w:ascii="Verdana" w:hAnsi="Verdana"/>
          <w:i/>
          <w:sz w:val="16"/>
          <w:szCs w:val="16"/>
          <w:lang w:val="es-CR"/>
        </w:rPr>
        <w:t xml:space="preserve"> </w:t>
      </w:r>
      <w:r w:rsidRPr="00432ABC">
        <w:rPr>
          <w:rFonts w:ascii="Verdana" w:hAnsi="Verdana"/>
          <w:sz w:val="16"/>
          <w:szCs w:val="16"/>
          <w:lang w:val="es-CR"/>
        </w:rPr>
        <w:t xml:space="preserve">e </w:t>
      </w:r>
      <w:r w:rsidRPr="00432ABC">
        <w:rPr>
          <w:rFonts w:ascii="Verdana" w:hAnsi="Verdana"/>
          <w:i/>
          <w:sz w:val="16"/>
          <w:szCs w:val="16"/>
          <w:lang w:val="es-CR"/>
        </w:rPr>
        <w:t xml:space="preserve">Informe sobre el Control Democrático de las Fuerzas Armadas, </w:t>
      </w:r>
      <w:r w:rsidRPr="00432ABC">
        <w:rPr>
          <w:rFonts w:ascii="Verdana" w:hAnsi="Verdana"/>
          <w:sz w:val="16"/>
          <w:szCs w:val="16"/>
          <w:lang w:val="es-CR"/>
        </w:rPr>
        <w:t xml:space="preserve">CDL-AD(2008)004, Adoptado por la Comisión de Venecia en su 74ª Sesión Plenaria (14 a 15 de marzo de 2008), párrs. 34, 76, 78, 100, 116 y 199. </w:t>
      </w:r>
    </w:p>
  </w:footnote>
  <w:footnote w:id="410">
    <w:p w14:paraId="140110DF" w14:textId="6DEF7A13" w:rsidR="00146958" w:rsidRPr="00432ABC" w:rsidRDefault="00146958">
      <w:pPr>
        <w:autoSpaceDE w:val="0"/>
        <w:autoSpaceDN w:val="0"/>
        <w:adjustRightInd w:val="0"/>
        <w:spacing w:after="0" w:line="240" w:lineRule="auto"/>
        <w:jc w:val="both"/>
        <w:rPr>
          <w:rFonts w:ascii="Verdana" w:hAnsi="Verdana" w:cs="Arial"/>
          <w:b/>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i/>
          <w:sz w:val="16"/>
          <w:szCs w:val="16"/>
        </w:rPr>
        <w:t>Caso Montero Aranguren y otros (Retén de Catia) Vs. Venezuela</w:t>
      </w:r>
      <w:r>
        <w:rPr>
          <w:rFonts w:ascii="Verdana" w:hAnsi="Verdana"/>
          <w:i/>
          <w:sz w:val="16"/>
          <w:szCs w:val="16"/>
        </w:rPr>
        <w:t xml:space="preserve">, </w:t>
      </w:r>
      <w:r w:rsidRPr="00432ABC">
        <w:rPr>
          <w:rFonts w:ascii="Verdana" w:hAnsi="Verdana"/>
          <w:i/>
          <w:sz w:val="16"/>
          <w:szCs w:val="16"/>
        </w:rPr>
        <w:t>supra</w:t>
      </w:r>
      <w:r w:rsidRPr="00432ABC">
        <w:rPr>
          <w:rFonts w:ascii="Verdana" w:hAnsi="Verdana"/>
          <w:sz w:val="16"/>
          <w:szCs w:val="16"/>
        </w:rPr>
        <w:t xml:space="preserve">, párr. 78, y </w:t>
      </w:r>
      <w:r w:rsidRPr="00432ABC">
        <w:rPr>
          <w:rFonts w:ascii="Verdana" w:hAnsi="Verdana"/>
          <w:i/>
          <w:sz w:val="16"/>
          <w:szCs w:val="16"/>
        </w:rPr>
        <w:t>Caso Cabrera García y Montiel Flores Vs. México</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párrs. 86. Asimismo: </w:t>
      </w:r>
      <w:r w:rsidRPr="00CD5C54">
        <w:rPr>
          <w:rFonts w:ascii="Verdana" w:hAnsi="Verdana"/>
          <w:i/>
          <w:sz w:val="16"/>
          <w:szCs w:val="16"/>
        </w:rPr>
        <w:t>Cfr.</w:t>
      </w:r>
      <w:r>
        <w:rPr>
          <w:rFonts w:ascii="Verdana" w:hAnsi="Verdana"/>
          <w:sz w:val="16"/>
          <w:szCs w:val="16"/>
        </w:rPr>
        <w:t xml:space="preserve"> </w:t>
      </w:r>
      <w:r>
        <w:rPr>
          <w:rFonts w:ascii="Verdana" w:hAnsi="Verdana"/>
          <w:sz w:val="16"/>
          <w:szCs w:val="16"/>
          <w:lang w:val="es-CR"/>
        </w:rPr>
        <w:t>Consejo de Europa.</w:t>
      </w:r>
      <w:r w:rsidRPr="00533A79">
        <w:rPr>
          <w:rFonts w:ascii="Verdana" w:hAnsi="Verdana"/>
          <w:sz w:val="16"/>
          <w:szCs w:val="16"/>
          <w:lang w:val="es-CR"/>
        </w:rPr>
        <w:t xml:space="preserve"> Asamblea Parlamentaria, </w:t>
      </w:r>
      <w:r w:rsidRPr="00533A79">
        <w:rPr>
          <w:rFonts w:ascii="Verdana" w:hAnsi="Verdana"/>
          <w:i/>
          <w:sz w:val="16"/>
          <w:szCs w:val="16"/>
          <w:lang w:val="es-CR"/>
        </w:rPr>
        <w:t>Recomendación 1713 (2005), Doc. 10972</w:t>
      </w:r>
      <w:r w:rsidRPr="00533A79">
        <w:rPr>
          <w:rFonts w:ascii="Verdana" w:hAnsi="Verdana"/>
          <w:sz w:val="16"/>
          <w:szCs w:val="16"/>
          <w:lang w:val="es-CR"/>
        </w:rPr>
        <w:t xml:space="preserve">, </w:t>
      </w:r>
      <w:r>
        <w:rPr>
          <w:rFonts w:ascii="Verdana" w:hAnsi="Verdana"/>
          <w:i/>
          <w:sz w:val="16"/>
          <w:szCs w:val="16"/>
          <w:lang w:val="es-CR"/>
        </w:rPr>
        <w:t xml:space="preserve">supra, </w:t>
      </w:r>
      <w:r w:rsidRPr="00533A79">
        <w:rPr>
          <w:rFonts w:ascii="Verdana" w:hAnsi="Verdana"/>
          <w:sz w:val="16"/>
          <w:szCs w:val="16"/>
          <w:lang w:val="es-CR"/>
        </w:rPr>
        <w:t>párrs. 9, 23, 27 y 31</w:t>
      </w:r>
      <w:r>
        <w:rPr>
          <w:rFonts w:ascii="Verdana" w:hAnsi="Verdana"/>
          <w:sz w:val="16"/>
          <w:szCs w:val="16"/>
        </w:rPr>
        <w:t xml:space="preserve">; </w:t>
      </w:r>
      <w:r w:rsidRPr="00432ABC">
        <w:rPr>
          <w:rFonts w:ascii="Verdana" w:hAnsi="Verdana"/>
          <w:sz w:val="16"/>
          <w:szCs w:val="16"/>
        </w:rPr>
        <w:t xml:space="preserve">Comisión Interamericana de Derechos Humanos. </w:t>
      </w:r>
      <w:r w:rsidRPr="008D0846">
        <w:rPr>
          <w:rFonts w:ascii="Verdana" w:hAnsi="Verdana"/>
          <w:i/>
          <w:sz w:val="16"/>
          <w:szCs w:val="16"/>
        </w:rPr>
        <w:t>Informe sobre Seguridad Ciudadana y Derechos Humanos</w:t>
      </w:r>
      <w:r w:rsidRPr="00432ABC">
        <w:rPr>
          <w:rFonts w:ascii="Verdana" w:hAnsi="Verdana"/>
          <w:sz w:val="16"/>
          <w:szCs w:val="16"/>
        </w:rPr>
        <w:t>, OEA/Ser.L/V/II, Doc. 57, 31 de diciembre de 2009, párr. 105</w:t>
      </w:r>
      <w:r>
        <w:rPr>
          <w:rFonts w:ascii="Verdana" w:hAnsi="Verdana"/>
          <w:sz w:val="16"/>
          <w:szCs w:val="16"/>
        </w:rPr>
        <w:t>,</w:t>
      </w:r>
      <w:r>
        <w:rPr>
          <w:rFonts w:ascii="Verdana" w:hAnsi="Verdana"/>
          <w:i/>
          <w:sz w:val="16"/>
          <w:szCs w:val="16"/>
          <w:lang w:val="es-CR"/>
        </w:rPr>
        <w:t xml:space="preserve"> </w:t>
      </w:r>
      <w:r>
        <w:rPr>
          <w:rFonts w:ascii="Verdana" w:hAnsi="Verdana"/>
          <w:sz w:val="16"/>
          <w:szCs w:val="16"/>
        </w:rPr>
        <w:t xml:space="preserve">y </w:t>
      </w:r>
      <w:r w:rsidRPr="00533A79">
        <w:rPr>
          <w:rFonts w:ascii="Verdana" w:hAnsi="Verdana"/>
          <w:sz w:val="16"/>
          <w:szCs w:val="16"/>
        </w:rPr>
        <w:t xml:space="preserve">Declaración pericial de Alejandro Madrazo Lajous rendida </w:t>
      </w:r>
      <w:r>
        <w:rPr>
          <w:rFonts w:ascii="Verdana" w:hAnsi="Verdana"/>
          <w:sz w:val="16"/>
          <w:szCs w:val="16"/>
        </w:rPr>
        <w:t>el</w:t>
      </w:r>
      <w:r w:rsidRPr="00533A79">
        <w:rPr>
          <w:rFonts w:ascii="Verdana" w:hAnsi="Verdana"/>
          <w:sz w:val="16"/>
          <w:szCs w:val="16"/>
        </w:rPr>
        <w:t xml:space="preserve"> 19 de abril de 2018 (expediente de prueba, </w:t>
      </w:r>
      <w:r w:rsidRPr="00453199">
        <w:rPr>
          <w:rFonts w:ascii="Verdana" w:hAnsi="Verdana"/>
          <w:i/>
          <w:sz w:val="16"/>
          <w:szCs w:val="16"/>
        </w:rPr>
        <w:t>Affidávits</w:t>
      </w:r>
      <w:r w:rsidRPr="00533A79">
        <w:rPr>
          <w:rFonts w:ascii="Verdana" w:hAnsi="Verdana"/>
          <w:sz w:val="16"/>
          <w:szCs w:val="16"/>
        </w:rPr>
        <w:t>, f. 30968)</w:t>
      </w:r>
      <w:r w:rsidRPr="00432ABC">
        <w:rPr>
          <w:rFonts w:ascii="Verdana" w:hAnsi="Verdana"/>
          <w:sz w:val="16"/>
          <w:szCs w:val="16"/>
          <w:lang w:val="es-CR"/>
        </w:rPr>
        <w:t>.</w:t>
      </w:r>
    </w:p>
  </w:footnote>
  <w:footnote w:id="411">
    <w:p w14:paraId="4824467E" w14:textId="40F5D888"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lang w:val="es-CR"/>
        </w:rPr>
        <w:t>Cfr.</w:t>
      </w:r>
      <w:r w:rsidRPr="002C462C">
        <w:rPr>
          <w:rFonts w:ascii="Verdana" w:hAnsi="Verdana"/>
          <w:sz w:val="16"/>
          <w:szCs w:val="16"/>
          <w:lang w:val="es-CR"/>
        </w:rPr>
        <w:t xml:space="preserve"> </w:t>
      </w:r>
      <w:r w:rsidRPr="00432ABC">
        <w:rPr>
          <w:rFonts w:ascii="Verdana" w:hAnsi="Verdana"/>
          <w:i/>
          <w:sz w:val="16"/>
          <w:szCs w:val="16"/>
          <w:lang w:val="es-CR"/>
        </w:rPr>
        <w:t>Caso Cabrera García y Montiel Flores Vs. México</w:t>
      </w:r>
      <w:r w:rsidRPr="00432ABC">
        <w:rPr>
          <w:rFonts w:ascii="Verdana" w:hAnsi="Verdana"/>
          <w:sz w:val="16"/>
          <w:szCs w:val="16"/>
          <w:lang w:val="es-CR"/>
        </w:rPr>
        <w:t xml:space="preserve">, </w:t>
      </w:r>
      <w:r>
        <w:rPr>
          <w:rFonts w:ascii="Verdana" w:hAnsi="Verdana"/>
          <w:i/>
          <w:sz w:val="16"/>
          <w:szCs w:val="16"/>
          <w:lang w:val="es-CR"/>
        </w:rPr>
        <w:t xml:space="preserve">supra, </w:t>
      </w:r>
      <w:r w:rsidRPr="00432ABC">
        <w:rPr>
          <w:rFonts w:ascii="Verdana" w:hAnsi="Verdana"/>
          <w:sz w:val="16"/>
          <w:szCs w:val="16"/>
          <w:lang w:val="es-CR"/>
        </w:rPr>
        <w:t>párr. 86,</w:t>
      </w:r>
      <w:r>
        <w:rPr>
          <w:rFonts w:ascii="Verdana" w:hAnsi="Verdana"/>
          <w:sz w:val="16"/>
          <w:szCs w:val="16"/>
          <w:lang w:val="es-CR"/>
        </w:rPr>
        <w:t xml:space="preserve"> y</w:t>
      </w:r>
      <w:r w:rsidRPr="00432ABC">
        <w:rPr>
          <w:rFonts w:ascii="Verdana" w:hAnsi="Verdana"/>
          <w:i/>
          <w:sz w:val="16"/>
          <w:szCs w:val="16"/>
          <w:lang w:val="es-CR"/>
        </w:rPr>
        <w:t xml:space="preserve"> </w:t>
      </w:r>
      <w:r w:rsidRPr="008D0846">
        <w:rPr>
          <w:rFonts w:ascii="Verdana" w:hAnsi="Verdana"/>
          <w:bCs/>
          <w:i/>
          <w:sz w:val="16"/>
          <w:szCs w:val="16"/>
        </w:rPr>
        <w:t xml:space="preserve">Caso Osorio Rivera y familiares Vs. Perú. </w:t>
      </w:r>
      <w:r>
        <w:rPr>
          <w:rFonts w:ascii="Verdana" w:hAnsi="Verdana"/>
          <w:bCs/>
          <w:i/>
          <w:sz w:val="16"/>
          <w:szCs w:val="16"/>
        </w:rPr>
        <w:t>Supra,</w:t>
      </w:r>
      <w:r>
        <w:rPr>
          <w:rFonts w:ascii="Verdana" w:hAnsi="Verdana"/>
          <w:sz w:val="16"/>
          <w:szCs w:val="16"/>
          <w:lang w:val="es-CR"/>
        </w:rPr>
        <w:t xml:space="preserve"> </w:t>
      </w:r>
      <w:r w:rsidRPr="00432ABC">
        <w:rPr>
          <w:rFonts w:ascii="Verdana" w:hAnsi="Verdana"/>
          <w:sz w:val="16"/>
          <w:szCs w:val="16"/>
          <w:lang w:val="es-CR"/>
        </w:rPr>
        <w:t xml:space="preserve">párr. 122. </w:t>
      </w:r>
    </w:p>
  </w:footnote>
  <w:footnote w:id="412">
    <w:p w14:paraId="1CF02684" w14:textId="275D5D29" w:rsidR="00146958" w:rsidRPr="00432ABC" w:rsidRDefault="00146958">
      <w:pPr>
        <w:autoSpaceDE w:val="0"/>
        <w:autoSpaceDN w:val="0"/>
        <w:adjustRightInd w:val="0"/>
        <w:spacing w:after="0" w:line="240" w:lineRule="auto"/>
        <w:jc w:val="both"/>
        <w:rPr>
          <w:rFonts w:ascii="Verdana" w:hAnsi="Verdana" w:cs="Arial"/>
          <w:b/>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Caso Nadege Dorzema y otros Vs. República Dominicana. Fondo Reparaciones y Costas.</w:t>
      </w:r>
      <w:r w:rsidRPr="002C462C">
        <w:rPr>
          <w:rFonts w:ascii="Verdana" w:hAnsi="Verdana"/>
          <w:sz w:val="16"/>
          <w:szCs w:val="16"/>
        </w:rPr>
        <w:t xml:space="preserve"> Sentencia de 24 de octubre de 2012. Serie C No. 251, párr. 80. </w:t>
      </w:r>
      <w:r w:rsidRPr="00432ABC">
        <w:rPr>
          <w:rFonts w:ascii="Verdana" w:hAnsi="Verdana"/>
          <w:sz w:val="16"/>
          <w:szCs w:val="16"/>
        </w:rPr>
        <w:t xml:space="preserve">Asimismo: </w:t>
      </w:r>
      <w:r w:rsidRPr="00CD5C54">
        <w:rPr>
          <w:rFonts w:ascii="Verdana" w:hAnsi="Verdana"/>
          <w:i/>
          <w:sz w:val="16"/>
          <w:szCs w:val="16"/>
        </w:rPr>
        <w:t>Cfr.</w:t>
      </w:r>
      <w:r>
        <w:rPr>
          <w:rFonts w:ascii="Verdana" w:hAnsi="Verdana"/>
          <w:sz w:val="16"/>
          <w:szCs w:val="16"/>
        </w:rPr>
        <w:t xml:space="preserve"> </w:t>
      </w:r>
      <w:r w:rsidRPr="00432ABC">
        <w:rPr>
          <w:rFonts w:ascii="Verdana" w:hAnsi="Verdana"/>
          <w:sz w:val="16"/>
          <w:szCs w:val="16"/>
        </w:rPr>
        <w:t xml:space="preserve">CIDH, </w:t>
      </w:r>
      <w:r w:rsidRPr="00432ABC">
        <w:rPr>
          <w:rFonts w:ascii="Verdana" w:hAnsi="Verdana"/>
          <w:i/>
          <w:sz w:val="16"/>
          <w:szCs w:val="16"/>
        </w:rPr>
        <w:t>Informe sobre Seguridad Ciudadana y Derechos Humanos</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31 de diciembre de 2009, párr. 116; ONU. </w:t>
      </w:r>
      <w:r w:rsidRPr="00432ABC">
        <w:rPr>
          <w:rFonts w:ascii="Verdana" w:hAnsi="Verdana"/>
          <w:i/>
          <w:sz w:val="16"/>
          <w:szCs w:val="16"/>
        </w:rPr>
        <w:t>Informe del Grupo de Trabajo sobre las Desapariciones Forzadas. Misión a México</w:t>
      </w:r>
      <w:r w:rsidRPr="00432ABC">
        <w:rPr>
          <w:rFonts w:ascii="Verdana" w:hAnsi="Verdana"/>
          <w:sz w:val="16"/>
          <w:szCs w:val="16"/>
        </w:rPr>
        <w:t xml:space="preserve">, 20 de diciembre de 2011, </w:t>
      </w:r>
      <w:r w:rsidRPr="00432ABC">
        <w:rPr>
          <w:rFonts w:ascii="Verdana" w:hAnsi="Verdana"/>
          <w:i/>
          <w:sz w:val="16"/>
          <w:szCs w:val="16"/>
        </w:rPr>
        <w:t xml:space="preserve">supra, </w:t>
      </w:r>
      <w:r w:rsidRPr="00432ABC">
        <w:rPr>
          <w:rFonts w:ascii="Verdana" w:hAnsi="Verdana"/>
          <w:sz w:val="16"/>
          <w:szCs w:val="16"/>
        </w:rPr>
        <w:t xml:space="preserve">párr. 91; ONU, </w:t>
      </w:r>
      <w:r w:rsidRPr="00432ABC">
        <w:rPr>
          <w:rFonts w:ascii="Verdana" w:hAnsi="Verdana"/>
          <w:i/>
          <w:sz w:val="16"/>
          <w:szCs w:val="16"/>
        </w:rPr>
        <w:t>Informe del Relator Especial sobre la Tortura</w:t>
      </w:r>
      <w:r>
        <w:rPr>
          <w:rFonts w:ascii="Verdana" w:hAnsi="Verdana"/>
          <w:i/>
          <w:sz w:val="16"/>
          <w:szCs w:val="16"/>
        </w:rPr>
        <w:t>,</w:t>
      </w:r>
      <w:r w:rsidRPr="00432ABC">
        <w:rPr>
          <w:rFonts w:ascii="Verdana" w:hAnsi="Verdana"/>
          <w:i/>
          <w:sz w:val="16"/>
          <w:szCs w:val="16"/>
        </w:rPr>
        <w:t xml:space="preserve"> </w:t>
      </w:r>
      <w:r w:rsidRPr="00432ABC">
        <w:rPr>
          <w:rFonts w:ascii="Verdana" w:hAnsi="Verdana"/>
          <w:sz w:val="16"/>
          <w:szCs w:val="16"/>
        </w:rPr>
        <w:t xml:space="preserve">29 de diciembre de 2014, </w:t>
      </w:r>
      <w:r w:rsidRPr="00432ABC">
        <w:rPr>
          <w:rFonts w:ascii="Verdana" w:hAnsi="Verdana"/>
          <w:i/>
          <w:sz w:val="16"/>
          <w:szCs w:val="16"/>
        </w:rPr>
        <w:t xml:space="preserve">supra, </w:t>
      </w:r>
      <w:r w:rsidRPr="00432ABC">
        <w:rPr>
          <w:rFonts w:ascii="Verdana" w:hAnsi="Verdana"/>
          <w:sz w:val="16"/>
          <w:szCs w:val="16"/>
        </w:rPr>
        <w:t xml:space="preserve">párr. 81 inciso g), y </w:t>
      </w:r>
      <w:r w:rsidRPr="00432ABC">
        <w:rPr>
          <w:rFonts w:ascii="Verdana" w:hAnsi="Verdana"/>
          <w:i/>
          <w:sz w:val="16"/>
          <w:szCs w:val="16"/>
        </w:rPr>
        <w:t>Recomendaciones a México por el Alto Comisionado de las Naciones Unidas para los Derechos Humanos,</w:t>
      </w:r>
      <w:r>
        <w:rPr>
          <w:rFonts w:ascii="Verdana" w:hAnsi="Verdana"/>
          <w:i/>
          <w:sz w:val="16"/>
          <w:szCs w:val="16"/>
        </w:rPr>
        <w:t xml:space="preserve"> V</w:t>
      </w:r>
      <w:r w:rsidRPr="00432ABC">
        <w:rPr>
          <w:rStyle w:val="Textoennegrita"/>
          <w:rFonts w:ascii="Verdana" w:hAnsi="Verdana"/>
          <w:b w:val="0"/>
          <w:i/>
          <w:sz w:val="16"/>
          <w:szCs w:val="16"/>
          <w:shd w:val="clear" w:color="auto" w:fill="FFFFFF"/>
        </w:rPr>
        <w:t>isita oficial al país en octubre de 2015</w:t>
      </w:r>
      <w:r w:rsidRPr="008D0846">
        <w:rPr>
          <w:rFonts w:ascii="Verdana" w:hAnsi="Verdana"/>
          <w:sz w:val="16"/>
          <w:szCs w:val="16"/>
        </w:rPr>
        <w:t>,</w:t>
      </w:r>
      <w:r w:rsidRPr="00432ABC">
        <w:rPr>
          <w:rFonts w:ascii="Verdana" w:hAnsi="Verdana"/>
          <w:b/>
          <w:sz w:val="16"/>
          <w:szCs w:val="16"/>
        </w:rPr>
        <w:t xml:space="preserve"> </w:t>
      </w:r>
      <w:r w:rsidRPr="00432ABC">
        <w:rPr>
          <w:rFonts w:ascii="Verdana" w:hAnsi="Verdana"/>
          <w:sz w:val="16"/>
          <w:szCs w:val="16"/>
        </w:rPr>
        <w:t xml:space="preserve">marzo de 2016,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R</w:t>
      </w:r>
      <w:r w:rsidRPr="00432ABC">
        <w:rPr>
          <w:rFonts w:ascii="Verdana" w:hAnsi="Verdana"/>
          <w:sz w:val="16"/>
          <w:szCs w:val="16"/>
        </w:rPr>
        <w:t xml:space="preserve">ecomendación 5. </w:t>
      </w:r>
    </w:p>
  </w:footnote>
  <w:footnote w:id="413">
    <w:p w14:paraId="02344EFB" w14:textId="7856300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w:t>
      </w:r>
      <w:r w:rsidRPr="00432ABC">
        <w:rPr>
          <w:rFonts w:ascii="Verdana" w:hAnsi="Verdana"/>
          <w:i/>
          <w:sz w:val="16"/>
          <w:szCs w:val="16"/>
        </w:rPr>
        <w:t xml:space="preserve">inter alia: </w:t>
      </w:r>
      <w:r w:rsidRPr="00432ABC">
        <w:rPr>
          <w:rFonts w:ascii="Verdana" w:hAnsi="Verdana"/>
          <w:sz w:val="16"/>
          <w:szCs w:val="16"/>
          <w:lang w:val="es-CR"/>
        </w:rPr>
        <w:t>ONU</w:t>
      </w:r>
      <w:r>
        <w:rPr>
          <w:rFonts w:ascii="Verdana" w:hAnsi="Verdana"/>
          <w:sz w:val="16"/>
          <w:szCs w:val="16"/>
          <w:lang w:val="es-CR"/>
        </w:rPr>
        <w:t>:</w:t>
      </w:r>
      <w:r w:rsidRPr="00432ABC">
        <w:rPr>
          <w:rFonts w:ascii="Verdana" w:hAnsi="Verdana"/>
          <w:sz w:val="16"/>
          <w:szCs w:val="16"/>
          <w:lang w:val="es-CR"/>
        </w:rPr>
        <w:t xml:space="preserve"> </w:t>
      </w:r>
      <w:r w:rsidRPr="00432ABC">
        <w:rPr>
          <w:rFonts w:ascii="Verdana" w:hAnsi="Verdana"/>
          <w:i/>
          <w:sz w:val="16"/>
          <w:szCs w:val="16"/>
          <w:lang w:val="es-CR"/>
        </w:rPr>
        <w:t>Código de Conducta para Funcionarios Encargados de Hacer Cumplir la Ley</w:t>
      </w:r>
      <w:r w:rsidRPr="00432ABC">
        <w:rPr>
          <w:rFonts w:ascii="Verdana" w:hAnsi="Verdana"/>
          <w:sz w:val="16"/>
          <w:szCs w:val="16"/>
          <w:lang w:val="es-CR"/>
        </w:rPr>
        <w:t xml:space="preserve">. Aprobado por la Asamblea General de las Naciones Unidas en su Resolución 34/169, de 17 de diciembre de 1979; </w:t>
      </w:r>
      <w:r w:rsidRPr="00432ABC">
        <w:rPr>
          <w:rFonts w:ascii="Verdana" w:hAnsi="Verdana"/>
          <w:i/>
          <w:sz w:val="16"/>
          <w:szCs w:val="16"/>
          <w:lang w:val="es-CR"/>
        </w:rPr>
        <w:t>Principios Básicos sobre el Empleo de la Fuerza y de las Armas de Fuego por los Funcionarios Encargados de Cumplir la Ley</w:t>
      </w:r>
      <w:r w:rsidRPr="00432ABC">
        <w:rPr>
          <w:rFonts w:ascii="Verdana" w:hAnsi="Verdana"/>
          <w:sz w:val="16"/>
          <w:szCs w:val="16"/>
          <w:lang w:val="es-CR"/>
        </w:rPr>
        <w:t xml:space="preserve">. Adoptados por el </w:t>
      </w:r>
      <w:r>
        <w:rPr>
          <w:rFonts w:ascii="Verdana" w:hAnsi="Verdana"/>
          <w:sz w:val="16"/>
          <w:szCs w:val="16"/>
          <w:lang w:val="es-CR"/>
        </w:rPr>
        <w:t xml:space="preserve">8º </w:t>
      </w:r>
      <w:r w:rsidRPr="00432ABC">
        <w:rPr>
          <w:rFonts w:ascii="Verdana" w:hAnsi="Verdana"/>
          <w:sz w:val="16"/>
          <w:szCs w:val="16"/>
          <w:lang w:val="es-CR"/>
        </w:rPr>
        <w:t xml:space="preserve">Congreso de </w:t>
      </w:r>
      <w:r>
        <w:rPr>
          <w:rFonts w:ascii="Verdana" w:hAnsi="Verdana"/>
          <w:sz w:val="16"/>
          <w:szCs w:val="16"/>
          <w:lang w:val="es-CR"/>
        </w:rPr>
        <w:t xml:space="preserve">la ONU. </w:t>
      </w:r>
      <w:r w:rsidRPr="00432ABC">
        <w:rPr>
          <w:rFonts w:ascii="Verdana" w:hAnsi="Verdana"/>
          <w:sz w:val="16"/>
          <w:szCs w:val="16"/>
          <w:lang w:val="es-CR"/>
        </w:rPr>
        <w:t xml:space="preserve">La Habana, Cuba, del 27 de agosto al 7 de septiembre de 1990; </w:t>
      </w:r>
      <w:r>
        <w:rPr>
          <w:rFonts w:ascii="Verdana" w:hAnsi="Verdana"/>
          <w:sz w:val="16"/>
          <w:szCs w:val="16"/>
        </w:rPr>
        <w:t xml:space="preserve">Corte IDH: </w:t>
      </w:r>
      <w:r w:rsidRPr="00432ABC">
        <w:rPr>
          <w:rFonts w:ascii="Verdana" w:hAnsi="Verdana"/>
          <w:i/>
          <w:sz w:val="16"/>
          <w:szCs w:val="16"/>
        </w:rPr>
        <w:t>Caso Nadege Dorzema y otros Vs. República Dominicana</w:t>
      </w:r>
      <w:r>
        <w:rPr>
          <w:rFonts w:ascii="Verdana" w:hAnsi="Verdana"/>
          <w:i/>
          <w:sz w:val="16"/>
          <w:szCs w:val="16"/>
        </w:rPr>
        <w:t>, supra,</w:t>
      </w:r>
      <w:r>
        <w:rPr>
          <w:rFonts w:ascii="Verdana" w:hAnsi="Verdana"/>
          <w:sz w:val="16"/>
          <w:szCs w:val="16"/>
        </w:rPr>
        <w:t xml:space="preserve"> </w:t>
      </w:r>
      <w:r w:rsidRPr="00432ABC">
        <w:rPr>
          <w:rFonts w:ascii="Verdana" w:hAnsi="Verdana"/>
          <w:sz w:val="16"/>
          <w:szCs w:val="16"/>
        </w:rPr>
        <w:t>párr</w:t>
      </w:r>
      <w:r>
        <w:rPr>
          <w:rFonts w:ascii="Verdana" w:hAnsi="Verdana"/>
          <w:sz w:val="16"/>
          <w:szCs w:val="16"/>
        </w:rPr>
        <w:t>s</w:t>
      </w:r>
      <w:r w:rsidRPr="00432ABC">
        <w:rPr>
          <w:rFonts w:ascii="Verdana" w:hAnsi="Verdana"/>
          <w:sz w:val="16"/>
          <w:szCs w:val="16"/>
        </w:rPr>
        <w:t xml:space="preserve">. </w:t>
      </w:r>
      <w:r w:rsidRPr="00432ABC">
        <w:rPr>
          <w:rFonts w:ascii="Verdana" w:hAnsi="Verdana"/>
          <w:sz w:val="16"/>
          <w:szCs w:val="16"/>
          <w:lang w:val="es-CR"/>
        </w:rPr>
        <w:t xml:space="preserve">81 a 82, 85 </w:t>
      </w:r>
      <w:r w:rsidRPr="00432ABC">
        <w:rPr>
          <w:rFonts w:ascii="Verdana" w:hAnsi="Verdana"/>
          <w:sz w:val="16"/>
          <w:szCs w:val="16"/>
        </w:rPr>
        <w:t>y 267</w:t>
      </w:r>
      <w:r>
        <w:rPr>
          <w:rFonts w:ascii="Verdana" w:hAnsi="Verdana"/>
          <w:sz w:val="16"/>
          <w:szCs w:val="16"/>
        </w:rPr>
        <w:t>, y</w:t>
      </w:r>
      <w:r w:rsidRPr="00432ABC">
        <w:rPr>
          <w:rFonts w:ascii="Verdana" w:hAnsi="Verdana"/>
          <w:sz w:val="16"/>
          <w:szCs w:val="16"/>
        </w:rPr>
        <w:t xml:space="preserve"> </w:t>
      </w:r>
      <w:r w:rsidRPr="00432ABC">
        <w:rPr>
          <w:rFonts w:ascii="Verdana" w:hAnsi="Verdana"/>
          <w:i/>
          <w:sz w:val="16"/>
          <w:szCs w:val="16"/>
          <w:lang w:val="es-CR"/>
        </w:rPr>
        <w:t>Caso J. Vs. Perú. Excepciones Preliminares, Fondo, Reparaciones y Costas</w:t>
      </w:r>
      <w:r w:rsidRPr="00432ABC">
        <w:rPr>
          <w:rFonts w:ascii="Verdana" w:hAnsi="Verdana"/>
          <w:sz w:val="16"/>
          <w:szCs w:val="16"/>
          <w:lang w:val="es-CR"/>
        </w:rPr>
        <w:t>. Sentencia de 17 de abril de 2015. Series C No. 275, párr. 330</w:t>
      </w:r>
      <w:r>
        <w:rPr>
          <w:rFonts w:ascii="Verdana" w:hAnsi="Verdana"/>
          <w:sz w:val="16"/>
          <w:szCs w:val="16"/>
          <w:lang w:val="es-CR"/>
        </w:rPr>
        <w:t xml:space="preserve">, y </w:t>
      </w:r>
      <w:r>
        <w:rPr>
          <w:rFonts w:ascii="Verdana" w:hAnsi="Verdana"/>
          <w:sz w:val="16"/>
          <w:szCs w:val="16"/>
        </w:rPr>
        <w:t>CIDH</w:t>
      </w:r>
      <w:r w:rsidRPr="00432ABC">
        <w:rPr>
          <w:rFonts w:ascii="Verdana" w:hAnsi="Verdana"/>
          <w:sz w:val="16"/>
          <w:szCs w:val="16"/>
        </w:rPr>
        <w:t xml:space="preserve">. </w:t>
      </w:r>
      <w:r w:rsidRPr="00432ABC">
        <w:rPr>
          <w:rFonts w:ascii="Verdana" w:hAnsi="Verdana"/>
          <w:i/>
          <w:sz w:val="16"/>
          <w:szCs w:val="16"/>
        </w:rPr>
        <w:t>Informe sobre Seguridad Ciudadana y Derechos Humanos</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párrs. 114 y 117</w:t>
      </w:r>
      <w:r>
        <w:rPr>
          <w:rFonts w:ascii="Verdana" w:hAnsi="Verdana"/>
          <w:sz w:val="16"/>
          <w:szCs w:val="16"/>
        </w:rPr>
        <w:t>.</w:t>
      </w:r>
    </w:p>
  </w:footnote>
  <w:footnote w:id="414">
    <w:p w14:paraId="28C07393" w14:textId="3A8A2786" w:rsidR="00146958" w:rsidRPr="008D0846" w:rsidRDefault="00146958" w:rsidP="008D0846">
      <w:pPr>
        <w:spacing w:after="0" w:line="240" w:lineRule="auto"/>
        <w:jc w:val="both"/>
        <w:rPr>
          <w:i/>
          <w:sz w:val="16"/>
          <w:szCs w:val="16"/>
        </w:rPr>
      </w:pPr>
      <w:r w:rsidRPr="00A15955">
        <w:rPr>
          <w:rStyle w:val="Refdenotaalpie"/>
          <w:rFonts w:ascii="Verdana" w:hAnsi="Verdana"/>
          <w:sz w:val="16"/>
          <w:szCs w:val="16"/>
        </w:rPr>
        <w:footnoteRef/>
      </w:r>
      <w:r w:rsidRPr="00A15955">
        <w:rPr>
          <w:rFonts w:ascii="Verdana" w:hAnsi="Verdana"/>
          <w:sz w:val="16"/>
          <w:szCs w:val="16"/>
        </w:rPr>
        <w:t xml:space="preserve"> </w:t>
      </w:r>
      <w:r w:rsidRPr="00A15955">
        <w:rPr>
          <w:rFonts w:ascii="Verdana" w:hAnsi="Verdana"/>
          <w:sz w:val="16"/>
          <w:szCs w:val="16"/>
        </w:rPr>
        <w:tab/>
      </w:r>
      <w:r w:rsidRPr="00CD5C54">
        <w:rPr>
          <w:rFonts w:ascii="Verdana" w:hAnsi="Verdana"/>
          <w:i/>
          <w:sz w:val="16"/>
          <w:szCs w:val="16"/>
        </w:rPr>
        <w:t>Cfr.</w:t>
      </w:r>
      <w:r w:rsidRPr="008D0846">
        <w:rPr>
          <w:rFonts w:ascii="Verdana" w:hAnsi="Verdana"/>
          <w:sz w:val="16"/>
          <w:szCs w:val="16"/>
        </w:rPr>
        <w:t xml:space="preserve"> ONU</w:t>
      </w:r>
      <w:r w:rsidRPr="00A15955">
        <w:rPr>
          <w:rFonts w:ascii="Verdana" w:hAnsi="Verdana"/>
          <w:sz w:val="16"/>
          <w:szCs w:val="16"/>
        </w:rPr>
        <w:t>.</w:t>
      </w:r>
      <w:r w:rsidRPr="008D0846">
        <w:rPr>
          <w:rFonts w:ascii="Verdana" w:hAnsi="Verdana"/>
          <w:sz w:val="16"/>
          <w:szCs w:val="16"/>
        </w:rPr>
        <w:t xml:space="preserve"> </w:t>
      </w:r>
      <w:r w:rsidRPr="008D0846">
        <w:rPr>
          <w:rFonts w:ascii="Verdana" w:hAnsi="Verdana" w:cs="Arial"/>
          <w:sz w:val="16"/>
          <w:szCs w:val="16"/>
        </w:rPr>
        <w:t xml:space="preserve">Conjunto de principios actualizado para la protección y la promoción de los derechos humanos mediante la lucha contra la impunidad, </w:t>
      </w:r>
      <w:r w:rsidRPr="00A15955">
        <w:rPr>
          <w:rFonts w:ascii="Verdana" w:hAnsi="Verdana" w:cs="Arial"/>
          <w:sz w:val="16"/>
          <w:szCs w:val="16"/>
          <w:shd w:val="clear" w:color="auto" w:fill="FFFFFF"/>
        </w:rPr>
        <w:t>E/CN.4/2005/102/Add.1, 8 de Febrero de 2005. Principios 35 (c) y 36 (c)</w:t>
      </w:r>
      <w:r>
        <w:rPr>
          <w:rFonts w:ascii="Verdana" w:hAnsi="Verdana" w:cs="Arial"/>
          <w:sz w:val="16"/>
          <w:szCs w:val="16"/>
        </w:rPr>
        <w:t xml:space="preserve">; </w:t>
      </w:r>
      <w:r w:rsidRPr="008D0846">
        <w:rPr>
          <w:rFonts w:ascii="Verdana" w:hAnsi="Verdana"/>
          <w:i/>
          <w:iCs/>
          <w:sz w:val="16"/>
          <w:szCs w:val="16"/>
        </w:rPr>
        <w:t>Informe del Relator Especial sobre la promoción de la verdad, la justicia, la reparación y las garantías de no repetición, Pablo de Greiff</w:t>
      </w:r>
      <w:r w:rsidRPr="00A15955">
        <w:rPr>
          <w:rFonts w:ascii="Verdana" w:hAnsi="Verdana"/>
          <w:sz w:val="16"/>
          <w:szCs w:val="16"/>
        </w:rPr>
        <w:t xml:space="preserve">, A/72/523, 12 de octubre de 2017, párr. 54, e </w:t>
      </w:r>
      <w:r w:rsidRPr="00A15955">
        <w:rPr>
          <w:rFonts w:ascii="Verdana" w:hAnsi="Verdana"/>
          <w:i/>
          <w:iCs/>
          <w:sz w:val="16"/>
          <w:szCs w:val="16"/>
        </w:rPr>
        <w:t>Informe de</w:t>
      </w:r>
      <w:r>
        <w:rPr>
          <w:rFonts w:ascii="Verdana" w:hAnsi="Verdana"/>
          <w:i/>
          <w:iCs/>
          <w:sz w:val="16"/>
          <w:szCs w:val="16"/>
        </w:rPr>
        <w:t xml:space="preserve"> dicho</w:t>
      </w:r>
      <w:r w:rsidRPr="00A15955">
        <w:rPr>
          <w:rFonts w:ascii="Verdana" w:hAnsi="Verdana"/>
          <w:i/>
          <w:iCs/>
          <w:sz w:val="16"/>
          <w:szCs w:val="16"/>
        </w:rPr>
        <w:t xml:space="preserve"> Relator Especial y del Asesor Especial del Secretario General sobre la </w:t>
      </w:r>
      <w:r w:rsidRPr="00EE2126">
        <w:rPr>
          <w:rFonts w:ascii="Verdana" w:hAnsi="Verdana"/>
          <w:i/>
          <w:iCs/>
          <w:sz w:val="16"/>
          <w:szCs w:val="16"/>
        </w:rPr>
        <w:t>Prevención del Genocidio</w:t>
      </w:r>
      <w:r w:rsidRPr="00EE2126">
        <w:rPr>
          <w:rFonts w:ascii="Verdana" w:hAnsi="Verdana"/>
          <w:sz w:val="16"/>
          <w:szCs w:val="16"/>
        </w:rPr>
        <w:t xml:space="preserve">,  A/HRC/37/65, 6 de junio de 2018, párrs. 41 </w:t>
      </w:r>
      <w:r>
        <w:rPr>
          <w:rFonts w:ascii="Verdana" w:hAnsi="Verdana"/>
          <w:sz w:val="16"/>
          <w:szCs w:val="16"/>
        </w:rPr>
        <w:t>a 48</w:t>
      </w:r>
      <w:r w:rsidRPr="00EE2126">
        <w:rPr>
          <w:rFonts w:ascii="Verdana" w:hAnsi="Verdana"/>
          <w:sz w:val="16"/>
          <w:szCs w:val="16"/>
        </w:rPr>
        <w:t xml:space="preserve">. Asimismo, </w:t>
      </w:r>
      <w:r w:rsidRPr="00CD5C54">
        <w:rPr>
          <w:rFonts w:ascii="Verdana" w:hAnsi="Verdana"/>
          <w:i/>
          <w:sz w:val="16"/>
          <w:szCs w:val="16"/>
        </w:rPr>
        <w:t>Cfr.</w:t>
      </w:r>
      <w:r w:rsidRPr="00EE2126">
        <w:rPr>
          <w:rFonts w:ascii="Verdana" w:hAnsi="Verdana"/>
          <w:sz w:val="16"/>
          <w:szCs w:val="16"/>
        </w:rPr>
        <w:t xml:space="preserve"> </w:t>
      </w:r>
      <w:r w:rsidRPr="008D0846">
        <w:rPr>
          <w:rFonts w:ascii="Verdana" w:hAnsi="Verdana"/>
          <w:sz w:val="16"/>
          <w:szCs w:val="16"/>
        </w:rPr>
        <w:t xml:space="preserve">Declaración pericial de Gabriella Citroni rendida </w:t>
      </w:r>
      <w:r>
        <w:rPr>
          <w:rFonts w:ascii="Verdana" w:hAnsi="Verdana"/>
          <w:sz w:val="16"/>
          <w:szCs w:val="16"/>
        </w:rPr>
        <w:t>el</w:t>
      </w:r>
      <w:r w:rsidRPr="008D0846">
        <w:rPr>
          <w:rFonts w:ascii="Verdana" w:hAnsi="Verdana"/>
          <w:sz w:val="16"/>
          <w:szCs w:val="16"/>
        </w:rPr>
        <w:t xml:space="preserve"> 18 de abril de 2018 (expediente de prueba, </w:t>
      </w:r>
      <w:r w:rsidRPr="00453199">
        <w:rPr>
          <w:rFonts w:ascii="Verdana" w:hAnsi="Verdana"/>
          <w:i/>
          <w:sz w:val="16"/>
          <w:szCs w:val="16"/>
        </w:rPr>
        <w:t>Affidávits</w:t>
      </w:r>
      <w:r w:rsidRPr="008D0846">
        <w:rPr>
          <w:rFonts w:ascii="Verdana" w:hAnsi="Verdana"/>
          <w:sz w:val="16"/>
          <w:szCs w:val="16"/>
        </w:rPr>
        <w:t>, f. 31065)</w:t>
      </w:r>
      <w:r w:rsidRPr="00EE2126">
        <w:rPr>
          <w:rFonts w:ascii="Verdana" w:hAnsi="Verdana"/>
          <w:sz w:val="16"/>
          <w:szCs w:val="16"/>
        </w:rPr>
        <w:t>, y Declaración rendida ante la Corte por el perito Federico Andreu Guzmán en la Audiencia Pública el 26 de abril de 2018  (Transcripción de la Audiencia Pública, pág. 78)</w:t>
      </w:r>
      <w:r>
        <w:rPr>
          <w:rFonts w:ascii="Verdana" w:hAnsi="Verdana"/>
          <w:sz w:val="16"/>
          <w:szCs w:val="16"/>
        </w:rPr>
        <w:t>.</w:t>
      </w:r>
      <w:r w:rsidRPr="00DF29E0">
        <w:rPr>
          <w:rFonts w:ascii="Verdana" w:hAnsi="Verdana" w:hint="eastAsia"/>
          <w:sz w:val="16"/>
          <w:szCs w:val="16"/>
        </w:rPr>
        <w:t>∞</w:t>
      </w:r>
    </w:p>
  </w:footnote>
  <w:footnote w:id="415">
    <w:p w14:paraId="493D7972" w14:textId="3314040E" w:rsidR="00146958" w:rsidRPr="00C833F6" w:rsidRDefault="00146958" w:rsidP="008D0846">
      <w:pPr>
        <w:spacing w:after="0" w:line="240" w:lineRule="auto"/>
        <w:jc w:val="both"/>
        <w:rPr>
          <w:rFonts w:ascii="Verdana" w:hAnsi="Verdana"/>
          <w:bCs/>
          <w:sz w:val="16"/>
          <w:szCs w:val="16"/>
        </w:rPr>
      </w:pPr>
      <w:r w:rsidRPr="00A15955">
        <w:rPr>
          <w:rStyle w:val="Refdenotaalpie"/>
          <w:rFonts w:ascii="Verdana" w:hAnsi="Verdana"/>
          <w:sz w:val="16"/>
          <w:szCs w:val="16"/>
        </w:rPr>
        <w:footnoteRef/>
      </w:r>
      <w:r w:rsidRPr="00D54B69">
        <w:rPr>
          <w:rFonts w:ascii="Verdana" w:hAnsi="Verdana"/>
          <w:sz w:val="16"/>
          <w:szCs w:val="16"/>
        </w:rPr>
        <w:t xml:space="preserve"> </w:t>
      </w:r>
      <w:r w:rsidRPr="00D54B69">
        <w:rPr>
          <w:rFonts w:ascii="Verdana" w:hAnsi="Verdana"/>
          <w:sz w:val="16"/>
          <w:szCs w:val="16"/>
        </w:rPr>
        <w:tab/>
      </w:r>
      <w:r w:rsidRPr="00CD5C54">
        <w:rPr>
          <w:rFonts w:ascii="Verdana" w:hAnsi="Verdana"/>
          <w:i/>
          <w:sz w:val="16"/>
          <w:szCs w:val="16"/>
        </w:rPr>
        <w:t>Cfr.</w:t>
      </w:r>
      <w:r w:rsidRPr="00D54B69">
        <w:rPr>
          <w:rFonts w:ascii="Verdana" w:hAnsi="Verdana"/>
          <w:i/>
          <w:sz w:val="16"/>
          <w:szCs w:val="16"/>
        </w:rPr>
        <w:t xml:space="preserve"> </w:t>
      </w:r>
      <w:r w:rsidRPr="00D54B69">
        <w:rPr>
          <w:rFonts w:ascii="Verdana" w:hAnsi="Verdana"/>
          <w:sz w:val="16"/>
          <w:szCs w:val="16"/>
        </w:rPr>
        <w:t xml:space="preserve">Corte IDH: </w:t>
      </w:r>
      <w:r w:rsidRPr="00CD5C54">
        <w:rPr>
          <w:rFonts w:ascii="Verdana" w:hAnsi="Verdana"/>
          <w:i/>
          <w:iCs/>
          <w:sz w:val="16"/>
          <w:szCs w:val="16"/>
        </w:rPr>
        <w:t>Cfr.</w:t>
      </w:r>
      <w:r w:rsidRPr="00D54B69">
        <w:rPr>
          <w:rFonts w:ascii="Verdana" w:hAnsi="Verdana"/>
          <w:sz w:val="16"/>
          <w:szCs w:val="16"/>
        </w:rPr>
        <w:t xml:space="preserve"> </w:t>
      </w:r>
      <w:r w:rsidRPr="00D54B69">
        <w:rPr>
          <w:rFonts w:ascii="Verdana" w:hAnsi="Verdana"/>
          <w:i/>
          <w:iCs/>
          <w:sz w:val="16"/>
          <w:szCs w:val="16"/>
        </w:rPr>
        <w:t>Caso Radilla Pacheco Vs. México</w:t>
      </w:r>
      <w:r>
        <w:rPr>
          <w:rFonts w:ascii="Verdana" w:hAnsi="Verdana"/>
          <w:i/>
          <w:iCs/>
          <w:sz w:val="16"/>
          <w:szCs w:val="16"/>
        </w:rPr>
        <w:t>,</w:t>
      </w:r>
      <w:r w:rsidRPr="00D54B69">
        <w:rPr>
          <w:rFonts w:ascii="Verdana" w:hAnsi="Verdana"/>
          <w:i/>
          <w:iCs/>
          <w:sz w:val="16"/>
          <w:szCs w:val="16"/>
        </w:rPr>
        <w:t xml:space="preserve"> </w:t>
      </w:r>
      <w:r>
        <w:rPr>
          <w:rFonts w:ascii="Verdana" w:hAnsi="Verdana"/>
          <w:i/>
          <w:iCs/>
          <w:sz w:val="16"/>
          <w:szCs w:val="16"/>
        </w:rPr>
        <w:t>supra</w:t>
      </w:r>
      <w:r w:rsidRPr="00D54B69">
        <w:rPr>
          <w:rFonts w:ascii="Verdana" w:hAnsi="Verdana"/>
          <w:sz w:val="16"/>
          <w:szCs w:val="16"/>
        </w:rPr>
        <w:t xml:space="preserve"> párr. 273;</w:t>
      </w:r>
      <w:r w:rsidRPr="00EF3A5E">
        <w:rPr>
          <w:rFonts w:ascii="Verdana" w:hAnsi="Verdana"/>
          <w:bCs/>
          <w:sz w:val="16"/>
          <w:szCs w:val="16"/>
        </w:rPr>
        <w:t xml:space="preserve"> </w:t>
      </w:r>
      <w:r w:rsidRPr="00A15955">
        <w:rPr>
          <w:rFonts w:ascii="Verdana" w:hAnsi="Verdana"/>
          <w:bCs/>
          <w:i/>
          <w:iCs/>
          <w:sz w:val="16"/>
          <w:szCs w:val="16"/>
        </w:rPr>
        <w:t>Caso Fernández Ortega y otros Vs. México. Excepción Preliminar, Fondo, Reparaciones y Costas.</w:t>
      </w:r>
      <w:r w:rsidRPr="00A15955">
        <w:rPr>
          <w:rFonts w:ascii="Verdana" w:hAnsi="Verdana"/>
          <w:bCs/>
          <w:sz w:val="16"/>
          <w:szCs w:val="16"/>
        </w:rPr>
        <w:t xml:space="preserve"> Sentencia de 30 de agosto de 2010. Serie C No. 215, párr. 176; </w:t>
      </w:r>
      <w:r w:rsidRPr="00A15955">
        <w:rPr>
          <w:rStyle w:val="Textoennegrita"/>
          <w:rFonts w:ascii="Verdana" w:hAnsi="Verdana"/>
          <w:b w:val="0"/>
          <w:bCs w:val="0"/>
          <w:i/>
          <w:iCs/>
          <w:color w:val="000000"/>
          <w:sz w:val="16"/>
          <w:szCs w:val="16"/>
          <w:shd w:val="clear" w:color="auto" w:fill="FFFFFF"/>
        </w:rPr>
        <w:t>Caso Rosendo Cantú y otra Vs. México. Excepción Preliminar, Fondo, Reparaciones y Costas.</w:t>
      </w:r>
      <w:r w:rsidRPr="00A15955">
        <w:rPr>
          <w:rStyle w:val="Textoennegrita"/>
          <w:rFonts w:ascii="Verdana" w:hAnsi="Verdana"/>
          <w:b w:val="0"/>
          <w:bCs w:val="0"/>
          <w:color w:val="000000"/>
          <w:sz w:val="16"/>
          <w:szCs w:val="16"/>
          <w:shd w:val="clear" w:color="auto" w:fill="FFFFFF"/>
        </w:rPr>
        <w:t xml:space="preserve"> Sentencia de 31 de agosto de 2010. Serie C No. 216, párr. 160, y </w:t>
      </w:r>
      <w:r w:rsidRPr="00D54B69">
        <w:rPr>
          <w:rStyle w:val="Textoennegrita"/>
          <w:rFonts w:ascii="Verdana" w:hAnsi="Verdana"/>
          <w:b w:val="0"/>
          <w:bCs w:val="0"/>
          <w:i/>
          <w:iCs/>
          <w:color w:val="000000"/>
          <w:sz w:val="16"/>
          <w:szCs w:val="16"/>
          <w:shd w:val="clear" w:color="auto" w:fill="FFFFFF"/>
        </w:rPr>
        <w:t xml:space="preserve">Caso Cabrera García y Montiel Flores Vs. México. </w:t>
      </w:r>
      <w:r>
        <w:rPr>
          <w:rStyle w:val="Textoennegrita"/>
          <w:rFonts w:ascii="Verdana" w:hAnsi="Verdana"/>
          <w:b w:val="0"/>
          <w:bCs w:val="0"/>
          <w:i/>
          <w:iCs/>
          <w:color w:val="000000"/>
          <w:sz w:val="16"/>
          <w:szCs w:val="16"/>
          <w:shd w:val="clear" w:color="auto" w:fill="FFFFFF"/>
        </w:rPr>
        <w:t>supra</w:t>
      </w:r>
      <w:r w:rsidRPr="00D54B69">
        <w:rPr>
          <w:rStyle w:val="Textoennegrita"/>
          <w:rFonts w:ascii="Verdana" w:hAnsi="Verdana"/>
          <w:b w:val="0"/>
          <w:bCs w:val="0"/>
          <w:color w:val="000000"/>
          <w:sz w:val="16"/>
          <w:szCs w:val="16"/>
          <w:shd w:val="clear" w:color="auto" w:fill="FFFFFF"/>
        </w:rPr>
        <w:t xml:space="preserve">, párr. 197; </w:t>
      </w:r>
      <w:r w:rsidRPr="008D0846">
        <w:rPr>
          <w:rFonts w:ascii="Verdana" w:hAnsi="Verdana"/>
          <w:sz w:val="16"/>
          <w:szCs w:val="16"/>
        </w:rPr>
        <w:t>ONU:</w:t>
      </w:r>
      <w:r w:rsidRPr="00A15955">
        <w:rPr>
          <w:rFonts w:ascii="Verdana" w:hAnsi="Verdana"/>
          <w:i/>
          <w:sz w:val="16"/>
          <w:szCs w:val="16"/>
        </w:rPr>
        <w:t xml:space="preserve"> Informe del GTDFI. Cuestión de los derechos humanos de todas las personas</w:t>
      </w:r>
      <w:r w:rsidRPr="00314BC3">
        <w:rPr>
          <w:rFonts w:ascii="Verdana" w:hAnsi="Verdana"/>
          <w:i/>
          <w:sz w:val="16"/>
          <w:szCs w:val="16"/>
        </w:rPr>
        <w:t xml:space="preserve"> sometidas a cualquier forma de detención o prisión</w:t>
      </w:r>
      <w:r>
        <w:rPr>
          <w:rFonts w:ascii="Verdana" w:hAnsi="Verdana"/>
          <w:i/>
          <w:sz w:val="16"/>
          <w:szCs w:val="16"/>
        </w:rPr>
        <w:t>,</w:t>
      </w:r>
      <w:r w:rsidRPr="00314BC3">
        <w:t xml:space="preserve"> </w:t>
      </w:r>
      <w:r w:rsidRPr="008D0846">
        <w:rPr>
          <w:rFonts w:ascii="Verdana" w:hAnsi="Verdana"/>
          <w:sz w:val="16"/>
          <w:szCs w:val="16"/>
        </w:rPr>
        <w:t xml:space="preserve">E/CN.4/1992/18, </w:t>
      </w:r>
      <w:r>
        <w:rPr>
          <w:rFonts w:ascii="Verdana" w:hAnsi="Verdana"/>
          <w:sz w:val="16"/>
          <w:szCs w:val="16"/>
        </w:rPr>
        <w:t xml:space="preserve">30 de diciembre de 1991, </w:t>
      </w:r>
      <w:r w:rsidRPr="008D0846">
        <w:rPr>
          <w:rFonts w:ascii="Verdana" w:hAnsi="Verdana"/>
          <w:sz w:val="16"/>
          <w:szCs w:val="16"/>
        </w:rPr>
        <w:t>párr. 367</w:t>
      </w:r>
      <w:r>
        <w:rPr>
          <w:rFonts w:ascii="Verdana" w:hAnsi="Verdana"/>
          <w:sz w:val="16"/>
          <w:szCs w:val="16"/>
        </w:rPr>
        <w:t>;</w:t>
      </w:r>
      <w:r w:rsidRPr="00314BC3">
        <w:rPr>
          <w:rFonts w:ascii="Verdana" w:hAnsi="Verdana"/>
          <w:i/>
          <w:sz w:val="16"/>
          <w:szCs w:val="16"/>
        </w:rPr>
        <w:t xml:space="preserve"> </w:t>
      </w:r>
      <w:r w:rsidRPr="002C462C">
        <w:rPr>
          <w:rFonts w:ascii="Verdana" w:hAnsi="Verdana"/>
          <w:sz w:val="16"/>
          <w:szCs w:val="16"/>
        </w:rPr>
        <w:t>Comité de Derechos Humanos.</w:t>
      </w:r>
      <w:r w:rsidRPr="00432ABC">
        <w:rPr>
          <w:rFonts w:ascii="Verdana" w:hAnsi="Verdana"/>
          <w:i/>
          <w:sz w:val="16"/>
          <w:szCs w:val="16"/>
        </w:rPr>
        <w:t xml:space="preserve"> Observaciones Finales</w:t>
      </w:r>
      <w:r>
        <w:rPr>
          <w:rFonts w:ascii="Verdana" w:hAnsi="Verdana"/>
          <w:i/>
          <w:sz w:val="16"/>
          <w:szCs w:val="16"/>
        </w:rPr>
        <w:t>. México</w:t>
      </w:r>
      <w:r w:rsidRPr="00432ABC">
        <w:rPr>
          <w:rFonts w:ascii="Verdana" w:hAnsi="Verdana"/>
          <w:i/>
          <w:sz w:val="16"/>
          <w:szCs w:val="16"/>
        </w:rPr>
        <w:t xml:space="preserve">, </w:t>
      </w:r>
      <w:r w:rsidRPr="00432ABC">
        <w:rPr>
          <w:rFonts w:ascii="Verdana" w:hAnsi="Verdana"/>
          <w:sz w:val="16"/>
          <w:szCs w:val="16"/>
        </w:rPr>
        <w:t xml:space="preserve">27 de julio de 1999, </w:t>
      </w:r>
      <w:r w:rsidRPr="00432ABC">
        <w:rPr>
          <w:rFonts w:ascii="Verdana" w:hAnsi="Verdana"/>
          <w:i/>
          <w:sz w:val="16"/>
          <w:szCs w:val="16"/>
        </w:rPr>
        <w:t xml:space="preserve">supra, </w:t>
      </w:r>
      <w:r w:rsidRPr="00432ABC">
        <w:rPr>
          <w:rFonts w:ascii="Verdana" w:hAnsi="Verdana"/>
          <w:sz w:val="16"/>
          <w:szCs w:val="16"/>
        </w:rPr>
        <w:t>párr. 9;</w:t>
      </w:r>
      <w:r>
        <w:rPr>
          <w:rFonts w:ascii="Verdana" w:hAnsi="Verdana"/>
          <w:sz w:val="16"/>
          <w:szCs w:val="16"/>
        </w:rPr>
        <w:t xml:space="preserve"> </w:t>
      </w:r>
      <w:r w:rsidRPr="00914C24">
        <w:rPr>
          <w:rFonts w:ascii="Verdana" w:hAnsi="Verdana"/>
          <w:i/>
          <w:sz w:val="16"/>
          <w:szCs w:val="16"/>
        </w:rPr>
        <w:t>Informe del Relator Especial sobre Ejecuciones extrajudiciales, , presentado en cumplimiento de la resolución 1993/71 de la Comisión de Derechos Humanos</w:t>
      </w:r>
      <w:r w:rsidRPr="00914C24">
        <w:rPr>
          <w:rFonts w:ascii="Verdana" w:hAnsi="Verdana"/>
          <w:sz w:val="16"/>
          <w:szCs w:val="16"/>
        </w:rPr>
        <w:t>,</w:t>
      </w:r>
      <w:r w:rsidRPr="00914C24">
        <w:rPr>
          <w:rFonts w:ascii="Verdana" w:hAnsi="Verdana"/>
          <w:i/>
          <w:sz w:val="16"/>
          <w:szCs w:val="16"/>
        </w:rPr>
        <w:t xml:space="preserve"> </w:t>
      </w:r>
      <w:r w:rsidRPr="00914C24">
        <w:rPr>
          <w:rFonts w:ascii="Verdana" w:hAnsi="Verdana"/>
          <w:sz w:val="16"/>
          <w:szCs w:val="16"/>
        </w:rPr>
        <w:t xml:space="preserve">E/CN.4/1994/7, 7 de diciembre de 1993, </w:t>
      </w:r>
      <w:r>
        <w:rPr>
          <w:rFonts w:ascii="Verdana" w:hAnsi="Verdana"/>
          <w:sz w:val="16"/>
          <w:szCs w:val="16"/>
        </w:rPr>
        <w:t xml:space="preserve">párr. 697; </w:t>
      </w:r>
      <w:r w:rsidRPr="00432ABC">
        <w:rPr>
          <w:rFonts w:ascii="Verdana" w:hAnsi="Verdana"/>
          <w:i/>
          <w:sz w:val="16"/>
          <w:szCs w:val="16"/>
        </w:rPr>
        <w:t xml:space="preserve">Informe de la Relatora, Sra. Asma Jahangir, relativo a las ejecuciones extrajudiciales, sumarias o arbitrarias y presentado en cumplimiento de la </w:t>
      </w:r>
      <w:r>
        <w:rPr>
          <w:rFonts w:ascii="Verdana" w:hAnsi="Verdana"/>
          <w:i/>
          <w:sz w:val="16"/>
          <w:szCs w:val="16"/>
        </w:rPr>
        <w:t>R</w:t>
      </w:r>
      <w:r w:rsidRPr="00432ABC">
        <w:rPr>
          <w:rFonts w:ascii="Verdana" w:hAnsi="Verdana"/>
          <w:i/>
          <w:sz w:val="16"/>
          <w:szCs w:val="16"/>
        </w:rPr>
        <w:t>esolución 1999/35 de la Comisión de Derechos Humanos</w:t>
      </w:r>
      <w:r>
        <w:rPr>
          <w:rFonts w:ascii="Verdana" w:hAnsi="Verdana"/>
          <w:i/>
          <w:sz w:val="16"/>
          <w:szCs w:val="16"/>
        </w:rPr>
        <w:t>.</w:t>
      </w:r>
      <w:r w:rsidRPr="00432ABC">
        <w:rPr>
          <w:rFonts w:ascii="Verdana" w:hAnsi="Verdana"/>
          <w:i/>
          <w:sz w:val="16"/>
          <w:szCs w:val="16"/>
        </w:rPr>
        <w:t xml:space="preserve"> Adición Visita a México</w:t>
      </w:r>
      <w:r>
        <w:rPr>
          <w:rFonts w:ascii="Verdana" w:hAnsi="Verdana"/>
          <w:i/>
          <w:sz w:val="16"/>
          <w:szCs w:val="16"/>
        </w:rPr>
        <w:t>,</w:t>
      </w:r>
      <w:r w:rsidRPr="00432ABC">
        <w:rPr>
          <w:rFonts w:ascii="Verdana" w:hAnsi="Verdana"/>
          <w:i/>
          <w:sz w:val="16"/>
          <w:szCs w:val="16"/>
        </w:rPr>
        <w:t xml:space="preserve"> </w:t>
      </w:r>
      <w:r w:rsidRPr="00432ABC">
        <w:rPr>
          <w:rFonts w:ascii="Verdana" w:hAnsi="Verdana"/>
          <w:sz w:val="16"/>
          <w:szCs w:val="16"/>
        </w:rPr>
        <w:t>E/CN.4/2000/3/Add.3, 25 de noviembre de 1999, párr. 107</w:t>
      </w:r>
      <w:r>
        <w:rPr>
          <w:rFonts w:ascii="Verdana" w:hAnsi="Verdana"/>
          <w:sz w:val="16"/>
          <w:szCs w:val="16"/>
        </w:rPr>
        <w:t>,</w:t>
      </w:r>
      <w:r w:rsidRPr="00432ABC">
        <w:rPr>
          <w:rFonts w:ascii="Verdana" w:hAnsi="Verdana"/>
          <w:sz w:val="16"/>
          <w:szCs w:val="16"/>
        </w:rPr>
        <w:t xml:space="preserve"> inciso</w:t>
      </w:r>
      <w:r>
        <w:rPr>
          <w:rFonts w:ascii="Verdana" w:hAnsi="Verdana"/>
          <w:sz w:val="16"/>
          <w:szCs w:val="16"/>
        </w:rPr>
        <w:t>s b) y</w:t>
      </w:r>
      <w:r w:rsidRPr="00432ABC">
        <w:rPr>
          <w:rFonts w:ascii="Verdana" w:hAnsi="Verdana"/>
          <w:sz w:val="16"/>
          <w:szCs w:val="16"/>
        </w:rPr>
        <w:t xml:space="preserve"> f);</w:t>
      </w:r>
      <w:r w:rsidRPr="00432ABC">
        <w:rPr>
          <w:rFonts w:ascii="Verdana" w:eastAsiaTheme="minorHAnsi" w:hAnsi="Verdana"/>
          <w:sz w:val="16"/>
          <w:szCs w:val="16"/>
          <w:lang w:val="es-CR"/>
        </w:rPr>
        <w:t xml:space="preserve"> </w:t>
      </w:r>
      <w:r>
        <w:rPr>
          <w:rFonts w:ascii="Verdana" w:eastAsiaTheme="minorHAnsi" w:hAnsi="Verdana"/>
          <w:sz w:val="16"/>
          <w:szCs w:val="16"/>
          <w:lang w:val="es-CR"/>
        </w:rPr>
        <w:t xml:space="preserve">Consejo Económico y Social, </w:t>
      </w:r>
      <w:r w:rsidRPr="008D0846">
        <w:rPr>
          <w:rFonts w:ascii="Verdana" w:eastAsiaTheme="minorHAnsi" w:hAnsi="Verdana"/>
          <w:i/>
          <w:sz w:val="16"/>
          <w:szCs w:val="16"/>
        </w:rPr>
        <w:t>Principios y directrices básicos sobre el derecho de las víctimas de violaciones manifiestas de las normas internacionales de derechos humanos y violaciones graves del derecho internacional humanitario a interponer recursos y obtener reparaciones</w:t>
      </w:r>
      <w:r w:rsidRPr="00312F00">
        <w:rPr>
          <w:rFonts w:ascii="Verdana" w:eastAsiaTheme="minorHAnsi" w:hAnsi="Verdana"/>
          <w:i/>
          <w:sz w:val="16"/>
          <w:szCs w:val="16"/>
        </w:rPr>
        <w:t xml:space="preserve">, </w:t>
      </w:r>
      <w:r w:rsidRPr="008D0846">
        <w:rPr>
          <w:rFonts w:ascii="Verdana" w:eastAsiaTheme="minorHAnsi" w:hAnsi="Verdana"/>
          <w:sz w:val="16"/>
          <w:szCs w:val="16"/>
        </w:rPr>
        <w:t>E/2005/30</w:t>
      </w:r>
      <w:r w:rsidRPr="00312F00">
        <w:rPr>
          <w:rFonts w:ascii="Verdana" w:eastAsiaTheme="minorHAnsi" w:hAnsi="Verdana"/>
          <w:i/>
          <w:sz w:val="16"/>
          <w:szCs w:val="16"/>
        </w:rPr>
        <w:t>,</w:t>
      </w:r>
      <w:r w:rsidRPr="00E40B4F">
        <w:t xml:space="preserve"> </w:t>
      </w:r>
      <w:r w:rsidRPr="008D0846">
        <w:rPr>
          <w:rFonts w:ascii="Verdana" w:eastAsiaTheme="minorHAnsi" w:hAnsi="Verdana"/>
          <w:sz w:val="16"/>
          <w:szCs w:val="16"/>
        </w:rPr>
        <w:t>10 de agosto de 2005</w:t>
      </w:r>
      <w:r w:rsidRPr="00312F00">
        <w:rPr>
          <w:rFonts w:ascii="Verdana" w:eastAsiaTheme="minorHAnsi" w:hAnsi="Verdana"/>
          <w:sz w:val="16"/>
          <w:szCs w:val="16"/>
        </w:rPr>
        <w:t>, Principios 11 a 14;</w:t>
      </w:r>
      <w:r>
        <w:rPr>
          <w:rFonts w:ascii="Verdana" w:eastAsiaTheme="minorHAnsi" w:hAnsi="Verdana"/>
          <w:sz w:val="16"/>
          <w:szCs w:val="16"/>
        </w:rPr>
        <w:t xml:space="preserve"> </w:t>
      </w:r>
      <w:r w:rsidRPr="008D0846">
        <w:rPr>
          <w:rFonts w:ascii="Verdana" w:eastAsiaTheme="minorHAnsi" w:hAnsi="Verdana"/>
          <w:i/>
          <w:sz w:val="16"/>
          <w:szCs w:val="16"/>
        </w:rPr>
        <w:t xml:space="preserve">Informe del Relator Especial de la Subcomisión de Promoción y Protección de los Derechos Humanos, Emmanuel Decaux. La administración de justicia por los tribunales militares, </w:t>
      </w:r>
      <w:r w:rsidRPr="00A478A2">
        <w:rPr>
          <w:rFonts w:ascii="Verdana" w:eastAsiaTheme="minorHAnsi" w:hAnsi="Verdana"/>
          <w:sz w:val="16"/>
          <w:szCs w:val="16"/>
        </w:rPr>
        <w:t>E/CN.4/2006/58</w:t>
      </w:r>
      <w:r w:rsidRPr="00373698">
        <w:rPr>
          <w:rFonts w:ascii="Verdana" w:eastAsiaTheme="minorHAnsi" w:hAnsi="Verdana"/>
          <w:sz w:val="16"/>
          <w:szCs w:val="16"/>
        </w:rPr>
        <w:t xml:space="preserve">, 13 de enero de 2006, </w:t>
      </w:r>
      <w:r w:rsidRPr="008D0846">
        <w:rPr>
          <w:rFonts w:ascii="Verdana" w:eastAsiaTheme="minorHAnsi" w:hAnsi="Verdana"/>
          <w:sz w:val="16"/>
          <w:szCs w:val="16"/>
        </w:rPr>
        <w:t>Principio 9 “Enjuiciamiento de los autores de violaciones graves de los derechos humanos”</w:t>
      </w:r>
      <w:r w:rsidRPr="00A478A2">
        <w:rPr>
          <w:rFonts w:ascii="Verdana" w:eastAsiaTheme="minorHAnsi" w:hAnsi="Verdana"/>
          <w:sz w:val="16"/>
          <w:szCs w:val="16"/>
        </w:rPr>
        <w:t>, p</w:t>
      </w:r>
      <w:r w:rsidRPr="00373698">
        <w:rPr>
          <w:rFonts w:ascii="Verdana" w:eastAsiaTheme="minorHAnsi" w:hAnsi="Verdana"/>
          <w:sz w:val="16"/>
          <w:szCs w:val="16"/>
        </w:rPr>
        <w:t>árrs. 32 a 35</w:t>
      </w:r>
      <w:r>
        <w:rPr>
          <w:rFonts w:ascii="Verdana" w:eastAsiaTheme="minorHAnsi" w:hAnsi="Verdana"/>
          <w:sz w:val="16"/>
          <w:szCs w:val="16"/>
        </w:rPr>
        <w:t>;</w:t>
      </w:r>
      <w:r w:rsidRPr="00A478A2">
        <w:rPr>
          <w:rFonts w:ascii="Verdana" w:eastAsiaTheme="minorHAnsi" w:hAnsi="Verdana"/>
          <w:sz w:val="16"/>
          <w:szCs w:val="16"/>
        </w:rPr>
        <w:t xml:space="preserve"> </w:t>
      </w:r>
      <w:r w:rsidRPr="00373698">
        <w:rPr>
          <w:rFonts w:ascii="Verdana" w:eastAsiaTheme="minorHAnsi" w:hAnsi="Verdana"/>
          <w:i/>
          <w:sz w:val="16"/>
          <w:szCs w:val="16"/>
        </w:rPr>
        <w:t>Informe de la Relatora Especial sobre la independencia de los magistrados y abogados</w:t>
      </w:r>
      <w:r w:rsidRPr="00373698">
        <w:rPr>
          <w:rFonts w:ascii="Verdana" w:eastAsiaTheme="minorHAnsi" w:hAnsi="Verdana"/>
          <w:sz w:val="16"/>
          <w:szCs w:val="16"/>
        </w:rPr>
        <w:t>,</w:t>
      </w:r>
      <w:r w:rsidRPr="00373698">
        <w:rPr>
          <w:rFonts w:ascii="Verdana" w:eastAsiaTheme="minorHAnsi" w:hAnsi="Verdana"/>
          <w:i/>
          <w:sz w:val="16"/>
          <w:szCs w:val="16"/>
        </w:rPr>
        <w:t xml:space="preserve"> Gabriela Knaul, sobre la administración de justicia de los tribunales militares</w:t>
      </w:r>
      <w:r w:rsidRPr="00373698">
        <w:rPr>
          <w:rFonts w:ascii="Verdana" w:eastAsiaTheme="minorHAnsi" w:hAnsi="Verdana"/>
          <w:sz w:val="16"/>
          <w:szCs w:val="16"/>
        </w:rPr>
        <w:t xml:space="preserve">, </w:t>
      </w:r>
      <w:r w:rsidRPr="00373698">
        <w:rPr>
          <w:rFonts w:ascii="Verdana" w:eastAsiaTheme="minorHAnsi" w:hAnsi="Verdana"/>
          <w:i/>
          <w:sz w:val="16"/>
          <w:szCs w:val="16"/>
        </w:rPr>
        <w:t xml:space="preserve">supra, </w:t>
      </w:r>
      <w:r w:rsidRPr="00373698">
        <w:rPr>
          <w:rFonts w:ascii="Verdana" w:eastAsiaTheme="minorHAnsi" w:hAnsi="Verdana"/>
          <w:sz w:val="16"/>
          <w:szCs w:val="16"/>
        </w:rPr>
        <w:t>párr. 106</w:t>
      </w:r>
      <w:r>
        <w:rPr>
          <w:rFonts w:ascii="Verdana" w:eastAsiaTheme="minorHAnsi" w:hAnsi="Verdana"/>
          <w:sz w:val="16"/>
          <w:szCs w:val="16"/>
        </w:rPr>
        <w:t xml:space="preserve">, e </w:t>
      </w:r>
      <w:r w:rsidRPr="00432ABC">
        <w:rPr>
          <w:rFonts w:ascii="Verdana" w:eastAsiaTheme="minorHAnsi" w:hAnsi="Verdana"/>
          <w:i/>
          <w:sz w:val="16"/>
          <w:szCs w:val="16"/>
          <w:lang w:val="es-CR"/>
        </w:rPr>
        <w:t>I</w:t>
      </w:r>
      <w:r w:rsidRPr="00432ABC">
        <w:rPr>
          <w:rFonts w:ascii="Verdana" w:eastAsiaTheme="minorHAnsi" w:hAnsi="Verdana"/>
          <w:i/>
          <w:sz w:val="16"/>
          <w:szCs w:val="16"/>
        </w:rPr>
        <w:t xml:space="preserve">nforme del Relator Especial sobre la Tortura, Juan E. Méndez, </w:t>
      </w:r>
      <w:r w:rsidRPr="00432ABC">
        <w:rPr>
          <w:rFonts w:ascii="Verdana" w:eastAsiaTheme="minorHAnsi" w:hAnsi="Verdana"/>
          <w:sz w:val="16"/>
          <w:szCs w:val="16"/>
        </w:rPr>
        <w:t xml:space="preserve">29 de diciembre de 2014, </w:t>
      </w:r>
      <w:r w:rsidRPr="00432ABC">
        <w:rPr>
          <w:rFonts w:ascii="Verdana" w:eastAsiaTheme="minorHAnsi" w:hAnsi="Verdana"/>
          <w:i/>
          <w:sz w:val="16"/>
          <w:szCs w:val="16"/>
        </w:rPr>
        <w:t xml:space="preserve">supra, </w:t>
      </w:r>
      <w:r w:rsidRPr="00432ABC">
        <w:rPr>
          <w:rFonts w:ascii="Verdana" w:eastAsiaTheme="minorHAnsi" w:hAnsi="Verdana"/>
          <w:sz w:val="16"/>
          <w:szCs w:val="16"/>
        </w:rPr>
        <w:t>párr. 81 inciso b)</w:t>
      </w:r>
      <w:r>
        <w:rPr>
          <w:rFonts w:ascii="Verdana" w:eastAsiaTheme="minorHAnsi" w:hAnsi="Verdana"/>
          <w:sz w:val="16"/>
          <w:szCs w:val="16"/>
        </w:rPr>
        <w:t>, y</w:t>
      </w:r>
      <w:r w:rsidRPr="00432ABC">
        <w:rPr>
          <w:rFonts w:ascii="Verdana" w:eastAsiaTheme="minorHAnsi" w:hAnsi="Verdana"/>
          <w:sz w:val="16"/>
          <w:szCs w:val="16"/>
          <w:lang w:val="es-CR"/>
        </w:rPr>
        <w:t xml:space="preserve"> </w:t>
      </w:r>
      <w:r w:rsidRPr="00432ABC">
        <w:rPr>
          <w:rFonts w:ascii="Verdana" w:hAnsi="Verdana"/>
          <w:i/>
          <w:sz w:val="16"/>
          <w:szCs w:val="16"/>
        </w:rPr>
        <w:t>Recomendaciones a México por el Alto Comisionado de las Naciones Unidas para los Derechos Humanos, Zeid Ra’ad al Hussein</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R</w:t>
      </w:r>
      <w:r w:rsidRPr="00432ABC">
        <w:rPr>
          <w:rFonts w:ascii="Verdana" w:hAnsi="Verdana"/>
          <w:sz w:val="16"/>
          <w:szCs w:val="16"/>
        </w:rPr>
        <w:t>ecomendación 3.</w:t>
      </w:r>
    </w:p>
  </w:footnote>
  <w:footnote w:id="416">
    <w:p w14:paraId="7C1BD806" w14:textId="11390DE2" w:rsidR="00146958" w:rsidRPr="00432ABC" w:rsidRDefault="00146958">
      <w:pPr>
        <w:autoSpaceDE w:val="0"/>
        <w:autoSpaceDN w:val="0"/>
        <w:adjustRightInd w:val="0"/>
        <w:spacing w:after="0" w:line="240" w:lineRule="auto"/>
        <w:jc w:val="both"/>
        <w:rPr>
          <w:rFonts w:ascii="Verdana" w:hAnsi="Verdana" w:cs="Arial"/>
          <w:b/>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8F7720">
        <w:rPr>
          <w:rFonts w:ascii="Verdana" w:hAnsi="Verdana"/>
          <w:sz w:val="16"/>
          <w:szCs w:val="16"/>
        </w:rPr>
        <w:t xml:space="preserve"> ONU</w:t>
      </w:r>
      <w:r>
        <w:rPr>
          <w:rFonts w:ascii="Verdana" w:hAnsi="Verdana"/>
          <w:sz w:val="16"/>
          <w:szCs w:val="16"/>
        </w:rPr>
        <w:t>:</w:t>
      </w:r>
      <w:r w:rsidRPr="008F7720">
        <w:rPr>
          <w:rFonts w:ascii="Verdana" w:hAnsi="Verdana"/>
          <w:sz w:val="16"/>
          <w:szCs w:val="16"/>
        </w:rPr>
        <w:t xml:space="preserve"> </w:t>
      </w:r>
      <w:r w:rsidRPr="008D0846">
        <w:rPr>
          <w:rFonts w:ascii="Verdana" w:hAnsi="Verdana"/>
          <w:i/>
          <w:sz w:val="16"/>
          <w:szCs w:val="16"/>
        </w:rPr>
        <w:t>Informe del Relator Especial sobre Ejecuciones extrajudiciales, en cumplimiento de la resolución 1993/71 de la Comisión de Derechos Humanos</w:t>
      </w:r>
      <w:r w:rsidRPr="008F7720">
        <w:rPr>
          <w:rFonts w:ascii="Verdana" w:hAnsi="Verdana"/>
          <w:sz w:val="16"/>
          <w:szCs w:val="16"/>
        </w:rPr>
        <w:t>,</w:t>
      </w:r>
      <w:r>
        <w:rPr>
          <w:rFonts w:ascii="Verdana" w:hAnsi="Verdana"/>
          <w:sz w:val="16"/>
          <w:szCs w:val="16"/>
        </w:rPr>
        <w:t xml:space="preserve"> </w:t>
      </w:r>
      <w:r>
        <w:rPr>
          <w:rFonts w:ascii="Verdana" w:hAnsi="Verdana"/>
          <w:i/>
          <w:sz w:val="16"/>
          <w:szCs w:val="16"/>
        </w:rPr>
        <w:t>supra,</w:t>
      </w:r>
      <w:r w:rsidRPr="008F7720">
        <w:rPr>
          <w:rFonts w:ascii="Verdana" w:hAnsi="Verdana"/>
          <w:sz w:val="16"/>
          <w:szCs w:val="16"/>
        </w:rPr>
        <w:t xml:space="preserve"> </w:t>
      </w:r>
      <w:r w:rsidRPr="00914C24">
        <w:rPr>
          <w:rFonts w:ascii="Verdana" w:hAnsi="Verdana"/>
          <w:sz w:val="16"/>
          <w:szCs w:val="16"/>
        </w:rPr>
        <w:t>7 de diciembre de 1993</w:t>
      </w:r>
      <w:r>
        <w:rPr>
          <w:rFonts w:ascii="Verdana" w:hAnsi="Verdana"/>
          <w:sz w:val="16"/>
          <w:szCs w:val="16"/>
        </w:rPr>
        <w:t>,</w:t>
      </w:r>
      <w:r w:rsidRPr="00914C24">
        <w:rPr>
          <w:rFonts w:ascii="Verdana" w:hAnsi="Verdana"/>
          <w:sz w:val="16"/>
          <w:szCs w:val="16"/>
        </w:rPr>
        <w:t xml:space="preserve"> </w:t>
      </w:r>
      <w:r w:rsidRPr="008F7720">
        <w:rPr>
          <w:rFonts w:ascii="Verdana" w:hAnsi="Verdana"/>
          <w:sz w:val="16"/>
          <w:szCs w:val="16"/>
        </w:rPr>
        <w:t>párr</w:t>
      </w:r>
      <w:r>
        <w:rPr>
          <w:rFonts w:ascii="Verdana" w:hAnsi="Verdana"/>
          <w:sz w:val="16"/>
          <w:szCs w:val="16"/>
        </w:rPr>
        <w:t>.</w:t>
      </w:r>
      <w:r w:rsidRPr="008D0846">
        <w:rPr>
          <w:rFonts w:ascii="Verdana" w:hAnsi="Verdana"/>
          <w:sz w:val="16"/>
          <w:szCs w:val="16"/>
        </w:rPr>
        <w:t xml:space="preserve"> 68</w:t>
      </w:r>
      <w:r>
        <w:rPr>
          <w:rFonts w:ascii="Verdana" w:hAnsi="Verdana"/>
          <w:sz w:val="16"/>
          <w:szCs w:val="16"/>
        </w:rPr>
        <w:t>8</w:t>
      </w:r>
      <w:r>
        <w:rPr>
          <w:rFonts w:ascii="Verdana" w:hAnsi="Verdana"/>
          <w:i/>
          <w:sz w:val="16"/>
          <w:szCs w:val="16"/>
        </w:rPr>
        <w:t xml:space="preserve">; </w:t>
      </w:r>
      <w:r w:rsidRPr="002C462C">
        <w:rPr>
          <w:rFonts w:ascii="Verdana" w:hAnsi="Verdana"/>
          <w:sz w:val="16"/>
          <w:szCs w:val="16"/>
        </w:rPr>
        <w:t>Comité de Derechos Humanos</w:t>
      </w:r>
      <w:r>
        <w:rPr>
          <w:rFonts w:ascii="Verdana" w:hAnsi="Verdana"/>
          <w:sz w:val="16"/>
          <w:szCs w:val="16"/>
        </w:rPr>
        <w:t>,</w:t>
      </w:r>
      <w:r w:rsidRPr="00432ABC">
        <w:rPr>
          <w:rFonts w:ascii="Verdana" w:hAnsi="Verdana"/>
          <w:i/>
          <w:sz w:val="16"/>
          <w:szCs w:val="16"/>
        </w:rPr>
        <w:t xml:space="preserve"> Observaciones Finales</w:t>
      </w:r>
      <w:r>
        <w:rPr>
          <w:rFonts w:ascii="Verdana" w:hAnsi="Verdana"/>
          <w:i/>
          <w:sz w:val="16"/>
          <w:szCs w:val="16"/>
        </w:rPr>
        <w:t>. México</w:t>
      </w:r>
      <w:r w:rsidRPr="00432ABC">
        <w:rPr>
          <w:rFonts w:ascii="Verdana" w:hAnsi="Verdana"/>
          <w:i/>
          <w:sz w:val="16"/>
          <w:szCs w:val="16"/>
        </w:rPr>
        <w:t xml:space="preserve">, </w:t>
      </w:r>
      <w:r w:rsidRPr="00432ABC">
        <w:rPr>
          <w:rFonts w:ascii="Verdana" w:hAnsi="Verdana"/>
          <w:sz w:val="16"/>
          <w:szCs w:val="16"/>
        </w:rPr>
        <w:t xml:space="preserve">27 de julio de 1999, </w:t>
      </w:r>
      <w:r>
        <w:rPr>
          <w:rFonts w:ascii="Verdana" w:hAnsi="Verdana"/>
          <w:i/>
          <w:sz w:val="16"/>
          <w:szCs w:val="16"/>
        </w:rPr>
        <w:t xml:space="preserve">supra, </w:t>
      </w:r>
      <w:r w:rsidRPr="00432ABC">
        <w:rPr>
          <w:rFonts w:ascii="Verdana" w:hAnsi="Verdana"/>
          <w:sz w:val="16"/>
          <w:szCs w:val="16"/>
        </w:rPr>
        <w:t>párr. 9</w:t>
      </w:r>
      <w:r>
        <w:rPr>
          <w:rFonts w:ascii="Verdana" w:hAnsi="Verdana"/>
          <w:sz w:val="16"/>
          <w:szCs w:val="16"/>
        </w:rPr>
        <w:t>, e</w:t>
      </w:r>
      <w:r w:rsidRPr="005F61A1">
        <w:rPr>
          <w:rFonts w:ascii="Verdana" w:eastAsiaTheme="minorHAnsi" w:hAnsi="Verdana"/>
          <w:i/>
          <w:sz w:val="16"/>
          <w:szCs w:val="16"/>
        </w:rPr>
        <w:t xml:space="preserve"> </w:t>
      </w:r>
      <w:r w:rsidRPr="005F61A1">
        <w:rPr>
          <w:rFonts w:ascii="Verdana" w:hAnsi="Verdana"/>
          <w:i/>
          <w:sz w:val="16"/>
          <w:szCs w:val="16"/>
        </w:rPr>
        <w:t>Informe de la Relatora Especial sobre la independencia de los magistrados y abogados</w:t>
      </w:r>
      <w:r w:rsidRPr="005F61A1">
        <w:rPr>
          <w:rFonts w:ascii="Verdana" w:hAnsi="Verdana"/>
          <w:sz w:val="16"/>
          <w:szCs w:val="16"/>
        </w:rPr>
        <w:t>,</w:t>
      </w:r>
      <w:r w:rsidRPr="005F61A1">
        <w:rPr>
          <w:rFonts w:ascii="Verdana" w:hAnsi="Verdana"/>
          <w:i/>
          <w:sz w:val="16"/>
          <w:szCs w:val="16"/>
        </w:rPr>
        <w:t xml:space="preserve"> Gabriela Knaul, sobre la administración de justicia de los tribunales militares</w:t>
      </w:r>
      <w:r w:rsidRPr="005F61A1">
        <w:rPr>
          <w:rFonts w:ascii="Verdana" w:hAnsi="Verdana"/>
          <w:sz w:val="16"/>
          <w:szCs w:val="16"/>
        </w:rPr>
        <w:t xml:space="preserve">, </w:t>
      </w:r>
      <w:r w:rsidRPr="005F61A1">
        <w:rPr>
          <w:rFonts w:ascii="Verdana" w:hAnsi="Verdana"/>
          <w:i/>
          <w:sz w:val="16"/>
          <w:szCs w:val="16"/>
        </w:rPr>
        <w:t xml:space="preserve">supra, </w:t>
      </w:r>
      <w:r w:rsidRPr="005F61A1">
        <w:rPr>
          <w:rFonts w:ascii="Verdana" w:hAnsi="Verdana"/>
          <w:sz w:val="16"/>
          <w:szCs w:val="16"/>
        </w:rPr>
        <w:t>párr</w:t>
      </w:r>
      <w:r>
        <w:rPr>
          <w:rFonts w:ascii="Verdana" w:hAnsi="Verdana"/>
          <w:sz w:val="16"/>
          <w:szCs w:val="16"/>
        </w:rPr>
        <w:t>s. 64 a 69.</w:t>
      </w:r>
      <w:r w:rsidRPr="005F61A1">
        <w:rPr>
          <w:rFonts w:ascii="Verdana" w:hAnsi="Verdana"/>
          <w:sz w:val="16"/>
          <w:szCs w:val="16"/>
        </w:rPr>
        <w:t xml:space="preserve"> </w:t>
      </w:r>
      <w:r>
        <w:rPr>
          <w:rFonts w:ascii="Verdana" w:hAnsi="Verdana"/>
          <w:sz w:val="16"/>
          <w:szCs w:val="16"/>
        </w:rPr>
        <w:t xml:space="preserve">Asimismo, </w:t>
      </w:r>
      <w:r w:rsidRPr="00CD5C54">
        <w:rPr>
          <w:rFonts w:ascii="Verdana" w:hAnsi="Verdana"/>
          <w:i/>
          <w:sz w:val="16"/>
          <w:szCs w:val="16"/>
        </w:rPr>
        <w:t>Cfr.</w:t>
      </w:r>
      <w:r>
        <w:rPr>
          <w:rFonts w:ascii="Verdana" w:hAnsi="Verdana"/>
          <w:sz w:val="16"/>
          <w:szCs w:val="16"/>
        </w:rPr>
        <w:t xml:space="preserve"> CIDH</w:t>
      </w:r>
      <w:r w:rsidRPr="00432ABC">
        <w:rPr>
          <w:rFonts w:ascii="Verdana" w:hAnsi="Verdana"/>
          <w:sz w:val="16"/>
          <w:szCs w:val="16"/>
        </w:rPr>
        <w:t xml:space="preserve">. </w:t>
      </w:r>
      <w:r w:rsidRPr="00432ABC">
        <w:rPr>
          <w:rFonts w:ascii="Verdana" w:hAnsi="Verdana"/>
          <w:i/>
          <w:sz w:val="16"/>
          <w:szCs w:val="16"/>
        </w:rPr>
        <w:t>Informe sobre Seguridad Ciudadana y Derechos Humanos</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párr. 127</w:t>
      </w:r>
      <w:r>
        <w:rPr>
          <w:rFonts w:ascii="Verdana" w:hAnsi="Verdana"/>
          <w:sz w:val="16"/>
          <w:szCs w:val="16"/>
        </w:rPr>
        <w:t xml:space="preserve">. </w:t>
      </w:r>
    </w:p>
  </w:footnote>
  <w:footnote w:id="417">
    <w:p w14:paraId="64AA62D6" w14:textId="3D64CDAF" w:rsidR="00146958" w:rsidRPr="00432ABC" w:rsidRDefault="00146958" w:rsidP="001E0417">
      <w:pPr>
        <w:pStyle w:val="Textonotapie"/>
        <w:jc w:val="both"/>
        <w:rPr>
          <w:rFonts w:ascii="Verdana" w:hAnsi="Verdana"/>
          <w:sz w:val="16"/>
        </w:rPr>
      </w:pPr>
      <w:r w:rsidRPr="00432ABC">
        <w:rPr>
          <w:rStyle w:val="Refdenotaalpie"/>
          <w:rFonts w:ascii="Verdana" w:hAnsi="Verdana"/>
          <w:sz w:val="16"/>
        </w:rPr>
        <w:footnoteRef/>
      </w:r>
      <w:r w:rsidRPr="00432ABC">
        <w:rPr>
          <w:rFonts w:ascii="Verdana" w:hAnsi="Verdana"/>
          <w:sz w:val="16"/>
        </w:rPr>
        <w:t xml:space="preserve">  </w:t>
      </w:r>
      <w:r w:rsidRPr="00432ABC">
        <w:rPr>
          <w:rFonts w:ascii="Verdana" w:hAnsi="Verdana"/>
          <w:sz w:val="16"/>
        </w:rPr>
        <w:tab/>
      </w:r>
      <w:r w:rsidRPr="00CD5C54">
        <w:rPr>
          <w:rFonts w:ascii="Verdana" w:hAnsi="Verdana"/>
          <w:i/>
          <w:sz w:val="16"/>
        </w:rPr>
        <w:t>Cfr.</w:t>
      </w:r>
      <w:r w:rsidRPr="002C462C">
        <w:rPr>
          <w:rFonts w:ascii="Verdana" w:hAnsi="Verdana"/>
          <w:sz w:val="16"/>
        </w:rPr>
        <w:t xml:space="preserve"> Declaración de Patricia Reyes Rueda rendida el 16 de enero de 2013 ante el AMPF – PGR en apoyo de la Agencia Décima Primera Investigadora de la PGR – </w:t>
      </w:r>
      <w:r w:rsidRPr="00432ABC">
        <w:rPr>
          <w:rFonts w:ascii="Verdana" w:hAnsi="Verdana"/>
          <w:sz w:val="16"/>
        </w:rPr>
        <w:t>Chihuahua</w:t>
      </w:r>
      <w:r>
        <w:rPr>
          <w:rFonts w:ascii="Verdana" w:hAnsi="Verdana"/>
          <w:sz w:val="16"/>
        </w:rPr>
        <w:t xml:space="preserve"> </w:t>
      </w:r>
      <w:r w:rsidRPr="001E61BF">
        <w:rPr>
          <w:rFonts w:ascii="Verdana" w:hAnsi="Verdana"/>
          <w:sz w:val="16"/>
        </w:rPr>
        <w:t>(expediente de prueba, anexo 14 de la contestación del Estado</w:t>
      </w:r>
      <w:r w:rsidRPr="00432ABC">
        <w:rPr>
          <w:rFonts w:ascii="Verdana" w:hAnsi="Verdana"/>
          <w:i/>
          <w:sz w:val="16"/>
        </w:rPr>
        <w:t xml:space="preserve">, </w:t>
      </w:r>
      <w:r w:rsidRPr="00432ABC">
        <w:rPr>
          <w:rFonts w:ascii="Verdana" w:hAnsi="Verdana"/>
          <w:sz w:val="16"/>
        </w:rPr>
        <w:t>f. 27888</w:t>
      </w:r>
      <w:r>
        <w:rPr>
          <w:rFonts w:ascii="Verdana" w:hAnsi="Verdana"/>
          <w:sz w:val="16"/>
        </w:rPr>
        <w:t>)</w:t>
      </w:r>
      <w:r w:rsidRPr="00432ABC">
        <w:rPr>
          <w:rFonts w:ascii="Verdana" w:hAnsi="Verdana"/>
          <w:sz w:val="16"/>
        </w:rPr>
        <w:t>, y Declaración rendida ante fedatario público por A.R.A.R. el 19 de abril de 2018</w:t>
      </w:r>
      <w:r>
        <w:rPr>
          <w:rFonts w:ascii="Verdana" w:hAnsi="Verdana"/>
          <w:sz w:val="16"/>
        </w:rPr>
        <w:t xml:space="preserve"> </w:t>
      </w:r>
      <w:r w:rsidRPr="002C462C">
        <w:rPr>
          <w:rFonts w:ascii="Verdana" w:hAnsi="Verdana"/>
          <w:sz w:val="16"/>
          <w:szCs w:val="16"/>
        </w:rPr>
        <w:t xml:space="preserve">(expediente de prueba, </w:t>
      </w:r>
      <w:r w:rsidRPr="00453199">
        <w:rPr>
          <w:rFonts w:ascii="Verdana" w:hAnsi="Verdana"/>
          <w:i/>
          <w:sz w:val="16"/>
          <w:szCs w:val="16"/>
        </w:rPr>
        <w:t>Affidávits</w:t>
      </w:r>
      <w:r w:rsidRPr="002C462C">
        <w:rPr>
          <w:rFonts w:ascii="Verdana" w:hAnsi="Verdana"/>
          <w:sz w:val="16"/>
          <w:szCs w:val="16"/>
        </w:rPr>
        <w:t xml:space="preserve">, </w:t>
      </w:r>
      <w:r w:rsidRPr="00432ABC">
        <w:rPr>
          <w:rFonts w:ascii="Verdana" w:hAnsi="Verdana"/>
          <w:sz w:val="16"/>
        </w:rPr>
        <w:t>f. 30872</w:t>
      </w:r>
      <w:r>
        <w:rPr>
          <w:rFonts w:ascii="Verdana" w:hAnsi="Verdana"/>
          <w:sz w:val="16"/>
        </w:rPr>
        <w:t>)</w:t>
      </w:r>
      <w:r w:rsidRPr="00432ABC">
        <w:rPr>
          <w:rFonts w:ascii="Verdana" w:hAnsi="Verdana"/>
          <w:sz w:val="16"/>
        </w:rPr>
        <w:t xml:space="preserve">. </w:t>
      </w:r>
    </w:p>
  </w:footnote>
  <w:footnote w:id="418">
    <w:p w14:paraId="64AA62D7" w14:textId="1CEC8467" w:rsidR="00146958" w:rsidRPr="00432ABC" w:rsidRDefault="00146958">
      <w:pPr>
        <w:pStyle w:val="Textonotapie"/>
        <w:jc w:val="both"/>
        <w:rPr>
          <w:rFonts w:ascii="Verdana" w:hAnsi="Verdana"/>
          <w:sz w:val="16"/>
        </w:rPr>
      </w:pPr>
      <w:r w:rsidRPr="00432ABC">
        <w:rPr>
          <w:rStyle w:val="Refdenotaalpie"/>
          <w:rFonts w:ascii="Verdana" w:hAnsi="Verdana"/>
          <w:sz w:val="16"/>
        </w:rPr>
        <w:footnoteRef/>
      </w:r>
      <w:r w:rsidRPr="00432ABC">
        <w:rPr>
          <w:rFonts w:ascii="Verdana" w:hAnsi="Verdana"/>
          <w:sz w:val="16"/>
        </w:rPr>
        <w:t xml:space="preserve"> </w:t>
      </w:r>
      <w:r w:rsidRPr="00432ABC">
        <w:rPr>
          <w:rFonts w:ascii="Verdana" w:hAnsi="Verdana"/>
          <w:sz w:val="16"/>
        </w:rPr>
        <w:tab/>
      </w:r>
      <w:r w:rsidRPr="00CD5C54">
        <w:rPr>
          <w:rFonts w:ascii="Verdana" w:hAnsi="Verdana"/>
          <w:i/>
          <w:sz w:val="16"/>
        </w:rPr>
        <w:t>Cfr.</w:t>
      </w:r>
      <w:r w:rsidRPr="002C462C">
        <w:rPr>
          <w:rFonts w:ascii="Verdana" w:hAnsi="Verdana"/>
          <w:sz w:val="16"/>
        </w:rPr>
        <w:t xml:space="preserve"> Declaración de Marissa Reyes Rueda rendida el 21 de febrero de 2010 ante la Segunda Visitaduría General de la CNDH dentr</w:t>
      </w:r>
      <w:r w:rsidRPr="00432ABC">
        <w:rPr>
          <w:rFonts w:ascii="Verdana" w:hAnsi="Verdana"/>
          <w:sz w:val="16"/>
        </w:rPr>
        <w:t xml:space="preserve">o del Acta Circunstanciada CNDH/2/20/01/08/Q (expediente de prueba, anexo II.112 del Informe de Fondo, ff. 1595 y 1597); Declaración de Marissa Reyes Rueda rendida el 9 de marzo de 2010 ante el </w:t>
      </w:r>
      <w:r w:rsidRPr="00432ABC">
        <w:rPr>
          <w:rFonts w:ascii="Verdana" w:hAnsi="Verdana"/>
          <w:sz w:val="16"/>
          <w:lang w:val="es-AR"/>
        </w:rPr>
        <w:t>AMPM-5ªZM</w:t>
      </w:r>
      <w:r w:rsidRPr="00432ABC">
        <w:rPr>
          <w:rFonts w:ascii="Verdana" w:hAnsi="Verdana"/>
          <w:sz w:val="16"/>
        </w:rPr>
        <w:t xml:space="preserve"> (expediente de prueba, anexo 28 de la contestación del Estado, f. 27946), y</w:t>
      </w:r>
      <w:r w:rsidRPr="00432ABC">
        <w:rPr>
          <w:rFonts w:ascii="Verdana" w:hAnsi="Verdana"/>
          <w:i/>
          <w:sz w:val="16"/>
        </w:rPr>
        <w:t xml:space="preserve"> </w:t>
      </w:r>
      <w:r w:rsidRPr="00432ABC">
        <w:rPr>
          <w:rFonts w:ascii="Verdana" w:hAnsi="Verdana"/>
          <w:sz w:val="16"/>
        </w:rPr>
        <w:t xml:space="preserve">Declaración de Manuel Reyes Lira rendida el 9 de marzo de 2010 ante el </w:t>
      </w:r>
      <w:r w:rsidRPr="00432ABC">
        <w:rPr>
          <w:rFonts w:ascii="Verdana" w:hAnsi="Verdana"/>
          <w:sz w:val="16"/>
          <w:lang w:val="es-AR"/>
        </w:rPr>
        <w:t>AMPM-5ªZM</w:t>
      </w:r>
      <w:r w:rsidRPr="00432ABC">
        <w:rPr>
          <w:rFonts w:ascii="Verdana" w:hAnsi="Verdana"/>
          <w:sz w:val="16"/>
        </w:rPr>
        <w:t xml:space="preserve"> (expediente de prueba, anexo 34 de la contestación del Estado, f. 27981). </w:t>
      </w:r>
    </w:p>
  </w:footnote>
  <w:footnote w:id="419">
    <w:p w14:paraId="64AA62D9" w14:textId="715E9811" w:rsidR="00146958" w:rsidRPr="00432ABC" w:rsidRDefault="00146958">
      <w:pPr>
        <w:pStyle w:val="Textonotapie"/>
        <w:jc w:val="both"/>
        <w:rPr>
          <w:rFonts w:ascii="Verdana" w:hAnsi="Verdana"/>
          <w:sz w:val="16"/>
          <w:szCs w:val="16"/>
        </w:rPr>
      </w:pPr>
      <w:r w:rsidRPr="00432ABC">
        <w:rPr>
          <w:rStyle w:val="Refdenotaalpie"/>
          <w:rFonts w:ascii="Verdana" w:hAnsi="Verdana"/>
          <w:sz w:val="16"/>
        </w:rPr>
        <w:footnoteRef/>
      </w:r>
      <w:r w:rsidRPr="00432ABC">
        <w:rPr>
          <w:rFonts w:ascii="Verdana" w:hAnsi="Verdana"/>
          <w:sz w:val="16"/>
        </w:rPr>
        <w:t xml:space="preserve"> </w:t>
      </w:r>
      <w:r w:rsidRPr="00432ABC">
        <w:rPr>
          <w:rFonts w:ascii="Verdana" w:hAnsi="Verdana"/>
          <w:sz w:val="16"/>
        </w:rPr>
        <w:tab/>
      </w:r>
      <w:r w:rsidRPr="00CD5C54">
        <w:rPr>
          <w:rFonts w:ascii="Verdana" w:hAnsi="Verdana"/>
          <w:i/>
          <w:sz w:val="16"/>
        </w:rPr>
        <w:t>Cfr.</w:t>
      </w:r>
      <w:r w:rsidRPr="002C462C">
        <w:rPr>
          <w:rFonts w:ascii="Verdana" w:hAnsi="Verdana"/>
          <w:sz w:val="16"/>
        </w:rPr>
        <w:t xml:space="preserve"> Declaración de Patricia Reyes Rueda rendida el 27 de octubre de 2014</w:t>
      </w:r>
      <w:r w:rsidRPr="00432ABC">
        <w:rPr>
          <w:rFonts w:ascii="Verdana" w:hAnsi="Verdana"/>
          <w:sz w:val="16"/>
        </w:rPr>
        <w:t xml:space="preserve"> ante el AMPF adscrito a la </w:t>
      </w:r>
      <w:r w:rsidRPr="0094223E">
        <w:rPr>
          <w:rFonts w:ascii="Verdana" w:hAnsi="Verdana"/>
          <w:sz w:val="16"/>
        </w:rPr>
        <w:t>Unidad Especializada de Búsqueda de Personas Desaparecidas [UEBPD – PGR]</w:t>
      </w:r>
      <w:r>
        <w:rPr>
          <w:rFonts w:ascii="Verdana" w:hAnsi="Verdana"/>
          <w:sz w:val="16"/>
        </w:rPr>
        <w:t xml:space="preserve"> (expediente de prueba, </w:t>
      </w:r>
      <w:r w:rsidRPr="0094223E">
        <w:rPr>
          <w:rFonts w:ascii="Verdana" w:hAnsi="Verdana"/>
          <w:sz w:val="16"/>
        </w:rPr>
        <w:t xml:space="preserve">f. </w:t>
      </w:r>
      <w:r w:rsidRPr="00432ABC">
        <w:rPr>
          <w:rFonts w:ascii="Verdana" w:hAnsi="Verdana"/>
          <w:sz w:val="16"/>
        </w:rPr>
        <w:t>27892</w:t>
      </w:r>
      <w:r>
        <w:rPr>
          <w:rFonts w:ascii="Verdana" w:hAnsi="Verdana"/>
          <w:sz w:val="16"/>
        </w:rPr>
        <w:t>)</w:t>
      </w:r>
      <w:r w:rsidRPr="00432ABC">
        <w:rPr>
          <w:rFonts w:ascii="Verdana" w:hAnsi="Verdana"/>
          <w:sz w:val="16"/>
        </w:rPr>
        <w:t>, y Declaración de Obdulia Espinoza Beltrán rendida el 27 de octubre de 2014 ante el AMPF adscrito a la UEBPD – PGR</w:t>
      </w:r>
      <w:r w:rsidRPr="0094223E">
        <w:rPr>
          <w:rFonts w:ascii="Verdana" w:hAnsi="Verdana"/>
          <w:sz w:val="16"/>
          <w:szCs w:val="22"/>
        </w:rPr>
        <w:t xml:space="preserve"> </w:t>
      </w:r>
      <w:r w:rsidRPr="0094223E">
        <w:rPr>
          <w:rFonts w:ascii="Verdana" w:hAnsi="Verdana"/>
          <w:sz w:val="16"/>
        </w:rPr>
        <w:t xml:space="preserve">(expediente de prueba, </w:t>
      </w:r>
      <w:r w:rsidRPr="00432ABC">
        <w:rPr>
          <w:rFonts w:ascii="Verdana" w:hAnsi="Verdana"/>
          <w:sz w:val="16"/>
        </w:rPr>
        <w:t>f. 27932</w:t>
      </w:r>
      <w:r>
        <w:rPr>
          <w:rFonts w:ascii="Verdana" w:hAnsi="Verdana"/>
          <w:sz w:val="16"/>
        </w:rPr>
        <w:t xml:space="preserve">). </w:t>
      </w:r>
      <w:r w:rsidRPr="00432ABC">
        <w:rPr>
          <w:rFonts w:ascii="Verdana" w:hAnsi="Verdana"/>
          <w:sz w:val="16"/>
          <w:szCs w:val="16"/>
        </w:rPr>
        <w:t xml:space="preserve">Con relación al </w:t>
      </w:r>
      <w:r>
        <w:rPr>
          <w:rFonts w:ascii="Verdana" w:hAnsi="Verdana"/>
          <w:sz w:val="16"/>
          <w:szCs w:val="16"/>
        </w:rPr>
        <w:t xml:space="preserve">aseguramiento y custodia estatal del </w:t>
      </w:r>
      <w:r w:rsidRPr="00432ABC">
        <w:rPr>
          <w:rFonts w:ascii="Verdana" w:hAnsi="Verdana"/>
          <w:sz w:val="16"/>
          <w:szCs w:val="16"/>
        </w:rPr>
        <w:t>vehículo que Patricia Reyes y Obdulia Espinoza identificaron como el mismo que fue utilizado en la detención de sus familiares,</w:t>
      </w:r>
      <w:r>
        <w:rPr>
          <w:rFonts w:ascii="Verdana" w:hAnsi="Verdana"/>
          <w:sz w:val="16"/>
          <w:szCs w:val="16"/>
        </w:rPr>
        <w:t xml:space="preserve"> véanse: </w:t>
      </w:r>
      <w:r w:rsidRPr="00432ABC">
        <w:rPr>
          <w:rFonts w:ascii="Verdana" w:hAnsi="Verdana"/>
          <w:sz w:val="16"/>
          <w:szCs w:val="16"/>
        </w:rPr>
        <w:t>Acta de Fe Ministerial de 1 de junio de 2009 (expediente de prueba, f. 28174); Oficio 802/2009 de 1 de junio de 2009 dirigido al Coronel Élfego José Luján Ruiz, Comandante del 35 Batallón (expediente de prueba, f. 27834); Acuerdo de Aseguramiento de 1 de junio de 2009 de la AMPF - PGR en Nuevo Casas Grandes, Chihuahua (expediente de prueba, f. 28177); Acta de Procedimientos de Entrega – Recepción del 35 Batallón de Infantería de 21 de enero de 2010 suscrita por el Coronel Élfego José Luján Ruiz (expediente de prueba, f. 27963); Oficio 104/2010 de 10 de febrero de 2010 dirigido al Director General del Servicio de Administración y Enajenación de Bienes de la Secretaría de Hacienda y Crédito Público (expediente de prueba, f. 28169); Acta Administrativa de Transferencia de Bienes Asegurados No. A/PGR/ADM/CJS/CJS/01275/10/03 de 2 de marzo de 2010 (expediente de prueba, f. 28202); Oficio 21239 de 7 de octubre de 2014 suscrito por el Comandante Interino del 35 Batallón de Infantería, dirigido al AMPF - PGR titular de la Agencia Única Investigadora en Nuevo Casas Grandes (expediente de prueba, f. 28171), y Acta de Inspección Ministerial de 4 de diciembre de 2014 suscrita por el AMPF - PGR titular de la Mesa 5 de la UEBPD - PGR (expediente de prueba, f. 28182)</w:t>
      </w:r>
      <w:r>
        <w:rPr>
          <w:rFonts w:ascii="Verdana" w:hAnsi="Verdana"/>
          <w:sz w:val="16"/>
          <w:szCs w:val="16"/>
        </w:rPr>
        <w:t>.</w:t>
      </w:r>
    </w:p>
  </w:footnote>
  <w:footnote w:id="420">
    <w:p w14:paraId="64AA62DA" w14:textId="7E34E3E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Mensaje C.E.I. No. 817/01 de 31 de enero de 2010 del Comandante de la Quinta </w:t>
      </w:r>
      <w:r w:rsidRPr="00432ABC">
        <w:rPr>
          <w:rFonts w:ascii="Verdana" w:hAnsi="Verdana"/>
          <w:sz w:val="16"/>
          <w:szCs w:val="16"/>
        </w:rPr>
        <w:t xml:space="preserve">Zona Militar en Chihuahua y P.M. (Op. Coord. Chih) en Ciudad Juárez (expediente de prueba, </w:t>
      </w:r>
      <w:r>
        <w:rPr>
          <w:rFonts w:ascii="Verdana" w:hAnsi="Verdana"/>
          <w:sz w:val="16"/>
          <w:szCs w:val="16"/>
        </w:rPr>
        <w:t>e</w:t>
      </w:r>
      <w:r w:rsidRPr="00432ABC">
        <w:rPr>
          <w:rFonts w:ascii="Verdana" w:hAnsi="Verdana"/>
          <w:sz w:val="16"/>
          <w:szCs w:val="16"/>
        </w:rPr>
        <w:t xml:space="preserve">xpediente penal, ff. 5313 a 5314); Oficio No. ZM-197 de 26 de febrero de 2010 del </w:t>
      </w:r>
      <w:r w:rsidRPr="00432ABC">
        <w:rPr>
          <w:rFonts w:ascii="Verdana" w:hAnsi="Verdana"/>
          <w:sz w:val="16"/>
          <w:szCs w:val="16"/>
          <w:lang w:val="es-AR"/>
        </w:rPr>
        <w:t>AMPM-5ªZM</w:t>
      </w:r>
      <w:r w:rsidRPr="00432ABC">
        <w:rPr>
          <w:rFonts w:ascii="Verdana" w:hAnsi="Verdana"/>
          <w:sz w:val="16"/>
          <w:szCs w:val="16"/>
        </w:rPr>
        <w:t xml:space="preserve">, dirigido al Comandante de la Quinta Zona Militar en Chihuahua (expediente de prueba, </w:t>
      </w:r>
      <w:r>
        <w:rPr>
          <w:rFonts w:ascii="Verdana" w:hAnsi="Verdana"/>
          <w:sz w:val="16"/>
          <w:szCs w:val="16"/>
        </w:rPr>
        <w:t>e</w:t>
      </w:r>
      <w:r w:rsidRPr="00432ABC">
        <w:rPr>
          <w:rFonts w:ascii="Verdana" w:hAnsi="Verdana"/>
          <w:sz w:val="16"/>
          <w:szCs w:val="16"/>
        </w:rPr>
        <w:t xml:space="preserve">xpediente penal, f. 5564); Mensaje C.E.I. No. 5356 de 1 de marzo de 2010 suscrito por el Jefe de la S-2 del Cuartel General de la Quinta Zona Militar en Chihuahua, Chihuahua dirigido a los Comandantes del 35 Batallón de Infantería, 23 Batallón de Infantería y 20 Regimiento Caballería Motorizada del Ejército (expediente de prueba, </w:t>
      </w:r>
      <w:r>
        <w:rPr>
          <w:rFonts w:ascii="Verdana" w:hAnsi="Verdana"/>
          <w:sz w:val="16"/>
          <w:szCs w:val="16"/>
        </w:rPr>
        <w:t>e</w:t>
      </w:r>
      <w:r w:rsidRPr="00432ABC">
        <w:rPr>
          <w:rFonts w:ascii="Verdana" w:hAnsi="Verdana"/>
          <w:sz w:val="16"/>
          <w:szCs w:val="16"/>
        </w:rPr>
        <w:t xml:space="preserve">xpediente penal, f. 5593); Oficio No. 3625 de 2 de marzo de 2010 suscrito por el Coronel David López Uvalle, Comandante del 23º Batallón de Infantería del Ejército, dirigido al </w:t>
      </w:r>
      <w:r w:rsidRPr="00432ABC">
        <w:rPr>
          <w:rFonts w:ascii="Verdana" w:hAnsi="Verdana"/>
          <w:sz w:val="16"/>
          <w:szCs w:val="16"/>
          <w:lang w:val="es-AR"/>
        </w:rPr>
        <w:t>AMPM-5ªZM</w:t>
      </w:r>
      <w:r w:rsidRPr="00432ABC">
        <w:rPr>
          <w:rFonts w:ascii="Verdana" w:hAnsi="Verdana"/>
          <w:sz w:val="16"/>
          <w:szCs w:val="16"/>
        </w:rPr>
        <w:t xml:space="preserve"> en atención al Oficio No. ZM-197 de 26 de febrero de 2010, por el cual remite 6 fotografías de elementos portando uniformes tipo pixelado utilizados por dicha unidad militar los días 29, 30 y 31 de diciembre de 2009 (expediente de prueba, </w:t>
      </w:r>
      <w:r>
        <w:rPr>
          <w:rFonts w:ascii="Verdana" w:hAnsi="Verdana"/>
          <w:sz w:val="16"/>
          <w:szCs w:val="16"/>
        </w:rPr>
        <w:t>e</w:t>
      </w:r>
      <w:r w:rsidRPr="00432ABC">
        <w:rPr>
          <w:rFonts w:ascii="Verdana" w:hAnsi="Verdana"/>
          <w:sz w:val="16"/>
          <w:szCs w:val="16"/>
        </w:rPr>
        <w:t>xpediente penal, ff. 5595 a 5596); Oficio No. 4401 de 2 de marzo de 2010 suscrito por Juan Pablo Figueroa Estrada, Coronel de Caballería</w:t>
      </w:r>
      <w:r>
        <w:rPr>
          <w:rFonts w:ascii="Verdana" w:hAnsi="Verdana"/>
          <w:sz w:val="16"/>
          <w:szCs w:val="16"/>
        </w:rPr>
        <w:t>,</w:t>
      </w:r>
      <w:r w:rsidRPr="00432ABC">
        <w:rPr>
          <w:rFonts w:ascii="Verdana" w:hAnsi="Verdana"/>
          <w:sz w:val="16"/>
          <w:szCs w:val="16"/>
        </w:rPr>
        <w:t xml:space="preserve"> Comandante del 20º Regimiento de Caballería Motorizada del Ejército, dirigido al </w:t>
      </w:r>
      <w:r w:rsidRPr="00432ABC">
        <w:rPr>
          <w:rFonts w:ascii="Verdana" w:hAnsi="Verdana"/>
          <w:sz w:val="16"/>
          <w:szCs w:val="16"/>
          <w:lang w:val="es-AR"/>
        </w:rPr>
        <w:t>AMPM-5ªZM</w:t>
      </w:r>
      <w:r w:rsidRPr="00432ABC">
        <w:rPr>
          <w:rFonts w:ascii="Verdana" w:hAnsi="Verdana"/>
          <w:sz w:val="16"/>
          <w:szCs w:val="16"/>
        </w:rPr>
        <w:t xml:space="preserve"> en atención al Mensaje C.E.I. No. 5356 de 1 de marzo de 2010, por el cual remite 1 fotografía del uniforme y casco utilizado por el personal castrense adscrito a dicha unidad militar los días 29, 30 y 31 de diciembre de 2009 (expediente de prueba, </w:t>
      </w:r>
      <w:r>
        <w:rPr>
          <w:rFonts w:ascii="Verdana" w:hAnsi="Verdana"/>
          <w:sz w:val="16"/>
          <w:szCs w:val="16"/>
        </w:rPr>
        <w:t>e</w:t>
      </w:r>
      <w:r w:rsidRPr="00432ABC">
        <w:rPr>
          <w:rFonts w:ascii="Verdana" w:hAnsi="Verdana"/>
          <w:sz w:val="16"/>
          <w:szCs w:val="16"/>
        </w:rPr>
        <w:t xml:space="preserve">xpediente penal, ff. 5600 a 5601). </w:t>
      </w:r>
    </w:p>
  </w:footnote>
  <w:footnote w:id="421">
    <w:p w14:paraId="64AA62DB" w14:textId="3877828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de Patricia Reyes Rueda rendida el 27 de octubre de 2014 ante el AMPF adscrito a la UEBPD – PGR, </w:t>
      </w:r>
      <w:r w:rsidRPr="00432ABC">
        <w:rPr>
          <w:rFonts w:ascii="Verdana" w:hAnsi="Verdana"/>
          <w:i/>
          <w:sz w:val="16"/>
          <w:szCs w:val="16"/>
        </w:rPr>
        <w:t xml:space="preserve">supra, </w:t>
      </w:r>
      <w:r w:rsidRPr="00432ABC">
        <w:rPr>
          <w:rFonts w:ascii="Verdana" w:hAnsi="Verdana"/>
          <w:sz w:val="16"/>
          <w:szCs w:val="16"/>
        </w:rPr>
        <w:t xml:space="preserve">f. 27892, y Declaración de Obdulia Espinoza Beltrán rendida el 27 de octubre de 2014 ante el AMPF adscrito a la UEBPD – PGR,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27932</w:t>
      </w:r>
      <w:r>
        <w:rPr>
          <w:rFonts w:ascii="Verdana" w:hAnsi="Verdana"/>
          <w:sz w:val="16"/>
          <w:szCs w:val="16"/>
        </w:rPr>
        <w:t>)</w:t>
      </w:r>
      <w:r w:rsidRPr="00432ABC">
        <w:rPr>
          <w:rFonts w:ascii="Verdana" w:hAnsi="Verdana"/>
          <w:sz w:val="16"/>
          <w:szCs w:val="16"/>
        </w:rPr>
        <w:t xml:space="preserve">. </w:t>
      </w:r>
    </w:p>
  </w:footnote>
  <w:footnote w:id="422">
    <w:p w14:paraId="64AA62DC" w14:textId="7C6D7F5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8D0846">
        <w:rPr>
          <w:rFonts w:ascii="Verdana" w:hAnsi="Verdana"/>
          <w:bCs/>
          <w:i/>
          <w:sz w:val="16"/>
          <w:szCs w:val="16"/>
        </w:rPr>
        <w:t>Caso Rodríguez Vera y otros (Desaparecidos del Palacio de Justicia) Vs. Colombia</w:t>
      </w:r>
      <w:r>
        <w:rPr>
          <w:rFonts w:ascii="Verdana" w:hAnsi="Verdana"/>
          <w:bCs/>
          <w:sz w:val="16"/>
          <w:szCs w:val="16"/>
        </w:rPr>
        <w:t xml:space="preserve">, </w:t>
      </w:r>
      <w:r w:rsidRPr="00432ABC">
        <w:rPr>
          <w:rFonts w:ascii="Verdana" w:hAnsi="Verdana"/>
          <w:bCs/>
          <w:i/>
          <w:sz w:val="16"/>
          <w:szCs w:val="16"/>
        </w:rPr>
        <w:t xml:space="preserve">supra, </w:t>
      </w:r>
      <w:r w:rsidRPr="00432ABC">
        <w:rPr>
          <w:rFonts w:ascii="Verdana" w:hAnsi="Verdana"/>
          <w:bCs/>
          <w:sz w:val="16"/>
          <w:szCs w:val="16"/>
        </w:rPr>
        <w:t xml:space="preserve">párr. </w:t>
      </w:r>
      <w:r w:rsidRPr="00432ABC">
        <w:rPr>
          <w:rFonts w:ascii="Verdana" w:hAnsi="Verdana"/>
          <w:sz w:val="16"/>
          <w:szCs w:val="16"/>
        </w:rPr>
        <w:t>384.</w:t>
      </w:r>
    </w:p>
  </w:footnote>
  <w:footnote w:id="423">
    <w:p w14:paraId="64AA62DD" w14:textId="781A534E" w:rsidR="00146958" w:rsidRPr="00A65589"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Con base en: i) el supues</w:t>
      </w:r>
      <w:r w:rsidRPr="002C462C">
        <w:rPr>
          <w:rFonts w:ascii="Verdana" w:hAnsi="Verdana"/>
          <w:sz w:val="16"/>
          <w:szCs w:val="16"/>
        </w:rPr>
        <w:t xml:space="preserve">to uso de uniformes apócrifos de las fuerzas de seguridad por parte de integrantes del </w:t>
      </w:r>
      <w:r w:rsidRPr="00CB158F">
        <w:rPr>
          <w:rFonts w:ascii="Verdana" w:hAnsi="Verdana"/>
          <w:sz w:val="16"/>
          <w:szCs w:val="16"/>
        </w:rPr>
        <w:t xml:space="preserve">crimen organizado; ii) la presunta participación de Rafael Alvarado Sáenz, padre de Rocío Irene Alvarado, en actividades de narcotráfico y su asesinato el 6 de junio de 2008 a manos de miembros de la delincuencia organizada con motivo de las mismas, y iii) “una posible relación” entre Rocío </w:t>
      </w:r>
      <w:r w:rsidRPr="000E5226">
        <w:rPr>
          <w:rFonts w:ascii="Verdana" w:hAnsi="Verdana"/>
          <w:sz w:val="16"/>
          <w:szCs w:val="16"/>
        </w:rPr>
        <w:t>Irene Alvarado y un integrante del grupo criminal “La Línea” conocido como “El Junior” (</w:t>
      </w:r>
      <w:r w:rsidRPr="00C96E7F">
        <w:rPr>
          <w:rFonts w:ascii="Verdana" w:hAnsi="Verdana"/>
          <w:i/>
          <w:sz w:val="16"/>
          <w:szCs w:val="16"/>
        </w:rPr>
        <w:t>supra</w:t>
      </w:r>
      <w:r w:rsidRPr="00C96E7F">
        <w:rPr>
          <w:rFonts w:ascii="Verdana" w:hAnsi="Verdana"/>
          <w:sz w:val="16"/>
          <w:szCs w:val="16"/>
        </w:rPr>
        <w:t>, párr. 162</w:t>
      </w:r>
      <w:r w:rsidRPr="00A65589">
        <w:rPr>
          <w:rFonts w:ascii="Verdana" w:hAnsi="Verdana"/>
          <w:sz w:val="16"/>
          <w:szCs w:val="16"/>
        </w:rPr>
        <w:t>).</w:t>
      </w:r>
    </w:p>
  </w:footnote>
  <w:footnote w:id="424">
    <w:p w14:paraId="3CA13F00" w14:textId="0C7BC0B2" w:rsidR="00146958" w:rsidRPr="00432ABC" w:rsidRDefault="00146958">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CB158F">
        <w:rPr>
          <w:rFonts w:ascii="Verdana" w:hAnsi="Verdana"/>
          <w:sz w:val="16"/>
          <w:szCs w:val="16"/>
        </w:rPr>
        <w:t>A saber: una declaración ministerial vertida por Patricia Reyes Rueda, diversos testimonios rendidos a nivel interno, una nota periodística, un inf</w:t>
      </w:r>
      <w:r w:rsidRPr="000E5226">
        <w:rPr>
          <w:rFonts w:ascii="Verdana" w:hAnsi="Verdana"/>
          <w:sz w:val="16"/>
          <w:szCs w:val="16"/>
        </w:rPr>
        <w:t>orme del Estado emitido por el CENAPI – PGR y su interpretación</w:t>
      </w:r>
      <w:r w:rsidRPr="00C96E7F">
        <w:rPr>
          <w:rFonts w:ascii="Verdana" w:hAnsi="Verdana"/>
          <w:sz w:val="16"/>
          <w:szCs w:val="16"/>
        </w:rPr>
        <w:t xml:space="preserve"> a cargo de un funcionario público</w:t>
      </w:r>
      <w:r w:rsidRPr="00A65589">
        <w:rPr>
          <w:rFonts w:ascii="Verdana" w:hAnsi="Verdana"/>
          <w:sz w:val="16"/>
          <w:szCs w:val="16"/>
        </w:rPr>
        <w:t xml:space="preserve">. </w:t>
      </w:r>
      <w:r w:rsidRPr="00702B7F">
        <w:rPr>
          <w:rFonts w:ascii="Verdana" w:hAnsi="Verdana"/>
          <w:i/>
          <w:sz w:val="16"/>
          <w:szCs w:val="16"/>
        </w:rPr>
        <w:t xml:space="preserve"> </w:t>
      </w:r>
      <w:r w:rsidRPr="00CD5C54">
        <w:rPr>
          <w:rFonts w:ascii="Verdana" w:hAnsi="Verdana"/>
          <w:i/>
          <w:sz w:val="16"/>
          <w:szCs w:val="16"/>
        </w:rPr>
        <w:t>Cfr.</w:t>
      </w:r>
      <w:r w:rsidRPr="00702B7F">
        <w:rPr>
          <w:rFonts w:ascii="Verdana" w:hAnsi="Verdana"/>
          <w:i/>
          <w:sz w:val="16"/>
          <w:szCs w:val="16"/>
        </w:rPr>
        <w:t xml:space="preserve"> </w:t>
      </w:r>
      <w:r w:rsidRPr="00702B7F">
        <w:rPr>
          <w:rFonts w:ascii="Verdana" w:hAnsi="Verdana"/>
          <w:sz w:val="16"/>
          <w:szCs w:val="16"/>
        </w:rPr>
        <w:t>Declaración de Patricia Reyes Rueda rendida el 10 de junio de 2015 ante el AMPF adscrito a la UEBPD – PGR (expediente de prueba, f. 27896)</w:t>
      </w:r>
      <w:r>
        <w:rPr>
          <w:rFonts w:ascii="Verdana" w:hAnsi="Verdana"/>
          <w:sz w:val="16"/>
          <w:szCs w:val="16"/>
        </w:rPr>
        <w:t>;</w:t>
      </w:r>
      <w:r w:rsidRPr="00432ABC">
        <w:rPr>
          <w:rFonts w:ascii="Verdana" w:hAnsi="Verdana"/>
          <w:sz w:val="16"/>
          <w:szCs w:val="16"/>
        </w:rPr>
        <w:t xml:space="preserve"> Acta de Entrevista realizada a Marín Adrián Lasso Carbajal por Policías Ministeriales de Nuevo Casas Grandes, Chihuahua, s/f. (expediente de prueba, f. 28398); Declaración de Gabriel Tena Loya rendida el 20 de noviembre de 2009 ante el AMPF – PGR (expediente de prueba, anexo 95 de la contestación del Estado, f. 28794)</w:t>
      </w:r>
      <w:r>
        <w:rPr>
          <w:rFonts w:ascii="Verdana" w:hAnsi="Verdana"/>
          <w:sz w:val="16"/>
          <w:szCs w:val="16"/>
        </w:rPr>
        <w:t xml:space="preserve">; </w:t>
      </w:r>
      <w:r w:rsidRPr="00432ABC">
        <w:rPr>
          <w:rFonts w:ascii="Verdana" w:hAnsi="Verdana"/>
          <w:sz w:val="16"/>
          <w:szCs w:val="16"/>
        </w:rPr>
        <w:t xml:space="preserve">Declaración de Marín Adrián Lasso Carbajal rendida el 16 de abril de 2018 ante la AMPF adscrita a la FEIDDF – PGR (expediente de prueba, </w:t>
      </w:r>
      <w:r w:rsidRPr="00453199">
        <w:rPr>
          <w:rFonts w:ascii="Verdana" w:hAnsi="Verdana"/>
          <w:i/>
          <w:sz w:val="16"/>
        </w:rPr>
        <w:t>Affidávits</w:t>
      </w:r>
      <w:r w:rsidRPr="00432ABC">
        <w:rPr>
          <w:rFonts w:ascii="Verdana" w:hAnsi="Verdana"/>
          <w:sz w:val="16"/>
          <w:szCs w:val="16"/>
        </w:rPr>
        <w:t>, f. 31215)</w:t>
      </w:r>
      <w:r>
        <w:rPr>
          <w:rFonts w:ascii="Verdana" w:hAnsi="Verdana"/>
          <w:sz w:val="16"/>
          <w:szCs w:val="16"/>
        </w:rPr>
        <w:t>;</w:t>
      </w:r>
      <w:r w:rsidRPr="00432ABC">
        <w:rPr>
          <w:rFonts w:ascii="Verdana" w:hAnsi="Verdana"/>
          <w:sz w:val="16"/>
          <w:szCs w:val="16"/>
        </w:rPr>
        <w:t xml:space="preserve"> Nota de Prensa titulada “El 28 de diciembre [sic] el Ejército probablemente desapareció a mis familiares, sus nombres son: José Ángel Alvarado Herrera, Nitza Paola Alvarado Espinoza y Rocío Irene Alvarado Reyes”, publicada en “@juárez” el 30 de mayo de 2011 (expediente de prueba, f. 27899)</w:t>
      </w:r>
      <w:r>
        <w:rPr>
          <w:rFonts w:ascii="Verdana" w:hAnsi="Verdana"/>
          <w:sz w:val="16"/>
          <w:szCs w:val="16"/>
        </w:rPr>
        <w:t xml:space="preserve">; </w:t>
      </w:r>
      <w:r w:rsidRPr="00432ABC">
        <w:rPr>
          <w:rFonts w:ascii="Verdana" w:hAnsi="Verdana"/>
          <w:sz w:val="16"/>
          <w:szCs w:val="16"/>
        </w:rPr>
        <w:t xml:space="preserve">Informe emitido por el CENAPI – PGR sobre el </w:t>
      </w:r>
      <w:r w:rsidRPr="00432ABC">
        <w:rPr>
          <w:rFonts w:ascii="Verdana" w:hAnsi="Verdana"/>
          <w:i/>
          <w:sz w:val="16"/>
          <w:szCs w:val="16"/>
        </w:rPr>
        <w:t>Caso Alvarado Espinoza y Otros Vs. México</w:t>
      </w:r>
      <w:r w:rsidRPr="00432ABC">
        <w:rPr>
          <w:rFonts w:ascii="Verdana" w:hAnsi="Verdana"/>
          <w:sz w:val="16"/>
          <w:szCs w:val="16"/>
        </w:rPr>
        <w:t xml:space="preserve"> el 13 de octubre de 2017, </w:t>
      </w:r>
      <w:r w:rsidRPr="00432ABC">
        <w:rPr>
          <w:rFonts w:ascii="Verdana" w:hAnsi="Verdana"/>
          <w:i/>
          <w:sz w:val="16"/>
          <w:szCs w:val="16"/>
        </w:rPr>
        <w:t>supra</w:t>
      </w:r>
      <w:r w:rsidRPr="00432ABC">
        <w:rPr>
          <w:rFonts w:ascii="Verdana" w:hAnsi="Verdana"/>
          <w:sz w:val="16"/>
          <w:szCs w:val="16"/>
        </w:rPr>
        <w:t>, ff. 28509 a 28571</w:t>
      </w:r>
      <w:r>
        <w:rPr>
          <w:rFonts w:ascii="Verdana" w:hAnsi="Verdana"/>
          <w:i/>
          <w:sz w:val="16"/>
          <w:szCs w:val="16"/>
        </w:rPr>
        <w:t xml:space="preserve">, </w:t>
      </w:r>
      <w:r w:rsidRPr="008D0846">
        <w:rPr>
          <w:rFonts w:ascii="Verdana" w:hAnsi="Verdana"/>
          <w:sz w:val="16"/>
          <w:szCs w:val="16"/>
        </w:rPr>
        <w:t>y</w:t>
      </w:r>
      <w:r w:rsidRPr="00432ABC">
        <w:rPr>
          <w:rFonts w:ascii="Verdana" w:hAnsi="Verdana"/>
          <w:sz w:val="16"/>
          <w:szCs w:val="16"/>
        </w:rPr>
        <w:t xml:space="preserve"> Declaración de Efraín Arzola Herrejón, analista de Control e Información Estratégica del CENAPI - PGR, rendida el 12 de abril de 2018 ante la AMPF adscrita a la FEIDDF – PGR (expediente de prueba, </w:t>
      </w:r>
      <w:r w:rsidRPr="00453199">
        <w:rPr>
          <w:rFonts w:ascii="Verdana" w:hAnsi="Verdana"/>
          <w:i/>
          <w:sz w:val="16"/>
        </w:rPr>
        <w:t>Affidávits</w:t>
      </w:r>
      <w:r w:rsidRPr="00432ABC">
        <w:rPr>
          <w:rFonts w:ascii="Verdana" w:hAnsi="Verdana"/>
          <w:sz w:val="16"/>
          <w:szCs w:val="16"/>
        </w:rPr>
        <w:t>, f. 31201 a 31206).</w:t>
      </w:r>
    </w:p>
  </w:footnote>
  <w:footnote w:id="425">
    <w:p w14:paraId="64AA62E2" w14:textId="7B5450D1" w:rsidR="00146958" w:rsidRPr="00432ABC" w:rsidRDefault="00146958">
      <w:pPr>
        <w:pStyle w:val="Textonotapie"/>
        <w:jc w:val="both"/>
        <w:rPr>
          <w:rFonts w:ascii="Verdana" w:hAnsi="Verdana"/>
          <w:i/>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i/>
          <w:sz w:val="16"/>
          <w:szCs w:val="16"/>
        </w:rPr>
        <w:t>Caso González Medina y Familiares Vs. República Dominicana. Excepciones Preliminares, Fondo, Reparaciones y Costas, supra</w:t>
      </w:r>
      <w:r w:rsidRPr="00432ABC">
        <w:rPr>
          <w:rStyle w:val="Textoennegrita"/>
          <w:rFonts w:ascii="Verdana" w:hAnsi="Verdana"/>
          <w:color w:val="000000"/>
          <w:sz w:val="16"/>
          <w:szCs w:val="16"/>
          <w:shd w:val="clear" w:color="auto" w:fill="FFFFFF"/>
        </w:rPr>
        <w:t>,</w:t>
      </w:r>
      <w:r w:rsidRPr="00432ABC">
        <w:rPr>
          <w:rFonts w:ascii="Verdana" w:hAnsi="Verdana"/>
          <w:b/>
          <w:sz w:val="16"/>
          <w:szCs w:val="16"/>
        </w:rPr>
        <w:t xml:space="preserve"> </w:t>
      </w:r>
      <w:r w:rsidRPr="00432ABC">
        <w:rPr>
          <w:rFonts w:ascii="Verdana" w:hAnsi="Verdana"/>
          <w:sz w:val="16"/>
          <w:szCs w:val="16"/>
        </w:rPr>
        <w:t xml:space="preserve">párrs. 168 a 169. </w:t>
      </w:r>
    </w:p>
  </w:footnote>
  <w:footnote w:id="426">
    <w:p w14:paraId="3EC595A9" w14:textId="52BFBBF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Informe emitido por el CENAPI – PGR</w:t>
      </w:r>
      <w:r>
        <w:rPr>
          <w:rFonts w:ascii="Verdana" w:hAnsi="Verdana"/>
          <w:sz w:val="16"/>
          <w:szCs w:val="16"/>
        </w:rPr>
        <w:t xml:space="preserve">, el 13 de octubre de 2017,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ff. 28526 a 28531</w:t>
      </w:r>
      <w:r>
        <w:rPr>
          <w:rFonts w:ascii="Verdana" w:hAnsi="Verdana"/>
          <w:sz w:val="16"/>
          <w:szCs w:val="16"/>
        </w:rPr>
        <w:t>)</w:t>
      </w:r>
      <w:r w:rsidRPr="00432ABC">
        <w:rPr>
          <w:rFonts w:ascii="Verdana" w:hAnsi="Verdana"/>
          <w:sz w:val="16"/>
          <w:szCs w:val="16"/>
        </w:rPr>
        <w:t>.</w:t>
      </w:r>
    </w:p>
  </w:footnote>
  <w:footnote w:id="427">
    <w:p w14:paraId="64AA62E6" w14:textId="024FE0C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Declaración testimonial de Alberto Hernández de la Cruz rendida el 13 de abril de 2011 ante el Agente del Ministerio Público Mil</w:t>
      </w:r>
      <w:r w:rsidRPr="00432ABC">
        <w:rPr>
          <w:rFonts w:ascii="Verdana" w:hAnsi="Verdana"/>
          <w:sz w:val="16"/>
          <w:szCs w:val="16"/>
        </w:rPr>
        <w:t xml:space="preserve">itar adscrito a la Sección de Averiguaciones Previas de la Procuraduría General de Justicia Militar en la Ciudad de México (expediente de prueba, </w:t>
      </w:r>
      <w:r>
        <w:rPr>
          <w:rFonts w:ascii="Verdana" w:hAnsi="Verdana"/>
          <w:sz w:val="16"/>
          <w:szCs w:val="16"/>
        </w:rPr>
        <w:t>e</w:t>
      </w:r>
      <w:r w:rsidRPr="00432ABC">
        <w:rPr>
          <w:rFonts w:ascii="Verdana" w:hAnsi="Verdana"/>
          <w:sz w:val="16"/>
          <w:szCs w:val="16"/>
        </w:rPr>
        <w:t>xpediente penal, ff. 8330 a 8331).</w:t>
      </w:r>
      <w:r>
        <w:rPr>
          <w:rFonts w:ascii="Verdana" w:hAnsi="Verdana"/>
          <w:sz w:val="16"/>
          <w:szCs w:val="16"/>
        </w:rPr>
        <w:t xml:space="preserve"> </w:t>
      </w:r>
      <w:r w:rsidRPr="00432ABC">
        <w:rPr>
          <w:rFonts w:ascii="Verdana" w:hAnsi="Verdana"/>
          <w:sz w:val="16"/>
          <w:szCs w:val="16"/>
        </w:rPr>
        <w:t xml:space="preserve">Sobre este punto, la Corte nota que </w:t>
      </w:r>
      <w:r>
        <w:rPr>
          <w:rFonts w:ascii="Verdana" w:hAnsi="Verdana"/>
          <w:sz w:val="16"/>
          <w:szCs w:val="16"/>
        </w:rPr>
        <w:t xml:space="preserve">en </w:t>
      </w:r>
      <w:r w:rsidRPr="00432ABC">
        <w:rPr>
          <w:rFonts w:ascii="Verdana" w:hAnsi="Verdana"/>
          <w:sz w:val="16"/>
          <w:szCs w:val="16"/>
        </w:rPr>
        <w:t xml:space="preserve">la constancia que obra en el expediente </w:t>
      </w:r>
      <w:r>
        <w:rPr>
          <w:rFonts w:ascii="Verdana" w:hAnsi="Verdana"/>
          <w:sz w:val="16"/>
          <w:szCs w:val="16"/>
        </w:rPr>
        <w:t>sobre</w:t>
      </w:r>
      <w:r w:rsidRPr="00432ABC">
        <w:rPr>
          <w:rFonts w:ascii="Verdana" w:hAnsi="Verdana"/>
          <w:sz w:val="16"/>
          <w:szCs w:val="16"/>
        </w:rPr>
        <w:t xml:space="preserve"> dicha comparecencia únicamente se registraron las respuestas proporcionadas por el testigo a tal interrogatorio, pero no las preguntas que le fueron formuladas a</w:t>
      </w:r>
      <w:r>
        <w:rPr>
          <w:rFonts w:ascii="Verdana" w:hAnsi="Verdana"/>
          <w:sz w:val="16"/>
          <w:szCs w:val="16"/>
        </w:rPr>
        <w:t xml:space="preserve"> dicho </w:t>
      </w:r>
      <w:r w:rsidRPr="00432ABC">
        <w:rPr>
          <w:rFonts w:ascii="Verdana" w:hAnsi="Verdana"/>
          <w:sz w:val="16"/>
          <w:szCs w:val="16"/>
        </w:rPr>
        <w:t>declarante, por lo que no</w:t>
      </w:r>
      <w:r>
        <w:rPr>
          <w:rFonts w:ascii="Verdana" w:hAnsi="Verdana"/>
          <w:sz w:val="16"/>
          <w:szCs w:val="16"/>
        </w:rPr>
        <w:t xml:space="preserve"> se</w:t>
      </w:r>
      <w:r w:rsidRPr="00432ABC">
        <w:rPr>
          <w:rFonts w:ascii="Verdana" w:hAnsi="Verdana"/>
          <w:sz w:val="16"/>
          <w:szCs w:val="16"/>
        </w:rPr>
        <w:t xml:space="preserve"> tiene prueba del contenido de estas últimas ni del contexto en que las mismas fueron realizadas</w:t>
      </w:r>
      <w:r>
        <w:rPr>
          <w:rFonts w:ascii="Verdana" w:hAnsi="Verdana"/>
          <w:sz w:val="16"/>
          <w:szCs w:val="16"/>
        </w:rPr>
        <w:t>.</w:t>
      </w:r>
    </w:p>
  </w:footnote>
  <w:footnote w:id="428">
    <w:p w14:paraId="4FEF3F08" w14:textId="607037B4"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0E5226">
        <w:rPr>
          <w:rFonts w:ascii="Verdana" w:hAnsi="Verdana"/>
          <w:sz w:val="16"/>
          <w:szCs w:val="16"/>
        </w:rPr>
        <w:t>Informe del Equipo Internacional de Peritos [EIP], de 31 de marzo de 2015 (expediente de prueba, f. 288</w:t>
      </w:r>
      <w:r w:rsidRPr="00F60E21">
        <w:rPr>
          <w:rFonts w:ascii="Verdana" w:hAnsi="Verdana"/>
          <w:sz w:val="16"/>
          <w:szCs w:val="16"/>
        </w:rPr>
        <w:t>94 a 28914).</w:t>
      </w:r>
    </w:p>
  </w:footnote>
  <w:footnote w:id="429">
    <w:p w14:paraId="64AA62E7" w14:textId="11DBBF8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Informe del EIP de 31 de marzo de 2015 rendido en el marco de asistencia a la FGE - Chihuahua, </w:t>
      </w:r>
      <w:r w:rsidRPr="00432ABC">
        <w:rPr>
          <w:rFonts w:ascii="Verdana" w:hAnsi="Verdana"/>
          <w:i/>
          <w:sz w:val="16"/>
          <w:szCs w:val="16"/>
        </w:rPr>
        <w:t>supra</w:t>
      </w:r>
      <w:r w:rsidRPr="00432ABC">
        <w:rPr>
          <w:rFonts w:ascii="Verdana" w:hAnsi="Verdana"/>
          <w:sz w:val="16"/>
          <w:szCs w:val="16"/>
        </w:rPr>
        <w:t xml:space="preserve">, f. 28896. </w:t>
      </w:r>
    </w:p>
  </w:footnote>
  <w:footnote w:id="430">
    <w:p w14:paraId="64AA62E8" w14:textId="6BF31424" w:rsidR="00146958" w:rsidRPr="00432ABC" w:rsidRDefault="00146958" w:rsidP="003A59D0">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En cuanto al sentido de las resoluciones de dichos órganos jurisdiccion</w:t>
      </w:r>
      <w:r w:rsidRPr="002C462C">
        <w:rPr>
          <w:rFonts w:ascii="Verdana" w:hAnsi="Verdana"/>
          <w:sz w:val="16"/>
          <w:szCs w:val="16"/>
        </w:rPr>
        <w:t xml:space="preserve">ales: i) el Juez Séptimo de Distrito en Materia Penal de Ciudad Juárez </w:t>
      </w:r>
      <w:r w:rsidRPr="002C462C">
        <w:rPr>
          <w:rFonts w:ascii="Verdana" w:hAnsi="Verdana" w:cs="Cambria"/>
          <w:sz w:val="16"/>
          <w:szCs w:val="16"/>
        </w:rPr>
        <w:t>negó la orden de aprehensión en contra del Coronel Luján al considerar que no se acreditó el tercero de los elementos del cuerpo del delito de desaparición forzada previsto en el artícu</w:t>
      </w:r>
      <w:r w:rsidRPr="00432ABC">
        <w:rPr>
          <w:rFonts w:ascii="Verdana" w:hAnsi="Verdana" w:cs="Cambria"/>
          <w:sz w:val="16"/>
          <w:szCs w:val="16"/>
        </w:rPr>
        <w:t>lo 215-A y sancionado por los numerales 215-B y 215-C del Código Penal Federal, esto es, “que el sujeto activo propicie o mantenga dolosamente el ocultamiento de la persona bajo cualquier forma de detención”, pues en concepto de dicho juzgador no se demostró fehacientemente que la detención de los 3 desaparecidos fue</w:t>
      </w:r>
      <w:r>
        <w:rPr>
          <w:rFonts w:ascii="Verdana" w:hAnsi="Verdana" w:cs="Cambria"/>
          <w:sz w:val="16"/>
          <w:szCs w:val="16"/>
        </w:rPr>
        <w:t>se</w:t>
      </w:r>
      <w:r w:rsidRPr="00432ABC">
        <w:rPr>
          <w:rFonts w:ascii="Verdana" w:hAnsi="Verdana" w:cs="Cambria"/>
          <w:sz w:val="16"/>
          <w:szCs w:val="16"/>
        </w:rPr>
        <w:t xml:space="preserve"> realizada por elementos del Ejército mexicano por orden del imputado (el Coronel Luján), ni que este propiciara o mantuviera el ocultamiento de las presuntas víctimas o supiera de su paradero (</w:t>
      </w:r>
      <w:r w:rsidRPr="00432ABC">
        <w:rPr>
          <w:rFonts w:ascii="Verdana" w:hAnsi="Verdana" w:cs="Cambria"/>
          <w:i/>
          <w:sz w:val="16"/>
          <w:szCs w:val="16"/>
        </w:rPr>
        <w:t>supra</w:t>
      </w:r>
      <w:r w:rsidRPr="00432ABC">
        <w:rPr>
          <w:rFonts w:ascii="Verdana" w:hAnsi="Verdana" w:cs="Cambria"/>
          <w:sz w:val="16"/>
          <w:szCs w:val="16"/>
        </w:rPr>
        <w:t xml:space="preserve"> párr. </w:t>
      </w:r>
      <w:r>
        <w:rPr>
          <w:rFonts w:ascii="Verdana" w:hAnsi="Verdana" w:cs="Cambria"/>
          <w:sz w:val="16"/>
          <w:szCs w:val="16"/>
        </w:rPr>
        <w:t>126</w:t>
      </w:r>
      <w:r w:rsidRPr="00432ABC">
        <w:rPr>
          <w:rFonts w:ascii="Verdana" w:hAnsi="Verdana" w:cs="Cambria"/>
          <w:sz w:val="16"/>
          <w:szCs w:val="16"/>
        </w:rPr>
        <w:t xml:space="preserve">); ii) Por su parte, la magistrada del Cuarto Tribunal Unitario del Decimoséptimo Circuito consideró que “es indispensable que quede justificado el cuerpo del delito, lo que en el caso concreto no aconteció en vista de la insuficiencia probatoria” para imputar los hechos al Comandante del 35 Batallón, por lo que resolvió confirmar la resolución emitida el 31 de marzo de 2014 por el </w:t>
      </w:r>
      <w:r w:rsidRPr="00432ABC">
        <w:rPr>
          <w:rFonts w:ascii="Verdana" w:hAnsi="Verdana"/>
          <w:sz w:val="16"/>
          <w:szCs w:val="16"/>
        </w:rPr>
        <w:t>Juez Séptimo de Distrito en Materia Penal de Ciudad Juárez, y denegar la orden de aprehensión en contra de dicho Comandante</w:t>
      </w:r>
      <w:r>
        <w:rPr>
          <w:rFonts w:ascii="Verdana" w:hAnsi="Verdana"/>
          <w:sz w:val="16"/>
          <w:szCs w:val="16"/>
        </w:rPr>
        <w:t xml:space="preserve">. </w:t>
      </w:r>
      <w:r w:rsidRPr="00CD5C54">
        <w:rPr>
          <w:rFonts w:ascii="Verdana" w:hAnsi="Verdana"/>
          <w:i/>
          <w:sz w:val="16"/>
          <w:szCs w:val="16"/>
        </w:rPr>
        <w:t>Cfr.</w:t>
      </w:r>
      <w:r w:rsidRPr="00432ABC">
        <w:rPr>
          <w:rFonts w:ascii="Verdana" w:hAnsi="Verdana"/>
          <w:i/>
          <w:sz w:val="16"/>
          <w:szCs w:val="16"/>
        </w:rPr>
        <w:t xml:space="preserve"> </w:t>
      </w:r>
      <w:r w:rsidRPr="00432ABC">
        <w:rPr>
          <w:rFonts w:ascii="Verdana" w:hAnsi="Verdana"/>
          <w:sz w:val="16"/>
          <w:szCs w:val="16"/>
        </w:rPr>
        <w:t>Sentencia del Toca Penal 94/2014 dictada el 27 de junio de 2014 por la magistrada del Cuarto Tribunal Unitario de Circuito del 17º Circuito en el Estado de Chihuahua (expediente de prueba, f. 28695), y iii) el Tercer Tribunal Unitario del Decimoséptimo Circuito, al conocer del juicio de amparo promovido por la representante de los familiares en contra de la confirmación de la negativa de la orden de aprehensión en el Toca Penal 94/2014, resolvió que la magistrada del Cuarto Tribunal Unitario de Circuito omitió valorar en su conjunto diversos medios de prueba para verificar si existía o no el delito de desaparición forzada de personas y si la autoría de éste era imputable al Coronel Luján. En consecuencia, revocó dicha resolución y ordenó que el Cuarto Tribunal Unitario de Circuito emitiera una nueva resolución tras realizar la valoración señalada. Finalmente, al dar cumplimiento a dicha sentencia, la magistrada del Cuarto Tribunal Unitario realizó la valoración probatoria ordenada y el 7 de octubre de 2016 emitió una nueva resolución, misma que confirmó la negativa de orden de aprehensión respecto de dicho alto mando castrense</w:t>
      </w:r>
      <w:r>
        <w:rPr>
          <w:rFonts w:ascii="Verdana" w:hAnsi="Verdana"/>
          <w:sz w:val="16"/>
          <w:szCs w:val="16"/>
        </w:rPr>
        <w:t>.</w:t>
      </w:r>
      <w:r w:rsidRPr="00432ABC">
        <w:rPr>
          <w:rFonts w:ascii="Verdana" w:hAnsi="Verdana"/>
          <w:sz w:val="16"/>
          <w:szCs w:val="16"/>
        </w:rPr>
        <w:t xml:space="preserve"> </w:t>
      </w:r>
      <w:r w:rsidRPr="00CD5C54">
        <w:rPr>
          <w:rFonts w:ascii="Verdana" w:hAnsi="Verdana"/>
          <w:i/>
          <w:sz w:val="16"/>
          <w:szCs w:val="16"/>
        </w:rPr>
        <w:t>Cfr.</w:t>
      </w:r>
      <w:r w:rsidRPr="003A59D0">
        <w:rPr>
          <w:rFonts w:ascii="Verdana" w:hAnsi="Verdana"/>
          <w:sz w:val="16"/>
          <w:szCs w:val="16"/>
        </w:rPr>
        <w:t xml:space="preserve"> Resolución de 7 de octubre de 2016 emitida por la magistrada del 4ºTU/17ºC – Chihuahua, en cumplimiento a la sentencia del Tribunal Colegiado de Circuito del Decimoséptimo Circuito en Chihuahua el 9 de junio de 2016 (expediente de prueba, prueba para mejor reso</w:t>
      </w:r>
      <w:r>
        <w:rPr>
          <w:rFonts w:ascii="Verdana" w:hAnsi="Verdana"/>
          <w:sz w:val="16"/>
          <w:szCs w:val="16"/>
        </w:rPr>
        <w:t>lver remitida por el Estado,</w:t>
      </w:r>
      <w:r w:rsidRPr="00432ABC">
        <w:rPr>
          <w:rFonts w:ascii="Verdana" w:hAnsi="Verdana"/>
          <w:sz w:val="16"/>
          <w:szCs w:val="16"/>
        </w:rPr>
        <w:t xml:space="preserve"> f. 34949).</w:t>
      </w:r>
    </w:p>
  </w:footnote>
  <w:footnote w:id="431">
    <w:p w14:paraId="64AA62E9" w14:textId="4B60CEFF"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b/>
          <w:i/>
          <w:sz w:val="16"/>
          <w:szCs w:val="16"/>
        </w:rPr>
        <w:t xml:space="preserve"> </w:t>
      </w:r>
      <w:r w:rsidRPr="00432ABC">
        <w:rPr>
          <w:rStyle w:val="Textoennegrita"/>
          <w:rFonts w:ascii="Verdana" w:hAnsi="Verdana"/>
          <w:b w:val="0"/>
          <w:color w:val="000000"/>
          <w:sz w:val="16"/>
          <w:szCs w:val="16"/>
          <w:shd w:val="clear" w:color="auto" w:fill="FFFFFF"/>
        </w:rPr>
        <w:t xml:space="preserve">Caso Osorio Rivera y familiares Vs. Perú. </w:t>
      </w:r>
      <w:r>
        <w:rPr>
          <w:rStyle w:val="Textoennegrita"/>
          <w:rFonts w:ascii="Verdana" w:hAnsi="Verdana"/>
          <w:b w:val="0"/>
          <w:i/>
          <w:color w:val="000000"/>
          <w:sz w:val="16"/>
          <w:szCs w:val="16"/>
          <w:shd w:val="clear" w:color="auto" w:fill="FFFFFF"/>
        </w:rPr>
        <w:t>S</w:t>
      </w:r>
      <w:r w:rsidRPr="00432ABC">
        <w:rPr>
          <w:rStyle w:val="Textoennegrita"/>
          <w:rFonts w:ascii="Verdana" w:hAnsi="Verdana"/>
          <w:b w:val="0"/>
          <w:i/>
          <w:color w:val="000000"/>
          <w:sz w:val="16"/>
          <w:szCs w:val="16"/>
          <w:shd w:val="clear" w:color="auto" w:fill="FFFFFF"/>
        </w:rPr>
        <w:t xml:space="preserve">upra, </w:t>
      </w:r>
      <w:r w:rsidRPr="00432ABC">
        <w:rPr>
          <w:rStyle w:val="Textoennegrita"/>
          <w:rFonts w:ascii="Verdana" w:hAnsi="Verdana"/>
          <w:b w:val="0"/>
          <w:color w:val="000000"/>
          <w:sz w:val="16"/>
          <w:szCs w:val="16"/>
          <w:shd w:val="clear" w:color="auto" w:fill="FFFFFF"/>
        </w:rPr>
        <w:t>párrs. 143 y 144</w:t>
      </w:r>
      <w:r w:rsidRPr="00432ABC">
        <w:rPr>
          <w:rFonts w:ascii="Verdana" w:hAnsi="Verdana"/>
          <w:i/>
          <w:sz w:val="16"/>
          <w:szCs w:val="16"/>
        </w:rPr>
        <w:t xml:space="preserve">, </w:t>
      </w:r>
      <w:r w:rsidRPr="00432ABC">
        <w:rPr>
          <w:rFonts w:ascii="Verdana" w:hAnsi="Verdana"/>
          <w:sz w:val="16"/>
          <w:szCs w:val="16"/>
        </w:rPr>
        <w:t>y</w:t>
      </w:r>
      <w:r w:rsidRPr="00432ABC">
        <w:rPr>
          <w:rFonts w:ascii="Verdana" w:hAnsi="Verdana"/>
          <w:i/>
          <w:sz w:val="16"/>
          <w:szCs w:val="16"/>
        </w:rPr>
        <w:t xml:space="preserve"> C</w:t>
      </w:r>
      <w:r w:rsidRPr="00432ABC">
        <w:rPr>
          <w:rStyle w:val="Textoennegrita"/>
          <w:rFonts w:ascii="Verdana" w:hAnsi="Verdana"/>
          <w:b w:val="0"/>
          <w:i/>
          <w:color w:val="000000"/>
          <w:sz w:val="16"/>
          <w:szCs w:val="16"/>
          <w:shd w:val="clear" w:color="auto" w:fill="FFFFFF"/>
        </w:rPr>
        <w:t>aso Favela Nova</w:t>
      </w:r>
      <w:r w:rsidRPr="00432ABC">
        <w:rPr>
          <w:rStyle w:val="Textoennegrita"/>
          <w:rFonts w:ascii="Verdana" w:hAnsi="Verdana"/>
          <w:i/>
          <w:color w:val="000000"/>
          <w:sz w:val="16"/>
          <w:szCs w:val="16"/>
          <w:shd w:val="clear" w:color="auto" w:fill="FFFFFF"/>
        </w:rPr>
        <w:t xml:space="preserve"> </w:t>
      </w:r>
      <w:r w:rsidRPr="00432ABC">
        <w:rPr>
          <w:rStyle w:val="Textoennegrita"/>
          <w:rFonts w:ascii="Verdana" w:hAnsi="Verdana"/>
          <w:b w:val="0"/>
          <w:i/>
          <w:color w:val="000000"/>
          <w:sz w:val="16"/>
          <w:szCs w:val="16"/>
          <w:shd w:val="clear" w:color="auto" w:fill="FFFFFF"/>
        </w:rPr>
        <w:t>Brasília Vs. Brasil. Excepciones Preliminares, Fondo, Reparaciones y Costas</w:t>
      </w:r>
      <w:r w:rsidRPr="00432ABC">
        <w:rPr>
          <w:rStyle w:val="Textoennegrita"/>
          <w:rFonts w:ascii="Verdana" w:hAnsi="Verdana"/>
          <w:b w:val="0"/>
          <w:color w:val="000000"/>
          <w:sz w:val="16"/>
          <w:szCs w:val="16"/>
          <w:shd w:val="clear" w:color="auto" w:fill="FFFFFF"/>
        </w:rPr>
        <w:t>. Sentencia de 16 de febrero de 2017. Serie C No. 333, párr. 180.</w:t>
      </w:r>
      <w:r w:rsidRPr="00432ABC">
        <w:rPr>
          <w:rStyle w:val="Textoennegrita"/>
          <w:rFonts w:ascii="Verdana" w:hAnsi="Verdana"/>
          <w:color w:val="000000"/>
          <w:sz w:val="16"/>
          <w:szCs w:val="16"/>
          <w:shd w:val="clear" w:color="auto" w:fill="FFFFFF"/>
        </w:rPr>
        <w:t xml:space="preserve"> </w:t>
      </w:r>
    </w:p>
  </w:footnote>
  <w:footnote w:id="432">
    <w:p w14:paraId="64AA62EB" w14:textId="6C14F19E"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i/>
          <w:sz w:val="16"/>
          <w:szCs w:val="16"/>
        </w:rPr>
        <w:t>Caso Anzualdo Castro Vs. Perú. Excepción Preliminar, Fondo, Reparaciones y Costas.</w:t>
      </w:r>
      <w:r w:rsidRPr="00432ABC">
        <w:rPr>
          <w:rFonts w:ascii="Verdana" w:hAnsi="Verdana"/>
          <w:sz w:val="16"/>
          <w:szCs w:val="16"/>
        </w:rPr>
        <w:t xml:space="preserve"> Sentencia de 22 de septiembre de 2009, párr. 91, y </w:t>
      </w:r>
      <w:r w:rsidRPr="008D0846">
        <w:rPr>
          <w:rFonts w:ascii="Verdana" w:hAnsi="Verdana"/>
          <w:bCs/>
          <w:i/>
          <w:sz w:val="16"/>
          <w:szCs w:val="16"/>
        </w:rPr>
        <w:t>Caso Munárriz Escobar y otros Vs. Perú</w:t>
      </w:r>
      <w:r w:rsidRPr="009658DE">
        <w:rPr>
          <w:rFonts w:ascii="Verdana" w:hAnsi="Verdana"/>
          <w:sz w:val="16"/>
          <w:szCs w:val="16"/>
        </w:rPr>
        <w:t>,</w:t>
      </w:r>
      <w:r w:rsidRPr="00432ABC">
        <w:rPr>
          <w:rFonts w:ascii="Verdana" w:hAnsi="Verdana"/>
          <w:sz w:val="16"/>
          <w:szCs w:val="16"/>
        </w:rPr>
        <w:t xml:space="preserve"> </w:t>
      </w:r>
      <w:r>
        <w:rPr>
          <w:rFonts w:ascii="Verdana" w:hAnsi="Verdana"/>
          <w:i/>
          <w:sz w:val="16"/>
          <w:szCs w:val="16"/>
        </w:rPr>
        <w:t xml:space="preserve">supra, </w:t>
      </w:r>
      <w:r w:rsidRPr="00432ABC">
        <w:rPr>
          <w:rFonts w:ascii="Verdana" w:hAnsi="Verdana"/>
          <w:sz w:val="16"/>
          <w:szCs w:val="16"/>
        </w:rPr>
        <w:t>párr.</w:t>
      </w:r>
      <w:r>
        <w:rPr>
          <w:rFonts w:ascii="Verdana" w:hAnsi="Verdana"/>
          <w:sz w:val="16"/>
          <w:szCs w:val="16"/>
        </w:rPr>
        <w:t xml:space="preserve"> 80.</w:t>
      </w:r>
      <w:r w:rsidRPr="00432ABC">
        <w:rPr>
          <w:rFonts w:ascii="Verdana" w:hAnsi="Verdana"/>
          <w:sz w:val="16"/>
          <w:szCs w:val="16"/>
        </w:rPr>
        <w:t xml:space="preserve"> </w:t>
      </w:r>
    </w:p>
  </w:footnote>
  <w:footnote w:id="433">
    <w:p w14:paraId="158F5BAF" w14:textId="323EC6C6" w:rsidR="00146958" w:rsidRPr="000C711D" w:rsidRDefault="00146958" w:rsidP="000C711D">
      <w:pPr>
        <w:pStyle w:val="Textonotapie"/>
        <w:jc w:val="both"/>
        <w:rPr>
          <w:rFonts w:ascii="Verdana" w:hAnsi="Verdana"/>
          <w:sz w:val="16"/>
          <w:szCs w:val="16"/>
          <w:lang w:val="es-HN"/>
        </w:rPr>
      </w:pPr>
      <w:r w:rsidRPr="000C711D">
        <w:rPr>
          <w:rStyle w:val="Refdenotaalpie"/>
          <w:rFonts w:ascii="Verdana" w:hAnsi="Verdana"/>
          <w:sz w:val="16"/>
          <w:szCs w:val="16"/>
        </w:rPr>
        <w:footnoteRef/>
      </w:r>
      <w:r w:rsidRPr="000C711D">
        <w:rPr>
          <w:rFonts w:ascii="Verdana" w:hAnsi="Verdana"/>
          <w:sz w:val="16"/>
          <w:szCs w:val="16"/>
        </w:rPr>
        <w:t xml:space="preserve"> </w:t>
      </w:r>
      <w:r w:rsidRPr="000C711D">
        <w:rPr>
          <w:rFonts w:ascii="Verdana" w:hAnsi="Verdana"/>
          <w:sz w:val="16"/>
          <w:szCs w:val="16"/>
        </w:rPr>
        <w:tab/>
      </w:r>
      <w:r w:rsidRPr="000C711D">
        <w:rPr>
          <w:rFonts w:ascii="Verdana" w:hAnsi="Verdana"/>
          <w:sz w:val="16"/>
          <w:szCs w:val="16"/>
          <w:lang w:val="es-CR"/>
        </w:rPr>
        <w:t>Artículo 8. Garantías judiciales.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footnote>
  <w:footnote w:id="434">
    <w:p w14:paraId="02C34390" w14:textId="6E7968D1" w:rsidR="00146958" w:rsidRPr="000C711D" w:rsidRDefault="00146958" w:rsidP="000C711D">
      <w:pPr>
        <w:pStyle w:val="Textonotapie"/>
        <w:jc w:val="both"/>
        <w:rPr>
          <w:rFonts w:ascii="Verdana" w:hAnsi="Verdana"/>
          <w:sz w:val="16"/>
          <w:szCs w:val="16"/>
          <w:lang w:val="es-CR"/>
        </w:rPr>
      </w:pPr>
      <w:r w:rsidRPr="000C711D">
        <w:rPr>
          <w:rStyle w:val="Refdenotaalpie"/>
          <w:rFonts w:ascii="Verdana" w:hAnsi="Verdana"/>
          <w:sz w:val="16"/>
          <w:szCs w:val="16"/>
        </w:rPr>
        <w:footnoteRef/>
      </w:r>
      <w:r w:rsidRPr="000C711D">
        <w:rPr>
          <w:rFonts w:ascii="Verdana" w:hAnsi="Verdana"/>
          <w:sz w:val="16"/>
          <w:szCs w:val="16"/>
        </w:rPr>
        <w:t xml:space="preserve"> </w:t>
      </w:r>
      <w:r w:rsidRPr="000C711D">
        <w:rPr>
          <w:rFonts w:ascii="Verdana" w:hAnsi="Verdana"/>
          <w:sz w:val="16"/>
          <w:szCs w:val="16"/>
        </w:rPr>
        <w:tab/>
      </w:r>
      <w:r w:rsidRPr="000C711D">
        <w:rPr>
          <w:rFonts w:ascii="Verdana" w:hAnsi="Verdana"/>
          <w:sz w:val="16"/>
          <w:szCs w:val="16"/>
          <w:lang w:val="es-HN"/>
        </w:rPr>
        <w:t xml:space="preserve">Artículo </w:t>
      </w:r>
      <w:r w:rsidRPr="000C711D">
        <w:rPr>
          <w:rFonts w:ascii="Verdana" w:hAnsi="Verdana"/>
          <w:sz w:val="16"/>
          <w:szCs w:val="16"/>
          <w:lang w:val="es-CR"/>
        </w:rPr>
        <w:t>25. Protección judicial.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footnote>
  <w:footnote w:id="435">
    <w:p w14:paraId="6A92B287" w14:textId="627FE669" w:rsidR="00146958" w:rsidRPr="000C711D" w:rsidRDefault="00146958" w:rsidP="000C711D">
      <w:pPr>
        <w:pStyle w:val="Textonotapie"/>
        <w:jc w:val="both"/>
        <w:rPr>
          <w:rFonts w:ascii="Verdana" w:hAnsi="Verdana"/>
          <w:sz w:val="16"/>
          <w:szCs w:val="16"/>
        </w:rPr>
      </w:pPr>
      <w:r w:rsidRPr="000C711D">
        <w:rPr>
          <w:rStyle w:val="Refdenotaalpie"/>
          <w:rFonts w:ascii="Verdana" w:hAnsi="Verdana"/>
          <w:sz w:val="16"/>
          <w:szCs w:val="16"/>
        </w:rPr>
        <w:footnoteRef/>
      </w:r>
      <w:r w:rsidRPr="000C711D">
        <w:rPr>
          <w:rFonts w:ascii="Verdana" w:hAnsi="Verdana"/>
          <w:sz w:val="16"/>
          <w:szCs w:val="16"/>
        </w:rPr>
        <w:t xml:space="preserve"> </w:t>
      </w:r>
      <w:r w:rsidRPr="000C711D">
        <w:rPr>
          <w:rFonts w:ascii="Verdana" w:hAnsi="Verdana"/>
          <w:sz w:val="16"/>
          <w:szCs w:val="16"/>
        </w:rPr>
        <w:tab/>
      </w:r>
      <w:r w:rsidRPr="000C711D">
        <w:rPr>
          <w:rFonts w:ascii="Verdana" w:hAnsi="Verdana"/>
          <w:bCs/>
          <w:sz w:val="16"/>
          <w:szCs w:val="16"/>
        </w:rPr>
        <w:t xml:space="preserve">Artículo 2. Deber de Adoptar Disposiciones de Derecho Interno. </w:t>
      </w:r>
      <w:r w:rsidRPr="000C711D">
        <w:rPr>
          <w:rFonts w:ascii="Verdana" w:hAnsi="Verdana"/>
          <w:sz w:val="16"/>
          <w:szCs w:val="16"/>
        </w:rPr>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436">
    <w:p w14:paraId="2E4A130A" w14:textId="4742546D" w:rsidR="00146958" w:rsidRPr="000C711D" w:rsidRDefault="00146958" w:rsidP="000C711D">
      <w:pPr>
        <w:pStyle w:val="Textonotapie"/>
        <w:jc w:val="both"/>
        <w:rPr>
          <w:rFonts w:ascii="Verdana" w:hAnsi="Verdana"/>
          <w:sz w:val="16"/>
          <w:szCs w:val="16"/>
        </w:rPr>
      </w:pPr>
      <w:r w:rsidRPr="000C711D">
        <w:rPr>
          <w:rStyle w:val="Refdenotaalpie"/>
          <w:rFonts w:ascii="Verdana" w:hAnsi="Verdana"/>
          <w:sz w:val="16"/>
          <w:szCs w:val="16"/>
        </w:rPr>
        <w:footnoteRef/>
      </w:r>
      <w:r w:rsidRPr="000C711D">
        <w:rPr>
          <w:rFonts w:ascii="Verdana" w:hAnsi="Verdana"/>
          <w:sz w:val="16"/>
          <w:szCs w:val="16"/>
          <w:vertAlign w:val="superscript"/>
        </w:rPr>
        <w:t xml:space="preserve"> </w:t>
      </w:r>
      <w:r w:rsidRPr="000C711D">
        <w:rPr>
          <w:rFonts w:ascii="Verdana" w:hAnsi="Verdana"/>
          <w:sz w:val="16"/>
          <w:szCs w:val="16"/>
        </w:rPr>
        <w:tab/>
        <w:t xml:space="preserve"> El artículo I.b de la CIDFP indica: "1. Los Estados Partes en esta Convención se comprometen a: […] b) Sancionar en el ámbito de su jurisdicción a los autores, cómplices y encubridores del delito de desaparición forzada de personas, así como la tentativa de comisión del mismo".</w:t>
      </w:r>
    </w:p>
    <w:p w14:paraId="6AC9311C" w14:textId="49FC578F" w:rsidR="00146958" w:rsidRPr="000C711D" w:rsidRDefault="00146958" w:rsidP="004032E8">
      <w:pPr>
        <w:pStyle w:val="Textonotapie"/>
        <w:jc w:val="both"/>
        <w:rPr>
          <w:rFonts w:ascii="Verdana" w:hAnsi="Verdana"/>
          <w:sz w:val="16"/>
          <w:szCs w:val="16"/>
        </w:rPr>
      </w:pPr>
      <w:r w:rsidRPr="000C711D">
        <w:rPr>
          <w:rFonts w:ascii="Verdana" w:hAnsi="Verdana"/>
          <w:sz w:val="16"/>
          <w:szCs w:val="16"/>
        </w:rPr>
        <w:t>Por su parte el artículo IX del citado instrumento establece: "Los presuntos responsables de los hechos constitutivos del delito de desaparición forzada de personas sólo podrán ser juzgados por las jurisdicciones de derecho común competentes en cada Estado, con exclusión de toda jurisdicción especial, en particular la militar.</w:t>
      </w:r>
    </w:p>
    <w:p w14:paraId="436DEE24" w14:textId="77777777" w:rsidR="00146958" w:rsidRPr="000C711D" w:rsidRDefault="00146958" w:rsidP="004032E8">
      <w:pPr>
        <w:pStyle w:val="Textonotapie"/>
        <w:jc w:val="both"/>
        <w:rPr>
          <w:rFonts w:ascii="Verdana" w:hAnsi="Verdana"/>
          <w:sz w:val="16"/>
          <w:szCs w:val="16"/>
        </w:rPr>
      </w:pPr>
      <w:r w:rsidRPr="000C711D">
        <w:rPr>
          <w:rFonts w:ascii="Verdana" w:hAnsi="Verdana"/>
          <w:sz w:val="16"/>
          <w:szCs w:val="16"/>
        </w:rPr>
        <w:t>Los hechos constitutivos de la desaparición forzada no podrán considerarse como cometidos en el ejercicio de las funciones militares.</w:t>
      </w:r>
    </w:p>
    <w:p w14:paraId="39141114" w14:textId="6B55B55D" w:rsidR="00146958" w:rsidRPr="008D0846" w:rsidRDefault="00146958" w:rsidP="004032E8">
      <w:pPr>
        <w:pStyle w:val="Textonotapie"/>
        <w:jc w:val="both"/>
        <w:rPr>
          <w:rFonts w:ascii="Verdana" w:hAnsi="Verdana"/>
          <w:sz w:val="16"/>
          <w:szCs w:val="16"/>
        </w:rPr>
      </w:pPr>
      <w:r w:rsidRPr="000C711D">
        <w:rPr>
          <w:rFonts w:ascii="Verdana" w:hAnsi="Verdana"/>
          <w:sz w:val="16"/>
          <w:szCs w:val="16"/>
        </w:rPr>
        <w:t>No se admitirán privilegios, inmunidades, ni dispensas especiales en tales procesos, sin perjuicio de las disposiciones que figuran en la Convención de Viena sobre Relaciones Diplomáticas."</w:t>
      </w:r>
    </w:p>
  </w:footnote>
  <w:footnote w:id="437">
    <w:p w14:paraId="07BCB5BF" w14:textId="77777777" w:rsidR="00146958" w:rsidRPr="008D0846" w:rsidRDefault="00146958" w:rsidP="004032E8">
      <w:pPr>
        <w:spacing w:after="0"/>
        <w:jc w:val="both"/>
        <w:rPr>
          <w:rFonts w:ascii="Verdana" w:eastAsiaTheme="minorHAnsi" w:hAnsi="Verdana"/>
          <w:sz w:val="16"/>
          <w:szCs w:val="16"/>
        </w:rPr>
      </w:pPr>
      <w:r w:rsidRPr="000C711D">
        <w:rPr>
          <w:rStyle w:val="Refdenotaalpie"/>
          <w:rFonts w:ascii="Verdana" w:hAnsi="Verdana"/>
          <w:sz w:val="16"/>
          <w:szCs w:val="16"/>
        </w:rPr>
        <w:footnoteRef/>
      </w:r>
      <w:r w:rsidRPr="000C711D">
        <w:rPr>
          <w:rFonts w:ascii="Verdana" w:hAnsi="Verdana"/>
          <w:sz w:val="16"/>
          <w:szCs w:val="16"/>
        </w:rPr>
        <w:t xml:space="preserve"> </w:t>
      </w:r>
      <w:r w:rsidRPr="000C711D">
        <w:rPr>
          <w:rFonts w:ascii="Verdana" w:hAnsi="Verdana"/>
          <w:sz w:val="16"/>
          <w:szCs w:val="16"/>
        </w:rPr>
        <w:tab/>
        <w:t xml:space="preserve"> </w:t>
      </w:r>
      <w:r w:rsidRPr="008D0846">
        <w:rPr>
          <w:rFonts w:ascii="Verdana" w:eastAsiaTheme="minorHAnsi" w:hAnsi="Verdana"/>
          <w:sz w:val="16"/>
          <w:szCs w:val="16"/>
        </w:rPr>
        <w:t>El artículo 7 de la Convención de Belem do Pará, en la parte citada por las representantes señala:</w:t>
      </w:r>
    </w:p>
    <w:p w14:paraId="07B8B3E4" w14:textId="54380FBC" w:rsidR="00146958" w:rsidRPr="00AD4631" w:rsidRDefault="00146958" w:rsidP="00AD4631">
      <w:pPr>
        <w:spacing w:after="0"/>
        <w:jc w:val="both"/>
        <w:rPr>
          <w:rFonts w:ascii="Verdana" w:hAnsi="Verdana"/>
          <w:sz w:val="16"/>
          <w:szCs w:val="16"/>
        </w:rPr>
      </w:pPr>
      <w:r w:rsidRPr="008D0846">
        <w:rPr>
          <w:rFonts w:ascii="Verdana" w:eastAsiaTheme="minorHAnsi" w:hAnsi="Verdana"/>
          <w:sz w:val="16"/>
          <w:szCs w:val="16"/>
        </w:rPr>
        <w:t>Los Estados Partes condenan todas las formas de violencia contra la mujer y convienen en adoptar, por todos los medios apropiados y sin dilaciones, políticas orientadas a prevenir, sancionar y erradicar dicha violencia y en llevar a cabo lo siguiente:</w:t>
      </w:r>
      <w:r>
        <w:rPr>
          <w:rFonts w:ascii="Verdana" w:eastAsiaTheme="minorHAnsi" w:hAnsi="Verdana"/>
          <w:sz w:val="16"/>
          <w:szCs w:val="16"/>
        </w:rPr>
        <w:t xml:space="preserve"> b</w:t>
      </w:r>
      <w:r w:rsidRPr="00F67B06">
        <w:rPr>
          <w:rFonts w:ascii="Verdana" w:eastAsiaTheme="minorHAnsi" w:hAnsi="Verdana"/>
          <w:sz w:val="16"/>
          <w:szCs w:val="16"/>
        </w:rPr>
        <w:t xml:space="preserve">) </w:t>
      </w:r>
      <w:r w:rsidRPr="00AD4631">
        <w:rPr>
          <w:rFonts w:ascii="Verdana" w:hAnsi="Verdana"/>
          <w:sz w:val="16"/>
          <w:szCs w:val="16"/>
        </w:rPr>
        <w:t>actuar con la debida diligencia para prevenir, investigar y sancionar la violencia contra la mujer</w:t>
      </w:r>
      <w:r w:rsidRPr="00AD4631">
        <w:rPr>
          <w:rFonts w:ascii="Verdana" w:hAnsi="Verdana"/>
          <w:sz w:val="16"/>
          <w:szCs w:val="16"/>
          <w:lang w:val="en-US"/>
        </w:rPr>
        <w:t>;</w:t>
      </w:r>
      <w:r w:rsidRPr="00AD4631">
        <w:rPr>
          <w:rFonts w:ascii="Verdana" w:hAnsi="Verdana"/>
          <w:sz w:val="16"/>
          <w:szCs w:val="16"/>
        </w:rPr>
        <w:t xml:space="preserve"> (…)".</w:t>
      </w:r>
    </w:p>
  </w:footnote>
  <w:footnote w:id="438">
    <w:p w14:paraId="64AA62F4" w14:textId="0EEF860C" w:rsidR="00146958" w:rsidRPr="000C711D" w:rsidRDefault="00146958">
      <w:pPr>
        <w:pStyle w:val="Textonotapie"/>
        <w:jc w:val="both"/>
        <w:rPr>
          <w:rFonts w:ascii="Verdana" w:hAnsi="Verdana"/>
          <w:sz w:val="16"/>
          <w:szCs w:val="16"/>
        </w:rPr>
      </w:pPr>
      <w:r w:rsidRPr="000C711D">
        <w:rPr>
          <w:rStyle w:val="Refdenotaalpie"/>
          <w:rFonts w:ascii="Verdana" w:hAnsi="Verdana"/>
          <w:sz w:val="16"/>
          <w:szCs w:val="16"/>
        </w:rPr>
        <w:footnoteRef/>
      </w:r>
      <w:r w:rsidRPr="000C711D">
        <w:rPr>
          <w:rFonts w:ascii="Verdana" w:hAnsi="Verdana"/>
          <w:sz w:val="16"/>
          <w:szCs w:val="16"/>
        </w:rPr>
        <w:t xml:space="preserve"> </w:t>
      </w:r>
      <w:r w:rsidRPr="000C711D">
        <w:rPr>
          <w:rFonts w:ascii="Verdana" w:hAnsi="Verdana"/>
          <w:sz w:val="16"/>
          <w:szCs w:val="16"/>
        </w:rPr>
        <w:tab/>
        <w:t xml:space="preserve">En concreto, destacó que durante el año 2012 solamente se registraron dos diligencias entre los meses de enero y febrero, sin que exista constancia de diligencias adicionales realizadas en ese año. </w:t>
      </w:r>
    </w:p>
  </w:footnote>
  <w:footnote w:id="439">
    <w:p w14:paraId="64AA62F5" w14:textId="15F6330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t>Comandante Mario Castro y los agentes José Bejarano García y Francisco Tena Elementos de la Secretaría de Seguridad Pública en el Ejido Benito Juárez, quienes realizaron las primeras acciones de búsqueda la misma noche de los hechos y hasta el 30 de diciembre de 2009, fecha en la que Manuel Reyes Lira les informó que habían localizado a las víctimas</w:t>
      </w:r>
      <w:r w:rsidRPr="00432ABC">
        <w:rPr>
          <w:rFonts w:ascii="Verdana" w:hAnsi="Verdana"/>
          <w:sz w:val="16"/>
          <w:szCs w:val="16"/>
        </w:rPr>
        <w:t>.</w:t>
      </w:r>
    </w:p>
  </w:footnote>
  <w:footnote w:id="440">
    <w:p w14:paraId="64AA62FB" w14:textId="07163F11" w:rsidR="00146958" w:rsidRPr="00432ABC" w:rsidRDefault="00146958">
      <w:pPr>
        <w:pStyle w:val="Textonotapie"/>
        <w:jc w:val="both"/>
        <w:rPr>
          <w:rFonts w:ascii="Verdana" w:hAnsi="Verdana"/>
          <w:sz w:val="16"/>
          <w:szCs w:val="16"/>
          <w:lang w:val="es-ES"/>
        </w:rPr>
      </w:pPr>
      <w:r w:rsidRPr="00432ABC">
        <w:rPr>
          <w:rStyle w:val="Refdenotaalpie"/>
          <w:rFonts w:ascii="Verdana" w:hAnsi="Verdana"/>
          <w:sz w:val="16"/>
          <w:szCs w:val="16"/>
          <w:lang w:val="es-ES"/>
        </w:rPr>
        <w:footnoteRef/>
      </w:r>
      <w:r w:rsidRPr="00432ABC">
        <w:rPr>
          <w:rFonts w:ascii="Verdana" w:hAnsi="Verdana"/>
          <w:sz w:val="16"/>
          <w:szCs w:val="16"/>
          <w:lang w:val="es-ES"/>
        </w:rPr>
        <w:t xml:space="preserve"> </w:t>
      </w:r>
      <w:r w:rsidRPr="002C462C">
        <w:rPr>
          <w:rFonts w:ascii="Verdana" w:hAnsi="Verdana"/>
          <w:sz w:val="16"/>
          <w:szCs w:val="16"/>
          <w:lang w:val="es-ES"/>
        </w:rPr>
        <w:tab/>
      </w:r>
      <w:r w:rsidRPr="00CD5C54">
        <w:rPr>
          <w:rFonts w:ascii="Verdana" w:hAnsi="Verdana"/>
          <w:i/>
          <w:iCs/>
          <w:sz w:val="16"/>
          <w:szCs w:val="16"/>
          <w:lang w:val="es-ES"/>
        </w:rPr>
        <w:t>Cfr.</w:t>
      </w:r>
      <w:r w:rsidRPr="002C462C">
        <w:rPr>
          <w:rFonts w:ascii="Verdana" w:hAnsi="Verdana"/>
          <w:i/>
          <w:iCs/>
          <w:sz w:val="16"/>
          <w:szCs w:val="16"/>
          <w:lang w:val="es-ES"/>
        </w:rPr>
        <w:t xml:space="preserve"> </w:t>
      </w:r>
      <w:r w:rsidRPr="00432ABC">
        <w:rPr>
          <w:rFonts w:ascii="Verdana" w:hAnsi="Verdana"/>
          <w:i/>
          <w:sz w:val="16"/>
          <w:szCs w:val="16"/>
          <w:lang w:val="es-ES"/>
        </w:rPr>
        <w:t xml:space="preserve">Caso Velásquez Rodríguez Vs. Honduras. </w:t>
      </w:r>
      <w:r w:rsidRPr="00432ABC">
        <w:rPr>
          <w:rFonts w:ascii="Verdana" w:hAnsi="Verdana"/>
          <w:i/>
          <w:sz w:val="16"/>
          <w:szCs w:val="16"/>
          <w:lang w:val="es-CR"/>
        </w:rPr>
        <w:t xml:space="preserve">Fondo. </w:t>
      </w:r>
      <w:r w:rsidRPr="00432ABC">
        <w:rPr>
          <w:rStyle w:val="Refdenotaalpie"/>
          <w:rFonts w:ascii="Verdana" w:hAnsi="Verdana"/>
          <w:sz w:val="16"/>
          <w:szCs w:val="16"/>
          <w:vertAlign w:val="baseline"/>
        </w:rPr>
        <w:t>Sentencia de 29 de julio de 1988. Serie C No. 4,</w:t>
      </w:r>
      <w:r w:rsidRPr="00432ABC">
        <w:rPr>
          <w:rStyle w:val="Refdenotaalpie"/>
          <w:rFonts w:ascii="Verdana" w:hAnsi="Verdana"/>
          <w:sz w:val="16"/>
          <w:szCs w:val="16"/>
        </w:rPr>
        <w:t xml:space="preserve"> </w:t>
      </w:r>
      <w:r w:rsidRPr="00432ABC">
        <w:rPr>
          <w:rFonts w:ascii="Verdana" w:hAnsi="Verdana"/>
          <w:sz w:val="16"/>
          <w:szCs w:val="16"/>
          <w:lang w:val="es-ES"/>
        </w:rPr>
        <w:t>párr. 166.</w:t>
      </w:r>
    </w:p>
  </w:footnote>
  <w:footnote w:id="441">
    <w:p w14:paraId="64AA62FC" w14:textId="2F9A02A3" w:rsidR="00146958" w:rsidRPr="00432ABC" w:rsidRDefault="00146958">
      <w:pPr>
        <w:pStyle w:val="Textonotapie"/>
        <w:jc w:val="both"/>
        <w:rPr>
          <w:rFonts w:ascii="Verdana" w:hAnsi="Verdana"/>
          <w:sz w:val="16"/>
          <w:szCs w:val="16"/>
          <w:lang w:val="es-ES"/>
        </w:rPr>
      </w:pPr>
      <w:r w:rsidRPr="00432ABC">
        <w:rPr>
          <w:rStyle w:val="Refdenotaalpie"/>
          <w:rFonts w:ascii="Verdana" w:hAnsi="Verdana"/>
          <w:sz w:val="16"/>
          <w:szCs w:val="16"/>
          <w:lang w:val="es-ES"/>
        </w:rPr>
        <w:footnoteRef/>
      </w:r>
      <w:r w:rsidRPr="00432ABC">
        <w:rPr>
          <w:rFonts w:ascii="Verdana" w:hAnsi="Verdana"/>
          <w:sz w:val="16"/>
          <w:szCs w:val="16"/>
          <w:lang w:val="es-ES"/>
        </w:rPr>
        <w:t xml:space="preserve"> </w:t>
      </w:r>
      <w:r w:rsidRPr="002C462C">
        <w:rPr>
          <w:rFonts w:ascii="Verdana" w:hAnsi="Verdana"/>
          <w:sz w:val="16"/>
          <w:szCs w:val="16"/>
          <w:lang w:val="es-ES"/>
        </w:rPr>
        <w:tab/>
      </w:r>
      <w:r w:rsidRPr="00CD5C54">
        <w:rPr>
          <w:rFonts w:ascii="Verdana" w:hAnsi="Verdana"/>
          <w:i/>
          <w:sz w:val="16"/>
          <w:szCs w:val="16"/>
          <w:lang w:val="es-ES"/>
        </w:rPr>
        <w:t>Cfr.</w:t>
      </w:r>
      <w:r w:rsidRPr="002C462C">
        <w:rPr>
          <w:rFonts w:ascii="Verdana" w:hAnsi="Verdana"/>
          <w:i/>
          <w:sz w:val="16"/>
          <w:szCs w:val="16"/>
          <w:lang w:val="es-ES"/>
        </w:rPr>
        <w:t xml:space="preserve"> </w:t>
      </w:r>
      <w:r w:rsidRPr="00553227">
        <w:rPr>
          <w:rFonts w:ascii="Verdana" w:hAnsi="Verdana"/>
          <w:i/>
          <w:sz w:val="16"/>
          <w:szCs w:val="16"/>
          <w:lang w:val="es-ES"/>
        </w:rPr>
        <w:t xml:space="preserve">Caso Goiburú y otros Vs. Paraguay. Fondo, </w:t>
      </w:r>
      <w:r w:rsidRPr="008D0846">
        <w:rPr>
          <w:rFonts w:ascii="Verdana" w:hAnsi="Verdana"/>
          <w:i/>
          <w:sz w:val="16"/>
          <w:szCs w:val="16"/>
          <w:lang w:val="es-ES"/>
        </w:rPr>
        <w:t>supra</w:t>
      </w:r>
      <w:r w:rsidRPr="00432ABC">
        <w:rPr>
          <w:rFonts w:ascii="Verdana" w:hAnsi="Verdana"/>
          <w:sz w:val="16"/>
          <w:szCs w:val="16"/>
          <w:lang w:val="es-ES"/>
        </w:rPr>
        <w:t xml:space="preserve"> párr. 128, y </w:t>
      </w:r>
      <w:r w:rsidRPr="00553227">
        <w:rPr>
          <w:rFonts w:ascii="Verdana" w:hAnsi="Verdana"/>
          <w:i/>
          <w:sz w:val="16"/>
          <w:szCs w:val="16"/>
          <w:lang w:val="es-ES"/>
        </w:rPr>
        <w:t xml:space="preserve">Caso </w:t>
      </w:r>
      <w:r w:rsidRPr="008D0846">
        <w:rPr>
          <w:rFonts w:ascii="Verdana" w:hAnsi="Verdana"/>
          <w:i/>
          <w:sz w:val="16"/>
          <w:szCs w:val="16"/>
          <w:lang w:val="es-ES"/>
        </w:rPr>
        <w:t>Terrones Silva y otros Vs. Perú, supra</w:t>
      </w:r>
      <w:r w:rsidRPr="00432ABC">
        <w:rPr>
          <w:rFonts w:ascii="Verdana" w:hAnsi="Verdana"/>
          <w:sz w:val="16"/>
          <w:szCs w:val="16"/>
          <w:lang w:val="es-ES"/>
        </w:rPr>
        <w:t xml:space="preserve"> párr. </w:t>
      </w:r>
      <w:r>
        <w:rPr>
          <w:rFonts w:ascii="Verdana" w:hAnsi="Verdana"/>
          <w:sz w:val="16"/>
          <w:szCs w:val="16"/>
          <w:lang w:val="es-ES"/>
        </w:rPr>
        <w:t>181</w:t>
      </w:r>
      <w:r w:rsidRPr="00432ABC">
        <w:rPr>
          <w:rFonts w:ascii="Verdana" w:hAnsi="Verdana"/>
          <w:sz w:val="16"/>
          <w:szCs w:val="16"/>
          <w:lang w:val="es-ES"/>
        </w:rPr>
        <w:t>.</w:t>
      </w:r>
    </w:p>
  </w:footnote>
  <w:footnote w:id="442">
    <w:p w14:paraId="64AA62FD" w14:textId="0ECBE75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Caso V</w:t>
      </w:r>
      <w:r>
        <w:rPr>
          <w:rFonts w:ascii="Verdana" w:hAnsi="Verdana"/>
          <w:i/>
          <w:sz w:val="16"/>
          <w:szCs w:val="16"/>
        </w:rPr>
        <w:t xml:space="preserve">elásquez Rodríguez Vs. Honduras. Fondo, supra </w:t>
      </w:r>
      <w:r w:rsidRPr="008D0846">
        <w:rPr>
          <w:rFonts w:ascii="Verdana" w:hAnsi="Verdana"/>
          <w:sz w:val="16"/>
          <w:szCs w:val="16"/>
        </w:rPr>
        <w:t>párr. 166</w:t>
      </w:r>
      <w:r>
        <w:rPr>
          <w:rFonts w:ascii="Verdana" w:hAnsi="Verdana"/>
          <w:i/>
          <w:sz w:val="16"/>
          <w:szCs w:val="16"/>
        </w:rPr>
        <w:t xml:space="preserve">, y </w:t>
      </w:r>
      <w:r w:rsidRPr="00C87F01">
        <w:rPr>
          <w:rFonts w:ascii="Verdana" w:hAnsi="Verdana"/>
          <w:i/>
          <w:sz w:val="16"/>
          <w:szCs w:val="16"/>
        </w:rPr>
        <w:t>Caso Terrones Silva y otros Vs. Per</w:t>
      </w:r>
      <w:r w:rsidRPr="00D4502B">
        <w:rPr>
          <w:rFonts w:ascii="Verdana" w:hAnsi="Verdana"/>
          <w:i/>
          <w:sz w:val="16"/>
          <w:szCs w:val="16"/>
        </w:rPr>
        <w:t>ú, supra</w:t>
      </w:r>
      <w:r>
        <w:rPr>
          <w:rFonts w:ascii="Verdana" w:hAnsi="Verdana"/>
          <w:i/>
          <w:sz w:val="16"/>
          <w:szCs w:val="16"/>
        </w:rPr>
        <w:t xml:space="preserve"> </w:t>
      </w:r>
      <w:r w:rsidRPr="008D0846">
        <w:rPr>
          <w:rFonts w:ascii="Verdana" w:hAnsi="Verdana"/>
          <w:sz w:val="16"/>
          <w:szCs w:val="16"/>
        </w:rPr>
        <w:t>párr. 181</w:t>
      </w:r>
      <w:r w:rsidRPr="00432ABC">
        <w:rPr>
          <w:rFonts w:ascii="Verdana" w:hAnsi="Verdana"/>
          <w:sz w:val="16"/>
          <w:szCs w:val="16"/>
        </w:rPr>
        <w:t>.</w:t>
      </w:r>
    </w:p>
  </w:footnote>
  <w:footnote w:id="443">
    <w:p w14:paraId="64AA62FE" w14:textId="24C1BF67" w:rsidR="00146958" w:rsidRPr="00066D10" w:rsidRDefault="00146958">
      <w:pPr>
        <w:pStyle w:val="Textonotapie"/>
        <w:jc w:val="both"/>
        <w:rPr>
          <w:rFonts w:ascii="Verdana" w:hAnsi="Verdana"/>
          <w:sz w:val="16"/>
          <w:szCs w:val="16"/>
          <w:lang w:val="es-ES"/>
        </w:rPr>
      </w:pPr>
      <w:r w:rsidRPr="00432ABC">
        <w:rPr>
          <w:rStyle w:val="Smbolodenotaalpie"/>
          <w:rFonts w:ascii="Verdana" w:hAnsi="Verdana"/>
          <w:sz w:val="16"/>
          <w:szCs w:val="16"/>
        </w:rPr>
        <w:footnoteRef/>
      </w:r>
      <w:r w:rsidRPr="00432ABC">
        <w:rPr>
          <w:rFonts w:ascii="Verdana" w:hAnsi="Verdana"/>
          <w:sz w:val="16"/>
          <w:szCs w:val="16"/>
          <w:lang w:val="es-CR"/>
        </w:rPr>
        <w:t xml:space="preserve"> </w:t>
      </w:r>
      <w:r w:rsidRPr="002C462C">
        <w:rPr>
          <w:rFonts w:ascii="Verdana" w:hAnsi="Verdana"/>
          <w:sz w:val="16"/>
          <w:szCs w:val="16"/>
          <w:lang w:val="es-CR"/>
        </w:rPr>
        <w:tab/>
      </w:r>
      <w:r w:rsidRPr="00CD5C54">
        <w:rPr>
          <w:rFonts w:ascii="Verdana" w:hAnsi="Verdana"/>
          <w:i/>
          <w:sz w:val="16"/>
          <w:szCs w:val="16"/>
          <w:lang w:val="es-CR"/>
        </w:rPr>
        <w:t>Cfr.</w:t>
      </w:r>
      <w:r w:rsidRPr="0073090E">
        <w:rPr>
          <w:rFonts w:ascii="Verdana" w:hAnsi="Verdana"/>
          <w:i/>
          <w:sz w:val="16"/>
          <w:szCs w:val="16"/>
          <w:lang w:val="es-CR"/>
        </w:rPr>
        <w:t xml:space="preserve"> Caso Castillo González y otros Vs. Venezuela. Fondo</w:t>
      </w:r>
      <w:r w:rsidRPr="00066D10">
        <w:rPr>
          <w:rFonts w:ascii="Verdana" w:hAnsi="Verdana"/>
          <w:sz w:val="16"/>
          <w:szCs w:val="16"/>
          <w:lang w:val="es-CR"/>
        </w:rPr>
        <w:t xml:space="preserve">. Sentencia de 27 de noviembre de 2012. Serie C No. 256, párr. 153, y </w:t>
      </w:r>
      <w:r w:rsidRPr="00553227">
        <w:rPr>
          <w:rFonts w:ascii="Verdana" w:hAnsi="Verdana"/>
          <w:i/>
          <w:sz w:val="16"/>
          <w:szCs w:val="16"/>
        </w:rPr>
        <w:t>Caso</w:t>
      </w:r>
      <w:r w:rsidRPr="008D0846">
        <w:rPr>
          <w:rFonts w:ascii="Verdana" w:hAnsi="Verdana"/>
          <w:i/>
          <w:sz w:val="16"/>
          <w:szCs w:val="16"/>
        </w:rPr>
        <w:t xml:space="preserve"> </w:t>
      </w:r>
      <w:r w:rsidRPr="00553227">
        <w:rPr>
          <w:rFonts w:ascii="Verdana" w:hAnsi="Verdana"/>
          <w:bCs/>
          <w:i/>
          <w:sz w:val="16"/>
          <w:szCs w:val="16"/>
          <w:lang w:val="es-GT"/>
        </w:rPr>
        <w:t>Carvajal Carvajal y otros Vs. Colombia</w:t>
      </w:r>
      <w:r w:rsidRPr="00066D10">
        <w:rPr>
          <w:rFonts w:ascii="Verdana" w:hAnsi="Verdana"/>
          <w:i/>
          <w:sz w:val="16"/>
          <w:szCs w:val="16"/>
          <w:lang w:val="es-CR"/>
        </w:rPr>
        <w:t>, supra</w:t>
      </w:r>
      <w:r w:rsidRPr="00066D10">
        <w:rPr>
          <w:rFonts w:ascii="Verdana" w:hAnsi="Verdana"/>
          <w:bCs/>
          <w:i/>
          <w:sz w:val="16"/>
          <w:szCs w:val="16"/>
          <w:lang w:val="es-GT"/>
        </w:rPr>
        <w:t xml:space="preserve"> </w:t>
      </w:r>
      <w:r w:rsidRPr="00066D10">
        <w:rPr>
          <w:rFonts w:ascii="Verdana" w:hAnsi="Verdana"/>
          <w:sz w:val="16"/>
          <w:szCs w:val="16"/>
          <w:lang w:val="es-ES"/>
        </w:rPr>
        <w:t>párr. 118.</w:t>
      </w:r>
    </w:p>
  </w:footnote>
  <w:footnote w:id="444">
    <w:p w14:paraId="64AA62FF" w14:textId="08C371CC" w:rsidR="00146958" w:rsidRPr="00066D10" w:rsidRDefault="00146958">
      <w:pPr>
        <w:pStyle w:val="Textonotapie"/>
        <w:jc w:val="both"/>
        <w:rPr>
          <w:rFonts w:ascii="Verdana" w:hAnsi="Verdana"/>
          <w:sz w:val="16"/>
          <w:szCs w:val="16"/>
          <w:lang w:val="es-CR"/>
        </w:rPr>
      </w:pPr>
      <w:r w:rsidRPr="00C87F01">
        <w:rPr>
          <w:rStyle w:val="Smbolodenotaalpie"/>
          <w:rFonts w:ascii="Verdana" w:hAnsi="Verdana"/>
          <w:sz w:val="16"/>
          <w:szCs w:val="16"/>
        </w:rPr>
        <w:footnoteRef/>
      </w:r>
      <w:r w:rsidRPr="00C87F01">
        <w:rPr>
          <w:rFonts w:ascii="Verdana" w:hAnsi="Verdana"/>
          <w:sz w:val="16"/>
          <w:szCs w:val="16"/>
          <w:lang w:val="es-ES"/>
        </w:rPr>
        <w:t xml:space="preserve"> </w:t>
      </w:r>
      <w:r w:rsidRPr="00C87F01">
        <w:rPr>
          <w:rFonts w:ascii="Verdana" w:hAnsi="Verdana"/>
          <w:sz w:val="16"/>
          <w:szCs w:val="16"/>
          <w:lang w:val="es-ES"/>
        </w:rPr>
        <w:tab/>
      </w:r>
      <w:r w:rsidRPr="00CD5C54">
        <w:rPr>
          <w:rFonts w:ascii="Verdana" w:hAnsi="Verdana"/>
          <w:i/>
          <w:sz w:val="16"/>
          <w:szCs w:val="16"/>
          <w:lang w:val="es-ES"/>
        </w:rPr>
        <w:t>Cfr.</w:t>
      </w:r>
      <w:r w:rsidRPr="00C71BAA">
        <w:rPr>
          <w:rFonts w:ascii="Verdana" w:hAnsi="Verdana"/>
          <w:i/>
          <w:sz w:val="16"/>
          <w:szCs w:val="16"/>
          <w:lang w:val="es-ES"/>
        </w:rPr>
        <w:t xml:space="preserve"> </w:t>
      </w:r>
      <w:r w:rsidRPr="00066D10">
        <w:rPr>
          <w:rFonts w:ascii="Verdana" w:hAnsi="Verdana"/>
          <w:bCs/>
          <w:i/>
          <w:sz w:val="16"/>
          <w:szCs w:val="16"/>
          <w:lang w:val="es-ES"/>
        </w:rPr>
        <w:t>Caso</w:t>
      </w:r>
      <w:r w:rsidRPr="00066D10">
        <w:rPr>
          <w:rFonts w:ascii="Verdana" w:hAnsi="Verdana"/>
          <w:bCs/>
          <w:sz w:val="16"/>
          <w:szCs w:val="16"/>
          <w:lang w:val="es-ES"/>
        </w:rPr>
        <w:t xml:space="preserve"> </w:t>
      </w:r>
      <w:r w:rsidRPr="00066D10">
        <w:rPr>
          <w:rFonts w:ascii="Verdana" w:hAnsi="Verdana"/>
          <w:bCs/>
          <w:i/>
          <w:sz w:val="16"/>
          <w:szCs w:val="16"/>
          <w:lang w:val="es-ES"/>
        </w:rPr>
        <w:t>Nogueira de Carvalho y otro Vs. Brasil.</w:t>
      </w:r>
      <w:r w:rsidRPr="00066D10">
        <w:rPr>
          <w:rFonts w:ascii="Verdana" w:hAnsi="Verdana"/>
          <w:bCs/>
          <w:sz w:val="16"/>
          <w:szCs w:val="16"/>
          <w:lang w:val="es-ES"/>
        </w:rPr>
        <w:t xml:space="preserve"> </w:t>
      </w:r>
      <w:r w:rsidRPr="00066D10">
        <w:rPr>
          <w:rFonts w:ascii="Verdana" w:hAnsi="Verdana"/>
          <w:bCs/>
          <w:i/>
          <w:sz w:val="16"/>
          <w:szCs w:val="16"/>
          <w:lang w:val="es-ES"/>
        </w:rPr>
        <w:t>Excepciones Preliminares y Fondo</w:t>
      </w:r>
      <w:r w:rsidRPr="00066D10">
        <w:rPr>
          <w:rFonts w:ascii="Verdana" w:hAnsi="Verdana"/>
          <w:bCs/>
          <w:sz w:val="16"/>
          <w:szCs w:val="16"/>
          <w:lang w:val="es-ES"/>
        </w:rPr>
        <w:t>. Sentencia de 28 de noviembre de 2006. Serie C No. 161,</w:t>
      </w:r>
      <w:r w:rsidRPr="00066D10">
        <w:rPr>
          <w:rFonts w:ascii="Verdana" w:hAnsi="Verdana"/>
          <w:bCs/>
          <w:i/>
          <w:sz w:val="16"/>
          <w:szCs w:val="16"/>
          <w:lang w:val="es-ES"/>
        </w:rPr>
        <w:t xml:space="preserve"> </w:t>
      </w:r>
      <w:r w:rsidRPr="00066D10">
        <w:rPr>
          <w:rFonts w:ascii="Verdana" w:hAnsi="Verdana"/>
          <w:sz w:val="16"/>
          <w:szCs w:val="16"/>
          <w:lang w:val="es-ES"/>
        </w:rPr>
        <w:t xml:space="preserve">párr. </w:t>
      </w:r>
      <w:r w:rsidRPr="00066D10">
        <w:rPr>
          <w:rFonts w:ascii="Verdana" w:hAnsi="Verdana"/>
          <w:sz w:val="16"/>
          <w:szCs w:val="16"/>
          <w:lang w:val="es-CR"/>
        </w:rPr>
        <w:t xml:space="preserve">80, y </w:t>
      </w:r>
      <w:r w:rsidRPr="00553227">
        <w:rPr>
          <w:rFonts w:ascii="Verdana" w:hAnsi="Verdana"/>
          <w:i/>
          <w:sz w:val="16"/>
          <w:szCs w:val="16"/>
        </w:rPr>
        <w:t xml:space="preserve">Caso </w:t>
      </w:r>
      <w:r w:rsidRPr="00553227">
        <w:rPr>
          <w:rFonts w:ascii="Verdana" w:hAnsi="Verdana"/>
          <w:i/>
          <w:sz w:val="16"/>
          <w:szCs w:val="16"/>
          <w:lang w:val="es-CR"/>
        </w:rPr>
        <w:t>Coc Max y otros (Masacre de Xam</w:t>
      </w:r>
      <w:r w:rsidRPr="008D0846">
        <w:rPr>
          <w:rFonts w:ascii="Verdana" w:hAnsi="Verdana" w:cs="Arial"/>
          <w:i/>
          <w:sz w:val="16"/>
          <w:szCs w:val="16"/>
          <w:lang w:val="es-CR"/>
        </w:rPr>
        <w:t>án) Vs. Guatemala. Fondo, Reparaciones y Costas</w:t>
      </w:r>
      <w:r w:rsidRPr="008D0846">
        <w:rPr>
          <w:rFonts w:ascii="Verdana" w:hAnsi="Verdana" w:cs="Arial"/>
          <w:sz w:val="16"/>
          <w:szCs w:val="16"/>
          <w:lang w:val="es-CR"/>
        </w:rPr>
        <w:t>. Sentencia de 22 de agosto de 2018. Serie C No. 356</w:t>
      </w:r>
      <w:r w:rsidRPr="008D0846">
        <w:rPr>
          <w:rFonts w:ascii="Verdana" w:hAnsi="Verdana"/>
          <w:sz w:val="16"/>
          <w:szCs w:val="16"/>
          <w:lang w:val="es-CR"/>
        </w:rPr>
        <w:t xml:space="preserve">, </w:t>
      </w:r>
      <w:r w:rsidRPr="00C87F01">
        <w:rPr>
          <w:rFonts w:ascii="Verdana" w:hAnsi="Verdana"/>
          <w:sz w:val="16"/>
          <w:szCs w:val="16"/>
          <w:lang w:val="es-CR"/>
        </w:rPr>
        <w:t xml:space="preserve">párr. </w:t>
      </w:r>
      <w:r w:rsidRPr="00C71BAA">
        <w:rPr>
          <w:rFonts w:ascii="Verdana" w:hAnsi="Verdana"/>
          <w:sz w:val="16"/>
          <w:szCs w:val="16"/>
          <w:lang w:val="es-CR"/>
        </w:rPr>
        <w:t>8</w:t>
      </w:r>
      <w:r w:rsidRPr="00066D10">
        <w:rPr>
          <w:rFonts w:ascii="Verdana" w:hAnsi="Verdana"/>
          <w:sz w:val="16"/>
          <w:szCs w:val="16"/>
          <w:lang w:val="es-CR"/>
        </w:rPr>
        <w:t>1.</w:t>
      </w:r>
    </w:p>
  </w:footnote>
  <w:footnote w:id="445">
    <w:p w14:paraId="64AA6300" w14:textId="6286C451" w:rsidR="00146958" w:rsidRPr="00C71BAA" w:rsidRDefault="00146958">
      <w:pPr>
        <w:pStyle w:val="Textonotapie"/>
        <w:jc w:val="both"/>
        <w:rPr>
          <w:rStyle w:val="Refdenotaalpie"/>
          <w:rFonts w:ascii="Verdana" w:hAnsi="Verdana"/>
          <w:sz w:val="16"/>
          <w:szCs w:val="16"/>
        </w:rPr>
      </w:pPr>
      <w:r w:rsidRPr="00C87F01">
        <w:rPr>
          <w:rStyle w:val="Refdenotaalpie"/>
          <w:rFonts w:ascii="Verdana" w:hAnsi="Verdana"/>
          <w:sz w:val="16"/>
          <w:szCs w:val="16"/>
        </w:rPr>
        <w:footnoteRef/>
      </w:r>
      <w:r w:rsidRPr="00C87F01">
        <w:rPr>
          <w:rStyle w:val="Refdenotaalpie"/>
          <w:rFonts w:ascii="Verdana" w:hAnsi="Verdana"/>
          <w:sz w:val="16"/>
          <w:szCs w:val="16"/>
          <w:lang w:val="es-CR"/>
        </w:rPr>
        <w:t xml:space="preserve"> </w:t>
      </w:r>
      <w:r w:rsidRPr="00C87F01">
        <w:rPr>
          <w:rStyle w:val="Refdenotaalpie"/>
          <w:rFonts w:ascii="Verdana" w:hAnsi="Verdana"/>
          <w:sz w:val="16"/>
          <w:szCs w:val="16"/>
          <w:lang w:val="es-CR"/>
        </w:rPr>
        <w:tab/>
      </w:r>
      <w:r w:rsidRPr="00CD5C54">
        <w:rPr>
          <w:rFonts w:ascii="Verdana" w:hAnsi="Verdana"/>
          <w:i/>
          <w:sz w:val="16"/>
          <w:szCs w:val="16"/>
          <w:lang w:val="es-CR"/>
        </w:rPr>
        <w:t>Cfr.</w:t>
      </w:r>
      <w:r w:rsidRPr="00C71BAA">
        <w:rPr>
          <w:rFonts w:ascii="Verdana" w:hAnsi="Verdana"/>
          <w:i/>
          <w:sz w:val="16"/>
          <w:szCs w:val="16"/>
          <w:lang w:val="es-CR"/>
        </w:rPr>
        <w:t xml:space="preserve"> Caso Velásquez Rodrígue</w:t>
      </w:r>
      <w:r>
        <w:rPr>
          <w:rFonts w:ascii="Verdana" w:hAnsi="Verdana"/>
          <w:i/>
          <w:sz w:val="16"/>
          <w:szCs w:val="16"/>
          <w:lang w:val="es-CR"/>
        </w:rPr>
        <w:t>z Vs. Honduras. Fondo,</w:t>
      </w:r>
      <w:r w:rsidRPr="00C87F01">
        <w:rPr>
          <w:rFonts w:ascii="Verdana" w:hAnsi="Verdana"/>
          <w:i/>
          <w:sz w:val="16"/>
          <w:szCs w:val="16"/>
          <w:lang w:val="es-CR"/>
        </w:rPr>
        <w:t xml:space="preserve"> </w:t>
      </w:r>
      <w:r>
        <w:rPr>
          <w:rFonts w:ascii="Verdana" w:hAnsi="Verdana"/>
          <w:i/>
          <w:sz w:val="16"/>
          <w:szCs w:val="16"/>
          <w:lang w:val="es-CR"/>
        </w:rPr>
        <w:t>s</w:t>
      </w:r>
      <w:r w:rsidRPr="00C87F01">
        <w:rPr>
          <w:rFonts w:ascii="Verdana" w:hAnsi="Verdana"/>
          <w:i/>
          <w:sz w:val="16"/>
          <w:szCs w:val="16"/>
          <w:lang w:val="es-CR"/>
        </w:rPr>
        <w:t>upra</w:t>
      </w:r>
      <w:r w:rsidRPr="00066D10">
        <w:rPr>
          <w:rStyle w:val="Refdenotaalpie"/>
          <w:rFonts w:ascii="Verdana" w:hAnsi="Verdana"/>
          <w:sz w:val="16"/>
          <w:szCs w:val="16"/>
        </w:rPr>
        <w:t xml:space="preserve"> </w:t>
      </w:r>
      <w:r w:rsidRPr="00066D10">
        <w:rPr>
          <w:rFonts w:ascii="Verdana" w:hAnsi="Verdana"/>
          <w:sz w:val="16"/>
          <w:szCs w:val="16"/>
          <w:lang w:val="es-CR"/>
        </w:rPr>
        <w:t xml:space="preserve">párrs. 166 y 176, y </w:t>
      </w:r>
      <w:r w:rsidRPr="00066D10">
        <w:rPr>
          <w:rFonts w:ascii="Verdana" w:hAnsi="Verdana"/>
          <w:i/>
          <w:sz w:val="16"/>
          <w:szCs w:val="16"/>
          <w:lang w:val="es-CR"/>
        </w:rPr>
        <w:t xml:space="preserve">Caso </w:t>
      </w:r>
      <w:r>
        <w:rPr>
          <w:rFonts w:ascii="Verdana" w:hAnsi="Verdana"/>
          <w:i/>
          <w:sz w:val="16"/>
          <w:szCs w:val="16"/>
          <w:lang w:val="es-CR"/>
        </w:rPr>
        <w:t xml:space="preserve">Tenorio Roca y otros Vs. Perú. </w:t>
      </w:r>
      <w:r w:rsidRPr="00533C16">
        <w:rPr>
          <w:rFonts w:ascii="Verdana" w:hAnsi="Verdana"/>
          <w:i/>
          <w:sz w:val="16"/>
          <w:szCs w:val="16"/>
          <w:lang w:val="es-CR"/>
        </w:rPr>
        <w:t>Excepciones Preliminares, Fondo, Reparaciones y Costas</w:t>
      </w:r>
      <w:r w:rsidRPr="008D0846">
        <w:rPr>
          <w:rFonts w:ascii="Verdana" w:hAnsi="Verdana"/>
          <w:sz w:val="16"/>
          <w:szCs w:val="16"/>
          <w:lang w:val="es-CR"/>
        </w:rPr>
        <w:t>. Sentencia de 22 de junio de 2016. Serie C No. 314, párr. 167</w:t>
      </w:r>
      <w:r w:rsidRPr="00C87F01">
        <w:rPr>
          <w:rFonts w:ascii="Verdana" w:hAnsi="Verdana"/>
          <w:sz w:val="16"/>
          <w:szCs w:val="16"/>
          <w:lang w:val="es-CR"/>
        </w:rPr>
        <w:t>.</w:t>
      </w:r>
    </w:p>
  </w:footnote>
  <w:footnote w:id="446">
    <w:p w14:paraId="64AA6301" w14:textId="402E4483" w:rsidR="00146958" w:rsidRPr="00C87F01" w:rsidRDefault="00146958">
      <w:pPr>
        <w:pStyle w:val="Textonotapie"/>
        <w:jc w:val="both"/>
        <w:rPr>
          <w:rStyle w:val="Refdenotaalpie"/>
          <w:rFonts w:ascii="Verdana" w:hAnsi="Verdana"/>
          <w:sz w:val="16"/>
          <w:szCs w:val="16"/>
          <w:lang w:val="es-CR"/>
        </w:rPr>
      </w:pPr>
      <w:r w:rsidRPr="00C87F01">
        <w:rPr>
          <w:rStyle w:val="Refdenotaalpie"/>
          <w:rFonts w:ascii="Verdana" w:hAnsi="Verdana"/>
          <w:sz w:val="16"/>
          <w:szCs w:val="16"/>
        </w:rPr>
        <w:footnoteRef/>
      </w:r>
      <w:r w:rsidRPr="00C87F01">
        <w:rPr>
          <w:rStyle w:val="Refdenotaalpie"/>
          <w:rFonts w:ascii="Verdana" w:hAnsi="Verdana"/>
          <w:sz w:val="16"/>
          <w:szCs w:val="16"/>
          <w:lang w:val="es-CR"/>
        </w:rPr>
        <w:t xml:space="preserve"> </w:t>
      </w:r>
      <w:r w:rsidRPr="00C87F01">
        <w:rPr>
          <w:rFonts w:ascii="Verdana" w:hAnsi="Verdana"/>
          <w:sz w:val="16"/>
          <w:szCs w:val="16"/>
          <w:lang w:val="es-CR"/>
        </w:rPr>
        <w:tab/>
      </w:r>
      <w:r w:rsidRPr="00CD5C54">
        <w:rPr>
          <w:rFonts w:ascii="Verdana" w:hAnsi="Verdana"/>
          <w:i/>
          <w:sz w:val="16"/>
          <w:szCs w:val="16"/>
          <w:lang w:val="es-CR"/>
        </w:rPr>
        <w:t>Cfr.</w:t>
      </w:r>
      <w:r w:rsidRPr="00C71BAA">
        <w:rPr>
          <w:rFonts w:ascii="Verdana" w:hAnsi="Verdana"/>
          <w:i/>
          <w:sz w:val="16"/>
          <w:szCs w:val="16"/>
          <w:lang w:val="es-CR"/>
        </w:rPr>
        <w:t xml:space="preserve"> Caso de la "Masacre de Mapiripán" Vs. Colombia. Fondo, Reparaciones y Costas. </w:t>
      </w:r>
      <w:r w:rsidRPr="00066D10">
        <w:rPr>
          <w:rFonts w:ascii="Verdana" w:hAnsi="Verdana"/>
          <w:sz w:val="16"/>
          <w:szCs w:val="16"/>
          <w:lang w:val="es-CR"/>
        </w:rPr>
        <w:t xml:space="preserve">Sentencia de 15 de septiembre de 2005. Serie C No. 134, párrs. 219, 222 y 223, y </w:t>
      </w:r>
      <w:r w:rsidRPr="00553227">
        <w:rPr>
          <w:rFonts w:ascii="Verdana" w:hAnsi="Verdana"/>
          <w:i/>
          <w:sz w:val="16"/>
          <w:szCs w:val="16"/>
          <w:lang w:val="es-CR"/>
        </w:rPr>
        <w:t>Caso Tenorio Roca y otros Vs. Perú, supra</w:t>
      </w:r>
      <w:r w:rsidRPr="00C71BAA">
        <w:rPr>
          <w:rFonts w:ascii="Verdana" w:hAnsi="Verdana"/>
          <w:sz w:val="16"/>
          <w:szCs w:val="16"/>
          <w:lang w:val="es-CR"/>
        </w:rPr>
        <w:t xml:space="preserve"> </w:t>
      </w:r>
      <w:r w:rsidRPr="00066D10">
        <w:rPr>
          <w:rFonts w:ascii="Verdana" w:hAnsi="Verdana"/>
          <w:spacing w:val="-4"/>
          <w:sz w:val="16"/>
          <w:szCs w:val="16"/>
          <w:lang w:val="es-VE"/>
        </w:rPr>
        <w:t>párr. 1</w:t>
      </w:r>
      <w:r>
        <w:rPr>
          <w:rFonts w:ascii="Verdana" w:hAnsi="Verdana"/>
          <w:spacing w:val="-4"/>
          <w:sz w:val="16"/>
          <w:szCs w:val="16"/>
          <w:lang w:val="es-VE"/>
        </w:rPr>
        <w:t>68</w:t>
      </w:r>
      <w:r w:rsidRPr="00C87F01">
        <w:rPr>
          <w:rFonts w:ascii="Verdana" w:hAnsi="Verdana"/>
          <w:spacing w:val="-4"/>
          <w:sz w:val="16"/>
          <w:szCs w:val="16"/>
          <w:lang w:val="es-VE"/>
        </w:rPr>
        <w:t>.</w:t>
      </w:r>
    </w:p>
  </w:footnote>
  <w:footnote w:id="447">
    <w:p w14:paraId="64AA6302" w14:textId="6AE9C244" w:rsidR="00146958" w:rsidRPr="00C87F01" w:rsidRDefault="00146958">
      <w:pPr>
        <w:pStyle w:val="Textonotapie"/>
        <w:jc w:val="both"/>
        <w:rPr>
          <w:rFonts w:ascii="Verdana" w:hAnsi="Verdana"/>
          <w:sz w:val="16"/>
          <w:szCs w:val="16"/>
        </w:rPr>
      </w:pPr>
      <w:r w:rsidRPr="00C87F01">
        <w:rPr>
          <w:rStyle w:val="Refdenotaalpie"/>
          <w:rFonts w:ascii="Verdana" w:hAnsi="Verdana"/>
          <w:sz w:val="16"/>
          <w:szCs w:val="16"/>
        </w:rPr>
        <w:footnoteRef/>
      </w:r>
      <w:r w:rsidRPr="00C87F01">
        <w:rPr>
          <w:rFonts w:ascii="Verdana" w:hAnsi="Verdana"/>
          <w:sz w:val="16"/>
          <w:szCs w:val="16"/>
        </w:rPr>
        <w:t xml:space="preserve"> </w:t>
      </w:r>
      <w:r w:rsidRPr="00C87F01">
        <w:rPr>
          <w:rFonts w:ascii="Verdana" w:hAnsi="Verdana"/>
          <w:sz w:val="16"/>
          <w:szCs w:val="16"/>
        </w:rPr>
        <w:tab/>
      </w:r>
      <w:r w:rsidRPr="00C71BAA">
        <w:rPr>
          <w:rFonts w:ascii="Verdana" w:hAnsi="Verdana"/>
          <w:color w:val="000000"/>
          <w:sz w:val="16"/>
          <w:szCs w:val="16"/>
        </w:rPr>
        <w:t xml:space="preserve">Oficio 1656/2010 de 5 de enero de 2010 suscrito por Óscar Arias Ocampo </w:t>
      </w:r>
      <w:r>
        <w:rPr>
          <w:rFonts w:ascii="Verdana" w:hAnsi="Verdana"/>
          <w:color w:val="000000"/>
          <w:sz w:val="16"/>
          <w:szCs w:val="16"/>
        </w:rPr>
        <w:t>(expediente de prueba f. 12299)</w:t>
      </w:r>
      <w:r w:rsidRPr="00C87F01">
        <w:rPr>
          <w:rFonts w:ascii="Verdana" w:hAnsi="Verdana"/>
          <w:color w:val="000000"/>
          <w:sz w:val="16"/>
          <w:szCs w:val="16"/>
        </w:rPr>
        <w:t>.</w:t>
      </w:r>
    </w:p>
  </w:footnote>
  <w:footnote w:id="448">
    <w:p w14:paraId="64AA6303" w14:textId="6AAE7C21" w:rsidR="00146958" w:rsidRPr="00066D10" w:rsidRDefault="00146958">
      <w:pPr>
        <w:pStyle w:val="Textonotapie"/>
        <w:jc w:val="both"/>
        <w:rPr>
          <w:rFonts w:ascii="Verdana" w:hAnsi="Verdana"/>
          <w:sz w:val="16"/>
          <w:szCs w:val="16"/>
        </w:rPr>
      </w:pPr>
      <w:r w:rsidRPr="00C87F01">
        <w:rPr>
          <w:rStyle w:val="Refdenotaalpie"/>
          <w:rFonts w:ascii="Verdana" w:hAnsi="Verdana"/>
          <w:sz w:val="16"/>
          <w:szCs w:val="16"/>
        </w:rPr>
        <w:footnoteRef/>
      </w:r>
      <w:r w:rsidRPr="00C87F01">
        <w:rPr>
          <w:rFonts w:ascii="Verdana" w:hAnsi="Verdana"/>
          <w:sz w:val="16"/>
          <w:szCs w:val="16"/>
        </w:rPr>
        <w:t xml:space="preserve"> </w:t>
      </w:r>
      <w:r w:rsidRPr="00C87F01">
        <w:rPr>
          <w:rFonts w:ascii="Verdana" w:hAnsi="Verdana"/>
          <w:sz w:val="16"/>
          <w:szCs w:val="16"/>
        </w:rPr>
        <w:tab/>
      </w:r>
      <w:r>
        <w:rPr>
          <w:rFonts w:ascii="Verdana" w:hAnsi="Verdana"/>
          <w:sz w:val="16"/>
          <w:szCs w:val="16"/>
        </w:rPr>
        <w:t>Testimonio ministerial de Mario Castro García el 9 de marzo de 2010 ante el AMP-UEIPAE (e</w:t>
      </w:r>
      <w:r w:rsidRPr="00C87F01">
        <w:rPr>
          <w:rFonts w:ascii="Verdana" w:hAnsi="Verdana"/>
          <w:sz w:val="16"/>
          <w:szCs w:val="16"/>
        </w:rPr>
        <w:t xml:space="preserve">xpediente de prueba, </w:t>
      </w:r>
      <w:r w:rsidRPr="00066D10">
        <w:rPr>
          <w:rFonts w:ascii="Verdana" w:hAnsi="Verdana"/>
          <w:sz w:val="16"/>
          <w:szCs w:val="16"/>
        </w:rPr>
        <w:t>f. 2794</w:t>
      </w:r>
      <w:r>
        <w:rPr>
          <w:rFonts w:ascii="Verdana" w:hAnsi="Verdana"/>
          <w:sz w:val="16"/>
          <w:szCs w:val="16"/>
        </w:rPr>
        <w:t>2)</w:t>
      </w:r>
      <w:r w:rsidRPr="00066D10">
        <w:rPr>
          <w:rFonts w:ascii="Verdana" w:hAnsi="Verdana"/>
          <w:sz w:val="16"/>
          <w:szCs w:val="16"/>
        </w:rPr>
        <w:t>.</w:t>
      </w:r>
    </w:p>
  </w:footnote>
  <w:footnote w:id="449">
    <w:p w14:paraId="64AA6304" w14:textId="107FA2F7" w:rsidR="00146958" w:rsidRPr="00432ABC" w:rsidRDefault="00146958" w:rsidP="00C71BAA">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432ABC">
        <w:rPr>
          <w:rFonts w:ascii="Verdana" w:hAnsi="Verdana"/>
          <w:sz w:val="16"/>
          <w:szCs w:val="16"/>
        </w:rPr>
        <w:t>Parte informativo rendido el 30 de diciembre de 2009 por Mario Castro García, Comandante de Seguridad y Vialidad Pública del Ejido Benito Juárez (</w:t>
      </w:r>
      <w:r>
        <w:rPr>
          <w:rFonts w:ascii="Verdana" w:hAnsi="Verdana"/>
          <w:sz w:val="16"/>
          <w:szCs w:val="16"/>
        </w:rPr>
        <w:t>expediente de prueba, ff. 5753 y 5754</w:t>
      </w:r>
      <w:r w:rsidRPr="00432ABC">
        <w:rPr>
          <w:rFonts w:ascii="Verdana" w:hAnsi="Verdana"/>
          <w:sz w:val="16"/>
          <w:szCs w:val="16"/>
        </w:rPr>
        <w:t>).</w:t>
      </w:r>
    </w:p>
  </w:footnote>
  <w:footnote w:id="450">
    <w:p w14:paraId="64AA6305" w14:textId="19183F6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t>Cabe señalar que el traslado del vehículo se dio por petición del comandante de la Policía Seccional y no derivado de una orden o de una puesta a disposición formal (</w:t>
      </w:r>
      <w:r>
        <w:rPr>
          <w:rFonts w:ascii="Verdana" w:hAnsi="Verdana"/>
          <w:sz w:val="16"/>
          <w:szCs w:val="16"/>
        </w:rPr>
        <w:t>expediente de prueba, f. 12300</w:t>
      </w:r>
      <w:r w:rsidRPr="00432ABC">
        <w:rPr>
          <w:rFonts w:ascii="Verdana" w:hAnsi="Verdana"/>
          <w:sz w:val="16"/>
          <w:szCs w:val="16"/>
        </w:rPr>
        <w:t>).</w:t>
      </w:r>
    </w:p>
  </w:footnote>
  <w:footnote w:id="451">
    <w:p w14:paraId="64AA6306" w14:textId="1506C04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Pr>
          <w:rFonts w:ascii="Verdana" w:hAnsi="Verdana"/>
          <w:sz w:val="16"/>
          <w:szCs w:val="16"/>
        </w:rPr>
        <w:t>Parte informativo rendido el 30 de diciembre de 2009 por Mario Castro García ante el Director de Seguridad Pública y Vialidad Municipal de Buenaventura, Chihuahua (expediente de prueba, ff. 5753 y 5754)</w:t>
      </w:r>
      <w:r w:rsidRPr="00432ABC">
        <w:rPr>
          <w:rFonts w:ascii="Verdana" w:hAnsi="Verdana"/>
          <w:sz w:val="16"/>
          <w:szCs w:val="16"/>
        </w:rPr>
        <w:t>.</w:t>
      </w:r>
    </w:p>
  </w:footnote>
  <w:footnote w:id="452">
    <w:p w14:paraId="64AA6307" w14:textId="0A7A4809"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Pr>
          <w:rFonts w:ascii="Verdana" w:hAnsi="Verdana"/>
          <w:sz w:val="16"/>
          <w:szCs w:val="16"/>
        </w:rPr>
        <w:t>Acta de aviso de la policía a la Unidad Especializada de Hechos Probablemente Delictuosos</w:t>
      </w:r>
      <w:r w:rsidRPr="00432ABC">
        <w:rPr>
          <w:rFonts w:ascii="Verdana" w:hAnsi="Verdana"/>
          <w:sz w:val="16"/>
          <w:szCs w:val="16"/>
        </w:rPr>
        <w:t>,</w:t>
      </w:r>
      <w:r>
        <w:rPr>
          <w:rFonts w:ascii="Verdana" w:hAnsi="Verdana"/>
          <w:sz w:val="16"/>
          <w:szCs w:val="16"/>
        </w:rPr>
        <w:t xml:space="preserve"> Folio No. 1653 de 5 de enero de 2010, suscrito por Oscar Arias Ocampo (expediente de prueba, f. 12300)</w:t>
      </w:r>
      <w:r w:rsidRPr="00432ABC">
        <w:rPr>
          <w:rFonts w:ascii="Verdana" w:hAnsi="Verdana"/>
          <w:sz w:val="16"/>
          <w:szCs w:val="16"/>
        </w:rPr>
        <w:t>.</w:t>
      </w:r>
    </w:p>
  </w:footnote>
  <w:footnote w:id="453">
    <w:p w14:paraId="64AA6308" w14:textId="65AE4CA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t>La</w:t>
      </w:r>
      <w:r>
        <w:rPr>
          <w:rFonts w:ascii="Verdana" w:hAnsi="Verdana"/>
          <w:sz w:val="16"/>
          <w:szCs w:val="16"/>
        </w:rPr>
        <w:t xml:space="preserve"> </w:t>
      </w:r>
      <w:r w:rsidRPr="002C462C">
        <w:rPr>
          <w:rFonts w:ascii="Verdana" w:hAnsi="Verdana"/>
          <w:sz w:val="16"/>
          <w:szCs w:val="16"/>
        </w:rPr>
        <w:t xml:space="preserve">primera declaración de Obdulia Espinoza Beltrán, </w:t>
      </w:r>
      <w:r>
        <w:rPr>
          <w:rFonts w:ascii="Verdana" w:hAnsi="Verdana"/>
          <w:sz w:val="16"/>
          <w:szCs w:val="16"/>
        </w:rPr>
        <w:t xml:space="preserve">una de las </w:t>
      </w:r>
      <w:r w:rsidRPr="002C462C">
        <w:rPr>
          <w:rFonts w:ascii="Verdana" w:hAnsi="Verdana"/>
          <w:sz w:val="16"/>
          <w:szCs w:val="16"/>
        </w:rPr>
        <w:t>testigo</w:t>
      </w:r>
      <w:r>
        <w:rPr>
          <w:rFonts w:ascii="Verdana" w:hAnsi="Verdana"/>
          <w:sz w:val="16"/>
          <w:szCs w:val="16"/>
        </w:rPr>
        <w:t>s</w:t>
      </w:r>
      <w:r w:rsidRPr="002C462C">
        <w:rPr>
          <w:rFonts w:ascii="Verdana" w:hAnsi="Verdana"/>
          <w:sz w:val="16"/>
          <w:szCs w:val="16"/>
        </w:rPr>
        <w:t xml:space="preserve"> presencial</w:t>
      </w:r>
      <w:r>
        <w:rPr>
          <w:rFonts w:ascii="Verdana" w:hAnsi="Verdana"/>
          <w:sz w:val="16"/>
          <w:szCs w:val="16"/>
        </w:rPr>
        <w:t>es</w:t>
      </w:r>
      <w:r w:rsidRPr="002C462C">
        <w:rPr>
          <w:rFonts w:ascii="Verdana" w:hAnsi="Verdana"/>
          <w:sz w:val="16"/>
          <w:szCs w:val="16"/>
        </w:rPr>
        <w:t xml:space="preserve"> de los hechos, fue recabada por la FEVIMTRA</w:t>
      </w:r>
      <w:r>
        <w:rPr>
          <w:rFonts w:ascii="Verdana" w:hAnsi="Verdana"/>
          <w:sz w:val="16"/>
          <w:szCs w:val="16"/>
        </w:rPr>
        <w:t>-PGR</w:t>
      </w:r>
      <w:r w:rsidRPr="002C462C">
        <w:rPr>
          <w:rFonts w:ascii="Verdana" w:hAnsi="Verdana"/>
          <w:sz w:val="16"/>
          <w:szCs w:val="16"/>
        </w:rPr>
        <w:t xml:space="preserve"> hasta el 10 de junio de 2010, </w:t>
      </w:r>
      <w:r>
        <w:rPr>
          <w:rFonts w:ascii="Verdana" w:hAnsi="Verdana"/>
          <w:sz w:val="16"/>
          <w:szCs w:val="16"/>
        </w:rPr>
        <w:t>más de cinco</w:t>
      </w:r>
      <w:r w:rsidRPr="002C462C">
        <w:rPr>
          <w:rFonts w:ascii="Verdana" w:hAnsi="Verdana"/>
          <w:sz w:val="16"/>
          <w:szCs w:val="16"/>
        </w:rPr>
        <w:t xml:space="preserve"> meses después de l</w:t>
      </w:r>
      <w:r>
        <w:rPr>
          <w:rFonts w:ascii="Verdana" w:hAnsi="Verdana"/>
          <w:sz w:val="16"/>
          <w:szCs w:val="16"/>
        </w:rPr>
        <w:t>a</w:t>
      </w:r>
      <w:r w:rsidRPr="002C462C">
        <w:rPr>
          <w:rFonts w:ascii="Verdana" w:hAnsi="Verdana"/>
          <w:sz w:val="16"/>
          <w:szCs w:val="16"/>
        </w:rPr>
        <w:t xml:space="preserve">s </w:t>
      </w:r>
      <w:r>
        <w:rPr>
          <w:rFonts w:ascii="Verdana" w:hAnsi="Verdana"/>
          <w:sz w:val="16"/>
          <w:szCs w:val="16"/>
        </w:rPr>
        <w:t>desapariciones</w:t>
      </w:r>
      <w:r w:rsidRPr="00432ABC">
        <w:rPr>
          <w:rFonts w:ascii="Verdana" w:hAnsi="Verdana"/>
          <w:sz w:val="16"/>
          <w:szCs w:val="16"/>
        </w:rPr>
        <w:t>.</w:t>
      </w:r>
    </w:p>
  </w:footnote>
  <w:footnote w:id="454">
    <w:p w14:paraId="64AA6309" w14:textId="69AB7519" w:rsidR="00146958" w:rsidRPr="00432ABC" w:rsidRDefault="00146958">
      <w:pPr>
        <w:pStyle w:val="Textonotapie"/>
        <w:jc w:val="both"/>
        <w:rPr>
          <w:rStyle w:val="Refdenotaalpie"/>
          <w:rFonts w:ascii="Verdana" w:hAnsi="Verdana"/>
          <w:b/>
          <w:sz w:val="16"/>
          <w:szCs w:val="16"/>
        </w:rPr>
      </w:pPr>
      <w:r w:rsidRPr="00432ABC">
        <w:rPr>
          <w:rStyle w:val="Refdenotaalpie"/>
          <w:rFonts w:ascii="Verdana" w:hAnsi="Verdana"/>
          <w:sz w:val="16"/>
          <w:szCs w:val="16"/>
        </w:rPr>
        <w:footnoteRef/>
      </w:r>
      <w:r w:rsidRPr="00432ABC">
        <w:rPr>
          <w:rStyle w:val="Refdenotaalpie"/>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432ABC">
        <w:rPr>
          <w:rFonts w:ascii="Verdana" w:hAnsi="Verdana"/>
          <w:bCs/>
          <w:i/>
          <w:sz w:val="16"/>
          <w:szCs w:val="16"/>
        </w:rPr>
        <w:t>Caso Juan Humberto Sánchez Vs. Honduras</w:t>
      </w:r>
      <w:r w:rsidRPr="00432ABC">
        <w:rPr>
          <w:rFonts w:ascii="Verdana" w:hAnsi="Verdana"/>
          <w:sz w:val="16"/>
          <w:szCs w:val="16"/>
        </w:rPr>
        <w:t xml:space="preserve">. </w:t>
      </w:r>
      <w:r w:rsidRPr="00432ABC">
        <w:rPr>
          <w:rFonts w:ascii="Verdana" w:hAnsi="Verdana"/>
          <w:i/>
          <w:sz w:val="16"/>
          <w:szCs w:val="16"/>
        </w:rPr>
        <w:t>Excepción Preliminar, Fondo, Reparaciones y Costas</w:t>
      </w:r>
      <w:r w:rsidRPr="00432ABC">
        <w:rPr>
          <w:rFonts w:ascii="Verdana" w:hAnsi="Verdana"/>
          <w:sz w:val="16"/>
          <w:szCs w:val="16"/>
        </w:rPr>
        <w:t xml:space="preserve">. </w:t>
      </w:r>
      <w:r w:rsidRPr="00C71BAA">
        <w:rPr>
          <w:rFonts w:ascii="Verdana" w:hAnsi="Verdana"/>
          <w:sz w:val="16"/>
          <w:szCs w:val="16"/>
        </w:rPr>
        <w:t>Sentencia de 7 de junio de 2003. Serie C No. 99</w:t>
      </w:r>
      <w:r w:rsidRPr="00701439">
        <w:rPr>
          <w:rFonts w:ascii="Verdana" w:hAnsi="Verdana"/>
          <w:bCs/>
          <w:sz w:val="16"/>
          <w:szCs w:val="16"/>
        </w:rPr>
        <w:t>,</w:t>
      </w:r>
      <w:r w:rsidRPr="00701439">
        <w:rPr>
          <w:rFonts w:ascii="Verdana" w:hAnsi="Verdana"/>
          <w:sz w:val="16"/>
          <w:szCs w:val="16"/>
        </w:rPr>
        <w:t xml:space="preserve"> párr. 128</w:t>
      </w:r>
      <w:r w:rsidRPr="00701439">
        <w:rPr>
          <w:rFonts w:ascii="Verdana" w:hAnsi="Verdana"/>
          <w:bCs/>
          <w:sz w:val="16"/>
          <w:szCs w:val="16"/>
          <w:lang w:val="es-CR"/>
        </w:rPr>
        <w:t>, y</w:t>
      </w:r>
      <w:r w:rsidRPr="00432ABC">
        <w:rPr>
          <w:rFonts w:ascii="Verdana" w:hAnsi="Verdana"/>
          <w:b/>
          <w:bCs/>
          <w:sz w:val="16"/>
          <w:szCs w:val="16"/>
          <w:lang w:val="es-CR"/>
        </w:rPr>
        <w:t xml:space="preserve"> </w:t>
      </w:r>
      <w:r w:rsidRPr="00432ABC">
        <w:rPr>
          <w:rStyle w:val="Textoennegrita"/>
          <w:rFonts w:ascii="Verdana" w:hAnsi="Verdana"/>
          <w:b w:val="0"/>
          <w:i/>
          <w:color w:val="000000"/>
          <w:sz w:val="16"/>
          <w:szCs w:val="16"/>
          <w:shd w:val="clear" w:color="auto" w:fill="FFFFFF"/>
        </w:rPr>
        <w:t xml:space="preserve">Caso </w:t>
      </w:r>
      <w:r>
        <w:rPr>
          <w:rStyle w:val="Textoennegrita"/>
          <w:rFonts w:ascii="Verdana" w:hAnsi="Verdana"/>
          <w:b w:val="0"/>
          <w:i/>
          <w:color w:val="000000"/>
          <w:sz w:val="16"/>
          <w:szCs w:val="16"/>
          <w:shd w:val="clear" w:color="auto" w:fill="FFFFFF"/>
        </w:rPr>
        <w:t xml:space="preserve">J. Vs. Perú. Excepción Preliminar, Fondo, Reparaciones y Costas. </w:t>
      </w:r>
      <w:r w:rsidRPr="008D0846">
        <w:rPr>
          <w:rStyle w:val="Textoennegrita"/>
          <w:rFonts w:ascii="Verdana" w:hAnsi="Verdana"/>
          <w:b w:val="0"/>
          <w:color w:val="000000"/>
          <w:sz w:val="16"/>
          <w:szCs w:val="16"/>
          <w:shd w:val="clear" w:color="auto" w:fill="FFFFFF"/>
        </w:rPr>
        <w:t>Sentencia de 27 de noviembre de 2013.</w:t>
      </w:r>
      <w:r w:rsidRPr="00C71BAA">
        <w:rPr>
          <w:rStyle w:val="Textoennegrita"/>
          <w:rFonts w:ascii="Verdana" w:hAnsi="Verdana"/>
          <w:b w:val="0"/>
          <w:color w:val="000000"/>
          <w:sz w:val="16"/>
          <w:szCs w:val="16"/>
          <w:shd w:val="clear" w:color="auto" w:fill="FFFFFF"/>
        </w:rPr>
        <w:t xml:space="preserve"> Serie C No. 2</w:t>
      </w:r>
      <w:r w:rsidRPr="00701439">
        <w:rPr>
          <w:rStyle w:val="Textoennegrita"/>
          <w:rFonts w:ascii="Verdana" w:hAnsi="Verdana"/>
          <w:b w:val="0"/>
          <w:color w:val="000000"/>
          <w:sz w:val="16"/>
          <w:szCs w:val="16"/>
          <w:shd w:val="clear" w:color="auto" w:fill="FFFFFF"/>
        </w:rPr>
        <w:t>57, párr. 344</w:t>
      </w:r>
      <w:r w:rsidRPr="00432ABC">
        <w:rPr>
          <w:rStyle w:val="Textoennegrita"/>
          <w:rFonts w:ascii="Verdana" w:hAnsi="Verdana"/>
          <w:b w:val="0"/>
          <w:color w:val="000000"/>
          <w:sz w:val="16"/>
          <w:szCs w:val="16"/>
          <w:shd w:val="clear" w:color="auto" w:fill="FFFFFF"/>
        </w:rPr>
        <w:t>.</w:t>
      </w:r>
      <w:r w:rsidRPr="00432ABC">
        <w:rPr>
          <w:rFonts w:ascii="Verdana" w:hAnsi="Verdana"/>
          <w:b/>
          <w:bCs/>
          <w:i/>
          <w:sz w:val="16"/>
          <w:szCs w:val="16"/>
        </w:rPr>
        <w:t xml:space="preserve"> </w:t>
      </w:r>
    </w:p>
  </w:footnote>
  <w:footnote w:id="455">
    <w:p w14:paraId="64AA630A" w14:textId="7AA63E3A" w:rsidR="00146958" w:rsidRPr="004A3F07" w:rsidRDefault="00146958">
      <w:pPr>
        <w:pStyle w:val="Textonotapie"/>
        <w:jc w:val="both"/>
        <w:rPr>
          <w:rFonts w:ascii="Verdana" w:hAnsi="Verdana"/>
          <w:sz w:val="16"/>
          <w:szCs w:val="16"/>
        </w:rPr>
      </w:pPr>
      <w:r w:rsidRPr="00C71BAA">
        <w:rPr>
          <w:rStyle w:val="Refdenotaalpie"/>
          <w:rFonts w:ascii="Verdana" w:hAnsi="Verdana"/>
          <w:sz w:val="16"/>
          <w:szCs w:val="16"/>
        </w:rPr>
        <w:footnoteRef/>
      </w:r>
      <w:r w:rsidRPr="00C71BAA">
        <w:rPr>
          <w:rFonts w:ascii="Verdana" w:hAnsi="Verdana"/>
          <w:sz w:val="16"/>
          <w:szCs w:val="16"/>
        </w:rPr>
        <w:t xml:space="preserve"> </w:t>
      </w:r>
      <w:r w:rsidRPr="00C71BAA">
        <w:rPr>
          <w:rFonts w:ascii="Verdana" w:hAnsi="Verdana"/>
          <w:sz w:val="16"/>
          <w:szCs w:val="16"/>
        </w:rPr>
        <w:tab/>
      </w:r>
      <w:r w:rsidRPr="004D0D3E">
        <w:rPr>
          <w:rFonts w:ascii="Verdana" w:hAnsi="Verdana"/>
          <w:sz w:val="16"/>
          <w:szCs w:val="16"/>
          <w:lang w:val="es-EC"/>
        </w:rPr>
        <w:t>Diligencia a cargo del Lic. Leopoldo Alberto González Pérez, Secretario P</w:t>
      </w:r>
      <w:r w:rsidRPr="004A3F07">
        <w:rPr>
          <w:rFonts w:ascii="Verdana" w:hAnsi="Verdana"/>
          <w:sz w:val="16"/>
          <w:szCs w:val="16"/>
          <w:lang w:val="es-EC"/>
        </w:rPr>
        <w:t>royectista del Juzgado Segundo Penal del Distrito Judicial de Galeana, en cumplimiento a lo ordenado por el Juez Sexto de Distrito en Ciudad Juárez, Chihuahua, dentro del procedimiento de amparo promovido por José Ángel Alvarado Fabela (</w:t>
      </w:r>
      <w:r w:rsidRPr="004A3F07">
        <w:rPr>
          <w:rFonts w:ascii="Verdana" w:hAnsi="Verdana"/>
          <w:color w:val="000000"/>
          <w:sz w:val="16"/>
          <w:szCs w:val="16"/>
        </w:rPr>
        <w:t>expediente de prueba, f. 5610).</w:t>
      </w:r>
    </w:p>
  </w:footnote>
  <w:footnote w:id="456">
    <w:p w14:paraId="64AA630B" w14:textId="406AF186" w:rsidR="00146958" w:rsidRPr="00432ABC" w:rsidRDefault="00146958">
      <w:pPr>
        <w:pStyle w:val="Textonotapie"/>
        <w:jc w:val="both"/>
        <w:rPr>
          <w:rFonts w:ascii="Verdana" w:hAnsi="Verdana"/>
          <w:sz w:val="16"/>
          <w:szCs w:val="16"/>
        </w:rPr>
      </w:pPr>
      <w:r w:rsidRPr="00C71BAA">
        <w:rPr>
          <w:rStyle w:val="Refdenotaalpie"/>
          <w:rFonts w:ascii="Verdana" w:hAnsi="Verdana"/>
          <w:sz w:val="16"/>
          <w:szCs w:val="16"/>
        </w:rPr>
        <w:footnoteRef/>
      </w:r>
      <w:r w:rsidRPr="00C71BAA">
        <w:rPr>
          <w:rFonts w:ascii="Verdana" w:hAnsi="Verdana"/>
          <w:sz w:val="16"/>
          <w:szCs w:val="16"/>
        </w:rPr>
        <w:t xml:space="preserve"> </w:t>
      </w:r>
      <w:r w:rsidRPr="00C71BAA">
        <w:rPr>
          <w:rFonts w:ascii="Verdana" w:hAnsi="Verdana"/>
          <w:sz w:val="16"/>
          <w:szCs w:val="16"/>
        </w:rPr>
        <w:tab/>
      </w:r>
      <w:r w:rsidRPr="00CD5C54">
        <w:rPr>
          <w:rFonts w:ascii="Verdana" w:hAnsi="Verdana"/>
          <w:i/>
          <w:sz w:val="16"/>
          <w:szCs w:val="16"/>
        </w:rPr>
        <w:t>Cfr.</w:t>
      </w:r>
      <w:r w:rsidRPr="00C71BAA">
        <w:rPr>
          <w:rFonts w:ascii="Verdana" w:hAnsi="Verdana"/>
          <w:sz w:val="16"/>
          <w:szCs w:val="16"/>
        </w:rPr>
        <w:t xml:space="preserve"> Mensaje C.E.I. No. 929 de 15 de enero de 2010, suscrito por el Comandante del 35 Batall</w:t>
      </w:r>
      <w:r w:rsidRPr="004D0D3E">
        <w:rPr>
          <w:rFonts w:ascii="Verdana" w:hAnsi="Verdana"/>
          <w:sz w:val="16"/>
          <w:szCs w:val="16"/>
        </w:rPr>
        <w:t>ón de Infantería del Ej</w:t>
      </w:r>
      <w:r w:rsidRPr="008D0846">
        <w:rPr>
          <w:rFonts w:ascii="Verdana" w:hAnsi="Verdana" w:cs="Arial"/>
          <w:sz w:val="16"/>
          <w:szCs w:val="16"/>
        </w:rPr>
        <w:t>ército dirigido al Comandante de la 5ª.</w:t>
      </w:r>
      <w:r w:rsidRPr="00C71BAA">
        <w:rPr>
          <w:rFonts w:ascii="Verdana" w:hAnsi="Verdana" w:cs="Arial"/>
          <w:sz w:val="16"/>
          <w:szCs w:val="16"/>
        </w:rPr>
        <w:t xml:space="preserve"> ZM </w:t>
      </w:r>
      <w:r w:rsidRPr="008D0846">
        <w:rPr>
          <w:rFonts w:ascii="Verdana" w:hAnsi="Verdana" w:cs="Arial"/>
          <w:sz w:val="16"/>
          <w:szCs w:val="16"/>
        </w:rPr>
        <w:t>(expediente de prueba, f. 5609).</w:t>
      </w:r>
      <w:r>
        <w:rPr>
          <w:rFonts w:ascii="Verdana" w:hAnsi="Verdana"/>
          <w:sz w:val="16"/>
          <w:szCs w:val="16"/>
        </w:rPr>
        <w:t xml:space="preserve"> </w:t>
      </w:r>
    </w:p>
  </w:footnote>
  <w:footnote w:id="457">
    <w:p w14:paraId="64AA630C" w14:textId="0B7E9721"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Pr>
          <w:rFonts w:ascii="Verdana" w:hAnsi="Verdana"/>
          <w:sz w:val="16"/>
          <w:szCs w:val="16"/>
        </w:rPr>
        <w:t>Diligencias ministeriales realizadas con motivo de la llamada de auxilio de Nitza Paola Alvarado, por la PGJE-Chihuahua (expediente de prueba, ff. 12321 a 12677), y por la FEVIMTRA-PGR (expediente de prueba, ff. 29371 a 29527)</w:t>
      </w:r>
      <w:r w:rsidRPr="002C462C">
        <w:rPr>
          <w:rFonts w:ascii="Verdana" w:hAnsi="Verdana"/>
          <w:sz w:val="16"/>
          <w:szCs w:val="16"/>
        </w:rPr>
        <w:t>.</w:t>
      </w:r>
    </w:p>
  </w:footnote>
  <w:footnote w:id="458">
    <w:p w14:paraId="64AA630E" w14:textId="320FDAD1"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Caso Castillo Petruzzi y otros Vs. Perú. Fondo, Reparaciones y Costas</w:t>
      </w:r>
      <w:r w:rsidRPr="002C462C">
        <w:rPr>
          <w:rFonts w:ascii="Verdana" w:hAnsi="Verdana"/>
          <w:sz w:val="16"/>
          <w:szCs w:val="16"/>
        </w:rPr>
        <w:t xml:space="preserve">. Sentencia de 30 de mayo de 1999. Serie C No. 52, párr. 128, y </w:t>
      </w:r>
      <w:r w:rsidRPr="008D0846">
        <w:rPr>
          <w:rFonts w:ascii="Verdana" w:hAnsi="Verdana"/>
          <w:i/>
          <w:sz w:val="16"/>
          <w:szCs w:val="16"/>
        </w:rPr>
        <w:t>Caso Quispialaya Vilcapoma Vs. Perú. Excepciones Preliminares, Fondo, Reparaciones y Costas</w:t>
      </w:r>
      <w:r>
        <w:rPr>
          <w:rFonts w:ascii="Verdana" w:hAnsi="Verdana"/>
          <w:sz w:val="16"/>
          <w:szCs w:val="16"/>
        </w:rPr>
        <w:t>. Sentencia de 23 de noviembre de 2015. Serie C No. 308, párr. 137.</w:t>
      </w:r>
    </w:p>
  </w:footnote>
  <w:footnote w:id="459">
    <w:p w14:paraId="64AA630F" w14:textId="2C8F6CD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Caso </w:t>
      </w:r>
      <w:r>
        <w:rPr>
          <w:rFonts w:ascii="Verdana" w:hAnsi="Verdana"/>
          <w:i/>
          <w:sz w:val="16"/>
          <w:szCs w:val="16"/>
        </w:rPr>
        <w:t xml:space="preserve">Radilla Pacheco Vs. México, supra párr. </w:t>
      </w:r>
      <w:r w:rsidRPr="008D0846">
        <w:rPr>
          <w:rFonts w:ascii="Verdana" w:hAnsi="Verdana"/>
          <w:sz w:val="16"/>
          <w:szCs w:val="16"/>
        </w:rPr>
        <w:t>273</w:t>
      </w:r>
      <w:r>
        <w:rPr>
          <w:rFonts w:ascii="Verdana" w:hAnsi="Verdana"/>
          <w:i/>
          <w:sz w:val="16"/>
          <w:szCs w:val="16"/>
        </w:rPr>
        <w:t xml:space="preserve">, y Caso </w:t>
      </w:r>
      <w:r w:rsidRPr="002C462C">
        <w:rPr>
          <w:rFonts w:ascii="Verdana" w:hAnsi="Verdana"/>
          <w:i/>
          <w:sz w:val="16"/>
          <w:szCs w:val="16"/>
        </w:rPr>
        <w:t>Cabrera García y Montiel Flores Vs. México</w:t>
      </w:r>
      <w:r>
        <w:rPr>
          <w:rFonts w:ascii="Verdana" w:hAnsi="Verdana"/>
          <w:i/>
          <w:sz w:val="16"/>
          <w:szCs w:val="16"/>
        </w:rPr>
        <w:t xml:space="preserve">, supra </w:t>
      </w:r>
      <w:r w:rsidRPr="00432ABC">
        <w:rPr>
          <w:rFonts w:ascii="Verdana" w:hAnsi="Verdana"/>
          <w:sz w:val="16"/>
          <w:szCs w:val="16"/>
        </w:rPr>
        <w:t>párrs. 197 y 198</w:t>
      </w:r>
      <w:r>
        <w:rPr>
          <w:rFonts w:ascii="Verdana" w:hAnsi="Verdana"/>
          <w:sz w:val="16"/>
          <w:szCs w:val="16"/>
        </w:rPr>
        <w:t>.</w:t>
      </w:r>
    </w:p>
  </w:footnote>
  <w:footnote w:id="460">
    <w:p w14:paraId="64AA6310" w14:textId="0EFAC08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lang w:val="es-ES"/>
        </w:rPr>
        <w:t>Cfr.</w:t>
      </w:r>
      <w:r w:rsidRPr="00C71BAA">
        <w:rPr>
          <w:rFonts w:ascii="Verdana" w:hAnsi="Verdana"/>
          <w:i/>
          <w:sz w:val="16"/>
          <w:szCs w:val="16"/>
          <w:lang w:val="es-ES"/>
        </w:rPr>
        <w:t xml:space="preserve"> Caso Fernández Ortega y otros </w:t>
      </w:r>
      <w:r>
        <w:rPr>
          <w:rFonts w:ascii="Verdana" w:hAnsi="Verdana"/>
          <w:i/>
          <w:sz w:val="16"/>
          <w:szCs w:val="16"/>
          <w:lang w:val="es-ES"/>
        </w:rPr>
        <w:t>V</w:t>
      </w:r>
      <w:r w:rsidRPr="00C71BAA">
        <w:rPr>
          <w:rFonts w:ascii="Verdana" w:hAnsi="Verdana"/>
          <w:i/>
          <w:sz w:val="16"/>
          <w:szCs w:val="16"/>
          <w:lang w:val="es-ES"/>
        </w:rPr>
        <w:t>s. México</w:t>
      </w:r>
      <w:r w:rsidRPr="008D0846">
        <w:rPr>
          <w:rFonts w:ascii="Verdana" w:hAnsi="Verdana"/>
          <w:i/>
          <w:sz w:val="16"/>
          <w:szCs w:val="16"/>
          <w:lang w:val="es-ES"/>
        </w:rPr>
        <w:t>. Excepción Preliminar, Fondo, Reparaciones y Costas</w:t>
      </w:r>
      <w:r>
        <w:rPr>
          <w:rFonts w:ascii="Verdana" w:hAnsi="Verdana"/>
          <w:sz w:val="16"/>
          <w:szCs w:val="16"/>
          <w:lang w:val="es-ES"/>
        </w:rPr>
        <w:t>. Sentencia de 30 de agosto de 2010. Serie C No. 215, p</w:t>
      </w:r>
      <w:r w:rsidRPr="00432ABC">
        <w:rPr>
          <w:rFonts w:ascii="Verdana" w:hAnsi="Verdana"/>
          <w:sz w:val="16"/>
          <w:szCs w:val="16"/>
          <w:lang w:val="es-ES"/>
        </w:rPr>
        <w:t xml:space="preserve">árr. 177, y </w:t>
      </w:r>
      <w:r w:rsidRPr="00C71BAA">
        <w:rPr>
          <w:rFonts w:ascii="Verdana" w:hAnsi="Verdana"/>
          <w:i/>
          <w:sz w:val="16"/>
          <w:szCs w:val="16"/>
        </w:rPr>
        <w:t>Caso Cabrera García</w:t>
      </w:r>
      <w:r w:rsidRPr="004D0D3E">
        <w:rPr>
          <w:rFonts w:ascii="Verdana" w:hAnsi="Verdana"/>
          <w:i/>
          <w:sz w:val="16"/>
          <w:szCs w:val="16"/>
        </w:rPr>
        <w:t xml:space="preserve"> y Montiel Flores Vs. México</w:t>
      </w:r>
      <w:r w:rsidRPr="008D0846">
        <w:rPr>
          <w:rFonts w:ascii="Verdana" w:hAnsi="Verdana"/>
          <w:i/>
          <w:sz w:val="16"/>
          <w:szCs w:val="16"/>
          <w:lang w:val="es-ES"/>
        </w:rPr>
        <w:t xml:space="preserve">, </w:t>
      </w:r>
      <w:r w:rsidRPr="00C71BAA">
        <w:rPr>
          <w:rFonts w:ascii="Verdana" w:hAnsi="Verdana"/>
          <w:i/>
          <w:sz w:val="16"/>
          <w:szCs w:val="16"/>
          <w:lang w:val="es-ES"/>
        </w:rPr>
        <w:t>supra</w:t>
      </w:r>
      <w:r w:rsidRPr="00432ABC">
        <w:rPr>
          <w:rFonts w:ascii="Verdana" w:hAnsi="Verdana"/>
          <w:sz w:val="16"/>
          <w:szCs w:val="16"/>
          <w:lang w:val="es-ES"/>
        </w:rPr>
        <w:t xml:space="preserve"> párr. 200.</w:t>
      </w:r>
    </w:p>
  </w:footnote>
  <w:footnote w:id="461">
    <w:p w14:paraId="64AA6311" w14:textId="5FF90DA6"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Las averiguaciones previas iniciadas por el fuero </w:t>
      </w:r>
      <w:r w:rsidRPr="002C462C">
        <w:rPr>
          <w:rFonts w:ascii="Verdana" w:hAnsi="Verdana"/>
          <w:sz w:val="16"/>
          <w:szCs w:val="16"/>
        </w:rPr>
        <w:t>militar tenían como finalidad sancionar conductas contrarias a la disciplina militar como el “abuso de autoridad” y no el delito de desaparición forzada, por lo que el objeto primario de dichas indagatorias fue determinar si las conductas eran atribuibles a miembros del ejército, por lo que la investigación concluyó por no existir pruebas que involucraran al personal militar, como puede leerse del acuerdo  del cierre de la averiguación previa PGJM/AMPME/CDJUAREZ/196-II/2010</w:t>
      </w:r>
      <w:r>
        <w:rPr>
          <w:rFonts w:ascii="Verdana" w:hAnsi="Verdana"/>
          <w:sz w:val="16"/>
          <w:szCs w:val="16"/>
        </w:rPr>
        <w:t xml:space="preserve"> (expediente de prueba, ff</w:t>
      </w:r>
      <w:r w:rsidRPr="00432ABC">
        <w:rPr>
          <w:rFonts w:ascii="Verdana" w:hAnsi="Verdana"/>
          <w:sz w:val="16"/>
          <w:szCs w:val="16"/>
        </w:rPr>
        <w:t>.</w:t>
      </w:r>
      <w:r>
        <w:rPr>
          <w:rFonts w:ascii="Verdana" w:hAnsi="Verdana"/>
          <w:sz w:val="16"/>
          <w:szCs w:val="16"/>
        </w:rPr>
        <w:t xml:space="preserve"> 499 a 618)</w:t>
      </w:r>
      <w:r w:rsidRPr="00432ABC">
        <w:rPr>
          <w:rFonts w:ascii="Verdana" w:hAnsi="Verdana"/>
          <w:sz w:val="16"/>
          <w:szCs w:val="16"/>
        </w:rPr>
        <w:t xml:space="preserve"> </w:t>
      </w:r>
    </w:p>
  </w:footnote>
  <w:footnote w:id="462">
    <w:p w14:paraId="4FFF27E7" w14:textId="11E5BA53" w:rsidR="00146958" w:rsidRPr="00DB378B" w:rsidRDefault="00146958" w:rsidP="00DB378B">
      <w:pPr>
        <w:pStyle w:val="Textonotapie"/>
        <w:jc w:val="both"/>
        <w:rPr>
          <w:rFonts w:ascii="Verdana" w:hAnsi="Verdana"/>
        </w:rPr>
      </w:pPr>
      <w:r w:rsidRPr="00432ABC">
        <w:rPr>
          <w:rStyle w:val="Refdenotaalpie"/>
          <w:rFonts w:ascii="Verdana" w:hAnsi="Verdana"/>
          <w:sz w:val="16"/>
          <w:szCs w:val="16"/>
        </w:rPr>
        <w:footnoteRef/>
      </w:r>
      <w:r w:rsidRPr="00DB378B">
        <w:rPr>
          <w:rFonts w:ascii="Verdana" w:hAnsi="Verdana"/>
          <w:sz w:val="16"/>
          <w:szCs w:val="16"/>
        </w:rPr>
        <w:t xml:space="preserve"> </w:t>
      </w:r>
      <w:r w:rsidRPr="00DB378B">
        <w:rPr>
          <w:rFonts w:ascii="Verdana" w:hAnsi="Verdana"/>
          <w:sz w:val="16"/>
          <w:szCs w:val="16"/>
        </w:rPr>
        <w:tab/>
      </w:r>
      <w:r w:rsidRPr="00CD5C54">
        <w:rPr>
          <w:rFonts w:ascii="Verdana" w:hAnsi="Verdana"/>
          <w:i/>
          <w:sz w:val="16"/>
          <w:szCs w:val="16"/>
          <w:lang w:val="es-ES"/>
        </w:rPr>
        <w:t>Cfr.</w:t>
      </w:r>
      <w:r w:rsidRPr="00432ABC">
        <w:rPr>
          <w:rFonts w:ascii="Verdana" w:hAnsi="Verdana"/>
          <w:i/>
          <w:sz w:val="16"/>
          <w:szCs w:val="16"/>
          <w:lang w:val="es-ES"/>
        </w:rPr>
        <w:t xml:space="preserve"> </w:t>
      </w:r>
      <w:r w:rsidRPr="002C462C">
        <w:rPr>
          <w:rFonts w:ascii="Verdana" w:hAnsi="Verdana"/>
          <w:i/>
          <w:sz w:val="16"/>
          <w:szCs w:val="16"/>
          <w:lang w:val="es-ES"/>
        </w:rPr>
        <w:t>Caso Andrade Salmón</w:t>
      </w:r>
      <w:r>
        <w:rPr>
          <w:rFonts w:ascii="Verdana" w:hAnsi="Verdana"/>
          <w:i/>
          <w:sz w:val="16"/>
          <w:szCs w:val="16"/>
          <w:lang w:val="es-ES"/>
        </w:rPr>
        <w:t xml:space="preserve"> Vs. Bolivia. Fondo, Reparaciones y Costas. </w:t>
      </w:r>
      <w:r w:rsidRPr="008D0846">
        <w:rPr>
          <w:rFonts w:ascii="Verdana" w:hAnsi="Verdana"/>
          <w:sz w:val="16"/>
          <w:szCs w:val="16"/>
          <w:lang w:val="es-ES"/>
        </w:rPr>
        <w:t>Sentencia del 1 de diciembre de 2016. Serie C No. 330,</w:t>
      </w:r>
      <w:r w:rsidRPr="004D0D3E">
        <w:rPr>
          <w:rFonts w:ascii="Verdana" w:hAnsi="Verdana"/>
          <w:sz w:val="16"/>
          <w:szCs w:val="16"/>
          <w:lang w:val="es-ES"/>
        </w:rPr>
        <w:t xml:space="preserve"> párr. 96, y</w:t>
      </w:r>
      <w:r>
        <w:rPr>
          <w:rFonts w:ascii="Verdana" w:hAnsi="Verdana"/>
          <w:sz w:val="16"/>
          <w:szCs w:val="16"/>
          <w:lang w:val="es-ES"/>
        </w:rPr>
        <w:t xml:space="preserve"> </w:t>
      </w:r>
      <w:r w:rsidRPr="008D0846">
        <w:rPr>
          <w:rFonts w:ascii="Verdana" w:hAnsi="Verdana"/>
          <w:i/>
          <w:sz w:val="16"/>
          <w:szCs w:val="16"/>
          <w:lang w:val="es-ES"/>
        </w:rPr>
        <w:t>Caso Coc Max y otros (Masacre de Xamán) Vs. Guatemala, supra</w:t>
      </w:r>
      <w:r>
        <w:rPr>
          <w:rFonts w:ascii="Verdana" w:hAnsi="Verdana"/>
          <w:sz w:val="16"/>
          <w:szCs w:val="16"/>
          <w:lang w:val="es-ES"/>
        </w:rPr>
        <w:t xml:space="preserve"> párr. 70.</w:t>
      </w:r>
    </w:p>
  </w:footnote>
  <w:footnote w:id="463">
    <w:p w14:paraId="64AA6312" w14:textId="1BD936C9" w:rsidR="00146958" w:rsidRPr="00432ABC" w:rsidRDefault="00146958" w:rsidP="00432ABC">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2C462C">
        <w:rPr>
          <w:rFonts w:ascii="Verdana" w:hAnsi="Verdana"/>
          <w:sz w:val="16"/>
          <w:szCs w:val="16"/>
          <w:lang w:val="es-ES_tradnl"/>
        </w:rPr>
        <w:t>La Corte consideró que la reforma implicó una importante armonización del derecho interno con los estándares convencionales e internacionales en materia de jurisdicción penal militar, pero que era necesario que adecu</w:t>
      </w:r>
      <w:r w:rsidRPr="00432ABC">
        <w:rPr>
          <w:rFonts w:ascii="Verdana" w:hAnsi="Verdana"/>
          <w:sz w:val="16"/>
          <w:szCs w:val="16"/>
          <w:lang w:val="es-ES_tradnl"/>
        </w:rPr>
        <w:t xml:space="preserve">ara la interpretación constitucional y legislativa a los principios de la jurisprudencia interamericana en un breve plazo. </w:t>
      </w:r>
      <w:r w:rsidRPr="00CD5C54">
        <w:rPr>
          <w:rFonts w:ascii="Verdana" w:hAnsi="Verdana"/>
          <w:i/>
          <w:sz w:val="16"/>
          <w:szCs w:val="16"/>
        </w:rPr>
        <w:t>Cfr.</w:t>
      </w:r>
      <w:r w:rsidRPr="00432ABC">
        <w:rPr>
          <w:rFonts w:ascii="Verdana" w:hAnsi="Verdana"/>
          <w:i/>
          <w:sz w:val="16"/>
          <w:szCs w:val="16"/>
        </w:rPr>
        <w:t xml:space="preserve"> Caso Cabrera García y Montiel Flores</w:t>
      </w:r>
      <w:r w:rsidRPr="00432ABC">
        <w:rPr>
          <w:rFonts w:ascii="Verdana" w:hAnsi="Verdana"/>
          <w:i/>
          <w:sz w:val="16"/>
          <w:szCs w:val="16"/>
          <w:lang w:val="es-CR"/>
        </w:rPr>
        <w:t xml:space="preserve"> Vs. México. Supervisión de cumplimiento de sentencia</w:t>
      </w:r>
      <w:r w:rsidRPr="00432ABC">
        <w:rPr>
          <w:rFonts w:ascii="Verdana" w:hAnsi="Verdana"/>
          <w:sz w:val="16"/>
          <w:szCs w:val="16"/>
          <w:lang w:val="es-CR"/>
        </w:rPr>
        <w:t>. Resolución del 17 de abril de 2015</w:t>
      </w:r>
      <w:r w:rsidRPr="00432ABC">
        <w:rPr>
          <w:rFonts w:ascii="Verdana" w:hAnsi="Verdana"/>
          <w:sz w:val="16"/>
          <w:szCs w:val="16"/>
        </w:rPr>
        <w:t>,</w:t>
      </w:r>
      <w:r w:rsidRPr="00432ABC">
        <w:rPr>
          <w:rFonts w:ascii="Verdana" w:hAnsi="Verdana"/>
          <w:i/>
          <w:sz w:val="16"/>
          <w:szCs w:val="16"/>
        </w:rPr>
        <w:t xml:space="preserve"> </w:t>
      </w:r>
      <w:r w:rsidRPr="00432ABC">
        <w:rPr>
          <w:rFonts w:ascii="Verdana" w:hAnsi="Verdana"/>
          <w:sz w:val="16"/>
          <w:szCs w:val="16"/>
        </w:rPr>
        <w:t xml:space="preserve">párrs. 21 y 23; y </w:t>
      </w:r>
      <w:r w:rsidRPr="00432ABC">
        <w:rPr>
          <w:rFonts w:ascii="Verdana" w:hAnsi="Verdana"/>
          <w:i/>
          <w:sz w:val="16"/>
          <w:szCs w:val="16"/>
          <w:lang w:val="es-CR"/>
        </w:rPr>
        <w:t>Casos Radilla Pacheco, Fernández Ortega y otros, y Rosendo Cantú y otra Vs. México. Supervisión de cumplimiento de sentencia</w:t>
      </w:r>
      <w:r w:rsidRPr="00432ABC">
        <w:rPr>
          <w:rFonts w:ascii="Verdana" w:hAnsi="Verdana"/>
          <w:sz w:val="16"/>
          <w:szCs w:val="16"/>
          <w:lang w:val="es-CR"/>
        </w:rPr>
        <w:t xml:space="preserve">. Resolución de la Corte </w:t>
      </w:r>
      <w:r>
        <w:rPr>
          <w:rFonts w:ascii="Verdana" w:hAnsi="Verdana"/>
          <w:sz w:val="16"/>
          <w:szCs w:val="16"/>
          <w:lang w:val="es-CR"/>
        </w:rPr>
        <w:t xml:space="preserve">IDH </w:t>
      </w:r>
      <w:r w:rsidRPr="00432ABC">
        <w:rPr>
          <w:rFonts w:ascii="Verdana" w:hAnsi="Verdana"/>
          <w:sz w:val="16"/>
          <w:szCs w:val="16"/>
          <w:lang w:val="es-CR"/>
        </w:rPr>
        <w:t>de 17 de abril de 2015</w:t>
      </w:r>
      <w:r w:rsidRPr="00432ABC">
        <w:rPr>
          <w:rFonts w:ascii="Verdana" w:hAnsi="Verdana"/>
          <w:i/>
          <w:sz w:val="16"/>
          <w:szCs w:val="16"/>
          <w:lang w:val="es-CR"/>
        </w:rPr>
        <w:t xml:space="preserve">, </w:t>
      </w:r>
      <w:r>
        <w:rPr>
          <w:rFonts w:ascii="Verdana" w:hAnsi="Verdana"/>
          <w:sz w:val="16"/>
          <w:szCs w:val="16"/>
          <w:lang w:val="es-CR"/>
        </w:rPr>
        <w:t>considerandos</w:t>
      </w:r>
      <w:r w:rsidRPr="00432ABC">
        <w:rPr>
          <w:rFonts w:ascii="Verdana" w:hAnsi="Verdana"/>
          <w:sz w:val="16"/>
          <w:szCs w:val="16"/>
          <w:lang w:val="es-CR"/>
        </w:rPr>
        <w:t xml:space="preserve"> 21 y 23.</w:t>
      </w:r>
    </w:p>
  </w:footnote>
  <w:footnote w:id="464">
    <w:p w14:paraId="64AA6313" w14:textId="593DCA11" w:rsidR="00146958" w:rsidRPr="00600A1A" w:rsidRDefault="00146958" w:rsidP="00C71BAA">
      <w:pPr>
        <w:pStyle w:val="Textonotapie"/>
        <w:jc w:val="both"/>
        <w:rPr>
          <w:rFonts w:ascii="Verdana" w:hAnsi="Verdana"/>
          <w:sz w:val="16"/>
          <w:szCs w:val="16"/>
        </w:rPr>
      </w:pPr>
      <w:r w:rsidRPr="008D0846">
        <w:rPr>
          <w:rStyle w:val="Refdenotaalpie"/>
          <w:rFonts w:ascii="Verdana" w:hAnsi="Verdana"/>
          <w:sz w:val="16"/>
          <w:szCs w:val="16"/>
        </w:rPr>
        <w:footnoteRef/>
      </w:r>
      <w:r w:rsidRPr="00C71BAA">
        <w:rPr>
          <w:rFonts w:ascii="Verdana" w:hAnsi="Verdana"/>
          <w:i/>
          <w:sz w:val="16"/>
          <w:szCs w:val="16"/>
        </w:rPr>
        <w:t xml:space="preserve"> </w:t>
      </w:r>
      <w:r w:rsidRPr="00C71BAA">
        <w:rPr>
          <w:rFonts w:ascii="Verdana" w:hAnsi="Verdana"/>
          <w:i/>
          <w:sz w:val="16"/>
          <w:szCs w:val="16"/>
        </w:rPr>
        <w:tab/>
      </w:r>
      <w:r w:rsidRPr="00CD5C54">
        <w:rPr>
          <w:rFonts w:ascii="Verdana" w:hAnsi="Verdana"/>
          <w:i/>
          <w:sz w:val="16"/>
          <w:szCs w:val="16"/>
        </w:rPr>
        <w:t>Cfr.</w:t>
      </w:r>
      <w:r w:rsidRPr="00C71BAA">
        <w:rPr>
          <w:rFonts w:ascii="Verdana" w:hAnsi="Verdana"/>
          <w:i/>
          <w:sz w:val="16"/>
          <w:szCs w:val="16"/>
        </w:rPr>
        <w:t xml:space="preserve"> Caso Cabrera García y Montiel Flores Vs. México</w:t>
      </w:r>
      <w:r w:rsidRPr="004D0D3E">
        <w:rPr>
          <w:rFonts w:ascii="Verdana" w:hAnsi="Verdana"/>
          <w:sz w:val="16"/>
          <w:szCs w:val="16"/>
        </w:rPr>
        <w:t>,</w:t>
      </w:r>
      <w:r w:rsidRPr="004D0D3E">
        <w:rPr>
          <w:rFonts w:ascii="Verdana" w:hAnsi="Verdana"/>
          <w:i/>
          <w:sz w:val="16"/>
          <w:szCs w:val="16"/>
        </w:rPr>
        <w:t xml:space="preserve"> supra</w:t>
      </w:r>
      <w:r w:rsidRPr="004D0D3E">
        <w:rPr>
          <w:rFonts w:ascii="Verdana" w:hAnsi="Verdana"/>
          <w:sz w:val="16"/>
          <w:szCs w:val="16"/>
        </w:rPr>
        <w:t xml:space="preserve"> párr. 22; y </w:t>
      </w:r>
      <w:r w:rsidRPr="00600A1A">
        <w:rPr>
          <w:rFonts w:ascii="Verdana" w:hAnsi="Verdana"/>
          <w:i/>
          <w:sz w:val="16"/>
          <w:szCs w:val="16"/>
          <w:lang w:val="es-CR"/>
        </w:rPr>
        <w:t xml:space="preserve">Casos Radilla Pacheco, Fernández Ortega y otros, y Rosendo Cantú y otra Vs. México, supra </w:t>
      </w:r>
      <w:r w:rsidRPr="00600A1A">
        <w:rPr>
          <w:rFonts w:ascii="Verdana" w:hAnsi="Verdana"/>
          <w:sz w:val="16"/>
          <w:szCs w:val="16"/>
          <w:lang w:val="es-CR"/>
        </w:rPr>
        <w:t>párr. 22.</w:t>
      </w:r>
      <w:r w:rsidRPr="00600A1A">
        <w:rPr>
          <w:rFonts w:ascii="Verdana" w:hAnsi="Verdana"/>
          <w:sz w:val="16"/>
          <w:szCs w:val="16"/>
        </w:rPr>
        <w:t xml:space="preserve"> </w:t>
      </w:r>
    </w:p>
  </w:footnote>
  <w:footnote w:id="465">
    <w:p w14:paraId="64AA6314" w14:textId="1F9A05AD" w:rsidR="00146958" w:rsidRPr="008B5915" w:rsidRDefault="00146958" w:rsidP="00C71BAA">
      <w:pPr>
        <w:pStyle w:val="Textonotapie"/>
        <w:jc w:val="both"/>
        <w:rPr>
          <w:rFonts w:ascii="Verdana" w:hAnsi="Verdana"/>
          <w:sz w:val="16"/>
          <w:szCs w:val="16"/>
          <w:lang w:val="es-CR"/>
        </w:rPr>
      </w:pPr>
      <w:r w:rsidRPr="008B5915">
        <w:rPr>
          <w:rStyle w:val="Smbolodenotaalpie"/>
          <w:rFonts w:ascii="Verdana" w:hAnsi="Verdana"/>
          <w:sz w:val="16"/>
          <w:szCs w:val="16"/>
        </w:rPr>
        <w:footnoteRef/>
      </w:r>
      <w:r w:rsidRPr="008B5915">
        <w:rPr>
          <w:rFonts w:ascii="Verdana" w:hAnsi="Verdana"/>
          <w:i/>
          <w:sz w:val="16"/>
          <w:szCs w:val="16"/>
          <w:lang w:val="es-VE"/>
        </w:rPr>
        <w:t xml:space="preserve"> </w:t>
      </w:r>
      <w:r w:rsidRPr="008B5915">
        <w:rPr>
          <w:rFonts w:ascii="Verdana" w:hAnsi="Verdana"/>
          <w:i/>
          <w:sz w:val="16"/>
          <w:szCs w:val="16"/>
          <w:lang w:val="es-VE"/>
        </w:rPr>
        <w:tab/>
      </w:r>
      <w:r w:rsidRPr="00CD5C54">
        <w:rPr>
          <w:rFonts w:ascii="Verdana" w:hAnsi="Verdana"/>
          <w:i/>
          <w:sz w:val="16"/>
          <w:szCs w:val="16"/>
          <w:lang w:val="es-VE"/>
        </w:rPr>
        <w:t>Cfr.</w:t>
      </w:r>
      <w:r w:rsidRPr="008B5915">
        <w:rPr>
          <w:rFonts w:ascii="Verdana" w:hAnsi="Verdana"/>
          <w:i/>
          <w:sz w:val="16"/>
          <w:szCs w:val="16"/>
          <w:lang w:val="es-VE"/>
        </w:rPr>
        <w:t xml:space="preserve"> </w:t>
      </w:r>
      <w:r w:rsidRPr="008B5915">
        <w:rPr>
          <w:rFonts w:ascii="Verdana" w:hAnsi="Verdana"/>
          <w:i/>
          <w:sz w:val="16"/>
          <w:szCs w:val="16"/>
        </w:rPr>
        <w:t>Caso</w:t>
      </w:r>
      <w:r w:rsidRPr="008B5915">
        <w:rPr>
          <w:rFonts w:ascii="Verdana" w:hAnsi="Verdana" w:cs="Arial"/>
          <w:sz w:val="16"/>
          <w:szCs w:val="16"/>
          <w:lang w:val="es-CR"/>
        </w:rPr>
        <w:t xml:space="preserve"> </w:t>
      </w:r>
      <w:r w:rsidRPr="008B5915">
        <w:rPr>
          <w:rFonts w:ascii="Verdana" w:hAnsi="Verdana" w:cs="Arial"/>
          <w:i/>
          <w:sz w:val="16"/>
          <w:szCs w:val="16"/>
          <w:lang w:val="es-CR"/>
        </w:rPr>
        <w:t>Velásquez Rodríguez Vs. Honduras. Fondo, supra</w:t>
      </w:r>
      <w:r w:rsidRPr="008B5915">
        <w:rPr>
          <w:rFonts w:ascii="Verdana" w:hAnsi="Verdana" w:cs="Arial"/>
          <w:sz w:val="16"/>
          <w:szCs w:val="16"/>
          <w:lang w:val="es-CR"/>
        </w:rPr>
        <w:t xml:space="preserve"> </w:t>
      </w:r>
      <w:r w:rsidRPr="008B5915">
        <w:rPr>
          <w:rFonts w:ascii="Verdana" w:hAnsi="Verdana" w:cs="Verdana"/>
          <w:sz w:val="16"/>
          <w:szCs w:val="16"/>
          <w:lang w:val="es-VE"/>
        </w:rPr>
        <w:t>párr. 177</w:t>
      </w:r>
      <w:r w:rsidRPr="008B5915">
        <w:rPr>
          <w:rFonts w:ascii="Verdana" w:hAnsi="Verdana"/>
          <w:sz w:val="16"/>
          <w:szCs w:val="16"/>
          <w:lang w:val="es-VE"/>
        </w:rPr>
        <w:t xml:space="preserve">, </w:t>
      </w:r>
      <w:r w:rsidRPr="008B5915">
        <w:rPr>
          <w:rFonts w:ascii="Verdana" w:hAnsi="Verdana"/>
          <w:sz w:val="16"/>
          <w:szCs w:val="16"/>
          <w:lang w:val="es-CR"/>
        </w:rPr>
        <w:t xml:space="preserve">y </w:t>
      </w:r>
      <w:r w:rsidRPr="008B5915">
        <w:rPr>
          <w:rFonts w:ascii="Verdana" w:hAnsi="Verdana"/>
          <w:i/>
          <w:sz w:val="16"/>
          <w:szCs w:val="16"/>
          <w:lang w:val="es-CR"/>
        </w:rPr>
        <w:t xml:space="preserve">Caso Escaleras Mejía y otros Vs. Honduras. </w:t>
      </w:r>
      <w:r w:rsidRPr="008D0846">
        <w:rPr>
          <w:rFonts w:ascii="Verdana" w:hAnsi="Verdana"/>
          <w:sz w:val="16"/>
          <w:szCs w:val="16"/>
          <w:lang w:val="es-CR"/>
        </w:rPr>
        <w:t>Sentencia de 26 de septiembre de 2018. Serie C No. 361, párr. 88.</w:t>
      </w:r>
    </w:p>
  </w:footnote>
  <w:footnote w:id="466">
    <w:p w14:paraId="64AA6317" w14:textId="11B9B527" w:rsidR="00146958" w:rsidRPr="008B5915" w:rsidRDefault="00146958" w:rsidP="004D0D3E">
      <w:pPr>
        <w:pStyle w:val="Textonotapie"/>
        <w:jc w:val="both"/>
        <w:rPr>
          <w:rFonts w:ascii="Verdana" w:hAnsi="Verdana"/>
          <w:sz w:val="16"/>
          <w:szCs w:val="16"/>
        </w:rPr>
      </w:pPr>
      <w:r w:rsidRPr="008B5915">
        <w:rPr>
          <w:rStyle w:val="Refdenotaalpie"/>
          <w:rFonts w:ascii="Verdana" w:hAnsi="Verdana"/>
          <w:sz w:val="16"/>
          <w:szCs w:val="16"/>
        </w:rPr>
        <w:footnoteRef/>
      </w:r>
      <w:r w:rsidRPr="008B5915">
        <w:rPr>
          <w:rFonts w:ascii="Verdana" w:hAnsi="Verdana"/>
          <w:sz w:val="16"/>
          <w:szCs w:val="16"/>
        </w:rPr>
        <w:t xml:space="preserve"> </w:t>
      </w:r>
      <w:r w:rsidRPr="008B5915">
        <w:rPr>
          <w:rFonts w:ascii="Verdana" w:hAnsi="Verdana"/>
          <w:sz w:val="16"/>
          <w:szCs w:val="16"/>
        </w:rPr>
        <w:tab/>
      </w:r>
      <w:r w:rsidRPr="008B5915">
        <w:rPr>
          <w:rFonts w:ascii="Verdana" w:hAnsi="Verdana"/>
          <w:i/>
          <w:iCs/>
          <w:color w:val="000000"/>
          <w:sz w:val="16"/>
          <w:szCs w:val="16"/>
        </w:rPr>
        <w:t>Caso Velásquez Rodríguez</w:t>
      </w:r>
      <w:r>
        <w:rPr>
          <w:rFonts w:ascii="Verdana" w:hAnsi="Verdana"/>
          <w:i/>
          <w:iCs/>
          <w:color w:val="000000"/>
          <w:sz w:val="16"/>
          <w:szCs w:val="16"/>
        </w:rPr>
        <w:t xml:space="preserve"> Vs. Honduras. Fondo</w:t>
      </w:r>
      <w:r w:rsidRPr="008B5915">
        <w:rPr>
          <w:rFonts w:ascii="Verdana" w:hAnsi="Verdana"/>
          <w:i/>
          <w:iCs/>
          <w:color w:val="000000"/>
          <w:sz w:val="16"/>
          <w:szCs w:val="16"/>
        </w:rPr>
        <w:t>, supra</w:t>
      </w:r>
      <w:r w:rsidRPr="008B5915">
        <w:rPr>
          <w:rFonts w:ascii="Verdana" w:hAnsi="Verdana"/>
          <w:color w:val="000000"/>
          <w:sz w:val="16"/>
          <w:szCs w:val="16"/>
        </w:rPr>
        <w:t xml:space="preserve"> párr. 181, y </w:t>
      </w:r>
      <w:r w:rsidRPr="008B5915">
        <w:rPr>
          <w:rFonts w:ascii="Verdana" w:hAnsi="Verdana"/>
          <w:i/>
          <w:color w:val="000000"/>
          <w:sz w:val="16"/>
          <w:szCs w:val="16"/>
        </w:rPr>
        <w:t>Caso Radilla Pacheco Vs. M</w:t>
      </w:r>
      <w:r w:rsidRPr="008D0846">
        <w:rPr>
          <w:rFonts w:ascii="Verdana" w:hAnsi="Verdana" w:cs="Arial"/>
          <w:i/>
          <w:color w:val="000000"/>
          <w:sz w:val="16"/>
          <w:szCs w:val="16"/>
        </w:rPr>
        <w:t>éxico</w:t>
      </w:r>
      <w:r w:rsidRPr="008B5915">
        <w:rPr>
          <w:rFonts w:ascii="Verdana" w:hAnsi="Verdana"/>
          <w:i/>
          <w:color w:val="000000"/>
          <w:sz w:val="16"/>
          <w:szCs w:val="16"/>
        </w:rPr>
        <w:t xml:space="preserve">, </w:t>
      </w:r>
      <w:r w:rsidRPr="008D0846">
        <w:rPr>
          <w:rFonts w:ascii="Verdana" w:hAnsi="Verdana"/>
          <w:i/>
          <w:color w:val="000000"/>
          <w:sz w:val="16"/>
          <w:szCs w:val="16"/>
        </w:rPr>
        <w:t>supra</w:t>
      </w:r>
      <w:r>
        <w:rPr>
          <w:rFonts w:ascii="Verdana" w:hAnsi="Verdana"/>
          <w:color w:val="000000"/>
          <w:sz w:val="16"/>
          <w:szCs w:val="16"/>
        </w:rPr>
        <w:t xml:space="preserve"> </w:t>
      </w:r>
      <w:r w:rsidRPr="008D0846">
        <w:rPr>
          <w:rFonts w:ascii="Verdana" w:hAnsi="Verdana"/>
          <w:color w:val="000000"/>
          <w:sz w:val="16"/>
          <w:szCs w:val="16"/>
        </w:rPr>
        <w:t>párr. 180</w:t>
      </w:r>
      <w:r w:rsidRPr="008B5915">
        <w:rPr>
          <w:rFonts w:ascii="Verdana" w:hAnsi="Verdana"/>
          <w:color w:val="000000"/>
          <w:sz w:val="16"/>
          <w:szCs w:val="16"/>
        </w:rPr>
        <w:t>.</w:t>
      </w:r>
    </w:p>
  </w:footnote>
  <w:footnote w:id="467">
    <w:p w14:paraId="64AA6319" w14:textId="7931D8C3" w:rsidR="00146958" w:rsidRPr="008B5915" w:rsidRDefault="00146958" w:rsidP="004D0D3E">
      <w:pPr>
        <w:pStyle w:val="Textonotapie"/>
        <w:jc w:val="both"/>
        <w:rPr>
          <w:rFonts w:ascii="Verdana" w:hAnsi="Verdana"/>
          <w:sz w:val="16"/>
          <w:szCs w:val="16"/>
        </w:rPr>
      </w:pPr>
      <w:r w:rsidRPr="008B5915">
        <w:rPr>
          <w:rStyle w:val="Refdenotaalpie"/>
          <w:rFonts w:ascii="Verdana" w:hAnsi="Verdana"/>
          <w:sz w:val="16"/>
          <w:szCs w:val="16"/>
        </w:rPr>
        <w:footnoteRef/>
      </w:r>
      <w:r w:rsidRPr="008B5915">
        <w:rPr>
          <w:rFonts w:ascii="Verdana" w:hAnsi="Verdana"/>
          <w:sz w:val="16"/>
          <w:szCs w:val="16"/>
        </w:rPr>
        <w:t xml:space="preserve"> </w:t>
      </w:r>
      <w:r w:rsidRPr="008B5915">
        <w:rPr>
          <w:rFonts w:ascii="Verdana" w:hAnsi="Verdana"/>
          <w:sz w:val="16"/>
          <w:szCs w:val="16"/>
        </w:rPr>
        <w:tab/>
      </w:r>
      <w:r w:rsidRPr="00CD5C54">
        <w:rPr>
          <w:rFonts w:ascii="Verdana" w:hAnsi="Verdana"/>
          <w:i/>
          <w:sz w:val="16"/>
          <w:szCs w:val="16"/>
        </w:rPr>
        <w:t>Cfr.</w:t>
      </w:r>
      <w:r w:rsidRPr="008B5915">
        <w:rPr>
          <w:rFonts w:ascii="Verdana" w:hAnsi="Verdana"/>
          <w:sz w:val="16"/>
          <w:szCs w:val="16"/>
        </w:rPr>
        <w:t xml:space="preserve"> </w:t>
      </w:r>
      <w:r w:rsidRPr="008B5915">
        <w:rPr>
          <w:rFonts w:ascii="Verdana" w:hAnsi="Verdana"/>
          <w:i/>
          <w:sz w:val="16"/>
          <w:szCs w:val="16"/>
        </w:rPr>
        <w:t>Caso Goiburú y otros Vs. Paraguay</w:t>
      </w:r>
      <w:r>
        <w:rPr>
          <w:rFonts w:ascii="Verdana" w:hAnsi="Verdana"/>
          <w:i/>
          <w:sz w:val="16"/>
          <w:szCs w:val="16"/>
        </w:rPr>
        <w:t>, supra</w:t>
      </w:r>
      <w:r w:rsidRPr="008B5915">
        <w:rPr>
          <w:rFonts w:ascii="Verdana" w:hAnsi="Verdana"/>
          <w:sz w:val="16"/>
          <w:szCs w:val="16"/>
        </w:rPr>
        <w:t xml:space="preserve"> párr. 131, y </w:t>
      </w:r>
      <w:r w:rsidRPr="008B5915">
        <w:rPr>
          <w:rFonts w:ascii="Verdana" w:hAnsi="Verdana"/>
          <w:i/>
          <w:sz w:val="16"/>
          <w:szCs w:val="16"/>
        </w:rPr>
        <w:t>Caso Munárriz Escobar y otros Vs. Perú</w:t>
      </w:r>
      <w:r>
        <w:rPr>
          <w:rFonts w:ascii="Verdana" w:hAnsi="Verdana"/>
          <w:i/>
          <w:sz w:val="16"/>
          <w:szCs w:val="16"/>
        </w:rPr>
        <w:t>, supra</w:t>
      </w:r>
      <w:r w:rsidRPr="008D0846">
        <w:rPr>
          <w:rFonts w:ascii="Verdana" w:hAnsi="Verdana"/>
          <w:sz w:val="16"/>
          <w:szCs w:val="16"/>
        </w:rPr>
        <w:t xml:space="preserve"> párr. 98</w:t>
      </w:r>
      <w:r w:rsidRPr="008B5915">
        <w:rPr>
          <w:rFonts w:ascii="Verdana" w:hAnsi="Verdana"/>
          <w:sz w:val="16"/>
          <w:szCs w:val="16"/>
        </w:rPr>
        <w:t>.</w:t>
      </w:r>
    </w:p>
  </w:footnote>
  <w:footnote w:id="468">
    <w:p w14:paraId="64AA631C" w14:textId="25ED3517" w:rsidR="00146958" w:rsidRPr="008B5915" w:rsidRDefault="00146958">
      <w:pPr>
        <w:pStyle w:val="Textonotapie"/>
        <w:jc w:val="both"/>
        <w:rPr>
          <w:rFonts w:ascii="Verdana" w:hAnsi="Verdana"/>
          <w:sz w:val="16"/>
          <w:szCs w:val="16"/>
        </w:rPr>
      </w:pPr>
      <w:r w:rsidRPr="00CE5C45">
        <w:rPr>
          <w:rStyle w:val="Refdenotaalpie"/>
          <w:rFonts w:ascii="Verdana" w:hAnsi="Verdana"/>
          <w:sz w:val="16"/>
          <w:szCs w:val="16"/>
        </w:rPr>
        <w:footnoteRef/>
      </w:r>
      <w:r w:rsidRPr="008B5915">
        <w:rPr>
          <w:rFonts w:ascii="Verdana" w:hAnsi="Verdana"/>
          <w:sz w:val="16"/>
          <w:szCs w:val="16"/>
        </w:rPr>
        <w:t xml:space="preserve"> </w:t>
      </w:r>
      <w:r w:rsidRPr="008B5915">
        <w:rPr>
          <w:rFonts w:ascii="Verdana" w:hAnsi="Verdana"/>
          <w:sz w:val="16"/>
          <w:szCs w:val="16"/>
        </w:rPr>
        <w:tab/>
        <w:t>Concretamente, la Procuraduría General de Justicia del Estado de Chihuahua, la Delegación de la PGR en el Estado de Chihuahua y la Procuraduría General de Justicia Militar.</w:t>
      </w:r>
    </w:p>
  </w:footnote>
  <w:footnote w:id="469">
    <w:p w14:paraId="64AA631D" w14:textId="0C0AB880" w:rsidR="00146958" w:rsidRPr="00432ABC" w:rsidRDefault="00146958">
      <w:pPr>
        <w:pStyle w:val="Textonotapie"/>
        <w:jc w:val="both"/>
        <w:rPr>
          <w:rFonts w:ascii="Verdana" w:hAnsi="Verdana"/>
          <w:sz w:val="16"/>
          <w:szCs w:val="16"/>
        </w:rPr>
      </w:pPr>
      <w:r w:rsidRPr="008B5915">
        <w:rPr>
          <w:rStyle w:val="Refdenotaalpie"/>
          <w:rFonts w:ascii="Verdana" w:hAnsi="Verdana"/>
          <w:sz w:val="16"/>
          <w:szCs w:val="16"/>
        </w:rPr>
        <w:footnoteRef/>
      </w:r>
      <w:r w:rsidRPr="008B5915">
        <w:rPr>
          <w:rFonts w:ascii="Verdana" w:hAnsi="Verdana"/>
          <w:sz w:val="16"/>
          <w:szCs w:val="16"/>
        </w:rPr>
        <w:t xml:space="preserve"> </w:t>
      </w:r>
      <w:r w:rsidRPr="008B5915">
        <w:rPr>
          <w:rFonts w:ascii="Verdana" w:hAnsi="Verdana"/>
          <w:sz w:val="16"/>
          <w:szCs w:val="16"/>
        </w:rPr>
        <w:tab/>
        <w:t>Lo que fue confirmado por el Dr. Salomón Baltazar Samoaya, testigo en el caso, y quien se desempeñó como Titular de la Unidad de Búsqueda de Personas Desaparecidas de la Procuraduría General de la República desde junio de 2013 hasta julio de 2015. En su testimonio afirmó: “(…) [c]uando iniciamos los trabajos para recabar los expedientes e indagatorias que se habían hecho sobre el caso, encontramos una investigación desarticulada, dispersa y durmiendo el sueño de los justos (…)” (expediente de prueba, afidávits, f. 30932).</w:t>
      </w:r>
    </w:p>
  </w:footnote>
  <w:footnote w:id="470">
    <w:p w14:paraId="64AA631E" w14:textId="3D023A4C"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t>La perito Gabriel</w:t>
      </w:r>
      <w:r>
        <w:rPr>
          <w:rFonts w:ascii="Verdana" w:hAnsi="Verdana"/>
          <w:sz w:val="16"/>
          <w:szCs w:val="16"/>
        </w:rPr>
        <w:t>l</w:t>
      </w:r>
      <w:r w:rsidRPr="002C462C">
        <w:rPr>
          <w:rFonts w:ascii="Verdana" w:hAnsi="Verdana"/>
          <w:sz w:val="16"/>
          <w:szCs w:val="16"/>
        </w:rPr>
        <w:t xml:space="preserve">a Citroni, basándose en el </w:t>
      </w:r>
      <w:r w:rsidRPr="002C462C">
        <w:rPr>
          <w:rFonts w:ascii="Verdana" w:hAnsi="Verdana"/>
          <w:i/>
          <w:sz w:val="16"/>
          <w:szCs w:val="16"/>
        </w:rPr>
        <w:t>Informe sobre la visita a México</w:t>
      </w:r>
      <w:r w:rsidRPr="00432ABC">
        <w:rPr>
          <w:rFonts w:ascii="Verdana" w:hAnsi="Verdana"/>
          <w:sz w:val="16"/>
          <w:szCs w:val="16"/>
        </w:rPr>
        <w:t xml:space="preserve"> de la Relatora Especial sobre la independencia de los magistrados y abogados, refiere que una de las deficiencias en el sistema investigativo mexicano es precisamente la existencia de conflictos de competencia entre autoridades federales y estatales, “que obstaculizan la efectiva respuesta del Estado” (</w:t>
      </w:r>
      <w:r>
        <w:rPr>
          <w:rFonts w:ascii="Verdana" w:hAnsi="Verdana"/>
          <w:sz w:val="16"/>
          <w:szCs w:val="16"/>
        </w:rPr>
        <w:t>e</w:t>
      </w:r>
      <w:r w:rsidRPr="00432ABC">
        <w:rPr>
          <w:rFonts w:ascii="Verdana" w:hAnsi="Verdana"/>
          <w:sz w:val="16"/>
          <w:szCs w:val="16"/>
        </w:rPr>
        <w:t xml:space="preserve">xpediente de prueba, </w:t>
      </w:r>
      <w:r w:rsidRPr="00453199">
        <w:rPr>
          <w:rFonts w:ascii="Verdana" w:hAnsi="Verdana"/>
          <w:i/>
          <w:sz w:val="16"/>
          <w:szCs w:val="16"/>
        </w:rPr>
        <w:t>Affidávits</w:t>
      </w:r>
      <w:r w:rsidRPr="00432ABC">
        <w:rPr>
          <w:rFonts w:ascii="Verdana" w:hAnsi="Verdana"/>
          <w:sz w:val="16"/>
          <w:szCs w:val="16"/>
        </w:rPr>
        <w:t>, f. 31109</w:t>
      </w:r>
      <w:r>
        <w:rPr>
          <w:rFonts w:ascii="Verdana" w:hAnsi="Verdana"/>
          <w:sz w:val="16"/>
          <w:szCs w:val="16"/>
        </w:rPr>
        <w:t xml:space="preserve">, </w:t>
      </w:r>
      <w:r w:rsidRPr="00432ABC">
        <w:rPr>
          <w:rFonts w:ascii="Verdana" w:hAnsi="Verdana"/>
          <w:sz w:val="16"/>
          <w:szCs w:val="16"/>
        </w:rPr>
        <w:t>párr. 203)</w:t>
      </w:r>
    </w:p>
  </w:footnote>
  <w:footnote w:id="471">
    <w:p w14:paraId="64AA631F" w14:textId="16BE0FF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2C462C">
        <w:rPr>
          <w:rFonts w:ascii="Verdana" w:hAnsi="Verdana"/>
          <w:color w:val="000000"/>
          <w:sz w:val="16"/>
          <w:szCs w:val="16"/>
        </w:rPr>
        <w:t xml:space="preserve">Cuestión que fue reconocida por el Estado, quien –además– hizo notar que en la actualidad ha entrado en vigor la Ley General en </w:t>
      </w:r>
      <w:r>
        <w:rPr>
          <w:rFonts w:ascii="Verdana" w:hAnsi="Verdana"/>
          <w:color w:val="000000"/>
          <w:sz w:val="16"/>
          <w:szCs w:val="16"/>
        </w:rPr>
        <w:t>M</w:t>
      </w:r>
      <w:r w:rsidRPr="002C462C">
        <w:rPr>
          <w:rFonts w:ascii="Verdana" w:hAnsi="Verdana"/>
          <w:color w:val="000000"/>
          <w:sz w:val="16"/>
          <w:szCs w:val="16"/>
        </w:rPr>
        <w:t xml:space="preserve">ateria de </w:t>
      </w:r>
      <w:r>
        <w:rPr>
          <w:rFonts w:ascii="Verdana" w:hAnsi="Verdana"/>
          <w:color w:val="000000"/>
          <w:sz w:val="16"/>
          <w:szCs w:val="16"/>
        </w:rPr>
        <w:t>D</w:t>
      </w:r>
      <w:r w:rsidRPr="002C462C">
        <w:rPr>
          <w:rFonts w:ascii="Verdana" w:hAnsi="Verdana"/>
          <w:color w:val="000000"/>
          <w:sz w:val="16"/>
          <w:szCs w:val="16"/>
        </w:rPr>
        <w:t xml:space="preserve">esaparición </w:t>
      </w:r>
      <w:r>
        <w:rPr>
          <w:rFonts w:ascii="Verdana" w:hAnsi="Verdana"/>
          <w:color w:val="000000"/>
          <w:sz w:val="16"/>
          <w:szCs w:val="16"/>
        </w:rPr>
        <w:t>F</w:t>
      </w:r>
      <w:r w:rsidRPr="002C462C">
        <w:rPr>
          <w:rFonts w:ascii="Verdana" w:hAnsi="Verdana"/>
          <w:color w:val="000000"/>
          <w:sz w:val="16"/>
          <w:szCs w:val="16"/>
        </w:rPr>
        <w:t xml:space="preserve">orzada de </w:t>
      </w:r>
      <w:r>
        <w:rPr>
          <w:rFonts w:ascii="Verdana" w:hAnsi="Verdana"/>
          <w:color w:val="000000"/>
          <w:sz w:val="16"/>
          <w:szCs w:val="16"/>
        </w:rPr>
        <w:t>P</w:t>
      </w:r>
      <w:r w:rsidRPr="002C462C">
        <w:rPr>
          <w:rFonts w:ascii="Verdana" w:hAnsi="Verdana"/>
          <w:color w:val="000000"/>
          <w:sz w:val="16"/>
          <w:szCs w:val="16"/>
        </w:rPr>
        <w:t xml:space="preserve">ersonas, </w:t>
      </w:r>
      <w:r>
        <w:rPr>
          <w:rFonts w:ascii="Verdana" w:hAnsi="Verdana"/>
          <w:color w:val="000000"/>
          <w:sz w:val="16"/>
          <w:szCs w:val="16"/>
        </w:rPr>
        <w:t>D</w:t>
      </w:r>
      <w:r w:rsidRPr="002C462C">
        <w:rPr>
          <w:rFonts w:ascii="Verdana" w:hAnsi="Verdana"/>
          <w:color w:val="000000"/>
          <w:sz w:val="16"/>
          <w:szCs w:val="16"/>
        </w:rPr>
        <w:t>es</w:t>
      </w:r>
      <w:r w:rsidRPr="00432ABC">
        <w:rPr>
          <w:rFonts w:ascii="Verdana" w:hAnsi="Verdana"/>
          <w:color w:val="000000"/>
          <w:sz w:val="16"/>
          <w:szCs w:val="16"/>
        </w:rPr>
        <w:t xml:space="preserve">aparición </w:t>
      </w:r>
      <w:r>
        <w:rPr>
          <w:rFonts w:ascii="Verdana" w:hAnsi="Verdana"/>
          <w:color w:val="000000"/>
          <w:sz w:val="16"/>
          <w:szCs w:val="16"/>
        </w:rPr>
        <w:t>C</w:t>
      </w:r>
      <w:r w:rsidRPr="00432ABC">
        <w:rPr>
          <w:rFonts w:ascii="Verdana" w:hAnsi="Verdana"/>
          <w:color w:val="000000"/>
          <w:sz w:val="16"/>
          <w:szCs w:val="16"/>
        </w:rPr>
        <w:t xml:space="preserve">ometida por </w:t>
      </w:r>
      <w:r>
        <w:rPr>
          <w:rFonts w:ascii="Verdana" w:hAnsi="Verdana"/>
          <w:color w:val="000000"/>
          <w:sz w:val="16"/>
          <w:szCs w:val="16"/>
        </w:rPr>
        <w:t>P</w:t>
      </w:r>
      <w:r w:rsidRPr="00432ABC">
        <w:rPr>
          <w:rFonts w:ascii="Verdana" w:hAnsi="Verdana"/>
          <w:color w:val="000000"/>
          <w:sz w:val="16"/>
          <w:szCs w:val="16"/>
        </w:rPr>
        <w:t xml:space="preserve">articulares y del Sistema Nacional de Búsqueda de Personas, </w:t>
      </w:r>
      <w:r w:rsidRPr="00432ABC">
        <w:rPr>
          <w:rFonts w:ascii="Verdana" w:hAnsi="Verdana"/>
          <w:sz w:val="16"/>
          <w:szCs w:val="16"/>
        </w:rPr>
        <w:t>publicada en el Diario Oficial de la Federación el 17 de noviembre de 2017.</w:t>
      </w:r>
    </w:p>
  </w:footnote>
  <w:footnote w:id="472">
    <w:p w14:paraId="64AA6320" w14:textId="5AF43F0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Informe Final del Equipo Internacional de peritos (EIP) emitido dentro del Proyecto de Asistencia a la Fiscalía General del Estado de Chihuahua, México, en las investigaciones de casos de homicidios de defensores de derechos humanos y desaparición forzada (</w:t>
      </w:r>
      <w:r>
        <w:rPr>
          <w:rFonts w:ascii="Verdana" w:hAnsi="Verdana"/>
          <w:sz w:val="16"/>
          <w:szCs w:val="16"/>
        </w:rPr>
        <w:t>e</w:t>
      </w:r>
      <w:r w:rsidRPr="00432ABC">
        <w:rPr>
          <w:rFonts w:ascii="Verdana" w:hAnsi="Verdana"/>
          <w:sz w:val="16"/>
          <w:szCs w:val="16"/>
        </w:rPr>
        <w:t>xpediente de prueba, f. 28897</w:t>
      </w:r>
      <w:r>
        <w:rPr>
          <w:rFonts w:ascii="Verdana" w:hAnsi="Verdana"/>
          <w:sz w:val="16"/>
          <w:szCs w:val="16"/>
        </w:rPr>
        <w:t>)</w:t>
      </w:r>
      <w:r w:rsidRPr="00432ABC">
        <w:rPr>
          <w:rFonts w:ascii="Verdana" w:hAnsi="Verdana"/>
          <w:sz w:val="16"/>
          <w:szCs w:val="16"/>
        </w:rPr>
        <w:t>.</w:t>
      </w:r>
    </w:p>
  </w:footnote>
  <w:footnote w:id="473">
    <w:p w14:paraId="64AA6321" w14:textId="619F7BA0" w:rsidR="00146958" w:rsidRPr="005742B1" w:rsidRDefault="00146958">
      <w:pPr>
        <w:pStyle w:val="Textonotapie"/>
        <w:jc w:val="both"/>
        <w:rPr>
          <w:rFonts w:ascii="Verdana" w:hAnsi="Verdana"/>
          <w:sz w:val="16"/>
          <w:szCs w:val="16"/>
        </w:rPr>
      </w:pPr>
      <w:r w:rsidRPr="00B803B3">
        <w:rPr>
          <w:rStyle w:val="Refdenotaalpie"/>
          <w:rFonts w:ascii="Verdana" w:hAnsi="Verdana"/>
          <w:sz w:val="16"/>
          <w:szCs w:val="16"/>
        </w:rPr>
        <w:footnoteRef/>
      </w:r>
      <w:r w:rsidRPr="00B803B3">
        <w:rPr>
          <w:rFonts w:ascii="Verdana" w:hAnsi="Verdana"/>
          <w:sz w:val="16"/>
          <w:szCs w:val="16"/>
        </w:rPr>
        <w:t xml:space="preserve"> </w:t>
      </w:r>
      <w:r w:rsidRPr="00B803B3">
        <w:rPr>
          <w:rFonts w:ascii="Verdana" w:hAnsi="Verdana"/>
          <w:sz w:val="16"/>
          <w:szCs w:val="16"/>
        </w:rPr>
        <w:tab/>
      </w:r>
      <w:r w:rsidRPr="00CD5C54">
        <w:rPr>
          <w:rFonts w:ascii="Verdana" w:hAnsi="Verdana"/>
          <w:i/>
          <w:sz w:val="16"/>
          <w:szCs w:val="16"/>
        </w:rPr>
        <w:t>Cfr.</w:t>
      </w:r>
      <w:r w:rsidRPr="005742B1">
        <w:rPr>
          <w:rFonts w:ascii="Verdana" w:hAnsi="Verdana"/>
          <w:sz w:val="16"/>
          <w:szCs w:val="16"/>
        </w:rPr>
        <w:t xml:space="preserve"> Informe Final del EIP</w:t>
      </w:r>
      <w:r>
        <w:rPr>
          <w:rFonts w:ascii="Verdana" w:hAnsi="Verdana"/>
          <w:sz w:val="16"/>
          <w:szCs w:val="16"/>
        </w:rPr>
        <w:t xml:space="preserve">, </w:t>
      </w:r>
      <w:r w:rsidRPr="008D0846">
        <w:rPr>
          <w:rFonts w:ascii="Verdana" w:hAnsi="Verdana"/>
          <w:i/>
          <w:sz w:val="16"/>
          <w:szCs w:val="16"/>
        </w:rPr>
        <w:t>supra</w:t>
      </w:r>
      <w:r w:rsidRPr="005742B1">
        <w:rPr>
          <w:rFonts w:ascii="Verdana" w:hAnsi="Verdana"/>
          <w:sz w:val="16"/>
          <w:szCs w:val="16"/>
        </w:rPr>
        <w:t xml:space="preserve"> ff. 28901 y 28902.</w:t>
      </w:r>
    </w:p>
  </w:footnote>
  <w:footnote w:id="474">
    <w:p w14:paraId="64AA6322" w14:textId="1B634771" w:rsidR="00146958" w:rsidRPr="005742B1" w:rsidRDefault="00146958">
      <w:pPr>
        <w:pStyle w:val="Textonotapie"/>
        <w:jc w:val="both"/>
        <w:rPr>
          <w:rFonts w:ascii="Verdana" w:hAnsi="Verdana"/>
          <w:sz w:val="16"/>
          <w:szCs w:val="16"/>
          <w:lang w:val="es-ES"/>
        </w:rPr>
      </w:pPr>
      <w:r w:rsidRPr="00B803B3">
        <w:rPr>
          <w:rStyle w:val="Refdenotaalpie"/>
          <w:rFonts w:ascii="Verdana" w:hAnsi="Verdana"/>
          <w:sz w:val="16"/>
          <w:szCs w:val="16"/>
        </w:rPr>
        <w:footnoteRef/>
      </w:r>
      <w:r w:rsidRPr="00B803B3">
        <w:rPr>
          <w:rFonts w:ascii="Verdana" w:hAnsi="Verdana"/>
          <w:sz w:val="16"/>
          <w:szCs w:val="16"/>
          <w:lang w:val="es-ES"/>
        </w:rPr>
        <w:t xml:space="preserve"> </w:t>
      </w:r>
      <w:r w:rsidRPr="00B803B3">
        <w:rPr>
          <w:rFonts w:ascii="Verdana" w:hAnsi="Verdana"/>
          <w:sz w:val="16"/>
          <w:szCs w:val="16"/>
          <w:lang w:val="es-ES"/>
        </w:rPr>
        <w:tab/>
      </w:r>
      <w:r w:rsidRPr="00CD5C54">
        <w:rPr>
          <w:rFonts w:ascii="Verdana" w:hAnsi="Verdana"/>
          <w:i/>
          <w:sz w:val="16"/>
          <w:szCs w:val="16"/>
          <w:lang w:val="es-CL"/>
        </w:rPr>
        <w:t>Cfr.</w:t>
      </w:r>
      <w:r w:rsidRPr="00CE5C45">
        <w:rPr>
          <w:rFonts w:ascii="Verdana" w:hAnsi="Verdana"/>
          <w:i/>
          <w:sz w:val="16"/>
          <w:szCs w:val="16"/>
          <w:lang w:val="es-CL"/>
        </w:rPr>
        <w:t xml:space="preserve"> </w:t>
      </w:r>
      <w:r w:rsidRPr="00D46364">
        <w:rPr>
          <w:rFonts w:ascii="Verdana" w:hAnsi="Verdana"/>
          <w:i/>
          <w:sz w:val="16"/>
          <w:szCs w:val="16"/>
          <w:lang w:val="es-CL"/>
        </w:rPr>
        <w:t>Caso Perozo y otros Vs. Venezuela</w:t>
      </w:r>
      <w:r w:rsidRPr="008D0846">
        <w:rPr>
          <w:rFonts w:ascii="Verdana" w:hAnsi="Verdana"/>
          <w:i/>
          <w:sz w:val="16"/>
          <w:szCs w:val="16"/>
          <w:lang w:val="es-CL"/>
        </w:rPr>
        <w:t>. Excepciones Preliminares, Fondo, Reparaciones y Costas. Sentencia de 28 de enero de 2009</w:t>
      </w:r>
      <w:r w:rsidRPr="00B803B3">
        <w:rPr>
          <w:rFonts w:ascii="Verdana" w:hAnsi="Verdana"/>
          <w:sz w:val="16"/>
          <w:szCs w:val="16"/>
          <w:lang w:val="es-CL"/>
        </w:rPr>
        <w:t xml:space="preserve">. Serie C No. 195, </w:t>
      </w:r>
      <w:r w:rsidRPr="005742B1">
        <w:rPr>
          <w:rFonts w:ascii="Verdana" w:hAnsi="Verdana"/>
          <w:sz w:val="16"/>
          <w:szCs w:val="16"/>
          <w:lang w:val="es-CL"/>
        </w:rPr>
        <w:t>párr. 295</w:t>
      </w:r>
      <w:r>
        <w:rPr>
          <w:rFonts w:ascii="Verdana" w:hAnsi="Verdana"/>
          <w:sz w:val="16"/>
          <w:szCs w:val="16"/>
          <w:lang w:val="es-CL"/>
        </w:rPr>
        <w:t xml:space="preserve">, y </w:t>
      </w:r>
      <w:r w:rsidRPr="008D0846">
        <w:rPr>
          <w:rFonts w:ascii="Verdana" w:hAnsi="Verdana"/>
          <w:i/>
          <w:sz w:val="16"/>
          <w:szCs w:val="16"/>
          <w:lang w:val="es-CL"/>
        </w:rPr>
        <w:t>Caso Ríos y otros Vs. Venezuela. Excepciones Preliminares, Fondo, Reparaciones y Costas</w:t>
      </w:r>
      <w:r>
        <w:rPr>
          <w:rFonts w:ascii="Verdana" w:hAnsi="Verdana"/>
          <w:sz w:val="16"/>
          <w:szCs w:val="16"/>
          <w:lang w:val="es-CL"/>
        </w:rPr>
        <w:t>. Sentencia de 28 de enero de 2009. Serie C No. 194, párr. 279.</w:t>
      </w:r>
    </w:p>
  </w:footnote>
  <w:footnote w:id="475">
    <w:p w14:paraId="64AA6323" w14:textId="24E09115" w:rsidR="00146958" w:rsidRPr="005742B1" w:rsidRDefault="00146958">
      <w:pPr>
        <w:pStyle w:val="Textonotapie"/>
        <w:jc w:val="both"/>
        <w:rPr>
          <w:rFonts w:ascii="Verdana" w:hAnsi="Verdana"/>
          <w:sz w:val="16"/>
          <w:szCs w:val="16"/>
        </w:rPr>
      </w:pPr>
      <w:r w:rsidRPr="00B803B3">
        <w:rPr>
          <w:rStyle w:val="Refdenotaalpie"/>
          <w:rFonts w:ascii="Verdana" w:hAnsi="Verdana"/>
          <w:sz w:val="16"/>
          <w:szCs w:val="16"/>
        </w:rPr>
        <w:footnoteRef/>
      </w:r>
      <w:r w:rsidRPr="00B803B3">
        <w:rPr>
          <w:rFonts w:ascii="Verdana" w:hAnsi="Verdana"/>
          <w:sz w:val="16"/>
          <w:szCs w:val="16"/>
        </w:rPr>
        <w:t xml:space="preserve"> </w:t>
      </w:r>
      <w:r w:rsidRPr="00B803B3">
        <w:rPr>
          <w:rFonts w:ascii="Verdana" w:hAnsi="Verdana"/>
          <w:sz w:val="16"/>
          <w:szCs w:val="16"/>
        </w:rPr>
        <w:tab/>
      </w:r>
      <w:r w:rsidRPr="00CD5C54">
        <w:rPr>
          <w:rFonts w:ascii="Verdana" w:hAnsi="Verdana"/>
          <w:i/>
          <w:sz w:val="16"/>
          <w:szCs w:val="16"/>
        </w:rPr>
        <w:t>Cfr.</w:t>
      </w:r>
      <w:r w:rsidRPr="005742B1">
        <w:rPr>
          <w:rFonts w:ascii="Verdana" w:hAnsi="Verdana"/>
          <w:i/>
          <w:sz w:val="16"/>
          <w:szCs w:val="16"/>
        </w:rPr>
        <w:t xml:space="preserve"> Caso Genie Lacayo Vs. Nicaragua. Fondo, Reparaciones y Costas. </w:t>
      </w:r>
      <w:r w:rsidRPr="008D0846">
        <w:rPr>
          <w:rFonts w:ascii="Verdana" w:hAnsi="Verdana"/>
          <w:sz w:val="16"/>
          <w:szCs w:val="16"/>
        </w:rPr>
        <w:t>Sentencia de 29 de enero de 1997. Serie C No. 30, párr. 77</w:t>
      </w:r>
      <w:r w:rsidRPr="00B803B3">
        <w:rPr>
          <w:rFonts w:ascii="Verdana" w:hAnsi="Verdana"/>
          <w:i/>
          <w:sz w:val="16"/>
          <w:szCs w:val="16"/>
        </w:rPr>
        <w:t xml:space="preserve">, y Caso </w:t>
      </w:r>
      <w:r w:rsidRPr="005742B1">
        <w:rPr>
          <w:rFonts w:ascii="Verdana" w:hAnsi="Verdana"/>
          <w:i/>
          <w:sz w:val="16"/>
          <w:szCs w:val="16"/>
        </w:rPr>
        <w:t>Terrones Silva y otros Vs. Perú,</w:t>
      </w:r>
      <w:r w:rsidRPr="008D0846">
        <w:rPr>
          <w:rFonts w:ascii="Verdana" w:hAnsi="Verdana"/>
          <w:i/>
          <w:sz w:val="16"/>
          <w:szCs w:val="16"/>
        </w:rPr>
        <w:t xml:space="preserve"> supra</w:t>
      </w:r>
      <w:r w:rsidRPr="008D0846">
        <w:rPr>
          <w:rFonts w:ascii="Verdana" w:hAnsi="Verdana"/>
          <w:sz w:val="16"/>
          <w:szCs w:val="16"/>
        </w:rPr>
        <w:t xml:space="preserve"> párr. </w:t>
      </w:r>
      <w:r w:rsidRPr="00B803B3">
        <w:rPr>
          <w:rFonts w:ascii="Verdana" w:hAnsi="Verdana"/>
          <w:sz w:val="16"/>
          <w:szCs w:val="16"/>
        </w:rPr>
        <w:t>185</w:t>
      </w:r>
      <w:r w:rsidRPr="005742B1">
        <w:rPr>
          <w:rFonts w:ascii="Verdana" w:hAnsi="Verdana"/>
          <w:sz w:val="16"/>
          <w:szCs w:val="16"/>
        </w:rPr>
        <w:t>.</w:t>
      </w:r>
    </w:p>
  </w:footnote>
  <w:footnote w:id="476">
    <w:p w14:paraId="64AA6324" w14:textId="39F159C3" w:rsidR="00146958" w:rsidRPr="005742B1" w:rsidRDefault="00146958">
      <w:pPr>
        <w:pStyle w:val="Textonotapie"/>
        <w:jc w:val="both"/>
        <w:rPr>
          <w:rFonts w:ascii="Verdana" w:hAnsi="Verdana"/>
          <w:sz w:val="16"/>
          <w:szCs w:val="16"/>
        </w:rPr>
      </w:pPr>
      <w:r w:rsidRPr="00B803B3">
        <w:rPr>
          <w:rStyle w:val="Refdenotaalpie"/>
          <w:rFonts w:ascii="Verdana" w:hAnsi="Verdana"/>
          <w:sz w:val="16"/>
          <w:szCs w:val="16"/>
        </w:rPr>
        <w:footnoteRef/>
      </w:r>
      <w:r w:rsidRPr="00B803B3">
        <w:rPr>
          <w:rFonts w:ascii="Verdana" w:hAnsi="Verdana"/>
          <w:sz w:val="16"/>
          <w:szCs w:val="16"/>
        </w:rPr>
        <w:t xml:space="preserve"> </w:t>
      </w:r>
      <w:r w:rsidRPr="00B803B3">
        <w:rPr>
          <w:rFonts w:ascii="Verdana" w:hAnsi="Verdana"/>
          <w:sz w:val="16"/>
          <w:szCs w:val="16"/>
        </w:rPr>
        <w:tab/>
      </w:r>
      <w:r w:rsidRPr="00CD5C54">
        <w:rPr>
          <w:rFonts w:ascii="Verdana" w:hAnsi="Verdana"/>
          <w:i/>
          <w:sz w:val="16"/>
          <w:szCs w:val="16"/>
        </w:rPr>
        <w:t>Cfr.</w:t>
      </w:r>
      <w:r w:rsidRPr="005742B1">
        <w:rPr>
          <w:rFonts w:ascii="Verdana" w:hAnsi="Verdana"/>
          <w:i/>
          <w:sz w:val="16"/>
          <w:szCs w:val="16"/>
        </w:rPr>
        <w:t xml:space="preserve"> Caso Hilaire, Constantine y Benjamin y otros Vs. Trinidad y Tobago</w:t>
      </w:r>
      <w:r w:rsidRPr="005742B1">
        <w:rPr>
          <w:rFonts w:ascii="Verdana" w:hAnsi="Verdana"/>
          <w:sz w:val="16"/>
          <w:szCs w:val="16"/>
        </w:rPr>
        <w:t xml:space="preserve">. </w:t>
      </w:r>
      <w:r w:rsidRPr="005742B1">
        <w:rPr>
          <w:rFonts w:ascii="Verdana" w:hAnsi="Verdana"/>
          <w:i/>
          <w:sz w:val="16"/>
          <w:szCs w:val="16"/>
        </w:rPr>
        <w:t>Fondo, Reparaciones y Costas</w:t>
      </w:r>
      <w:r w:rsidRPr="005742B1">
        <w:rPr>
          <w:rFonts w:ascii="Verdana" w:hAnsi="Verdana"/>
          <w:sz w:val="16"/>
          <w:szCs w:val="16"/>
        </w:rPr>
        <w:t xml:space="preserve">. Sentencia de 21 de junio de 2002. Serie C No. 94, párr. 145; y </w:t>
      </w:r>
      <w:r w:rsidRPr="005742B1">
        <w:rPr>
          <w:rFonts w:ascii="Verdana" w:hAnsi="Verdana"/>
          <w:i/>
          <w:sz w:val="16"/>
          <w:szCs w:val="16"/>
        </w:rPr>
        <w:t>Caso Anzualdo Castro, supra</w:t>
      </w:r>
      <w:r w:rsidRPr="005742B1">
        <w:rPr>
          <w:rFonts w:ascii="Verdana" w:hAnsi="Verdana"/>
          <w:sz w:val="16"/>
          <w:szCs w:val="16"/>
        </w:rPr>
        <w:t>, párr. 124.</w:t>
      </w:r>
    </w:p>
  </w:footnote>
  <w:footnote w:id="477">
    <w:p w14:paraId="64AA6325" w14:textId="4DDEDDE8" w:rsidR="00146958" w:rsidRPr="005742B1" w:rsidRDefault="00146958">
      <w:pPr>
        <w:pStyle w:val="Textonotapie"/>
        <w:jc w:val="both"/>
        <w:rPr>
          <w:rFonts w:ascii="Verdana" w:hAnsi="Verdana"/>
          <w:sz w:val="16"/>
          <w:szCs w:val="16"/>
        </w:rPr>
      </w:pPr>
      <w:r w:rsidRPr="00B803B3">
        <w:rPr>
          <w:rStyle w:val="Refdenotaalpie"/>
          <w:rFonts w:ascii="Verdana" w:hAnsi="Verdana"/>
          <w:sz w:val="16"/>
          <w:szCs w:val="16"/>
        </w:rPr>
        <w:footnoteRef/>
      </w:r>
      <w:r w:rsidRPr="00B803B3">
        <w:rPr>
          <w:rFonts w:ascii="Verdana" w:hAnsi="Verdana"/>
          <w:sz w:val="16"/>
          <w:szCs w:val="16"/>
        </w:rPr>
        <w:t xml:space="preserve"> </w:t>
      </w:r>
      <w:r w:rsidRPr="00B803B3">
        <w:rPr>
          <w:rFonts w:ascii="Verdana" w:hAnsi="Verdana"/>
          <w:sz w:val="16"/>
          <w:szCs w:val="16"/>
        </w:rPr>
        <w:tab/>
      </w:r>
      <w:r w:rsidRPr="00CD5C54">
        <w:rPr>
          <w:rFonts w:ascii="Verdana" w:hAnsi="Verdana"/>
          <w:i/>
          <w:sz w:val="16"/>
          <w:szCs w:val="16"/>
        </w:rPr>
        <w:t>Cfr.</w:t>
      </w:r>
      <w:r w:rsidRPr="005742B1">
        <w:rPr>
          <w:rFonts w:ascii="Verdana" w:hAnsi="Verdana"/>
          <w:i/>
          <w:sz w:val="16"/>
          <w:szCs w:val="16"/>
        </w:rPr>
        <w:t xml:space="preserve"> </w:t>
      </w:r>
      <w:r w:rsidRPr="005742B1">
        <w:rPr>
          <w:rFonts w:ascii="Verdana" w:hAnsi="Verdana" w:cs="Tahoma"/>
          <w:i/>
          <w:sz w:val="16"/>
          <w:szCs w:val="16"/>
        </w:rPr>
        <w:t>Caso Valle Jaramillo y otros Vs. Colombia. Fondo, Reparaciones y Costas</w:t>
      </w:r>
      <w:r w:rsidRPr="005742B1">
        <w:rPr>
          <w:rFonts w:ascii="Verdana" w:hAnsi="Verdana" w:cs="Tahoma"/>
          <w:sz w:val="16"/>
          <w:szCs w:val="16"/>
        </w:rPr>
        <w:t>. Sentencia de 27 de noviembre de 2008. Serie C No. 192, párr. 155</w:t>
      </w:r>
      <w:r>
        <w:rPr>
          <w:rFonts w:ascii="Verdana" w:hAnsi="Verdana" w:cs="Tahoma"/>
          <w:sz w:val="16"/>
          <w:szCs w:val="16"/>
        </w:rPr>
        <w:t xml:space="preserve">, y </w:t>
      </w:r>
      <w:r w:rsidRPr="008D0846">
        <w:rPr>
          <w:rFonts w:ascii="Verdana" w:hAnsi="Verdana" w:cs="Tahoma"/>
          <w:i/>
          <w:sz w:val="16"/>
          <w:szCs w:val="16"/>
        </w:rPr>
        <w:t>Caso Terrones Silva y otros Vs. Perú, supra</w:t>
      </w:r>
      <w:r>
        <w:rPr>
          <w:rFonts w:ascii="Verdana" w:hAnsi="Verdana" w:cs="Tahoma"/>
          <w:sz w:val="16"/>
          <w:szCs w:val="16"/>
        </w:rPr>
        <w:t xml:space="preserve"> párr. 193.</w:t>
      </w:r>
    </w:p>
  </w:footnote>
  <w:footnote w:id="478">
    <w:p w14:paraId="64AA6326" w14:textId="1D4C9E0E" w:rsidR="00146958" w:rsidRPr="00432ABC" w:rsidRDefault="00146958">
      <w:pPr>
        <w:pStyle w:val="Textonotapie"/>
        <w:jc w:val="both"/>
        <w:rPr>
          <w:rFonts w:ascii="Verdana" w:hAnsi="Verdana"/>
          <w:sz w:val="16"/>
          <w:szCs w:val="16"/>
        </w:rPr>
      </w:pPr>
      <w:r w:rsidRPr="00B803B3">
        <w:rPr>
          <w:rStyle w:val="Refdenotaalpie"/>
          <w:rFonts w:ascii="Verdana" w:hAnsi="Verdana"/>
          <w:sz w:val="16"/>
          <w:szCs w:val="16"/>
        </w:rPr>
        <w:footnoteRef/>
      </w:r>
      <w:r w:rsidRPr="00B803B3">
        <w:rPr>
          <w:rFonts w:ascii="Verdana" w:hAnsi="Verdana"/>
          <w:sz w:val="16"/>
          <w:szCs w:val="16"/>
        </w:rPr>
        <w:t xml:space="preserve"> </w:t>
      </w:r>
      <w:r w:rsidRPr="00B803B3">
        <w:rPr>
          <w:rFonts w:ascii="Verdana" w:hAnsi="Verdana"/>
          <w:sz w:val="16"/>
          <w:szCs w:val="16"/>
        </w:rPr>
        <w:tab/>
      </w:r>
      <w:r w:rsidRPr="00CD5C54">
        <w:rPr>
          <w:rFonts w:ascii="Verdana" w:hAnsi="Verdana"/>
          <w:i/>
          <w:sz w:val="16"/>
          <w:szCs w:val="16"/>
        </w:rPr>
        <w:t>Cfr.</w:t>
      </w:r>
      <w:r w:rsidRPr="005742B1">
        <w:rPr>
          <w:rFonts w:ascii="Verdana" w:hAnsi="Verdana"/>
          <w:i/>
          <w:sz w:val="16"/>
          <w:szCs w:val="16"/>
        </w:rPr>
        <w:t xml:space="preserve"> </w:t>
      </w:r>
      <w:r w:rsidRPr="00B803B3">
        <w:rPr>
          <w:rFonts w:ascii="Verdana" w:hAnsi="Verdana"/>
          <w:i/>
          <w:sz w:val="16"/>
          <w:szCs w:val="16"/>
        </w:rPr>
        <w:t>Caso Anzualdo Castro</w:t>
      </w:r>
      <w:r w:rsidRPr="005742B1">
        <w:rPr>
          <w:rFonts w:ascii="Verdana" w:hAnsi="Verdana"/>
          <w:i/>
          <w:sz w:val="16"/>
          <w:szCs w:val="16"/>
        </w:rPr>
        <w:t xml:space="preserve"> Vs. Perú, supra</w:t>
      </w:r>
      <w:r w:rsidRPr="00B803B3">
        <w:rPr>
          <w:rFonts w:ascii="Verdana" w:hAnsi="Verdana"/>
          <w:sz w:val="16"/>
          <w:szCs w:val="16"/>
        </w:rPr>
        <w:t xml:space="preserve"> párr. 157, y </w:t>
      </w:r>
      <w:r w:rsidRPr="008D0846">
        <w:rPr>
          <w:rFonts w:ascii="Verdana" w:hAnsi="Verdana"/>
          <w:i/>
          <w:sz w:val="16"/>
          <w:szCs w:val="16"/>
        </w:rPr>
        <w:t>Caso Miembros de la Aldea Chichupac y comunidades vecinas del Municipio de Rabinal Vs. Guatemala. Excepciones Preliminares, Fondo, Reparaciones y Costas</w:t>
      </w:r>
      <w:r w:rsidRPr="00B803B3">
        <w:rPr>
          <w:rFonts w:ascii="Verdana" w:hAnsi="Verdana"/>
          <w:sz w:val="16"/>
          <w:szCs w:val="16"/>
        </w:rPr>
        <w:t>. Sentencia de 30 de noviembre de 2016. Serie C No. 328</w:t>
      </w:r>
      <w:r>
        <w:rPr>
          <w:rFonts w:ascii="Verdana" w:hAnsi="Verdana"/>
          <w:sz w:val="16"/>
          <w:szCs w:val="16"/>
        </w:rPr>
        <w:t>, párr. 140.</w:t>
      </w:r>
    </w:p>
  </w:footnote>
  <w:footnote w:id="479">
    <w:p w14:paraId="64AA632B" w14:textId="19FF5D4B"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432ABC">
        <w:rPr>
          <w:rFonts w:ascii="Verdana" w:hAnsi="Verdana"/>
          <w:i/>
          <w:sz w:val="16"/>
          <w:szCs w:val="16"/>
        </w:rPr>
        <w:t>Caso Goiburú y otros, supra</w:t>
      </w:r>
      <w:r w:rsidRPr="00432ABC">
        <w:rPr>
          <w:rFonts w:ascii="Verdana" w:hAnsi="Verdana"/>
          <w:sz w:val="16"/>
          <w:szCs w:val="16"/>
        </w:rPr>
        <w:t xml:space="preserve"> párr. 82 y 84</w:t>
      </w:r>
      <w:r>
        <w:rPr>
          <w:rFonts w:ascii="Verdana" w:hAnsi="Verdana"/>
          <w:sz w:val="16"/>
          <w:szCs w:val="16"/>
        </w:rPr>
        <w:t xml:space="preserve">, y </w:t>
      </w:r>
      <w:r w:rsidRPr="008D0846">
        <w:rPr>
          <w:rFonts w:ascii="Verdana" w:hAnsi="Verdana"/>
          <w:i/>
          <w:sz w:val="16"/>
          <w:szCs w:val="16"/>
        </w:rPr>
        <w:t>Caso Tiu Tojín Vs. Guatemala. Fondo, Reparaciones y Costas</w:t>
      </w:r>
      <w:r>
        <w:rPr>
          <w:rFonts w:ascii="Verdana" w:hAnsi="Verdana"/>
          <w:sz w:val="16"/>
          <w:szCs w:val="16"/>
        </w:rPr>
        <w:t>. Sentencia de 26 de noviembre de 2008. Serie C No. 190, párr. 91.</w:t>
      </w:r>
    </w:p>
  </w:footnote>
  <w:footnote w:id="480">
    <w:p w14:paraId="64AA632C" w14:textId="53F187E5"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w:t>
      </w:r>
      <w:r>
        <w:rPr>
          <w:rFonts w:ascii="Verdana" w:hAnsi="Verdana"/>
          <w:sz w:val="16"/>
          <w:szCs w:val="16"/>
        </w:rPr>
        <w:t xml:space="preserve">ONU. </w:t>
      </w:r>
      <w:r w:rsidRPr="008D0846">
        <w:rPr>
          <w:rFonts w:ascii="Verdana" w:hAnsi="Verdana"/>
          <w:i/>
          <w:sz w:val="16"/>
          <w:szCs w:val="16"/>
        </w:rPr>
        <w:t>Declaración sobre la Protección de Todas las Personas contra las Desapariciones Forzadas</w:t>
      </w:r>
      <w:r>
        <w:rPr>
          <w:rFonts w:ascii="Verdana" w:hAnsi="Verdana"/>
          <w:i/>
          <w:sz w:val="16"/>
          <w:szCs w:val="16"/>
        </w:rPr>
        <w:t>.</w:t>
      </w:r>
      <w:r w:rsidRPr="004454AD">
        <w:rPr>
          <w:sz w:val="22"/>
          <w:szCs w:val="22"/>
        </w:rPr>
        <w:t xml:space="preserve"> </w:t>
      </w:r>
      <w:r w:rsidRPr="008D0846">
        <w:rPr>
          <w:rFonts w:ascii="Verdana" w:hAnsi="Verdana"/>
          <w:sz w:val="16"/>
          <w:szCs w:val="16"/>
        </w:rPr>
        <w:t>Aprobada por la Asamblea General en su resolución 47/133 de 18 de diciembre 1992</w:t>
      </w:r>
      <w:r>
        <w:rPr>
          <w:rFonts w:ascii="Verdana" w:hAnsi="Verdana"/>
          <w:sz w:val="16"/>
          <w:szCs w:val="16"/>
        </w:rPr>
        <w:t>,</w:t>
      </w:r>
      <w:r w:rsidRPr="00432ABC">
        <w:rPr>
          <w:rFonts w:ascii="Verdana" w:hAnsi="Verdana"/>
          <w:sz w:val="16"/>
          <w:szCs w:val="16"/>
        </w:rPr>
        <w:t xml:space="preserve"> artículo 1.2.</w:t>
      </w:r>
    </w:p>
  </w:footnote>
  <w:footnote w:id="481">
    <w:p w14:paraId="64AA632D" w14:textId="719AF7A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B803B3">
        <w:rPr>
          <w:rFonts w:ascii="Verdana" w:hAnsi="Verdana"/>
          <w:i/>
          <w:sz w:val="16"/>
          <w:szCs w:val="16"/>
        </w:rPr>
        <w:t xml:space="preserve">Caso </w:t>
      </w:r>
      <w:r w:rsidRPr="0016126E">
        <w:rPr>
          <w:rFonts w:ascii="Verdana" w:hAnsi="Verdana"/>
          <w:i/>
          <w:sz w:val="16"/>
          <w:szCs w:val="16"/>
          <w:lang w:val="es-ES"/>
        </w:rPr>
        <w:t xml:space="preserve">“La Última Tentación de Cristo” (Olmedo Bustos y otros) </w:t>
      </w:r>
      <w:r w:rsidRPr="00B803B3">
        <w:rPr>
          <w:rFonts w:ascii="Verdana" w:hAnsi="Verdana"/>
          <w:i/>
          <w:sz w:val="16"/>
          <w:szCs w:val="16"/>
          <w:lang w:val="es-ES"/>
        </w:rPr>
        <w:t>Vs</w:t>
      </w:r>
      <w:r w:rsidRPr="008D0846">
        <w:rPr>
          <w:rFonts w:ascii="Verdana" w:hAnsi="Verdana"/>
          <w:i/>
          <w:sz w:val="16"/>
          <w:szCs w:val="16"/>
          <w:lang w:val="es-ES"/>
        </w:rPr>
        <w:t xml:space="preserve">. </w:t>
      </w:r>
      <w:r w:rsidRPr="00B803B3">
        <w:rPr>
          <w:rFonts w:ascii="Verdana" w:hAnsi="Verdana"/>
          <w:i/>
          <w:sz w:val="16"/>
          <w:szCs w:val="16"/>
          <w:lang w:val="es-ES"/>
        </w:rPr>
        <w:t>Chile. Fondo, Reparaciones y Costas</w:t>
      </w:r>
      <w:r w:rsidRPr="00432ABC">
        <w:rPr>
          <w:rFonts w:ascii="Verdana" w:hAnsi="Verdana"/>
          <w:i/>
          <w:sz w:val="16"/>
          <w:szCs w:val="16"/>
          <w:lang w:val="es-ES"/>
        </w:rPr>
        <w:t>.</w:t>
      </w:r>
      <w:r w:rsidRPr="00432ABC">
        <w:rPr>
          <w:rFonts w:ascii="Verdana" w:hAnsi="Verdana"/>
          <w:sz w:val="16"/>
          <w:szCs w:val="16"/>
          <w:lang w:val="es-ES"/>
        </w:rPr>
        <w:t xml:space="preserve"> Sentencia de 5 de febrero de 2001. Serie C No. 73,</w:t>
      </w:r>
      <w:r w:rsidRPr="00432ABC">
        <w:rPr>
          <w:rFonts w:ascii="Verdana" w:hAnsi="Verdana"/>
          <w:sz w:val="16"/>
          <w:szCs w:val="16"/>
        </w:rPr>
        <w:t xml:space="preserve"> párr. 87</w:t>
      </w:r>
      <w:r>
        <w:rPr>
          <w:rFonts w:ascii="Verdana" w:hAnsi="Verdana"/>
          <w:sz w:val="16"/>
          <w:szCs w:val="16"/>
        </w:rPr>
        <w:t xml:space="preserve">, y </w:t>
      </w:r>
      <w:r w:rsidRPr="008D0846">
        <w:rPr>
          <w:rFonts w:ascii="Verdana" w:hAnsi="Verdana"/>
          <w:i/>
          <w:sz w:val="16"/>
          <w:szCs w:val="16"/>
        </w:rPr>
        <w:t>Caso Vereda La Esperanza Vs. Colombia. Excepciones Preliminares, Fondo, Reparaciones y Costas</w:t>
      </w:r>
      <w:r>
        <w:rPr>
          <w:rFonts w:ascii="Verdana" w:hAnsi="Verdana"/>
          <w:sz w:val="16"/>
          <w:szCs w:val="16"/>
        </w:rPr>
        <w:t>. Sentencia de 31 de agosto de 2017. Serie C No. 341, párr. 84.</w:t>
      </w:r>
    </w:p>
  </w:footnote>
  <w:footnote w:id="482">
    <w:p w14:paraId="64AA632E" w14:textId="710B7E40" w:rsidR="00146958" w:rsidRPr="00B803B3" w:rsidRDefault="00146958">
      <w:pPr>
        <w:pStyle w:val="Textonotapie"/>
        <w:jc w:val="both"/>
        <w:rPr>
          <w:rStyle w:val="Textoennegrita"/>
          <w:rFonts w:ascii="Verdana" w:hAnsi="Verdana" w:cs="Times"/>
          <w:b w:val="0"/>
          <w:i/>
          <w:sz w:val="16"/>
          <w:szCs w:val="16"/>
          <w:lang w:val="es-ES"/>
        </w:rPr>
      </w:pPr>
      <w:r w:rsidRPr="00432ABC">
        <w:rPr>
          <w:rStyle w:val="Refdenotaalpie"/>
          <w:rFonts w:ascii="Verdana" w:hAnsi="Verdana"/>
          <w:sz w:val="16"/>
          <w:szCs w:val="16"/>
        </w:rPr>
        <w:footnoteRef/>
      </w:r>
      <w:r w:rsidRPr="00432ABC">
        <w:rPr>
          <w:rFonts w:ascii="Verdana" w:hAnsi="Verdana"/>
          <w:i/>
          <w:sz w:val="16"/>
          <w:szCs w:val="16"/>
        </w:rPr>
        <w:tab/>
      </w:r>
      <w:r w:rsidRPr="002C462C">
        <w:rPr>
          <w:rStyle w:val="Textoennegrita"/>
          <w:rFonts w:ascii="Verdana" w:hAnsi="Verdana"/>
          <w:b w:val="0"/>
          <w:i/>
          <w:sz w:val="16"/>
          <w:szCs w:val="16"/>
        </w:rPr>
        <w:t>Caso de los “Niños de la Calle” (Villagrán Morales y otros) Vs. Guatemala. Fondo</w:t>
      </w:r>
      <w:r w:rsidRPr="002C462C">
        <w:rPr>
          <w:rStyle w:val="Textoennegrita"/>
          <w:rFonts w:ascii="Verdana" w:hAnsi="Verdana"/>
          <w:b w:val="0"/>
          <w:sz w:val="16"/>
          <w:szCs w:val="16"/>
        </w:rPr>
        <w:t xml:space="preserve">. Sentencia de 19 de noviembre de 1999. Serie C No. 63, </w:t>
      </w:r>
      <w:r w:rsidRPr="00432ABC">
        <w:rPr>
          <w:rFonts w:ascii="Verdana" w:hAnsi="Verdana"/>
          <w:sz w:val="16"/>
          <w:szCs w:val="16"/>
        </w:rPr>
        <w:t>párr. 237</w:t>
      </w:r>
      <w:r w:rsidRPr="00FE2342">
        <w:rPr>
          <w:rStyle w:val="Textoennegrita"/>
          <w:rFonts w:ascii="Verdana" w:hAnsi="Verdana"/>
          <w:b w:val="0"/>
          <w:i/>
          <w:sz w:val="16"/>
          <w:szCs w:val="16"/>
        </w:rPr>
        <w:t>,</w:t>
      </w:r>
      <w:r>
        <w:rPr>
          <w:rStyle w:val="Textoennegrita"/>
          <w:rFonts w:ascii="Verdana" w:hAnsi="Verdana"/>
          <w:i/>
          <w:sz w:val="16"/>
          <w:szCs w:val="16"/>
        </w:rPr>
        <w:t xml:space="preserve"> </w:t>
      </w:r>
      <w:r w:rsidRPr="00DB378B">
        <w:rPr>
          <w:rStyle w:val="Textoennegrita"/>
          <w:rFonts w:ascii="Verdana" w:hAnsi="Verdana"/>
          <w:b w:val="0"/>
          <w:sz w:val="16"/>
          <w:szCs w:val="16"/>
        </w:rPr>
        <w:t xml:space="preserve">y </w:t>
      </w:r>
      <w:r w:rsidRPr="008D0846">
        <w:rPr>
          <w:rStyle w:val="Textoennegrita"/>
          <w:rFonts w:ascii="Verdana" w:hAnsi="Verdana"/>
          <w:b w:val="0"/>
          <w:i/>
          <w:sz w:val="16"/>
          <w:szCs w:val="16"/>
        </w:rPr>
        <w:t>Caso López Soto y otros Vs. Venezuela, supra</w:t>
      </w:r>
      <w:r>
        <w:rPr>
          <w:rStyle w:val="Textoennegrita"/>
          <w:rFonts w:ascii="Verdana" w:hAnsi="Verdana"/>
          <w:b w:val="0"/>
          <w:sz w:val="16"/>
          <w:szCs w:val="16"/>
        </w:rPr>
        <w:t xml:space="preserve"> párr. </w:t>
      </w:r>
      <w:r w:rsidRPr="00B803B3">
        <w:rPr>
          <w:rStyle w:val="Textoennegrita"/>
          <w:rFonts w:ascii="Verdana" w:hAnsi="Verdana"/>
          <w:b w:val="0"/>
          <w:sz w:val="16"/>
          <w:szCs w:val="16"/>
        </w:rPr>
        <w:t>217</w:t>
      </w:r>
      <w:r w:rsidRPr="00CB7A58">
        <w:rPr>
          <w:rStyle w:val="Textoennegrita"/>
          <w:rFonts w:ascii="Verdana" w:hAnsi="Verdana"/>
          <w:b w:val="0"/>
          <w:i/>
          <w:sz w:val="16"/>
          <w:szCs w:val="16"/>
        </w:rPr>
        <w:t>.</w:t>
      </w:r>
    </w:p>
  </w:footnote>
  <w:footnote w:id="483">
    <w:p w14:paraId="64AA632F" w14:textId="6BC78D26" w:rsidR="00146958" w:rsidRPr="00432ABC" w:rsidRDefault="00146958">
      <w:pPr>
        <w:pStyle w:val="Textonotapie"/>
        <w:jc w:val="both"/>
        <w:rPr>
          <w:rFonts w:ascii="Verdana" w:hAnsi="Verdana"/>
          <w:sz w:val="16"/>
          <w:szCs w:val="16"/>
          <w:lang w:val="es-ES"/>
        </w:rPr>
      </w:pPr>
      <w:r w:rsidRPr="00432ABC">
        <w:rPr>
          <w:rStyle w:val="Refdenotaalpie"/>
          <w:rFonts w:ascii="Verdana" w:hAnsi="Verdana"/>
          <w:sz w:val="16"/>
          <w:szCs w:val="16"/>
          <w:lang w:val="es-ES_tradnl"/>
        </w:rPr>
        <w:footnoteRef/>
      </w:r>
      <w:r w:rsidRPr="00432ABC">
        <w:rPr>
          <w:rFonts w:ascii="Verdana" w:hAnsi="Verdana"/>
          <w:sz w:val="16"/>
          <w:szCs w:val="16"/>
          <w:lang w:val="es-ES_tradnl"/>
        </w:rPr>
        <w:t xml:space="preserve"> </w:t>
      </w:r>
      <w:r w:rsidRPr="00432ABC">
        <w:rPr>
          <w:rFonts w:ascii="Verdana" w:hAnsi="Verdana"/>
          <w:sz w:val="16"/>
          <w:szCs w:val="16"/>
          <w:lang w:val="es-ES_tradnl"/>
        </w:rPr>
        <w:tab/>
      </w:r>
      <w:r w:rsidRPr="00CD5C54">
        <w:rPr>
          <w:rFonts w:ascii="Verdana" w:hAnsi="Verdana"/>
          <w:i/>
          <w:sz w:val="16"/>
          <w:szCs w:val="16"/>
          <w:lang w:val="es-ES_tradnl"/>
        </w:rPr>
        <w:t>Cfr.</w:t>
      </w:r>
      <w:r w:rsidRPr="002C462C">
        <w:rPr>
          <w:rFonts w:ascii="Verdana" w:hAnsi="Verdana"/>
          <w:i/>
          <w:sz w:val="16"/>
          <w:szCs w:val="16"/>
          <w:lang w:val="es-ES_tradnl"/>
        </w:rPr>
        <w:t xml:space="preserve"> </w:t>
      </w:r>
      <w:r w:rsidRPr="002C462C">
        <w:rPr>
          <w:rFonts w:ascii="Verdana" w:hAnsi="Verdana" w:cs="Tahoma"/>
          <w:i/>
          <w:sz w:val="16"/>
          <w:szCs w:val="16"/>
          <w:shd w:val="clear" w:color="auto" w:fill="FFFFFF"/>
        </w:rPr>
        <w:t>Caso</w:t>
      </w:r>
      <w:r w:rsidRPr="00432ABC">
        <w:rPr>
          <w:rFonts w:ascii="Verdana" w:hAnsi="Verdana" w:cs="Tahoma"/>
          <w:i/>
          <w:sz w:val="16"/>
          <w:szCs w:val="16"/>
          <w:shd w:val="clear" w:color="auto" w:fill="FFFFFF"/>
        </w:rPr>
        <w:t xml:space="preserve"> Gómez Palomino Vs. Perú. Fondo, Reparaciones y Costas</w:t>
      </w:r>
      <w:r w:rsidRPr="00432ABC">
        <w:rPr>
          <w:rFonts w:ascii="Verdana" w:hAnsi="Verdana" w:cs="Tahoma"/>
          <w:sz w:val="16"/>
          <w:szCs w:val="16"/>
          <w:shd w:val="clear" w:color="auto" w:fill="FFFFFF"/>
        </w:rPr>
        <w:t>. Sentencia de 22 de noviembre de 2005. Serie C No. 136, párr. 92</w:t>
      </w:r>
      <w:r>
        <w:rPr>
          <w:rFonts w:ascii="Verdana" w:hAnsi="Verdana" w:cs="Tahoma"/>
          <w:sz w:val="16"/>
          <w:szCs w:val="16"/>
          <w:shd w:val="clear" w:color="auto" w:fill="FFFFFF"/>
        </w:rPr>
        <w:t xml:space="preserve">, y </w:t>
      </w:r>
      <w:r w:rsidRPr="008D0846">
        <w:rPr>
          <w:rFonts w:ascii="Verdana" w:hAnsi="Verdana" w:cs="Tahoma"/>
          <w:i/>
          <w:sz w:val="16"/>
          <w:szCs w:val="16"/>
          <w:shd w:val="clear" w:color="auto" w:fill="FFFFFF"/>
        </w:rPr>
        <w:t>Caso Vereda La Esperanza Vs. Colombia, supra</w:t>
      </w:r>
      <w:r>
        <w:rPr>
          <w:rFonts w:ascii="Verdana" w:hAnsi="Verdana" w:cs="Tahoma"/>
          <w:sz w:val="16"/>
          <w:szCs w:val="16"/>
          <w:shd w:val="clear" w:color="auto" w:fill="FFFFFF"/>
        </w:rPr>
        <w:t xml:space="preserve"> párr. 84.</w:t>
      </w:r>
    </w:p>
  </w:footnote>
  <w:footnote w:id="484">
    <w:p w14:paraId="64AA6330" w14:textId="0CE2DBA7" w:rsidR="00146958" w:rsidRPr="00432ABC" w:rsidRDefault="00146958">
      <w:pPr>
        <w:pStyle w:val="Textonotapie"/>
        <w:jc w:val="both"/>
        <w:rPr>
          <w:rFonts w:ascii="Verdana" w:eastAsia="Times" w:hAnsi="Verdana" w:cs="Times"/>
          <w:sz w:val="16"/>
          <w:szCs w:val="16"/>
          <w:lang w:val="es-CR"/>
        </w:rPr>
      </w:pPr>
      <w:r w:rsidRPr="00432ABC">
        <w:rPr>
          <w:rStyle w:val="Refdenotaalpie"/>
          <w:rFonts w:ascii="Verdana" w:hAnsi="Verdana" w:cs="Times"/>
          <w:sz w:val="16"/>
          <w:szCs w:val="16"/>
        </w:rPr>
        <w:footnoteRef/>
      </w:r>
      <w:r w:rsidRPr="00432ABC">
        <w:rPr>
          <w:rFonts w:ascii="Verdana" w:hAnsi="Verdana" w:cs="Times"/>
          <w:sz w:val="16"/>
          <w:szCs w:val="16"/>
        </w:rPr>
        <w:t xml:space="preserve"> </w:t>
      </w:r>
      <w:r w:rsidRPr="002C462C">
        <w:rPr>
          <w:rFonts w:ascii="Verdana" w:hAnsi="Verdana" w:cs="Times"/>
          <w:sz w:val="16"/>
          <w:szCs w:val="16"/>
        </w:rPr>
        <w:tab/>
      </w:r>
      <w:r w:rsidRPr="002C462C">
        <w:rPr>
          <w:rFonts w:ascii="Verdana" w:hAnsi="Verdana"/>
          <w:sz w:val="16"/>
          <w:szCs w:val="16"/>
        </w:rPr>
        <w:t xml:space="preserve">La Corte ha sostenido que los procedimientos de </w:t>
      </w:r>
      <w:r w:rsidRPr="00432ABC">
        <w:rPr>
          <w:rFonts w:ascii="Verdana" w:hAnsi="Verdana"/>
          <w:i/>
          <w:sz w:val="16"/>
          <w:szCs w:val="16"/>
        </w:rPr>
        <w:t>hábeas corpus</w:t>
      </w:r>
      <w:r w:rsidRPr="00432ABC">
        <w:rPr>
          <w:rFonts w:ascii="Verdana" w:hAnsi="Verdana"/>
          <w:sz w:val="16"/>
          <w:szCs w:val="16"/>
        </w:rPr>
        <w:t xml:space="preserve"> y de amparo son aquellas garantías judiciales indispensables para la protección de varios derechos cuya suspensión está vedada por el artículo 27.2 </w:t>
      </w:r>
      <w:r w:rsidRPr="00432ABC">
        <w:rPr>
          <w:rFonts w:ascii="Verdana" w:hAnsi="Verdana"/>
          <w:sz w:val="16"/>
          <w:szCs w:val="16"/>
        </w:rPr>
        <w:sym w:font="Symbol" w:char="F05B"/>
      </w:r>
      <w:r w:rsidRPr="00432ABC">
        <w:rPr>
          <w:rFonts w:ascii="Verdana" w:hAnsi="Verdana"/>
          <w:sz w:val="16"/>
          <w:szCs w:val="16"/>
        </w:rPr>
        <w:t>de la Convención</w:t>
      </w:r>
      <w:r w:rsidRPr="00432ABC">
        <w:rPr>
          <w:rFonts w:ascii="Verdana" w:hAnsi="Verdana"/>
          <w:sz w:val="16"/>
          <w:szCs w:val="16"/>
        </w:rPr>
        <w:sym w:font="Symbol" w:char="F05D"/>
      </w:r>
      <w:r w:rsidRPr="00432ABC">
        <w:rPr>
          <w:rFonts w:ascii="Verdana" w:hAnsi="Verdana"/>
          <w:sz w:val="16"/>
          <w:szCs w:val="16"/>
        </w:rPr>
        <w:t xml:space="preserve"> y sirven, además, para preservar la legalidad en una sociedad democrática. </w:t>
      </w:r>
      <w:r w:rsidRPr="002C462C">
        <w:rPr>
          <w:rFonts w:ascii="Verdana" w:hAnsi="Verdana" w:cs="Times"/>
          <w:i/>
          <w:iCs/>
          <w:sz w:val="16"/>
          <w:szCs w:val="16"/>
          <w:lang w:val="es-CR"/>
        </w:rPr>
        <w:t xml:space="preserve">El Hábeas Corpus Bajo Suspensión de Garantías. </w:t>
      </w:r>
      <w:r w:rsidRPr="002C462C">
        <w:rPr>
          <w:rFonts w:ascii="Verdana" w:hAnsi="Verdana" w:cs="Times"/>
          <w:sz w:val="16"/>
          <w:szCs w:val="16"/>
          <w:lang w:val="es-CR"/>
        </w:rPr>
        <w:t xml:space="preserve">Serie A. </w:t>
      </w:r>
      <w:r w:rsidRPr="008D0846">
        <w:rPr>
          <w:rFonts w:ascii="Verdana" w:hAnsi="Verdana" w:cs="Times"/>
          <w:i/>
          <w:sz w:val="16"/>
          <w:szCs w:val="16"/>
          <w:lang w:val="es-CR"/>
        </w:rPr>
        <w:t>Opinión Consultiva OC-8/87</w:t>
      </w:r>
      <w:r w:rsidRPr="002C462C">
        <w:rPr>
          <w:rFonts w:ascii="Verdana" w:hAnsi="Verdana" w:cs="Times"/>
          <w:sz w:val="16"/>
          <w:szCs w:val="16"/>
          <w:lang w:val="es-CR"/>
        </w:rPr>
        <w:t xml:space="preserve"> d</w:t>
      </w:r>
      <w:r w:rsidRPr="00432ABC">
        <w:rPr>
          <w:rFonts w:ascii="Verdana" w:hAnsi="Verdana" w:cs="Times"/>
          <w:sz w:val="16"/>
          <w:szCs w:val="16"/>
          <w:lang w:val="es-CR"/>
        </w:rPr>
        <w:t>el 30 de enero de 1987, párr. 42, y</w:t>
      </w:r>
      <w:r w:rsidRPr="00432ABC">
        <w:rPr>
          <w:rFonts w:ascii="Verdana" w:hAnsi="Verdana" w:cs="Times"/>
          <w:noProof/>
          <w:sz w:val="16"/>
          <w:szCs w:val="16"/>
        </w:rPr>
        <w:t xml:space="preserve"> </w:t>
      </w:r>
      <w:r w:rsidRPr="008D0846">
        <w:rPr>
          <w:rFonts w:ascii="Verdana" w:hAnsi="Verdana" w:cs="Times"/>
          <w:i/>
          <w:noProof/>
          <w:sz w:val="16"/>
          <w:szCs w:val="16"/>
        </w:rPr>
        <w:t>Opinión Consultiva OC-9/87</w:t>
      </w:r>
      <w:r w:rsidRPr="00432ABC">
        <w:rPr>
          <w:rFonts w:ascii="Verdana" w:hAnsi="Verdana" w:cs="Times"/>
          <w:noProof/>
          <w:sz w:val="16"/>
          <w:szCs w:val="16"/>
        </w:rPr>
        <w:t xml:space="preserve"> del 6 de octubre de 1987. Serie A No. 9</w:t>
      </w:r>
      <w:r>
        <w:rPr>
          <w:rFonts w:ascii="Verdana" w:hAnsi="Verdana" w:cs="Times"/>
          <w:noProof/>
          <w:sz w:val="16"/>
          <w:szCs w:val="16"/>
        </w:rPr>
        <w:t>,</w:t>
      </w:r>
      <w:r w:rsidRPr="00432ABC">
        <w:rPr>
          <w:rFonts w:ascii="Verdana" w:hAnsi="Verdana" w:cs="Times"/>
          <w:noProof/>
          <w:sz w:val="16"/>
          <w:szCs w:val="16"/>
        </w:rPr>
        <w:t xml:space="preserve"> párr. 33.</w:t>
      </w:r>
      <w:r w:rsidRPr="00432ABC">
        <w:rPr>
          <w:rFonts w:ascii="Verdana" w:hAnsi="Verdana" w:cs="Times"/>
          <w:sz w:val="16"/>
          <w:szCs w:val="16"/>
          <w:lang w:val="es-CR"/>
        </w:rPr>
        <w:t xml:space="preserve"> </w:t>
      </w:r>
    </w:p>
  </w:footnote>
  <w:footnote w:id="485">
    <w:p w14:paraId="64AA6331" w14:textId="593C093D"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2C462C">
        <w:rPr>
          <w:rFonts w:ascii="Verdana" w:hAnsi="Verdana"/>
          <w:i/>
          <w:sz w:val="16"/>
          <w:szCs w:val="16"/>
        </w:rPr>
        <w:t xml:space="preserve"> </w:t>
      </w:r>
      <w:r w:rsidRPr="00432ABC">
        <w:rPr>
          <w:rFonts w:ascii="Verdana" w:hAnsi="Verdana" w:cs="Tahoma"/>
          <w:i/>
          <w:sz w:val="16"/>
          <w:szCs w:val="16"/>
          <w:shd w:val="clear" w:color="auto" w:fill="FFFFFF"/>
        </w:rPr>
        <w:t>Caso Blanco Romero y otros Vs. Venezuela. Fondo, Reparaciones y Costas</w:t>
      </w:r>
      <w:r w:rsidRPr="00432ABC">
        <w:rPr>
          <w:rFonts w:ascii="Verdana" w:hAnsi="Verdana" w:cs="Tahoma"/>
          <w:sz w:val="16"/>
          <w:szCs w:val="16"/>
          <w:shd w:val="clear" w:color="auto" w:fill="FFFFFF"/>
        </w:rPr>
        <w:t>. Sentencia de 28 de noviembre de 2005. Serie C No. 138, párr. 104</w:t>
      </w:r>
      <w:r>
        <w:rPr>
          <w:rFonts w:ascii="Verdana" w:hAnsi="Verdana" w:cs="Tahoma"/>
          <w:sz w:val="16"/>
          <w:szCs w:val="16"/>
          <w:shd w:val="clear" w:color="auto" w:fill="FFFFFF"/>
        </w:rPr>
        <w:t xml:space="preserve">, y </w:t>
      </w:r>
      <w:r w:rsidRPr="008D0846">
        <w:rPr>
          <w:rFonts w:ascii="Verdana" w:hAnsi="Verdana" w:cs="Tahoma"/>
          <w:i/>
          <w:sz w:val="16"/>
          <w:szCs w:val="16"/>
          <w:shd w:val="clear" w:color="auto" w:fill="FFFFFF"/>
        </w:rPr>
        <w:t>Caso Gutiérrez Hernández y otros Vs. Guatemala. Excepciones Preliminares, Fondo, Reparaciones y Costas</w:t>
      </w:r>
      <w:r>
        <w:rPr>
          <w:rFonts w:ascii="Verdana" w:hAnsi="Verdana" w:cs="Tahoma"/>
          <w:sz w:val="16"/>
          <w:szCs w:val="16"/>
          <w:shd w:val="clear" w:color="auto" w:fill="FFFFFF"/>
        </w:rPr>
        <w:t>. Sentencia de 24 de agosto de 2017. Serie C No. 339, párr. 187.</w:t>
      </w:r>
    </w:p>
  </w:footnote>
  <w:footnote w:id="486">
    <w:p w14:paraId="62C22000" w14:textId="104F80B2" w:rsidR="00146958" w:rsidRPr="008D0846" w:rsidRDefault="00146958" w:rsidP="003564A3">
      <w:pPr>
        <w:pStyle w:val="Textonotapie"/>
        <w:jc w:val="both"/>
        <w:rPr>
          <w:rFonts w:ascii="Verdana" w:hAnsi="Verdana"/>
          <w:sz w:val="16"/>
          <w:szCs w:val="16"/>
        </w:rPr>
      </w:pPr>
      <w:r w:rsidRPr="00FE2342">
        <w:rPr>
          <w:rStyle w:val="Refdenotaalpie"/>
          <w:rFonts w:ascii="Verdana" w:hAnsi="Verdana"/>
          <w:sz w:val="16"/>
          <w:szCs w:val="16"/>
        </w:rPr>
        <w:footnoteRef/>
      </w:r>
      <w:r w:rsidRPr="00FE2342">
        <w:rPr>
          <w:rFonts w:ascii="Verdana" w:hAnsi="Verdana"/>
          <w:sz w:val="16"/>
          <w:szCs w:val="16"/>
        </w:rPr>
        <w:t xml:space="preserve"> </w:t>
      </w:r>
      <w:r w:rsidRPr="003564A3">
        <w:rPr>
          <w:rFonts w:ascii="Verdana" w:hAnsi="Verdana"/>
          <w:b/>
          <w:sz w:val="16"/>
          <w:szCs w:val="16"/>
        </w:rPr>
        <w:tab/>
      </w:r>
      <w:r w:rsidRPr="008D0846">
        <w:rPr>
          <w:rFonts w:ascii="Verdana" w:hAnsi="Verdana"/>
          <w:sz w:val="16"/>
          <w:szCs w:val="16"/>
        </w:rPr>
        <w:t>A</w:t>
      </w:r>
      <w:r w:rsidRPr="008D0846">
        <w:rPr>
          <w:rFonts w:ascii="Verdana" w:hAnsi="Verdana"/>
          <w:sz w:val="16"/>
          <w:szCs w:val="16"/>
          <w:lang w:val="es-CR"/>
        </w:rPr>
        <w:t xml:space="preserve">rtículo 5.1. Derecho a la Integridad Personal. “1. Toda persona tiene derecho a que se respete su integridad física, psíquica y moral”. </w:t>
      </w:r>
    </w:p>
  </w:footnote>
  <w:footnote w:id="487">
    <w:p w14:paraId="17C79696" w14:textId="2CB03039" w:rsidR="00146958" w:rsidRPr="008D0846" w:rsidRDefault="00146958" w:rsidP="003564A3">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A</w:t>
      </w:r>
      <w:r w:rsidRPr="008D0846">
        <w:rPr>
          <w:rFonts w:ascii="Verdana" w:hAnsi="Verdana"/>
          <w:sz w:val="16"/>
          <w:szCs w:val="16"/>
          <w:lang w:val="es-CR"/>
        </w:rPr>
        <w:t>rtículo 22.1. Derecho de Circulación y de Residencia. “1. Toda persona que se halle legalmente en el territorio de un Estado tiene derecho a circular por el mismo y, a residir en él con sujeción a las disposiciones legales”.</w:t>
      </w:r>
    </w:p>
  </w:footnote>
  <w:footnote w:id="488">
    <w:p w14:paraId="4B4D7922" w14:textId="7E36CEA0" w:rsidR="00146958" w:rsidRPr="008D0846" w:rsidRDefault="00146958" w:rsidP="003564A3">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A</w:t>
      </w:r>
      <w:r w:rsidRPr="008D0846">
        <w:rPr>
          <w:rFonts w:ascii="Verdana" w:hAnsi="Verdana"/>
          <w:sz w:val="16"/>
          <w:szCs w:val="16"/>
          <w:lang w:val="es-CR"/>
        </w:rPr>
        <w:t>rtículo 17.1. Protección a la Familia. “1. La familia es el elemento natural y fundamental de la sociedad y debe ser protegida por la sociedad y el Estado”.</w:t>
      </w:r>
    </w:p>
  </w:footnote>
  <w:footnote w:id="489">
    <w:p w14:paraId="18ED9693" w14:textId="5CD8E7B2" w:rsidR="00146958" w:rsidRPr="008D0846" w:rsidRDefault="00146958" w:rsidP="003564A3">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A</w:t>
      </w:r>
      <w:r w:rsidRPr="008D0846">
        <w:rPr>
          <w:rFonts w:ascii="Verdana" w:hAnsi="Verdana"/>
          <w:sz w:val="16"/>
          <w:szCs w:val="16"/>
          <w:lang w:val="es-CR"/>
        </w:rPr>
        <w:t>rtículo 11. Protección de la Honra y de la Dignidad. “1. Toda persona tiene derecho al respeto de su honra y al reconocimiento de su dignidad, 2. Nadie puede ser objeto de injerencias arbitrarias o abusivas en su vida privada, en la de su familia, en su domicilio o en su correspondencia, ni de ataques ilegales a su honra o reputación, 3. Toda persona tiene derecho a la protección de la ley contra esas injerencias o esos ataques”.</w:t>
      </w:r>
    </w:p>
  </w:footnote>
  <w:footnote w:id="490">
    <w:p w14:paraId="776E9DBA" w14:textId="40AB21FA" w:rsidR="00146958" w:rsidRPr="008D0846" w:rsidRDefault="00146958" w:rsidP="003564A3">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A</w:t>
      </w:r>
      <w:r w:rsidRPr="008D0846">
        <w:rPr>
          <w:rFonts w:ascii="Verdana" w:hAnsi="Verdana"/>
          <w:sz w:val="16"/>
          <w:szCs w:val="16"/>
          <w:lang w:val="es-CR"/>
        </w:rPr>
        <w:t>rtículo 19. Derechos del Niño. “Todo niño tiene derecho a las medidas de protección que su condición de menor requieren por parte de su familia, de la sociedad y del Estado”.</w:t>
      </w:r>
    </w:p>
  </w:footnote>
  <w:footnote w:id="491">
    <w:p w14:paraId="11074632" w14:textId="52B81F83" w:rsidR="00146958" w:rsidRPr="008D0846" w:rsidRDefault="00146958" w:rsidP="003564A3">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A</w:t>
      </w:r>
      <w:r w:rsidRPr="008D0846">
        <w:rPr>
          <w:rFonts w:ascii="Verdana" w:hAnsi="Verdana"/>
          <w:sz w:val="16"/>
          <w:szCs w:val="16"/>
          <w:lang w:val="es-CR"/>
        </w:rPr>
        <w:t>rtículo 1.1. Obligación de Respetar Derechos. “1. Los Estados […] se comprometen a respetar los derechos y libertades reconocidos en ella y a garantizar su libre y pleno ejercicio a toda persona que esté sujeta a su jurisdicción […].</w:t>
      </w:r>
    </w:p>
  </w:footnote>
  <w:footnote w:id="492">
    <w:p w14:paraId="492BB98A" w14:textId="7C9DD13C" w:rsidR="00146958" w:rsidRPr="00416548" w:rsidRDefault="00146958" w:rsidP="003564A3">
      <w:pPr>
        <w:pStyle w:val="Textonotapie"/>
        <w:jc w:val="both"/>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8D0846">
        <w:rPr>
          <w:rFonts w:ascii="Verdana" w:hAnsi="Verdana"/>
          <w:sz w:val="16"/>
          <w:szCs w:val="16"/>
          <w:lang w:val="es-CR"/>
        </w:rPr>
        <w:t>Artículo 63.2. “2.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r>
        <w:rPr>
          <w:rFonts w:ascii="Verdana" w:hAnsi="Verdana"/>
          <w:sz w:val="16"/>
          <w:szCs w:val="16"/>
          <w:lang w:val="es-CR"/>
        </w:rPr>
        <w:t xml:space="preserve"> </w:t>
      </w:r>
    </w:p>
  </w:footnote>
  <w:footnote w:id="493">
    <w:p w14:paraId="64AA633C" w14:textId="51D92DE7"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sidRPr="002C462C">
        <w:rPr>
          <w:rFonts w:ascii="Verdana" w:hAnsi="Verdana"/>
          <w:sz w:val="16"/>
          <w:szCs w:val="16"/>
          <w:lang w:val="es-CR"/>
        </w:rPr>
        <w:t xml:space="preserve"> </w:t>
      </w:r>
      <w:r w:rsidRPr="008D0846">
        <w:rPr>
          <w:rFonts w:ascii="Verdana" w:hAnsi="Verdana"/>
          <w:bCs/>
          <w:i/>
          <w:color w:val="000000" w:themeColor="text1"/>
          <w:sz w:val="16"/>
          <w:szCs w:val="16"/>
        </w:rPr>
        <w:t xml:space="preserve">Caso de las Hermanas Serrano Cruz Vs. El Salvador. Fondo, Reparaciones y Costas. </w:t>
      </w:r>
      <w:r w:rsidRPr="008D0846">
        <w:rPr>
          <w:rFonts w:ascii="Verdana" w:hAnsi="Verdana"/>
          <w:bCs/>
          <w:color w:val="000000" w:themeColor="text1"/>
          <w:sz w:val="16"/>
          <w:szCs w:val="16"/>
        </w:rPr>
        <w:t>Sentencia de 1 de marzo de 2005. Serie C No. 120</w:t>
      </w:r>
      <w:r w:rsidRPr="008D0846">
        <w:rPr>
          <w:rFonts w:ascii="Verdana" w:hAnsi="Verdana"/>
          <w:bCs/>
          <w:i/>
          <w:color w:val="000000" w:themeColor="text1"/>
          <w:sz w:val="16"/>
          <w:szCs w:val="16"/>
        </w:rPr>
        <w:t>.</w:t>
      </w:r>
      <w:r w:rsidRPr="008D0846">
        <w:rPr>
          <w:rFonts w:ascii="Verdana" w:hAnsi="Verdana"/>
          <w:color w:val="000000" w:themeColor="text1"/>
          <w:sz w:val="16"/>
          <w:szCs w:val="16"/>
          <w:lang w:val="es-CR"/>
        </w:rPr>
        <w:t xml:space="preserve"> párr. 113 a 115</w:t>
      </w:r>
      <w:r w:rsidRPr="00432ABC">
        <w:rPr>
          <w:rFonts w:ascii="Verdana" w:hAnsi="Verdana"/>
          <w:i/>
          <w:sz w:val="16"/>
          <w:szCs w:val="16"/>
          <w:lang w:val="es-CR"/>
        </w:rPr>
        <w:t xml:space="preserve">; </w:t>
      </w:r>
      <w:r>
        <w:rPr>
          <w:rFonts w:ascii="Verdana" w:hAnsi="Verdana"/>
          <w:i/>
          <w:sz w:val="16"/>
          <w:szCs w:val="16"/>
          <w:lang w:val="es-CR"/>
        </w:rPr>
        <w:t xml:space="preserve">Caso </w:t>
      </w:r>
      <w:r w:rsidRPr="00432ABC">
        <w:rPr>
          <w:rFonts w:ascii="Verdana" w:hAnsi="Verdana"/>
          <w:i/>
          <w:sz w:val="16"/>
          <w:szCs w:val="16"/>
          <w:lang w:val="es-CR"/>
        </w:rPr>
        <w:t>Furlán y familiares Vs. Argentina</w:t>
      </w:r>
      <w:r w:rsidRPr="00432ABC">
        <w:rPr>
          <w:rFonts w:ascii="Verdana" w:hAnsi="Verdana"/>
          <w:sz w:val="16"/>
          <w:szCs w:val="16"/>
          <w:lang w:val="es-CR"/>
        </w:rPr>
        <w:t xml:space="preserve">. </w:t>
      </w:r>
      <w:r w:rsidRPr="008D0846">
        <w:rPr>
          <w:rFonts w:ascii="Verdana" w:hAnsi="Verdana"/>
          <w:i/>
          <w:sz w:val="16"/>
          <w:szCs w:val="16"/>
          <w:lang w:val="es-CR"/>
        </w:rPr>
        <w:t>Excepciones Preliminares, Fondo, Reparaciones y Costas.</w:t>
      </w:r>
      <w:r w:rsidRPr="00432ABC">
        <w:rPr>
          <w:rFonts w:ascii="Verdana" w:hAnsi="Verdana"/>
          <w:sz w:val="16"/>
          <w:szCs w:val="16"/>
          <w:lang w:val="es-CR"/>
        </w:rPr>
        <w:t xml:space="preserve"> Sentencia de 31 de agosto de 2012. Serie C No. 246, párrs. 249 a 251</w:t>
      </w:r>
      <w:r>
        <w:rPr>
          <w:rFonts w:ascii="Verdana" w:hAnsi="Verdana"/>
          <w:sz w:val="16"/>
          <w:szCs w:val="16"/>
          <w:lang w:val="es-CR"/>
        </w:rPr>
        <w:t>, y</w:t>
      </w:r>
      <w:r w:rsidRPr="00432ABC">
        <w:rPr>
          <w:rFonts w:ascii="Verdana" w:hAnsi="Verdana"/>
          <w:sz w:val="16"/>
          <w:szCs w:val="16"/>
          <w:lang w:val="es-CR"/>
        </w:rPr>
        <w:t xml:space="preserve"> </w:t>
      </w:r>
      <w:r w:rsidRPr="008D0846">
        <w:rPr>
          <w:rFonts w:ascii="Verdana" w:hAnsi="Verdana"/>
          <w:i/>
          <w:sz w:val="16"/>
          <w:szCs w:val="16"/>
          <w:lang w:val="es-CR"/>
        </w:rPr>
        <w:t>Caso</w:t>
      </w:r>
      <w:r>
        <w:rPr>
          <w:rFonts w:ascii="Verdana" w:hAnsi="Verdana"/>
          <w:sz w:val="16"/>
          <w:szCs w:val="16"/>
          <w:lang w:val="es-CR"/>
        </w:rPr>
        <w:t xml:space="preserve"> </w:t>
      </w:r>
      <w:r w:rsidRPr="0033635D">
        <w:rPr>
          <w:rFonts w:ascii="Verdana" w:hAnsi="Verdana"/>
          <w:i/>
          <w:sz w:val="16"/>
          <w:szCs w:val="16"/>
          <w:lang w:val="es-CR"/>
        </w:rPr>
        <w:t xml:space="preserve">Terrones Silva y otros Vs. Perú. </w:t>
      </w:r>
      <w:r>
        <w:rPr>
          <w:rFonts w:ascii="Verdana" w:hAnsi="Verdana"/>
          <w:i/>
          <w:sz w:val="16"/>
          <w:szCs w:val="16"/>
          <w:lang w:val="es-CR"/>
        </w:rPr>
        <w:t xml:space="preserve">Supra </w:t>
      </w:r>
      <w:r>
        <w:rPr>
          <w:rFonts w:ascii="Verdana" w:hAnsi="Verdana"/>
          <w:sz w:val="16"/>
          <w:szCs w:val="16"/>
          <w:lang w:val="es-CR"/>
        </w:rPr>
        <w:t>p</w:t>
      </w:r>
      <w:r w:rsidRPr="00432ABC">
        <w:rPr>
          <w:rFonts w:ascii="Verdana" w:hAnsi="Verdana"/>
          <w:sz w:val="16"/>
          <w:szCs w:val="16"/>
          <w:lang w:val="es-CR"/>
        </w:rPr>
        <w:t>árr. 2</w:t>
      </w:r>
      <w:r>
        <w:rPr>
          <w:rFonts w:ascii="Verdana" w:hAnsi="Verdana"/>
          <w:sz w:val="16"/>
          <w:szCs w:val="16"/>
          <w:lang w:val="es-CR"/>
        </w:rPr>
        <w:t>26</w:t>
      </w:r>
      <w:r w:rsidRPr="00432ABC">
        <w:rPr>
          <w:rFonts w:ascii="Verdana" w:hAnsi="Verdana"/>
          <w:sz w:val="16"/>
          <w:szCs w:val="16"/>
          <w:lang w:val="es-CR"/>
        </w:rPr>
        <w:t xml:space="preserve">. </w:t>
      </w:r>
    </w:p>
  </w:footnote>
  <w:footnote w:id="494">
    <w:p w14:paraId="64AA633D" w14:textId="32654472"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sidRPr="002C462C">
        <w:rPr>
          <w:rFonts w:ascii="Verdana" w:hAnsi="Verdana"/>
          <w:i/>
          <w:sz w:val="16"/>
          <w:szCs w:val="16"/>
          <w:lang w:val="es-CR"/>
        </w:rPr>
        <w:t xml:space="preserve"> Caso Blake Vs. Guatemala</w:t>
      </w:r>
      <w:r w:rsidRPr="002C462C">
        <w:rPr>
          <w:rFonts w:ascii="Verdana" w:hAnsi="Verdana"/>
          <w:sz w:val="16"/>
          <w:szCs w:val="16"/>
          <w:lang w:val="es-CR"/>
        </w:rPr>
        <w:t xml:space="preserve">. </w:t>
      </w:r>
      <w:r w:rsidRPr="008D0846">
        <w:rPr>
          <w:rFonts w:ascii="Verdana" w:hAnsi="Verdana"/>
          <w:i/>
          <w:sz w:val="16"/>
          <w:szCs w:val="16"/>
          <w:lang w:val="es-CR"/>
        </w:rPr>
        <w:t>Fondo</w:t>
      </w:r>
      <w:r w:rsidRPr="002C462C">
        <w:rPr>
          <w:rFonts w:ascii="Verdana" w:hAnsi="Verdana"/>
          <w:sz w:val="16"/>
          <w:szCs w:val="16"/>
          <w:lang w:val="es-CR"/>
        </w:rPr>
        <w:t>. Sentencia de 2</w:t>
      </w:r>
      <w:r w:rsidRPr="00432ABC">
        <w:rPr>
          <w:rFonts w:ascii="Verdana" w:hAnsi="Verdana"/>
          <w:sz w:val="16"/>
          <w:szCs w:val="16"/>
          <w:lang w:val="es-CR"/>
        </w:rPr>
        <w:t xml:space="preserve">4 de enero de 1998. Serie C No. 36, párr. 114, y </w:t>
      </w:r>
      <w:r>
        <w:rPr>
          <w:rFonts w:ascii="Verdana" w:hAnsi="Verdana"/>
          <w:i/>
          <w:sz w:val="16"/>
          <w:szCs w:val="16"/>
          <w:lang w:val="es-CR"/>
        </w:rPr>
        <w:t>Caso Terrones Silva y otros Vs. Perú</w:t>
      </w:r>
      <w:r w:rsidRPr="00432ABC">
        <w:rPr>
          <w:rFonts w:ascii="Verdana" w:hAnsi="Verdana"/>
          <w:sz w:val="16"/>
          <w:szCs w:val="16"/>
          <w:lang w:val="es-CR"/>
        </w:rPr>
        <w:t xml:space="preserve">. </w:t>
      </w:r>
      <w:r>
        <w:rPr>
          <w:rFonts w:ascii="Verdana" w:hAnsi="Verdana"/>
          <w:i/>
          <w:sz w:val="16"/>
          <w:szCs w:val="16"/>
          <w:lang w:val="es-CR"/>
        </w:rPr>
        <w:t>S</w:t>
      </w:r>
      <w:r w:rsidRPr="008D0846">
        <w:rPr>
          <w:rFonts w:ascii="Verdana" w:hAnsi="Verdana"/>
          <w:i/>
          <w:sz w:val="16"/>
          <w:szCs w:val="16"/>
          <w:lang w:val="es-CR"/>
        </w:rPr>
        <w:t>upra</w:t>
      </w:r>
      <w:r w:rsidRPr="00432ABC">
        <w:rPr>
          <w:rFonts w:ascii="Verdana" w:hAnsi="Verdana"/>
          <w:sz w:val="16"/>
          <w:szCs w:val="16"/>
          <w:lang w:val="es-CR"/>
        </w:rPr>
        <w:t xml:space="preserve"> párr. 2</w:t>
      </w:r>
      <w:r>
        <w:rPr>
          <w:rFonts w:ascii="Verdana" w:hAnsi="Verdana"/>
          <w:sz w:val="16"/>
          <w:szCs w:val="16"/>
          <w:lang w:val="es-CR"/>
        </w:rPr>
        <w:t>2</w:t>
      </w:r>
      <w:r w:rsidRPr="00432ABC">
        <w:rPr>
          <w:rFonts w:ascii="Verdana" w:hAnsi="Verdana"/>
          <w:sz w:val="16"/>
          <w:szCs w:val="16"/>
          <w:lang w:val="es-CR"/>
        </w:rPr>
        <w:t>6.</w:t>
      </w:r>
    </w:p>
  </w:footnote>
  <w:footnote w:id="495">
    <w:p w14:paraId="64AA633E" w14:textId="746965D6"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sidRPr="002C462C">
        <w:rPr>
          <w:rFonts w:ascii="Verdana" w:hAnsi="Verdana"/>
          <w:i/>
          <w:sz w:val="16"/>
          <w:szCs w:val="16"/>
          <w:lang w:val="es-CR"/>
        </w:rPr>
        <w:t xml:space="preserve"> Caso Goiburú y otros Vs. Paraguay. </w:t>
      </w:r>
      <w:r w:rsidRPr="008D0846">
        <w:rPr>
          <w:rFonts w:ascii="Verdana" w:hAnsi="Verdana"/>
          <w:i/>
          <w:sz w:val="16"/>
          <w:szCs w:val="16"/>
          <w:lang w:val="es-CR"/>
        </w:rPr>
        <w:t xml:space="preserve">Supra </w:t>
      </w:r>
      <w:r w:rsidRPr="002C462C">
        <w:rPr>
          <w:rFonts w:ascii="Verdana" w:hAnsi="Verdana"/>
          <w:sz w:val="16"/>
          <w:szCs w:val="16"/>
          <w:lang w:val="es-CR"/>
        </w:rPr>
        <w:t>pa</w:t>
      </w:r>
      <w:r w:rsidRPr="00432ABC">
        <w:rPr>
          <w:rFonts w:ascii="Verdana" w:hAnsi="Verdana"/>
          <w:sz w:val="16"/>
          <w:szCs w:val="16"/>
          <w:lang w:val="es-CR"/>
        </w:rPr>
        <w:t xml:space="preserve">rr. 103, y </w:t>
      </w:r>
      <w:r w:rsidRPr="00C90148">
        <w:rPr>
          <w:rFonts w:ascii="Verdana" w:hAnsi="Verdana"/>
          <w:i/>
          <w:sz w:val="16"/>
          <w:szCs w:val="16"/>
          <w:lang w:val="es-CR"/>
        </w:rPr>
        <w:t xml:space="preserve">Terrones Silva y otros Vs. Perú. </w:t>
      </w:r>
      <w:r w:rsidRPr="008D0846">
        <w:rPr>
          <w:rFonts w:ascii="Verdana" w:hAnsi="Verdana"/>
          <w:sz w:val="16"/>
          <w:szCs w:val="16"/>
          <w:lang w:val="es-CR"/>
        </w:rPr>
        <w:t>supra párr</w:t>
      </w:r>
      <w:r w:rsidRPr="00C90148">
        <w:rPr>
          <w:rFonts w:ascii="Verdana" w:hAnsi="Verdana"/>
          <w:i/>
          <w:sz w:val="16"/>
          <w:szCs w:val="16"/>
          <w:lang w:val="es-CR"/>
        </w:rPr>
        <w:t>. 226.</w:t>
      </w:r>
    </w:p>
  </w:footnote>
  <w:footnote w:id="496">
    <w:p w14:paraId="64AA633F" w14:textId="3D8CC278"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sidRPr="002C462C">
        <w:rPr>
          <w:rFonts w:ascii="Verdana" w:hAnsi="Verdana"/>
          <w:sz w:val="16"/>
          <w:szCs w:val="16"/>
          <w:lang w:val="es-CR"/>
        </w:rPr>
        <w:t xml:space="preserve"> </w:t>
      </w:r>
      <w:r>
        <w:rPr>
          <w:rFonts w:ascii="Verdana" w:hAnsi="Verdana"/>
          <w:i/>
          <w:sz w:val="16"/>
          <w:szCs w:val="16"/>
          <w:lang w:val="es-CR"/>
        </w:rPr>
        <w:t>Caso Blake Vs. Guatemala. S</w:t>
      </w:r>
      <w:r w:rsidRPr="008D0846">
        <w:rPr>
          <w:rFonts w:ascii="Verdana" w:hAnsi="Verdana"/>
          <w:i/>
          <w:sz w:val="16"/>
          <w:szCs w:val="16"/>
          <w:lang w:val="es-CR"/>
        </w:rPr>
        <w:t>upra</w:t>
      </w:r>
      <w:r>
        <w:rPr>
          <w:rFonts w:ascii="Verdana" w:hAnsi="Verdana"/>
          <w:sz w:val="16"/>
          <w:szCs w:val="16"/>
          <w:lang w:val="es-CR"/>
        </w:rPr>
        <w:t xml:space="preserve"> párr. 114,</w:t>
      </w:r>
      <w:r w:rsidRPr="00432ABC">
        <w:rPr>
          <w:rFonts w:ascii="Verdana" w:hAnsi="Verdana"/>
          <w:sz w:val="16"/>
          <w:szCs w:val="16"/>
          <w:lang w:val="es-CR"/>
        </w:rPr>
        <w:t xml:space="preserve"> </w:t>
      </w:r>
      <w:r w:rsidRPr="00432ABC">
        <w:rPr>
          <w:rFonts w:ascii="Verdana" w:hAnsi="Verdana"/>
          <w:i/>
          <w:sz w:val="16"/>
          <w:szCs w:val="16"/>
          <w:lang w:val="es-CR"/>
        </w:rPr>
        <w:t xml:space="preserve">y </w:t>
      </w:r>
      <w:r>
        <w:rPr>
          <w:rFonts w:ascii="Verdana" w:hAnsi="Verdana"/>
          <w:i/>
          <w:sz w:val="16"/>
          <w:szCs w:val="16"/>
          <w:lang w:val="es-CR"/>
        </w:rPr>
        <w:t xml:space="preserve"> Caso </w:t>
      </w:r>
      <w:r w:rsidRPr="00C90148">
        <w:rPr>
          <w:rFonts w:ascii="Verdana" w:hAnsi="Verdana"/>
          <w:i/>
          <w:sz w:val="16"/>
          <w:szCs w:val="16"/>
          <w:lang w:val="es-CR"/>
        </w:rPr>
        <w:t xml:space="preserve">Terrones Silva y </w:t>
      </w:r>
      <w:r>
        <w:rPr>
          <w:rFonts w:ascii="Verdana" w:hAnsi="Verdana"/>
          <w:i/>
          <w:sz w:val="16"/>
          <w:szCs w:val="16"/>
          <w:lang w:val="es-CR"/>
        </w:rPr>
        <w:t>otros Vs. Perú. S</w:t>
      </w:r>
      <w:r w:rsidRPr="00AE384C">
        <w:rPr>
          <w:rFonts w:ascii="Verdana" w:hAnsi="Verdana"/>
          <w:i/>
          <w:sz w:val="16"/>
          <w:szCs w:val="16"/>
          <w:lang w:val="es-CR"/>
        </w:rPr>
        <w:t>upra</w:t>
      </w:r>
      <w:r w:rsidRPr="008D0846">
        <w:rPr>
          <w:rFonts w:ascii="Verdana" w:hAnsi="Verdana"/>
          <w:sz w:val="16"/>
          <w:szCs w:val="16"/>
          <w:lang w:val="es-CR"/>
        </w:rPr>
        <w:t xml:space="preserve"> párr</w:t>
      </w:r>
      <w:r>
        <w:rPr>
          <w:rFonts w:ascii="Verdana" w:hAnsi="Verdana"/>
          <w:i/>
          <w:sz w:val="16"/>
          <w:szCs w:val="16"/>
          <w:lang w:val="es-CR"/>
        </w:rPr>
        <w:t>. 226</w:t>
      </w:r>
      <w:r w:rsidRPr="00432ABC">
        <w:rPr>
          <w:rFonts w:ascii="Verdana" w:hAnsi="Verdana"/>
          <w:sz w:val="16"/>
          <w:szCs w:val="16"/>
          <w:lang w:val="es-CR"/>
        </w:rPr>
        <w:t xml:space="preserve">. </w:t>
      </w:r>
    </w:p>
  </w:footnote>
  <w:footnote w:id="497">
    <w:p w14:paraId="64AA6342" w14:textId="5F96FFEA"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Pr>
          <w:rFonts w:ascii="Verdana" w:hAnsi="Verdana"/>
          <w:sz w:val="16"/>
          <w:szCs w:val="16"/>
        </w:rPr>
        <w:t xml:space="preserve"> </w:t>
      </w:r>
      <w:r w:rsidRPr="00432ABC">
        <w:rPr>
          <w:rFonts w:ascii="Verdana" w:hAnsi="Verdana"/>
          <w:sz w:val="16"/>
          <w:szCs w:val="16"/>
        </w:rPr>
        <w:t>Peritaje de Carlos Martín Beristain,</w:t>
      </w:r>
      <w:r>
        <w:rPr>
          <w:rFonts w:ascii="Verdana" w:hAnsi="Verdana"/>
          <w:sz w:val="16"/>
          <w:szCs w:val="16"/>
        </w:rPr>
        <w:t xml:space="preserve"> familiograma</w:t>
      </w:r>
      <w:r w:rsidRPr="00432ABC">
        <w:rPr>
          <w:rFonts w:ascii="Verdana" w:hAnsi="Verdana"/>
          <w:sz w:val="16"/>
          <w:szCs w:val="16"/>
        </w:rPr>
        <w:t xml:space="preserve"> </w:t>
      </w:r>
      <w:r>
        <w:rPr>
          <w:rFonts w:ascii="Verdana" w:hAnsi="Verdana"/>
          <w:sz w:val="16"/>
          <w:szCs w:val="16"/>
        </w:rPr>
        <w:t>(</w:t>
      </w:r>
      <w:r w:rsidRPr="00432ABC">
        <w:rPr>
          <w:rFonts w:ascii="Verdana" w:hAnsi="Verdana"/>
          <w:sz w:val="16"/>
          <w:szCs w:val="16"/>
        </w:rPr>
        <w:t xml:space="preserve">expediente de prueba, </w:t>
      </w:r>
      <w:r w:rsidRPr="00453199">
        <w:rPr>
          <w:rFonts w:ascii="Verdana" w:hAnsi="Verdana"/>
          <w:i/>
          <w:sz w:val="16"/>
        </w:rPr>
        <w:t>Affidávits</w:t>
      </w:r>
      <w:r w:rsidRPr="00432ABC">
        <w:rPr>
          <w:rFonts w:ascii="Verdana" w:hAnsi="Verdana"/>
          <w:sz w:val="16"/>
          <w:szCs w:val="16"/>
        </w:rPr>
        <w:t>, f</w:t>
      </w:r>
      <w:r>
        <w:rPr>
          <w:rFonts w:ascii="Verdana" w:hAnsi="Verdana"/>
          <w:sz w:val="16"/>
          <w:szCs w:val="16"/>
        </w:rPr>
        <w:t>.</w:t>
      </w:r>
      <w:r w:rsidRPr="00432ABC">
        <w:rPr>
          <w:rFonts w:ascii="Verdana" w:hAnsi="Verdana"/>
          <w:sz w:val="16"/>
          <w:szCs w:val="16"/>
        </w:rPr>
        <w:t xml:space="preserve"> 31050</w:t>
      </w:r>
      <w:r>
        <w:rPr>
          <w:rFonts w:ascii="Verdana" w:hAnsi="Verdana"/>
          <w:sz w:val="16"/>
          <w:szCs w:val="16"/>
        </w:rPr>
        <w:t>)</w:t>
      </w:r>
    </w:p>
  </w:footnote>
  <w:footnote w:id="498">
    <w:p w14:paraId="64AA6344" w14:textId="197EF59E" w:rsidR="00146958" w:rsidRPr="00432ABC" w:rsidRDefault="00146958">
      <w:pPr>
        <w:pStyle w:val="Textonotapie"/>
        <w:jc w:val="both"/>
        <w:rPr>
          <w:rFonts w:ascii="Verdana" w:hAnsi="Verdana" w:cs="Times New Roman"/>
          <w:color w:val="00B0F0"/>
          <w:sz w:val="16"/>
          <w:szCs w:val="16"/>
          <w:highlight w:val="yellow"/>
          <w:lang w:val="uz-Cyrl-UZ"/>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2C462C">
        <w:rPr>
          <w:rFonts w:ascii="Verdana" w:hAnsi="Verdana" w:cs="Times New Roman"/>
          <w:sz w:val="16"/>
          <w:szCs w:val="16"/>
          <w:lang w:val="es-CR"/>
        </w:rPr>
        <w:t xml:space="preserve">Las representantes comunicaron el 2 de marzo 2017 que falleció y presentaron acta de defunción de </w:t>
      </w:r>
      <w:r w:rsidRPr="002C462C">
        <w:rPr>
          <w:rFonts w:ascii="Verdana" w:eastAsia="Times New Roman" w:hAnsi="Verdana" w:cs="Times New Roman"/>
          <w:sz w:val="16"/>
          <w:szCs w:val="16"/>
          <w:lang w:val="es-ES"/>
        </w:rPr>
        <w:t>Concepción Herrera Hernández y F.A.H.</w:t>
      </w:r>
      <w:r>
        <w:rPr>
          <w:rFonts w:ascii="Verdana" w:hAnsi="Verdana" w:cs="Times New Roman"/>
          <w:sz w:val="16"/>
          <w:szCs w:val="16"/>
          <w:lang w:val="es-CR"/>
        </w:rPr>
        <w:t xml:space="preserve"> (expediente de fondo, </w:t>
      </w:r>
      <w:r w:rsidRPr="00432ABC">
        <w:rPr>
          <w:rFonts w:ascii="Verdana" w:hAnsi="Verdana" w:cs="Times New Roman"/>
          <w:sz w:val="16"/>
          <w:szCs w:val="16"/>
          <w:lang w:val="es-CR"/>
        </w:rPr>
        <w:t>ff. 129 a 131</w:t>
      </w:r>
      <w:r>
        <w:rPr>
          <w:rFonts w:ascii="Verdana" w:hAnsi="Verdana" w:cs="Times New Roman"/>
          <w:sz w:val="16"/>
          <w:szCs w:val="16"/>
          <w:lang w:val="es-CR"/>
        </w:rPr>
        <w:t>).</w:t>
      </w:r>
    </w:p>
  </w:footnote>
  <w:footnote w:id="499">
    <w:p w14:paraId="64AA6347" w14:textId="1C79A6DF"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Esos familia</w:t>
      </w:r>
      <w:r w:rsidRPr="002C462C">
        <w:rPr>
          <w:rFonts w:ascii="Verdana" w:hAnsi="Verdana"/>
          <w:sz w:val="16"/>
          <w:szCs w:val="16"/>
        </w:rPr>
        <w:t>res son: respecto de Nitza Paola Alvarado Espinoza: Rigoberto Ambriz Marrufo (cuñado), R.A.A., I.A.A.A., J.E.A.A. y A.Y.A.A (sobrinos); respecto de Rocío Irene Alvarado: Manuel Reyes Lira y María de Jesús Rueda Villanueva (abuelos); y respecto de José Ángel Alvarado Herrera, su cuñada Sandra Luz Rueda Quezada, sus cuatro sobrinos J.O.A.R., R.G.A.R. C.N.A.R. y J.E.A.R., su cuñado Félix García García, sus cuatro sobrinos Karina Paola Alvarado Espinoza, F.A.H., J.</w:t>
      </w:r>
      <w:r>
        <w:rPr>
          <w:rFonts w:ascii="Verdana" w:hAnsi="Verdana"/>
          <w:sz w:val="16"/>
          <w:szCs w:val="16"/>
        </w:rPr>
        <w:t>G</w:t>
      </w:r>
      <w:r w:rsidRPr="002C462C">
        <w:rPr>
          <w:rFonts w:ascii="Verdana" w:hAnsi="Verdana"/>
          <w:sz w:val="16"/>
          <w:szCs w:val="16"/>
        </w:rPr>
        <w:t xml:space="preserve">.A. y A.G.A. </w:t>
      </w:r>
      <w:r>
        <w:rPr>
          <w:rFonts w:ascii="Verdana" w:hAnsi="Verdana"/>
          <w:sz w:val="16"/>
          <w:szCs w:val="16"/>
        </w:rPr>
        <w:t xml:space="preserve">Ver también: </w:t>
      </w:r>
      <w:r w:rsidRPr="00CD5C54">
        <w:rPr>
          <w:rFonts w:ascii="Verdana" w:hAnsi="Verdana"/>
          <w:i/>
          <w:sz w:val="16"/>
          <w:szCs w:val="16"/>
          <w:lang w:val="es-CR"/>
        </w:rPr>
        <w:t>Cfr.</w:t>
      </w:r>
      <w:r w:rsidRPr="00432ABC">
        <w:rPr>
          <w:rFonts w:ascii="Verdana" w:hAnsi="Verdana"/>
          <w:sz w:val="16"/>
          <w:szCs w:val="16"/>
          <w:lang w:val="es-CR"/>
        </w:rPr>
        <w:t xml:space="preserve"> Declaración de Carlos Martín Beristain. </w:t>
      </w:r>
      <w:r>
        <w:rPr>
          <w:rFonts w:ascii="Verdana" w:hAnsi="Verdana"/>
          <w:sz w:val="16"/>
          <w:szCs w:val="16"/>
          <w:lang w:val="es-CR"/>
        </w:rPr>
        <w:t>(expediente de prueba, ff.</w:t>
      </w:r>
      <w:r w:rsidRPr="00432ABC">
        <w:rPr>
          <w:rFonts w:ascii="Verdana" w:hAnsi="Verdana"/>
          <w:sz w:val="16"/>
          <w:szCs w:val="16"/>
          <w:lang w:val="es-CR"/>
        </w:rPr>
        <w:t xml:space="preserve"> 31013, 31016, 31025 y 31027</w:t>
      </w:r>
      <w:r>
        <w:rPr>
          <w:rFonts w:ascii="Verdana" w:hAnsi="Verdana"/>
          <w:sz w:val="16"/>
          <w:szCs w:val="16"/>
          <w:lang w:val="es-CR"/>
        </w:rPr>
        <w:t>)</w:t>
      </w:r>
      <w:r w:rsidRPr="00432ABC">
        <w:rPr>
          <w:rFonts w:ascii="Verdana" w:hAnsi="Verdana"/>
          <w:sz w:val="16"/>
          <w:szCs w:val="16"/>
          <w:lang w:val="es-CR"/>
        </w:rPr>
        <w:t>.</w:t>
      </w:r>
    </w:p>
  </w:footnote>
  <w:footnote w:id="500">
    <w:p w14:paraId="64AA6348" w14:textId="5C007F9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i/>
          <w:sz w:val="16"/>
          <w:szCs w:val="16"/>
        </w:rPr>
        <w:t xml:space="preserve">Caso de los “Niños de la Calle” (Villagrán Morales y otros) </w:t>
      </w:r>
      <w:r w:rsidRPr="00432ABC">
        <w:rPr>
          <w:rFonts w:ascii="Verdana" w:hAnsi="Verdana"/>
          <w:i/>
          <w:iCs/>
          <w:sz w:val="16"/>
          <w:szCs w:val="16"/>
        </w:rPr>
        <w:t xml:space="preserve">Vs. Guatemala. </w:t>
      </w:r>
      <w:r w:rsidRPr="00432ABC">
        <w:rPr>
          <w:rFonts w:ascii="Verdana" w:eastAsia="Calibri" w:hAnsi="Verdana" w:cs="Verdana"/>
          <w:i/>
          <w:sz w:val="16"/>
          <w:szCs w:val="16"/>
          <w:lang w:val="it-IT"/>
        </w:rPr>
        <w:t>Fondo</w:t>
      </w:r>
      <w:r w:rsidRPr="00432ABC">
        <w:rPr>
          <w:rFonts w:ascii="Verdana" w:hAnsi="Verdana"/>
          <w:sz w:val="16"/>
          <w:szCs w:val="16"/>
        </w:rPr>
        <w:t>, párr. 165,</w:t>
      </w:r>
      <w:r>
        <w:rPr>
          <w:rFonts w:ascii="Verdana" w:hAnsi="Verdana"/>
          <w:sz w:val="16"/>
          <w:szCs w:val="16"/>
        </w:rPr>
        <w:t xml:space="preserve"> y</w:t>
      </w:r>
      <w:r w:rsidRPr="00432ABC">
        <w:rPr>
          <w:rFonts w:ascii="Verdana" w:hAnsi="Verdana"/>
          <w:sz w:val="16"/>
          <w:szCs w:val="16"/>
        </w:rPr>
        <w:t xml:space="preserve"> </w:t>
      </w:r>
      <w:r w:rsidRPr="00432ABC">
        <w:rPr>
          <w:rFonts w:ascii="Verdana" w:hAnsi="Verdana"/>
          <w:i/>
          <w:sz w:val="16"/>
          <w:szCs w:val="16"/>
        </w:rPr>
        <w:t>Caso Masacre de Santo Domingo Vs. Colombia. Excepciones Preliminares, Fondo y Reparaciones</w:t>
      </w:r>
      <w:r w:rsidRPr="00432ABC">
        <w:rPr>
          <w:rFonts w:ascii="Verdana" w:hAnsi="Verdana"/>
          <w:sz w:val="16"/>
          <w:szCs w:val="16"/>
        </w:rPr>
        <w:t>, párr. 191.</w:t>
      </w:r>
    </w:p>
  </w:footnote>
  <w:footnote w:id="501">
    <w:p w14:paraId="64AA6349" w14:textId="55B667EA"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De acuerdo al informe cuatrimestral de implementación de las Medidas Provisionales, se instalaron vallas, chapas de se</w:t>
      </w:r>
      <w:r w:rsidRPr="002C462C">
        <w:rPr>
          <w:rFonts w:ascii="Verdana" w:hAnsi="Verdana"/>
          <w:sz w:val="16"/>
          <w:szCs w:val="16"/>
        </w:rPr>
        <w:t>guridad y video vigilancia. Adicionalmente, el Estado se había comprometido a entregar 7 equipos celulares con crédito de mil pesos por mes a los beneficiarios pero no lo hizo</w:t>
      </w:r>
      <w:r>
        <w:rPr>
          <w:rFonts w:ascii="Verdana" w:hAnsi="Verdana"/>
          <w:sz w:val="16"/>
          <w:szCs w:val="16"/>
        </w:rPr>
        <w:t xml:space="preserve">. </w:t>
      </w:r>
      <w:r w:rsidRPr="00AE384C">
        <w:rPr>
          <w:rFonts w:ascii="Verdana" w:hAnsi="Verdana"/>
          <w:sz w:val="16"/>
          <w:szCs w:val="16"/>
        </w:rPr>
        <w:t>(Medidas Provisionales,</w:t>
      </w:r>
      <w:r>
        <w:rPr>
          <w:rFonts w:ascii="Verdana" w:hAnsi="Verdana"/>
          <w:sz w:val="16"/>
          <w:szCs w:val="16"/>
        </w:rPr>
        <w:t xml:space="preserve"> expediente,</w:t>
      </w:r>
      <w:r w:rsidRPr="00AE384C">
        <w:rPr>
          <w:rFonts w:ascii="Verdana" w:hAnsi="Verdana"/>
          <w:sz w:val="16"/>
          <w:szCs w:val="16"/>
        </w:rPr>
        <w:t xml:space="preserve"> ff. 1559 a 1560)</w:t>
      </w:r>
    </w:p>
  </w:footnote>
  <w:footnote w:id="502">
    <w:p w14:paraId="64AA634A" w14:textId="1BAB9D0E" w:rsidR="00146958" w:rsidRPr="007E5466"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2C462C">
        <w:rPr>
          <w:rFonts w:ascii="Verdana" w:hAnsi="Verdana"/>
          <w:sz w:val="16"/>
          <w:szCs w:val="16"/>
        </w:rPr>
        <w:t>A saber: a) La vigilancia por medio de patrullajes, a los días 4 de febrero y 9 de marzo de 2010, por parte de elementos del ejército a bordo de vehículos</w:t>
      </w:r>
      <w:r>
        <w:rPr>
          <w:rFonts w:ascii="Verdana" w:hAnsi="Verdana"/>
          <w:sz w:val="16"/>
          <w:szCs w:val="16"/>
        </w:rPr>
        <w:t xml:space="preserve"> </w:t>
      </w:r>
      <w:r w:rsidRPr="00AE384C">
        <w:rPr>
          <w:rFonts w:ascii="Verdana" w:hAnsi="Verdana"/>
          <w:sz w:val="16"/>
          <w:szCs w:val="16"/>
        </w:rPr>
        <w:t>b) la comparecencia de personal de la PGR en Ciudad Juárez y policías federales en el domicilio de José Ángel Alvarado Fabela a fin de solicitar que éste los acompañara a las oficinas para informar sobre el juicio amparo promovido para la búsqueda sus familiares; c) la toma de fotografías a José Ángel Alvarado Fabela, el 28 de enero de 2011, por parte del personal de la PGR en Ciudad Juárez cuando se apersonó en dicha dependencia</w:t>
      </w:r>
      <w:r w:rsidRPr="008D0846">
        <w:rPr>
          <w:rFonts w:ascii="Verdana" w:hAnsi="Verdana"/>
          <w:sz w:val="16"/>
          <w:szCs w:val="16"/>
        </w:rPr>
        <w:t xml:space="preserve"> </w:t>
      </w:r>
      <w:r w:rsidRPr="00AE384C">
        <w:rPr>
          <w:rFonts w:ascii="Verdana" w:hAnsi="Verdana"/>
          <w:sz w:val="16"/>
          <w:szCs w:val="16"/>
        </w:rPr>
        <w:t>d) la comunicación sobre el uso de la fuerza pública en el caso de que no se presentare a las citaciones – siendo notificada por parte de agentes del Ministerio Público- la señora Obdulia Espinoza Beltrán; e) la búsqueda de información por parte de  dos  elementos de la  Policía Federal que acudieron al domicilio de Nitza Paola Alvarado posterior a la declaración de María de Jesús Alvarado ante la Corte; f) en relación a la manifestación realizada a los familiares por parte de los funcionarios de la FEVIMTRA sobre la existencia de supuestos “sótanos” en las oficinas de la FEVIMTRA dicho acto fue denunciado  como un hecho de amenaza por parte de una de las representantes de las víctimas en ocasión de una comparecencia a dicha dependencia; y, g) la denuncia de amenazas por parte de hombres armados a los arrendatarios del domicilio de José Ángel Alvarado Herrera</w:t>
      </w:r>
      <w:r w:rsidRPr="008D0846">
        <w:rPr>
          <w:rFonts w:ascii="Verdana" w:hAnsi="Verdana"/>
          <w:sz w:val="16"/>
          <w:szCs w:val="16"/>
        </w:rPr>
        <w:t>.</w:t>
      </w:r>
      <w:r>
        <w:rPr>
          <w:rFonts w:ascii="Verdana" w:hAnsi="Verdana"/>
          <w:b/>
          <w:sz w:val="16"/>
          <w:szCs w:val="16"/>
        </w:rPr>
        <w:t xml:space="preserve"> </w:t>
      </w:r>
      <w:r w:rsidRPr="008D0846">
        <w:rPr>
          <w:rFonts w:ascii="Verdana" w:hAnsi="Verdana"/>
          <w:sz w:val="16"/>
          <w:szCs w:val="16"/>
        </w:rPr>
        <w:t>(Informe de Fondo, ff. 47 a 48, párrs. 183 a 185, 189 a 191 y 195)</w:t>
      </w:r>
    </w:p>
  </w:footnote>
  <w:footnote w:id="503">
    <w:p w14:paraId="64AA634B" w14:textId="76B7AA21"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lang w:val="es-ES"/>
        </w:rPr>
        <w:t xml:space="preserve"> </w:t>
      </w:r>
      <w:r w:rsidRPr="00432ABC">
        <w:rPr>
          <w:rFonts w:ascii="Verdana" w:hAnsi="Verdana"/>
          <w:sz w:val="16"/>
          <w:szCs w:val="16"/>
          <w:lang w:val="es-ES"/>
        </w:rPr>
        <w:tab/>
      </w:r>
      <w:r w:rsidRPr="00CD5C54">
        <w:rPr>
          <w:rFonts w:ascii="Verdana" w:hAnsi="Verdana"/>
          <w:i/>
          <w:sz w:val="16"/>
          <w:szCs w:val="16"/>
          <w:lang w:val="es-ES"/>
        </w:rPr>
        <w:t>Cfr.</w:t>
      </w:r>
      <w:r w:rsidRPr="002C462C">
        <w:rPr>
          <w:rFonts w:ascii="Verdana" w:hAnsi="Verdana"/>
          <w:i/>
          <w:sz w:val="16"/>
          <w:szCs w:val="16"/>
          <w:lang w:val="es-ES"/>
        </w:rPr>
        <w:t xml:space="preserve"> Caso Ricardo Canese Vs. Paraguay. </w:t>
      </w:r>
      <w:r w:rsidRPr="002C462C">
        <w:rPr>
          <w:rFonts w:ascii="Verdana" w:hAnsi="Verdana"/>
          <w:i/>
          <w:sz w:val="16"/>
          <w:szCs w:val="16"/>
        </w:rPr>
        <w:t>Fondo, Rep</w:t>
      </w:r>
      <w:r w:rsidRPr="00432ABC">
        <w:rPr>
          <w:rFonts w:ascii="Verdana" w:hAnsi="Verdana"/>
          <w:i/>
          <w:sz w:val="16"/>
          <w:szCs w:val="16"/>
        </w:rPr>
        <w:t>araciones y Costas</w:t>
      </w:r>
      <w:r w:rsidRPr="00432ABC">
        <w:rPr>
          <w:rFonts w:ascii="Verdana" w:hAnsi="Verdana"/>
          <w:sz w:val="16"/>
          <w:szCs w:val="16"/>
        </w:rPr>
        <w:t xml:space="preserve">. Sentencia de 31 de agosto de 2004. Serie C No. 111, párr. 115, y </w:t>
      </w:r>
      <w:r w:rsidRPr="00432ABC">
        <w:rPr>
          <w:rFonts w:ascii="Verdana" w:hAnsi="Verdana"/>
          <w:i/>
          <w:sz w:val="16"/>
          <w:szCs w:val="16"/>
          <w:lang w:val="es-CR"/>
        </w:rPr>
        <w:t>Caso Yarce y Otras Vs. Colombia</w:t>
      </w:r>
      <w:r>
        <w:rPr>
          <w:rFonts w:ascii="Verdana" w:hAnsi="Verdana"/>
          <w:sz w:val="16"/>
          <w:szCs w:val="16"/>
          <w:lang w:val="es-CR"/>
        </w:rPr>
        <w:t xml:space="preserve">. </w:t>
      </w:r>
      <w:r w:rsidRPr="008D0846">
        <w:rPr>
          <w:rFonts w:ascii="Verdana" w:hAnsi="Verdana"/>
          <w:i/>
          <w:sz w:val="16"/>
          <w:szCs w:val="16"/>
          <w:lang w:val="es-CR"/>
        </w:rPr>
        <w:t>Excepción Preliminar, Fondo, Reparaciones y Costas.</w:t>
      </w:r>
      <w:r>
        <w:rPr>
          <w:rFonts w:ascii="Verdana" w:hAnsi="Verdana"/>
          <w:sz w:val="16"/>
          <w:szCs w:val="16"/>
          <w:lang w:val="es-CR"/>
        </w:rPr>
        <w:t xml:space="preserve"> Sentencia de 22 de noviembre de 2016. Serie C No. 325, </w:t>
      </w:r>
      <w:r w:rsidRPr="00432ABC">
        <w:rPr>
          <w:rFonts w:ascii="Verdana" w:hAnsi="Verdana"/>
          <w:sz w:val="16"/>
          <w:szCs w:val="16"/>
          <w:lang w:val="es-CR"/>
        </w:rPr>
        <w:t>párrs. 117 y 214.</w:t>
      </w:r>
    </w:p>
  </w:footnote>
  <w:footnote w:id="504">
    <w:p w14:paraId="64AA634C" w14:textId="3ED41234"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lang w:val="es-ES"/>
        </w:rPr>
        <w:t xml:space="preserve"> </w:t>
      </w:r>
      <w:r w:rsidRPr="00432ABC">
        <w:rPr>
          <w:rFonts w:ascii="Verdana" w:hAnsi="Verdana"/>
          <w:sz w:val="16"/>
          <w:szCs w:val="16"/>
          <w:lang w:val="es-ES"/>
        </w:rPr>
        <w:tab/>
      </w:r>
      <w:r w:rsidRPr="00CD5C54">
        <w:rPr>
          <w:rFonts w:ascii="Verdana" w:hAnsi="Verdana"/>
          <w:i/>
          <w:sz w:val="16"/>
          <w:szCs w:val="16"/>
          <w:lang w:val="es-ES"/>
        </w:rPr>
        <w:t>Cfr.</w:t>
      </w:r>
      <w:r w:rsidRPr="002C462C">
        <w:rPr>
          <w:rFonts w:ascii="Verdana" w:hAnsi="Verdana"/>
          <w:i/>
          <w:sz w:val="16"/>
          <w:szCs w:val="16"/>
          <w:lang w:val="es-ES"/>
        </w:rPr>
        <w:t xml:space="preserve"> </w:t>
      </w:r>
      <w:r w:rsidRPr="002C462C">
        <w:rPr>
          <w:rFonts w:ascii="Verdana" w:hAnsi="Verdana"/>
          <w:i/>
          <w:sz w:val="16"/>
          <w:szCs w:val="16"/>
          <w:lang w:val="es-CR"/>
        </w:rPr>
        <w:t xml:space="preserve">Caso de la Comunidad Moiwana Vs. Suriname. </w:t>
      </w:r>
      <w:r w:rsidRPr="00432ABC">
        <w:rPr>
          <w:rStyle w:val="Textoennegrita"/>
          <w:rFonts w:ascii="Verdana" w:hAnsi="Verdana"/>
          <w:b w:val="0"/>
          <w:i/>
          <w:color w:val="000000"/>
          <w:sz w:val="16"/>
          <w:szCs w:val="16"/>
        </w:rPr>
        <w:t>Excepciones Preliminares, Fondo, Reparaciones y Costas.</w:t>
      </w:r>
      <w:r w:rsidRPr="00432ABC">
        <w:rPr>
          <w:rStyle w:val="Textoennegrita"/>
          <w:rFonts w:ascii="Verdana" w:hAnsi="Verdana"/>
          <w:b w:val="0"/>
          <w:color w:val="000000"/>
          <w:sz w:val="16"/>
          <w:szCs w:val="16"/>
        </w:rPr>
        <w:t xml:space="preserve"> Sentencia 15 de junio de 2005. Serie C No. 124</w:t>
      </w:r>
      <w:r w:rsidRPr="00432ABC">
        <w:rPr>
          <w:rFonts w:ascii="Verdana" w:hAnsi="Verdana"/>
          <w:b/>
          <w:sz w:val="16"/>
          <w:szCs w:val="16"/>
          <w:lang w:val="es-CR"/>
        </w:rPr>
        <w:t>,</w:t>
      </w:r>
      <w:r w:rsidRPr="00432ABC">
        <w:rPr>
          <w:rFonts w:ascii="Verdana" w:hAnsi="Verdana"/>
          <w:sz w:val="16"/>
          <w:szCs w:val="16"/>
          <w:lang w:val="es-CR"/>
        </w:rPr>
        <w:t xml:space="preserve"> párrs. 119 y 120</w:t>
      </w:r>
      <w:r w:rsidRPr="00432ABC">
        <w:rPr>
          <w:rFonts w:ascii="Verdana" w:hAnsi="Verdana"/>
          <w:sz w:val="16"/>
          <w:szCs w:val="16"/>
        </w:rPr>
        <w:t xml:space="preserve">, y </w:t>
      </w:r>
      <w:r w:rsidRPr="00432ABC">
        <w:rPr>
          <w:rFonts w:ascii="Verdana" w:hAnsi="Verdana"/>
          <w:i/>
          <w:sz w:val="16"/>
          <w:szCs w:val="16"/>
          <w:lang w:val="es-CR"/>
        </w:rPr>
        <w:t>Caso Yarce y Otras Vs. Colombia,</w:t>
      </w:r>
      <w:r w:rsidRPr="00432ABC">
        <w:rPr>
          <w:rFonts w:ascii="Verdana" w:hAnsi="Verdana"/>
          <w:sz w:val="16"/>
          <w:szCs w:val="16"/>
          <w:lang w:val="es-CR"/>
        </w:rPr>
        <w:t xml:space="preserve"> </w:t>
      </w:r>
      <w:r w:rsidRPr="008D0846">
        <w:rPr>
          <w:rFonts w:ascii="Verdana" w:hAnsi="Verdana"/>
          <w:i/>
          <w:sz w:val="16"/>
          <w:szCs w:val="16"/>
          <w:lang w:val="es-CR"/>
        </w:rPr>
        <w:t>supra</w:t>
      </w:r>
      <w:r>
        <w:rPr>
          <w:rFonts w:ascii="Verdana" w:hAnsi="Verdana"/>
          <w:sz w:val="16"/>
          <w:szCs w:val="16"/>
          <w:lang w:val="es-CR"/>
        </w:rPr>
        <w:t xml:space="preserve"> </w:t>
      </w:r>
      <w:r w:rsidRPr="00432ABC">
        <w:rPr>
          <w:rFonts w:ascii="Verdana" w:hAnsi="Verdana"/>
          <w:sz w:val="16"/>
          <w:szCs w:val="16"/>
          <w:lang w:val="es-CR"/>
        </w:rPr>
        <w:t>párr. 215.</w:t>
      </w:r>
    </w:p>
  </w:footnote>
  <w:footnote w:id="505">
    <w:p w14:paraId="64AA634D" w14:textId="56060B05"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3A625D">
        <w:rPr>
          <w:rFonts w:ascii="Verdana" w:hAnsi="Verdana"/>
          <w:b/>
          <w:bCs/>
          <w:color w:val="000000"/>
          <w:sz w:val="22"/>
          <w:szCs w:val="22"/>
          <w:shd w:val="clear" w:color="auto" w:fill="FFFFFF"/>
        </w:rPr>
        <w:t xml:space="preserve"> </w:t>
      </w:r>
      <w:r w:rsidRPr="008D0846">
        <w:rPr>
          <w:rFonts w:ascii="Verdana" w:hAnsi="Verdana"/>
          <w:bCs/>
          <w:i/>
          <w:sz w:val="16"/>
          <w:szCs w:val="16"/>
        </w:rPr>
        <w:t>Caso Valle Jaramillo y otros Vs. Colombi</w:t>
      </w:r>
      <w:r>
        <w:rPr>
          <w:rFonts w:ascii="Verdana" w:hAnsi="Verdana"/>
          <w:bCs/>
          <w:i/>
          <w:sz w:val="16"/>
          <w:szCs w:val="16"/>
        </w:rPr>
        <w:t>a, supra</w:t>
      </w:r>
      <w:r>
        <w:rPr>
          <w:rFonts w:ascii="Verdana" w:hAnsi="Verdana"/>
          <w:bCs/>
          <w:sz w:val="16"/>
          <w:szCs w:val="16"/>
        </w:rPr>
        <w:t xml:space="preserve"> párr. 139, y</w:t>
      </w:r>
      <w:r w:rsidRPr="002C462C">
        <w:rPr>
          <w:rFonts w:ascii="Verdana" w:hAnsi="Verdana"/>
          <w:sz w:val="16"/>
          <w:szCs w:val="16"/>
        </w:rPr>
        <w:t xml:space="preserve"> </w:t>
      </w:r>
      <w:r w:rsidRPr="008D0846">
        <w:rPr>
          <w:rFonts w:ascii="Verdana" w:hAnsi="Verdana"/>
          <w:i/>
          <w:sz w:val="16"/>
          <w:szCs w:val="16"/>
        </w:rPr>
        <w:t>Yarce y otras Vs. Colombia</w:t>
      </w:r>
      <w:r w:rsidRPr="002C462C">
        <w:rPr>
          <w:rFonts w:ascii="Verdana" w:hAnsi="Verdana"/>
          <w:sz w:val="16"/>
          <w:szCs w:val="16"/>
        </w:rPr>
        <w:t>,</w:t>
      </w:r>
      <w:r>
        <w:rPr>
          <w:rFonts w:ascii="Verdana" w:hAnsi="Verdana"/>
          <w:sz w:val="16"/>
          <w:szCs w:val="16"/>
        </w:rPr>
        <w:t xml:space="preserve"> supra</w:t>
      </w:r>
      <w:r w:rsidRPr="002C462C">
        <w:rPr>
          <w:rFonts w:ascii="Verdana" w:hAnsi="Verdana"/>
          <w:sz w:val="16"/>
          <w:szCs w:val="16"/>
        </w:rPr>
        <w:t xml:space="preserve"> párr. 215</w:t>
      </w:r>
      <w:r>
        <w:rPr>
          <w:rFonts w:ascii="Verdana" w:hAnsi="Verdana"/>
          <w:sz w:val="16"/>
          <w:szCs w:val="16"/>
        </w:rPr>
        <w:t>.</w:t>
      </w:r>
    </w:p>
  </w:footnote>
  <w:footnote w:id="506">
    <w:p w14:paraId="41BBB4B0" w14:textId="28BE814F" w:rsidR="00146958" w:rsidRPr="001E6062" w:rsidRDefault="00146958">
      <w:pPr>
        <w:pStyle w:val="Textonotapie"/>
        <w:jc w:val="both"/>
        <w:rPr>
          <w:rFonts w:ascii="Verdana" w:hAnsi="Verdana"/>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Pr>
          <w:rFonts w:ascii="Verdana" w:hAnsi="Verdana"/>
          <w:sz w:val="16"/>
          <w:szCs w:val="16"/>
        </w:rPr>
        <w:t xml:space="preserve"> </w:t>
      </w:r>
      <w:r w:rsidRPr="003A625D">
        <w:rPr>
          <w:rFonts w:ascii="Verdana" w:hAnsi="Verdana"/>
          <w:i/>
          <w:sz w:val="16"/>
          <w:szCs w:val="16"/>
          <w:lang w:val="es-CR"/>
        </w:rPr>
        <w:t>Caso de la Comunidad Moiwana Vs. Surinam</w:t>
      </w:r>
      <w:r>
        <w:rPr>
          <w:rFonts w:ascii="Verdana" w:hAnsi="Verdana"/>
          <w:i/>
          <w:sz w:val="16"/>
          <w:szCs w:val="16"/>
          <w:lang w:val="es-CR"/>
        </w:rPr>
        <w:t>,</w:t>
      </w:r>
      <w:r w:rsidRPr="003A625D">
        <w:rPr>
          <w:rFonts w:ascii="Verdana" w:hAnsi="Verdana"/>
          <w:i/>
          <w:sz w:val="16"/>
          <w:szCs w:val="16"/>
          <w:lang w:val="es-CR"/>
        </w:rPr>
        <w:t>.</w:t>
      </w:r>
      <w:r>
        <w:rPr>
          <w:rFonts w:ascii="Verdana" w:hAnsi="Verdana"/>
          <w:i/>
          <w:sz w:val="16"/>
          <w:szCs w:val="16"/>
          <w:lang w:val="es-CR"/>
        </w:rPr>
        <w:t xml:space="preserve"> </w:t>
      </w:r>
      <w:r w:rsidRPr="008D0846">
        <w:rPr>
          <w:rFonts w:ascii="Verdana" w:hAnsi="Verdana"/>
          <w:i/>
          <w:sz w:val="16"/>
          <w:szCs w:val="16"/>
          <w:lang w:val="es-CR"/>
        </w:rPr>
        <w:t>supra</w:t>
      </w:r>
      <w:r>
        <w:rPr>
          <w:rFonts w:ascii="Verdana" w:hAnsi="Verdana"/>
          <w:sz w:val="16"/>
          <w:szCs w:val="16"/>
          <w:lang w:val="es-CR"/>
        </w:rPr>
        <w:t xml:space="preserve"> párr. 120, y Caso </w:t>
      </w:r>
      <w:r w:rsidRPr="001E6062">
        <w:rPr>
          <w:rFonts w:ascii="Verdana" w:hAnsi="Verdana"/>
          <w:i/>
          <w:sz w:val="16"/>
          <w:szCs w:val="16"/>
        </w:rPr>
        <w:t>Yarce y otras Vs. Colombia,</w:t>
      </w:r>
      <w:r>
        <w:rPr>
          <w:rFonts w:ascii="Verdana" w:hAnsi="Verdana"/>
          <w:i/>
          <w:sz w:val="16"/>
          <w:szCs w:val="16"/>
        </w:rPr>
        <w:t xml:space="preserve"> </w:t>
      </w:r>
      <w:r w:rsidRPr="00C8120C">
        <w:rPr>
          <w:rFonts w:ascii="Verdana" w:hAnsi="Verdana"/>
          <w:i/>
          <w:sz w:val="16"/>
          <w:szCs w:val="16"/>
        </w:rPr>
        <w:t>supra</w:t>
      </w:r>
      <w:r w:rsidRPr="001E6062">
        <w:rPr>
          <w:rFonts w:ascii="Verdana" w:hAnsi="Verdana"/>
          <w:i/>
          <w:sz w:val="16"/>
          <w:szCs w:val="16"/>
        </w:rPr>
        <w:t xml:space="preserve"> </w:t>
      </w:r>
      <w:r w:rsidRPr="008D0846">
        <w:rPr>
          <w:rFonts w:ascii="Verdana" w:hAnsi="Verdana"/>
          <w:sz w:val="16"/>
          <w:szCs w:val="16"/>
        </w:rPr>
        <w:t>párr. 215.</w:t>
      </w:r>
    </w:p>
  </w:footnote>
  <w:footnote w:id="507">
    <w:p w14:paraId="64AA634E" w14:textId="3008DE95" w:rsidR="00146958" w:rsidRPr="002C462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lang w:val="es-CR"/>
        </w:rPr>
        <w:tab/>
        <w:t>Ver peritajes de Gabriella Citroni</w:t>
      </w:r>
      <w:r>
        <w:rPr>
          <w:rFonts w:ascii="Verdana" w:hAnsi="Verdana"/>
          <w:sz w:val="16"/>
          <w:szCs w:val="16"/>
          <w:lang w:val="es-CR"/>
        </w:rPr>
        <w:t xml:space="preserve"> (expediente de prueba, </w:t>
      </w:r>
      <w:r w:rsidRPr="00AD4631">
        <w:rPr>
          <w:rFonts w:ascii="Verdana" w:hAnsi="Verdana"/>
          <w:i/>
          <w:sz w:val="16"/>
          <w:szCs w:val="16"/>
          <w:lang w:val="es-CR"/>
        </w:rPr>
        <w:t>affidávits</w:t>
      </w:r>
      <w:r>
        <w:rPr>
          <w:rFonts w:ascii="Verdana" w:hAnsi="Verdana"/>
          <w:sz w:val="16"/>
          <w:szCs w:val="16"/>
          <w:lang w:val="es-CR"/>
        </w:rPr>
        <w:t>, ff. 31052 a 31125)</w:t>
      </w:r>
      <w:r w:rsidRPr="002C462C">
        <w:rPr>
          <w:rFonts w:ascii="Verdana" w:hAnsi="Verdana"/>
          <w:sz w:val="16"/>
          <w:szCs w:val="16"/>
          <w:lang w:val="es-CR"/>
        </w:rPr>
        <w:t xml:space="preserve"> y </w:t>
      </w:r>
      <w:r>
        <w:rPr>
          <w:rFonts w:ascii="Verdana" w:hAnsi="Verdana"/>
          <w:sz w:val="16"/>
          <w:szCs w:val="16"/>
          <w:lang w:val="es-CR"/>
        </w:rPr>
        <w:t xml:space="preserve">Alejandro </w:t>
      </w:r>
      <w:r w:rsidRPr="002C462C">
        <w:rPr>
          <w:rFonts w:ascii="Verdana" w:hAnsi="Verdana"/>
          <w:sz w:val="16"/>
          <w:szCs w:val="16"/>
          <w:lang w:val="es-CR"/>
        </w:rPr>
        <w:t>Madrazo Laj</w:t>
      </w:r>
      <w:r>
        <w:rPr>
          <w:rFonts w:ascii="Verdana" w:hAnsi="Verdana"/>
          <w:sz w:val="16"/>
          <w:szCs w:val="16"/>
          <w:lang w:val="es-CR"/>
        </w:rPr>
        <w:t>o</w:t>
      </w:r>
      <w:r w:rsidRPr="002C462C">
        <w:rPr>
          <w:rFonts w:ascii="Verdana" w:hAnsi="Verdana"/>
          <w:sz w:val="16"/>
          <w:szCs w:val="16"/>
          <w:lang w:val="es-CR"/>
        </w:rPr>
        <w:t>us</w:t>
      </w:r>
      <w:r>
        <w:rPr>
          <w:rFonts w:ascii="Verdana" w:hAnsi="Verdana"/>
          <w:sz w:val="16"/>
          <w:szCs w:val="16"/>
          <w:lang w:val="es-CR"/>
        </w:rPr>
        <w:t xml:space="preserve"> (expediente de prueba, </w:t>
      </w:r>
      <w:r w:rsidRPr="00AD4631">
        <w:rPr>
          <w:rFonts w:ascii="Verdana" w:hAnsi="Verdana"/>
          <w:i/>
          <w:sz w:val="16"/>
          <w:szCs w:val="16"/>
          <w:lang w:val="es-CR"/>
        </w:rPr>
        <w:t>affidávits</w:t>
      </w:r>
      <w:r>
        <w:rPr>
          <w:rFonts w:ascii="Verdana" w:hAnsi="Verdana"/>
          <w:sz w:val="16"/>
          <w:szCs w:val="16"/>
          <w:lang w:val="es-CR"/>
        </w:rPr>
        <w:t>, ff. 30963 a 30984)</w:t>
      </w:r>
      <w:r w:rsidRPr="002C462C">
        <w:rPr>
          <w:rFonts w:ascii="Verdana" w:hAnsi="Verdana"/>
          <w:sz w:val="16"/>
          <w:szCs w:val="16"/>
          <w:lang w:val="es-CR"/>
        </w:rPr>
        <w:t xml:space="preserve"> que dan cuenta de un contexto de violencia en la región.</w:t>
      </w:r>
    </w:p>
  </w:footnote>
  <w:footnote w:id="508">
    <w:p w14:paraId="64AA634F" w14:textId="443647B1"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Reiteradas en 1 de abril de 2011, 15 de mayo de 2011, 23 de nov</w:t>
      </w:r>
      <w:r w:rsidRPr="002C462C">
        <w:rPr>
          <w:rFonts w:ascii="Verdana" w:hAnsi="Verdana"/>
          <w:sz w:val="16"/>
          <w:szCs w:val="16"/>
        </w:rPr>
        <w:t xml:space="preserve">iembre de 2012, 23 de junio de 2015, 14 de noviembre de 2017 (ocasión en la cual fue solicitada la colaboración de la </w:t>
      </w:r>
      <w:r>
        <w:rPr>
          <w:rFonts w:ascii="Verdana" w:hAnsi="Verdana"/>
          <w:sz w:val="16"/>
          <w:szCs w:val="16"/>
        </w:rPr>
        <w:t>CNDH</w:t>
      </w:r>
      <w:r w:rsidRPr="002C462C">
        <w:rPr>
          <w:rFonts w:ascii="Verdana" w:hAnsi="Verdana"/>
          <w:sz w:val="16"/>
          <w:szCs w:val="16"/>
        </w:rPr>
        <w:t xml:space="preserve"> para la realización del informe de riesgo), 13 de marzo de 2018</w:t>
      </w:r>
      <w:r>
        <w:rPr>
          <w:rFonts w:ascii="Verdana" w:hAnsi="Verdana"/>
          <w:sz w:val="16"/>
          <w:szCs w:val="16"/>
        </w:rPr>
        <w:t xml:space="preserve">. </w:t>
      </w:r>
    </w:p>
  </w:footnote>
  <w:footnote w:id="509">
    <w:p w14:paraId="64AA6350" w14:textId="68122085" w:rsidR="00146958" w:rsidRPr="00432ABC" w:rsidRDefault="00146958" w:rsidP="007F48D2">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lang w:val="es-CR"/>
        </w:rPr>
        <w:tab/>
      </w:r>
      <w:r w:rsidRPr="007F48D2">
        <w:rPr>
          <w:rFonts w:ascii="Verdana" w:hAnsi="Verdana"/>
          <w:sz w:val="16"/>
          <w:szCs w:val="16"/>
        </w:rPr>
        <w:t>A saber: 1) María de Jesús Espinoza Peinado; 2) Ascensión Alvarado Fabela; 3) N.S.A.E.; M.P.A.E.; 4) D.A.E.; 5) María de Jesús Alvarado Espinoza; 6) Rigoberto Ambriz Marrufo; 7) José Ángel Alvarado Fabela; 8) Concepción Herrera Beltrán; 9) Obdulia Espinoza Beltrán; 10) J.A.E.; 11) J.A.A.E.; 12) A.A.E. (“A.E.B.”); 13) Jaime Alvarado Herrera; 14) Sandra Luz Rueda Quezada; 15) J.O.A.R.; 16) R.G.A.R.; 17) C.N.A.R.; 18) J.E.A.R.; 19) Rosa Olivia Alvarado Herrera; 20) Félix García; 21) K.P.A.E.; 22) F.A.H.; 23) J.G.A.; 24) A.G.A.; 25) Manuel Melquíades Alvarado Herrera; 26) Mayra Daniela Salaís Rodríguez; 27) D.J.A.; 28) X.A.S.; 29) Patricia Reyes Rueda; 30) A.A.R.; 31) A.R.A.R.; 32) A.M.U.A., y 33) Manuel Reyes Lira.</w:t>
      </w:r>
    </w:p>
  </w:footnote>
  <w:footnote w:id="510">
    <w:p w14:paraId="64AA6351" w14:textId="7DDEC640"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8D0846">
        <w:rPr>
          <w:rFonts w:ascii="Verdana" w:hAnsi="Verdana"/>
          <w:i/>
          <w:sz w:val="16"/>
          <w:szCs w:val="16"/>
        </w:rPr>
        <w:t>Caso Vélez Restrepo y Familiares Vs. Colombia. Excepción Preliminar, Fondo, Reparaciones y Costas</w:t>
      </w:r>
      <w:r w:rsidRPr="002C462C">
        <w:rPr>
          <w:rFonts w:ascii="Verdana" w:hAnsi="Verdana"/>
          <w:sz w:val="16"/>
          <w:szCs w:val="16"/>
        </w:rPr>
        <w:t>. Sentencia de 3 de septiembre de 2012 Serie C No.</w:t>
      </w:r>
      <w:r w:rsidRPr="00432ABC">
        <w:rPr>
          <w:rFonts w:ascii="Verdana" w:hAnsi="Verdana"/>
          <w:sz w:val="16"/>
          <w:szCs w:val="16"/>
        </w:rPr>
        <w:t xml:space="preserve"> 248, párr. 201, </w:t>
      </w:r>
      <w:r w:rsidRPr="008D0846">
        <w:rPr>
          <w:rFonts w:ascii="Verdana" w:hAnsi="Verdana"/>
          <w:i/>
          <w:sz w:val="16"/>
          <w:szCs w:val="16"/>
        </w:rPr>
        <w:t>y Caso Rodríguez Vera y otros (Desaparecidos del Palacio de Justicia) Vs. Colombia, supra</w:t>
      </w:r>
      <w:r w:rsidRPr="00432ABC">
        <w:rPr>
          <w:rFonts w:ascii="Verdana" w:hAnsi="Verdana"/>
          <w:sz w:val="16"/>
          <w:szCs w:val="16"/>
        </w:rPr>
        <w:t xml:space="preserve"> párr. 256.</w:t>
      </w:r>
    </w:p>
  </w:footnote>
  <w:footnote w:id="511">
    <w:p w14:paraId="64AA6352" w14:textId="53C03A4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A02C6D">
        <w:rPr>
          <w:rFonts w:ascii="Verdana" w:hAnsi="Verdana"/>
          <w:sz w:val="16"/>
          <w:szCs w:val="16"/>
        </w:rPr>
        <w:t xml:space="preserve"> CNDH, </w:t>
      </w:r>
      <w:r>
        <w:rPr>
          <w:rFonts w:ascii="Verdana" w:hAnsi="Verdana"/>
          <w:i/>
          <w:sz w:val="16"/>
          <w:szCs w:val="16"/>
        </w:rPr>
        <w:t xml:space="preserve">Informe de riesgo,  </w:t>
      </w:r>
      <w:r>
        <w:rPr>
          <w:rFonts w:ascii="Verdana" w:hAnsi="Verdana"/>
          <w:sz w:val="16"/>
          <w:szCs w:val="16"/>
        </w:rPr>
        <w:t>(Medidas Provisionales, expediente, f.</w:t>
      </w:r>
      <w:r w:rsidRPr="00432ABC">
        <w:rPr>
          <w:rFonts w:ascii="Verdana" w:hAnsi="Verdana"/>
          <w:sz w:val="16"/>
          <w:szCs w:val="16"/>
        </w:rPr>
        <w:t xml:space="preserve"> 3245</w:t>
      </w:r>
      <w:r>
        <w:rPr>
          <w:rFonts w:ascii="Verdana" w:hAnsi="Verdana"/>
          <w:sz w:val="16"/>
          <w:szCs w:val="16"/>
        </w:rPr>
        <w:t>)</w:t>
      </w:r>
      <w:r w:rsidRPr="00432ABC">
        <w:rPr>
          <w:rFonts w:ascii="Verdana" w:hAnsi="Verdana"/>
          <w:sz w:val="16"/>
          <w:szCs w:val="16"/>
        </w:rPr>
        <w:t xml:space="preserve">. </w:t>
      </w:r>
    </w:p>
  </w:footnote>
  <w:footnote w:id="512">
    <w:p w14:paraId="64AA6353" w14:textId="259BCEB8" w:rsidR="00146958" w:rsidRPr="002C462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t xml:space="preserve">Resolución de 14 de noviembre de 2017. </w:t>
      </w:r>
      <w:r w:rsidRPr="008D0846">
        <w:rPr>
          <w:rFonts w:ascii="Verdana" w:hAnsi="Verdana"/>
          <w:i/>
          <w:sz w:val="16"/>
          <w:szCs w:val="16"/>
        </w:rPr>
        <w:t>Asunto Alvarado Reyes y otros</w:t>
      </w:r>
      <w:r>
        <w:rPr>
          <w:rFonts w:ascii="Verdana" w:hAnsi="Verdana"/>
          <w:i/>
          <w:sz w:val="16"/>
          <w:szCs w:val="16"/>
        </w:rPr>
        <w:t>. Medidas Provisionales</w:t>
      </w:r>
      <w:r w:rsidRPr="008D0846">
        <w:rPr>
          <w:rFonts w:ascii="Verdana" w:hAnsi="Verdana"/>
          <w:i/>
          <w:sz w:val="16"/>
          <w:szCs w:val="16"/>
        </w:rPr>
        <w:t xml:space="preserve"> respecto de México.</w:t>
      </w:r>
      <w:r w:rsidRPr="002C462C">
        <w:rPr>
          <w:rFonts w:ascii="Verdana" w:hAnsi="Verdana"/>
          <w:sz w:val="16"/>
          <w:szCs w:val="16"/>
        </w:rPr>
        <w:t xml:space="preserve"> Resolución de 14 de marzo de 2018. Considerando 16. </w:t>
      </w:r>
    </w:p>
  </w:footnote>
  <w:footnote w:id="513">
    <w:p w14:paraId="64AA6354" w14:textId="6065D36F"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432ABC">
        <w:rPr>
          <w:rFonts w:ascii="Verdana" w:hAnsi="Verdana"/>
          <w:sz w:val="16"/>
          <w:szCs w:val="16"/>
        </w:rPr>
        <w:t>De dicho informe se desprende que actualmente en el país se vive una situación de violencia en la cual el Estado se ve en la obligación de tomar medidas preventivas que permitan evitar o disminuir la posibilidad de consumación de un hecho en contra de la seguridad de las personas evaluadas. Se confirmó por parte de este informe que existieron dos eventos de amenaza a los familiares como ser la llamada a José Ángel Alvarado Fabela y la nota con amenazas que se encontró en el domicilio de Jaime Alvarado posterior al allanamiento. Respecto al análisis de las agresiones, se pudieron identificar dos; el atropello de Jaime por un vehículo tipo ministerial y el allanamiento al domicilio de Jaime Alvarado. Por último, el análisis arrojó que se tenían que adoptar medidas de protección a favor de los familiares de las presuntas víctimas. En estas se incluían medidas como números de contacto de emergencia de la FGEC, continuar con las medidas de infraestructura, atención integral a los familiares y continuar con el refugio de seguridad para Jaime Alvarado y su grupo familiar</w:t>
      </w:r>
      <w:r>
        <w:rPr>
          <w:rFonts w:ascii="Verdana" w:hAnsi="Verdana"/>
          <w:sz w:val="16"/>
          <w:szCs w:val="16"/>
        </w:rPr>
        <w:t xml:space="preserve"> </w:t>
      </w:r>
      <w:r w:rsidRPr="00432ABC">
        <w:rPr>
          <w:rFonts w:ascii="Verdana" w:hAnsi="Verdana"/>
          <w:sz w:val="16"/>
          <w:szCs w:val="16"/>
        </w:rPr>
        <w:t>(</w:t>
      </w:r>
      <w:r>
        <w:rPr>
          <w:rFonts w:ascii="Verdana" w:hAnsi="Verdana"/>
          <w:sz w:val="16"/>
          <w:szCs w:val="16"/>
        </w:rPr>
        <w:t>Medidas Provisionales</w:t>
      </w:r>
      <w:r w:rsidRPr="00432ABC">
        <w:rPr>
          <w:rFonts w:ascii="Verdana" w:hAnsi="Verdana"/>
          <w:sz w:val="16"/>
          <w:szCs w:val="16"/>
        </w:rPr>
        <w:t>,</w:t>
      </w:r>
      <w:r>
        <w:rPr>
          <w:rFonts w:ascii="Verdana" w:hAnsi="Verdana"/>
          <w:sz w:val="16"/>
          <w:szCs w:val="16"/>
        </w:rPr>
        <w:t xml:space="preserve"> expediente, f.</w:t>
      </w:r>
      <w:r w:rsidRPr="00432ABC">
        <w:rPr>
          <w:rFonts w:ascii="Verdana" w:hAnsi="Verdana"/>
          <w:sz w:val="16"/>
          <w:szCs w:val="16"/>
        </w:rPr>
        <w:t xml:space="preserve"> 3552).  </w:t>
      </w:r>
    </w:p>
  </w:footnote>
  <w:footnote w:id="514">
    <w:p w14:paraId="64AA6355" w14:textId="69CE9162" w:rsidR="00146958" w:rsidRPr="00432ABC" w:rsidRDefault="00146958">
      <w:pPr>
        <w:pStyle w:val="Textonotapie"/>
        <w:jc w:val="both"/>
        <w:rPr>
          <w:rFonts w:ascii="Verdana" w:hAnsi="Verdana"/>
          <w:spacing w:val="-4"/>
          <w:sz w:val="16"/>
          <w:szCs w:val="16"/>
          <w:lang w:eastAsia="es-ES"/>
        </w:rPr>
      </w:pPr>
      <w:r w:rsidRPr="00432ABC">
        <w:rPr>
          <w:rStyle w:val="Refdenotaalpie"/>
          <w:rFonts w:ascii="Verdana" w:hAnsi="Verdana"/>
          <w:spacing w:val="-4"/>
          <w:sz w:val="16"/>
          <w:szCs w:val="16"/>
        </w:rPr>
        <w:footnoteRef/>
      </w:r>
      <w:r w:rsidRPr="00432ABC">
        <w:rPr>
          <w:rFonts w:ascii="Verdana" w:hAnsi="Verdana"/>
          <w:spacing w:val="-4"/>
          <w:sz w:val="16"/>
          <w:szCs w:val="16"/>
        </w:rPr>
        <w:t xml:space="preserve"> </w:t>
      </w:r>
      <w:r w:rsidRPr="002C462C">
        <w:rPr>
          <w:rStyle w:val="Refdenotaalpie"/>
          <w:rFonts w:ascii="Verdana" w:hAnsi="Verdana"/>
          <w:spacing w:val="-4"/>
          <w:sz w:val="16"/>
          <w:szCs w:val="16"/>
          <w:lang w:eastAsia="es-ES"/>
        </w:rPr>
        <w:tab/>
      </w:r>
      <w:r w:rsidRPr="00CD5C54">
        <w:rPr>
          <w:rFonts w:ascii="Verdana" w:hAnsi="Verdana"/>
          <w:i/>
          <w:sz w:val="16"/>
          <w:szCs w:val="16"/>
        </w:rPr>
        <w:t>Cfr.</w:t>
      </w:r>
      <w:r w:rsidRPr="007A747A">
        <w:rPr>
          <w:rFonts w:ascii="Verdana" w:hAnsi="Verdana"/>
          <w:i/>
          <w:sz w:val="16"/>
          <w:szCs w:val="16"/>
        </w:rPr>
        <w:t xml:space="preserve"> </w:t>
      </w:r>
      <w:r w:rsidRPr="007A747A">
        <w:rPr>
          <w:rFonts w:ascii="Verdana" w:hAnsi="Verdana"/>
          <w:bCs/>
          <w:i/>
          <w:sz w:val="16"/>
          <w:szCs w:val="16"/>
          <w:lang w:val="es-CR"/>
        </w:rPr>
        <w:t>Caso Chitay Nech y otros Vs. Guatemala. Excepciones Preliminares, Fondo, Reparaciones y Costas</w:t>
      </w:r>
      <w:r w:rsidRPr="007A747A">
        <w:rPr>
          <w:rFonts w:ascii="Verdana" w:hAnsi="Verdana"/>
          <w:bCs/>
          <w:sz w:val="16"/>
          <w:szCs w:val="16"/>
          <w:lang w:val="es-CR"/>
        </w:rPr>
        <w:t>. Sentencia de 25 de mayo de 2010</w:t>
      </w:r>
      <w:r w:rsidRPr="007A747A">
        <w:rPr>
          <w:rFonts w:ascii="Verdana" w:hAnsi="Verdana"/>
          <w:sz w:val="16"/>
          <w:szCs w:val="16"/>
        </w:rPr>
        <w:t>, párr. 149</w:t>
      </w:r>
      <w:r w:rsidRPr="007A747A">
        <w:rPr>
          <w:rFonts w:ascii="Verdana" w:hAnsi="Verdana"/>
          <w:spacing w:val="-4"/>
          <w:sz w:val="16"/>
          <w:szCs w:val="16"/>
          <w:lang w:eastAsia="es-ES"/>
        </w:rPr>
        <w:t xml:space="preserve">, </w:t>
      </w:r>
      <w:r w:rsidRPr="007A747A">
        <w:rPr>
          <w:rFonts w:ascii="Verdana" w:hAnsi="Verdana"/>
          <w:i/>
          <w:spacing w:val="-4"/>
          <w:sz w:val="16"/>
          <w:szCs w:val="16"/>
          <w:lang w:eastAsia="es-ES"/>
        </w:rPr>
        <w:t>Caso Carvajal Carvajal y otros Vs. Colombia</w:t>
      </w:r>
      <w:r>
        <w:rPr>
          <w:rFonts w:ascii="Verdana" w:hAnsi="Verdana"/>
          <w:i/>
          <w:spacing w:val="-4"/>
          <w:sz w:val="16"/>
          <w:szCs w:val="16"/>
          <w:lang w:eastAsia="es-ES"/>
        </w:rPr>
        <w:t>,</w:t>
      </w:r>
      <w:r w:rsidRPr="007A747A">
        <w:rPr>
          <w:rFonts w:ascii="Verdana" w:hAnsi="Verdana"/>
          <w:i/>
          <w:spacing w:val="-4"/>
          <w:sz w:val="16"/>
          <w:szCs w:val="16"/>
          <w:lang w:eastAsia="es-ES"/>
        </w:rPr>
        <w:t xml:space="preserve"> </w:t>
      </w:r>
      <w:r>
        <w:rPr>
          <w:rFonts w:ascii="Verdana" w:hAnsi="Verdana"/>
          <w:i/>
          <w:spacing w:val="-4"/>
          <w:sz w:val="16"/>
          <w:szCs w:val="16"/>
          <w:lang w:eastAsia="es-ES"/>
        </w:rPr>
        <w:t>supra</w:t>
      </w:r>
      <w:r w:rsidRPr="008D0846">
        <w:rPr>
          <w:rFonts w:ascii="Verdana" w:hAnsi="Verdana"/>
          <w:spacing w:val="-4"/>
          <w:sz w:val="16"/>
          <w:szCs w:val="16"/>
          <w:lang w:eastAsia="es-ES"/>
        </w:rPr>
        <w:t>, párr. 196.</w:t>
      </w:r>
    </w:p>
  </w:footnote>
  <w:footnote w:id="515">
    <w:p w14:paraId="64AA6356" w14:textId="4E5AF718"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Fonts w:ascii="Verdana" w:hAnsi="Verdana"/>
          <w:i/>
          <w:sz w:val="16"/>
          <w:szCs w:val="16"/>
        </w:rPr>
        <w:t xml:space="preserve">Asunto Alvarado Reyes y otros respecto de México. Medidas Provisionales. </w:t>
      </w:r>
      <w:r w:rsidRPr="00432ABC">
        <w:rPr>
          <w:rFonts w:ascii="Verdana" w:hAnsi="Verdana"/>
          <w:sz w:val="16"/>
          <w:szCs w:val="16"/>
        </w:rPr>
        <w:t>Resolución de 14 de noviembre de 2017, Considerando 19.</w:t>
      </w:r>
    </w:p>
  </w:footnote>
  <w:footnote w:id="516">
    <w:p w14:paraId="711CF5D7" w14:textId="55CC0FC5"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lang w:val="es-CR"/>
        </w:rPr>
        <w:tab/>
      </w:r>
      <w:r w:rsidRPr="00CD5C54">
        <w:rPr>
          <w:rFonts w:ascii="Verdana" w:hAnsi="Verdana"/>
          <w:i/>
          <w:sz w:val="16"/>
          <w:szCs w:val="16"/>
          <w:lang w:val="es-CR"/>
        </w:rPr>
        <w:t>Cfr.</w:t>
      </w:r>
      <w:r w:rsidRPr="002C462C">
        <w:rPr>
          <w:rFonts w:ascii="Verdana" w:hAnsi="Verdana"/>
          <w:i/>
          <w:sz w:val="16"/>
          <w:szCs w:val="16"/>
          <w:lang w:val="es-CR"/>
        </w:rPr>
        <w:t xml:space="preserve"> </w:t>
      </w:r>
      <w:r>
        <w:rPr>
          <w:rFonts w:ascii="Verdana" w:hAnsi="Verdana"/>
          <w:i/>
          <w:sz w:val="16"/>
          <w:szCs w:val="16"/>
          <w:lang w:val="es-CR"/>
        </w:rPr>
        <w:t xml:space="preserve">Caso Chitay Nech y otros Vs. Guatemala. </w:t>
      </w:r>
      <w:r w:rsidRPr="00EE2C64">
        <w:rPr>
          <w:rFonts w:ascii="Verdana" w:hAnsi="Verdana"/>
          <w:i/>
          <w:sz w:val="16"/>
          <w:szCs w:val="16"/>
          <w:lang w:val="es-CR"/>
        </w:rPr>
        <w:t>supra</w:t>
      </w:r>
      <w:r w:rsidRPr="008D0846">
        <w:rPr>
          <w:rFonts w:ascii="Verdana" w:hAnsi="Verdana"/>
          <w:sz w:val="16"/>
          <w:szCs w:val="16"/>
          <w:lang w:val="es-CR"/>
        </w:rPr>
        <w:t xml:space="preserve"> párr. 163</w:t>
      </w:r>
      <w:r>
        <w:rPr>
          <w:rFonts w:ascii="Verdana" w:hAnsi="Verdana"/>
          <w:i/>
          <w:sz w:val="16"/>
          <w:szCs w:val="16"/>
          <w:lang w:val="es-CR"/>
        </w:rPr>
        <w:t xml:space="preserve">, y </w:t>
      </w:r>
      <w:r w:rsidRPr="002C462C">
        <w:rPr>
          <w:rFonts w:ascii="Verdana" w:hAnsi="Verdana"/>
          <w:i/>
          <w:sz w:val="16"/>
          <w:szCs w:val="16"/>
          <w:lang w:val="es-CR"/>
        </w:rPr>
        <w:t>Caso Yarce y otras Vs. Colombia</w:t>
      </w:r>
      <w:r>
        <w:rPr>
          <w:rFonts w:ascii="Verdana" w:hAnsi="Verdana"/>
          <w:i/>
          <w:sz w:val="16"/>
          <w:szCs w:val="16"/>
          <w:lang w:val="es-CR"/>
        </w:rPr>
        <w:t xml:space="preserve">, supra </w:t>
      </w:r>
      <w:r w:rsidRPr="00432ABC">
        <w:rPr>
          <w:rFonts w:ascii="Verdana" w:hAnsi="Verdana"/>
          <w:sz w:val="16"/>
          <w:szCs w:val="16"/>
          <w:lang w:val="es-CR"/>
        </w:rPr>
        <w:t xml:space="preserve">párr. 247. </w:t>
      </w:r>
    </w:p>
  </w:footnote>
  <w:footnote w:id="517">
    <w:p w14:paraId="65DADC0F" w14:textId="624AA22E"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lang w:val="es-CR"/>
        </w:rPr>
        <w:tab/>
      </w:r>
      <w:r w:rsidRPr="00CD5C54">
        <w:rPr>
          <w:rFonts w:ascii="Verdana" w:hAnsi="Verdana"/>
          <w:i/>
          <w:sz w:val="16"/>
          <w:szCs w:val="16"/>
          <w:lang w:val="es-CR"/>
        </w:rPr>
        <w:t>Cfr.</w:t>
      </w:r>
      <w:r w:rsidRPr="00432ABC">
        <w:rPr>
          <w:rFonts w:ascii="Verdana" w:hAnsi="Verdana"/>
          <w:sz w:val="16"/>
          <w:szCs w:val="16"/>
          <w:lang w:val="es-CR"/>
        </w:rPr>
        <w:t xml:space="preserve"> Declaraciones rendidas de </w:t>
      </w:r>
      <w:r>
        <w:rPr>
          <w:rFonts w:ascii="Verdana" w:hAnsi="Verdana"/>
          <w:sz w:val="16"/>
          <w:szCs w:val="16"/>
        </w:rPr>
        <w:t>D.A.E.</w:t>
      </w:r>
      <w:r w:rsidRPr="00432ABC">
        <w:rPr>
          <w:rFonts w:ascii="Verdana" w:hAnsi="Verdana"/>
          <w:sz w:val="16"/>
          <w:szCs w:val="16"/>
        </w:rPr>
        <w:t xml:space="preserve">, </w:t>
      </w:r>
      <w:r w:rsidRPr="00432ABC">
        <w:rPr>
          <w:rFonts w:ascii="Verdana" w:hAnsi="Verdana"/>
          <w:i/>
          <w:sz w:val="16"/>
          <w:szCs w:val="16"/>
        </w:rPr>
        <w:t>supra,</w:t>
      </w:r>
      <w:r>
        <w:rPr>
          <w:rFonts w:ascii="Verdana" w:hAnsi="Verdana"/>
          <w:i/>
          <w:sz w:val="16"/>
          <w:szCs w:val="16"/>
        </w:rPr>
        <w:t xml:space="preserve"> (</w:t>
      </w:r>
      <w:r w:rsidRPr="008D0846">
        <w:rPr>
          <w:rFonts w:ascii="Verdana" w:hAnsi="Verdana"/>
          <w:sz w:val="16"/>
          <w:szCs w:val="16"/>
        </w:rPr>
        <w:t>expediente de prueba,</w:t>
      </w:r>
      <w:r w:rsidRPr="00432ABC">
        <w:rPr>
          <w:rFonts w:ascii="Verdana" w:hAnsi="Verdana"/>
          <w:i/>
          <w:sz w:val="16"/>
          <w:szCs w:val="16"/>
        </w:rPr>
        <w:t xml:space="preserve"> </w:t>
      </w:r>
      <w:r w:rsidRPr="00432ABC">
        <w:rPr>
          <w:rFonts w:ascii="Verdana" w:hAnsi="Verdana"/>
          <w:sz w:val="16"/>
          <w:szCs w:val="16"/>
        </w:rPr>
        <w:t>f. 30892</w:t>
      </w:r>
      <w:r>
        <w:rPr>
          <w:rFonts w:ascii="Verdana" w:hAnsi="Verdana"/>
          <w:sz w:val="16"/>
          <w:szCs w:val="16"/>
        </w:rPr>
        <w:t>)</w:t>
      </w:r>
      <w:r w:rsidRPr="00432ABC">
        <w:rPr>
          <w:rFonts w:ascii="Verdana" w:hAnsi="Verdana"/>
          <w:sz w:val="16"/>
          <w:szCs w:val="16"/>
        </w:rPr>
        <w:t xml:space="preserve">; </w:t>
      </w:r>
      <w:r>
        <w:rPr>
          <w:rFonts w:ascii="Verdana" w:hAnsi="Verdana"/>
          <w:sz w:val="16"/>
          <w:szCs w:val="16"/>
        </w:rPr>
        <w:t>M.P.A.E.</w:t>
      </w:r>
      <w:r w:rsidRPr="00432ABC">
        <w:rPr>
          <w:rFonts w:ascii="Verdana" w:hAnsi="Verdana"/>
          <w:sz w:val="16"/>
          <w:szCs w:val="16"/>
        </w:rPr>
        <w:t xml:space="preserve">, </w:t>
      </w:r>
      <w:r w:rsidRPr="00432ABC">
        <w:rPr>
          <w:rFonts w:ascii="Verdana" w:hAnsi="Verdana"/>
          <w:i/>
          <w:sz w:val="16"/>
          <w:szCs w:val="16"/>
        </w:rPr>
        <w:t>supra</w:t>
      </w:r>
      <w:r w:rsidRPr="00432ABC">
        <w:rPr>
          <w:rFonts w:ascii="Verdana" w:hAnsi="Verdana"/>
          <w:sz w:val="16"/>
          <w:szCs w:val="16"/>
        </w:rPr>
        <w:t xml:space="preserve">, </w:t>
      </w:r>
      <w:r>
        <w:rPr>
          <w:rFonts w:ascii="Verdana" w:hAnsi="Verdana"/>
          <w:sz w:val="16"/>
          <w:szCs w:val="16"/>
        </w:rPr>
        <w:t xml:space="preserve">(expediente de prueba, </w:t>
      </w:r>
      <w:r w:rsidRPr="00432ABC">
        <w:rPr>
          <w:rFonts w:ascii="Verdana" w:hAnsi="Verdana"/>
          <w:sz w:val="16"/>
          <w:szCs w:val="16"/>
        </w:rPr>
        <w:t>ff. 30897 a 30899</w:t>
      </w:r>
      <w:r>
        <w:rPr>
          <w:rFonts w:ascii="Verdana" w:hAnsi="Verdana"/>
          <w:sz w:val="16"/>
          <w:szCs w:val="16"/>
        </w:rPr>
        <w:t>)</w:t>
      </w:r>
      <w:r w:rsidRPr="00432ABC">
        <w:rPr>
          <w:rFonts w:ascii="Verdana" w:hAnsi="Verdana"/>
          <w:sz w:val="16"/>
          <w:szCs w:val="16"/>
        </w:rPr>
        <w:t xml:space="preserve">; A.R.A.R.,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 30873</w:t>
      </w:r>
      <w:r>
        <w:rPr>
          <w:rFonts w:ascii="Verdana" w:hAnsi="Verdana"/>
          <w:sz w:val="16"/>
          <w:szCs w:val="16"/>
        </w:rPr>
        <w:t>)</w:t>
      </w:r>
      <w:r w:rsidRPr="00432ABC">
        <w:rPr>
          <w:rFonts w:ascii="Verdana" w:hAnsi="Verdana"/>
          <w:sz w:val="16"/>
          <w:szCs w:val="16"/>
        </w:rPr>
        <w:t xml:space="preserve">; Sandra Luz Rueda Quezada, </w:t>
      </w:r>
      <w:r w:rsidRPr="00432ABC">
        <w:rPr>
          <w:rFonts w:ascii="Verdana" w:hAnsi="Verdana"/>
          <w:i/>
          <w:sz w:val="16"/>
          <w:szCs w:val="16"/>
        </w:rPr>
        <w:t xml:space="preserve">supra, </w:t>
      </w:r>
      <w:r>
        <w:rPr>
          <w:rFonts w:ascii="Verdana" w:hAnsi="Verdana"/>
          <w:sz w:val="16"/>
          <w:szCs w:val="16"/>
        </w:rPr>
        <w:t xml:space="preserve">(expediente de prueba, </w:t>
      </w:r>
      <w:r w:rsidRPr="00432ABC">
        <w:rPr>
          <w:rFonts w:ascii="Verdana" w:hAnsi="Verdana"/>
          <w:sz w:val="16"/>
          <w:szCs w:val="16"/>
        </w:rPr>
        <w:t>ff. 30955 a 30956</w:t>
      </w:r>
      <w:r>
        <w:rPr>
          <w:rFonts w:ascii="Verdana" w:hAnsi="Verdana"/>
          <w:sz w:val="16"/>
          <w:szCs w:val="16"/>
        </w:rPr>
        <w:t>)</w:t>
      </w:r>
      <w:r w:rsidRPr="00432ABC">
        <w:rPr>
          <w:rFonts w:ascii="Verdana" w:hAnsi="Verdana"/>
          <w:sz w:val="16"/>
          <w:szCs w:val="16"/>
        </w:rPr>
        <w:t xml:space="preserve">, y Rosa Olivia Alvarado Herrera, </w:t>
      </w:r>
      <w:r w:rsidRPr="00432ABC">
        <w:rPr>
          <w:rFonts w:ascii="Verdana" w:hAnsi="Verdana"/>
          <w:i/>
          <w:sz w:val="16"/>
          <w:szCs w:val="16"/>
        </w:rPr>
        <w:t>supra,</w:t>
      </w:r>
      <w:r>
        <w:rPr>
          <w:rFonts w:ascii="Verdana" w:hAnsi="Verdana"/>
          <w:sz w:val="16"/>
          <w:szCs w:val="16"/>
        </w:rPr>
        <w:t xml:space="preserve"> (expediente de prueba,</w:t>
      </w:r>
      <w:r w:rsidRPr="00432ABC">
        <w:rPr>
          <w:rFonts w:ascii="Verdana" w:hAnsi="Verdana"/>
          <w:i/>
          <w:sz w:val="16"/>
          <w:szCs w:val="16"/>
        </w:rPr>
        <w:t xml:space="preserve"> </w:t>
      </w:r>
      <w:r w:rsidRPr="00432ABC">
        <w:rPr>
          <w:rFonts w:ascii="Verdana" w:hAnsi="Verdana"/>
          <w:sz w:val="16"/>
          <w:szCs w:val="16"/>
        </w:rPr>
        <w:t>ff. 30924 a 30925</w:t>
      </w:r>
      <w:r>
        <w:rPr>
          <w:rFonts w:ascii="Verdana" w:hAnsi="Verdana"/>
          <w:sz w:val="16"/>
          <w:szCs w:val="16"/>
        </w:rPr>
        <w:t>)</w:t>
      </w:r>
      <w:r w:rsidRPr="00432ABC">
        <w:rPr>
          <w:rFonts w:ascii="Verdana" w:hAnsi="Verdana"/>
          <w:sz w:val="16"/>
          <w:szCs w:val="16"/>
        </w:rPr>
        <w:t xml:space="preserve">. Asimismo, </w:t>
      </w:r>
      <w:r w:rsidRPr="00CD5C54">
        <w:rPr>
          <w:rFonts w:ascii="Verdana" w:hAnsi="Verdana"/>
          <w:i/>
          <w:sz w:val="16"/>
          <w:szCs w:val="16"/>
        </w:rPr>
        <w:t>Cfr.</w:t>
      </w:r>
      <w:r w:rsidRPr="00432ABC">
        <w:rPr>
          <w:rFonts w:ascii="Verdana" w:hAnsi="Verdana"/>
          <w:sz w:val="16"/>
          <w:szCs w:val="16"/>
        </w:rPr>
        <w:t xml:space="preserve"> Declaración pericial de Carlos Martín Beristain rendida </w:t>
      </w:r>
      <w:r>
        <w:rPr>
          <w:rFonts w:ascii="Verdana" w:hAnsi="Verdana"/>
          <w:sz w:val="16"/>
          <w:szCs w:val="16"/>
        </w:rPr>
        <w:t>el</w:t>
      </w:r>
      <w:r w:rsidRPr="00432ABC">
        <w:rPr>
          <w:rFonts w:ascii="Verdana" w:hAnsi="Verdana"/>
          <w:sz w:val="16"/>
          <w:szCs w:val="16"/>
        </w:rPr>
        <w:t xml:space="preserve"> 16 de abril de 2018 (expediente de prueba,</w:t>
      </w:r>
      <w:r w:rsidRPr="008D0846">
        <w:rPr>
          <w:rFonts w:ascii="Verdana" w:hAnsi="Verdana"/>
          <w:i/>
          <w:sz w:val="16"/>
          <w:szCs w:val="16"/>
        </w:rPr>
        <w:t xml:space="preserve"> </w:t>
      </w:r>
      <w:r w:rsidRPr="00453199">
        <w:rPr>
          <w:rFonts w:ascii="Verdana" w:hAnsi="Verdana"/>
          <w:i/>
          <w:sz w:val="16"/>
        </w:rPr>
        <w:t>Affidávits</w:t>
      </w:r>
      <w:r w:rsidRPr="00432ABC">
        <w:rPr>
          <w:rFonts w:ascii="Verdana" w:hAnsi="Verdana"/>
          <w:sz w:val="16"/>
          <w:szCs w:val="16"/>
        </w:rPr>
        <w:t>, ff. 31011 a 310115 y 31047).</w:t>
      </w:r>
    </w:p>
  </w:footnote>
  <w:footnote w:id="518">
    <w:p w14:paraId="20DC8641" w14:textId="3ECE01D9"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2C462C">
        <w:rPr>
          <w:rFonts w:ascii="Verdana" w:hAnsi="Verdana"/>
          <w:sz w:val="16"/>
          <w:szCs w:val="16"/>
          <w:lang w:val="es-CR"/>
        </w:rPr>
        <w:t>Al respecto, este Tribunal ha determinado que el objeto y fin de la Convención Americana es la eficaz protección de los derechos humanos y por ello debe interpretarse de manera de darle su pleno sentido y permitir que el régimen de protección de los derechos humanos adquiera todo su efecto útil. En este sentido, se debe considerar que las medidas provisional</w:t>
      </w:r>
      <w:r w:rsidRPr="00432ABC">
        <w:rPr>
          <w:rFonts w:ascii="Verdana" w:hAnsi="Verdana"/>
          <w:sz w:val="16"/>
          <w:szCs w:val="16"/>
          <w:lang w:val="es-CR"/>
        </w:rPr>
        <w:t>es, son dotadas por un régimen jurídico autónomo con base convencional dispuesta en el artículo 63.2 de la Convención, que al ser adoptadas se configuran en una garantía jurisdiccional de carácter preventivo. De este modo, conforman un régimen de responsabilidad propio al cual los Estados deben acatar; cuyo incumplimiento puede derivar en la responsabilidad internacional del Estado. En este mismo sentido, por ejemplo, el Tribunal Europeo de Derechos Humanos, ha declarado violaciones, de manera autónoma, del artículo 34 del Convenio Europeo de Derechos Humanos, referente a la adopción de medidas provisionales</w:t>
      </w:r>
      <w:r>
        <w:rPr>
          <w:rFonts w:ascii="Verdana" w:hAnsi="Verdana"/>
          <w:sz w:val="16"/>
          <w:szCs w:val="16"/>
          <w:lang w:val="es-CR"/>
        </w:rPr>
        <w:t xml:space="preserve"> </w:t>
      </w:r>
      <w:r w:rsidRPr="00432ABC">
        <w:rPr>
          <w:rFonts w:ascii="Verdana" w:hAnsi="Verdana"/>
          <w:sz w:val="16"/>
          <w:szCs w:val="16"/>
          <w:lang w:val="es-CR"/>
        </w:rPr>
        <w:t>y</w:t>
      </w:r>
      <w:r>
        <w:rPr>
          <w:rFonts w:ascii="Verdana" w:hAnsi="Verdana"/>
          <w:sz w:val="16"/>
          <w:szCs w:val="16"/>
          <w:lang w:val="es-CR"/>
        </w:rPr>
        <w:t xml:space="preserve"> </w:t>
      </w:r>
      <w:r w:rsidRPr="00432ABC">
        <w:rPr>
          <w:rFonts w:ascii="Verdana" w:hAnsi="Verdana"/>
          <w:sz w:val="16"/>
          <w:szCs w:val="16"/>
          <w:lang w:val="es-CR"/>
        </w:rPr>
        <w:t xml:space="preserve">ha establecido que el incumplimiento de medidas provisionales socava la efectividad del derecho de petición y, principalmente, el compromiso formal que adquieren los Estados al firmar una Convención para proteger los derechos y libertades consagrados en ella. </w:t>
      </w:r>
      <w:r w:rsidRPr="00CD5C54">
        <w:rPr>
          <w:rFonts w:ascii="Verdana" w:hAnsi="Verdana"/>
          <w:i/>
          <w:sz w:val="16"/>
          <w:szCs w:val="16"/>
          <w:lang w:val="es-CR"/>
        </w:rPr>
        <w:t>Cfr.</w:t>
      </w:r>
      <w:r w:rsidRPr="00432ABC">
        <w:rPr>
          <w:rFonts w:ascii="Verdana" w:hAnsi="Verdana"/>
          <w:sz w:val="16"/>
          <w:szCs w:val="16"/>
          <w:lang w:val="es-CR"/>
        </w:rPr>
        <w:t xml:space="preserve"> </w:t>
      </w:r>
      <w:r w:rsidRPr="00432ABC">
        <w:rPr>
          <w:rFonts w:ascii="Verdana" w:hAnsi="Verdana"/>
          <w:sz w:val="16"/>
          <w:szCs w:val="16"/>
        </w:rPr>
        <w:t>TEDH.</w:t>
      </w:r>
      <w:r w:rsidRPr="00432ABC">
        <w:rPr>
          <w:rFonts w:ascii="Verdana" w:hAnsi="Verdana"/>
          <w:i/>
          <w:sz w:val="16"/>
          <w:szCs w:val="16"/>
        </w:rPr>
        <w:t xml:space="preserve"> Mamatkulov y Askarov vs. Turquía</w:t>
      </w:r>
      <w:r w:rsidRPr="00432ABC">
        <w:rPr>
          <w:rFonts w:ascii="Verdana" w:hAnsi="Verdana"/>
          <w:sz w:val="16"/>
          <w:szCs w:val="16"/>
        </w:rPr>
        <w:t>, Nos. 46827/99 y 46951/99. Sentencia de 4 de febrero de 2005, párr. 128</w:t>
      </w:r>
      <w:r w:rsidRPr="00432ABC">
        <w:rPr>
          <w:rFonts w:ascii="Verdana" w:hAnsi="Verdana"/>
          <w:i/>
          <w:sz w:val="16"/>
          <w:szCs w:val="16"/>
        </w:rPr>
        <w:t xml:space="preserve">; Paladi vs. Moldavia </w:t>
      </w:r>
      <w:r w:rsidRPr="00432ABC">
        <w:rPr>
          <w:rFonts w:ascii="Verdana" w:hAnsi="Verdana"/>
          <w:sz w:val="16"/>
          <w:szCs w:val="16"/>
        </w:rPr>
        <w:t>[GS], No. 39806/05. Sentencia de 10 de marzo de 2009, párrs. 104 a 106</w:t>
      </w:r>
      <w:r w:rsidRPr="00432ABC">
        <w:rPr>
          <w:rFonts w:ascii="Verdana" w:hAnsi="Verdana"/>
          <w:i/>
          <w:sz w:val="16"/>
          <w:szCs w:val="16"/>
        </w:rPr>
        <w:t xml:space="preserve">, y Asunto Olaechea Cahuas vs. España, </w:t>
      </w:r>
      <w:r w:rsidRPr="00432ABC">
        <w:rPr>
          <w:rFonts w:ascii="Verdana" w:hAnsi="Verdana"/>
          <w:sz w:val="16"/>
          <w:szCs w:val="16"/>
        </w:rPr>
        <w:t xml:space="preserve">No. 24668/03. Sentencia de 10 de agosto de 2006, párrs. 65 a 83. </w:t>
      </w:r>
      <w:r w:rsidRPr="00432ABC">
        <w:rPr>
          <w:rFonts w:ascii="Verdana" w:hAnsi="Verdana"/>
          <w:i/>
          <w:sz w:val="16"/>
          <w:szCs w:val="16"/>
        </w:rPr>
        <w:t xml:space="preserve"> </w:t>
      </w:r>
    </w:p>
  </w:footnote>
  <w:footnote w:id="519">
    <w:p w14:paraId="4B46BD55" w14:textId="1AD6D779" w:rsidR="00146958" w:rsidRPr="003564A3" w:rsidRDefault="00146958">
      <w:pPr>
        <w:pStyle w:val="Textonotapie"/>
        <w:jc w:val="both"/>
        <w:rPr>
          <w:rFonts w:ascii="Verdana" w:hAnsi="Verdana"/>
          <w:sz w:val="16"/>
          <w:szCs w:val="16"/>
          <w:lang w:val="es-CR"/>
        </w:rPr>
      </w:pPr>
      <w:r w:rsidRPr="00432ABC">
        <w:rPr>
          <w:rFonts w:ascii="Verdana" w:hAnsi="Verdana"/>
          <w:sz w:val="16"/>
          <w:szCs w:val="16"/>
          <w:vertAlign w:val="superscript"/>
        </w:rPr>
        <w:footnoteRef/>
      </w:r>
      <w:r w:rsidRPr="00432ABC">
        <w:rPr>
          <w:rFonts w:ascii="Verdana" w:hAnsi="Verdana"/>
          <w:sz w:val="16"/>
          <w:szCs w:val="16"/>
          <w:vertAlign w:val="superscript"/>
          <w:lang w:val="es-CR"/>
        </w:rPr>
        <w:t xml:space="preserve"> </w:t>
      </w:r>
      <w:r w:rsidRPr="003564A3">
        <w:rPr>
          <w:rFonts w:ascii="Verdana" w:hAnsi="Verdana"/>
          <w:sz w:val="16"/>
          <w:szCs w:val="16"/>
          <w:vertAlign w:val="superscript"/>
          <w:lang w:val="es-CR"/>
        </w:rPr>
        <w:tab/>
      </w:r>
      <w:r w:rsidRPr="003564A3">
        <w:rPr>
          <w:rFonts w:ascii="Verdana" w:hAnsi="Verdana"/>
          <w:sz w:val="16"/>
          <w:szCs w:val="16"/>
          <w:lang w:val="es-CR"/>
        </w:rPr>
        <w:t>Artículo 63.  “1.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520">
    <w:p w14:paraId="3EBDA67D" w14:textId="5A373C7E" w:rsidR="00146958" w:rsidRPr="003564A3" w:rsidRDefault="00146958">
      <w:pPr>
        <w:pStyle w:val="Textonotapie"/>
        <w:jc w:val="both"/>
        <w:rPr>
          <w:rFonts w:ascii="Verdana" w:hAnsi="Verdana"/>
          <w:sz w:val="16"/>
          <w:szCs w:val="16"/>
          <w:lang w:val="es-CR"/>
        </w:rPr>
      </w:pPr>
      <w:r w:rsidRPr="003564A3">
        <w:rPr>
          <w:rStyle w:val="Refdenotaalpie"/>
          <w:rFonts w:ascii="Verdana" w:hAnsi="Verdana"/>
          <w:sz w:val="16"/>
          <w:szCs w:val="16"/>
        </w:rPr>
        <w:footnoteRef/>
      </w:r>
      <w:r w:rsidRPr="003564A3">
        <w:rPr>
          <w:rFonts w:ascii="Verdana" w:hAnsi="Verdana"/>
          <w:sz w:val="16"/>
          <w:szCs w:val="16"/>
          <w:lang w:val="es-CR"/>
        </w:rPr>
        <w:t xml:space="preserve"> </w:t>
      </w:r>
      <w:r w:rsidRPr="003564A3">
        <w:rPr>
          <w:rFonts w:ascii="Verdana" w:hAnsi="Verdana"/>
          <w:sz w:val="16"/>
          <w:szCs w:val="16"/>
          <w:lang w:val="es-CR"/>
        </w:rPr>
        <w:tab/>
      </w:r>
      <w:r w:rsidRPr="00CD5C54">
        <w:rPr>
          <w:rFonts w:ascii="Verdana" w:hAnsi="Verdana"/>
          <w:i/>
          <w:sz w:val="16"/>
          <w:szCs w:val="16"/>
          <w:lang w:val="es-CR"/>
        </w:rPr>
        <w:t>Cfr.</w:t>
      </w:r>
      <w:r w:rsidRPr="003564A3">
        <w:rPr>
          <w:rFonts w:ascii="Verdana" w:hAnsi="Verdana"/>
          <w:sz w:val="16"/>
          <w:szCs w:val="16"/>
          <w:lang w:val="es-CR"/>
        </w:rPr>
        <w:t xml:space="preserve"> </w:t>
      </w:r>
      <w:r w:rsidRPr="008D0846">
        <w:rPr>
          <w:rFonts w:ascii="Verdana" w:hAnsi="Verdana"/>
          <w:i/>
          <w:sz w:val="16"/>
          <w:szCs w:val="16"/>
          <w:lang w:val="es-CR"/>
        </w:rPr>
        <w:t>Caso Velásquez Rodríguez Vs. Honduras. Reparaciones y Costas</w:t>
      </w:r>
      <w:r w:rsidRPr="003564A3">
        <w:rPr>
          <w:rFonts w:ascii="Verdana" w:hAnsi="Verdana"/>
          <w:sz w:val="16"/>
          <w:szCs w:val="16"/>
          <w:lang w:val="es-CR"/>
        </w:rPr>
        <w:t>. Sentencia de 21 de julio de 1989. Serie C No. 7, párr. 25</w:t>
      </w:r>
      <w:r>
        <w:rPr>
          <w:rFonts w:ascii="Verdana" w:hAnsi="Verdana"/>
          <w:sz w:val="16"/>
          <w:szCs w:val="16"/>
          <w:lang w:val="es-CR"/>
        </w:rPr>
        <w:t xml:space="preserve">, y </w:t>
      </w:r>
      <w:r w:rsidRPr="008D0846">
        <w:rPr>
          <w:rFonts w:ascii="Verdana" w:hAnsi="Verdana"/>
          <w:bCs/>
          <w:i/>
          <w:sz w:val="16"/>
          <w:szCs w:val="16"/>
        </w:rPr>
        <w:t>Caso López Soto y otros Vs. Venezuela. Fondo, Reparaciones y Costa</w:t>
      </w:r>
      <w:r>
        <w:rPr>
          <w:rFonts w:ascii="Verdana" w:hAnsi="Verdana"/>
          <w:bCs/>
          <w:i/>
          <w:sz w:val="16"/>
          <w:szCs w:val="16"/>
        </w:rPr>
        <w:t xml:space="preserve">s, supra, </w:t>
      </w:r>
      <w:r>
        <w:rPr>
          <w:rFonts w:ascii="Verdana" w:hAnsi="Verdana"/>
          <w:bCs/>
          <w:sz w:val="16"/>
          <w:szCs w:val="16"/>
        </w:rPr>
        <w:t>párr. 268</w:t>
      </w:r>
      <w:r w:rsidRPr="00BD5FEC">
        <w:rPr>
          <w:rFonts w:ascii="Verdana" w:hAnsi="Verdana"/>
          <w:sz w:val="16"/>
          <w:szCs w:val="16"/>
          <w:lang w:val="es-CR"/>
        </w:rPr>
        <w:t>.</w:t>
      </w:r>
    </w:p>
  </w:footnote>
  <w:footnote w:id="521">
    <w:p w14:paraId="0CA8D2B2" w14:textId="1030A2E4" w:rsidR="00146958" w:rsidRPr="003564A3" w:rsidRDefault="00146958">
      <w:pPr>
        <w:pStyle w:val="Textonotapie"/>
        <w:jc w:val="both"/>
        <w:rPr>
          <w:rFonts w:ascii="Verdana" w:hAnsi="Verdana"/>
          <w:sz w:val="16"/>
          <w:szCs w:val="16"/>
          <w:lang w:val="es-CR"/>
        </w:rPr>
      </w:pPr>
      <w:r w:rsidRPr="003564A3">
        <w:rPr>
          <w:rStyle w:val="Refdenotaalpie"/>
          <w:rFonts w:ascii="Verdana" w:hAnsi="Verdana"/>
          <w:sz w:val="16"/>
          <w:szCs w:val="16"/>
        </w:rPr>
        <w:footnoteRef/>
      </w:r>
      <w:r w:rsidRPr="003564A3">
        <w:rPr>
          <w:rFonts w:ascii="Verdana" w:hAnsi="Verdana"/>
          <w:sz w:val="16"/>
          <w:szCs w:val="16"/>
          <w:lang w:val="es-CR"/>
        </w:rPr>
        <w:t xml:space="preserve"> </w:t>
      </w:r>
      <w:r w:rsidRPr="003564A3">
        <w:rPr>
          <w:rFonts w:ascii="Verdana" w:hAnsi="Verdana"/>
          <w:sz w:val="16"/>
          <w:szCs w:val="16"/>
          <w:lang w:val="es-CR"/>
        </w:rPr>
        <w:tab/>
      </w:r>
      <w:r w:rsidRPr="00CD5C54">
        <w:rPr>
          <w:rFonts w:ascii="Verdana" w:hAnsi="Verdana"/>
          <w:i/>
          <w:sz w:val="16"/>
          <w:szCs w:val="16"/>
          <w:lang w:val="es-CR"/>
        </w:rPr>
        <w:t>Cfr.</w:t>
      </w:r>
      <w:r w:rsidRPr="008D0846">
        <w:rPr>
          <w:rFonts w:ascii="Verdana" w:hAnsi="Verdana"/>
          <w:i/>
          <w:sz w:val="16"/>
          <w:szCs w:val="16"/>
          <w:lang w:val="es-CR"/>
        </w:rPr>
        <w:t xml:space="preserve"> Caso Velásquez Rodríguez Vs. Honduras,</w:t>
      </w:r>
      <w:r w:rsidRPr="003564A3">
        <w:rPr>
          <w:rFonts w:ascii="Verdana" w:hAnsi="Verdana"/>
          <w:sz w:val="16"/>
          <w:szCs w:val="16"/>
          <w:lang w:val="es-CR"/>
        </w:rPr>
        <w:t xml:space="preserve"> </w:t>
      </w:r>
      <w:r>
        <w:rPr>
          <w:rFonts w:ascii="Verdana" w:hAnsi="Verdana"/>
          <w:i/>
          <w:sz w:val="16"/>
          <w:szCs w:val="16"/>
          <w:lang w:val="es-CR"/>
        </w:rPr>
        <w:t xml:space="preserve">supra, </w:t>
      </w:r>
      <w:r w:rsidRPr="003564A3">
        <w:rPr>
          <w:rFonts w:ascii="Verdana" w:hAnsi="Verdana"/>
          <w:sz w:val="16"/>
          <w:szCs w:val="16"/>
          <w:lang w:val="es-CR"/>
        </w:rPr>
        <w:t>párr. 26</w:t>
      </w:r>
      <w:r>
        <w:rPr>
          <w:rFonts w:ascii="Verdana" w:hAnsi="Verdana"/>
          <w:sz w:val="16"/>
          <w:szCs w:val="16"/>
          <w:lang w:val="es-CR"/>
        </w:rPr>
        <w:t xml:space="preserve">, y </w:t>
      </w:r>
      <w:r w:rsidRPr="008D0846">
        <w:rPr>
          <w:rFonts w:ascii="Verdana" w:hAnsi="Verdana"/>
          <w:bCs/>
          <w:sz w:val="16"/>
          <w:szCs w:val="16"/>
        </w:rPr>
        <w:t>Caso López Soto y otros Vs. Venezuela</w:t>
      </w:r>
      <w:r>
        <w:rPr>
          <w:rFonts w:ascii="Verdana" w:hAnsi="Verdana"/>
          <w:bCs/>
          <w:i/>
          <w:sz w:val="16"/>
          <w:szCs w:val="16"/>
        </w:rPr>
        <w:t xml:space="preserve">, supra, </w:t>
      </w:r>
      <w:r>
        <w:rPr>
          <w:rFonts w:ascii="Verdana" w:hAnsi="Verdana"/>
          <w:bCs/>
          <w:sz w:val="16"/>
          <w:szCs w:val="16"/>
        </w:rPr>
        <w:t>párr. 269</w:t>
      </w:r>
      <w:r w:rsidRPr="003564A3">
        <w:rPr>
          <w:rFonts w:ascii="Verdana" w:hAnsi="Verdana"/>
          <w:sz w:val="16"/>
          <w:szCs w:val="16"/>
          <w:lang w:val="es-CR"/>
        </w:rPr>
        <w:t>.</w:t>
      </w:r>
    </w:p>
  </w:footnote>
  <w:footnote w:id="522">
    <w:p w14:paraId="43A79C81" w14:textId="6F9F4EAE" w:rsidR="00146958" w:rsidRPr="003564A3" w:rsidRDefault="00146958">
      <w:pPr>
        <w:pStyle w:val="Textonotapie"/>
        <w:jc w:val="both"/>
        <w:rPr>
          <w:rFonts w:ascii="Verdana" w:hAnsi="Verdana"/>
          <w:sz w:val="16"/>
          <w:szCs w:val="16"/>
          <w:lang w:val="es-CR"/>
        </w:rPr>
      </w:pPr>
      <w:r w:rsidRPr="002769AC">
        <w:rPr>
          <w:rStyle w:val="Refdenotaalpie"/>
          <w:rFonts w:ascii="Verdana" w:hAnsi="Verdana"/>
          <w:sz w:val="16"/>
          <w:szCs w:val="16"/>
        </w:rPr>
        <w:footnoteRef/>
      </w:r>
      <w:r w:rsidRPr="002769AC">
        <w:rPr>
          <w:rFonts w:ascii="Verdana" w:hAnsi="Verdana"/>
          <w:sz w:val="16"/>
          <w:szCs w:val="16"/>
          <w:lang w:val="es-CR"/>
        </w:rPr>
        <w:t xml:space="preserve"> </w:t>
      </w:r>
      <w:r w:rsidRPr="002769AC">
        <w:rPr>
          <w:rFonts w:ascii="Verdana" w:hAnsi="Verdana"/>
          <w:sz w:val="16"/>
          <w:szCs w:val="16"/>
          <w:lang w:val="es-CR"/>
        </w:rPr>
        <w:tab/>
      </w:r>
      <w:r w:rsidRPr="00CD5C54">
        <w:rPr>
          <w:rFonts w:ascii="Verdana" w:hAnsi="Verdana"/>
          <w:i/>
          <w:sz w:val="16"/>
          <w:szCs w:val="16"/>
          <w:lang w:val="es-CR"/>
        </w:rPr>
        <w:t>Cfr.</w:t>
      </w:r>
      <w:r w:rsidRPr="00C92AEF">
        <w:rPr>
          <w:rFonts w:ascii="Verdana" w:hAnsi="Verdana"/>
          <w:i/>
          <w:sz w:val="16"/>
          <w:szCs w:val="16"/>
          <w:lang w:val="es-CR"/>
        </w:rPr>
        <w:t xml:space="preserve"> </w:t>
      </w:r>
      <w:r w:rsidRPr="008D0846">
        <w:rPr>
          <w:rFonts w:ascii="Verdana" w:hAnsi="Verdana"/>
          <w:bCs/>
          <w:i/>
          <w:sz w:val="16"/>
          <w:szCs w:val="16"/>
        </w:rPr>
        <w:t xml:space="preserve">Caso de la Masacre de Las Dos Erres Vs. Guatemala. Excepción Preliminar, Fondo, Reparaciones y Costas. </w:t>
      </w:r>
      <w:r w:rsidRPr="008D0846">
        <w:rPr>
          <w:rFonts w:ascii="Verdana" w:hAnsi="Verdana"/>
          <w:bCs/>
          <w:sz w:val="16"/>
          <w:szCs w:val="16"/>
        </w:rPr>
        <w:t>Sentencia de 24 de noviembre de 2009. Serie C No. 211</w:t>
      </w:r>
      <w:r w:rsidRPr="00C92AEF">
        <w:rPr>
          <w:rFonts w:ascii="Verdana" w:hAnsi="Verdana"/>
          <w:sz w:val="16"/>
          <w:szCs w:val="16"/>
          <w:lang w:val="es-CR"/>
        </w:rPr>
        <w:t xml:space="preserve">, párr. </w:t>
      </w:r>
      <w:r w:rsidRPr="008D0846">
        <w:rPr>
          <w:rFonts w:ascii="Verdana" w:hAnsi="Verdana"/>
          <w:sz w:val="16"/>
          <w:szCs w:val="16"/>
          <w:lang w:val="es-CR"/>
        </w:rPr>
        <w:t xml:space="preserve">226, y </w:t>
      </w:r>
      <w:r w:rsidRPr="008D0846">
        <w:rPr>
          <w:rFonts w:ascii="Verdana" w:hAnsi="Verdana"/>
          <w:bCs/>
          <w:i/>
          <w:sz w:val="16"/>
          <w:szCs w:val="16"/>
        </w:rPr>
        <w:t>Caso Ramírez Escobar y otros Vs. Guatemala. Fondo, Reparaciones y Costas</w:t>
      </w:r>
      <w:r w:rsidRPr="008D0846">
        <w:rPr>
          <w:rFonts w:ascii="Verdana" w:hAnsi="Verdana"/>
          <w:bCs/>
          <w:sz w:val="16"/>
          <w:szCs w:val="16"/>
        </w:rPr>
        <w:t>. Sentencia de 9 de marzo de 2018. Serie C No. 351, pár</w:t>
      </w:r>
      <w:r w:rsidRPr="00C92AEF">
        <w:rPr>
          <w:rFonts w:ascii="Verdana" w:hAnsi="Verdana"/>
          <w:sz w:val="16"/>
          <w:szCs w:val="16"/>
          <w:lang w:val="es-CR"/>
        </w:rPr>
        <w:t>r. 371.</w:t>
      </w:r>
    </w:p>
  </w:footnote>
  <w:footnote w:id="523">
    <w:p w14:paraId="102BD04A" w14:textId="37CDB90D" w:rsidR="00146958" w:rsidRPr="003564A3" w:rsidRDefault="00146958">
      <w:pPr>
        <w:pStyle w:val="Textonotapie"/>
        <w:jc w:val="both"/>
        <w:rPr>
          <w:rFonts w:ascii="Verdana" w:hAnsi="Verdana"/>
          <w:sz w:val="16"/>
          <w:szCs w:val="16"/>
          <w:lang w:val="es-CR"/>
        </w:rPr>
      </w:pPr>
      <w:r w:rsidRPr="003564A3">
        <w:rPr>
          <w:rStyle w:val="Refdenotaalpie"/>
          <w:rFonts w:ascii="Verdana" w:hAnsi="Verdana"/>
          <w:sz w:val="16"/>
          <w:szCs w:val="16"/>
        </w:rPr>
        <w:footnoteRef/>
      </w:r>
      <w:r w:rsidRPr="003564A3">
        <w:rPr>
          <w:rFonts w:ascii="Verdana" w:hAnsi="Verdana"/>
          <w:sz w:val="16"/>
          <w:szCs w:val="16"/>
          <w:lang w:val="es-CR"/>
        </w:rPr>
        <w:t xml:space="preserve"> </w:t>
      </w:r>
      <w:r w:rsidRPr="003564A3">
        <w:rPr>
          <w:rFonts w:ascii="Verdana" w:hAnsi="Verdana"/>
          <w:sz w:val="16"/>
          <w:szCs w:val="16"/>
          <w:lang w:val="es-CR"/>
        </w:rPr>
        <w:tab/>
      </w:r>
      <w:r w:rsidRPr="00CD5C54">
        <w:rPr>
          <w:rFonts w:ascii="Verdana" w:hAnsi="Verdana"/>
          <w:i/>
          <w:sz w:val="16"/>
          <w:szCs w:val="16"/>
          <w:lang w:val="es-CR"/>
        </w:rPr>
        <w:t>Cfr.</w:t>
      </w:r>
      <w:r w:rsidRPr="003564A3">
        <w:rPr>
          <w:rFonts w:ascii="Verdana" w:hAnsi="Verdana"/>
          <w:sz w:val="16"/>
          <w:szCs w:val="16"/>
          <w:lang w:val="es-CR"/>
        </w:rPr>
        <w:t xml:space="preserve"> </w:t>
      </w:r>
      <w:r w:rsidRPr="008D0846">
        <w:rPr>
          <w:rFonts w:ascii="Verdana" w:hAnsi="Verdana"/>
          <w:i/>
          <w:sz w:val="16"/>
          <w:szCs w:val="16"/>
          <w:lang w:val="es-CR"/>
        </w:rPr>
        <w:t>Caso Ticona Estrada y otros Vs. Bolivia. Fondo, Reparaciones y Costas</w:t>
      </w:r>
      <w:r w:rsidRPr="003564A3">
        <w:rPr>
          <w:rFonts w:ascii="Verdana" w:hAnsi="Verdana"/>
          <w:sz w:val="16"/>
          <w:szCs w:val="16"/>
          <w:lang w:val="es-CR"/>
        </w:rPr>
        <w:t>. Sentencia de 27 de noviembre de 2008. Serie C No. 191, párr. 110</w:t>
      </w:r>
      <w:r>
        <w:rPr>
          <w:rFonts w:ascii="Verdana" w:hAnsi="Verdana"/>
          <w:sz w:val="16"/>
          <w:szCs w:val="16"/>
          <w:lang w:val="es-CR"/>
        </w:rPr>
        <w:t xml:space="preserve">, y </w:t>
      </w:r>
      <w:r w:rsidRPr="008D0846">
        <w:rPr>
          <w:rFonts w:ascii="Verdana" w:hAnsi="Verdana"/>
          <w:bCs/>
          <w:i/>
          <w:sz w:val="16"/>
          <w:szCs w:val="16"/>
        </w:rPr>
        <w:t>Caso López Soto y otros Vs. Venezuela</w:t>
      </w:r>
      <w:r w:rsidRPr="001B17CF">
        <w:rPr>
          <w:rFonts w:ascii="Verdana" w:hAnsi="Verdana"/>
          <w:bCs/>
          <w:i/>
          <w:sz w:val="16"/>
          <w:szCs w:val="16"/>
        </w:rPr>
        <w:t>,</w:t>
      </w:r>
      <w:r w:rsidRPr="00F254AE">
        <w:rPr>
          <w:rFonts w:ascii="Verdana" w:hAnsi="Verdana"/>
          <w:bCs/>
          <w:i/>
          <w:sz w:val="16"/>
          <w:szCs w:val="16"/>
        </w:rPr>
        <w:t xml:space="preserve"> supra, </w:t>
      </w:r>
      <w:r w:rsidRPr="00F254AE">
        <w:rPr>
          <w:rFonts w:ascii="Verdana" w:hAnsi="Verdana"/>
          <w:bCs/>
          <w:sz w:val="16"/>
          <w:szCs w:val="16"/>
        </w:rPr>
        <w:t>párr.</w:t>
      </w:r>
      <w:r>
        <w:rPr>
          <w:rFonts w:ascii="Verdana" w:hAnsi="Verdana"/>
          <w:bCs/>
          <w:sz w:val="16"/>
          <w:szCs w:val="16"/>
        </w:rPr>
        <w:t xml:space="preserve"> 270.</w:t>
      </w:r>
    </w:p>
  </w:footnote>
  <w:footnote w:id="524">
    <w:p w14:paraId="7BE26F09" w14:textId="5A366ADF" w:rsidR="00146958" w:rsidRPr="003564A3" w:rsidRDefault="00146958">
      <w:pPr>
        <w:pStyle w:val="Textonotapie"/>
        <w:jc w:val="both"/>
        <w:rPr>
          <w:rFonts w:ascii="Verdana" w:hAnsi="Verdana"/>
          <w:sz w:val="16"/>
          <w:szCs w:val="16"/>
          <w:lang w:val="es-CR"/>
        </w:rPr>
      </w:pPr>
      <w:r w:rsidRPr="003564A3">
        <w:rPr>
          <w:rStyle w:val="Refdenotaalpie"/>
          <w:rFonts w:ascii="Verdana" w:hAnsi="Verdana"/>
          <w:sz w:val="16"/>
          <w:szCs w:val="16"/>
        </w:rPr>
        <w:footnoteRef/>
      </w:r>
      <w:r w:rsidRPr="003564A3">
        <w:rPr>
          <w:rFonts w:ascii="Verdana" w:hAnsi="Verdana"/>
          <w:sz w:val="16"/>
          <w:szCs w:val="16"/>
          <w:lang w:val="es-CR"/>
        </w:rPr>
        <w:t xml:space="preserve"> </w:t>
      </w:r>
      <w:r w:rsidRPr="003564A3">
        <w:rPr>
          <w:rFonts w:ascii="Verdana" w:hAnsi="Verdana"/>
          <w:sz w:val="16"/>
          <w:szCs w:val="16"/>
          <w:lang w:val="es-CR"/>
        </w:rPr>
        <w:tab/>
      </w:r>
      <w:r w:rsidRPr="00CD5C54">
        <w:rPr>
          <w:rFonts w:ascii="Verdana" w:hAnsi="Verdana"/>
          <w:i/>
          <w:sz w:val="16"/>
          <w:szCs w:val="16"/>
          <w:lang w:val="es-CR"/>
        </w:rPr>
        <w:t>Cfr.</w:t>
      </w:r>
      <w:r w:rsidRPr="008D0846">
        <w:rPr>
          <w:rFonts w:ascii="Verdana" w:hAnsi="Verdana"/>
          <w:sz w:val="16"/>
          <w:szCs w:val="16"/>
          <w:lang w:val="es-CR"/>
        </w:rPr>
        <w:t xml:space="preserve"> </w:t>
      </w:r>
      <w:r w:rsidRPr="00CB7722">
        <w:rPr>
          <w:rFonts w:ascii="Verdana" w:hAnsi="Verdana"/>
          <w:i/>
          <w:sz w:val="16"/>
          <w:szCs w:val="16"/>
          <w:lang w:val="es-CR"/>
        </w:rPr>
        <w:t>Caso Velásquez Rodríguez Vs. Honduras</w:t>
      </w:r>
      <w:r>
        <w:rPr>
          <w:rFonts w:ascii="Verdana" w:hAnsi="Verdana"/>
          <w:i/>
          <w:sz w:val="16"/>
          <w:szCs w:val="16"/>
          <w:lang w:val="es-CR"/>
        </w:rPr>
        <w:t>. Reparaciones, supra</w:t>
      </w:r>
      <w:r>
        <w:rPr>
          <w:rFonts w:ascii="Verdana" w:hAnsi="Verdana"/>
          <w:sz w:val="16"/>
          <w:szCs w:val="16"/>
          <w:lang w:val="es-CR"/>
        </w:rPr>
        <w:t>,</w:t>
      </w:r>
      <w:r w:rsidRPr="003564A3">
        <w:rPr>
          <w:rFonts w:ascii="Verdana" w:hAnsi="Verdana"/>
          <w:sz w:val="16"/>
          <w:szCs w:val="16"/>
          <w:lang w:val="es-CR"/>
        </w:rPr>
        <w:t xml:space="preserve"> párr. 25 </w:t>
      </w:r>
      <w:r>
        <w:rPr>
          <w:rFonts w:ascii="Verdana" w:hAnsi="Verdana"/>
          <w:sz w:val="16"/>
          <w:szCs w:val="16"/>
          <w:lang w:val="es-CR"/>
        </w:rPr>
        <w:t>y</w:t>
      </w:r>
      <w:r w:rsidRPr="003564A3">
        <w:rPr>
          <w:rFonts w:ascii="Verdana" w:hAnsi="Verdana"/>
          <w:sz w:val="16"/>
          <w:szCs w:val="16"/>
          <w:lang w:val="es-CR"/>
        </w:rPr>
        <w:t xml:space="preserve"> 27</w:t>
      </w:r>
      <w:r>
        <w:rPr>
          <w:rFonts w:ascii="Verdana" w:hAnsi="Verdana"/>
          <w:sz w:val="16"/>
          <w:szCs w:val="16"/>
          <w:lang w:val="es-CR"/>
        </w:rPr>
        <w:t xml:space="preserve">, y </w:t>
      </w:r>
      <w:r w:rsidRPr="008D0846">
        <w:rPr>
          <w:rFonts w:ascii="Verdana" w:hAnsi="Verdana"/>
          <w:bCs/>
          <w:i/>
          <w:sz w:val="16"/>
          <w:szCs w:val="16"/>
        </w:rPr>
        <w:t>Caso Terrones Silva y otros Vs. Perú</w:t>
      </w:r>
      <w:r>
        <w:rPr>
          <w:rFonts w:ascii="Verdana" w:hAnsi="Verdana"/>
          <w:bCs/>
          <w:i/>
          <w:sz w:val="16"/>
          <w:szCs w:val="16"/>
        </w:rPr>
        <w:t>, supra</w:t>
      </w:r>
      <w:r>
        <w:rPr>
          <w:rFonts w:ascii="Verdana" w:hAnsi="Verdana"/>
          <w:bCs/>
          <w:sz w:val="16"/>
          <w:szCs w:val="16"/>
        </w:rPr>
        <w:t>, párr</w:t>
      </w:r>
      <w:r w:rsidRPr="003564A3">
        <w:rPr>
          <w:rFonts w:ascii="Verdana" w:hAnsi="Verdana"/>
          <w:sz w:val="16"/>
          <w:szCs w:val="16"/>
          <w:lang w:val="es-CR"/>
        </w:rPr>
        <w:t>.</w:t>
      </w:r>
      <w:r>
        <w:rPr>
          <w:rFonts w:ascii="Verdana" w:hAnsi="Verdana"/>
          <w:sz w:val="16"/>
          <w:szCs w:val="16"/>
          <w:lang w:val="es-CR"/>
        </w:rPr>
        <w:t xml:space="preserve"> 238.</w:t>
      </w:r>
    </w:p>
  </w:footnote>
  <w:footnote w:id="525">
    <w:p w14:paraId="69985AB6" w14:textId="1507D61F" w:rsidR="00146958" w:rsidRPr="00244830" w:rsidRDefault="00146958">
      <w:pPr>
        <w:pStyle w:val="Textonotapie"/>
        <w:jc w:val="both"/>
        <w:rPr>
          <w:rFonts w:ascii="Verdana" w:hAnsi="Verdana"/>
          <w:sz w:val="16"/>
          <w:szCs w:val="16"/>
          <w:lang w:val="es-CR"/>
        </w:rPr>
      </w:pPr>
      <w:r w:rsidRPr="003564A3">
        <w:rPr>
          <w:rStyle w:val="Refdenotaalpie"/>
          <w:rFonts w:ascii="Verdana" w:hAnsi="Verdana"/>
          <w:sz w:val="16"/>
          <w:szCs w:val="16"/>
        </w:rPr>
        <w:footnoteRef/>
      </w:r>
      <w:r w:rsidRPr="003564A3">
        <w:rPr>
          <w:rFonts w:ascii="Verdana" w:hAnsi="Verdana"/>
          <w:sz w:val="16"/>
          <w:szCs w:val="16"/>
          <w:lang w:val="es-CR"/>
        </w:rPr>
        <w:t xml:space="preserve"> </w:t>
      </w:r>
      <w:r w:rsidRPr="003564A3">
        <w:rPr>
          <w:rFonts w:ascii="Verdana" w:hAnsi="Verdana"/>
          <w:sz w:val="16"/>
          <w:szCs w:val="16"/>
          <w:lang w:val="es-CR"/>
        </w:rPr>
        <w:tab/>
        <w:t>Artículo 63.2.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footnote>
  <w:footnote w:id="526">
    <w:p w14:paraId="7B351EB5" w14:textId="583515F8"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2C462C">
        <w:rPr>
          <w:rFonts w:ascii="Verdana" w:hAnsi="Verdana"/>
          <w:sz w:val="16"/>
          <w:szCs w:val="16"/>
          <w:lang w:val="es-CR"/>
        </w:rPr>
        <w:tab/>
        <w:t xml:space="preserve">Principalmente las concernientes a la búsqueda de los desaparecidos, las investigaciones al respecto, la protección a la integridad personal de los familiares y garantías para no ser desplazados. </w:t>
      </w:r>
      <w:r w:rsidRPr="00CD5C54">
        <w:rPr>
          <w:rFonts w:ascii="Verdana" w:hAnsi="Verdana"/>
          <w:i/>
          <w:sz w:val="16"/>
          <w:szCs w:val="16"/>
          <w:lang w:val="es-CR"/>
        </w:rPr>
        <w:t>Cfr.</w:t>
      </w:r>
      <w:r w:rsidRPr="00432ABC">
        <w:rPr>
          <w:rFonts w:ascii="Verdana" w:hAnsi="Verdana"/>
          <w:i/>
          <w:sz w:val="16"/>
          <w:szCs w:val="16"/>
          <w:lang w:val="es-CR"/>
        </w:rPr>
        <w:t xml:space="preserve"> Asunto Eloisa Barrios y otros re</w:t>
      </w:r>
      <w:r>
        <w:rPr>
          <w:rFonts w:ascii="Verdana" w:hAnsi="Verdana"/>
          <w:i/>
          <w:sz w:val="16"/>
          <w:szCs w:val="16"/>
          <w:lang w:val="es-CR"/>
        </w:rPr>
        <w:t>s</w:t>
      </w:r>
      <w:r w:rsidRPr="00432ABC">
        <w:rPr>
          <w:rFonts w:ascii="Verdana" w:hAnsi="Verdana"/>
          <w:i/>
          <w:sz w:val="16"/>
          <w:szCs w:val="16"/>
          <w:lang w:val="es-CR"/>
        </w:rPr>
        <w:t>pecto Venezuela. Medidas Provisionales.</w:t>
      </w:r>
      <w:r w:rsidRPr="00432ABC">
        <w:rPr>
          <w:rFonts w:ascii="Verdana" w:hAnsi="Verdana"/>
          <w:sz w:val="16"/>
          <w:szCs w:val="16"/>
          <w:lang w:val="es-CR"/>
        </w:rPr>
        <w:t xml:space="preserve"> Resolución de la Corte </w:t>
      </w:r>
      <w:r>
        <w:rPr>
          <w:rFonts w:ascii="Verdana" w:hAnsi="Verdana"/>
          <w:sz w:val="16"/>
          <w:szCs w:val="16"/>
          <w:lang w:val="es-CR"/>
        </w:rPr>
        <w:t>I</w:t>
      </w:r>
      <w:r w:rsidRPr="00432ABC">
        <w:rPr>
          <w:rFonts w:ascii="Verdana" w:hAnsi="Verdana"/>
          <w:sz w:val="16"/>
          <w:szCs w:val="16"/>
          <w:lang w:val="es-CR"/>
        </w:rPr>
        <w:t>D</w:t>
      </w:r>
      <w:r>
        <w:rPr>
          <w:rFonts w:ascii="Verdana" w:hAnsi="Verdana"/>
          <w:sz w:val="16"/>
          <w:szCs w:val="16"/>
          <w:lang w:val="es-CR"/>
        </w:rPr>
        <w:t>H</w:t>
      </w:r>
      <w:r w:rsidRPr="00432ABC">
        <w:rPr>
          <w:rFonts w:ascii="Verdana" w:hAnsi="Verdana"/>
          <w:sz w:val="16"/>
          <w:szCs w:val="16"/>
          <w:lang w:val="es-CR"/>
        </w:rPr>
        <w:t xml:space="preserve"> de 29 de junio de 2005</w:t>
      </w:r>
      <w:r>
        <w:rPr>
          <w:rFonts w:ascii="Verdana" w:hAnsi="Verdana"/>
          <w:bCs/>
          <w:sz w:val="16"/>
          <w:szCs w:val="16"/>
        </w:rPr>
        <w:t xml:space="preserve">. </w:t>
      </w:r>
      <w:r>
        <w:rPr>
          <w:rFonts w:ascii="Verdana" w:hAnsi="Verdana"/>
          <w:sz w:val="16"/>
          <w:szCs w:val="16"/>
          <w:lang w:val="es-CR"/>
        </w:rPr>
        <w:t xml:space="preserve">Véanse también: </w:t>
      </w:r>
      <w:r w:rsidRPr="00CD5C54">
        <w:rPr>
          <w:rFonts w:ascii="Verdana" w:hAnsi="Verdana"/>
          <w:i/>
          <w:sz w:val="16"/>
          <w:szCs w:val="16"/>
          <w:lang w:val="es-CR"/>
        </w:rPr>
        <w:t>Cfr.</w:t>
      </w:r>
      <w:r w:rsidRPr="00432ABC">
        <w:rPr>
          <w:rFonts w:ascii="Verdana" w:hAnsi="Verdana"/>
          <w:sz w:val="16"/>
          <w:szCs w:val="16"/>
          <w:lang w:val="es-CR"/>
        </w:rPr>
        <w:t xml:space="preserve"> </w:t>
      </w:r>
      <w:r w:rsidRPr="00432ABC">
        <w:rPr>
          <w:rFonts w:ascii="Verdana" w:hAnsi="Verdana"/>
          <w:sz w:val="16"/>
          <w:szCs w:val="16"/>
        </w:rPr>
        <w:t>TEDH.</w:t>
      </w:r>
      <w:r w:rsidRPr="00432ABC">
        <w:rPr>
          <w:rFonts w:ascii="Verdana" w:hAnsi="Verdana"/>
          <w:i/>
          <w:sz w:val="16"/>
          <w:szCs w:val="16"/>
        </w:rPr>
        <w:t xml:space="preserve"> Mamatkulov y Askarov vs. Turquía</w:t>
      </w:r>
      <w:r w:rsidRPr="00432ABC">
        <w:rPr>
          <w:rFonts w:ascii="Verdana" w:hAnsi="Verdana"/>
          <w:sz w:val="16"/>
          <w:szCs w:val="16"/>
        </w:rPr>
        <w:t>, Nos. 46827/99 y 46951/99. Sentencia de 4 de febrero de 2005, párr. 128</w:t>
      </w:r>
      <w:r w:rsidRPr="00432ABC">
        <w:rPr>
          <w:rFonts w:ascii="Verdana" w:hAnsi="Verdana"/>
          <w:i/>
          <w:sz w:val="16"/>
          <w:szCs w:val="16"/>
        </w:rPr>
        <w:t xml:space="preserve">; Paladi vs. Moldavia </w:t>
      </w:r>
      <w:r w:rsidRPr="00432ABC">
        <w:rPr>
          <w:rFonts w:ascii="Verdana" w:hAnsi="Verdana"/>
          <w:sz w:val="16"/>
          <w:szCs w:val="16"/>
        </w:rPr>
        <w:t>[GS], No. 39806/05. Sentencia de 10 de marzo de 2009, párrs. 104 a 106</w:t>
      </w:r>
      <w:r w:rsidRPr="00432ABC">
        <w:rPr>
          <w:rFonts w:ascii="Verdana" w:hAnsi="Verdana"/>
          <w:i/>
          <w:sz w:val="16"/>
          <w:szCs w:val="16"/>
        </w:rPr>
        <w:t xml:space="preserve">, y Asunto Olaechea Cahuas vs. España, </w:t>
      </w:r>
      <w:r w:rsidRPr="00432ABC">
        <w:rPr>
          <w:rFonts w:ascii="Verdana" w:hAnsi="Verdana"/>
          <w:sz w:val="16"/>
          <w:szCs w:val="16"/>
        </w:rPr>
        <w:t>No. 24668/03. Sentencia de 10 de agosto de 2006, párrs. 65 a 83</w:t>
      </w:r>
      <w:r>
        <w:rPr>
          <w:rFonts w:ascii="Verdana" w:hAnsi="Verdana"/>
          <w:sz w:val="16"/>
          <w:szCs w:val="16"/>
        </w:rPr>
        <w:t xml:space="preserve">. </w:t>
      </w:r>
    </w:p>
  </w:footnote>
  <w:footnote w:id="527">
    <w:p w14:paraId="3FE812C5" w14:textId="079A23E0" w:rsidR="00146958" w:rsidRPr="00AE5BB6" w:rsidRDefault="00146958">
      <w:pPr>
        <w:pStyle w:val="Sinespaciado"/>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4F5ADE">
        <w:rPr>
          <w:rFonts w:ascii="Verdana" w:hAnsi="Verdana"/>
          <w:i/>
          <w:sz w:val="16"/>
          <w:szCs w:val="16"/>
        </w:rPr>
        <w:t xml:space="preserve"> </w:t>
      </w:r>
      <w:r w:rsidRPr="008D0846">
        <w:rPr>
          <w:rFonts w:ascii="Verdana" w:hAnsi="Verdana"/>
          <w:bCs/>
          <w:i/>
          <w:sz w:val="16"/>
          <w:szCs w:val="16"/>
          <w:lang w:val="es-MX"/>
        </w:rPr>
        <w:t xml:space="preserve">Asunto Pobladores de las Comunidades del Pueblo Indígena Miskitu de la Región Costa Caribe Norte respecto de Nicaragua. Ampliación de Medidas Provisionales. </w:t>
      </w:r>
      <w:r w:rsidRPr="008D0846">
        <w:rPr>
          <w:rFonts w:ascii="Verdana" w:hAnsi="Verdana"/>
          <w:bCs/>
          <w:sz w:val="16"/>
          <w:szCs w:val="16"/>
          <w:lang w:val="es-MX"/>
        </w:rPr>
        <w:t xml:space="preserve">Resolución de la Corte </w:t>
      </w:r>
      <w:r>
        <w:rPr>
          <w:rFonts w:ascii="Verdana" w:hAnsi="Verdana"/>
          <w:bCs/>
          <w:sz w:val="16"/>
          <w:szCs w:val="16"/>
          <w:lang w:val="es-MX"/>
        </w:rPr>
        <w:t>IDH</w:t>
      </w:r>
      <w:r w:rsidRPr="008D0846">
        <w:rPr>
          <w:rFonts w:ascii="Verdana" w:hAnsi="Verdana"/>
          <w:bCs/>
          <w:sz w:val="16"/>
          <w:szCs w:val="16"/>
          <w:lang w:val="es-MX"/>
        </w:rPr>
        <w:t xml:space="preserve"> de 23 de agosto de 2018</w:t>
      </w:r>
      <w:r>
        <w:rPr>
          <w:rFonts w:ascii="Verdana" w:hAnsi="Verdana"/>
          <w:bCs/>
          <w:sz w:val="16"/>
          <w:szCs w:val="16"/>
          <w:lang w:val="es-MX"/>
        </w:rPr>
        <w:t>. Considerando 3.</w:t>
      </w:r>
    </w:p>
  </w:footnote>
  <w:footnote w:id="528">
    <w:p w14:paraId="4524E390" w14:textId="3CED4978" w:rsidR="00146958" w:rsidRPr="00432ABC" w:rsidRDefault="00146958">
      <w:pPr>
        <w:pStyle w:val="Sinespaciado"/>
        <w:jc w:val="both"/>
        <w:rPr>
          <w:rFonts w:ascii="Verdana" w:hAnsi="Verdana" w:cs="Arial"/>
          <w:sz w:val="16"/>
          <w:szCs w:val="16"/>
        </w:rPr>
      </w:pPr>
      <w:r w:rsidRPr="00432ABC">
        <w:rPr>
          <w:rStyle w:val="Refdenotaalpie"/>
          <w:rFonts w:ascii="Verdana" w:hAnsi="Verdana" w:cs="Arial"/>
          <w:sz w:val="16"/>
          <w:szCs w:val="16"/>
        </w:rPr>
        <w:footnoteRef/>
      </w:r>
      <w:r w:rsidRPr="00432ABC">
        <w:rPr>
          <w:rFonts w:ascii="Verdana" w:hAnsi="Verdana" w:cs="Arial"/>
          <w:sz w:val="16"/>
          <w:szCs w:val="16"/>
        </w:rPr>
        <w:t xml:space="preserve"> </w:t>
      </w:r>
      <w:r w:rsidRPr="00432ABC">
        <w:rPr>
          <w:rFonts w:ascii="Verdana" w:hAnsi="Verdana" w:cs="Arial"/>
          <w:sz w:val="16"/>
          <w:szCs w:val="16"/>
        </w:rPr>
        <w:tab/>
      </w:r>
      <w:r w:rsidRPr="00CD5C54">
        <w:rPr>
          <w:rFonts w:ascii="Verdana" w:hAnsi="Verdana" w:cs="Arial"/>
          <w:i/>
          <w:sz w:val="16"/>
          <w:szCs w:val="16"/>
        </w:rPr>
        <w:t>Cfr.</w:t>
      </w:r>
      <w:r>
        <w:rPr>
          <w:rFonts w:ascii="Verdana" w:hAnsi="Verdana" w:cs="Arial"/>
          <w:sz w:val="16"/>
          <w:szCs w:val="16"/>
        </w:rPr>
        <w:t xml:space="preserve"> </w:t>
      </w:r>
      <w:r w:rsidRPr="008D0846">
        <w:rPr>
          <w:rFonts w:ascii="Verdana" w:hAnsi="Verdana" w:cs="Arial"/>
          <w:bCs/>
          <w:i/>
          <w:sz w:val="16"/>
          <w:szCs w:val="16"/>
          <w:lang w:val="es-MX"/>
        </w:rPr>
        <w:t>Asunto Alvarado Reyes y otros respecto de México. Medidas Provisionales</w:t>
      </w:r>
      <w:r w:rsidRPr="008D0846">
        <w:rPr>
          <w:rFonts w:ascii="Verdana" w:hAnsi="Verdana" w:cs="Arial"/>
          <w:bCs/>
          <w:sz w:val="16"/>
          <w:szCs w:val="16"/>
          <w:lang w:val="es-MX"/>
        </w:rPr>
        <w:t>.</w:t>
      </w:r>
      <w:r w:rsidRPr="008D0846">
        <w:rPr>
          <w:rFonts w:ascii="Verdana" w:hAnsi="Verdana" w:cs="Arial"/>
          <w:bCs/>
          <w:i/>
          <w:sz w:val="16"/>
          <w:szCs w:val="16"/>
          <w:lang w:val="es-MX"/>
        </w:rPr>
        <w:t xml:space="preserve"> </w:t>
      </w:r>
      <w:r w:rsidRPr="008D0846">
        <w:rPr>
          <w:rFonts w:ascii="Verdana" w:hAnsi="Verdana" w:cs="Arial"/>
          <w:bCs/>
          <w:sz w:val="16"/>
          <w:szCs w:val="16"/>
          <w:lang w:val="es-MX"/>
        </w:rPr>
        <w:t xml:space="preserve">Resolución de la Corte </w:t>
      </w:r>
      <w:r>
        <w:rPr>
          <w:rFonts w:ascii="Verdana" w:hAnsi="Verdana" w:cs="Arial"/>
          <w:bCs/>
          <w:sz w:val="16"/>
          <w:szCs w:val="16"/>
          <w:lang w:val="es-MX"/>
        </w:rPr>
        <w:t>IDH</w:t>
      </w:r>
      <w:r w:rsidRPr="008D0846">
        <w:rPr>
          <w:rFonts w:ascii="Verdana" w:hAnsi="Verdana" w:cs="Arial"/>
          <w:bCs/>
          <w:sz w:val="16"/>
          <w:szCs w:val="16"/>
          <w:lang w:val="es-MX"/>
        </w:rPr>
        <w:t xml:space="preserve"> de 14 de marzo de 2018.</w:t>
      </w:r>
      <w:r w:rsidRPr="008D0846">
        <w:rPr>
          <w:rFonts w:ascii="Verdana" w:hAnsi="Verdana" w:cs="Arial"/>
          <w:bCs/>
          <w:i/>
          <w:sz w:val="16"/>
          <w:szCs w:val="16"/>
          <w:lang w:val="es-MX"/>
        </w:rPr>
        <w:t xml:space="preserve"> </w:t>
      </w:r>
      <w:r w:rsidRPr="00432ABC">
        <w:rPr>
          <w:rFonts w:ascii="Verdana" w:hAnsi="Verdana" w:cs="Arial"/>
          <w:sz w:val="16"/>
          <w:szCs w:val="16"/>
        </w:rPr>
        <w:t xml:space="preserve">Considerando </w:t>
      </w:r>
      <w:r>
        <w:rPr>
          <w:rFonts w:ascii="Verdana" w:hAnsi="Verdana" w:cs="Arial"/>
          <w:sz w:val="16"/>
          <w:szCs w:val="16"/>
        </w:rPr>
        <w:t>3</w:t>
      </w:r>
      <w:r w:rsidRPr="00432ABC">
        <w:rPr>
          <w:rFonts w:ascii="Verdana" w:hAnsi="Verdana" w:cs="Arial"/>
          <w:sz w:val="16"/>
          <w:szCs w:val="16"/>
        </w:rPr>
        <w:t xml:space="preserve">: “En el Derecho Internacional de los Derechos Humanos las medidas provisionales tienen un carácter no sólo cautelar, en el sentido de que preservan una situación jurídica, sino fundamentalmente tutelar, por cuanto protegen derechos humanos, en la medida en que buscan evitar daños irreparables a las personas. Las medidas se aplican siempre y cuando se reúnan los requisitos básicos de extrema gravedad y urgencia y de la prevención de daños irreparables a las personas. De esta manera, las medidas provisionales se transforman en una verdadera garantía jurisdiccional de carácter preventivo”. </w:t>
      </w:r>
    </w:p>
  </w:footnote>
  <w:footnote w:id="529">
    <w:p w14:paraId="7345540E" w14:textId="0BACBAF2" w:rsidR="00146958" w:rsidRPr="008D0846" w:rsidRDefault="00146958">
      <w:pPr>
        <w:pStyle w:val="Sinespaciado"/>
        <w:jc w:val="both"/>
        <w:rPr>
          <w:rFonts w:ascii="Verdana" w:hAnsi="Verdana"/>
          <w:i/>
          <w:sz w:val="16"/>
          <w:szCs w:val="16"/>
        </w:rPr>
      </w:pPr>
      <w:r w:rsidRPr="00753A59">
        <w:rPr>
          <w:rStyle w:val="Refdenotaalpie"/>
          <w:rFonts w:ascii="Verdana" w:hAnsi="Verdana"/>
          <w:sz w:val="16"/>
          <w:szCs w:val="16"/>
        </w:rPr>
        <w:footnoteRef/>
      </w:r>
      <w:r w:rsidRPr="0054076B">
        <w:rPr>
          <w:rFonts w:ascii="Verdana" w:hAnsi="Verdana"/>
          <w:sz w:val="16"/>
          <w:szCs w:val="16"/>
        </w:rPr>
        <w:t xml:space="preserve"> </w:t>
      </w:r>
      <w:r w:rsidRPr="0054076B">
        <w:rPr>
          <w:rFonts w:ascii="Verdana" w:hAnsi="Verdana"/>
          <w:sz w:val="16"/>
          <w:szCs w:val="16"/>
        </w:rPr>
        <w:tab/>
      </w:r>
      <w:r w:rsidRPr="00CD5C54">
        <w:rPr>
          <w:rFonts w:ascii="Verdana" w:hAnsi="Verdana"/>
          <w:i/>
          <w:sz w:val="16"/>
          <w:szCs w:val="16"/>
        </w:rPr>
        <w:t>Cfr.</w:t>
      </w:r>
      <w:r w:rsidRPr="00A44289">
        <w:rPr>
          <w:rFonts w:ascii="Verdana" w:hAnsi="Verdana"/>
          <w:sz w:val="16"/>
          <w:szCs w:val="16"/>
        </w:rPr>
        <w:t xml:space="preserve"> </w:t>
      </w:r>
      <w:r w:rsidRPr="00A44289">
        <w:rPr>
          <w:rFonts w:ascii="Verdana" w:hAnsi="Verdana"/>
          <w:i/>
          <w:sz w:val="16"/>
          <w:szCs w:val="16"/>
        </w:rPr>
        <w:t>Mutatis mutandi,</w:t>
      </w:r>
      <w:r w:rsidRPr="00753A59">
        <w:rPr>
          <w:rFonts w:ascii="Verdana" w:hAnsi="Verdana"/>
          <w:sz w:val="16"/>
          <w:szCs w:val="16"/>
        </w:rPr>
        <w:t xml:space="preserve"> </w:t>
      </w:r>
      <w:r w:rsidRPr="008D0846">
        <w:rPr>
          <w:rFonts w:ascii="Verdana" w:hAnsi="Verdana"/>
          <w:bCs/>
          <w:i/>
          <w:sz w:val="16"/>
          <w:szCs w:val="16"/>
          <w:lang w:val="es-MX"/>
        </w:rPr>
        <w:t>Caso de la Comunidad Mayagna (Sumo) Awas Tingni respecto de Nicaragua. Medidas Provisionales</w:t>
      </w:r>
      <w:r w:rsidRPr="008D0846">
        <w:rPr>
          <w:rFonts w:ascii="Verdana" w:hAnsi="Verdana"/>
          <w:bCs/>
          <w:sz w:val="16"/>
          <w:szCs w:val="16"/>
          <w:lang w:val="es-MX"/>
        </w:rPr>
        <w:t xml:space="preserve">. Resolución de la Corte </w:t>
      </w:r>
      <w:r w:rsidRPr="00753A59">
        <w:rPr>
          <w:rFonts w:ascii="Verdana" w:hAnsi="Verdana"/>
          <w:bCs/>
          <w:sz w:val="16"/>
          <w:szCs w:val="16"/>
          <w:lang w:val="es-MX"/>
        </w:rPr>
        <w:t>IDH</w:t>
      </w:r>
      <w:r w:rsidRPr="008D0846">
        <w:rPr>
          <w:rFonts w:ascii="Verdana" w:hAnsi="Verdana"/>
          <w:bCs/>
          <w:sz w:val="16"/>
          <w:szCs w:val="16"/>
          <w:lang w:val="es-MX"/>
        </w:rPr>
        <w:t xml:space="preserve"> de 26 de noviembre de 2007, Considerando 11. Asimismo, </w:t>
      </w:r>
      <w:r w:rsidRPr="00CD5C54">
        <w:rPr>
          <w:rFonts w:ascii="Verdana" w:hAnsi="Verdana"/>
          <w:bCs/>
          <w:i/>
          <w:sz w:val="16"/>
          <w:szCs w:val="16"/>
          <w:lang w:val="es-MX"/>
        </w:rPr>
        <w:t>Cfr.</w:t>
      </w:r>
      <w:r w:rsidRPr="008D0846">
        <w:rPr>
          <w:rFonts w:ascii="Verdana" w:hAnsi="Verdana"/>
          <w:bCs/>
          <w:sz w:val="16"/>
          <w:szCs w:val="16"/>
          <w:lang w:val="es-MX"/>
        </w:rPr>
        <w:t xml:space="preserve"> </w:t>
      </w:r>
      <w:r w:rsidRPr="008D0846">
        <w:rPr>
          <w:rFonts w:ascii="Verdana" w:hAnsi="Verdana"/>
          <w:bCs/>
          <w:i/>
          <w:sz w:val="16"/>
          <w:szCs w:val="16"/>
          <w:lang w:val="es-MX"/>
        </w:rPr>
        <w:t>Caso Gutiérrez Soler Vs. Colombia. Medidas Provisionales</w:t>
      </w:r>
      <w:r w:rsidRPr="008D0846">
        <w:rPr>
          <w:rFonts w:ascii="Verdana" w:hAnsi="Verdana"/>
          <w:bCs/>
          <w:sz w:val="16"/>
          <w:szCs w:val="16"/>
          <w:lang w:val="es-MX"/>
        </w:rPr>
        <w:t>. Resolución de la Corte IDH de 30 de junio de 2011;</w:t>
      </w:r>
      <w:r w:rsidRPr="008D0846">
        <w:rPr>
          <w:rFonts w:ascii="Verdana" w:hAnsi="Verdana"/>
          <w:bCs/>
          <w:i/>
          <w:sz w:val="16"/>
          <w:szCs w:val="16"/>
          <w:lang w:val="es-MX"/>
        </w:rPr>
        <w:t xml:space="preserve"> Asunto Rosendo Cantú y otra respecto de México. Medidas Provisionales</w:t>
      </w:r>
      <w:r w:rsidRPr="008D0846">
        <w:rPr>
          <w:rFonts w:ascii="Verdana" w:hAnsi="Verdana"/>
          <w:bCs/>
          <w:sz w:val="16"/>
          <w:szCs w:val="16"/>
          <w:lang w:val="es-MX"/>
        </w:rPr>
        <w:t xml:space="preserve">. Resolución de Corte IDH de 1 de julio de 2011; </w:t>
      </w:r>
      <w:r w:rsidRPr="008D0846">
        <w:rPr>
          <w:rStyle w:val="Textoennegrita"/>
          <w:rFonts w:ascii="Verdana" w:hAnsi="Verdana"/>
          <w:b w:val="0"/>
          <w:i/>
          <w:color w:val="000000"/>
          <w:sz w:val="16"/>
          <w:szCs w:val="16"/>
          <w:shd w:val="clear" w:color="auto" w:fill="FFFFFF"/>
        </w:rPr>
        <w:t>Caso Kawas Fernández Vs. Honduras. Medidas Provisionales</w:t>
      </w:r>
      <w:r w:rsidRPr="008D0846">
        <w:rPr>
          <w:rStyle w:val="Textoennegrita"/>
          <w:rFonts w:ascii="Verdana" w:hAnsi="Verdana"/>
          <w:b w:val="0"/>
          <w:color w:val="000000"/>
          <w:sz w:val="16"/>
          <w:szCs w:val="16"/>
          <w:shd w:val="clear" w:color="auto" w:fill="FFFFFF"/>
        </w:rPr>
        <w:t xml:space="preserve">. Resolución de la Corte </w:t>
      </w:r>
      <w:r w:rsidRPr="008D0846">
        <w:rPr>
          <w:rFonts w:ascii="Verdana" w:hAnsi="Verdana"/>
          <w:bCs/>
          <w:sz w:val="16"/>
          <w:szCs w:val="16"/>
          <w:lang w:val="es-MX"/>
        </w:rPr>
        <w:t xml:space="preserve">IDH </w:t>
      </w:r>
      <w:r w:rsidRPr="008D0846">
        <w:rPr>
          <w:rStyle w:val="Textoennegrita"/>
          <w:rFonts w:ascii="Verdana" w:hAnsi="Verdana"/>
          <w:b w:val="0"/>
          <w:color w:val="000000"/>
          <w:sz w:val="16"/>
          <w:szCs w:val="16"/>
          <w:shd w:val="clear" w:color="auto" w:fill="FFFFFF"/>
        </w:rPr>
        <w:t>de 5 de julio de 2011</w:t>
      </w:r>
      <w:r w:rsidRPr="00753A59">
        <w:rPr>
          <w:rStyle w:val="Textoennegrita"/>
          <w:rFonts w:ascii="Verdana" w:hAnsi="Verdana"/>
          <w:b w:val="0"/>
          <w:color w:val="000000"/>
          <w:sz w:val="16"/>
          <w:szCs w:val="16"/>
          <w:shd w:val="clear" w:color="auto" w:fill="FFFFFF"/>
        </w:rPr>
        <w:t>;</w:t>
      </w:r>
      <w:r w:rsidRPr="008D0846">
        <w:rPr>
          <w:rFonts w:ascii="Verdana" w:hAnsi="Verdana"/>
          <w:bCs/>
          <w:sz w:val="16"/>
          <w:szCs w:val="16"/>
          <w:lang w:val="es-MX"/>
        </w:rPr>
        <w:t xml:space="preserve"> </w:t>
      </w:r>
      <w:r w:rsidRPr="008D0846">
        <w:rPr>
          <w:rStyle w:val="Textoennegrita"/>
          <w:rFonts w:ascii="Verdana" w:hAnsi="Verdana"/>
          <w:b w:val="0"/>
          <w:i/>
          <w:color w:val="000000"/>
          <w:sz w:val="16"/>
          <w:szCs w:val="16"/>
          <w:shd w:val="clear" w:color="auto" w:fill="FFFFFF"/>
        </w:rPr>
        <w:t>Asunto Millacura Llaipén y otros respecto de Argentina. Medidas Provisionales</w:t>
      </w:r>
      <w:r w:rsidRPr="008D0846">
        <w:rPr>
          <w:rStyle w:val="Textoennegrita"/>
          <w:rFonts w:ascii="Verdana" w:hAnsi="Verdana"/>
          <w:b w:val="0"/>
          <w:color w:val="000000"/>
          <w:sz w:val="16"/>
          <w:szCs w:val="16"/>
          <w:shd w:val="clear" w:color="auto" w:fill="FFFFFF"/>
        </w:rPr>
        <w:t xml:space="preserve">. Resolución de la Corte </w:t>
      </w:r>
      <w:r w:rsidRPr="008D0846">
        <w:rPr>
          <w:rFonts w:ascii="Verdana" w:hAnsi="Verdana"/>
          <w:bCs/>
          <w:sz w:val="16"/>
          <w:szCs w:val="16"/>
          <w:lang w:val="es-MX"/>
        </w:rPr>
        <w:t xml:space="preserve">IDH </w:t>
      </w:r>
      <w:r w:rsidRPr="008D0846">
        <w:rPr>
          <w:rStyle w:val="Textoennegrita"/>
          <w:rFonts w:ascii="Verdana" w:hAnsi="Verdana"/>
          <w:b w:val="0"/>
          <w:color w:val="000000"/>
          <w:sz w:val="16"/>
          <w:szCs w:val="16"/>
          <w:shd w:val="clear" w:color="auto" w:fill="FFFFFF"/>
        </w:rPr>
        <w:t>de 25 de noviembre de 2011,</w:t>
      </w:r>
      <w:r w:rsidRPr="008D0846">
        <w:rPr>
          <w:rFonts w:ascii="Verdana" w:hAnsi="Verdana"/>
          <w:bCs/>
          <w:sz w:val="16"/>
          <w:szCs w:val="16"/>
          <w:lang w:val="es-MX"/>
        </w:rPr>
        <w:t xml:space="preserve"> y </w:t>
      </w:r>
      <w:r w:rsidRPr="008D0846">
        <w:rPr>
          <w:rFonts w:ascii="Verdana" w:hAnsi="Verdana"/>
          <w:bCs/>
          <w:i/>
          <w:sz w:val="16"/>
          <w:szCs w:val="16"/>
          <w:lang w:val="es-MX"/>
        </w:rPr>
        <w:t xml:space="preserve">Caso Fernández Ortega y otros Vs. México. Medidas Provisionales. </w:t>
      </w:r>
      <w:r w:rsidRPr="008D0846">
        <w:rPr>
          <w:rFonts w:ascii="Verdana" w:hAnsi="Verdana"/>
          <w:bCs/>
          <w:sz w:val="16"/>
          <w:szCs w:val="16"/>
          <w:lang w:val="es-MX"/>
        </w:rPr>
        <w:t>Resolución de la Corte IDH de 20 de febrero de 2012</w:t>
      </w:r>
      <w:r w:rsidRPr="00753A59">
        <w:rPr>
          <w:rFonts w:ascii="Verdana" w:hAnsi="Verdana"/>
          <w:bCs/>
          <w:sz w:val="16"/>
          <w:szCs w:val="16"/>
          <w:lang w:val="es-MX"/>
        </w:rPr>
        <w:t xml:space="preserve">. </w:t>
      </w:r>
    </w:p>
  </w:footnote>
  <w:footnote w:id="530">
    <w:p w14:paraId="586AA5CB" w14:textId="352F4222" w:rsidR="00146958" w:rsidRPr="00432ABC"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432ABC">
        <w:rPr>
          <w:rFonts w:ascii="Verdana" w:hAnsi="Verdana"/>
          <w:sz w:val="16"/>
          <w:szCs w:val="16"/>
        </w:rPr>
        <w:tab/>
      </w:r>
      <w:r w:rsidRPr="00CD5C54">
        <w:rPr>
          <w:rFonts w:ascii="Verdana" w:hAnsi="Verdana"/>
          <w:i/>
          <w:sz w:val="16"/>
          <w:szCs w:val="16"/>
        </w:rPr>
        <w:t>Cfr.</w:t>
      </w:r>
      <w:r w:rsidRPr="002C462C">
        <w:rPr>
          <w:rFonts w:ascii="Verdana" w:hAnsi="Verdana"/>
          <w:sz w:val="16"/>
          <w:szCs w:val="16"/>
        </w:rPr>
        <w:t xml:space="preserve"> </w:t>
      </w:r>
      <w:r w:rsidRPr="00432ABC">
        <w:rPr>
          <w:rStyle w:val="Textoennegrita"/>
          <w:rFonts w:ascii="Verdana" w:hAnsi="Verdana"/>
          <w:b w:val="0"/>
          <w:i/>
          <w:color w:val="000000"/>
          <w:sz w:val="16"/>
          <w:szCs w:val="16"/>
          <w:shd w:val="clear" w:color="auto" w:fill="FFFFFF"/>
        </w:rPr>
        <w:t>Asunto Alvarado Reyes y otros respecto de México. Medidas Provisionales.</w:t>
      </w:r>
      <w:r w:rsidRPr="00432ABC">
        <w:rPr>
          <w:rStyle w:val="Textoennegrita"/>
          <w:rFonts w:ascii="Verdana" w:hAnsi="Verdana"/>
          <w:b w:val="0"/>
          <w:color w:val="000000"/>
          <w:sz w:val="16"/>
          <w:szCs w:val="16"/>
          <w:shd w:val="clear" w:color="auto" w:fill="FFFFFF"/>
        </w:rPr>
        <w:t xml:space="preserve"> Resolución de la Corte </w:t>
      </w:r>
      <w:r>
        <w:rPr>
          <w:rFonts w:ascii="Verdana" w:hAnsi="Verdana"/>
          <w:bCs/>
          <w:color w:val="000000"/>
          <w:sz w:val="16"/>
          <w:szCs w:val="16"/>
          <w:shd w:val="clear" w:color="auto" w:fill="FFFFFF"/>
        </w:rPr>
        <w:t>IDH</w:t>
      </w:r>
      <w:r w:rsidRPr="00432ABC">
        <w:rPr>
          <w:rStyle w:val="Textoennegrita"/>
          <w:rFonts w:ascii="Verdana" w:hAnsi="Verdana"/>
          <w:b w:val="0"/>
          <w:color w:val="000000"/>
          <w:sz w:val="16"/>
          <w:szCs w:val="16"/>
          <w:shd w:val="clear" w:color="auto" w:fill="FFFFFF"/>
        </w:rPr>
        <w:t xml:space="preserve"> de 14 de noviembre de 2017. </w:t>
      </w:r>
      <w:r w:rsidRPr="00432ABC">
        <w:rPr>
          <w:rFonts w:ascii="Verdana" w:hAnsi="Verdana"/>
          <w:sz w:val="16"/>
          <w:szCs w:val="16"/>
        </w:rPr>
        <w:t>Considerando 4.</w:t>
      </w:r>
    </w:p>
  </w:footnote>
  <w:footnote w:id="531">
    <w:p w14:paraId="7CC14C72" w14:textId="12E452CF" w:rsidR="00146958" w:rsidRPr="00D2536B" w:rsidRDefault="00146958">
      <w:pPr>
        <w:pStyle w:val="Textonotapie"/>
        <w:jc w:val="both"/>
        <w:rPr>
          <w:rFonts w:ascii="Verdana" w:hAnsi="Verdana"/>
          <w:sz w:val="16"/>
          <w:szCs w:val="16"/>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rPr>
        <w:tab/>
      </w:r>
      <w:r w:rsidRPr="00CD5C54">
        <w:rPr>
          <w:rFonts w:ascii="Verdana" w:hAnsi="Verdana"/>
          <w:i/>
          <w:sz w:val="16"/>
          <w:szCs w:val="16"/>
        </w:rPr>
        <w:t>Cfr.</w:t>
      </w:r>
      <w:r w:rsidRPr="00432ABC">
        <w:rPr>
          <w:rFonts w:ascii="Verdana" w:hAnsi="Verdana"/>
          <w:sz w:val="16"/>
          <w:szCs w:val="16"/>
        </w:rPr>
        <w:t xml:space="preserve"> </w:t>
      </w:r>
      <w:r w:rsidRPr="00432ABC">
        <w:rPr>
          <w:rStyle w:val="Textoennegrita"/>
          <w:rFonts w:ascii="Verdana" w:hAnsi="Verdana"/>
          <w:b w:val="0"/>
          <w:i/>
          <w:color w:val="000000"/>
          <w:sz w:val="16"/>
          <w:szCs w:val="16"/>
          <w:shd w:val="clear" w:color="auto" w:fill="FFFFFF"/>
        </w:rPr>
        <w:t>Asunto Alvarado Reyes y otros respecto de México. Medidas Provisionales.</w:t>
      </w:r>
      <w:r w:rsidRPr="00432ABC">
        <w:rPr>
          <w:rStyle w:val="Textoennegrita"/>
          <w:rFonts w:ascii="Verdana" w:hAnsi="Verdana"/>
          <w:b w:val="0"/>
          <w:color w:val="000000"/>
          <w:sz w:val="16"/>
          <w:szCs w:val="16"/>
          <w:shd w:val="clear" w:color="auto" w:fill="FFFFFF"/>
        </w:rPr>
        <w:t xml:space="preserve"> Resolución de la Corte </w:t>
      </w:r>
      <w:r w:rsidRPr="00A0366A">
        <w:rPr>
          <w:rFonts w:ascii="Verdana" w:hAnsi="Verdana"/>
          <w:bCs/>
          <w:color w:val="000000"/>
          <w:sz w:val="16"/>
          <w:szCs w:val="16"/>
          <w:shd w:val="clear" w:color="auto" w:fill="FFFFFF"/>
        </w:rPr>
        <w:t>Interamericana de Derechos Humanos</w:t>
      </w:r>
      <w:r w:rsidRPr="00432ABC">
        <w:rPr>
          <w:rStyle w:val="Textoennegrita"/>
          <w:rFonts w:ascii="Verdana" w:hAnsi="Verdana"/>
          <w:b w:val="0"/>
          <w:color w:val="000000"/>
          <w:sz w:val="16"/>
          <w:szCs w:val="16"/>
          <w:shd w:val="clear" w:color="auto" w:fill="FFFFFF"/>
        </w:rPr>
        <w:t xml:space="preserve"> de 23 de junio de 2015. Considerando 42. Disponible en: </w:t>
      </w:r>
      <w:hyperlink r:id="rId39" w:history="1">
        <w:r w:rsidRPr="00432ABC">
          <w:rPr>
            <w:rStyle w:val="Hipervnculo"/>
            <w:rFonts w:ascii="Verdana" w:hAnsi="Verdana"/>
            <w:sz w:val="16"/>
            <w:szCs w:val="16"/>
            <w:shd w:val="clear" w:color="auto" w:fill="FFFFFF"/>
          </w:rPr>
          <w:t>http://www.corteidh.or.cr/docs/medidas/alvarado_se_06.pdf</w:t>
        </w:r>
      </w:hyperlink>
      <w:r w:rsidRPr="00432ABC">
        <w:rPr>
          <w:rStyle w:val="Textoennegrita"/>
          <w:rFonts w:ascii="Verdana" w:hAnsi="Verdana"/>
          <w:b w:val="0"/>
          <w:color w:val="000000"/>
          <w:sz w:val="16"/>
          <w:szCs w:val="16"/>
          <w:shd w:val="clear" w:color="auto" w:fill="FFFFFF"/>
        </w:rPr>
        <w:t xml:space="preserve">. </w:t>
      </w:r>
      <w:r w:rsidRPr="002C462C">
        <w:rPr>
          <w:rFonts w:ascii="Verdana" w:hAnsi="Verdana"/>
          <w:sz w:val="16"/>
          <w:szCs w:val="16"/>
        </w:rPr>
        <w:t xml:space="preserve">En dicho </w:t>
      </w:r>
      <w:r>
        <w:rPr>
          <w:rFonts w:ascii="Verdana" w:hAnsi="Verdana"/>
          <w:sz w:val="16"/>
          <w:szCs w:val="16"/>
        </w:rPr>
        <w:t>considerativo</w:t>
      </w:r>
      <w:r w:rsidRPr="002C462C">
        <w:rPr>
          <w:rFonts w:ascii="Verdana" w:hAnsi="Verdana"/>
          <w:sz w:val="16"/>
          <w:szCs w:val="16"/>
        </w:rPr>
        <w:t xml:space="preserve"> se lee: “[…] La Corte nota que conforme a lo informado por l</w:t>
      </w:r>
      <w:r>
        <w:rPr>
          <w:rFonts w:ascii="Verdana" w:hAnsi="Verdana"/>
          <w:sz w:val="16"/>
          <w:szCs w:val="16"/>
        </w:rPr>
        <w:t>[a]</w:t>
      </w:r>
      <w:r w:rsidRPr="002C462C">
        <w:rPr>
          <w:rFonts w:ascii="Verdana" w:hAnsi="Verdana"/>
          <w:sz w:val="16"/>
          <w:szCs w:val="16"/>
        </w:rPr>
        <w:t>s representantes, el beneficiario Manuel Reyes Lira falleció durante el proceso por causas naturales, por lo que la Corte procede a levantar la medida en relación IDH con dicho beneficiario [</w:t>
      </w:r>
      <w:r w:rsidRPr="00432ABC">
        <w:rPr>
          <w:rFonts w:ascii="Verdana" w:hAnsi="Verdana"/>
          <w:sz w:val="16"/>
          <w:szCs w:val="16"/>
        </w:rPr>
        <w:t xml:space="preserve">…]”. </w:t>
      </w:r>
      <w:r w:rsidRPr="00D2536B">
        <w:rPr>
          <w:rFonts w:ascii="Verdana" w:hAnsi="Verdana"/>
          <w:sz w:val="16"/>
          <w:szCs w:val="16"/>
        </w:rPr>
        <w:t xml:space="preserve">Asimismo, en el expediente de trámite de dichas medidas provisionales la Corte nota que el 5 de marzo de 2015 las representantes únicamente informaron respecto </w:t>
      </w:r>
      <w:r w:rsidRPr="004922B7">
        <w:rPr>
          <w:rFonts w:ascii="Verdana" w:hAnsi="Verdana"/>
          <w:sz w:val="16"/>
          <w:szCs w:val="16"/>
        </w:rPr>
        <w:t xml:space="preserve">de dicho fallecimiento, no obstante lo cual no indicaron con precisión la fecha en que este ocurrió, por lo que se desconoce la fecha exacta del mismo. </w:t>
      </w:r>
      <w:r w:rsidRPr="00CD5C54">
        <w:rPr>
          <w:rFonts w:ascii="Verdana" w:hAnsi="Verdana"/>
          <w:i/>
          <w:sz w:val="16"/>
          <w:szCs w:val="16"/>
        </w:rPr>
        <w:t>Cfr.</w:t>
      </w:r>
      <w:r w:rsidRPr="00D2536B">
        <w:rPr>
          <w:rFonts w:ascii="Verdana" w:hAnsi="Verdana"/>
          <w:sz w:val="16"/>
          <w:szCs w:val="16"/>
        </w:rPr>
        <w:t xml:space="preserve"> </w:t>
      </w:r>
      <w:r w:rsidRPr="008D0846">
        <w:rPr>
          <w:rFonts w:ascii="Verdana" w:hAnsi="Verdana"/>
          <w:i/>
          <w:sz w:val="16"/>
          <w:szCs w:val="16"/>
        </w:rPr>
        <w:t xml:space="preserve">Asunto Alvarado Reyes y </w:t>
      </w:r>
      <w:r w:rsidRPr="00D2536B">
        <w:rPr>
          <w:rFonts w:ascii="Verdana" w:hAnsi="Verdana"/>
          <w:i/>
          <w:sz w:val="16"/>
          <w:szCs w:val="16"/>
        </w:rPr>
        <w:t>o</w:t>
      </w:r>
      <w:r w:rsidRPr="008D0846">
        <w:rPr>
          <w:rFonts w:ascii="Verdana" w:hAnsi="Verdana"/>
          <w:i/>
          <w:sz w:val="16"/>
          <w:szCs w:val="16"/>
        </w:rPr>
        <w:t>tros respecto de México</w:t>
      </w:r>
      <w:r w:rsidRPr="00D2536B">
        <w:rPr>
          <w:rFonts w:ascii="Verdana" w:hAnsi="Verdana"/>
          <w:sz w:val="16"/>
          <w:szCs w:val="16"/>
        </w:rPr>
        <w:t xml:space="preserve">. </w:t>
      </w:r>
      <w:r w:rsidRPr="00D2536B">
        <w:rPr>
          <w:rFonts w:ascii="Verdana" w:hAnsi="Verdana"/>
          <w:i/>
          <w:sz w:val="16"/>
          <w:szCs w:val="16"/>
        </w:rPr>
        <w:t>Medidas Provisionales</w:t>
      </w:r>
      <w:r w:rsidRPr="008D0846">
        <w:rPr>
          <w:rFonts w:ascii="Verdana" w:hAnsi="Verdana"/>
          <w:i/>
          <w:sz w:val="16"/>
          <w:szCs w:val="16"/>
        </w:rPr>
        <w:t xml:space="preserve"> </w:t>
      </w:r>
      <w:r w:rsidRPr="008D0846">
        <w:rPr>
          <w:rFonts w:ascii="Verdana" w:hAnsi="Verdana"/>
          <w:sz w:val="16"/>
          <w:szCs w:val="16"/>
        </w:rPr>
        <w:t>(e</w:t>
      </w:r>
      <w:r w:rsidRPr="00D2536B">
        <w:rPr>
          <w:rFonts w:ascii="Verdana" w:hAnsi="Verdana"/>
          <w:sz w:val="16"/>
          <w:szCs w:val="16"/>
        </w:rPr>
        <w:t>xpediente de trámite, f. 2609).</w:t>
      </w:r>
    </w:p>
  </w:footnote>
  <w:footnote w:id="532">
    <w:p w14:paraId="51D194EE" w14:textId="0E62D347" w:rsidR="00146958" w:rsidRPr="00D2536B" w:rsidRDefault="00146958">
      <w:pPr>
        <w:pStyle w:val="Textonotapie"/>
        <w:jc w:val="both"/>
        <w:rPr>
          <w:rFonts w:ascii="Verdana" w:hAnsi="Verdana"/>
          <w:sz w:val="16"/>
          <w:szCs w:val="16"/>
          <w:lang w:val="es-CR"/>
        </w:rPr>
      </w:pPr>
      <w:r w:rsidRPr="00D2536B">
        <w:rPr>
          <w:rStyle w:val="Refdenotaalpie"/>
          <w:rFonts w:ascii="Verdana" w:hAnsi="Verdana"/>
          <w:sz w:val="16"/>
          <w:szCs w:val="16"/>
        </w:rPr>
        <w:footnoteRef/>
      </w:r>
      <w:r w:rsidRPr="00D2536B">
        <w:rPr>
          <w:rFonts w:ascii="Verdana" w:hAnsi="Verdana"/>
          <w:sz w:val="16"/>
          <w:szCs w:val="16"/>
          <w:lang w:val="es-CR"/>
        </w:rPr>
        <w:t xml:space="preserve"> </w:t>
      </w:r>
      <w:r w:rsidRPr="00D2536B">
        <w:rPr>
          <w:rFonts w:ascii="Verdana" w:hAnsi="Verdana"/>
          <w:sz w:val="16"/>
          <w:szCs w:val="16"/>
          <w:lang w:val="es-CR"/>
        </w:rPr>
        <w:tab/>
      </w:r>
      <w:r w:rsidRPr="00CD5C54">
        <w:rPr>
          <w:rFonts w:ascii="Verdana" w:hAnsi="Verdana"/>
          <w:i/>
          <w:sz w:val="16"/>
          <w:szCs w:val="16"/>
          <w:lang w:val="es-CR"/>
        </w:rPr>
        <w:t>Cfr.</w:t>
      </w:r>
      <w:r w:rsidRPr="00D2536B">
        <w:rPr>
          <w:rFonts w:ascii="Verdana" w:hAnsi="Verdana"/>
          <w:sz w:val="16"/>
          <w:szCs w:val="16"/>
          <w:lang w:val="es-CR"/>
        </w:rPr>
        <w:t xml:space="preserve"> </w:t>
      </w:r>
      <w:r w:rsidRPr="00D2536B">
        <w:rPr>
          <w:rStyle w:val="Textoennegrita"/>
          <w:rFonts w:ascii="Verdana" w:hAnsi="Verdana"/>
          <w:b w:val="0"/>
          <w:i/>
          <w:color w:val="000000"/>
          <w:sz w:val="16"/>
          <w:szCs w:val="16"/>
          <w:shd w:val="clear" w:color="auto" w:fill="FFFFFF"/>
        </w:rPr>
        <w:t>Asunto Alvarado Reyes y otros respecto de México. Medidas Provisionales</w:t>
      </w:r>
      <w:r w:rsidRPr="004922B7">
        <w:rPr>
          <w:rStyle w:val="Textoennegrita"/>
          <w:rFonts w:ascii="Verdana" w:hAnsi="Verdana"/>
          <w:b w:val="0"/>
          <w:color w:val="000000"/>
          <w:sz w:val="16"/>
          <w:szCs w:val="16"/>
          <w:shd w:val="clear" w:color="auto" w:fill="FFFFFF"/>
        </w:rPr>
        <w:t xml:space="preserve">. Resolución de la Corte </w:t>
      </w:r>
      <w:r w:rsidRPr="00106B9A">
        <w:rPr>
          <w:rFonts w:ascii="Verdana" w:hAnsi="Verdana"/>
          <w:bCs/>
          <w:color w:val="000000"/>
          <w:sz w:val="16"/>
          <w:szCs w:val="16"/>
          <w:shd w:val="clear" w:color="auto" w:fill="FFFFFF"/>
        </w:rPr>
        <w:t xml:space="preserve">IDH </w:t>
      </w:r>
      <w:r w:rsidRPr="004922B7">
        <w:rPr>
          <w:rStyle w:val="Textoennegrita"/>
          <w:rFonts w:ascii="Verdana" w:hAnsi="Verdana"/>
          <w:b w:val="0"/>
          <w:color w:val="000000"/>
          <w:sz w:val="16"/>
          <w:szCs w:val="16"/>
          <w:shd w:val="clear" w:color="auto" w:fill="FFFFFF"/>
        </w:rPr>
        <w:t>de 14 de marzo de 2018. Considerando 5.</w:t>
      </w:r>
    </w:p>
  </w:footnote>
  <w:footnote w:id="533">
    <w:p w14:paraId="1D0D4E6E" w14:textId="18252B61" w:rsidR="00146958" w:rsidRPr="00B860BF" w:rsidRDefault="00146958">
      <w:pPr>
        <w:spacing w:after="0" w:line="240" w:lineRule="auto"/>
        <w:jc w:val="both"/>
        <w:rPr>
          <w:rFonts w:ascii="Verdana" w:hAnsi="Verdana" w:cs="Times New Roman"/>
          <w:color w:val="0000FF"/>
          <w:sz w:val="16"/>
          <w:szCs w:val="16"/>
          <w:lang w:val="es-CR"/>
        </w:rPr>
      </w:pPr>
      <w:r w:rsidRPr="007016B4">
        <w:rPr>
          <w:rStyle w:val="Refdenotaalpie"/>
          <w:rFonts w:ascii="Verdana" w:hAnsi="Verdana"/>
          <w:sz w:val="16"/>
          <w:szCs w:val="16"/>
        </w:rPr>
        <w:footnoteRef/>
      </w:r>
      <w:r w:rsidRPr="007016B4">
        <w:rPr>
          <w:rFonts w:ascii="Verdana" w:hAnsi="Verdana"/>
          <w:sz w:val="16"/>
          <w:szCs w:val="16"/>
          <w:lang w:val="es-CR"/>
        </w:rPr>
        <w:t xml:space="preserve"> </w:t>
      </w:r>
      <w:r w:rsidRPr="007016B4">
        <w:rPr>
          <w:rFonts w:ascii="Verdana" w:hAnsi="Verdana"/>
          <w:sz w:val="16"/>
          <w:szCs w:val="16"/>
          <w:lang w:val="es-CR"/>
        </w:rPr>
        <w:tab/>
      </w:r>
      <w:r w:rsidRPr="00CD5C54">
        <w:rPr>
          <w:rFonts w:ascii="Verdana" w:hAnsi="Verdana"/>
          <w:i/>
          <w:sz w:val="16"/>
          <w:szCs w:val="16"/>
          <w:lang w:val="es-CR"/>
        </w:rPr>
        <w:t>Cfr.</w:t>
      </w:r>
      <w:r w:rsidRPr="008D0846">
        <w:rPr>
          <w:rFonts w:ascii="Verdana" w:hAnsi="Verdana"/>
          <w:i/>
          <w:sz w:val="16"/>
          <w:szCs w:val="16"/>
          <w:lang w:val="es-CR"/>
        </w:rPr>
        <w:t xml:space="preserve"> </w:t>
      </w:r>
      <w:r w:rsidRPr="008D0846">
        <w:rPr>
          <w:rFonts w:ascii="Verdana" w:hAnsi="Verdana"/>
          <w:bCs/>
          <w:i/>
          <w:sz w:val="16"/>
          <w:szCs w:val="16"/>
        </w:rPr>
        <w:t>Caso 19 Comerciantes Vs. Colombia. Fondo, Reparaciones y Costas</w:t>
      </w:r>
      <w:r w:rsidRPr="008D0846">
        <w:rPr>
          <w:rFonts w:ascii="Verdana" w:hAnsi="Verdana"/>
          <w:bCs/>
          <w:sz w:val="16"/>
          <w:szCs w:val="16"/>
        </w:rPr>
        <w:t xml:space="preserve">. Sentencia de 5 de julio de 2004. Serie C No. 109, párr. 265, y </w:t>
      </w:r>
      <w:r w:rsidRPr="008D0846">
        <w:rPr>
          <w:rFonts w:ascii="Verdana" w:hAnsi="Verdana"/>
          <w:bCs/>
          <w:i/>
          <w:sz w:val="16"/>
          <w:szCs w:val="16"/>
        </w:rPr>
        <w:t>Caso Vásquez Durand y otros Vs. Ecuador. Excepciones Preliminares, Fondo, Reparaciones y Costas</w:t>
      </w:r>
      <w:r w:rsidRPr="008D0846">
        <w:rPr>
          <w:rFonts w:ascii="Verdana" w:hAnsi="Verdana"/>
          <w:bCs/>
          <w:sz w:val="16"/>
          <w:szCs w:val="16"/>
        </w:rPr>
        <w:t xml:space="preserve">. Sentencia de 15 de febrero de 2017. Serie C No. 332, párr. 149. </w:t>
      </w:r>
    </w:p>
  </w:footnote>
  <w:footnote w:id="534">
    <w:p w14:paraId="2290D39F" w14:textId="7B024E95" w:rsidR="00146958" w:rsidRPr="007016B4" w:rsidRDefault="00146958" w:rsidP="007016B4">
      <w:pPr>
        <w:pStyle w:val="Textonotapie"/>
        <w:jc w:val="both"/>
        <w:rPr>
          <w:rFonts w:ascii="Verdana" w:hAnsi="Verdana"/>
          <w:sz w:val="16"/>
          <w:szCs w:val="16"/>
          <w:lang w:val="es-CR"/>
        </w:rPr>
      </w:pPr>
      <w:r w:rsidRPr="005C771B">
        <w:rPr>
          <w:rStyle w:val="Refdenotaalpie"/>
          <w:rFonts w:ascii="Verdana" w:hAnsi="Verdana"/>
          <w:sz w:val="16"/>
          <w:szCs w:val="16"/>
        </w:rPr>
        <w:footnoteRef/>
      </w:r>
      <w:r w:rsidRPr="005C771B">
        <w:rPr>
          <w:rFonts w:ascii="Verdana" w:hAnsi="Verdana"/>
          <w:sz w:val="16"/>
          <w:szCs w:val="16"/>
          <w:lang w:val="es-CR"/>
        </w:rPr>
        <w:t xml:space="preserve"> </w:t>
      </w:r>
      <w:r w:rsidRPr="005C771B">
        <w:rPr>
          <w:rFonts w:ascii="Verdana" w:hAnsi="Verdana"/>
          <w:sz w:val="16"/>
          <w:szCs w:val="16"/>
          <w:lang w:val="es-CR"/>
        </w:rPr>
        <w:tab/>
      </w:r>
      <w:r w:rsidRPr="00CD5C54">
        <w:rPr>
          <w:rFonts w:ascii="Verdana" w:hAnsi="Verdana"/>
          <w:i/>
          <w:sz w:val="16"/>
          <w:szCs w:val="16"/>
          <w:lang w:val="es-CR"/>
        </w:rPr>
        <w:t>Cfr.</w:t>
      </w:r>
      <w:r w:rsidRPr="00B860BF">
        <w:rPr>
          <w:rFonts w:ascii="Verdana" w:hAnsi="Verdana"/>
          <w:i/>
          <w:sz w:val="16"/>
          <w:szCs w:val="16"/>
          <w:lang w:val="es-CR"/>
        </w:rPr>
        <w:t xml:space="preserve"> </w:t>
      </w:r>
      <w:r w:rsidRPr="008D0846">
        <w:rPr>
          <w:rFonts w:ascii="Verdana" w:hAnsi="Verdana"/>
          <w:bCs/>
          <w:i/>
          <w:sz w:val="16"/>
          <w:szCs w:val="16"/>
        </w:rPr>
        <w:t>Caso Ch</w:t>
      </w:r>
      <w:r w:rsidRPr="00106B9A">
        <w:rPr>
          <w:rFonts w:ascii="Verdana" w:hAnsi="Verdana"/>
          <w:bCs/>
          <w:i/>
          <w:sz w:val="16"/>
          <w:szCs w:val="16"/>
        </w:rPr>
        <w:t>itay Nech y otros Vs. Guatemala</w:t>
      </w:r>
      <w:r>
        <w:rPr>
          <w:rFonts w:ascii="Verdana" w:hAnsi="Verdana"/>
          <w:bCs/>
          <w:i/>
          <w:sz w:val="16"/>
          <w:szCs w:val="16"/>
        </w:rPr>
        <w:t>, supra</w:t>
      </w:r>
      <w:r w:rsidRPr="008D0846">
        <w:rPr>
          <w:rFonts w:ascii="Verdana" w:hAnsi="Verdana"/>
          <w:bCs/>
          <w:sz w:val="16"/>
          <w:szCs w:val="16"/>
        </w:rPr>
        <w:t>, párr.</w:t>
      </w:r>
      <w:r w:rsidRPr="005C771B">
        <w:rPr>
          <w:rFonts w:ascii="Verdana" w:hAnsi="Verdana"/>
          <w:bCs/>
          <w:sz w:val="16"/>
          <w:szCs w:val="16"/>
        </w:rPr>
        <w:t xml:space="preserve"> </w:t>
      </w:r>
      <w:r w:rsidRPr="008D0846">
        <w:rPr>
          <w:rFonts w:ascii="Verdana" w:hAnsi="Verdana"/>
          <w:bCs/>
          <w:sz w:val="16"/>
          <w:szCs w:val="16"/>
        </w:rPr>
        <w:t xml:space="preserve">240, y </w:t>
      </w:r>
      <w:r w:rsidRPr="008D0846">
        <w:rPr>
          <w:rStyle w:val="Textoennegrita"/>
          <w:rFonts w:ascii="Verdana" w:hAnsi="Verdana"/>
          <w:b w:val="0"/>
          <w:i/>
          <w:color w:val="000000"/>
          <w:sz w:val="16"/>
          <w:szCs w:val="16"/>
          <w:shd w:val="clear" w:color="auto" w:fill="FFFFFF"/>
        </w:rPr>
        <w:t>Cas</w:t>
      </w:r>
      <w:r w:rsidRPr="00106B9A">
        <w:rPr>
          <w:rStyle w:val="Textoennegrita"/>
          <w:rFonts w:ascii="Verdana" w:hAnsi="Verdana"/>
          <w:b w:val="0"/>
          <w:i/>
          <w:color w:val="000000"/>
          <w:sz w:val="16"/>
          <w:szCs w:val="16"/>
          <w:shd w:val="clear" w:color="auto" w:fill="FFFFFF"/>
        </w:rPr>
        <w:t>o Tenorio Roca y otros Vs. Perú</w:t>
      </w:r>
      <w:r>
        <w:rPr>
          <w:rStyle w:val="Textoennegrita"/>
          <w:rFonts w:ascii="Verdana" w:hAnsi="Verdana"/>
          <w:b w:val="0"/>
          <w:i/>
          <w:color w:val="000000"/>
          <w:sz w:val="16"/>
          <w:szCs w:val="16"/>
          <w:shd w:val="clear" w:color="auto" w:fill="FFFFFF"/>
        </w:rPr>
        <w:t>, supra,</w:t>
      </w:r>
      <w:r w:rsidRPr="008D0846">
        <w:rPr>
          <w:rFonts w:ascii="Verdana" w:hAnsi="Verdana"/>
          <w:sz w:val="16"/>
          <w:szCs w:val="16"/>
        </w:rPr>
        <w:t xml:space="preserve"> párr. 273.</w:t>
      </w:r>
    </w:p>
  </w:footnote>
  <w:footnote w:id="535">
    <w:p w14:paraId="63D85E2E" w14:textId="31AC5AF4" w:rsidR="00146958" w:rsidRPr="00CE4F48" w:rsidRDefault="00146958" w:rsidP="00B860BF">
      <w:pPr>
        <w:pStyle w:val="Textonotapie"/>
        <w:jc w:val="both"/>
        <w:rPr>
          <w:rFonts w:ascii="Verdana" w:hAnsi="Verdana"/>
          <w:sz w:val="16"/>
          <w:szCs w:val="16"/>
          <w:lang w:val="es-CR"/>
        </w:rPr>
      </w:pPr>
      <w:r w:rsidRPr="00CE4F48">
        <w:rPr>
          <w:rStyle w:val="Refdenotaalpie"/>
          <w:rFonts w:ascii="Verdana" w:hAnsi="Verdana"/>
          <w:sz w:val="16"/>
          <w:szCs w:val="16"/>
        </w:rPr>
        <w:footnoteRef/>
      </w:r>
      <w:r w:rsidRPr="00CE4F48">
        <w:rPr>
          <w:rFonts w:ascii="Verdana" w:hAnsi="Verdana"/>
          <w:i/>
          <w:sz w:val="16"/>
          <w:szCs w:val="16"/>
          <w:lang w:val="es-CR"/>
        </w:rPr>
        <w:t xml:space="preserve"> </w:t>
      </w:r>
      <w:r w:rsidRPr="00CE4F48">
        <w:rPr>
          <w:rFonts w:ascii="Verdana" w:hAnsi="Verdana"/>
          <w:i/>
          <w:sz w:val="16"/>
          <w:szCs w:val="16"/>
          <w:lang w:val="es-CR"/>
        </w:rPr>
        <w:tab/>
      </w:r>
      <w:r w:rsidRPr="00CD5C54">
        <w:rPr>
          <w:rFonts w:ascii="Verdana" w:hAnsi="Verdana"/>
          <w:i/>
          <w:sz w:val="16"/>
          <w:szCs w:val="16"/>
          <w:lang w:val="es-CR"/>
        </w:rPr>
        <w:t>Cfr.</w:t>
      </w:r>
      <w:r w:rsidRPr="00CE4F48">
        <w:rPr>
          <w:rFonts w:ascii="Verdana" w:hAnsi="Verdana"/>
          <w:i/>
          <w:sz w:val="16"/>
          <w:szCs w:val="16"/>
          <w:lang w:val="es-CR"/>
        </w:rPr>
        <w:t xml:space="preserve">  </w:t>
      </w:r>
      <w:r w:rsidRPr="008D0846">
        <w:rPr>
          <w:rStyle w:val="Textoennegrita"/>
          <w:rFonts w:ascii="Verdana" w:hAnsi="Verdana"/>
          <w:b w:val="0"/>
          <w:i/>
          <w:color w:val="000000"/>
          <w:sz w:val="16"/>
          <w:szCs w:val="16"/>
          <w:shd w:val="clear" w:color="auto" w:fill="FFFFFF"/>
        </w:rPr>
        <w:t>Caso Anzualdo Castro Vs. Perú</w:t>
      </w:r>
      <w:r>
        <w:rPr>
          <w:rStyle w:val="Textoennegrita"/>
          <w:rFonts w:ascii="Verdana" w:hAnsi="Verdana"/>
          <w:b w:val="0"/>
          <w:i/>
          <w:color w:val="000000"/>
          <w:sz w:val="16"/>
          <w:szCs w:val="16"/>
          <w:shd w:val="clear" w:color="auto" w:fill="FFFFFF"/>
        </w:rPr>
        <w:t>, supra</w:t>
      </w:r>
      <w:r w:rsidRPr="008D0846">
        <w:rPr>
          <w:rStyle w:val="Textoennegrita"/>
          <w:rFonts w:ascii="Verdana" w:hAnsi="Verdana"/>
          <w:b w:val="0"/>
          <w:color w:val="000000"/>
          <w:sz w:val="16"/>
          <w:szCs w:val="16"/>
          <w:shd w:val="clear" w:color="auto" w:fill="FFFFFF"/>
        </w:rPr>
        <w:t xml:space="preserve">, párr. 185, y </w:t>
      </w:r>
      <w:r w:rsidRPr="008D0846">
        <w:rPr>
          <w:rStyle w:val="Textoennegrita"/>
          <w:rFonts w:ascii="Verdana" w:hAnsi="Verdana"/>
          <w:b w:val="0"/>
          <w:i/>
          <w:color w:val="000000"/>
          <w:sz w:val="16"/>
          <w:szCs w:val="16"/>
          <w:shd w:val="clear" w:color="auto" w:fill="FFFFFF"/>
        </w:rPr>
        <w:t>Caso Terrones Silva y otros Vs. Perú</w:t>
      </w:r>
      <w:r>
        <w:rPr>
          <w:rStyle w:val="Textoennegrita"/>
          <w:rFonts w:ascii="Verdana" w:hAnsi="Verdana"/>
          <w:b w:val="0"/>
          <w:i/>
          <w:color w:val="000000"/>
          <w:sz w:val="16"/>
          <w:szCs w:val="16"/>
          <w:shd w:val="clear" w:color="auto" w:fill="FFFFFF"/>
        </w:rPr>
        <w:t>, supra</w:t>
      </w:r>
      <w:r>
        <w:rPr>
          <w:rStyle w:val="Textoennegrita"/>
          <w:rFonts w:ascii="Verdana" w:hAnsi="Verdana"/>
          <w:b w:val="0"/>
          <w:color w:val="000000"/>
          <w:sz w:val="16"/>
          <w:szCs w:val="16"/>
          <w:shd w:val="clear" w:color="auto" w:fill="FFFFFF"/>
        </w:rPr>
        <w:t>,</w:t>
      </w:r>
      <w:r w:rsidRPr="008D0846">
        <w:rPr>
          <w:rStyle w:val="Textoennegrita"/>
          <w:rFonts w:ascii="Verdana" w:hAnsi="Verdana"/>
          <w:b w:val="0"/>
          <w:color w:val="000000"/>
          <w:sz w:val="16"/>
          <w:szCs w:val="16"/>
          <w:shd w:val="clear" w:color="auto" w:fill="FFFFFF"/>
        </w:rPr>
        <w:t xml:space="preserve"> párr. 248.</w:t>
      </w:r>
    </w:p>
  </w:footnote>
  <w:footnote w:id="536">
    <w:p w14:paraId="7EA1E72B" w14:textId="36DB4920" w:rsidR="00146958" w:rsidRPr="00D979C5" w:rsidRDefault="00146958">
      <w:pPr>
        <w:spacing w:after="0" w:line="240" w:lineRule="auto"/>
        <w:jc w:val="both"/>
        <w:rPr>
          <w:rFonts w:ascii="Verdana" w:hAnsi="Verdana"/>
          <w:sz w:val="16"/>
          <w:szCs w:val="16"/>
          <w:lang w:val="es-CR"/>
        </w:rPr>
      </w:pPr>
      <w:r w:rsidRPr="00CE4F48">
        <w:rPr>
          <w:rStyle w:val="Refdenotaalpie"/>
          <w:rFonts w:ascii="Verdana" w:hAnsi="Verdana"/>
          <w:sz w:val="16"/>
          <w:szCs w:val="16"/>
        </w:rPr>
        <w:footnoteRef/>
      </w:r>
      <w:r w:rsidRPr="00CE4F48">
        <w:rPr>
          <w:rFonts w:ascii="Verdana" w:hAnsi="Verdana"/>
          <w:sz w:val="16"/>
          <w:szCs w:val="16"/>
          <w:lang w:val="es-CR"/>
        </w:rPr>
        <w:t xml:space="preserve"> </w:t>
      </w:r>
      <w:r w:rsidRPr="00CE4F48">
        <w:rPr>
          <w:rFonts w:ascii="Verdana" w:hAnsi="Verdana"/>
          <w:sz w:val="16"/>
          <w:szCs w:val="16"/>
          <w:lang w:val="es-CR"/>
        </w:rPr>
        <w:tab/>
      </w:r>
      <w:r w:rsidRPr="00CD5C54">
        <w:rPr>
          <w:rFonts w:ascii="Verdana" w:hAnsi="Verdana"/>
          <w:i/>
          <w:iCs/>
          <w:sz w:val="16"/>
          <w:szCs w:val="16"/>
          <w:lang w:val="es-CR"/>
        </w:rPr>
        <w:t>Cfr.</w:t>
      </w:r>
      <w:r w:rsidRPr="00CE4F48">
        <w:rPr>
          <w:rFonts w:ascii="Verdana" w:hAnsi="Verdana"/>
          <w:i/>
          <w:iCs/>
          <w:sz w:val="16"/>
          <w:szCs w:val="16"/>
          <w:lang w:val="es-CR"/>
        </w:rPr>
        <w:t xml:space="preserve"> </w:t>
      </w:r>
      <w:r w:rsidRPr="008D0846">
        <w:rPr>
          <w:rStyle w:val="Textoennegrita"/>
          <w:rFonts w:ascii="Verdana" w:hAnsi="Verdana"/>
          <w:b w:val="0"/>
          <w:i/>
          <w:color w:val="000000"/>
          <w:sz w:val="16"/>
          <w:szCs w:val="16"/>
          <w:shd w:val="clear" w:color="auto" w:fill="FFFFFF"/>
        </w:rPr>
        <w:t>Caso Rochac Hernández y otros Vs. El Salvador. Fondo, Reparaciones y Costas</w:t>
      </w:r>
      <w:r w:rsidRPr="008D0846">
        <w:rPr>
          <w:rStyle w:val="Textoennegrita"/>
          <w:rFonts w:ascii="Verdana" w:hAnsi="Verdana"/>
          <w:b w:val="0"/>
          <w:color w:val="000000"/>
          <w:sz w:val="16"/>
          <w:szCs w:val="16"/>
          <w:shd w:val="clear" w:color="auto" w:fill="FFFFFF"/>
        </w:rPr>
        <w:t xml:space="preserve">. Sentencia de 14 de octubre de 2014. Serie C No. 285, párr. 188, y </w:t>
      </w:r>
      <w:r w:rsidRPr="00CE4F48">
        <w:rPr>
          <w:rFonts w:ascii="Verdana" w:hAnsi="Verdana"/>
          <w:bCs/>
          <w:i/>
          <w:sz w:val="16"/>
          <w:szCs w:val="16"/>
        </w:rPr>
        <w:t>Caso Vásquez Durand y otros Vs. Ecuador</w:t>
      </w:r>
      <w:r>
        <w:rPr>
          <w:rFonts w:ascii="Verdana" w:hAnsi="Verdana"/>
          <w:i/>
          <w:sz w:val="16"/>
          <w:szCs w:val="16"/>
          <w:lang w:val="es-CR"/>
        </w:rPr>
        <w:t xml:space="preserve">, </w:t>
      </w:r>
      <w:r w:rsidRPr="00CE4F48">
        <w:rPr>
          <w:rFonts w:ascii="Verdana" w:hAnsi="Verdana"/>
          <w:i/>
          <w:sz w:val="16"/>
          <w:szCs w:val="16"/>
          <w:lang w:val="es-CR"/>
        </w:rPr>
        <w:t xml:space="preserve"> supra</w:t>
      </w:r>
      <w:r w:rsidRPr="00CE4F48">
        <w:rPr>
          <w:rFonts w:ascii="Verdana" w:hAnsi="Verdana"/>
          <w:sz w:val="16"/>
          <w:szCs w:val="16"/>
          <w:lang w:val="es-CR"/>
        </w:rPr>
        <w:t>, párr. 2</w:t>
      </w:r>
      <w:r w:rsidRPr="00D979C5">
        <w:rPr>
          <w:rFonts w:ascii="Verdana" w:hAnsi="Verdana"/>
          <w:sz w:val="16"/>
          <w:szCs w:val="16"/>
          <w:lang w:val="es-CR"/>
        </w:rPr>
        <w:t>03.</w:t>
      </w:r>
    </w:p>
  </w:footnote>
  <w:footnote w:id="537">
    <w:p w14:paraId="62420ECF" w14:textId="7914B712" w:rsidR="00146958" w:rsidRPr="00DB378B" w:rsidRDefault="00146958">
      <w:pPr>
        <w:pStyle w:val="Textonotapie"/>
        <w:jc w:val="both"/>
        <w:rPr>
          <w:rFonts w:ascii="Verdana" w:hAnsi="Verdana"/>
          <w:lang w:val="es-CR"/>
        </w:rPr>
      </w:pPr>
      <w:r w:rsidRPr="008D0846">
        <w:rPr>
          <w:rStyle w:val="Refdenotaalpie"/>
          <w:rFonts w:ascii="Verdana" w:hAnsi="Verdana"/>
          <w:sz w:val="16"/>
          <w:szCs w:val="16"/>
        </w:rPr>
        <w:footnoteRef/>
      </w:r>
      <w:r w:rsidRPr="008D0846">
        <w:rPr>
          <w:rFonts w:ascii="Verdana" w:hAnsi="Verdana"/>
          <w:sz w:val="16"/>
          <w:szCs w:val="16"/>
          <w:lang w:val="es-CR"/>
        </w:rPr>
        <w:t xml:space="preserve"> </w:t>
      </w:r>
      <w:r w:rsidRPr="008D0846">
        <w:rPr>
          <w:rFonts w:ascii="Verdana" w:hAnsi="Verdana"/>
          <w:sz w:val="16"/>
          <w:szCs w:val="16"/>
          <w:lang w:val="es-CR"/>
        </w:rPr>
        <w:tab/>
      </w:r>
      <w:r w:rsidRPr="00CD5C54">
        <w:rPr>
          <w:rFonts w:ascii="Verdana" w:hAnsi="Verdana"/>
          <w:i/>
          <w:sz w:val="16"/>
          <w:szCs w:val="16"/>
          <w:lang w:val="es-CR"/>
        </w:rPr>
        <w:t>Cfr.</w:t>
      </w:r>
      <w:r w:rsidRPr="00CE4F48">
        <w:rPr>
          <w:rFonts w:ascii="Verdana" w:hAnsi="Verdana"/>
          <w:i/>
          <w:sz w:val="16"/>
          <w:szCs w:val="16"/>
          <w:lang w:val="es-CR"/>
        </w:rPr>
        <w:t xml:space="preserve"> </w:t>
      </w:r>
      <w:r w:rsidRPr="008D0846">
        <w:rPr>
          <w:rFonts w:ascii="Verdana" w:hAnsi="Verdana"/>
          <w:bCs/>
          <w:i/>
          <w:sz w:val="16"/>
          <w:szCs w:val="16"/>
        </w:rPr>
        <w:t xml:space="preserve">Caso del Caracazo Vs. Venezuela. Reparaciones y Costas. </w:t>
      </w:r>
      <w:r w:rsidRPr="008D0846">
        <w:rPr>
          <w:rFonts w:ascii="Verdana" w:hAnsi="Verdana"/>
          <w:bCs/>
          <w:sz w:val="16"/>
          <w:szCs w:val="16"/>
        </w:rPr>
        <w:t>Sentencia de 29 de agosto de 2002. Serie C No. 95</w:t>
      </w:r>
      <w:r>
        <w:rPr>
          <w:rFonts w:ascii="Verdana" w:hAnsi="Verdana"/>
          <w:bCs/>
          <w:sz w:val="16"/>
          <w:szCs w:val="16"/>
        </w:rPr>
        <w:t xml:space="preserve">, párr. 119, y </w:t>
      </w:r>
      <w:r w:rsidRPr="00CE4F48">
        <w:rPr>
          <w:rFonts w:ascii="Verdana" w:hAnsi="Verdana"/>
          <w:i/>
          <w:sz w:val="16"/>
          <w:szCs w:val="16"/>
          <w:lang w:val="es-CR"/>
        </w:rPr>
        <w:t xml:space="preserve">Caso Herzog y otros Vs. Brasil. Excepciones Preliminares, Fondo, Reparaciones y Costas. </w:t>
      </w:r>
      <w:r w:rsidRPr="00CE4F48">
        <w:rPr>
          <w:rFonts w:ascii="Verdana" w:hAnsi="Verdana"/>
          <w:sz w:val="16"/>
          <w:szCs w:val="16"/>
          <w:lang w:val="es-CR"/>
        </w:rPr>
        <w:t>Sentencia de 15 de marzo de 2018. Serie C No. 353, párr. 372.</w:t>
      </w:r>
    </w:p>
  </w:footnote>
  <w:footnote w:id="538">
    <w:p w14:paraId="228092D5" w14:textId="25D92F8A" w:rsidR="00146958" w:rsidRPr="00432ABC" w:rsidRDefault="00146958">
      <w:pPr>
        <w:spacing w:after="0" w:line="240" w:lineRule="auto"/>
        <w:jc w:val="both"/>
        <w:rPr>
          <w:rFonts w:ascii="Verdana" w:hAnsi="Verdana"/>
          <w:i/>
          <w:sz w:val="16"/>
          <w:szCs w:val="16"/>
          <w:lang w:val="es-CR"/>
        </w:rPr>
      </w:pPr>
      <w:r w:rsidRPr="005E4FE7">
        <w:rPr>
          <w:rStyle w:val="Refdenotaalpie"/>
          <w:rFonts w:ascii="Verdana" w:hAnsi="Verdana"/>
          <w:color w:val="000000"/>
          <w:sz w:val="16"/>
          <w:szCs w:val="16"/>
        </w:rPr>
        <w:footnoteRef/>
      </w:r>
      <w:r w:rsidRPr="009C5C20">
        <w:rPr>
          <w:rFonts w:ascii="Verdana" w:hAnsi="Verdana"/>
          <w:sz w:val="16"/>
          <w:szCs w:val="16"/>
          <w:lang w:val="es-CR"/>
        </w:rPr>
        <w:tab/>
      </w:r>
      <w:r w:rsidRPr="00CD5C54">
        <w:rPr>
          <w:rFonts w:ascii="Verdana" w:hAnsi="Verdana"/>
          <w:i/>
          <w:sz w:val="16"/>
          <w:szCs w:val="16"/>
          <w:lang w:val="es-CR"/>
        </w:rPr>
        <w:t>Cfr.</w:t>
      </w:r>
      <w:r w:rsidRPr="009C5C20">
        <w:rPr>
          <w:rFonts w:ascii="Verdana" w:hAnsi="Verdana"/>
          <w:i/>
          <w:sz w:val="16"/>
          <w:szCs w:val="16"/>
          <w:lang w:val="es-CR"/>
        </w:rPr>
        <w:t xml:space="preserve"> </w:t>
      </w:r>
      <w:r w:rsidRPr="008D0846">
        <w:rPr>
          <w:rFonts w:ascii="Verdana" w:hAnsi="Verdana"/>
          <w:bCs/>
          <w:i/>
          <w:sz w:val="16"/>
          <w:szCs w:val="16"/>
        </w:rPr>
        <w:t xml:space="preserve">Caso de la “Panel Blanca” (Paniagua Morales y otros) Vs. Guatemala. Fondo. </w:t>
      </w:r>
      <w:r w:rsidRPr="008D0846">
        <w:rPr>
          <w:rFonts w:ascii="Verdana" w:hAnsi="Verdana"/>
          <w:bCs/>
          <w:sz w:val="16"/>
          <w:szCs w:val="16"/>
        </w:rPr>
        <w:t>Sentencia de 8 de marzo de 1998. Serie C No. 37</w:t>
      </w:r>
      <w:r w:rsidRPr="008D0846">
        <w:rPr>
          <w:rFonts w:ascii="Verdana" w:hAnsi="Verdana"/>
          <w:sz w:val="16"/>
          <w:szCs w:val="16"/>
          <w:lang w:val="es-CR"/>
        </w:rPr>
        <w:t>,</w:t>
      </w:r>
      <w:r w:rsidRPr="008D0846">
        <w:rPr>
          <w:rFonts w:ascii="Verdana" w:hAnsi="Verdana"/>
          <w:i/>
          <w:sz w:val="16"/>
          <w:szCs w:val="16"/>
          <w:lang w:val="es-CR"/>
        </w:rPr>
        <w:t xml:space="preserve"> </w:t>
      </w:r>
      <w:r w:rsidRPr="009C5C20">
        <w:rPr>
          <w:rFonts w:ascii="Verdana" w:hAnsi="Verdana"/>
          <w:sz w:val="16"/>
          <w:szCs w:val="16"/>
          <w:lang w:val="es-CR"/>
        </w:rPr>
        <w:t>párr. 173</w:t>
      </w:r>
      <w:r w:rsidRPr="008D0846">
        <w:rPr>
          <w:rFonts w:ascii="Verdana" w:hAnsi="Verdana"/>
          <w:sz w:val="16"/>
          <w:szCs w:val="16"/>
          <w:lang w:val="es-CR"/>
        </w:rPr>
        <w:t xml:space="preserve">, y </w:t>
      </w:r>
      <w:r w:rsidRPr="005E4FE7">
        <w:rPr>
          <w:rFonts w:ascii="Verdana" w:hAnsi="Verdana"/>
          <w:i/>
          <w:sz w:val="16"/>
          <w:szCs w:val="16"/>
          <w:lang w:val="es-CR"/>
        </w:rPr>
        <w:t>Caso Herzog y otros Vs. Brasi</w:t>
      </w:r>
      <w:r w:rsidRPr="009C5C20">
        <w:rPr>
          <w:rFonts w:ascii="Verdana" w:hAnsi="Verdana"/>
          <w:i/>
          <w:sz w:val="16"/>
          <w:szCs w:val="16"/>
          <w:lang w:val="es-CR"/>
        </w:rPr>
        <w:t>l, supra</w:t>
      </w:r>
      <w:r w:rsidRPr="009C5C20">
        <w:rPr>
          <w:rFonts w:ascii="Verdana" w:hAnsi="Verdana"/>
          <w:sz w:val="16"/>
          <w:szCs w:val="16"/>
          <w:lang w:val="es-CR"/>
        </w:rPr>
        <w:t>, párr. 291.</w:t>
      </w:r>
    </w:p>
  </w:footnote>
  <w:footnote w:id="539">
    <w:p w14:paraId="52195821" w14:textId="0D365B94" w:rsidR="00146958" w:rsidRPr="006E667C" w:rsidRDefault="00146958">
      <w:pPr>
        <w:tabs>
          <w:tab w:val="left" w:pos="567"/>
        </w:tabs>
        <w:spacing w:after="0" w:line="240" w:lineRule="auto"/>
        <w:ind w:right="-90"/>
        <w:jc w:val="both"/>
        <w:rPr>
          <w:rFonts w:ascii="Verdana" w:eastAsia="Times New Roman" w:hAnsi="Verdana"/>
          <w:sz w:val="16"/>
          <w:szCs w:val="16"/>
          <w:lang w:val="es-ES"/>
        </w:rPr>
      </w:pPr>
      <w:r w:rsidRPr="009C5C20">
        <w:rPr>
          <w:rStyle w:val="Refdenotaalpie"/>
          <w:rFonts w:ascii="Verdana" w:hAnsi="Verdana"/>
          <w:sz w:val="16"/>
          <w:szCs w:val="16"/>
          <w:lang w:val="es-ES"/>
        </w:rPr>
        <w:footnoteRef/>
      </w:r>
      <w:r w:rsidRPr="00226D1A">
        <w:rPr>
          <w:rFonts w:ascii="Verdana" w:hAnsi="Verdana"/>
          <w:sz w:val="16"/>
          <w:szCs w:val="16"/>
          <w:lang w:val="es-ES"/>
        </w:rPr>
        <w:tab/>
      </w:r>
      <w:r w:rsidRPr="00226D1A">
        <w:rPr>
          <w:rFonts w:ascii="Verdana" w:hAnsi="Verdana"/>
          <w:sz w:val="16"/>
          <w:szCs w:val="16"/>
          <w:lang w:val="es-ES"/>
        </w:rPr>
        <w:tab/>
      </w:r>
      <w:r w:rsidRPr="00CD5C54">
        <w:rPr>
          <w:rFonts w:ascii="Verdana" w:hAnsi="Verdana"/>
          <w:i/>
          <w:iCs/>
          <w:sz w:val="16"/>
          <w:szCs w:val="16"/>
          <w:lang w:val="es-ES"/>
        </w:rPr>
        <w:t>Cfr.</w:t>
      </w:r>
      <w:r w:rsidRPr="006E667C">
        <w:rPr>
          <w:rFonts w:ascii="Verdana" w:hAnsi="Verdana"/>
          <w:i/>
          <w:sz w:val="16"/>
          <w:szCs w:val="16"/>
          <w:lang w:val="es-ES"/>
        </w:rPr>
        <w:t xml:space="preserve"> Caso del Caracazo Vs. Venezuela</w:t>
      </w:r>
      <w:r>
        <w:rPr>
          <w:rFonts w:ascii="Verdana" w:hAnsi="Verdana"/>
          <w:i/>
          <w:sz w:val="16"/>
          <w:szCs w:val="16"/>
          <w:lang w:val="es-ES"/>
        </w:rPr>
        <w:t>, supra,</w:t>
      </w:r>
      <w:r w:rsidRPr="00A07293">
        <w:rPr>
          <w:rFonts w:ascii="Verdana" w:hAnsi="Verdana"/>
          <w:sz w:val="16"/>
          <w:szCs w:val="16"/>
          <w:lang w:val="es-ES"/>
        </w:rPr>
        <w:t xml:space="preserve"> párr. 118, y </w:t>
      </w:r>
      <w:r w:rsidRPr="008D0846">
        <w:rPr>
          <w:rStyle w:val="Textoennegrita"/>
          <w:rFonts w:ascii="Verdana" w:hAnsi="Verdana"/>
          <w:b w:val="0"/>
          <w:i/>
          <w:color w:val="000000"/>
          <w:sz w:val="16"/>
          <w:szCs w:val="16"/>
          <w:shd w:val="clear" w:color="auto" w:fill="FFFFFF"/>
        </w:rPr>
        <w:t>Caso Terrones Silva y otros Vs. Perú</w:t>
      </w:r>
      <w:r w:rsidRPr="008D0846">
        <w:rPr>
          <w:rStyle w:val="Textoennegrita"/>
          <w:rFonts w:ascii="Verdana" w:hAnsi="Verdana"/>
          <w:b w:val="0"/>
          <w:color w:val="000000"/>
          <w:sz w:val="16"/>
          <w:szCs w:val="16"/>
          <w:shd w:val="clear" w:color="auto" w:fill="FFFFFF"/>
        </w:rPr>
        <w:t xml:space="preserve">, </w:t>
      </w:r>
      <w:r w:rsidRPr="008D0846">
        <w:rPr>
          <w:rStyle w:val="Textoennegrita"/>
          <w:rFonts w:ascii="Verdana" w:hAnsi="Verdana"/>
          <w:b w:val="0"/>
          <w:i/>
          <w:color w:val="000000"/>
          <w:sz w:val="16"/>
          <w:szCs w:val="16"/>
          <w:shd w:val="clear" w:color="auto" w:fill="FFFFFF"/>
        </w:rPr>
        <w:t xml:space="preserve">supra, </w:t>
      </w:r>
      <w:r w:rsidRPr="008D0846">
        <w:rPr>
          <w:rStyle w:val="Textoennegrita"/>
          <w:rFonts w:ascii="Verdana" w:hAnsi="Verdana"/>
          <w:b w:val="0"/>
          <w:color w:val="000000"/>
          <w:sz w:val="16"/>
          <w:szCs w:val="16"/>
          <w:shd w:val="clear" w:color="auto" w:fill="FFFFFF"/>
        </w:rPr>
        <w:t>párr. 246</w:t>
      </w:r>
      <w:r w:rsidRPr="00226D1A">
        <w:rPr>
          <w:rStyle w:val="Textoennegrita"/>
          <w:rFonts w:ascii="Verdana" w:hAnsi="Verdana"/>
          <w:b w:val="0"/>
          <w:color w:val="000000"/>
          <w:sz w:val="16"/>
          <w:szCs w:val="16"/>
          <w:shd w:val="clear" w:color="auto" w:fill="FFFFFF"/>
          <w:lang w:val="es-ES"/>
        </w:rPr>
        <w:t>.</w:t>
      </w:r>
    </w:p>
  </w:footnote>
  <w:footnote w:id="540">
    <w:p w14:paraId="0BD87C9F" w14:textId="035BE1C5" w:rsidR="00146958" w:rsidRPr="00432ABC" w:rsidRDefault="00146958">
      <w:pPr>
        <w:autoSpaceDE w:val="0"/>
        <w:autoSpaceDN w:val="0"/>
        <w:adjustRightInd w:val="0"/>
        <w:spacing w:after="0" w:line="240" w:lineRule="auto"/>
        <w:jc w:val="both"/>
        <w:rPr>
          <w:rFonts w:ascii="Verdana" w:eastAsiaTheme="minorHAnsi" w:hAnsi="Verdana" w:cs="Times New Roman"/>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2C462C">
        <w:rPr>
          <w:rFonts w:ascii="Verdana" w:hAnsi="Verdana"/>
          <w:sz w:val="16"/>
          <w:szCs w:val="16"/>
          <w:lang w:val="es-CR"/>
        </w:rPr>
        <w:tab/>
      </w:r>
      <w:r>
        <w:rPr>
          <w:rFonts w:ascii="Verdana" w:hAnsi="Verdana"/>
          <w:sz w:val="16"/>
          <w:szCs w:val="16"/>
          <w:lang w:val="es-CR"/>
        </w:rPr>
        <w:t>Al respecto, el Estado señaló que “</w:t>
      </w:r>
      <w:r w:rsidRPr="002C462C">
        <w:rPr>
          <w:rFonts w:ascii="Verdana" w:hAnsi="Verdana"/>
          <w:sz w:val="16"/>
          <w:szCs w:val="16"/>
          <w:lang w:val="es-CR"/>
        </w:rPr>
        <w:t xml:space="preserve">[…] </w:t>
      </w:r>
      <w:r w:rsidRPr="002C462C">
        <w:rPr>
          <w:rFonts w:ascii="Verdana" w:eastAsiaTheme="minorHAnsi" w:hAnsi="Verdana" w:cs="Times New Roman"/>
          <w:sz w:val="16"/>
          <w:szCs w:val="16"/>
          <w:lang w:val="es-CR"/>
        </w:rPr>
        <w:t xml:space="preserve">el </w:t>
      </w:r>
      <w:r>
        <w:rPr>
          <w:rFonts w:ascii="Verdana" w:eastAsiaTheme="minorHAnsi" w:hAnsi="Verdana" w:cs="Times New Roman"/>
          <w:sz w:val="16"/>
          <w:szCs w:val="16"/>
          <w:lang w:val="es-CR"/>
        </w:rPr>
        <w:t>[G]</w:t>
      </w:r>
      <w:r w:rsidRPr="002C462C">
        <w:rPr>
          <w:rFonts w:ascii="Verdana" w:eastAsiaTheme="minorHAnsi" w:hAnsi="Verdana" w:cs="Times New Roman"/>
          <w:sz w:val="16"/>
          <w:szCs w:val="16"/>
          <w:lang w:val="es-CR"/>
        </w:rPr>
        <w:t xml:space="preserve">obierno del </w:t>
      </w:r>
      <w:r>
        <w:rPr>
          <w:rFonts w:ascii="Verdana" w:eastAsiaTheme="minorHAnsi" w:hAnsi="Verdana" w:cs="Times New Roman"/>
          <w:sz w:val="16"/>
          <w:szCs w:val="16"/>
          <w:lang w:val="es-CR"/>
        </w:rPr>
        <w:t>[E]</w:t>
      </w:r>
      <w:r w:rsidRPr="002C462C">
        <w:rPr>
          <w:rFonts w:ascii="Verdana" w:eastAsiaTheme="minorHAnsi" w:hAnsi="Verdana" w:cs="Times New Roman"/>
          <w:sz w:val="16"/>
          <w:szCs w:val="16"/>
          <w:lang w:val="es-CR"/>
        </w:rPr>
        <w:t>stado de Chihuahua cuenta con un Fideicomiso denominado Fondo de Atención a Niños y Niñas hijos de víctimas de la</w:t>
      </w:r>
      <w:r w:rsidRPr="00432ABC">
        <w:rPr>
          <w:rFonts w:ascii="Verdana" w:eastAsiaTheme="minorHAnsi" w:hAnsi="Verdana" w:cs="Times New Roman"/>
          <w:sz w:val="16"/>
          <w:szCs w:val="16"/>
          <w:lang w:val="es-CR"/>
        </w:rPr>
        <w:t xml:space="preserve"> Lucha contra el Crimen. Mediante éste, se brinda atención a niños, niñas y adolescente en situación de vulnerabilidad, así como a los mayores de edad en situación de discapacidad, dependientes directos económicamente de las víctimas de la laucha contra el crimen. Lo anterior con el propósito de brindar apoyos integrales con perspectiva social;</w:t>
      </w:r>
      <w:r w:rsidRPr="00432ABC">
        <w:rPr>
          <w:rFonts w:ascii="Verdana" w:eastAsiaTheme="minorHAnsi" w:hAnsi="Verdana" w:cs="Times New Roman"/>
          <w:b/>
          <w:sz w:val="16"/>
          <w:szCs w:val="16"/>
          <w:lang w:val="es-CR"/>
        </w:rPr>
        <w:t xml:space="preserve"> </w:t>
      </w:r>
      <w:r w:rsidRPr="00432ABC">
        <w:rPr>
          <w:rFonts w:ascii="Verdana" w:eastAsiaTheme="minorHAnsi" w:hAnsi="Verdana" w:cs="Times New Roman"/>
          <w:sz w:val="16"/>
          <w:szCs w:val="16"/>
          <w:lang w:val="es-CR"/>
        </w:rPr>
        <w:t>[…]</w:t>
      </w:r>
      <w:r w:rsidRPr="00432ABC">
        <w:rPr>
          <w:rFonts w:ascii="Verdana" w:eastAsiaTheme="minorHAnsi" w:hAnsi="Verdana" w:cs="Times New Roman"/>
          <w:b/>
          <w:sz w:val="16"/>
          <w:szCs w:val="16"/>
          <w:lang w:val="es-CR"/>
        </w:rPr>
        <w:t xml:space="preserve"> </w:t>
      </w:r>
      <w:r w:rsidRPr="008D0846">
        <w:rPr>
          <w:rFonts w:ascii="Verdana" w:eastAsiaTheme="minorHAnsi" w:hAnsi="Verdana" w:cs="Times New Roman"/>
          <w:sz w:val="16"/>
          <w:szCs w:val="16"/>
          <w:lang w:val="es-CR"/>
        </w:rPr>
        <w:t>[E]</w:t>
      </w:r>
      <w:r w:rsidRPr="00432ABC">
        <w:rPr>
          <w:rFonts w:ascii="Verdana" w:eastAsiaTheme="minorHAnsi" w:hAnsi="Verdana" w:cs="Times New Roman"/>
          <w:sz w:val="16"/>
          <w:szCs w:val="16"/>
          <w:lang w:val="es-CR"/>
        </w:rPr>
        <w:t xml:space="preserve">l </w:t>
      </w:r>
      <w:r>
        <w:rPr>
          <w:rFonts w:ascii="Verdana" w:eastAsiaTheme="minorHAnsi" w:hAnsi="Verdana" w:cs="Times New Roman"/>
          <w:sz w:val="16"/>
          <w:szCs w:val="16"/>
          <w:lang w:val="es-CR"/>
        </w:rPr>
        <w:t>[G]</w:t>
      </w:r>
      <w:r w:rsidRPr="00432ABC">
        <w:rPr>
          <w:rFonts w:ascii="Verdana" w:eastAsiaTheme="minorHAnsi" w:hAnsi="Verdana" w:cs="Times New Roman"/>
          <w:sz w:val="16"/>
          <w:szCs w:val="16"/>
          <w:lang w:val="es-CR"/>
        </w:rPr>
        <w:t xml:space="preserve">obierno de Chihuahua ha otorgado dos proyectos productivos en favor de María Jesús Alvarado Espinoza y Ascención Alvarado Fabela y María de Jesús Espinoza Peinado, una papelería y una dulcería respectivamente. Respecto de la primera se otorgó una inversión inicial, que en materiales asciende a $25,000.00 y la segunda a $24,998.00. Es importante mencionar, que ambos proyectos fueron otorgados en el marco del Programa de Autoempleo del gobierno del estado de Chihuahua </w:t>
      </w:r>
      <w:r>
        <w:rPr>
          <w:rFonts w:ascii="Verdana" w:eastAsiaTheme="minorHAnsi" w:hAnsi="Verdana" w:cs="Times New Roman"/>
          <w:sz w:val="16"/>
          <w:szCs w:val="16"/>
          <w:lang w:val="es-CR"/>
        </w:rPr>
        <w:t>‘</w:t>
      </w:r>
      <w:r w:rsidRPr="00432ABC">
        <w:rPr>
          <w:rFonts w:ascii="Verdana" w:eastAsiaTheme="minorHAnsi" w:hAnsi="Verdana" w:cs="Times New Roman"/>
          <w:sz w:val="16"/>
          <w:szCs w:val="16"/>
          <w:lang w:val="es-CR"/>
        </w:rPr>
        <w:t>PAGECH</w:t>
      </w:r>
      <w:r>
        <w:rPr>
          <w:rFonts w:ascii="Verdana" w:eastAsiaTheme="minorHAnsi" w:hAnsi="Verdana" w:cs="Times New Roman"/>
          <w:sz w:val="16"/>
          <w:szCs w:val="16"/>
          <w:lang w:val="es-CR"/>
        </w:rPr>
        <w:t>’ […]</w:t>
      </w:r>
      <w:r w:rsidRPr="00432ABC">
        <w:rPr>
          <w:rFonts w:ascii="Verdana" w:eastAsiaTheme="minorHAnsi" w:hAnsi="Verdana" w:cs="Times New Roman"/>
          <w:sz w:val="16"/>
          <w:szCs w:val="16"/>
          <w:lang w:val="es-CR"/>
        </w:rPr>
        <w:t xml:space="preserve">” </w:t>
      </w:r>
      <w:r w:rsidRPr="008D0846">
        <w:rPr>
          <w:rFonts w:ascii="Verdana" w:eastAsiaTheme="minorHAnsi" w:hAnsi="Verdana" w:cs="Times New Roman"/>
          <w:sz w:val="16"/>
          <w:szCs w:val="16"/>
          <w:lang w:val="es-CR"/>
        </w:rPr>
        <w:t>(expediente de fondo, ff. 689 a 690, párrs. 1154 y 1157).</w:t>
      </w:r>
    </w:p>
  </w:footnote>
  <w:footnote w:id="541">
    <w:p w14:paraId="0B318D79" w14:textId="08973CA0" w:rsidR="00146958" w:rsidRPr="009966FF" w:rsidRDefault="00146958">
      <w:pPr>
        <w:pStyle w:val="Textonotapie"/>
        <w:jc w:val="both"/>
        <w:rPr>
          <w:rFonts w:ascii="Verdana" w:hAnsi="Verdana"/>
          <w:color w:val="244AFC"/>
          <w:sz w:val="16"/>
          <w:szCs w:val="16"/>
          <w:lang w:val="es-CR"/>
        </w:rPr>
      </w:pPr>
      <w:r w:rsidRPr="00432ABC">
        <w:rPr>
          <w:rStyle w:val="Refdenotaalpie"/>
          <w:rFonts w:ascii="Verdana" w:hAnsi="Verdana"/>
          <w:sz w:val="16"/>
          <w:szCs w:val="16"/>
          <w:lang w:val="es-CR"/>
        </w:rPr>
        <w:footnoteRef/>
      </w:r>
      <w:r w:rsidRPr="00432ABC">
        <w:rPr>
          <w:rFonts w:ascii="Verdana" w:hAnsi="Verdana"/>
          <w:sz w:val="16"/>
          <w:szCs w:val="16"/>
          <w:lang w:val="es-CR"/>
        </w:rPr>
        <w:t xml:space="preserve"> </w:t>
      </w:r>
      <w:r w:rsidRPr="002C462C">
        <w:rPr>
          <w:rFonts w:ascii="Verdana" w:hAnsi="Verdana"/>
          <w:sz w:val="16"/>
          <w:szCs w:val="16"/>
          <w:lang w:val="es-CR"/>
        </w:rPr>
        <w:tab/>
      </w:r>
      <w:r w:rsidRPr="00CD5C54">
        <w:rPr>
          <w:rFonts w:ascii="Verdana" w:hAnsi="Verdana"/>
          <w:i/>
          <w:iCs/>
          <w:sz w:val="16"/>
          <w:szCs w:val="16"/>
          <w:lang w:val="es-CR"/>
        </w:rPr>
        <w:t>Cfr.</w:t>
      </w:r>
      <w:r w:rsidRPr="009966FF">
        <w:rPr>
          <w:rFonts w:ascii="Verdana" w:hAnsi="Verdana"/>
          <w:bCs/>
          <w:i/>
          <w:sz w:val="16"/>
          <w:szCs w:val="16"/>
          <w:lang w:val="es-CR"/>
        </w:rPr>
        <w:t xml:space="preserve"> </w:t>
      </w:r>
      <w:r w:rsidRPr="009966FF">
        <w:rPr>
          <w:rFonts w:ascii="Verdana" w:hAnsi="Verdana"/>
          <w:i/>
          <w:spacing w:val="-6"/>
          <w:sz w:val="16"/>
          <w:szCs w:val="16"/>
          <w:lang w:val="es-CR"/>
        </w:rPr>
        <w:t xml:space="preserve">Caso Cantoral Benavides </w:t>
      </w:r>
      <w:r w:rsidRPr="009966FF">
        <w:rPr>
          <w:rFonts w:ascii="Verdana" w:hAnsi="Verdana"/>
          <w:i/>
          <w:sz w:val="16"/>
          <w:szCs w:val="16"/>
          <w:lang w:val="es-CR"/>
        </w:rPr>
        <w:t>Vs. Perú.</w:t>
      </w:r>
      <w:r w:rsidRPr="009966FF">
        <w:rPr>
          <w:rFonts w:ascii="Verdana" w:hAnsi="Verdana"/>
          <w:sz w:val="16"/>
          <w:szCs w:val="16"/>
          <w:lang w:val="es-CR"/>
        </w:rPr>
        <w:t xml:space="preserve"> </w:t>
      </w:r>
      <w:r w:rsidRPr="009966FF">
        <w:rPr>
          <w:rFonts w:ascii="Verdana" w:hAnsi="Verdana"/>
          <w:i/>
          <w:sz w:val="16"/>
          <w:szCs w:val="16"/>
          <w:lang w:val="es-CR"/>
        </w:rPr>
        <w:t>Reparaciones</w:t>
      </w:r>
      <w:r w:rsidRPr="009966FF">
        <w:rPr>
          <w:rFonts w:ascii="Verdana" w:hAnsi="Verdana"/>
          <w:sz w:val="16"/>
          <w:szCs w:val="16"/>
          <w:lang w:val="es-CR"/>
        </w:rPr>
        <w:t xml:space="preserve"> </w:t>
      </w:r>
      <w:r w:rsidRPr="009966FF">
        <w:rPr>
          <w:rFonts w:ascii="Verdana" w:hAnsi="Verdana"/>
          <w:i/>
          <w:sz w:val="16"/>
          <w:szCs w:val="16"/>
          <w:lang w:val="es-CR"/>
        </w:rPr>
        <w:t>y Costas</w:t>
      </w:r>
      <w:r w:rsidRPr="009966FF">
        <w:rPr>
          <w:rFonts w:ascii="Verdana" w:hAnsi="Verdana"/>
          <w:sz w:val="16"/>
          <w:szCs w:val="16"/>
          <w:lang w:val="es-CR"/>
        </w:rPr>
        <w:t>. Sentencia de 3 de diciembre de 2001. Serie C No. 88, párr. 81</w:t>
      </w:r>
      <w:r w:rsidRPr="008D0846">
        <w:rPr>
          <w:rFonts w:ascii="Verdana" w:hAnsi="Verdana"/>
          <w:sz w:val="16"/>
          <w:szCs w:val="16"/>
          <w:lang w:val="es-CR"/>
        </w:rPr>
        <w:t xml:space="preserve">, y </w:t>
      </w:r>
      <w:r w:rsidRPr="009966FF">
        <w:rPr>
          <w:rStyle w:val="Textoennegrita"/>
          <w:rFonts w:ascii="Verdana" w:hAnsi="Verdana"/>
          <w:b w:val="0"/>
          <w:i/>
          <w:color w:val="000000"/>
          <w:sz w:val="16"/>
          <w:szCs w:val="16"/>
          <w:shd w:val="clear" w:color="auto" w:fill="FFFFFF"/>
        </w:rPr>
        <w:t>Caso Terrones Silva y otros Vs. Perú</w:t>
      </w:r>
      <w:r w:rsidRPr="009966FF">
        <w:rPr>
          <w:rStyle w:val="Textoennegrita"/>
          <w:rFonts w:ascii="Verdana" w:hAnsi="Verdana"/>
          <w:b w:val="0"/>
          <w:color w:val="000000"/>
          <w:sz w:val="16"/>
          <w:szCs w:val="16"/>
          <w:shd w:val="clear" w:color="auto" w:fill="FFFFFF"/>
        </w:rPr>
        <w:t xml:space="preserve">, </w:t>
      </w:r>
      <w:r w:rsidRPr="009966FF">
        <w:rPr>
          <w:rStyle w:val="Textoennegrita"/>
          <w:rFonts w:ascii="Verdana" w:hAnsi="Verdana"/>
          <w:b w:val="0"/>
          <w:i/>
          <w:color w:val="000000"/>
          <w:sz w:val="16"/>
          <w:szCs w:val="16"/>
          <w:shd w:val="clear" w:color="auto" w:fill="FFFFFF"/>
        </w:rPr>
        <w:t xml:space="preserve">supra, </w:t>
      </w:r>
      <w:r w:rsidRPr="009966FF">
        <w:rPr>
          <w:rStyle w:val="Textoennegrita"/>
          <w:rFonts w:ascii="Verdana" w:hAnsi="Verdana"/>
          <w:b w:val="0"/>
          <w:color w:val="000000"/>
          <w:sz w:val="16"/>
          <w:szCs w:val="16"/>
          <w:shd w:val="clear" w:color="auto" w:fill="FFFFFF"/>
        </w:rPr>
        <w:t>párr. 255</w:t>
      </w:r>
      <w:r w:rsidRPr="009966FF">
        <w:rPr>
          <w:rFonts w:ascii="Verdana" w:hAnsi="Verdana"/>
          <w:sz w:val="16"/>
          <w:szCs w:val="16"/>
          <w:lang w:val="es-CR"/>
        </w:rPr>
        <w:t>.</w:t>
      </w:r>
    </w:p>
  </w:footnote>
  <w:footnote w:id="542">
    <w:p w14:paraId="070D06CB" w14:textId="111272EF" w:rsidR="00146958" w:rsidRPr="00432ABC" w:rsidRDefault="00146958">
      <w:pPr>
        <w:pStyle w:val="Estilo1"/>
        <w:tabs>
          <w:tab w:val="clear" w:pos="567"/>
          <w:tab w:val="clear" w:pos="1134"/>
          <w:tab w:val="left" w:pos="709"/>
        </w:tabs>
        <w:spacing w:after="0"/>
        <w:rPr>
          <w:spacing w:val="-6"/>
          <w:sz w:val="16"/>
          <w:szCs w:val="16"/>
        </w:rPr>
      </w:pPr>
      <w:r w:rsidRPr="009966FF">
        <w:rPr>
          <w:rStyle w:val="Refdenotaalpie"/>
          <w:spacing w:val="-6"/>
          <w:sz w:val="16"/>
          <w:szCs w:val="16"/>
        </w:rPr>
        <w:footnoteRef/>
      </w:r>
      <w:r w:rsidRPr="009966FF">
        <w:rPr>
          <w:spacing w:val="-6"/>
          <w:sz w:val="16"/>
          <w:szCs w:val="16"/>
        </w:rPr>
        <w:t xml:space="preserve"> </w:t>
      </w:r>
      <w:r w:rsidRPr="009966FF">
        <w:rPr>
          <w:spacing w:val="-6"/>
          <w:sz w:val="16"/>
          <w:szCs w:val="16"/>
        </w:rPr>
        <w:tab/>
      </w:r>
      <w:r w:rsidRPr="00CD5C54">
        <w:rPr>
          <w:i/>
          <w:spacing w:val="-6"/>
          <w:sz w:val="16"/>
          <w:szCs w:val="16"/>
        </w:rPr>
        <w:t>Cfr.</w:t>
      </w:r>
      <w:r w:rsidRPr="009966FF">
        <w:rPr>
          <w:i/>
          <w:spacing w:val="-6"/>
          <w:sz w:val="16"/>
          <w:szCs w:val="16"/>
        </w:rPr>
        <w:t xml:space="preserve"> Caso Cantoral Benavides </w:t>
      </w:r>
      <w:r w:rsidRPr="009966FF">
        <w:rPr>
          <w:i/>
          <w:sz w:val="16"/>
          <w:szCs w:val="16"/>
        </w:rPr>
        <w:t>Vs. Perú,</w:t>
      </w:r>
      <w:r w:rsidRPr="009966FF">
        <w:rPr>
          <w:sz w:val="16"/>
          <w:szCs w:val="16"/>
        </w:rPr>
        <w:t xml:space="preserve"> </w:t>
      </w:r>
      <w:r w:rsidRPr="008D0846">
        <w:rPr>
          <w:i/>
          <w:sz w:val="16"/>
          <w:szCs w:val="16"/>
        </w:rPr>
        <w:t>supra</w:t>
      </w:r>
      <w:r w:rsidRPr="009966FF">
        <w:rPr>
          <w:sz w:val="16"/>
          <w:szCs w:val="16"/>
        </w:rPr>
        <w:t xml:space="preserve">, </w:t>
      </w:r>
      <w:r w:rsidRPr="009966FF">
        <w:rPr>
          <w:spacing w:val="-6"/>
          <w:sz w:val="16"/>
          <w:szCs w:val="16"/>
        </w:rPr>
        <w:t>párr.</w:t>
      </w:r>
      <w:r w:rsidRPr="009966FF">
        <w:rPr>
          <w:i/>
          <w:spacing w:val="-6"/>
          <w:sz w:val="16"/>
          <w:szCs w:val="16"/>
        </w:rPr>
        <w:t xml:space="preserve"> </w:t>
      </w:r>
      <w:r w:rsidRPr="009966FF">
        <w:rPr>
          <w:spacing w:val="-6"/>
          <w:sz w:val="16"/>
          <w:szCs w:val="16"/>
        </w:rPr>
        <w:t xml:space="preserve">79, y </w:t>
      </w:r>
      <w:r w:rsidRPr="008D0846">
        <w:rPr>
          <w:bCs/>
          <w:i/>
          <w:spacing w:val="-6"/>
          <w:sz w:val="16"/>
          <w:szCs w:val="16"/>
          <w:lang w:val="es-MX"/>
        </w:rPr>
        <w:t>Caso Terrones Silva y otros Vs. Perú</w:t>
      </w:r>
      <w:r w:rsidRPr="008D0846">
        <w:rPr>
          <w:bCs/>
          <w:spacing w:val="-6"/>
          <w:sz w:val="16"/>
          <w:szCs w:val="16"/>
          <w:lang w:val="es-MX"/>
        </w:rPr>
        <w:t xml:space="preserve">, </w:t>
      </w:r>
      <w:r w:rsidRPr="008D0846">
        <w:rPr>
          <w:bCs/>
          <w:i/>
          <w:spacing w:val="-6"/>
          <w:sz w:val="16"/>
          <w:szCs w:val="16"/>
          <w:lang w:val="es-MX"/>
        </w:rPr>
        <w:t xml:space="preserve">supra, </w:t>
      </w:r>
      <w:r w:rsidRPr="008D0846">
        <w:rPr>
          <w:bCs/>
          <w:spacing w:val="-6"/>
          <w:sz w:val="16"/>
          <w:szCs w:val="16"/>
          <w:lang w:val="es-MX"/>
        </w:rPr>
        <w:t>párr. 254</w:t>
      </w:r>
      <w:r w:rsidRPr="009966FF">
        <w:rPr>
          <w:i/>
          <w:spacing w:val="-6"/>
          <w:sz w:val="16"/>
          <w:szCs w:val="16"/>
        </w:rPr>
        <w:t>.</w:t>
      </w:r>
    </w:p>
  </w:footnote>
  <w:footnote w:id="543">
    <w:p w14:paraId="19CA5731" w14:textId="4404057D" w:rsidR="00146958" w:rsidRPr="009966FF" w:rsidRDefault="00146958">
      <w:pPr>
        <w:pStyle w:val="Textonotapie"/>
        <w:jc w:val="both"/>
        <w:rPr>
          <w:rFonts w:ascii="Verdana" w:hAnsi="Verdana"/>
          <w:sz w:val="16"/>
          <w:szCs w:val="16"/>
          <w:lang w:val="es-CR"/>
        </w:rPr>
      </w:pPr>
      <w:r w:rsidRPr="00A07293">
        <w:rPr>
          <w:rStyle w:val="Refdenotaalpie"/>
          <w:rFonts w:ascii="Verdana" w:hAnsi="Verdana"/>
          <w:sz w:val="16"/>
          <w:szCs w:val="16"/>
        </w:rPr>
        <w:footnoteRef/>
      </w:r>
      <w:r w:rsidRPr="00A07293">
        <w:rPr>
          <w:rFonts w:ascii="Verdana" w:hAnsi="Verdana"/>
          <w:sz w:val="16"/>
          <w:szCs w:val="16"/>
          <w:lang w:val="es-CR"/>
        </w:rPr>
        <w:t xml:space="preserve"> </w:t>
      </w:r>
      <w:r w:rsidRPr="00A07293">
        <w:rPr>
          <w:rFonts w:ascii="Verdana" w:hAnsi="Verdana"/>
          <w:sz w:val="16"/>
          <w:szCs w:val="16"/>
          <w:lang w:val="es-CR"/>
        </w:rPr>
        <w:tab/>
      </w:r>
      <w:r w:rsidRPr="00CD5C54">
        <w:rPr>
          <w:rFonts w:ascii="Verdana" w:hAnsi="Verdana"/>
          <w:i/>
          <w:sz w:val="16"/>
          <w:szCs w:val="16"/>
          <w:lang w:val="es-CR"/>
        </w:rPr>
        <w:t>Cfr.</w:t>
      </w:r>
      <w:r w:rsidRPr="00A07293">
        <w:rPr>
          <w:rFonts w:ascii="Verdana" w:hAnsi="Verdana"/>
          <w:i/>
          <w:sz w:val="16"/>
          <w:szCs w:val="16"/>
          <w:lang w:val="es-CR"/>
        </w:rPr>
        <w:t xml:space="preserve"> Caso Loayza Tamayo Vs. Perú. Reparaciones y Costas. </w:t>
      </w:r>
      <w:r w:rsidRPr="00A07293">
        <w:rPr>
          <w:rFonts w:ascii="Verdana" w:hAnsi="Verdana"/>
          <w:sz w:val="16"/>
          <w:szCs w:val="16"/>
          <w:lang w:val="es-CR"/>
        </w:rPr>
        <w:t>Sentencia de 27 de noviembre de 1998. Serie C No. 42, párr. 147</w:t>
      </w:r>
      <w:r w:rsidRPr="008D0846">
        <w:rPr>
          <w:rFonts w:ascii="Verdana" w:hAnsi="Verdana"/>
          <w:sz w:val="16"/>
          <w:szCs w:val="16"/>
          <w:lang w:val="es-CR"/>
        </w:rPr>
        <w:t xml:space="preserve">, y </w:t>
      </w:r>
      <w:r w:rsidRPr="008D0846">
        <w:rPr>
          <w:rFonts w:ascii="Verdana" w:hAnsi="Verdana"/>
          <w:bCs/>
          <w:i/>
          <w:sz w:val="16"/>
          <w:szCs w:val="16"/>
        </w:rPr>
        <w:t>Caso Zegarra Marín Vs. Perú. Excepciones Preliminares, Fondo, Reparaciones y Costas</w:t>
      </w:r>
      <w:r w:rsidRPr="008D0846">
        <w:rPr>
          <w:rFonts w:ascii="Verdana" w:hAnsi="Verdana"/>
          <w:bCs/>
          <w:sz w:val="16"/>
          <w:szCs w:val="16"/>
        </w:rPr>
        <w:t>. Sentencia de 15 de febrero de 2017. Serie C No. 331, párr. 223.</w:t>
      </w:r>
    </w:p>
  </w:footnote>
  <w:footnote w:id="544">
    <w:p w14:paraId="027FA42F" w14:textId="3EE57E2A" w:rsidR="00146958" w:rsidRPr="00A07293" w:rsidRDefault="00146958">
      <w:pPr>
        <w:pStyle w:val="Textonotapie"/>
        <w:jc w:val="both"/>
        <w:rPr>
          <w:rFonts w:ascii="Verdana" w:hAnsi="Verdana"/>
          <w:sz w:val="16"/>
          <w:szCs w:val="16"/>
          <w:lang w:val="es-CR"/>
        </w:rPr>
      </w:pPr>
      <w:r w:rsidRPr="00A07293">
        <w:rPr>
          <w:rStyle w:val="Refdenotaalpie"/>
          <w:rFonts w:ascii="Verdana" w:hAnsi="Verdana"/>
          <w:sz w:val="16"/>
          <w:szCs w:val="16"/>
        </w:rPr>
        <w:footnoteRef/>
      </w:r>
      <w:r w:rsidRPr="00A07293">
        <w:rPr>
          <w:rFonts w:ascii="Verdana" w:hAnsi="Verdana"/>
          <w:sz w:val="16"/>
          <w:szCs w:val="16"/>
          <w:lang w:val="es-CR"/>
        </w:rPr>
        <w:t xml:space="preserve"> </w:t>
      </w:r>
      <w:r w:rsidRPr="00A07293">
        <w:rPr>
          <w:rFonts w:ascii="Verdana" w:hAnsi="Verdana"/>
          <w:sz w:val="16"/>
          <w:szCs w:val="16"/>
          <w:lang w:val="es-CR"/>
        </w:rPr>
        <w:tab/>
      </w:r>
      <w:r w:rsidRPr="00CD5C54">
        <w:rPr>
          <w:rFonts w:ascii="Verdana" w:hAnsi="Verdana"/>
          <w:i/>
          <w:iCs/>
          <w:sz w:val="16"/>
          <w:szCs w:val="16"/>
          <w:lang w:val="es-CR"/>
        </w:rPr>
        <w:t>Cfr.</w:t>
      </w:r>
      <w:r w:rsidRPr="00FC0936">
        <w:rPr>
          <w:rFonts w:ascii="Verdana" w:hAnsi="Verdana"/>
          <w:iCs/>
          <w:sz w:val="16"/>
          <w:szCs w:val="16"/>
          <w:lang w:val="es-CR"/>
        </w:rPr>
        <w:t xml:space="preserve"> </w:t>
      </w:r>
      <w:r w:rsidRPr="008D0846">
        <w:rPr>
          <w:rFonts w:ascii="Verdana" w:hAnsi="Verdana"/>
          <w:bCs/>
          <w:i/>
          <w:iCs/>
          <w:sz w:val="16"/>
          <w:szCs w:val="16"/>
        </w:rPr>
        <w:t xml:space="preserve">Caso Furlan y familiares Vs. Argentina. Excepciones Preliminares, Fondo, Reparaciones y Costas. </w:t>
      </w:r>
      <w:r w:rsidRPr="008D0846">
        <w:rPr>
          <w:rFonts w:ascii="Verdana" w:hAnsi="Verdana"/>
          <w:bCs/>
          <w:iCs/>
          <w:sz w:val="16"/>
          <w:szCs w:val="16"/>
        </w:rPr>
        <w:t xml:space="preserve">Sentencia de 31 de agosto de 2012. Serie C No. 246, párr. 285, y </w:t>
      </w:r>
      <w:r w:rsidRPr="008D0846">
        <w:rPr>
          <w:rFonts w:ascii="Verdana" w:hAnsi="Verdana"/>
          <w:bCs/>
          <w:i/>
          <w:iCs/>
          <w:sz w:val="16"/>
          <w:szCs w:val="16"/>
        </w:rPr>
        <w:t>Caso Zegarra Marín Vs. Perú</w:t>
      </w:r>
      <w:r w:rsidRPr="008D0846">
        <w:rPr>
          <w:rFonts w:ascii="Verdana" w:hAnsi="Verdana"/>
          <w:bCs/>
          <w:iCs/>
          <w:sz w:val="16"/>
          <w:szCs w:val="16"/>
          <w:lang w:val="es-CR"/>
        </w:rPr>
        <w:t xml:space="preserve">, </w:t>
      </w:r>
      <w:r w:rsidRPr="008D0846">
        <w:rPr>
          <w:rFonts w:ascii="Verdana" w:hAnsi="Verdana"/>
          <w:bCs/>
          <w:i/>
          <w:iCs/>
          <w:sz w:val="16"/>
          <w:szCs w:val="16"/>
          <w:lang w:val="es-CR"/>
        </w:rPr>
        <w:t xml:space="preserve">supra, </w:t>
      </w:r>
      <w:r w:rsidRPr="008D0846">
        <w:rPr>
          <w:rFonts w:ascii="Verdana" w:hAnsi="Verdana"/>
          <w:bCs/>
          <w:iCs/>
          <w:sz w:val="16"/>
          <w:szCs w:val="16"/>
          <w:lang w:val="es-CR"/>
        </w:rPr>
        <w:t>párr. 223</w:t>
      </w:r>
      <w:r w:rsidRPr="00FC0936">
        <w:rPr>
          <w:rFonts w:ascii="Verdana" w:hAnsi="Verdana"/>
          <w:sz w:val="16"/>
          <w:szCs w:val="16"/>
          <w:lang w:val="es-CR"/>
        </w:rPr>
        <w:t>.</w:t>
      </w:r>
    </w:p>
  </w:footnote>
  <w:footnote w:id="545">
    <w:p w14:paraId="75CA4715" w14:textId="1ABEAF7F" w:rsidR="00146958" w:rsidRPr="0069432F" w:rsidRDefault="00146958">
      <w:pPr>
        <w:pStyle w:val="Textonotapie"/>
        <w:jc w:val="both"/>
        <w:rPr>
          <w:rFonts w:ascii="Verdana" w:hAnsi="Verdana"/>
          <w:sz w:val="16"/>
          <w:szCs w:val="16"/>
          <w:lang w:val="es-CR"/>
        </w:rPr>
      </w:pPr>
      <w:r w:rsidRPr="008C06B6">
        <w:rPr>
          <w:rStyle w:val="Refdenotaalpie"/>
          <w:rFonts w:ascii="Verdana" w:hAnsi="Verdana"/>
          <w:sz w:val="16"/>
          <w:szCs w:val="16"/>
        </w:rPr>
        <w:footnoteRef/>
      </w:r>
      <w:r w:rsidRPr="008C06B6">
        <w:rPr>
          <w:rFonts w:ascii="Verdana" w:hAnsi="Verdana"/>
          <w:sz w:val="16"/>
          <w:szCs w:val="16"/>
          <w:lang w:val="es-CR"/>
        </w:rPr>
        <w:t xml:space="preserve"> </w:t>
      </w:r>
      <w:r w:rsidRPr="008C06B6">
        <w:rPr>
          <w:rFonts w:ascii="Verdana" w:hAnsi="Verdana"/>
          <w:sz w:val="16"/>
          <w:szCs w:val="16"/>
          <w:lang w:val="es-CR"/>
        </w:rPr>
        <w:tab/>
      </w:r>
      <w:r w:rsidRPr="00CD5C54">
        <w:rPr>
          <w:rFonts w:ascii="Verdana" w:hAnsi="Verdana"/>
          <w:i/>
          <w:sz w:val="16"/>
          <w:szCs w:val="16"/>
          <w:lang w:val="es-CR"/>
        </w:rPr>
        <w:t>Cfr.</w:t>
      </w:r>
      <w:r w:rsidRPr="008C06B6">
        <w:rPr>
          <w:rFonts w:ascii="Verdana" w:hAnsi="Verdana"/>
          <w:sz w:val="16"/>
          <w:szCs w:val="16"/>
          <w:lang w:val="es-CR"/>
        </w:rPr>
        <w:t xml:space="preserve"> </w:t>
      </w:r>
      <w:r w:rsidRPr="0069432F">
        <w:rPr>
          <w:rFonts w:ascii="Verdana" w:hAnsi="Verdana"/>
          <w:i/>
          <w:sz w:val="16"/>
          <w:szCs w:val="16"/>
          <w:lang w:val="es-CR"/>
        </w:rPr>
        <w:t>Caso Tibi Vs. Ecuador. Excepciones Preliminares, Fondo, Reparaciones y Costas</w:t>
      </w:r>
      <w:r w:rsidRPr="0069432F">
        <w:rPr>
          <w:rFonts w:ascii="Verdana" w:hAnsi="Verdana"/>
          <w:sz w:val="16"/>
          <w:szCs w:val="16"/>
          <w:lang w:val="es-CR"/>
        </w:rPr>
        <w:t xml:space="preserve">. Sentencia de 7 de septiembre de 2004. Serie C No. 114, párr. 245, y </w:t>
      </w:r>
      <w:r w:rsidRPr="008D0846">
        <w:rPr>
          <w:rFonts w:ascii="Verdana" w:hAnsi="Verdana"/>
          <w:bCs/>
          <w:i/>
          <w:sz w:val="16"/>
          <w:szCs w:val="16"/>
        </w:rPr>
        <w:t>Caso Mendoza y otros Vs. Argentina. Excepciones Preliminares, Fondo y Reparaciones</w:t>
      </w:r>
      <w:r w:rsidRPr="008D0846">
        <w:rPr>
          <w:rFonts w:ascii="Verdana" w:hAnsi="Verdana"/>
          <w:bCs/>
          <w:sz w:val="16"/>
          <w:szCs w:val="16"/>
        </w:rPr>
        <w:t>. Sentencia de 14 de mayo de 2013. Serie C No. 260, párr</w:t>
      </w:r>
      <w:r w:rsidRPr="008C06B6">
        <w:rPr>
          <w:rFonts w:ascii="Verdana" w:hAnsi="Verdana"/>
          <w:sz w:val="16"/>
          <w:szCs w:val="16"/>
          <w:lang w:val="es-CR"/>
        </w:rPr>
        <w:t>. 314.</w:t>
      </w:r>
    </w:p>
  </w:footnote>
  <w:footnote w:id="546">
    <w:p w14:paraId="6C15F0AE" w14:textId="07C9FB7F" w:rsidR="00146958" w:rsidRPr="00432ABC" w:rsidRDefault="00146958">
      <w:pPr>
        <w:pStyle w:val="Textonotapie"/>
        <w:jc w:val="both"/>
        <w:rPr>
          <w:rFonts w:ascii="Verdana" w:hAnsi="Verdana"/>
          <w:sz w:val="16"/>
          <w:szCs w:val="16"/>
          <w:lang w:val="es-CR"/>
        </w:rPr>
      </w:pPr>
      <w:r w:rsidRPr="0069432F">
        <w:rPr>
          <w:rStyle w:val="Refdenotaalpie"/>
          <w:rFonts w:ascii="Verdana" w:hAnsi="Verdana"/>
          <w:sz w:val="16"/>
          <w:szCs w:val="16"/>
        </w:rPr>
        <w:footnoteRef/>
      </w:r>
      <w:r w:rsidRPr="004E1FE0">
        <w:rPr>
          <w:rFonts w:ascii="Verdana" w:hAnsi="Verdana"/>
          <w:sz w:val="16"/>
          <w:szCs w:val="16"/>
          <w:lang w:val="es-CR"/>
        </w:rPr>
        <w:t xml:space="preserve"> </w:t>
      </w:r>
      <w:r w:rsidRPr="004E1FE0">
        <w:rPr>
          <w:rFonts w:ascii="Verdana" w:hAnsi="Verdana"/>
          <w:sz w:val="16"/>
          <w:szCs w:val="16"/>
          <w:lang w:val="es-CR"/>
        </w:rPr>
        <w:tab/>
      </w:r>
      <w:r w:rsidRPr="00CD5C54">
        <w:rPr>
          <w:rFonts w:ascii="Verdana" w:hAnsi="Verdana"/>
          <w:i/>
          <w:sz w:val="16"/>
          <w:szCs w:val="16"/>
          <w:lang w:val="es-CR"/>
        </w:rPr>
        <w:t>Cfr.</w:t>
      </w:r>
      <w:r w:rsidRPr="00206971">
        <w:rPr>
          <w:rFonts w:ascii="Verdana" w:hAnsi="Verdana"/>
          <w:sz w:val="16"/>
          <w:szCs w:val="16"/>
          <w:lang w:val="es-CR"/>
        </w:rPr>
        <w:t xml:space="preserve"> </w:t>
      </w:r>
      <w:r w:rsidRPr="00271D21">
        <w:rPr>
          <w:rFonts w:ascii="Verdana" w:hAnsi="Verdana"/>
          <w:i/>
          <w:sz w:val="16"/>
          <w:szCs w:val="16"/>
          <w:lang w:val="es-CR"/>
        </w:rPr>
        <w:t>Caso Loayza Tamayo Vs. Perú</w:t>
      </w:r>
      <w:r w:rsidRPr="008D0846">
        <w:rPr>
          <w:rFonts w:ascii="Verdana" w:hAnsi="Verdana"/>
          <w:i/>
          <w:sz w:val="16"/>
          <w:szCs w:val="16"/>
          <w:lang w:val="es-CR"/>
        </w:rPr>
        <w:t xml:space="preserve">, supra, </w:t>
      </w:r>
      <w:r w:rsidRPr="00206971">
        <w:rPr>
          <w:rFonts w:ascii="Verdana" w:hAnsi="Verdana"/>
          <w:sz w:val="16"/>
          <w:szCs w:val="16"/>
          <w:lang w:val="es-CR"/>
        </w:rPr>
        <w:t>párr. 150</w:t>
      </w:r>
      <w:r w:rsidRPr="008D0846">
        <w:rPr>
          <w:rFonts w:ascii="Verdana" w:hAnsi="Verdana"/>
          <w:sz w:val="16"/>
          <w:szCs w:val="16"/>
          <w:lang w:val="es-CR"/>
        </w:rPr>
        <w:t>, y</w:t>
      </w:r>
      <w:r w:rsidRPr="004E1FE0">
        <w:rPr>
          <w:rFonts w:ascii="Verdana" w:hAnsi="Verdana"/>
          <w:bCs/>
          <w:i/>
          <w:sz w:val="16"/>
          <w:szCs w:val="16"/>
        </w:rPr>
        <w:t xml:space="preserve"> </w:t>
      </w:r>
      <w:r w:rsidRPr="008D0846">
        <w:rPr>
          <w:rFonts w:ascii="Verdana" w:hAnsi="Verdana"/>
          <w:bCs/>
          <w:i/>
          <w:sz w:val="16"/>
          <w:szCs w:val="16"/>
        </w:rPr>
        <w:t>Caso Mendoza y otros Vs. Argentina, supra,</w:t>
      </w:r>
      <w:r w:rsidRPr="008D0846">
        <w:rPr>
          <w:rFonts w:ascii="Verdana" w:hAnsi="Verdana"/>
          <w:bCs/>
          <w:sz w:val="16"/>
          <w:szCs w:val="16"/>
        </w:rPr>
        <w:t xml:space="preserve"> </w:t>
      </w:r>
      <w:r>
        <w:rPr>
          <w:rFonts w:ascii="Verdana" w:hAnsi="Verdana"/>
          <w:bCs/>
          <w:sz w:val="16"/>
          <w:szCs w:val="16"/>
        </w:rPr>
        <w:t xml:space="preserve">párr. </w:t>
      </w:r>
      <w:r w:rsidRPr="008D0846">
        <w:rPr>
          <w:rFonts w:ascii="Verdana" w:hAnsi="Verdana"/>
          <w:bCs/>
          <w:sz w:val="16"/>
          <w:szCs w:val="16"/>
        </w:rPr>
        <w:t>314</w:t>
      </w:r>
      <w:r w:rsidRPr="008D0846">
        <w:rPr>
          <w:rFonts w:ascii="Verdana" w:hAnsi="Verdana"/>
          <w:bCs/>
          <w:i/>
          <w:sz w:val="16"/>
          <w:szCs w:val="16"/>
        </w:rPr>
        <w:t>.</w:t>
      </w:r>
    </w:p>
  </w:footnote>
  <w:footnote w:id="547">
    <w:p w14:paraId="20BF4451" w14:textId="2EE77CF7" w:rsidR="00146958" w:rsidRPr="008D0846" w:rsidRDefault="00146958" w:rsidP="00DB378B">
      <w:pPr>
        <w:pStyle w:val="Textonotapie"/>
        <w:jc w:val="both"/>
        <w:rPr>
          <w:rFonts w:ascii="Verdana" w:hAnsi="Verdana"/>
          <w:sz w:val="16"/>
          <w:szCs w:val="16"/>
          <w:lang w:val="es-CR"/>
        </w:rPr>
      </w:pPr>
      <w:r w:rsidRPr="002C27AA">
        <w:rPr>
          <w:rStyle w:val="Refdenotaalpie"/>
          <w:rFonts w:ascii="Verdana" w:hAnsi="Verdana"/>
          <w:sz w:val="16"/>
          <w:szCs w:val="16"/>
        </w:rPr>
        <w:footnoteRef/>
      </w:r>
      <w:r w:rsidRPr="002C27AA">
        <w:rPr>
          <w:rFonts w:ascii="Verdana" w:hAnsi="Verdana"/>
          <w:sz w:val="16"/>
          <w:szCs w:val="16"/>
          <w:lang w:val="es-CR"/>
        </w:rPr>
        <w:t xml:space="preserve"> </w:t>
      </w:r>
      <w:r w:rsidRPr="002C27AA">
        <w:rPr>
          <w:rFonts w:ascii="Verdana" w:hAnsi="Verdana"/>
          <w:sz w:val="16"/>
          <w:szCs w:val="16"/>
          <w:lang w:val="es-CR"/>
        </w:rPr>
        <w:tab/>
      </w:r>
      <w:r w:rsidRPr="00CD5C54">
        <w:rPr>
          <w:rFonts w:ascii="Verdana" w:hAnsi="Verdana"/>
          <w:i/>
          <w:sz w:val="16"/>
          <w:szCs w:val="16"/>
          <w:lang w:val="es-CR"/>
        </w:rPr>
        <w:t>Cfr.</w:t>
      </w:r>
      <w:r w:rsidRPr="00407040">
        <w:rPr>
          <w:rFonts w:ascii="Verdana" w:hAnsi="Verdana"/>
          <w:sz w:val="16"/>
          <w:szCs w:val="16"/>
          <w:lang w:val="es-CR"/>
        </w:rPr>
        <w:t xml:space="preserve"> </w:t>
      </w:r>
      <w:r w:rsidRPr="008D0846">
        <w:rPr>
          <w:rFonts w:ascii="Verdana" w:hAnsi="Verdana"/>
          <w:bCs/>
          <w:i/>
          <w:sz w:val="16"/>
          <w:szCs w:val="16"/>
        </w:rPr>
        <w:t xml:space="preserve">Caso Cantoral Benavides Vs. Perú. Reparaciones y Costas. </w:t>
      </w:r>
      <w:r w:rsidRPr="008D0846">
        <w:rPr>
          <w:rFonts w:ascii="Verdana" w:hAnsi="Verdana"/>
          <w:bCs/>
          <w:sz w:val="16"/>
          <w:szCs w:val="16"/>
        </w:rPr>
        <w:t xml:space="preserve">Sentencia de 3 de diciembre de 2001. Serie C No. 88, párrs. 60 y 80; </w:t>
      </w:r>
      <w:r w:rsidRPr="008D0846">
        <w:rPr>
          <w:rStyle w:val="Textoennegrita"/>
          <w:rFonts w:ascii="Verdana" w:hAnsi="Verdana"/>
          <w:b w:val="0"/>
          <w:i/>
          <w:color w:val="000000"/>
          <w:sz w:val="16"/>
          <w:szCs w:val="16"/>
          <w:shd w:val="clear" w:color="auto" w:fill="FFFFFF"/>
        </w:rPr>
        <w:t>Caso Escué Zapata Vs. Colombia. Fondo, Reparaciones y Costas</w:t>
      </w:r>
      <w:r w:rsidRPr="008D0846">
        <w:rPr>
          <w:rStyle w:val="Textoennegrita"/>
          <w:rFonts w:ascii="Verdana" w:hAnsi="Verdana"/>
          <w:b w:val="0"/>
          <w:color w:val="000000"/>
          <w:sz w:val="16"/>
          <w:szCs w:val="16"/>
          <w:shd w:val="clear" w:color="auto" w:fill="FFFFFF"/>
        </w:rPr>
        <w:t>. Sentencia de 4 de julio de 2007. Serie C No. 165</w:t>
      </w:r>
      <w:r w:rsidRPr="00407040">
        <w:rPr>
          <w:rFonts w:ascii="Verdana" w:hAnsi="Verdana"/>
          <w:sz w:val="16"/>
          <w:szCs w:val="16"/>
          <w:lang w:val="es-CR"/>
        </w:rPr>
        <w:t>, párr. 170</w:t>
      </w:r>
      <w:r w:rsidRPr="009250C0">
        <w:rPr>
          <w:rFonts w:ascii="Verdana" w:hAnsi="Verdana"/>
          <w:sz w:val="16"/>
          <w:szCs w:val="16"/>
        </w:rPr>
        <w:t xml:space="preserve">, </w:t>
      </w:r>
      <w:r w:rsidRPr="008D0846">
        <w:rPr>
          <w:rFonts w:ascii="Verdana" w:hAnsi="Verdana"/>
          <w:sz w:val="16"/>
          <w:szCs w:val="16"/>
        </w:rPr>
        <w:t xml:space="preserve">y </w:t>
      </w:r>
      <w:r w:rsidRPr="008D0846">
        <w:rPr>
          <w:rStyle w:val="Textoennegrita"/>
          <w:rFonts w:ascii="Verdana" w:hAnsi="Verdana"/>
          <w:b w:val="0"/>
          <w:i/>
          <w:color w:val="000000"/>
          <w:sz w:val="16"/>
          <w:szCs w:val="16"/>
          <w:shd w:val="clear" w:color="auto" w:fill="FFFFFF"/>
        </w:rPr>
        <w:t>Caso Cuscul Pivaral y otros Vs. Guatemala. Excepción Preliminar, Fondo, Reparaciones y Costas.</w:t>
      </w:r>
      <w:r w:rsidRPr="008D0846">
        <w:rPr>
          <w:rStyle w:val="Textoennegrita"/>
          <w:rFonts w:ascii="Verdana" w:hAnsi="Verdana"/>
          <w:b w:val="0"/>
          <w:color w:val="000000"/>
          <w:sz w:val="16"/>
          <w:szCs w:val="16"/>
          <w:shd w:val="clear" w:color="auto" w:fill="FFFFFF"/>
        </w:rPr>
        <w:t xml:space="preserve"> Sentencia de 23 de agosto de 2018. Serie C No. 359, párrs. 193 y 220</w:t>
      </w:r>
      <w:r w:rsidRPr="008D0846">
        <w:rPr>
          <w:rFonts w:ascii="Verdana" w:hAnsi="Verdana"/>
          <w:sz w:val="16"/>
          <w:szCs w:val="16"/>
        </w:rPr>
        <w:t>.</w:t>
      </w:r>
    </w:p>
  </w:footnote>
  <w:footnote w:id="548">
    <w:p w14:paraId="64AC89B3" w14:textId="1D38874E" w:rsidR="00146958" w:rsidRPr="008D0846" w:rsidRDefault="00146958" w:rsidP="00CC61EB">
      <w:pPr>
        <w:pStyle w:val="Textonotapie"/>
        <w:jc w:val="both"/>
        <w:rPr>
          <w:rFonts w:ascii="Verdana" w:hAnsi="Verdana"/>
          <w:b/>
          <w:sz w:val="16"/>
          <w:szCs w:val="16"/>
          <w:lang w:val="es-CR"/>
        </w:rPr>
      </w:pPr>
      <w:r w:rsidRPr="009C4E9F">
        <w:rPr>
          <w:rStyle w:val="Refdenotaalpie"/>
          <w:rFonts w:ascii="Verdana" w:hAnsi="Verdana"/>
          <w:sz w:val="16"/>
          <w:szCs w:val="16"/>
        </w:rPr>
        <w:footnoteRef/>
      </w:r>
      <w:r w:rsidRPr="009C4E9F">
        <w:rPr>
          <w:rFonts w:ascii="Verdana" w:hAnsi="Verdana"/>
          <w:sz w:val="16"/>
          <w:szCs w:val="16"/>
          <w:lang w:val="es-CR"/>
        </w:rPr>
        <w:t xml:space="preserve"> </w:t>
      </w:r>
      <w:r w:rsidRPr="009C4E9F">
        <w:rPr>
          <w:rFonts w:ascii="Verdana" w:hAnsi="Verdana"/>
          <w:sz w:val="16"/>
          <w:szCs w:val="16"/>
          <w:lang w:val="es-CR"/>
        </w:rPr>
        <w:tab/>
      </w:r>
      <w:r w:rsidRPr="00CD5C54">
        <w:rPr>
          <w:rFonts w:ascii="Verdana" w:hAnsi="Verdana"/>
          <w:i/>
          <w:sz w:val="16"/>
          <w:szCs w:val="16"/>
          <w:lang w:val="es-CR"/>
        </w:rPr>
        <w:t>Cfr.</w:t>
      </w:r>
      <w:r w:rsidRPr="00316934">
        <w:rPr>
          <w:rFonts w:ascii="Verdana" w:hAnsi="Verdana"/>
          <w:sz w:val="16"/>
          <w:szCs w:val="16"/>
        </w:rPr>
        <w:t>,</w:t>
      </w:r>
      <w:r w:rsidRPr="008D0846">
        <w:rPr>
          <w:rStyle w:val="Ttulo2Car"/>
          <w:b w:val="0"/>
          <w:color w:val="000000"/>
          <w:sz w:val="16"/>
          <w:szCs w:val="16"/>
          <w:shd w:val="clear" w:color="auto" w:fill="FFFFFF"/>
        </w:rPr>
        <w:t xml:space="preserve"> </w:t>
      </w:r>
      <w:r w:rsidRPr="008D0846">
        <w:rPr>
          <w:rStyle w:val="Textoennegrita"/>
          <w:rFonts w:ascii="Verdana" w:hAnsi="Verdana"/>
          <w:b w:val="0"/>
          <w:i/>
          <w:color w:val="000000"/>
          <w:sz w:val="16"/>
          <w:szCs w:val="16"/>
          <w:shd w:val="clear" w:color="auto" w:fill="FFFFFF"/>
        </w:rPr>
        <w:t>Caso de la Masacre de Las Dos Erres Vs. Guatemala. Excepción Preliminar, Fondo, Reparaciones y Costas</w:t>
      </w:r>
      <w:r w:rsidRPr="008D0846">
        <w:rPr>
          <w:rStyle w:val="Textoennegrita"/>
          <w:rFonts w:ascii="Verdana" w:hAnsi="Verdana"/>
          <w:b w:val="0"/>
          <w:color w:val="000000"/>
          <w:sz w:val="16"/>
          <w:szCs w:val="16"/>
          <w:shd w:val="clear" w:color="auto" w:fill="FFFFFF"/>
        </w:rPr>
        <w:t xml:space="preserve">. Sentencia de 24 de noviembre de 2009. Serie C No. 211, párr. </w:t>
      </w:r>
      <w:r>
        <w:rPr>
          <w:rStyle w:val="Textoennegrita"/>
          <w:rFonts w:ascii="Verdana" w:hAnsi="Verdana"/>
          <w:b w:val="0"/>
          <w:color w:val="000000"/>
          <w:sz w:val="16"/>
          <w:szCs w:val="16"/>
          <w:shd w:val="clear" w:color="auto" w:fill="FFFFFF"/>
        </w:rPr>
        <w:t>293</w:t>
      </w:r>
      <w:r w:rsidRPr="008D0846">
        <w:rPr>
          <w:rStyle w:val="Textoennegrita"/>
          <w:rFonts w:ascii="Verdana" w:hAnsi="Verdana"/>
          <w:b w:val="0"/>
          <w:color w:val="000000"/>
          <w:sz w:val="16"/>
          <w:szCs w:val="16"/>
          <w:shd w:val="clear" w:color="auto" w:fill="FFFFFF"/>
        </w:rPr>
        <w:t xml:space="preserve">, y </w:t>
      </w:r>
      <w:r w:rsidRPr="008D0846">
        <w:rPr>
          <w:rStyle w:val="Textoennegrita"/>
          <w:rFonts w:ascii="Verdana" w:hAnsi="Verdana"/>
          <w:b w:val="0"/>
          <w:i/>
          <w:color w:val="000000"/>
          <w:sz w:val="16"/>
          <w:szCs w:val="16"/>
          <w:shd w:val="clear" w:color="auto" w:fill="FFFFFF"/>
        </w:rPr>
        <w:t>Caso Mejía Idrovo Vs. Ecuador. Excepciones Preliminares, Fondo, Reparaciones y Costas.</w:t>
      </w:r>
      <w:r w:rsidRPr="008D0846">
        <w:rPr>
          <w:rStyle w:val="Textoennegrita"/>
          <w:rFonts w:ascii="Verdana" w:hAnsi="Verdana"/>
          <w:b w:val="0"/>
          <w:color w:val="000000"/>
          <w:sz w:val="16"/>
          <w:szCs w:val="16"/>
          <w:shd w:val="clear" w:color="auto" w:fill="FFFFFF"/>
        </w:rPr>
        <w:t xml:space="preserve"> Sentencia de 5 de julio de 2011. Serie C No. 228, párr. </w:t>
      </w:r>
      <w:r>
        <w:rPr>
          <w:rStyle w:val="Textoennegrita"/>
          <w:rFonts w:ascii="Verdana" w:hAnsi="Verdana"/>
          <w:b w:val="0"/>
          <w:color w:val="000000"/>
          <w:sz w:val="16"/>
          <w:szCs w:val="16"/>
          <w:shd w:val="clear" w:color="auto" w:fill="FFFFFF"/>
        </w:rPr>
        <w:t>134.</w:t>
      </w:r>
      <w:r w:rsidRPr="008D0846" w:rsidDel="00F53476">
        <w:rPr>
          <w:rFonts w:ascii="Verdana" w:hAnsi="Verdana"/>
          <w:b/>
          <w:i/>
          <w:sz w:val="16"/>
          <w:szCs w:val="16"/>
          <w:lang w:val="es-CR"/>
        </w:rPr>
        <w:t xml:space="preserve"> </w:t>
      </w:r>
    </w:p>
  </w:footnote>
  <w:footnote w:id="549">
    <w:p w14:paraId="4A2B93A9" w14:textId="772A3E12" w:rsidR="00146958" w:rsidRPr="004E1FE0" w:rsidRDefault="00146958" w:rsidP="002C462C">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lang w:val="es-CR"/>
        </w:rPr>
        <w:t xml:space="preserve"> </w:t>
      </w:r>
      <w:r w:rsidRPr="008D0846">
        <w:rPr>
          <w:rFonts w:ascii="Verdana" w:hAnsi="Verdana"/>
          <w:sz w:val="16"/>
          <w:szCs w:val="16"/>
          <w:lang w:val="es-CR"/>
        </w:rPr>
        <w:tab/>
      </w:r>
      <w:r w:rsidRPr="004E1FE0">
        <w:rPr>
          <w:rFonts w:ascii="Verdana" w:hAnsi="Verdana"/>
          <w:sz w:val="16"/>
          <w:szCs w:val="16"/>
          <w:lang w:val="es-CR"/>
        </w:rPr>
        <w:t xml:space="preserve">Las representantes reconocieron la existencia de </w:t>
      </w:r>
      <w:r>
        <w:rPr>
          <w:rFonts w:ascii="Verdana" w:hAnsi="Verdana"/>
          <w:sz w:val="16"/>
          <w:szCs w:val="16"/>
          <w:lang w:val="es-CR"/>
        </w:rPr>
        <w:t>“</w:t>
      </w:r>
      <w:r w:rsidRPr="004E1FE0">
        <w:rPr>
          <w:rFonts w:ascii="Verdana" w:hAnsi="Verdana"/>
          <w:sz w:val="16"/>
          <w:szCs w:val="16"/>
          <w:lang w:val="es-CR"/>
        </w:rPr>
        <w:t>la Ley General sobre Desaparición Forzada de Personas, Desaparición cometida por Particulares y de la Comisión Nacional de Búsqueda</w:t>
      </w:r>
      <w:r>
        <w:rPr>
          <w:rFonts w:ascii="Verdana" w:hAnsi="Verdana"/>
          <w:sz w:val="16"/>
          <w:szCs w:val="16"/>
          <w:lang w:val="es-CR"/>
        </w:rPr>
        <w:t>”</w:t>
      </w:r>
      <w:r w:rsidRPr="004E1FE0">
        <w:rPr>
          <w:rFonts w:ascii="Verdana" w:hAnsi="Verdana"/>
          <w:sz w:val="16"/>
          <w:szCs w:val="16"/>
          <w:lang w:val="es-CR"/>
        </w:rPr>
        <w:t xml:space="preserve"> </w:t>
      </w:r>
      <w:r>
        <w:rPr>
          <w:rFonts w:ascii="Verdana" w:hAnsi="Verdana"/>
          <w:sz w:val="16"/>
          <w:szCs w:val="16"/>
          <w:lang w:val="es-CR"/>
        </w:rPr>
        <w:t xml:space="preserve">[sic] </w:t>
      </w:r>
      <w:r w:rsidRPr="004E1FE0">
        <w:rPr>
          <w:rFonts w:ascii="Verdana" w:hAnsi="Verdana"/>
          <w:sz w:val="16"/>
          <w:szCs w:val="16"/>
          <w:lang w:val="es-CR"/>
        </w:rPr>
        <w:t xml:space="preserve">(LGDF), </w:t>
      </w:r>
      <w:r>
        <w:rPr>
          <w:rFonts w:ascii="Verdana" w:hAnsi="Verdana"/>
          <w:sz w:val="16"/>
          <w:szCs w:val="16"/>
          <w:lang w:val="es-CR"/>
        </w:rPr>
        <w:t>la cual</w:t>
      </w:r>
      <w:r w:rsidRPr="004E1FE0">
        <w:rPr>
          <w:rFonts w:ascii="Verdana" w:hAnsi="Verdana"/>
          <w:sz w:val="16"/>
          <w:szCs w:val="16"/>
          <w:lang w:val="es-CR"/>
        </w:rPr>
        <w:t xml:space="preserve"> actualmente se encuentra en etapa de implementación</w:t>
      </w:r>
      <w:r>
        <w:rPr>
          <w:rFonts w:ascii="Verdana" w:hAnsi="Verdana"/>
          <w:sz w:val="16"/>
          <w:szCs w:val="16"/>
          <w:lang w:val="es-CR"/>
        </w:rPr>
        <w:t xml:space="preserve"> S</w:t>
      </w:r>
      <w:r w:rsidRPr="004E1FE0">
        <w:rPr>
          <w:rFonts w:ascii="Verdana" w:hAnsi="Verdana"/>
          <w:sz w:val="16"/>
          <w:szCs w:val="16"/>
          <w:lang w:val="es-CR"/>
        </w:rPr>
        <w:t xml:space="preserve">in embargo, destacaron que </w:t>
      </w:r>
      <w:r>
        <w:rPr>
          <w:rFonts w:ascii="Verdana" w:hAnsi="Verdana"/>
          <w:sz w:val="16"/>
          <w:szCs w:val="16"/>
          <w:lang w:val="es-CR"/>
        </w:rPr>
        <w:t>el</w:t>
      </w:r>
      <w:r w:rsidRPr="004E1FE0">
        <w:rPr>
          <w:rFonts w:ascii="Verdana" w:hAnsi="Verdana"/>
          <w:sz w:val="16"/>
          <w:szCs w:val="16"/>
          <w:lang w:val="es-CR"/>
        </w:rPr>
        <w:t xml:space="preserve"> </w:t>
      </w:r>
      <w:r>
        <w:rPr>
          <w:rFonts w:ascii="Verdana" w:hAnsi="Verdana"/>
          <w:sz w:val="16"/>
          <w:szCs w:val="16"/>
          <w:lang w:val="es-CR"/>
        </w:rPr>
        <w:t>“</w:t>
      </w:r>
      <w:r w:rsidRPr="004E1FE0">
        <w:rPr>
          <w:rFonts w:ascii="Verdana" w:hAnsi="Verdana"/>
          <w:sz w:val="16"/>
          <w:szCs w:val="16"/>
          <w:lang w:val="es-CR"/>
        </w:rPr>
        <w:t>ambicioso contenido</w:t>
      </w:r>
      <w:r>
        <w:rPr>
          <w:rFonts w:ascii="Verdana" w:hAnsi="Verdana"/>
          <w:sz w:val="16"/>
          <w:szCs w:val="16"/>
          <w:lang w:val="es-CR"/>
        </w:rPr>
        <w:t>”</w:t>
      </w:r>
      <w:r w:rsidRPr="004E1FE0">
        <w:rPr>
          <w:rFonts w:ascii="Verdana" w:hAnsi="Verdana"/>
          <w:sz w:val="16"/>
          <w:szCs w:val="16"/>
          <w:lang w:val="es-CR"/>
        </w:rPr>
        <w:t xml:space="preserve"> y los actores que esta </w:t>
      </w:r>
      <w:r>
        <w:rPr>
          <w:rFonts w:ascii="Verdana" w:hAnsi="Verdana"/>
          <w:sz w:val="16"/>
          <w:szCs w:val="16"/>
          <w:lang w:val="es-CR"/>
        </w:rPr>
        <w:t>ley p</w:t>
      </w:r>
      <w:r w:rsidRPr="004E1FE0">
        <w:rPr>
          <w:rFonts w:ascii="Verdana" w:hAnsi="Verdana"/>
          <w:sz w:val="16"/>
          <w:szCs w:val="16"/>
          <w:lang w:val="es-CR"/>
        </w:rPr>
        <w:t xml:space="preserve">revé, </w:t>
      </w:r>
      <w:r>
        <w:rPr>
          <w:rFonts w:ascii="Verdana" w:hAnsi="Verdana"/>
          <w:sz w:val="16"/>
          <w:szCs w:val="16"/>
          <w:lang w:val="es-CR"/>
        </w:rPr>
        <w:t>“c</w:t>
      </w:r>
      <w:r w:rsidRPr="004E1FE0">
        <w:rPr>
          <w:rFonts w:ascii="Verdana" w:hAnsi="Verdana"/>
          <w:sz w:val="16"/>
          <w:szCs w:val="16"/>
          <w:lang w:val="es-CR"/>
        </w:rPr>
        <w:t>onvierten en un reto su cumplimiento</w:t>
      </w:r>
      <w:r>
        <w:rPr>
          <w:rFonts w:ascii="Verdana" w:hAnsi="Verdana"/>
          <w:sz w:val="16"/>
          <w:szCs w:val="16"/>
          <w:lang w:val="es-CR"/>
        </w:rPr>
        <w:t>”</w:t>
      </w:r>
      <w:r w:rsidRPr="004E1FE0">
        <w:rPr>
          <w:rFonts w:ascii="Verdana" w:hAnsi="Verdana"/>
          <w:sz w:val="16"/>
          <w:szCs w:val="16"/>
          <w:lang w:val="es-CR"/>
        </w:rPr>
        <w:t xml:space="preserve">. </w:t>
      </w:r>
      <w:r>
        <w:rPr>
          <w:rFonts w:ascii="Verdana" w:hAnsi="Verdana"/>
          <w:sz w:val="16"/>
          <w:szCs w:val="16"/>
          <w:lang w:val="es-CR"/>
        </w:rPr>
        <w:t xml:space="preserve">Por ello alegaron </w:t>
      </w:r>
      <w:r w:rsidRPr="004E1FE0">
        <w:rPr>
          <w:rFonts w:ascii="Verdana" w:hAnsi="Verdana"/>
          <w:sz w:val="16"/>
          <w:szCs w:val="16"/>
          <w:lang w:val="es-CR"/>
        </w:rPr>
        <w:t>que dicha Ley no es adecuada y solicita</w:t>
      </w:r>
      <w:r>
        <w:rPr>
          <w:rFonts w:ascii="Verdana" w:hAnsi="Verdana"/>
          <w:sz w:val="16"/>
          <w:szCs w:val="16"/>
          <w:lang w:val="es-CR"/>
        </w:rPr>
        <w:t>ro</w:t>
      </w:r>
      <w:r w:rsidRPr="004E1FE0">
        <w:rPr>
          <w:rFonts w:ascii="Verdana" w:hAnsi="Verdana"/>
          <w:sz w:val="16"/>
          <w:szCs w:val="16"/>
          <w:lang w:val="es-CR"/>
        </w:rPr>
        <w:t>n que el Estado prove</w:t>
      </w:r>
      <w:r>
        <w:rPr>
          <w:rFonts w:ascii="Verdana" w:hAnsi="Verdana"/>
          <w:sz w:val="16"/>
          <w:szCs w:val="16"/>
          <w:lang w:val="es-CR"/>
        </w:rPr>
        <w:t>yera</w:t>
      </w:r>
      <w:r w:rsidRPr="004E1FE0">
        <w:rPr>
          <w:rFonts w:ascii="Verdana" w:hAnsi="Verdana"/>
          <w:sz w:val="16"/>
          <w:szCs w:val="16"/>
          <w:lang w:val="es-CR"/>
        </w:rPr>
        <w:t xml:space="preserve"> las herramientas, así como los recursos humanos, financi</w:t>
      </w:r>
      <w:r>
        <w:rPr>
          <w:rFonts w:ascii="Verdana" w:hAnsi="Verdana"/>
          <w:sz w:val="16"/>
          <w:szCs w:val="16"/>
          <w:lang w:val="es-CR"/>
        </w:rPr>
        <w:t>e</w:t>
      </w:r>
      <w:r w:rsidRPr="004E1FE0">
        <w:rPr>
          <w:rFonts w:ascii="Verdana" w:hAnsi="Verdana"/>
          <w:sz w:val="16"/>
          <w:szCs w:val="16"/>
          <w:lang w:val="es-CR"/>
        </w:rPr>
        <w:t>ros y técnicos necesarios para su ejecución y la capacitación regular y especializada de todas las autoridades (</w:t>
      </w:r>
      <w:r>
        <w:rPr>
          <w:rFonts w:ascii="Verdana" w:hAnsi="Verdana"/>
          <w:sz w:val="16"/>
          <w:szCs w:val="16"/>
          <w:lang w:val="es-CR"/>
        </w:rPr>
        <w:t xml:space="preserve">expediente de fondo, </w:t>
      </w:r>
      <w:r w:rsidRPr="004E1FE0">
        <w:rPr>
          <w:rFonts w:ascii="Verdana" w:hAnsi="Verdana"/>
          <w:sz w:val="16"/>
          <w:szCs w:val="16"/>
          <w:lang w:val="es-CR"/>
        </w:rPr>
        <w:t>ff. 2057 a 2058)</w:t>
      </w:r>
      <w:r>
        <w:rPr>
          <w:rFonts w:ascii="Verdana" w:hAnsi="Verdana"/>
          <w:sz w:val="16"/>
          <w:szCs w:val="16"/>
          <w:lang w:val="es-CR"/>
        </w:rPr>
        <w:t>.</w:t>
      </w:r>
    </w:p>
  </w:footnote>
  <w:footnote w:id="550">
    <w:p w14:paraId="04CC8900" w14:textId="0C31BD49" w:rsidR="00146958" w:rsidRPr="00432ABC" w:rsidRDefault="00146958" w:rsidP="002C462C">
      <w:pPr>
        <w:autoSpaceDE w:val="0"/>
        <w:autoSpaceDN w:val="0"/>
        <w:adjustRightInd w:val="0"/>
        <w:spacing w:after="0" w:line="240" w:lineRule="auto"/>
        <w:jc w:val="both"/>
        <w:rPr>
          <w:rFonts w:ascii="Verdana" w:eastAsiaTheme="minorHAnsi" w:hAnsi="Verdana" w:cs="ArialMT"/>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Pr>
          <w:rFonts w:ascii="Verdana" w:eastAsiaTheme="minorHAnsi" w:hAnsi="Verdana" w:cs="ArialMT"/>
          <w:sz w:val="16"/>
          <w:szCs w:val="16"/>
          <w:lang w:val="es-CR"/>
        </w:rPr>
        <w:t xml:space="preserve">Las representantes </w:t>
      </w:r>
      <w:r w:rsidRPr="002C462C">
        <w:rPr>
          <w:rFonts w:ascii="Verdana" w:eastAsiaTheme="minorHAnsi" w:hAnsi="Verdana" w:cs="ArialMT"/>
          <w:sz w:val="16"/>
          <w:szCs w:val="16"/>
          <w:lang w:val="es-CR"/>
        </w:rPr>
        <w:t>señal</w:t>
      </w:r>
      <w:r>
        <w:rPr>
          <w:rFonts w:ascii="Verdana" w:eastAsiaTheme="minorHAnsi" w:hAnsi="Verdana" w:cs="ArialMT"/>
          <w:sz w:val="16"/>
          <w:szCs w:val="16"/>
          <w:lang w:val="es-CR"/>
        </w:rPr>
        <w:t xml:space="preserve">aron </w:t>
      </w:r>
      <w:r w:rsidRPr="002C462C">
        <w:rPr>
          <w:rFonts w:ascii="Verdana" w:eastAsiaTheme="minorHAnsi" w:hAnsi="Verdana" w:cs="ArialMT"/>
          <w:sz w:val="16"/>
          <w:szCs w:val="16"/>
          <w:lang w:val="es-CR"/>
        </w:rPr>
        <w:t xml:space="preserve">que el RNPED </w:t>
      </w:r>
      <w:r>
        <w:rPr>
          <w:rFonts w:ascii="Verdana" w:eastAsiaTheme="minorHAnsi" w:hAnsi="Verdana" w:cs="ArialMT"/>
          <w:sz w:val="16"/>
          <w:szCs w:val="16"/>
          <w:lang w:val="es-CR"/>
        </w:rPr>
        <w:t>“</w:t>
      </w:r>
      <w:r w:rsidRPr="002C462C">
        <w:rPr>
          <w:rFonts w:ascii="Verdana" w:eastAsiaTheme="minorHAnsi" w:hAnsi="Verdana" w:cs="ArialMT"/>
          <w:sz w:val="16"/>
          <w:szCs w:val="16"/>
          <w:lang w:val="es-CR"/>
        </w:rPr>
        <w:t>no da</w:t>
      </w:r>
      <w:r>
        <w:rPr>
          <w:rFonts w:ascii="Verdana" w:eastAsiaTheme="minorHAnsi" w:hAnsi="Verdana" w:cs="ArialMT"/>
          <w:sz w:val="16"/>
          <w:szCs w:val="16"/>
          <w:lang w:val="es-CR"/>
        </w:rPr>
        <w:t>ba</w:t>
      </w:r>
      <w:r w:rsidRPr="002C462C">
        <w:rPr>
          <w:rFonts w:ascii="Verdana" w:eastAsiaTheme="minorHAnsi" w:hAnsi="Verdana" w:cs="ArialMT"/>
          <w:sz w:val="16"/>
          <w:szCs w:val="16"/>
          <w:lang w:val="es-CR"/>
        </w:rPr>
        <w:t xml:space="preserve"> cuenta</w:t>
      </w:r>
      <w:r>
        <w:rPr>
          <w:rFonts w:ascii="Verdana" w:eastAsiaTheme="minorHAnsi" w:hAnsi="Verdana" w:cs="ArialMT"/>
          <w:sz w:val="16"/>
          <w:szCs w:val="16"/>
          <w:lang w:val="es-CR"/>
        </w:rPr>
        <w:t>”</w:t>
      </w:r>
      <w:r w:rsidRPr="002C462C">
        <w:rPr>
          <w:rFonts w:ascii="Verdana" w:eastAsiaTheme="minorHAnsi" w:hAnsi="Verdana" w:cs="ArialMT"/>
          <w:sz w:val="16"/>
          <w:szCs w:val="16"/>
          <w:lang w:val="es-CR"/>
        </w:rPr>
        <w:t xml:space="preserve"> </w:t>
      </w:r>
      <w:r>
        <w:rPr>
          <w:rFonts w:ascii="Verdana" w:eastAsiaTheme="minorHAnsi" w:hAnsi="Verdana" w:cs="ArialMT"/>
          <w:sz w:val="16"/>
          <w:szCs w:val="16"/>
          <w:lang w:val="es-CR"/>
        </w:rPr>
        <w:t xml:space="preserve">(distinguía) </w:t>
      </w:r>
      <w:r w:rsidRPr="002C462C">
        <w:rPr>
          <w:rFonts w:ascii="Verdana" w:eastAsiaTheme="minorHAnsi" w:hAnsi="Verdana" w:cs="ArialMT"/>
          <w:sz w:val="16"/>
          <w:szCs w:val="16"/>
          <w:lang w:val="es-CR"/>
        </w:rPr>
        <w:t xml:space="preserve">si las desapariciones </w:t>
      </w:r>
      <w:r>
        <w:rPr>
          <w:rFonts w:ascii="Verdana" w:eastAsiaTheme="minorHAnsi" w:hAnsi="Verdana" w:cs="ArialMT"/>
          <w:sz w:val="16"/>
          <w:szCs w:val="16"/>
          <w:lang w:val="es-CR"/>
        </w:rPr>
        <w:t>eran</w:t>
      </w:r>
      <w:r w:rsidRPr="002C462C">
        <w:rPr>
          <w:rFonts w:ascii="Verdana" w:eastAsiaTheme="minorHAnsi" w:hAnsi="Verdana" w:cs="ArialMT"/>
          <w:sz w:val="16"/>
          <w:szCs w:val="16"/>
          <w:lang w:val="es-CR"/>
        </w:rPr>
        <w:t xml:space="preserve"> calificadas como forzadas, ni cuántas habían sido presuntamente cometidas por elementos del </w:t>
      </w:r>
      <w:r>
        <w:rPr>
          <w:rFonts w:ascii="Verdana" w:eastAsiaTheme="minorHAnsi" w:hAnsi="Verdana" w:cs="ArialMT"/>
          <w:sz w:val="16"/>
          <w:szCs w:val="16"/>
          <w:lang w:val="es-CR"/>
        </w:rPr>
        <w:t>E</w:t>
      </w:r>
      <w:r w:rsidRPr="002C462C">
        <w:rPr>
          <w:rFonts w:ascii="Verdana" w:eastAsiaTheme="minorHAnsi" w:hAnsi="Verdana" w:cs="ArialMT"/>
          <w:sz w:val="16"/>
          <w:szCs w:val="16"/>
          <w:lang w:val="es-CR"/>
        </w:rPr>
        <w:t xml:space="preserve">jército mexicano. </w:t>
      </w:r>
      <w:r>
        <w:rPr>
          <w:rFonts w:ascii="Verdana" w:eastAsiaTheme="minorHAnsi" w:hAnsi="Verdana" w:cs="ArialMT"/>
          <w:sz w:val="16"/>
          <w:szCs w:val="16"/>
          <w:lang w:val="es-CR"/>
        </w:rPr>
        <w:t>Alegaron</w:t>
      </w:r>
      <w:r w:rsidRPr="002C462C">
        <w:rPr>
          <w:rFonts w:ascii="Verdana" w:eastAsiaTheme="minorHAnsi" w:hAnsi="Verdana" w:cs="ArialMT"/>
          <w:sz w:val="16"/>
          <w:szCs w:val="16"/>
          <w:lang w:val="es-CR"/>
        </w:rPr>
        <w:t xml:space="preserve"> que el </w:t>
      </w:r>
      <w:r>
        <w:rPr>
          <w:rFonts w:ascii="Verdana" w:eastAsiaTheme="minorHAnsi" w:hAnsi="Verdana" w:cs="ArialMT"/>
          <w:sz w:val="16"/>
          <w:szCs w:val="16"/>
          <w:lang w:val="es-CR"/>
        </w:rPr>
        <w:t>R</w:t>
      </w:r>
      <w:r w:rsidRPr="002C462C">
        <w:rPr>
          <w:rFonts w:ascii="Verdana" w:eastAsiaTheme="minorHAnsi" w:hAnsi="Verdana" w:cs="ArialMT"/>
          <w:sz w:val="16"/>
          <w:szCs w:val="16"/>
          <w:lang w:val="es-CR"/>
        </w:rPr>
        <w:t>egistro depende exclusivamente de la información que le aportan las fiscalías y procuradurías de las 32 entidades federativas así como de la Procuradurí</w:t>
      </w:r>
      <w:r w:rsidRPr="00432ABC">
        <w:rPr>
          <w:rFonts w:ascii="Verdana" w:eastAsiaTheme="minorHAnsi" w:hAnsi="Verdana" w:cs="ArialMT"/>
          <w:sz w:val="16"/>
          <w:szCs w:val="16"/>
          <w:lang w:val="es-CR"/>
        </w:rPr>
        <w:t xml:space="preserve">a General de la República, lo cual no solo podría ser poco objetivo </w:t>
      </w:r>
      <w:r>
        <w:rPr>
          <w:rFonts w:ascii="Verdana" w:eastAsiaTheme="minorHAnsi" w:hAnsi="Verdana" w:cs="ArialMT"/>
          <w:sz w:val="16"/>
          <w:szCs w:val="16"/>
          <w:lang w:val="es-CR"/>
        </w:rPr>
        <w:t>con</w:t>
      </w:r>
      <w:r w:rsidRPr="00432ABC">
        <w:rPr>
          <w:rFonts w:ascii="Verdana" w:eastAsiaTheme="minorHAnsi" w:hAnsi="Verdana" w:cs="ArialMT"/>
          <w:sz w:val="16"/>
          <w:szCs w:val="16"/>
          <w:lang w:val="es-CR"/>
        </w:rPr>
        <w:t xml:space="preserve"> base </w:t>
      </w:r>
      <w:r>
        <w:rPr>
          <w:rFonts w:ascii="Verdana" w:eastAsiaTheme="minorHAnsi" w:hAnsi="Verdana" w:cs="ArialMT"/>
          <w:sz w:val="16"/>
          <w:szCs w:val="16"/>
          <w:lang w:val="es-CR"/>
        </w:rPr>
        <w:t>en e</w:t>
      </w:r>
      <w:r w:rsidRPr="00432ABC">
        <w:rPr>
          <w:rFonts w:ascii="Verdana" w:eastAsiaTheme="minorHAnsi" w:hAnsi="Verdana" w:cs="ArialMT"/>
          <w:sz w:val="16"/>
          <w:szCs w:val="16"/>
          <w:lang w:val="es-CR"/>
        </w:rPr>
        <w:t xml:space="preserve">l tipo de calificación del delito que realiza la instancia investigadora, sino que no da cuenta del subregistro que se puede dar tanto porque no se inicien carpetas de investigación o porque las personas no quieran denunciar los hechos por la desconfianza en las </w:t>
      </w:r>
      <w:r>
        <w:rPr>
          <w:rFonts w:ascii="Verdana" w:eastAsiaTheme="minorHAnsi" w:hAnsi="Verdana" w:cs="ArialMT"/>
          <w:sz w:val="16"/>
          <w:szCs w:val="16"/>
          <w:lang w:val="es-CR"/>
        </w:rPr>
        <w:t>a</w:t>
      </w:r>
      <w:r w:rsidRPr="00432ABC">
        <w:rPr>
          <w:rFonts w:ascii="Verdana" w:eastAsiaTheme="minorHAnsi" w:hAnsi="Verdana" w:cs="ArialMT"/>
          <w:sz w:val="16"/>
          <w:szCs w:val="16"/>
          <w:lang w:val="es-CR"/>
        </w:rPr>
        <w:t xml:space="preserve">utoridades. Asimismo, </w:t>
      </w:r>
      <w:r>
        <w:rPr>
          <w:rFonts w:ascii="Verdana" w:eastAsiaTheme="minorHAnsi" w:hAnsi="Verdana" w:cs="ArialMT"/>
          <w:sz w:val="16"/>
          <w:szCs w:val="16"/>
          <w:lang w:val="es-CR"/>
        </w:rPr>
        <w:t>las representantes señalaron</w:t>
      </w:r>
      <w:r w:rsidRPr="00432ABC">
        <w:rPr>
          <w:rFonts w:ascii="Verdana" w:eastAsiaTheme="minorHAnsi" w:hAnsi="Verdana" w:cs="ArialMT"/>
          <w:sz w:val="16"/>
          <w:szCs w:val="16"/>
          <w:lang w:val="es-CR"/>
        </w:rPr>
        <w:t xml:space="preserve"> que el RNPED tampoco incluye otras investigaciones que pudieron haber sido iniciadas con motivo de desapariciones forzadas en contra del </w:t>
      </w:r>
      <w:r>
        <w:rPr>
          <w:rFonts w:ascii="Verdana" w:eastAsiaTheme="minorHAnsi" w:hAnsi="Verdana" w:cs="ArialMT"/>
          <w:sz w:val="16"/>
          <w:szCs w:val="16"/>
          <w:lang w:val="es-CR"/>
        </w:rPr>
        <w:t>E</w:t>
      </w:r>
      <w:r w:rsidRPr="00432ABC">
        <w:rPr>
          <w:rFonts w:ascii="Verdana" w:eastAsiaTheme="minorHAnsi" w:hAnsi="Verdana" w:cs="ArialMT"/>
          <w:sz w:val="16"/>
          <w:szCs w:val="16"/>
          <w:lang w:val="es-CR"/>
        </w:rPr>
        <w:t>jército por otras instancias, como la CNDH, la Fiscalía General de Justicia Militar, o cualquier autoridad administrativa</w:t>
      </w:r>
      <w:r w:rsidRPr="008D0846">
        <w:rPr>
          <w:rFonts w:ascii="Verdana" w:eastAsia="Times New Roman" w:hAnsi="Verdana" w:cs="Times New Roman"/>
          <w:sz w:val="16"/>
          <w:szCs w:val="16"/>
          <w:lang w:val="es-ES"/>
        </w:rPr>
        <w:t xml:space="preserve"> (expediente de fondo,  f.</w:t>
      </w:r>
      <w:r>
        <w:rPr>
          <w:rFonts w:ascii="Verdana" w:eastAsia="Times New Roman" w:hAnsi="Verdana" w:cs="Times New Roman"/>
          <w:sz w:val="16"/>
          <w:szCs w:val="16"/>
          <w:lang w:val="es-ES"/>
        </w:rPr>
        <w:t xml:space="preserve"> </w:t>
      </w:r>
      <w:r w:rsidRPr="008D0846">
        <w:rPr>
          <w:rFonts w:ascii="Verdana" w:eastAsia="Times New Roman" w:hAnsi="Verdana" w:cs="Times New Roman"/>
          <w:sz w:val="16"/>
          <w:szCs w:val="16"/>
          <w:lang w:val="es-ES"/>
        </w:rPr>
        <w:t>196).</w:t>
      </w:r>
      <w:r>
        <w:rPr>
          <w:rFonts w:ascii="Verdana" w:eastAsia="Times New Roman" w:hAnsi="Verdana" w:cs="Times New Roman"/>
          <w:b/>
          <w:sz w:val="16"/>
          <w:szCs w:val="16"/>
          <w:lang w:val="es-ES"/>
        </w:rPr>
        <w:t xml:space="preserve"> </w:t>
      </w:r>
    </w:p>
  </w:footnote>
  <w:footnote w:id="551">
    <w:p w14:paraId="35B066DE" w14:textId="34E1A52A" w:rsidR="00146958" w:rsidRPr="00F5492B" w:rsidRDefault="00146958" w:rsidP="002C462C">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lang w:val="es-CR"/>
        </w:rPr>
        <w:t xml:space="preserve"> </w:t>
      </w:r>
      <w:r w:rsidRPr="008D0846">
        <w:rPr>
          <w:rFonts w:ascii="Verdana" w:hAnsi="Verdana"/>
          <w:sz w:val="16"/>
          <w:szCs w:val="16"/>
          <w:lang w:val="es-CR"/>
        </w:rPr>
        <w:tab/>
      </w:r>
      <w:r w:rsidRPr="00F5492B">
        <w:rPr>
          <w:rFonts w:ascii="Verdana" w:hAnsi="Verdana"/>
          <w:sz w:val="16"/>
          <w:szCs w:val="16"/>
          <w:lang w:val="es-CR"/>
        </w:rPr>
        <w:t>Las representantes solicitaron que la Corte se pronunci</w:t>
      </w:r>
      <w:r>
        <w:rPr>
          <w:rFonts w:ascii="Verdana" w:hAnsi="Verdana"/>
          <w:sz w:val="16"/>
          <w:szCs w:val="16"/>
          <w:lang w:val="es-CR"/>
        </w:rPr>
        <w:t>ara</w:t>
      </w:r>
      <w:r w:rsidRPr="00F5492B">
        <w:rPr>
          <w:rFonts w:ascii="Verdana" w:hAnsi="Verdana"/>
          <w:sz w:val="16"/>
          <w:szCs w:val="16"/>
          <w:lang w:val="es-CR"/>
        </w:rPr>
        <w:t xml:space="preserve"> sobre la</w:t>
      </w:r>
      <w:r w:rsidRPr="00B62982">
        <w:rPr>
          <w:rFonts w:ascii="Verdana" w:hAnsi="Verdana"/>
          <w:sz w:val="16"/>
          <w:szCs w:val="16"/>
          <w:lang w:val="es-CR"/>
        </w:rPr>
        <w:t xml:space="preserve"> incompatibilidad de la Ley de Seguridad Interior con varios derechos contenidos en la Convención Americana y que orden</w:t>
      </w:r>
      <w:r>
        <w:rPr>
          <w:rFonts w:ascii="Verdana" w:hAnsi="Verdana"/>
          <w:sz w:val="16"/>
          <w:szCs w:val="16"/>
          <w:lang w:val="es-CR"/>
        </w:rPr>
        <w:t>ara</w:t>
      </w:r>
      <w:r w:rsidRPr="00B62982">
        <w:rPr>
          <w:rFonts w:ascii="Verdana" w:hAnsi="Verdana"/>
          <w:sz w:val="16"/>
          <w:szCs w:val="16"/>
          <w:lang w:val="es-CR"/>
        </w:rPr>
        <w:t xml:space="preserve"> su derogación</w:t>
      </w:r>
      <w:r w:rsidRPr="00437446">
        <w:rPr>
          <w:rFonts w:ascii="Verdana" w:hAnsi="Verdana"/>
          <w:sz w:val="16"/>
          <w:szCs w:val="16"/>
          <w:lang w:val="es-CR"/>
        </w:rPr>
        <w:t xml:space="preserve">. Alegaron esto como una medida de no repetición que tiene que ver con la adopción de </w:t>
      </w:r>
      <w:r w:rsidRPr="00A068C6">
        <w:rPr>
          <w:rFonts w:ascii="Verdana" w:hAnsi="Verdana"/>
          <w:sz w:val="16"/>
          <w:szCs w:val="16"/>
          <w:lang w:val="es-CR"/>
        </w:rPr>
        <w:t>medidas de seguridad eficaces que cumplan con los principios de proporcionalidad, necesidad, legitimidad y enfoque de derechos humanos</w:t>
      </w:r>
      <w:r w:rsidRPr="0065557D">
        <w:rPr>
          <w:rFonts w:ascii="Verdana" w:hAnsi="Verdana"/>
          <w:sz w:val="16"/>
          <w:szCs w:val="16"/>
          <w:lang w:val="es-CR"/>
        </w:rPr>
        <w:t xml:space="preserve"> </w:t>
      </w:r>
      <w:r w:rsidRPr="00803447">
        <w:rPr>
          <w:rFonts w:ascii="Verdana" w:hAnsi="Verdana"/>
          <w:sz w:val="16"/>
          <w:szCs w:val="16"/>
          <w:lang w:val="es-CR"/>
        </w:rPr>
        <w:t xml:space="preserve">(expediente de fondo, </w:t>
      </w:r>
      <w:r w:rsidRPr="00F5492B">
        <w:rPr>
          <w:rFonts w:ascii="Verdana" w:hAnsi="Verdana"/>
          <w:sz w:val="16"/>
          <w:szCs w:val="16"/>
          <w:lang w:val="es-CR"/>
        </w:rPr>
        <w:t>ff. 207 a 209, y 2058).</w:t>
      </w:r>
    </w:p>
  </w:footnote>
  <w:footnote w:id="552">
    <w:p w14:paraId="4B673062" w14:textId="4F8A0F48" w:rsidR="00146958" w:rsidRPr="002C462C" w:rsidRDefault="00146958">
      <w:pPr>
        <w:pStyle w:val="Textonotapie"/>
        <w:jc w:val="both"/>
        <w:rPr>
          <w:rFonts w:ascii="Verdana" w:hAnsi="Verdana"/>
          <w:sz w:val="16"/>
          <w:szCs w:val="16"/>
          <w:lang w:val="es-AR"/>
        </w:rPr>
      </w:pPr>
      <w:r w:rsidRPr="00432ABC">
        <w:rPr>
          <w:rStyle w:val="Refdenotaalpie"/>
          <w:rFonts w:ascii="Verdana" w:hAnsi="Verdana"/>
          <w:sz w:val="16"/>
          <w:szCs w:val="16"/>
        </w:rPr>
        <w:footnoteRef/>
      </w:r>
      <w:r w:rsidRPr="00432ABC">
        <w:rPr>
          <w:rFonts w:ascii="Verdana" w:hAnsi="Verdana"/>
          <w:sz w:val="16"/>
          <w:szCs w:val="16"/>
          <w:lang w:val="es-AR"/>
        </w:rPr>
        <w:t xml:space="preserve"> </w:t>
      </w:r>
      <w:r w:rsidRPr="002C462C">
        <w:rPr>
          <w:rFonts w:ascii="Verdana" w:hAnsi="Verdana"/>
          <w:sz w:val="16"/>
          <w:szCs w:val="16"/>
          <w:lang w:val="es-AR"/>
        </w:rPr>
        <w:tab/>
      </w:r>
      <w:r w:rsidRPr="00A36A62">
        <w:rPr>
          <w:rFonts w:ascii="Verdana" w:hAnsi="Verdana"/>
          <w:sz w:val="16"/>
          <w:szCs w:val="16"/>
          <w:lang w:val="es-CR"/>
        </w:rPr>
        <w:t xml:space="preserve">Ley de Amparo, Reglamentaria de los </w:t>
      </w:r>
      <w:r>
        <w:rPr>
          <w:rFonts w:ascii="Verdana" w:hAnsi="Verdana"/>
          <w:sz w:val="16"/>
          <w:szCs w:val="16"/>
          <w:lang w:val="es-CR"/>
        </w:rPr>
        <w:t>a</w:t>
      </w:r>
      <w:r w:rsidRPr="00A36A62">
        <w:rPr>
          <w:rFonts w:ascii="Verdana" w:hAnsi="Verdana"/>
          <w:sz w:val="16"/>
          <w:szCs w:val="16"/>
          <w:lang w:val="es-CR"/>
        </w:rPr>
        <w:t xml:space="preserve">rtículos 103 y 107 de la Constitución Política de los Estados Unidos Mexicanos. Disponible en: </w:t>
      </w:r>
      <w:hyperlink r:id="rId40" w:history="1">
        <w:r w:rsidRPr="00A36A62">
          <w:rPr>
            <w:rStyle w:val="Hipervnculo"/>
            <w:rFonts w:ascii="Verdana" w:hAnsi="Verdana"/>
            <w:sz w:val="16"/>
            <w:szCs w:val="16"/>
            <w:lang w:val="es-CR"/>
          </w:rPr>
          <w:t>http://www.diputados.gob.mx/LeyesBiblio/pdf/LAmp_150618.pdf</w:t>
        </w:r>
      </w:hyperlink>
      <w:r>
        <w:rPr>
          <w:rFonts w:ascii="Verdana" w:hAnsi="Verdana"/>
          <w:sz w:val="16"/>
          <w:szCs w:val="16"/>
          <w:lang w:val="es-AR"/>
        </w:rPr>
        <w:t xml:space="preserve">  </w:t>
      </w:r>
    </w:p>
  </w:footnote>
  <w:footnote w:id="553">
    <w:p w14:paraId="144FDCDD" w14:textId="1A6DFD2A"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8D0846">
        <w:rPr>
          <w:rFonts w:ascii="Verdana" w:hAnsi="Verdana"/>
          <w:sz w:val="16"/>
          <w:szCs w:val="16"/>
          <w:lang w:val="es-EC"/>
        </w:rPr>
        <w:t xml:space="preserve">Ley </w:t>
      </w:r>
      <w:hyperlink r:id="rId41" w:history="1">
        <w:r w:rsidRPr="008D0846">
          <w:rPr>
            <w:rStyle w:val="Hipervnculo"/>
            <w:rFonts w:ascii="Verdana" w:hAnsi="Verdana"/>
            <w:bCs/>
            <w:sz w:val="16"/>
            <w:szCs w:val="16"/>
            <w:lang w:val="es-ES"/>
          </w:rPr>
          <w:t>General en Materia de Desaparición Forzada de Personas, Desaparición Cometida por Particulares y del Sistema Nacional de Búsqueda de Personas</w:t>
        </w:r>
      </w:hyperlink>
      <w:r w:rsidRPr="008D0846">
        <w:rPr>
          <w:rFonts w:ascii="Verdana" w:hAnsi="Verdana"/>
          <w:sz w:val="16"/>
          <w:szCs w:val="16"/>
        </w:rPr>
        <w:t xml:space="preserve">, publicada en el Diario Oficial de la Federación el 17 de noviembre de 2017. Disponible en: </w:t>
      </w:r>
      <w:hyperlink r:id="rId42" w:history="1">
        <w:r w:rsidRPr="008D0846">
          <w:rPr>
            <w:rStyle w:val="Hipervnculo"/>
            <w:rFonts w:ascii="Verdana" w:hAnsi="Verdana"/>
            <w:sz w:val="16"/>
            <w:szCs w:val="16"/>
          </w:rPr>
          <w:t>http://www.diputados.gob.mx/LeyesBiblio/pdf/LGMDFP_171117.pdf</w:t>
        </w:r>
      </w:hyperlink>
      <w:r>
        <w:rPr>
          <w:rFonts w:ascii="Verdana" w:hAnsi="Verdana"/>
          <w:sz w:val="16"/>
          <w:szCs w:val="16"/>
        </w:rPr>
        <w:t xml:space="preserve">. El artículo primero transitorio de dicha legislación establece que la misma </w:t>
      </w:r>
      <w:r w:rsidRPr="001A0740">
        <w:rPr>
          <w:rFonts w:ascii="Verdana" w:hAnsi="Verdana"/>
          <w:sz w:val="16"/>
          <w:szCs w:val="16"/>
        </w:rPr>
        <w:t>entr</w:t>
      </w:r>
      <w:r>
        <w:rPr>
          <w:rFonts w:ascii="Verdana" w:hAnsi="Verdana"/>
          <w:sz w:val="16"/>
          <w:szCs w:val="16"/>
        </w:rPr>
        <w:t>ará</w:t>
      </w:r>
      <w:r w:rsidRPr="008D0846">
        <w:rPr>
          <w:rFonts w:ascii="Verdana" w:hAnsi="Verdana"/>
          <w:sz w:val="16"/>
          <w:szCs w:val="16"/>
        </w:rPr>
        <w:t xml:space="preserve"> en vigor a los sesenta días de su publicación en el Diario Oficial de la Federación</w:t>
      </w:r>
      <w:r>
        <w:rPr>
          <w:rFonts w:ascii="Verdana" w:hAnsi="Verdana"/>
          <w:sz w:val="16"/>
          <w:szCs w:val="16"/>
        </w:rPr>
        <w:t>, esto es, el 15 de febrero de 2018.</w:t>
      </w:r>
    </w:p>
  </w:footnote>
  <w:footnote w:id="554">
    <w:p w14:paraId="50B8025B" w14:textId="3A0EAC25" w:rsidR="00146958" w:rsidRPr="003564A3" w:rsidRDefault="00146958" w:rsidP="003564A3">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2C462C">
        <w:rPr>
          <w:rFonts w:ascii="Verdana" w:hAnsi="Verdana"/>
          <w:sz w:val="16"/>
          <w:szCs w:val="16"/>
          <w:lang w:val="es-CR"/>
        </w:rPr>
        <w:tab/>
      </w:r>
      <w:r w:rsidRPr="003564A3">
        <w:rPr>
          <w:rFonts w:ascii="Verdana" w:hAnsi="Verdana"/>
          <w:sz w:val="16"/>
          <w:szCs w:val="16"/>
          <w:lang w:val="es-CR"/>
        </w:rPr>
        <w:t>Ley de Amparo</w:t>
      </w:r>
      <w:r>
        <w:rPr>
          <w:rFonts w:ascii="Verdana" w:hAnsi="Verdana"/>
          <w:sz w:val="16"/>
          <w:szCs w:val="16"/>
          <w:lang w:val="es-CR"/>
        </w:rPr>
        <w:t>,</w:t>
      </w:r>
      <w:r w:rsidRPr="003564A3">
        <w:rPr>
          <w:rFonts w:ascii="Verdana" w:hAnsi="Verdana"/>
          <w:sz w:val="16"/>
          <w:szCs w:val="16"/>
          <w:lang w:val="es-CR"/>
        </w:rPr>
        <w:t xml:space="preserve"> </w:t>
      </w:r>
      <w:r>
        <w:rPr>
          <w:rFonts w:ascii="Verdana" w:hAnsi="Verdana"/>
          <w:sz w:val="16"/>
          <w:szCs w:val="16"/>
          <w:lang w:val="es-CR"/>
        </w:rPr>
        <w:t>R</w:t>
      </w:r>
      <w:r w:rsidRPr="003564A3">
        <w:rPr>
          <w:rFonts w:ascii="Verdana" w:hAnsi="Verdana"/>
          <w:sz w:val="16"/>
          <w:szCs w:val="16"/>
          <w:lang w:val="es-CR"/>
        </w:rPr>
        <w:t xml:space="preserve">eglamentaria de los </w:t>
      </w:r>
      <w:r>
        <w:rPr>
          <w:rFonts w:ascii="Verdana" w:hAnsi="Verdana"/>
          <w:sz w:val="16"/>
          <w:szCs w:val="16"/>
          <w:lang w:val="es-CR"/>
        </w:rPr>
        <w:t>a</w:t>
      </w:r>
      <w:r w:rsidRPr="003564A3">
        <w:rPr>
          <w:rFonts w:ascii="Verdana" w:hAnsi="Verdana"/>
          <w:sz w:val="16"/>
          <w:szCs w:val="16"/>
          <w:lang w:val="es-CR"/>
        </w:rPr>
        <w:t>rtículos 103 y 107 de la Constitución Política de los Estados Unidos Mexicanos</w:t>
      </w:r>
      <w:r>
        <w:rPr>
          <w:rFonts w:ascii="Verdana" w:hAnsi="Verdana"/>
          <w:sz w:val="16"/>
          <w:szCs w:val="16"/>
          <w:lang w:val="es-CR"/>
        </w:rPr>
        <w:t xml:space="preserve">, </w:t>
      </w:r>
      <w:r>
        <w:rPr>
          <w:rFonts w:ascii="Verdana" w:hAnsi="Verdana"/>
          <w:i/>
          <w:sz w:val="16"/>
          <w:szCs w:val="16"/>
          <w:lang w:val="es-CR"/>
        </w:rPr>
        <w:t xml:space="preserve">supra, </w:t>
      </w:r>
      <w:r>
        <w:rPr>
          <w:rFonts w:ascii="Verdana" w:hAnsi="Verdana"/>
          <w:sz w:val="16"/>
          <w:szCs w:val="16"/>
          <w:lang w:val="es-CR"/>
        </w:rPr>
        <w:t>artículo 15, último párrafo</w:t>
      </w:r>
      <w:r>
        <w:rPr>
          <w:rFonts w:ascii="Verdana" w:hAnsi="Verdana"/>
          <w:i/>
          <w:sz w:val="16"/>
          <w:szCs w:val="16"/>
          <w:lang w:val="es-CR"/>
        </w:rPr>
        <w:t xml:space="preserve">. </w:t>
      </w:r>
      <w:r>
        <w:rPr>
          <w:rFonts w:ascii="Verdana" w:hAnsi="Verdana"/>
          <w:sz w:val="16"/>
          <w:szCs w:val="16"/>
          <w:lang w:val="es-CR"/>
        </w:rPr>
        <w:t xml:space="preserve"> </w:t>
      </w:r>
    </w:p>
  </w:footnote>
  <w:footnote w:id="555">
    <w:p w14:paraId="6AC00623" w14:textId="0904CDBA" w:rsidR="00146958" w:rsidRPr="008D0846" w:rsidRDefault="00146958" w:rsidP="003564A3">
      <w:pPr>
        <w:pStyle w:val="Textonotapie"/>
        <w:jc w:val="both"/>
        <w:rPr>
          <w:rFonts w:ascii="Verdana" w:hAnsi="Verdana"/>
          <w:sz w:val="16"/>
          <w:szCs w:val="16"/>
          <w:lang w:val="es-CR"/>
        </w:rPr>
      </w:pPr>
      <w:r w:rsidRPr="00B62982">
        <w:rPr>
          <w:rStyle w:val="Refdenotaalpie"/>
          <w:rFonts w:ascii="Verdana" w:hAnsi="Verdana"/>
          <w:sz w:val="16"/>
          <w:szCs w:val="16"/>
        </w:rPr>
        <w:footnoteRef/>
      </w:r>
      <w:r w:rsidRPr="00B62982">
        <w:rPr>
          <w:rFonts w:ascii="Verdana" w:hAnsi="Verdana"/>
          <w:sz w:val="16"/>
          <w:szCs w:val="16"/>
        </w:rPr>
        <w:t xml:space="preserve"> </w:t>
      </w:r>
      <w:r w:rsidRPr="00B62982">
        <w:rPr>
          <w:rFonts w:ascii="Verdana" w:hAnsi="Verdana"/>
          <w:sz w:val="16"/>
          <w:szCs w:val="16"/>
        </w:rPr>
        <w:tab/>
      </w:r>
      <w:r w:rsidRPr="008D0846">
        <w:rPr>
          <w:rFonts w:ascii="Verdana" w:hAnsi="Verdana"/>
          <w:sz w:val="16"/>
          <w:szCs w:val="16"/>
        </w:rPr>
        <w:t xml:space="preserve">Se toma nota de las recomendaciones realizadas a México por el Comité sobre Desapariciones Forzadas y el GTDFI, ambos de la ONU, así como de la CNDH  además de lo contenido en los peritajes de Federico Andreu y Gabriella Citroni. </w:t>
      </w:r>
      <w:r w:rsidRPr="00CD5C54">
        <w:rPr>
          <w:rFonts w:ascii="Verdana" w:hAnsi="Verdana"/>
          <w:i/>
          <w:sz w:val="16"/>
          <w:szCs w:val="16"/>
          <w:lang w:val="es-CR"/>
        </w:rPr>
        <w:t>Cfr.</w:t>
      </w:r>
      <w:r w:rsidRPr="008D0846">
        <w:rPr>
          <w:rFonts w:ascii="Verdana" w:hAnsi="Verdana"/>
          <w:sz w:val="16"/>
          <w:szCs w:val="16"/>
          <w:lang w:val="es-CR"/>
        </w:rPr>
        <w:t xml:space="preserve"> ONU. GTDFI, </w:t>
      </w:r>
      <w:r w:rsidRPr="008D0846">
        <w:rPr>
          <w:rFonts w:ascii="Verdana" w:hAnsi="Verdana"/>
          <w:i/>
          <w:sz w:val="16"/>
          <w:szCs w:val="16"/>
          <w:lang w:val="es-CR"/>
        </w:rPr>
        <w:t>Informe sobre la misión a México</w:t>
      </w:r>
      <w:r w:rsidRPr="008D0846">
        <w:rPr>
          <w:rFonts w:ascii="Verdana" w:hAnsi="Verdana"/>
          <w:sz w:val="16"/>
          <w:szCs w:val="16"/>
          <w:lang w:val="es-CR"/>
        </w:rPr>
        <w:t xml:space="preserve">, A/HCR/19/58/Add.2, 20 de diciembre de 2011, párr. 81; Comité sobre Desapariciones Forzadas, </w:t>
      </w:r>
      <w:r w:rsidRPr="008D0846">
        <w:rPr>
          <w:rFonts w:ascii="Verdana" w:hAnsi="Verdana"/>
          <w:i/>
          <w:sz w:val="16"/>
          <w:szCs w:val="16"/>
          <w:lang w:val="es-CR"/>
        </w:rPr>
        <w:t>Observaciones finales sobre México</w:t>
      </w:r>
      <w:r w:rsidRPr="008D0846">
        <w:rPr>
          <w:rFonts w:ascii="Verdana" w:hAnsi="Verdana"/>
          <w:sz w:val="16"/>
          <w:szCs w:val="16"/>
          <w:lang w:val="es-CR"/>
        </w:rPr>
        <w:t xml:space="preserve">, CED/C/MEX/CO/1, 134 de febrero de 2015, párr. 18; </w:t>
      </w:r>
      <w:r w:rsidRPr="00437446">
        <w:rPr>
          <w:rFonts w:ascii="Verdana" w:hAnsi="Verdana"/>
          <w:sz w:val="16"/>
          <w:szCs w:val="16"/>
        </w:rPr>
        <w:t xml:space="preserve">Declaración rendida ante la Corte por el perito Federico Andreu Guzmán en la Audiencia Pública del </w:t>
      </w:r>
      <w:r w:rsidRPr="008D0846">
        <w:rPr>
          <w:rFonts w:ascii="Verdana" w:hAnsi="Verdana"/>
          <w:i/>
          <w:sz w:val="16"/>
          <w:szCs w:val="16"/>
        </w:rPr>
        <w:t>Caso Alvarado Espinoza y otros Vs. México</w:t>
      </w:r>
      <w:r w:rsidRPr="00437446">
        <w:rPr>
          <w:rFonts w:ascii="Verdana" w:hAnsi="Verdana"/>
          <w:sz w:val="16"/>
          <w:szCs w:val="16"/>
        </w:rPr>
        <w:t xml:space="preserve"> el 26 de abril de 2018  (Transcripción de la Audiencia Pública, pág. </w:t>
      </w:r>
      <w:r w:rsidRPr="008D0846">
        <w:rPr>
          <w:rFonts w:ascii="Verdana" w:hAnsi="Verdana"/>
          <w:sz w:val="16"/>
          <w:szCs w:val="16"/>
          <w:lang w:val="es-CR"/>
        </w:rPr>
        <w:t>88</w:t>
      </w:r>
      <w:r>
        <w:rPr>
          <w:rFonts w:ascii="Verdana" w:hAnsi="Verdana"/>
          <w:sz w:val="16"/>
          <w:szCs w:val="16"/>
          <w:lang w:val="es-CR"/>
        </w:rPr>
        <w:t>)</w:t>
      </w:r>
      <w:r w:rsidRPr="008D0846">
        <w:rPr>
          <w:rFonts w:ascii="Verdana" w:hAnsi="Verdana"/>
          <w:sz w:val="16"/>
          <w:szCs w:val="16"/>
          <w:lang w:val="es-CR"/>
        </w:rPr>
        <w:t>; Declaración pericial de Gabriella Citroni rendida ante fedatario público de 18 de abril de 2018</w:t>
      </w:r>
      <w:r>
        <w:rPr>
          <w:rFonts w:ascii="Verdana" w:hAnsi="Verdana"/>
          <w:sz w:val="16"/>
          <w:szCs w:val="16"/>
          <w:lang w:val="es-CR"/>
        </w:rPr>
        <w:t xml:space="preserve"> (expediente de prueba, </w:t>
      </w:r>
      <w:r w:rsidRPr="00453199">
        <w:rPr>
          <w:rFonts w:ascii="Verdana" w:hAnsi="Verdana"/>
          <w:i/>
          <w:sz w:val="16"/>
          <w:szCs w:val="16"/>
          <w:lang w:val="es-CR"/>
        </w:rPr>
        <w:t>Affidávits</w:t>
      </w:r>
      <w:r w:rsidRPr="008D0846">
        <w:rPr>
          <w:rFonts w:ascii="Verdana" w:hAnsi="Verdana"/>
          <w:i/>
          <w:sz w:val="16"/>
          <w:szCs w:val="16"/>
          <w:lang w:val="es-CR"/>
        </w:rPr>
        <w:t>,</w:t>
      </w:r>
      <w:r w:rsidRPr="00437446" w:rsidDel="00437446">
        <w:rPr>
          <w:rFonts w:ascii="Verdana" w:hAnsi="Verdana"/>
          <w:i/>
          <w:sz w:val="16"/>
          <w:szCs w:val="16"/>
          <w:lang w:val="es-CR"/>
        </w:rPr>
        <w:t xml:space="preserve"> </w:t>
      </w:r>
      <w:r w:rsidRPr="008D0846">
        <w:rPr>
          <w:rFonts w:ascii="Verdana" w:hAnsi="Verdana"/>
          <w:sz w:val="16"/>
          <w:szCs w:val="16"/>
          <w:lang w:val="es-CR"/>
        </w:rPr>
        <w:t>f</w:t>
      </w:r>
      <w:r>
        <w:rPr>
          <w:rFonts w:ascii="Verdana" w:hAnsi="Verdana"/>
          <w:sz w:val="16"/>
          <w:szCs w:val="16"/>
          <w:lang w:val="es-CR"/>
        </w:rPr>
        <w:t>f</w:t>
      </w:r>
      <w:r w:rsidRPr="008D0846">
        <w:rPr>
          <w:rFonts w:ascii="Verdana" w:hAnsi="Verdana"/>
          <w:sz w:val="16"/>
          <w:szCs w:val="16"/>
          <w:lang w:val="es-CR"/>
        </w:rPr>
        <w:t xml:space="preserve">. 31082 a 31083, y </w:t>
      </w:r>
      <w:r w:rsidRPr="008D0846">
        <w:rPr>
          <w:rFonts w:ascii="Verdana" w:hAnsi="Verdana"/>
          <w:i/>
          <w:sz w:val="16"/>
          <w:szCs w:val="16"/>
          <w:lang w:val="es-CR"/>
        </w:rPr>
        <w:t xml:space="preserve"> </w:t>
      </w:r>
      <w:r w:rsidRPr="008D0846">
        <w:rPr>
          <w:rFonts w:ascii="Verdana" w:hAnsi="Verdana"/>
          <w:sz w:val="16"/>
          <w:szCs w:val="16"/>
          <w:lang w:val="es-CR"/>
        </w:rPr>
        <w:t xml:space="preserve">CNDH, </w:t>
      </w:r>
      <w:r w:rsidRPr="008D0846">
        <w:rPr>
          <w:rFonts w:ascii="Verdana" w:hAnsi="Verdana"/>
          <w:i/>
          <w:sz w:val="16"/>
          <w:szCs w:val="16"/>
          <w:lang w:val="es-CR"/>
        </w:rPr>
        <w:t xml:space="preserve">Informe Especial sobre Desaparición de Personas y Fosas Clandestinas en México, </w:t>
      </w:r>
      <w:r w:rsidRPr="008D0846">
        <w:rPr>
          <w:rFonts w:ascii="Verdana" w:hAnsi="Verdana"/>
          <w:sz w:val="16"/>
          <w:szCs w:val="16"/>
          <w:lang w:val="es-CR"/>
        </w:rPr>
        <w:t xml:space="preserve"> 6 de abril de 2017, párr. 30. Disponible en: </w:t>
      </w:r>
      <w:hyperlink r:id="rId43" w:history="1">
        <w:r w:rsidRPr="008D0846">
          <w:rPr>
            <w:rStyle w:val="Hipervnculo"/>
            <w:rFonts w:ascii="Verdana" w:hAnsi="Verdana"/>
            <w:sz w:val="16"/>
            <w:szCs w:val="16"/>
            <w:lang w:val="es-CR"/>
          </w:rPr>
          <w:t>http://www.cndh.org.mx/sites/all/doc/Informes/Especiales/InformeEspecial_20170406.pdf</w:t>
        </w:r>
      </w:hyperlink>
      <w:r w:rsidRPr="008D0846">
        <w:rPr>
          <w:rFonts w:ascii="Verdana" w:hAnsi="Verdana"/>
          <w:sz w:val="16"/>
          <w:szCs w:val="16"/>
          <w:lang w:val="es-CR"/>
        </w:rPr>
        <w:t xml:space="preserve">. En particular, en este último informe se señala que: </w:t>
      </w:r>
      <w:r w:rsidRPr="008D0846">
        <w:rPr>
          <w:rFonts w:ascii="Verdana" w:eastAsiaTheme="minorHAnsi" w:hAnsi="Verdana" w:cs="*Microsoft Sans Serif-5550-Iden"/>
          <w:color w:val="1E1E22"/>
          <w:sz w:val="16"/>
          <w:szCs w:val="16"/>
          <w:lang w:val="es-CR"/>
        </w:rPr>
        <w:t>“[l]a diversidad de cifras referidas pone en evidencia la necesidad de que las autoridades procedan a sistematizar, compulsar y depurar los datos de personas desaparecidas, por lo que esta Comisión Nacional [de Derechos Humanos] reitera su preocupación por el desconocimiento del paradero de las miles de personas desaparecidas en el territorio nacional y por el sufrimiento e incertidumbre causados a sus familiares al no conocer su suerte o destino final. El presente Informe evidencia en su contenido, las inconsistencias y deficiencias de la información oficial disponible al respecto, por lo que se reitera la necesidad de contar con registros pertinentes e integrales que permitan dimensionar adecuadamente la magnitud de este problema […]”</w:t>
      </w:r>
      <w:r>
        <w:rPr>
          <w:rFonts w:ascii="Verdana" w:eastAsiaTheme="minorHAnsi" w:hAnsi="Verdana" w:cs="*Microsoft Sans Serif-5550-Iden"/>
          <w:color w:val="1E1E22"/>
          <w:sz w:val="16"/>
          <w:szCs w:val="16"/>
          <w:lang w:val="es-CR"/>
        </w:rPr>
        <w:t>.</w:t>
      </w:r>
    </w:p>
  </w:footnote>
  <w:footnote w:id="556">
    <w:p w14:paraId="74CAE486" w14:textId="15453809" w:rsidR="00146958" w:rsidRPr="00AE2ED8" w:rsidRDefault="00146958" w:rsidP="003564A3">
      <w:pPr>
        <w:pStyle w:val="Textonotapie"/>
        <w:jc w:val="both"/>
        <w:rPr>
          <w:rFonts w:ascii="Verdana" w:hAnsi="Verdana"/>
          <w:sz w:val="16"/>
          <w:szCs w:val="16"/>
          <w:lang w:val="es-CR"/>
        </w:rPr>
      </w:pPr>
      <w:r w:rsidRPr="00AE2ED8">
        <w:rPr>
          <w:rStyle w:val="Refdenotaalpie"/>
          <w:rFonts w:ascii="Verdana" w:hAnsi="Verdana"/>
          <w:sz w:val="16"/>
          <w:szCs w:val="16"/>
        </w:rPr>
        <w:footnoteRef/>
      </w:r>
      <w:r w:rsidRPr="00AE2ED8">
        <w:rPr>
          <w:rFonts w:ascii="Verdana" w:hAnsi="Verdana"/>
          <w:sz w:val="16"/>
          <w:szCs w:val="16"/>
          <w:lang w:val="es-CR"/>
        </w:rPr>
        <w:t xml:space="preserve"> </w:t>
      </w:r>
      <w:r w:rsidRPr="00AE2ED8">
        <w:rPr>
          <w:rFonts w:ascii="Verdana" w:hAnsi="Verdana"/>
          <w:sz w:val="16"/>
          <w:szCs w:val="16"/>
          <w:lang w:val="es-CR"/>
        </w:rPr>
        <w:tab/>
      </w:r>
      <w:r w:rsidRPr="00CD5C54">
        <w:rPr>
          <w:rFonts w:ascii="Verdana" w:hAnsi="Verdana"/>
          <w:i/>
          <w:sz w:val="16"/>
          <w:szCs w:val="16"/>
          <w:lang w:val="es-CR"/>
        </w:rPr>
        <w:t>Cfr.</w:t>
      </w:r>
      <w:r w:rsidRPr="00AE2ED8">
        <w:rPr>
          <w:rFonts w:ascii="Verdana" w:hAnsi="Verdana"/>
          <w:i/>
          <w:sz w:val="16"/>
          <w:szCs w:val="16"/>
          <w:lang w:val="es-CR"/>
        </w:rPr>
        <w:t xml:space="preserve"> </w:t>
      </w:r>
      <w:r w:rsidRPr="00AE2ED8">
        <w:rPr>
          <w:rFonts w:ascii="Verdana" w:hAnsi="Verdana"/>
          <w:bCs/>
          <w:i/>
          <w:sz w:val="16"/>
          <w:szCs w:val="16"/>
        </w:rPr>
        <w:t>Caso del Caracazo Vs. Venezuela</w:t>
      </w:r>
      <w:r>
        <w:rPr>
          <w:rFonts w:ascii="Verdana" w:hAnsi="Verdana"/>
          <w:bCs/>
          <w:i/>
          <w:sz w:val="16"/>
          <w:szCs w:val="16"/>
        </w:rPr>
        <w:t>. Reparaciones y Costas</w:t>
      </w:r>
      <w:r w:rsidRPr="00AE2ED8">
        <w:rPr>
          <w:rFonts w:ascii="Verdana" w:hAnsi="Verdana"/>
          <w:bCs/>
          <w:i/>
          <w:sz w:val="16"/>
          <w:szCs w:val="16"/>
        </w:rPr>
        <w:t xml:space="preserve">, supra, </w:t>
      </w:r>
      <w:r w:rsidRPr="00AE2ED8">
        <w:rPr>
          <w:rFonts w:ascii="Verdana" w:hAnsi="Verdana"/>
          <w:bCs/>
          <w:sz w:val="16"/>
          <w:szCs w:val="16"/>
        </w:rPr>
        <w:t xml:space="preserve">párr. 127, y </w:t>
      </w:r>
      <w:r w:rsidRPr="008D0846">
        <w:rPr>
          <w:rStyle w:val="Textoennegrita"/>
          <w:rFonts w:ascii="Verdana" w:hAnsi="Verdana"/>
          <w:b w:val="0"/>
          <w:i/>
          <w:color w:val="000000"/>
          <w:sz w:val="16"/>
          <w:szCs w:val="16"/>
          <w:shd w:val="clear" w:color="auto" w:fill="FFFFFF"/>
        </w:rPr>
        <w:t>Caso Miembros de la Aldea Chichupac y comunidades vecinas del Municipio de Rabinal Vs. Guatemala</w:t>
      </w:r>
      <w:r>
        <w:rPr>
          <w:rStyle w:val="Textoennegrita"/>
          <w:rFonts w:ascii="Verdana" w:hAnsi="Verdana"/>
          <w:b w:val="0"/>
          <w:i/>
          <w:color w:val="000000"/>
          <w:sz w:val="16"/>
          <w:szCs w:val="16"/>
          <w:shd w:val="clear" w:color="auto" w:fill="FFFFFF"/>
        </w:rPr>
        <w:t>, supra</w:t>
      </w:r>
      <w:r w:rsidRPr="00AE2ED8">
        <w:rPr>
          <w:rFonts w:ascii="Verdana" w:hAnsi="Verdana"/>
          <w:sz w:val="16"/>
          <w:szCs w:val="16"/>
          <w:lang w:val="es-CR"/>
        </w:rPr>
        <w:t>, párr. 312.</w:t>
      </w:r>
    </w:p>
  </w:footnote>
  <w:footnote w:id="557">
    <w:p w14:paraId="26ADCE6F" w14:textId="1BF616F7" w:rsidR="00146958" w:rsidRPr="00AE2ED8" w:rsidRDefault="00146958" w:rsidP="003564A3">
      <w:pPr>
        <w:pStyle w:val="Textonotapie"/>
        <w:jc w:val="both"/>
        <w:rPr>
          <w:rFonts w:ascii="Verdana" w:hAnsi="Verdana"/>
          <w:sz w:val="16"/>
          <w:szCs w:val="16"/>
          <w:lang w:val="es-CR"/>
        </w:rPr>
      </w:pPr>
      <w:r w:rsidRPr="00AE2ED8">
        <w:rPr>
          <w:rStyle w:val="Caracteresdenotaalpie"/>
          <w:rFonts w:ascii="Verdana" w:hAnsi="Verdana"/>
          <w:sz w:val="16"/>
          <w:szCs w:val="16"/>
        </w:rPr>
        <w:footnoteRef/>
      </w:r>
      <w:r w:rsidRPr="00AE2ED8">
        <w:rPr>
          <w:rFonts w:ascii="Verdana" w:hAnsi="Verdana"/>
          <w:i/>
          <w:sz w:val="16"/>
          <w:szCs w:val="16"/>
          <w:lang w:val="es-CR"/>
        </w:rPr>
        <w:t xml:space="preserve"> </w:t>
      </w:r>
      <w:r w:rsidRPr="00AE2ED8">
        <w:rPr>
          <w:rFonts w:ascii="Verdana" w:hAnsi="Verdana"/>
          <w:i/>
          <w:sz w:val="16"/>
          <w:szCs w:val="16"/>
          <w:lang w:val="es-CR"/>
        </w:rPr>
        <w:tab/>
      </w:r>
      <w:r w:rsidRPr="00CD5C54">
        <w:rPr>
          <w:rFonts w:ascii="Verdana" w:hAnsi="Verdana"/>
          <w:i/>
          <w:sz w:val="16"/>
          <w:szCs w:val="16"/>
          <w:lang w:val="es-CR"/>
        </w:rPr>
        <w:t>Cfr.</w:t>
      </w:r>
      <w:r w:rsidRPr="00AE2ED8">
        <w:rPr>
          <w:rFonts w:ascii="Verdana" w:hAnsi="Verdana"/>
          <w:i/>
          <w:sz w:val="16"/>
          <w:szCs w:val="16"/>
          <w:lang w:val="es-CR"/>
        </w:rPr>
        <w:t xml:space="preserve"> Caso Claude Reyes y otros Vs. Chile. Supervisión de Cumplimiento de Sentencia</w:t>
      </w:r>
      <w:r w:rsidRPr="00AE2ED8">
        <w:rPr>
          <w:rFonts w:ascii="Verdana" w:hAnsi="Verdana"/>
          <w:sz w:val="16"/>
          <w:szCs w:val="16"/>
          <w:lang w:val="es-CR"/>
        </w:rPr>
        <w:t xml:space="preserve">. Resolución de la Corte </w:t>
      </w:r>
      <w:r>
        <w:rPr>
          <w:rFonts w:ascii="Verdana" w:hAnsi="Verdana"/>
          <w:sz w:val="16"/>
          <w:szCs w:val="16"/>
          <w:lang w:val="es-CR"/>
        </w:rPr>
        <w:t>IDH</w:t>
      </w:r>
      <w:r w:rsidRPr="00AE2ED8">
        <w:rPr>
          <w:rFonts w:ascii="Verdana" w:hAnsi="Verdana"/>
          <w:sz w:val="16"/>
          <w:szCs w:val="16"/>
          <w:lang w:val="es-CR"/>
        </w:rPr>
        <w:t xml:space="preserve"> de 24 de noviembre de 2008, Considerando 19.</w:t>
      </w:r>
    </w:p>
  </w:footnote>
  <w:footnote w:id="558">
    <w:p w14:paraId="53749417" w14:textId="6B5E916E" w:rsidR="00146958" w:rsidRPr="00AE2ED8" w:rsidRDefault="00146958" w:rsidP="003564A3">
      <w:pPr>
        <w:pStyle w:val="Textonotapie"/>
        <w:jc w:val="both"/>
        <w:rPr>
          <w:rFonts w:ascii="Verdana" w:hAnsi="Verdana"/>
          <w:sz w:val="16"/>
          <w:szCs w:val="16"/>
          <w:lang w:val="es-CR"/>
        </w:rPr>
      </w:pPr>
      <w:r w:rsidRPr="00AE2ED8">
        <w:rPr>
          <w:rStyle w:val="Refdenotaalpie"/>
          <w:rFonts w:ascii="Verdana" w:hAnsi="Verdana"/>
          <w:sz w:val="16"/>
          <w:szCs w:val="16"/>
        </w:rPr>
        <w:footnoteRef/>
      </w:r>
      <w:r w:rsidRPr="00AE2ED8">
        <w:rPr>
          <w:rFonts w:ascii="Verdana" w:hAnsi="Verdana"/>
          <w:sz w:val="16"/>
          <w:szCs w:val="16"/>
          <w:lang w:val="es-CR"/>
        </w:rPr>
        <w:t xml:space="preserve"> </w:t>
      </w:r>
      <w:r w:rsidRPr="00AE2ED8">
        <w:rPr>
          <w:rFonts w:ascii="Verdana" w:hAnsi="Verdana"/>
          <w:sz w:val="16"/>
          <w:szCs w:val="16"/>
          <w:lang w:val="es-CR"/>
        </w:rPr>
        <w:tab/>
      </w:r>
      <w:r w:rsidRPr="00CD5C54">
        <w:rPr>
          <w:rFonts w:ascii="Verdana" w:hAnsi="Verdana"/>
          <w:i/>
          <w:sz w:val="16"/>
          <w:szCs w:val="16"/>
          <w:lang w:val="es-CR"/>
        </w:rPr>
        <w:t>Cfr.</w:t>
      </w:r>
      <w:r w:rsidRPr="00AE2ED8">
        <w:rPr>
          <w:rFonts w:ascii="Verdana" w:hAnsi="Verdana"/>
          <w:i/>
          <w:sz w:val="16"/>
          <w:szCs w:val="16"/>
          <w:lang w:val="es-CR"/>
        </w:rPr>
        <w:t xml:space="preserve"> Asunto Alvarado Reyes y otros respecto de México. Medidas Provisionales.</w:t>
      </w:r>
      <w:r w:rsidRPr="00AE2ED8">
        <w:rPr>
          <w:rFonts w:ascii="Verdana" w:hAnsi="Verdana"/>
          <w:sz w:val="16"/>
          <w:szCs w:val="16"/>
          <w:lang w:val="es-CR"/>
        </w:rPr>
        <w:t xml:space="preserve"> Resolución de la Corte </w:t>
      </w:r>
      <w:r w:rsidRPr="006F76AA">
        <w:rPr>
          <w:rFonts w:ascii="Verdana" w:hAnsi="Verdana"/>
          <w:sz w:val="16"/>
          <w:szCs w:val="16"/>
          <w:lang w:val="es-CR"/>
        </w:rPr>
        <w:t xml:space="preserve">IDH </w:t>
      </w:r>
      <w:r w:rsidRPr="00AE2ED8">
        <w:rPr>
          <w:rFonts w:ascii="Verdana" w:hAnsi="Verdana"/>
          <w:sz w:val="16"/>
          <w:szCs w:val="16"/>
          <w:lang w:val="es-CR"/>
        </w:rPr>
        <w:t xml:space="preserve">de 26 de noviembre de 2010, Resolutivo 2.  </w:t>
      </w:r>
    </w:p>
  </w:footnote>
  <w:footnote w:id="559">
    <w:p w14:paraId="3A620BED" w14:textId="2058FAA2" w:rsidR="00146958" w:rsidRPr="00432ABC" w:rsidRDefault="00146958">
      <w:pPr>
        <w:pStyle w:val="Textonotapie"/>
        <w:jc w:val="both"/>
        <w:rPr>
          <w:rFonts w:ascii="Verdana" w:hAnsi="Verdana"/>
          <w:sz w:val="16"/>
          <w:szCs w:val="16"/>
          <w:lang w:val="es-CR"/>
        </w:rPr>
      </w:pPr>
      <w:r w:rsidRPr="00AE2ED8">
        <w:rPr>
          <w:rStyle w:val="Refdenotaalpie"/>
          <w:rFonts w:ascii="Verdana" w:hAnsi="Verdana"/>
          <w:sz w:val="16"/>
          <w:szCs w:val="16"/>
        </w:rPr>
        <w:footnoteRef/>
      </w:r>
      <w:r w:rsidRPr="00AE2ED8">
        <w:rPr>
          <w:rFonts w:ascii="Verdana" w:hAnsi="Verdana"/>
          <w:sz w:val="16"/>
          <w:szCs w:val="16"/>
          <w:lang w:val="es-CR"/>
        </w:rPr>
        <w:t xml:space="preserve"> </w:t>
      </w:r>
      <w:r w:rsidRPr="00AE2ED8">
        <w:rPr>
          <w:rFonts w:ascii="Verdana" w:hAnsi="Verdana"/>
          <w:sz w:val="16"/>
          <w:szCs w:val="16"/>
          <w:lang w:val="es-CR"/>
        </w:rPr>
        <w:tab/>
      </w:r>
      <w:r w:rsidRPr="00CD5C54">
        <w:rPr>
          <w:rFonts w:ascii="Verdana" w:hAnsi="Verdana"/>
          <w:i/>
          <w:sz w:val="16"/>
          <w:szCs w:val="16"/>
          <w:lang w:val="es-CR"/>
        </w:rPr>
        <w:t>Cfr.</w:t>
      </w:r>
      <w:r w:rsidRPr="00AE2ED8">
        <w:rPr>
          <w:rFonts w:ascii="Verdana" w:hAnsi="Verdana"/>
          <w:i/>
          <w:sz w:val="16"/>
          <w:szCs w:val="16"/>
          <w:lang w:val="es-CR"/>
        </w:rPr>
        <w:t xml:space="preserve"> </w:t>
      </w:r>
      <w:r w:rsidRPr="00184C97">
        <w:rPr>
          <w:rFonts w:ascii="Verdana" w:hAnsi="Verdana"/>
          <w:i/>
          <w:sz w:val="16"/>
          <w:szCs w:val="16"/>
        </w:rPr>
        <w:t>Caso Chitay Nech y otros vs. Guatemala</w:t>
      </w:r>
      <w:r>
        <w:rPr>
          <w:rFonts w:ascii="Verdana" w:hAnsi="Verdana"/>
          <w:sz w:val="16"/>
          <w:szCs w:val="16"/>
        </w:rPr>
        <w:t xml:space="preserve">, </w:t>
      </w:r>
      <w:r w:rsidRPr="008D0846">
        <w:rPr>
          <w:rFonts w:ascii="Verdana" w:hAnsi="Verdana"/>
          <w:i/>
          <w:sz w:val="16"/>
          <w:szCs w:val="16"/>
        </w:rPr>
        <w:t>supra</w:t>
      </w:r>
      <w:r w:rsidRPr="00184C97">
        <w:rPr>
          <w:rFonts w:ascii="Verdana" w:hAnsi="Verdana"/>
          <w:sz w:val="16"/>
          <w:szCs w:val="16"/>
        </w:rPr>
        <w:t>, párr. 149</w:t>
      </w:r>
      <w:r w:rsidRPr="008D0846">
        <w:rPr>
          <w:rFonts w:ascii="Verdana" w:hAnsi="Verdana"/>
          <w:sz w:val="16"/>
          <w:szCs w:val="16"/>
        </w:rPr>
        <w:t xml:space="preserve">, y </w:t>
      </w:r>
      <w:r w:rsidRPr="008D0846">
        <w:rPr>
          <w:rStyle w:val="Textoennegrita"/>
          <w:rFonts w:ascii="Verdana" w:hAnsi="Verdana"/>
          <w:b w:val="0"/>
          <w:i/>
          <w:color w:val="000000"/>
          <w:sz w:val="16"/>
          <w:szCs w:val="16"/>
          <w:shd w:val="clear" w:color="auto" w:fill="FFFFFF"/>
        </w:rPr>
        <w:t>Caso Yarce y otras Vs. Colombia</w:t>
      </w:r>
      <w:r>
        <w:rPr>
          <w:rStyle w:val="Textoennegrita"/>
          <w:rFonts w:ascii="Verdana" w:hAnsi="Verdana"/>
          <w:b w:val="0"/>
          <w:i/>
          <w:color w:val="000000"/>
          <w:sz w:val="16"/>
          <w:szCs w:val="16"/>
          <w:shd w:val="clear" w:color="auto" w:fill="FFFFFF"/>
        </w:rPr>
        <w:t>, supra</w:t>
      </w:r>
      <w:r w:rsidRPr="008D0846">
        <w:rPr>
          <w:rStyle w:val="Textoennegrita"/>
          <w:rFonts w:ascii="Verdana" w:hAnsi="Verdana"/>
          <w:b w:val="0"/>
          <w:color w:val="000000"/>
          <w:sz w:val="16"/>
          <w:szCs w:val="16"/>
          <w:shd w:val="clear" w:color="auto" w:fill="FFFFFF"/>
        </w:rPr>
        <w:t>, párr. 224</w:t>
      </w:r>
      <w:r w:rsidRPr="00AE2ED8">
        <w:rPr>
          <w:rFonts w:ascii="Verdana" w:hAnsi="Verdana"/>
          <w:sz w:val="16"/>
          <w:szCs w:val="16"/>
        </w:rPr>
        <w:t>.</w:t>
      </w:r>
    </w:p>
  </w:footnote>
  <w:footnote w:id="560">
    <w:p w14:paraId="5E704735" w14:textId="13FB02B2"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sidRPr="002C462C">
        <w:rPr>
          <w:rFonts w:ascii="Verdana" w:hAnsi="Verdana"/>
          <w:i/>
          <w:sz w:val="16"/>
          <w:szCs w:val="16"/>
          <w:lang w:val="es-CR"/>
        </w:rPr>
        <w:t xml:space="preserve"> Caso Defensor de Derechos Humanos y otros Vs. Guatemala. Excepciones Preliminares, Fondo, Reparaciones y Costas.</w:t>
      </w:r>
      <w:r w:rsidRPr="00432ABC">
        <w:rPr>
          <w:rFonts w:ascii="Verdana" w:hAnsi="Verdana"/>
          <w:sz w:val="16"/>
          <w:szCs w:val="16"/>
          <w:lang w:val="es-CR"/>
        </w:rPr>
        <w:t xml:space="preserve"> Sentencia de 28 de agosto de 2014, párr. 256, y </w:t>
      </w:r>
      <w:r w:rsidRPr="00432ABC">
        <w:rPr>
          <w:rFonts w:ascii="Verdana" w:hAnsi="Verdana"/>
          <w:i/>
          <w:sz w:val="16"/>
          <w:szCs w:val="16"/>
          <w:lang w:val="es-CR"/>
        </w:rPr>
        <w:t xml:space="preserve">Caso Defensor de Derechos Humanos y otros Vs. Guatemala. Supervisión de Cumplimiento de Sentencia. </w:t>
      </w:r>
      <w:r w:rsidRPr="00432ABC">
        <w:rPr>
          <w:rFonts w:ascii="Verdana" w:hAnsi="Verdana"/>
          <w:sz w:val="16"/>
          <w:szCs w:val="16"/>
          <w:lang w:val="es-CR"/>
        </w:rPr>
        <w:t xml:space="preserve">Resolución de la Corte </w:t>
      </w:r>
      <w:r w:rsidRPr="00E25413">
        <w:rPr>
          <w:rFonts w:ascii="Verdana" w:hAnsi="Verdana"/>
          <w:sz w:val="16"/>
          <w:szCs w:val="16"/>
          <w:lang w:val="es-CR"/>
        </w:rPr>
        <w:t xml:space="preserve">IDH </w:t>
      </w:r>
      <w:r w:rsidRPr="00432ABC">
        <w:rPr>
          <w:rFonts w:ascii="Verdana" w:hAnsi="Verdana"/>
          <w:sz w:val="16"/>
          <w:szCs w:val="16"/>
          <w:lang w:val="es-CR"/>
        </w:rPr>
        <w:t xml:space="preserve">de 29 de agosto de 2017, Considerando </w:t>
      </w:r>
      <w:r>
        <w:rPr>
          <w:rFonts w:ascii="Verdana" w:hAnsi="Verdana"/>
          <w:sz w:val="16"/>
          <w:szCs w:val="16"/>
          <w:lang w:val="es-CR"/>
        </w:rPr>
        <w:t>5</w:t>
      </w:r>
      <w:r w:rsidRPr="00432ABC">
        <w:rPr>
          <w:rFonts w:ascii="Verdana" w:hAnsi="Verdana"/>
          <w:sz w:val="16"/>
          <w:szCs w:val="16"/>
          <w:lang w:val="es-CR"/>
        </w:rPr>
        <w:t xml:space="preserve">. </w:t>
      </w:r>
    </w:p>
  </w:footnote>
  <w:footnote w:id="561">
    <w:p w14:paraId="45701BA6" w14:textId="5022FDC2" w:rsidR="00146958" w:rsidRPr="008E2F04" w:rsidRDefault="00146958">
      <w:pPr>
        <w:pStyle w:val="Textonotapie"/>
        <w:jc w:val="both"/>
        <w:rPr>
          <w:rFonts w:ascii="Verdana" w:hAnsi="Verdana"/>
          <w:sz w:val="16"/>
          <w:szCs w:val="16"/>
          <w:lang w:val="es-CR"/>
        </w:rPr>
      </w:pPr>
      <w:r w:rsidRPr="00E130F3">
        <w:rPr>
          <w:rStyle w:val="Refdenotaalpie"/>
          <w:rFonts w:ascii="Verdana" w:hAnsi="Verdana"/>
          <w:sz w:val="16"/>
          <w:szCs w:val="16"/>
        </w:rPr>
        <w:footnoteRef/>
      </w:r>
      <w:r w:rsidRPr="00E130F3">
        <w:rPr>
          <w:rFonts w:ascii="Verdana" w:hAnsi="Verdana"/>
          <w:sz w:val="16"/>
          <w:szCs w:val="16"/>
          <w:lang w:val="es-CR"/>
        </w:rPr>
        <w:t xml:space="preserve"> </w:t>
      </w:r>
      <w:r w:rsidRPr="00E130F3">
        <w:rPr>
          <w:rFonts w:ascii="Verdana" w:hAnsi="Verdana"/>
          <w:sz w:val="16"/>
          <w:szCs w:val="16"/>
          <w:lang w:val="es-CR"/>
        </w:rPr>
        <w:tab/>
      </w:r>
      <w:r w:rsidRPr="00CD5C54">
        <w:rPr>
          <w:rFonts w:ascii="Verdana" w:hAnsi="Verdana"/>
          <w:i/>
          <w:sz w:val="16"/>
          <w:szCs w:val="16"/>
          <w:lang w:val="es-CR"/>
        </w:rPr>
        <w:t>Cfr.</w:t>
      </w:r>
      <w:r w:rsidRPr="008E2F04">
        <w:rPr>
          <w:rFonts w:ascii="Verdana" w:hAnsi="Verdana"/>
          <w:sz w:val="16"/>
          <w:szCs w:val="16"/>
          <w:lang w:val="es-CR"/>
        </w:rPr>
        <w:t xml:space="preserve"> </w:t>
      </w:r>
      <w:r w:rsidRPr="008E2F04">
        <w:rPr>
          <w:rFonts w:ascii="Verdana" w:hAnsi="Verdana"/>
          <w:i/>
          <w:sz w:val="16"/>
          <w:szCs w:val="16"/>
          <w:lang w:val="es-CR"/>
        </w:rPr>
        <w:t xml:space="preserve">Caso Tenorio Roca </w:t>
      </w:r>
      <w:r w:rsidRPr="008E2F04">
        <w:rPr>
          <w:rFonts w:ascii="Verdana" w:hAnsi="Verdana"/>
          <w:bCs/>
          <w:i/>
          <w:sz w:val="16"/>
          <w:szCs w:val="16"/>
          <w:lang w:val="es-ES_tradnl"/>
        </w:rPr>
        <w:t>y otros Vs. Perú. Excepciones Preliminares, Fondo, Reparaciones y Costas</w:t>
      </w:r>
      <w:r w:rsidRPr="007748CF">
        <w:rPr>
          <w:rFonts w:ascii="Verdana" w:hAnsi="Verdana"/>
          <w:bCs/>
          <w:sz w:val="16"/>
          <w:szCs w:val="16"/>
          <w:lang w:val="es-ES_tradnl"/>
        </w:rPr>
        <w:t>. Sent</w:t>
      </w:r>
      <w:r w:rsidRPr="00BE3ED5">
        <w:rPr>
          <w:rFonts w:ascii="Verdana" w:hAnsi="Verdana"/>
          <w:bCs/>
          <w:sz w:val="16"/>
          <w:szCs w:val="16"/>
          <w:lang w:val="es-ES_tradnl"/>
        </w:rPr>
        <w:t xml:space="preserve">encia de 22 de junio de 2016. Serie C No. 314, párr. 306, y </w:t>
      </w:r>
      <w:r w:rsidRPr="008D0846">
        <w:rPr>
          <w:rStyle w:val="Textoennegrita"/>
          <w:rFonts w:ascii="Verdana" w:hAnsi="Verdana"/>
          <w:b w:val="0"/>
          <w:i/>
          <w:color w:val="000000"/>
          <w:sz w:val="16"/>
          <w:szCs w:val="16"/>
          <w:shd w:val="clear" w:color="auto" w:fill="FFFFFF"/>
        </w:rPr>
        <w:t>Caso Terrones Silva y otros Vs. Perú</w:t>
      </w:r>
      <w:r w:rsidRPr="008D0846">
        <w:rPr>
          <w:rStyle w:val="Textoennegrita"/>
          <w:rFonts w:ascii="Verdana" w:hAnsi="Verdana"/>
          <w:b w:val="0"/>
          <w:color w:val="000000"/>
          <w:sz w:val="16"/>
          <w:szCs w:val="16"/>
          <w:shd w:val="clear" w:color="auto" w:fill="FFFFFF"/>
        </w:rPr>
        <w:t xml:space="preserve">, </w:t>
      </w:r>
      <w:r w:rsidRPr="008D0846">
        <w:rPr>
          <w:rStyle w:val="Textoennegrita"/>
          <w:rFonts w:ascii="Verdana" w:hAnsi="Verdana"/>
          <w:b w:val="0"/>
          <w:i/>
          <w:color w:val="000000"/>
          <w:sz w:val="16"/>
          <w:szCs w:val="16"/>
          <w:shd w:val="clear" w:color="auto" w:fill="FFFFFF"/>
        </w:rPr>
        <w:t xml:space="preserve">supra, </w:t>
      </w:r>
      <w:r w:rsidRPr="008D0846">
        <w:rPr>
          <w:rStyle w:val="Textoennegrita"/>
          <w:rFonts w:ascii="Verdana" w:hAnsi="Verdana"/>
          <w:b w:val="0"/>
          <w:color w:val="000000"/>
          <w:sz w:val="16"/>
          <w:szCs w:val="16"/>
          <w:shd w:val="clear" w:color="auto" w:fill="FFFFFF"/>
        </w:rPr>
        <w:t>párr. 262</w:t>
      </w:r>
      <w:r w:rsidRPr="00E130F3">
        <w:rPr>
          <w:rFonts w:ascii="Verdana" w:hAnsi="Verdana"/>
          <w:bCs/>
          <w:sz w:val="16"/>
          <w:szCs w:val="16"/>
          <w:lang w:val="es-ES_tradnl"/>
        </w:rPr>
        <w:t>.</w:t>
      </w:r>
    </w:p>
  </w:footnote>
  <w:footnote w:id="562">
    <w:p w14:paraId="7F51625E" w14:textId="34CB7F8A" w:rsidR="00146958" w:rsidRPr="00DB378B" w:rsidRDefault="00146958">
      <w:pPr>
        <w:pStyle w:val="Textonotapie"/>
        <w:jc w:val="both"/>
        <w:rPr>
          <w:rFonts w:ascii="Verdana" w:hAnsi="Verdana"/>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CD5C54">
        <w:rPr>
          <w:rFonts w:ascii="Verdana" w:hAnsi="Verdana"/>
          <w:i/>
          <w:sz w:val="16"/>
          <w:szCs w:val="16"/>
        </w:rPr>
        <w:t>Cfr.</w:t>
      </w:r>
      <w:r w:rsidRPr="008E2F04">
        <w:rPr>
          <w:rFonts w:ascii="Verdana" w:hAnsi="Verdana"/>
          <w:sz w:val="16"/>
          <w:szCs w:val="16"/>
        </w:rPr>
        <w:t xml:space="preserve"> Datos del Banco Mundial sobre esperanza de vida al nacer en México en 1978 </w:t>
      </w:r>
      <w:hyperlink r:id="rId44" w:history="1">
        <w:r w:rsidRPr="00E130F3">
          <w:rPr>
            <w:rStyle w:val="Hipervnculo"/>
            <w:rFonts w:ascii="Verdana" w:hAnsi="Verdana"/>
            <w:sz w:val="16"/>
            <w:szCs w:val="16"/>
          </w:rPr>
          <w:t>https://datos.bancomundial.org/indicator/SP.DYN.LE00.FE.IN?end=2016&amp;locations=MX&amp;name_desc=false&amp;start=1978&amp;view=chart</w:t>
        </w:r>
      </w:hyperlink>
      <w:r w:rsidRPr="00DB378B">
        <w:rPr>
          <w:rFonts w:ascii="Verdana" w:hAnsi="Verdana"/>
        </w:rPr>
        <w:t xml:space="preserve"> </w:t>
      </w:r>
    </w:p>
  </w:footnote>
  <w:footnote w:id="563">
    <w:p w14:paraId="7037B824" w14:textId="29149C58" w:rsidR="00146958" w:rsidRPr="008E2F04" w:rsidRDefault="00146958">
      <w:pPr>
        <w:pStyle w:val="Textonotapie"/>
        <w:jc w:val="both"/>
        <w:rPr>
          <w:rFonts w:ascii="Verdana" w:hAnsi="Verdana"/>
          <w:sz w:val="16"/>
          <w:szCs w:val="16"/>
          <w:lang w:val="es-CR"/>
        </w:rPr>
      </w:pPr>
      <w:r w:rsidRPr="008E2F04">
        <w:rPr>
          <w:rStyle w:val="Refdenotaalpie"/>
          <w:rFonts w:ascii="Verdana" w:hAnsi="Verdana"/>
          <w:sz w:val="16"/>
          <w:szCs w:val="16"/>
        </w:rPr>
        <w:footnoteRef/>
      </w:r>
      <w:r w:rsidRPr="008E2F04">
        <w:rPr>
          <w:rFonts w:ascii="Verdana" w:hAnsi="Verdana"/>
          <w:sz w:val="16"/>
          <w:szCs w:val="16"/>
          <w:lang w:val="es-CR"/>
        </w:rPr>
        <w:t xml:space="preserve"> </w:t>
      </w:r>
      <w:r w:rsidRPr="00500576">
        <w:rPr>
          <w:rFonts w:ascii="Verdana" w:hAnsi="Verdana"/>
          <w:sz w:val="16"/>
          <w:szCs w:val="16"/>
          <w:lang w:val="es-CR"/>
        </w:rPr>
        <w:tab/>
        <w:t xml:space="preserve">Lo que incluye el proceso para la residencia legal permanente en los Estados Unidos de América para </w:t>
      </w:r>
      <w:r>
        <w:rPr>
          <w:rFonts w:ascii="Verdana" w:hAnsi="Verdana"/>
          <w:sz w:val="16"/>
          <w:szCs w:val="16"/>
          <w:lang w:val="es-CR"/>
        </w:rPr>
        <w:t>M.P.A.E.</w:t>
      </w:r>
      <w:r w:rsidRPr="00500576">
        <w:rPr>
          <w:rFonts w:ascii="Verdana" w:hAnsi="Verdana"/>
          <w:sz w:val="16"/>
          <w:szCs w:val="16"/>
          <w:lang w:val="es-CR"/>
        </w:rPr>
        <w:t xml:space="preserve">, </w:t>
      </w:r>
      <w:r>
        <w:rPr>
          <w:rFonts w:ascii="Verdana" w:hAnsi="Verdana"/>
          <w:sz w:val="16"/>
          <w:szCs w:val="16"/>
          <w:lang w:val="es-CR"/>
        </w:rPr>
        <w:t>N.S.A.E. y D.A.E.</w:t>
      </w:r>
      <w:r w:rsidRPr="00500576">
        <w:rPr>
          <w:rFonts w:ascii="Verdana" w:hAnsi="Verdana"/>
          <w:sz w:val="16"/>
          <w:szCs w:val="16"/>
          <w:lang w:val="es-CR"/>
        </w:rPr>
        <w:t xml:space="preserve">, por concepto de US$1,500 y los gastos derivados del cruce en el Puente Internacional para la totalidad de la familia Alvarado Espinoza por </w:t>
      </w:r>
      <w:r>
        <w:rPr>
          <w:rFonts w:ascii="Verdana" w:hAnsi="Verdana"/>
          <w:sz w:val="16"/>
          <w:szCs w:val="16"/>
          <w:lang w:val="es-CR"/>
        </w:rPr>
        <w:t>un monto</w:t>
      </w:r>
      <w:r w:rsidRPr="00500576">
        <w:rPr>
          <w:rFonts w:ascii="Verdana" w:hAnsi="Verdana"/>
          <w:sz w:val="16"/>
          <w:szCs w:val="16"/>
          <w:lang w:val="es-CR"/>
        </w:rPr>
        <w:t xml:space="preserve"> de US$2,500, lo que da un total de US$4,000 </w:t>
      </w:r>
      <w:r w:rsidRPr="008D0846">
        <w:rPr>
          <w:rFonts w:ascii="Verdana" w:hAnsi="Verdana"/>
          <w:sz w:val="16"/>
          <w:szCs w:val="16"/>
          <w:lang w:val="es-CR"/>
        </w:rPr>
        <w:t>(expediente de fondo, ff. 217 y 2059).</w:t>
      </w:r>
    </w:p>
  </w:footnote>
  <w:footnote w:id="564">
    <w:p w14:paraId="24A030FF" w14:textId="5DCBD233" w:rsidR="00146958" w:rsidRPr="008D0846"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2C462C">
        <w:rPr>
          <w:rFonts w:ascii="Verdana" w:hAnsi="Verdana"/>
          <w:sz w:val="16"/>
          <w:szCs w:val="16"/>
          <w:lang w:val="es-CR"/>
        </w:rPr>
        <w:tab/>
        <w:t>Lo que incluye el caso sobre asilo político para María de Jesús Alvarado Espinoza, Rigoberto Ambriz Ma</w:t>
      </w:r>
      <w:r>
        <w:rPr>
          <w:rFonts w:ascii="Verdana" w:hAnsi="Verdana"/>
          <w:sz w:val="16"/>
          <w:szCs w:val="16"/>
          <w:lang w:val="es-CR"/>
        </w:rPr>
        <w:t>r</w:t>
      </w:r>
      <w:r w:rsidRPr="002C462C">
        <w:rPr>
          <w:rFonts w:ascii="Verdana" w:hAnsi="Verdana"/>
          <w:sz w:val="16"/>
          <w:szCs w:val="16"/>
          <w:lang w:val="es-CR"/>
        </w:rPr>
        <w:t xml:space="preserve">rufo y </w:t>
      </w:r>
      <w:r>
        <w:rPr>
          <w:rFonts w:ascii="Verdana" w:hAnsi="Verdana"/>
          <w:sz w:val="16"/>
          <w:szCs w:val="16"/>
          <w:lang w:val="es-CR"/>
        </w:rPr>
        <w:t>lo</w:t>
      </w:r>
      <w:r w:rsidRPr="002C462C">
        <w:rPr>
          <w:rFonts w:ascii="Verdana" w:hAnsi="Verdana"/>
          <w:sz w:val="16"/>
          <w:szCs w:val="16"/>
          <w:lang w:val="es-CR"/>
        </w:rPr>
        <w:t xml:space="preserve">s cuatro hijos </w:t>
      </w:r>
      <w:r>
        <w:rPr>
          <w:rFonts w:ascii="Verdana" w:hAnsi="Verdana"/>
          <w:sz w:val="16"/>
          <w:szCs w:val="16"/>
          <w:lang w:val="es-CR"/>
        </w:rPr>
        <w:t xml:space="preserve">de ambos, </w:t>
      </w:r>
      <w:r w:rsidRPr="002C462C">
        <w:rPr>
          <w:rFonts w:ascii="Verdana" w:hAnsi="Verdana"/>
          <w:sz w:val="16"/>
          <w:szCs w:val="16"/>
          <w:lang w:val="es-CR"/>
        </w:rPr>
        <w:t xml:space="preserve">por concepto de </w:t>
      </w:r>
      <w:r>
        <w:rPr>
          <w:rFonts w:ascii="Verdana" w:hAnsi="Verdana"/>
          <w:sz w:val="16"/>
          <w:szCs w:val="16"/>
          <w:lang w:val="es-CR"/>
        </w:rPr>
        <w:t>US</w:t>
      </w:r>
      <w:r w:rsidRPr="002C462C">
        <w:rPr>
          <w:rFonts w:ascii="Verdana" w:hAnsi="Verdana"/>
          <w:sz w:val="16"/>
          <w:szCs w:val="16"/>
          <w:lang w:val="es-CR"/>
        </w:rPr>
        <w:t>$10,000</w:t>
      </w:r>
      <w:r>
        <w:rPr>
          <w:rFonts w:ascii="Verdana" w:hAnsi="Verdana"/>
          <w:sz w:val="16"/>
          <w:szCs w:val="16"/>
          <w:lang w:val="es-CR"/>
        </w:rPr>
        <w:t>,</w:t>
      </w:r>
      <w:r w:rsidRPr="002C462C">
        <w:rPr>
          <w:rFonts w:ascii="Verdana" w:hAnsi="Verdana"/>
          <w:sz w:val="16"/>
          <w:szCs w:val="16"/>
          <w:lang w:val="es-CR"/>
        </w:rPr>
        <w:t xml:space="preserve"> y el caso sobre asilo político para Ascensión Alvarado Fabela y </w:t>
      </w:r>
      <w:r>
        <w:rPr>
          <w:rFonts w:ascii="Verdana" w:hAnsi="Verdana"/>
          <w:sz w:val="16"/>
          <w:szCs w:val="16"/>
          <w:lang w:val="es-CR"/>
        </w:rPr>
        <w:t>M</w:t>
      </w:r>
      <w:r w:rsidRPr="002C462C">
        <w:rPr>
          <w:rFonts w:ascii="Verdana" w:hAnsi="Verdana"/>
          <w:sz w:val="16"/>
          <w:szCs w:val="16"/>
          <w:lang w:val="es-CR"/>
        </w:rPr>
        <w:t xml:space="preserve">aría de Jesús Espinoza Peinado </w:t>
      </w:r>
      <w:r>
        <w:rPr>
          <w:rFonts w:ascii="Verdana" w:hAnsi="Verdana"/>
          <w:sz w:val="16"/>
          <w:szCs w:val="16"/>
          <w:lang w:val="es-CR"/>
        </w:rPr>
        <w:t>por</w:t>
      </w:r>
      <w:r w:rsidRPr="002C462C">
        <w:rPr>
          <w:rFonts w:ascii="Verdana" w:hAnsi="Verdana"/>
          <w:sz w:val="16"/>
          <w:szCs w:val="16"/>
          <w:lang w:val="es-CR"/>
        </w:rPr>
        <w:t xml:space="preserve"> concepto de </w:t>
      </w:r>
      <w:r>
        <w:rPr>
          <w:rFonts w:ascii="Verdana" w:hAnsi="Verdana"/>
          <w:sz w:val="16"/>
          <w:szCs w:val="16"/>
          <w:lang w:val="es-CR"/>
        </w:rPr>
        <w:t>US</w:t>
      </w:r>
      <w:r w:rsidRPr="002C462C">
        <w:rPr>
          <w:rFonts w:ascii="Verdana" w:hAnsi="Verdana"/>
          <w:sz w:val="16"/>
          <w:szCs w:val="16"/>
          <w:lang w:val="es-CR"/>
        </w:rPr>
        <w:t>$7,500</w:t>
      </w:r>
      <w:r>
        <w:rPr>
          <w:rFonts w:ascii="Verdana" w:hAnsi="Verdana"/>
          <w:sz w:val="16"/>
          <w:szCs w:val="16"/>
          <w:lang w:val="es-CR"/>
        </w:rPr>
        <w:t>,</w:t>
      </w:r>
      <w:r w:rsidRPr="002C462C">
        <w:rPr>
          <w:rFonts w:ascii="Verdana" w:hAnsi="Verdana"/>
          <w:sz w:val="16"/>
          <w:szCs w:val="16"/>
          <w:lang w:val="es-CR"/>
        </w:rPr>
        <w:t xml:space="preserve"> por un total de </w:t>
      </w:r>
      <w:r>
        <w:rPr>
          <w:rFonts w:ascii="Verdana" w:hAnsi="Verdana"/>
          <w:sz w:val="16"/>
          <w:szCs w:val="16"/>
          <w:lang w:val="es-CR"/>
        </w:rPr>
        <w:t>US</w:t>
      </w:r>
      <w:r w:rsidRPr="002C462C">
        <w:rPr>
          <w:rFonts w:ascii="Verdana" w:hAnsi="Verdana"/>
          <w:sz w:val="16"/>
          <w:szCs w:val="16"/>
          <w:lang w:val="es-CR"/>
        </w:rPr>
        <w:t xml:space="preserve">$17,500 </w:t>
      </w:r>
      <w:r w:rsidRPr="008D0846">
        <w:rPr>
          <w:rFonts w:ascii="Verdana" w:hAnsi="Verdana"/>
          <w:sz w:val="16"/>
          <w:szCs w:val="16"/>
          <w:lang w:val="es-CR"/>
        </w:rPr>
        <w:t>(expediente de fondo, ff. 217 y 2059).</w:t>
      </w:r>
    </w:p>
  </w:footnote>
  <w:footnote w:id="565">
    <w:p w14:paraId="30845A1D" w14:textId="12C18E44"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rPr>
        <w:t xml:space="preserve"> </w:t>
      </w:r>
      <w:r w:rsidRPr="002C462C">
        <w:rPr>
          <w:rFonts w:ascii="Verdana" w:hAnsi="Verdana"/>
          <w:sz w:val="16"/>
          <w:szCs w:val="16"/>
          <w:lang w:val="es-CR"/>
        </w:rPr>
        <w:tab/>
      </w:r>
      <w:r w:rsidRPr="00CD5C54">
        <w:rPr>
          <w:rFonts w:ascii="Verdana" w:hAnsi="Verdana"/>
          <w:i/>
          <w:sz w:val="16"/>
          <w:szCs w:val="16"/>
        </w:rPr>
        <w:t>Cfr.</w:t>
      </w:r>
      <w:r w:rsidRPr="00432ABC">
        <w:rPr>
          <w:rFonts w:ascii="Verdana" w:hAnsi="Verdana"/>
          <w:sz w:val="16"/>
          <w:szCs w:val="16"/>
        </w:rPr>
        <w:t xml:space="preserve"> </w:t>
      </w:r>
      <w:r w:rsidRPr="007748CF">
        <w:rPr>
          <w:rFonts w:ascii="Verdana" w:hAnsi="Verdana"/>
          <w:sz w:val="16"/>
          <w:szCs w:val="16"/>
        </w:rPr>
        <w:t xml:space="preserve">Declaración pericial de Carlos Martín Beristain rendida ante fedatario público de 16 de abril de 2018 (expediente de prueba, </w:t>
      </w:r>
      <w:r w:rsidRPr="00453199">
        <w:rPr>
          <w:rFonts w:ascii="Verdana" w:hAnsi="Verdana"/>
          <w:i/>
          <w:sz w:val="16"/>
          <w:szCs w:val="16"/>
        </w:rPr>
        <w:t>Affidávits</w:t>
      </w:r>
      <w:r w:rsidRPr="007748CF">
        <w:rPr>
          <w:rFonts w:ascii="Verdana" w:hAnsi="Verdana"/>
          <w:sz w:val="16"/>
          <w:szCs w:val="16"/>
        </w:rPr>
        <w:t xml:space="preserve">, ff. </w:t>
      </w:r>
      <w:r>
        <w:rPr>
          <w:rFonts w:ascii="Verdana" w:hAnsi="Verdana"/>
          <w:sz w:val="16"/>
          <w:szCs w:val="16"/>
        </w:rPr>
        <w:t xml:space="preserve">30989 a </w:t>
      </w:r>
      <w:r w:rsidRPr="00432ABC">
        <w:rPr>
          <w:rFonts w:ascii="Verdana" w:hAnsi="Verdana"/>
          <w:sz w:val="16"/>
          <w:szCs w:val="16"/>
        </w:rPr>
        <w:t>31051</w:t>
      </w:r>
      <w:r>
        <w:rPr>
          <w:rFonts w:ascii="Verdana" w:hAnsi="Verdana"/>
          <w:sz w:val="16"/>
          <w:szCs w:val="16"/>
        </w:rPr>
        <w:t>).</w:t>
      </w:r>
    </w:p>
  </w:footnote>
  <w:footnote w:id="566">
    <w:p w14:paraId="70E9B6A4" w14:textId="0999B8B2" w:rsidR="00146958" w:rsidRPr="00960372" w:rsidRDefault="00146958">
      <w:pPr>
        <w:pStyle w:val="Textonotapie"/>
        <w:jc w:val="both"/>
        <w:rPr>
          <w:rFonts w:ascii="Verdana" w:eastAsiaTheme="minorHAnsi" w:hAnsi="Verdana" w:cs="Verdana-Italic"/>
          <w:i/>
          <w:iCs/>
          <w:sz w:val="16"/>
          <w:szCs w:val="16"/>
          <w:lang w:val="es-CR"/>
        </w:rPr>
      </w:pPr>
      <w:r w:rsidRPr="00D13EC8">
        <w:rPr>
          <w:rStyle w:val="Refdenotaalpie"/>
          <w:rFonts w:ascii="Verdana" w:hAnsi="Verdana"/>
          <w:sz w:val="16"/>
          <w:szCs w:val="16"/>
        </w:rPr>
        <w:footnoteRef/>
      </w:r>
      <w:r w:rsidRPr="00D13EC8">
        <w:rPr>
          <w:rFonts w:ascii="Verdana" w:hAnsi="Verdana"/>
          <w:sz w:val="16"/>
          <w:szCs w:val="16"/>
          <w:lang w:val="es-CR"/>
        </w:rPr>
        <w:t xml:space="preserve"> </w:t>
      </w:r>
      <w:r w:rsidRPr="00D13EC8">
        <w:rPr>
          <w:rFonts w:ascii="Verdana" w:hAnsi="Verdana"/>
          <w:sz w:val="16"/>
          <w:szCs w:val="16"/>
          <w:lang w:val="es-CR"/>
        </w:rPr>
        <w:tab/>
      </w:r>
      <w:r w:rsidRPr="00CD5C54">
        <w:rPr>
          <w:rFonts w:ascii="Verdana" w:eastAsiaTheme="minorHAnsi" w:hAnsi="Verdana" w:cs="Verdana-Italic"/>
          <w:i/>
          <w:iCs/>
          <w:sz w:val="16"/>
          <w:szCs w:val="16"/>
          <w:lang w:val="es-CR"/>
        </w:rPr>
        <w:t>Cfr.</w:t>
      </w:r>
      <w:r w:rsidRPr="00D13EC8">
        <w:rPr>
          <w:rFonts w:ascii="Verdana" w:eastAsiaTheme="minorHAnsi" w:hAnsi="Verdana" w:cs="Verdana-Italic"/>
          <w:i/>
          <w:iCs/>
          <w:sz w:val="16"/>
          <w:szCs w:val="16"/>
          <w:lang w:val="es-CR"/>
        </w:rPr>
        <w:t xml:space="preserve"> </w:t>
      </w:r>
      <w:r w:rsidRPr="008D0846">
        <w:rPr>
          <w:rFonts w:ascii="Verdana" w:eastAsiaTheme="minorHAnsi" w:hAnsi="Verdana" w:cs="Verdana-Italic"/>
          <w:bCs/>
          <w:i/>
          <w:iCs/>
          <w:sz w:val="16"/>
          <w:szCs w:val="16"/>
        </w:rPr>
        <w:t xml:space="preserve">Caso Bámaca Velásquez Vs. Guatemala. Reparaciones y Costas. </w:t>
      </w:r>
      <w:r w:rsidRPr="008D0846">
        <w:rPr>
          <w:rFonts w:ascii="Verdana" w:eastAsiaTheme="minorHAnsi" w:hAnsi="Verdana" w:cs="Verdana-Italic"/>
          <w:bCs/>
          <w:iCs/>
          <w:sz w:val="16"/>
          <w:szCs w:val="16"/>
        </w:rPr>
        <w:t>Sentencia de 22 de febrero de 2002. Serie C No. 91</w:t>
      </w:r>
      <w:r w:rsidRPr="008D0846">
        <w:rPr>
          <w:rFonts w:ascii="Verdana" w:eastAsiaTheme="minorHAnsi" w:hAnsi="Verdana" w:cs="Verdana"/>
          <w:sz w:val="16"/>
          <w:szCs w:val="16"/>
          <w:lang w:val="es-CR"/>
        </w:rPr>
        <w:t>,</w:t>
      </w:r>
      <w:r w:rsidRPr="00D13EC8">
        <w:rPr>
          <w:rFonts w:ascii="Verdana" w:eastAsiaTheme="minorHAnsi" w:hAnsi="Verdana" w:cs="Verdana"/>
          <w:sz w:val="16"/>
          <w:szCs w:val="16"/>
          <w:lang w:val="es-CR"/>
        </w:rPr>
        <w:t xml:space="preserve"> párr. 43, </w:t>
      </w:r>
      <w:r w:rsidRPr="00D13EC8">
        <w:rPr>
          <w:rFonts w:ascii="Verdana" w:eastAsiaTheme="minorHAnsi" w:hAnsi="Verdana" w:cs="Verdana-Italic"/>
          <w:i/>
          <w:iCs/>
          <w:sz w:val="16"/>
          <w:szCs w:val="16"/>
          <w:lang w:val="es-CR"/>
        </w:rPr>
        <w:t xml:space="preserve">y Caso Pacheco León y otros Vs. Honduras. Fondo, Reparaciones y Costas. </w:t>
      </w:r>
      <w:r w:rsidRPr="00D13EC8">
        <w:rPr>
          <w:rFonts w:ascii="Verdana" w:eastAsiaTheme="minorHAnsi" w:hAnsi="Verdana" w:cs="Verdana"/>
          <w:sz w:val="16"/>
          <w:szCs w:val="16"/>
          <w:lang w:val="es-CR"/>
        </w:rPr>
        <w:t>Sentencia de 15 de noviembre de 2017.Serie No. 342, párr. 217.</w:t>
      </w:r>
    </w:p>
  </w:footnote>
  <w:footnote w:id="567">
    <w:p w14:paraId="5110A62A" w14:textId="221AACDE" w:rsidR="00146958" w:rsidRPr="00432ABC" w:rsidRDefault="00146958">
      <w:pPr>
        <w:pStyle w:val="Textonotapie"/>
        <w:tabs>
          <w:tab w:val="left" w:pos="426"/>
        </w:tabs>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2C462C">
        <w:rPr>
          <w:rFonts w:ascii="Verdana" w:hAnsi="Verdana"/>
          <w:sz w:val="16"/>
          <w:szCs w:val="16"/>
          <w:lang w:val="es-CR"/>
        </w:rPr>
        <w:tab/>
      </w:r>
      <w:r w:rsidRPr="00CD5C54">
        <w:rPr>
          <w:rFonts w:ascii="Verdana" w:hAnsi="Verdana"/>
          <w:i/>
          <w:sz w:val="16"/>
          <w:szCs w:val="16"/>
          <w:lang w:val="es-CR"/>
        </w:rPr>
        <w:t>Cfr.</w:t>
      </w:r>
      <w:r w:rsidRPr="002C462C">
        <w:rPr>
          <w:rFonts w:ascii="Verdana" w:hAnsi="Verdana"/>
          <w:i/>
          <w:sz w:val="16"/>
          <w:szCs w:val="16"/>
          <w:lang w:val="es-CR"/>
        </w:rPr>
        <w:t xml:space="preserve"> Caso Velásquez Rodríguez Vs. Honduras. Reparaciones y Costas.</w:t>
      </w:r>
      <w:r w:rsidRPr="00432ABC">
        <w:rPr>
          <w:rFonts w:ascii="Verdana" w:hAnsi="Verdana"/>
          <w:sz w:val="16"/>
          <w:szCs w:val="16"/>
          <w:lang w:val="es-CR"/>
        </w:rPr>
        <w:t xml:space="preserve"> Sentencia de 21 de julio de 1989. Serie C No. 7, párr</w:t>
      </w:r>
      <w:r>
        <w:rPr>
          <w:rFonts w:ascii="Verdana" w:hAnsi="Verdana"/>
          <w:sz w:val="16"/>
          <w:szCs w:val="16"/>
          <w:lang w:val="es-CR"/>
        </w:rPr>
        <w:t>s</w:t>
      </w:r>
      <w:r w:rsidRPr="00432ABC">
        <w:rPr>
          <w:rFonts w:ascii="Verdana" w:hAnsi="Verdana"/>
          <w:sz w:val="16"/>
          <w:szCs w:val="16"/>
          <w:lang w:val="es-CR"/>
        </w:rPr>
        <w:t xml:space="preserve">. 46 </w:t>
      </w:r>
      <w:r>
        <w:rPr>
          <w:rFonts w:ascii="Verdana" w:hAnsi="Verdana"/>
          <w:sz w:val="16"/>
          <w:szCs w:val="16"/>
          <w:lang w:val="es-CR"/>
        </w:rPr>
        <w:t>a</w:t>
      </w:r>
      <w:r w:rsidRPr="00432ABC">
        <w:rPr>
          <w:rFonts w:ascii="Verdana" w:hAnsi="Verdana"/>
          <w:sz w:val="16"/>
          <w:szCs w:val="16"/>
          <w:lang w:val="es-CR"/>
        </w:rPr>
        <w:t xml:space="preserve"> 47, y </w:t>
      </w:r>
      <w:r w:rsidRPr="00432ABC">
        <w:rPr>
          <w:rFonts w:ascii="Verdana" w:hAnsi="Verdana"/>
          <w:i/>
          <w:sz w:val="16"/>
          <w:szCs w:val="16"/>
          <w:lang w:val="es-CR"/>
        </w:rPr>
        <w:t xml:space="preserve">Caso Munárriz Escobar y otros Vs. Perú. Excepción Preliminar, Fondo, Reparaciones y Costas. </w:t>
      </w:r>
      <w:r w:rsidRPr="00432ABC">
        <w:rPr>
          <w:rFonts w:ascii="Verdana" w:hAnsi="Verdana"/>
          <w:sz w:val="16"/>
          <w:szCs w:val="16"/>
          <w:lang w:val="es-CR"/>
        </w:rPr>
        <w:t xml:space="preserve">Sentencia de 20 de agosto de 2018. Serie C No. 355, párr. 145. </w:t>
      </w:r>
    </w:p>
  </w:footnote>
  <w:footnote w:id="568">
    <w:p w14:paraId="7A228D49" w14:textId="1E5B896E" w:rsidR="00146958" w:rsidRPr="008D0846" w:rsidRDefault="00146958" w:rsidP="008D0846">
      <w:pPr>
        <w:pStyle w:val="Textonotapie"/>
        <w:jc w:val="both"/>
        <w:rPr>
          <w:rFonts w:ascii="Verdana" w:hAnsi="Verdana"/>
          <w:sz w:val="16"/>
          <w:szCs w:val="16"/>
          <w:highlight w:val="yellow"/>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 xml:space="preserve">Para el cálculo de la indemnización por lucro cesante en favor de Nitza Paola Alvarado Espinoza se tomó en consideración: </w:t>
      </w:r>
      <w:r w:rsidRPr="008B075D">
        <w:rPr>
          <w:rFonts w:ascii="Verdana" w:hAnsi="Verdana"/>
          <w:sz w:val="16"/>
          <w:szCs w:val="16"/>
        </w:rPr>
        <w:t xml:space="preserve">i) la pensión mensual por incapacidad permanente recibida por la víctima al momento de los hechos, de MX$2,500 (dos mil quinientos pesos). </w:t>
      </w:r>
      <w:r w:rsidRPr="00CD5C54">
        <w:rPr>
          <w:rFonts w:ascii="Verdana" w:hAnsi="Verdana"/>
          <w:i/>
          <w:sz w:val="16"/>
          <w:szCs w:val="16"/>
        </w:rPr>
        <w:t>Cfr.</w:t>
      </w:r>
      <w:r w:rsidRPr="008B075D">
        <w:rPr>
          <w:rFonts w:ascii="Verdana" w:hAnsi="Verdana"/>
          <w:sz w:val="16"/>
          <w:szCs w:val="16"/>
        </w:rPr>
        <w:t xml:space="preserve"> Dictamen de invalidez emitido por el Instituto Mexicano del Seguro Social </w:t>
      </w:r>
      <w:r w:rsidRPr="00784F98">
        <w:rPr>
          <w:rFonts w:ascii="Verdana" w:hAnsi="Verdana"/>
          <w:sz w:val="16"/>
          <w:szCs w:val="16"/>
        </w:rPr>
        <w:t>(</w:t>
      </w:r>
      <w:r w:rsidRPr="007C7772">
        <w:rPr>
          <w:rFonts w:ascii="Verdana" w:hAnsi="Verdana"/>
          <w:sz w:val="16"/>
          <w:szCs w:val="16"/>
        </w:rPr>
        <w:t>expediente de prueba</w:t>
      </w:r>
      <w:r w:rsidRPr="002C27AA">
        <w:rPr>
          <w:rFonts w:ascii="Verdana" w:hAnsi="Verdana"/>
          <w:sz w:val="16"/>
          <w:szCs w:val="16"/>
        </w:rPr>
        <w:t>, ff</w:t>
      </w:r>
      <w:r w:rsidRPr="00F53476">
        <w:rPr>
          <w:rFonts w:ascii="Verdana" w:hAnsi="Verdana"/>
          <w:sz w:val="16"/>
          <w:szCs w:val="16"/>
        </w:rPr>
        <w:t xml:space="preserve">. </w:t>
      </w:r>
      <w:r w:rsidRPr="00BD721F">
        <w:rPr>
          <w:rFonts w:ascii="Verdana" w:hAnsi="Verdana"/>
          <w:sz w:val="16"/>
          <w:szCs w:val="16"/>
        </w:rPr>
        <w:t>89 a 90</w:t>
      </w:r>
      <w:r w:rsidRPr="000565DD">
        <w:rPr>
          <w:rFonts w:ascii="Verdana" w:hAnsi="Verdana"/>
          <w:sz w:val="16"/>
          <w:szCs w:val="16"/>
        </w:rPr>
        <w:t>)</w:t>
      </w:r>
      <w:r w:rsidRPr="00C66632">
        <w:rPr>
          <w:rFonts w:ascii="Verdana" w:hAnsi="Verdana"/>
          <w:sz w:val="16"/>
          <w:szCs w:val="16"/>
        </w:rPr>
        <w:t xml:space="preserve">; </w:t>
      </w:r>
      <w:r w:rsidRPr="005B1C1B">
        <w:rPr>
          <w:rFonts w:ascii="Verdana" w:hAnsi="Verdana"/>
          <w:sz w:val="16"/>
          <w:szCs w:val="16"/>
        </w:rPr>
        <w:t xml:space="preserve">ii) </w:t>
      </w:r>
      <w:r w:rsidRPr="000007E3">
        <w:rPr>
          <w:rFonts w:ascii="Verdana" w:hAnsi="Verdana"/>
          <w:sz w:val="16"/>
          <w:szCs w:val="16"/>
        </w:rPr>
        <w:t>la anterior cantidad, multiplicada por 12 meses, para el cálculo anual por concepto de la referida pensión; iii) la esperanza de vida prevista al momento de los hechos para una mujer nacida en 1978, y iv) la diferencia resultante entre dicha esperanza de vida y la edad de la víctima al momento de los hechos (párr. 72).</w:t>
      </w:r>
    </w:p>
  </w:footnote>
  <w:footnote w:id="569">
    <w:p w14:paraId="445A0859" w14:textId="3498D18D"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8D0846">
        <w:rPr>
          <w:rFonts w:ascii="Verdana" w:hAnsi="Verdana"/>
          <w:sz w:val="16"/>
          <w:szCs w:val="16"/>
          <w:lang w:val="es-CR"/>
        </w:rPr>
        <w:t xml:space="preserve">Con relación al lucro cesante correspondiente a José Ángel Alvarado Herrera se consideró: </w:t>
      </w:r>
      <w:r w:rsidRPr="008D0846">
        <w:rPr>
          <w:rFonts w:ascii="Verdana" w:hAnsi="Verdana"/>
          <w:sz w:val="16"/>
          <w:szCs w:val="16"/>
        </w:rPr>
        <w:t>i) el salario mínimo diario vigente al momento de los hechos; ii) el número de días laborables anuales para la víctima; iii) la esperanza de vida al momento de los hechos para un hombre nacido en 1978, y iv) la diferencia resultante entre dicha esperanza de vida y la edad de la víctima al momento de los hechos</w:t>
      </w:r>
      <w:r w:rsidRPr="008B075D">
        <w:rPr>
          <w:rFonts w:ascii="Verdana" w:hAnsi="Verdana"/>
          <w:sz w:val="16"/>
          <w:szCs w:val="16"/>
        </w:rPr>
        <w:t xml:space="preserve"> (párr. 74).</w:t>
      </w:r>
    </w:p>
  </w:footnote>
  <w:footnote w:id="570">
    <w:p w14:paraId="2DFFE582" w14:textId="6857159D"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B075D">
        <w:rPr>
          <w:rFonts w:ascii="Verdana" w:hAnsi="Verdana"/>
          <w:sz w:val="16"/>
          <w:szCs w:val="16"/>
        </w:rPr>
        <w:tab/>
      </w:r>
      <w:r w:rsidRPr="008D0846">
        <w:rPr>
          <w:rFonts w:ascii="Verdana" w:hAnsi="Verdana"/>
          <w:sz w:val="16"/>
          <w:szCs w:val="16"/>
        </w:rPr>
        <w:t>El cálculo del lucro cesante correspondiente a Rocío Irene Alvarado</w:t>
      </w:r>
      <w:r w:rsidRPr="008B075D">
        <w:rPr>
          <w:rFonts w:ascii="Verdana" w:hAnsi="Verdana"/>
          <w:sz w:val="16"/>
          <w:szCs w:val="16"/>
        </w:rPr>
        <w:t xml:space="preserve"> Reyes tomó en consideración: i) el salario mínimo diario </w:t>
      </w:r>
      <w:r w:rsidRPr="00784F98">
        <w:rPr>
          <w:rFonts w:ascii="Verdana" w:hAnsi="Verdana"/>
          <w:sz w:val="16"/>
          <w:szCs w:val="16"/>
        </w:rPr>
        <w:t>v</w:t>
      </w:r>
      <w:r w:rsidRPr="007C7772">
        <w:rPr>
          <w:rFonts w:ascii="Verdana" w:hAnsi="Verdana"/>
          <w:sz w:val="16"/>
          <w:szCs w:val="16"/>
        </w:rPr>
        <w:t xml:space="preserve">igente </w:t>
      </w:r>
      <w:r w:rsidRPr="002C27AA">
        <w:rPr>
          <w:rFonts w:ascii="Verdana" w:hAnsi="Verdana"/>
          <w:sz w:val="16"/>
          <w:szCs w:val="16"/>
        </w:rPr>
        <w:t xml:space="preserve">al momento de los hechos; ii) </w:t>
      </w:r>
      <w:r w:rsidRPr="00F53476">
        <w:rPr>
          <w:rFonts w:ascii="Verdana" w:hAnsi="Verdana"/>
          <w:sz w:val="16"/>
          <w:szCs w:val="16"/>
        </w:rPr>
        <w:t>el n</w:t>
      </w:r>
      <w:r w:rsidRPr="00BD721F">
        <w:rPr>
          <w:rFonts w:ascii="Verdana" w:hAnsi="Verdana"/>
          <w:sz w:val="16"/>
          <w:szCs w:val="16"/>
        </w:rPr>
        <w:t>úmero de d</w:t>
      </w:r>
      <w:r w:rsidRPr="000565DD">
        <w:rPr>
          <w:rFonts w:ascii="Verdana" w:hAnsi="Verdana"/>
          <w:sz w:val="16"/>
          <w:szCs w:val="16"/>
        </w:rPr>
        <w:t>ías labora</w:t>
      </w:r>
      <w:r w:rsidRPr="00C66632">
        <w:rPr>
          <w:rFonts w:ascii="Verdana" w:hAnsi="Verdana"/>
          <w:sz w:val="16"/>
          <w:szCs w:val="16"/>
        </w:rPr>
        <w:t>b</w:t>
      </w:r>
      <w:r w:rsidRPr="005B1C1B">
        <w:rPr>
          <w:rFonts w:ascii="Verdana" w:hAnsi="Verdana"/>
          <w:sz w:val="16"/>
          <w:szCs w:val="16"/>
        </w:rPr>
        <w:t xml:space="preserve">les </w:t>
      </w:r>
      <w:r w:rsidRPr="00DB34D6">
        <w:rPr>
          <w:rFonts w:ascii="Verdana" w:hAnsi="Verdana"/>
          <w:sz w:val="16"/>
          <w:szCs w:val="16"/>
        </w:rPr>
        <w:t>anuales para la víctima; iii) la esperanza de vida al momento de los hechos para una mujer nacida en 1991, y iv) la diferencia resultante entre dicha esperanza de vida y la edad de la víctima al momento de los hechos (párr. 73).</w:t>
      </w:r>
      <w:r>
        <w:rPr>
          <w:rFonts w:ascii="Verdana" w:hAnsi="Verdana"/>
          <w:sz w:val="16"/>
          <w:szCs w:val="16"/>
        </w:rPr>
        <w:t xml:space="preserve">   </w:t>
      </w:r>
    </w:p>
  </w:footnote>
  <w:footnote w:id="571">
    <w:p w14:paraId="16C6ADDB" w14:textId="6E0DD7D1" w:rsidR="00146958" w:rsidRPr="008D0846" w:rsidRDefault="00146958" w:rsidP="00D13EC8">
      <w:pPr>
        <w:pStyle w:val="Textonotapie"/>
        <w:jc w:val="both"/>
        <w:rPr>
          <w:rFonts w:ascii="Verdana" w:hAnsi="Verdana"/>
          <w:i/>
          <w:sz w:val="16"/>
          <w:szCs w:val="16"/>
          <w:lang w:val="es-CR"/>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lang w:val="es-CR"/>
        </w:rPr>
        <w:tab/>
      </w:r>
      <w:r w:rsidRPr="00CD5C54">
        <w:rPr>
          <w:rFonts w:ascii="Verdana" w:hAnsi="Verdana"/>
          <w:i/>
          <w:sz w:val="16"/>
          <w:szCs w:val="16"/>
          <w:lang w:val="es-CR"/>
        </w:rPr>
        <w:t>Cfr.</w:t>
      </w:r>
      <w:r w:rsidRPr="00D13EC8">
        <w:rPr>
          <w:rFonts w:ascii="Verdana" w:hAnsi="Verdana"/>
          <w:i/>
          <w:sz w:val="16"/>
          <w:szCs w:val="16"/>
          <w:lang w:val="es-CR"/>
        </w:rPr>
        <w:t xml:space="preserve"> </w:t>
      </w:r>
      <w:r w:rsidRPr="008D0846">
        <w:rPr>
          <w:rStyle w:val="Textoennegrita"/>
          <w:rFonts w:ascii="Verdana" w:hAnsi="Verdana"/>
          <w:b w:val="0"/>
          <w:i/>
          <w:color w:val="000000"/>
          <w:sz w:val="16"/>
          <w:szCs w:val="16"/>
          <w:shd w:val="clear" w:color="auto" w:fill="FFFFFF"/>
        </w:rPr>
        <w:t>Caso Radilla Pacheco Vs. México</w:t>
      </w:r>
      <w:r>
        <w:rPr>
          <w:rStyle w:val="Textoennegrita"/>
          <w:rFonts w:ascii="Verdana" w:hAnsi="Verdana"/>
          <w:b w:val="0"/>
          <w:i/>
          <w:color w:val="000000"/>
          <w:sz w:val="16"/>
          <w:szCs w:val="16"/>
          <w:shd w:val="clear" w:color="auto" w:fill="FFFFFF"/>
        </w:rPr>
        <w:t>, supra</w:t>
      </w:r>
      <w:r w:rsidRPr="008D0846">
        <w:rPr>
          <w:rStyle w:val="Textoennegrita"/>
          <w:rFonts w:ascii="Verdana" w:hAnsi="Verdana"/>
          <w:b w:val="0"/>
          <w:color w:val="000000"/>
          <w:sz w:val="16"/>
          <w:szCs w:val="16"/>
          <w:shd w:val="clear" w:color="auto" w:fill="FFFFFF"/>
        </w:rPr>
        <w:t xml:space="preserve">, párr. 368, y </w:t>
      </w:r>
      <w:r w:rsidRPr="00D13EC8">
        <w:rPr>
          <w:rFonts w:ascii="Verdana" w:hAnsi="Verdana"/>
          <w:i/>
          <w:sz w:val="16"/>
          <w:szCs w:val="16"/>
          <w:lang w:val="es-CR"/>
        </w:rPr>
        <w:t>Caso Munárriz Escobar y otros Vs. Perú</w:t>
      </w:r>
      <w:r>
        <w:rPr>
          <w:rFonts w:ascii="Verdana" w:hAnsi="Verdana"/>
          <w:i/>
          <w:sz w:val="16"/>
          <w:szCs w:val="16"/>
          <w:lang w:val="es-CR"/>
        </w:rPr>
        <w:t>, supra</w:t>
      </w:r>
      <w:r w:rsidRPr="00D13EC8">
        <w:rPr>
          <w:rFonts w:ascii="Verdana" w:hAnsi="Verdana"/>
          <w:sz w:val="16"/>
          <w:szCs w:val="16"/>
          <w:lang w:val="es-CR"/>
        </w:rPr>
        <w:t xml:space="preserve">, párr. </w:t>
      </w:r>
      <w:r>
        <w:rPr>
          <w:rFonts w:ascii="Verdana" w:hAnsi="Verdana"/>
          <w:sz w:val="16"/>
          <w:szCs w:val="16"/>
          <w:lang w:val="es-CR"/>
        </w:rPr>
        <w:t>141</w:t>
      </w:r>
      <w:r w:rsidRPr="00D13EC8">
        <w:rPr>
          <w:rFonts w:ascii="Verdana" w:hAnsi="Verdana"/>
          <w:sz w:val="16"/>
          <w:szCs w:val="16"/>
          <w:lang w:val="es-CR"/>
        </w:rPr>
        <w:t>.</w:t>
      </w:r>
      <w:r w:rsidRPr="008D0846">
        <w:rPr>
          <w:rFonts w:ascii="Verdana" w:hAnsi="Verdana"/>
          <w:sz w:val="16"/>
          <w:szCs w:val="16"/>
          <w:lang w:val="es-CR"/>
        </w:rPr>
        <w:t xml:space="preserve"> </w:t>
      </w:r>
    </w:p>
  </w:footnote>
  <w:footnote w:id="572">
    <w:p w14:paraId="76BD0625" w14:textId="1C257F4D"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F31DCF">
        <w:rPr>
          <w:rFonts w:ascii="Verdana" w:hAnsi="Verdana"/>
          <w:sz w:val="16"/>
          <w:szCs w:val="16"/>
        </w:rPr>
        <w:tab/>
      </w:r>
      <w:r w:rsidRPr="00822721">
        <w:rPr>
          <w:rFonts w:ascii="Verdana" w:hAnsi="Verdana"/>
          <w:sz w:val="16"/>
          <w:szCs w:val="16"/>
        </w:rPr>
        <w:t>E</w:t>
      </w:r>
      <w:r w:rsidRPr="00471A85">
        <w:rPr>
          <w:rFonts w:ascii="Verdana" w:hAnsi="Verdana"/>
          <w:sz w:val="16"/>
          <w:szCs w:val="16"/>
        </w:rPr>
        <w:t xml:space="preserve">ntre los gastos comprobables realizados por el núcleo familiar de Nitza Paola Alvarado </w:t>
      </w:r>
      <w:r w:rsidRPr="00C9163C">
        <w:rPr>
          <w:rFonts w:ascii="Verdana" w:hAnsi="Verdana"/>
          <w:sz w:val="16"/>
          <w:szCs w:val="16"/>
        </w:rPr>
        <w:t xml:space="preserve">Espinoza por </w:t>
      </w:r>
      <w:r w:rsidRPr="00616002">
        <w:rPr>
          <w:rFonts w:ascii="Verdana" w:hAnsi="Verdana"/>
          <w:sz w:val="16"/>
          <w:szCs w:val="16"/>
        </w:rPr>
        <w:t>concepto de da</w:t>
      </w:r>
      <w:r w:rsidRPr="00F040D1">
        <w:rPr>
          <w:rFonts w:ascii="Verdana" w:hAnsi="Verdana"/>
          <w:sz w:val="16"/>
          <w:szCs w:val="16"/>
        </w:rPr>
        <w:t xml:space="preserve">ño emergente se encuentran: i) </w:t>
      </w:r>
      <w:r w:rsidRPr="008D0846">
        <w:rPr>
          <w:rFonts w:ascii="Verdana" w:hAnsi="Verdana"/>
          <w:sz w:val="16"/>
          <w:szCs w:val="16"/>
        </w:rPr>
        <w:t>r</w:t>
      </w:r>
      <w:r w:rsidRPr="00F31DCF">
        <w:rPr>
          <w:rFonts w:ascii="Verdana" w:hAnsi="Verdana"/>
          <w:sz w:val="16"/>
          <w:szCs w:val="16"/>
        </w:rPr>
        <w:t>enta de apartamento en El Paso, EUA</w:t>
      </w:r>
      <w:r w:rsidRPr="00822721">
        <w:rPr>
          <w:rFonts w:ascii="Verdana" w:hAnsi="Verdana"/>
          <w:sz w:val="16"/>
          <w:szCs w:val="16"/>
        </w:rPr>
        <w:t xml:space="preserve"> (</w:t>
      </w:r>
      <w:r w:rsidRPr="00471A85">
        <w:rPr>
          <w:rFonts w:ascii="Verdana" w:hAnsi="Verdana"/>
          <w:sz w:val="16"/>
          <w:szCs w:val="16"/>
        </w:rPr>
        <w:t xml:space="preserve">expediente de prueba, ff. 26637 a 36643); ii) </w:t>
      </w:r>
      <w:r>
        <w:rPr>
          <w:rFonts w:ascii="Verdana" w:hAnsi="Verdana"/>
          <w:sz w:val="16"/>
          <w:szCs w:val="16"/>
        </w:rPr>
        <w:t>a</w:t>
      </w:r>
      <w:r w:rsidRPr="00471A85">
        <w:rPr>
          <w:rFonts w:ascii="Verdana" w:hAnsi="Verdana"/>
          <w:sz w:val="16"/>
          <w:szCs w:val="16"/>
        </w:rPr>
        <w:t>limentos (</w:t>
      </w:r>
      <w:r w:rsidRPr="00C9163C">
        <w:rPr>
          <w:rFonts w:ascii="Verdana" w:hAnsi="Verdana"/>
          <w:sz w:val="16"/>
          <w:szCs w:val="16"/>
        </w:rPr>
        <w:t>expediente de prueba, ff. 2</w:t>
      </w:r>
      <w:r w:rsidRPr="00616002">
        <w:rPr>
          <w:rFonts w:ascii="Verdana" w:hAnsi="Verdana"/>
          <w:sz w:val="16"/>
          <w:szCs w:val="16"/>
        </w:rPr>
        <w:t xml:space="preserve">6644 a 26723); iii) pago de </w:t>
      </w:r>
      <w:r w:rsidRPr="00F040D1">
        <w:rPr>
          <w:rFonts w:ascii="Verdana" w:hAnsi="Verdana"/>
          <w:sz w:val="16"/>
          <w:szCs w:val="16"/>
        </w:rPr>
        <w:t xml:space="preserve">servicios de luz eléctrica </w:t>
      </w:r>
      <w:r w:rsidRPr="008D0846">
        <w:rPr>
          <w:rFonts w:ascii="Verdana" w:hAnsi="Verdana"/>
          <w:sz w:val="16"/>
          <w:szCs w:val="16"/>
        </w:rPr>
        <w:t>(expediente de prueba, ff. 26631 a 26636 y 26730 a 26739)</w:t>
      </w:r>
      <w:r w:rsidRPr="00F31DCF">
        <w:rPr>
          <w:rFonts w:ascii="Verdana" w:hAnsi="Verdana"/>
          <w:sz w:val="16"/>
          <w:szCs w:val="16"/>
        </w:rPr>
        <w:t xml:space="preserve">, y </w:t>
      </w:r>
      <w:r w:rsidRPr="00822721">
        <w:rPr>
          <w:rFonts w:ascii="Verdana" w:hAnsi="Verdana"/>
          <w:sz w:val="16"/>
          <w:szCs w:val="16"/>
        </w:rPr>
        <w:t>iv)</w:t>
      </w:r>
      <w:r w:rsidRPr="00471A85">
        <w:rPr>
          <w:rFonts w:ascii="Verdana" w:hAnsi="Verdana"/>
          <w:sz w:val="16"/>
          <w:szCs w:val="16"/>
        </w:rPr>
        <w:t xml:space="preserve"> gasolina </w:t>
      </w:r>
      <w:r w:rsidRPr="008D0846">
        <w:rPr>
          <w:rFonts w:ascii="Verdana" w:hAnsi="Verdana"/>
          <w:sz w:val="16"/>
          <w:szCs w:val="16"/>
        </w:rPr>
        <w:t>(expediente de prueba, ff. 26626 a 26627</w:t>
      </w:r>
      <w:r w:rsidRPr="00F31DCF">
        <w:rPr>
          <w:rFonts w:ascii="Verdana" w:hAnsi="Verdana"/>
          <w:sz w:val="16"/>
          <w:szCs w:val="16"/>
        </w:rPr>
        <w:t>)</w:t>
      </w:r>
      <w:r w:rsidRPr="00822721">
        <w:rPr>
          <w:rFonts w:ascii="Verdana" w:hAnsi="Verdana"/>
          <w:sz w:val="16"/>
          <w:szCs w:val="16"/>
        </w:rPr>
        <w:t>.</w:t>
      </w:r>
      <w:r>
        <w:rPr>
          <w:rFonts w:ascii="Verdana" w:hAnsi="Verdana"/>
          <w:sz w:val="16"/>
          <w:szCs w:val="16"/>
        </w:rPr>
        <w:t xml:space="preserve"> </w:t>
      </w:r>
    </w:p>
  </w:footnote>
  <w:footnote w:id="573">
    <w:p w14:paraId="2F52B13A" w14:textId="31E2169B"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t>Con relación a</w:t>
      </w:r>
      <w:r>
        <w:rPr>
          <w:rFonts w:ascii="Verdana" w:hAnsi="Verdana"/>
          <w:sz w:val="16"/>
          <w:szCs w:val="16"/>
        </w:rPr>
        <w:t xml:space="preserve"> los grupos familiares de Rocío Irene Alvarado Reyes y José Ángel Alvarado Herrera, las representantes señalaron una serie de gastos por un total de MX$131,890 y MX$248,500 pesos mexicanos, respectivamente, de los cuales no aportaron debidamente comprobante alguno que justificara su erogación y/o su eventual nexo causal con los hechos del caso (expediente de prueba, anexos 4.B y 4.C del escrito de solicitudes y argumentos, ff. 26740 a 26745). </w:t>
      </w:r>
    </w:p>
  </w:footnote>
  <w:footnote w:id="574">
    <w:p w14:paraId="5F086513" w14:textId="17CDDE4A" w:rsidR="00146958" w:rsidRPr="006E4C81" w:rsidRDefault="00146958">
      <w:pPr>
        <w:pStyle w:val="Textonotapie"/>
        <w:jc w:val="both"/>
        <w:rPr>
          <w:rFonts w:ascii="Verdana" w:hAnsi="Verdana"/>
          <w:sz w:val="16"/>
          <w:szCs w:val="16"/>
          <w:lang w:val="es-CR"/>
        </w:rPr>
      </w:pPr>
      <w:r w:rsidRPr="00D13EC8">
        <w:rPr>
          <w:rStyle w:val="Refdenotaalpie"/>
          <w:rFonts w:ascii="Verdana" w:eastAsia="Calibri" w:hAnsi="Verdana"/>
          <w:sz w:val="16"/>
          <w:szCs w:val="16"/>
        </w:rPr>
        <w:footnoteRef/>
      </w:r>
      <w:r w:rsidRPr="00D13EC8">
        <w:rPr>
          <w:rStyle w:val="Refdenotaalpie"/>
          <w:rFonts w:ascii="Verdana" w:eastAsia="Calibri" w:hAnsi="Verdana"/>
          <w:sz w:val="16"/>
          <w:szCs w:val="16"/>
          <w:lang w:val="es-CR"/>
        </w:rPr>
        <w:t xml:space="preserve"> </w:t>
      </w:r>
      <w:r w:rsidRPr="00B10EBA">
        <w:rPr>
          <w:rFonts w:ascii="Verdana" w:eastAsia="Calibri" w:hAnsi="Verdana"/>
          <w:sz w:val="16"/>
          <w:szCs w:val="16"/>
          <w:lang w:val="es-CR"/>
        </w:rPr>
        <w:tab/>
      </w:r>
      <w:r w:rsidRPr="00CD5C54">
        <w:rPr>
          <w:rFonts w:ascii="Verdana" w:hAnsi="Verdana"/>
          <w:i/>
          <w:sz w:val="16"/>
          <w:szCs w:val="16"/>
          <w:lang w:val="es-CR"/>
        </w:rPr>
        <w:t>Cfr.</w:t>
      </w:r>
      <w:r w:rsidRPr="00B10EBA">
        <w:rPr>
          <w:rFonts w:ascii="Verdana" w:hAnsi="Verdana"/>
          <w:sz w:val="16"/>
          <w:szCs w:val="16"/>
          <w:lang w:val="es-CR"/>
        </w:rPr>
        <w:t xml:space="preserve"> </w:t>
      </w:r>
      <w:r w:rsidRPr="008D0846">
        <w:rPr>
          <w:rFonts w:ascii="Verdana" w:hAnsi="Verdana"/>
          <w:i/>
          <w:iCs/>
          <w:sz w:val="16"/>
          <w:szCs w:val="16"/>
          <w:lang w:val="es-CR"/>
        </w:rPr>
        <w:t>Caso de los “Niños de la Calle” (Villagrán Morales y otros) Vs. Guatemala. Reparaciones y Costas.</w:t>
      </w:r>
      <w:r w:rsidRPr="00D13EC8">
        <w:rPr>
          <w:rFonts w:ascii="Verdana" w:hAnsi="Verdana"/>
          <w:iCs/>
          <w:sz w:val="16"/>
          <w:szCs w:val="16"/>
          <w:lang w:val="es-CR"/>
        </w:rPr>
        <w:t xml:space="preserve"> </w:t>
      </w:r>
      <w:r w:rsidRPr="00B10EBA">
        <w:rPr>
          <w:rFonts w:ascii="Verdana" w:hAnsi="Verdana"/>
          <w:sz w:val="16"/>
          <w:szCs w:val="16"/>
          <w:lang w:val="es-CR"/>
        </w:rPr>
        <w:t xml:space="preserve">Sentencia de 26 de mayo de 2001. Serie C No. 77, párr. 84, </w:t>
      </w:r>
      <w:r w:rsidRPr="00B10EBA">
        <w:rPr>
          <w:rStyle w:val="TextonotapieCar"/>
          <w:rFonts w:ascii="Verdana" w:hAnsi="Verdana" w:cs="Arial"/>
          <w:sz w:val="16"/>
          <w:szCs w:val="16"/>
          <w:lang w:val="es-CR"/>
        </w:rPr>
        <w:t xml:space="preserve">y </w:t>
      </w:r>
      <w:r w:rsidRPr="008D0846">
        <w:rPr>
          <w:rFonts w:ascii="Verdana" w:hAnsi="Verdana"/>
          <w:bCs/>
          <w:i/>
          <w:sz w:val="16"/>
          <w:szCs w:val="16"/>
        </w:rPr>
        <w:t>Caso Nadege Dorzema y otros Vs. República Dominicana</w:t>
      </w:r>
      <w:r w:rsidRPr="00B10EBA">
        <w:rPr>
          <w:rFonts w:ascii="Verdana" w:hAnsi="Verdana"/>
          <w:sz w:val="16"/>
          <w:szCs w:val="16"/>
          <w:lang w:val="es-CR"/>
        </w:rPr>
        <w:t>,</w:t>
      </w:r>
      <w:r>
        <w:rPr>
          <w:rFonts w:ascii="Verdana" w:hAnsi="Verdana"/>
          <w:i/>
          <w:sz w:val="16"/>
          <w:szCs w:val="16"/>
          <w:lang w:val="es-CR"/>
        </w:rPr>
        <w:t xml:space="preserve"> supra,</w:t>
      </w:r>
      <w:r w:rsidRPr="00B10EBA">
        <w:rPr>
          <w:rFonts w:ascii="Verdana" w:hAnsi="Verdana"/>
          <w:sz w:val="16"/>
          <w:szCs w:val="16"/>
          <w:lang w:val="es-CR"/>
        </w:rPr>
        <w:t xml:space="preserve"> párr.</w:t>
      </w:r>
      <w:r w:rsidRPr="00A068C6">
        <w:rPr>
          <w:rStyle w:val="TextonotapieCar"/>
          <w:rFonts w:ascii="Verdana" w:hAnsi="Verdana" w:cs="Arial"/>
          <w:sz w:val="16"/>
          <w:szCs w:val="16"/>
          <w:lang w:val="es-CR"/>
        </w:rPr>
        <w:t xml:space="preserve"> 284</w:t>
      </w:r>
      <w:r w:rsidRPr="007C248E">
        <w:rPr>
          <w:rFonts w:ascii="Verdana" w:hAnsi="Verdana"/>
          <w:sz w:val="16"/>
          <w:szCs w:val="16"/>
          <w:lang w:val="es-CR"/>
        </w:rPr>
        <w:t>.</w:t>
      </w:r>
    </w:p>
  </w:footnote>
  <w:footnote w:id="575">
    <w:p w14:paraId="23061773" w14:textId="4CE7CCB4" w:rsidR="00146958" w:rsidRPr="00B00ABA" w:rsidRDefault="00146958" w:rsidP="003003CE">
      <w:pPr>
        <w:pStyle w:val="Textonotapie"/>
        <w:jc w:val="both"/>
        <w:rPr>
          <w:rFonts w:ascii="Verdana" w:hAnsi="Verdana"/>
          <w:sz w:val="16"/>
          <w:szCs w:val="16"/>
          <w:highlight w:val="yellow"/>
        </w:rPr>
      </w:pPr>
      <w:r w:rsidRPr="00B00ABA">
        <w:rPr>
          <w:rStyle w:val="Refdenotaalpie"/>
          <w:rFonts w:ascii="Verdana" w:hAnsi="Verdana"/>
          <w:sz w:val="16"/>
          <w:szCs w:val="16"/>
        </w:rPr>
        <w:footnoteRef/>
      </w:r>
      <w:r w:rsidRPr="00B00ABA">
        <w:rPr>
          <w:rFonts w:ascii="Verdana" w:hAnsi="Verdana"/>
          <w:sz w:val="16"/>
          <w:szCs w:val="16"/>
        </w:rPr>
        <w:t xml:space="preserve"> </w:t>
      </w:r>
      <w:r w:rsidRPr="00B00ABA">
        <w:rPr>
          <w:rFonts w:ascii="Verdana" w:hAnsi="Verdana"/>
          <w:sz w:val="16"/>
          <w:szCs w:val="16"/>
        </w:rPr>
        <w:tab/>
      </w:r>
      <w:r w:rsidRPr="00CD5C54">
        <w:rPr>
          <w:rFonts w:ascii="Verdana" w:hAnsi="Verdana"/>
          <w:i/>
          <w:sz w:val="16"/>
          <w:szCs w:val="16"/>
        </w:rPr>
        <w:t>Cfr.</w:t>
      </w:r>
      <w:r w:rsidRPr="00B00ABA">
        <w:rPr>
          <w:rFonts w:ascii="Verdana" w:hAnsi="Verdana"/>
          <w:i/>
          <w:sz w:val="16"/>
          <w:szCs w:val="16"/>
        </w:rPr>
        <w:t xml:space="preserve"> </w:t>
      </w:r>
      <w:r w:rsidRPr="00B00ABA">
        <w:rPr>
          <w:rStyle w:val="Textoennegrita"/>
          <w:rFonts w:ascii="Verdana" w:hAnsi="Verdana"/>
          <w:b w:val="0"/>
          <w:i/>
          <w:color w:val="000000"/>
          <w:sz w:val="16"/>
          <w:szCs w:val="16"/>
          <w:shd w:val="clear" w:color="auto" w:fill="FFFFFF"/>
        </w:rPr>
        <w:t>Caso Gelman Vs. Uruguay. Fondo y Reparaciones</w:t>
      </w:r>
      <w:r w:rsidRPr="00B00ABA">
        <w:rPr>
          <w:rStyle w:val="Textoennegrita"/>
          <w:rFonts w:ascii="Verdana" w:hAnsi="Verdana"/>
          <w:b w:val="0"/>
          <w:color w:val="000000"/>
          <w:sz w:val="16"/>
          <w:szCs w:val="16"/>
          <w:shd w:val="clear" w:color="auto" w:fill="FFFFFF"/>
        </w:rPr>
        <w:t xml:space="preserve">. Sentencia de 24 de febrero de 2011. Serie C No. 221, párr. 296.a, y </w:t>
      </w:r>
      <w:r w:rsidRPr="00B00ABA">
        <w:rPr>
          <w:rStyle w:val="Textoennegrita"/>
          <w:rFonts w:ascii="Verdana" w:hAnsi="Verdana"/>
          <w:b w:val="0"/>
          <w:i/>
          <w:color w:val="000000"/>
          <w:sz w:val="16"/>
          <w:szCs w:val="16"/>
          <w:shd w:val="clear" w:color="auto" w:fill="FFFFFF"/>
        </w:rPr>
        <w:t>Caso Terrones Silva y otros Vs. Perú</w:t>
      </w:r>
      <w:r w:rsidRPr="00B00ABA">
        <w:rPr>
          <w:rStyle w:val="Textoennegrita"/>
          <w:rFonts w:ascii="Verdana" w:hAnsi="Verdana"/>
          <w:b w:val="0"/>
          <w:color w:val="000000"/>
          <w:sz w:val="16"/>
          <w:szCs w:val="16"/>
          <w:shd w:val="clear" w:color="auto" w:fill="FFFFFF"/>
        </w:rPr>
        <w:t>,</w:t>
      </w:r>
      <w:r w:rsidRPr="00B00ABA">
        <w:rPr>
          <w:rStyle w:val="Textoennegrita"/>
          <w:rFonts w:ascii="Verdana" w:hAnsi="Verdana"/>
          <w:b w:val="0"/>
          <w:i/>
          <w:color w:val="000000"/>
          <w:sz w:val="16"/>
          <w:szCs w:val="16"/>
          <w:shd w:val="clear" w:color="auto" w:fill="FFFFFF"/>
        </w:rPr>
        <w:t xml:space="preserve"> supra, </w:t>
      </w:r>
      <w:r w:rsidRPr="00B00ABA">
        <w:rPr>
          <w:rStyle w:val="Textoennegrita"/>
          <w:rFonts w:ascii="Verdana" w:hAnsi="Verdana"/>
          <w:b w:val="0"/>
          <w:color w:val="000000"/>
          <w:sz w:val="16"/>
          <w:szCs w:val="16"/>
          <w:shd w:val="clear" w:color="auto" w:fill="FFFFFF"/>
        </w:rPr>
        <w:t xml:space="preserve">párrs. 270, 272 y 274. </w:t>
      </w:r>
      <w:r w:rsidRPr="00B00ABA">
        <w:rPr>
          <w:rStyle w:val="Textoennegrita"/>
          <w:rFonts w:ascii="Verdana" w:hAnsi="Verdana"/>
          <w:b w:val="0"/>
          <w:i/>
          <w:color w:val="000000"/>
          <w:sz w:val="16"/>
          <w:szCs w:val="16"/>
          <w:shd w:val="clear" w:color="auto" w:fill="FFFFFF"/>
        </w:rPr>
        <w:t xml:space="preserve"> </w:t>
      </w:r>
    </w:p>
  </w:footnote>
  <w:footnote w:id="576">
    <w:p w14:paraId="75141340" w14:textId="1801ED0D"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7C3FC6">
        <w:rPr>
          <w:rFonts w:ascii="Verdana" w:hAnsi="Verdana"/>
          <w:sz w:val="16"/>
          <w:szCs w:val="16"/>
        </w:rPr>
        <w:tab/>
      </w:r>
      <w:r w:rsidRPr="00CD5C54">
        <w:rPr>
          <w:rFonts w:ascii="Verdana" w:hAnsi="Verdana"/>
          <w:i/>
          <w:sz w:val="16"/>
          <w:szCs w:val="16"/>
        </w:rPr>
        <w:t>Cfr.</w:t>
      </w:r>
      <w:r w:rsidRPr="00AD7336">
        <w:rPr>
          <w:rFonts w:ascii="Verdana" w:hAnsi="Verdana"/>
          <w:sz w:val="16"/>
          <w:szCs w:val="16"/>
        </w:rPr>
        <w:t xml:space="preserve"> </w:t>
      </w:r>
      <w:r w:rsidRPr="008D0846">
        <w:rPr>
          <w:rFonts w:ascii="Verdana" w:hAnsi="Verdana"/>
          <w:bCs/>
          <w:i/>
          <w:sz w:val="16"/>
          <w:szCs w:val="16"/>
        </w:rPr>
        <w:t>Caso Masacres de Río Negro Vs. Guatemala. Excepción Preliminar, Fondo, Reparaciones y Costas.</w:t>
      </w:r>
      <w:r w:rsidRPr="008D0846">
        <w:rPr>
          <w:rFonts w:ascii="Verdana" w:hAnsi="Verdana"/>
          <w:bCs/>
          <w:sz w:val="16"/>
          <w:szCs w:val="16"/>
        </w:rPr>
        <w:t xml:space="preserve"> Sentencia de 4 de septiembre de 2012. Serie C No. 250</w:t>
      </w:r>
      <w:r>
        <w:rPr>
          <w:rFonts w:ascii="Verdana" w:hAnsi="Verdana"/>
          <w:bCs/>
          <w:sz w:val="16"/>
          <w:szCs w:val="16"/>
        </w:rPr>
        <w:t>,</w:t>
      </w:r>
      <w:r w:rsidRPr="00262247">
        <w:rPr>
          <w:rFonts w:ascii="Verdana" w:hAnsi="Verdana"/>
          <w:bCs/>
          <w:i/>
          <w:sz w:val="16"/>
          <w:szCs w:val="16"/>
        </w:rPr>
        <w:t xml:space="preserve"> </w:t>
      </w:r>
      <w:r w:rsidRPr="00262247">
        <w:rPr>
          <w:rFonts w:ascii="Verdana" w:hAnsi="Verdana"/>
          <w:bCs/>
          <w:sz w:val="16"/>
          <w:szCs w:val="16"/>
        </w:rPr>
        <w:t xml:space="preserve">párr. </w:t>
      </w:r>
      <w:r>
        <w:rPr>
          <w:rFonts w:ascii="Verdana" w:hAnsi="Verdana"/>
          <w:bCs/>
          <w:sz w:val="16"/>
          <w:szCs w:val="16"/>
        </w:rPr>
        <w:t>310</w:t>
      </w:r>
      <w:r w:rsidRPr="008D0846">
        <w:rPr>
          <w:rFonts w:ascii="Verdana" w:hAnsi="Verdana"/>
          <w:bCs/>
          <w:color w:val="000000"/>
          <w:sz w:val="16"/>
          <w:szCs w:val="16"/>
          <w:shd w:val="clear" w:color="auto" w:fill="FFFFFF"/>
        </w:rPr>
        <w:t xml:space="preserve">, y </w:t>
      </w:r>
      <w:r w:rsidRPr="008D0846">
        <w:rPr>
          <w:rFonts w:ascii="Verdana" w:hAnsi="Verdana"/>
          <w:bCs/>
          <w:i/>
          <w:color w:val="000000"/>
          <w:sz w:val="16"/>
          <w:szCs w:val="16"/>
          <w:shd w:val="clear" w:color="auto" w:fill="FFFFFF"/>
        </w:rPr>
        <w:t>Caso Coc Max y otros (Masacre de Xamán) Vs. Guatemala. Fondo, Reparaciones y Costas</w:t>
      </w:r>
      <w:r w:rsidRPr="008D0846">
        <w:rPr>
          <w:rFonts w:ascii="Verdana" w:hAnsi="Verdana"/>
          <w:bCs/>
          <w:color w:val="000000"/>
          <w:sz w:val="16"/>
          <w:szCs w:val="16"/>
          <w:shd w:val="clear" w:color="auto" w:fill="FFFFFF"/>
        </w:rPr>
        <w:t>. Sentencia de 22 de agosto de 2018. Serie C No. 356, párr. 186.</w:t>
      </w:r>
      <w:r>
        <w:rPr>
          <w:rFonts w:ascii="Verdana" w:hAnsi="Verdana"/>
          <w:b/>
          <w:bCs/>
          <w:color w:val="000000"/>
          <w:sz w:val="16"/>
          <w:szCs w:val="16"/>
          <w:shd w:val="clear" w:color="auto" w:fill="FFFFFF"/>
        </w:rPr>
        <w:t xml:space="preserve"> </w:t>
      </w:r>
    </w:p>
  </w:footnote>
  <w:footnote w:id="577">
    <w:p w14:paraId="601A84C8" w14:textId="34E2D510" w:rsidR="00146958" w:rsidRPr="00630723" w:rsidRDefault="00146958" w:rsidP="00AE53D3">
      <w:pPr>
        <w:pStyle w:val="Textonotapie"/>
        <w:jc w:val="both"/>
        <w:rPr>
          <w:rFonts w:ascii="Verdana" w:hAnsi="Verdana"/>
          <w:sz w:val="16"/>
          <w:szCs w:val="16"/>
          <w:lang w:val="es-CR"/>
        </w:rPr>
      </w:pPr>
      <w:r w:rsidRPr="00AE53D3">
        <w:rPr>
          <w:rStyle w:val="Refdenotaalpie"/>
          <w:rFonts w:ascii="Verdana" w:hAnsi="Verdana"/>
          <w:sz w:val="16"/>
          <w:szCs w:val="16"/>
        </w:rPr>
        <w:footnoteRef/>
      </w:r>
      <w:r w:rsidRPr="00AE53D3">
        <w:rPr>
          <w:rFonts w:ascii="Verdana" w:hAnsi="Verdana"/>
          <w:sz w:val="16"/>
          <w:szCs w:val="16"/>
          <w:lang w:val="es-CR"/>
        </w:rPr>
        <w:t xml:space="preserve"> </w:t>
      </w:r>
      <w:r w:rsidRPr="00AE53D3">
        <w:rPr>
          <w:rFonts w:ascii="Verdana" w:hAnsi="Verdana"/>
          <w:sz w:val="16"/>
          <w:szCs w:val="16"/>
          <w:lang w:val="es-CR"/>
        </w:rPr>
        <w:tab/>
      </w:r>
      <w:r w:rsidRPr="00CD5C54">
        <w:rPr>
          <w:rFonts w:ascii="Verdana" w:hAnsi="Verdana"/>
          <w:i/>
          <w:sz w:val="16"/>
          <w:szCs w:val="16"/>
          <w:lang w:val="es-CR"/>
        </w:rPr>
        <w:t>Cfr.</w:t>
      </w:r>
      <w:r w:rsidRPr="005262BD">
        <w:rPr>
          <w:rFonts w:ascii="Verdana" w:hAnsi="Verdana"/>
          <w:sz w:val="16"/>
          <w:szCs w:val="16"/>
          <w:lang w:val="es-CR"/>
        </w:rPr>
        <w:t xml:space="preserve"> </w:t>
      </w:r>
      <w:r w:rsidRPr="008D0846">
        <w:rPr>
          <w:rStyle w:val="Textoennegrita"/>
          <w:rFonts w:ascii="Verdana" w:hAnsi="Verdana"/>
          <w:b w:val="0"/>
          <w:i/>
          <w:color w:val="000000"/>
          <w:sz w:val="16"/>
          <w:szCs w:val="16"/>
          <w:shd w:val="clear" w:color="auto" w:fill="FFFFFF"/>
        </w:rPr>
        <w:t>Caso Chitay Nech y otros Vs. Guatemala, supra</w:t>
      </w:r>
      <w:r w:rsidRPr="008D0846">
        <w:rPr>
          <w:rStyle w:val="Textoennegrita"/>
          <w:rFonts w:ascii="Verdana" w:hAnsi="Verdana"/>
          <w:b w:val="0"/>
          <w:color w:val="000000"/>
          <w:sz w:val="16"/>
          <w:szCs w:val="16"/>
          <w:shd w:val="clear" w:color="auto" w:fill="FFFFFF"/>
        </w:rPr>
        <w:t>, párr. 278;</w:t>
      </w:r>
      <w:r w:rsidRPr="008D0846">
        <w:rPr>
          <w:rStyle w:val="Textoennegrita"/>
          <w:rFonts w:ascii="Verdana" w:hAnsi="Verdana"/>
          <w:b w:val="0"/>
          <w:i/>
          <w:color w:val="000000"/>
          <w:sz w:val="16"/>
          <w:szCs w:val="16"/>
          <w:shd w:val="clear" w:color="auto" w:fill="FFFFFF"/>
        </w:rPr>
        <w:t xml:space="preserve"> Caso Gelman Vs. Uruguay, supra, </w:t>
      </w:r>
      <w:r w:rsidRPr="008D0846">
        <w:rPr>
          <w:rStyle w:val="Textoennegrita"/>
          <w:rFonts w:ascii="Verdana" w:hAnsi="Verdana"/>
          <w:b w:val="0"/>
          <w:color w:val="000000"/>
          <w:sz w:val="16"/>
          <w:szCs w:val="16"/>
          <w:shd w:val="clear" w:color="auto" w:fill="FFFFFF"/>
        </w:rPr>
        <w:t>párr. 296;</w:t>
      </w:r>
      <w:r w:rsidRPr="008D0846">
        <w:rPr>
          <w:rStyle w:val="Textoennegrita"/>
          <w:rFonts w:ascii="Verdana" w:hAnsi="Verdana"/>
          <w:b w:val="0"/>
          <w:i/>
          <w:color w:val="000000"/>
          <w:sz w:val="16"/>
          <w:szCs w:val="16"/>
          <w:shd w:val="clear" w:color="auto" w:fill="FFFFFF"/>
        </w:rPr>
        <w:t xml:space="preserve"> Caso Torres Millacura y otros Vs. Argentina. Fondo, Reparaciones y Costas</w:t>
      </w:r>
      <w:r w:rsidRPr="008D0846">
        <w:rPr>
          <w:rStyle w:val="Textoennegrita"/>
          <w:rFonts w:ascii="Verdana" w:hAnsi="Verdana"/>
          <w:b w:val="0"/>
          <w:color w:val="000000"/>
          <w:sz w:val="16"/>
          <w:szCs w:val="16"/>
          <w:shd w:val="clear" w:color="auto" w:fill="FFFFFF"/>
        </w:rPr>
        <w:t xml:space="preserve">. Sentencia de 26 de agosto de 2011. Serie C No. 229, párr. 192; </w:t>
      </w:r>
      <w:r w:rsidRPr="008D0846">
        <w:rPr>
          <w:rStyle w:val="Textoennegrita"/>
          <w:rFonts w:ascii="Verdana" w:hAnsi="Verdana"/>
          <w:b w:val="0"/>
          <w:i/>
          <w:color w:val="000000"/>
          <w:sz w:val="16"/>
          <w:szCs w:val="16"/>
          <w:shd w:val="clear" w:color="auto" w:fill="FFFFFF"/>
        </w:rPr>
        <w:t>Caso Vélez Restrepo y familiares Vs. Colombia. Excepción Preliminar, Fondo, Reparaciones y Costas.</w:t>
      </w:r>
      <w:r w:rsidRPr="008D0846">
        <w:rPr>
          <w:rStyle w:val="Textoennegrita"/>
          <w:rFonts w:ascii="Verdana" w:hAnsi="Verdana"/>
          <w:b w:val="0"/>
          <w:color w:val="000000"/>
          <w:sz w:val="16"/>
          <w:szCs w:val="16"/>
          <w:shd w:val="clear" w:color="auto" w:fill="FFFFFF"/>
        </w:rPr>
        <w:t xml:space="preserve"> Sentencia de 3 de septiembre de 2012. Serie C No. 248, párr. 302;</w:t>
      </w:r>
      <w:r w:rsidRPr="008D0846">
        <w:rPr>
          <w:rStyle w:val="Textoennegrita"/>
          <w:rFonts w:ascii="Verdana" w:hAnsi="Verdana"/>
          <w:b w:val="0"/>
          <w:i/>
          <w:color w:val="000000"/>
          <w:sz w:val="16"/>
          <w:szCs w:val="16"/>
          <w:shd w:val="clear" w:color="auto" w:fill="FFFFFF"/>
        </w:rPr>
        <w:t xml:space="preserve"> Caso Tenorio Roca y otros Vs. Perú, supra, </w:t>
      </w:r>
      <w:r w:rsidRPr="008D0846">
        <w:rPr>
          <w:rStyle w:val="Textoennegrita"/>
          <w:rFonts w:ascii="Verdana" w:hAnsi="Verdana"/>
          <w:b w:val="0"/>
          <w:color w:val="000000"/>
          <w:sz w:val="16"/>
          <w:szCs w:val="16"/>
          <w:shd w:val="clear" w:color="auto" w:fill="FFFFFF"/>
        </w:rPr>
        <w:t xml:space="preserve">párrs. 338 a 339; </w:t>
      </w:r>
      <w:r w:rsidRPr="008D0846">
        <w:rPr>
          <w:rStyle w:val="Textoennegrita"/>
          <w:rFonts w:ascii="Verdana" w:hAnsi="Verdana"/>
          <w:b w:val="0"/>
          <w:i/>
          <w:color w:val="000000"/>
          <w:sz w:val="16"/>
          <w:szCs w:val="16"/>
          <w:shd w:val="clear" w:color="auto" w:fill="FFFFFF"/>
        </w:rPr>
        <w:t>Caso Yarce y otras Vs. Colombia. Excepción Preliminar, Fondo, Reparaciones y Costas</w:t>
      </w:r>
      <w:r w:rsidRPr="008D0846">
        <w:rPr>
          <w:rStyle w:val="Textoennegrita"/>
          <w:rFonts w:ascii="Verdana" w:hAnsi="Verdana"/>
          <w:b w:val="0"/>
          <w:color w:val="000000"/>
          <w:sz w:val="16"/>
          <w:szCs w:val="16"/>
          <w:shd w:val="clear" w:color="auto" w:fill="FFFFFF"/>
        </w:rPr>
        <w:t xml:space="preserve">. Sentencia de 22 de noviembre de 2016. Serie C No. 325, párrs. 367 a 370; </w:t>
      </w:r>
      <w:r w:rsidRPr="008D0846">
        <w:rPr>
          <w:rStyle w:val="Textoennegrita"/>
          <w:rFonts w:ascii="Verdana" w:hAnsi="Verdana"/>
          <w:b w:val="0"/>
          <w:i/>
          <w:color w:val="000000"/>
          <w:sz w:val="16"/>
          <w:szCs w:val="16"/>
          <w:shd w:val="clear" w:color="auto" w:fill="FFFFFF"/>
        </w:rPr>
        <w:t>Caso Miembros de la Aldea Chichupac y comunidades vecinas del Municipio de Rabinal Vs. Guatemala. Excepciones Preliminares, Fondo, Reparaciones y Costas</w:t>
      </w:r>
      <w:r w:rsidRPr="008D0846">
        <w:rPr>
          <w:rStyle w:val="Textoennegrita"/>
          <w:rFonts w:ascii="Verdana" w:hAnsi="Verdana"/>
          <w:b w:val="0"/>
          <w:color w:val="000000"/>
          <w:sz w:val="16"/>
          <w:szCs w:val="16"/>
          <w:shd w:val="clear" w:color="auto" w:fill="FFFFFF"/>
        </w:rPr>
        <w:t>. Sentencia de 30 de noviembre de 2016. Serie C No. 328, párr. 327;</w:t>
      </w:r>
      <w:r w:rsidRPr="008D0846">
        <w:rPr>
          <w:rStyle w:val="Textoennegrita"/>
          <w:rFonts w:ascii="Verdana" w:hAnsi="Verdana"/>
          <w:b w:val="0"/>
          <w:i/>
          <w:color w:val="000000"/>
          <w:sz w:val="16"/>
          <w:szCs w:val="16"/>
          <w:shd w:val="clear" w:color="auto" w:fill="FFFFFF"/>
        </w:rPr>
        <w:t xml:space="preserve"> Caso Munárriz Escobar y otros Vs. Perú, supra, </w:t>
      </w:r>
      <w:r w:rsidRPr="008D0846">
        <w:rPr>
          <w:rStyle w:val="Textoennegrita"/>
          <w:rFonts w:ascii="Verdana" w:hAnsi="Verdana"/>
          <w:b w:val="0"/>
          <w:color w:val="000000"/>
          <w:sz w:val="16"/>
          <w:szCs w:val="16"/>
          <w:shd w:val="clear" w:color="auto" w:fill="FFFFFF"/>
        </w:rPr>
        <w:t>párr. 147, y</w:t>
      </w:r>
      <w:r w:rsidRPr="00187DB9">
        <w:rPr>
          <w:rStyle w:val="Textoennegrita"/>
          <w:rFonts w:ascii="Verdana" w:hAnsi="Verdana"/>
          <w:b w:val="0"/>
          <w:i/>
          <w:color w:val="000000"/>
          <w:sz w:val="16"/>
          <w:szCs w:val="16"/>
          <w:shd w:val="clear" w:color="auto" w:fill="FFFFFF"/>
        </w:rPr>
        <w:t xml:space="preserve"> </w:t>
      </w:r>
      <w:r w:rsidRPr="005262BD">
        <w:rPr>
          <w:rStyle w:val="Textoennegrita"/>
          <w:rFonts w:ascii="Verdana" w:hAnsi="Verdana"/>
          <w:b w:val="0"/>
          <w:i/>
          <w:color w:val="000000"/>
          <w:sz w:val="16"/>
          <w:szCs w:val="16"/>
          <w:shd w:val="clear" w:color="auto" w:fill="FFFFFF"/>
        </w:rPr>
        <w:t>Caso Terrones Silva y otros Vs. Perú</w:t>
      </w:r>
      <w:r w:rsidRPr="007113C0">
        <w:rPr>
          <w:rStyle w:val="Textoennegrita"/>
          <w:rFonts w:ascii="Verdana" w:hAnsi="Verdana"/>
          <w:b w:val="0"/>
          <w:color w:val="000000"/>
          <w:sz w:val="16"/>
          <w:szCs w:val="16"/>
          <w:shd w:val="clear" w:color="auto" w:fill="FFFFFF"/>
        </w:rPr>
        <w:t>,</w:t>
      </w:r>
      <w:r w:rsidRPr="004B60CD">
        <w:rPr>
          <w:rStyle w:val="Textoennegrita"/>
          <w:rFonts w:ascii="Verdana" w:hAnsi="Verdana"/>
          <w:b w:val="0"/>
          <w:i/>
          <w:color w:val="000000"/>
          <w:sz w:val="16"/>
          <w:szCs w:val="16"/>
          <w:shd w:val="clear" w:color="auto" w:fill="FFFFFF"/>
        </w:rPr>
        <w:t xml:space="preserve"> supra, </w:t>
      </w:r>
      <w:r w:rsidRPr="00784F98">
        <w:rPr>
          <w:rStyle w:val="Textoennegrita"/>
          <w:rFonts w:ascii="Verdana" w:hAnsi="Verdana"/>
          <w:b w:val="0"/>
          <w:color w:val="000000"/>
          <w:sz w:val="16"/>
          <w:szCs w:val="16"/>
          <w:shd w:val="clear" w:color="auto" w:fill="FFFFFF"/>
        </w:rPr>
        <w:t>p</w:t>
      </w:r>
      <w:r w:rsidRPr="007C7772">
        <w:rPr>
          <w:rStyle w:val="Textoennegrita"/>
          <w:rFonts w:ascii="Verdana" w:hAnsi="Verdana"/>
          <w:b w:val="0"/>
          <w:color w:val="000000"/>
          <w:sz w:val="16"/>
          <w:szCs w:val="16"/>
          <w:shd w:val="clear" w:color="auto" w:fill="FFFFFF"/>
        </w:rPr>
        <w:t>árr. 275</w:t>
      </w:r>
      <w:r>
        <w:rPr>
          <w:rStyle w:val="Textoennegrita"/>
          <w:rFonts w:ascii="Verdana" w:hAnsi="Verdana"/>
          <w:b w:val="0"/>
          <w:color w:val="000000"/>
          <w:sz w:val="16"/>
          <w:szCs w:val="16"/>
          <w:shd w:val="clear" w:color="auto" w:fill="FFFFFF"/>
        </w:rPr>
        <w:t xml:space="preserve">. </w:t>
      </w:r>
    </w:p>
  </w:footnote>
  <w:footnote w:id="578">
    <w:p w14:paraId="7464E8A9" w14:textId="16F49D41"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2C462C">
        <w:rPr>
          <w:rFonts w:ascii="Verdana" w:hAnsi="Verdana"/>
          <w:sz w:val="16"/>
          <w:szCs w:val="16"/>
          <w:lang w:val="es-CR"/>
        </w:rPr>
        <w:tab/>
      </w:r>
      <w:r>
        <w:rPr>
          <w:rFonts w:ascii="Verdana" w:hAnsi="Verdana"/>
          <w:sz w:val="16"/>
          <w:szCs w:val="16"/>
          <w:lang w:val="es-CR"/>
        </w:rPr>
        <w:t>La cantidad total de USD</w:t>
      </w:r>
      <w:r w:rsidRPr="002C462C">
        <w:rPr>
          <w:rFonts w:ascii="Verdana" w:hAnsi="Verdana"/>
          <w:sz w:val="16"/>
          <w:szCs w:val="16"/>
          <w:lang w:val="es-CR"/>
        </w:rPr>
        <w:t>$108,070.52</w:t>
      </w:r>
      <w:r>
        <w:rPr>
          <w:rFonts w:ascii="Verdana" w:hAnsi="Verdana"/>
          <w:sz w:val="16"/>
          <w:szCs w:val="16"/>
          <w:lang w:val="es-CR"/>
        </w:rPr>
        <w:t xml:space="preserve"> solicitada por las representantes se conformó por los siguientes rubros: i) </w:t>
      </w:r>
      <w:r w:rsidRPr="002C462C">
        <w:rPr>
          <w:rFonts w:ascii="Verdana" w:hAnsi="Verdana"/>
          <w:sz w:val="16"/>
          <w:szCs w:val="16"/>
          <w:lang w:val="es-AR"/>
        </w:rPr>
        <w:t>salarios</w:t>
      </w:r>
      <w:r>
        <w:rPr>
          <w:rFonts w:ascii="Verdana" w:hAnsi="Verdana"/>
          <w:sz w:val="16"/>
          <w:szCs w:val="16"/>
          <w:lang w:val="es-AR"/>
        </w:rPr>
        <w:t>,</w:t>
      </w:r>
      <w:r w:rsidRPr="002C462C">
        <w:rPr>
          <w:rFonts w:ascii="Verdana" w:hAnsi="Verdana"/>
          <w:sz w:val="16"/>
          <w:szCs w:val="16"/>
          <w:lang w:val="es-AR"/>
        </w:rPr>
        <w:t xml:space="preserve"> $1,228,846.30</w:t>
      </w:r>
      <w:r>
        <w:rPr>
          <w:rFonts w:ascii="Verdana" w:hAnsi="Verdana"/>
          <w:sz w:val="16"/>
          <w:szCs w:val="16"/>
          <w:lang w:val="es-AR"/>
        </w:rPr>
        <w:t xml:space="preserve"> pesos mexicanos; ii) </w:t>
      </w:r>
      <w:r w:rsidRPr="002C462C">
        <w:rPr>
          <w:rFonts w:ascii="Verdana" w:hAnsi="Verdana"/>
          <w:sz w:val="16"/>
          <w:szCs w:val="16"/>
          <w:lang w:val="es-AR"/>
        </w:rPr>
        <w:t>viajes</w:t>
      </w:r>
      <w:r>
        <w:rPr>
          <w:rFonts w:ascii="Verdana" w:hAnsi="Verdana"/>
          <w:sz w:val="16"/>
          <w:szCs w:val="16"/>
          <w:lang w:val="es-AR"/>
        </w:rPr>
        <w:t>,</w:t>
      </w:r>
      <w:r w:rsidRPr="002C462C">
        <w:rPr>
          <w:rFonts w:ascii="Verdana" w:hAnsi="Verdana"/>
          <w:sz w:val="16"/>
          <w:szCs w:val="16"/>
          <w:lang w:val="es-AR"/>
        </w:rPr>
        <w:t xml:space="preserve"> $632,872.55</w:t>
      </w:r>
      <w:r>
        <w:rPr>
          <w:rFonts w:ascii="Verdana" w:hAnsi="Verdana"/>
          <w:sz w:val="16"/>
          <w:szCs w:val="16"/>
          <w:lang w:val="es-AR"/>
        </w:rPr>
        <w:t xml:space="preserve"> pesos mexicanos; iii) </w:t>
      </w:r>
      <w:r w:rsidRPr="002C462C">
        <w:rPr>
          <w:rFonts w:ascii="Verdana" w:hAnsi="Verdana"/>
          <w:sz w:val="16"/>
          <w:szCs w:val="16"/>
          <w:lang w:val="es-AR"/>
        </w:rPr>
        <w:t>a</w:t>
      </w:r>
      <w:r w:rsidRPr="00432ABC">
        <w:rPr>
          <w:rFonts w:ascii="Verdana" w:hAnsi="Verdana"/>
          <w:sz w:val="16"/>
          <w:szCs w:val="16"/>
          <w:lang w:val="es-AR"/>
        </w:rPr>
        <w:t>poyo en efectivo a l</w:t>
      </w:r>
      <w:r>
        <w:rPr>
          <w:rFonts w:ascii="Verdana" w:hAnsi="Verdana"/>
          <w:sz w:val="16"/>
          <w:szCs w:val="16"/>
          <w:lang w:val="es-AR"/>
        </w:rPr>
        <w:t xml:space="preserve">os </w:t>
      </w:r>
      <w:r w:rsidRPr="00432ABC">
        <w:rPr>
          <w:rFonts w:ascii="Verdana" w:hAnsi="Verdana"/>
          <w:sz w:val="16"/>
          <w:szCs w:val="16"/>
          <w:lang w:val="es-AR"/>
        </w:rPr>
        <w:t>familia</w:t>
      </w:r>
      <w:r>
        <w:rPr>
          <w:rFonts w:ascii="Verdana" w:hAnsi="Verdana"/>
          <w:sz w:val="16"/>
          <w:szCs w:val="16"/>
          <w:lang w:val="es-AR"/>
        </w:rPr>
        <w:t>re</w:t>
      </w:r>
      <w:r w:rsidRPr="00432ABC">
        <w:rPr>
          <w:rFonts w:ascii="Verdana" w:hAnsi="Verdana"/>
          <w:sz w:val="16"/>
          <w:szCs w:val="16"/>
          <w:lang w:val="es-AR"/>
        </w:rPr>
        <w:t>s</w:t>
      </w:r>
      <w:r>
        <w:rPr>
          <w:rFonts w:ascii="Verdana" w:hAnsi="Verdana"/>
          <w:sz w:val="16"/>
          <w:szCs w:val="16"/>
          <w:lang w:val="es-AR"/>
        </w:rPr>
        <w:t>,</w:t>
      </w:r>
      <w:r w:rsidRPr="00432ABC">
        <w:rPr>
          <w:rFonts w:ascii="Verdana" w:hAnsi="Verdana"/>
          <w:sz w:val="16"/>
          <w:szCs w:val="16"/>
          <w:lang w:val="es-AR"/>
        </w:rPr>
        <w:t xml:space="preserve"> $70,435</w:t>
      </w:r>
      <w:r>
        <w:rPr>
          <w:rFonts w:ascii="Verdana" w:hAnsi="Verdana"/>
          <w:sz w:val="16"/>
          <w:szCs w:val="16"/>
          <w:lang w:val="es-AR"/>
        </w:rPr>
        <w:t xml:space="preserve"> pesos mexicanos, y iv)</w:t>
      </w:r>
      <w:r w:rsidRPr="00432ABC">
        <w:rPr>
          <w:rFonts w:ascii="Verdana" w:hAnsi="Verdana"/>
          <w:sz w:val="16"/>
          <w:szCs w:val="16"/>
          <w:lang w:val="es-AR"/>
        </w:rPr>
        <w:t xml:space="preserve"> otros gastos</w:t>
      </w:r>
      <w:r>
        <w:rPr>
          <w:rFonts w:ascii="Verdana" w:hAnsi="Verdana"/>
          <w:sz w:val="16"/>
          <w:szCs w:val="16"/>
          <w:lang w:val="es-AR"/>
        </w:rPr>
        <w:t>,</w:t>
      </w:r>
      <w:r w:rsidRPr="00432ABC">
        <w:rPr>
          <w:rFonts w:ascii="Verdana" w:hAnsi="Verdana"/>
          <w:sz w:val="16"/>
          <w:szCs w:val="16"/>
          <w:lang w:val="es-AR"/>
        </w:rPr>
        <w:t xml:space="preserve"> </w:t>
      </w:r>
      <w:r>
        <w:rPr>
          <w:rFonts w:ascii="Verdana" w:hAnsi="Verdana"/>
          <w:sz w:val="16"/>
          <w:szCs w:val="16"/>
          <w:lang w:val="es-AR"/>
        </w:rPr>
        <w:t>MX</w:t>
      </w:r>
      <w:r w:rsidRPr="00432ABC">
        <w:rPr>
          <w:rFonts w:ascii="Verdana" w:hAnsi="Verdana"/>
          <w:sz w:val="16"/>
          <w:szCs w:val="16"/>
          <w:lang w:val="es-AR"/>
        </w:rPr>
        <w:t>$22,065.45</w:t>
      </w:r>
      <w:r>
        <w:rPr>
          <w:rFonts w:ascii="Verdana" w:hAnsi="Verdana"/>
          <w:sz w:val="16"/>
          <w:szCs w:val="16"/>
          <w:lang w:val="es-AR"/>
        </w:rPr>
        <w:t xml:space="preserve"> (expediente de fondo, f. 209), monto incrementado a $25,587.02 pesos mexicanos al momento de la presentación de los anexos al escritos de solicitudes y argumentos </w:t>
      </w:r>
      <w:r w:rsidRPr="008D0846">
        <w:rPr>
          <w:rFonts w:ascii="Verdana" w:hAnsi="Verdana"/>
          <w:sz w:val="16"/>
          <w:szCs w:val="16"/>
          <w:lang w:val="es-AR"/>
        </w:rPr>
        <w:t>(expediente de fondo, f. 217)</w:t>
      </w:r>
      <w:r>
        <w:rPr>
          <w:rFonts w:ascii="Verdana" w:hAnsi="Verdana"/>
          <w:sz w:val="16"/>
          <w:szCs w:val="16"/>
          <w:lang w:val="es-AR"/>
        </w:rPr>
        <w:t xml:space="preserve">, no obstante lo cual, en sus alegatos finales escritos, las representantes sólo refirieron la cantidad inicialmente fijada en este rubro por </w:t>
      </w:r>
      <w:r w:rsidRPr="00432ABC">
        <w:rPr>
          <w:rFonts w:ascii="Verdana" w:hAnsi="Verdana"/>
          <w:sz w:val="16"/>
          <w:szCs w:val="16"/>
          <w:lang w:val="es-AR"/>
        </w:rPr>
        <w:t>$22,065.45</w:t>
      </w:r>
      <w:r>
        <w:rPr>
          <w:rFonts w:ascii="Verdana" w:hAnsi="Verdana"/>
          <w:sz w:val="16"/>
          <w:szCs w:val="16"/>
          <w:lang w:val="es-AR"/>
        </w:rPr>
        <w:t xml:space="preserve"> pesos mexicanos (expediente de fondo, f. 2058)</w:t>
      </w:r>
      <w:r w:rsidRPr="00432ABC">
        <w:rPr>
          <w:rFonts w:ascii="Verdana" w:hAnsi="Verdana"/>
          <w:sz w:val="16"/>
          <w:szCs w:val="16"/>
          <w:lang w:val="es-AR"/>
        </w:rPr>
        <w:t>. Por su parte</w:t>
      </w:r>
      <w:r>
        <w:rPr>
          <w:rFonts w:ascii="Verdana" w:hAnsi="Verdana"/>
          <w:sz w:val="16"/>
          <w:szCs w:val="16"/>
          <w:lang w:val="es-AR"/>
        </w:rPr>
        <w:t>,</w:t>
      </w:r>
      <w:r w:rsidRPr="00432ABC">
        <w:rPr>
          <w:rFonts w:ascii="Verdana" w:hAnsi="Verdana"/>
          <w:sz w:val="16"/>
          <w:szCs w:val="16"/>
          <w:lang w:val="es-AR"/>
        </w:rPr>
        <w:t xml:space="preserve"> respecto del </w:t>
      </w:r>
      <w:r>
        <w:rPr>
          <w:rFonts w:ascii="Verdana" w:hAnsi="Verdana"/>
          <w:sz w:val="16"/>
          <w:szCs w:val="16"/>
          <w:lang w:val="es-AR"/>
        </w:rPr>
        <w:t>a</w:t>
      </w:r>
      <w:r w:rsidRPr="00432ABC">
        <w:rPr>
          <w:rFonts w:ascii="Verdana" w:hAnsi="Verdana"/>
          <w:sz w:val="16"/>
          <w:szCs w:val="16"/>
          <w:lang w:val="es-AR"/>
        </w:rPr>
        <w:t xml:space="preserve">bogado Carlos Spector, las representantes solicitaron la suma de </w:t>
      </w:r>
      <w:r>
        <w:rPr>
          <w:rFonts w:ascii="Verdana" w:hAnsi="Verdana"/>
          <w:sz w:val="16"/>
          <w:szCs w:val="16"/>
          <w:lang w:val="es-AR"/>
        </w:rPr>
        <w:t>USD</w:t>
      </w:r>
      <w:r w:rsidRPr="00432ABC">
        <w:rPr>
          <w:rFonts w:ascii="Verdana" w:hAnsi="Verdana"/>
          <w:sz w:val="16"/>
          <w:szCs w:val="16"/>
          <w:lang w:val="es-AR"/>
        </w:rPr>
        <w:t xml:space="preserve">$21,500 </w:t>
      </w:r>
      <w:r>
        <w:rPr>
          <w:rFonts w:ascii="Verdana" w:hAnsi="Verdana"/>
          <w:sz w:val="16"/>
          <w:szCs w:val="16"/>
          <w:lang w:val="es-AR"/>
        </w:rPr>
        <w:t>d</w:t>
      </w:r>
      <w:r w:rsidRPr="00432ABC">
        <w:rPr>
          <w:rFonts w:ascii="Verdana" w:hAnsi="Verdana"/>
          <w:sz w:val="16"/>
          <w:szCs w:val="16"/>
          <w:lang w:val="es-AR"/>
        </w:rPr>
        <w:t xml:space="preserve">ólares estadounidenses, </w:t>
      </w:r>
      <w:r>
        <w:rPr>
          <w:rFonts w:ascii="Verdana" w:hAnsi="Verdana"/>
          <w:sz w:val="16"/>
          <w:szCs w:val="16"/>
          <w:lang w:val="es-AR"/>
        </w:rPr>
        <w:t xml:space="preserve">por </w:t>
      </w:r>
      <w:r w:rsidRPr="00432ABC">
        <w:rPr>
          <w:rFonts w:ascii="Verdana" w:hAnsi="Verdana"/>
          <w:sz w:val="16"/>
          <w:szCs w:val="16"/>
          <w:lang w:val="es-AR"/>
        </w:rPr>
        <w:t>concepto de</w:t>
      </w:r>
      <w:r>
        <w:rPr>
          <w:rFonts w:ascii="Verdana" w:hAnsi="Verdana"/>
          <w:sz w:val="16"/>
          <w:szCs w:val="16"/>
          <w:lang w:val="es-AR"/>
        </w:rPr>
        <w:t xml:space="preserve">: i) </w:t>
      </w:r>
      <w:r w:rsidRPr="00432ABC">
        <w:rPr>
          <w:rFonts w:ascii="Verdana" w:hAnsi="Verdana"/>
          <w:sz w:val="16"/>
          <w:szCs w:val="16"/>
          <w:lang w:val="es-AR"/>
        </w:rPr>
        <w:t xml:space="preserve">proceso para la residencia legal permanente de </w:t>
      </w:r>
      <w:r w:rsidRPr="00A44289">
        <w:rPr>
          <w:rFonts w:ascii="Verdana" w:hAnsi="Verdana"/>
          <w:sz w:val="16"/>
          <w:szCs w:val="16"/>
          <w:lang w:val="es-CR"/>
        </w:rPr>
        <w:t>M.P.A.E., N.S.A.E. y D.A.E.</w:t>
      </w:r>
      <w:r>
        <w:rPr>
          <w:rFonts w:ascii="Verdana" w:hAnsi="Verdana"/>
          <w:sz w:val="16"/>
          <w:szCs w:val="16"/>
          <w:lang w:val="es-AR"/>
        </w:rPr>
        <w:t>, USD</w:t>
      </w:r>
      <w:r w:rsidRPr="00432ABC">
        <w:rPr>
          <w:rFonts w:ascii="Verdana" w:hAnsi="Verdana"/>
          <w:sz w:val="16"/>
          <w:szCs w:val="16"/>
          <w:lang w:val="es-AR"/>
        </w:rPr>
        <w:t xml:space="preserve">$1,500 dólares estadounidenses; </w:t>
      </w:r>
      <w:r>
        <w:rPr>
          <w:rFonts w:ascii="Verdana" w:hAnsi="Verdana"/>
          <w:sz w:val="16"/>
          <w:szCs w:val="16"/>
          <w:lang w:val="es-AR"/>
        </w:rPr>
        <w:t xml:space="preserve">ii) </w:t>
      </w:r>
      <w:r w:rsidRPr="00432ABC">
        <w:rPr>
          <w:rFonts w:ascii="Verdana" w:hAnsi="Verdana"/>
          <w:sz w:val="16"/>
          <w:szCs w:val="16"/>
          <w:lang w:val="es-AR"/>
        </w:rPr>
        <w:t>gastos derivados del cruce en el puente internacional para la totalidad de la familia Alvarado Espinoza</w:t>
      </w:r>
      <w:r>
        <w:rPr>
          <w:rFonts w:ascii="Verdana" w:hAnsi="Verdana"/>
          <w:sz w:val="16"/>
          <w:szCs w:val="16"/>
          <w:lang w:val="es-AR"/>
        </w:rPr>
        <w:t xml:space="preserve"> [sic], USD</w:t>
      </w:r>
      <w:r w:rsidRPr="00432ABC">
        <w:rPr>
          <w:rFonts w:ascii="Verdana" w:hAnsi="Verdana"/>
          <w:sz w:val="16"/>
          <w:szCs w:val="16"/>
          <w:lang w:val="es-AR"/>
        </w:rPr>
        <w:t xml:space="preserve">$2,500 dólares estadounidenses; </w:t>
      </w:r>
      <w:r>
        <w:rPr>
          <w:rFonts w:ascii="Verdana" w:hAnsi="Verdana"/>
          <w:sz w:val="16"/>
          <w:szCs w:val="16"/>
          <w:lang w:val="es-AR"/>
        </w:rPr>
        <w:t xml:space="preserve">iii) por el </w:t>
      </w:r>
      <w:r w:rsidRPr="00432ABC">
        <w:rPr>
          <w:rFonts w:ascii="Verdana" w:hAnsi="Verdana"/>
          <w:sz w:val="16"/>
          <w:szCs w:val="16"/>
          <w:lang w:val="es-AR"/>
        </w:rPr>
        <w:t xml:space="preserve">caso </w:t>
      </w:r>
      <w:r>
        <w:rPr>
          <w:rFonts w:ascii="Verdana" w:hAnsi="Verdana"/>
          <w:sz w:val="16"/>
          <w:szCs w:val="16"/>
          <w:lang w:val="es-AR"/>
        </w:rPr>
        <w:t xml:space="preserve">de </w:t>
      </w:r>
      <w:r w:rsidRPr="00432ABC">
        <w:rPr>
          <w:rFonts w:ascii="Verdana" w:hAnsi="Verdana"/>
          <w:sz w:val="16"/>
          <w:szCs w:val="16"/>
          <w:lang w:val="es-AR"/>
        </w:rPr>
        <w:t>asilo político para María de Jesús Alvarado Espinoza, Rigoberto Ambriz Mar</w:t>
      </w:r>
      <w:r>
        <w:rPr>
          <w:rFonts w:ascii="Verdana" w:hAnsi="Verdana"/>
          <w:sz w:val="16"/>
          <w:szCs w:val="16"/>
          <w:lang w:val="es-AR"/>
        </w:rPr>
        <w:t>r</w:t>
      </w:r>
      <w:r w:rsidRPr="00432ABC">
        <w:rPr>
          <w:rFonts w:ascii="Verdana" w:hAnsi="Verdana"/>
          <w:sz w:val="16"/>
          <w:szCs w:val="16"/>
          <w:lang w:val="es-AR"/>
        </w:rPr>
        <w:t xml:space="preserve">ufo y </w:t>
      </w:r>
      <w:r>
        <w:rPr>
          <w:rFonts w:ascii="Verdana" w:hAnsi="Verdana"/>
          <w:sz w:val="16"/>
          <w:szCs w:val="16"/>
          <w:lang w:val="es-AR"/>
        </w:rPr>
        <w:t>lo</w:t>
      </w:r>
      <w:r w:rsidRPr="00432ABC">
        <w:rPr>
          <w:rFonts w:ascii="Verdana" w:hAnsi="Verdana"/>
          <w:sz w:val="16"/>
          <w:szCs w:val="16"/>
          <w:lang w:val="es-AR"/>
        </w:rPr>
        <w:t>s cuatro hij</w:t>
      </w:r>
      <w:r>
        <w:rPr>
          <w:rFonts w:ascii="Verdana" w:hAnsi="Verdana"/>
          <w:sz w:val="16"/>
          <w:szCs w:val="16"/>
          <w:lang w:val="es-AR"/>
        </w:rPr>
        <w:t>o</w:t>
      </w:r>
      <w:r w:rsidRPr="00432ABC">
        <w:rPr>
          <w:rFonts w:ascii="Verdana" w:hAnsi="Verdana"/>
          <w:sz w:val="16"/>
          <w:szCs w:val="16"/>
          <w:lang w:val="es-AR"/>
        </w:rPr>
        <w:t xml:space="preserve">s </w:t>
      </w:r>
      <w:r>
        <w:rPr>
          <w:rFonts w:ascii="Verdana" w:hAnsi="Verdana"/>
          <w:sz w:val="16"/>
          <w:szCs w:val="16"/>
          <w:lang w:val="es-AR"/>
        </w:rPr>
        <w:t>de ambos, USD</w:t>
      </w:r>
      <w:r w:rsidRPr="00432ABC">
        <w:rPr>
          <w:rFonts w:ascii="Verdana" w:hAnsi="Verdana"/>
          <w:sz w:val="16"/>
          <w:szCs w:val="16"/>
          <w:lang w:val="es-AR"/>
        </w:rPr>
        <w:t>$ 10,000 dólares estadounidenses</w:t>
      </w:r>
      <w:r>
        <w:rPr>
          <w:rFonts w:ascii="Verdana" w:hAnsi="Verdana"/>
          <w:sz w:val="16"/>
          <w:szCs w:val="16"/>
          <w:lang w:val="es-AR"/>
        </w:rPr>
        <w:t xml:space="preserve">, y iv) </w:t>
      </w:r>
      <w:r w:rsidRPr="00432ABC">
        <w:rPr>
          <w:rFonts w:ascii="Verdana" w:hAnsi="Verdana"/>
          <w:sz w:val="16"/>
          <w:szCs w:val="16"/>
          <w:lang w:val="es-AR"/>
        </w:rPr>
        <w:t>por el caso sobre asilo político para Ascención Alvarado Fabela y María de Jesús Espinoza Peinado</w:t>
      </w:r>
      <w:r>
        <w:rPr>
          <w:rFonts w:ascii="Verdana" w:hAnsi="Verdana"/>
          <w:sz w:val="16"/>
          <w:szCs w:val="16"/>
          <w:lang w:val="es-AR"/>
        </w:rPr>
        <w:t>,</w:t>
      </w:r>
      <w:r w:rsidRPr="00432ABC">
        <w:rPr>
          <w:rFonts w:ascii="Verdana" w:hAnsi="Verdana"/>
          <w:sz w:val="16"/>
          <w:szCs w:val="16"/>
          <w:lang w:val="es-AR"/>
        </w:rPr>
        <w:t xml:space="preserve"> </w:t>
      </w:r>
      <w:r>
        <w:rPr>
          <w:rFonts w:ascii="Verdana" w:hAnsi="Verdana"/>
          <w:sz w:val="16"/>
          <w:szCs w:val="16"/>
          <w:lang w:val="es-AR"/>
        </w:rPr>
        <w:t>USD</w:t>
      </w:r>
      <w:r w:rsidRPr="00432ABC">
        <w:rPr>
          <w:rFonts w:ascii="Verdana" w:hAnsi="Verdana"/>
          <w:sz w:val="16"/>
          <w:szCs w:val="16"/>
          <w:lang w:val="es-AR"/>
        </w:rPr>
        <w:t xml:space="preserve">$7,500 dólares estadounidenses </w:t>
      </w:r>
      <w:r w:rsidRPr="008D0846">
        <w:rPr>
          <w:rFonts w:ascii="Verdana" w:hAnsi="Verdana"/>
          <w:sz w:val="16"/>
          <w:szCs w:val="16"/>
          <w:lang w:val="es-CR"/>
        </w:rPr>
        <w:t>(expediente de fondo, ff. 209 a 210).</w:t>
      </w:r>
    </w:p>
  </w:footnote>
  <w:footnote w:id="579">
    <w:p w14:paraId="5A71C235" w14:textId="77777777" w:rsidR="00146958" w:rsidRPr="00DB378B" w:rsidRDefault="00146958" w:rsidP="00597F8F">
      <w:pPr>
        <w:pStyle w:val="Textonotapie"/>
        <w:jc w:val="both"/>
        <w:rPr>
          <w:rFonts w:ascii="Verdana" w:hAnsi="Verdana"/>
          <w:lang w:val="uz-Cyrl-UZ"/>
        </w:rPr>
      </w:pPr>
      <w:r w:rsidRPr="00432ABC">
        <w:rPr>
          <w:rStyle w:val="Refdenotaalpie"/>
          <w:rFonts w:ascii="Verdana" w:hAnsi="Verdana"/>
          <w:sz w:val="16"/>
          <w:szCs w:val="16"/>
        </w:rPr>
        <w:footnoteRef/>
      </w:r>
      <w:r w:rsidRPr="00432ABC">
        <w:rPr>
          <w:rFonts w:ascii="Verdana" w:hAnsi="Verdana"/>
          <w:sz w:val="16"/>
          <w:szCs w:val="16"/>
          <w:lang w:val="uz-Cyrl-UZ"/>
        </w:rPr>
        <w:t xml:space="preserve"> </w:t>
      </w:r>
      <w:r w:rsidRPr="002C462C">
        <w:rPr>
          <w:rFonts w:ascii="Verdana" w:hAnsi="Verdana"/>
          <w:sz w:val="16"/>
          <w:szCs w:val="16"/>
          <w:lang w:val="es-CR"/>
        </w:rPr>
        <w:tab/>
      </w:r>
      <w:r>
        <w:rPr>
          <w:rFonts w:ascii="Verdana" w:hAnsi="Verdana"/>
          <w:sz w:val="16"/>
          <w:szCs w:val="16"/>
          <w:lang w:val="es-CR"/>
        </w:rPr>
        <w:t>El incremento total del monto solicitado por las representantes s</w:t>
      </w:r>
      <w:r w:rsidRPr="002C462C">
        <w:rPr>
          <w:rFonts w:ascii="Verdana" w:hAnsi="Verdana"/>
          <w:sz w:val="16"/>
          <w:szCs w:val="16"/>
          <w:lang w:val="es-CR"/>
        </w:rPr>
        <w:t>e deriv</w:t>
      </w:r>
      <w:r>
        <w:rPr>
          <w:rFonts w:ascii="Verdana" w:hAnsi="Verdana"/>
          <w:sz w:val="16"/>
          <w:szCs w:val="16"/>
          <w:lang w:val="es-CR"/>
        </w:rPr>
        <w:t xml:space="preserve">ó </w:t>
      </w:r>
      <w:r w:rsidRPr="002C462C">
        <w:rPr>
          <w:rFonts w:ascii="Verdana" w:hAnsi="Verdana"/>
          <w:sz w:val="16"/>
          <w:szCs w:val="16"/>
          <w:lang w:val="es-CR"/>
        </w:rPr>
        <w:t xml:space="preserve">de la suma de </w:t>
      </w:r>
      <w:r>
        <w:rPr>
          <w:rFonts w:ascii="Verdana" w:hAnsi="Verdana"/>
          <w:sz w:val="16"/>
          <w:szCs w:val="16"/>
          <w:lang w:val="es-CR"/>
        </w:rPr>
        <w:t xml:space="preserve">los siguientes conceptos: i) salarios, </w:t>
      </w:r>
      <w:r w:rsidRPr="002C462C">
        <w:rPr>
          <w:rFonts w:ascii="Verdana" w:hAnsi="Verdana"/>
          <w:sz w:val="16"/>
          <w:szCs w:val="16"/>
          <w:lang w:val="es-CR"/>
        </w:rPr>
        <w:t xml:space="preserve">$148,389.20 </w:t>
      </w:r>
      <w:r>
        <w:rPr>
          <w:rFonts w:ascii="Verdana" w:hAnsi="Verdana"/>
          <w:sz w:val="16"/>
          <w:szCs w:val="16"/>
          <w:lang w:val="es-CR"/>
        </w:rPr>
        <w:t>pesos mexicanos; ii) viajes</w:t>
      </w:r>
      <w:r w:rsidRPr="002C462C">
        <w:rPr>
          <w:rFonts w:ascii="Verdana" w:hAnsi="Verdana"/>
          <w:sz w:val="16"/>
          <w:szCs w:val="16"/>
          <w:lang w:val="es-CR"/>
        </w:rPr>
        <w:t>, $354,773.73</w:t>
      </w:r>
      <w:r>
        <w:rPr>
          <w:rFonts w:ascii="Verdana" w:hAnsi="Verdana"/>
          <w:sz w:val="16"/>
          <w:szCs w:val="16"/>
          <w:lang w:val="es-CR"/>
        </w:rPr>
        <w:t xml:space="preserve"> pesos mexicanos</w:t>
      </w:r>
      <w:r w:rsidRPr="002C462C">
        <w:rPr>
          <w:rFonts w:ascii="Verdana" w:hAnsi="Verdana"/>
          <w:sz w:val="16"/>
          <w:szCs w:val="16"/>
          <w:lang w:val="es-CR"/>
        </w:rPr>
        <w:t xml:space="preserve">, y </w:t>
      </w:r>
      <w:r>
        <w:rPr>
          <w:rFonts w:ascii="Verdana" w:hAnsi="Verdana"/>
          <w:sz w:val="16"/>
          <w:szCs w:val="16"/>
          <w:lang w:val="es-CR"/>
        </w:rPr>
        <w:t xml:space="preserve">iii) </w:t>
      </w:r>
      <w:r w:rsidRPr="002C462C">
        <w:rPr>
          <w:rFonts w:ascii="Verdana" w:hAnsi="Verdana"/>
          <w:sz w:val="16"/>
          <w:szCs w:val="16"/>
          <w:lang w:val="es-CR"/>
        </w:rPr>
        <w:t>otros gastos</w:t>
      </w:r>
      <w:r>
        <w:rPr>
          <w:rFonts w:ascii="Verdana" w:hAnsi="Verdana"/>
          <w:sz w:val="16"/>
          <w:szCs w:val="16"/>
          <w:lang w:val="es-CR"/>
        </w:rPr>
        <w:t xml:space="preserve">, </w:t>
      </w:r>
      <w:r w:rsidRPr="002C462C">
        <w:rPr>
          <w:rFonts w:ascii="Verdana" w:hAnsi="Verdana"/>
          <w:sz w:val="16"/>
          <w:szCs w:val="16"/>
          <w:lang w:val="es-CR"/>
        </w:rPr>
        <w:t>$12,843.54</w:t>
      </w:r>
      <w:r>
        <w:rPr>
          <w:rFonts w:ascii="Verdana" w:hAnsi="Verdana"/>
          <w:sz w:val="16"/>
          <w:szCs w:val="16"/>
          <w:lang w:val="es-CR"/>
        </w:rPr>
        <w:t xml:space="preserve"> pesos mexicanos</w:t>
      </w:r>
      <w:r w:rsidRPr="002C462C">
        <w:rPr>
          <w:rFonts w:ascii="Verdana" w:hAnsi="Verdana"/>
          <w:sz w:val="16"/>
          <w:szCs w:val="16"/>
          <w:lang w:val="es-CR"/>
        </w:rPr>
        <w:t xml:space="preserve"> </w:t>
      </w:r>
      <w:r w:rsidRPr="00351335">
        <w:rPr>
          <w:rFonts w:ascii="Verdana" w:hAnsi="Verdana"/>
          <w:sz w:val="16"/>
          <w:szCs w:val="16"/>
          <w:lang w:val="es-CR"/>
        </w:rPr>
        <w:t>(expediente de fondo, ff. 2058 a 2059).</w:t>
      </w:r>
    </w:p>
  </w:footnote>
  <w:footnote w:id="580">
    <w:p w14:paraId="20ADC7BC" w14:textId="0B9BCC00" w:rsidR="00146958" w:rsidRPr="008D0846" w:rsidRDefault="00146958" w:rsidP="0065557D">
      <w:pPr>
        <w:pStyle w:val="Textonotapie"/>
        <w:jc w:val="both"/>
        <w:rPr>
          <w:rFonts w:ascii="Verdana" w:hAnsi="Verdana"/>
          <w:sz w:val="16"/>
          <w:szCs w:val="16"/>
          <w:lang w:val="es-CR"/>
        </w:rPr>
      </w:pPr>
      <w:r w:rsidRPr="008D0846">
        <w:rPr>
          <w:rStyle w:val="Refdenotaalpie"/>
          <w:rFonts w:ascii="Verdana" w:hAnsi="Verdana"/>
          <w:sz w:val="16"/>
          <w:szCs w:val="16"/>
        </w:rPr>
        <w:footnoteRef/>
      </w:r>
      <w:r w:rsidRPr="008D0846">
        <w:rPr>
          <w:rFonts w:ascii="Verdana" w:hAnsi="Verdana"/>
          <w:sz w:val="16"/>
          <w:szCs w:val="16"/>
          <w:lang w:val="es-CR"/>
        </w:rPr>
        <w:t xml:space="preserve"> </w:t>
      </w:r>
      <w:r w:rsidRPr="008D0846">
        <w:rPr>
          <w:rFonts w:ascii="Verdana" w:hAnsi="Verdana"/>
          <w:sz w:val="16"/>
          <w:szCs w:val="16"/>
          <w:lang w:val="es-CR"/>
        </w:rPr>
        <w:tab/>
      </w:r>
      <w:r w:rsidRPr="0065557D">
        <w:rPr>
          <w:rFonts w:ascii="Verdana" w:hAnsi="Verdana"/>
          <w:sz w:val="16"/>
          <w:szCs w:val="16"/>
          <w:lang w:val="es-CR"/>
        </w:rPr>
        <w:t xml:space="preserve">Así indicado por las representantes en sus alegatos finales escritos utilizando el tipo de cambio definido de manera oficial para el 28 de mayo de 2018, por el Servicio de Administración Tributaria de la Secretaría de Hacienda de México </w:t>
      </w:r>
      <w:r w:rsidRPr="008D0846">
        <w:rPr>
          <w:rFonts w:ascii="Verdana" w:hAnsi="Verdana"/>
          <w:sz w:val="16"/>
          <w:szCs w:val="16"/>
          <w:lang w:val="es-CR"/>
        </w:rPr>
        <w:t xml:space="preserve">(expediente de fondo, f. 2058 a2059). </w:t>
      </w:r>
    </w:p>
  </w:footnote>
  <w:footnote w:id="581">
    <w:p w14:paraId="785715A4" w14:textId="18CED616" w:rsidR="00146958" w:rsidRPr="00432ABC" w:rsidRDefault="00146958">
      <w:pPr>
        <w:pStyle w:val="Textonotapie"/>
        <w:jc w:val="both"/>
        <w:rPr>
          <w:rFonts w:ascii="Verdana" w:hAnsi="Verdana"/>
          <w:b/>
          <w:sz w:val="16"/>
          <w:szCs w:val="16"/>
          <w:lang w:val="es-ES_tradnl"/>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lang w:val="es-CR"/>
        </w:rPr>
        <w:t>Cfr.</w:t>
      </w:r>
      <w:r>
        <w:rPr>
          <w:rFonts w:ascii="Verdana" w:hAnsi="Verdana"/>
          <w:bCs/>
          <w:i/>
          <w:sz w:val="16"/>
          <w:szCs w:val="16"/>
        </w:rPr>
        <w:t xml:space="preserve"> </w:t>
      </w:r>
      <w:r w:rsidRPr="00594122">
        <w:rPr>
          <w:rFonts w:ascii="Verdana" w:hAnsi="Verdana"/>
          <w:bCs/>
          <w:i/>
          <w:color w:val="000000"/>
          <w:sz w:val="16"/>
          <w:szCs w:val="16"/>
          <w:shd w:val="clear" w:color="auto" w:fill="FFFFFF"/>
        </w:rPr>
        <w:t>Caso Garrido y Baigorria Vs. Argentina. Reparaciones y Costas</w:t>
      </w:r>
      <w:r w:rsidRPr="0045469F">
        <w:rPr>
          <w:rFonts w:ascii="Verdana" w:hAnsi="Verdana"/>
          <w:bCs/>
          <w:color w:val="000000"/>
          <w:sz w:val="16"/>
          <w:szCs w:val="16"/>
          <w:shd w:val="clear" w:color="auto" w:fill="FFFFFF"/>
        </w:rPr>
        <w:t xml:space="preserve">. Sentencia de 27 de agosto de 1998. Serie C No. 39, párr. 79 </w:t>
      </w:r>
      <w:r w:rsidRPr="0045469F">
        <w:rPr>
          <w:rFonts w:ascii="Verdana" w:hAnsi="Verdana"/>
          <w:sz w:val="16"/>
          <w:szCs w:val="16"/>
          <w:lang w:val="es-CR"/>
        </w:rPr>
        <w:t xml:space="preserve">y </w:t>
      </w:r>
      <w:r w:rsidRPr="008D0846">
        <w:rPr>
          <w:rFonts w:ascii="Verdana" w:hAnsi="Verdana"/>
          <w:i/>
          <w:sz w:val="16"/>
          <w:szCs w:val="16"/>
          <w:lang w:val="es-CR"/>
        </w:rPr>
        <w:t>C</w:t>
      </w:r>
      <w:r w:rsidRPr="008D0846">
        <w:rPr>
          <w:rFonts w:ascii="Verdana" w:hAnsi="Verdana"/>
          <w:bCs/>
          <w:i/>
          <w:sz w:val="16"/>
          <w:szCs w:val="16"/>
        </w:rPr>
        <w:t xml:space="preserve">aso Cuscul Pivaral y otros Vs. Guatemala. Excepción Preliminar, Fondo, Reparaciones y Costas. </w:t>
      </w:r>
      <w:r w:rsidRPr="008D0846">
        <w:rPr>
          <w:rFonts w:ascii="Verdana" w:hAnsi="Verdana"/>
          <w:bCs/>
          <w:sz w:val="16"/>
          <w:szCs w:val="16"/>
        </w:rPr>
        <w:t>Sentencia de 23 de agosto de 2018. Serie C No. 359, párr. 242.</w:t>
      </w:r>
    </w:p>
  </w:footnote>
  <w:footnote w:id="582">
    <w:p w14:paraId="3FE629EB" w14:textId="2C2BC83A" w:rsidR="00146958" w:rsidRPr="00E307D4"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432ABC">
        <w:rPr>
          <w:rFonts w:ascii="Verdana" w:hAnsi="Verdana"/>
          <w:sz w:val="16"/>
          <w:szCs w:val="16"/>
          <w:lang w:val="es-CR"/>
        </w:rPr>
        <w:tab/>
      </w:r>
      <w:r w:rsidRPr="00CD5C54">
        <w:rPr>
          <w:rFonts w:ascii="Verdana" w:hAnsi="Verdana"/>
          <w:i/>
          <w:sz w:val="16"/>
          <w:szCs w:val="16"/>
        </w:rPr>
        <w:t>Cfr.</w:t>
      </w:r>
      <w:r w:rsidRPr="004B0EEB">
        <w:rPr>
          <w:rFonts w:ascii="Verdana" w:hAnsi="Verdana"/>
          <w:i/>
          <w:sz w:val="16"/>
          <w:szCs w:val="16"/>
        </w:rPr>
        <w:t xml:space="preserve"> </w:t>
      </w:r>
      <w:r w:rsidRPr="00241410">
        <w:rPr>
          <w:rFonts w:ascii="Verdana" w:hAnsi="Verdana"/>
          <w:bCs/>
          <w:i/>
          <w:sz w:val="16"/>
          <w:szCs w:val="16"/>
        </w:rPr>
        <w:t>Caso Garrido y Baigorria Vs. Argentina, supra</w:t>
      </w:r>
      <w:r w:rsidRPr="004B0EEB">
        <w:rPr>
          <w:rStyle w:val="Textoennegrita"/>
          <w:rFonts w:ascii="Verdana" w:hAnsi="Verdana"/>
          <w:b w:val="0"/>
          <w:color w:val="000000"/>
          <w:sz w:val="16"/>
          <w:szCs w:val="16"/>
          <w:shd w:val="clear" w:color="auto" w:fill="FFFFFF"/>
        </w:rPr>
        <w:t xml:space="preserve">, párr. 82, y </w:t>
      </w:r>
      <w:r w:rsidRPr="004B0EEB">
        <w:rPr>
          <w:rStyle w:val="Textoennegrita"/>
          <w:rFonts w:ascii="Verdana" w:hAnsi="Verdana"/>
          <w:b w:val="0"/>
          <w:i/>
          <w:color w:val="000000"/>
          <w:sz w:val="16"/>
          <w:szCs w:val="16"/>
          <w:shd w:val="clear" w:color="auto" w:fill="FFFFFF"/>
        </w:rPr>
        <w:t>Caso López Soto y otros Vs. Venezuela</w:t>
      </w:r>
      <w:r>
        <w:rPr>
          <w:rStyle w:val="Textoennegrita"/>
          <w:rFonts w:ascii="Verdana" w:hAnsi="Verdana"/>
          <w:b w:val="0"/>
          <w:i/>
          <w:color w:val="000000"/>
          <w:sz w:val="16"/>
          <w:szCs w:val="16"/>
          <w:shd w:val="clear" w:color="auto" w:fill="FFFFFF"/>
        </w:rPr>
        <w:t>, supra</w:t>
      </w:r>
      <w:r w:rsidRPr="000B3C2F">
        <w:rPr>
          <w:rStyle w:val="Textoennegrita"/>
          <w:rFonts w:ascii="Verdana" w:hAnsi="Verdana"/>
          <w:b w:val="0"/>
          <w:color w:val="000000"/>
          <w:sz w:val="16"/>
          <w:szCs w:val="16"/>
          <w:shd w:val="clear" w:color="auto" w:fill="FFFFFF"/>
        </w:rPr>
        <w:t>, p</w:t>
      </w:r>
      <w:r w:rsidRPr="003A3392">
        <w:rPr>
          <w:rStyle w:val="Textoennegrita"/>
          <w:rFonts w:ascii="Verdana" w:hAnsi="Verdana"/>
          <w:b w:val="0"/>
          <w:color w:val="000000"/>
          <w:sz w:val="16"/>
          <w:szCs w:val="16"/>
          <w:shd w:val="clear" w:color="auto" w:fill="FFFFFF"/>
        </w:rPr>
        <w:t>á</w:t>
      </w:r>
      <w:r w:rsidRPr="00E307D4">
        <w:rPr>
          <w:rStyle w:val="Textoennegrita"/>
          <w:rFonts w:ascii="Verdana" w:hAnsi="Verdana"/>
          <w:b w:val="0"/>
          <w:color w:val="000000"/>
          <w:sz w:val="16"/>
          <w:szCs w:val="16"/>
          <w:shd w:val="clear" w:color="auto" w:fill="FFFFFF"/>
        </w:rPr>
        <w:t xml:space="preserve">rr. 381.  </w:t>
      </w:r>
    </w:p>
  </w:footnote>
  <w:footnote w:id="583">
    <w:p w14:paraId="7BE2E114" w14:textId="5C113721" w:rsidR="00146958" w:rsidRPr="00432ABC" w:rsidRDefault="00146958">
      <w:pPr>
        <w:pStyle w:val="Textonotapie"/>
        <w:jc w:val="both"/>
        <w:rPr>
          <w:rFonts w:ascii="Verdana" w:hAnsi="Verdana"/>
          <w:sz w:val="16"/>
          <w:szCs w:val="16"/>
          <w:lang w:val="es-CR"/>
        </w:rPr>
      </w:pPr>
      <w:r w:rsidRPr="00E4450D">
        <w:rPr>
          <w:rStyle w:val="Refdenotaalpie"/>
          <w:rFonts w:ascii="Verdana" w:hAnsi="Verdana"/>
          <w:sz w:val="16"/>
          <w:szCs w:val="16"/>
        </w:rPr>
        <w:footnoteRef/>
      </w:r>
      <w:r w:rsidRPr="00E4450D">
        <w:rPr>
          <w:rFonts w:ascii="Verdana" w:hAnsi="Verdana"/>
          <w:sz w:val="16"/>
          <w:szCs w:val="16"/>
          <w:lang w:val="es-CR"/>
        </w:rPr>
        <w:t xml:space="preserve"> </w:t>
      </w:r>
      <w:r w:rsidRPr="00E4450D">
        <w:rPr>
          <w:rFonts w:ascii="Verdana" w:hAnsi="Verdana"/>
          <w:sz w:val="16"/>
          <w:szCs w:val="16"/>
          <w:lang w:val="es-CR"/>
        </w:rPr>
        <w:tab/>
      </w:r>
      <w:r w:rsidRPr="00CD5C54">
        <w:rPr>
          <w:rFonts w:ascii="Verdana" w:hAnsi="Verdana"/>
          <w:i/>
          <w:sz w:val="16"/>
          <w:szCs w:val="16"/>
          <w:lang w:val="es-CR"/>
        </w:rPr>
        <w:t>Cfr.</w:t>
      </w:r>
      <w:r w:rsidRPr="000B3C2F">
        <w:rPr>
          <w:rFonts w:ascii="Verdana" w:hAnsi="Verdana"/>
          <w:sz w:val="16"/>
          <w:szCs w:val="16"/>
          <w:lang w:val="es-CR"/>
        </w:rPr>
        <w:t xml:space="preserve"> </w:t>
      </w:r>
      <w:r w:rsidRPr="003A3392">
        <w:rPr>
          <w:rFonts w:ascii="Verdana" w:hAnsi="Verdana"/>
          <w:i/>
          <w:sz w:val="16"/>
          <w:szCs w:val="16"/>
          <w:lang w:val="es-CR"/>
        </w:rPr>
        <w:t>Caso Garrido y Baigorria Vs. Argentina</w:t>
      </w:r>
      <w:r w:rsidRPr="008D0846">
        <w:rPr>
          <w:rFonts w:ascii="Verdana" w:hAnsi="Verdana"/>
          <w:sz w:val="16"/>
          <w:szCs w:val="16"/>
          <w:lang w:val="es-CR"/>
        </w:rPr>
        <w:t xml:space="preserve">, </w:t>
      </w:r>
      <w:r w:rsidRPr="008D0846">
        <w:rPr>
          <w:rFonts w:ascii="Verdana" w:hAnsi="Verdana"/>
          <w:i/>
          <w:sz w:val="16"/>
          <w:szCs w:val="16"/>
          <w:lang w:val="es-CR"/>
        </w:rPr>
        <w:t>supra</w:t>
      </w:r>
      <w:r w:rsidRPr="008D0846">
        <w:rPr>
          <w:rFonts w:ascii="Verdana" w:hAnsi="Verdana"/>
          <w:sz w:val="16"/>
          <w:szCs w:val="16"/>
          <w:lang w:val="es-CR"/>
        </w:rPr>
        <w:t>,</w:t>
      </w:r>
      <w:r w:rsidRPr="00E4450D">
        <w:rPr>
          <w:rFonts w:ascii="Verdana" w:hAnsi="Verdana"/>
          <w:spacing w:val="36"/>
          <w:sz w:val="16"/>
          <w:szCs w:val="16"/>
          <w:lang w:val="es-CR"/>
        </w:rPr>
        <w:t xml:space="preserve"> </w:t>
      </w:r>
      <w:r w:rsidRPr="000B3C2F">
        <w:rPr>
          <w:rFonts w:ascii="Verdana" w:hAnsi="Verdana"/>
          <w:sz w:val="16"/>
          <w:szCs w:val="16"/>
          <w:lang w:val="es-CR"/>
        </w:rPr>
        <w:t>p</w:t>
      </w:r>
      <w:r w:rsidRPr="000B3C2F">
        <w:rPr>
          <w:rFonts w:ascii="Verdana" w:hAnsi="Verdana"/>
          <w:spacing w:val="-3"/>
          <w:sz w:val="16"/>
          <w:szCs w:val="16"/>
          <w:lang w:val="es-CR"/>
        </w:rPr>
        <w:t>á</w:t>
      </w:r>
      <w:r w:rsidRPr="003A3392">
        <w:rPr>
          <w:rFonts w:ascii="Verdana" w:hAnsi="Verdana"/>
          <w:spacing w:val="1"/>
          <w:sz w:val="16"/>
          <w:szCs w:val="16"/>
          <w:lang w:val="es-CR"/>
        </w:rPr>
        <w:t>rr</w:t>
      </w:r>
      <w:r w:rsidRPr="00E307D4">
        <w:rPr>
          <w:rFonts w:ascii="Verdana" w:hAnsi="Verdana"/>
          <w:sz w:val="16"/>
          <w:szCs w:val="16"/>
          <w:lang w:val="es-CR"/>
        </w:rPr>
        <w:t>.</w:t>
      </w:r>
      <w:r w:rsidRPr="00E307D4">
        <w:rPr>
          <w:rFonts w:ascii="Verdana" w:hAnsi="Verdana"/>
          <w:spacing w:val="33"/>
          <w:sz w:val="16"/>
          <w:szCs w:val="16"/>
          <w:lang w:val="es-CR"/>
        </w:rPr>
        <w:t xml:space="preserve"> </w:t>
      </w:r>
      <w:r w:rsidRPr="00E307D4">
        <w:rPr>
          <w:rFonts w:ascii="Verdana" w:hAnsi="Verdana"/>
          <w:spacing w:val="-1"/>
          <w:sz w:val="16"/>
          <w:szCs w:val="16"/>
          <w:lang w:val="es-CR"/>
        </w:rPr>
        <w:t>7</w:t>
      </w:r>
      <w:r w:rsidRPr="00E307D4">
        <w:rPr>
          <w:rFonts w:ascii="Verdana" w:hAnsi="Verdana"/>
          <w:spacing w:val="1"/>
          <w:sz w:val="16"/>
          <w:szCs w:val="16"/>
          <w:lang w:val="es-CR"/>
        </w:rPr>
        <w:t>9</w:t>
      </w:r>
      <w:r w:rsidRPr="008D0846">
        <w:rPr>
          <w:rFonts w:ascii="Verdana" w:hAnsi="Verdana"/>
          <w:spacing w:val="1"/>
          <w:sz w:val="16"/>
          <w:szCs w:val="16"/>
          <w:lang w:val="es-CR"/>
        </w:rPr>
        <w:t xml:space="preserve">, y </w:t>
      </w:r>
      <w:r w:rsidRPr="008D0846">
        <w:rPr>
          <w:rFonts w:ascii="Verdana" w:hAnsi="Verdana"/>
          <w:bCs/>
          <w:i/>
          <w:spacing w:val="1"/>
          <w:sz w:val="16"/>
          <w:szCs w:val="16"/>
        </w:rPr>
        <w:t>Caso Munárriz Escobar y otros Vs. Perú</w:t>
      </w:r>
      <w:r w:rsidRPr="00E4450D">
        <w:rPr>
          <w:rFonts w:ascii="Verdana" w:hAnsi="Verdana"/>
          <w:sz w:val="16"/>
          <w:szCs w:val="16"/>
          <w:lang w:val="es-CR"/>
        </w:rPr>
        <w:t>.</w:t>
      </w:r>
      <w:r w:rsidRPr="008D0846">
        <w:rPr>
          <w:rFonts w:ascii="Verdana" w:hAnsi="Verdana"/>
          <w:i/>
          <w:sz w:val="16"/>
          <w:szCs w:val="16"/>
          <w:lang w:val="es-CR"/>
        </w:rPr>
        <w:t xml:space="preserve"> supra</w:t>
      </w:r>
      <w:r w:rsidRPr="008D0846">
        <w:rPr>
          <w:rFonts w:ascii="Verdana" w:hAnsi="Verdana"/>
          <w:sz w:val="16"/>
          <w:szCs w:val="16"/>
          <w:lang w:val="es-CR"/>
        </w:rPr>
        <w:t>, párr.</w:t>
      </w:r>
      <w:r w:rsidRPr="00E4450D">
        <w:rPr>
          <w:rFonts w:ascii="Verdana" w:hAnsi="Verdana"/>
          <w:sz w:val="16"/>
          <w:szCs w:val="16"/>
          <w:lang w:val="es-CR"/>
        </w:rPr>
        <w:t xml:space="preserve"> </w:t>
      </w:r>
      <w:r w:rsidRPr="000B3C2F">
        <w:rPr>
          <w:rFonts w:ascii="Verdana" w:hAnsi="Verdana"/>
          <w:sz w:val="16"/>
          <w:szCs w:val="16"/>
          <w:lang w:val="es-CR"/>
        </w:rPr>
        <w:t>151.</w:t>
      </w:r>
    </w:p>
  </w:footnote>
  <w:footnote w:id="584">
    <w:p w14:paraId="49E1ABC2" w14:textId="1C9F87CB" w:rsidR="00146958" w:rsidRPr="00432ABC" w:rsidRDefault="00146958">
      <w:pPr>
        <w:pStyle w:val="Textonotapie"/>
        <w:jc w:val="both"/>
        <w:rPr>
          <w:rFonts w:ascii="Verdana" w:hAnsi="Verdana"/>
          <w:sz w:val="16"/>
          <w:szCs w:val="16"/>
          <w:lang w:val="es-CR"/>
        </w:rPr>
      </w:pPr>
      <w:r w:rsidRPr="00432ABC">
        <w:rPr>
          <w:rStyle w:val="Refdenotaalpie"/>
          <w:rFonts w:ascii="Verdana" w:hAnsi="Verdana"/>
          <w:sz w:val="16"/>
          <w:szCs w:val="16"/>
        </w:rPr>
        <w:footnoteRef/>
      </w:r>
      <w:r w:rsidRPr="00432ABC">
        <w:rPr>
          <w:rFonts w:ascii="Verdana" w:hAnsi="Verdana"/>
          <w:sz w:val="16"/>
          <w:szCs w:val="16"/>
          <w:lang w:val="es-CR"/>
        </w:rPr>
        <w:t xml:space="preserve"> </w:t>
      </w:r>
      <w:r w:rsidRPr="002C462C">
        <w:rPr>
          <w:rFonts w:ascii="Verdana" w:hAnsi="Verdana"/>
          <w:sz w:val="16"/>
          <w:szCs w:val="16"/>
          <w:lang w:val="es-CR"/>
        </w:rPr>
        <w:tab/>
      </w:r>
      <w:r w:rsidRPr="00CD5C54">
        <w:rPr>
          <w:rFonts w:ascii="Verdana" w:hAnsi="Verdana"/>
          <w:i/>
          <w:sz w:val="16"/>
          <w:szCs w:val="16"/>
          <w:lang w:val="es-CR"/>
        </w:rPr>
        <w:t>Cfr.</w:t>
      </w:r>
      <w:r w:rsidRPr="00EA46AD">
        <w:rPr>
          <w:rFonts w:ascii="Verdana" w:hAnsi="Verdana"/>
          <w:spacing w:val="15"/>
          <w:sz w:val="16"/>
          <w:szCs w:val="16"/>
          <w:lang w:val="es-CR"/>
        </w:rPr>
        <w:t xml:space="preserve"> </w:t>
      </w:r>
      <w:r w:rsidRPr="008D0846">
        <w:rPr>
          <w:rFonts w:ascii="Verdana" w:hAnsi="Verdana"/>
          <w:bCs/>
          <w:i/>
          <w:sz w:val="16"/>
          <w:szCs w:val="16"/>
        </w:rPr>
        <w:t>Caso Chaparro Álvarez y Lapo Íñiguez Vs. Ecuador. Excepciones Preliminares, Fondo, Reparaciones y Costas</w:t>
      </w:r>
      <w:r w:rsidRPr="008D0846">
        <w:rPr>
          <w:rFonts w:ascii="Verdana" w:hAnsi="Verdana"/>
          <w:bCs/>
          <w:sz w:val="16"/>
          <w:szCs w:val="16"/>
        </w:rPr>
        <w:t>. Sentencia de 21 de noviembre de 2007. Serie C No. 170</w:t>
      </w:r>
      <w:r w:rsidRPr="00EA46AD">
        <w:rPr>
          <w:rFonts w:ascii="Verdana" w:hAnsi="Verdana"/>
          <w:sz w:val="16"/>
          <w:szCs w:val="16"/>
          <w:lang w:val="es-CR"/>
        </w:rPr>
        <w:t xml:space="preserve">, </w:t>
      </w:r>
      <w:r w:rsidRPr="00EA46AD">
        <w:rPr>
          <w:rFonts w:ascii="Verdana" w:hAnsi="Verdana"/>
          <w:spacing w:val="-2"/>
          <w:sz w:val="16"/>
          <w:szCs w:val="16"/>
          <w:lang w:val="es-CR"/>
        </w:rPr>
        <w:t>p</w:t>
      </w:r>
      <w:r w:rsidRPr="00EA46AD">
        <w:rPr>
          <w:rFonts w:ascii="Verdana" w:hAnsi="Verdana"/>
          <w:spacing w:val="-1"/>
          <w:sz w:val="16"/>
          <w:szCs w:val="16"/>
          <w:lang w:val="es-CR"/>
        </w:rPr>
        <w:t>á</w:t>
      </w:r>
      <w:r w:rsidRPr="00EA46AD">
        <w:rPr>
          <w:rFonts w:ascii="Verdana" w:hAnsi="Verdana"/>
          <w:spacing w:val="1"/>
          <w:sz w:val="16"/>
          <w:szCs w:val="16"/>
          <w:lang w:val="es-CR"/>
        </w:rPr>
        <w:t>rr</w:t>
      </w:r>
      <w:r w:rsidRPr="00EA46AD">
        <w:rPr>
          <w:rFonts w:ascii="Verdana" w:hAnsi="Verdana"/>
          <w:sz w:val="16"/>
          <w:szCs w:val="16"/>
          <w:lang w:val="es-CR"/>
        </w:rPr>
        <w:t>.</w:t>
      </w:r>
      <w:r w:rsidRPr="00EA46AD">
        <w:rPr>
          <w:rFonts w:ascii="Verdana" w:hAnsi="Verdana"/>
          <w:spacing w:val="-2"/>
          <w:sz w:val="16"/>
          <w:szCs w:val="16"/>
          <w:lang w:val="es-CR"/>
        </w:rPr>
        <w:t xml:space="preserve"> </w:t>
      </w:r>
      <w:r w:rsidRPr="00EA46AD">
        <w:rPr>
          <w:rFonts w:ascii="Verdana" w:hAnsi="Verdana"/>
          <w:spacing w:val="-1"/>
          <w:sz w:val="16"/>
          <w:szCs w:val="16"/>
          <w:lang w:val="es-CR"/>
        </w:rPr>
        <w:t>2</w:t>
      </w:r>
      <w:r w:rsidRPr="00EA46AD">
        <w:rPr>
          <w:rFonts w:ascii="Verdana" w:hAnsi="Verdana"/>
          <w:spacing w:val="1"/>
          <w:sz w:val="16"/>
          <w:szCs w:val="16"/>
          <w:lang w:val="es-CR"/>
        </w:rPr>
        <w:t xml:space="preserve">77, y </w:t>
      </w:r>
      <w:r w:rsidRPr="008D0846">
        <w:rPr>
          <w:rStyle w:val="Textoennegrita"/>
          <w:rFonts w:ascii="Verdana" w:hAnsi="Verdana"/>
          <w:b w:val="0"/>
          <w:i/>
          <w:color w:val="000000"/>
          <w:sz w:val="16"/>
          <w:szCs w:val="16"/>
          <w:shd w:val="clear" w:color="auto" w:fill="FFFFFF"/>
        </w:rPr>
        <w:t xml:space="preserve">Caso Terrones Silva y otros Vs. Perú, supra, </w:t>
      </w:r>
      <w:r w:rsidRPr="008D0846">
        <w:rPr>
          <w:rStyle w:val="Textoennegrita"/>
          <w:rFonts w:ascii="Verdana" w:hAnsi="Verdana"/>
          <w:b w:val="0"/>
          <w:color w:val="000000"/>
          <w:sz w:val="16"/>
          <w:szCs w:val="16"/>
          <w:shd w:val="clear" w:color="auto" w:fill="FFFFFF"/>
        </w:rPr>
        <w:t>párr. 282</w:t>
      </w:r>
      <w:r w:rsidRPr="000B3C2F">
        <w:rPr>
          <w:rFonts w:ascii="Verdana" w:hAnsi="Verdana"/>
          <w:sz w:val="16"/>
          <w:szCs w:val="16"/>
          <w:lang w:val="es-CR"/>
        </w:rPr>
        <w:t>.</w:t>
      </w:r>
    </w:p>
  </w:footnote>
  <w:footnote w:id="585">
    <w:p w14:paraId="08E6DDF7" w14:textId="3B2F94A9" w:rsidR="00146958" w:rsidRPr="004F3700" w:rsidRDefault="00146958" w:rsidP="00C05494">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Pr>
          <w:rFonts w:ascii="Verdana" w:hAnsi="Verdana"/>
          <w:sz w:val="16"/>
          <w:szCs w:val="16"/>
        </w:rPr>
        <w:t>L</w:t>
      </w:r>
      <w:r w:rsidRPr="008D0846">
        <w:rPr>
          <w:rFonts w:ascii="Verdana" w:hAnsi="Verdana"/>
          <w:sz w:val="16"/>
          <w:szCs w:val="16"/>
        </w:rPr>
        <w:t>as cantidades solicitadas por las representantes por costas y gastos (</w:t>
      </w:r>
      <w:r w:rsidRPr="008D0846">
        <w:rPr>
          <w:rFonts w:ascii="Verdana" w:hAnsi="Verdana"/>
          <w:i/>
          <w:sz w:val="16"/>
          <w:szCs w:val="16"/>
        </w:rPr>
        <w:t>supra</w:t>
      </w:r>
      <w:r w:rsidRPr="008D0846">
        <w:rPr>
          <w:rFonts w:ascii="Verdana" w:hAnsi="Verdana"/>
          <w:sz w:val="16"/>
          <w:szCs w:val="16"/>
        </w:rPr>
        <w:t xml:space="preserve"> párr. 354),</w:t>
      </w:r>
      <w:r>
        <w:rPr>
          <w:rFonts w:ascii="Verdana" w:hAnsi="Verdana"/>
          <w:sz w:val="16"/>
          <w:szCs w:val="16"/>
        </w:rPr>
        <w:t xml:space="preserve"> fueron las siguientes: </w:t>
      </w:r>
      <w:r w:rsidRPr="008D0846">
        <w:rPr>
          <w:rFonts w:ascii="Verdana" w:hAnsi="Verdana"/>
          <w:sz w:val="16"/>
          <w:szCs w:val="16"/>
        </w:rPr>
        <w:t>i) recursos humanos (salarios), MX$</w:t>
      </w:r>
      <w:r>
        <w:rPr>
          <w:rFonts w:ascii="Verdana" w:hAnsi="Verdana"/>
          <w:sz w:val="16"/>
          <w:szCs w:val="16"/>
        </w:rPr>
        <w:t xml:space="preserve">1,228,846.30 pesos mexicanos (expediente de fondo, f. 217), posteriormente aumentada en MX$148,389.20 </w:t>
      </w:r>
      <w:r w:rsidRPr="008D0846">
        <w:rPr>
          <w:rFonts w:ascii="Verdana" w:hAnsi="Verdana"/>
          <w:sz w:val="16"/>
          <w:szCs w:val="16"/>
        </w:rPr>
        <w:t>pesos mexicanos</w:t>
      </w:r>
      <w:r>
        <w:rPr>
          <w:rFonts w:ascii="Verdana" w:hAnsi="Verdana"/>
          <w:sz w:val="16"/>
          <w:szCs w:val="16"/>
        </w:rPr>
        <w:t xml:space="preserve"> (expediente de fondo, f. 2058)</w:t>
      </w:r>
      <w:r w:rsidRPr="008D0846">
        <w:rPr>
          <w:rFonts w:ascii="Verdana" w:hAnsi="Verdana"/>
          <w:sz w:val="16"/>
          <w:szCs w:val="16"/>
        </w:rPr>
        <w:t>; ii) viajes, MX$</w:t>
      </w:r>
      <w:r>
        <w:rPr>
          <w:rFonts w:ascii="Verdana" w:hAnsi="Verdana"/>
          <w:sz w:val="16"/>
          <w:szCs w:val="16"/>
        </w:rPr>
        <w:t xml:space="preserve">635,409.11 pesos mexicanos, posteriormente aumentada en MX$354,773.73 </w:t>
      </w:r>
      <w:r w:rsidRPr="005C2E8A">
        <w:rPr>
          <w:rFonts w:ascii="Verdana" w:hAnsi="Verdana"/>
          <w:sz w:val="16"/>
          <w:szCs w:val="16"/>
        </w:rPr>
        <w:t>pesos mexicanos</w:t>
      </w:r>
      <w:r>
        <w:rPr>
          <w:rFonts w:ascii="Verdana" w:hAnsi="Verdana"/>
          <w:sz w:val="16"/>
          <w:szCs w:val="16"/>
        </w:rPr>
        <w:t xml:space="preserve"> (expediente de fondo, f. 2058)</w:t>
      </w:r>
      <w:r w:rsidRPr="008D0846">
        <w:rPr>
          <w:rFonts w:ascii="Verdana" w:hAnsi="Verdana"/>
          <w:sz w:val="16"/>
          <w:szCs w:val="16"/>
        </w:rPr>
        <w:t>; iii) apoyo en efectivo a los familiares, incluyendo apoyos para transporte y toma de muestras de ADN, MX$</w:t>
      </w:r>
      <w:r>
        <w:rPr>
          <w:rFonts w:ascii="Verdana" w:hAnsi="Verdana"/>
          <w:sz w:val="16"/>
          <w:szCs w:val="16"/>
        </w:rPr>
        <w:t xml:space="preserve">70,435 </w:t>
      </w:r>
      <w:r w:rsidRPr="008D0846">
        <w:rPr>
          <w:rFonts w:ascii="Verdana" w:hAnsi="Verdana"/>
          <w:sz w:val="16"/>
          <w:szCs w:val="16"/>
        </w:rPr>
        <w:t>pesos mexicanos</w:t>
      </w:r>
      <w:r>
        <w:rPr>
          <w:rFonts w:ascii="Verdana" w:hAnsi="Verdana"/>
          <w:sz w:val="16"/>
          <w:szCs w:val="16"/>
        </w:rPr>
        <w:t xml:space="preserve"> (expediente de fondo, f. 217)</w:t>
      </w:r>
      <w:r w:rsidRPr="008D0846">
        <w:rPr>
          <w:rFonts w:ascii="Verdana" w:hAnsi="Verdana"/>
          <w:sz w:val="16"/>
          <w:szCs w:val="16"/>
        </w:rPr>
        <w:t>, y iv) otros gastos, incluyendo erogaciones por concepto de envío de documentos, copias certificadas, actas, poderes y servicios notariales, MX$</w:t>
      </w:r>
      <w:r>
        <w:rPr>
          <w:rFonts w:ascii="Verdana" w:hAnsi="Verdana"/>
          <w:sz w:val="16"/>
          <w:szCs w:val="16"/>
        </w:rPr>
        <w:t xml:space="preserve">22,065.45 </w:t>
      </w:r>
      <w:r w:rsidRPr="008D0846">
        <w:rPr>
          <w:rFonts w:ascii="Verdana" w:hAnsi="Verdana"/>
          <w:sz w:val="16"/>
          <w:szCs w:val="16"/>
        </w:rPr>
        <w:t>pesos mexicanos</w:t>
      </w:r>
      <w:r>
        <w:rPr>
          <w:rFonts w:ascii="Verdana" w:hAnsi="Verdana"/>
          <w:sz w:val="16"/>
          <w:szCs w:val="16"/>
        </w:rPr>
        <w:t xml:space="preserve"> </w:t>
      </w:r>
      <w:r w:rsidRPr="00942093">
        <w:rPr>
          <w:rFonts w:ascii="Verdana" w:hAnsi="Verdana"/>
          <w:sz w:val="16"/>
          <w:szCs w:val="16"/>
          <w:lang w:val="es-AR"/>
        </w:rPr>
        <w:t>(expediente de fondo, f. 209)</w:t>
      </w:r>
      <w:r>
        <w:rPr>
          <w:rFonts w:ascii="Verdana" w:hAnsi="Verdana"/>
          <w:sz w:val="16"/>
          <w:szCs w:val="16"/>
        </w:rPr>
        <w:t xml:space="preserve">, posteriormente aumentada a MX$25,587.02 pesos mexicanos (expediente de fondo, f. 217), no obstante lo cual en sus alegatos finales escritos mencionaron la cantidad inicialmente señalada de </w:t>
      </w:r>
      <w:r w:rsidRPr="005C2E8A">
        <w:rPr>
          <w:rFonts w:ascii="Verdana" w:hAnsi="Verdana"/>
          <w:sz w:val="16"/>
          <w:szCs w:val="16"/>
        </w:rPr>
        <w:t>MX$</w:t>
      </w:r>
      <w:r>
        <w:rPr>
          <w:rFonts w:ascii="Verdana" w:hAnsi="Verdana"/>
          <w:sz w:val="16"/>
          <w:szCs w:val="16"/>
        </w:rPr>
        <w:t xml:space="preserve">22,065.45 </w:t>
      </w:r>
      <w:r w:rsidRPr="005C2E8A">
        <w:rPr>
          <w:rFonts w:ascii="Verdana" w:hAnsi="Verdana"/>
          <w:sz w:val="16"/>
          <w:szCs w:val="16"/>
        </w:rPr>
        <w:t>pesos mexicanos</w:t>
      </w:r>
      <w:r>
        <w:rPr>
          <w:rFonts w:ascii="Verdana" w:hAnsi="Verdana"/>
          <w:sz w:val="16"/>
          <w:szCs w:val="16"/>
        </w:rPr>
        <w:t xml:space="preserve"> (expediente de fondo, f. 2058)</w:t>
      </w:r>
      <w:r w:rsidRPr="008D0846">
        <w:rPr>
          <w:rFonts w:ascii="Verdana" w:hAnsi="Verdana"/>
          <w:sz w:val="16"/>
          <w:szCs w:val="16"/>
        </w:rPr>
        <w:t>. Total</w:t>
      </w:r>
      <w:r>
        <w:rPr>
          <w:rFonts w:ascii="Verdana" w:hAnsi="Verdana"/>
          <w:sz w:val="16"/>
          <w:szCs w:val="16"/>
        </w:rPr>
        <w:t xml:space="preserve"> solicitado (hasta junio de 2017)</w:t>
      </w:r>
      <w:r w:rsidRPr="008D0846">
        <w:rPr>
          <w:rFonts w:ascii="Verdana" w:hAnsi="Verdana"/>
          <w:sz w:val="16"/>
          <w:szCs w:val="16"/>
        </w:rPr>
        <w:t>: MX$</w:t>
      </w:r>
      <w:r>
        <w:rPr>
          <w:rFonts w:ascii="Verdana" w:hAnsi="Verdana"/>
          <w:sz w:val="16"/>
          <w:szCs w:val="16"/>
        </w:rPr>
        <w:t xml:space="preserve">1,956,755.86 </w:t>
      </w:r>
      <w:r w:rsidRPr="008D0846">
        <w:rPr>
          <w:rFonts w:ascii="Verdana" w:hAnsi="Verdana"/>
          <w:sz w:val="16"/>
          <w:szCs w:val="16"/>
        </w:rPr>
        <w:t>pesos mexicanos</w:t>
      </w:r>
      <w:r>
        <w:rPr>
          <w:rFonts w:ascii="Verdana" w:hAnsi="Verdana"/>
          <w:sz w:val="16"/>
          <w:szCs w:val="16"/>
        </w:rPr>
        <w:t xml:space="preserve">, equivalentes a USD$ 108,016.155 dólares estadounidenses, sumados a MX516,000.47 pesos mexicanos, equivalentes a USD$26,379.62 dólares estadounidenses, posteriores a junio de 2017. Gran total solicitado: USD$ 134,395.775 dólares estadounidenses (expediente de fondo, f. 2058). </w:t>
      </w:r>
    </w:p>
  </w:footnote>
  <w:footnote w:id="586">
    <w:p w14:paraId="1EB1E1E1" w14:textId="083183A1" w:rsidR="00146958" w:rsidRPr="008D0846" w:rsidRDefault="00146958" w:rsidP="008D0846">
      <w:pPr>
        <w:pStyle w:val="Textonotapie"/>
        <w:jc w:val="both"/>
        <w:rPr>
          <w:rFonts w:ascii="Verdana" w:hAnsi="Verdana"/>
          <w:sz w:val="16"/>
          <w:szCs w:val="16"/>
        </w:rPr>
      </w:pPr>
      <w:r w:rsidRPr="008D0846">
        <w:rPr>
          <w:rStyle w:val="Refdenotaalpie"/>
          <w:rFonts w:ascii="Verdana" w:hAnsi="Verdana"/>
          <w:sz w:val="16"/>
          <w:szCs w:val="16"/>
        </w:rPr>
        <w:footnoteRef/>
      </w:r>
      <w:r w:rsidRPr="008D0846">
        <w:rPr>
          <w:rFonts w:ascii="Verdana" w:hAnsi="Verdana"/>
          <w:sz w:val="16"/>
          <w:szCs w:val="16"/>
        </w:rPr>
        <w:t xml:space="preserve"> </w:t>
      </w:r>
      <w:r w:rsidRPr="00C811AF">
        <w:rPr>
          <w:rFonts w:ascii="Verdana" w:hAnsi="Verdana"/>
          <w:sz w:val="16"/>
          <w:szCs w:val="16"/>
        </w:rPr>
        <w:tab/>
      </w:r>
      <w:r w:rsidRPr="008D0846">
        <w:rPr>
          <w:rFonts w:ascii="Verdana" w:hAnsi="Verdana"/>
          <w:sz w:val="16"/>
          <w:szCs w:val="16"/>
        </w:rPr>
        <w:t>Bajo este concepto</w:t>
      </w:r>
      <w:r w:rsidRPr="00C811AF">
        <w:rPr>
          <w:rFonts w:ascii="Verdana" w:hAnsi="Verdana"/>
          <w:sz w:val="16"/>
          <w:szCs w:val="16"/>
        </w:rPr>
        <w:t xml:space="preserve">, </w:t>
      </w:r>
      <w:r w:rsidRPr="002C27AA">
        <w:rPr>
          <w:rFonts w:ascii="Verdana" w:hAnsi="Verdana"/>
          <w:sz w:val="16"/>
          <w:szCs w:val="16"/>
        </w:rPr>
        <w:t>las representantes solicitaron</w:t>
      </w:r>
      <w:r w:rsidRPr="00BD721F">
        <w:rPr>
          <w:rFonts w:ascii="Verdana" w:hAnsi="Verdana"/>
          <w:sz w:val="16"/>
          <w:szCs w:val="16"/>
        </w:rPr>
        <w:t xml:space="preserve"> </w:t>
      </w:r>
      <w:r w:rsidRPr="008D0846">
        <w:rPr>
          <w:rFonts w:ascii="Verdana" w:hAnsi="Verdana"/>
          <w:sz w:val="16"/>
          <w:szCs w:val="16"/>
        </w:rPr>
        <w:t>a favor d</w:t>
      </w:r>
      <w:r w:rsidRPr="00C811AF">
        <w:rPr>
          <w:rFonts w:ascii="Verdana" w:hAnsi="Verdana"/>
          <w:sz w:val="16"/>
          <w:szCs w:val="16"/>
        </w:rPr>
        <w:t>el señor Carlos Spector las siguientes</w:t>
      </w:r>
      <w:r w:rsidRPr="002C27AA">
        <w:rPr>
          <w:rFonts w:ascii="Verdana" w:hAnsi="Verdana"/>
          <w:sz w:val="16"/>
          <w:szCs w:val="16"/>
        </w:rPr>
        <w:t xml:space="preserve"> cantidades: i</w:t>
      </w:r>
      <w:r w:rsidRPr="00BD721F">
        <w:rPr>
          <w:rFonts w:ascii="Verdana" w:hAnsi="Verdana"/>
          <w:sz w:val="16"/>
          <w:szCs w:val="16"/>
        </w:rPr>
        <w:t>) proceso para la</w:t>
      </w:r>
      <w:r w:rsidRPr="00C66632">
        <w:rPr>
          <w:rFonts w:ascii="Verdana" w:hAnsi="Verdana"/>
          <w:sz w:val="16"/>
          <w:szCs w:val="16"/>
        </w:rPr>
        <w:t xml:space="preserve"> </w:t>
      </w:r>
      <w:r w:rsidRPr="008D0846">
        <w:rPr>
          <w:rFonts w:ascii="Verdana" w:hAnsi="Verdana"/>
          <w:sz w:val="16"/>
          <w:szCs w:val="16"/>
        </w:rPr>
        <w:t xml:space="preserve">residencia legal permanente para </w:t>
      </w:r>
      <w:r w:rsidRPr="00425BC3">
        <w:rPr>
          <w:rFonts w:ascii="Verdana" w:hAnsi="Verdana"/>
          <w:sz w:val="16"/>
          <w:szCs w:val="16"/>
          <w:lang w:val="es-CR"/>
        </w:rPr>
        <w:t>M.P.A.E., N.S.A.E. y D.A.E.</w:t>
      </w:r>
      <w:r w:rsidRPr="00425BC3">
        <w:rPr>
          <w:rFonts w:ascii="Verdana" w:hAnsi="Verdana"/>
          <w:sz w:val="16"/>
          <w:szCs w:val="16"/>
        </w:rPr>
        <w:t xml:space="preserve"> </w:t>
      </w:r>
      <w:r w:rsidRPr="00C811AF">
        <w:rPr>
          <w:rFonts w:ascii="Verdana" w:hAnsi="Verdana"/>
          <w:sz w:val="16"/>
          <w:szCs w:val="16"/>
        </w:rPr>
        <w:t>(</w:t>
      </w:r>
      <w:r w:rsidRPr="002C27AA">
        <w:rPr>
          <w:rFonts w:ascii="Verdana" w:hAnsi="Verdana"/>
          <w:sz w:val="16"/>
          <w:szCs w:val="16"/>
        </w:rPr>
        <w:t>hijas de Ni</w:t>
      </w:r>
      <w:r w:rsidRPr="00BD721F">
        <w:rPr>
          <w:rFonts w:ascii="Verdana" w:hAnsi="Verdana"/>
          <w:sz w:val="16"/>
          <w:szCs w:val="16"/>
        </w:rPr>
        <w:t>tza</w:t>
      </w:r>
      <w:r w:rsidRPr="00C66632">
        <w:rPr>
          <w:rFonts w:ascii="Verdana" w:hAnsi="Verdana"/>
          <w:sz w:val="16"/>
          <w:szCs w:val="16"/>
        </w:rPr>
        <w:t xml:space="preserve"> Paola Alvarado Espinoza</w:t>
      </w:r>
      <w:r w:rsidRPr="005B1C1B">
        <w:rPr>
          <w:rFonts w:ascii="Verdana" w:hAnsi="Verdana"/>
          <w:sz w:val="16"/>
          <w:szCs w:val="16"/>
        </w:rPr>
        <w:t>), USD$1,500 d</w:t>
      </w:r>
      <w:r w:rsidRPr="00C811AF">
        <w:rPr>
          <w:rFonts w:ascii="Verdana" w:hAnsi="Verdana"/>
          <w:sz w:val="16"/>
          <w:szCs w:val="16"/>
        </w:rPr>
        <w:t xml:space="preserve">ólares estadounidenses; ii) gastos derivados del cruce en el Puente internacional para la totalidad </w:t>
      </w:r>
      <w:r w:rsidRPr="008D0846">
        <w:rPr>
          <w:rFonts w:ascii="Verdana" w:hAnsi="Verdana"/>
          <w:sz w:val="16"/>
          <w:szCs w:val="16"/>
        </w:rPr>
        <w:t>de la familia Alvarado Espinoza</w:t>
      </w:r>
      <w:r w:rsidRPr="00C811AF">
        <w:rPr>
          <w:rFonts w:ascii="Verdana" w:hAnsi="Verdana"/>
          <w:sz w:val="16"/>
          <w:szCs w:val="16"/>
        </w:rPr>
        <w:t>,</w:t>
      </w:r>
      <w:r w:rsidRPr="002C27AA">
        <w:rPr>
          <w:rFonts w:ascii="Verdana" w:hAnsi="Verdana"/>
          <w:sz w:val="16"/>
          <w:szCs w:val="16"/>
        </w:rPr>
        <w:t xml:space="preserve"> USD$</w:t>
      </w:r>
      <w:r w:rsidRPr="00BD721F">
        <w:rPr>
          <w:rFonts w:ascii="Verdana" w:hAnsi="Verdana"/>
          <w:sz w:val="16"/>
          <w:szCs w:val="16"/>
        </w:rPr>
        <w:t>2</w:t>
      </w:r>
      <w:r w:rsidRPr="00C66632">
        <w:rPr>
          <w:rFonts w:ascii="Verdana" w:hAnsi="Verdana"/>
          <w:sz w:val="16"/>
          <w:szCs w:val="16"/>
        </w:rPr>
        <w:t>,500 d</w:t>
      </w:r>
      <w:r w:rsidRPr="005B1C1B">
        <w:rPr>
          <w:rFonts w:ascii="Verdana" w:hAnsi="Verdana"/>
          <w:sz w:val="16"/>
          <w:szCs w:val="16"/>
        </w:rPr>
        <w:t>ólares estadounidenses; iii)</w:t>
      </w:r>
      <w:r w:rsidRPr="00C811AF">
        <w:rPr>
          <w:rFonts w:ascii="Verdana" w:hAnsi="Verdana"/>
          <w:sz w:val="16"/>
          <w:szCs w:val="16"/>
        </w:rPr>
        <w:t xml:space="preserve"> caso sobre asilo político para María de Jesús Alvarado Espinoza, </w:t>
      </w:r>
      <w:r w:rsidRPr="008D0846">
        <w:rPr>
          <w:rFonts w:ascii="Verdana" w:hAnsi="Verdana"/>
          <w:sz w:val="16"/>
          <w:szCs w:val="16"/>
        </w:rPr>
        <w:t>Rigoberto Ambriz Marufo y sus cuatro hijos</w:t>
      </w:r>
      <w:r w:rsidRPr="00C811AF">
        <w:rPr>
          <w:rFonts w:ascii="Verdana" w:hAnsi="Verdana"/>
          <w:sz w:val="16"/>
          <w:szCs w:val="16"/>
        </w:rPr>
        <w:t xml:space="preserve"> (</w:t>
      </w:r>
      <w:r w:rsidRPr="002C27AA">
        <w:rPr>
          <w:rFonts w:ascii="Verdana" w:hAnsi="Verdana"/>
          <w:sz w:val="16"/>
          <w:szCs w:val="16"/>
        </w:rPr>
        <w:t>hermana, cuñado y sobrinos de Ni</w:t>
      </w:r>
      <w:r w:rsidRPr="00BD721F">
        <w:rPr>
          <w:rFonts w:ascii="Verdana" w:hAnsi="Verdana"/>
          <w:sz w:val="16"/>
          <w:szCs w:val="16"/>
        </w:rPr>
        <w:t xml:space="preserve">tza </w:t>
      </w:r>
      <w:r w:rsidRPr="00C66632">
        <w:rPr>
          <w:rFonts w:ascii="Verdana" w:hAnsi="Verdana"/>
          <w:sz w:val="16"/>
          <w:szCs w:val="16"/>
        </w:rPr>
        <w:t>Paola Alvarado</w:t>
      </w:r>
      <w:r w:rsidRPr="005B1C1B">
        <w:rPr>
          <w:rFonts w:ascii="Verdana" w:hAnsi="Verdana"/>
          <w:sz w:val="16"/>
          <w:szCs w:val="16"/>
        </w:rPr>
        <w:t xml:space="preserve"> Espinoza, </w:t>
      </w:r>
      <w:r w:rsidRPr="00C811AF">
        <w:rPr>
          <w:rFonts w:ascii="Verdana" w:hAnsi="Verdana"/>
          <w:sz w:val="16"/>
          <w:szCs w:val="16"/>
        </w:rPr>
        <w:t xml:space="preserve">respectivamente), USD$10,000 dólares estadounidenses, y iv) caso sobre asilo político para Ascención Alvarado Fabela y María de Jesús </w:t>
      </w:r>
      <w:r w:rsidRPr="008D0846">
        <w:rPr>
          <w:rFonts w:ascii="Verdana" w:hAnsi="Verdana"/>
          <w:sz w:val="16"/>
          <w:szCs w:val="16"/>
        </w:rPr>
        <w:t>Espinoza Peinado</w:t>
      </w:r>
      <w:r w:rsidRPr="00C811AF">
        <w:rPr>
          <w:rFonts w:ascii="Verdana" w:hAnsi="Verdana"/>
          <w:sz w:val="16"/>
          <w:szCs w:val="16"/>
        </w:rPr>
        <w:t xml:space="preserve"> </w:t>
      </w:r>
      <w:r w:rsidRPr="002C27AA">
        <w:rPr>
          <w:rFonts w:ascii="Verdana" w:hAnsi="Verdana"/>
          <w:sz w:val="16"/>
          <w:szCs w:val="16"/>
        </w:rPr>
        <w:t>(padre y madre de Nitza Paola Alvarado, prespectivamente</w:t>
      </w:r>
      <w:r w:rsidRPr="00BD721F">
        <w:rPr>
          <w:rFonts w:ascii="Verdana" w:hAnsi="Verdana"/>
          <w:sz w:val="16"/>
          <w:szCs w:val="16"/>
        </w:rPr>
        <w:t>)</w:t>
      </w:r>
      <w:r w:rsidRPr="00C811AF">
        <w:rPr>
          <w:rFonts w:ascii="Verdana" w:hAnsi="Verdana"/>
          <w:sz w:val="16"/>
          <w:szCs w:val="16"/>
        </w:rPr>
        <w:t xml:space="preserve"> USD$7,500 dólares estadounidenses. Gran total solicitado: USD$21,500 dólares estadounidenses. No obstante, las representantes no proporcionaron comprobante alguno para justificar dichas erogaciones por los conceptos referidos.</w:t>
      </w:r>
      <w:r>
        <w:rPr>
          <w:rFonts w:ascii="Verdana" w:hAnsi="Verdana"/>
          <w:sz w:val="16"/>
          <w:szCs w:val="16"/>
        </w:rPr>
        <w:t xml:space="preserve"> </w:t>
      </w:r>
    </w:p>
  </w:footnote>
  <w:footnote w:id="587">
    <w:p w14:paraId="7187161A" w14:textId="5C8738DF" w:rsidR="00146958" w:rsidRPr="008B5022" w:rsidRDefault="00146958" w:rsidP="00550ADF">
      <w:pPr>
        <w:pStyle w:val="Textonotapie"/>
        <w:jc w:val="both"/>
        <w:rPr>
          <w:rFonts w:ascii="Verdana" w:hAnsi="Verdana"/>
          <w:i/>
          <w:iCs/>
          <w:color w:val="FF0000"/>
          <w:sz w:val="16"/>
          <w:szCs w:val="16"/>
          <w:lang w:val="es-GT" w:eastAsia="es-ES_tradnl"/>
        </w:rPr>
      </w:pPr>
      <w:r w:rsidRPr="00550ADF">
        <w:rPr>
          <w:rStyle w:val="Refdenotaalpie"/>
          <w:rFonts w:ascii="Verdana" w:hAnsi="Verdana"/>
          <w:spacing w:val="-4"/>
          <w:sz w:val="16"/>
          <w:szCs w:val="16"/>
        </w:rPr>
        <w:footnoteRef/>
      </w:r>
      <w:r w:rsidRPr="00550ADF">
        <w:rPr>
          <w:rStyle w:val="Refdenotaalpie"/>
          <w:rFonts w:ascii="Verdana" w:hAnsi="Verdana"/>
          <w:spacing w:val="-4"/>
          <w:sz w:val="16"/>
          <w:szCs w:val="16"/>
          <w:lang w:val="es-CR"/>
        </w:rPr>
        <w:t xml:space="preserve"> </w:t>
      </w:r>
      <w:r w:rsidRPr="008B5022">
        <w:rPr>
          <w:rFonts w:ascii="Verdana" w:hAnsi="Verdana"/>
          <w:spacing w:val="-4"/>
          <w:sz w:val="16"/>
          <w:szCs w:val="16"/>
          <w:lang w:val="es-CR"/>
        </w:rPr>
        <w:t xml:space="preserve"> </w:t>
      </w:r>
      <w:r w:rsidRPr="008B5022">
        <w:rPr>
          <w:rFonts w:ascii="Verdana" w:hAnsi="Verdana"/>
          <w:spacing w:val="-4"/>
          <w:sz w:val="16"/>
          <w:szCs w:val="16"/>
          <w:lang w:val="es-CR"/>
        </w:rPr>
        <w:tab/>
      </w:r>
      <w:r w:rsidRPr="00CD5C54">
        <w:rPr>
          <w:rFonts w:ascii="Verdana" w:hAnsi="Verdana"/>
          <w:i/>
          <w:sz w:val="16"/>
          <w:szCs w:val="16"/>
          <w:lang w:val="es-CR"/>
        </w:rPr>
        <w:t>Cfr.</w:t>
      </w:r>
      <w:r w:rsidRPr="00803447">
        <w:rPr>
          <w:rFonts w:ascii="Verdana" w:hAnsi="Verdana"/>
          <w:i/>
          <w:sz w:val="16"/>
          <w:szCs w:val="16"/>
          <w:lang w:val="es-CR"/>
        </w:rPr>
        <w:t xml:space="preserve"> Caso Ibsen Cárdenas </w:t>
      </w:r>
      <w:r w:rsidRPr="00E307D4">
        <w:rPr>
          <w:rFonts w:ascii="Verdana" w:hAnsi="Verdana"/>
          <w:i/>
          <w:sz w:val="16"/>
          <w:szCs w:val="16"/>
          <w:lang w:val="es-CR"/>
        </w:rPr>
        <w:t xml:space="preserve">e Ibsen Peña Vs. Bolivia. Fondo, Reparaciones y Costas. </w:t>
      </w:r>
      <w:r w:rsidRPr="00E307D4">
        <w:rPr>
          <w:rFonts w:ascii="Verdana" w:hAnsi="Verdana"/>
          <w:sz w:val="16"/>
          <w:szCs w:val="16"/>
          <w:lang w:val="es-CR"/>
        </w:rPr>
        <w:t xml:space="preserve">Sentencia de 1 de septiembre de 2010. Serie C No. 217, párr. 291, y </w:t>
      </w:r>
      <w:r w:rsidRPr="008D0846">
        <w:rPr>
          <w:rFonts w:ascii="Verdana" w:hAnsi="Verdana"/>
          <w:bCs/>
          <w:i/>
          <w:sz w:val="16"/>
          <w:szCs w:val="16"/>
        </w:rPr>
        <w:t>Caso Poblete Vilches y otros Vs. Chile</w:t>
      </w:r>
      <w:r>
        <w:rPr>
          <w:rFonts w:ascii="Verdana" w:hAnsi="Verdana"/>
          <w:bCs/>
          <w:i/>
          <w:sz w:val="16"/>
          <w:szCs w:val="16"/>
        </w:rPr>
        <w:t>, supra</w:t>
      </w:r>
      <w:r w:rsidRPr="008D0846">
        <w:rPr>
          <w:rFonts w:ascii="Verdana" w:hAnsi="Verdana"/>
          <w:bCs/>
          <w:sz w:val="16"/>
          <w:szCs w:val="16"/>
        </w:rPr>
        <w:t>, párr. 259</w:t>
      </w:r>
      <w:r w:rsidRPr="00550ADF">
        <w:rPr>
          <w:rFonts w:ascii="Verdana" w:hAnsi="Verdana"/>
          <w:sz w:val="16"/>
          <w:szCs w:val="16"/>
          <w:lang w:val="es-CR"/>
        </w:rPr>
        <w:t>.</w:t>
      </w:r>
    </w:p>
  </w:footnote>
  <w:footnote w:id="588">
    <w:p w14:paraId="6667E179" w14:textId="20657185" w:rsidR="00146958" w:rsidRPr="008D0846" w:rsidRDefault="00146958" w:rsidP="00550ADF">
      <w:pPr>
        <w:pStyle w:val="Textonotapie"/>
        <w:jc w:val="both"/>
        <w:rPr>
          <w:rStyle w:val="Refdenotaalpie"/>
        </w:rPr>
      </w:pPr>
      <w:r w:rsidRPr="00550ADF">
        <w:rPr>
          <w:rStyle w:val="Refdenotaalpie"/>
          <w:rFonts w:ascii="Verdana" w:hAnsi="Verdana"/>
          <w:sz w:val="16"/>
          <w:szCs w:val="16"/>
        </w:rPr>
        <w:footnoteRef/>
      </w:r>
      <w:r w:rsidRPr="00550ADF">
        <w:rPr>
          <w:rFonts w:ascii="Verdana" w:hAnsi="Verdana"/>
          <w:sz w:val="16"/>
          <w:szCs w:val="16"/>
          <w:lang w:val="es-CR"/>
        </w:rPr>
        <w:t xml:space="preserve"> </w:t>
      </w:r>
      <w:r w:rsidRPr="008B5022">
        <w:rPr>
          <w:rFonts w:ascii="Verdana" w:hAnsi="Verdana"/>
          <w:sz w:val="16"/>
          <w:szCs w:val="16"/>
          <w:lang w:val="es-CR"/>
        </w:rPr>
        <w:tab/>
      </w:r>
      <w:r w:rsidRPr="00CD5C54">
        <w:rPr>
          <w:rFonts w:ascii="Verdana" w:hAnsi="Verdana"/>
          <w:i/>
          <w:sz w:val="16"/>
          <w:szCs w:val="16"/>
          <w:lang w:val="es-CR"/>
        </w:rPr>
        <w:t>Cfr.</w:t>
      </w:r>
      <w:r w:rsidRPr="00E307D4">
        <w:rPr>
          <w:rFonts w:ascii="Verdana" w:hAnsi="Verdana"/>
          <w:sz w:val="16"/>
          <w:szCs w:val="16"/>
          <w:lang w:val="es-CR"/>
        </w:rPr>
        <w:t xml:space="preserve"> </w:t>
      </w:r>
      <w:r w:rsidRPr="008D0846">
        <w:rPr>
          <w:rFonts w:ascii="Verdana" w:hAnsi="Verdana"/>
          <w:bCs/>
          <w:i/>
          <w:sz w:val="16"/>
          <w:szCs w:val="16"/>
        </w:rPr>
        <w:t>Caso Apitz Barbera y otros Vs. Venezuela. Excepción Preliminar, Fondo, Reparaciones y Costas</w:t>
      </w:r>
      <w:r w:rsidRPr="008D0846">
        <w:rPr>
          <w:rFonts w:ascii="Verdana" w:hAnsi="Verdana"/>
          <w:bCs/>
          <w:sz w:val="16"/>
          <w:szCs w:val="16"/>
        </w:rPr>
        <w:t>. Sentencia de 5 de agosto de 2008. Serie C No. 182, párr.</w:t>
      </w:r>
      <w:r w:rsidRPr="00550ADF">
        <w:rPr>
          <w:rFonts w:ascii="Verdana" w:hAnsi="Verdana"/>
          <w:bCs/>
          <w:sz w:val="16"/>
          <w:szCs w:val="16"/>
        </w:rPr>
        <w:t xml:space="preserve"> </w:t>
      </w:r>
      <w:r w:rsidRPr="008B5022">
        <w:rPr>
          <w:rFonts w:ascii="Verdana" w:hAnsi="Verdana"/>
          <w:bCs/>
          <w:sz w:val="16"/>
          <w:szCs w:val="16"/>
        </w:rPr>
        <w:t>260</w:t>
      </w:r>
      <w:r w:rsidRPr="008D0846">
        <w:rPr>
          <w:rFonts w:ascii="Verdana" w:hAnsi="Verdana"/>
          <w:bCs/>
          <w:sz w:val="16"/>
          <w:szCs w:val="16"/>
        </w:rPr>
        <w:t xml:space="preserve">, </w:t>
      </w:r>
      <w:r w:rsidRPr="00550ADF">
        <w:rPr>
          <w:rFonts w:ascii="Verdana" w:hAnsi="Verdana"/>
          <w:bCs/>
          <w:sz w:val="16"/>
          <w:szCs w:val="16"/>
        </w:rPr>
        <w:t xml:space="preserve">y </w:t>
      </w:r>
      <w:r w:rsidRPr="008B5022">
        <w:rPr>
          <w:rStyle w:val="Textoennegrita"/>
          <w:rFonts w:ascii="Verdana" w:hAnsi="Verdana"/>
          <w:b w:val="0"/>
          <w:i/>
          <w:color w:val="000000"/>
          <w:sz w:val="16"/>
          <w:szCs w:val="16"/>
          <w:shd w:val="clear" w:color="auto" w:fill="FFFFFF"/>
        </w:rPr>
        <w:t>Caso L</w:t>
      </w:r>
      <w:r w:rsidRPr="00803447">
        <w:rPr>
          <w:rStyle w:val="Textoennegrita"/>
          <w:rFonts w:ascii="Verdana" w:hAnsi="Verdana"/>
          <w:b w:val="0"/>
          <w:i/>
          <w:color w:val="000000"/>
          <w:sz w:val="16"/>
          <w:szCs w:val="16"/>
          <w:shd w:val="clear" w:color="auto" w:fill="FFFFFF"/>
        </w:rPr>
        <w:t>ópez Soto y otros Vs. Venezuela</w:t>
      </w:r>
      <w:r w:rsidRPr="00E307D4">
        <w:rPr>
          <w:rStyle w:val="Textoennegrita"/>
          <w:rFonts w:ascii="Verdana" w:hAnsi="Verdana"/>
          <w:b w:val="0"/>
          <w:i/>
          <w:color w:val="000000"/>
          <w:sz w:val="16"/>
          <w:szCs w:val="16"/>
          <w:shd w:val="clear" w:color="auto" w:fill="FFFFFF"/>
        </w:rPr>
        <w:t xml:space="preserve">, supra, </w:t>
      </w:r>
      <w:r w:rsidRPr="00E307D4">
        <w:rPr>
          <w:rStyle w:val="Textoennegrita"/>
          <w:rFonts w:ascii="Verdana" w:hAnsi="Verdana"/>
          <w:b w:val="0"/>
          <w:color w:val="000000"/>
          <w:sz w:val="16"/>
          <w:szCs w:val="16"/>
          <w:shd w:val="clear" w:color="auto" w:fill="FFFFFF"/>
        </w:rPr>
        <w:t xml:space="preserve">párr. 385. </w:t>
      </w:r>
      <w:r w:rsidRPr="008D0846">
        <w:rPr>
          <w:rFonts w:ascii="Verdana" w:hAnsi="Verdana"/>
          <w:bCs/>
          <w:sz w:val="16"/>
          <w:szCs w:val="16"/>
        </w:rPr>
        <w:t xml:space="preserve"> </w:t>
      </w:r>
    </w:p>
  </w:footnote>
  <w:footnote w:id="589">
    <w:p w14:paraId="05269F92" w14:textId="710FB2A4" w:rsidR="00146958" w:rsidRPr="008D0846" w:rsidRDefault="00146958" w:rsidP="008D0846">
      <w:pPr>
        <w:pStyle w:val="Textonotapie"/>
        <w:jc w:val="both"/>
        <w:rPr>
          <w:b/>
          <w:bCs/>
          <w:color w:val="000000"/>
          <w:shd w:val="clear" w:color="auto" w:fill="FFFFFF"/>
        </w:rPr>
      </w:pPr>
      <w:r w:rsidRPr="008D0846">
        <w:rPr>
          <w:rStyle w:val="Refdenotaalpie"/>
          <w:rFonts w:ascii="Verdana" w:hAnsi="Verdana"/>
          <w:sz w:val="16"/>
          <w:szCs w:val="16"/>
        </w:rPr>
        <w:footnoteRef/>
      </w:r>
      <w:r w:rsidRPr="008D0846">
        <w:rPr>
          <w:rFonts w:ascii="Verdana" w:hAnsi="Verdana"/>
          <w:sz w:val="16"/>
          <w:szCs w:val="16"/>
        </w:rPr>
        <w:t xml:space="preserve"> </w:t>
      </w:r>
      <w:r w:rsidRPr="008D0846">
        <w:rPr>
          <w:rFonts w:ascii="Verdana" w:hAnsi="Verdana"/>
          <w:sz w:val="16"/>
          <w:szCs w:val="16"/>
        </w:rPr>
        <w:tab/>
      </w:r>
      <w:r w:rsidRPr="00CD5C54">
        <w:rPr>
          <w:rFonts w:ascii="Verdana" w:hAnsi="Verdana"/>
          <w:i/>
          <w:sz w:val="16"/>
          <w:szCs w:val="16"/>
        </w:rPr>
        <w:t>Cfr.</w:t>
      </w:r>
      <w:r w:rsidRPr="008D0846">
        <w:rPr>
          <w:rFonts w:ascii="Verdana" w:hAnsi="Verdana"/>
          <w:sz w:val="16"/>
          <w:szCs w:val="16"/>
        </w:rPr>
        <w:t xml:space="preserve"> </w:t>
      </w:r>
      <w:r w:rsidRPr="008D0846">
        <w:rPr>
          <w:rStyle w:val="Textoennegrita"/>
          <w:rFonts w:ascii="Verdana" w:hAnsi="Verdana"/>
          <w:b w:val="0"/>
          <w:i/>
          <w:color w:val="000000"/>
          <w:sz w:val="16"/>
          <w:szCs w:val="16"/>
          <w:shd w:val="clear" w:color="auto" w:fill="FFFFFF"/>
        </w:rPr>
        <w:t>Caso Alvarado Espinoza y otros Vs. México. Convocatoria a audiencia</w:t>
      </w:r>
      <w:r w:rsidRPr="008D0846">
        <w:rPr>
          <w:rStyle w:val="Textoennegrita"/>
          <w:rFonts w:ascii="Verdana" w:hAnsi="Verdana"/>
          <w:b w:val="0"/>
          <w:color w:val="000000"/>
          <w:sz w:val="16"/>
          <w:szCs w:val="16"/>
          <w:shd w:val="clear" w:color="auto" w:fill="FFFFFF"/>
        </w:rPr>
        <w:t xml:space="preserve">. Resolución del Presidente en ejercicio de la Corte Interamericana de Derechos Humanos de 23 de marzo de 2018, Resolutivo 12. Disponible en: </w:t>
      </w:r>
      <w:hyperlink r:id="rId45" w:history="1">
        <w:r w:rsidRPr="008D0846">
          <w:rPr>
            <w:rStyle w:val="Hipervnculo"/>
            <w:rFonts w:ascii="Verdana" w:hAnsi="Verdana"/>
            <w:sz w:val="16"/>
            <w:szCs w:val="16"/>
            <w:shd w:val="clear" w:color="auto" w:fill="FFFFFF"/>
          </w:rPr>
          <w:t>http://www.corteidh.or.cr/cf/Jurisprudencia2/busqueda_convocatorias.cfm?lang=es</w:t>
        </w:r>
      </w:hyperlink>
      <w:r w:rsidRPr="008D0846">
        <w:rPr>
          <w:rStyle w:val="Textoennegrita"/>
          <w:rFonts w:ascii="Verdana" w:hAnsi="Verdana"/>
          <w:b w:val="0"/>
          <w:color w:val="000000"/>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70971"/>
      <w:docPartObj>
        <w:docPartGallery w:val="Page Numbers (Top of Page)"/>
        <w:docPartUnique/>
      </w:docPartObj>
    </w:sdtPr>
    <w:sdtEndPr>
      <w:rPr>
        <w:rFonts w:ascii="Verdana" w:hAnsi="Verdana"/>
        <w:noProof/>
        <w:sz w:val="20"/>
      </w:rPr>
    </w:sdtEndPr>
    <w:sdtContent>
      <w:p w14:paraId="64AA6125" w14:textId="7AAE2D7E" w:rsidR="00146958" w:rsidRPr="003155BE" w:rsidRDefault="00146958" w:rsidP="00F50ACE">
        <w:pPr>
          <w:pStyle w:val="Encabezado"/>
          <w:jc w:val="center"/>
          <w:rPr>
            <w:sz w:val="20"/>
          </w:rPr>
        </w:pPr>
        <w:r w:rsidRPr="003155BE">
          <w:rPr>
            <w:rFonts w:ascii="Verdana" w:hAnsi="Verdana" w:cs="Times New Roman"/>
            <w:sz w:val="20"/>
          </w:rPr>
          <w:fldChar w:fldCharType="begin"/>
        </w:r>
        <w:r w:rsidRPr="003155BE">
          <w:rPr>
            <w:rFonts w:ascii="Verdana" w:hAnsi="Verdana" w:cs="Times New Roman"/>
            <w:sz w:val="20"/>
          </w:rPr>
          <w:instrText xml:space="preserve"> PAGE   \* MERGEFORMAT </w:instrText>
        </w:r>
        <w:r w:rsidRPr="003155BE">
          <w:rPr>
            <w:rFonts w:ascii="Verdana" w:hAnsi="Verdana" w:cs="Times New Roman"/>
            <w:sz w:val="20"/>
          </w:rPr>
          <w:fldChar w:fldCharType="separate"/>
        </w:r>
        <w:r w:rsidR="00C54122">
          <w:rPr>
            <w:rFonts w:ascii="Verdana" w:hAnsi="Verdana" w:cs="Times New Roman"/>
            <w:noProof/>
            <w:sz w:val="20"/>
          </w:rPr>
          <w:t>107</w:t>
        </w:r>
        <w:r w:rsidRPr="003155BE">
          <w:rPr>
            <w:rFonts w:ascii="Verdana" w:hAnsi="Verdana" w:cs="Times New Roman"/>
            <w:noProof/>
            <w:sz w:val="20"/>
          </w:rPr>
          <w:fldChar w:fldCharType="end"/>
        </w:r>
        <w:r>
          <w:rPr>
            <w:rFonts w:ascii="Verdana" w:hAnsi="Verdana" w:cs="Times New Roman"/>
            <w:noProof/>
            <w:sz w:val="20"/>
          </w:rPr>
          <w:t xml:space="preserve"> </w: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BFFF1" w14:textId="7890F815" w:rsidR="00146958" w:rsidRPr="00F83241" w:rsidRDefault="00146958" w:rsidP="005B5C30">
    <w:pPr>
      <w:pStyle w:val="Encabezado"/>
      <w:tabs>
        <w:tab w:val="center" w:pos="8931"/>
        <w:tab w:val="left" w:pos="9498"/>
        <w:tab w:val="left" w:pos="9639"/>
        <w:tab w:val="right" w:pos="10065"/>
      </w:tabs>
      <w:jc w:val="right"/>
      <w:rPr>
        <w:rFonts w:ascii="Verdana" w:hAnsi="Verdana"/>
        <w:i/>
        <w:sz w:val="16"/>
        <w:szCs w:val="16"/>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68D6409E"/>
    <w:name w:val="WW8Num6"/>
    <w:lvl w:ilvl="0">
      <w:start w:val="1"/>
      <w:numFmt w:val="upperLetter"/>
      <w:lvlText w:val="%1."/>
      <w:lvlJc w:val="left"/>
      <w:pPr>
        <w:tabs>
          <w:tab w:val="num" w:pos="360"/>
        </w:tabs>
        <w:ind w:left="360" w:hanging="360"/>
      </w:pPr>
      <w:rPr>
        <w:i/>
      </w:rPr>
    </w:lvl>
    <w:lvl w:ilvl="1">
      <w:start w:val="1"/>
      <w:numFmt w:val="lowerLetter"/>
      <w:lvlText w:val="%2."/>
      <w:lvlJc w:val="left"/>
      <w:pPr>
        <w:tabs>
          <w:tab w:val="num" w:pos="1080"/>
        </w:tabs>
        <w:ind w:left="1080" w:hanging="360"/>
      </w:pPr>
    </w:lvl>
    <w:lvl w:ilvl="2">
      <w:start w:val="1"/>
      <w:numFmt w:val="decimal"/>
      <w:lvlText w:val="%3."/>
      <w:lvlJc w:val="left"/>
      <w:pPr>
        <w:tabs>
          <w:tab w:val="num" w:pos="2025"/>
        </w:tabs>
        <w:ind w:left="2025" w:hanging="405"/>
      </w:pPr>
      <w:rPr>
        <w:rFonts w:cs="Verdana-Italic"/>
        <w:b/>
        <w:color w:val="auto"/>
      </w:rPr>
    </w:lvl>
    <w:lvl w:ilvl="3">
      <w:start w:val="1"/>
      <w:numFmt w:val="decimal"/>
      <w:lvlText w:val="%4."/>
      <w:lvlJc w:val="left"/>
      <w:pPr>
        <w:tabs>
          <w:tab w:val="num" w:pos="2520"/>
        </w:tabs>
        <w:ind w:left="2520" w:hanging="360"/>
      </w:pPr>
    </w:lvl>
    <w:lvl w:ilvl="4">
      <w:start w:val="1"/>
      <w:numFmt w:val="lowerLetter"/>
      <w:lvlText w:val="%5)"/>
      <w:lvlJc w:val="left"/>
      <w:pPr>
        <w:tabs>
          <w:tab w:val="num" w:pos="3780"/>
        </w:tabs>
        <w:ind w:left="3780" w:hanging="540"/>
      </w:pPr>
      <w:rPr>
        <w:rFonts w:cs="Times New Roman"/>
        <w:b w:val="0"/>
        <w:i w:val="0"/>
      </w:r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 w15:restartNumberingAfterBreak="0">
    <w:nsid w:val="0063077B"/>
    <w:multiLevelType w:val="hybridMultilevel"/>
    <w:tmpl w:val="CE74EA9A"/>
    <w:lvl w:ilvl="0" w:tplc="9E4EABDC">
      <w:start w:val="1"/>
      <w:numFmt w:val="lowerRoman"/>
      <w:lvlText w:val="%1."/>
      <w:lvlJc w:val="left"/>
      <w:pPr>
        <w:ind w:left="720" w:hanging="360"/>
      </w:pPr>
      <w:rPr>
        <w:rFonts w:ascii="Verdana" w:eastAsia="Batang"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73CAA"/>
    <w:multiLevelType w:val="hybridMultilevel"/>
    <w:tmpl w:val="078CC96C"/>
    <w:lvl w:ilvl="0" w:tplc="2CBED7DE">
      <w:start w:val="1"/>
      <w:numFmt w:val="decimal"/>
      <w:lvlText w:val="E.%1."/>
      <w:lvlJc w:val="left"/>
      <w:pPr>
        <w:ind w:left="1495"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23F6B66"/>
    <w:multiLevelType w:val="hybridMultilevel"/>
    <w:tmpl w:val="78E0B574"/>
    <w:lvl w:ilvl="0" w:tplc="AC3AE318">
      <w:start w:val="1"/>
      <w:numFmt w:val="decimal"/>
      <w:lvlText w:val="%1."/>
      <w:lvlJc w:val="left"/>
      <w:pPr>
        <w:ind w:left="5038" w:hanging="360"/>
      </w:pPr>
      <w:rPr>
        <w:rFonts w:ascii="Verdana" w:hAnsi="Verdana" w:hint="default"/>
        <w:b w:val="0"/>
        <w:i w:val="0"/>
        <w:strike w:val="0"/>
        <w:dstrike w:val="0"/>
        <w:color w:val="auto"/>
        <w:sz w:val="20"/>
        <w:szCs w:val="20"/>
        <w:u w:val="none"/>
        <w:effect w:val="none"/>
        <w:vertAlign w:val="baseline"/>
        <w:lang w:val="es-CR"/>
      </w:rPr>
    </w:lvl>
    <w:lvl w:ilvl="1" w:tplc="05862478">
      <w:start w:val="1"/>
      <w:numFmt w:val="upperLetter"/>
      <w:lvlText w:val="%2."/>
      <w:lvlJc w:val="left"/>
      <w:pPr>
        <w:ind w:left="786"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03795A1D"/>
    <w:multiLevelType w:val="hybridMultilevel"/>
    <w:tmpl w:val="DCDEED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AD770E"/>
    <w:multiLevelType w:val="hybridMultilevel"/>
    <w:tmpl w:val="8266F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8728D3"/>
    <w:multiLevelType w:val="hybridMultilevel"/>
    <w:tmpl w:val="D904069A"/>
    <w:lvl w:ilvl="0" w:tplc="17A43CE8">
      <w:start w:val="1"/>
      <w:numFmt w:val="decimal"/>
      <w:lvlText w:val="B.%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7" w15:restartNumberingAfterBreak="0">
    <w:nsid w:val="07515E9E"/>
    <w:multiLevelType w:val="hybridMultilevel"/>
    <w:tmpl w:val="E18C4FA6"/>
    <w:lvl w:ilvl="0" w:tplc="0A361AAC">
      <w:start w:val="1"/>
      <w:numFmt w:val="decimal"/>
      <w:lvlText w:val="%1."/>
      <w:lvlJc w:val="left"/>
      <w:pPr>
        <w:ind w:left="36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7CC52B2"/>
    <w:multiLevelType w:val="hybridMultilevel"/>
    <w:tmpl w:val="70FAAE04"/>
    <w:lvl w:ilvl="0" w:tplc="9CEA44BA">
      <w:start w:val="1"/>
      <w:numFmt w:val="decimal"/>
      <w:lvlText w:val="B.2.%1."/>
      <w:lvlJc w:val="right"/>
      <w:pPr>
        <w:ind w:left="2771" w:hanging="360"/>
      </w:pPr>
      <w:rPr>
        <w:rFonts w:hint="default"/>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9" w15:restartNumberingAfterBreak="0">
    <w:nsid w:val="0809611D"/>
    <w:multiLevelType w:val="hybridMultilevel"/>
    <w:tmpl w:val="BE00A1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86658D0"/>
    <w:multiLevelType w:val="hybridMultilevel"/>
    <w:tmpl w:val="1E308EAA"/>
    <w:lvl w:ilvl="0" w:tplc="A8D8FBA0">
      <w:start w:val="1"/>
      <w:numFmt w:val="upperLetter"/>
      <w:lvlText w:val="%1."/>
      <w:lvlJc w:val="left"/>
      <w:pPr>
        <w:ind w:left="1080" w:hanging="360"/>
      </w:pPr>
      <w:rPr>
        <w:rFonts w:hint="default"/>
        <w:b/>
        <w:i/>
        <w:color w:val="auto"/>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15:restartNumberingAfterBreak="0">
    <w:nsid w:val="0A5D302C"/>
    <w:multiLevelType w:val="hybridMultilevel"/>
    <w:tmpl w:val="9F983164"/>
    <w:lvl w:ilvl="0" w:tplc="437C6A44">
      <w:start w:val="1"/>
      <w:numFmt w:val="decimal"/>
      <w:lvlText w:val="D.7.%1."/>
      <w:lvlJc w:val="left"/>
      <w:pPr>
        <w:ind w:left="1778"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0CCF1958"/>
    <w:multiLevelType w:val="hybridMultilevel"/>
    <w:tmpl w:val="F9EEB356"/>
    <w:lvl w:ilvl="0" w:tplc="140A0001">
      <w:start w:val="1"/>
      <w:numFmt w:val="bullet"/>
      <w:lvlText w:val=""/>
      <w:lvlJc w:val="left"/>
      <w:pPr>
        <w:ind w:left="2356" w:hanging="360"/>
      </w:pPr>
      <w:rPr>
        <w:rFonts w:ascii="Symbol" w:hAnsi="Symbol" w:hint="default"/>
      </w:rPr>
    </w:lvl>
    <w:lvl w:ilvl="1" w:tplc="140A0003" w:tentative="1">
      <w:start w:val="1"/>
      <w:numFmt w:val="bullet"/>
      <w:lvlText w:val="o"/>
      <w:lvlJc w:val="left"/>
      <w:pPr>
        <w:ind w:left="3076" w:hanging="360"/>
      </w:pPr>
      <w:rPr>
        <w:rFonts w:ascii="Courier New" w:hAnsi="Courier New" w:cs="Courier New" w:hint="default"/>
      </w:rPr>
    </w:lvl>
    <w:lvl w:ilvl="2" w:tplc="140A0005" w:tentative="1">
      <w:start w:val="1"/>
      <w:numFmt w:val="bullet"/>
      <w:lvlText w:val=""/>
      <w:lvlJc w:val="left"/>
      <w:pPr>
        <w:ind w:left="3796" w:hanging="360"/>
      </w:pPr>
      <w:rPr>
        <w:rFonts w:ascii="Wingdings" w:hAnsi="Wingdings" w:hint="default"/>
      </w:rPr>
    </w:lvl>
    <w:lvl w:ilvl="3" w:tplc="140A0001" w:tentative="1">
      <w:start w:val="1"/>
      <w:numFmt w:val="bullet"/>
      <w:lvlText w:val=""/>
      <w:lvlJc w:val="left"/>
      <w:pPr>
        <w:ind w:left="4516" w:hanging="360"/>
      </w:pPr>
      <w:rPr>
        <w:rFonts w:ascii="Symbol" w:hAnsi="Symbol" w:hint="default"/>
      </w:rPr>
    </w:lvl>
    <w:lvl w:ilvl="4" w:tplc="140A0003" w:tentative="1">
      <w:start w:val="1"/>
      <w:numFmt w:val="bullet"/>
      <w:lvlText w:val="o"/>
      <w:lvlJc w:val="left"/>
      <w:pPr>
        <w:ind w:left="5236" w:hanging="360"/>
      </w:pPr>
      <w:rPr>
        <w:rFonts w:ascii="Courier New" w:hAnsi="Courier New" w:cs="Courier New" w:hint="default"/>
      </w:rPr>
    </w:lvl>
    <w:lvl w:ilvl="5" w:tplc="140A0005" w:tentative="1">
      <w:start w:val="1"/>
      <w:numFmt w:val="bullet"/>
      <w:lvlText w:val=""/>
      <w:lvlJc w:val="left"/>
      <w:pPr>
        <w:ind w:left="5956" w:hanging="360"/>
      </w:pPr>
      <w:rPr>
        <w:rFonts w:ascii="Wingdings" w:hAnsi="Wingdings" w:hint="default"/>
      </w:rPr>
    </w:lvl>
    <w:lvl w:ilvl="6" w:tplc="140A0001" w:tentative="1">
      <w:start w:val="1"/>
      <w:numFmt w:val="bullet"/>
      <w:lvlText w:val=""/>
      <w:lvlJc w:val="left"/>
      <w:pPr>
        <w:ind w:left="6676" w:hanging="360"/>
      </w:pPr>
      <w:rPr>
        <w:rFonts w:ascii="Symbol" w:hAnsi="Symbol" w:hint="default"/>
      </w:rPr>
    </w:lvl>
    <w:lvl w:ilvl="7" w:tplc="140A0003" w:tentative="1">
      <w:start w:val="1"/>
      <w:numFmt w:val="bullet"/>
      <w:lvlText w:val="o"/>
      <w:lvlJc w:val="left"/>
      <w:pPr>
        <w:ind w:left="7396" w:hanging="360"/>
      </w:pPr>
      <w:rPr>
        <w:rFonts w:ascii="Courier New" w:hAnsi="Courier New" w:cs="Courier New" w:hint="default"/>
      </w:rPr>
    </w:lvl>
    <w:lvl w:ilvl="8" w:tplc="140A0005" w:tentative="1">
      <w:start w:val="1"/>
      <w:numFmt w:val="bullet"/>
      <w:lvlText w:val=""/>
      <w:lvlJc w:val="left"/>
      <w:pPr>
        <w:ind w:left="8116" w:hanging="360"/>
      </w:pPr>
      <w:rPr>
        <w:rFonts w:ascii="Wingdings" w:hAnsi="Wingdings" w:hint="default"/>
      </w:rPr>
    </w:lvl>
  </w:abstractNum>
  <w:abstractNum w:abstractNumId="13" w15:restartNumberingAfterBreak="0">
    <w:nsid w:val="0ECB21E2"/>
    <w:multiLevelType w:val="hybridMultilevel"/>
    <w:tmpl w:val="3DFA1A7E"/>
    <w:lvl w:ilvl="0" w:tplc="D2D604F4">
      <w:start w:val="1"/>
      <w:numFmt w:val="decimal"/>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0FE879EC"/>
    <w:multiLevelType w:val="hybridMultilevel"/>
    <w:tmpl w:val="634CD1B0"/>
    <w:lvl w:ilvl="0" w:tplc="A07A0DBC">
      <w:start w:val="1"/>
      <w:numFmt w:val="decimal"/>
      <w:lvlText w:val="B.1.%1."/>
      <w:lvlJc w:val="left"/>
      <w:pPr>
        <w:ind w:left="1778"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03326F4"/>
    <w:multiLevelType w:val="hybridMultilevel"/>
    <w:tmpl w:val="17B2691C"/>
    <w:lvl w:ilvl="0" w:tplc="140A0001">
      <w:start w:val="1"/>
      <w:numFmt w:val="bullet"/>
      <w:lvlText w:val=""/>
      <w:lvlJc w:val="left"/>
      <w:pPr>
        <w:ind w:left="2360" w:hanging="360"/>
      </w:pPr>
      <w:rPr>
        <w:rFonts w:ascii="Symbol" w:hAnsi="Symbol" w:hint="default"/>
      </w:rPr>
    </w:lvl>
    <w:lvl w:ilvl="1" w:tplc="140A0003" w:tentative="1">
      <w:start w:val="1"/>
      <w:numFmt w:val="bullet"/>
      <w:lvlText w:val="o"/>
      <w:lvlJc w:val="left"/>
      <w:pPr>
        <w:ind w:left="3080" w:hanging="360"/>
      </w:pPr>
      <w:rPr>
        <w:rFonts w:ascii="Courier New" w:hAnsi="Courier New" w:cs="Courier New" w:hint="default"/>
      </w:rPr>
    </w:lvl>
    <w:lvl w:ilvl="2" w:tplc="140A0005" w:tentative="1">
      <w:start w:val="1"/>
      <w:numFmt w:val="bullet"/>
      <w:lvlText w:val=""/>
      <w:lvlJc w:val="left"/>
      <w:pPr>
        <w:ind w:left="3800" w:hanging="360"/>
      </w:pPr>
      <w:rPr>
        <w:rFonts w:ascii="Wingdings" w:hAnsi="Wingdings" w:hint="default"/>
      </w:rPr>
    </w:lvl>
    <w:lvl w:ilvl="3" w:tplc="140A0001" w:tentative="1">
      <w:start w:val="1"/>
      <w:numFmt w:val="bullet"/>
      <w:lvlText w:val=""/>
      <w:lvlJc w:val="left"/>
      <w:pPr>
        <w:ind w:left="4520" w:hanging="360"/>
      </w:pPr>
      <w:rPr>
        <w:rFonts w:ascii="Symbol" w:hAnsi="Symbol" w:hint="default"/>
      </w:rPr>
    </w:lvl>
    <w:lvl w:ilvl="4" w:tplc="140A0003" w:tentative="1">
      <w:start w:val="1"/>
      <w:numFmt w:val="bullet"/>
      <w:lvlText w:val="o"/>
      <w:lvlJc w:val="left"/>
      <w:pPr>
        <w:ind w:left="5240" w:hanging="360"/>
      </w:pPr>
      <w:rPr>
        <w:rFonts w:ascii="Courier New" w:hAnsi="Courier New" w:cs="Courier New" w:hint="default"/>
      </w:rPr>
    </w:lvl>
    <w:lvl w:ilvl="5" w:tplc="140A0005" w:tentative="1">
      <w:start w:val="1"/>
      <w:numFmt w:val="bullet"/>
      <w:lvlText w:val=""/>
      <w:lvlJc w:val="left"/>
      <w:pPr>
        <w:ind w:left="5960" w:hanging="360"/>
      </w:pPr>
      <w:rPr>
        <w:rFonts w:ascii="Wingdings" w:hAnsi="Wingdings" w:hint="default"/>
      </w:rPr>
    </w:lvl>
    <w:lvl w:ilvl="6" w:tplc="140A0001" w:tentative="1">
      <w:start w:val="1"/>
      <w:numFmt w:val="bullet"/>
      <w:lvlText w:val=""/>
      <w:lvlJc w:val="left"/>
      <w:pPr>
        <w:ind w:left="6680" w:hanging="360"/>
      </w:pPr>
      <w:rPr>
        <w:rFonts w:ascii="Symbol" w:hAnsi="Symbol" w:hint="default"/>
      </w:rPr>
    </w:lvl>
    <w:lvl w:ilvl="7" w:tplc="140A0003" w:tentative="1">
      <w:start w:val="1"/>
      <w:numFmt w:val="bullet"/>
      <w:lvlText w:val="o"/>
      <w:lvlJc w:val="left"/>
      <w:pPr>
        <w:ind w:left="7400" w:hanging="360"/>
      </w:pPr>
      <w:rPr>
        <w:rFonts w:ascii="Courier New" w:hAnsi="Courier New" w:cs="Courier New" w:hint="default"/>
      </w:rPr>
    </w:lvl>
    <w:lvl w:ilvl="8" w:tplc="140A0005" w:tentative="1">
      <w:start w:val="1"/>
      <w:numFmt w:val="bullet"/>
      <w:lvlText w:val=""/>
      <w:lvlJc w:val="left"/>
      <w:pPr>
        <w:ind w:left="8120" w:hanging="360"/>
      </w:pPr>
      <w:rPr>
        <w:rFonts w:ascii="Wingdings" w:hAnsi="Wingdings" w:hint="default"/>
      </w:rPr>
    </w:lvl>
  </w:abstractNum>
  <w:abstractNum w:abstractNumId="16" w15:restartNumberingAfterBreak="0">
    <w:nsid w:val="10AE05D8"/>
    <w:multiLevelType w:val="hybridMultilevel"/>
    <w:tmpl w:val="B630C59C"/>
    <w:lvl w:ilvl="0" w:tplc="140A0001">
      <w:start w:val="1"/>
      <w:numFmt w:val="bullet"/>
      <w:lvlText w:val=""/>
      <w:lvlJc w:val="left"/>
      <w:pPr>
        <w:ind w:left="2498" w:hanging="360"/>
      </w:pPr>
      <w:rPr>
        <w:rFonts w:ascii="Symbol" w:hAnsi="Symbol" w:hint="default"/>
      </w:rPr>
    </w:lvl>
    <w:lvl w:ilvl="1" w:tplc="140A0003" w:tentative="1">
      <w:start w:val="1"/>
      <w:numFmt w:val="bullet"/>
      <w:lvlText w:val="o"/>
      <w:lvlJc w:val="left"/>
      <w:pPr>
        <w:ind w:left="3218" w:hanging="360"/>
      </w:pPr>
      <w:rPr>
        <w:rFonts w:ascii="Courier New" w:hAnsi="Courier New" w:cs="Courier New" w:hint="default"/>
      </w:rPr>
    </w:lvl>
    <w:lvl w:ilvl="2" w:tplc="140A0005" w:tentative="1">
      <w:start w:val="1"/>
      <w:numFmt w:val="bullet"/>
      <w:lvlText w:val=""/>
      <w:lvlJc w:val="left"/>
      <w:pPr>
        <w:ind w:left="3938" w:hanging="360"/>
      </w:pPr>
      <w:rPr>
        <w:rFonts w:ascii="Wingdings" w:hAnsi="Wingdings" w:hint="default"/>
      </w:rPr>
    </w:lvl>
    <w:lvl w:ilvl="3" w:tplc="140A0001" w:tentative="1">
      <w:start w:val="1"/>
      <w:numFmt w:val="bullet"/>
      <w:lvlText w:val=""/>
      <w:lvlJc w:val="left"/>
      <w:pPr>
        <w:ind w:left="4658" w:hanging="360"/>
      </w:pPr>
      <w:rPr>
        <w:rFonts w:ascii="Symbol" w:hAnsi="Symbol" w:hint="default"/>
      </w:rPr>
    </w:lvl>
    <w:lvl w:ilvl="4" w:tplc="140A0003" w:tentative="1">
      <w:start w:val="1"/>
      <w:numFmt w:val="bullet"/>
      <w:lvlText w:val="o"/>
      <w:lvlJc w:val="left"/>
      <w:pPr>
        <w:ind w:left="5378" w:hanging="360"/>
      </w:pPr>
      <w:rPr>
        <w:rFonts w:ascii="Courier New" w:hAnsi="Courier New" w:cs="Courier New" w:hint="default"/>
      </w:rPr>
    </w:lvl>
    <w:lvl w:ilvl="5" w:tplc="140A0005" w:tentative="1">
      <w:start w:val="1"/>
      <w:numFmt w:val="bullet"/>
      <w:lvlText w:val=""/>
      <w:lvlJc w:val="left"/>
      <w:pPr>
        <w:ind w:left="6098" w:hanging="360"/>
      </w:pPr>
      <w:rPr>
        <w:rFonts w:ascii="Wingdings" w:hAnsi="Wingdings" w:hint="default"/>
      </w:rPr>
    </w:lvl>
    <w:lvl w:ilvl="6" w:tplc="140A0001" w:tentative="1">
      <w:start w:val="1"/>
      <w:numFmt w:val="bullet"/>
      <w:lvlText w:val=""/>
      <w:lvlJc w:val="left"/>
      <w:pPr>
        <w:ind w:left="6818" w:hanging="360"/>
      </w:pPr>
      <w:rPr>
        <w:rFonts w:ascii="Symbol" w:hAnsi="Symbol" w:hint="default"/>
      </w:rPr>
    </w:lvl>
    <w:lvl w:ilvl="7" w:tplc="140A0003" w:tentative="1">
      <w:start w:val="1"/>
      <w:numFmt w:val="bullet"/>
      <w:lvlText w:val="o"/>
      <w:lvlJc w:val="left"/>
      <w:pPr>
        <w:ind w:left="7538" w:hanging="360"/>
      </w:pPr>
      <w:rPr>
        <w:rFonts w:ascii="Courier New" w:hAnsi="Courier New" w:cs="Courier New" w:hint="default"/>
      </w:rPr>
    </w:lvl>
    <w:lvl w:ilvl="8" w:tplc="140A0005" w:tentative="1">
      <w:start w:val="1"/>
      <w:numFmt w:val="bullet"/>
      <w:lvlText w:val=""/>
      <w:lvlJc w:val="left"/>
      <w:pPr>
        <w:ind w:left="8258" w:hanging="360"/>
      </w:pPr>
      <w:rPr>
        <w:rFonts w:ascii="Wingdings" w:hAnsi="Wingdings" w:hint="default"/>
      </w:rPr>
    </w:lvl>
  </w:abstractNum>
  <w:abstractNum w:abstractNumId="17" w15:restartNumberingAfterBreak="0">
    <w:nsid w:val="114F3A99"/>
    <w:multiLevelType w:val="hybridMultilevel"/>
    <w:tmpl w:val="58BCAC6E"/>
    <w:lvl w:ilvl="0" w:tplc="140A0001">
      <w:start w:val="1"/>
      <w:numFmt w:val="bullet"/>
      <w:lvlText w:val=""/>
      <w:lvlJc w:val="left"/>
      <w:pPr>
        <w:ind w:left="2504" w:hanging="360"/>
      </w:pPr>
      <w:rPr>
        <w:rFonts w:ascii="Symbol" w:hAnsi="Symbol" w:hint="default"/>
      </w:rPr>
    </w:lvl>
    <w:lvl w:ilvl="1" w:tplc="140A0003" w:tentative="1">
      <w:start w:val="1"/>
      <w:numFmt w:val="bullet"/>
      <w:lvlText w:val="o"/>
      <w:lvlJc w:val="left"/>
      <w:pPr>
        <w:ind w:left="3224" w:hanging="360"/>
      </w:pPr>
      <w:rPr>
        <w:rFonts w:ascii="Courier New" w:hAnsi="Courier New" w:cs="Courier New" w:hint="default"/>
      </w:rPr>
    </w:lvl>
    <w:lvl w:ilvl="2" w:tplc="140A0005" w:tentative="1">
      <w:start w:val="1"/>
      <w:numFmt w:val="bullet"/>
      <w:lvlText w:val=""/>
      <w:lvlJc w:val="left"/>
      <w:pPr>
        <w:ind w:left="3944" w:hanging="360"/>
      </w:pPr>
      <w:rPr>
        <w:rFonts w:ascii="Wingdings" w:hAnsi="Wingdings" w:hint="default"/>
      </w:rPr>
    </w:lvl>
    <w:lvl w:ilvl="3" w:tplc="140A0001" w:tentative="1">
      <w:start w:val="1"/>
      <w:numFmt w:val="bullet"/>
      <w:lvlText w:val=""/>
      <w:lvlJc w:val="left"/>
      <w:pPr>
        <w:ind w:left="4664" w:hanging="360"/>
      </w:pPr>
      <w:rPr>
        <w:rFonts w:ascii="Symbol" w:hAnsi="Symbol" w:hint="default"/>
      </w:rPr>
    </w:lvl>
    <w:lvl w:ilvl="4" w:tplc="140A0003" w:tentative="1">
      <w:start w:val="1"/>
      <w:numFmt w:val="bullet"/>
      <w:lvlText w:val="o"/>
      <w:lvlJc w:val="left"/>
      <w:pPr>
        <w:ind w:left="5384" w:hanging="360"/>
      </w:pPr>
      <w:rPr>
        <w:rFonts w:ascii="Courier New" w:hAnsi="Courier New" w:cs="Courier New" w:hint="default"/>
      </w:rPr>
    </w:lvl>
    <w:lvl w:ilvl="5" w:tplc="140A0005" w:tentative="1">
      <w:start w:val="1"/>
      <w:numFmt w:val="bullet"/>
      <w:lvlText w:val=""/>
      <w:lvlJc w:val="left"/>
      <w:pPr>
        <w:ind w:left="6104" w:hanging="360"/>
      </w:pPr>
      <w:rPr>
        <w:rFonts w:ascii="Wingdings" w:hAnsi="Wingdings" w:hint="default"/>
      </w:rPr>
    </w:lvl>
    <w:lvl w:ilvl="6" w:tplc="140A0001" w:tentative="1">
      <w:start w:val="1"/>
      <w:numFmt w:val="bullet"/>
      <w:lvlText w:val=""/>
      <w:lvlJc w:val="left"/>
      <w:pPr>
        <w:ind w:left="6824" w:hanging="360"/>
      </w:pPr>
      <w:rPr>
        <w:rFonts w:ascii="Symbol" w:hAnsi="Symbol" w:hint="default"/>
      </w:rPr>
    </w:lvl>
    <w:lvl w:ilvl="7" w:tplc="140A0003" w:tentative="1">
      <w:start w:val="1"/>
      <w:numFmt w:val="bullet"/>
      <w:lvlText w:val="o"/>
      <w:lvlJc w:val="left"/>
      <w:pPr>
        <w:ind w:left="7544" w:hanging="360"/>
      </w:pPr>
      <w:rPr>
        <w:rFonts w:ascii="Courier New" w:hAnsi="Courier New" w:cs="Courier New" w:hint="default"/>
      </w:rPr>
    </w:lvl>
    <w:lvl w:ilvl="8" w:tplc="140A0005" w:tentative="1">
      <w:start w:val="1"/>
      <w:numFmt w:val="bullet"/>
      <w:lvlText w:val=""/>
      <w:lvlJc w:val="left"/>
      <w:pPr>
        <w:ind w:left="8264" w:hanging="360"/>
      </w:pPr>
      <w:rPr>
        <w:rFonts w:ascii="Wingdings" w:hAnsi="Wingdings" w:hint="default"/>
      </w:rPr>
    </w:lvl>
  </w:abstractNum>
  <w:abstractNum w:abstractNumId="18" w15:restartNumberingAfterBreak="0">
    <w:nsid w:val="12A271E9"/>
    <w:multiLevelType w:val="hybridMultilevel"/>
    <w:tmpl w:val="2A8CAAF2"/>
    <w:lvl w:ilvl="0" w:tplc="F27E89F0">
      <w:start w:val="1"/>
      <w:numFmt w:val="decimal"/>
      <w:lvlText w:val="B.2.%1"/>
      <w:lvlJc w:val="left"/>
      <w:pPr>
        <w:ind w:left="31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9CEA44BA">
      <w:start w:val="1"/>
      <w:numFmt w:val="decimal"/>
      <w:lvlText w:val="B.2.%4."/>
      <w:lvlJc w:val="right"/>
      <w:pPr>
        <w:ind w:left="2880" w:hanging="360"/>
      </w:pPr>
      <w:rPr>
        <w:rFonts w:hint="default"/>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17957589"/>
    <w:multiLevelType w:val="hybridMultilevel"/>
    <w:tmpl w:val="745211B4"/>
    <w:lvl w:ilvl="0" w:tplc="17A43CE8">
      <w:start w:val="1"/>
      <w:numFmt w:val="decimal"/>
      <w:lvlText w:val="B.%1."/>
      <w:lvlJc w:val="left"/>
      <w:pPr>
        <w:ind w:left="1636" w:hanging="360"/>
      </w:pPr>
      <w:rPr>
        <w:rFonts w:hint="default"/>
      </w:rPr>
    </w:lvl>
    <w:lvl w:ilvl="1" w:tplc="140A0019">
      <w:start w:val="1"/>
      <w:numFmt w:val="lowerLetter"/>
      <w:lvlText w:val="%2."/>
      <w:lvlJc w:val="left"/>
      <w:pPr>
        <w:ind w:left="1865" w:hanging="360"/>
      </w:pPr>
    </w:lvl>
    <w:lvl w:ilvl="2" w:tplc="140A001B" w:tentative="1">
      <w:start w:val="1"/>
      <w:numFmt w:val="lowerRoman"/>
      <w:lvlText w:val="%3."/>
      <w:lvlJc w:val="right"/>
      <w:pPr>
        <w:ind w:left="2585" w:hanging="180"/>
      </w:pPr>
    </w:lvl>
    <w:lvl w:ilvl="3" w:tplc="140A000F" w:tentative="1">
      <w:start w:val="1"/>
      <w:numFmt w:val="decimal"/>
      <w:lvlText w:val="%4."/>
      <w:lvlJc w:val="left"/>
      <w:pPr>
        <w:ind w:left="3305" w:hanging="360"/>
      </w:pPr>
    </w:lvl>
    <w:lvl w:ilvl="4" w:tplc="140A0019" w:tentative="1">
      <w:start w:val="1"/>
      <w:numFmt w:val="lowerLetter"/>
      <w:lvlText w:val="%5."/>
      <w:lvlJc w:val="left"/>
      <w:pPr>
        <w:ind w:left="4025" w:hanging="360"/>
      </w:pPr>
    </w:lvl>
    <w:lvl w:ilvl="5" w:tplc="140A001B" w:tentative="1">
      <w:start w:val="1"/>
      <w:numFmt w:val="lowerRoman"/>
      <w:lvlText w:val="%6."/>
      <w:lvlJc w:val="right"/>
      <w:pPr>
        <w:ind w:left="4745" w:hanging="180"/>
      </w:pPr>
    </w:lvl>
    <w:lvl w:ilvl="6" w:tplc="140A000F" w:tentative="1">
      <w:start w:val="1"/>
      <w:numFmt w:val="decimal"/>
      <w:lvlText w:val="%7."/>
      <w:lvlJc w:val="left"/>
      <w:pPr>
        <w:ind w:left="5465" w:hanging="360"/>
      </w:pPr>
    </w:lvl>
    <w:lvl w:ilvl="7" w:tplc="140A0019" w:tentative="1">
      <w:start w:val="1"/>
      <w:numFmt w:val="lowerLetter"/>
      <w:lvlText w:val="%8."/>
      <w:lvlJc w:val="left"/>
      <w:pPr>
        <w:ind w:left="6185" w:hanging="360"/>
      </w:pPr>
    </w:lvl>
    <w:lvl w:ilvl="8" w:tplc="140A001B" w:tentative="1">
      <w:start w:val="1"/>
      <w:numFmt w:val="lowerRoman"/>
      <w:lvlText w:val="%9."/>
      <w:lvlJc w:val="right"/>
      <w:pPr>
        <w:ind w:left="6905" w:hanging="180"/>
      </w:pPr>
    </w:lvl>
  </w:abstractNum>
  <w:abstractNum w:abstractNumId="20" w15:restartNumberingAfterBreak="0">
    <w:nsid w:val="19131B64"/>
    <w:multiLevelType w:val="hybridMultilevel"/>
    <w:tmpl w:val="B30C65C0"/>
    <w:lvl w:ilvl="0" w:tplc="D77C30A6">
      <w:start w:val="1"/>
      <w:numFmt w:val="upperLetter"/>
      <w:lvlText w:val="%1."/>
      <w:lvlJc w:val="left"/>
      <w:pPr>
        <w:ind w:left="1185" w:hanging="360"/>
      </w:pPr>
      <w:rPr>
        <w:rFonts w:ascii="Verdana" w:hAnsi="Verdana" w:hint="default"/>
        <w:b/>
        <w:color w:val="auto"/>
        <w:sz w:val="20"/>
        <w:szCs w:val="20"/>
      </w:rPr>
    </w:lvl>
    <w:lvl w:ilvl="1" w:tplc="04090019" w:tentative="1">
      <w:start w:val="1"/>
      <w:numFmt w:val="lowerLetter"/>
      <w:lvlText w:val="%2."/>
      <w:lvlJc w:val="left"/>
      <w:pPr>
        <w:ind w:left="2129" w:hanging="360"/>
      </w:pPr>
    </w:lvl>
    <w:lvl w:ilvl="2" w:tplc="0409001B" w:tentative="1">
      <w:start w:val="1"/>
      <w:numFmt w:val="lowerRoman"/>
      <w:lvlText w:val="%3."/>
      <w:lvlJc w:val="right"/>
      <w:pPr>
        <w:ind w:left="2849" w:hanging="180"/>
      </w:pPr>
    </w:lvl>
    <w:lvl w:ilvl="3" w:tplc="0409000F" w:tentative="1">
      <w:start w:val="1"/>
      <w:numFmt w:val="decimal"/>
      <w:lvlText w:val="%4."/>
      <w:lvlJc w:val="left"/>
      <w:pPr>
        <w:ind w:left="3569" w:hanging="360"/>
      </w:pPr>
    </w:lvl>
    <w:lvl w:ilvl="4" w:tplc="04090019" w:tentative="1">
      <w:start w:val="1"/>
      <w:numFmt w:val="lowerLetter"/>
      <w:lvlText w:val="%5."/>
      <w:lvlJc w:val="left"/>
      <w:pPr>
        <w:ind w:left="4289" w:hanging="360"/>
      </w:pPr>
    </w:lvl>
    <w:lvl w:ilvl="5" w:tplc="0409001B" w:tentative="1">
      <w:start w:val="1"/>
      <w:numFmt w:val="lowerRoman"/>
      <w:lvlText w:val="%6."/>
      <w:lvlJc w:val="right"/>
      <w:pPr>
        <w:ind w:left="5009" w:hanging="180"/>
      </w:pPr>
    </w:lvl>
    <w:lvl w:ilvl="6" w:tplc="0409000F" w:tentative="1">
      <w:start w:val="1"/>
      <w:numFmt w:val="decimal"/>
      <w:lvlText w:val="%7."/>
      <w:lvlJc w:val="left"/>
      <w:pPr>
        <w:ind w:left="5729" w:hanging="360"/>
      </w:pPr>
    </w:lvl>
    <w:lvl w:ilvl="7" w:tplc="04090019" w:tentative="1">
      <w:start w:val="1"/>
      <w:numFmt w:val="lowerLetter"/>
      <w:lvlText w:val="%8."/>
      <w:lvlJc w:val="left"/>
      <w:pPr>
        <w:ind w:left="6449" w:hanging="360"/>
      </w:pPr>
    </w:lvl>
    <w:lvl w:ilvl="8" w:tplc="0409001B" w:tentative="1">
      <w:start w:val="1"/>
      <w:numFmt w:val="lowerRoman"/>
      <w:lvlText w:val="%9."/>
      <w:lvlJc w:val="right"/>
      <w:pPr>
        <w:ind w:left="7169" w:hanging="180"/>
      </w:pPr>
    </w:lvl>
  </w:abstractNum>
  <w:abstractNum w:abstractNumId="21" w15:restartNumberingAfterBreak="0">
    <w:nsid w:val="19E94065"/>
    <w:multiLevelType w:val="hybridMultilevel"/>
    <w:tmpl w:val="54A6D5F4"/>
    <w:lvl w:ilvl="0" w:tplc="140A0001">
      <w:start w:val="1"/>
      <w:numFmt w:val="bullet"/>
      <w:lvlText w:val=""/>
      <w:lvlJc w:val="left"/>
      <w:pPr>
        <w:ind w:left="1931" w:hanging="360"/>
      </w:pPr>
      <w:rPr>
        <w:rFonts w:ascii="Symbol" w:hAnsi="Symbol" w:hint="default"/>
      </w:rPr>
    </w:lvl>
    <w:lvl w:ilvl="1" w:tplc="140A0003" w:tentative="1">
      <w:start w:val="1"/>
      <w:numFmt w:val="bullet"/>
      <w:lvlText w:val="o"/>
      <w:lvlJc w:val="left"/>
      <w:pPr>
        <w:ind w:left="2651" w:hanging="360"/>
      </w:pPr>
      <w:rPr>
        <w:rFonts w:ascii="Courier New" w:hAnsi="Courier New" w:cs="Courier New" w:hint="default"/>
      </w:rPr>
    </w:lvl>
    <w:lvl w:ilvl="2" w:tplc="140A0005" w:tentative="1">
      <w:start w:val="1"/>
      <w:numFmt w:val="bullet"/>
      <w:lvlText w:val=""/>
      <w:lvlJc w:val="left"/>
      <w:pPr>
        <w:ind w:left="3371" w:hanging="360"/>
      </w:pPr>
      <w:rPr>
        <w:rFonts w:ascii="Wingdings" w:hAnsi="Wingdings" w:hint="default"/>
      </w:rPr>
    </w:lvl>
    <w:lvl w:ilvl="3" w:tplc="140A0001" w:tentative="1">
      <w:start w:val="1"/>
      <w:numFmt w:val="bullet"/>
      <w:lvlText w:val=""/>
      <w:lvlJc w:val="left"/>
      <w:pPr>
        <w:ind w:left="4091" w:hanging="360"/>
      </w:pPr>
      <w:rPr>
        <w:rFonts w:ascii="Symbol" w:hAnsi="Symbol" w:hint="default"/>
      </w:rPr>
    </w:lvl>
    <w:lvl w:ilvl="4" w:tplc="140A0003" w:tentative="1">
      <w:start w:val="1"/>
      <w:numFmt w:val="bullet"/>
      <w:lvlText w:val="o"/>
      <w:lvlJc w:val="left"/>
      <w:pPr>
        <w:ind w:left="4811" w:hanging="360"/>
      </w:pPr>
      <w:rPr>
        <w:rFonts w:ascii="Courier New" w:hAnsi="Courier New" w:cs="Courier New" w:hint="default"/>
      </w:rPr>
    </w:lvl>
    <w:lvl w:ilvl="5" w:tplc="140A0005" w:tentative="1">
      <w:start w:val="1"/>
      <w:numFmt w:val="bullet"/>
      <w:lvlText w:val=""/>
      <w:lvlJc w:val="left"/>
      <w:pPr>
        <w:ind w:left="5531" w:hanging="360"/>
      </w:pPr>
      <w:rPr>
        <w:rFonts w:ascii="Wingdings" w:hAnsi="Wingdings" w:hint="default"/>
      </w:rPr>
    </w:lvl>
    <w:lvl w:ilvl="6" w:tplc="140A0001" w:tentative="1">
      <w:start w:val="1"/>
      <w:numFmt w:val="bullet"/>
      <w:lvlText w:val=""/>
      <w:lvlJc w:val="left"/>
      <w:pPr>
        <w:ind w:left="6251" w:hanging="360"/>
      </w:pPr>
      <w:rPr>
        <w:rFonts w:ascii="Symbol" w:hAnsi="Symbol" w:hint="default"/>
      </w:rPr>
    </w:lvl>
    <w:lvl w:ilvl="7" w:tplc="140A0003" w:tentative="1">
      <w:start w:val="1"/>
      <w:numFmt w:val="bullet"/>
      <w:lvlText w:val="o"/>
      <w:lvlJc w:val="left"/>
      <w:pPr>
        <w:ind w:left="6971" w:hanging="360"/>
      </w:pPr>
      <w:rPr>
        <w:rFonts w:ascii="Courier New" w:hAnsi="Courier New" w:cs="Courier New" w:hint="default"/>
      </w:rPr>
    </w:lvl>
    <w:lvl w:ilvl="8" w:tplc="140A0005" w:tentative="1">
      <w:start w:val="1"/>
      <w:numFmt w:val="bullet"/>
      <w:lvlText w:val=""/>
      <w:lvlJc w:val="left"/>
      <w:pPr>
        <w:ind w:left="7691" w:hanging="360"/>
      </w:pPr>
      <w:rPr>
        <w:rFonts w:ascii="Wingdings" w:hAnsi="Wingdings" w:hint="default"/>
      </w:rPr>
    </w:lvl>
  </w:abstractNum>
  <w:abstractNum w:abstractNumId="22" w15:restartNumberingAfterBreak="0">
    <w:nsid w:val="1A4F7BCB"/>
    <w:multiLevelType w:val="hybridMultilevel"/>
    <w:tmpl w:val="8BFE1D42"/>
    <w:lvl w:ilvl="0" w:tplc="0F3CB792">
      <w:start w:val="1"/>
      <w:numFmt w:val="decimal"/>
      <w:lvlText w:val="B.2.%1."/>
      <w:lvlJc w:val="left"/>
      <w:pPr>
        <w:ind w:left="3196" w:hanging="360"/>
      </w:pPr>
      <w:rPr>
        <w:rFonts w:hint="default"/>
      </w:rPr>
    </w:lvl>
    <w:lvl w:ilvl="1" w:tplc="140A0019" w:tentative="1">
      <w:start w:val="1"/>
      <w:numFmt w:val="lowerLetter"/>
      <w:lvlText w:val="%2."/>
      <w:lvlJc w:val="left"/>
      <w:pPr>
        <w:ind w:left="3916" w:hanging="360"/>
      </w:pPr>
    </w:lvl>
    <w:lvl w:ilvl="2" w:tplc="140A001B" w:tentative="1">
      <w:start w:val="1"/>
      <w:numFmt w:val="lowerRoman"/>
      <w:lvlText w:val="%3."/>
      <w:lvlJc w:val="right"/>
      <w:pPr>
        <w:ind w:left="4636" w:hanging="180"/>
      </w:pPr>
    </w:lvl>
    <w:lvl w:ilvl="3" w:tplc="140A000F" w:tentative="1">
      <w:start w:val="1"/>
      <w:numFmt w:val="decimal"/>
      <w:lvlText w:val="%4."/>
      <w:lvlJc w:val="left"/>
      <w:pPr>
        <w:ind w:left="5356" w:hanging="360"/>
      </w:pPr>
    </w:lvl>
    <w:lvl w:ilvl="4" w:tplc="140A0019" w:tentative="1">
      <w:start w:val="1"/>
      <w:numFmt w:val="lowerLetter"/>
      <w:lvlText w:val="%5."/>
      <w:lvlJc w:val="left"/>
      <w:pPr>
        <w:ind w:left="6076" w:hanging="360"/>
      </w:pPr>
    </w:lvl>
    <w:lvl w:ilvl="5" w:tplc="140A001B" w:tentative="1">
      <w:start w:val="1"/>
      <w:numFmt w:val="lowerRoman"/>
      <w:lvlText w:val="%6."/>
      <w:lvlJc w:val="right"/>
      <w:pPr>
        <w:ind w:left="6796" w:hanging="180"/>
      </w:pPr>
    </w:lvl>
    <w:lvl w:ilvl="6" w:tplc="140A000F" w:tentative="1">
      <w:start w:val="1"/>
      <w:numFmt w:val="decimal"/>
      <w:lvlText w:val="%7."/>
      <w:lvlJc w:val="left"/>
      <w:pPr>
        <w:ind w:left="7516" w:hanging="360"/>
      </w:pPr>
    </w:lvl>
    <w:lvl w:ilvl="7" w:tplc="140A0019" w:tentative="1">
      <w:start w:val="1"/>
      <w:numFmt w:val="lowerLetter"/>
      <w:lvlText w:val="%8."/>
      <w:lvlJc w:val="left"/>
      <w:pPr>
        <w:ind w:left="8236" w:hanging="360"/>
      </w:pPr>
    </w:lvl>
    <w:lvl w:ilvl="8" w:tplc="140A001B" w:tentative="1">
      <w:start w:val="1"/>
      <w:numFmt w:val="lowerRoman"/>
      <w:lvlText w:val="%9."/>
      <w:lvlJc w:val="right"/>
      <w:pPr>
        <w:ind w:left="8956" w:hanging="180"/>
      </w:pPr>
    </w:lvl>
  </w:abstractNum>
  <w:abstractNum w:abstractNumId="23" w15:restartNumberingAfterBreak="0">
    <w:nsid w:val="1AB30C1F"/>
    <w:multiLevelType w:val="hybridMultilevel"/>
    <w:tmpl w:val="40403AEE"/>
    <w:lvl w:ilvl="0" w:tplc="17A43CE8">
      <w:start w:val="1"/>
      <w:numFmt w:val="decimal"/>
      <w:lvlText w:val="B.%1."/>
      <w:lvlJc w:val="left"/>
      <w:pPr>
        <w:ind w:left="2770" w:hanging="360"/>
      </w:pPr>
      <w:rPr>
        <w:rFonts w:hint="default"/>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24" w15:restartNumberingAfterBreak="0">
    <w:nsid w:val="1D531FFE"/>
    <w:multiLevelType w:val="hybridMultilevel"/>
    <w:tmpl w:val="C6E017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8829E3"/>
    <w:multiLevelType w:val="hybridMultilevel"/>
    <w:tmpl w:val="7A24379C"/>
    <w:lvl w:ilvl="0" w:tplc="140A001B">
      <w:start w:val="1"/>
      <w:numFmt w:val="lowerRoman"/>
      <w:lvlText w:val="%1."/>
      <w:lvlJc w:val="right"/>
      <w:pPr>
        <w:ind w:left="1440" w:hanging="360"/>
      </w:pPr>
      <w:rPr>
        <w:rFont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6" w15:restartNumberingAfterBreak="0">
    <w:nsid w:val="1FDF7049"/>
    <w:multiLevelType w:val="hybridMultilevel"/>
    <w:tmpl w:val="F104D1B6"/>
    <w:lvl w:ilvl="0" w:tplc="58705160">
      <w:start w:val="1"/>
      <w:numFmt w:val="decimal"/>
      <w:lvlText w:val="E.2.%1."/>
      <w:lvlJc w:val="left"/>
      <w:pPr>
        <w:ind w:left="1778"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1FE30BBC"/>
    <w:multiLevelType w:val="hybridMultilevel"/>
    <w:tmpl w:val="DAB00F72"/>
    <w:lvl w:ilvl="0" w:tplc="0F3CB792">
      <w:start w:val="1"/>
      <w:numFmt w:val="decimal"/>
      <w:pStyle w:val="Ttulo9"/>
      <w:lvlText w:val="B.2.%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225A002E"/>
    <w:multiLevelType w:val="hybridMultilevel"/>
    <w:tmpl w:val="8710F224"/>
    <w:lvl w:ilvl="0" w:tplc="E66E9EE2">
      <w:start w:val="1"/>
      <w:numFmt w:val="lowerRoman"/>
      <w:lvlText w:val="(%1)"/>
      <w:lvlJc w:val="left"/>
      <w:pPr>
        <w:ind w:left="5164" w:hanging="720"/>
      </w:pPr>
    </w:lvl>
    <w:lvl w:ilvl="1" w:tplc="04090019">
      <w:start w:val="1"/>
      <w:numFmt w:val="lowerLetter"/>
      <w:lvlText w:val="%2."/>
      <w:lvlJc w:val="left"/>
      <w:pPr>
        <w:ind w:left="5524" w:hanging="360"/>
      </w:pPr>
    </w:lvl>
    <w:lvl w:ilvl="2" w:tplc="0409001B" w:tentative="1">
      <w:start w:val="1"/>
      <w:numFmt w:val="lowerRoman"/>
      <w:lvlText w:val="%3."/>
      <w:lvlJc w:val="right"/>
      <w:pPr>
        <w:ind w:left="6244" w:hanging="180"/>
      </w:pPr>
    </w:lvl>
    <w:lvl w:ilvl="3" w:tplc="0409000F" w:tentative="1">
      <w:start w:val="1"/>
      <w:numFmt w:val="decimal"/>
      <w:lvlText w:val="%4."/>
      <w:lvlJc w:val="left"/>
      <w:pPr>
        <w:ind w:left="6964" w:hanging="360"/>
      </w:pPr>
    </w:lvl>
    <w:lvl w:ilvl="4" w:tplc="04090019" w:tentative="1">
      <w:start w:val="1"/>
      <w:numFmt w:val="lowerLetter"/>
      <w:lvlText w:val="%5."/>
      <w:lvlJc w:val="left"/>
      <w:pPr>
        <w:ind w:left="7684" w:hanging="360"/>
      </w:pPr>
    </w:lvl>
    <w:lvl w:ilvl="5" w:tplc="0409001B" w:tentative="1">
      <w:start w:val="1"/>
      <w:numFmt w:val="lowerRoman"/>
      <w:lvlText w:val="%6."/>
      <w:lvlJc w:val="right"/>
      <w:pPr>
        <w:ind w:left="8404" w:hanging="180"/>
      </w:pPr>
    </w:lvl>
    <w:lvl w:ilvl="6" w:tplc="0409000F" w:tentative="1">
      <w:start w:val="1"/>
      <w:numFmt w:val="decimal"/>
      <w:lvlText w:val="%7."/>
      <w:lvlJc w:val="left"/>
      <w:pPr>
        <w:ind w:left="9124" w:hanging="360"/>
      </w:pPr>
    </w:lvl>
    <w:lvl w:ilvl="7" w:tplc="04090019" w:tentative="1">
      <w:start w:val="1"/>
      <w:numFmt w:val="lowerLetter"/>
      <w:lvlText w:val="%8."/>
      <w:lvlJc w:val="left"/>
      <w:pPr>
        <w:ind w:left="9844" w:hanging="360"/>
      </w:pPr>
    </w:lvl>
    <w:lvl w:ilvl="8" w:tplc="0409001B" w:tentative="1">
      <w:start w:val="1"/>
      <w:numFmt w:val="lowerRoman"/>
      <w:lvlText w:val="%9."/>
      <w:lvlJc w:val="right"/>
      <w:pPr>
        <w:ind w:left="10564" w:hanging="180"/>
      </w:pPr>
    </w:lvl>
  </w:abstractNum>
  <w:abstractNum w:abstractNumId="29" w15:restartNumberingAfterBreak="0">
    <w:nsid w:val="23FB00EE"/>
    <w:multiLevelType w:val="hybridMultilevel"/>
    <w:tmpl w:val="90629452"/>
    <w:lvl w:ilvl="0" w:tplc="1BB8E434">
      <w:start w:val="1"/>
      <w:numFmt w:val="decimal"/>
      <w:lvlText w:val="C.3.%1."/>
      <w:lvlJc w:val="left"/>
      <w:pPr>
        <w:ind w:left="2504"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248E27BF"/>
    <w:multiLevelType w:val="hybridMultilevel"/>
    <w:tmpl w:val="C1A8BF66"/>
    <w:lvl w:ilvl="0" w:tplc="2AE2873E">
      <w:start w:val="1"/>
      <w:numFmt w:val="decimal"/>
      <w:pStyle w:val="Ttulo8"/>
      <w:lvlText w:val="D.6.%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282B2C20"/>
    <w:multiLevelType w:val="hybridMultilevel"/>
    <w:tmpl w:val="F6B40A4A"/>
    <w:lvl w:ilvl="0" w:tplc="140A0001">
      <w:start w:val="1"/>
      <w:numFmt w:val="bullet"/>
      <w:lvlText w:val=""/>
      <w:lvlJc w:val="left"/>
      <w:pPr>
        <w:ind w:left="2498" w:hanging="360"/>
      </w:pPr>
      <w:rPr>
        <w:rFonts w:ascii="Symbol" w:hAnsi="Symbol" w:hint="default"/>
      </w:rPr>
    </w:lvl>
    <w:lvl w:ilvl="1" w:tplc="140A0003" w:tentative="1">
      <w:start w:val="1"/>
      <w:numFmt w:val="bullet"/>
      <w:lvlText w:val="o"/>
      <w:lvlJc w:val="left"/>
      <w:pPr>
        <w:ind w:left="3218" w:hanging="360"/>
      </w:pPr>
      <w:rPr>
        <w:rFonts w:ascii="Courier New" w:hAnsi="Courier New" w:cs="Courier New" w:hint="default"/>
      </w:rPr>
    </w:lvl>
    <w:lvl w:ilvl="2" w:tplc="140A0005" w:tentative="1">
      <w:start w:val="1"/>
      <w:numFmt w:val="bullet"/>
      <w:lvlText w:val=""/>
      <w:lvlJc w:val="left"/>
      <w:pPr>
        <w:ind w:left="3938" w:hanging="360"/>
      </w:pPr>
      <w:rPr>
        <w:rFonts w:ascii="Wingdings" w:hAnsi="Wingdings" w:hint="default"/>
      </w:rPr>
    </w:lvl>
    <w:lvl w:ilvl="3" w:tplc="140A0001" w:tentative="1">
      <w:start w:val="1"/>
      <w:numFmt w:val="bullet"/>
      <w:lvlText w:val=""/>
      <w:lvlJc w:val="left"/>
      <w:pPr>
        <w:ind w:left="4658" w:hanging="360"/>
      </w:pPr>
      <w:rPr>
        <w:rFonts w:ascii="Symbol" w:hAnsi="Symbol" w:hint="default"/>
      </w:rPr>
    </w:lvl>
    <w:lvl w:ilvl="4" w:tplc="140A0003" w:tentative="1">
      <w:start w:val="1"/>
      <w:numFmt w:val="bullet"/>
      <w:lvlText w:val="o"/>
      <w:lvlJc w:val="left"/>
      <w:pPr>
        <w:ind w:left="5378" w:hanging="360"/>
      </w:pPr>
      <w:rPr>
        <w:rFonts w:ascii="Courier New" w:hAnsi="Courier New" w:cs="Courier New" w:hint="default"/>
      </w:rPr>
    </w:lvl>
    <w:lvl w:ilvl="5" w:tplc="140A0005" w:tentative="1">
      <w:start w:val="1"/>
      <w:numFmt w:val="bullet"/>
      <w:lvlText w:val=""/>
      <w:lvlJc w:val="left"/>
      <w:pPr>
        <w:ind w:left="6098" w:hanging="360"/>
      </w:pPr>
      <w:rPr>
        <w:rFonts w:ascii="Wingdings" w:hAnsi="Wingdings" w:hint="default"/>
      </w:rPr>
    </w:lvl>
    <w:lvl w:ilvl="6" w:tplc="140A0001" w:tentative="1">
      <w:start w:val="1"/>
      <w:numFmt w:val="bullet"/>
      <w:lvlText w:val=""/>
      <w:lvlJc w:val="left"/>
      <w:pPr>
        <w:ind w:left="6818" w:hanging="360"/>
      </w:pPr>
      <w:rPr>
        <w:rFonts w:ascii="Symbol" w:hAnsi="Symbol" w:hint="default"/>
      </w:rPr>
    </w:lvl>
    <w:lvl w:ilvl="7" w:tplc="140A0003" w:tentative="1">
      <w:start w:val="1"/>
      <w:numFmt w:val="bullet"/>
      <w:lvlText w:val="o"/>
      <w:lvlJc w:val="left"/>
      <w:pPr>
        <w:ind w:left="7538" w:hanging="360"/>
      </w:pPr>
      <w:rPr>
        <w:rFonts w:ascii="Courier New" w:hAnsi="Courier New" w:cs="Courier New" w:hint="default"/>
      </w:rPr>
    </w:lvl>
    <w:lvl w:ilvl="8" w:tplc="140A0005" w:tentative="1">
      <w:start w:val="1"/>
      <w:numFmt w:val="bullet"/>
      <w:lvlText w:val=""/>
      <w:lvlJc w:val="left"/>
      <w:pPr>
        <w:ind w:left="8258" w:hanging="360"/>
      </w:pPr>
      <w:rPr>
        <w:rFonts w:ascii="Wingdings" w:hAnsi="Wingdings" w:hint="default"/>
      </w:rPr>
    </w:lvl>
  </w:abstractNum>
  <w:abstractNum w:abstractNumId="32" w15:restartNumberingAfterBreak="0">
    <w:nsid w:val="29462FD0"/>
    <w:multiLevelType w:val="hybridMultilevel"/>
    <w:tmpl w:val="0284F398"/>
    <w:lvl w:ilvl="0" w:tplc="140A0001">
      <w:start w:val="1"/>
      <w:numFmt w:val="bullet"/>
      <w:lvlText w:val=""/>
      <w:lvlJc w:val="left"/>
      <w:pPr>
        <w:ind w:left="786" w:hanging="360"/>
      </w:pPr>
      <w:rPr>
        <w:rFonts w:ascii="Symbol" w:hAnsi="Symbol" w:hint="default"/>
      </w:rPr>
    </w:lvl>
    <w:lvl w:ilvl="1" w:tplc="140A0003" w:tentative="1">
      <w:start w:val="1"/>
      <w:numFmt w:val="bullet"/>
      <w:lvlText w:val="o"/>
      <w:lvlJc w:val="left"/>
      <w:pPr>
        <w:ind w:left="1790" w:hanging="360"/>
      </w:pPr>
      <w:rPr>
        <w:rFonts w:ascii="Courier New" w:hAnsi="Courier New" w:cs="Courier New" w:hint="default"/>
      </w:rPr>
    </w:lvl>
    <w:lvl w:ilvl="2" w:tplc="140A0005" w:tentative="1">
      <w:start w:val="1"/>
      <w:numFmt w:val="bullet"/>
      <w:lvlText w:val=""/>
      <w:lvlJc w:val="left"/>
      <w:pPr>
        <w:ind w:left="2510" w:hanging="360"/>
      </w:pPr>
      <w:rPr>
        <w:rFonts w:ascii="Wingdings" w:hAnsi="Wingdings" w:hint="default"/>
      </w:rPr>
    </w:lvl>
    <w:lvl w:ilvl="3" w:tplc="140A0001" w:tentative="1">
      <w:start w:val="1"/>
      <w:numFmt w:val="bullet"/>
      <w:lvlText w:val=""/>
      <w:lvlJc w:val="left"/>
      <w:pPr>
        <w:ind w:left="3230" w:hanging="360"/>
      </w:pPr>
      <w:rPr>
        <w:rFonts w:ascii="Symbol" w:hAnsi="Symbol" w:hint="default"/>
      </w:rPr>
    </w:lvl>
    <w:lvl w:ilvl="4" w:tplc="140A0003" w:tentative="1">
      <w:start w:val="1"/>
      <w:numFmt w:val="bullet"/>
      <w:lvlText w:val="o"/>
      <w:lvlJc w:val="left"/>
      <w:pPr>
        <w:ind w:left="3950" w:hanging="360"/>
      </w:pPr>
      <w:rPr>
        <w:rFonts w:ascii="Courier New" w:hAnsi="Courier New" w:cs="Courier New" w:hint="default"/>
      </w:rPr>
    </w:lvl>
    <w:lvl w:ilvl="5" w:tplc="140A0005" w:tentative="1">
      <w:start w:val="1"/>
      <w:numFmt w:val="bullet"/>
      <w:lvlText w:val=""/>
      <w:lvlJc w:val="left"/>
      <w:pPr>
        <w:ind w:left="4670" w:hanging="360"/>
      </w:pPr>
      <w:rPr>
        <w:rFonts w:ascii="Wingdings" w:hAnsi="Wingdings" w:hint="default"/>
      </w:rPr>
    </w:lvl>
    <w:lvl w:ilvl="6" w:tplc="140A0001" w:tentative="1">
      <w:start w:val="1"/>
      <w:numFmt w:val="bullet"/>
      <w:lvlText w:val=""/>
      <w:lvlJc w:val="left"/>
      <w:pPr>
        <w:ind w:left="5390" w:hanging="360"/>
      </w:pPr>
      <w:rPr>
        <w:rFonts w:ascii="Symbol" w:hAnsi="Symbol" w:hint="default"/>
      </w:rPr>
    </w:lvl>
    <w:lvl w:ilvl="7" w:tplc="140A0003" w:tentative="1">
      <w:start w:val="1"/>
      <w:numFmt w:val="bullet"/>
      <w:lvlText w:val="o"/>
      <w:lvlJc w:val="left"/>
      <w:pPr>
        <w:ind w:left="6110" w:hanging="360"/>
      </w:pPr>
      <w:rPr>
        <w:rFonts w:ascii="Courier New" w:hAnsi="Courier New" w:cs="Courier New" w:hint="default"/>
      </w:rPr>
    </w:lvl>
    <w:lvl w:ilvl="8" w:tplc="140A0005" w:tentative="1">
      <w:start w:val="1"/>
      <w:numFmt w:val="bullet"/>
      <w:lvlText w:val=""/>
      <w:lvlJc w:val="left"/>
      <w:pPr>
        <w:ind w:left="6830" w:hanging="360"/>
      </w:pPr>
      <w:rPr>
        <w:rFonts w:ascii="Wingdings" w:hAnsi="Wingdings" w:hint="default"/>
      </w:rPr>
    </w:lvl>
  </w:abstractNum>
  <w:abstractNum w:abstractNumId="33" w15:restartNumberingAfterBreak="0">
    <w:nsid w:val="2C420DB2"/>
    <w:multiLevelType w:val="hybridMultilevel"/>
    <w:tmpl w:val="249CB76A"/>
    <w:lvl w:ilvl="0" w:tplc="140A0001">
      <w:start w:val="1"/>
      <w:numFmt w:val="bullet"/>
      <w:lvlText w:val=""/>
      <w:lvlJc w:val="left"/>
      <w:pPr>
        <w:ind w:left="1392" w:hanging="825"/>
      </w:pPr>
      <w:rPr>
        <w:rFonts w:ascii="Symbol" w:hAnsi="Symbol" w:hint="default"/>
        <w:b w:val="0"/>
        <w:i w:val="0"/>
        <w:strike w:val="0"/>
        <w:color w:val="auto"/>
        <w:sz w:val="20"/>
        <w:szCs w:val="20"/>
        <w:lang w:val="es-GT"/>
      </w:rPr>
    </w:lvl>
    <w:lvl w:ilvl="1" w:tplc="140A0019">
      <w:start w:val="1"/>
      <w:numFmt w:val="lowerLetter"/>
      <w:lvlText w:val="%2."/>
      <w:lvlJc w:val="left"/>
      <w:pPr>
        <w:ind w:left="2007" w:hanging="360"/>
      </w:pPr>
    </w:lvl>
    <w:lvl w:ilvl="2" w:tplc="811CA528">
      <w:start w:val="1"/>
      <w:numFmt w:val="lowerRoman"/>
      <w:lvlText w:val="%3."/>
      <w:lvlJc w:val="right"/>
      <w:pPr>
        <w:ind w:left="1598" w:hanging="180"/>
      </w:pPr>
      <w:rPr>
        <w:rFonts w:ascii="Verdana" w:eastAsia="Batang" w:hAnsi="Verdana" w:cstheme="minorBidi"/>
        <w:i w:val="0"/>
      </w:rPr>
    </w:lvl>
    <w:lvl w:ilvl="3" w:tplc="664CD6A6">
      <w:start w:val="1"/>
      <w:numFmt w:val="decimal"/>
      <w:lvlText w:val="D.7.%4."/>
      <w:lvlJc w:val="left"/>
      <w:pPr>
        <w:ind w:left="3447" w:hanging="360"/>
      </w:pPr>
      <w:rPr>
        <w:rFonts w:hint="default"/>
        <w:lang w:val="es-AR"/>
      </w:rPr>
    </w:lvl>
    <w:lvl w:ilvl="4" w:tplc="140A0019">
      <w:start w:val="1"/>
      <w:numFmt w:val="lowerLetter"/>
      <w:lvlText w:val="%5."/>
      <w:lvlJc w:val="left"/>
      <w:pPr>
        <w:ind w:left="4167" w:hanging="360"/>
      </w:pPr>
    </w:lvl>
    <w:lvl w:ilvl="5" w:tplc="140A001B">
      <w:start w:val="1"/>
      <w:numFmt w:val="lowerRoman"/>
      <w:lvlText w:val="%6."/>
      <w:lvlJc w:val="right"/>
      <w:pPr>
        <w:ind w:left="4887" w:hanging="180"/>
      </w:pPr>
    </w:lvl>
    <w:lvl w:ilvl="6" w:tplc="5B9ABF92">
      <w:start w:val="1"/>
      <w:numFmt w:val="decimal"/>
      <w:lvlText w:val="A.%7."/>
      <w:lvlJc w:val="left"/>
      <w:pPr>
        <w:ind w:left="2345" w:hanging="360"/>
      </w:pPr>
      <w:rPr>
        <w:rFonts w:hint="default"/>
        <w:b w:val="0"/>
        <w:i/>
      </w:rPr>
    </w:lvl>
    <w:lvl w:ilvl="7" w:tplc="140A0019">
      <w:start w:val="1"/>
      <w:numFmt w:val="lowerLetter"/>
      <w:lvlText w:val="%8."/>
      <w:lvlJc w:val="left"/>
      <w:pPr>
        <w:ind w:left="6327" w:hanging="360"/>
      </w:pPr>
    </w:lvl>
    <w:lvl w:ilvl="8" w:tplc="140A001B">
      <w:start w:val="1"/>
      <w:numFmt w:val="lowerRoman"/>
      <w:lvlText w:val="%9."/>
      <w:lvlJc w:val="right"/>
      <w:pPr>
        <w:ind w:left="7047" w:hanging="180"/>
      </w:pPr>
    </w:lvl>
  </w:abstractNum>
  <w:abstractNum w:abstractNumId="34" w15:restartNumberingAfterBreak="0">
    <w:nsid w:val="2F587DBB"/>
    <w:multiLevelType w:val="hybridMultilevel"/>
    <w:tmpl w:val="7CAE989C"/>
    <w:lvl w:ilvl="0" w:tplc="89D66674">
      <w:start w:val="1"/>
      <w:numFmt w:val="upperLetter"/>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314C6852"/>
    <w:multiLevelType w:val="hybridMultilevel"/>
    <w:tmpl w:val="439AF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A7656C"/>
    <w:multiLevelType w:val="hybridMultilevel"/>
    <w:tmpl w:val="B7BA066C"/>
    <w:lvl w:ilvl="0" w:tplc="C2DAA57A">
      <w:start w:val="1"/>
      <w:numFmt w:val="upperLetter"/>
      <w:pStyle w:val="Ttulo3"/>
      <w:lvlText w:val="%1."/>
      <w:lvlJc w:val="left"/>
      <w:pPr>
        <w:ind w:left="786" w:hanging="360"/>
      </w:pPr>
      <w:rPr>
        <w:rFonts w:hint="default"/>
        <w:b/>
        <w:i/>
      </w:rPr>
    </w:lvl>
    <w:lvl w:ilvl="1" w:tplc="B1BE33EE">
      <w:start w:val="1"/>
      <w:numFmt w:val="lowerRoman"/>
      <w:lvlText w:val="%2."/>
      <w:lvlJc w:val="left"/>
      <w:pPr>
        <w:ind w:left="219" w:hanging="360"/>
      </w:pPr>
      <w:rPr>
        <w:rFonts w:ascii="Verdana" w:eastAsia="Batang" w:hAnsi="Verdana" w:cstheme="minorBidi"/>
      </w:rPr>
    </w:lvl>
    <w:lvl w:ilvl="2" w:tplc="0409001B">
      <w:start w:val="1"/>
      <w:numFmt w:val="lowerRoman"/>
      <w:lvlText w:val="%3."/>
      <w:lvlJc w:val="right"/>
      <w:pPr>
        <w:ind w:left="1309" w:hanging="180"/>
      </w:pPr>
    </w:lvl>
    <w:lvl w:ilvl="3" w:tplc="B50ACB34">
      <w:start w:val="1"/>
      <w:numFmt w:val="decimal"/>
      <w:lvlText w:val="%4."/>
      <w:lvlJc w:val="left"/>
      <w:pPr>
        <w:ind w:left="2029" w:hanging="360"/>
      </w:pPr>
      <w:rPr>
        <w:rFonts w:ascii="Verdana" w:hAnsi="Verdana" w:hint="default"/>
        <w:i w:val="0"/>
        <w:sz w:val="20"/>
        <w:szCs w:val="20"/>
      </w:r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7" w15:restartNumberingAfterBreak="0">
    <w:nsid w:val="38804E5D"/>
    <w:multiLevelType w:val="hybridMultilevel"/>
    <w:tmpl w:val="31BEAC1A"/>
    <w:lvl w:ilvl="0" w:tplc="08027DAE">
      <w:start w:val="1"/>
      <w:numFmt w:val="decimal"/>
      <w:lvlText w:val="A.1.%1."/>
      <w:lvlJc w:val="left"/>
      <w:pPr>
        <w:ind w:left="1778" w:hanging="360"/>
      </w:pPr>
      <w:rPr>
        <w:rFonts w:ascii="Verdana" w:hAnsi="Verdana" w:hint="default"/>
        <w:b w:val="0"/>
        <w:sz w:val="20"/>
        <w:szCs w:val="20"/>
      </w:rPr>
    </w:lvl>
    <w:lvl w:ilvl="1" w:tplc="140A0019" w:tentative="1">
      <w:start w:val="1"/>
      <w:numFmt w:val="lowerLetter"/>
      <w:lvlText w:val="%2."/>
      <w:lvlJc w:val="left"/>
      <w:pPr>
        <w:ind w:left="2498" w:hanging="360"/>
      </w:pPr>
    </w:lvl>
    <w:lvl w:ilvl="2" w:tplc="140A001B" w:tentative="1">
      <w:start w:val="1"/>
      <w:numFmt w:val="lowerRoman"/>
      <w:lvlText w:val="%3."/>
      <w:lvlJc w:val="right"/>
      <w:pPr>
        <w:ind w:left="3218" w:hanging="180"/>
      </w:pPr>
    </w:lvl>
    <w:lvl w:ilvl="3" w:tplc="140A000F" w:tentative="1">
      <w:start w:val="1"/>
      <w:numFmt w:val="decimal"/>
      <w:lvlText w:val="%4."/>
      <w:lvlJc w:val="left"/>
      <w:pPr>
        <w:ind w:left="3938" w:hanging="360"/>
      </w:pPr>
    </w:lvl>
    <w:lvl w:ilvl="4" w:tplc="140A0019" w:tentative="1">
      <w:start w:val="1"/>
      <w:numFmt w:val="lowerLetter"/>
      <w:lvlText w:val="%5."/>
      <w:lvlJc w:val="left"/>
      <w:pPr>
        <w:ind w:left="4658" w:hanging="360"/>
      </w:pPr>
    </w:lvl>
    <w:lvl w:ilvl="5" w:tplc="140A001B" w:tentative="1">
      <w:start w:val="1"/>
      <w:numFmt w:val="lowerRoman"/>
      <w:lvlText w:val="%6."/>
      <w:lvlJc w:val="right"/>
      <w:pPr>
        <w:ind w:left="5378" w:hanging="180"/>
      </w:pPr>
    </w:lvl>
    <w:lvl w:ilvl="6" w:tplc="140A000F" w:tentative="1">
      <w:start w:val="1"/>
      <w:numFmt w:val="decimal"/>
      <w:lvlText w:val="%7."/>
      <w:lvlJc w:val="left"/>
      <w:pPr>
        <w:ind w:left="6098" w:hanging="360"/>
      </w:pPr>
    </w:lvl>
    <w:lvl w:ilvl="7" w:tplc="140A0019" w:tentative="1">
      <w:start w:val="1"/>
      <w:numFmt w:val="lowerLetter"/>
      <w:lvlText w:val="%8."/>
      <w:lvlJc w:val="left"/>
      <w:pPr>
        <w:ind w:left="6818" w:hanging="360"/>
      </w:pPr>
    </w:lvl>
    <w:lvl w:ilvl="8" w:tplc="140A001B" w:tentative="1">
      <w:start w:val="1"/>
      <w:numFmt w:val="lowerRoman"/>
      <w:lvlText w:val="%9."/>
      <w:lvlJc w:val="right"/>
      <w:pPr>
        <w:ind w:left="7538" w:hanging="180"/>
      </w:pPr>
    </w:lvl>
  </w:abstractNum>
  <w:abstractNum w:abstractNumId="38" w15:restartNumberingAfterBreak="0">
    <w:nsid w:val="38C05B06"/>
    <w:multiLevelType w:val="hybridMultilevel"/>
    <w:tmpl w:val="E2D24F04"/>
    <w:lvl w:ilvl="0" w:tplc="F1BE891E">
      <w:start w:val="1"/>
      <w:numFmt w:val="decimal"/>
      <w:lvlText w:val="A.%1"/>
      <w:lvlJc w:val="left"/>
      <w:pPr>
        <w:ind w:left="1080" w:hanging="360"/>
      </w:pPr>
      <w:rPr>
        <w:rFonts w:hint="default"/>
        <w:b w:val="0"/>
        <w:i/>
      </w:rPr>
    </w:lvl>
    <w:lvl w:ilvl="1" w:tplc="D8E67496">
      <w:start w:val="1"/>
      <w:numFmt w:val="decimal"/>
      <w:pStyle w:val="Ttulo5"/>
      <w:lvlText w:val="A.1.%2."/>
      <w:lvlJc w:val="left"/>
      <w:pPr>
        <w:ind w:left="3479" w:hanging="36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3C2673C">
      <w:start w:val="1"/>
      <w:numFmt w:val="upperLetter"/>
      <w:lvlText w:val="%3."/>
      <w:lvlJc w:val="left"/>
      <w:pPr>
        <w:ind w:left="1070" w:hanging="360"/>
      </w:pPr>
      <w:rPr>
        <w:rFont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9" w15:restartNumberingAfterBreak="0">
    <w:nsid w:val="38D32A86"/>
    <w:multiLevelType w:val="hybridMultilevel"/>
    <w:tmpl w:val="0FD6C59C"/>
    <w:lvl w:ilvl="0" w:tplc="A00A0B0E">
      <w:start w:val="1"/>
      <w:numFmt w:val="decimal"/>
      <w:lvlText w:val="E.2.%1."/>
      <w:lvlJc w:val="left"/>
      <w:pPr>
        <w:ind w:left="2484" w:hanging="360"/>
      </w:pPr>
      <w:rPr>
        <w:rFonts w:hint="default"/>
      </w:rPr>
    </w:lvl>
    <w:lvl w:ilvl="1" w:tplc="140A0019" w:tentative="1">
      <w:start w:val="1"/>
      <w:numFmt w:val="lowerLetter"/>
      <w:lvlText w:val="%2."/>
      <w:lvlJc w:val="left"/>
      <w:pPr>
        <w:ind w:left="2429" w:hanging="360"/>
      </w:pPr>
    </w:lvl>
    <w:lvl w:ilvl="2" w:tplc="140A001B" w:tentative="1">
      <w:start w:val="1"/>
      <w:numFmt w:val="lowerRoman"/>
      <w:lvlText w:val="%3."/>
      <w:lvlJc w:val="right"/>
      <w:pPr>
        <w:ind w:left="3149" w:hanging="180"/>
      </w:pPr>
    </w:lvl>
    <w:lvl w:ilvl="3" w:tplc="140A000F" w:tentative="1">
      <w:start w:val="1"/>
      <w:numFmt w:val="decimal"/>
      <w:lvlText w:val="%4."/>
      <w:lvlJc w:val="left"/>
      <w:pPr>
        <w:ind w:left="3869" w:hanging="360"/>
      </w:pPr>
    </w:lvl>
    <w:lvl w:ilvl="4" w:tplc="140A0019" w:tentative="1">
      <w:start w:val="1"/>
      <w:numFmt w:val="lowerLetter"/>
      <w:lvlText w:val="%5."/>
      <w:lvlJc w:val="left"/>
      <w:pPr>
        <w:ind w:left="4589" w:hanging="360"/>
      </w:pPr>
    </w:lvl>
    <w:lvl w:ilvl="5" w:tplc="140A001B" w:tentative="1">
      <w:start w:val="1"/>
      <w:numFmt w:val="lowerRoman"/>
      <w:lvlText w:val="%6."/>
      <w:lvlJc w:val="right"/>
      <w:pPr>
        <w:ind w:left="5309" w:hanging="180"/>
      </w:pPr>
    </w:lvl>
    <w:lvl w:ilvl="6" w:tplc="140A000F" w:tentative="1">
      <w:start w:val="1"/>
      <w:numFmt w:val="decimal"/>
      <w:lvlText w:val="%7."/>
      <w:lvlJc w:val="left"/>
      <w:pPr>
        <w:ind w:left="6029" w:hanging="360"/>
      </w:pPr>
    </w:lvl>
    <w:lvl w:ilvl="7" w:tplc="140A0019" w:tentative="1">
      <w:start w:val="1"/>
      <w:numFmt w:val="lowerLetter"/>
      <w:lvlText w:val="%8."/>
      <w:lvlJc w:val="left"/>
      <w:pPr>
        <w:ind w:left="6749" w:hanging="360"/>
      </w:pPr>
    </w:lvl>
    <w:lvl w:ilvl="8" w:tplc="140A001B" w:tentative="1">
      <w:start w:val="1"/>
      <w:numFmt w:val="lowerRoman"/>
      <w:lvlText w:val="%9."/>
      <w:lvlJc w:val="right"/>
      <w:pPr>
        <w:ind w:left="7469" w:hanging="180"/>
      </w:pPr>
    </w:lvl>
  </w:abstractNum>
  <w:abstractNum w:abstractNumId="40" w15:restartNumberingAfterBreak="0">
    <w:nsid w:val="38E03597"/>
    <w:multiLevelType w:val="hybridMultilevel"/>
    <w:tmpl w:val="788E8386"/>
    <w:lvl w:ilvl="0" w:tplc="0D7EF38C">
      <w:start w:val="1"/>
      <w:numFmt w:val="lowerRoman"/>
      <w:lvlText w:val="%1."/>
      <w:lvlJc w:val="left"/>
      <w:pPr>
        <w:ind w:left="720" w:hanging="360"/>
      </w:pPr>
      <w:rPr>
        <w:rFonts w:asciiTheme="minorHAnsi" w:hAnsiTheme="minorHAnsi" w:cstheme="minorBidi" w:hint="default"/>
        <w:b w:val="0"/>
        <w:i w:val="0"/>
        <w:sz w:val="22"/>
        <w:szCs w:val="20"/>
      </w:rPr>
    </w:lvl>
    <w:lvl w:ilvl="1" w:tplc="15B2D596">
      <w:start w:val="1"/>
      <w:numFmt w:val="lowerLetter"/>
      <w:lvlText w:val="%2."/>
      <w:lvlJc w:val="left"/>
      <w:pPr>
        <w:ind w:left="1440" w:hanging="360"/>
      </w:pPr>
      <w:rPr>
        <w:rFonts w:ascii="Verdana" w:eastAsia="Batang" w:hAnsi="Verdana" w:cstheme="minorBidi"/>
      </w:rPr>
    </w:lvl>
    <w:lvl w:ilvl="2" w:tplc="0409001B">
      <w:start w:val="1"/>
      <w:numFmt w:val="lowerRoman"/>
      <w:lvlText w:val="%3."/>
      <w:lvlJc w:val="right"/>
      <w:pPr>
        <w:ind w:left="2160" w:hanging="180"/>
      </w:pPr>
    </w:lvl>
    <w:lvl w:ilvl="3" w:tplc="031807E4">
      <w:start w:val="1"/>
      <w:numFmt w:val="upperLetter"/>
      <w:lvlText w:val="%4."/>
      <w:lvlJc w:val="left"/>
      <w:pPr>
        <w:ind w:left="644"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B23038"/>
    <w:multiLevelType w:val="hybridMultilevel"/>
    <w:tmpl w:val="55C83F98"/>
    <w:lvl w:ilvl="0" w:tplc="6E44AC10">
      <w:start w:val="1"/>
      <w:numFmt w:val="decimal"/>
      <w:lvlText w:val="B.%1."/>
      <w:lvlJc w:val="left"/>
      <w:pPr>
        <w:ind w:left="3530" w:hanging="555"/>
      </w:pPr>
      <w:rPr>
        <w:rFonts w:hint="default"/>
      </w:rPr>
    </w:lvl>
    <w:lvl w:ilvl="1" w:tplc="080A0019" w:tentative="1">
      <w:start w:val="1"/>
      <w:numFmt w:val="lowerLetter"/>
      <w:lvlText w:val="%2."/>
      <w:lvlJc w:val="left"/>
      <w:pPr>
        <w:ind w:left="4055" w:hanging="360"/>
      </w:pPr>
    </w:lvl>
    <w:lvl w:ilvl="2" w:tplc="080A001B" w:tentative="1">
      <w:start w:val="1"/>
      <w:numFmt w:val="lowerRoman"/>
      <w:lvlText w:val="%3."/>
      <w:lvlJc w:val="right"/>
      <w:pPr>
        <w:ind w:left="4775" w:hanging="180"/>
      </w:pPr>
    </w:lvl>
    <w:lvl w:ilvl="3" w:tplc="080A000F" w:tentative="1">
      <w:start w:val="1"/>
      <w:numFmt w:val="decimal"/>
      <w:lvlText w:val="%4."/>
      <w:lvlJc w:val="left"/>
      <w:pPr>
        <w:ind w:left="5495" w:hanging="360"/>
      </w:pPr>
    </w:lvl>
    <w:lvl w:ilvl="4" w:tplc="080A0019" w:tentative="1">
      <w:start w:val="1"/>
      <w:numFmt w:val="lowerLetter"/>
      <w:lvlText w:val="%5."/>
      <w:lvlJc w:val="left"/>
      <w:pPr>
        <w:ind w:left="6215" w:hanging="360"/>
      </w:pPr>
    </w:lvl>
    <w:lvl w:ilvl="5" w:tplc="080A001B" w:tentative="1">
      <w:start w:val="1"/>
      <w:numFmt w:val="lowerRoman"/>
      <w:lvlText w:val="%6."/>
      <w:lvlJc w:val="right"/>
      <w:pPr>
        <w:ind w:left="6935" w:hanging="180"/>
      </w:pPr>
    </w:lvl>
    <w:lvl w:ilvl="6" w:tplc="080A000F" w:tentative="1">
      <w:start w:val="1"/>
      <w:numFmt w:val="decimal"/>
      <w:lvlText w:val="%7."/>
      <w:lvlJc w:val="left"/>
      <w:pPr>
        <w:ind w:left="7655" w:hanging="360"/>
      </w:pPr>
    </w:lvl>
    <w:lvl w:ilvl="7" w:tplc="080A0019" w:tentative="1">
      <w:start w:val="1"/>
      <w:numFmt w:val="lowerLetter"/>
      <w:lvlText w:val="%8."/>
      <w:lvlJc w:val="left"/>
      <w:pPr>
        <w:ind w:left="8375" w:hanging="360"/>
      </w:pPr>
    </w:lvl>
    <w:lvl w:ilvl="8" w:tplc="080A001B" w:tentative="1">
      <w:start w:val="1"/>
      <w:numFmt w:val="lowerRoman"/>
      <w:lvlText w:val="%9."/>
      <w:lvlJc w:val="right"/>
      <w:pPr>
        <w:ind w:left="9095" w:hanging="180"/>
      </w:pPr>
    </w:lvl>
  </w:abstractNum>
  <w:abstractNum w:abstractNumId="42" w15:restartNumberingAfterBreak="0">
    <w:nsid w:val="3A8C5AAE"/>
    <w:multiLevelType w:val="hybridMultilevel"/>
    <w:tmpl w:val="1EAC31A2"/>
    <w:lvl w:ilvl="0" w:tplc="62024906">
      <w:start w:val="1"/>
      <w:numFmt w:val="upperLetter"/>
      <w:pStyle w:val="Ttulo"/>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3A9F3744"/>
    <w:multiLevelType w:val="hybridMultilevel"/>
    <w:tmpl w:val="F306B616"/>
    <w:lvl w:ilvl="0" w:tplc="140A0001">
      <w:start w:val="1"/>
      <w:numFmt w:val="bullet"/>
      <w:lvlText w:val=""/>
      <w:lvlJc w:val="left"/>
      <w:pPr>
        <w:ind w:left="2498" w:hanging="360"/>
      </w:pPr>
      <w:rPr>
        <w:rFonts w:ascii="Symbol" w:hAnsi="Symbol" w:hint="default"/>
      </w:rPr>
    </w:lvl>
    <w:lvl w:ilvl="1" w:tplc="140A0003" w:tentative="1">
      <w:start w:val="1"/>
      <w:numFmt w:val="bullet"/>
      <w:lvlText w:val="o"/>
      <w:lvlJc w:val="left"/>
      <w:pPr>
        <w:ind w:left="3218" w:hanging="360"/>
      </w:pPr>
      <w:rPr>
        <w:rFonts w:ascii="Courier New" w:hAnsi="Courier New" w:cs="Courier New" w:hint="default"/>
      </w:rPr>
    </w:lvl>
    <w:lvl w:ilvl="2" w:tplc="140A0005" w:tentative="1">
      <w:start w:val="1"/>
      <w:numFmt w:val="bullet"/>
      <w:lvlText w:val=""/>
      <w:lvlJc w:val="left"/>
      <w:pPr>
        <w:ind w:left="3938" w:hanging="360"/>
      </w:pPr>
      <w:rPr>
        <w:rFonts w:ascii="Wingdings" w:hAnsi="Wingdings" w:hint="default"/>
      </w:rPr>
    </w:lvl>
    <w:lvl w:ilvl="3" w:tplc="140A0001" w:tentative="1">
      <w:start w:val="1"/>
      <w:numFmt w:val="bullet"/>
      <w:lvlText w:val=""/>
      <w:lvlJc w:val="left"/>
      <w:pPr>
        <w:ind w:left="4658" w:hanging="360"/>
      </w:pPr>
      <w:rPr>
        <w:rFonts w:ascii="Symbol" w:hAnsi="Symbol" w:hint="default"/>
      </w:rPr>
    </w:lvl>
    <w:lvl w:ilvl="4" w:tplc="140A0003" w:tentative="1">
      <w:start w:val="1"/>
      <w:numFmt w:val="bullet"/>
      <w:lvlText w:val="o"/>
      <w:lvlJc w:val="left"/>
      <w:pPr>
        <w:ind w:left="5378" w:hanging="360"/>
      </w:pPr>
      <w:rPr>
        <w:rFonts w:ascii="Courier New" w:hAnsi="Courier New" w:cs="Courier New" w:hint="default"/>
      </w:rPr>
    </w:lvl>
    <w:lvl w:ilvl="5" w:tplc="140A0005" w:tentative="1">
      <w:start w:val="1"/>
      <w:numFmt w:val="bullet"/>
      <w:lvlText w:val=""/>
      <w:lvlJc w:val="left"/>
      <w:pPr>
        <w:ind w:left="6098" w:hanging="360"/>
      </w:pPr>
      <w:rPr>
        <w:rFonts w:ascii="Wingdings" w:hAnsi="Wingdings" w:hint="default"/>
      </w:rPr>
    </w:lvl>
    <w:lvl w:ilvl="6" w:tplc="140A0001" w:tentative="1">
      <w:start w:val="1"/>
      <w:numFmt w:val="bullet"/>
      <w:lvlText w:val=""/>
      <w:lvlJc w:val="left"/>
      <w:pPr>
        <w:ind w:left="6818" w:hanging="360"/>
      </w:pPr>
      <w:rPr>
        <w:rFonts w:ascii="Symbol" w:hAnsi="Symbol" w:hint="default"/>
      </w:rPr>
    </w:lvl>
    <w:lvl w:ilvl="7" w:tplc="140A0003" w:tentative="1">
      <w:start w:val="1"/>
      <w:numFmt w:val="bullet"/>
      <w:lvlText w:val="o"/>
      <w:lvlJc w:val="left"/>
      <w:pPr>
        <w:ind w:left="7538" w:hanging="360"/>
      </w:pPr>
      <w:rPr>
        <w:rFonts w:ascii="Courier New" w:hAnsi="Courier New" w:cs="Courier New" w:hint="default"/>
      </w:rPr>
    </w:lvl>
    <w:lvl w:ilvl="8" w:tplc="140A0005" w:tentative="1">
      <w:start w:val="1"/>
      <w:numFmt w:val="bullet"/>
      <w:lvlText w:val=""/>
      <w:lvlJc w:val="left"/>
      <w:pPr>
        <w:ind w:left="8258" w:hanging="360"/>
      </w:pPr>
      <w:rPr>
        <w:rFonts w:ascii="Wingdings" w:hAnsi="Wingdings" w:hint="default"/>
      </w:rPr>
    </w:lvl>
  </w:abstractNum>
  <w:abstractNum w:abstractNumId="44" w15:restartNumberingAfterBreak="0">
    <w:nsid w:val="3C247050"/>
    <w:multiLevelType w:val="hybridMultilevel"/>
    <w:tmpl w:val="EDA46DF4"/>
    <w:lvl w:ilvl="0" w:tplc="AB04430A">
      <w:start w:val="1"/>
      <w:numFmt w:val="lowerRoman"/>
      <w:lvlText w:val="(%1)"/>
      <w:lvlJc w:val="left"/>
      <w:pPr>
        <w:ind w:left="2844" w:hanging="360"/>
      </w:pPr>
      <w:rPr>
        <w:rFonts w:hint="default"/>
        <w:i/>
      </w:rPr>
    </w:lvl>
    <w:lvl w:ilvl="1" w:tplc="140A0019" w:tentative="1">
      <w:start w:val="1"/>
      <w:numFmt w:val="lowerLetter"/>
      <w:lvlText w:val="%2."/>
      <w:lvlJc w:val="left"/>
      <w:pPr>
        <w:ind w:left="3564" w:hanging="360"/>
      </w:pPr>
    </w:lvl>
    <w:lvl w:ilvl="2" w:tplc="140A001B" w:tentative="1">
      <w:start w:val="1"/>
      <w:numFmt w:val="lowerRoman"/>
      <w:lvlText w:val="%3."/>
      <w:lvlJc w:val="right"/>
      <w:pPr>
        <w:ind w:left="4284" w:hanging="180"/>
      </w:pPr>
    </w:lvl>
    <w:lvl w:ilvl="3" w:tplc="140A000F" w:tentative="1">
      <w:start w:val="1"/>
      <w:numFmt w:val="decimal"/>
      <w:lvlText w:val="%4."/>
      <w:lvlJc w:val="left"/>
      <w:pPr>
        <w:ind w:left="5004" w:hanging="360"/>
      </w:pPr>
    </w:lvl>
    <w:lvl w:ilvl="4" w:tplc="140A0019" w:tentative="1">
      <w:start w:val="1"/>
      <w:numFmt w:val="lowerLetter"/>
      <w:lvlText w:val="%5."/>
      <w:lvlJc w:val="left"/>
      <w:pPr>
        <w:ind w:left="5724" w:hanging="360"/>
      </w:pPr>
    </w:lvl>
    <w:lvl w:ilvl="5" w:tplc="140A001B" w:tentative="1">
      <w:start w:val="1"/>
      <w:numFmt w:val="lowerRoman"/>
      <w:lvlText w:val="%6."/>
      <w:lvlJc w:val="right"/>
      <w:pPr>
        <w:ind w:left="6444" w:hanging="180"/>
      </w:pPr>
    </w:lvl>
    <w:lvl w:ilvl="6" w:tplc="140A000F" w:tentative="1">
      <w:start w:val="1"/>
      <w:numFmt w:val="decimal"/>
      <w:lvlText w:val="%7."/>
      <w:lvlJc w:val="left"/>
      <w:pPr>
        <w:ind w:left="7164" w:hanging="360"/>
      </w:pPr>
    </w:lvl>
    <w:lvl w:ilvl="7" w:tplc="140A0019" w:tentative="1">
      <w:start w:val="1"/>
      <w:numFmt w:val="lowerLetter"/>
      <w:lvlText w:val="%8."/>
      <w:lvlJc w:val="left"/>
      <w:pPr>
        <w:ind w:left="7884" w:hanging="360"/>
      </w:pPr>
    </w:lvl>
    <w:lvl w:ilvl="8" w:tplc="140A001B" w:tentative="1">
      <w:start w:val="1"/>
      <w:numFmt w:val="lowerRoman"/>
      <w:lvlText w:val="%9."/>
      <w:lvlJc w:val="right"/>
      <w:pPr>
        <w:ind w:left="8604" w:hanging="180"/>
      </w:pPr>
    </w:lvl>
  </w:abstractNum>
  <w:abstractNum w:abstractNumId="45" w15:restartNumberingAfterBreak="0">
    <w:nsid w:val="3D4B2CF8"/>
    <w:multiLevelType w:val="hybridMultilevel"/>
    <w:tmpl w:val="CCF8C38E"/>
    <w:lvl w:ilvl="0" w:tplc="FD3EC51C">
      <w:start w:val="1"/>
      <w:numFmt w:val="lowerRoman"/>
      <w:lvlText w:val="(%1)"/>
      <w:lvlJc w:val="left"/>
      <w:pPr>
        <w:ind w:left="2504"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3EB85F97"/>
    <w:multiLevelType w:val="hybridMultilevel"/>
    <w:tmpl w:val="B91E3A2C"/>
    <w:lvl w:ilvl="0" w:tplc="140A0001">
      <w:start w:val="1"/>
      <w:numFmt w:val="bullet"/>
      <w:lvlText w:val=""/>
      <w:lvlJc w:val="left"/>
      <w:pPr>
        <w:ind w:left="2498" w:hanging="360"/>
      </w:pPr>
      <w:rPr>
        <w:rFonts w:ascii="Symbol" w:hAnsi="Symbol" w:hint="default"/>
      </w:rPr>
    </w:lvl>
    <w:lvl w:ilvl="1" w:tplc="140A0003" w:tentative="1">
      <w:start w:val="1"/>
      <w:numFmt w:val="bullet"/>
      <w:lvlText w:val="o"/>
      <w:lvlJc w:val="left"/>
      <w:pPr>
        <w:ind w:left="3218" w:hanging="360"/>
      </w:pPr>
      <w:rPr>
        <w:rFonts w:ascii="Courier New" w:hAnsi="Courier New" w:cs="Courier New" w:hint="default"/>
      </w:rPr>
    </w:lvl>
    <w:lvl w:ilvl="2" w:tplc="140A0005" w:tentative="1">
      <w:start w:val="1"/>
      <w:numFmt w:val="bullet"/>
      <w:lvlText w:val=""/>
      <w:lvlJc w:val="left"/>
      <w:pPr>
        <w:ind w:left="3938" w:hanging="360"/>
      </w:pPr>
      <w:rPr>
        <w:rFonts w:ascii="Wingdings" w:hAnsi="Wingdings" w:hint="default"/>
      </w:rPr>
    </w:lvl>
    <w:lvl w:ilvl="3" w:tplc="140A0001" w:tentative="1">
      <w:start w:val="1"/>
      <w:numFmt w:val="bullet"/>
      <w:lvlText w:val=""/>
      <w:lvlJc w:val="left"/>
      <w:pPr>
        <w:ind w:left="4658" w:hanging="360"/>
      </w:pPr>
      <w:rPr>
        <w:rFonts w:ascii="Symbol" w:hAnsi="Symbol" w:hint="default"/>
      </w:rPr>
    </w:lvl>
    <w:lvl w:ilvl="4" w:tplc="140A0003" w:tentative="1">
      <w:start w:val="1"/>
      <w:numFmt w:val="bullet"/>
      <w:lvlText w:val="o"/>
      <w:lvlJc w:val="left"/>
      <w:pPr>
        <w:ind w:left="5378" w:hanging="360"/>
      </w:pPr>
      <w:rPr>
        <w:rFonts w:ascii="Courier New" w:hAnsi="Courier New" w:cs="Courier New" w:hint="default"/>
      </w:rPr>
    </w:lvl>
    <w:lvl w:ilvl="5" w:tplc="140A0005" w:tentative="1">
      <w:start w:val="1"/>
      <w:numFmt w:val="bullet"/>
      <w:lvlText w:val=""/>
      <w:lvlJc w:val="left"/>
      <w:pPr>
        <w:ind w:left="6098" w:hanging="360"/>
      </w:pPr>
      <w:rPr>
        <w:rFonts w:ascii="Wingdings" w:hAnsi="Wingdings" w:hint="default"/>
      </w:rPr>
    </w:lvl>
    <w:lvl w:ilvl="6" w:tplc="140A0001" w:tentative="1">
      <w:start w:val="1"/>
      <w:numFmt w:val="bullet"/>
      <w:lvlText w:val=""/>
      <w:lvlJc w:val="left"/>
      <w:pPr>
        <w:ind w:left="6818" w:hanging="360"/>
      </w:pPr>
      <w:rPr>
        <w:rFonts w:ascii="Symbol" w:hAnsi="Symbol" w:hint="default"/>
      </w:rPr>
    </w:lvl>
    <w:lvl w:ilvl="7" w:tplc="140A0003" w:tentative="1">
      <w:start w:val="1"/>
      <w:numFmt w:val="bullet"/>
      <w:lvlText w:val="o"/>
      <w:lvlJc w:val="left"/>
      <w:pPr>
        <w:ind w:left="7538" w:hanging="360"/>
      </w:pPr>
      <w:rPr>
        <w:rFonts w:ascii="Courier New" w:hAnsi="Courier New" w:cs="Courier New" w:hint="default"/>
      </w:rPr>
    </w:lvl>
    <w:lvl w:ilvl="8" w:tplc="140A0005" w:tentative="1">
      <w:start w:val="1"/>
      <w:numFmt w:val="bullet"/>
      <w:lvlText w:val=""/>
      <w:lvlJc w:val="left"/>
      <w:pPr>
        <w:ind w:left="8258" w:hanging="360"/>
      </w:pPr>
      <w:rPr>
        <w:rFonts w:ascii="Wingdings" w:hAnsi="Wingdings" w:hint="default"/>
      </w:rPr>
    </w:lvl>
  </w:abstractNum>
  <w:abstractNum w:abstractNumId="47" w15:restartNumberingAfterBreak="0">
    <w:nsid w:val="41115D39"/>
    <w:multiLevelType w:val="hybridMultilevel"/>
    <w:tmpl w:val="377A91FA"/>
    <w:lvl w:ilvl="0" w:tplc="140A0001">
      <w:start w:val="1"/>
      <w:numFmt w:val="bullet"/>
      <w:lvlText w:val=""/>
      <w:lvlJc w:val="left"/>
      <w:pPr>
        <w:ind w:left="2356" w:hanging="360"/>
      </w:pPr>
      <w:rPr>
        <w:rFonts w:ascii="Symbol" w:hAnsi="Symbol" w:hint="default"/>
      </w:rPr>
    </w:lvl>
    <w:lvl w:ilvl="1" w:tplc="140A0003" w:tentative="1">
      <w:start w:val="1"/>
      <w:numFmt w:val="bullet"/>
      <w:lvlText w:val="o"/>
      <w:lvlJc w:val="left"/>
      <w:pPr>
        <w:ind w:left="3076" w:hanging="360"/>
      </w:pPr>
      <w:rPr>
        <w:rFonts w:ascii="Courier New" w:hAnsi="Courier New" w:cs="Courier New" w:hint="default"/>
      </w:rPr>
    </w:lvl>
    <w:lvl w:ilvl="2" w:tplc="140A0005" w:tentative="1">
      <w:start w:val="1"/>
      <w:numFmt w:val="bullet"/>
      <w:lvlText w:val=""/>
      <w:lvlJc w:val="left"/>
      <w:pPr>
        <w:ind w:left="3796" w:hanging="360"/>
      </w:pPr>
      <w:rPr>
        <w:rFonts w:ascii="Wingdings" w:hAnsi="Wingdings" w:hint="default"/>
      </w:rPr>
    </w:lvl>
    <w:lvl w:ilvl="3" w:tplc="140A0001" w:tentative="1">
      <w:start w:val="1"/>
      <w:numFmt w:val="bullet"/>
      <w:lvlText w:val=""/>
      <w:lvlJc w:val="left"/>
      <w:pPr>
        <w:ind w:left="4516" w:hanging="360"/>
      </w:pPr>
      <w:rPr>
        <w:rFonts w:ascii="Symbol" w:hAnsi="Symbol" w:hint="default"/>
      </w:rPr>
    </w:lvl>
    <w:lvl w:ilvl="4" w:tplc="140A0003" w:tentative="1">
      <w:start w:val="1"/>
      <w:numFmt w:val="bullet"/>
      <w:lvlText w:val="o"/>
      <w:lvlJc w:val="left"/>
      <w:pPr>
        <w:ind w:left="5236" w:hanging="360"/>
      </w:pPr>
      <w:rPr>
        <w:rFonts w:ascii="Courier New" w:hAnsi="Courier New" w:cs="Courier New" w:hint="default"/>
      </w:rPr>
    </w:lvl>
    <w:lvl w:ilvl="5" w:tplc="140A0005" w:tentative="1">
      <w:start w:val="1"/>
      <w:numFmt w:val="bullet"/>
      <w:lvlText w:val=""/>
      <w:lvlJc w:val="left"/>
      <w:pPr>
        <w:ind w:left="5956" w:hanging="360"/>
      </w:pPr>
      <w:rPr>
        <w:rFonts w:ascii="Wingdings" w:hAnsi="Wingdings" w:hint="default"/>
      </w:rPr>
    </w:lvl>
    <w:lvl w:ilvl="6" w:tplc="140A0001" w:tentative="1">
      <w:start w:val="1"/>
      <w:numFmt w:val="bullet"/>
      <w:lvlText w:val=""/>
      <w:lvlJc w:val="left"/>
      <w:pPr>
        <w:ind w:left="6676" w:hanging="360"/>
      </w:pPr>
      <w:rPr>
        <w:rFonts w:ascii="Symbol" w:hAnsi="Symbol" w:hint="default"/>
      </w:rPr>
    </w:lvl>
    <w:lvl w:ilvl="7" w:tplc="140A0003" w:tentative="1">
      <w:start w:val="1"/>
      <w:numFmt w:val="bullet"/>
      <w:lvlText w:val="o"/>
      <w:lvlJc w:val="left"/>
      <w:pPr>
        <w:ind w:left="7396" w:hanging="360"/>
      </w:pPr>
      <w:rPr>
        <w:rFonts w:ascii="Courier New" w:hAnsi="Courier New" w:cs="Courier New" w:hint="default"/>
      </w:rPr>
    </w:lvl>
    <w:lvl w:ilvl="8" w:tplc="140A0005" w:tentative="1">
      <w:start w:val="1"/>
      <w:numFmt w:val="bullet"/>
      <w:lvlText w:val=""/>
      <w:lvlJc w:val="left"/>
      <w:pPr>
        <w:ind w:left="8116" w:hanging="360"/>
      </w:pPr>
      <w:rPr>
        <w:rFonts w:ascii="Wingdings" w:hAnsi="Wingdings" w:hint="default"/>
      </w:rPr>
    </w:lvl>
  </w:abstractNum>
  <w:abstractNum w:abstractNumId="48" w15:restartNumberingAfterBreak="0">
    <w:nsid w:val="4710676C"/>
    <w:multiLevelType w:val="hybridMultilevel"/>
    <w:tmpl w:val="E542D930"/>
    <w:lvl w:ilvl="0" w:tplc="BECAE620">
      <w:start w:val="1"/>
      <w:numFmt w:val="decimal"/>
      <w:lvlText w:val="D.%1."/>
      <w:lvlJc w:val="left"/>
      <w:pPr>
        <w:ind w:left="1636" w:hanging="360"/>
      </w:pPr>
      <w:rPr>
        <w:rFonts w:hint="default"/>
      </w:rPr>
    </w:lvl>
    <w:lvl w:ilvl="1" w:tplc="140A0019" w:tentative="1">
      <w:start w:val="1"/>
      <w:numFmt w:val="lowerLetter"/>
      <w:lvlText w:val="%2."/>
      <w:lvlJc w:val="left"/>
      <w:pPr>
        <w:ind w:left="2356" w:hanging="360"/>
      </w:pPr>
    </w:lvl>
    <w:lvl w:ilvl="2" w:tplc="140A001B" w:tentative="1">
      <w:start w:val="1"/>
      <w:numFmt w:val="lowerRoman"/>
      <w:lvlText w:val="%3."/>
      <w:lvlJc w:val="right"/>
      <w:pPr>
        <w:ind w:left="3076" w:hanging="180"/>
      </w:pPr>
    </w:lvl>
    <w:lvl w:ilvl="3" w:tplc="140A000F" w:tentative="1">
      <w:start w:val="1"/>
      <w:numFmt w:val="decimal"/>
      <w:lvlText w:val="%4."/>
      <w:lvlJc w:val="left"/>
      <w:pPr>
        <w:ind w:left="3796" w:hanging="360"/>
      </w:pPr>
    </w:lvl>
    <w:lvl w:ilvl="4" w:tplc="140A0019" w:tentative="1">
      <w:start w:val="1"/>
      <w:numFmt w:val="lowerLetter"/>
      <w:lvlText w:val="%5."/>
      <w:lvlJc w:val="left"/>
      <w:pPr>
        <w:ind w:left="4516" w:hanging="360"/>
      </w:pPr>
    </w:lvl>
    <w:lvl w:ilvl="5" w:tplc="140A001B" w:tentative="1">
      <w:start w:val="1"/>
      <w:numFmt w:val="lowerRoman"/>
      <w:lvlText w:val="%6."/>
      <w:lvlJc w:val="right"/>
      <w:pPr>
        <w:ind w:left="5236" w:hanging="180"/>
      </w:pPr>
    </w:lvl>
    <w:lvl w:ilvl="6" w:tplc="140A000F" w:tentative="1">
      <w:start w:val="1"/>
      <w:numFmt w:val="decimal"/>
      <w:lvlText w:val="%7."/>
      <w:lvlJc w:val="left"/>
      <w:pPr>
        <w:ind w:left="5956" w:hanging="360"/>
      </w:pPr>
    </w:lvl>
    <w:lvl w:ilvl="7" w:tplc="140A0019" w:tentative="1">
      <w:start w:val="1"/>
      <w:numFmt w:val="lowerLetter"/>
      <w:lvlText w:val="%8."/>
      <w:lvlJc w:val="left"/>
      <w:pPr>
        <w:ind w:left="6676" w:hanging="360"/>
      </w:pPr>
    </w:lvl>
    <w:lvl w:ilvl="8" w:tplc="140A001B" w:tentative="1">
      <w:start w:val="1"/>
      <w:numFmt w:val="lowerRoman"/>
      <w:lvlText w:val="%9."/>
      <w:lvlJc w:val="right"/>
      <w:pPr>
        <w:ind w:left="7396" w:hanging="180"/>
      </w:pPr>
    </w:lvl>
  </w:abstractNum>
  <w:abstractNum w:abstractNumId="49" w15:restartNumberingAfterBreak="0">
    <w:nsid w:val="484F45A4"/>
    <w:multiLevelType w:val="hybridMultilevel"/>
    <w:tmpl w:val="2892B620"/>
    <w:lvl w:ilvl="0" w:tplc="0E924352">
      <w:start w:val="1"/>
      <w:numFmt w:val="decimal"/>
      <w:pStyle w:val="Ttulo7"/>
      <w:lvlText w:val="D.%1."/>
      <w:lvlJc w:val="left"/>
      <w:pPr>
        <w:ind w:left="1776" w:hanging="360"/>
      </w:pPr>
      <w:rPr>
        <w:rFonts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50" w15:restartNumberingAfterBreak="0">
    <w:nsid w:val="4B8A43E9"/>
    <w:multiLevelType w:val="hybridMultilevel"/>
    <w:tmpl w:val="E0ACBC2C"/>
    <w:lvl w:ilvl="0" w:tplc="3100260C">
      <w:start w:val="5"/>
      <w:numFmt w:val="bullet"/>
      <w:lvlText w:val="-"/>
      <w:lvlJc w:val="left"/>
      <w:pPr>
        <w:ind w:left="720" w:hanging="360"/>
      </w:pPr>
      <w:rPr>
        <w:rFonts w:ascii="Verdana" w:eastAsia="Verdana" w:hAnsi="Verdana" w:cs="Verdan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1" w15:restartNumberingAfterBreak="0">
    <w:nsid w:val="4C4E23ED"/>
    <w:multiLevelType w:val="hybridMultilevel"/>
    <w:tmpl w:val="CF160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D86648F"/>
    <w:multiLevelType w:val="hybridMultilevel"/>
    <w:tmpl w:val="1DF81110"/>
    <w:lvl w:ilvl="0" w:tplc="2F206B60">
      <w:start w:val="1"/>
      <w:numFmt w:val="decimal"/>
      <w:lvlText w:val="B.2.%1."/>
      <w:lvlJc w:val="left"/>
      <w:pPr>
        <w:ind w:left="1778"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 w15:restartNumberingAfterBreak="0">
    <w:nsid w:val="4DD228EF"/>
    <w:multiLevelType w:val="hybridMultilevel"/>
    <w:tmpl w:val="007A899C"/>
    <w:lvl w:ilvl="0" w:tplc="140A0001">
      <w:start w:val="1"/>
      <w:numFmt w:val="bullet"/>
      <w:lvlText w:val=""/>
      <w:lvlJc w:val="left"/>
      <w:pPr>
        <w:ind w:left="2498" w:hanging="360"/>
      </w:pPr>
      <w:rPr>
        <w:rFonts w:ascii="Symbol" w:hAnsi="Symbol" w:hint="default"/>
      </w:rPr>
    </w:lvl>
    <w:lvl w:ilvl="1" w:tplc="140A0003" w:tentative="1">
      <w:start w:val="1"/>
      <w:numFmt w:val="bullet"/>
      <w:lvlText w:val="o"/>
      <w:lvlJc w:val="left"/>
      <w:pPr>
        <w:ind w:left="3218" w:hanging="360"/>
      </w:pPr>
      <w:rPr>
        <w:rFonts w:ascii="Courier New" w:hAnsi="Courier New" w:cs="Courier New" w:hint="default"/>
      </w:rPr>
    </w:lvl>
    <w:lvl w:ilvl="2" w:tplc="140A0005" w:tentative="1">
      <w:start w:val="1"/>
      <w:numFmt w:val="bullet"/>
      <w:lvlText w:val=""/>
      <w:lvlJc w:val="left"/>
      <w:pPr>
        <w:ind w:left="3938" w:hanging="360"/>
      </w:pPr>
      <w:rPr>
        <w:rFonts w:ascii="Wingdings" w:hAnsi="Wingdings" w:hint="default"/>
      </w:rPr>
    </w:lvl>
    <w:lvl w:ilvl="3" w:tplc="140A0001" w:tentative="1">
      <w:start w:val="1"/>
      <w:numFmt w:val="bullet"/>
      <w:lvlText w:val=""/>
      <w:lvlJc w:val="left"/>
      <w:pPr>
        <w:ind w:left="4658" w:hanging="360"/>
      </w:pPr>
      <w:rPr>
        <w:rFonts w:ascii="Symbol" w:hAnsi="Symbol" w:hint="default"/>
      </w:rPr>
    </w:lvl>
    <w:lvl w:ilvl="4" w:tplc="140A0003" w:tentative="1">
      <w:start w:val="1"/>
      <w:numFmt w:val="bullet"/>
      <w:lvlText w:val="o"/>
      <w:lvlJc w:val="left"/>
      <w:pPr>
        <w:ind w:left="5378" w:hanging="360"/>
      </w:pPr>
      <w:rPr>
        <w:rFonts w:ascii="Courier New" w:hAnsi="Courier New" w:cs="Courier New" w:hint="default"/>
      </w:rPr>
    </w:lvl>
    <w:lvl w:ilvl="5" w:tplc="140A0005" w:tentative="1">
      <w:start w:val="1"/>
      <w:numFmt w:val="bullet"/>
      <w:lvlText w:val=""/>
      <w:lvlJc w:val="left"/>
      <w:pPr>
        <w:ind w:left="6098" w:hanging="360"/>
      </w:pPr>
      <w:rPr>
        <w:rFonts w:ascii="Wingdings" w:hAnsi="Wingdings" w:hint="default"/>
      </w:rPr>
    </w:lvl>
    <w:lvl w:ilvl="6" w:tplc="140A0001" w:tentative="1">
      <w:start w:val="1"/>
      <w:numFmt w:val="bullet"/>
      <w:lvlText w:val=""/>
      <w:lvlJc w:val="left"/>
      <w:pPr>
        <w:ind w:left="6818" w:hanging="360"/>
      </w:pPr>
      <w:rPr>
        <w:rFonts w:ascii="Symbol" w:hAnsi="Symbol" w:hint="default"/>
      </w:rPr>
    </w:lvl>
    <w:lvl w:ilvl="7" w:tplc="140A0003" w:tentative="1">
      <w:start w:val="1"/>
      <w:numFmt w:val="bullet"/>
      <w:lvlText w:val="o"/>
      <w:lvlJc w:val="left"/>
      <w:pPr>
        <w:ind w:left="7538" w:hanging="360"/>
      </w:pPr>
      <w:rPr>
        <w:rFonts w:ascii="Courier New" w:hAnsi="Courier New" w:cs="Courier New" w:hint="default"/>
      </w:rPr>
    </w:lvl>
    <w:lvl w:ilvl="8" w:tplc="140A0005" w:tentative="1">
      <w:start w:val="1"/>
      <w:numFmt w:val="bullet"/>
      <w:lvlText w:val=""/>
      <w:lvlJc w:val="left"/>
      <w:pPr>
        <w:ind w:left="8258" w:hanging="360"/>
      </w:pPr>
      <w:rPr>
        <w:rFonts w:ascii="Wingdings" w:hAnsi="Wingdings" w:hint="default"/>
      </w:rPr>
    </w:lvl>
  </w:abstractNum>
  <w:abstractNum w:abstractNumId="54" w15:restartNumberingAfterBreak="0">
    <w:nsid w:val="4E8D3A5E"/>
    <w:multiLevelType w:val="hybridMultilevel"/>
    <w:tmpl w:val="83B8C808"/>
    <w:lvl w:ilvl="0" w:tplc="C1AA39AA">
      <w:start w:val="1"/>
      <w:numFmt w:val="upperLetter"/>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4EE731B6"/>
    <w:multiLevelType w:val="hybridMultilevel"/>
    <w:tmpl w:val="4AAE7D5A"/>
    <w:lvl w:ilvl="0" w:tplc="5520FEA0">
      <w:start w:val="6"/>
      <w:numFmt w:val="decimal"/>
      <w:lvlText w:val="%1."/>
      <w:lvlJc w:val="left"/>
      <w:pPr>
        <w:ind w:left="1070" w:hanging="360"/>
      </w:pPr>
      <w:rPr>
        <w:rFonts w:ascii="Verdana" w:eastAsia="Calibri" w:hAnsi="Verdana" w:hint="default"/>
        <w:b w:val="0"/>
        <w:i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4FC74762"/>
    <w:multiLevelType w:val="hybridMultilevel"/>
    <w:tmpl w:val="6A605BF0"/>
    <w:lvl w:ilvl="0" w:tplc="2906597A">
      <w:start w:val="1"/>
      <w:numFmt w:val="decimal"/>
      <w:lvlText w:val="C.%1."/>
      <w:lvlJc w:val="left"/>
      <w:pPr>
        <w:ind w:left="1776" w:hanging="360"/>
      </w:pPr>
      <w:rPr>
        <w:rFonts w:hint="default"/>
      </w:rPr>
    </w:lvl>
    <w:lvl w:ilvl="1" w:tplc="140A0019">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57" w15:restartNumberingAfterBreak="0">
    <w:nsid w:val="4FC90E97"/>
    <w:multiLevelType w:val="hybridMultilevel"/>
    <w:tmpl w:val="D2A0F0AA"/>
    <w:lvl w:ilvl="0" w:tplc="1A1E43BA">
      <w:start w:val="1"/>
      <w:numFmt w:val="decimal"/>
      <w:lvlText w:val="G.%1."/>
      <w:lvlJc w:val="right"/>
      <w:pPr>
        <w:ind w:left="3192" w:hanging="360"/>
      </w:pPr>
      <w:rPr>
        <w:rFonts w:hint="default"/>
      </w:rPr>
    </w:lvl>
    <w:lvl w:ilvl="1" w:tplc="140A0019" w:tentative="1">
      <w:start w:val="1"/>
      <w:numFmt w:val="lowerLetter"/>
      <w:lvlText w:val="%2."/>
      <w:lvlJc w:val="left"/>
      <w:pPr>
        <w:ind w:left="3912" w:hanging="360"/>
      </w:pPr>
    </w:lvl>
    <w:lvl w:ilvl="2" w:tplc="140A001B" w:tentative="1">
      <w:start w:val="1"/>
      <w:numFmt w:val="lowerRoman"/>
      <w:lvlText w:val="%3."/>
      <w:lvlJc w:val="right"/>
      <w:pPr>
        <w:ind w:left="4632" w:hanging="180"/>
      </w:pPr>
    </w:lvl>
    <w:lvl w:ilvl="3" w:tplc="140A000F" w:tentative="1">
      <w:start w:val="1"/>
      <w:numFmt w:val="decimal"/>
      <w:lvlText w:val="%4."/>
      <w:lvlJc w:val="left"/>
      <w:pPr>
        <w:ind w:left="5352" w:hanging="360"/>
      </w:pPr>
    </w:lvl>
    <w:lvl w:ilvl="4" w:tplc="140A0019" w:tentative="1">
      <w:start w:val="1"/>
      <w:numFmt w:val="lowerLetter"/>
      <w:lvlText w:val="%5."/>
      <w:lvlJc w:val="left"/>
      <w:pPr>
        <w:ind w:left="6072" w:hanging="360"/>
      </w:pPr>
    </w:lvl>
    <w:lvl w:ilvl="5" w:tplc="140A001B" w:tentative="1">
      <w:start w:val="1"/>
      <w:numFmt w:val="lowerRoman"/>
      <w:lvlText w:val="%6."/>
      <w:lvlJc w:val="right"/>
      <w:pPr>
        <w:ind w:left="6792" w:hanging="180"/>
      </w:pPr>
    </w:lvl>
    <w:lvl w:ilvl="6" w:tplc="140A000F" w:tentative="1">
      <w:start w:val="1"/>
      <w:numFmt w:val="decimal"/>
      <w:lvlText w:val="%7."/>
      <w:lvlJc w:val="left"/>
      <w:pPr>
        <w:ind w:left="7512" w:hanging="360"/>
      </w:pPr>
    </w:lvl>
    <w:lvl w:ilvl="7" w:tplc="140A0019" w:tentative="1">
      <w:start w:val="1"/>
      <w:numFmt w:val="lowerLetter"/>
      <w:lvlText w:val="%8."/>
      <w:lvlJc w:val="left"/>
      <w:pPr>
        <w:ind w:left="8232" w:hanging="360"/>
      </w:pPr>
    </w:lvl>
    <w:lvl w:ilvl="8" w:tplc="140A001B" w:tentative="1">
      <w:start w:val="1"/>
      <w:numFmt w:val="lowerRoman"/>
      <w:lvlText w:val="%9."/>
      <w:lvlJc w:val="right"/>
      <w:pPr>
        <w:ind w:left="8952" w:hanging="180"/>
      </w:pPr>
    </w:lvl>
  </w:abstractNum>
  <w:abstractNum w:abstractNumId="58" w15:restartNumberingAfterBreak="0">
    <w:nsid w:val="51126D06"/>
    <w:multiLevelType w:val="hybridMultilevel"/>
    <w:tmpl w:val="E5A82148"/>
    <w:lvl w:ilvl="0" w:tplc="140A001B">
      <w:start w:val="1"/>
      <w:numFmt w:val="lowerRoman"/>
      <w:lvlText w:val="%1."/>
      <w:lvlJc w:val="right"/>
      <w:pPr>
        <w:ind w:left="720" w:hanging="360"/>
      </w:pPr>
      <w:rPr>
        <w:rFont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9" w15:restartNumberingAfterBreak="0">
    <w:nsid w:val="544F1B20"/>
    <w:multiLevelType w:val="hybridMultilevel"/>
    <w:tmpl w:val="A20C4434"/>
    <w:lvl w:ilvl="0" w:tplc="D24E83CC">
      <w:start w:val="38"/>
      <w:numFmt w:val="decimal"/>
      <w:lvlText w:val="%1."/>
      <w:lvlJc w:val="left"/>
      <w:pPr>
        <w:ind w:left="1080" w:hanging="360"/>
      </w:pPr>
      <w:rPr>
        <w:rFonts w:ascii="Verdana" w:hAnsi="Verdana" w:hint="default"/>
        <w:i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4946FFE"/>
    <w:multiLevelType w:val="hybridMultilevel"/>
    <w:tmpl w:val="725A5680"/>
    <w:lvl w:ilvl="0" w:tplc="599C509A">
      <w:start w:val="1"/>
      <w:numFmt w:val="decimal"/>
      <w:lvlText w:val="D.%1."/>
      <w:lvlJc w:val="left"/>
      <w:pPr>
        <w:ind w:left="1495" w:hanging="360"/>
      </w:pPr>
      <w:rPr>
        <w:rFonts w:hint="default"/>
      </w:rPr>
    </w:lvl>
    <w:lvl w:ilvl="1" w:tplc="140A0019" w:tentative="1">
      <w:start w:val="1"/>
      <w:numFmt w:val="lowerLetter"/>
      <w:lvlText w:val="%2."/>
      <w:lvlJc w:val="left"/>
      <w:pPr>
        <w:ind w:left="2215" w:hanging="360"/>
      </w:pPr>
    </w:lvl>
    <w:lvl w:ilvl="2" w:tplc="140A001B" w:tentative="1">
      <w:start w:val="1"/>
      <w:numFmt w:val="lowerRoman"/>
      <w:lvlText w:val="%3."/>
      <w:lvlJc w:val="right"/>
      <w:pPr>
        <w:ind w:left="2935" w:hanging="180"/>
      </w:pPr>
    </w:lvl>
    <w:lvl w:ilvl="3" w:tplc="140A000F" w:tentative="1">
      <w:start w:val="1"/>
      <w:numFmt w:val="decimal"/>
      <w:lvlText w:val="%4."/>
      <w:lvlJc w:val="left"/>
      <w:pPr>
        <w:ind w:left="3655" w:hanging="360"/>
      </w:pPr>
    </w:lvl>
    <w:lvl w:ilvl="4" w:tplc="140A0019" w:tentative="1">
      <w:start w:val="1"/>
      <w:numFmt w:val="lowerLetter"/>
      <w:lvlText w:val="%5."/>
      <w:lvlJc w:val="left"/>
      <w:pPr>
        <w:ind w:left="4375" w:hanging="360"/>
      </w:pPr>
    </w:lvl>
    <w:lvl w:ilvl="5" w:tplc="140A001B" w:tentative="1">
      <w:start w:val="1"/>
      <w:numFmt w:val="lowerRoman"/>
      <w:lvlText w:val="%6."/>
      <w:lvlJc w:val="right"/>
      <w:pPr>
        <w:ind w:left="5095" w:hanging="180"/>
      </w:pPr>
    </w:lvl>
    <w:lvl w:ilvl="6" w:tplc="140A000F" w:tentative="1">
      <w:start w:val="1"/>
      <w:numFmt w:val="decimal"/>
      <w:lvlText w:val="%7."/>
      <w:lvlJc w:val="left"/>
      <w:pPr>
        <w:ind w:left="5815" w:hanging="360"/>
      </w:pPr>
    </w:lvl>
    <w:lvl w:ilvl="7" w:tplc="140A0019" w:tentative="1">
      <w:start w:val="1"/>
      <w:numFmt w:val="lowerLetter"/>
      <w:lvlText w:val="%8."/>
      <w:lvlJc w:val="left"/>
      <w:pPr>
        <w:ind w:left="6535" w:hanging="360"/>
      </w:pPr>
    </w:lvl>
    <w:lvl w:ilvl="8" w:tplc="140A001B" w:tentative="1">
      <w:start w:val="1"/>
      <w:numFmt w:val="lowerRoman"/>
      <w:lvlText w:val="%9."/>
      <w:lvlJc w:val="right"/>
      <w:pPr>
        <w:ind w:left="7255" w:hanging="180"/>
      </w:pPr>
    </w:lvl>
  </w:abstractNum>
  <w:abstractNum w:abstractNumId="61" w15:restartNumberingAfterBreak="0">
    <w:nsid w:val="56164B7C"/>
    <w:multiLevelType w:val="hybridMultilevel"/>
    <w:tmpl w:val="8CC26DFC"/>
    <w:lvl w:ilvl="0" w:tplc="CF9AFCBE">
      <w:start w:val="1"/>
      <w:numFmt w:val="lowerLetter"/>
      <w:lvlText w:val="%1)"/>
      <w:lvlJc w:val="left"/>
      <w:pPr>
        <w:ind w:left="818" w:hanging="360"/>
      </w:pPr>
      <w:rPr>
        <w:color w:val="auto"/>
      </w:rPr>
    </w:lvl>
    <w:lvl w:ilvl="1" w:tplc="140A0019">
      <w:start w:val="1"/>
      <w:numFmt w:val="lowerLetter"/>
      <w:lvlText w:val="%2."/>
      <w:lvlJc w:val="left"/>
      <w:pPr>
        <w:ind w:left="1538" w:hanging="360"/>
      </w:pPr>
    </w:lvl>
    <w:lvl w:ilvl="2" w:tplc="140A001B">
      <w:start w:val="1"/>
      <w:numFmt w:val="lowerRoman"/>
      <w:lvlText w:val="%3."/>
      <w:lvlJc w:val="right"/>
      <w:pPr>
        <w:ind w:left="2258" w:hanging="180"/>
      </w:pPr>
    </w:lvl>
    <w:lvl w:ilvl="3" w:tplc="140A000F">
      <w:start w:val="1"/>
      <w:numFmt w:val="decimal"/>
      <w:lvlText w:val="%4."/>
      <w:lvlJc w:val="left"/>
      <w:pPr>
        <w:ind w:left="2978" w:hanging="360"/>
      </w:pPr>
    </w:lvl>
    <w:lvl w:ilvl="4" w:tplc="140A0019">
      <w:start w:val="1"/>
      <w:numFmt w:val="lowerLetter"/>
      <w:lvlText w:val="%5."/>
      <w:lvlJc w:val="left"/>
      <w:pPr>
        <w:ind w:left="3698" w:hanging="360"/>
      </w:pPr>
    </w:lvl>
    <w:lvl w:ilvl="5" w:tplc="140A001B">
      <w:start w:val="1"/>
      <w:numFmt w:val="lowerRoman"/>
      <w:lvlText w:val="%6."/>
      <w:lvlJc w:val="right"/>
      <w:pPr>
        <w:ind w:left="4418" w:hanging="180"/>
      </w:pPr>
    </w:lvl>
    <w:lvl w:ilvl="6" w:tplc="140A000F">
      <w:start w:val="1"/>
      <w:numFmt w:val="decimal"/>
      <w:lvlText w:val="%7."/>
      <w:lvlJc w:val="left"/>
      <w:pPr>
        <w:ind w:left="5138" w:hanging="360"/>
      </w:pPr>
    </w:lvl>
    <w:lvl w:ilvl="7" w:tplc="140A0019">
      <w:start w:val="1"/>
      <w:numFmt w:val="lowerLetter"/>
      <w:lvlText w:val="%8."/>
      <w:lvlJc w:val="left"/>
      <w:pPr>
        <w:ind w:left="5858" w:hanging="360"/>
      </w:pPr>
    </w:lvl>
    <w:lvl w:ilvl="8" w:tplc="140A001B">
      <w:start w:val="1"/>
      <w:numFmt w:val="lowerRoman"/>
      <w:lvlText w:val="%9."/>
      <w:lvlJc w:val="right"/>
      <w:pPr>
        <w:ind w:left="6578" w:hanging="180"/>
      </w:pPr>
    </w:lvl>
  </w:abstractNum>
  <w:abstractNum w:abstractNumId="62" w15:restartNumberingAfterBreak="0">
    <w:nsid w:val="578726F7"/>
    <w:multiLevelType w:val="hybridMultilevel"/>
    <w:tmpl w:val="4970C0C0"/>
    <w:lvl w:ilvl="0" w:tplc="342242FE">
      <w:start w:val="1"/>
      <w:numFmt w:val="lowerLetter"/>
      <w:lvlText w:val="%1."/>
      <w:lvlJc w:val="left"/>
      <w:pPr>
        <w:ind w:left="720" w:hanging="360"/>
      </w:pPr>
      <w:rPr>
        <w:rFonts w:ascii="Verdana" w:eastAsiaTheme="minorHAnsi"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C677CB"/>
    <w:multiLevelType w:val="hybridMultilevel"/>
    <w:tmpl w:val="DCE60B0A"/>
    <w:lvl w:ilvl="0" w:tplc="27101D92">
      <w:start w:val="1"/>
      <w:numFmt w:val="decimal"/>
      <w:lvlText w:val="D.%1."/>
      <w:lvlJc w:val="left"/>
      <w:pPr>
        <w:ind w:left="1636" w:hanging="360"/>
      </w:pPr>
      <w:rPr>
        <w:rFonts w:hint="default"/>
      </w:rPr>
    </w:lvl>
    <w:lvl w:ilvl="1" w:tplc="140A0019" w:tentative="1">
      <w:start w:val="1"/>
      <w:numFmt w:val="lowerLetter"/>
      <w:lvlText w:val="%2."/>
      <w:lvlJc w:val="left"/>
      <w:pPr>
        <w:ind w:left="1865" w:hanging="360"/>
      </w:pPr>
    </w:lvl>
    <w:lvl w:ilvl="2" w:tplc="140A001B" w:tentative="1">
      <w:start w:val="1"/>
      <w:numFmt w:val="lowerRoman"/>
      <w:lvlText w:val="%3."/>
      <w:lvlJc w:val="right"/>
      <w:pPr>
        <w:ind w:left="2585" w:hanging="180"/>
      </w:pPr>
    </w:lvl>
    <w:lvl w:ilvl="3" w:tplc="140A000F" w:tentative="1">
      <w:start w:val="1"/>
      <w:numFmt w:val="decimal"/>
      <w:lvlText w:val="%4."/>
      <w:lvlJc w:val="left"/>
      <w:pPr>
        <w:ind w:left="3305" w:hanging="360"/>
      </w:pPr>
    </w:lvl>
    <w:lvl w:ilvl="4" w:tplc="140A0019" w:tentative="1">
      <w:start w:val="1"/>
      <w:numFmt w:val="lowerLetter"/>
      <w:lvlText w:val="%5."/>
      <w:lvlJc w:val="left"/>
      <w:pPr>
        <w:ind w:left="4025" w:hanging="360"/>
      </w:pPr>
    </w:lvl>
    <w:lvl w:ilvl="5" w:tplc="140A001B" w:tentative="1">
      <w:start w:val="1"/>
      <w:numFmt w:val="lowerRoman"/>
      <w:lvlText w:val="%6."/>
      <w:lvlJc w:val="right"/>
      <w:pPr>
        <w:ind w:left="4745" w:hanging="180"/>
      </w:pPr>
    </w:lvl>
    <w:lvl w:ilvl="6" w:tplc="140A000F" w:tentative="1">
      <w:start w:val="1"/>
      <w:numFmt w:val="decimal"/>
      <w:lvlText w:val="%7."/>
      <w:lvlJc w:val="left"/>
      <w:pPr>
        <w:ind w:left="5465" w:hanging="360"/>
      </w:pPr>
    </w:lvl>
    <w:lvl w:ilvl="7" w:tplc="140A0019" w:tentative="1">
      <w:start w:val="1"/>
      <w:numFmt w:val="lowerLetter"/>
      <w:lvlText w:val="%8."/>
      <w:lvlJc w:val="left"/>
      <w:pPr>
        <w:ind w:left="6185" w:hanging="360"/>
      </w:pPr>
    </w:lvl>
    <w:lvl w:ilvl="8" w:tplc="140A001B" w:tentative="1">
      <w:start w:val="1"/>
      <w:numFmt w:val="lowerRoman"/>
      <w:lvlText w:val="%9."/>
      <w:lvlJc w:val="right"/>
      <w:pPr>
        <w:ind w:left="6905" w:hanging="180"/>
      </w:pPr>
    </w:lvl>
  </w:abstractNum>
  <w:abstractNum w:abstractNumId="64" w15:restartNumberingAfterBreak="0">
    <w:nsid w:val="5C113370"/>
    <w:multiLevelType w:val="hybridMultilevel"/>
    <w:tmpl w:val="FE6290DC"/>
    <w:lvl w:ilvl="0" w:tplc="19F88D44">
      <w:start w:val="1"/>
      <w:numFmt w:val="decimal"/>
      <w:lvlText w:val="A.%1."/>
      <w:lvlJc w:val="left"/>
      <w:pPr>
        <w:ind w:left="1832" w:hanging="555"/>
      </w:pPr>
      <w:rPr>
        <w:rFonts w:hint="default"/>
      </w:rPr>
    </w:lvl>
    <w:lvl w:ilvl="1" w:tplc="080A0019" w:tentative="1">
      <w:start w:val="1"/>
      <w:numFmt w:val="lowerLetter"/>
      <w:lvlText w:val="%2."/>
      <w:lvlJc w:val="left"/>
      <w:pPr>
        <w:ind w:left="2357" w:hanging="360"/>
      </w:pPr>
    </w:lvl>
    <w:lvl w:ilvl="2" w:tplc="080A001B" w:tentative="1">
      <w:start w:val="1"/>
      <w:numFmt w:val="lowerRoman"/>
      <w:lvlText w:val="%3."/>
      <w:lvlJc w:val="right"/>
      <w:pPr>
        <w:ind w:left="3077" w:hanging="180"/>
      </w:pPr>
    </w:lvl>
    <w:lvl w:ilvl="3" w:tplc="080A000F" w:tentative="1">
      <w:start w:val="1"/>
      <w:numFmt w:val="decimal"/>
      <w:lvlText w:val="%4."/>
      <w:lvlJc w:val="left"/>
      <w:pPr>
        <w:ind w:left="3797" w:hanging="360"/>
      </w:pPr>
    </w:lvl>
    <w:lvl w:ilvl="4" w:tplc="080A0019" w:tentative="1">
      <w:start w:val="1"/>
      <w:numFmt w:val="lowerLetter"/>
      <w:lvlText w:val="%5."/>
      <w:lvlJc w:val="left"/>
      <w:pPr>
        <w:ind w:left="4517" w:hanging="360"/>
      </w:pPr>
    </w:lvl>
    <w:lvl w:ilvl="5" w:tplc="080A001B" w:tentative="1">
      <w:start w:val="1"/>
      <w:numFmt w:val="lowerRoman"/>
      <w:lvlText w:val="%6."/>
      <w:lvlJc w:val="right"/>
      <w:pPr>
        <w:ind w:left="5237" w:hanging="180"/>
      </w:pPr>
    </w:lvl>
    <w:lvl w:ilvl="6" w:tplc="080A000F" w:tentative="1">
      <w:start w:val="1"/>
      <w:numFmt w:val="decimal"/>
      <w:lvlText w:val="%7."/>
      <w:lvlJc w:val="left"/>
      <w:pPr>
        <w:ind w:left="5957" w:hanging="360"/>
      </w:pPr>
    </w:lvl>
    <w:lvl w:ilvl="7" w:tplc="080A0019" w:tentative="1">
      <w:start w:val="1"/>
      <w:numFmt w:val="lowerLetter"/>
      <w:lvlText w:val="%8."/>
      <w:lvlJc w:val="left"/>
      <w:pPr>
        <w:ind w:left="6677" w:hanging="360"/>
      </w:pPr>
    </w:lvl>
    <w:lvl w:ilvl="8" w:tplc="080A001B" w:tentative="1">
      <w:start w:val="1"/>
      <w:numFmt w:val="lowerRoman"/>
      <w:lvlText w:val="%9."/>
      <w:lvlJc w:val="right"/>
      <w:pPr>
        <w:ind w:left="7397" w:hanging="180"/>
      </w:pPr>
    </w:lvl>
  </w:abstractNum>
  <w:abstractNum w:abstractNumId="65" w15:restartNumberingAfterBreak="0">
    <w:nsid w:val="5DB532F7"/>
    <w:multiLevelType w:val="hybridMultilevel"/>
    <w:tmpl w:val="E378050C"/>
    <w:lvl w:ilvl="0" w:tplc="165ACBEC">
      <w:start w:val="1"/>
      <w:numFmt w:val="decimal"/>
      <w:lvlText w:val="B.2.%1."/>
      <w:lvlJc w:val="left"/>
      <w:pPr>
        <w:ind w:left="1778"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6" w15:restartNumberingAfterBreak="0">
    <w:nsid w:val="5E1D3A2C"/>
    <w:multiLevelType w:val="hybridMultilevel"/>
    <w:tmpl w:val="C660EA64"/>
    <w:lvl w:ilvl="0" w:tplc="987405BE">
      <w:start w:val="1"/>
      <w:numFmt w:val="decimal"/>
      <w:lvlText w:val="%1."/>
      <w:lvlJc w:val="left"/>
      <w:pPr>
        <w:ind w:left="360" w:hanging="36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6B2359"/>
    <w:multiLevelType w:val="hybridMultilevel"/>
    <w:tmpl w:val="332C8C52"/>
    <w:lvl w:ilvl="0" w:tplc="912824F6">
      <w:start w:val="1"/>
      <w:numFmt w:val="lowerRoman"/>
      <w:lvlText w:val="%1)"/>
      <w:lvlJc w:val="left"/>
      <w:pPr>
        <w:ind w:left="720" w:hanging="360"/>
      </w:pPr>
      <w:rPr>
        <w:rFonts w:ascii="Verdana" w:eastAsia="SimSun" w:hAnsi="Verdana"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60C526ED"/>
    <w:multiLevelType w:val="hybridMultilevel"/>
    <w:tmpl w:val="375AFEFC"/>
    <w:lvl w:ilvl="0" w:tplc="F0E2B5CC">
      <w:start w:val="1"/>
      <w:numFmt w:val="decimal"/>
      <w:lvlText w:val="D.6.%1."/>
      <w:lvlJc w:val="left"/>
      <w:pPr>
        <w:ind w:left="1778"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9" w15:restartNumberingAfterBreak="0">
    <w:nsid w:val="615D6ECD"/>
    <w:multiLevelType w:val="hybridMultilevel"/>
    <w:tmpl w:val="70BA2DC8"/>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DF4032A0">
      <w:start w:val="1"/>
      <w:numFmt w:val="decimal"/>
      <w:lvlText w:val="%4."/>
      <w:lvlJc w:val="left"/>
      <w:pPr>
        <w:ind w:left="3240" w:hanging="360"/>
      </w:pPr>
      <w:rPr>
        <w:b w:val="0"/>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70" w15:restartNumberingAfterBreak="0">
    <w:nsid w:val="63143F15"/>
    <w:multiLevelType w:val="hybridMultilevel"/>
    <w:tmpl w:val="B3148398"/>
    <w:lvl w:ilvl="0" w:tplc="5FEE9B50">
      <w:start w:val="1"/>
      <w:numFmt w:val="decimal"/>
      <w:lvlText w:val="G.%1."/>
      <w:lvlJc w:val="left"/>
      <w:pPr>
        <w:ind w:left="163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1" w15:restartNumberingAfterBreak="0">
    <w:nsid w:val="64402BA7"/>
    <w:multiLevelType w:val="hybridMultilevel"/>
    <w:tmpl w:val="431E461A"/>
    <w:lvl w:ilvl="0" w:tplc="9F2A7FC2">
      <w:start w:val="1"/>
      <w:numFmt w:val="upperLetter"/>
      <w:pStyle w:val="Ttulo2"/>
      <w:lvlText w:val="%1."/>
      <w:lvlJc w:val="left"/>
      <w:pPr>
        <w:ind w:left="928" w:hanging="360"/>
      </w:p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72" w15:restartNumberingAfterBreak="0">
    <w:nsid w:val="651E077B"/>
    <w:multiLevelType w:val="hybridMultilevel"/>
    <w:tmpl w:val="435A271E"/>
    <w:lvl w:ilvl="0" w:tplc="17A43CE8">
      <w:start w:val="1"/>
      <w:numFmt w:val="decimal"/>
      <w:lvlText w:val="B.%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73" w15:restartNumberingAfterBreak="0">
    <w:nsid w:val="65565CF2"/>
    <w:multiLevelType w:val="hybridMultilevel"/>
    <w:tmpl w:val="21B0DD16"/>
    <w:lvl w:ilvl="0" w:tplc="2480C4C6">
      <w:start w:val="1"/>
      <w:numFmt w:val="decimal"/>
      <w:lvlText w:val="D.6.%1"/>
      <w:lvlJc w:val="left"/>
      <w:pPr>
        <w:ind w:left="3284" w:hanging="360"/>
      </w:pPr>
      <w:rPr>
        <w:rFonts w:hint="default"/>
        <w:lang w:val="es-MX"/>
      </w:rPr>
    </w:lvl>
    <w:lvl w:ilvl="1" w:tplc="140A0019" w:tentative="1">
      <w:start w:val="1"/>
      <w:numFmt w:val="lowerLetter"/>
      <w:lvlText w:val="%2."/>
      <w:lvlJc w:val="left"/>
      <w:pPr>
        <w:ind w:left="4004" w:hanging="360"/>
      </w:pPr>
    </w:lvl>
    <w:lvl w:ilvl="2" w:tplc="140A001B" w:tentative="1">
      <w:start w:val="1"/>
      <w:numFmt w:val="lowerRoman"/>
      <w:lvlText w:val="%3."/>
      <w:lvlJc w:val="right"/>
      <w:pPr>
        <w:ind w:left="4724" w:hanging="180"/>
      </w:pPr>
    </w:lvl>
    <w:lvl w:ilvl="3" w:tplc="140A000F" w:tentative="1">
      <w:start w:val="1"/>
      <w:numFmt w:val="decimal"/>
      <w:lvlText w:val="%4."/>
      <w:lvlJc w:val="left"/>
      <w:pPr>
        <w:ind w:left="5444" w:hanging="360"/>
      </w:pPr>
    </w:lvl>
    <w:lvl w:ilvl="4" w:tplc="140A0019" w:tentative="1">
      <w:start w:val="1"/>
      <w:numFmt w:val="lowerLetter"/>
      <w:lvlText w:val="%5."/>
      <w:lvlJc w:val="left"/>
      <w:pPr>
        <w:ind w:left="6164" w:hanging="360"/>
      </w:pPr>
    </w:lvl>
    <w:lvl w:ilvl="5" w:tplc="140A001B" w:tentative="1">
      <w:start w:val="1"/>
      <w:numFmt w:val="lowerRoman"/>
      <w:lvlText w:val="%6."/>
      <w:lvlJc w:val="right"/>
      <w:pPr>
        <w:ind w:left="6884" w:hanging="180"/>
      </w:pPr>
    </w:lvl>
    <w:lvl w:ilvl="6" w:tplc="140A000F" w:tentative="1">
      <w:start w:val="1"/>
      <w:numFmt w:val="decimal"/>
      <w:lvlText w:val="%7."/>
      <w:lvlJc w:val="left"/>
      <w:pPr>
        <w:ind w:left="7604" w:hanging="360"/>
      </w:pPr>
    </w:lvl>
    <w:lvl w:ilvl="7" w:tplc="140A0019" w:tentative="1">
      <w:start w:val="1"/>
      <w:numFmt w:val="lowerLetter"/>
      <w:lvlText w:val="%8."/>
      <w:lvlJc w:val="left"/>
      <w:pPr>
        <w:ind w:left="8324" w:hanging="360"/>
      </w:pPr>
    </w:lvl>
    <w:lvl w:ilvl="8" w:tplc="140A001B" w:tentative="1">
      <w:start w:val="1"/>
      <w:numFmt w:val="lowerRoman"/>
      <w:lvlText w:val="%9."/>
      <w:lvlJc w:val="right"/>
      <w:pPr>
        <w:ind w:left="9044" w:hanging="180"/>
      </w:pPr>
    </w:lvl>
  </w:abstractNum>
  <w:abstractNum w:abstractNumId="74" w15:restartNumberingAfterBreak="0">
    <w:nsid w:val="65EA1A74"/>
    <w:multiLevelType w:val="hybridMultilevel"/>
    <w:tmpl w:val="2B2EF68E"/>
    <w:lvl w:ilvl="0" w:tplc="B3625B9A">
      <w:start w:val="1"/>
      <w:numFmt w:val="decimal"/>
      <w:lvlText w:val="A.1.%1."/>
      <w:lvlJc w:val="left"/>
      <w:pPr>
        <w:ind w:left="2564" w:hanging="360"/>
      </w:pPr>
      <w:rPr>
        <w:rFonts w:hint="default"/>
      </w:rPr>
    </w:lvl>
    <w:lvl w:ilvl="1" w:tplc="140A0019" w:tentative="1">
      <w:start w:val="1"/>
      <w:numFmt w:val="lowerLetter"/>
      <w:lvlText w:val="%2."/>
      <w:lvlJc w:val="left"/>
      <w:pPr>
        <w:ind w:left="3284" w:hanging="360"/>
      </w:pPr>
    </w:lvl>
    <w:lvl w:ilvl="2" w:tplc="140A001B" w:tentative="1">
      <w:start w:val="1"/>
      <w:numFmt w:val="lowerRoman"/>
      <w:lvlText w:val="%3."/>
      <w:lvlJc w:val="right"/>
      <w:pPr>
        <w:ind w:left="4004" w:hanging="180"/>
      </w:pPr>
    </w:lvl>
    <w:lvl w:ilvl="3" w:tplc="140A000F" w:tentative="1">
      <w:start w:val="1"/>
      <w:numFmt w:val="decimal"/>
      <w:lvlText w:val="%4."/>
      <w:lvlJc w:val="left"/>
      <w:pPr>
        <w:ind w:left="4724" w:hanging="360"/>
      </w:pPr>
    </w:lvl>
    <w:lvl w:ilvl="4" w:tplc="140A0019" w:tentative="1">
      <w:start w:val="1"/>
      <w:numFmt w:val="lowerLetter"/>
      <w:lvlText w:val="%5."/>
      <w:lvlJc w:val="left"/>
      <w:pPr>
        <w:ind w:left="5444" w:hanging="360"/>
      </w:pPr>
    </w:lvl>
    <w:lvl w:ilvl="5" w:tplc="140A001B" w:tentative="1">
      <w:start w:val="1"/>
      <w:numFmt w:val="lowerRoman"/>
      <w:lvlText w:val="%6."/>
      <w:lvlJc w:val="right"/>
      <w:pPr>
        <w:ind w:left="6164" w:hanging="180"/>
      </w:pPr>
    </w:lvl>
    <w:lvl w:ilvl="6" w:tplc="140A000F" w:tentative="1">
      <w:start w:val="1"/>
      <w:numFmt w:val="decimal"/>
      <w:lvlText w:val="%7."/>
      <w:lvlJc w:val="left"/>
      <w:pPr>
        <w:ind w:left="6884" w:hanging="360"/>
      </w:pPr>
    </w:lvl>
    <w:lvl w:ilvl="7" w:tplc="140A0019" w:tentative="1">
      <w:start w:val="1"/>
      <w:numFmt w:val="lowerLetter"/>
      <w:lvlText w:val="%8."/>
      <w:lvlJc w:val="left"/>
      <w:pPr>
        <w:ind w:left="7604" w:hanging="360"/>
      </w:pPr>
    </w:lvl>
    <w:lvl w:ilvl="8" w:tplc="140A001B" w:tentative="1">
      <w:start w:val="1"/>
      <w:numFmt w:val="lowerRoman"/>
      <w:lvlText w:val="%9."/>
      <w:lvlJc w:val="right"/>
      <w:pPr>
        <w:ind w:left="8324" w:hanging="180"/>
      </w:pPr>
    </w:lvl>
  </w:abstractNum>
  <w:abstractNum w:abstractNumId="75" w15:restartNumberingAfterBreak="0">
    <w:nsid w:val="66342309"/>
    <w:multiLevelType w:val="hybridMultilevel"/>
    <w:tmpl w:val="56DE160C"/>
    <w:lvl w:ilvl="0" w:tplc="95CADDD2">
      <w:start w:val="1"/>
      <w:numFmt w:val="decimal"/>
      <w:pStyle w:val="Ttulo6"/>
      <w:lvlText w:val="C.3.%1."/>
      <w:lvlJc w:val="left"/>
      <w:pPr>
        <w:ind w:left="2484" w:hanging="360"/>
      </w:pPr>
      <w:rPr>
        <w:rFonts w:hint="default"/>
        <w:b w:val="0"/>
      </w:rPr>
    </w:lvl>
    <w:lvl w:ilvl="1" w:tplc="140A0003" w:tentative="1">
      <w:start w:val="1"/>
      <w:numFmt w:val="bullet"/>
      <w:lvlText w:val="o"/>
      <w:lvlJc w:val="left"/>
      <w:pPr>
        <w:ind w:left="3204" w:hanging="360"/>
      </w:pPr>
      <w:rPr>
        <w:rFonts w:ascii="Courier New" w:hAnsi="Courier New" w:cs="Courier New" w:hint="default"/>
      </w:rPr>
    </w:lvl>
    <w:lvl w:ilvl="2" w:tplc="140A0005" w:tentative="1">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76" w15:restartNumberingAfterBreak="0">
    <w:nsid w:val="683E4F31"/>
    <w:multiLevelType w:val="hybridMultilevel"/>
    <w:tmpl w:val="A1585E9E"/>
    <w:lvl w:ilvl="0" w:tplc="140A0001">
      <w:start w:val="1"/>
      <w:numFmt w:val="bullet"/>
      <w:lvlText w:val=""/>
      <w:lvlJc w:val="left"/>
      <w:pPr>
        <w:ind w:left="3564" w:hanging="360"/>
      </w:pPr>
      <w:rPr>
        <w:rFonts w:ascii="Symbol" w:hAnsi="Symbol" w:hint="default"/>
      </w:rPr>
    </w:lvl>
    <w:lvl w:ilvl="1" w:tplc="140A0003" w:tentative="1">
      <w:start w:val="1"/>
      <w:numFmt w:val="bullet"/>
      <w:lvlText w:val="o"/>
      <w:lvlJc w:val="left"/>
      <w:pPr>
        <w:ind w:left="4284" w:hanging="360"/>
      </w:pPr>
      <w:rPr>
        <w:rFonts w:ascii="Courier New" w:hAnsi="Courier New" w:cs="Courier New" w:hint="default"/>
      </w:rPr>
    </w:lvl>
    <w:lvl w:ilvl="2" w:tplc="140A0005" w:tentative="1">
      <w:start w:val="1"/>
      <w:numFmt w:val="bullet"/>
      <w:lvlText w:val=""/>
      <w:lvlJc w:val="left"/>
      <w:pPr>
        <w:ind w:left="5004" w:hanging="360"/>
      </w:pPr>
      <w:rPr>
        <w:rFonts w:ascii="Wingdings" w:hAnsi="Wingdings" w:hint="default"/>
      </w:rPr>
    </w:lvl>
    <w:lvl w:ilvl="3" w:tplc="140A0001" w:tentative="1">
      <w:start w:val="1"/>
      <w:numFmt w:val="bullet"/>
      <w:lvlText w:val=""/>
      <w:lvlJc w:val="left"/>
      <w:pPr>
        <w:ind w:left="5724" w:hanging="360"/>
      </w:pPr>
      <w:rPr>
        <w:rFonts w:ascii="Symbol" w:hAnsi="Symbol" w:hint="default"/>
      </w:rPr>
    </w:lvl>
    <w:lvl w:ilvl="4" w:tplc="140A0003" w:tentative="1">
      <w:start w:val="1"/>
      <w:numFmt w:val="bullet"/>
      <w:lvlText w:val="o"/>
      <w:lvlJc w:val="left"/>
      <w:pPr>
        <w:ind w:left="6444" w:hanging="360"/>
      </w:pPr>
      <w:rPr>
        <w:rFonts w:ascii="Courier New" w:hAnsi="Courier New" w:cs="Courier New" w:hint="default"/>
      </w:rPr>
    </w:lvl>
    <w:lvl w:ilvl="5" w:tplc="140A0005" w:tentative="1">
      <w:start w:val="1"/>
      <w:numFmt w:val="bullet"/>
      <w:lvlText w:val=""/>
      <w:lvlJc w:val="left"/>
      <w:pPr>
        <w:ind w:left="7164" w:hanging="360"/>
      </w:pPr>
      <w:rPr>
        <w:rFonts w:ascii="Wingdings" w:hAnsi="Wingdings" w:hint="default"/>
      </w:rPr>
    </w:lvl>
    <w:lvl w:ilvl="6" w:tplc="140A0001" w:tentative="1">
      <w:start w:val="1"/>
      <w:numFmt w:val="bullet"/>
      <w:lvlText w:val=""/>
      <w:lvlJc w:val="left"/>
      <w:pPr>
        <w:ind w:left="7884" w:hanging="360"/>
      </w:pPr>
      <w:rPr>
        <w:rFonts w:ascii="Symbol" w:hAnsi="Symbol" w:hint="default"/>
      </w:rPr>
    </w:lvl>
    <w:lvl w:ilvl="7" w:tplc="140A0003" w:tentative="1">
      <w:start w:val="1"/>
      <w:numFmt w:val="bullet"/>
      <w:lvlText w:val="o"/>
      <w:lvlJc w:val="left"/>
      <w:pPr>
        <w:ind w:left="8604" w:hanging="360"/>
      </w:pPr>
      <w:rPr>
        <w:rFonts w:ascii="Courier New" w:hAnsi="Courier New" w:cs="Courier New" w:hint="default"/>
      </w:rPr>
    </w:lvl>
    <w:lvl w:ilvl="8" w:tplc="140A0005" w:tentative="1">
      <w:start w:val="1"/>
      <w:numFmt w:val="bullet"/>
      <w:lvlText w:val=""/>
      <w:lvlJc w:val="left"/>
      <w:pPr>
        <w:ind w:left="9324" w:hanging="360"/>
      </w:pPr>
      <w:rPr>
        <w:rFonts w:ascii="Wingdings" w:hAnsi="Wingdings" w:hint="default"/>
      </w:rPr>
    </w:lvl>
  </w:abstractNum>
  <w:abstractNum w:abstractNumId="77" w15:restartNumberingAfterBreak="0">
    <w:nsid w:val="6BE57ECA"/>
    <w:multiLevelType w:val="hybridMultilevel"/>
    <w:tmpl w:val="C38EA7D2"/>
    <w:lvl w:ilvl="0" w:tplc="140A0001">
      <w:start w:val="1"/>
      <w:numFmt w:val="bullet"/>
      <w:lvlText w:val=""/>
      <w:lvlJc w:val="left"/>
      <w:pPr>
        <w:ind w:left="2498" w:hanging="360"/>
      </w:pPr>
      <w:rPr>
        <w:rFonts w:ascii="Symbol" w:hAnsi="Symbol" w:hint="default"/>
      </w:rPr>
    </w:lvl>
    <w:lvl w:ilvl="1" w:tplc="140A0003" w:tentative="1">
      <w:start w:val="1"/>
      <w:numFmt w:val="bullet"/>
      <w:lvlText w:val="o"/>
      <w:lvlJc w:val="left"/>
      <w:pPr>
        <w:ind w:left="3218" w:hanging="360"/>
      </w:pPr>
      <w:rPr>
        <w:rFonts w:ascii="Courier New" w:hAnsi="Courier New" w:cs="Courier New" w:hint="default"/>
      </w:rPr>
    </w:lvl>
    <w:lvl w:ilvl="2" w:tplc="140A0005" w:tentative="1">
      <w:start w:val="1"/>
      <w:numFmt w:val="bullet"/>
      <w:lvlText w:val=""/>
      <w:lvlJc w:val="left"/>
      <w:pPr>
        <w:ind w:left="3938" w:hanging="360"/>
      </w:pPr>
      <w:rPr>
        <w:rFonts w:ascii="Wingdings" w:hAnsi="Wingdings" w:hint="default"/>
      </w:rPr>
    </w:lvl>
    <w:lvl w:ilvl="3" w:tplc="140A0001" w:tentative="1">
      <w:start w:val="1"/>
      <w:numFmt w:val="bullet"/>
      <w:lvlText w:val=""/>
      <w:lvlJc w:val="left"/>
      <w:pPr>
        <w:ind w:left="4658" w:hanging="360"/>
      </w:pPr>
      <w:rPr>
        <w:rFonts w:ascii="Symbol" w:hAnsi="Symbol" w:hint="default"/>
      </w:rPr>
    </w:lvl>
    <w:lvl w:ilvl="4" w:tplc="140A0003" w:tentative="1">
      <w:start w:val="1"/>
      <w:numFmt w:val="bullet"/>
      <w:lvlText w:val="o"/>
      <w:lvlJc w:val="left"/>
      <w:pPr>
        <w:ind w:left="5378" w:hanging="360"/>
      </w:pPr>
      <w:rPr>
        <w:rFonts w:ascii="Courier New" w:hAnsi="Courier New" w:cs="Courier New" w:hint="default"/>
      </w:rPr>
    </w:lvl>
    <w:lvl w:ilvl="5" w:tplc="140A0005" w:tentative="1">
      <w:start w:val="1"/>
      <w:numFmt w:val="bullet"/>
      <w:lvlText w:val=""/>
      <w:lvlJc w:val="left"/>
      <w:pPr>
        <w:ind w:left="6098" w:hanging="360"/>
      </w:pPr>
      <w:rPr>
        <w:rFonts w:ascii="Wingdings" w:hAnsi="Wingdings" w:hint="default"/>
      </w:rPr>
    </w:lvl>
    <w:lvl w:ilvl="6" w:tplc="140A0001" w:tentative="1">
      <w:start w:val="1"/>
      <w:numFmt w:val="bullet"/>
      <w:lvlText w:val=""/>
      <w:lvlJc w:val="left"/>
      <w:pPr>
        <w:ind w:left="6818" w:hanging="360"/>
      </w:pPr>
      <w:rPr>
        <w:rFonts w:ascii="Symbol" w:hAnsi="Symbol" w:hint="default"/>
      </w:rPr>
    </w:lvl>
    <w:lvl w:ilvl="7" w:tplc="140A0003" w:tentative="1">
      <w:start w:val="1"/>
      <w:numFmt w:val="bullet"/>
      <w:lvlText w:val="o"/>
      <w:lvlJc w:val="left"/>
      <w:pPr>
        <w:ind w:left="7538" w:hanging="360"/>
      </w:pPr>
      <w:rPr>
        <w:rFonts w:ascii="Courier New" w:hAnsi="Courier New" w:cs="Courier New" w:hint="default"/>
      </w:rPr>
    </w:lvl>
    <w:lvl w:ilvl="8" w:tplc="140A0005" w:tentative="1">
      <w:start w:val="1"/>
      <w:numFmt w:val="bullet"/>
      <w:lvlText w:val=""/>
      <w:lvlJc w:val="left"/>
      <w:pPr>
        <w:ind w:left="8258" w:hanging="360"/>
      </w:pPr>
      <w:rPr>
        <w:rFonts w:ascii="Wingdings" w:hAnsi="Wingdings" w:hint="default"/>
      </w:rPr>
    </w:lvl>
  </w:abstractNum>
  <w:abstractNum w:abstractNumId="78" w15:restartNumberingAfterBreak="0">
    <w:nsid w:val="6C5B3CD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C833C73"/>
    <w:multiLevelType w:val="hybridMultilevel"/>
    <w:tmpl w:val="BB683770"/>
    <w:lvl w:ilvl="0" w:tplc="04090017">
      <w:start w:val="1"/>
      <w:numFmt w:val="lowerLetter"/>
      <w:lvlText w:val="%1)"/>
      <w:lvlJc w:val="left"/>
      <w:pPr>
        <w:ind w:left="720" w:hanging="360"/>
      </w:pPr>
      <w:rPr>
        <w:rFonts w:hint="default"/>
        <w:b w:val="0"/>
        <w:i w:val="0"/>
        <w:sz w:val="20"/>
        <w:szCs w:val="20"/>
      </w:rPr>
    </w:lvl>
    <w:lvl w:ilvl="1" w:tplc="0D7EF38C">
      <w:start w:val="1"/>
      <w:numFmt w:val="lowerRoman"/>
      <w:lvlText w:val="%2."/>
      <w:lvlJc w:val="left"/>
      <w:pPr>
        <w:ind w:left="1440" w:hanging="360"/>
      </w:pPr>
      <w:rPr>
        <w:rFonts w:asciiTheme="minorHAnsi" w:hAnsiTheme="minorHAnsi" w:cstheme="minorBidi" w:hint="default"/>
        <w:sz w:val="22"/>
      </w:rPr>
    </w:lvl>
    <w:lvl w:ilvl="2" w:tplc="0409001B">
      <w:start w:val="1"/>
      <w:numFmt w:val="lowerRoman"/>
      <w:lvlText w:val="%3."/>
      <w:lvlJc w:val="right"/>
      <w:pPr>
        <w:ind w:left="2160" w:hanging="180"/>
      </w:pPr>
    </w:lvl>
    <w:lvl w:ilvl="3" w:tplc="031807E4">
      <w:start w:val="1"/>
      <w:numFmt w:val="upperLetter"/>
      <w:lvlText w:val="%4."/>
      <w:lvlJc w:val="left"/>
      <w:pPr>
        <w:ind w:left="644"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CE7A92"/>
    <w:multiLevelType w:val="hybridMultilevel"/>
    <w:tmpl w:val="FE0CD052"/>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81" w15:restartNumberingAfterBreak="0">
    <w:nsid w:val="708279A7"/>
    <w:multiLevelType w:val="hybridMultilevel"/>
    <w:tmpl w:val="D1682D18"/>
    <w:lvl w:ilvl="0" w:tplc="2ABE0C00">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82" w15:restartNumberingAfterBreak="0">
    <w:nsid w:val="7172659F"/>
    <w:multiLevelType w:val="hybridMultilevel"/>
    <w:tmpl w:val="F3FCC568"/>
    <w:lvl w:ilvl="0" w:tplc="0D7EF38C">
      <w:start w:val="1"/>
      <w:numFmt w:val="lowerRoman"/>
      <w:lvlText w:val="%1."/>
      <w:lvlJc w:val="left"/>
      <w:pPr>
        <w:ind w:left="1440" w:hanging="72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2F57B3C"/>
    <w:multiLevelType w:val="hybridMultilevel"/>
    <w:tmpl w:val="7826E310"/>
    <w:lvl w:ilvl="0" w:tplc="FD0AFAD2">
      <w:start w:val="1"/>
      <w:numFmt w:val="lowerLetter"/>
      <w:lvlText w:val="%1)"/>
      <w:lvlJc w:val="right"/>
      <w:pPr>
        <w:ind w:left="1440" w:hanging="360"/>
      </w:pPr>
      <w:rPr>
        <w:rFonts w:hint="default"/>
      </w:rPr>
    </w:lvl>
    <w:lvl w:ilvl="1" w:tplc="B440A9B0">
      <w:start w:val="1"/>
      <w:numFmt w:val="lowerLetter"/>
      <w:lvlText w:val="%2)"/>
      <w:lvlJc w:val="left"/>
      <w:pPr>
        <w:ind w:left="1440" w:hanging="360"/>
      </w:pPr>
      <w:rPr>
        <w:rFonts w:hint="default"/>
        <w:lang w:val="es-ES"/>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4" w15:restartNumberingAfterBreak="0">
    <w:nsid w:val="75076C88"/>
    <w:multiLevelType w:val="hybridMultilevel"/>
    <w:tmpl w:val="01E8A046"/>
    <w:lvl w:ilvl="0" w:tplc="3DBCC188">
      <w:start w:val="1"/>
      <w:numFmt w:val="decimal"/>
      <w:lvlText w:val="B.%1."/>
      <w:lvlJc w:val="left"/>
      <w:pPr>
        <w:ind w:left="1211"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5" w15:restartNumberingAfterBreak="0">
    <w:nsid w:val="763E6BBC"/>
    <w:multiLevelType w:val="hybridMultilevel"/>
    <w:tmpl w:val="A8240A9A"/>
    <w:lvl w:ilvl="0" w:tplc="44525DCA">
      <w:start w:val="1"/>
      <w:numFmt w:val="decimal"/>
      <w:lvlText w:val="E.%1"/>
      <w:lvlJc w:val="left"/>
      <w:pPr>
        <w:ind w:left="1636" w:hanging="360"/>
      </w:pPr>
      <w:rPr>
        <w:rFonts w:hint="default"/>
      </w:rPr>
    </w:lvl>
    <w:lvl w:ilvl="1" w:tplc="140A0019" w:tentative="1">
      <w:start w:val="1"/>
      <w:numFmt w:val="lowerLetter"/>
      <w:lvlText w:val="%2."/>
      <w:lvlJc w:val="left"/>
      <w:pPr>
        <w:ind w:left="2356" w:hanging="360"/>
      </w:pPr>
    </w:lvl>
    <w:lvl w:ilvl="2" w:tplc="140A001B" w:tentative="1">
      <w:start w:val="1"/>
      <w:numFmt w:val="lowerRoman"/>
      <w:lvlText w:val="%3."/>
      <w:lvlJc w:val="right"/>
      <w:pPr>
        <w:ind w:left="3076" w:hanging="180"/>
      </w:pPr>
    </w:lvl>
    <w:lvl w:ilvl="3" w:tplc="140A000F" w:tentative="1">
      <w:start w:val="1"/>
      <w:numFmt w:val="decimal"/>
      <w:lvlText w:val="%4."/>
      <w:lvlJc w:val="left"/>
      <w:pPr>
        <w:ind w:left="3796" w:hanging="360"/>
      </w:pPr>
    </w:lvl>
    <w:lvl w:ilvl="4" w:tplc="140A0019" w:tentative="1">
      <w:start w:val="1"/>
      <w:numFmt w:val="lowerLetter"/>
      <w:lvlText w:val="%5."/>
      <w:lvlJc w:val="left"/>
      <w:pPr>
        <w:ind w:left="4516" w:hanging="360"/>
      </w:pPr>
    </w:lvl>
    <w:lvl w:ilvl="5" w:tplc="140A001B" w:tentative="1">
      <w:start w:val="1"/>
      <w:numFmt w:val="lowerRoman"/>
      <w:lvlText w:val="%6."/>
      <w:lvlJc w:val="right"/>
      <w:pPr>
        <w:ind w:left="5236" w:hanging="180"/>
      </w:pPr>
    </w:lvl>
    <w:lvl w:ilvl="6" w:tplc="140A000F" w:tentative="1">
      <w:start w:val="1"/>
      <w:numFmt w:val="decimal"/>
      <w:lvlText w:val="%7."/>
      <w:lvlJc w:val="left"/>
      <w:pPr>
        <w:ind w:left="5956" w:hanging="360"/>
      </w:pPr>
    </w:lvl>
    <w:lvl w:ilvl="7" w:tplc="140A0019" w:tentative="1">
      <w:start w:val="1"/>
      <w:numFmt w:val="lowerLetter"/>
      <w:lvlText w:val="%8."/>
      <w:lvlJc w:val="left"/>
      <w:pPr>
        <w:ind w:left="6676" w:hanging="360"/>
      </w:pPr>
    </w:lvl>
    <w:lvl w:ilvl="8" w:tplc="140A001B" w:tentative="1">
      <w:start w:val="1"/>
      <w:numFmt w:val="lowerRoman"/>
      <w:lvlText w:val="%9."/>
      <w:lvlJc w:val="right"/>
      <w:pPr>
        <w:ind w:left="7396" w:hanging="180"/>
      </w:pPr>
    </w:lvl>
  </w:abstractNum>
  <w:abstractNum w:abstractNumId="86" w15:restartNumberingAfterBreak="0">
    <w:nsid w:val="769C045C"/>
    <w:multiLevelType w:val="hybridMultilevel"/>
    <w:tmpl w:val="8D36E728"/>
    <w:lvl w:ilvl="0" w:tplc="95985008">
      <w:start w:val="1"/>
      <w:numFmt w:val="decimal"/>
      <w:pStyle w:val="Ttulo4"/>
      <w:lvlText w:val="A.%1."/>
      <w:lvlJc w:val="left"/>
      <w:pPr>
        <w:ind w:left="1068" w:hanging="360"/>
      </w:pPr>
      <w:rPr>
        <w:rFonts w:hint="default"/>
        <w:b w:val="0"/>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7" w15:restartNumberingAfterBreak="0">
    <w:nsid w:val="779904D6"/>
    <w:multiLevelType w:val="hybridMultilevel"/>
    <w:tmpl w:val="0A50168A"/>
    <w:lvl w:ilvl="0" w:tplc="B0B6BB82">
      <w:start w:val="1"/>
      <w:numFmt w:val="decimal"/>
      <w:lvlText w:val="B.%1."/>
      <w:lvlJc w:val="left"/>
      <w:pPr>
        <w:ind w:left="1430" w:hanging="360"/>
      </w:pPr>
      <w:rPr>
        <w:rFonts w:hint="default"/>
      </w:rPr>
    </w:lvl>
    <w:lvl w:ilvl="1" w:tplc="140A0019" w:tentative="1">
      <w:start w:val="1"/>
      <w:numFmt w:val="lowerLetter"/>
      <w:lvlText w:val="%2."/>
      <w:lvlJc w:val="left"/>
      <w:pPr>
        <w:ind w:left="2150" w:hanging="360"/>
      </w:pPr>
    </w:lvl>
    <w:lvl w:ilvl="2" w:tplc="140A001B" w:tentative="1">
      <w:start w:val="1"/>
      <w:numFmt w:val="lowerRoman"/>
      <w:lvlText w:val="%3."/>
      <w:lvlJc w:val="right"/>
      <w:pPr>
        <w:ind w:left="2870" w:hanging="180"/>
      </w:pPr>
    </w:lvl>
    <w:lvl w:ilvl="3" w:tplc="140A000F" w:tentative="1">
      <w:start w:val="1"/>
      <w:numFmt w:val="decimal"/>
      <w:lvlText w:val="%4."/>
      <w:lvlJc w:val="left"/>
      <w:pPr>
        <w:ind w:left="3590" w:hanging="360"/>
      </w:pPr>
    </w:lvl>
    <w:lvl w:ilvl="4" w:tplc="140A0019" w:tentative="1">
      <w:start w:val="1"/>
      <w:numFmt w:val="lowerLetter"/>
      <w:lvlText w:val="%5."/>
      <w:lvlJc w:val="left"/>
      <w:pPr>
        <w:ind w:left="4310" w:hanging="360"/>
      </w:pPr>
    </w:lvl>
    <w:lvl w:ilvl="5" w:tplc="140A001B" w:tentative="1">
      <w:start w:val="1"/>
      <w:numFmt w:val="lowerRoman"/>
      <w:lvlText w:val="%6."/>
      <w:lvlJc w:val="right"/>
      <w:pPr>
        <w:ind w:left="5030" w:hanging="180"/>
      </w:pPr>
    </w:lvl>
    <w:lvl w:ilvl="6" w:tplc="140A000F" w:tentative="1">
      <w:start w:val="1"/>
      <w:numFmt w:val="decimal"/>
      <w:lvlText w:val="%7."/>
      <w:lvlJc w:val="left"/>
      <w:pPr>
        <w:ind w:left="5750" w:hanging="360"/>
      </w:pPr>
    </w:lvl>
    <w:lvl w:ilvl="7" w:tplc="140A0019" w:tentative="1">
      <w:start w:val="1"/>
      <w:numFmt w:val="lowerLetter"/>
      <w:lvlText w:val="%8."/>
      <w:lvlJc w:val="left"/>
      <w:pPr>
        <w:ind w:left="6470" w:hanging="360"/>
      </w:pPr>
    </w:lvl>
    <w:lvl w:ilvl="8" w:tplc="140A001B" w:tentative="1">
      <w:start w:val="1"/>
      <w:numFmt w:val="lowerRoman"/>
      <w:lvlText w:val="%9."/>
      <w:lvlJc w:val="right"/>
      <w:pPr>
        <w:ind w:left="7190" w:hanging="180"/>
      </w:pPr>
    </w:lvl>
  </w:abstractNum>
  <w:abstractNum w:abstractNumId="88" w15:restartNumberingAfterBreak="0">
    <w:nsid w:val="77C5093B"/>
    <w:multiLevelType w:val="hybridMultilevel"/>
    <w:tmpl w:val="FF9EE1D2"/>
    <w:lvl w:ilvl="0" w:tplc="51348D32">
      <w:start w:val="1"/>
      <w:numFmt w:val="decimal"/>
      <w:lvlText w:val="%1."/>
      <w:lvlJc w:val="left"/>
      <w:pPr>
        <w:ind w:left="360" w:hanging="360"/>
      </w:pPr>
      <w:rPr>
        <w:rFonts w:eastAsia="Calibri" w:hint="default"/>
        <w:b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9" w15:restartNumberingAfterBreak="0">
    <w:nsid w:val="79354707"/>
    <w:multiLevelType w:val="hybridMultilevel"/>
    <w:tmpl w:val="15ACBC9A"/>
    <w:lvl w:ilvl="0" w:tplc="98A461BC">
      <w:start w:val="1"/>
      <w:numFmt w:val="decimal"/>
      <w:lvlText w:val="%1."/>
      <w:lvlJc w:val="left"/>
      <w:pPr>
        <w:ind w:left="4653"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07C0A1FA">
      <w:start w:val="1"/>
      <w:numFmt w:val="lowerRoman"/>
      <w:lvlText w:val="%3."/>
      <w:lvlJc w:val="right"/>
      <w:pPr>
        <w:ind w:left="1031" w:hanging="180"/>
      </w:pPr>
      <w:rPr>
        <w:rFonts w:ascii="Verdana" w:eastAsia="Batang" w:hAnsi="Verdana" w:cstheme="minorBidi"/>
        <w:i w:val="0"/>
        <w:strike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0" w15:restartNumberingAfterBreak="0">
    <w:nsid w:val="799D57A0"/>
    <w:multiLevelType w:val="hybridMultilevel"/>
    <w:tmpl w:val="B3380970"/>
    <w:lvl w:ilvl="0" w:tplc="70DC4786">
      <w:start w:val="1"/>
      <w:numFmt w:val="lowerRoman"/>
      <w:lvlText w:val="%1."/>
      <w:lvlJc w:val="left"/>
      <w:pPr>
        <w:ind w:left="1308" w:hanging="360"/>
      </w:pPr>
      <w:rPr>
        <w:rFonts w:ascii="Verdana" w:eastAsia="Batang" w:hAnsi="Verdana" w:cs="Arial"/>
      </w:rPr>
    </w:lvl>
    <w:lvl w:ilvl="1" w:tplc="080A0003" w:tentative="1">
      <w:start w:val="1"/>
      <w:numFmt w:val="bullet"/>
      <w:lvlText w:val="o"/>
      <w:lvlJc w:val="left"/>
      <w:pPr>
        <w:ind w:left="2028" w:hanging="360"/>
      </w:pPr>
      <w:rPr>
        <w:rFonts w:ascii="Courier New" w:hAnsi="Courier New" w:cs="Courier New" w:hint="default"/>
      </w:rPr>
    </w:lvl>
    <w:lvl w:ilvl="2" w:tplc="080A0005">
      <w:start w:val="1"/>
      <w:numFmt w:val="bullet"/>
      <w:lvlText w:val=""/>
      <w:lvlJc w:val="left"/>
      <w:pPr>
        <w:ind w:left="2748" w:hanging="360"/>
      </w:pPr>
      <w:rPr>
        <w:rFonts w:ascii="Wingdings" w:hAnsi="Wingdings" w:hint="default"/>
      </w:rPr>
    </w:lvl>
    <w:lvl w:ilvl="3" w:tplc="080A0001" w:tentative="1">
      <w:start w:val="1"/>
      <w:numFmt w:val="bullet"/>
      <w:lvlText w:val=""/>
      <w:lvlJc w:val="left"/>
      <w:pPr>
        <w:ind w:left="3468" w:hanging="360"/>
      </w:pPr>
      <w:rPr>
        <w:rFonts w:ascii="Symbol" w:hAnsi="Symbol" w:hint="default"/>
      </w:rPr>
    </w:lvl>
    <w:lvl w:ilvl="4" w:tplc="080A0003" w:tentative="1">
      <w:start w:val="1"/>
      <w:numFmt w:val="bullet"/>
      <w:lvlText w:val="o"/>
      <w:lvlJc w:val="left"/>
      <w:pPr>
        <w:ind w:left="4188" w:hanging="360"/>
      </w:pPr>
      <w:rPr>
        <w:rFonts w:ascii="Courier New" w:hAnsi="Courier New" w:cs="Courier New" w:hint="default"/>
      </w:rPr>
    </w:lvl>
    <w:lvl w:ilvl="5" w:tplc="080A0005" w:tentative="1">
      <w:start w:val="1"/>
      <w:numFmt w:val="bullet"/>
      <w:lvlText w:val=""/>
      <w:lvlJc w:val="left"/>
      <w:pPr>
        <w:ind w:left="4908" w:hanging="360"/>
      </w:pPr>
      <w:rPr>
        <w:rFonts w:ascii="Wingdings" w:hAnsi="Wingdings" w:hint="default"/>
      </w:rPr>
    </w:lvl>
    <w:lvl w:ilvl="6" w:tplc="080A0001" w:tentative="1">
      <w:start w:val="1"/>
      <w:numFmt w:val="bullet"/>
      <w:lvlText w:val=""/>
      <w:lvlJc w:val="left"/>
      <w:pPr>
        <w:ind w:left="5628" w:hanging="360"/>
      </w:pPr>
      <w:rPr>
        <w:rFonts w:ascii="Symbol" w:hAnsi="Symbol" w:hint="default"/>
      </w:rPr>
    </w:lvl>
    <w:lvl w:ilvl="7" w:tplc="080A0003" w:tentative="1">
      <w:start w:val="1"/>
      <w:numFmt w:val="bullet"/>
      <w:lvlText w:val="o"/>
      <w:lvlJc w:val="left"/>
      <w:pPr>
        <w:ind w:left="6348" w:hanging="360"/>
      </w:pPr>
      <w:rPr>
        <w:rFonts w:ascii="Courier New" w:hAnsi="Courier New" w:cs="Courier New" w:hint="default"/>
      </w:rPr>
    </w:lvl>
    <w:lvl w:ilvl="8" w:tplc="080A0005" w:tentative="1">
      <w:start w:val="1"/>
      <w:numFmt w:val="bullet"/>
      <w:lvlText w:val=""/>
      <w:lvlJc w:val="left"/>
      <w:pPr>
        <w:ind w:left="7068" w:hanging="360"/>
      </w:pPr>
      <w:rPr>
        <w:rFonts w:ascii="Wingdings" w:hAnsi="Wingdings" w:hint="default"/>
      </w:rPr>
    </w:lvl>
  </w:abstractNum>
  <w:abstractNum w:abstractNumId="91" w15:restartNumberingAfterBreak="0">
    <w:nsid w:val="79B60017"/>
    <w:multiLevelType w:val="hybridMultilevel"/>
    <w:tmpl w:val="510250A8"/>
    <w:lvl w:ilvl="0" w:tplc="0E02E1D4">
      <w:start w:val="1"/>
      <w:numFmt w:val="decimal"/>
      <w:lvlText w:val="A.%1."/>
      <w:lvlJc w:val="left"/>
      <w:pPr>
        <w:ind w:left="1430" w:hanging="360"/>
      </w:pPr>
      <w:rPr>
        <w:rFonts w:hint="default"/>
      </w:rPr>
    </w:lvl>
    <w:lvl w:ilvl="1" w:tplc="140A0019" w:tentative="1">
      <w:start w:val="1"/>
      <w:numFmt w:val="lowerLetter"/>
      <w:lvlText w:val="%2."/>
      <w:lvlJc w:val="left"/>
      <w:pPr>
        <w:ind w:left="2150" w:hanging="360"/>
      </w:pPr>
    </w:lvl>
    <w:lvl w:ilvl="2" w:tplc="140A001B" w:tentative="1">
      <w:start w:val="1"/>
      <w:numFmt w:val="lowerRoman"/>
      <w:lvlText w:val="%3."/>
      <w:lvlJc w:val="right"/>
      <w:pPr>
        <w:ind w:left="2870" w:hanging="180"/>
      </w:pPr>
    </w:lvl>
    <w:lvl w:ilvl="3" w:tplc="140A000F" w:tentative="1">
      <w:start w:val="1"/>
      <w:numFmt w:val="decimal"/>
      <w:lvlText w:val="%4."/>
      <w:lvlJc w:val="left"/>
      <w:pPr>
        <w:ind w:left="3590" w:hanging="360"/>
      </w:pPr>
    </w:lvl>
    <w:lvl w:ilvl="4" w:tplc="140A0019" w:tentative="1">
      <w:start w:val="1"/>
      <w:numFmt w:val="lowerLetter"/>
      <w:lvlText w:val="%5."/>
      <w:lvlJc w:val="left"/>
      <w:pPr>
        <w:ind w:left="4310" w:hanging="360"/>
      </w:pPr>
    </w:lvl>
    <w:lvl w:ilvl="5" w:tplc="140A001B" w:tentative="1">
      <w:start w:val="1"/>
      <w:numFmt w:val="lowerRoman"/>
      <w:lvlText w:val="%6."/>
      <w:lvlJc w:val="right"/>
      <w:pPr>
        <w:ind w:left="5030" w:hanging="180"/>
      </w:pPr>
    </w:lvl>
    <w:lvl w:ilvl="6" w:tplc="140A000F" w:tentative="1">
      <w:start w:val="1"/>
      <w:numFmt w:val="decimal"/>
      <w:lvlText w:val="%7."/>
      <w:lvlJc w:val="left"/>
      <w:pPr>
        <w:ind w:left="5750" w:hanging="360"/>
      </w:pPr>
    </w:lvl>
    <w:lvl w:ilvl="7" w:tplc="140A0019" w:tentative="1">
      <w:start w:val="1"/>
      <w:numFmt w:val="lowerLetter"/>
      <w:lvlText w:val="%8."/>
      <w:lvlJc w:val="left"/>
      <w:pPr>
        <w:ind w:left="6470" w:hanging="360"/>
      </w:pPr>
    </w:lvl>
    <w:lvl w:ilvl="8" w:tplc="140A001B" w:tentative="1">
      <w:start w:val="1"/>
      <w:numFmt w:val="lowerRoman"/>
      <w:lvlText w:val="%9."/>
      <w:lvlJc w:val="right"/>
      <w:pPr>
        <w:ind w:left="7190" w:hanging="180"/>
      </w:pPr>
    </w:lvl>
  </w:abstractNum>
  <w:abstractNum w:abstractNumId="92" w15:restartNumberingAfterBreak="0">
    <w:nsid w:val="79D407F0"/>
    <w:multiLevelType w:val="hybridMultilevel"/>
    <w:tmpl w:val="40C41556"/>
    <w:lvl w:ilvl="0" w:tplc="0E02E1D4">
      <w:start w:val="1"/>
      <w:numFmt w:val="decimal"/>
      <w:lvlText w:val="A.%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93" w15:restartNumberingAfterBreak="0">
    <w:nsid w:val="7A9E5DD2"/>
    <w:multiLevelType w:val="hybridMultilevel"/>
    <w:tmpl w:val="60E22D76"/>
    <w:lvl w:ilvl="0" w:tplc="60341C4C">
      <w:start w:val="1"/>
      <w:numFmt w:val="decimal"/>
      <w:lvlText w:val="E.%1."/>
      <w:lvlJc w:val="left"/>
      <w:pPr>
        <w:ind w:left="1495" w:hanging="360"/>
      </w:pPr>
      <w:rPr>
        <w:rFonts w:hint="default"/>
        <w:i/>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4" w15:restartNumberingAfterBreak="0">
    <w:nsid w:val="7AA56FD4"/>
    <w:multiLevelType w:val="hybridMultilevel"/>
    <w:tmpl w:val="AD146CF8"/>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5" w15:restartNumberingAfterBreak="0">
    <w:nsid w:val="7B4D13BB"/>
    <w:multiLevelType w:val="hybridMultilevel"/>
    <w:tmpl w:val="263894AE"/>
    <w:lvl w:ilvl="0" w:tplc="04090019">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6" w15:restartNumberingAfterBreak="0">
    <w:nsid w:val="7CE64D32"/>
    <w:multiLevelType w:val="hybridMultilevel"/>
    <w:tmpl w:val="D33646F0"/>
    <w:lvl w:ilvl="0" w:tplc="C55A862A">
      <w:start w:val="1"/>
      <w:numFmt w:val="decimal"/>
      <w:lvlText w:val="%1."/>
      <w:lvlJc w:val="left"/>
      <w:pPr>
        <w:tabs>
          <w:tab w:val="num" w:pos="12305"/>
        </w:tabs>
        <w:ind w:left="0" w:firstLine="0"/>
      </w:pPr>
      <w:rPr>
        <w:rFonts w:ascii="Verdana" w:eastAsia="Times New Roman" w:hAnsi="Verdana"/>
        <w:b w:val="0"/>
        <w:bCs w:val="0"/>
        <w:i w:val="0"/>
        <w:iCs w:val="0"/>
        <w:strike w:val="0"/>
        <w:dstrike w:val="0"/>
        <w:color w:val="auto"/>
        <w:sz w:val="20"/>
        <w:szCs w:val="20"/>
        <w:u w:val="none"/>
        <w:effect w:val="none"/>
        <w:lang w:val="es-CR"/>
      </w:rPr>
    </w:lvl>
    <w:lvl w:ilvl="1" w:tplc="DB8AF32C">
      <w:start w:val="1"/>
      <w:numFmt w:val="lowerLetter"/>
      <w:lvlText w:val="%2)"/>
      <w:lvlJc w:val="left"/>
      <w:pPr>
        <w:tabs>
          <w:tab w:val="num" w:pos="1080"/>
        </w:tabs>
        <w:ind w:left="1080" w:hanging="360"/>
      </w:pPr>
      <w:rPr>
        <w:b w:val="0"/>
        <w:bCs w:val="0"/>
        <w:i w:val="0"/>
        <w:iCs w:val="0"/>
        <w:sz w:val="20"/>
        <w:szCs w:val="20"/>
      </w:rPr>
    </w:lvl>
    <w:lvl w:ilvl="2" w:tplc="0409001B">
      <w:start w:val="1"/>
      <w:numFmt w:val="lowerRoman"/>
      <w:lvlText w:val="%3."/>
      <w:lvlJc w:val="right"/>
      <w:pPr>
        <w:tabs>
          <w:tab w:val="num" w:pos="1530"/>
        </w:tabs>
        <w:ind w:left="1530" w:hanging="180"/>
      </w:pPr>
      <w:rPr>
        <w:b w:val="0"/>
        <w:strike w:val="0"/>
        <w:dstrike w:val="0"/>
        <w:u w:val="none"/>
        <w:effect w:val="none"/>
      </w:rPr>
    </w:lvl>
    <w:lvl w:ilvl="3" w:tplc="140A001B">
      <w:start w:val="1"/>
      <w:numFmt w:val="decimal"/>
      <w:lvlText w:val="%4."/>
      <w:lvlJc w:val="left"/>
      <w:pPr>
        <w:tabs>
          <w:tab w:val="num" w:pos="2880"/>
        </w:tabs>
        <w:ind w:left="2880" w:hanging="360"/>
      </w:pPr>
    </w:lvl>
    <w:lvl w:ilvl="4" w:tplc="04090019">
      <w:start w:val="1"/>
      <w:numFmt w:val="lowerLetter"/>
      <w:pStyle w:val="Ttulo61"/>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6"/>
  </w:num>
  <w:num w:numId="2">
    <w:abstractNumId w:val="90"/>
  </w:num>
  <w:num w:numId="3">
    <w:abstractNumId w:val="1"/>
  </w:num>
  <w:num w:numId="4">
    <w:abstractNumId w:val="89"/>
  </w:num>
  <w:num w:numId="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1"/>
  </w:num>
  <w:num w:numId="7">
    <w:abstractNumId w:val="41"/>
  </w:num>
  <w:num w:numId="8">
    <w:abstractNumId w:val="67"/>
  </w:num>
  <w:num w:numId="9">
    <w:abstractNumId w:val="20"/>
  </w:num>
  <w:num w:numId="10">
    <w:abstractNumId w:val="64"/>
  </w:num>
  <w:num w:numId="11">
    <w:abstractNumId w:val="82"/>
  </w:num>
  <w:num w:numId="12">
    <w:abstractNumId w:val="79"/>
  </w:num>
  <w:num w:numId="13">
    <w:abstractNumId w:val="95"/>
  </w:num>
  <w:num w:numId="14">
    <w:abstractNumId w:val="28"/>
  </w:num>
  <w:num w:numId="15">
    <w:abstractNumId w:val="38"/>
  </w:num>
  <w:num w:numId="16">
    <w:abstractNumId w:val="75"/>
  </w:num>
  <w:num w:numId="17">
    <w:abstractNumId w:val="49"/>
  </w:num>
  <w:num w:numId="18">
    <w:abstractNumId w:val="54"/>
  </w:num>
  <w:num w:numId="19">
    <w:abstractNumId w:val="19"/>
  </w:num>
  <w:num w:numId="20">
    <w:abstractNumId w:val="44"/>
  </w:num>
  <w:num w:numId="21">
    <w:abstractNumId w:val="25"/>
  </w:num>
  <w:num w:numId="22">
    <w:abstractNumId w:val="8"/>
  </w:num>
  <w:num w:numId="23">
    <w:abstractNumId w:val="40"/>
  </w:num>
  <w:num w:numId="24">
    <w:abstractNumId w:val="86"/>
  </w:num>
  <w:num w:numId="25">
    <w:abstractNumId w:val="30"/>
  </w:num>
  <w:num w:numId="26">
    <w:abstractNumId w:val="27"/>
  </w:num>
  <w:num w:numId="27">
    <w:abstractNumId w:val="37"/>
  </w:num>
  <w:num w:numId="28">
    <w:abstractNumId w:val="78"/>
  </w:num>
  <w:num w:numId="29">
    <w:abstractNumId w:val="10"/>
  </w:num>
  <w:num w:numId="30">
    <w:abstractNumId w:val="72"/>
  </w:num>
  <w:num w:numId="31">
    <w:abstractNumId w:val="48"/>
  </w:num>
  <w:num w:numId="32">
    <w:abstractNumId w:val="85"/>
  </w:num>
  <w:num w:numId="33">
    <w:abstractNumId w:val="57"/>
  </w:num>
  <w:num w:numId="34">
    <w:abstractNumId w:val="73"/>
  </w:num>
  <w:num w:numId="35">
    <w:abstractNumId w:val="22"/>
  </w:num>
  <w:num w:numId="36">
    <w:abstractNumId w:val="94"/>
  </w:num>
  <w:num w:numId="37">
    <w:abstractNumId w:val="84"/>
  </w:num>
  <w:num w:numId="38">
    <w:abstractNumId w:val="18"/>
  </w:num>
  <w:num w:numId="39">
    <w:abstractNumId w:val="91"/>
  </w:num>
  <w:num w:numId="40">
    <w:abstractNumId w:val="87"/>
  </w:num>
  <w:num w:numId="41">
    <w:abstractNumId w:val="34"/>
  </w:num>
  <w:num w:numId="42">
    <w:abstractNumId w:val="42"/>
  </w:num>
  <w:num w:numId="43">
    <w:abstractNumId w:val="92"/>
  </w:num>
  <w:num w:numId="44">
    <w:abstractNumId w:val="56"/>
  </w:num>
  <w:num w:numId="45">
    <w:abstractNumId w:val="60"/>
  </w:num>
  <w:num w:numId="46">
    <w:abstractNumId w:val="74"/>
  </w:num>
  <w:num w:numId="47">
    <w:abstractNumId w:val="13"/>
  </w:num>
  <w:num w:numId="48">
    <w:abstractNumId w:val="9"/>
  </w:num>
  <w:num w:numId="49">
    <w:abstractNumId w:val="33"/>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num>
  <w:num w:numId="52">
    <w:abstractNumId w:val="3"/>
  </w:num>
  <w:num w:numId="53">
    <w:abstractNumId w:val="58"/>
  </w:num>
  <w:num w:numId="54">
    <w:abstractNumId w:val="59"/>
  </w:num>
  <w:num w:numId="55">
    <w:abstractNumId w:val="93"/>
  </w:num>
  <w:num w:numId="56">
    <w:abstractNumId w:val="39"/>
  </w:num>
  <w:num w:numId="57">
    <w:abstractNumId w:val="31"/>
  </w:num>
  <w:num w:numId="58">
    <w:abstractNumId w:val="68"/>
  </w:num>
  <w:num w:numId="59">
    <w:abstractNumId w:val="43"/>
  </w:num>
  <w:num w:numId="60">
    <w:abstractNumId w:val="11"/>
  </w:num>
  <w:num w:numId="61">
    <w:abstractNumId w:val="53"/>
  </w:num>
  <w:num w:numId="62">
    <w:abstractNumId w:val="26"/>
  </w:num>
  <w:num w:numId="63">
    <w:abstractNumId w:val="77"/>
  </w:num>
  <w:num w:numId="64">
    <w:abstractNumId w:val="52"/>
  </w:num>
  <w:num w:numId="65">
    <w:abstractNumId w:val="16"/>
  </w:num>
  <w:num w:numId="66">
    <w:abstractNumId w:val="65"/>
  </w:num>
  <w:num w:numId="67">
    <w:abstractNumId w:val="47"/>
  </w:num>
  <w:num w:numId="68">
    <w:abstractNumId w:val="63"/>
  </w:num>
  <w:num w:numId="69">
    <w:abstractNumId w:val="15"/>
  </w:num>
  <w:num w:numId="70">
    <w:abstractNumId w:val="2"/>
  </w:num>
  <w:num w:numId="71">
    <w:abstractNumId w:val="12"/>
  </w:num>
  <w:num w:numId="72">
    <w:abstractNumId w:val="70"/>
  </w:num>
  <w:num w:numId="73">
    <w:abstractNumId w:val="17"/>
  </w:num>
  <w:num w:numId="74">
    <w:abstractNumId w:val="29"/>
  </w:num>
  <w:num w:numId="75">
    <w:abstractNumId w:val="76"/>
  </w:num>
  <w:num w:numId="76">
    <w:abstractNumId w:val="45"/>
  </w:num>
  <w:num w:numId="77">
    <w:abstractNumId w:val="83"/>
  </w:num>
  <w:num w:numId="78">
    <w:abstractNumId w:val="46"/>
  </w:num>
  <w:num w:numId="79">
    <w:abstractNumId w:val="14"/>
  </w:num>
  <w:num w:numId="80">
    <w:abstractNumId w:val="50"/>
  </w:num>
  <w:num w:numId="81">
    <w:abstractNumId w:val="5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num>
  <w:num w:numId="83">
    <w:abstractNumId w:val="69"/>
  </w:num>
  <w:num w:numId="84">
    <w:abstractNumId w:val="7"/>
  </w:num>
  <w:num w:numId="85">
    <w:abstractNumId w:val="88"/>
  </w:num>
  <w:num w:numId="86">
    <w:abstractNumId w:val="38"/>
  </w:num>
  <w:num w:numId="87">
    <w:abstractNumId w:val="5"/>
  </w:num>
  <w:num w:numId="88">
    <w:abstractNumId w:val="36"/>
  </w:num>
  <w:num w:numId="89">
    <w:abstractNumId w:val="36"/>
  </w:num>
  <w:num w:numId="90">
    <w:abstractNumId w:val="86"/>
  </w:num>
  <w:num w:numId="91">
    <w:abstractNumId w:val="36"/>
  </w:num>
  <w:num w:numId="92">
    <w:abstractNumId w:val="21"/>
  </w:num>
  <w:num w:numId="93">
    <w:abstractNumId w:val="6"/>
  </w:num>
  <w:num w:numId="94">
    <w:abstractNumId w:val="36"/>
  </w:num>
  <w:num w:numId="95">
    <w:abstractNumId w:val="80"/>
  </w:num>
  <w:num w:numId="96">
    <w:abstractNumId w:val="23"/>
  </w:num>
  <w:num w:numId="97">
    <w:abstractNumId w:val="36"/>
  </w:num>
  <w:num w:numId="98">
    <w:abstractNumId w:val="51"/>
  </w:num>
  <w:num w:numId="99">
    <w:abstractNumId w:val="86"/>
  </w:num>
  <w:num w:numId="100">
    <w:abstractNumId w:val="38"/>
  </w:num>
  <w:num w:numId="101">
    <w:abstractNumId w:val="66"/>
  </w:num>
  <w:num w:numId="102">
    <w:abstractNumId w:val="4"/>
  </w:num>
  <w:num w:numId="103">
    <w:abstractNumId w:val="35"/>
  </w:num>
  <w:num w:numId="10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4"/>
  </w:num>
  <w:num w:numId="106">
    <w:abstractNumId w:val="6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C85"/>
    <w:rsid w:val="000007E3"/>
    <w:rsid w:val="00003290"/>
    <w:rsid w:val="000036F7"/>
    <w:rsid w:val="000049CB"/>
    <w:rsid w:val="00005A57"/>
    <w:rsid w:val="00005DE7"/>
    <w:rsid w:val="000062F0"/>
    <w:rsid w:val="00006E26"/>
    <w:rsid w:val="00007A5D"/>
    <w:rsid w:val="000105E6"/>
    <w:rsid w:val="00014477"/>
    <w:rsid w:val="00015B51"/>
    <w:rsid w:val="0001796F"/>
    <w:rsid w:val="00020A8B"/>
    <w:rsid w:val="00021452"/>
    <w:rsid w:val="0002265E"/>
    <w:rsid w:val="00022B8E"/>
    <w:rsid w:val="00024D8E"/>
    <w:rsid w:val="0002518D"/>
    <w:rsid w:val="0002587C"/>
    <w:rsid w:val="00026636"/>
    <w:rsid w:val="000307AE"/>
    <w:rsid w:val="000318C4"/>
    <w:rsid w:val="00032F3F"/>
    <w:rsid w:val="000335C9"/>
    <w:rsid w:val="000345A0"/>
    <w:rsid w:val="000346C2"/>
    <w:rsid w:val="00034B1F"/>
    <w:rsid w:val="00034B29"/>
    <w:rsid w:val="000350D6"/>
    <w:rsid w:val="0003686E"/>
    <w:rsid w:val="00037841"/>
    <w:rsid w:val="00041675"/>
    <w:rsid w:val="000420E5"/>
    <w:rsid w:val="000432E3"/>
    <w:rsid w:val="000453B1"/>
    <w:rsid w:val="00045AE8"/>
    <w:rsid w:val="000462CF"/>
    <w:rsid w:val="000466B6"/>
    <w:rsid w:val="00046BD2"/>
    <w:rsid w:val="00050530"/>
    <w:rsid w:val="00052024"/>
    <w:rsid w:val="00053023"/>
    <w:rsid w:val="00053F1C"/>
    <w:rsid w:val="00053F4C"/>
    <w:rsid w:val="00054D64"/>
    <w:rsid w:val="00055B15"/>
    <w:rsid w:val="000565DD"/>
    <w:rsid w:val="00057828"/>
    <w:rsid w:val="00057A09"/>
    <w:rsid w:val="00057CCE"/>
    <w:rsid w:val="000607BA"/>
    <w:rsid w:val="00060AB0"/>
    <w:rsid w:val="00061E19"/>
    <w:rsid w:val="00061E75"/>
    <w:rsid w:val="00063FA2"/>
    <w:rsid w:val="00066D10"/>
    <w:rsid w:val="00067D6D"/>
    <w:rsid w:val="000706B7"/>
    <w:rsid w:val="0007702A"/>
    <w:rsid w:val="00077133"/>
    <w:rsid w:val="00077AEB"/>
    <w:rsid w:val="00080FFF"/>
    <w:rsid w:val="0008123D"/>
    <w:rsid w:val="00082B3D"/>
    <w:rsid w:val="00082E4D"/>
    <w:rsid w:val="00083228"/>
    <w:rsid w:val="00083819"/>
    <w:rsid w:val="0008384F"/>
    <w:rsid w:val="0008548C"/>
    <w:rsid w:val="0008630C"/>
    <w:rsid w:val="000865B5"/>
    <w:rsid w:val="00087E4B"/>
    <w:rsid w:val="00090B6D"/>
    <w:rsid w:val="00091BD5"/>
    <w:rsid w:val="00092766"/>
    <w:rsid w:val="00096435"/>
    <w:rsid w:val="00096853"/>
    <w:rsid w:val="000A04B5"/>
    <w:rsid w:val="000A0ACE"/>
    <w:rsid w:val="000A226E"/>
    <w:rsid w:val="000A235F"/>
    <w:rsid w:val="000A2F6A"/>
    <w:rsid w:val="000A3040"/>
    <w:rsid w:val="000A4090"/>
    <w:rsid w:val="000A5E03"/>
    <w:rsid w:val="000A5FEA"/>
    <w:rsid w:val="000B07B9"/>
    <w:rsid w:val="000B3AC2"/>
    <w:rsid w:val="000B3C2F"/>
    <w:rsid w:val="000B4870"/>
    <w:rsid w:val="000B50A8"/>
    <w:rsid w:val="000B6C5B"/>
    <w:rsid w:val="000B7350"/>
    <w:rsid w:val="000B786A"/>
    <w:rsid w:val="000C30AB"/>
    <w:rsid w:val="000C3F49"/>
    <w:rsid w:val="000C553D"/>
    <w:rsid w:val="000C6D8F"/>
    <w:rsid w:val="000C711D"/>
    <w:rsid w:val="000C7423"/>
    <w:rsid w:val="000C7C51"/>
    <w:rsid w:val="000D193C"/>
    <w:rsid w:val="000D28DD"/>
    <w:rsid w:val="000D2ABF"/>
    <w:rsid w:val="000D3ED4"/>
    <w:rsid w:val="000D415B"/>
    <w:rsid w:val="000D4A6F"/>
    <w:rsid w:val="000D4CCF"/>
    <w:rsid w:val="000D5297"/>
    <w:rsid w:val="000D5D08"/>
    <w:rsid w:val="000D64B9"/>
    <w:rsid w:val="000D65FE"/>
    <w:rsid w:val="000E0384"/>
    <w:rsid w:val="000E1073"/>
    <w:rsid w:val="000E1FB7"/>
    <w:rsid w:val="000E25B3"/>
    <w:rsid w:val="000E4E05"/>
    <w:rsid w:val="000E5226"/>
    <w:rsid w:val="000F0417"/>
    <w:rsid w:val="000F154F"/>
    <w:rsid w:val="000F1F65"/>
    <w:rsid w:val="000F2A48"/>
    <w:rsid w:val="000F7594"/>
    <w:rsid w:val="00100119"/>
    <w:rsid w:val="0010164E"/>
    <w:rsid w:val="00101889"/>
    <w:rsid w:val="00105D06"/>
    <w:rsid w:val="00106B9A"/>
    <w:rsid w:val="00106C3E"/>
    <w:rsid w:val="00110053"/>
    <w:rsid w:val="001105C4"/>
    <w:rsid w:val="00112371"/>
    <w:rsid w:val="001131AA"/>
    <w:rsid w:val="0011339B"/>
    <w:rsid w:val="00115A2A"/>
    <w:rsid w:val="0011708C"/>
    <w:rsid w:val="001174BE"/>
    <w:rsid w:val="0011764F"/>
    <w:rsid w:val="0012282C"/>
    <w:rsid w:val="0012321F"/>
    <w:rsid w:val="0012402B"/>
    <w:rsid w:val="00125E41"/>
    <w:rsid w:val="001263C1"/>
    <w:rsid w:val="001275D4"/>
    <w:rsid w:val="00127E81"/>
    <w:rsid w:val="001307F1"/>
    <w:rsid w:val="001319AF"/>
    <w:rsid w:val="00131AE6"/>
    <w:rsid w:val="00131EB5"/>
    <w:rsid w:val="00132081"/>
    <w:rsid w:val="001343C1"/>
    <w:rsid w:val="00134B64"/>
    <w:rsid w:val="00134C66"/>
    <w:rsid w:val="00135675"/>
    <w:rsid w:val="00136B09"/>
    <w:rsid w:val="00137905"/>
    <w:rsid w:val="0014298E"/>
    <w:rsid w:val="0014352D"/>
    <w:rsid w:val="001442FB"/>
    <w:rsid w:val="00145DF2"/>
    <w:rsid w:val="00146958"/>
    <w:rsid w:val="00152C32"/>
    <w:rsid w:val="00156334"/>
    <w:rsid w:val="001563AF"/>
    <w:rsid w:val="001572E1"/>
    <w:rsid w:val="0016126E"/>
    <w:rsid w:val="001624FC"/>
    <w:rsid w:val="0016250B"/>
    <w:rsid w:val="0016671F"/>
    <w:rsid w:val="00167B86"/>
    <w:rsid w:val="001709FA"/>
    <w:rsid w:val="00171268"/>
    <w:rsid w:val="0017366D"/>
    <w:rsid w:val="0017368A"/>
    <w:rsid w:val="00177407"/>
    <w:rsid w:val="0017783E"/>
    <w:rsid w:val="001808FE"/>
    <w:rsid w:val="00183A31"/>
    <w:rsid w:val="00184C97"/>
    <w:rsid w:val="00184D0A"/>
    <w:rsid w:val="00185B09"/>
    <w:rsid w:val="00186059"/>
    <w:rsid w:val="00186D9D"/>
    <w:rsid w:val="00187DB9"/>
    <w:rsid w:val="001903B5"/>
    <w:rsid w:val="001909CB"/>
    <w:rsid w:val="0019184C"/>
    <w:rsid w:val="00192673"/>
    <w:rsid w:val="00192C1D"/>
    <w:rsid w:val="00192F63"/>
    <w:rsid w:val="0019425E"/>
    <w:rsid w:val="001943F1"/>
    <w:rsid w:val="001957CE"/>
    <w:rsid w:val="00196AE6"/>
    <w:rsid w:val="00197186"/>
    <w:rsid w:val="001A04CC"/>
    <w:rsid w:val="001A0740"/>
    <w:rsid w:val="001A11AB"/>
    <w:rsid w:val="001A13A8"/>
    <w:rsid w:val="001A297D"/>
    <w:rsid w:val="001A2C6D"/>
    <w:rsid w:val="001A5098"/>
    <w:rsid w:val="001A7B52"/>
    <w:rsid w:val="001B0060"/>
    <w:rsid w:val="001B06A1"/>
    <w:rsid w:val="001B0C3E"/>
    <w:rsid w:val="001B17CF"/>
    <w:rsid w:val="001B256F"/>
    <w:rsid w:val="001B2ED9"/>
    <w:rsid w:val="001B33D3"/>
    <w:rsid w:val="001B374F"/>
    <w:rsid w:val="001B59AC"/>
    <w:rsid w:val="001B5EC0"/>
    <w:rsid w:val="001B7A06"/>
    <w:rsid w:val="001C1355"/>
    <w:rsid w:val="001C3A6C"/>
    <w:rsid w:val="001C5F0B"/>
    <w:rsid w:val="001C67D5"/>
    <w:rsid w:val="001C7B22"/>
    <w:rsid w:val="001D146F"/>
    <w:rsid w:val="001D1E2A"/>
    <w:rsid w:val="001D3C02"/>
    <w:rsid w:val="001D4309"/>
    <w:rsid w:val="001D4D65"/>
    <w:rsid w:val="001D68AC"/>
    <w:rsid w:val="001D7288"/>
    <w:rsid w:val="001D7FFE"/>
    <w:rsid w:val="001E0417"/>
    <w:rsid w:val="001E067D"/>
    <w:rsid w:val="001E178C"/>
    <w:rsid w:val="001E18B7"/>
    <w:rsid w:val="001E2A34"/>
    <w:rsid w:val="001E2E23"/>
    <w:rsid w:val="001E5246"/>
    <w:rsid w:val="001E5A5A"/>
    <w:rsid w:val="001E6062"/>
    <w:rsid w:val="001E61BF"/>
    <w:rsid w:val="001E65BA"/>
    <w:rsid w:val="001E6B07"/>
    <w:rsid w:val="001E7094"/>
    <w:rsid w:val="001F1E18"/>
    <w:rsid w:val="001F4191"/>
    <w:rsid w:val="001F4827"/>
    <w:rsid w:val="001F49E1"/>
    <w:rsid w:val="001F638E"/>
    <w:rsid w:val="001F7300"/>
    <w:rsid w:val="00200ADC"/>
    <w:rsid w:val="0020172F"/>
    <w:rsid w:val="00201EE6"/>
    <w:rsid w:val="0020223F"/>
    <w:rsid w:val="0020237E"/>
    <w:rsid w:val="00203661"/>
    <w:rsid w:val="00203B7E"/>
    <w:rsid w:val="0020483A"/>
    <w:rsid w:val="00204CE7"/>
    <w:rsid w:val="002055DB"/>
    <w:rsid w:val="00205AF7"/>
    <w:rsid w:val="002062AA"/>
    <w:rsid w:val="00206971"/>
    <w:rsid w:val="00206E30"/>
    <w:rsid w:val="00207613"/>
    <w:rsid w:val="00207E77"/>
    <w:rsid w:val="00210D50"/>
    <w:rsid w:val="0021124B"/>
    <w:rsid w:val="00212824"/>
    <w:rsid w:val="002132C5"/>
    <w:rsid w:val="00213495"/>
    <w:rsid w:val="002170A3"/>
    <w:rsid w:val="002170BC"/>
    <w:rsid w:val="00217B45"/>
    <w:rsid w:val="002200ED"/>
    <w:rsid w:val="00220312"/>
    <w:rsid w:val="00220A4D"/>
    <w:rsid w:val="00223E66"/>
    <w:rsid w:val="00226174"/>
    <w:rsid w:val="002265E8"/>
    <w:rsid w:val="00226D1A"/>
    <w:rsid w:val="00227260"/>
    <w:rsid w:val="00230457"/>
    <w:rsid w:val="0023203B"/>
    <w:rsid w:val="00232A84"/>
    <w:rsid w:val="00232DD6"/>
    <w:rsid w:val="00233451"/>
    <w:rsid w:val="0023693D"/>
    <w:rsid w:val="00236950"/>
    <w:rsid w:val="002377AC"/>
    <w:rsid w:val="00237F3A"/>
    <w:rsid w:val="00240DAE"/>
    <w:rsid w:val="00241E8D"/>
    <w:rsid w:val="00242D94"/>
    <w:rsid w:val="00243654"/>
    <w:rsid w:val="00243E91"/>
    <w:rsid w:val="00244830"/>
    <w:rsid w:val="00246AFD"/>
    <w:rsid w:val="00250D03"/>
    <w:rsid w:val="0025229E"/>
    <w:rsid w:val="00254046"/>
    <w:rsid w:val="00254265"/>
    <w:rsid w:val="00256B09"/>
    <w:rsid w:val="00262247"/>
    <w:rsid w:val="002628DF"/>
    <w:rsid w:val="00262B04"/>
    <w:rsid w:val="00262F3F"/>
    <w:rsid w:val="002632D2"/>
    <w:rsid w:val="002633C8"/>
    <w:rsid w:val="002637F4"/>
    <w:rsid w:val="002645FA"/>
    <w:rsid w:val="0026524E"/>
    <w:rsid w:val="00265E6C"/>
    <w:rsid w:val="00271D21"/>
    <w:rsid w:val="00271FD4"/>
    <w:rsid w:val="002729EC"/>
    <w:rsid w:val="002769AC"/>
    <w:rsid w:val="00282B69"/>
    <w:rsid w:val="00282C14"/>
    <w:rsid w:val="00282F29"/>
    <w:rsid w:val="00283EEF"/>
    <w:rsid w:val="00284044"/>
    <w:rsid w:val="002861AF"/>
    <w:rsid w:val="002861FA"/>
    <w:rsid w:val="00286809"/>
    <w:rsid w:val="00287122"/>
    <w:rsid w:val="00287938"/>
    <w:rsid w:val="00287E62"/>
    <w:rsid w:val="00290903"/>
    <w:rsid w:val="00290969"/>
    <w:rsid w:val="00291378"/>
    <w:rsid w:val="00291637"/>
    <w:rsid w:val="0029325A"/>
    <w:rsid w:val="0029469F"/>
    <w:rsid w:val="00295DD9"/>
    <w:rsid w:val="00297478"/>
    <w:rsid w:val="002A013F"/>
    <w:rsid w:val="002A1A81"/>
    <w:rsid w:val="002A3811"/>
    <w:rsid w:val="002A632F"/>
    <w:rsid w:val="002A660E"/>
    <w:rsid w:val="002A756E"/>
    <w:rsid w:val="002B2012"/>
    <w:rsid w:val="002B311B"/>
    <w:rsid w:val="002B483F"/>
    <w:rsid w:val="002B4A82"/>
    <w:rsid w:val="002B53FB"/>
    <w:rsid w:val="002B59E2"/>
    <w:rsid w:val="002B6BDC"/>
    <w:rsid w:val="002B6F4E"/>
    <w:rsid w:val="002B79B8"/>
    <w:rsid w:val="002C1D99"/>
    <w:rsid w:val="002C27AA"/>
    <w:rsid w:val="002C30E8"/>
    <w:rsid w:val="002C389C"/>
    <w:rsid w:val="002C38CA"/>
    <w:rsid w:val="002C3F46"/>
    <w:rsid w:val="002C462C"/>
    <w:rsid w:val="002C6F7A"/>
    <w:rsid w:val="002D0ACD"/>
    <w:rsid w:val="002D1825"/>
    <w:rsid w:val="002D42C2"/>
    <w:rsid w:val="002D4C52"/>
    <w:rsid w:val="002D5ADA"/>
    <w:rsid w:val="002D68EF"/>
    <w:rsid w:val="002D7CBA"/>
    <w:rsid w:val="002E1C85"/>
    <w:rsid w:val="002E2B86"/>
    <w:rsid w:val="002E3298"/>
    <w:rsid w:val="002E48E0"/>
    <w:rsid w:val="002E5A6D"/>
    <w:rsid w:val="002E6AD1"/>
    <w:rsid w:val="002E7B1B"/>
    <w:rsid w:val="002F099F"/>
    <w:rsid w:val="002F1A1F"/>
    <w:rsid w:val="002F2492"/>
    <w:rsid w:val="002F2754"/>
    <w:rsid w:val="002F39DD"/>
    <w:rsid w:val="002F5DEC"/>
    <w:rsid w:val="0030011D"/>
    <w:rsid w:val="003003CE"/>
    <w:rsid w:val="0030040B"/>
    <w:rsid w:val="003027E1"/>
    <w:rsid w:val="00302BF4"/>
    <w:rsid w:val="00303467"/>
    <w:rsid w:val="00303824"/>
    <w:rsid w:val="00305DA9"/>
    <w:rsid w:val="0030739A"/>
    <w:rsid w:val="003077AF"/>
    <w:rsid w:val="00312F00"/>
    <w:rsid w:val="00314BC3"/>
    <w:rsid w:val="0031586F"/>
    <w:rsid w:val="00316934"/>
    <w:rsid w:val="003217CE"/>
    <w:rsid w:val="00321DA9"/>
    <w:rsid w:val="00322F46"/>
    <w:rsid w:val="003234EF"/>
    <w:rsid w:val="0032524E"/>
    <w:rsid w:val="00330086"/>
    <w:rsid w:val="00331AD3"/>
    <w:rsid w:val="00332E84"/>
    <w:rsid w:val="003335FE"/>
    <w:rsid w:val="003345B9"/>
    <w:rsid w:val="00334A32"/>
    <w:rsid w:val="00334B7D"/>
    <w:rsid w:val="00334EF9"/>
    <w:rsid w:val="003353EB"/>
    <w:rsid w:val="003354A2"/>
    <w:rsid w:val="0033635D"/>
    <w:rsid w:val="003402A1"/>
    <w:rsid w:val="00341559"/>
    <w:rsid w:val="00341FEA"/>
    <w:rsid w:val="003427EF"/>
    <w:rsid w:val="003452F8"/>
    <w:rsid w:val="00345EAE"/>
    <w:rsid w:val="00347E4D"/>
    <w:rsid w:val="00350912"/>
    <w:rsid w:val="00350979"/>
    <w:rsid w:val="00352CF0"/>
    <w:rsid w:val="00354BD8"/>
    <w:rsid w:val="00354EDD"/>
    <w:rsid w:val="003550BF"/>
    <w:rsid w:val="003552DF"/>
    <w:rsid w:val="00356150"/>
    <w:rsid w:val="003564A3"/>
    <w:rsid w:val="00357EFC"/>
    <w:rsid w:val="0036073A"/>
    <w:rsid w:val="0036099E"/>
    <w:rsid w:val="00361707"/>
    <w:rsid w:val="00362FEE"/>
    <w:rsid w:val="003641BE"/>
    <w:rsid w:val="00366A77"/>
    <w:rsid w:val="00367A28"/>
    <w:rsid w:val="00367CEB"/>
    <w:rsid w:val="00370F40"/>
    <w:rsid w:val="003728EA"/>
    <w:rsid w:val="003729C6"/>
    <w:rsid w:val="003733EF"/>
    <w:rsid w:val="00373698"/>
    <w:rsid w:val="0037541A"/>
    <w:rsid w:val="00375E37"/>
    <w:rsid w:val="00380DD7"/>
    <w:rsid w:val="003824B6"/>
    <w:rsid w:val="0038505A"/>
    <w:rsid w:val="00386077"/>
    <w:rsid w:val="003860C9"/>
    <w:rsid w:val="00392F9A"/>
    <w:rsid w:val="00393F53"/>
    <w:rsid w:val="00395960"/>
    <w:rsid w:val="00396ABC"/>
    <w:rsid w:val="003A0065"/>
    <w:rsid w:val="003A3392"/>
    <w:rsid w:val="003A3762"/>
    <w:rsid w:val="003A4569"/>
    <w:rsid w:val="003A59D0"/>
    <w:rsid w:val="003A5E7E"/>
    <w:rsid w:val="003A625D"/>
    <w:rsid w:val="003A62FD"/>
    <w:rsid w:val="003A72EE"/>
    <w:rsid w:val="003A72F8"/>
    <w:rsid w:val="003A79E0"/>
    <w:rsid w:val="003A7ED5"/>
    <w:rsid w:val="003A7F45"/>
    <w:rsid w:val="003B176D"/>
    <w:rsid w:val="003B1886"/>
    <w:rsid w:val="003B1A87"/>
    <w:rsid w:val="003B2BCE"/>
    <w:rsid w:val="003B4EBE"/>
    <w:rsid w:val="003B7FC3"/>
    <w:rsid w:val="003C00B3"/>
    <w:rsid w:val="003C0348"/>
    <w:rsid w:val="003C03DA"/>
    <w:rsid w:val="003C1180"/>
    <w:rsid w:val="003C2E5D"/>
    <w:rsid w:val="003C68CF"/>
    <w:rsid w:val="003C71F3"/>
    <w:rsid w:val="003D17F0"/>
    <w:rsid w:val="003D4976"/>
    <w:rsid w:val="003D5316"/>
    <w:rsid w:val="003D6046"/>
    <w:rsid w:val="003E095C"/>
    <w:rsid w:val="003E09F4"/>
    <w:rsid w:val="003E38D9"/>
    <w:rsid w:val="003E4C66"/>
    <w:rsid w:val="003E4C7F"/>
    <w:rsid w:val="003E54AA"/>
    <w:rsid w:val="003E5ED2"/>
    <w:rsid w:val="003E69F6"/>
    <w:rsid w:val="003F2A04"/>
    <w:rsid w:val="003F6560"/>
    <w:rsid w:val="003F67EE"/>
    <w:rsid w:val="003F738B"/>
    <w:rsid w:val="003F7726"/>
    <w:rsid w:val="00400310"/>
    <w:rsid w:val="0040254F"/>
    <w:rsid w:val="004032E8"/>
    <w:rsid w:val="004062F3"/>
    <w:rsid w:val="004062FC"/>
    <w:rsid w:val="004065FA"/>
    <w:rsid w:val="00407040"/>
    <w:rsid w:val="00410340"/>
    <w:rsid w:val="00410D1B"/>
    <w:rsid w:val="00412A10"/>
    <w:rsid w:val="00414684"/>
    <w:rsid w:val="004147A0"/>
    <w:rsid w:val="00414F30"/>
    <w:rsid w:val="004150DE"/>
    <w:rsid w:val="0041528D"/>
    <w:rsid w:val="00415785"/>
    <w:rsid w:val="00416548"/>
    <w:rsid w:val="00416671"/>
    <w:rsid w:val="00416AA2"/>
    <w:rsid w:val="0041743B"/>
    <w:rsid w:val="004176F0"/>
    <w:rsid w:val="004216B5"/>
    <w:rsid w:val="00422E0F"/>
    <w:rsid w:val="00423288"/>
    <w:rsid w:val="004234EB"/>
    <w:rsid w:val="00423761"/>
    <w:rsid w:val="00424B30"/>
    <w:rsid w:val="004258E0"/>
    <w:rsid w:val="00425B6A"/>
    <w:rsid w:val="00425BC3"/>
    <w:rsid w:val="00425CC0"/>
    <w:rsid w:val="00426926"/>
    <w:rsid w:val="004269BE"/>
    <w:rsid w:val="00431BA4"/>
    <w:rsid w:val="00432ABC"/>
    <w:rsid w:val="00432D5A"/>
    <w:rsid w:val="00435991"/>
    <w:rsid w:val="00436533"/>
    <w:rsid w:val="00436BA5"/>
    <w:rsid w:val="00437446"/>
    <w:rsid w:val="00437EE1"/>
    <w:rsid w:val="00440154"/>
    <w:rsid w:val="00441064"/>
    <w:rsid w:val="0044158A"/>
    <w:rsid w:val="00441E12"/>
    <w:rsid w:val="0044256C"/>
    <w:rsid w:val="00442DAD"/>
    <w:rsid w:val="0044443F"/>
    <w:rsid w:val="004454AD"/>
    <w:rsid w:val="00446E40"/>
    <w:rsid w:val="00451C4E"/>
    <w:rsid w:val="0045242F"/>
    <w:rsid w:val="00453199"/>
    <w:rsid w:val="00453797"/>
    <w:rsid w:val="0045469F"/>
    <w:rsid w:val="004559A1"/>
    <w:rsid w:val="004562AE"/>
    <w:rsid w:val="00456A6A"/>
    <w:rsid w:val="004573CE"/>
    <w:rsid w:val="00460260"/>
    <w:rsid w:val="0046034D"/>
    <w:rsid w:val="00460C5B"/>
    <w:rsid w:val="004632C1"/>
    <w:rsid w:val="0046374F"/>
    <w:rsid w:val="004656ED"/>
    <w:rsid w:val="00465BFB"/>
    <w:rsid w:val="004662B8"/>
    <w:rsid w:val="0046790D"/>
    <w:rsid w:val="00471A85"/>
    <w:rsid w:val="004723A5"/>
    <w:rsid w:val="00474897"/>
    <w:rsid w:val="00474CC9"/>
    <w:rsid w:val="00476862"/>
    <w:rsid w:val="00477D27"/>
    <w:rsid w:val="0048046E"/>
    <w:rsid w:val="0048145F"/>
    <w:rsid w:val="00481EAD"/>
    <w:rsid w:val="00485037"/>
    <w:rsid w:val="00485172"/>
    <w:rsid w:val="00485716"/>
    <w:rsid w:val="0048641E"/>
    <w:rsid w:val="004922B7"/>
    <w:rsid w:val="00493540"/>
    <w:rsid w:val="00493ADB"/>
    <w:rsid w:val="00496DAD"/>
    <w:rsid w:val="00497113"/>
    <w:rsid w:val="00497398"/>
    <w:rsid w:val="004A057D"/>
    <w:rsid w:val="004A0E5A"/>
    <w:rsid w:val="004A0F04"/>
    <w:rsid w:val="004A14E0"/>
    <w:rsid w:val="004A1F51"/>
    <w:rsid w:val="004A3F07"/>
    <w:rsid w:val="004A7A5A"/>
    <w:rsid w:val="004A7FCF"/>
    <w:rsid w:val="004B285F"/>
    <w:rsid w:val="004B2EAB"/>
    <w:rsid w:val="004B47BE"/>
    <w:rsid w:val="004B60CD"/>
    <w:rsid w:val="004B64BF"/>
    <w:rsid w:val="004B7559"/>
    <w:rsid w:val="004C338C"/>
    <w:rsid w:val="004C4CF1"/>
    <w:rsid w:val="004C5439"/>
    <w:rsid w:val="004C5E70"/>
    <w:rsid w:val="004C6BD5"/>
    <w:rsid w:val="004C7001"/>
    <w:rsid w:val="004C76DE"/>
    <w:rsid w:val="004C7CAB"/>
    <w:rsid w:val="004D0A36"/>
    <w:rsid w:val="004D0A66"/>
    <w:rsid w:val="004D0D3E"/>
    <w:rsid w:val="004D0F33"/>
    <w:rsid w:val="004D327B"/>
    <w:rsid w:val="004D32BB"/>
    <w:rsid w:val="004D7DB6"/>
    <w:rsid w:val="004D7F57"/>
    <w:rsid w:val="004E0EBD"/>
    <w:rsid w:val="004E1FE0"/>
    <w:rsid w:val="004E24E3"/>
    <w:rsid w:val="004E2D46"/>
    <w:rsid w:val="004E6186"/>
    <w:rsid w:val="004E6798"/>
    <w:rsid w:val="004E691C"/>
    <w:rsid w:val="004E7A49"/>
    <w:rsid w:val="004E7C97"/>
    <w:rsid w:val="004F1058"/>
    <w:rsid w:val="004F2AB1"/>
    <w:rsid w:val="004F2E4A"/>
    <w:rsid w:val="004F3090"/>
    <w:rsid w:val="004F3562"/>
    <w:rsid w:val="004F3700"/>
    <w:rsid w:val="004F5ADE"/>
    <w:rsid w:val="004F5EE3"/>
    <w:rsid w:val="004F5F01"/>
    <w:rsid w:val="00500479"/>
    <w:rsid w:val="00500576"/>
    <w:rsid w:val="00500F81"/>
    <w:rsid w:val="00501F84"/>
    <w:rsid w:val="005023E0"/>
    <w:rsid w:val="00502E6A"/>
    <w:rsid w:val="00504336"/>
    <w:rsid w:val="00504CF1"/>
    <w:rsid w:val="005053BD"/>
    <w:rsid w:val="00505433"/>
    <w:rsid w:val="0050571D"/>
    <w:rsid w:val="00505CF4"/>
    <w:rsid w:val="005070E6"/>
    <w:rsid w:val="00507725"/>
    <w:rsid w:val="00510417"/>
    <w:rsid w:val="00512324"/>
    <w:rsid w:val="005132AB"/>
    <w:rsid w:val="00516109"/>
    <w:rsid w:val="005162E5"/>
    <w:rsid w:val="0051723C"/>
    <w:rsid w:val="005203D7"/>
    <w:rsid w:val="005238CF"/>
    <w:rsid w:val="00524D40"/>
    <w:rsid w:val="005262BD"/>
    <w:rsid w:val="00527BDF"/>
    <w:rsid w:val="00527DCF"/>
    <w:rsid w:val="00530975"/>
    <w:rsid w:val="00531EF3"/>
    <w:rsid w:val="0053214B"/>
    <w:rsid w:val="005324FF"/>
    <w:rsid w:val="00532F71"/>
    <w:rsid w:val="005339EB"/>
    <w:rsid w:val="00533A33"/>
    <w:rsid w:val="00533A79"/>
    <w:rsid w:val="00533C16"/>
    <w:rsid w:val="005349C5"/>
    <w:rsid w:val="0053739A"/>
    <w:rsid w:val="005401E7"/>
    <w:rsid w:val="0054076B"/>
    <w:rsid w:val="00541E18"/>
    <w:rsid w:val="00543C1B"/>
    <w:rsid w:val="00545B0E"/>
    <w:rsid w:val="00547108"/>
    <w:rsid w:val="0055054F"/>
    <w:rsid w:val="00550ADF"/>
    <w:rsid w:val="0055116D"/>
    <w:rsid w:val="00551BF9"/>
    <w:rsid w:val="00553227"/>
    <w:rsid w:val="00553D80"/>
    <w:rsid w:val="00556FDB"/>
    <w:rsid w:val="00561020"/>
    <w:rsid w:val="0056111E"/>
    <w:rsid w:val="00562E34"/>
    <w:rsid w:val="00563842"/>
    <w:rsid w:val="005638A5"/>
    <w:rsid w:val="005649B1"/>
    <w:rsid w:val="00570B7B"/>
    <w:rsid w:val="00571663"/>
    <w:rsid w:val="00573582"/>
    <w:rsid w:val="005738A1"/>
    <w:rsid w:val="005740DE"/>
    <w:rsid w:val="0057411A"/>
    <w:rsid w:val="00574240"/>
    <w:rsid w:val="005742B1"/>
    <w:rsid w:val="00574F72"/>
    <w:rsid w:val="00582EB5"/>
    <w:rsid w:val="00583119"/>
    <w:rsid w:val="00583AE4"/>
    <w:rsid w:val="00590A16"/>
    <w:rsid w:val="00591149"/>
    <w:rsid w:val="0059159E"/>
    <w:rsid w:val="005917D0"/>
    <w:rsid w:val="005921BE"/>
    <w:rsid w:val="0059345E"/>
    <w:rsid w:val="005936F6"/>
    <w:rsid w:val="00594122"/>
    <w:rsid w:val="00595753"/>
    <w:rsid w:val="00597F8F"/>
    <w:rsid w:val="005A0D70"/>
    <w:rsid w:val="005A130C"/>
    <w:rsid w:val="005A2033"/>
    <w:rsid w:val="005A24AE"/>
    <w:rsid w:val="005A401C"/>
    <w:rsid w:val="005A7DA5"/>
    <w:rsid w:val="005B15E3"/>
    <w:rsid w:val="005B1C1B"/>
    <w:rsid w:val="005B4D45"/>
    <w:rsid w:val="005B5C30"/>
    <w:rsid w:val="005B6B69"/>
    <w:rsid w:val="005C280A"/>
    <w:rsid w:val="005C6335"/>
    <w:rsid w:val="005C7115"/>
    <w:rsid w:val="005C771B"/>
    <w:rsid w:val="005C780B"/>
    <w:rsid w:val="005D3730"/>
    <w:rsid w:val="005D38B3"/>
    <w:rsid w:val="005D4209"/>
    <w:rsid w:val="005D4977"/>
    <w:rsid w:val="005D5699"/>
    <w:rsid w:val="005D65BA"/>
    <w:rsid w:val="005E150A"/>
    <w:rsid w:val="005E20B6"/>
    <w:rsid w:val="005E2900"/>
    <w:rsid w:val="005E3DBE"/>
    <w:rsid w:val="005E4AFD"/>
    <w:rsid w:val="005E4FE7"/>
    <w:rsid w:val="005E5714"/>
    <w:rsid w:val="005E5892"/>
    <w:rsid w:val="005E5D9B"/>
    <w:rsid w:val="005E600C"/>
    <w:rsid w:val="005E68E6"/>
    <w:rsid w:val="005E6FA2"/>
    <w:rsid w:val="005F13B4"/>
    <w:rsid w:val="005F177B"/>
    <w:rsid w:val="005F18EB"/>
    <w:rsid w:val="005F4D21"/>
    <w:rsid w:val="005F4DB9"/>
    <w:rsid w:val="005F54F6"/>
    <w:rsid w:val="005F61A1"/>
    <w:rsid w:val="005F63E0"/>
    <w:rsid w:val="005F6B13"/>
    <w:rsid w:val="005F71BE"/>
    <w:rsid w:val="00600A1A"/>
    <w:rsid w:val="006016A2"/>
    <w:rsid w:val="00602ABA"/>
    <w:rsid w:val="00602F90"/>
    <w:rsid w:val="00604890"/>
    <w:rsid w:val="00605079"/>
    <w:rsid w:val="00605D80"/>
    <w:rsid w:val="006069D5"/>
    <w:rsid w:val="0061057A"/>
    <w:rsid w:val="006124C9"/>
    <w:rsid w:val="00612759"/>
    <w:rsid w:val="00612AB3"/>
    <w:rsid w:val="0061315F"/>
    <w:rsid w:val="006144B1"/>
    <w:rsid w:val="00614DD9"/>
    <w:rsid w:val="00616002"/>
    <w:rsid w:val="00620AE7"/>
    <w:rsid w:val="00621DFD"/>
    <w:rsid w:val="00623998"/>
    <w:rsid w:val="00624C5C"/>
    <w:rsid w:val="00624C6A"/>
    <w:rsid w:val="00624DE5"/>
    <w:rsid w:val="0062533A"/>
    <w:rsid w:val="00627481"/>
    <w:rsid w:val="00627C75"/>
    <w:rsid w:val="00630723"/>
    <w:rsid w:val="00631985"/>
    <w:rsid w:val="0063219C"/>
    <w:rsid w:val="00633336"/>
    <w:rsid w:val="00633967"/>
    <w:rsid w:val="00635014"/>
    <w:rsid w:val="0063507B"/>
    <w:rsid w:val="0063523A"/>
    <w:rsid w:val="00635D3D"/>
    <w:rsid w:val="0063619F"/>
    <w:rsid w:val="00640618"/>
    <w:rsid w:val="00640D3C"/>
    <w:rsid w:val="006410AF"/>
    <w:rsid w:val="006455AF"/>
    <w:rsid w:val="00647149"/>
    <w:rsid w:val="00651A7B"/>
    <w:rsid w:val="006525FC"/>
    <w:rsid w:val="00653878"/>
    <w:rsid w:val="00654518"/>
    <w:rsid w:val="0065557D"/>
    <w:rsid w:val="0065693F"/>
    <w:rsid w:val="00660FDA"/>
    <w:rsid w:val="00661563"/>
    <w:rsid w:val="00663431"/>
    <w:rsid w:val="0066676A"/>
    <w:rsid w:val="00666C55"/>
    <w:rsid w:val="00667458"/>
    <w:rsid w:val="00670695"/>
    <w:rsid w:val="00672362"/>
    <w:rsid w:val="006755BC"/>
    <w:rsid w:val="00675C75"/>
    <w:rsid w:val="00675EC1"/>
    <w:rsid w:val="006764AB"/>
    <w:rsid w:val="0068190B"/>
    <w:rsid w:val="006826C4"/>
    <w:rsid w:val="006839A8"/>
    <w:rsid w:val="00686E81"/>
    <w:rsid w:val="00690A55"/>
    <w:rsid w:val="00692223"/>
    <w:rsid w:val="00693236"/>
    <w:rsid w:val="0069398D"/>
    <w:rsid w:val="0069432F"/>
    <w:rsid w:val="00696631"/>
    <w:rsid w:val="00696914"/>
    <w:rsid w:val="006A19F9"/>
    <w:rsid w:val="006A2463"/>
    <w:rsid w:val="006A385C"/>
    <w:rsid w:val="006A3D06"/>
    <w:rsid w:val="006A3F76"/>
    <w:rsid w:val="006A4D05"/>
    <w:rsid w:val="006A53BB"/>
    <w:rsid w:val="006A624B"/>
    <w:rsid w:val="006A7F42"/>
    <w:rsid w:val="006B072A"/>
    <w:rsid w:val="006B1F64"/>
    <w:rsid w:val="006B3707"/>
    <w:rsid w:val="006B5242"/>
    <w:rsid w:val="006B5D55"/>
    <w:rsid w:val="006B6C63"/>
    <w:rsid w:val="006C44C9"/>
    <w:rsid w:val="006C5847"/>
    <w:rsid w:val="006C5C29"/>
    <w:rsid w:val="006C62B6"/>
    <w:rsid w:val="006C6E14"/>
    <w:rsid w:val="006C737D"/>
    <w:rsid w:val="006C78B9"/>
    <w:rsid w:val="006C7976"/>
    <w:rsid w:val="006D00C5"/>
    <w:rsid w:val="006D0FD5"/>
    <w:rsid w:val="006D108E"/>
    <w:rsid w:val="006D24C5"/>
    <w:rsid w:val="006D2CA5"/>
    <w:rsid w:val="006D2E5E"/>
    <w:rsid w:val="006D4B78"/>
    <w:rsid w:val="006D530E"/>
    <w:rsid w:val="006D5AD7"/>
    <w:rsid w:val="006D60B9"/>
    <w:rsid w:val="006D775F"/>
    <w:rsid w:val="006E09E9"/>
    <w:rsid w:val="006E1798"/>
    <w:rsid w:val="006E207C"/>
    <w:rsid w:val="006E20A6"/>
    <w:rsid w:val="006E3D3E"/>
    <w:rsid w:val="006E4C81"/>
    <w:rsid w:val="006E5414"/>
    <w:rsid w:val="006E667C"/>
    <w:rsid w:val="006F07E5"/>
    <w:rsid w:val="006F0B24"/>
    <w:rsid w:val="006F0E70"/>
    <w:rsid w:val="006F1B8E"/>
    <w:rsid w:val="006F1CD8"/>
    <w:rsid w:val="006F2AFE"/>
    <w:rsid w:val="006F48F4"/>
    <w:rsid w:val="006F7298"/>
    <w:rsid w:val="006F76AA"/>
    <w:rsid w:val="00700E63"/>
    <w:rsid w:val="00700F87"/>
    <w:rsid w:val="00701439"/>
    <w:rsid w:val="007016B4"/>
    <w:rsid w:val="00701B4D"/>
    <w:rsid w:val="00702268"/>
    <w:rsid w:val="007026EC"/>
    <w:rsid w:val="00702B33"/>
    <w:rsid w:val="00702B7F"/>
    <w:rsid w:val="00705E91"/>
    <w:rsid w:val="00706858"/>
    <w:rsid w:val="00707C61"/>
    <w:rsid w:val="00707EE0"/>
    <w:rsid w:val="007113C0"/>
    <w:rsid w:val="00713F0E"/>
    <w:rsid w:val="007145AC"/>
    <w:rsid w:val="007157F0"/>
    <w:rsid w:val="007160B5"/>
    <w:rsid w:val="00717A95"/>
    <w:rsid w:val="00722863"/>
    <w:rsid w:val="00723C98"/>
    <w:rsid w:val="00726339"/>
    <w:rsid w:val="00726A5A"/>
    <w:rsid w:val="00727B14"/>
    <w:rsid w:val="0073090E"/>
    <w:rsid w:val="007309EB"/>
    <w:rsid w:val="00731155"/>
    <w:rsid w:val="0073299E"/>
    <w:rsid w:val="00733F9E"/>
    <w:rsid w:val="0073760B"/>
    <w:rsid w:val="00741D0F"/>
    <w:rsid w:val="007423D9"/>
    <w:rsid w:val="00742E0D"/>
    <w:rsid w:val="00742FE4"/>
    <w:rsid w:val="00744235"/>
    <w:rsid w:val="00744406"/>
    <w:rsid w:val="00744CE4"/>
    <w:rsid w:val="00745AA6"/>
    <w:rsid w:val="00745D38"/>
    <w:rsid w:val="007466E0"/>
    <w:rsid w:val="0074730E"/>
    <w:rsid w:val="0075036B"/>
    <w:rsid w:val="00750917"/>
    <w:rsid w:val="00752C95"/>
    <w:rsid w:val="00753A59"/>
    <w:rsid w:val="00753C3A"/>
    <w:rsid w:val="00753D22"/>
    <w:rsid w:val="00754453"/>
    <w:rsid w:val="00755A61"/>
    <w:rsid w:val="007561E3"/>
    <w:rsid w:val="00756607"/>
    <w:rsid w:val="00757DF0"/>
    <w:rsid w:val="00760425"/>
    <w:rsid w:val="0076091C"/>
    <w:rsid w:val="00760DA5"/>
    <w:rsid w:val="00762AD6"/>
    <w:rsid w:val="0076358C"/>
    <w:rsid w:val="00765FFA"/>
    <w:rsid w:val="00766CCA"/>
    <w:rsid w:val="00767A70"/>
    <w:rsid w:val="00767F76"/>
    <w:rsid w:val="00770FDF"/>
    <w:rsid w:val="007717C6"/>
    <w:rsid w:val="007718B8"/>
    <w:rsid w:val="007732DE"/>
    <w:rsid w:val="007748CD"/>
    <w:rsid w:val="007748CF"/>
    <w:rsid w:val="0077587B"/>
    <w:rsid w:val="0077610B"/>
    <w:rsid w:val="00776F21"/>
    <w:rsid w:val="00777090"/>
    <w:rsid w:val="00777F05"/>
    <w:rsid w:val="007809C8"/>
    <w:rsid w:val="00781025"/>
    <w:rsid w:val="0078125D"/>
    <w:rsid w:val="0078142B"/>
    <w:rsid w:val="00782636"/>
    <w:rsid w:val="00782CCE"/>
    <w:rsid w:val="007832F8"/>
    <w:rsid w:val="007839DA"/>
    <w:rsid w:val="007844E5"/>
    <w:rsid w:val="00784F98"/>
    <w:rsid w:val="00786607"/>
    <w:rsid w:val="00786B56"/>
    <w:rsid w:val="00786DF5"/>
    <w:rsid w:val="00790598"/>
    <w:rsid w:val="00790979"/>
    <w:rsid w:val="007914AA"/>
    <w:rsid w:val="00791F88"/>
    <w:rsid w:val="007A0804"/>
    <w:rsid w:val="007A0AB5"/>
    <w:rsid w:val="007A1501"/>
    <w:rsid w:val="007A3899"/>
    <w:rsid w:val="007A747A"/>
    <w:rsid w:val="007A7DCA"/>
    <w:rsid w:val="007B0787"/>
    <w:rsid w:val="007B0D74"/>
    <w:rsid w:val="007B2885"/>
    <w:rsid w:val="007B2F69"/>
    <w:rsid w:val="007B3227"/>
    <w:rsid w:val="007B3520"/>
    <w:rsid w:val="007B3D7E"/>
    <w:rsid w:val="007B3ED8"/>
    <w:rsid w:val="007B4EBA"/>
    <w:rsid w:val="007B53CC"/>
    <w:rsid w:val="007C0833"/>
    <w:rsid w:val="007C248E"/>
    <w:rsid w:val="007C35B3"/>
    <w:rsid w:val="007C3FC6"/>
    <w:rsid w:val="007C6083"/>
    <w:rsid w:val="007C7772"/>
    <w:rsid w:val="007D3852"/>
    <w:rsid w:val="007D40AC"/>
    <w:rsid w:val="007D669B"/>
    <w:rsid w:val="007D7A3A"/>
    <w:rsid w:val="007E2215"/>
    <w:rsid w:val="007E2CF6"/>
    <w:rsid w:val="007E3274"/>
    <w:rsid w:val="007E4839"/>
    <w:rsid w:val="007E531C"/>
    <w:rsid w:val="007E5466"/>
    <w:rsid w:val="007E592E"/>
    <w:rsid w:val="007E5DE3"/>
    <w:rsid w:val="007E7012"/>
    <w:rsid w:val="007F149E"/>
    <w:rsid w:val="007F16F0"/>
    <w:rsid w:val="007F48D2"/>
    <w:rsid w:val="007F5381"/>
    <w:rsid w:val="007F5783"/>
    <w:rsid w:val="007F77DE"/>
    <w:rsid w:val="00800B2E"/>
    <w:rsid w:val="008017AB"/>
    <w:rsid w:val="00803406"/>
    <w:rsid w:val="00803447"/>
    <w:rsid w:val="00804081"/>
    <w:rsid w:val="0081023E"/>
    <w:rsid w:val="0081093E"/>
    <w:rsid w:val="00811122"/>
    <w:rsid w:val="00811407"/>
    <w:rsid w:val="0081183E"/>
    <w:rsid w:val="00811BB9"/>
    <w:rsid w:val="00812CE5"/>
    <w:rsid w:val="00812F1A"/>
    <w:rsid w:val="00813B72"/>
    <w:rsid w:val="008143D6"/>
    <w:rsid w:val="008149DB"/>
    <w:rsid w:val="00815629"/>
    <w:rsid w:val="008178CA"/>
    <w:rsid w:val="00820140"/>
    <w:rsid w:val="00820F1E"/>
    <w:rsid w:val="008211AB"/>
    <w:rsid w:val="00822229"/>
    <w:rsid w:val="008222A9"/>
    <w:rsid w:val="00822721"/>
    <w:rsid w:val="00825CE0"/>
    <w:rsid w:val="00826973"/>
    <w:rsid w:val="00826B6D"/>
    <w:rsid w:val="008306BA"/>
    <w:rsid w:val="008308B3"/>
    <w:rsid w:val="00832DCE"/>
    <w:rsid w:val="0083325E"/>
    <w:rsid w:val="0083364B"/>
    <w:rsid w:val="008344B1"/>
    <w:rsid w:val="00834AED"/>
    <w:rsid w:val="00834D48"/>
    <w:rsid w:val="00836E1E"/>
    <w:rsid w:val="00836E3E"/>
    <w:rsid w:val="008410A6"/>
    <w:rsid w:val="00841FEB"/>
    <w:rsid w:val="00842B3E"/>
    <w:rsid w:val="00842C80"/>
    <w:rsid w:val="00843722"/>
    <w:rsid w:val="00844E5B"/>
    <w:rsid w:val="00845039"/>
    <w:rsid w:val="008452C7"/>
    <w:rsid w:val="00845B5D"/>
    <w:rsid w:val="00845E22"/>
    <w:rsid w:val="0084677E"/>
    <w:rsid w:val="008472CA"/>
    <w:rsid w:val="0084756A"/>
    <w:rsid w:val="00850315"/>
    <w:rsid w:val="00852715"/>
    <w:rsid w:val="00854594"/>
    <w:rsid w:val="008545E6"/>
    <w:rsid w:val="00855B75"/>
    <w:rsid w:val="0086119E"/>
    <w:rsid w:val="00861B23"/>
    <w:rsid w:val="00862403"/>
    <w:rsid w:val="008631C6"/>
    <w:rsid w:val="00864A51"/>
    <w:rsid w:val="00867562"/>
    <w:rsid w:val="008675B6"/>
    <w:rsid w:val="00871A08"/>
    <w:rsid w:val="00872DC3"/>
    <w:rsid w:val="00873EF4"/>
    <w:rsid w:val="00875931"/>
    <w:rsid w:val="00877257"/>
    <w:rsid w:val="00877FDA"/>
    <w:rsid w:val="00880A3E"/>
    <w:rsid w:val="008818F2"/>
    <w:rsid w:val="00883B70"/>
    <w:rsid w:val="00884117"/>
    <w:rsid w:val="008844D6"/>
    <w:rsid w:val="00884EB2"/>
    <w:rsid w:val="00887745"/>
    <w:rsid w:val="00890216"/>
    <w:rsid w:val="008902F5"/>
    <w:rsid w:val="0089065C"/>
    <w:rsid w:val="00891997"/>
    <w:rsid w:val="00891F82"/>
    <w:rsid w:val="00892612"/>
    <w:rsid w:val="0089345E"/>
    <w:rsid w:val="0089368F"/>
    <w:rsid w:val="0089411D"/>
    <w:rsid w:val="00894331"/>
    <w:rsid w:val="00894871"/>
    <w:rsid w:val="00894E31"/>
    <w:rsid w:val="00895239"/>
    <w:rsid w:val="0089765C"/>
    <w:rsid w:val="00897C61"/>
    <w:rsid w:val="00897D06"/>
    <w:rsid w:val="008A01F4"/>
    <w:rsid w:val="008A03D8"/>
    <w:rsid w:val="008A16E0"/>
    <w:rsid w:val="008A2243"/>
    <w:rsid w:val="008A3009"/>
    <w:rsid w:val="008A64F2"/>
    <w:rsid w:val="008A6F3B"/>
    <w:rsid w:val="008A7A8C"/>
    <w:rsid w:val="008B075D"/>
    <w:rsid w:val="008B1154"/>
    <w:rsid w:val="008B1414"/>
    <w:rsid w:val="008B1A9A"/>
    <w:rsid w:val="008B2460"/>
    <w:rsid w:val="008B2BAB"/>
    <w:rsid w:val="008B31F4"/>
    <w:rsid w:val="008B3C46"/>
    <w:rsid w:val="008B428C"/>
    <w:rsid w:val="008B4B36"/>
    <w:rsid w:val="008B5022"/>
    <w:rsid w:val="008B5915"/>
    <w:rsid w:val="008B6295"/>
    <w:rsid w:val="008B7949"/>
    <w:rsid w:val="008C0086"/>
    <w:rsid w:val="008C06B6"/>
    <w:rsid w:val="008C0986"/>
    <w:rsid w:val="008C3A57"/>
    <w:rsid w:val="008C3B06"/>
    <w:rsid w:val="008C49EF"/>
    <w:rsid w:val="008C644A"/>
    <w:rsid w:val="008C73CA"/>
    <w:rsid w:val="008D00CF"/>
    <w:rsid w:val="008D073B"/>
    <w:rsid w:val="008D0846"/>
    <w:rsid w:val="008D10AA"/>
    <w:rsid w:val="008D13D5"/>
    <w:rsid w:val="008D1822"/>
    <w:rsid w:val="008D1BCE"/>
    <w:rsid w:val="008D1C67"/>
    <w:rsid w:val="008D2DFF"/>
    <w:rsid w:val="008D3E6F"/>
    <w:rsid w:val="008D4347"/>
    <w:rsid w:val="008D532F"/>
    <w:rsid w:val="008D5D51"/>
    <w:rsid w:val="008D6453"/>
    <w:rsid w:val="008D71A5"/>
    <w:rsid w:val="008D76C5"/>
    <w:rsid w:val="008E093E"/>
    <w:rsid w:val="008E2C13"/>
    <w:rsid w:val="008E2F04"/>
    <w:rsid w:val="008E770A"/>
    <w:rsid w:val="008E787C"/>
    <w:rsid w:val="008F0A09"/>
    <w:rsid w:val="008F232C"/>
    <w:rsid w:val="008F2CCF"/>
    <w:rsid w:val="008F4AC6"/>
    <w:rsid w:val="008F4CAD"/>
    <w:rsid w:val="008F7720"/>
    <w:rsid w:val="008F7D09"/>
    <w:rsid w:val="0090251D"/>
    <w:rsid w:val="00903628"/>
    <w:rsid w:val="00904831"/>
    <w:rsid w:val="0090669E"/>
    <w:rsid w:val="009079AD"/>
    <w:rsid w:val="009114A1"/>
    <w:rsid w:val="009148D2"/>
    <w:rsid w:val="00914C24"/>
    <w:rsid w:val="009155FE"/>
    <w:rsid w:val="00915638"/>
    <w:rsid w:val="00915AC1"/>
    <w:rsid w:val="00916802"/>
    <w:rsid w:val="009174A5"/>
    <w:rsid w:val="0092168C"/>
    <w:rsid w:val="00922B97"/>
    <w:rsid w:val="00922BF1"/>
    <w:rsid w:val="009233AD"/>
    <w:rsid w:val="00924A46"/>
    <w:rsid w:val="009250C0"/>
    <w:rsid w:val="0092599A"/>
    <w:rsid w:val="009263E9"/>
    <w:rsid w:val="00927025"/>
    <w:rsid w:val="00932EF8"/>
    <w:rsid w:val="00934933"/>
    <w:rsid w:val="00935C27"/>
    <w:rsid w:val="00936930"/>
    <w:rsid w:val="00937D9D"/>
    <w:rsid w:val="009417B1"/>
    <w:rsid w:val="009418F7"/>
    <w:rsid w:val="00941CDA"/>
    <w:rsid w:val="00941DB9"/>
    <w:rsid w:val="00942093"/>
    <w:rsid w:val="0094223E"/>
    <w:rsid w:val="00942F34"/>
    <w:rsid w:val="00944652"/>
    <w:rsid w:val="009456FA"/>
    <w:rsid w:val="009467FF"/>
    <w:rsid w:val="00946CA0"/>
    <w:rsid w:val="009501E7"/>
    <w:rsid w:val="00950A4B"/>
    <w:rsid w:val="009520C7"/>
    <w:rsid w:val="00953725"/>
    <w:rsid w:val="0095417D"/>
    <w:rsid w:val="00960372"/>
    <w:rsid w:val="009605C9"/>
    <w:rsid w:val="00960E70"/>
    <w:rsid w:val="00962938"/>
    <w:rsid w:val="009658DE"/>
    <w:rsid w:val="009661FA"/>
    <w:rsid w:val="00966D54"/>
    <w:rsid w:val="00966E67"/>
    <w:rsid w:val="009748C2"/>
    <w:rsid w:val="009753C2"/>
    <w:rsid w:val="00976CF3"/>
    <w:rsid w:val="00977011"/>
    <w:rsid w:val="0097732A"/>
    <w:rsid w:val="0098157E"/>
    <w:rsid w:val="009835B9"/>
    <w:rsid w:val="00984BB6"/>
    <w:rsid w:val="0098540D"/>
    <w:rsid w:val="00987523"/>
    <w:rsid w:val="009905C3"/>
    <w:rsid w:val="009932C2"/>
    <w:rsid w:val="00995D47"/>
    <w:rsid w:val="009966FF"/>
    <w:rsid w:val="00997FEB"/>
    <w:rsid w:val="009A0068"/>
    <w:rsid w:val="009A07FF"/>
    <w:rsid w:val="009A1099"/>
    <w:rsid w:val="009A2B54"/>
    <w:rsid w:val="009A2DB4"/>
    <w:rsid w:val="009A60FA"/>
    <w:rsid w:val="009A734D"/>
    <w:rsid w:val="009B0716"/>
    <w:rsid w:val="009B16DF"/>
    <w:rsid w:val="009B18E2"/>
    <w:rsid w:val="009B1BDF"/>
    <w:rsid w:val="009B203D"/>
    <w:rsid w:val="009B3321"/>
    <w:rsid w:val="009B4AF9"/>
    <w:rsid w:val="009B6C7B"/>
    <w:rsid w:val="009C041B"/>
    <w:rsid w:val="009C05AD"/>
    <w:rsid w:val="009C306B"/>
    <w:rsid w:val="009C4097"/>
    <w:rsid w:val="009C4E9F"/>
    <w:rsid w:val="009C555E"/>
    <w:rsid w:val="009C5C20"/>
    <w:rsid w:val="009C68F6"/>
    <w:rsid w:val="009C6E83"/>
    <w:rsid w:val="009C73DC"/>
    <w:rsid w:val="009C7E46"/>
    <w:rsid w:val="009D0360"/>
    <w:rsid w:val="009D14F9"/>
    <w:rsid w:val="009D411C"/>
    <w:rsid w:val="009D456D"/>
    <w:rsid w:val="009D45CC"/>
    <w:rsid w:val="009D6E46"/>
    <w:rsid w:val="009D7187"/>
    <w:rsid w:val="009D76E7"/>
    <w:rsid w:val="009D7D8C"/>
    <w:rsid w:val="009E0FFD"/>
    <w:rsid w:val="009E2594"/>
    <w:rsid w:val="009E2F23"/>
    <w:rsid w:val="009E2F96"/>
    <w:rsid w:val="009E3AD5"/>
    <w:rsid w:val="009E3FEC"/>
    <w:rsid w:val="009E44C8"/>
    <w:rsid w:val="009E537D"/>
    <w:rsid w:val="009E5EFD"/>
    <w:rsid w:val="009E6C8D"/>
    <w:rsid w:val="009E73AA"/>
    <w:rsid w:val="009F0486"/>
    <w:rsid w:val="009F5170"/>
    <w:rsid w:val="009F54AF"/>
    <w:rsid w:val="009F7488"/>
    <w:rsid w:val="00A0093F"/>
    <w:rsid w:val="00A015FF"/>
    <w:rsid w:val="00A02A1C"/>
    <w:rsid w:val="00A02C6D"/>
    <w:rsid w:val="00A0366A"/>
    <w:rsid w:val="00A03DD6"/>
    <w:rsid w:val="00A05AE3"/>
    <w:rsid w:val="00A06354"/>
    <w:rsid w:val="00A068C6"/>
    <w:rsid w:val="00A07293"/>
    <w:rsid w:val="00A10160"/>
    <w:rsid w:val="00A125F7"/>
    <w:rsid w:val="00A12DE9"/>
    <w:rsid w:val="00A13565"/>
    <w:rsid w:val="00A15955"/>
    <w:rsid w:val="00A16A40"/>
    <w:rsid w:val="00A17573"/>
    <w:rsid w:val="00A17D88"/>
    <w:rsid w:val="00A22B34"/>
    <w:rsid w:val="00A22C54"/>
    <w:rsid w:val="00A2555B"/>
    <w:rsid w:val="00A3104B"/>
    <w:rsid w:val="00A341F4"/>
    <w:rsid w:val="00A34C4E"/>
    <w:rsid w:val="00A3654D"/>
    <w:rsid w:val="00A366DE"/>
    <w:rsid w:val="00A36A62"/>
    <w:rsid w:val="00A3718C"/>
    <w:rsid w:val="00A37F6D"/>
    <w:rsid w:val="00A421BA"/>
    <w:rsid w:val="00A425E7"/>
    <w:rsid w:val="00A44289"/>
    <w:rsid w:val="00A45345"/>
    <w:rsid w:val="00A46659"/>
    <w:rsid w:val="00A46BFD"/>
    <w:rsid w:val="00A478A2"/>
    <w:rsid w:val="00A47EDA"/>
    <w:rsid w:val="00A50875"/>
    <w:rsid w:val="00A5428D"/>
    <w:rsid w:val="00A547E3"/>
    <w:rsid w:val="00A54D0A"/>
    <w:rsid w:val="00A54FCC"/>
    <w:rsid w:val="00A55083"/>
    <w:rsid w:val="00A56CF7"/>
    <w:rsid w:val="00A57D94"/>
    <w:rsid w:val="00A60DEA"/>
    <w:rsid w:val="00A615A3"/>
    <w:rsid w:val="00A62086"/>
    <w:rsid w:val="00A6260E"/>
    <w:rsid w:val="00A64184"/>
    <w:rsid w:val="00A64BE6"/>
    <w:rsid w:val="00A64D7A"/>
    <w:rsid w:val="00A65589"/>
    <w:rsid w:val="00A6589D"/>
    <w:rsid w:val="00A66C9F"/>
    <w:rsid w:val="00A66D1C"/>
    <w:rsid w:val="00A67FDA"/>
    <w:rsid w:val="00A7244C"/>
    <w:rsid w:val="00A72E05"/>
    <w:rsid w:val="00A75657"/>
    <w:rsid w:val="00A75DD9"/>
    <w:rsid w:val="00A77034"/>
    <w:rsid w:val="00A7740D"/>
    <w:rsid w:val="00A7753A"/>
    <w:rsid w:val="00A806BC"/>
    <w:rsid w:val="00A81849"/>
    <w:rsid w:val="00A83200"/>
    <w:rsid w:val="00A8450A"/>
    <w:rsid w:val="00A94F26"/>
    <w:rsid w:val="00A95962"/>
    <w:rsid w:val="00A9714E"/>
    <w:rsid w:val="00A97528"/>
    <w:rsid w:val="00A97AF8"/>
    <w:rsid w:val="00AA0D56"/>
    <w:rsid w:val="00AA2201"/>
    <w:rsid w:val="00AA3419"/>
    <w:rsid w:val="00AA4727"/>
    <w:rsid w:val="00AA5522"/>
    <w:rsid w:val="00AA5536"/>
    <w:rsid w:val="00AA7491"/>
    <w:rsid w:val="00AB1FA1"/>
    <w:rsid w:val="00AB2488"/>
    <w:rsid w:val="00AB26DE"/>
    <w:rsid w:val="00AB290A"/>
    <w:rsid w:val="00AB2FCB"/>
    <w:rsid w:val="00AB31D6"/>
    <w:rsid w:val="00AB37B2"/>
    <w:rsid w:val="00AB3CC3"/>
    <w:rsid w:val="00AB434A"/>
    <w:rsid w:val="00AB43D9"/>
    <w:rsid w:val="00AB5599"/>
    <w:rsid w:val="00AB571B"/>
    <w:rsid w:val="00AB5C6D"/>
    <w:rsid w:val="00AB6242"/>
    <w:rsid w:val="00AB74B2"/>
    <w:rsid w:val="00AB7EF2"/>
    <w:rsid w:val="00AC0EC0"/>
    <w:rsid w:val="00AC1129"/>
    <w:rsid w:val="00AC1FAF"/>
    <w:rsid w:val="00AC2EDB"/>
    <w:rsid w:val="00AC314A"/>
    <w:rsid w:val="00AC4B44"/>
    <w:rsid w:val="00AC4D36"/>
    <w:rsid w:val="00AC6FFB"/>
    <w:rsid w:val="00AD0039"/>
    <w:rsid w:val="00AD0846"/>
    <w:rsid w:val="00AD0A24"/>
    <w:rsid w:val="00AD1BCE"/>
    <w:rsid w:val="00AD4631"/>
    <w:rsid w:val="00AD4D6A"/>
    <w:rsid w:val="00AD5CFC"/>
    <w:rsid w:val="00AD5F81"/>
    <w:rsid w:val="00AD6C2C"/>
    <w:rsid w:val="00AD7050"/>
    <w:rsid w:val="00AD7336"/>
    <w:rsid w:val="00AE154C"/>
    <w:rsid w:val="00AE1EEE"/>
    <w:rsid w:val="00AE1F14"/>
    <w:rsid w:val="00AE2ED8"/>
    <w:rsid w:val="00AE34A0"/>
    <w:rsid w:val="00AE37B3"/>
    <w:rsid w:val="00AE384C"/>
    <w:rsid w:val="00AE4CF2"/>
    <w:rsid w:val="00AE53D3"/>
    <w:rsid w:val="00AE5800"/>
    <w:rsid w:val="00AE5BB6"/>
    <w:rsid w:val="00AE5DD1"/>
    <w:rsid w:val="00AF0775"/>
    <w:rsid w:val="00AF0DB8"/>
    <w:rsid w:val="00AF128A"/>
    <w:rsid w:val="00AF174E"/>
    <w:rsid w:val="00AF1B78"/>
    <w:rsid w:val="00AF2D31"/>
    <w:rsid w:val="00AF3744"/>
    <w:rsid w:val="00AF43BA"/>
    <w:rsid w:val="00AF445C"/>
    <w:rsid w:val="00AF5E48"/>
    <w:rsid w:val="00AF6974"/>
    <w:rsid w:val="00AF6DFC"/>
    <w:rsid w:val="00AF7A29"/>
    <w:rsid w:val="00B002B9"/>
    <w:rsid w:val="00B019B8"/>
    <w:rsid w:val="00B04C0B"/>
    <w:rsid w:val="00B064A0"/>
    <w:rsid w:val="00B0769D"/>
    <w:rsid w:val="00B10A5D"/>
    <w:rsid w:val="00B10D72"/>
    <w:rsid w:val="00B10EBA"/>
    <w:rsid w:val="00B113AA"/>
    <w:rsid w:val="00B145F9"/>
    <w:rsid w:val="00B1617A"/>
    <w:rsid w:val="00B232A7"/>
    <w:rsid w:val="00B242D5"/>
    <w:rsid w:val="00B25027"/>
    <w:rsid w:val="00B25AF3"/>
    <w:rsid w:val="00B25B3E"/>
    <w:rsid w:val="00B263A0"/>
    <w:rsid w:val="00B268D0"/>
    <w:rsid w:val="00B268F9"/>
    <w:rsid w:val="00B36FBE"/>
    <w:rsid w:val="00B37F3B"/>
    <w:rsid w:val="00B43A86"/>
    <w:rsid w:val="00B4418C"/>
    <w:rsid w:val="00B451C5"/>
    <w:rsid w:val="00B4529B"/>
    <w:rsid w:val="00B47C32"/>
    <w:rsid w:val="00B5021D"/>
    <w:rsid w:val="00B50953"/>
    <w:rsid w:val="00B5291E"/>
    <w:rsid w:val="00B5493C"/>
    <w:rsid w:val="00B55F15"/>
    <w:rsid w:val="00B56F04"/>
    <w:rsid w:val="00B57113"/>
    <w:rsid w:val="00B601EC"/>
    <w:rsid w:val="00B607AE"/>
    <w:rsid w:val="00B61253"/>
    <w:rsid w:val="00B62982"/>
    <w:rsid w:val="00B630E0"/>
    <w:rsid w:val="00B64267"/>
    <w:rsid w:val="00B6434F"/>
    <w:rsid w:val="00B70EBF"/>
    <w:rsid w:val="00B719D2"/>
    <w:rsid w:val="00B71DDF"/>
    <w:rsid w:val="00B72159"/>
    <w:rsid w:val="00B726A6"/>
    <w:rsid w:val="00B75D83"/>
    <w:rsid w:val="00B76065"/>
    <w:rsid w:val="00B7622A"/>
    <w:rsid w:val="00B77D51"/>
    <w:rsid w:val="00B803B3"/>
    <w:rsid w:val="00B8057C"/>
    <w:rsid w:val="00B824CB"/>
    <w:rsid w:val="00B82930"/>
    <w:rsid w:val="00B82E3D"/>
    <w:rsid w:val="00B83969"/>
    <w:rsid w:val="00B84125"/>
    <w:rsid w:val="00B84A50"/>
    <w:rsid w:val="00B85007"/>
    <w:rsid w:val="00B8548F"/>
    <w:rsid w:val="00B859E6"/>
    <w:rsid w:val="00B85CF1"/>
    <w:rsid w:val="00B860BF"/>
    <w:rsid w:val="00B90ACE"/>
    <w:rsid w:val="00B91C5E"/>
    <w:rsid w:val="00B9381D"/>
    <w:rsid w:val="00B93CB5"/>
    <w:rsid w:val="00B93D1E"/>
    <w:rsid w:val="00B96179"/>
    <w:rsid w:val="00B96982"/>
    <w:rsid w:val="00B96E02"/>
    <w:rsid w:val="00BA02CD"/>
    <w:rsid w:val="00BA23DC"/>
    <w:rsid w:val="00BA42FF"/>
    <w:rsid w:val="00BA46BA"/>
    <w:rsid w:val="00BA591B"/>
    <w:rsid w:val="00BB0467"/>
    <w:rsid w:val="00BB23BD"/>
    <w:rsid w:val="00BB59ED"/>
    <w:rsid w:val="00BB5A6C"/>
    <w:rsid w:val="00BB6B66"/>
    <w:rsid w:val="00BB6FEA"/>
    <w:rsid w:val="00BC17E7"/>
    <w:rsid w:val="00BC3F1D"/>
    <w:rsid w:val="00BC4199"/>
    <w:rsid w:val="00BC58E5"/>
    <w:rsid w:val="00BC65C7"/>
    <w:rsid w:val="00BC673B"/>
    <w:rsid w:val="00BD26C0"/>
    <w:rsid w:val="00BD5BB5"/>
    <w:rsid w:val="00BD5DCB"/>
    <w:rsid w:val="00BD5FEC"/>
    <w:rsid w:val="00BD656C"/>
    <w:rsid w:val="00BD6DD9"/>
    <w:rsid w:val="00BD721F"/>
    <w:rsid w:val="00BE0E64"/>
    <w:rsid w:val="00BE1A70"/>
    <w:rsid w:val="00BE33EA"/>
    <w:rsid w:val="00BE37DC"/>
    <w:rsid w:val="00BE3ED5"/>
    <w:rsid w:val="00BE3F88"/>
    <w:rsid w:val="00BE4FDE"/>
    <w:rsid w:val="00BE645F"/>
    <w:rsid w:val="00BE65DC"/>
    <w:rsid w:val="00BE7929"/>
    <w:rsid w:val="00BF1258"/>
    <w:rsid w:val="00BF56DD"/>
    <w:rsid w:val="00BF5B41"/>
    <w:rsid w:val="00BF5FE4"/>
    <w:rsid w:val="00BF7107"/>
    <w:rsid w:val="00BF737D"/>
    <w:rsid w:val="00BF7386"/>
    <w:rsid w:val="00C00B01"/>
    <w:rsid w:val="00C01CB6"/>
    <w:rsid w:val="00C029F5"/>
    <w:rsid w:val="00C02F0F"/>
    <w:rsid w:val="00C030F1"/>
    <w:rsid w:val="00C04D65"/>
    <w:rsid w:val="00C04F18"/>
    <w:rsid w:val="00C05494"/>
    <w:rsid w:val="00C05735"/>
    <w:rsid w:val="00C06B74"/>
    <w:rsid w:val="00C07BB7"/>
    <w:rsid w:val="00C10619"/>
    <w:rsid w:val="00C138A9"/>
    <w:rsid w:val="00C15428"/>
    <w:rsid w:val="00C156B3"/>
    <w:rsid w:val="00C16BEB"/>
    <w:rsid w:val="00C17F5D"/>
    <w:rsid w:val="00C21C20"/>
    <w:rsid w:val="00C222C8"/>
    <w:rsid w:val="00C2414C"/>
    <w:rsid w:val="00C246DF"/>
    <w:rsid w:val="00C24C05"/>
    <w:rsid w:val="00C25A12"/>
    <w:rsid w:val="00C2646A"/>
    <w:rsid w:val="00C26DD4"/>
    <w:rsid w:val="00C27C14"/>
    <w:rsid w:val="00C30A7B"/>
    <w:rsid w:val="00C314F1"/>
    <w:rsid w:val="00C323CF"/>
    <w:rsid w:val="00C34889"/>
    <w:rsid w:val="00C368C2"/>
    <w:rsid w:val="00C36A07"/>
    <w:rsid w:val="00C37C00"/>
    <w:rsid w:val="00C37C73"/>
    <w:rsid w:val="00C407EA"/>
    <w:rsid w:val="00C41F38"/>
    <w:rsid w:val="00C43B89"/>
    <w:rsid w:val="00C454B2"/>
    <w:rsid w:val="00C472F8"/>
    <w:rsid w:val="00C47BA8"/>
    <w:rsid w:val="00C50883"/>
    <w:rsid w:val="00C50DEA"/>
    <w:rsid w:val="00C523B1"/>
    <w:rsid w:val="00C53268"/>
    <w:rsid w:val="00C54122"/>
    <w:rsid w:val="00C56C50"/>
    <w:rsid w:val="00C56E31"/>
    <w:rsid w:val="00C57FCB"/>
    <w:rsid w:val="00C61AAA"/>
    <w:rsid w:val="00C625E8"/>
    <w:rsid w:val="00C62CA3"/>
    <w:rsid w:val="00C66632"/>
    <w:rsid w:val="00C66BBA"/>
    <w:rsid w:val="00C67126"/>
    <w:rsid w:val="00C70A41"/>
    <w:rsid w:val="00C71BAA"/>
    <w:rsid w:val="00C72165"/>
    <w:rsid w:val="00C72765"/>
    <w:rsid w:val="00C72BCB"/>
    <w:rsid w:val="00C730B4"/>
    <w:rsid w:val="00C7366E"/>
    <w:rsid w:val="00C74A61"/>
    <w:rsid w:val="00C75DFE"/>
    <w:rsid w:val="00C76877"/>
    <w:rsid w:val="00C76D12"/>
    <w:rsid w:val="00C770E7"/>
    <w:rsid w:val="00C77B2D"/>
    <w:rsid w:val="00C77BEE"/>
    <w:rsid w:val="00C80344"/>
    <w:rsid w:val="00C811AF"/>
    <w:rsid w:val="00C8120C"/>
    <w:rsid w:val="00C82157"/>
    <w:rsid w:val="00C833F6"/>
    <w:rsid w:val="00C8382D"/>
    <w:rsid w:val="00C843D9"/>
    <w:rsid w:val="00C844C0"/>
    <w:rsid w:val="00C84872"/>
    <w:rsid w:val="00C85BCF"/>
    <w:rsid w:val="00C86DE8"/>
    <w:rsid w:val="00C87F01"/>
    <w:rsid w:val="00C90148"/>
    <w:rsid w:val="00C90B3F"/>
    <w:rsid w:val="00C90F38"/>
    <w:rsid w:val="00C9163C"/>
    <w:rsid w:val="00C929D3"/>
    <w:rsid w:val="00C92AEF"/>
    <w:rsid w:val="00C93C39"/>
    <w:rsid w:val="00C963EE"/>
    <w:rsid w:val="00C96C12"/>
    <w:rsid w:val="00C96E7F"/>
    <w:rsid w:val="00C97A23"/>
    <w:rsid w:val="00CA1F1C"/>
    <w:rsid w:val="00CA21EB"/>
    <w:rsid w:val="00CA2568"/>
    <w:rsid w:val="00CA2F1E"/>
    <w:rsid w:val="00CA3ED5"/>
    <w:rsid w:val="00CA5FBA"/>
    <w:rsid w:val="00CA61A8"/>
    <w:rsid w:val="00CB14E8"/>
    <w:rsid w:val="00CB158F"/>
    <w:rsid w:val="00CB19EF"/>
    <w:rsid w:val="00CB1CFA"/>
    <w:rsid w:val="00CB2BBC"/>
    <w:rsid w:val="00CB405C"/>
    <w:rsid w:val="00CB5AF2"/>
    <w:rsid w:val="00CB6621"/>
    <w:rsid w:val="00CB680E"/>
    <w:rsid w:val="00CB7722"/>
    <w:rsid w:val="00CB7A58"/>
    <w:rsid w:val="00CC0FB6"/>
    <w:rsid w:val="00CC1F8F"/>
    <w:rsid w:val="00CC4AD8"/>
    <w:rsid w:val="00CC5767"/>
    <w:rsid w:val="00CC61EB"/>
    <w:rsid w:val="00CC6757"/>
    <w:rsid w:val="00CC6F07"/>
    <w:rsid w:val="00CC714A"/>
    <w:rsid w:val="00CC7C68"/>
    <w:rsid w:val="00CC7DF1"/>
    <w:rsid w:val="00CD488F"/>
    <w:rsid w:val="00CD510A"/>
    <w:rsid w:val="00CD555B"/>
    <w:rsid w:val="00CD559C"/>
    <w:rsid w:val="00CD5C54"/>
    <w:rsid w:val="00CD640B"/>
    <w:rsid w:val="00CE0080"/>
    <w:rsid w:val="00CE0189"/>
    <w:rsid w:val="00CE057A"/>
    <w:rsid w:val="00CE06C7"/>
    <w:rsid w:val="00CE4C5A"/>
    <w:rsid w:val="00CE4F48"/>
    <w:rsid w:val="00CE5C45"/>
    <w:rsid w:val="00CE5CFA"/>
    <w:rsid w:val="00CE634D"/>
    <w:rsid w:val="00CE6735"/>
    <w:rsid w:val="00CE6C12"/>
    <w:rsid w:val="00CE7957"/>
    <w:rsid w:val="00CF59F3"/>
    <w:rsid w:val="00CF59FF"/>
    <w:rsid w:val="00CF654C"/>
    <w:rsid w:val="00CF7C0A"/>
    <w:rsid w:val="00D0108A"/>
    <w:rsid w:val="00D0318B"/>
    <w:rsid w:val="00D03576"/>
    <w:rsid w:val="00D04D10"/>
    <w:rsid w:val="00D05A3F"/>
    <w:rsid w:val="00D11EF9"/>
    <w:rsid w:val="00D128D5"/>
    <w:rsid w:val="00D12A84"/>
    <w:rsid w:val="00D135F0"/>
    <w:rsid w:val="00D13EC8"/>
    <w:rsid w:val="00D14F9A"/>
    <w:rsid w:val="00D156DC"/>
    <w:rsid w:val="00D159CC"/>
    <w:rsid w:val="00D16097"/>
    <w:rsid w:val="00D16970"/>
    <w:rsid w:val="00D16B59"/>
    <w:rsid w:val="00D1775B"/>
    <w:rsid w:val="00D17EB8"/>
    <w:rsid w:val="00D20A59"/>
    <w:rsid w:val="00D21B47"/>
    <w:rsid w:val="00D221B9"/>
    <w:rsid w:val="00D22B26"/>
    <w:rsid w:val="00D2536B"/>
    <w:rsid w:val="00D3025F"/>
    <w:rsid w:val="00D3239A"/>
    <w:rsid w:val="00D323C1"/>
    <w:rsid w:val="00D34A9A"/>
    <w:rsid w:val="00D34CD7"/>
    <w:rsid w:val="00D41658"/>
    <w:rsid w:val="00D41AD1"/>
    <w:rsid w:val="00D421E6"/>
    <w:rsid w:val="00D42571"/>
    <w:rsid w:val="00D4438D"/>
    <w:rsid w:val="00D4502B"/>
    <w:rsid w:val="00D46364"/>
    <w:rsid w:val="00D46D12"/>
    <w:rsid w:val="00D473E4"/>
    <w:rsid w:val="00D50465"/>
    <w:rsid w:val="00D50B4C"/>
    <w:rsid w:val="00D50E04"/>
    <w:rsid w:val="00D51C88"/>
    <w:rsid w:val="00D530BB"/>
    <w:rsid w:val="00D54B69"/>
    <w:rsid w:val="00D552F9"/>
    <w:rsid w:val="00D556E9"/>
    <w:rsid w:val="00D55B52"/>
    <w:rsid w:val="00D56E5F"/>
    <w:rsid w:val="00D57A60"/>
    <w:rsid w:val="00D57D47"/>
    <w:rsid w:val="00D57E6C"/>
    <w:rsid w:val="00D60ADB"/>
    <w:rsid w:val="00D60F31"/>
    <w:rsid w:val="00D62F3A"/>
    <w:rsid w:val="00D63425"/>
    <w:rsid w:val="00D63907"/>
    <w:rsid w:val="00D6521F"/>
    <w:rsid w:val="00D662C7"/>
    <w:rsid w:val="00D70D38"/>
    <w:rsid w:val="00D71879"/>
    <w:rsid w:val="00D74301"/>
    <w:rsid w:val="00D76FDC"/>
    <w:rsid w:val="00D806A9"/>
    <w:rsid w:val="00D82BB6"/>
    <w:rsid w:val="00D833DB"/>
    <w:rsid w:val="00D838DD"/>
    <w:rsid w:val="00D86542"/>
    <w:rsid w:val="00D866E3"/>
    <w:rsid w:val="00D86D40"/>
    <w:rsid w:val="00D86D5F"/>
    <w:rsid w:val="00D87D2A"/>
    <w:rsid w:val="00D87EC2"/>
    <w:rsid w:val="00D90250"/>
    <w:rsid w:val="00D914DE"/>
    <w:rsid w:val="00D91FE5"/>
    <w:rsid w:val="00D9276A"/>
    <w:rsid w:val="00D9296B"/>
    <w:rsid w:val="00D92B48"/>
    <w:rsid w:val="00D93DB5"/>
    <w:rsid w:val="00D955A6"/>
    <w:rsid w:val="00D96140"/>
    <w:rsid w:val="00D9757A"/>
    <w:rsid w:val="00D979C5"/>
    <w:rsid w:val="00D97D1D"/>
    <w:rsid w:val="00DA1DC6"/>
    <w:rsid w:val="00DA3E10"/>
    <w:rsid w:val="00DA4056"/>
    <w:rsid w:val="00DA55CC"/>
    <w:rsid w:val="00DA703E"/>
    <w:rsid w:val="00DA75E8"/>
    <w:rsid w:val="00DA7889"/>
    <w:rsid w:val="00DA7DBA"/>
    <w:rsid w:val="00DB1BB0"/>
    <w:rsid w:val="00DB2B33"/>
    <w:rsid w:val="00DB2B46"/>
    <w:rsid w:val="00DB34D6"/>
    <w:rsid w:val="00DB378B"/>
    <w:rsid w:val="00DB41B4"/>
    <w:rsid w:val="00DB421A"/>
    <w:rsid w:val="00DB5B12"/>
    <w:rsid w:val="00DC0243"/>
    <w:rsid w:val="00DC066E"/>
    <w:rsid w:val="00DC0F4C"/>
    <w:rsid w:val="00DC10EF"/>
    <w:rsid w:val="00DC15D5"/>
    <w:rsid w:val="00DC2CB4"/>
    <w:rsid w:val="00DC394A"/>
    <w:rsid w:val="00DC4767"/>
    <w:rsid w:val="00DC57F2"/>
    <w:rsid w:val="00DC71C4"/>
    <w:rsid w:val="00DC77E2"/>
    <w:rsid w:val="00DD03DD"/>
    <w:rsid w:val="00DD28EF"/>
    <w:rsid w:val="00DD3C07"/>
    <w:rsid w:val="00DD3F9A"/>
    <w:rsid w:val="00DD456A"/>
    <w:rsid w:val="00DD4570"/>
    <w:rsid w:val="00DD4B61"/>
    <w:rsid w:val="00DD4C8E"/>
    <w:rsid w:val="00DD5190"/>
    <w:rsid w:val="00DD65A8"/>
    <w:rsid w:val="00DD7015"/>
    <w:rsid w:val="00DE0E5B"/>
    <w:rsid w:val="00DE10BE"/>
    <w:rsid w:val="00DE1DB7"/>
    <w:rsid w:val="00DE2DF6"/>
    <w:rsid w:val="00DE2E72"/>
    <w:rsid w:val="00DE3693"/>
    <w:rsid w:val="00DE3F38"/>
    <w:rsid w:val="00DE4287"/>
    <w:rsid w:val="00DE6427"/>
    <w:rsid w:val="00DE734F"/>
    <w:rsid w:val="00DE7633"/>
    <w:rsid w:val="00DF03AF"/>
    <w:rsid w:val="00DF112B"/>
    <w:rsid w:val="00DF19FE"/>
    <w:rsid w:val="00DF266C"/>
    <w:rsid w:val="00DF29E0"/>
    <w:rsid w:val="00DF37D9"/>
    <w:rsid w:val="00DF5230"/>
    <w:rsid w:val="00DF55D6"/>
    <w:rsid w:val="00DF5F76"/>
    <w:rsid w:val="00DF6772"/>
    <w:rsid w:val="00DF7E3E"/>
    <w:rsid w:val="00E01110"/>
    <w:rsid w:val="00E032EB"/>
    <w:rsid w:val="00E03952"/>
    <w:rsid w:val="00E046CC"/>
    <w:rsid w:val="00E04B93"/>
    <w:rsid w:val="00E04F76"/>
    <w:rsid w:val="00E12FC0"/>
    <w:rsid w:val="00E130F3"/>
    <w:rsid w:val="00E16B79"/>
    <w:rsid w:val="00E16D4C"/>
    <w:rsid w:val="00E173D9"/>
    <w:rsid w:val="00E17407"/>
    <w:rsid w:val="00E2037B"/>
    <w:rsid w:val="00E20499"/>
    <w:rsid w:val="00E22846"/>
    <w:rsid w:val="00E2307E"/>
    <w:rsid w:val="00E25413"/>
    <w:rsid w:val="00E2726F"/>
    <w:rsid w:val="00E307D4"/>
    <w:rsid w:val="00E31254"/>
    <w:rsid w:val="00E31399"/>
    <w:rsid w:val="00E31FEA"/>
    <w:rsid w:val="00E33422"/>
    <w:rsid w:val="00E338D1"/>
    <w:rsid w:val="00E33BDA"/>
    <w:rsid w:val="00E34BFF"/>
    <w:rsid w:val="00E353BA"/>
    <w:rsid w:val="00E36F10"/>
    <w:rsid w:val="00E37449"/>
    <w:rsid w:val="00E40B4F"/>
    <w:rsid w:val="00E41AD7"/>
    <w:rsid w:val="00E41FE5"/>
    <w:rsid w:val="00E42B72"/>
    <w:rsid w:val="00E4450D"/>
    <w:rsid w:val="00E4514E"/>
    <w:rsid w:val="00E5062E"/>
    <w:rsid w:val="00E50A07"/>
    <w:rsid w:val="00E51F5A"/>
    <w:rsid w:val="00E5248B"/>
    <w:rsid w:val="00E525B5"/>
    <w:rsid w:val="00E5344B"/>
    <w:rsid w:val="00E53B76"/>
    <w:rsid w:val="00E55365"/>
    <w:rsid w:val="00E5786A"/>
    <w:rsid w:val="00E60F03"/>
    <w:rsid w:val="00E62DC2"/>
    <w:rsid w:val="00E635BD"/>
    <w:rsid w:val="00E65199"/>
    <w:rsid w:val="00E65836"/>
    <w:rsid w:val="00E67720"/>
    <w:rsid w:val="00E67802"/>
    <w:rsid w:val="00E70B53"/>
    <w:rsid w:val="00E7281A"/>
    <w:rsid w:val="00E728D7"/>
    <w:rsid w:val="00E732CF"/>
    <w:rsid w:val="00E74386"/>
    <w:rsid w:val="00E74B10"/>
    <w:rsid w:val="00E75E6D"/>
    <w:rsid w:val="00E76A77"/>
    <w:rsid w:val="00E80D56"/>
    <w:rsid w:val="00E830A4"/>
    <w:rsid w:val="00E83186"/>
    <w:rsid w:val="00E83B1D"/>
    <w:rsid w:val="00E84BB3"/>
    <w:rsid w:val="00E84BF6"/>
    <w:rsid w:val="00E84E73"/>
    <w:rsid w:val="00E8512B"/>
    <w:rsid w:val="00E85556"/>
    <w:rsid w:val="00E85CC3"/>
    <w:rsid w:val="00E879B2"/>
    <w:rsid w:val="00E917E0"/>
    <w:rsid w:val="00E91B4C"/>
    <w:rsid w:val="00E92826"/>
    <w:rsid w:val="00E92DCD"/>
    <w:rsid w:val="00E93E9D"/>
    <w:rsid w:val="00E95AD2"/>
    <w:rsid w:val="00E9724A"/>
    <w:rsid w:val="00EA0CFA"/>
    <w:rsid w:val="00EA0EEA"/>
    <w:rsid w:val="00EA1D27"/>
    <w:rsid w:val="00EA23AB"/>
    <w:rsid w:val="00EA30DA"/>
    <w:rsid w:val="00EA422A"/>
    <w:rsid w:val="00EA46AD"/>
    <w:rsid w:val="00EA6370"/>
    <w:rsid w:val="00EB01CC"/>
    <w:rsid w:val="00EB0D12"/>
    <w:rsid w:val="00EB0F1B"/>
    <w:rsid w:val="00EB13B5"/>
    <w:rsid w:val="00EB1A11"/>
    <w:rsid w:val="00EB28D3"/>
    <w:rsid w:val="00EB3B43"/>
    <w:rsid w:val="00EB5E2F"/>
    <w:rsid w:val="00EB6291"/>
    <w:rsid w:val="00EB6EAA"/>
    <w:rsid w:val="00EC08E0"/>
    <w:rsid w:val="00EC2511"/>
    <w:rsid w:val="00EC25B7"/>
    <w:rsid w:val="00EC25C2"/>
    <w:rsid w:val="00EC2622"/>
    <w:rsid w:val="00EC2782"/>
    <w:rsid w:val="00EC3257"/>
    <w:rsid w:val="00EC399C"/>
    <w:rsid w:val="00EC4B5E"/>
    <w:rsid w:val="00EC5119"/>
    <w:rsid w:val="00EC5656"/>
    <w:rsid w:val="00EC5BE9"/>
    <w:rsid w:val="00EC5E73"/>
    <w:rsid w:val="00EC6AC8"/>
    <w:rsid w:val="00EC71B7"/>
    <w:rsid w:val="00ED0A33"/>
    <w:rsid w:val="00ED13AE"/>
    <w:rsid w:val="00ED1E95"/>
    <w:rsid w:val="00ED2345"/>
    <w:rsid w:val="00ED4150"/>
    <w:rsid w:val="00ED7D96"/>
    <w:rsid w:val="00EE02DE"/>
    <w:rsid w:val="00EE199F"/>
    <w:rsid w:val="00EE2126"/>
    <w:rsid w:val="00EE2C64"/>
    <w:rsid w:val="00EE58F0"/>
    <w:rsid w:val="00EE697E"/>
    <w:rsid w:val="00EE74F2"/>
    <w:rsid w:val="00EE7C7E"/>
    <w:rsid w:val="00EF035F"/>
    <w:rsid w:val="00EF0BA4"/>
    <w:rsid w:val="00EF1253"/>
    <w:rsid w:val="00EF1397"/>
    <w:rsid w:val="00EF151C"/>
    <w:rsid w:val="00EF1A17"/>
    <w:rsid w:val="00EF2855"/>
    <w:rsid w:val="00EF34B2"/>
    <w:rsid w:val="00EF3A5E"/>
    <w:rsid w:val="00EF4FE7"/>
    <w:rsid w:val="00EF61E7"/>
    <w:rsid w:val="00EF71F8"/>
    <w:rsid w:val="00F02FEC"/>
    <w:rsid w:val="00F040D1"/>
    <w:rsid w:val="00F047C0"/>
    <w:rsid w:val="00F04A0F"/>
    <w:rsid w:val="00F077ED"/>
    <w:rsid w:val="00F11A2D"/>
    <w:rsid w:val="00F137BE"/>
    <w:rsid w:val="00F13B7A"/>
    <w:rsid w:val="00F13D70"/>
    <w:rsid w:val="00F14AF4"/>
    <w:rsid w:val="00F1547C"/>
    <w:rsid w:val="00F15F19"/>
    <w:rsid w:val="00F16558"/>
    <w:rsid w:val="00F16876"/>
    <w:rsid w:val="00F1763F"/>
    <w:rsid w:val="00F179A2"/>
    <w:rsid w:val="00F22053"/>
    <w:rsid w:val="00F231EA"/>
    <w:rsid w:val="00F2437C"/>
    <w:rsid w:val="00F24E3C"/>
    <w:rsid w:val="00F25037"/>
    <w:rsid w:val="00F254AE"/>
    <w:rsid w:val="00F27214"/>
    <w:rsid w:val="00F31DCF"/>
    <w:rsid w:val="00F3343E"/>
    <w:rsid w:val="00F342F3"/>
    <w:rsid w:val="00F3472F"/>
    <w:rsid w:val="00F372E2"/>
    <w:rsid w:val="00F374FA"/>
    <w:rsid w:val="00F403EE"/>
    <w:rsid w:val="00F40CA4"/>
    <w:rsid w:val="00F40F15"/>
    <w:rsid w:val="00F418EE"/>
    <w:rsid w:val="00F41A43"/>
    <w:rsid w:val="00F41D19"/>
    <w:rsid w:val="00F43962"/>
    <w:rsid w:val="00F45247"/>
    <w:rsid w:val="00F47099"/>
    <w:rsid w:val="00F4716E"/>
    <w:rsid w:val="00F50ACE"/>
    <w:rsid w:val="00F51DBA"/>
    <w:rsid w:val="00F52DA8"/>
    <w:rsid w:val="00F52EED"/>
    <w:rsid w:val="00F53476"/>
    <w:rsid w:val="00F5492B"/>
    <w:rsid w:val="00F55FBB"/>
    <w:rsid w:val="00F60E21"/>
    <w:rsid w:val="00F6449D"/>
    <w:rsid w:val="00F65D5B"/>
    <w:rsid w:val="00F66526"/>
    <w:rsid w:val="00F66D91"/>
    <w:rsid w:val="00F66DD4"/>
    <w:rsid w:val="00F67B06"/>
    <w:rsid w:val="00F70B1B"/>
    <w:rsid w:val="00F70BBA"/>
    <w:rsid w:val="00F70F8A"/>
    <w:rsid w:val="00F71184"/>
    <w:rsid w:val="00F74762"/>
    <w:rsid w:val="00F74BFF"/>
    <w:rsid w:val="00F76DEB"/>
    <w:rsid w:val="00F80866"/>
    <w:rsid w:val="00F80E78"/>
    <w:rsid w:val="00F80FD6"/>
    <w:rsid w:val="00F825CC"/>
    <w:rsid w:val="00F8317F"/>
    <w:rsid w:val="00F834CA"/>
    <w:rsid w:val="00F8355E"/>
    <w:rsid w:val="00F840D4"/>
    <w:rsid w:val="00F854D3"/>
    <w:rsid w:val="00F8731E"/>
    <w:rsid w:val="00F902E2"/>
    <w:rsid w:val="00F90623"/>
    <w:rsid w:val="00F9076B"/>
    <w:rsid w:val="00F911B2"/>
    <w:rsid w:val="00F925A6"/>
    <w:rsid w:val="00F940DF"/>
    <w:rsid w:val="00F95A6D"/>
    <w:rsid w:val="00FA03D6"/>
    <w:rsid w:val="00FA03E7"/>
    <w:rsid w:val="00FA09C9"/>
    <w:rsid w:val="00FA0D87"/>
    <w:rsid w:val="00FA236B"/>
    <w:rsid w:val="00FA27D7"/>
    <w:rsid w:val="00FA2980"/>
    <w:rsid w:val="00FA3B0E"/>
    <w:rsid w:val="00FA3DC5"/>
    <w:rsid w:val="00FA50AE"/>
    <w:rsid w:val="00FA59AC"/>
    <w:rsid w:val="00FA6F1D"/>
    <w:rsid w:val="00FB25DF"/>
    <w:rsid w:val="00FB4F36"/>
    <w:rsid w:val="00FB5A65"/>
    <w:rsid w:val="00FC0936"/>
    <w:rsid w:val="00FC1173"/>
    <w:rsid w:val="00FC2628"/>
    <w:rsid w:val="00FC2A9D"/>
    <w:rsid w:val="00FC3E33"/>
    <w:rsid w:val="00FC3F87"/>
    <w:rsid w:val="00FD0294"/>
    <w:rsid w:val="00FD64F2"/>
    <w:rsid w:val="00FD6BCA"/>
    <w:rsid w:val="00FD6ED9"/>
    <w:rsid w:val="00FD70AB"/>
    <w:rsid w:val="00FD7EA8"/>
    <w:rsid w:val="00FE00CB"/>
    <w:rsid w:val="00FE0AEB"/>
    <w:rsid w:val="00FE2342"/>
    <w:rsid w:val="00FE36CA"/>
    <w:rsid w:val="00FE4568"/>
    <w:rsid w:val="00FE50DD"/>
    <w:rsid w:val="00FE7D5B"/>
    <w:rsid w:val="00FF05CD"/>
    <w:rsid w:val="00FF3418"/>
    <w:rsid w:val="00FF420F"/>
    <w:rsid w:val="00FF5C93"/>
    <w:rsid w:val="00FF641A"/>
    <w:rsid w:val="00FF710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5D4A"/>
  <w15:docId w15:val="{B3BD056A-CB90-4D6A-A02E-01390AEA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C85"/>
    <w:rPr>
      <w:rFonts w:eastAsia="Batang"/>
      <w:lang w:val="es-MX"/>
    </w:rPr>
  </w:style>
  <w:style w:type="paragraph" w:styleId="Ttulo1">
    <w:name w:val="heading 1"/>
    <w:basedOn w:val="Normal"/>
    <w:next w:val="Normal"/>
    <w:link w:val="Ttulo1Car"/>
    <w:uiPriority w:val="9"/>
    <w:rsid w:val="00BD5BB5"/>
    <w:pPr>
      <w:spacing w:after="0" w:line="240" w:lineRule="auto"/>
      <w:ind w:right="6"/>
      <w:jc w:val="center"/>
      <w:outlineLvl w:val="0"/>
    </w:pPr>
    <w:rPr>
      <w:rFonts w:ascii="Verdana" w:hAnsi="Verdana"/>
      <w:b/>
      <w:sz w:val="20"/>
      <w:szCs w:val="20"/>
    </w:rPr>
  </w:style>
  <w:style w:type="paragraph" w:styleId="Ttulo2">
    <w:name w:val="heading 2"/>
    <w:basedOn w:val="Normal"/>
    <w:next w:val="Normal"/>
    <w:link w:val="Ttulo2Car"/>
    <w:unhideWhenUsed/>
    <w:qFormat/>
    <w:rsid w:val="00BD5BB5"/>
    <w:pPr>
      <w:keepNext/>
      <w:keepLines/>
      <w:widowControl w:val="0"/>
      <w:numPr>
        <w:numId w:val="6"/>
      </w:numPr>
      <w:adjustRightInd w:val="0"/>
      <w:spacing w:after="0" w:line="240" w:lineRule="auto"/>
      <w:jc w:val="both"/>
      <w:textAlignment w:val="baseline"/>
      <w:outlineLvl w:val="1"/>
    </w:pPr>
    <w:rPr>
      <w:rFonts w:ascii="Verdana" w:eastAsia="MS Mincho" w:hAnsi="Verdana" w:cs="Times New Roman"/>
      <w:b/>
      <w:i/>
      <w:sz w:val="20"/>
      <w:szCs w:val="20"/>
      <w:lang w:val="es-CR" w:eastAsia="es-CR"/>
    </w:rPr>
  </w:style>
  <w:style w:type="paragraph" w:styleId="Ttulo3">
    <w:name w:val="heading 3"/>
    <w:basedOn w:val="Prrafodelista"/>
    <w:next w:val="Normal"/>
    <w:link w:val="Ttulo3Car"/>
    <w:uiPriority w:val="9"/>
    <w:unhideWhenUsed/>
    <w:rsid w:val="00BD5BB5"/>
    <w:pPr>
      <w:numPr>
        <w:numId w:val="1"/>
      </w:numPr>
      <w:tabs>
        <w:tab w:val="left" w:pos="1276"/>
      </w:tabs>
      <w:spacing w:after="0" w:line="240" w:lineRule="auto"/>
      <w:jc w:val="both"/>
      <w:outlineLvl w:val="2"/>
    </w:pPr>
    <w:rPr>
      <w:rFonts w:ascii="Verdana" w:hAnsi="Verdana"/>
      <w:b/>
      <w:i/>
      <w:sz w:val="20"/>
      <w:szCs w:val="20"/>
    </w:rPr>
  </w:style>
  <w:style w:type="paragraph" w:styleId="Ttulo4">
    <w:name w:val="heading 4"/>
    <w:basedOn w:val="Prrafodelista"/>
    <w:next w:val="Normal"/>
    <w:link w:val="Ttulo4Car"/>
    <w:uiPriority w:val="9"/>
    <w:unhideWhenUsed/>
    <w:rsid w:val="00BD5BB5"/>
    <w:pPr>
      <w:numPr>
        <w:numId w:val="24"/>
      </w:numPr>
      <w:tabs>
        <w:tab w:val="left" w:pos="1418"/>
      </w:tabs>
      <w:spacing w:after="0" w:line="240" w:lineRule="auto"/>
      <w:jc w:val="both"/>
      <w:outlineLvl w:val="3"/>
    </w:pPr>
    <w:rPr>
      <w:rFonts w:ascii="Verdana" w:hAnsi="Verdana"/>
      <w:i/>
      <w:sz w:val="20"/>
      <w:szCs w:val="20"/>
      <w:u w:val="single"/>
    </w:rPr>
  </w:style>
  <w:style w:type="paragraph" w:styleId="Ttulo5">
    <w:name w:val="heading 5"/>
    <w:basedOn w:val="Prrafodelista"/>
    <w:link w:val="Ttulo5Car"/>
    <w:uiPriority w:val="9"/>
    <w:rsid w:val="00BD5BB5"/>
    <w:pPr>
      <w:numPr>
        <w:ilvl w:val="1"/>
        <w:numId w:val="15"/>
      </w:numPr>
      <w:tabs>
        <w:tab w:val="left" w:pos="1418"/>
      </w:tabs>
      <w:spacing w:after="0" w:line="240" w:lineRule="auto"/>
      <w:jc w:val="both"/>
      <w:outlineLvl w:val="4"/>
    </w:pPr>
    <w:rPr>
      <w:rFonts w:ascii="Verdana" w:hAnsi="Verdana"/>
      <w:i/>
      <w:sz w:val="20"/>
      <w:szCs w:val="20"/>
    </w:rPr>
  </w:style>
  <w:style w:type="paragraph" w:styleId="Ttulo6">
    <w:name w:val="heading 6"/>
    <w:basedOn w:val="Prrafodelista"/>
    <w:next w:val="Normal"/>
    <w:link w:val="Ttulo6Car"/>
    <w:uiPriority w:val="9"/>
    <w:unhideWhenUsed/>
    <w:rsid w:val="00BD5BB5"/>
    <w:pPr>
      <w:numPr>
        <w:numId w:val="16"/>
      </w:numPr>
      <w:jc w:val="both"/>
      <w:outlineLvl w:val="5"/>
    </w:pPr>
    <w:rPr>
      <w:rFonts w:ascii="Verdana" w:hAnsi="Verdana"/>
      <w:i/>
      <w:sz w:val="20"/>
      <w:szCs w:val="20"/>
      <w:lang w:val="es-CR"/>
    </w:rPr>
  </w:style>
  <w:style w:type="paragraph" w:styleId="Ttulo7">
    <w:name w:val="heading 7"/>
    <w:basedOn w:val="Prrafodelista"/>
    <w:next w:val="Normal"/>
    <w:link w:val="Ttulo7Car"/>
    <w:uiPriority w:val="9"/>
    <w:unhideWhenUsed/>
    <w:rsid w:val="00AF0775"/>
    <w:pPr>
      <w:numPr>
        <w:numId w:val="17"/>
      </w:numPr>
      <w:spacing w:after="0" w:line="240" w:lineRule="auto"/>
      <w:jc w:val="both"/>
      <w:outlineLvl w:val="6"/>
    </w:pPr>
    <w:rPr>
      <w:rFonts w:ascii="Verdana" w:hAnsi="Verdana"/>
      <w:i/>
      <w:sz w:val="20"/>
      <w:szCs w:val="20"/>
      <w:u w:val="single"/>
      <w:lang w:val="es-AR"/>
    </w:rPr>
  </w:style>
  <w:style w:type="paragraph" w:styleId="Ttulo8">
    <w:name w:val="heading 8"/>
    <w:basedOn w:val="Prrafodelista"/>
    <w:next w:val="Normal"/>
    <w:link w:val="Ttulo8Car"/>
    <w:uiPriority w:val="9"/>
    <w:unhideWhenUsed/>
    <w:rsid w:val="00AF0775"/>
    <w:pPr>
      <w:numPr>
        <w:numId w:val="25"/>
      </w:numPr>
      <w:spacing w:after="0" w:line="240" w:lineRule="auto"/>
      <w:jc w:val="both"/>
      <w:outlineLvl w:val="7"/>
    </w:pPr>
    <w:rPr>
      <w:rFonts w:ascii="Verdana" w:hAnsi="Verdana" w:cs="Cambria"/>
      <w:i/>
      <w:sz w:val="20"/>
      <w:szCs w:val="20"/>
    </w:rPr>
  </w:style>
  <w:style w:type="paragraph" w:styleId="Ttulo9">
    <w:name w:val="heading 9"/>
    <w:basedOn w:val="Prrafodelista"/>
    <w:next w:val="Normal"/>
    <w:link w:val="Ttulo9Car"/>
    <w:uiPriority w:val="9"/>
    <w:unhideWhenUsed/>
    <w:rsid w:val="00AF0775"/>
    <w:pPr>
      <w:numPr>
        <w:numId w:val="26"/>
      </w:numPr>
      <w:autoSpaceDE w:val="0"/>
      <w:autoSpaceDN w:val="0"/>
      <w:adjustRightInd w:val="0"/>
      <w:spacing w:after="0" w:line="240" w:lineRule="auto"/>
      <w:jc w:val="both"/>
      <w:outlineLvl w:val="8"/>
    </w:pPr>
    <w:rPr>
      <w:rFonts w:ascii="Verdana" w:eastAsiaTheme="minorHAnsi"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D5BB5"/>
    <w:rPr>
      <w:rFonts w:ascii="Verdana" w:eastAsia="MS Mincho" w:hAnsi="Verdana" w:cs="Times New Roman"/>
      <w:b/>
      <w:i/>
      <w:sz w:val="20"/>
      <w:szCs w:val="20"/>
      <w:lang w:eastAsia="es-CR"/>
    </w:rPr>
  </w:style>
  <w:style w:type="character" w:customStyle="1" w:styleId="Ttulo3Car">
    <w:name w:val="Título 3 Car"/>
    <w:basedOn w:val="Fuentedeprrafopredeter"/>
    <w:link w:val="Ttulo3"/>
    <w:uiPriority w:val="9"/>
    <w:rsid w:val="00BD5BB5"/>
    <w:rPr>
      <w:rFonts w:ascii="Verdana" w:eastAsia="Batang" w:hAnsi="Verdana"/>
      <w:b/>
      <w:i/>
      <w:sz w:val="20"/>
      <w:szCs w:val="20"/>
      <w:lang w:val="es-MX"/>
    </w:rPr>
  </w:style>
  <w:style w:type="paragraph" w:styleId="Prrafodelista">
    <w:name w:val="List Paragraph"/>
    <w:aliases w:val="List Paragraph1,Colorful List - Accent 11,Párrafo de lista1,List Paragraph2,Lista vistosa - Énfasis 11,Footnote"/>
    <w:basedOn w:val="Normal"/>
    <w:link w:val="PrrafodelistaCar"/>
    <w:uiPriority w:val="34"/>
    <w:qFormat/>
    <w:rsid w:val="002E1C85"/>
    <w:pPr>
      <w:ind w:left="720"/>
      <w:contextualSpacing/>
    </w:pPr>
  </w:style>
  <w:style w:type="character" w:styleId="Refdecomentario">
    <w:name w:val="annotation reference"/>
    <w:basedOn w:val="Fuentedeprrafopredeter"/>
    <w:unhideWhenUsed/>
    <w:rsid w:val="002E1C85"/>
    <w:rPr>
      <w:sz w:val="16"/>
      <w:szCs w:val="16"/>
    </w:rPr>
  </w:style>
  <w:style w:type="paragraph" w:styleId="Textocomentario">
    <w:name w:val="annotation text"/>
    <w:basedOn w:val="Normal"/>
    <w:link w:val="TextocomentarioCar"/>
    <w:uiPriority w:val="99"/>
    <w:semiHidden/>
    <w:unhideWhenUsed/>
    <w:rsid w:val="002E1C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1C85"/>
    <w:rPr>
      <w:rFonts w:eastAsia="Batang"/>
      <w:sz w:val="20"/>
      <w:szCs w:val="20"/>
      <w:lang w:val="es-MX"/>
    </w:rPr>
  </w:style>
  <w:style w:type="paragraph" w:styleId="Textodeglobo">
    <w:name w:val="Balloon Text"/>
    <w:basedOn w:val="Normal"/>
    <w:link w:val="TextodegloboCar"/>
    <w:uiPriority w:val="99"/>
    <w:semiHidden/>
    <w:unhideWhenUsed/>
    <w:rsid w:val="002E1C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1C85"/>
    <w:rPr>
      <w:rFonts w:ascii="Tahoma" w:eastAsia="Batang" w:hAnsi="Tahoma" w:cs="Tahoma"/>
      <w:sz w:val="16"/>
      <w:szCs w:val="16"/>
      <w:lang w:val="es-MX"/>
    </w:rPr>
  </w:style>
  <w:style w:type="paragraph" w:styleId="Textonotapie">
    <w:name w:val="footnote text"/>
    <w:aliases w:val="Footnote Text Char Char Char Char Char,Footnote Text Char Char Char Char,Footnote reference,FA Fu,FA Fußnotentext,FA Fu§notentext,FA Fu?notentext,?notentext,Footnote Text Char Char Char,§notentext,FA,Footnote Text Char Char,?notent,ft,C,5"/>
    <w:basedOn w:val="Normal"/>
    <w:link w:val="TextonotapieCar"/>
    <w:uiPriority w:val="99"/>
    <w:unhideWhenUsed/>
    <w:qFormat/>
    <w:rsid w:val="002E1C8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A Fußnotentext Car,FA Fu§notentext Car,FA Fu?notentext Car,?notentext Car,Footnote Text Char Char Char Car,FA Car,C Car"/>
    <w:basedOn w:val="Fuentedeprrafopredeter"/>
    <w:link w:val="Textonotapie"/>
    <w:uiPriority w:val="99"/>
    <w:qFormat/>
    <w:rsid w:val="002E1C85"/>
    <w:rPr>
      <w:rFonts w:eastAsia="Batang"/>
      <w:sz w:val="20"/>
      <w:szCs w:val="20"/>
      <w:lang w:val="es-MX"/>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basedOn w:val="Fuentedeprrafopredeter"/>
    <w:link w:val="4GChar"/>
    <w:uiPriority w:val="99"/>
    <w:unhideWhenUsed/>
    <w:qFormat/>
    <w:rsid w:val="002E1C85"/>
    <w:rPr>
      <w:vertAlign w:val="superscript"/>
    </w:rPr>
  </w:style>
  <w:style w:type="character" w:styleId="Hipervnculo">
    <w:name w:val="Hyperlink"/>
    <w:basedOn w:val="Fuentedeprrafopredeter"/>
    <w:uiPriority w:val="99"/>
    <w:unhideWhenUsed/>
    <w:rsid w:val="002E1C85"/>
    <w:rPr>
      <w:color w:val="0000FF"/>
      <w:u w:val="single"/>
    </w:rPr>
  </w:style>
  <w:style w:type="paragraph" w:styleId="Asuntodelcomentario">
    <w:name w:val="annotation subject"/>
    <w:basedOn w:val="Textocomentario"/>
    <w:next w:val="Textocomentario"/>
    <w:link w:val="AsuntodelcomentarioCar"/>
    <w:uiPriority w:val="99"/>
    <w:semiHidden/>
    <w:unhideWhenUsed/>
    <w:rsid w:val="002E1C85"/>
    <w:rPr>
      <w:b/>
      <w:bCs/>
    </w:rPr>
  </w:style>
  <w:style w:type="character" w:customStyle="1" w:styleId="AsuntodelcomentarioCar">
    <w:name w:val="Asunto del comentario Car"/>
    <w:basedOn w:val="TextocomentarioCar"/>
    <w:link w:val="Asuntodelcomentario"/>
    <w:uiPriority w:val="99"/>
    <w:semiHidden/>
    <w:rsid w:val="002E1C85"/>
    <w:rPr>
      <w:rFonts w:eastAsia="Batang"/>
      <w:b/>
      <w:bCs/>
      <w:sz w:val="20"/>
      <w:szCs w:val="20"/>
      <w:lang w:val="es-MX"/>
    </w:rPr>
  </w:style>
  <w:style w:type="paragraph" w:styleId="Encabezado">
    <w:name w:val="header"/>
    <w:basedOn w:val="Normal"/>
    <w:link w:val="EncabezadoCar"/>
    <w:uiPriority w:val="99"/>
    <w:unhideWhenUsed/>
    <w:rsid w:val="002E1C8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E1C85"/>
    <w:rPr>
      <w:rFonts w:eastAsia="Batang"/>
      <w:lang w:val="es-MX"/>
    </w:rPr>
  </w:style>
  <w:style w:type="paragraph" w:styleId="Piedepgina">
    <w:name w:val="footer"/>
    <w:basedOn w:val="Normal"/>
    <w:link w:val="PiedepginaCar"/>
    <w:uiPriority w:val="99"/>
    <w:unhideWhenUsed/>
    <w:rsid w:val="002E1C8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E1C85"/>
    <w:rPr>
      <w:rFonts w:eastAsia="Batang"/>
      <w:lang w:val="es-MX"/>
    </w:rPr>
  </w:style>
  <w:style w:type="character" w:styleId="Hipervnculovisitado">
    <w:name w:val="FollowedHyperlink"/>
    <w:basedOn w:val="Fuentedeprrafopredeter"/>
    <w:uiPriority w:val="99"/>
    <w:semiHidden/>
    <w:unhideWhenUsed/>
    <w:rsid w:val="002E1C85"/>
    <w:rPr>
      <w:color w:val="800080" w:themeColor="followedHyperlink"/>
      <w:u w:val="single"/>
    </w:rPr>
  </w:style>
  <w:style w:type="character" w:styleId="Textoennegrita">
    <w:name w:val="Strong"/>
    <w:basedOn w:val="Fuentedeprrafopredeter"/>
    <w:uiPriority w:val="22"/>
    <w:qFormat/>
    <w:rsid w:val="002E1C85"/>
    <w:rPr>
      <w:b/>
      <w:bCs/>
    </w:rPr>
  </w:style>
  <w:style w:type="paragraph" w:styleId="Textonotaalfinal">
    <w:name w:val="endnote text"/>
    <w:basedOn w:val="Normal"/>
    <w:link w:val="TextonotaalfinalCar"/>
    <w:unhideWhenUsed/>
    <w:rsid w:val="002E1C85"/>
    <w:pPr>
      <w:spacing w:after="0" w:line="240" w:lineRule="auto"/>
    </w:pPr>
    <w:rPr>
      <w:sz w:val="20"/>
      <w:szCs w:val="20"/>
    </w:rPr>
  </w:style>
  <w:style w:type="character" w:customStyle="1" w:styleId="TextonotaalfinalCar">
    <w:name w:val="Texto nota al final Car"/>
    <w:basedOn w:val="Fuentedeprrafopredeter"/>
    <w:link w:val="Textonotaalfinal"/>
    <w:rsid w:val="002E1C85"/>
    <w:rPr>
      <w:rFonts w:eastAsia="Batang"/>
      <w:sz w:val="20"/>
      <w:szCs w:val="20"/>
      <w:lang w:val="es-MX"/>
    </w:rPr>
  </w:style>
  <w:style w:type="character" w:styleId="Refdenotaalfinal">
    <w:name w:val="endnote reference"/>
    <w:basedOn w:val="Fuentedeprrafopredeter"/>
    <w:uiPriority w:val="99"/>
    <w:semiHidden/>
    <w:unhideWhenUsed/>
    <w:rsid w:val="002E1C85"/>
    <w:rPr>
      <w:vertAlign w:val="superscript"/>
    </w:rPr>
  </w:style>
  <w:style w:type="paragraph" w:customStyle="1" w:styleId="Default">
    <w:name w:val="Default"/>
    <w:rsid w:val="002E1C85"/>
    <w:pPr>
      <w:autoSpaceDE w:val="0"/>
      <w:autoSpaceDN w:val="0"/>
      <w:adjustRightInd w:val="0"/>
      <w:spacing w:after="0" w:line="240" w:lineRule="auto"/>
    </w:pPr>
    <w:rPr>
      <w:rFonts w:ascii="Verdana" w:hAnsi="Verdana" w:cs="Verdana"/>
      <w:color w:val="000000"/>
      <w:sz w:val="24"/>
      <w:szCs w:val="24"/>
      <w:lang w:val="es-MX"/>
    </w:rPr>
  </w:style>
  <w:style w:type="paragraph" w:styleId="Revisin">
    <w:name w:val="Revision"/>
    <w:hidden/>
    <w:uiPriority w:val="99"/>
    <w:semiHidden/>
    <w:rsid w:val="002E1C85"/>
    <w:pPr>
      <w:spacing w:after="0" w:line="240" w:lineRule="auto"/>
    </w:pPr>
    <w:rPr>
      <w:rFonts w:eastAsia="Batang"/>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E1C85"/>
    <w:pPr>
      <w:spacing w:after="0" w:line="240" w:lineRule="auto"/>
      <w:jc w:val="both"/>
    </w:pPr>
    <w:rPr>
      <w:rFonts w:eastAsiaTheme="minorHAnsi"/>
      <w:vertAlign w:val="superscript"/>
      <w:lang w:val="es-CR"/>
    </w:rPr>
  </w:style>
  <w:style w:type="character" w:customStyle="1" w:styleId="Ttulo4Car">
    <w:name w:val="Título 4 Car"/>
    <w:basedOn w:val="Fuentedeprrafopredeter"/>
    <w:link w:val="Ttulo4"/>
    <w:uiPriority w:val="9"/>
    <w:rsid w:val="00BD5BB5"/>
    <w:rPr>
      <w:rFonts w:ascii="Verdana" w:eastAsia="Batang" w:hAnsi="Verdana"/>
      <w:i/>
      <w:sz w:val="20"/>
      <w:szCs w:val="20"/>
      <w:u w:val="single"/>
      <w:lang w:val="es-MX"/>
    </w:rPr>
  </w:style>
  <w:style w:type="character" w:customStyle="1" w:styleId="Ttulo5Car">
    <w:name w:val="Título 5 Car"/>
    <w:basedOn w:val="Fuentedeprrafopredeter"/>
    <w:link w:val="Ttulo5"/>
    <w:uiPriority w:val="9"/>
    <w:rsid w:val="00BD5BB5"/>
    <w:rPr>
      <w:rFonts w:ascii="Verdana" w:eastAsia="Batang" w:hAnsi="Verdana"/>
      <w:i/>
      <w:sz w:val="20"/>
      <w:szCs w:val="20"/>
      <w:lang w:val="es-MX"/>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2E1C85"/>
    <w:pPr>
      <w:spacing w:before="200" w:after="160" w:line="240" w:lineRule="exact"/>
      <w:ind w:left="357" w:right="51" w:hanging="357"/>
      <w:jc w:val="both"/>
    </w:pPr>
    <w:rPr>
      <w:rFonts w:eastAsiaTheme="minorHAnsi"/>
      <w:vertAlign w:val="superscript"/>
      <w:lang w:val="es-CR"/>
    </w:rPr>
  </w:style>
  <w:style w:type="character" w:customStyle="1" w:styleId="lblnewsfulltext">
    <w:name w:val="lblnewsfulltext"/>
    <w:basedOn w:val="Fuentedeprrafopredeter"/>
    <w:rsid w:val="002E1C85"/>
  </w:style>
  <w:style w:type="character" w:customStyle="1" w:styleId="PrrafodelistaCar">
    <w:name w:val="Párrafo de lista Car"/>
    <w:aliases w:val="List Paragraph1 Car,Colorful List - Accent 11 Car,Párrafo de lista1 Car,List Paragraph2 Car,Lista vistosa - Énfasis 11 Car,Footnote Car"/>
    <w:basedOn w:val="Fuentedeprrafopredeter"/>
    <w:link w:val="Prrafodelista"/>
    <w:uiPriority w:val="99"/>
    <w:locked/>
    <w:rsid w:val="002E1C85"/>
    <w:rPr>
      <w:rFonts w:eastAsia="Batang"/>
      <w:lang w:val="es-MX"/>
    </w:rPr>
  </w:style>
  <w:style w:type="character" w:customStyle="1" w:styleId="lblnewstitle">
    <w:name w:val="lblnewstitle"/>
    <w:basedOn w:val="Fuentedeprrafopredeter"/>
    <w:rsid w:val="002E1C85"/>
  </w:style>
  <w:style w:type="character" w:customStyle="1" w:styleId="apple-converted-space">
    <w:name w:val="apple-converted-space"/>
    <w:basedOn w:val="Fuentedeprrafopredeter"/>
    <w:rsid w:val="002E1C85"/>
  </w:style>
  <w:style w:type="paragraph" w:customStyle="1" w:styleId="Style1">
    <w:name w:val="Style1"/>
    <w:basedOn w:val="Textonotapie"/>
    <w:rsid w:val="002E1C85"/>
    <w:pPr>
      <w:ind w:left="357" w:right="51" w:hanging="357"/>
      <w:jc w:val="both"/>
    </w:pPr>
    <w:rPr>
      <w:rFonts w:ascii="Times New Roman" w:eastAsia="Times" w:hAnsi="Times New Roman" w:cs="Times New Roman"/>
      <w:position w:val="6"/>
      <w:sz w:val="18"/>
      <w:lang w:val="es-ES_tradnl" w:bidi="en-US"/>
    </w:rPr>
  </w:style>
  <w:style w:type="paragraph" w:styleId="HTMLconformatoprevio">
    <w:name w:val="HTML Preformatted"/>
    <w:basedOn w:val="Normal"/>
    <w:link w:val="HTMLconformatoprevioCar"/>
    <w:uiPriority w:val="99"/>
    <w:unhideWhenUsed/>
    <w:rsid w:val="002E1C85"/>
    <w:pPr>
      <w:spacing w:after="0" w:line="240" w:lineRule="auto"/>
    </w:pPr>
    <w:rPr>
      <w:rFonts w:ascii="Consolas" w:eastAsiaTheme="minorHAnsi" w:hAnsi="Consolas" w:cs="Consolas"/>
      <w:sz w:val="20"/>
      <w:szCs w:val="20"/>
      <w:lang w:val="es-CR"/>
    </w:rPr>
  </w:style>
  <w:style w:type="character" w:customStyle="1" w:styleId="HTMLconformatoprevioCar">
    <w:name w:val="HTML con formato previo Car"/>
    <w:basedOn w:val="Fuentedeprrafopredeter"/>
    <w:link w:val="HTMLconformatoprevio"/>
    <w:uiPriority w:val="99"/>
    <w:rsid w:val="002E1C85"/>
    <w:rPr>
      <w:rFonts w:ascii="Consolas" w:hAnsi="Consolas" w:cs="Consolas"/>
      <w:sz w:val="20"/>
      <w:szCs w:val="20"/>
    </w:rPr>
  </w:style>
  <w:style w:type="paragraph" w:customStyle="1" w:styleId="style10">
    <w:name w:val="style1"/>
    <w:basedOn w:val="Normal"/>
    <w:rsid w:val="002E1C8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lign-justify">
    <w:name w:val="align-justify"/>
    <w:basedOn w:val="Normal"/>
    <w:rsid w:val="002E1C8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E1C85"/>
    <w:rPr>
      <w:rFonts w:ascii="Times New Roman" w:eastAsiaTheme="minorHAnsi" w:hAnsi="Times New Roman" w:cs="Times New Roman"/>
      <w:sz w:val="24"/>
      <w:szCs w:val="24"/>
    </w:rPr>
  </w:style>
  <w:style w:type="paragraph" w:customStyle="1" w:styleId="Footnotes">
    <w:name w:val="**. Footnotes"/>
    <w:basedOn w:val="Textonotapie"/>
    <w:link w:val="FootnotesChar"/>
    <w:autoRedefine/>
    <w:qFormat/>
    <w:rsid w:val="002E1C85"/>
    <w:pPr>
      <w:widowControl w:val="0"/>
      <w:tabs>
        <w:tab w:val="left" w:pos="567"/>
      </w:tabs>
      <w:spacing w:before="120" w:after="40"/>
      <w:jc w:val="both"/>
    </w:pPr>
    <w:rPr>
      <w:rFonts w:ascii="Verdana" w:hAnsi="Verdana" w:cs="Palatino-Italic"/>
      <w:i/>
      <w:iCs/>
      <w:sz w:val="16"/>
      <w:szCs w:val="16"/>
      <w:lang w:val="en-US"/>
    </w:rPr>
  </w:style>
  <w:style w:type="character" w:customStyle="1" w:styleId="FootnotesChar">
    <w:name w:val="**. Footnotes Char"/>
    <w:basedOn w:val="Fuentedeprrafopredeter"/>
    <w:link w:val="Footnotes"/>
    <w:rsid w:val="002E1C85"/>
    <w:rPr>
      <w:rFonts w:ascii="Verdana" w:eastAsia="Batang" w:hAnsi="Verdana" w:cs="Palatino-Italic"/>
      <w:i/>
      <w:iCs/>
      <w:sz w:val="16"/>
      <w:szCs w:val="16"/>
      <w:lang w:val="en-US"/>
    </w:rPr>
  </w:style>
  <w:style w:type="character" w:customStyle="1" w:styleId="Ttulo1Car">
    <w:name w:val="Título 1 Car"/>
    <w:basedOn w:val="Fuentedeprrafopredeter"/>
    <w:link w:val="Ttulo1"/>
    <w:uiPriority w:val="9"/>
    <w:rsid w:val="00BD5BB5"/>
    <w:rPr>
      <w:rFonts w:ascii="Verdana" w:eastAsia="Batang" w:hAnsi="Verdana"/>
      <w:b/>
      <w:sz w:val="20"/>
      <w:szCs w:val="20"/>
      <w:lang w:val="es-MX"/>
    </w:rPr>
  </w:style>
  <w:style w:type="character" w:customStyle="1" w:styleId="Ttulo6Car">
    <w:name w:val="Título 6 Car"/>
    <w:basedOn w:val="Fuentedeprrafopredeter"/>
    <w:link w:val="Ttulo6"/>
    <w:uiPriority w:val="9"/>
    <w:rsid w:val="00BD5BB5"/>
    <w:rPr>
      <w:rFonts w:ascii="Verdana" w:eastAsia="Batang" w:hAnsi="Verdana"/>
      <w:i/>
      <w:sz w:val="20"/>
      <w:szCs w:val="20"/>
    </w:rPr>
  </w:style>
  <w:style w:type="character" w:customStyle="1" w:styleId="Smbolodenotaalpie">
    <w:name w:val="Símbolo de nota al pie"/>
    <w:rsid w:val="00903628"/>
    <w:rPr>
      <w:rFonts w:cs="Times New Roman"/>
      <w:szCs w:val="20"/>
      <w:vertAlign w:val="superscript"/>
    </w:rPr>
  </w:style>
  <w:style w:type="numbering" w:styleId="111111">
    <w:name w:val="Outline List 2"/>
    <w:basedOn w:val="Sinlista"/>
    <w:uiPriority w:val="99"/>
    <w:semiHidden/>
    <w:unhideWhenUsed/>
    <w:rsid w:val="009114A1"/>
    <w:pPr>
      <w:numPr>
        <w:numId w:val="28"/>
      </w:numPr>
    </w:pPr>
  </w:style>
  <w:style w:type="character" w:customStyle="1" w:styleId="Estilo1Car">
    <w:name w:val="Estilo1 Car"/>
    <w:link w:val="Estilo1"/>
    <w:locked/>
    <w:rsid w:val="009114A1"/>
    <w:rPr>
      <w:rFonts w:ascii="Verdana" w:hAnsi="Verdana"/>
    </w:rPr>
  </w:style>
  <w:style w:type="paragraph" w:customStyle="1" w:styleId="Estilo1">
    <w:name w:val="Estilo1"/>
    <w:basedOn w:val="Normal"/>
    <w:link w:val="Estilo1Car"/>
    <w:qFormat/>
    <w:rsid w:val="009114A1"/>
    <w:pPr>
      <w:tabs>
        <w:tab w:val="left" w:pos="567"/>
        <w:tab w:val="left" w:pos="1134"/>
        <w:tab w:val="num" w:pos="6042"/>
      </w:tabs>
      <w:spacing w:after="120" w:line="240" w:lineRule="auto"/>
      <w:jc w:val="both"/>
    </w:pPr>
    <w:rPr>
      <w:rFonts w:ascii="Verdana" w:eastAsiaTheme="minorHAnsi" w:hAnsi="Verdana"/>
      <w:lang w:val="es-CR"/>
    </w:rPr>
  </w:style>
  <w:style w:type="character" w:customStyle="1" w:styleId="Caracteresdenotaalpie">
    <w:name w:val="Caracteres de nota al pie"/>
    <w:rsid w:val="009114A1"/>
    <w:rPr>
      <w:vertAlign w:val="superscript"/>
    </w:rPr>
  </w:style>
  <w:style w:type="paragraph" w:customStyle="1" w:styleId="Prrafodelista2">
    <w:name w:val="Párrafo de lista2"/>
    <w:basedOn w:val="Normal"/>
    <w:uiPriority w:val="99"/>
    <w:rsid w:val="009114A1"/>
    <w:pPr>
      <w:spacing w:after="0" w:line="240" w:lineRule="auto"/>
      <w:ind w:left="720"/>
    </w:pPr>
    <w:rPr>
      <w:rFonts w:ascii="Verdana" w:eastAsia="MS Mincho" w:hAnsi="Verdana" w:cs="Times New Roman"/>
      <w:sz w:val="20"/>
      <w:szCs w:val="20"/>
      <w:lang w:val="es-ES_tradnl" w:bidi="en-US"/>
    </w:rPr>
  </w:style>
  <w:style w:type="character" w:customStyle="1" w:styleId="Caracteresdenotafinal">
    <w:name w:val="Caracteres de nota final"/>
    <w:rsid w:val="009114A1"/>
    <w:rPr>
      <w:vertAlign w:val="superscript"/>
    </w:rPr>
  </w:style>
  <w:style w:type="character" w:styleId="Nmerodelnea">
    <w:name w:val="line number"/>
    <w:basedOn w:val="Fuentedeprrafopredeter"/>
    <w:uiPriority w:val="99"/>
    <w:semiHidden/>
    <w:unhideWhenUsed/>
    <w:rsid w:val="009114A1"/>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
    <w:basedOn w:val="Fuentedeprrafopredeter"/>
    <w:locked/>
    <w:rsid w:val="009114A1"/>
    <w:rPr>
      <w:rFonts w:ascii="Verdana" w:eastAsia="MS Mincho" w:hAnsi="Verdana" w:cs="Times"/>
      <w:sz w:val="16"/>
      <w:szCs w:val="24"/>
      <w:lang w:val="es-ES_tradnl"/>
    </w:rPr>
  </w:style>
  <w:style w:type="paragraph" w:styleId="Sinespaciado">
    <w:name w:val="No Spacing"/>
    <w:uiPriority w:val="1"/>
    <w:qFormat/>
    <w:rsid w:val="009114A1"/>
    <w:pPr>
      <w:spacing w:after="0" w:line="240" w:lineRule="auto"/>
    </w:pPr>
  </w:style>
  <w:style w:type="paragraph" w:styleId="TtuloTDC">
    <w:name w:val="TOC Heading"/>
    <w:basedOn w:val="Ttulo1"/>
    <w:next w:val="Normal"/>
    <w:uiPriority w:val="39"/>
    <w:unhideWhenUsed/>
    <w:qFormat/>
    <w:rsid w:val="0010164E"/>
    <w:pPr>
      <w:spacing w:line="276" w:lineRule="auto"/>
      <w:outlineLvl w:val="9"/>
    </w:pPr>
    <w:rPr>
      <w:lang w:val="en-US" w:eastAsia="ja-JP"/>
    </w:rPr>
  </w:style>
  <w:style w:type="paragraph" w:styleId="TDC2">
    <w:name w:val="toc 2"/>
    <w:basedOn w:val="Normal"/>
    <w:next w:val="Normal"/>
    <w:autoRedefine/>
    <w:uiPriority w:val="39"/>
    <w:unhideWhenUsed/>
    <w:qFormat/>
    <w:rsid w:val="00E04F76"/>
    <w:pPr>
      <w:spacing w:after="0"/>
      <w:ind w:left="220"/>
    </w:pPr>
    <w:rPr>
      <w:smallCaps/>
      <w:sz w:val="20"/>
      <w:szCs w:val="20"/>
    </w:rPr>
  </w:style>
  <w:style w:type="paragraph" w:styleId="TDC1">
    <w:name w:val="toc 1"/>
    <w:basedOn w:val="Normal"/>
    <w:next w:val="Normal"/>
    <w:autoRedefine/>
    <w:uiPriority w:val="39"/>
    <w:unhideWhenUsed/>
    <w:qFormat/>
    <w:rsid w:val="00892612"/>
    <w:pPr>
      <w:spacing w:before="120" w:after="120"/>
    </w:pPr>
    <w:rPr>
      <w:b/>
      <w:bCs/>
      <w:caps/>
      <w:sz w:val="20"/>
      <w:szCs w:val="20"/>
    </w:rPr>
  </w:style>
  <w:style w:type="paragraph" w:styleId="TDC3">
    <w:name w:val="toc 3"/>
    <w:basedOn w:val="Normal"/>
    <w:next w:val="Normal"/>
    <w:autoRedefine/>
    <w:uiPriority w:val="39"/>
    <w:unhideWhenUsed/>
    <w:qFormat/>
    <w:rsid w:val="00892612"/>
    <w:pPr>
      <w:spacing w:after="0"/>
      <w:ind w:left="440"/>
    </w:pPr>
    <w:rPr>
      <w:i/>
      <w:iCs/>
      <w:sz w:val="20"/>
      <w:szCs w:val="20"/>
    </w:rPr>
  </w:style>
  <w:style w:type="character" w:customStyle="1" w:styleId="Ttulo7Car">
    <w:name w:val="Título 7 Car"/>
    <w:basedOn w:val="Fuentedeprrafopredeter"/>
    <w:link w:val="Ttulo7"/>
    <w:uiPriority w:val="9"/>
    <w:rsid w:val="00AF0775"/>
    <w:rPr>
      <w:rFonts w:ascii="Verdana" w:eastAsia="Batang" w:hAnsi="Verdana"/>
      <w:i/>
      <w:sz w:val="20"/>
      <w:szCs w:val="20"/>
      <w:u w:val="single"/>
      <w:lang w:val="es-AR"/>
    </w:rPr>
  </w:style>
  <w:style w:type="character" w:customStyle="1" w:styleId="Ttulo8Car">
    <w:name w:val="Título 8 Car"/>
    <w:basedOn w:val="Fuentedeprrafopredeter"/>
    <w:link w:val="Ttulo8"/>
    <w:uiPriority w:val="9"/>
    <w:rsid w:val="00AF0775"/>
    <w:rPr>
      <w:rFonts w:ascii="Verdana" w:eastAsia="Batang" w:hAnsi="Verdana" w:cs="Cambria"/>
      <w:i/>
      <w:sz w:val="20"/>
      <w:szCs w:val="20"/>
      <w:lang w:val="es-MX"/>
    </w:rPr>
  </w:style>
  <w:style w:type="character" w:customStyle="1" w:styleId="Ttulo9Car">
    <w:name w:val="Título 9 Car"/>
    <w:basedOn w:val="Fuentedeprrafopredeter"/>
    <w:link w:val="Ttulo9"/>
    <w:uiPriority w:val="9"/>
    <w:rsid w:val="00AF0775"/>
    <w:rPr>
      <w:rFonts w:ascii="Verdana" w:hAnsi="Verdana"/>
      <w:i/>
      <w:sz w:val="20"/>
      <w:szCs w:val="20"/>
      <w:lang w:val="es-MX"/>
    </w:rPr>
  </w:style>
  <w:style w:type="paragraph" w:styleId="Ttulo">
    <w:name w:val="Title"/>
    <w:basedOn w:val="Prrafodelista"/>
    <w:next w:val="Normal"/>
    <w:link w:val="TtuloCar"/>
    <w:uiPriority w:val="10"/>
    <w:qFormat/>
    <w:rsid w:val="00032F3F"/>
    <w:pPr>
      <w:keepNext/>
      <w:keepLines/>
      <w:widowControl w:val="0"/>
      <w:numPr>
        <w:numId w:val="42"/>
      </w:numPr>
      <w:adjustRightInd w:val="0"/>
      <w:spacing w:before="120" w:after="120" w:line="240" w:lineRule="auto"/>
      <w:jc w:val="both"/>
      <w:textAlignment w:val="baseline"/>
      <w:outlineLvl w:val="1"/>
    </w:pPr>
    <w:rPr>
      <w:rFonts w:ascii="Verdana" w:hAnsi="Verdana"/>
      <w:b/>
      <w:i/>
      <w:sz w:val="20"/>
      <w:szCs w:val="20"/>
    </w:rPr>
  </w:style>
  <w:style w:type="character" w:customStyle="1" w:styleId="TtuloCar">
    <w:name w:val="Título Car"/>
    <w:basedOn w:val="Fuentedeprrafopredeter"/>
    <w:link w:val="Ttulo"/>
    <w:uiPriority w:val="10"/>
    <w:rsid w:val="00502E6A"/>
    <w:rPr>
      <w:rFonts w:ascii="Verdana" w:eastAsia="Batang" w:hAnsi="Verdana"/>
      <w:b/>
      <w:i/>
      <w:sz w:val="20"/>
      <w:szCs w:val="20"/>
      <w:lang w:val="es-MX"/>
    </w:rPr>
  </w:style>
  <w:style w:type="paragraph" w:styleId="Subttulo">
    <w:name w:val="Subtitle"/>
    <w:basedOn w:val="Ttulo"/>
    <w:next w:val="Normal"/>
    <w:link w:val="SubttuloCar"/>
    <w:uiPriority w:val="11"/>
    <w:qFormat/>
    <w:rsid w:val="00502E6A"/>
    <w:pPr>
      <w:numPr>
        <w:numId w:val="0"/>
      </w:numPr>
    </w:pPr>
  </w:style>
  <w:style w:type="character" w:customStyle="1" w:styleId="SubttuloCar">
    <w:name w:val="Subtítulo Car"/>
    <w:basedOn w:val="Fuentedeprrafopredeter"/>
    <w:link w:val="Subttulo"/>
    <w:uiPriority w:val="11"/>
    <w:rsid w:val="00502E6A"/>
    <w:rPr>
      <w:rFonts w:ascii="Verdana" w:eastAsia="Batang" w:hAnsi="Verdana"/>
      <w:b/>
      <w:i/>
      <w:sz w:val="20"/>
      <w:szCs w:val="20"/>
      <w:lang w:val="es-MX"/>
    </w:rPr>
  </w:style>
  <w:style w:type="character" w:styleId="nfasissutil">
    <w:name w:val="Subtle Emphasis"/>
    <w:uiPriority w:val="19"/>
    <w:qFormat/>
    <w:rsid w:val="001A04CC"/>
  </w:style>
  <w:style w:type="character" w:styleId="nfasis">
    <w:name w:val="Emphasis"/>
    <w:basedOn w:val="nfasissutil"/>
    <w:uiPriority w:val="20"/>
    <w:qFormat/>
    <w:rsid w:val="001E18B7"/>
  </w:style>
  <w:style w:type="paragraph" w:styleId="TDC5">
    <w:name w:val="toc 5"/>
    <w:basedOn w:val="Normal"/>
    <w:next w:val="Normal"/>
    <w:autoRedefine/>
    <w:uiPriority w:val="39"/>
    <w:unhideWhenUsed/>
    <w:rsid w:val="001E5246"/>
    <w:pPr>
      <w:spacing w:after="0"/>
      <w:ind w:left="880"/>
    </w:pPr>
    <w:rPr>
      <w:sz w:val="18"/>
      <w:szCs w:val="18"/>
    </w:rPr>
  </w:style>
  <w:style w:type="paragraph" w:styleId="TDC6">
    <w:name w:val="toc 6"/>
    <w:basedOn w:val="Normal"/>
    <w:next w:val="Normal"/>
    <w:autoRedefine/>
    <w:uiPriority w:val="39"/>
    <w:unhideWhenUsed/>
    <w:rsid w:val="001E5246"/>
    <w:pPr>
      <w:spacing w:after="0"/>
      <w:ind w:left="1100"/>
    </w:pPr>
    <w:rPr>
      <w:sz w:val="18"/>
      <w:szCs w:val="18"/>
    </w:rPr>
  </w:style>
  <w:style w:type="paragraph" w:styleId="TDC7">
    <w:name w:val="toc 7"/>
    <w:basedOn w:val="Normal"/>
    <w:next w:val="Normal"/>
    <w:autoRedefine/>
    <w:uiPriority w:val="39"/>
    <w:unhideWhenUsed/>
    <w:rsid w:val="001E5246"/>
    <w:pPr>
      <w:spacing w:after="0"/>
      <w:ind w:left="1320"/>
    </w:pPr>
    <w:rPr>
      <w:sz w:val="18"/>
      <w:szCs w:val="18"/>
    </w:rPr>
  </w:style>
  <w:style w:type="paragraph" w:styleId="TDC4">
    <w:name w:val="toc 4"/>
    <w:basedOn w:val="Normal"/>
    <w:next w:val="Normal"/>
    <w:autoRedefine/>
    <w:uiPriority w:val="39"/>
    <w:unhideWhenUsed/>
    <w:rsid w:val="003A72F8"/>
    <w:pPr>
      <w:tabs>
        <w:tab w:val="left" w:pos="1320"/>
        <w:tab w:val="right" w:leader="dot" w:pos="9792"/>
      </w:tabs>
      <w:spacing w:after="0" w:line="240" w:lineRule="auto"/>
      <w:ind w:left="660"/>
      <w:jc w:val="both"/>
    </w:pPr>
    <w:rPr>
      <w:sz w:val="18"/>
      <w:szCs w:val="18"/>
    </w:rPr>
  </w:style>
  <w:style w:type="paragraph" w:styleId="TDC8">
    <w:name w:val="toc 8"/>
    <w:basedOn w:val="Normal"/>
    <w:next w:val="Normal"/>
    <w:autoRedefine/>
    <w:uiPriority w:val="39"/>
    <w:unhideWhenUsed/>
    <w:rsid w:val="00731155"/>
    <w:pPr>
      <w:spacing w:after="0"/>
      <w:ind w:left="1540"/>
    </w:pPr>
    <w:rPr>
      <w:sz w:val="18"/>
      <w:szCs w:val="18"/>
    </w:rPr>
  </w:style>
  <w:style w:type="paragraph" w:styleId="TDC9">
    <w:name w:val="toc 9"/>
    <w:basedOn w:val="Normal"/>
    <w:next w:val="Normal"/>
    <w:autoRedefine/>
    <w:uiPriority w:val="39"/>
    <w:unhideWhenUsed/>
    <w:rsid w:val="00731155"/>
    <w:pPr>
      <w:spacing w:after="0"/>
      <w:ind w:left="1760"/>
    </w:pPr>
    <w:rPr>
      <w:sz w:val="18"/>
      <w:szCs w:val="18"/>
    </w:rPr>
  </w:style>
  <w:style w:type="character" w:customStyle="1" w:styleId="PrrafodeSentenciaChar">
    <w:name w:val="*. Párrafo de Sentencia Char"/>
    <w:link w:val="PrrafodeSentencia"/>
    <w:locked/>
    <w:rsid w:val="003C71F3"/>
    <w:rPr>
      <w:rFonts w:ascii="Verdana" w:eastAsia="Batang" w:hAnsi="Verdana"/>
      <w:spacing w:val="-4"/>
      <w:sz w:val="20"/>
      <w:lang w:eastAsia="es-MX"/>
    </w:rPr>
  </w:style>
  <w:style w:type="paragraph" w:customStyle="1" w:styleId="PrrafodeSentencia">
    <w:name w:val="*. Párrafo de Sentencia"/>
    <w:basedOn w:val="Normal"/>
    <w:next w:val="Normal"/>
    <w:link w:val="PrrafodeSentenciaChar"/>
    <w:qFormat/>
    <w:rsid w:val="003C71F3"/>
    <w:pPr>
      <w:tabs>
        <w:tab w:val="left" w:pos="567"/>
      </w:tabs>
      <w:spacing w:after="0" w:line="240" w:lineRule="auto"/>
      <w:jc w:val="both"/>
    </w:pPr>
    <w:rPr>
      <w:rFonts w:ascii="Verdana" w:hAnsi="Verdana"/>
      <w:spacing w:val="-4"/>
      <w:sz w:val="20"/>
      <w:lang w:val="es-CR" w:eastAsia="es-MX"/>
    </w:rPr>
  </w:style>
  <w:style w:type="table" w:styleId="Tablaconcuadrcula">
    <w:name w:val="Table Grid"/>
    <w:basedOn w:val="Tablanormal"/>
    <w:uiPriority w:val="59"/>
    <w:rsid w:val="00E3342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8D073B"/>
    <w:pPr>
      <w:spacing w:after="120" w:line="360" w:lineRule="atLeast"/>
      <w:jc w:val="both"/>
    </w:pPr>
    <w:rPr>
      <w:rFonts w:ascii="Verdana" w:eastAsiaTheme="minorHAnsi" w:hAnsi="Verdana" w:cs="Times New Roman"/>
      <w:sz w:val="24"/>
      <w:szCs w:val="24"/>
      <w:lang w:val="es-CR" w:eastAsia="es-CR"/>
    </w:rPr>
  </w:style>
  <w:style w:type="character" w:customStyle="1" w:styleId="TextoindependienteCar">
    <w:name w:val="Texto independiente Car"/>
    <w:basedOn w:val="Fuentedeprrafopredeter"/>
    <w:link w:val="Textoindependiente"/>
    <w:uiPriority w:val="99"/>
    <w:rsid w:val="008D073B"/>
    <w:rPr>
      <w:rFonts w:ascii="Verdana" w:hAnsi="Verdana" w:cs="Times New Roman"/>
      <w:sz w:val="24"/>
      <w:szCs w:val="24"/>
      <w:lang w:eastAsia="es-CR"/>
    </w:rPr>
  </w:style>
  <w:style w:type="paragraph" w:customStyle="1" w:styleId="Ttulo61">
    <w:name w:val="Título 61"/>
    <w:basedOn w:val="Normal"/>
    <w:rsid w:val="008D073B"/>
    <w:pPr>
      <w:numPr>
        <w:ilvl w:val="4"/>
        <w:numId w:val="104"/>
      </w:numPr>
      <w:spacing w:after="0" w:line="240" w:lineRule="auto"/>
      <w:ind w:left="0" w:firstLine="0"/>
    </w:pPr>
    <w:rPr>
      <w:rFonts w:ascii="Calibri" w:eastAsiaTheme="minorHAnsi" w:hAnsi="Calibri" w:cs="Times New Roman"/>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84794">
      <w:bodyDiv w:val="1"/>
      <w:marLeft w:val="0"/>
      <w:marRight w:val="0"/>
      <w:marTop w:val="0"/>
      <w:marBottom w:val="0"/>
      <w:divBdr>
        <w:top w:val="none" w:sz="0" w:space="0" w:color="auto"/>
        <w:left w:val="none" w:sz="0" w:space="0" w:color="auto"/>
        <w:bottom w:val="none" w:sz="0" w:space="0" w:color="auto"/>
        <w:right w:val="none" w:sz="0" w:space="0" w:color="auto"/>
      </w:divBdr>
    </w:div>
    <w:div w:id="200213278">
      <w:bodyDiv w:val="1"/>
      <w:marLeft w:val="0"/>
      <w:marRight w:val="0"/>
      <w:marTop w:val="0"/>
      <w:marBottom w:val="0"/>
      <w:divBdr>
        <w:top w:val="none" w:sz="0" w:space="0" w:color="auto"/>
        <w:left w:val="none" w:sz="0" w:space="0" w:color="auto"/>
        <w:bottom w:val="none" w:sz="0" w:space="0" w:color="auto"/>
        <w:right w:val="none" w:sz="0" w:space="0" w:color="auto"/>
      </w:divBdr>
    </w:div>
    <w:div w:id="225721457">
      <w:bodyDiv w:val="1"/>
      <w:marLeft w:val="0"/>
      <w:marRight w:val="0"/>
      <w:marTop w:val="0"/>
      <w:marBottom w:val="0"/>
      <w:divBdr>
        <w:top w:val="none" w:sz="0" w:space="0" w:color="auto"/>
        <w:left w:val="none" w:sz="0" w:space="0" w:color="auto"/>
        <w:bottom w:val="none" w:sz="0" w:space="0" w:color="auto"/>
        <w:right w:val="none" w:sz="0" w:space="0" w:color="auto"/>
      </w:divBdr>
    </w:div>
    <w:div w:id="234047683">
      <w:bodyDiv w:val="1"/>
      <w:marLeft w:val="0"/>
      <w:marRight w:val="0"/>
      <w:marTop w:val="0"/>
      <w:marBottom w:val="0"/>
      <w:divBdr>
        <w:top w:val="none" w:sz="0" w:space="0" w:color="auto"/>
        <w:left w:val="none" w:sz="0" w:space="0" w:color="auto"/>
        <w:bottom w:val="none" w:sz="0" w:space="0" w:color="auto"/>
        <w:right w:val="none" w:sz="0" w:space="0" w:color="auto"/>
      </w:divBdr>
    </w:div>
    <w:div w:id="355082476">
      <w:bodyDiv w:val="1"/>
      <w:marLeft w:val="0"/>
      <w:marRight w:val="0"/>
      <w:marTop w:val="0"/>
      <w:marBottom w:val="0"/>
      <w:divBdr>
        <w:top w:val="none" w:sz="0" w:space="0" w:color="auto"/>
        <w:left w:val="none" w:sz="0" w:space="0" w:color="auto"/>
        <w:bottom w:val="none" w:sz="0" w:space="0" w:color="auto"/>
        <w:right w:val="none" w:sz="0" w:space="0" w:color="auto"/>
      </w:divBdr>
    </w:div>
    <w:div w:id="449318672">
      <w:bodyDiv w:val="1"/>
      <w:marLeft w:val="0"/>
      <w:marRight w:val="0"/>
      <w:marTop w:val="0"/>
      <w:marBottom w:val="0"/>
      <w:divBdr>
        <w:top w:val="none" w:sz="0" w:space="0" w:color="auto"/>
        <w:left w:val="none" w:sz="0" w:space="0" w:color="auto"/>
        <w:bottom w:val="none" w:sz="0" w:space="0" w:color="auto"/>
        <w:right w:val="none" w:sz="0" w:space="0" w:color="auto"/>
      </w:divBdr>
    </w:div>
    <w:div w:id="536697353">
      <w:bodyDiv w:val="1"/>
      <w:marLeft w:val="0"/>
      <w:marRight w:val="0"/>
      <w:marTop w:val="0"/>
      <w:marBottom w:val="0"/>
      <w:divBdr>
        <w:top w:val="none" w:sz="0" w:space="0" w:color="auto"/>
        <w:left w:val="none" w:sz="0" w:space="0" w:color="auto"/>
        <w:bottom w:val="none" w:sz="0" w:space="0" w:color="auto"/>
        <w:right w:val="none" w:sz="0" w:space="0" w:color="auto"/>
      </w:divBdr>
    </w:div>
    <w:div w:id="698706181">
      <w:bodyDiv w:val="1"/>
      <w:marLeft w:val="0"/>
      <w:marRight w:val="0"/>
      <w:marTop w:val="0"/>
      <w:marBottom w:val="0"/>
      <w:divBdr>
        <w:top w:val="none" w:sz="0" w:space="0" w:color="auto"/>
        <w:left w:val="none" w:sz="0" w:space="0" w:color="auto"/>
        <w:bottom w:val="none" w:sz="0" w:space="0" w:color="auto"/>
        <w:right w:val="none" w:sz="0" w:space="0" w:color="auto"/>
      </w:divBdr>
    </w:div>
    <w:div w:id="795175736">
      <w:bodyDiv w:val="1"/>
      <w:marLeft w:val="0"/>
      <w:marRight w:val="0"/>
      <w:marTop w:val="0"/>
      <w:marBottom w:val="0"/>
      <w:divBdr>
        <w:top w:val="none" w:sz="0" w:space="0" w:color="auto"/>
        <w:left w:val="none" w:sz="0" w:space="0" w:color="auto"/>
        <w:bottom w:val="none" w:sz="0" w:space="0" w:color="auto"/>
        <w:right w:val="none" w:sz="0" w:space="0" w:color="auto"/>
      </w:divBdr>
    </w:div>
    <w:div w:id="1228564242">
      <w:bodyDiv w:val="1"/>
      <w:marLeft w:val="0"/>
      <w:marRight w:val="0"/>
      <w:marTop w:val="0"/>
      <w:marBottom w:val="0"/>
      <w:divBdr>
        <w:top w:val="none" w:sz="0" w:space="0" w:color="auto"/>
        <w:left w:val="none" w:sz="0" w:space="0" w:color="auto"/>
        <w:bottom w:val="none" w:sz="0" w:space="0" w:color="auto"/>
        <w:right w:val="none" w:sz="0" w:space="0" w:color="auto"/>
      </w:divBdr>
    </w:div>
    <w:div w:id="1242373116">
      <w:bodyDiv w:val="1"/>
      <w:marLeft w:val="0"/>
      <w:marRight w:val="0"/>
      <w:marTop w:val="0"/>
      <w:marBottom w:val="0"/>
      <w:divBdr>
        <w:top w:val="none" w:sz="0" w:space="0" w:color="auto"/>
        <w:left w:val="none" w:sz="0" w:space="0" w:color="auto"/>
        <w:bottom w:val="none" w:sz="0" w:space="0" w:color="auto"/>
        <w:right w:val="none" w:sz="0" w:space="0" w:color="auto"/>
      </w:divBdr>
    </w:div>
    <w:div w:id="1286424968">
      <w:bodyDiv w:val="1"/>
      <w:marLeft w:val="0"/>
      <w:marRight w:val="0"/>
      <w:marTop w:val="0"/>
      <w:marBottom w:val="0"/>
      <w:divBdr>
        <w:top w:val="none" w:sz="0" w:space="0" w:color="auto"/>
        <w:left w:val="none" w:sz="0" w:space="0" w:color="auto"/>
        <w:bottom w:val="none" w:sz="0" w:space="0" w:color="auto"/>
        <w:right w:val="none" w:sz="0" w:space="0" w:color="auto"/>
      </w:divBdr>
    </w:div>
    <w:div w:id="1353726021">
      <w:bodyDiv w:val="1"/>
      <w:marLeft w:val="0"/>
      <w:marRight w:val="0"/>
      <w:marTop w:val="0"/>
      <w:marBottom w:val="0"/>
      <w:divBdr>
        <w:top w:val="none" w:sz="0" w:space="0" w:color="auto"/>
        <w:left w:val="none" w:sz="0" w:space="0" w:color="auto"/>
        <w:bottom w:val="none" w:sz="0" w:space="0" w:color="auto"/>
        <w:right w:val="none" w:sz="0" w:space="0" w:color="auto"/>
      </w:divBdr>
    </w:div>
    <w:div w:id="1365012175">
      <w:bodyDiv w:val="1"/>
      <w:marLeft w:val="0"/>
      <w:marRight w:val="0"/>
      <w:marTop w:val="0"/>
      <w:marBottom w:val="0"/>
      <w:divBdr>
        <w:top w:val="none" w:sz="0" w:space="0" w:color="auto"/>
        <w:left w:val="none" w:sz="0" w:space="0" w:color="auto"/>
        <w:bottom w:val="none" w:sz="0" w:space="0" w:color="auto"/>
        <w:right w:val="none" w:sz="0" w:space="0" w:color="auto"/>
      </w:divBdr>
    </w:div>
    <w:div w:id="1474133928">
      <w:bodyDiv w:val="1"/>
      <w:marLeft w:val="0"/>
      <w:marRight w:val="0"/>
      <w:marTop w:val="0"/>
      <w:marBottom w:val="0"/>
      <w:divBdr>
        <w:top w:val="none" w:sz="0" w:space="0" w:color="auto"/>
        <w:left w:val="none" w:sz="0" w:space="0" w:color="auto"/>
        <w:bottom w:val="none" w:sz="0" w:space="0" w:color="auto"/>
        <w:right w:val="none" w:sz="0" w:space="0" w:color="auto"/>
      </w:divBdr>
    </w:div>
    <w:div w:id="1624380261">
      <w:bodyDiv w:val="1"/>
      <w:marLeft w:val="0"/>
      <w:marRight w:val="0"/>
      <w:marTop w:val="0"/>
      <w:marBottom w:val="0"/>
      <w:divBdr>
        <w:top w:val="none" w:sz="0" w:space="0" w:color="auto"/>
        <w:left w:val="none" w:sz="0" w:space="0" w:color="auto"/>
        <w:bottom w:val="none" w:sz="0" w:space="0" w:color="auto"/>
        <w:right w:val="none" w:sz="0" w:space="0" w:color="auto"/>
      </w:divBdr>
    </w:div>
    <w:div w:id="1648781621">
      <w:bodyDiv w:val="1"/>
      <w:marLeft w:val="0"/>
      <w:marRight w:val="0"/>
      <w:marTop w:val="0"/>
      <w:marBottom w:val="0"/>
      <w:divBdr>
        <w:top w:val="none" w:sz="0" w:space="0" w:color="auto"/>
        <w:left w:val="none" w:sz="0" w:space="0" w:color="auto"/>
        <w:bottom w:val="none" w:sz="0" w:space="0" w:color="auto"/>
        <w:right w:val="none" w:sz="0" w:space="0" w:color="auto"/>
      </w:divBdr>
    </w:div>
    <w:div w:id="1871137894">
      <w:bodyDiv w:val="1"/>
      <w:marLeft w:val="0"/>
      <w:marRight w:val="0"/>
      <w:marTop w:val="0"/>
      <w:marBottom w:val="0"/>
      <w:divBdr>
        <w:top w:val="none" w:sz="0" w:space="0" w:color="auto"/>
        <w:left w:val="none" w:sz="0" w:space="0" w:color="auto"/>
        <w:bottom w:val="none" w:sz="0" w:space="0" w:color="auto"/>
        <w:right w:val="none" w:sz="0" w:space="0" w:color="auto"/>
      </w:divBdr>
    </w:div>
    <w:div w:id="210279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putados.gob.mx/LeyesBiblio/ref/lgmdfp.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pnd.gob.mx/" TargetMode="External"/><Relationship Id="rId18" Type="http://schemas.openxmlformats.org/officeDocument/2006/relationships/hyperlink" Target="http://www.internet2.scjn.gob.mx/red2/comunicados/noticia.asp?id=5794" TargetMode="External"/><Relationship Id="rId26" Type="http://schemas.openxmlformats.org/officeDocument/2006/relationships/hyperlink" Target="http://www.cndh.org.mx/sites/all/doc/Informes/Especiales/InformeEspecial_20170406.pdf" TargetMode="External"/><Relationship Id="rId39" Type="http://schemas.openxmlformats.org/officeDocument/2006/relationships/hyperlink" Target="http://www.corteidh.or.cr/docs/medidas/alvarado_se_06.pdf" TargetMode="External"/><Relationship Id="rId21" Type="http://schemas.openxmlformats.org/officeDocument/2006/relationships/hyperlink" Target="http://www.hchr.org.mx/images/GTDFI2011.pdf" TargetMode="External"/><Relationship Id="rId34" Type="http://schemas.openxmlformats.org/officeDocument/2006/relationships/hyperlink" Target="http://www.cedhchihuahua.org.mx/portal/Informes/Informe_2010.pdf" TargetMode="External"/><Relationship Id="rId42" Type="http://schemas.openxmlformats.org/officeDocument/2006/relationships/hyperlink" Target="http://www.diputados.gob.mx/LeyesBiblio/pdf/LGMDFP_171117.pdf" TargetMode="External"/><Relationship Id="rId7" Type="http://schemas.openxmlformats.org/officeDocument/2006/relationships/hyperlink" Target="http://gaceta.diputados.gob.mx/Gaceta/64/2018/nov/20181120-II.html" TargetMode="External"/><Relationship Id="rId2" Type="http://schemas.openxmlformats.org/officeDocument/2006/relationships/hyperlink" Target="http://www.corteidh.or.cr/docs/asuntos/alvarado_23_03_18.pdf" TargetMode="External"/><Relationship Id="rId16" Type="http://schemas.openxmlformats.org/officeDocument/2006/relationships/hyperlink" Target="http://cdn.presidencia.gob.mx/sextoinforme/informe/6_IG_INFORME_COMPLETO.pdf" TargetMode="External"/><Relationship Id="rId29" Type="http://schemas.openxmlformats.org/officeDocument/2006/relationships/hyperlink" Target="http://www.cndh.org.mx/sites/all/doc/Informes/Especiales/InformeEspecial_20170406_Resumen.pdf" TargetMode="External"/><Relationship Id="rId1" Type="http://schemas.openxmlformats.org/officeDocument/2006/relationships/hyperlink" Target="http://www.corteidh.or.cr/docs/asuntos/alvaradoes_fv_17.pdf" TargetMode="External"/><Relationship Id="rId6" Type="http://schemas.openxmlformats.org/officeDocument/2006/relationships/hyperlink" Target="https://lopezobrador.org.mx/wp-content/uploads/2018/11/Plan-Nacional-de-Paz-y-Seguridad_.pdf" TargetMode="External"/><Relationship Id="rId11" Type="http://schemas.openxmlformats.org/officeDocument/2006/relationships/hyperlink" Target="http://calderon.presidencia.gob.mx/el-blog/los-operativos-conjuntos/" TargetMode="External"/><Relationship Id="rId24" Type="http://schemas.openxmlformats.org/officeDocument/2006/relationships/hyperlink" Target="http://www.cndh.org.mx/sites/all/doc/Informes/Especiales/2016_IE_Desplazados.pdf" TargetMode="External"/><Relationship Id="rId32" Type="http://schemas.openxmlformats.org/officeDocument/2006/relationships/hyperlink" Target="http://www.cedhchihuahua.org.mx/portal/Informes/Informe_2008.pdf" TargetMode="External"/><Relationship Id="rId37" Type="http://schemas.openxmlformats.org/officeDocument/2006/relationships/hyperlink" Target="http://www.undp.org/content/dam/rblac/img/IDH/IDH-AL%20Informe%20completo.pdf" TargetMode="External"/><Relationship Id="rId40" Type="http://schemas.openxmlformats.org/officeDocument/2006/relationships/hyperlink" Target="http://www.diputados.gob.mx/LeyesBiblio/pdf/LAmp_150618.pdf" TargetMode="External"/><Relationship Id="rId45" Type="http://schemas.openxmlformats.org/officeDocument/2006/relationships/hyperlink" Target="http://www.corteidh.or.cr/cf/Jurisprudencia2/busqueda_convocatorias.cfm?lang=es" TargetMode="External"/><Relationship Id="rId5" Type="http://schemas.openxmlformats.org/officeDocument/2006/relationships/hyperlink" Target="http://www.internet2.scjn.gob.mx/red2/comunicados/noticia.asp?id=5794" TargetMode="External"/><Relationship Id="rId15" Type="http://schemas.openxmlformats.org/officeDocument/2006/relationships/hyperlink" Target="http://www.dof.gob.mx/nota_detalle.php?codigo=5508716&amp;fecha=21/12/2017" TargetMode="External"/><Relationship Id="rId23" Type="http://schemas.openxmlformats.org/officeDocument/2006/relationships/hyperlink" Target="http://www.cndh.org.mx/sites/all/doc/Informes/Especiales/2016_IE_Recomendaciones.pdf" TargetMode="External"/><Relationship Id="rId28" Type="http://schemas.openxmlformats.org/officeDocument/2006/relationships/hyperlink" Target="https://tbinternet.ohchr.org/Treaties/CED/Shared%20Documents/MEX/INT_CED_IFN_MEX_19449_S.pdf" TargetMode="External"/><Relationship Id="rId36" Type="http://schemas.openxmlformats.org/officeDocument/2006/relationships/hyperlink" Target="http://www.corteidh.or.cr/docs/medidas/alvarado_se_07.pdf" TargetMode="External"/><Relationship Id="rId10" Type="http://schemas.openxmlformats.org/officeDocument/2006/relationships/hyperlink" Target="http://calderon.presidencia.gob.mx/informe/primer/mensajealanacion/index.html" TargetMode="External"/><Relationship Id="rId19" Type="http://schemas.openxmlformats.org/officeDocument/2006/relationships/hyperlink" Target="https://www.hchr.org.mx/images/doc_pub/SRHRD-END-OF-MISSION-STATEMENT-FINAL_ESP.pdf" TargetMode="External"/><Relationship Id="rId31" Type="http://schemas.openxmlformats.org/officeDocument/2006/relationships/hyperlink" Target="https://www.oas.org/es/cidh/expresion/docs/2018_06_18%20CIDH-UN_FINAL_MX_report_SPA.PDF" TargetMode="External"/><Relationship Id="rId44" Type="http://schemas.openxmlformats.org/officeDocument/2006/relationships/hyperlink" Target="https://datos.bancomundial.org/indicator/SP.DYN.LE00.FE.IN?end=2016&amp;locations=MX&amp;name_desc=false&amp;start=1978&amp;view=chart" TargetMode="External"/><Relationship Id="rId4" Type="http://schemas.openxmlformats.org/officeDocument/2006/relationships/hyperlink" Target="http://www.dof.gob.mx/nota_detalle.php?codigo=5508716&amp;fecha=21/12/2017" TargetMode="External"/><Relationship Id="rId9" Type="http://schemas.openxmlformats.org/officeDocument/2006/relationships/hyperlink" Target="http://calderon.presidencia.gob.mx/2006/12/anuncio-sobre-la-operacion-conjunta-michoacan/" TargetMode="External"/><Relationship Id="rId14" Type="http://schemas.openxmlformats.org/officeDocument/2006/relationships/hyperlink" Target="http://www.hchr.org.mx/images/doc_pub/RecomendacionesMX_AltoComisionadoDH_ES.pdf" TargetMode="External"/><Relationship Id="rId22" Type="http://schemas.openxmlformats.org/officeDocument/2006/relationships/hyperlink" Target="http://www.cndh.org.mx/Informes_Anuales_Actividades" TargetMode="External"/><Relationship Id="rId27" Type="http://schemas.openxmlformats.org/officeDocument/2006/relationships/hyperlink" Target="http://www.cndh.org.mx/sites/all/doc/Comunicados/2017/Com_2017_103.pdf" TargetMode="External"/><Relationship Id="rId30" Type="http://schemas.openxmlformats.org/officeDocument/2006/relationships/hyperlink" Target="http://www.cndh.org.mx/sites/all/doc/Comunicados/2015/Com_2015_023.pdf" TargetMode="External"/><Relationship Id="rId35" Type="http://schemas.openxmlformats.org/officeDocument/2006/relationships/hyperlink" Target="http://www.cedhchihuahua.org.mx/portal/Informes/Informe_2011.pdf" TargetMode="External"/><Relationship Id="rId43" Type="http://schemas.openxmlformats.org/officeDocument/2006/relationships/hyperlink" Target="http://www.cndh.org.mx/sites/all/doc/Informes/Especiales/InformeEspecial_20170406.pdf" TargetMode="External"/><Relationship Id="rId8" Type="http://schemas.openxmlformats.org/officeDocument/2006/relationships/hyperlink" Target="http://www.corteidh.or.cr/docs/asuntos/alvarado_23_03_18.pdf" TargetMode="External"/><Relationship Id="rId3" Type="http://schemas.openxmlformats.org/officeDocument/2006/relationships/hyperlink" Target="http://www.corteidh.or.cr/docs/asuntos/alvarado_23_04_18.pdf" TargetMode="External"/><Relationship Id="rId12" Type="http://schemas.openxmlformats.org/officeDocument/2006/relationships/hyperlink" Target="http://www.cndh.org.mx/sites/all/doc/Informes/Especiales/2008_segpublica1.pdf" TargetMode="External"/><Relationship Id="rId17" Type="http://schemas.openxmlformats.org/officeDocument/2006/relationships/hyperlink" Target="http://www.cndh.org.mx/sites/all/doc/Acciones/Acc_Inc_2018_LSI.pdf" TargetMode="External"/><Relationship Id="rId25" Type="http://schemas.openxmlformats.org/officeDocument/2006/relationships/hyperlink" Target="http://www.internal-displacement.org/global-report/grid2018/downloads/2018-GRID.pdf" TargetMode="External"/><Relationship Id="rId33" Type="http://schemas.openxmlformats.org/officeDocument/2006/relationships/hyperlink" Target="http://www.cedhchihuahua.org.mx/portal/Informes/Informe_2009.pdf" TargetMode="External"/><Relationship Id="rId38" Type="http://schemas.openxmlformats.org/officeDocument/2006/relationships/hyperlink" Target="http://www3.weforum.org/docs/WEF_GlobalCompetitivenessReport_2012-13.pdf" TargetMode="External"/><Relationship Id="rId20" Type="http://schemas.openxmlformats.org/officeDocument/2006/relationships/hyperlink" Target="https://www.ohchr.org/sp/NewsEvents/Pages/DisplayNews.aspx?NewsID=16578&amp;LangID=S" TargetMode="External"/><Relationship Id="rId41" Type="http://schemas.openxmlformats.org/officeDocument/2006/relationships/hyperlink" Target="http://www.diputados.gob.mx/LeyesBiblio/ref/lgmdf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92AEF-6AD0-4B10-9D65-E508CB41D091}">
  <ds:schemaRefs>
    <ds:schemaRef ds:uri="http://schemas.microsoft.com/sharepoint/v3/contenttype/forms"/>
  </ds:schemaRefs>
</ds:datastoreItem>
</file>

<file path=customXml/itemProps2.xml><?xml version="1.0" encoding="utf-8"?>
<ds:datastoreItem xmlns:ds="http://schemas.openxmlformats.org/officeDocument/2006/customXml" ds:itemID="{2DA5F94C-7695-45BA-BAD6-E416879F416A}">
  <ds:schemaRefs>
    <ds:schemaRef ds:uri="http://schemas.microsoft.com/office/2006/metadata/properties"/>
  </ds:schemaRefs>
</ds:datastoreItem>
</file>

<file path=customXml/itemProps3.xml><?xml version="1.0" encoding="utf-8"?>
<ds:datastoreItem xmlns:ds="http://schemas.openxmlformats.org/officeDocument/2006/customXml" ds:itemID="{AC67D11E-CED3-43AF-8FB9-4D4AAB2C2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29B607E-9570-4FBE-BDF4-8F7F83604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49421</Words>
  <Characters>281702</Characters>
  <Application>Microsoft Office Word</Application>
  <DocSecurity>0</DocSecurity>
  <Lines>2347</Lines>
  <Paragraphs>660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2018-12-28T19:33:00Z</cp:lastPrinted>
  <dcterms:created xsi:type="dcterms:W3CDTF">2018-12-28T19:33:00Z</dcterms:created>
  <dcterms:modified xsi:type="dcterms:W3CDTF">2018-12-28T19:35:00Z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