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ACD" w:rsidRDefault="00745AE4" w:rsidP="0009286F">
      <w:pPr>
        <w:spacing w:before="60" w:after="0" w:line="240" w:lineRule="auto"/>
        <w:jc w:val="center"/>
        <w:rPr>
          <w:rFonts w:ascii="Verdana" w:hAnsi="Verdana"/>
          <w:b/>
          <w:sz w:val="20"/>
          <w:szCs w:val="20"/>
          <w:lang w:val="es-CR"/>
        </w:rPr>
      </w:pPr>
      <w:r w:rsidRPr="00745AE4">
        <w:rPr>
          <w:rFonts w:ascii="Verdana" w:hAnsi="Verdana"/>
          <w:b/>
          <w:sz w:val="20"/>
          <w:szCs w:val="20"/>
          <w:lang w:val="es-CR"/>
        </w:rPr>
        <w:t xml:space="preserve">RESOLUCIÓN DE LA </w:t>
      </w:r>
    </w:p>
    <w:p w:rsidR="00FF7EEA" w:rsidRDefault="00745AE4" w:rsidP="0009286F">
      <w:pPr>
        <w:spacing w:before="60" w:after="0" w:line="240" w:lineRule="auto"/>
        <w:jc w:val="center"/>
        <w:rPr>
          <w:rFonts w:ascii="Verdana" w:hAnsi="Verdana"/>
          <w:b/>
          <w:smallCaps/>
          <w:sz w:val="20"/>
          <w:lang w:val="es-CR"/>
        </w:rPr>
      </w:pPr>
      <w:r w:rsidRPr="00745AE4">
        <w:rPr>
          <w:rFonts w:ascii="Verdana" w:hAnsi="Verdana"/>
          <w:b/>
          <w:sz w:val="20"/>
          <w:szCs w:val="20"/>
          <w:lang w:val="es-CR"/>
        </w:rPr>
        <w:t>CORTE INTERAMERICANA DE DERECHOS HUMANOS</w:t>
      </w:r>
      <w:r w:rsidR="004C7B35" w:rsidRPr="006D5A85">
        <w:rPr>
          <w:rStyle w:val="Refdenotaalpie"/>
          <w:rFonts w:ascii="Verdana" w:hAnsi="Verdana"/>
          <w:b/>
          <w:smallCaps/>
          <w:sz w:val="20"/>
        </w:rPr>
        <w:footnoteReference w:customMarkFollows="1" w:id="1"/>
        <w:sym w:font="Symbol" w:char="F02A"/>
      </w:r>
      <w:r w:rsidR="00FF7EEA" w:rsidRPr="00FF7EEA">
        <w:rPr>
          <w:rStyle w:val="Refdenotaalpie"/>
          <w:rFonts w:ascii="Verdana" w:hAnsi="Verdana"/>
          <w:b/>
          <w:smallCaps/>
          <w:sz w:val="20"/>
          <w:lang w:val="es-CR"/>
        </w:rPr>
        <w:t xml:space="preserve"> </w:t>
      </w:r>
    </w:p>
    <w:p w:rsidR="00AD4184" w:rsidRPr="00745AE4" w:rsidRDefault="00AD4184" w:rsidP="00AD4184">
      <w:pPr>
        <w:spacing w:after="0" w:line="240" w:lineRule="auto"/>
        <w:jc w:val="center"/>
        <w:rPr>
          <w:rFonts w:ascii="Verdana" w:hAnsi="Verdana"/>
          <w:b/>
          <w:sz w:val="20"/>
          <w:szCs w:val="20"/>
          <w:lang w:val="es-CR"/>
        </w:rPr>
      </w:pPr>
    </w:p>
    <w:p w:rsidR="00745AE4" w:rsidRDefault="00671120" w:rsidP="00AD4184">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C83015">
        <w:rPr>
          <w:rFonts w:ascii="Verdana" w:hAnsi="Verdana"/>
          <w:b/>
          <w:sz w:val="20"/>
          <w:szCs w:val="20"/>
          <w:lang w:val="es-CR"/>
        </w:rPr>
        <w:t>28</w:t>
      </w:r>
      <w:r w:rsidR="007B2E9E">
        <w:rPr>
          <w:rFonts w:ascii="Verdana" w:hAnsi="Verdana"/>
          <w:b/>
          <w:sz w:val="20"/>
          <w:szCs w:val="20"/>
          <w:lang w:val="es-CR"/>
        </w:rPr>
        <w:t xml:space="preserve"> </w:t>
      </w:r>
      <w:r w:rsidR="00745AE4">
        <w:rPr>
          <w:rFonts w:ascii="Verdana" w:hAnsi="Verdana"/>
          <w:b/>
          <w:sz w:val="20"/>
          <w:szCs w:val="20"/>
          <w:lang w:val="es-CR"/>
        </w:rPr>
        <w:t xml:space="preserve">DE </w:t>
      </w:r>
      <w:r w:rsidR="00FF2D7F">
        <w:rPr>
          <w:rFonts w:ascii="Verdana" w:hAnsi="Verdana"/>
          <w:b/>
          <w:sz w:val="20"/>
          <w:szCs w:val="20"/>
          <w:lang w:val="es-CR"/>
        </w:rPr>
        <w:t>NOVIEMBRE</w:t>
      </w:r>
      <w:r w:rsidR="007B2E9E" w:rsidRPr="00745AE4">
        <w:rPr>
          <w:rFonts w:ascii="Verdana" w:hAnsi="Verdana"/>
          <w:b/>
          <w:sz w:val="20"/>
          <w:szCs w:val="20"/>
          <w:lang w:val="es-CR"/>
        </w:rPr>
        <w:t xml:space="preserve"> </w:t>
      </w:r>
      <w:r w:rsidR="00745AE4" w:rsidRPr="00745AE4">
        <w:rPr>
          <w:rFonts w:ascii="Verdana" w:hAnsi="Verdana"/>
          <w:b/>
          <w:sz w:val="20"/>
          <w:szCs w:val="20"/>
          <w:lang w:val="es-CR"/>
        </w:rPr>
        <w:t xml:space="preserve">DE </w:t>
      </w:r>
      <w:r w:rsidR="008A083C">
        <w:rPr>
          <w:rFonts w:ascii="Verdana" w:hAnsi="Verdana"/>
          <w:b/>
          <w:sz w:val="20"/>
          <w:szCs w:val="20"/>
          <w:lang w:val="es-CR"/>
        </w:rPr>
        <w:t>2018</w:t>
      </w:r>
    </w:p>
    <w:p w:rsidR="00AD4184" w:rsidRPr="00745AE4" w:rsidRDefault="00AD4184" w:rsidP="00AD4184">
      <w:pPr>
        <w:spacing w:after="0" w:line="240" w:lineRule="auto"/>
        <w:jc w:val="center"/>
        <w:rPr>
          <w:rFonts w:ascii="Verdana" w:hAnsi="Verdana"/>
          <w:b/>
          <w:sz w:val="20"/>
          <w:szCs w:val="20"/>
          <w:lang w:val="es-CR"/>
        </w:rPr>
      </w:pPr>
    </w:p>
    <w:p w:rsidR="00B855F4" w:rsidRDefault="00B855F4" w:rsidP="00AD4184">
      <w:pPr>
        <w:spacing w:after="0" w:line="240" w:lineRule="auto"/>
        <w:jc w:val="center"/>
        <w:rPr>
          <w:rFonts w:ascii="Verdana" w:hAnsi="Verdana"/>
          <w:b/>
          <w:i/>
          <w:sz w:val="20"/>
          <w:szCs w:val="20"/>
          <w:lang w:val="es-CR"/>
        </w:rPr>
      </w:pPr>
      <w:r w:rsidRPr="00B855F4">
        <w:rPr>
          <w:rFonts w:ascii="Verdana" w:hAnsi="Verdana"/>
          <w:b/>
          <w:i/>
          <w:sz w:val="20"/>
          <w:szCs w:val="20"/>
          <w:lang w:val="es-CR"/>
        </w:rPr>
        <w:t>CASO BENAVIDES CEVALLOS VS. ECUADOR</w:t>
      </w:r>
    </w:p>
    <w:p w:rsidR="00B855F4" w:rsidRDefault="00B855F4" w:rsidP="00AD4184">
      <w:pPr>
        <w:spacing w:after="0" w:line="240" w:lineRule="auto"/>
        <w:jc w:val="center"/>
        <w:rPr>
          <w:rFonts w:ascii="Verdana" w:hAnsi="Verdana"/>
          <w:b/>
          <w:i/>
          <w:sz w:val="20"/>
          <w:szCs w:val="20"/>
          <w:lang w:val="es-CR"/>
        </w:rPr>
      </w:pPr>
    </w:p>
    <w:p w:rsidR="00745AE4" w:rsidRPr="009B4B9D" w:rsidRDefault="00745AE4" w:rsidP="00AD4184">
      <w:pPr>
        <w:spacing w:after="0" w:line="240" w:lineRule="auto"/>
        <w:jc w:val="center"/>
        <w:rPr>
          <w:rFonts w:ascii="Verdana" w:hAnsi="Verdana"/>
          <w:b/>
          <w:sz w:val="20"/>
          <w:szCs w:val="20"/>
          <w:lang w:val="es-CR"/>
        </w:rPr>
      </w:pPr>
      <w:r w:rsidRPr="009B4B9D">
        <w:rPr>
          <w:rFonts w:ascii="Verdana" w:hAnsi="Verdana"/>
          <w:b/>
          <w:sz w:val="20"/>
          <w:szCs w:val="20"/>
          <w:lang w:val="es-CR"/>
        </w:rPr>
        <w:t>SUPERVISIÓN DE CUMPLIMIENTO DE SENTENCIA</w:t>
      </w:r>
    </w:p>
    <w:p w:rsidR="00C75CE5" w:rsidRDefault="00C75CE5" w:rsidP="00C75CE5">
      <w:pPr>
        <w:spacing w:before="120" w:after="120" w:line="240" w:lineRule="auto"/>
        <w:jc w:val="both"/>
        <w:rPr>
          <w:rFonts w:ascii="Verdana" w:hAnsi="Verdana"/>
          <w:b/>
          <w:sz w:val="20"/>
          <w:szCs w:val="20"/>
          <w:lang w:val="es-CR"/>
        </w:rPr>
      </w:pPr>
    </w:p>
    <w:p w:rsidR="00CD4DDE" w:rsidRPr="008C5D1A" w:rsidRDefault="005A1B3D" w:rsidP="00C75CE5">
      <w:pPr>
        <w:spacing w:before="120" w:after="120" w:line="240" w:lineRule="auto"/>
        <w:jc w:val="both"/>
        <w:rPr>
          <w:rFonts w:ascii="Verdana" w:hAnsi="Verdana"/>
          <w:b/>
          <w:sz w:val="20"/>
          <w:szCs w:val="20"/>
          <w:lang w:val="es-CR"/>
        </w:rPr>
      </w:pPr>
      <w:r w:rsidRPr="008C5D1A">
        <w:rPr>
          <w:rFonts w:ascii="Verdana" w:hAnsi="Verdana"/>
          <w:b/>
          <w:sz w:val="20"/>
          <w:szCs w:val="20"/>
          <w:lang w:val="es-CR"/>
        </w:rPr>
        <w:t>VISTO:</w:t>
      </w:r>
      <w:r w:rsidR="006D19D6" w:rsidRPr="008C5D1A">
        <w:rPr>
          <w:rFonts w:ascii="Verdana" w:hAnsi="Verdana"/>
          <w:b/>
          <w:sz w:val="20"/>
          <w:szCs w:val="20"/>
          <w:lang w:val="es-CR"/>
        </w:rPr>
        <w:t xml:space="preserve"> </w:t>
      </w:r>
    </w:p>
    <w:p w:rsidR="000E52D3" w:rsidRPr="00A639B0" w:rsidRDefault="005A1B3D" w:rsidP="000E52D3">
      <w:pPr>
        <w:pStyle w:val="Listavistosa-nfasis1"/>
        <w:numPr>
          <w:ilvl w:val="0"/>
          <w:numId w:val="47"/>
        </w:numPr>
        <w:spacing w:before="120" w:after="120" w:line="240" w:lineRule="auto"/>
        <w:ind w:left="0" w:firstLine="0"/>
        <w:contextualSpacing w:val="0"/>
        <w:jc w:val="both"/>
        <w:rPr>
          <w:rFonts w:ascii="Verdana" w:hAnsi="Verdana"/>
          <w:sz w:val="20"/>
          <w:szCs w:val="20"/>
          <w:lang w:val="es-CR"/>
        </w:rPr>
      </w:pPr>
      <w:r w:rsidRPr="00A639B0">
        <w:rPr>
          <w:rFonts w:ascii="Verdana" w:hAnsi="Verdana"/>
          <w:sz w:val="20"/>
          <w:szCs w:val="20"/>
          <w:lang w:val="es-CR"/>
        </w:rPr>
        <w:t>La Sentencia d</w:t>
      </w:r>
      <w:r w:rsidR="00AD277C" w:rsidRPr="00A639B0">
        <w:rPr>
          <w:rFonts w:ascii="Verdana" w:hAnsi="Verdana"/>
          <w:sz w:val="20"/>
          <w:szCs w:val="20"/>
          <w:lang w:val="es-CR"/>
        </w:rPr>
        <w:t xml:space="preserve">e </w:t>
      </w:r>
      <w:r w:rsidR="008B1106" w:rsidRPr="00A639B0">
        <w:rPr>
          <w:rFonts w:ascii="Verdana" w:hAnsi="Verdana"/>
          <w:sz w:val="20"/>
          <w:szCs w:val="20"/>
          <w:lang w:val="es-CR"/>
        </w:rPr>
        <w:t xml:space="preserve">fondo, reparaciones y costas </w:t>
      </w:r>
      <w:r w:rsidRPr="00A639B0">
        <w:rPr>
          <w:rFonts w:ascii="Verdana" w:hAnsi="Verdana"/>
          <w:sz w:val="20"/>
          <w:szCs w:val="20"/>
          <w:lang w:val="es-CR"/>
        </w:rPr>
        <w:t xml:space="preserve">(en adelante “la Sentencia”) </w:t>
      </w:r>
      <w:r w:rsidR="00AD277C" w:rsidRPr="00A639B0">
        <w:rPr>
          <w:rFonts w:ascii="Verdana" w:hAnsi="Verdana"/>
          <w:sz w:val="20"/>
          <w:szCs w:val="20"/>
          <w:lang w:val="es-CR"/>
        </w:rPr>
        <w:t xml:space="preserve">dictada </w:t>
      </w:r>
      <w:r w:rsidRPr="00A639B0">
        <w:rPr>
          <w:rFonts w:ascii="Verdana" w:hAnsi="Verdana"/>
          <w:sz w:val="20"/>
          <w:szCs w:val="20"/>
          <w:lang w:val="es-CR"/>
        </w:rPr>
        <w:t>por la Corte Interamericana de Derechos Humanos (en adelante “la Corte Interamerican</w:t>
      </w:r>
      <w:r w:rsidR="00AD277C" w:rsidRPr="00A639B0">
        <w:rPr>
          <w:rFonts w:ascii="Verdana" w:hAnsi="Verdana"/>
          <w:sz w:val="20"/>
          <w:szCs w:val="20"/>
          <w:lang w:val="es-CR"/>
        </w:rPr>
        <w:t xml:space="preserve">a”, “la Corte” o “el Tribunal”) el </w:t>
      </w:r>
      <w:r w:rsidR="007D52E7" w:rsidRPr="00A639B0">
        <w:rPr>
          <w:rFonts w:ascii="Verdana" w:hAnsi="Verdana"/>
          <w:sz w:val="20"/>
          <w:szCs w:val="20"/>
          <w:lang w:val="es-CR"/>
        </w:rPr>
        <w:t>19 de junio</w:t>
      </w:r>
      <w:r w:rsidR="008B1106" w:rsidRPr="00A639B0">
        <w:rPr>
          <w:rFonts w:ascii="Verdana" w:hAnsi="Verdana"/>
          <w:sz w:val="20"/>
          <w:szCs w:val="20"/>
          <w:lang w:val="es-CR"/>
        </w:rPr>
        <w:t xml:space="preserve"> </w:t>
      </w:r>
      <w:r w:rsidR="00AD277C" w:rsidRPr="00A639B0">
        <w:rPr>
          <w:rFonts w:ascii="Verdana" w:hAnsi="Verdana"/>
          <w:sz w:val="20"/>
          <w:szCs w:val="20"/>
          <w:lang w:val="es-CR"/>
        </w:rPr>
        <w:t xml:space="preserve">de </w:t>
      </w:r>
      <w:r w:rsidR="007D52E7" w:rsidRPr="00A639B0">
        <w:rPr>
          <w:rFonts w:ascii="Verdana" w:hAnsi="Verdana"/>
          <w:sz w:val="20"/>
          <w:szCs w:val="20"/>
          <w:lang w:val="es-CR"/>
        </w:rPr>
        <w:t>1998</w:t>
      </w:r>
      <w:r w:rsidR="00886837" w:rsidRPr="00A639B0">
        <w:rPr>
          <w:rStyle w:val="Refdenotaalpie"/>
          <w:rFonts w:ascii="Verdana" w:hAnsi="Verdana"/>
          <w:sz w:val="20"/>
          <w:lang w:val="es-MX"/>
        </w:rPr>
        <w:footnoteReference w:id="2"/>
      </w:r>
      <w:r w:rsidR="001C0DED" w:rsidRPr="00A639B0">
        <w:rPr>
          <w:rFonts w:ascii="Verdana" w:hAnsi="Verdana"/>
          <w:sz w:val="20"/>
          <w:szCs w:val="20"/>
          <w:lang w:val="es-CR"/>
        </w:rPr>
        <w:t>.</w:t>
      </w:r>
      <w:r w:rsidR="001811E8" w:rsidRPr="00A639B0">
        <w:rPr>
          <w:rFonts w:ascii="Verdana" w:hAnsi="Verdana"/>
          <w:sz w:val="20"/>
          <w:szCs w:val="20"/>
          <w:lang w:val="es-CR"/>
        </w:rPr>
        <w:t xml:space="preserve"> </w:t>
      </w:r>
      <w:r w:rsidR="00FE79EB" w:rsidRPr="00A639B0">
        <w:rPr>
          <w:rFonts w:ascii="Verdana" w:hAnsi="Verdana"/>
          <w:sz w:val="20"/>
          <w:szCs w:val="20"/>
          <w:lang w:val="es-CR"/>
        </w:rPr>
        <w:t>La Corte</w:t>
      </w:r>
      <w:r w:rsidR="00B37676" w:rsidRPr="00A639B0">
        <w:rPr>
          <w:rFonts w:ascii="Verdana" w:hAnsi="Verdana"/>
          <w:sz w:val="20"/>
          <w:szCs w:val="20"/>
          <w:lang w:val="es-CR"/>
        </w:rPr>
        <w:t xml:space="preserve"> </w:t>
      </w:r>
      <w:r w:rsidR="00FE79EB" w:rsidRPr="00A639B0">
        <w:rPr>
          <w:rFonts w:ascii="Verdana" w:hAnsi="Verdana"/>
          <w:sz w:val="20"/>
          <w:szCs w:val="20"/>
          <w:lang w:val="es-CR"/>
        </w:rPr>
        <w:t>consideró procedente</w:t>
      </w:r>
      <w:r w:rsidR="00B37676" w:rsidRPr="00A639B0">
        <w:rPr>
          <w:rFonts w:ascii="Verdana" w:hAnsi="Verdana"/>
          <w:sz w:val="20"/>
          <w:szCs w:val="20"/>
          <w:lang w:val="es-CR"/>
        </w:rPr>
        <w:t xml:space="preserve"> el allanamiento de la República del Ecuador (en adelante “el Estado” o “Ecuador”) respecto a los hechos del caso, así como su reconocimiento de responsabilidad internacional por la violación a los derechos al reconocimiento a la personalidad jurídica, a la</w:t>
      </w:r>
      <w:r w:rsidR="00FE79EB" w:rsidRPr="00A639B0">
        <w:rPr>
          <w:rFonts w:ascii="Verdana" w:hAnsi="Verdana"/>
          <w:sz w:val="20"/>
          <w:szCs w:val="20"/>
          <w:lang w:val="es-CR"/>
        </w:rPr>
        <w:t xml:space="preserve"> vida, a la integridad personal, a la libertad personal, a las garantías judiciales y a la protección judicial, en perjuicio de la señora Consuelo Benavides Cevallos. Dichas violaciones </w:t>
      </w:r>
      <w:r w:rsidR="002E3A2F" w:rsidRPr="00A639B0">
        <w:rPr>
          <w:rFonts w:ascii="Verdana" w:hAnsi="Verdana"/>
          <w:sz w:val="20"/>
          <w:szCs w:val="20"/>
          <w:lang w:val="es-CR"/>
        </w:rPr>
        <w:t>se relacionan con</w:t>
      </w:r>
      <w:r w:rsidR="00FE79EB" w:rsidRPr="00A639B0">
        <w:rPr>
          <w:rFonts w:ascii="Verdana" w:hAnsi="Verdana"/>
          <w:sz w:val="20"/>
          <w:szCs w:val="20"/>
          <w:lang w:val="es-CR"/>
        </w:rPr>
        <w:t xml:space="preserve"> </w:t>
      </w:r>
      <w:r w:rsidR="00133430" w:rsidRPr="00A639B0">
        <w:rPr>
          <w:rFonts w:ascii="Verdana" w:hAnsi="Verdana"/>
          <w:sz w:val="20"/>
          <w:szCs w:val="20"/>
          <w:lang w:val="es-CR"/>
        </w:rPr>
        <w:t xml:space="preserve">la detención ilegal y arbitraria, tortura y </w:t>
      </w:r>
      <w:r w:rsidR="00BD6BE0">
        <w:rPr>
          <w:rFonts w:ascii="Verdana" w:hAnsi="Verdana"/>
          <w:sz w:val="20"/>
          <w:szCs w:val="20"/>
          <w:lang w:val="es-CR"/>
        </w:rPr>
        <w:t xml:space="preserve">privación de la vida </w:t>
      </w:r>
      <w:r w:rsidR="00133430" w:rsidRPr="00A639B0">
        <w:rPr>
          <w:rFonts w:ascii="Verdana" w:hAnsi="Verdana"/>
          <w:sz w:val="20"/>
          <w:szCs w:val="20"/>
          <w:lang w:val="es-CR"/>
        </w:rPr>
        <w:t>de la señora Benavides Cevallos</w:t>
      </w:r>
      <w:r w:rsidR="0009286F">
        <w:rPr>
          <w:rFonts w:ascii="Verdana" w:hAnsi="Verdana"/>
          <w:sz w:val="20"/>
          <w:szCs w:val="20"/>
          <w:lang w:val="es-CR"/>
        </w:rPr>
        <w:t>,</w:t>
      </w:r>
      <w:r w:rsidR="00133430" w:rsidRPr="00A639B0">
        <w:rPr>
          <w:rFonts w:ascii="Verdana" w:hAnsi="Verdana"/>
          <w:sz w:val="20"/>
          <w:szCs w:val="20"/>
          <w:lang w:val="es-CR"/>
        </w:rPr>
        <w:t xml:space="preserve"> cometid</w:t>
      </w:r>
      <w:r w:rsidR="0009286F">
        <w:rPr>
          <w:rFonts w:ascii="Verdana" w:hAnsi="Verdana"/>
          <w:sz w:val="20"/>
          <w:szCs w:val="20"/>
          <w:lang w:val="es-CR"/>
        </w:rPr>
        <w:t>a</w:t>
      </w:r>
      <w:r w:rsidR="00133430" w:rsidRPr="00A639B0">
        <w:rPr>
          <w:rFonts w:ascii="Verdana" w:hAnsi="Verdana"/>
          <w:sz w:val="20"/>
          <w:szCs w:val="20"/>
          <w:lang w:val="es-CR"/>
        </w:rPr>
        <w:t>s por agentes de la infantería marina</w:t>
      </w:r>
      <w:r w:rsidR="002E3A2F" w:rsidRPr="00A639B0">
        <w:rPr>
          <w:rFonts w:ascii="Verdana" w:hAnsi="Verdana"/>
          <w:sz w:val="20"/>
          <w:szCs w:val="20"/>
          <w:lang w:val="es-CR"/>
        </w:rPr>
        <w:t xml:space="preserve"> del Estado</w:t>
      </w:r>
      <w:r w:rsidR="00133430" w:rsidRPr="00A639B0">
        <w:rPr>
          <w:rFonts w:ascii="Verdana" w:hAnsi="Verdana"/>
          <w:sz w:val="20"/>
          <w:szCs w:val="20"/>
          <w:lang w:val="es-CR"/>
        </w:rPr>
        <w:t>, en diciembre de 1985</w:t>
      </w:r>
      <w:r w:rsidR="00133430" w:rsidRPr="00A639B0">
        <w:rPr>
          <w:rStyle w:val="Refdenotaalpie"/>
          <w:rFonts w:ascii="Verdana" w:hAnsi="Verdana"/>
          <w:sz w:val="20"/>
          <w:szCs w:val="20"/>
          <w:lang w:val="es-CR"/>
        </w:rPr>
        <w:footnoteReference w:id="3"/>
      </w:r>
      <w:r w:rsidR="00133430" w:rsidRPr="00A639B0">
        <w:rPr>
          <w:rFonts w:ascii="Verdana" w:hAnsi="Verdana"/>
          <w:sz w:val="20"/>
          <w:szCs w:val="20"/>
          <w:lang w:val="es-CR"/>
        </w:rPr>
        <w:t>.</w:t>
      </w:r>
      <w:r w:rsidR="002E3A2F" w:rsidRPr="00A639B0">
        <w:rPr>
          <w:rFonts w:ascii="Verdana" w:hAnsi="Verdana"/>
          <w:sz w:val="20"/>
          <w:szCs w:val="20"/>
          <w:lang w:val="es-CR"/>
        </w:rPr>
        <w:t xml:space="preserve"> Asimismo, dichas violaciones se relacionan con las “demoras injustificadas”</w:t>
      </w:r>
      <w:r w:rsidR="00BD6BE0">
        <w:rPr>
          <w:rFonts w:ascii="Verdana" w:hAnsi="Verdana"/>
          <w:sz w:val="20"/>
          <w:szCs w:val="20"/>
          <w:lang w:val="es-CR"/>
        </w:rPr>
        <w:t xml:space="preserve"> </w:t>
      </w:r>
      <w:r w:rsidR="002E3A2F" w:rsidRPr="00A639B0">
        <w:rPr>
          <w:rFonts w:ascii="Verdana" w:hAnsi="Verdana"/>
          <w:sz w:val="20"/>
          <w:szCs w:val="20"/>
          <w:lang w:val="es-CR"/>
        </w:rPr>
        <w:t>y la “denegación de justicia” en el proceso judicial interno iniciado en relación con dichos hechos</w:t>
      </w:r>
      <w:r w:rsidR="002E3A2F" w:rsidRPr="00A639B0">
        <w:rPr>
          <w:rStyle w:val="Refdenotaalpie"/>
          <w:rFonts w:ascii="Verdana" w:hAnsi="Verdana"/>
          <w:sz w:val="20"/>
          <w:szCs w:val="20"/>
          <w:lang w:val="es-CR"/>
        </w:rPr>
        <w:footnoteReference w:id="4"/>
      </w:r>
      <w:r w:rsidR="002E3A2F" w:rsidRPr="00A639B0">
        <w:rPr>
          <w:rFonts w:ascii="Verdana" w:hAnsi="Verdana"/>
          <w:sz w:val="20"/>
          <w:szCs w:val="20"/>
          <w:lang w:val="es-CR"/>
        </w:rPr>
        <w:t xml:space="preserve">. Adicionalmente, en cuanto a las reparaciones, en la referida Sentencia se aprobó el acuerdo </w:t>
      </w:r>
      <w:r w:rsidR="00BD6BE0">
        <w:rPr>
          <w:rFonts w:ascii="Verdana" w:hAnsi="Verdana"/>
          <w:sz w:val="20"/>
          <w:szCs w:val="20"/>
          <w:lang w:val="es-CR"/>
        </w:rPr>
        <w:t xml:space="preserve">suscrito </w:t>
      </w:r>
      <w:r w:rsidR="002E3A2F" w:rsidRPr="00A639B0">
        <w:rPr>
          <w:rFonts w:ascii="Verdana" w:hAnsi="Verdana"/>
          <w:sz w:val="20"/>
          <w:szCs w:val="20"/>
          <w:lang w:val="es-CR"/>
        </w:rPr>
        <w:t>entre el Estado y los familiares de la víctima</w:t>
      </w:r>
      <w:r w:rsidR="00916479">
        <w:rPr>
          <w:rFonts w:ascii="Verdana" w:hAnsi="Verdana"/>
          <w:sz w:val="20"/>
          <w:szCs w:val="20"/>
          <w:lang w:val="es-CR"/>
        </w:rPr>
        <w:t xml:space="preserve">, el cual incluía el pago a la madre y </w:t>
      </w:r>
      <w:r w:rsidR="0009286F">
        <w:rPr>
          <w:rFonts w:ascii="Verdana" w:hAnsi="Verdana"/>
          <w:sz w:val="20"/>
          <w:szCs w:val="20"/>
          <w:lang w:val="es-CR"/>
        </w:rPr>
        <w:t xml:space="preserve">el </w:t>
      </w:r>
      <w:r w:rsidR="00916479">
        <w:rPr>
          <w:rFonts w:ascii="Verdana" w:hAnsi="Verdana"/>
          <w:sz w:val="20"/>
          <w:szCs w:val="20"/>
          <w:lang w:val="es-CR"/>
        </w:rPr>
        <w:t xml:space="preserve">padre de la víctima de una indemnización compensatoria de los daños, y medidas para </w:t>
      </w:r>
      <w:r w:rsidR="00916479" w:rsidRPr="00916479">
        <w:rPr>
          <w:rFonts w:ascii="Verdana" w:hAnsi="Verdana"/>
          <w:sz w:val="20"/>
          <w:szCs w:val="20"/>
          <w:lang w:val="es-CR"/>
        </w:rPr>
        <w:t>“</w:t>
      </w:r>
      <w:r w:rsidR="00916479" w:rsidRPr="00B728B0">
        <w:rPr>
          <w:rFonts w:ascii="Verdana" w:hAnsi="Verdana"/>
          <w:sz w:val="20"/>
          <w:szCs w:val="20"/>
          <w:lang w:val="es-CR"/>
        </w:rPr>
        <w:t>peremni[zar] el nombre de la señorita Consuelo Benavides Cevallos en calles, plazas o escuelas, acogiendo el pedido de sus padres”</w:t>
      </w:r>
      <w:r w:rsidR="000E52D3" w:rsidRPr="00A639B0">
        <w:rPr>
          <w:rStyle w:val="Refdenotaalpie"/>
          <w:rFonts w:ascii="Verdana" w:hAnsi="Verdana"/>
          <w:sz w:val="20"/>
          <w:szCs w:val="20"/>
          <w:lang w:val="es-CR"/>
        </w:rPr>
        <w:footnoteReference w:id="5"/>
      </w:r>
      <w:r w:rsidR="00916479">
        <w:rPr>
          <w:rFonts w:ascii="Verdana" w:hAnsi="Verdana"/>
          <w:sz w:val="20"/>
          <w:szCs w:val="20"/>
          <w:lang w:val="es-CR"/>
        </w:rPr>
        <w:t>. Asimismo, la Corte</w:t>
      </w:r>
      <w:r w:rsidR="002E3A2F" w:rsidRPr="00A639B0">
        <w:rPr>
          <w:rFonts w:ascii="Verdana" w:hAnsi="Verdana"/>
          <w:sz w:val="20"/>
          <w:szCs w:val="20"/>
          <w:lang w:val="es-CR"/>
        </w:rPr>
        <w:t xml:space="preserve"> </w:t>
      </w:r>
      <w:r w:rsidR="000E52D3" w:rsidRPr="00A639B0">
        <w:rPr>
          <w:rFonts w:ascii="Verdana" w:hAnsi="Verdana"/>
          <w:sz w:val="20"/>
          <w:szCs w:val="20"/>
          <w:lang w:val="es-CR"/>
        </w:rPr>
        <w:t>ordenó al Estado que continuara las investigaciones para sancionar a todos los responsables de las violaciones a derechos humanos a las que se hizo referencia en esta Sentencia (</w:t>
      </w:r>
      <w:r w:rsidR="000E52D3" w:rsidRPr="00A639B0">
        <w:rPr>
          <w:rFonts w:ascii="Verdana" w:hAnsi="Verdana"/>
          <w:i/>
          <w:sz w:val="20"/>
          <w:szCs w:val="20"/>
          <w:lang w:val="es-CR"/>
        </w:rPr>
        <w:t>infra</w:t>
      </w:r>
      <w:r w:rsidR="000E52D3" w:rsidRPr="00A639B0">
        <w:rPr>
          <w:rFonts w:ascii="Verdana" w:hAnsi="Verdana"/>
          <w:sz w:val="20"/>
          <w:szCs w:val="20"/>
          <w:lang w:val="es-CR"/>
        </w:rPr>
        <w:t xml:space="preserve"> Considerando 1).</w:t>
      </w:r>
      <w:r w:rsidR="00A639B0">
        <w:rPr>
          <w:rFonts w:ascii="Verdana" w:hAnsi="Verdana"/>
          <w:sz w:val="20"/>
          <w:szCs w:val="20"/>
          <w:lang w:val="es-CR"/>
        </w:rPr>
        <w:t xml:space="preserve"> </w:t>
      </w:r>
    </w:p>
    <w:p w:rsidR="00B855F4" w:rsidRDefault="00571DA0" w:rsidP="00571DA0">
      <w:pPr>
        <w:pStyle w:val="Listavistosa-nfasis1"/>
        <w:numPr>
          <w:ilvl w:val="0"/>
          <w:numId w:val="47"/>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lastRenderedPageBreak/>
        <w:t>La</w:t>
      </w:r>
      <w:r w:rsidR="0086436C">
        <w:rPr>
          <w:rFonts w:ascii="Verdana" w:hAnsi="Verdana"/>
          <w:sz w:val="20"/>
          <w:szCs w:val="20"/>
          <w:lang w:val="es-CR"/>
        </w:rPr>
        <w:t xml:space="preserve">s </w:t>
      </w:r>
      <w:r w:rsidR="0009286F">
        <w:rPr>
          <w:rFonts w:ascii="Verdana" w:hAnsi="Verdana"/>
          <w:sz w:val="20"/>
          <w:szCs w:val="20"/>
          <w:lang w:val="es-CR"/>
        </w:rPr>
        <w:t>R</w:t>
      </w:r>
      <w:r>
        <w:rPr>
          <w:rFonts w:ascii="Verdana" w:hAnsi="Verdana"/>
          <w:sz w:val="20"/>
          <w:szCs w:val="20"/>
          <w:lang w:val="es-CR"/>
        </w:rPr>
        <w:t>esoluci</w:t>
      </w:r>
      <w:r w:rsidR="0086436C">
        <w:rPr>
          <w:rFonts w:ascii="Verdana" w:hAnsi="Verdana"/>
          <w:sz w:val="20"/>
          <w:szCs w:val="20"/>
          <w:lang w:val="es-CR"/>
        </w:rPr>
        <w:t>ones</w:t>
      </w:r>
      <w:r>
        <w:rPr>
          <w:rFonts w:ascii="Verdana" w:hAnsi="Verdana"/>
          <w:sz w:val="20"/>
          <w:szCs w:val="20"/>
          <w:lang w:val="es-CR"/>
        </w:rPr>
        <w:t xml:space="preserve"> de supervisión de cumplimiento de </w:t>
      </w:r>
      <w:r w:rsidR="0014086D">
        <w:rPr>
          <w:rFonts w:ascii="Verdana" w:hAnsi="Verdana"/>
          <w:sz w:val="20"/>
          <w:szCs w:val="20"/>
          <w:lang w:val="es-CR"/>
        </w:rPr>
        <w:t>s</w:t>
      </w:r>
      <w:r>
        <w:rPr>
          <w:rFonts w:ascii="Verdana" w:hAnsi="Verdana"/>
          <w:sz w:val="20"/>
          <w:szCs w:val="20"/>
          <w:lang w:val="es-CR"/>
        </w:rPr>
        <w:t>entencia emitida</w:t>
      </w:r>
      <w:r w:rsidR="0086436C">
        <w:rPr>
          <w:rFonts w:ascii="Verdana" w:hAnsi="Verdana"/>
          <w:sz w:val="20"/>
          <w:szCs w:val="20"/>
          <w:lang w:val="es-CR"/>
        </w:rPr>
        <w:t>s</w:t>
      </w:r>
      <w:r>
        <w:rPr>
          <w:rFonts w:ascii="Verdana" w:hAnsi="Verdana"/>
          <w:sz w:val="20"/>
          <w:szCs w:val="20"/>
          <w:lang w:val="es-CR"/>
        </w:rPr>
        <w:t xml:space="preserve"> el </w:t>
      </w:r>
      <w:r w:rsidR="009103BD">
        <w:rPr>
          <w:rFonts w:ascii="Verdana" w:hAnsi="Verdana"/>
          <w:sz w:val="20"/>
          <w:szCs w:val="20"/>
          <w:lang w:val="es-CR"/>
        </w:rPr>
        <w:t xml:space="preserve">27 de noviembre de 2002, el </w:t>
      </w:r>
      <w:r w:rsidR="0086436C">
        <w:rPr>
          <w:rFonts w:ascii="Verdana" w:hAnsi="Verdana"/>
          <w:sz w:val="20"/>
          <w:szCs w:val="20"/>
          <w:lang w:val="es-CR"/>
        </w:rPr>
        <w:t xml:space="preserve">9 de septiembre y el </w:t>
      </w:r>
      <w:r>
        <w:rPr>
          <w:rFonts w:ascii="Verdana" w:hAnsi="Verdana"/>
          <w:sz w:val="20"/>
          <w:szCs w:val="20"/>
          <w:lang w:val="es-CR"/>
        </w:rPr>
        <w:t>27 de noviembre de 2003.</w:t>
      </w:r>
    </w:p>
    <w:p w:rsidR="00571DA0" w:rsidRDefault="009103BD" w:rsidP="00571DA0">
      <w:pPr>
        <w:pStyle w:val="Listavistosa-nfasis1"/>
        <w:numPr>
          <w:ilvl w:val="0"/>
          <w:numId w:val="47"/>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La resolución dictada el 29 de junio de 2005</w:t>
      </w:r>
      <w:r w:rsidR="005D6E11">
        <w:rPr>
          <w:rFonts w:ascii="Verdana" w:hAnsi="Verdana"/>
          <w:sz w:val="20"/>
          <w:szCs w:val="20"/>
          <w:lang w:val="es-CR"/>
        </w:rPr>
        <w:t xml:space="preserve"> en relación con la aplicabilidad del artículo 65 de la Convención Americana</w:t>
      </w:r>
      <w:r w:rsidR="000C7BDF">
        <w:rPr>
          <w:rFonts w:ascii="Verdana" w:hAnsi="Verdana"/>
          <w:sz w:val="20"/>
          <w:szCs w:val="20"/>
          <w:lang w:val="es-CR"/>
        </w:rPr>
        <w:t xml:space="preserve"> sobre Derechos Humanos.</w:t>
      </w:r>
    </w:p>
    <w:p w:rsidR="000C7BDF" w:rsidRPr="000C7BDF" w:rsidRDefault="000C7BDF" w:rsidP="00571DA0">
      <w:pPr>
        <w:pStyle w:val="Listavistosa-nfasis1"/>
        <w:numPr>
          <w:ilvl w:val="0"/>
          <w:numId w:val="47"/>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El informe presentado</w:t>
      </w:r>
      <w:r w:rsidR="0009286F">
        <w:rPr>
          <w:rFonts w:ascii="Verdana" w:hAnsi="Verdana"/>
          <w:sz w:val="20"/>
          <w:szCs w:val="20"/>
          <w:lang w:val="es-CR"/>
        </w:rPr>
        <w:t xml:space="preserve"> por el Estado</w:t>
      </w:r>
      <w:r>
        <w:rPr>
          <w:rFonts w:ascii="Verdana" w:hAnsi="Verdana"/>
          <w:sz w:val="20"/>
          <w:szCs w:val="20"/>
          <w:lang w:val="es-CR"/>
        </w:rPr>
        <w:t xml:space="preserve"> el 22 de junio de 2018.</w:t>
      </w:r>
    </w:p>
    <w:p w:rsidR="000C7BDF" w:rsidRDefault="000C7BDF" w:rsidP="00571DA0">
      <w:pPr>
        <w:pStyle w:val="Listavistosa-nfasis1"/>
        <w:numPr>
          <w:ilvl w:val="0"/>
          <w:numId w:val="47"/>
        </w:numPr>
        <w:spacing w:before="120" w:after="120" w:line="240" w:lineRule="auto"/>
        <w:ind w:left="0" w:firstLine="0"/>
        <w:contextualSpacing w:val="0"/>
        <w:jc w:val="both"/>
        <w:rPr>
          <w:rFonts w:ascii="Verdana" w:hAnsi="Verdana"/>
          <w:sz w:val="20"/>
          <w:szCs w:val="20"/>
          <w:lang w:val="es-CR"/>
        </w:rPr>
      </w:pPr>
      <w:r w:rsidRPr="000C7BDF">
        <w:rPr>
          <w:rFonts w:ascii="Verdana" w:hAnsi="Verdana"/>
          <w:sz w:val="20"/>
          <w:szCs w:val="20"/>
          <w:lang w:val="es-CR"/>
        </w:rPr>
        <w:t>La</w:t>
      </w:r>
      <w:r w:rsidR="00E115F7">
        <w:rPr>
          <w:rFonts w:ascii="Verdana" w:hAnsi="Verdana"/>
          <w:sz w:val="20"/>
          <w:szCs w:val="20"/>
          <w:lang w:val="es-CR"/>
        </w:rPr>
        <w:t>s</w:t>
      </w:r>
      <w:r w:rsidRPr="000C7BDF">
        <w:rPr>
          <w:rFonts w:ascii="Verdana" w:hAnsi="Verdana"/>
          <w:sz w:val="20"/>
          <w:szCs w:val="20"/>
          <w:lang w:val="es-CR"/>
        </w:rPr>
        <w:t xml:space="preserve"> </w:t>
      </w:r>
      <w:r>
        <w:rPr>
          <w:rFonts w:ascii="Verdana" w:hAnsi="Verdana"/>
          <w:sz w:val="20"/>
          <w:szCs w:val="20"/>
          <w:lang w:val="es-CR"/>
        </w:rPr>
        <w:t>nota</w:t>
      </w:r>
      <w:r w:rsidR="00E115F7">
        <w:rPr>
          <w:rFonts w:ascii="Verdana" w:hAnsi="Verdana"/>
          <w:sz w:val="20"/>
          <w:szCs w:val="20"/>
          <w:lang w:val="es-CR"/>
        </w:rPr>
        <w:t>s</w:t>
      </w:r>
      <w:r>
        <w:rPr>
          <w:rFonts w:ascii="Verdana" w:hAnsi="Verdana"/>
          <w:sz w:val="20"/>
          <w:szCs w:val="20"/>
          <w:lang w:val="es-CR"/>
        </w:rPr>
        <w:t xml:space="preserve"> de la Secretaría de la Corte de </w:t>
      </w:r>
      <w:r w:rsidR="00E115F7">
        <w:rPr>
          <w:rFonts w:ascii="Verdana" w:hAnsi="Verdana"/>
          <w:sz w:val="20"/>
          <w:szCs w:val="20"/>
          <w:lang w:val="es-CR"/>
        </w:rPr>
        <w:t xml:space="preserve">3 de julio y de </w:t>
      </w:r>
      <w:r w:rsidR="00445E82">
        <w:rPr>
          <w:rFonts w:ascii="Verdana" w:hAnsi="Verdana"/>
          <w:sz w:val="20"/>
          <w:szCs w:val="20"/>
          <w:lang w:val="es-CR"/>
        </w:rPr>
        <w:t>19 de octubre de 2018, mediante la</w:t>
      </w:r>
      <w:r w:rsidR="00E115F7">
        <w:rPr>
          <w:rFonts w:ascii="Verdana" w:hAnsi="Verdana"/>
          <w:sz w:val="20"/>
          <w:szCs w:val="20"/>
          <w:lang w:val="es-CR"/>
        </w:rPr>
        <w:t>s</w:t>
      </w:r>
      <w:r w:rsidR="00445E82">
        <w:rPr>
          <w:rFonts w:ascii="Verdana" w:hAnsi="Verdana"/>
          <w:sz w:val="20"/>
          <w:szCs w:val="20"/>
          <w:lang w:val="es-CR"/>
        </w:rPr>
        <w:t xml:space="preserve"> cual</w:t>
      </w:r>
      <w:r w:rsidR="00E115F7">
        <w:rPr>
          <w:rFonts w:ascii="Verdana" w:hAnsi="Verdana"/>
          <w:sz w:val="20"/>
          <w:szCs w:val="20"/>
          <w:lang w:val="es-CR"/>
        </w:rPr>
        <w:t>es</w:t>
      </w:r>
      <w:r w:rsidR="00445E82">
        <w:rPr>
          <w:rFonts w:ascii="Verdana" w:hAnsi="Verdana"/>
          <w:sz w:val="20"/>
          <w:szCs w:val="20"/>
          <w:lang w:val="es-CR"/>
        </w:rPr>
        <w:t xml:space="preserve">, </w:t>
      </w:r>
      <w:r w:rsidR="00E115F7">
        <w:rPr>
          <w:rFonts w:ascii="Verdana" w:hAnsi="Verdana"/>
          <w:sz w:val="20"/>
          <w:szCs w:val="20"/>
          <w:lang w:val="es-CR"/>
        </w:rPr>
        <w:t xml:space="preserve">respectivamente, </w:t>
      </w:r>
      <w:r w:rsidR="00445E82">
        <w:rPr>
          <w:rFonts w:ascii="Verdana" w:hAnsi="Verdana"/>
          <w:sz w:val="20"/>
          <w:szCs w:val="20"/>
          <w:lang w:val="es-CR"/>
        </w:rPr>
        <w:t xml:space="preserve">siguiendo instrucciones del Presidente del Tribunal, </w:t>
      </w:r>
      <w:r w:rsidR="00E115F7">
        <w:rPr>
          <w:rFonts w:ascii="Verdana" w:hAnsi="Verdana"/>
          <w:sz w:val="20"/>
          <w:szCs w:val="20"/>
          <w:lang w:val="es-CR"/>
        </w:rPr>
        <w:t xml:space="preserve">se otorgó plazo </w:t>
      </w:r>
      <w:r w:rsidR="00445E82">
        <w:rPr>
          <w:rFonts w:ascii="Verdana" w:hAnsi="Verdana"/>
          <w:sz w:val="20"/>
          <w:szCs w:val="20"/>
          <w:lang w:val="es-CR"/>
        </w:rPr>
        <w:t xml:space="preserve">al representante de </w:t>
      </w:r>
      <w:r w:rsidR="00B728B0">
        <w:rPr>
          <w:rFonts w:ascii="Verdana" w:hAnsi="Verdana"/>
          <w:sz w:val="20"/>
          <w:szCs w:val="20"/>
          <w:lang w:val="es-CR"/>
        </w:rPr>
        <w:t xml:space="preserve">los familiares de </w:t>
      </w:r>
      <w:r w:rsidR="00445E82">
        <w:rPr>
          <w:rFonts w:ascii="Verdana" w:hAnsi="Verdana"/>
          <w:sz w:val="20"/>
          <w:szCs w:val="20"/>
          <w:lang w:val="es-CR"/>
        </w:rPr>
        <w:t>la víctima</w:t>
      </w:r>
      <w:r w:rsidR="00A639B0">
        <w:rPr>
          <w:rStyle w:val="Refdenotaalpie"/>
          <w:rFonts w:ascii="Verdana" w:hAnsi="Verdana"/>
          <w:sz w:val="20"/>
          <w:szCs w:val="20"/>
          <w:lang w:val="es-CR"/>
        </w:rPr>
        <w:footnoteReference w:id="6"/>
      </w:r>
      <w:r w:rsidR="00445E82">
        <w:rPr>
          <w:rFonts w:ascii="Verdana" w:hAnsi="Verdana"/>
          <w:sz w:val="20"/>
          <w:szCs w:val="20"/>
          <w:lang w:val="es-CR"/>
        </w:rPr>
        <w:t xml:space="preserve"> y a la Comisión Interamericana de Derechos Humanos</w:t>
      </w:r>
      <w:r w:rsidR="00A639B0">
        <w:rPr>
          <w:rFonts w:ascii="Verdana" w:hAnsi="Verdana"/>
          <w:sz w:val="20"/>
          <w:szCs w:val="20"/>
          <w:lang w:val="es-CR"/>
        </w:rPr>
        <w:t xml:space="preserve"> (en adelante “la Comisión” o “la Comisión Interamericana”)</w:t>
      </w:r>
      <w:r w:rsidR="00445E82">
        <w:rPr>
          <w:rFonts w:ascii="Verdana" w:hAnsi="Verdana"/>
          <w:sz w:val="20"/>
          <w:szCs w:val="20"/>
          <w:lang w:val="es-CR"/>
        </w:rPr>
        <w:t xml:space="preserve"> </w:t>
      </w:r>
      <w:r w:rsidR="00E115F7">
        <w:rPr>
          <w:rFonts w:ascii="Verdana" w:hAnsi="Verdana"/>
          <w:sz w:val="20"/>
          <w:szCs w:val="20"/>
          <w:lang w:val="es-CR"/>
        </w:rPr>
        <w:t xml:space="preserve">para que presentaran observaciones al referido informe estatal y se les recordó que dichos plazos </w:t>
      </w:r>
      <w:r w:rsidR="00445E82">
        <w:rPr>
          <w:rFonts w:ascii="Verdana" w:hAnsi="Verdana"/>
          <w:sz w:val="20"/>
          <w:szCs w:val="20"/>
          <w:lang w:val="es-CR"/>
        </w:rPr>
        <w:t>habían vencido y requirió que las remitieran a la mayor brevedad.</w:t>
      </w:r>
    </w:p>
    <w:p w:rsidR="00590CBA" w:rsidRPr="00590CBA" w:rsidRDefault="00590CBA" w:rsidP="00590CBA">
      <w:pPr>
        <w:pStyle w:val="Listavistosa-nfasis1"/>
        <w:spacing w:before="120" w:after="120" w:line="240" w:lineRule="auto"/>
        <w:ind w:left="0"/>
        <w:contextualSpacing w:val="0"/>
        <w:jc w:val="both"/>
        <w:rPr>
          <w:rFonts w:ascii="Verdana" w:hAnsi="Verdana"/>
          <w:b/>
          <w:sz w:val="20"/>
          <w:szCs w:val="20"/>
          <w:lang w:val="es-CR"/>
        </w:rPr>
      </w:pPr>
    </w:p>
    <w:p w:rsidR="00590CBA" w:rsidRPr="00590CBA" w:rsidRDefault="00590CBA" w:rsidP="00590CBA">
      <w:pPr>
        <w:pStyle w:val="Listavistosa-nfasis1"/>
        <w:spacing w:before="120" w:after="120" w:line="240" w:lineRule="auto"/>
        <w:ind w:left="0"/>
        <w:contextualSpacing w:val="0"/>
        <w:jc w:val="both"/>
        <w:rPr>
          <w:rFonts w:ascii="Verdana" w:hAnsi="Verdana"/>
          <w:b/>
          <w:sz w:val="20"/>
          <w:szCs w:val="20"/>
          <w:lang w:val="es-CR"/>
        </w:rPr>
      </w:pPr>
      <w:r w:rsidRPr="00590CBA">
        <w:rPr>
          <w:rFonts w:ascii="Verdana" w:hAnsi="Verdana"/>
          <w:b/>
          <w:sz w:val="20"/>
          <w:szCs w:val="20"/>
          <w:lang w:val="es-CR"/>
        </w:rPr>
        <w:t>CONSIDERANDO QUE:</w:t>
      </w:r>
    </w:p>
    <w:p w:rsidR="00B728B0" w:rsidRDefault="00590CBA" w:rsidP="00B728B0">
      <w:pPr>
        <w:pStyle w:val="Listavistosa-nfasis1"/>
        <w:numPr>
          <w:ilvl w:val="0"/>
          <w:numId w:val="48"/>
        </w:numPr>
        <w:spacing w:before="120" w:after="120" w:line="240" w:lineRule="auto"/>
        <w:ind w:left="0" w:firstLine="0"/>
        <w:contextualSpacing w:val="0"/>
        <w:jc w:val="both"/>
        <w:rPr>
          <w:rFonts w:ascii="Verdana" w:hAnsi="Verdana"/>
          <w:color w:val="00B050"/>
          <w:sz w:val="20"/>
          <w:szCs w:val="20"/>
          <w:lang w:val="es-CR"/>
        </w:rPr>
      </w:pPr>
      <w:r w:rsidRPr="00B728B0">
        <w:rPr>
          <w:rFonts w:ascii="Verdana" w:hAnsi="Verdana"/>
          <w:sz w:val="20"/>
          <w:lang w:val="es-CR"/>
        </w:rPr>
        <w:t xml:space="preserve">En el ejercicio de </w:t>
      </w:r>
      <w:r w:rsidRPr="00B728B0">
        <w:rPr>
          <w:rFonts w:ascii="Verdana" w:hAnsi="Verdana"/>
          <w:sz w:val="20"/>
          <w:lang w:val="es-ES"/>
        </w:rPr>
        <w:t xml:space="preserve">su función jurisdiccional de </w:t>
      </w:r>
      <w:r w:rsidRPr="00B728B0">
        <w:rPr>
          <w:rFonts w:ascii="Verdana" w:hAnsi="Verdana"/>
          <w:sz w:val="20"/>
          <w:lang w:val="es-CR"/>
        </w:rPr>
        <w:t>supervisar el cumplimiento de sus decisiones</w:t>
      </w:r>
      <w:r w:rsidRPr="00B728B0">
        <w:rPr>
          <w:rStyle w:val="Refdenotaalpie"/>
          <w:rFonts w:ascii="Verdana" w:hAnsi="Verdana"/>
          <w:sz w:val="20"/>
        </w:rPr>
        <w:footnoteReference w:id="7"/>
      </w:r>
      <w:r w:rsidRPr="00B728B0">
        <w:rPr>
          <w:rFonts w:ascii="Verdana" w:hAnsi="Verdana"/>
          <w:sz w:val="20"/>
          <w:lang w:val="es-CR"/>
        </w:rPr>
        <w:t xml:space="preserve">, la Corte ha venido supervisando la ejecución de la Sentencia emitida </w:t>
      </w:r>
      <w:r w:rsidRPr="00B728B0">
        <w:rPr>
          <w:rFonts w:ascii="Verdana" w:hAnsi="Verdana"/>
          <w:sz w:val="20"/>
          <w:lang w:val="es-MX"/>
        </w:rPr>
        <w:t>en el presente caso hace veinte años (</w:t>
      </w:r>
      <w:r w:rsidRPr="00B728B0">
        <w:rPr>
          <w:rFonts w:ascii="Verdana" w:hAnsi="Verdana"/>
          <w:i/>
          <w:sz w:val="20"/>
          <w:lang w:val="es-MX"/>
        </w:rPr>
        <w:t>supra</w:t>
      </w:r>
      <w:r w:rsidRPr="00B728B0">
        <w:rPr>
          <w:rFonts w:ascii="Verdana" w:hAnsi="Verdana"/>
          <w:sz w:val="20"/>
          <w:lang w:val="es-MX"/>
        </w:rPr>
        <w:t xml:space="preserve"> Visto 1). </w:t>
      </w:r>
    </w:p>
    <w:p w:rsidR="00B728B0" w:rsidRDefault="003A4A90" w:rsidP="00B728B0">
      <w:pPr>
        <w:pStyle w:val="Listavistosa-nfasis1"/>
        <w:numPr>
          <w:ilvl w:val="0"/>
          <w:numId w:val="48"/>
        </w:numPr>
        <w:spacing w:before="120" w:after="120" w:line="240" w:lineRule="auto"/>
        <w:ind w:left="0" w:firstLine="0"/>
        <w:contextualSpacing w:val="0"/>
        <w:jc w:val="both"/>
        <w:rPr>
          <w:rFonts w:ascii="Verdana" w:hAnsi="Verdana"/>
          <w:color w:val="00B050"/>
          <w:sz w:val="20"/>
          <w:szCs w:val="20"/>
          <w:lang w:val="es-CR"/>
        </w:rPr>
      </w:pPr>
      <w:r w:rsidRPr="00B728B0">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B728B0">
        <w:rPr>
          <w:rStyle w:val="Refdenotaalpie"/>
          <w:rFonts w:ascii="Verdana" w:hAnsi="Verdana"/>
          <w:sz w:val="20"/>
          <w:szCs w:val="20"/>
        </w:rPr>
        <w:footnoteReference w:id="8"/>
      </w:r>
      <w:r w:rsidRPr="00B728B0">
        <w:rPr>
          <w:rFonts w:ascii="Verdana" w:hAnsi="Verdana"/>
          <w:sz w:val="20"/>
          <w:szCs w:val="20"/>
          <w:lang w:val="es-CR"/>
        </w:rPr>
        <w:t>.</w:t>
      </w:r>
      <w:r w:rsidRPr="00B728B0">
        <w:rPr>
          <w:rFonts w:ascii="Times New Roman" w:hAnsi="Times New Roman"/>
          <w:sz w:val="24"/>
          <w:szCs w:val="24"/>
          <w:lang w:val="es-CR"/>
        </w:rPr>
        <w:t xml:space="preserve"> </w:t>
      </w:r>
      <w:r w:rsidRPr="00B728B0">
        <w:rPr>
          <w:rFonts w:ascii="Verdana" w:hAnsi="Verdana"/>
          <w:sz w:val="20"/>
          <w:szCs w:val="20"/>
          <w:lang w:val="es-CR"/>
        </w:rPr>
        <w:t>Los Estados Parte en la Convención deben garantizar el cumplimiento de las disposiciones convencionales y sus efectos propios (</w:t>
      </w:r>
      <w:r w:rsidRPr="00B728B0">
        <w:rPr>
          <w:rFonts w:ascii="Verdana" w:hAnsi="Verdana"/>
          <w:i/>
          <w:sz w:val="20"/>
          <w:szCs w:val="20"/>
          <w:lang w:val="es-CR"/>
        </w:rPr>
        <w:t>effet utile</w:t>
      </w:r>
      <w:r w:rsidRPr="00B728B0">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B728B0">
        <w:rPr>
          <w:rStyle w:val="Refdenotaalpie"/>
          <w:rFonts w:ascii="Verdana" w:hAnsi="Verdana"/>
          <w:sz w:val="20"/>
          <w:szCs w:val="20"/>
          <w:lang w:val="es-CR"/>
        </w:rPr>
        <w:footnoteReference w:id="9"/>
      </w:r>
      <w:r w:rsidRPr="00B728B0">
        <w:rPr>
          <w:rFonts w:ascii="Verdana" w:hAnsi="Verdana"/>
          <w:sz w:val="20"/>
          <w:szCs w:val="20"/>
          <w:lang w:val="es-CR"/>
        </w:rPr>
        <w:t>.</w:t>
      </w:r>
    </w:p>
    <w:p w:rsidR="007438C6" w:rsidRPr="00A60576" w:rsidRDefault="003A4A90" w:rsidP="00A04E03">
      <w:pPr>
        <w:pStyle w:val="Listavistosa-nfasis1"/>
        <w:numPr>
          <w:ilvl w:val="0"/>
          <w:numId w:val="48"/>
        </w:numPr>
        <w:spacing w:before="120" w:after="120" w:line="240" w:lineRule="auto"/>
        <w:ind w:left="0" w:firstLine="0"/>
        <w:contextualSpacing w:val="0"/>
        <w:jc w:val="both"/>
        <w:rPr>
          <w:rFonts w:ascii="Verdana" w:hAnsi="Verdana"/>
          <w:sz w:val="20"/>
          <w:szCs w:val="20"/>
          <w:lang w:val="es-CR"/>
        </w:rPr>
      </w:pPr>
      <w:r w:rsidRPr="00B728B0">
        <w:rPr>
          <w:rFonts w:ascii="Verdana" w:hAnsi="Verdana"/>
          <w:sz w:val="20"/>
          <w:lang w:val="es-MX"/>
        </w:rPr>
        <w:t>En el presente caso, el Tribunal ha emitido</w:t>
      </w:r>
      <w:r w:rsidR="00590CBA" w:rsidRPr="00B728B0">
        <w:rPr>
          <w:rFonts w:ascii="Verdana" w:hAnsi="Verdana"/>
          <w:sz w:val="20"/>
          <w:lang w:val="es-MX"/>
        </w:rPr>
        <w:t xml:space="preserve"> tres resoluciones de supervisión de cumplimiento en</w:t>
      </w:r>
      <w:r w:rsidR="00590CBA" w:rsidRPr="00B728B0">
        <w:rPr>
          <w:rFonts w:ascii="Verdana" w:hAnsi="Verdana"/>
          <w:sz w:val="20"/>
          <w:szCs w:val="20"/>
          <w:lang w:val="es-CR"/>
        </w:rPr>
        <w:t xml:space="preserve"> 2002 y 2003</w:t>
      </w:r>
      <w:r w:rsidR="00590CBA" w:rsidRPr="00B728B0">
        <w:rPr>
          <w:rFonts w:ascii="Verdana" w:hAnsi="Verdana"/>
          <w:sz w:val="20"/>
          <w:lang w:val="es-MX"/>
        </w:rPr>
        <w:t xml:space="preserve"> (</w:t>
      </w:r>
      <w:r w:rsidR="00590CBA" w:rsidRPr="00B728B0">
        <w:rPr>
          <w:rFonts w:ascii="Verdana" w:hAnsi="Verdana"/>
          <w:i/>
          <w:sz w:val="20"/>
          <w:lang w:val="es-MX"/>
        </w:rPr>
        <w:t>supra</w:t>
      </w:r>
      <w:r w:rsidR="00590CBA" w:rsidRPr="00B728B0">
        <w:rPr>
          <w:rFonts w:ascii="Verdana" w:hAnsi="Verdana"/>
          <w:sz w:val="20"/>
          <w:lang w:val="es-MX"/>
        </w:rPr>
        <w:t xml:space="preserve"> Visto 2). En la </w:t>
      </w:r>
      <w:r w:rsidR="00313CA8">
        <w:rPr>
          <w:rFonts w:ascii="Verdana" w:hAnsi="Verdana"/>
          <w:sz w:val="20"/>
          <w:lang w:val="es-MX"/>
        </w:rPr>
        <w:t>R</w:t>
      </w:r>
      <w:r w:rsidR="00313CA8" w:rsidRPr="00B728B0">
        <w:rPr>
          <w:rFonts w:ascii="Verdana" w:hAnsi="Verdana"/>
          <w:sz w:val="20"/>
          <w:lang w:val="es-MX"/>
        </w:rPr>
        <w:t xml:space="preserve">esolución </w:t>
      </w:r>
      <w:r w:rsidR="00590CBA" w:rsidRPr="00B728B0">
        <w:rPr>
          <w:rFonts w:ascii="Verdana" w:hAnsi="Verdana"/>
          <w:sz w:val="20"/>
          <w:lang w:val="es-MX"/>
        </w:rPr>
        <w:t xml:space="preserve">de noviembre de 2003 </w:t>
      </w:r>
      <w:r w:rsidR="007438C6" w:rsidRPr="00B728B0">
        <w:rPr>
          <w:rFonts w:ascii="Verdana" w:hAnsi="Verdana"/>
          <w:sz w:val="20"/>
          <w:lang w:val="es-MX"/>
        </w:rPr>
        <w:t xml:space="preserve">se </w:t>
      </w:r>
      <w:r w:rsidR="00590CBA" w:rsidRPr="00B728B0">
        <w:rPr>
          <w:rFonts w:ascii="Verdana" w:hAnsi="Verdana"/>
          <w:sz w:val="20"/>
          <w:lang w:val="es-MX"/>
        </w:rPr>
        <w:t xml:space="preserve">declaró que el Estado había dado cumplimiento total al pago </w:t>
      </w:r>
      <w:r w:rsidR="00E51757" w:rsidRPr="00B728B0">
        <w:rPr>
          <w:rFonts w:ascii="Verdana" w:hAnsi="Verdana"/>
          <w:sz w:val="20"/>
          <w:lang w:val="es-MX"/>
        </w:rPr>
        <w:t xml:space="preserve">de la indemnización </w:t>
      </w:r>
      <w:r w:rsidR="00590CBA" w:rsidRPr="00B728B0">
        <w:rPr>
          <w:rFonts w:ascii="Verdana" w:hAnsi="Verdana"/>
          <w:sz w:val="20"/>
          <w:lang w:val="es-MX"/>
        </w:rPr>
        <w:t>y a la pere</w:t>
      </w:r>
      <w:r w:rsidR="00313CA8">
        <w:rPr>
          <w:rFonts w:ascii="Verdana" w:hAnsi="Verdana"/>
          <w:sz w:val="20"/>
          <w:lang w:val="es-MX"/>
        </w:rPr>
        <w:t>n</w:t>
      </w:r>
      <w:r w:rsidR="00590CBA" w:rsidRPr="00B728B0">
        <w:rPr>
          <w:rFonts w:ascii="Verdana" w:hAnsi="Verdana"/>
          <w:sz w:val="20"/>
          <w:lang w:val="es-MX"/>
        </w:rPr>
        <w:t>nización de</w:t>
      </w:r>
      <w:r w:rsidR="00F06186" w:rsidRPr="00B728B0">
        <w:rPr>
          <w:rFonts w:ascii="Verdana" w:hAnsi="Verdana"/>
          <w:sz w:val="20"/>
          <w:lang w:val="es-MX"/>
        </w:rPr>
        <w:t>l</w:t>
      </w:r>
      <w:r w:rsidR="00590CBA" w:rsidRPr="00B728B0">
        <w:rPr>
          <w:rFonts w:ascii="Verdana" w:hAnsi="Verdana"/>
          <w:sz w:val="20"/>
          <w:lang w:val="es-MX"/>
        </w:rPr>
        <w:t xml:space="preserve"> nombre</w:t>
      </w:r>
      <w:r w:rsidR="008C29B3" w:rsidRPr="00B728B0">
        <w:rPr>
          <w:rFonts w:ascii="Verdana" w:hAnsi="Verdana"/>
          <w:sz w:val="20"/>
          <w:lang w:val="es-MX"/>
        </w:rPr>
        <w:t xml:space="preserve"> </w:t>
      </w:r>
      <w:r w:rsidR="00F06186" w:rsidRPr="00B728B0">
        <w:rPr>
          <w:rFonts w:ascii="Verdana" w:hAnsi="Verdana"/>
          <w:sz w:val="20"/>
          <w:lang w:val="es-MX"/>
        </w:rPr>
        <w:t>de la víctima</w:t>
      </w:r>
      <w:r w:rsidR="00B728B0">
        <w:rPr>
          <w:rFonts w:ascii="Verdana" w:hAnsi="Verdana"/>
          <w:sz w:val="20"/>
          <w:lang w:val="es-MX"/>
        </w:rPr>
        <w:t xml:space="preserve"> </w:t>
      </w:r>
      <w:r w:rsidR="008C29B3" w:rsidRPr="00B728B0">
        <w:rPr>
          <w:rFonts w:ascii="Verdana" w:hAnsi="Verdana"/>
          <w:sz w:val="20"/>
          <w:lang w:val="es-MX"/>
        </w:rPr>
        <w:t>(</w:t>
      </w:r>
      <w:r w:rsidR="008C29B3" w:rsidRPr="00B728B0">
        <w:rPr>
          <w:rFonts w:ascii="Verdana" w:hAnsi="Verdana"/>
          <w:i/>
          <w:sz w:val="20"/>
          <w:lang w:val="es-MX"/>
        </w:rPr>
        <w:t>supra</w:t>
      </w:r>
      <w:r w:rsidR="008C29B3" w:rsidRPr="00B728B0">
        <w:rPr>
          <w:rFonts w:ascii="Verdana" w:hAnsi="Verdana"/>
          <w:sz w:val="20"/>
          <w:lang w:val="es-MX"/>
        </w:rPr>
        <w:t xml:space="preserve"> nota al pie 4)</w:t>
      </w:r>
      <w:r w:rsidR="00590CBA" w:rsidRPr="00B728B0">
        <w:rPr>
          <w:rFonts w:ascii="Verdana" w:hAnsi="Verdana"/>
          <w:sz w:val="20"/>
          <w:lang w:val="es-MX"/>
        </w:rPr>
        <w:t xml:space="preserve">. También </w:t>
      </w:r>
      <w:r w:rsidR="007438C6" w:rsidRPr="00B728B0">
        <w:rPr>
          <w:rFonts w:ascii="Verdana" w:hAnsi="Verdana"/>
          <w:sz w:val="20"/>
          <w:lang w:val="es-MX"/>
        </w:rPr>
        <w:t xml:space="preserve">se </w:t>
      </w:r>
      <w:r w:rsidR="00590CBA" w:rsidRPr="00B728B0">
        <w:rPr>
          <w:rFonts w:ascii="Verdana" w:hAnsi="Verdana"/>
          <w:sz w:val="20"/>
          <w:lang w:val="es-MX"/>
        </w:rPr>
        <w:t xml:space="preserve">declaró que </w:t>
      </w:r>
      <w:r w:rsidR="00590CBA" w:rsidRPr="00B728B0">
        <w:rPr>
          <w:rFonts w:ascii="Verdana" w:hAnsi="Verdana"/>
          <w:sz w:val="20"/>
          <w:szCs w:val="20"/>
          <w:lang w:val="es-MX"/>
        </w:rPr>
        <w:t>Ecuador “aún no ha</w:t>
      </w:r>
      <w:r w:rsidR="00E74EC6" w:rsidRPr="00B728B0">
        <w:rPr>
          <w:rFonts w:ascii="Verdana" w:hAnsi="Verdana"/>
          <w:sz w:val="20"/>
          <w:szCs w:val="20"/>
          <w:lang w:val="es-MX"/>
        </w:rPr>
        <w:t>[bía]</w:t>
      </w:r>
      <w:r w:rsidR="00590CBA" w:rsidRPr="00B728B0">
        <w:rPr>
          <w:rFonts w:ascii="Verdana" w:hAnsi="Verdana"/>
          <w:sz w:val="20"/>
          <w:szCs w:val="20"/>
          <w:lang w:val="es-MX"/>
        </w:rPr>
        <w:t xml:space="preserve"> dado cumplimiento a la obligación de investigar, juzgar y sancionar a los responsables de las violaciones a los dere</w:t>
      </w:r>
      <w:r w:rsidR="007438C6" w:rsidRPr="00B728B0">
        <w:rPr>
          <w:rFonts w:ascii="Verdana" w:hAnsi="Verdana"/>
          <w:sz w:val="20"/>
          <w:szCs w:val="20"/>
          <w:lang w:val="es-MX"/>
        </w:rPr>
        <w:t>chos humanos en perjuicio de Consuelo Benavides Cevallos”</w:t>
      </w:r>
      <w:r w:rsidR="00B728B0">
        <w:rPr>
          <w:rFonts w:ascii="Verdana" w:hAnsi="Verdana"/>
          <w:sz w:val="20"/>
          <w:szCs w:val="20"/>
          <w:lang w:val="es-MX"/>
        </w:rPr>
        <w:t>.</w:t>
      </w:r>
      <w:r w:rsidR="007438C6" w:rsidRPr="00B728B0">
        <w:rPr>
          <w:rFonts w:ascii="Verdana" w:hAnsi="Verdana"/>
          <w:sz w:val="20"/>
          <w:szCs w:val="20"/>
          <w:lang w:val="es-MX"/>
        </w:rPr>
        <w:t xml:space="preserve"> </w:t>
      </w:r>
      <w:r w:rsidR="007438C6" w:rsidRPr="00BA5D8D">
        <w:rPr>
          <w:rFonts w:ascii="Verdana" w:hAnsi="Verdana"/>
          <w:sz w:val="20"/>
          <w:lang w:val="es-MX"/>
        </w:rPr>
        <w:t>Al respecto</w:t>
      </w:r>
      <w:r w:rsidR="008C29B3" w:rsidRPr="00BA5D8D">
        <w:rPr>
          <w:rFonts w:ascii="Verdana" w:hAnsi="Verdana"/>
          <w:sz w:val="20"/>
          <w:lang w:val="es-MX"/>
        </w:rPr>
        <w:t>,</w:t>
      </w:r>
      <w:r w:rsidR="007438C6" w:rsidRPr="00A60576">
        <w:rPr>
          <w:rFonts w:ascii="Verdana" w:hAnsi="Verdana"/>
          <w:sz w:val="20"/>
          <w:lang w:val="es-MX"/>
        </w:rPr>
        <w:t xml:space="preserve"> la Corte efectuó las siguientes consideraciones: </w:t>
      </w:r>
    </w:p>
    <w:p w:rsidR="007438C6" w:rsidRPr="007438C6" w:rsidRDefault="007438C6" w:rsidP="007438C6">
      <w:pPr>
        <w:pStyle w:val="Listavistosa-nfasis1"/>
        <w:spacing w:before="120" w:after="120" w:line="240" w:lineRule="auto"/>
        <w:ind w:left="709" w:right="996"/>
        <w:contextualSpacing w:val="0"/>
        <w:jc w:val="both"/>
        <w:rPr>
          <w:rFonts w:ascii="Verdana" w:hAnsi="Verdana"/>
          <w:sz w:val="16"/>
          <w:szCs w:val="16"/>
          <w:lang w:val="es-CR"/>
        </w:rPr>
      </w:pPr>
      <w:r w:rsidRPr="007438C6">
        <w:rPr>
          <w:rFonts w:ascii="Verdana" w:hAnsi="Verdana"/>
          <w:sz w:val="16"/>
          <w:szCs w:val="16"/>
          <w:lang w:val="es-CR"/>
        </w:rPr>
        <w:t xml:space="preserve">10. </w:t>
      </w:r>
      <w:r w:rsidRPr="007438C6">
        <w:rPr>
          <w:rFonts w:ascii="Verdana" w:hAnsi="Verdana"/>
          <w:sz w:val="16"/>
          <w:szCs w:val="16"/>
          <w:lang w:val="es-CR"/>
        </w:rPr>
        <w:tab/>
        <w:t xml:space="preserve">Que del análisis de la información aportada por el Estado y por la Comisión Interamericana, la Corte ha constatado que </w:t>
      </w:r>
      <w:r w:rsidRPr="007438C6">
        <w:rPr>
          <w:rFonts w:ascii="Verdana" w:hAnsi="Verdana"/>
          <w:b/>
          <w:sz w:val="16"/>
          <w:szCs w:val="16"/>
          <w:lang w:val="es-CR"/>
        </w:rPr>
        <w:t>el Estado no ha dado cumplimiento</w:t>
      </w:r>
      <w:r w:rsidR="00313CA8">
        <w:rPr>
          <w:rFonts w:ascii="Verdana" w:hAnsi="Verdana"/>
          <w:b/>
          <w:sz w:val="16"/>
          <w:szCs w:val="16"/>
          <w:lang w:val="es-CR"/>
        </w:rPr>
        <w:t xml:space="preserve"> [a]</w:t>
      </w:r>
      <w:r w:rsidRPr="007438C6">
        <w:rPr>
          <w:rFonts w:ascii="Verdana" w:hAnsi="Verdana"/>
          <w:b/>
          <w:sz w:val="16"/>
          <w:szCs w:val="16"/>
          <w:lang w:val="es-CR"/>
        </w:rPr>
        <w:t xml:space="preserve"> la obligación de investigar, juzgar y sancionar a los responsables de las violaciones a los derechos humanos declaradas por la Corte porque prescribió la acción penal</w:t>
      </w:r>
      <w:r w:rsidRPr="007438C6">
        <w:rPr>
          <w:rFonts w:ascii="Verdana" w:hAnsi="Verdana"/>
          <w:sz w:val="16"/>
          <w:szCs w:val="16"/>
          <w:lang w:val="es-CR"/>
        </w:rPr>
        <w:t xml:space="preserve"> (Punto resolutivo 4 de la Sentencia sobre Reparaciones de 18 de junio de 1998). </w:t>
      </w:r>
      <w:r w:rsidR="00DB6FCB" w:rsidRPr="00DB6FCB">
        <w:rPr>
          <w:rFonts w:ascii="Verdana" w:hAnsi="Verdana"/>
          <w:i/>
          <w:sz w:val="16"/>
          <w:szCs w:val="16"/>
          <w:lang w:val="es-CR"/>
        </w:rPr>
        <w:t>(Énfasis añadido)</w:t>
      </w:r>
    </w:p>
    <w:p w:rsidR="007438C6" w:rsidRPr="007438C6" w:rsidRDefault="007438C6" w:rsidP="007438C6">
      <w:pPr>
        <w:pStyle w:val="Listavistosa-nfasis1"/>
        <w:spacing w:before="120" w:after="120" w:line="240" w:lineRule="auto"/>
        <w:ind w:left="709" w:right="996"/>
        <w:contextualSpacing w:val="0"/>
        <w:jc w:val="both"/>
        <w:rPr>
          <w:rFonts w:ascii="Verdana" w:hAnsi="Verdana"/>
          <w:sz w:val="16"/>
          <w:szCs w:val="16"/>
          <w:lang w:val="es-CR"/>
        </w:rPr>
      </w:pPr>
      <w:r w:rsidRPr="007438C6">
        <w:rPr>
          <w:rFonts w:ascii="Verdana" w:hAnsi="Verdana"/>
          <w:sz w:val="16"/>
          <w:szCs w:val="16"/>
          <w:lang w:val="es-CR"/>
        </w:rPr>
        <w:t xml:space="preserve">11. </w:t>
      </w:r>
      <w:r w:rsidRPr="007438C6">
        <w:rPr>
          <w:rFonts w:ascii="Verdana" w:hAnsi="Verdana"/>
          <w:sz w:val="16"/>
          <w:szCs w:val="16"/>
          <w:lang w:val="es-CR"/>
        </w:rPr>
        <w:tab/>
        <w:t xml:space="preserve">Que la Corte en su jurisprudencia constante ha indicado que son inadmisibles las disposiciones de prescripción o cualquier obstáculo de derecho interno mediante el cual se </w:t>
      </w:r>
      <w:r w:rsidRPr="007438C6">
        <w:rPr>
          <w:rFonts w:ascii="Verdana" w:hAnsi="Verdana"/>
          <w:sz w:val="16"/>
          <w:szCs w:val="16"/>
          <w:lang w:val="es-CR"/>
        </w:rPr>
        <w:lastRenderedPageBreak/>
        <w:t xml:space="preserve">pretenda impedir la investigación y sanción de los responsables de las violaciones de derechos humanos. La Corte ha señalado que las obligaciones generales consagradas en los artículos 1.1 y 2 de la Convención Americana requieren de los Estados Partes la pronta adopción de providencias de toda índole para que nadie sea sustraído del derecho a la protección judicial, consagrada en el artículo 25 de la Convención Americana. </w:t>
      </w:r>
    </w:p>
    <w:p w:rsidR="007438C6" w:rsidRPr="007438C6" w:rsidRDefault="007438C6" w:rsidP="007438C6">
      <w:pPr>
        <w:pStyle w:val="Listavistosa-nfasis1"/>
        <w:spacing w:before="120" w:after="120" w:line="240" w:lineRule="auto"/>
        <w:ind w:left="709" w:right="996"/>
        <w:contextualSpacing w:val="0"/>
        <w:jc w:val="both"/>
        <w:rPr>
          <w:rFonts w:ascii="Verdana" w:hAnsi="Verdana"/>
          <w:sz w:val="16"/>
          <w:szCs w:val="16"/>
          <w:lang w:val="es-CR"/>
        </w:rPr>
      </w:pPr>
      <w:r w:rsidRPr="007438C6">
        <w:rPr>
          <w:rFonts w:ascii="Verdana" w:hAnsi="Verdana"/>
          <w:sz w:val="16"/>
          <w:szCs w:val="16"/>
          <w:lang w:val="es-CR"/>
        </w:rPr>
        <w:t xml:space="preserve">12. </w:t>
      </w:r>
      <w:r w:rsidRPr="007438C6">
        <w:rPr>
          <w:rFonts w:ascii="Verdana" w:hAnsi="Verdana"/>
          <w:sz w:val="16"/>
          <w:szCs w:val="16"/>
          <w:lang w:val="es-CR"/>
        </w:rPr>
        <w:tab/>
      </w:r>
      <w:proofErr w:type="gramStart"/>
      <w:r w:rsidRPr="007438C6">
        <w:rPr>
          <w:rFonts w:ascii="Verdana" w:hAnsi="Verdana"/>
          <w:sz w:val="16"/>
          <w:szCs w:val="16"/>
          <w:lang w:val="es-CR"/>
        </w:rPr>
        <w:t>Que</w:t>
      </w:r>
      <w:proofErr w:type="gramEnd"/>
      <w:r w:rsidRPr="007438C6">
        <w:rPr>
          <w:rFonts w:ascii="Verdana" w:hAnsi="Verdana"/>
          <w:sz w:val="16"/>
          <w:szCs w:val="16"/>
          <w:lang w:val="es-CR"/>
        </w:rPr>
        <w:t xml:space="preserve"> de acuerdo con las obligaciones convencionales asumidas por los Estados, ninguna disposición o instituto de derecho interno, entre ellos la prescripción, podría oponerse al cumplimiento de las decisiones de la Corte en cuanto a la investigación y sanción de los responsables de las violaciones de los derechos humanos. Si así no fuera, los derechos consagrados en la Convención Americana estarían desprovistos de una protección efectiva. Este entendimiento de la Corte está conforme a la letra y al espíritu de la Convención, así como a los principios generales del derecho; uno de estos principios es el de </w:t>
      </w:r>
      <w:r w:rsidRPr="007438C6">
        <w:rPr>
          <w:rFonts w:ascii="Verdana" w:hAnsi="Verdana"/>
          <w:i/>
          <w:sz w:val="16"/>
          <w:szCs w:val="16"/>
          <w:lang w:val="es-CR"/>
        </w:rPr>
        <w:t>pacta sunt servanda</w:t>
      </w:r>
      <w:r w:rsidRPr="007438C6">
        <w:rPr>
          <w:rFonts w:ascii="Verdana" w:hAnsi="Verdana"/>
          <w:sz w:val="16"/>
          <w:szCs w:val="16"/>
          <w:lang w:val="es-CR"/>
        </w:rPr>
        <w:t>, el cual requiere que a las disposiciones de un tratado le sea asegurado el efecto útil en el plano del derecho interno de los Estados Partes.</w:t>
      </w:r>
    </w:p>
    <w:p w:rsidR="007438C6" w:rsidRPr="00C83015" w:rsidRDefault="00B54D7D" w:rsidP="00874106">
      <w:pPr>
        <w:pStyle w:val="Listavistosa-nfasis1"/>
        <w:numPr>
          <w:ilvl w:val="0"/>
          <w:numId w:val="48"/>
        </w:numPr>
        <w:spacing w:before="120" w:after="120" w:line="240" w:lineRule="auto"/>
        <w:ind w:left="0" w:firstLine="0"/>
        <w:contextualSpacing w:val="0"/>
        <w:jc w:val="both"/>
        <w:rPr>
          <w:rFonts w:ascii="Verdana" w:hAnsi="Verdana"/>
          <w:sz w:val="20"/>
          <w:szCs w:val="20"/>
          <w:lang w:val="es-CR"/>
        </w:rPr>
      </w:pPr>
      <w:r>
        <w:rPr>
          <w:rFonts w:ascii="Verdana" w:hAnsi="Verdana"/>
          <w:sz w:val="20"/>
          <w:lang w:val="es-CR"/>
        </w:rPr>
        <w:t xml:space="preserve">Debido al referido incumplimiento estatal, </w:t>
      </w:r>
      <w:r w:rsidR="00DB6FCB">
        <w:rPr>
          <w:rFonts w:ascii="Verdana" w:hAnsi="Verdana"/>
          <w:sz w:val="20"/>
          <w:lang w:val="es-CR"/>
        </w:rPr>
        <w:t xml:space="preserve">en esa Resolución de 2003 </w:t>
      </w:r>
      <w:r>
        <w:rPr>
          <w:rFonts w:ascii="Verdana" w:hAnsi="Verdana"/>
          <w:sz w:val="20"/>
          <w:lang w:val="es-CR"/>
        </w:rPr>
        <w:t>la Corte decidió aplicar al presente caso lo dispuesto en los artículos 65 de la Convención Americana y 30 del Estatuto del Tribunal</w:t>
      </w:r>
      <w:r w:rsidR="004F39F9">
        <w:rPr>
          <w:rStyle w:val="Refdenotaalpie"/>
          <w:rFonts w:ascii="Verdana" w:hAnsi="Verdana"/>
          <w:sz w:val="20"/>
          <w:lang w:val="es-CR"/>
        </w:rPr>
        <w:footnoteReference w:id="10"/>
      </w:r>
      <w:r>
        <w:rPr>
          <w:rFonts w:ascii="Verdana" w:hAnsi="Verdana"/>
          <w:sz w:val="20"/>
          <w:lang w:val="es-CR"/>
        </w:rPr>
        <w:t>, los cuales facultan a la Corte a incluir en los informes anuales que somete a consideración de la Asamblea General de la Organización de los Estados Americanos aquellos casos en los que los Estados no haya</w:t>
      </w:r>
      <w:r w:rsidR="004F39F9">
        <w:rPr>
          <w:rFonts w:ascii="Verdana" w:hAnsi="Verdana"/>
          <w:sz w:val="20"/>
          <w:lang w:val="es-CR"/>
        </w:rPr>
        <w:t>n</w:t>
      </w:r>
      <w:r>
        <w:rPr>
          <w:rFonts w:ascii="Verdana" w:hAnsi="Verdana"/>
          <w:sz w:val="20"/>
          <w:lang w:val="es-CR"/>
        </w:rPr>
        <w:t xml:space="preserve"> dado cumplimiento a sus fallos.</w:t>
      </w:r>
      <w:r w:rsidR="00A443AE" w:rsidRPr="00ED2EFF">
        <w:rPr>
          <w:rFonts w:ascii="Verdana" w:hAnsi="Verdana"/>
          <w:color w:val="00B050"/>
          <w:sz w:val="18"/>
          <w:szCs w:val="18"/>
          <w:lang w:val="es-CR"/>
        </w:rPr>
        <w:t xml:space="preserve"> </w:t>
      </w:r>
    </w:p>
    <w:p w:rsidR="00A45062" w:rsidRPr="00D53D1C" w:rsidRDefault="00242BD0" w:rsidP="00A60576">
      <w:pPr>
        <w:pStyle w:val="Listavistosa-nfasis1"/>
        <w:numPr>
          <w:ilvl w:val="0"/>
          <w:numId w:val="48"/>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Luego de aproximadamente quince años sin referirse al cumplimiento de</w:t>
      </w:r>
      <w:r w:rsidR="00A60576">
        <w:rPr>
          <w:rFonts w:ascii="Verdana" w:hAnsi="Verdana"/>
          <w:sz w:val="20"/>
          <w:szCs w:val="20"/>
          <w:lang w:val="es-CR"/>
        </w:rPr>
        <w:t xml:space="preserve"> la obligación de investigar</w:t>
      </w:r>
      <w:r>
        <w:rPr>
          <w:rFonts w:ascii="Verdana" w:hAnsi="Verdana"/>
          <w:sz w:val="20"/>
          <w:szCs w:val="20"/>
          <w:lang w:val="es-CR"/>
        </w:rPr>
        <w:t xml:space="preserve">, el Estado remitió un informe </w:t>
      </w:r>
      <w:r w:rsidR="00173388">
        <w:rPr>
          <w:rFonts w:ascii="Verdana" w:hAnsi="Verdana"/>
          <w:sz w:val="20"/>
          <w:szCs w:val="20"/>
          <w:lang w:val="es-CR"/>
        </w:rPr>
        <w:t>sobre los “avances pertinentes respecto a la obligación de investigar, juzgar</w:t>
      </w:r>
      <w:r w:rsidR="00313CA8">
        <w:rPr>
          <w:rFonts w:ascii="Verdana" w:hAnsi="Verdana"/>
          <w:sz w:val="20"/>
          <w:szCs w:val="20"/>
          <w:lang w:val="es-CR"/>
        </w:rPr>
        <w:t>,</w:t>
      </w:r>
      <w:r w:rsidR="00173388">
        <w:rPr>
          <w:rFonts w:ascii="Verdana" w:hAnsi="Verdana"/>
          <w:sz w:val="20"/>
          <w:szCs w:val="20"/>
          <w:lang w:val="es-CR"/>
        </w:rPr>
        <w:t xml:space="preserve"> y sancionar</w:t>
      </w:r>
      <w:r w:rsidR="00183A97">
        <w:rPr>
          <w:rFonts w:ascii="Verdana" w:hAnsi="Verdana"/>
          <w:sz w:val="20"/>
          <w:szCs w:val="20"/>
          <w:lang w:val="es-CR"/>
        </w:rPr>
        <w:t xml:space="preserve"> a los responsables de las violaciones de derechos humanos</w:t>
      </w:r>
      <w:r w:rsidR="00313CA8">
        <w:rPr>
          <w:rFonts w:ascii="Verdana" w:hAnsi="Verdana"/>
          <w:sz w:val="20"/>
          <w:szCs w:val="20"/>
          <w:lang w:val="es-CR"/>
        </w:rPr>
        <w:t>,</w:t>
      </w:r>
      <w:r w:rsidR="00183A97">
        <w:rPr>
          <w:rFonts w:ascii="Verdana" w:hAnsi="Verdana"/>
          <w:sz w:val="20"/>
          <w:szCs w:val="20"/>
          <w:lang w:val="es-CR"/>
        </w:rPr>
        <w:t xml:space="preserve"> declarada</w:t>
      </w:r>
      <w:r w:rsidR="00313CA8">
        <w:rPr>
          <w:rFonts w:ascii="Verdana" w:hAnsi="Verdana"/>
          <w:sz w:val="20"/>
          <w:szCs w:val="20"/>
          <w:lang w:val="es-CR"/>
        </w:rPr>
        <w:t>[</w:t>
      </w:r>
      <w:r w:rsidR="00183A97">
        <w:rPr>
          <w:rFonts w:ascii="Verdana" w:hAnsi="Verdana"/>
          <w:sz w:val="20"/>
          <w:szCs w:val="20"/>
          <w:lang w:val="es-CR"/>
        </w:rPr>
        <w:t>s</w:t>
      </w:r>
      <w:r w:rsidR="00313CA8">
        <w:rPr>
          <w:rFonts w:ascii="Verdana" w:hAnsi="Verdana"/>
          <w:sz w:val="20"/>
          <w:szCs w:val="20"/>
          <w:lang w:val="es-CR"/>
        </w:rPr>
        <w:t>]</w:t>
      </w:r>
      <w:r w:rsidR="00183A97">
        <w:rPr>
          <w:rFonts w:ascii="Verdana" w:hAnsi="Verdana"/>
          <w:sz w:val="20"/>
          <w:szCs w:val="20"/>
          <w:lang w:val="es-CR"/>
        </w:rPr>
        <w:t xml:space="preserve"> en la Sentencia”</w:t>
      </w:r>
      <w:r w:rsidR="00DB6FCB">
        <w:rPr>
          <w:rFonts w:ascii="Verdana" w:hAnsi="Verdana"/>
          <w:sz w:val="20"/>
          <w:szCs w:val="20"/>
          <w:lang w:val="es-CR"/>
        </w:rPr>
        <w:t xml:space="preserve"> (</w:t>
      </w:r>
      <w:r w:rsidR="00DB6FCB" w:rsidRPr="00DB6FCB">
        <w:rPr>
          <w:rFonts w:ascii="Verdana" w:hAnsi="Verdana"/>
          <w:i/>
          <w:sz w:val="20"/>
          <w:szCs w:val="20"/>
          <w:lang w:val="es-CR"/>
        </w:rPr>
        <w:t>supra</w:t>
      </w:r>
      <w:r w:rsidR="00DB6FCB">
        <w:rPr>
          <w:rFonts w:ascii="Verdana" w:hAnsi="Verdana"/>
          <w:sz w:val="20"/>
          <w:szCs w:val="20"/>
          <w:lang w:val="es-CR"/>
        </w:rPr>
        <w:t xml:space="preserve"> Visto 4)</w:t>
      </w:r>
      <w:r w:rsidR="00183A97">
        <w:rPr>
          <w:rFonts w:ascii="Verdana" w:hAnsi="Verdana"/>
          <w:sz w:val="20"/>
          <w:szCs w:val="20"/>
          <w:lang w:val="es-CR"/>
        </w:rPr>
        <w:t xml:space="preserve">. </w:t>
      </w:r>
      <w:r w:rsidR="00F229BD" w:rsidRPr="00A60576">
        <w:rPr>
          <w:rFonts w:ascii="Verdana" w:hAnsi="Verdana"/>
          <w:sz w:val="20"/>
          <w:szCs w:val="20"/>
          <w:lang w:val="es-CR"/>
        </w:rPr>
        <w:t>En su informe de junio de 2018</w:t>
      </w:r>
      <w:r w:rsidR="00183A97" w:rsidRPr="00A60576">
        <w:rPr>
          <w:rFonts w:ascii="Verdana" w:hAnsi="Verdana"/>
          <w:sz w:val="20"/>
          <w:szCs w:val="20"/>
          <w:lang w:val="es-CR"/>
        </w:rPr>
        <w:t xml:space="preserve"> </w:t>
      </w:r>
      <w:r w:rsidR="005F715D" w:rsidRPr="00A60576">
        <w:rPr>
          <w:rFonts w:ascii="Verdana" w:hAnsi="Verdana"/>
          <w:sz w:val="20"/>
          <w:szCs w:val="20"/>
          <w:lang w:val="es-CR"/>
        </w:rPr>
        <w:t xml:space="preserve">explicó que </w:t>
      </w:r>
      <w:r w:rsidR="00183A97" w:rsidRPr="00A60576">
        <w:rPr>
          <w:rFonts w:ascii="Verdana" w:hAnsi="Verdana"/>
          <w:sz w:val="20"/>
          <w:szCs w:val="20"/>
          <w:lang w:val="es-CR"/>
        </w:rPr>
        <w:t xml:space="preserve">la investigación por los hechos ocurridos a Consuelo Benavides Cevallos “se encuentra en la </w:t>
      </w:r>
      <w:r w:rsidR="00D63CE1" w:rsidRPr="00D53D1C">
        <w:rPr>
          <w:rFonts w:ascii="Verdana" w:hAnsi="Verdana"/>
          <w:sz w:val="20"/>
          <w:szCs w:val="20"/>
          <w:lang w:val="es-CR"/>
        </w:rPr>
        <w:t xml:space="preserve">[Fiscalía No. 2 de la] </w:t>
      </w:r>
      <w:r w:rsidR="00183A97" w:rsidRPr="00D53D1C">
        <w:rPr>
          <w:rFonts w:ascii="Verdana" w:hAnsi="Verdana"/>
          <w:sz w:val="20"/>
          <w:szCs w:val="20"/>
          <w:lang w:val="es-CR"/>
        </w:rPr>
        <w:t>Dirección de la Comisión de la Verdad de la Fiscalía</w:t>
      </w:r>
      <w:r w:rsidR="00183A97" w:rsidRPr="006C2328">
        <w:rPr>
          <w:rFonts w:ascii="Verdana" w:hAnsi="Verdana"/>
          <w:sz w:val="20"/>
          <w:szCs w:val="20"/>
          <w:lang w:val="es-CR"/>
        </w:rPr>
        <w:t xml:space="preserve"> General del Estado”</w:t>
      </w:r>
      <w:r w:rsidR="00F3189A" w:rsidRPr="006C2328">
        <w:rPr>
          <w:rFonts w:ascii="Verdana" w:hAnsi="Verdana"/>
          <w:sz w:val="20"/>
          <w:szCs w:val="20"/>
          <w:lang w:val="es-CR"/>
        </w:rPr>
        <w:t xml:space="preserve">, la cual </w:t>
      </w:r>
      <w:r w:rsidR="00F05C8A" w:rsidRPr="006C2328">
        <w:rPr>
          <w:rFonts w:ascii="Verdana" w:hAnsi="Verdana"/>
          <w:sz w:val="20"/>
          <w:szCs w:val="20"/>
          <w:lang w:val="es-CR"/>
        </w:rPr>
        <w:t xml:space="preserve">está a cargo de </w:t>
      </w:r>
      <w:r w:rsidR="00F3189A" w:rsidRPr="003256B4">
        <w:rPr>
          <w:rFonts w:ascii="Verdana" w:hAnsi="Verdana"/>
          <w:sz w:val="20"/>
          <w:szCs w:val="20"/>
          <w:lang w:val="es-CR"/>
        </w:rPr>
        <w:t>investiga</w:t>
      </w:r>
      <w:r w:rsidR="00F05C8A" w:rsidRPr="003256B4">
        <w:rPr>
          <w:rFonts w:ascii="Verdana" w:hAnsi="Verdana"/>
          <w:sz w:val="20"/>
          <w:szCs w:val="20"/>
          <w:lang w:val="es-CR"/>
        </w:rPr>
        <w:t>r</w:t>
      </w:r>
      <w:r w:rsidR="00F3189A" w:rsidRPr="00FB306F">
        <w:rPr>
          <w:rFonts w:ascii="Verdana" w:hAnsi="Verdana"/>
          <w:sz w:val="20"/>
          <w:szCs w:val="20"/>
          <w:lang w:val="es-CR"/>
        </w:rPr>
        <w:t xml:space="preserve"> violaciones a derechos humanos </w:t>
      </w:r>
      <w:r w:rsidR="00F3189A" w:rsidRPr="00B728B0">
        <w:rPr>
          <w:rFonts w:ascii="Verdana" w:hAnsi="Verdana"/>
          <w:sz w:val="20"/>
          <w:szCs w:val="20"/>
          <w:lang w:val="es-CR"/>
        </w:rPr>
        <w:t>cometid</w:t>
      </w:r>
      <w:r w:rsidR="00F05C8A" w:rsidRPr="00B728B0">
        <w:rPr>
          <w:rFonts w:ascii="Verdana" w:hAnsi="Verdana"/>
          <w:sz w:val="20"/>
          <w:szCs w:val="20"/>
          <w:lang w:val="es-CR"/>
        </w:rPr>
        <w:t>a</w:t>
      </w:r>
      <w:r w:rsidR="00F3189A" w:rsidRPr="00B728B0">
        <w:rPr>
          <w:rFonts w:ascii="Verdana" w:hAnsi="Verdana"/>
          <w:sz w:val="20"/>
          <w:szCs w:val="20"/>
          <w:lang w:val="es-CR"/>
        </w:rPr>
        <w:t>s entre 1984 y 2008</w:t>
      </w:r>
      <w:r w:rsidR="008A25F1">
        <w:rPr>
          <w:rStyle w:val="Refdenotaalpie"/>
          <w:rFonts w:ascii="Verdana" w:hAnsi="Verdana"/>
          <w:sz w:val="20"/>
          <w:szCs w:val="20"/>
          <w:lang w:val="es-CR"/>
        </w:rPr>
        <w:footnoteReference w:id="11"/>
      </w:r>
      <w:r w:rsidR="00F3189A" w:rsidRPr="00A60576">
        <w:rPr>
          <w:rFonts w:ascii="Verdana" w:hAnsi="Verdana"/>
          <w:sz w:val="20"/>
          <w:szCs w:val="20"/>
          <w:lang w:val="es-CR"/>
        </w:rPr>
        <w:t>.</w:t>
      </w:r>
      <w:r w:rsidR="00183A97" w:rsidRPr="00A60576">
        <w:rPr>
          <w:rFonts w:ascii="Verdana" w:hAnsi="Verdana"/>
          <w:sz w:val="20"/>
          <w:szCs w:val="20"/>
          <w:lang w:val="es-CR"/>
        </w:rPr>
        <w:t xml:space="preserve"> </w:t>
      </w:r>
      <w:r w:rsidR="008A25F1" w:rsidRPr="00A60576">
        <w:rPr>
          <w:rFonts w:ascii="Verdana" w:hAnsi="Verdana"/>
          <w:sz w:val="20"/>
          <w:szCs w:val="20"/>
          <w:lang w:val="es-CR"/>
        </w:rPr>
        <w:t>Asimismo,</w:t>
      </w:r>
      <w:r w:rsidR="00241E17" w:rsidRPr="00A60576">
        <w:rPr>
          <w:rFonts w:ascii="Verdana" w:hAnsi="Verdana"/>
          <w:sz w:val="20"/>
          <w:szCs w:val="20"/>
          <w:lang w:val="es-CR"/>
        </w:rPr>
        <w:t xml:space="preserve"> </w:t>
      </w:r>
      <w:r w:rsidR="008A25F1" w:rsidRPr="00D53D1C">
        <w:rPr>
          <w:rFonts w:ascii="Verdana" w:hAnsi="Verdana"/>
          <w:sz w:val="20"/>
          <w:szCs w:val="20"/>
          <w:lang w:val="es-CR"/>
        </w:rPr>
        <w:t xml:space="preserve">aportó un </w:t>
      </w:r>
      <w:r w:rsidR="00241E17" w:rsidRPr="00D53D1C">
        <w:rPr>
          <w:rFonts w:ascii="Verdana" w:hAnsi="Verdana"/>
          <w:sz w:val="20"/>
          <w:szCs w:val="20"/>
          <w:lang w:val="es-CR"/>
        </w:rPr>
        <w:t>informe elaborado por la referida fiscalía</w:t>
      </w:r>
      <w:r w:rsidR="00241E17">
        <w:rPr>
          <w:rStyle w:val="Refdenotaalpie"/>
          <w:rFonts w:ascii="Verdana" w:hAnsi="Verdana"/>
          <w:sz w:val="20"/>
          <w:szCs w:val="20"/>
          <w:lang w:val="es-CR"/>
        </w:rPr>
        <w:footnoteReference w:id="12"/>
      </w:r>
      <w:r w:rsidR="00241E17" w:rsidRPr="00A60576">
        <w:rPr>
          <w:rFonts w:ascii="Verdana" w:hAnsi="Verdana"/>
          <w:sz w:val="20"/>
          <w:szCs w:val="20"/>
          <w:lang w:val="es-CR"/>
        </w:rPr>
        <w:t xml:space="preserve">, en el cual </w:t>
      </w:r>
      <w:r w:rsidR="005F715D" w:rsidRPr="00A60576">
        <w:rPr>
          <w:rFonts w:ascii="Verdana" w:hAnsi="Verdana"/>
          <w:sz w:val="20"/>
          <w:szCs w:val="20"/>
          <w:lang w:val="es-CR"/>
        </w:rPr>
        <w:t xml:space="preserve">se indica que la investigación por los hechos del presente caso (expediente No. 26-2011) se encuentra en </w:t>
      </w:r>
      <w:r w:rsidR="00313CA8">
        <w:rPr>
          <w:rFonts w:ascii="Verdana" w:hAnsi="Verdana"/>
          <w:sz w:val="20"/>
          <w:szCs w:val="20"/>
          <w:lang w:val="es-CR"/>
        </w:rPr>
        <w:t>esa</w:t>
      </w:r>
      <w:r w:rsidR="005F715D" w:rsidRPr="00A60576">
        <w:rPr>
          <w:rFonts w:ascii="Verdana" w:hAnsi="Verdana"/>
          <w:sz w:val="20"/>
          <w:szCs w:val="20"/>
          <w:lang w:val="es-CR"/>
        </w:rPr>
        <w:t xml:space="preserve"> fiscalía desde el 2011 cuando</w:t>
      </w:r>
      <w:r w:rsidR="00F05C8A" w:rsidRPr="00D53D1C">
        <w:rPr>
          <w:rFonts w:ascii="Verdana" w:hAnsi="Verdana"/>
          <w:sz w:val="20"/>
          <w:szCs w:val="20"/>
          <w:lang w:val="es-CR"/>
        </w:rPr>
        <w:t>,</w:t>
      </w:r>
      <w:r w:rsidR="005F715D" w:rsidRPr="00D53D1C">
        <w:rPr>
          <w:rFonts w:ascii="Verdana" w:hAnsi="Verdana"/>
          <w:sz w:val="20"/>
          <w:szCs w:val="20"/>
          <w:lang w:val="es-CR"/>
        </w:rPr>
        <w:t xml:space="preserve"> por “impulso fiscal”</w:t>
      </w:r>
      <w:r w:rsidR="00F05C8A" w:rsidRPr="00D53D1C">
        <w:rPr>
          <w:rFonts w:ascii="Verdana" w:hAnsi="Verdana"/>
          <w:sz w:val="20"/>
          <w:szCs w:val="20"/>
          <w:lang w:val="es-CR"/>
        </w:rPr>
        <w:t>,</w:t>
      </w:r>
      <w:r w:rsidR="005F715D" w:rsidRPr="00D53D1C">
        <w:rPr>
          <w:rFonts w:ascii="Verdana" w:hAnsi="Verdana"/>
          <w:sz w:val="20"/>
          <w:szCs w:val="20"/>
          <w:lang w:val="es-CR"/>
        </w:rPr>
        <w:t xml:space="preserve"> se dio la apertura de la etapa de indagación previa, hasta la actualidad</w:t>
      </w:r>
      <w:r w:rsidR="00F05C8A" w:rsidRPr="00D53D1C">
        <w:rPr>
          <w:rFonts w:ascii="Verdana" w:hAnsi="Verdana"/>
          <w:sz w:val="20"/>
          <w:szCs w:val="20"/>
          <w:lang w:val="es-CR"/>
        </w:rPr>
        <w:t>.</w:t>
      </w:r>
      <w:r w:rsidR="005F715D" w:rsidRPr="00D53D1C">
        <w:rPr>
          <w:rFonts w:ascii="Verdana" w:hAnsi="Verdana"/>
          <w:sz w:val="20"/>
          <w:szCs w:val="20"/>
          <w:lang w:val="es-CR"/>
        </w:rPr>
        <w:t xml:space="preserve"> </w:t>
      </w:r>
      <w:r w:rsidR="00D53D1C">
        <w:rPr>
          <w:rFonts w:ascii="Verdana" w:hAnsi="Verdana"/>
          <w:sz w:val="20"/>
          <w:szCs w:val="20"/>
          <w:lang w:val="es-CR"/>
        </w:rPr>
        <w:t>Se indic</w:t>
      </w:r>
      <w:r w:rsidR="00313CA8">
        <w:rPr>
          <w:rFonts w:ascii="Verdana" w:hAnsi="Verdana"/>
          <w:sz w:val="20"/>
          <w:szCs w:val="20"/>
          <w:lang w:val="es-CR"/>
        </w:rPr>
        <w:t>ó</w:t>
      </w:r>
      <w:r w:rsidR="00D53D1C">
        <w:rPr>
          <w:rFonts w:ascii="Verdana" w:hAnsi="Verdana"/>
          <w:sz w:val="20"/>
          <w:szCs w:val="20"/>
          <w:lang w:val="es-CR"/>
        </w:rPr>
        <w:t xml:space="preserve"> que</w:t>
      </w:r>
      <w:r w:rsidR="00313CA8">
        <w:rPr>
          <w:rFonts w:ascii="Verdana" w:hAnsi="Verdana"/>
          <w:sz w:val="20"/>
          <w:szCs w:val="20"/>
          <w:lang w:val="es-CR"/>
        </w:rPr>
        <w:t>,</w:t>
      </w:r>
      <w:r w:rsidR="00D53D1C">
        <w:rPr>
          <w:rFonts w:ascii="Verdana" w:hAnsi="Verdana"/>
          <w:sz w:val="20"/>
          <w:szCs w:val="20"/>
          <w:lang w:val="es-CR"/>
        </w:rPr>
        <w:t xml:space="preserve"> debido al “</w:t>
      </w:r>
      <w:r w:rsidR="00241E17" w:rsidRPr="00D53D1C">
        <w:rPr>
          <w:rFonts w:ascii="Verdana" w:hAnsi="Verdana"/>
          <w:sz w:val="20"/>
          <w:szCs w:val="20"/>
          <w:lang w:val="es-CR"/>
        </w:rPr>
        <w:t xml:space="preserve">principio de reserva de la información en la etapa pre procesal de investigación previa”, </w:t>
      </w:r>
      <w:r w:rsidR="00D53D1C">
        <w:rPr>
          <w:rFonts w:ascii="Verdana" w:hAnsi="Verdana"/>
          <w:sz w:val="20"/>
          <w:szCs w:val="20"/>
          <w:lang w:val="es-CR"/>
        </w:rPr>
        <w:t xml:space="preserve">se </w:t>
      </w:r>
      <w:r w:rsidR="00241E17" w:rsidRPr="00D53D1C">
        <w:rPr>
          <w:rFonts w:ascii="Verdana" w:hAnsi="Verdana"/>
          <w:sz w:val="20"/>
          <w:szCs w:val="20"/>
          <w:lang w:val="es-CR"/>
        </w:rPr>
        <w:t>da</w:t>
      </w:r>
      <w:r w:rsidR="00313CA8">
        <w:rPr>
          <w:rFonts w:ascii="Verdana" w:hAnsi="Verdana"/>
          <w:sz w:val="20"/>
          <w:szCs w:val="20"/>
          <w:lang w:val="es-CR"/>
        </w:rPr>
        <w:t>[ba]</w:t>
      </w:r>
      <w:r w:rsidR="00241E17" w:rsidRPr="00D53D1C">
        <w:rPr>
          <w:rFonts w:ascii="Verdana" w:hAnsi="Verdana"/>
          <w:sz w:val="20"/>
          <w:szCs w:val="20"/>
          <w:lang w:val="es-CR"/>
        </w:rPr>
        <w:t xml:space="preserve"> cuenta de las “diligencias […] más relevantes”</w:t>
      </w:r>
      <w:r w:rsidR="00F3189A" w:rsidRPr="00D53D1C">
        <w:rPr>
          <w:rFonts w:ascii="Verdana" w:hAnsi="Verdana"/>
          <w:sz w:val="20"/>
          <w:szCs w:val="20"/>
          <w:lang w:val="es-CR"/>
        </w:rPr>
        <w:t xml:space="preserve"> realizadas hasta el momento,</w:t>
      </w:r>
      <w:r w:rsidR="00241E17" w:rsidRPr="00D53D1C">
        <w:rPr>
          <w:rFonts w:ascii="Verdana" w:hAnsi="Verdana"/>
          <w:sz w:val="20"/>
          <w:szCs w:val="20"/>
          <w:lang w:val="es-CR"/>
        </w:rPr>
        <w:t xml:space="preserve"> </w:t>
      </w:r>
      <w:r w:rsidR="00F3189A" w:rsidRPr="00D53D1C">
        <w:rPr>
          <w:rFonts w:ascii="Verdana" w:hAnsi="Verdana"/>
          <w:sz w:val="20"/>
          <w:szCs w:val="20"/>
          <w:lang w:val="es-CR"/>
        </w:rPr>
        <w:t>e</w:t>
      </w:r>
      <w:r w:rsidR="00B41C14" w:rsidRPr="00D53D1C">
        <w:rPr>
          <w:rFonts w:ascii="Verdana" w:hAnsi="Verdana"/>
          <w:sz w:val="20"/>
          <w:szCs w:val="20"/>
          <w:lang w:val="es-CR"/>
        </w:rPr>
        <w:t>ntre ellas</w:t>
      </w:r>
      <w:r w:rsidR="00F3189A" w:rsidRPr="00D53D1C">
        <w:rPr>
          <w:rFonts w:ascii="Verdana" w:hAnsi="Verdana"/>
          <w:sz w:val="20"/>
          <w:szCs w:val="20"/>
          <w:lang w:val="es-CR"/>
        </w:rPr>
        <w:t>:</w:t>
      </w:r>
      <w:r w:rsidR="00B41C14" w:rsidRPr="00D53D1C">
        <w:rPr>
          <w:rFonts w:ascii="Verdana" w:hAnsi="Verdana"/>
          <w:sz w:val="20"/>
          <w:szCs w:val="20"/>
          <w:lang w:val="es-CR"/>
        </w:rPr>
        <w:t xml:space="preserve"> </w:t>
      </w:r>
      <w:r w:rsidR="00D1383A" w:rsidRPr="00D53D1C">
        <w:rPr>
          <w:rFonts w:ascii="Verdana" w:hAnsi="Verdana"/>
          <w:sz w:val="20"/>
          <w:szCs w:val="20"/>
          <w:lang w:val="es-CR"/>
        </w:rPr>
        <w:t>“</w:t>
      </w:r>
      <w:r w:rsidR="00F3189A" w:rsidRPr="00D53D1C">
        <w:rPr>
          <w:rFonts w:ascii="Verdana" w:hAnsi="Verdana"/>
          <w:sz w:val="20"/>
          <w:szCs w:val="20"/>
          <w:lang w:val="es-CR"/>
        </w:rPr>
        <w:t>reconocimientos de los diferentes lugares en donde ocurrieron los hechos”, diversos “ped</w:t>
      </w:r>
      <w:r w:rsidR="00F3189A" w:rsidRPr="006C2328">
        <w:rPr>
          <w:rFonts w:ascii="Verdana" w:hAnsi="Verdana"/>
          <w:sz w:val="20"/>
          <w:szCs w:val="20"/>
          <w:lang w:val="es-CR"/>
        </w:rPr>
        <w:t>idos de información”</w:t>
      </w:r>
      <w:r w:rsidR="00A45062" w:rsidRPr="006C2328">
        <w:rPr>
          <w:rFonts w:ascii="Verdana" w:hAnsi="Verdana"/>
          <w:sz w:val="20"/>
          <w:szCs w:val="20"/>
          <w:lang w:val="es-CR"/>
        </w:rPr>
        <w:t xml:space="preserve"> a entidades estatales</w:t>
      </w:r>
      <w:r w:rsidR="00F3189A" w:rsidRPr="006C2328">
        <w:rPr>
          <w:rFonts w:ascii="Verdana" w:hAnsi="Verdana"/>
          <w:sz w:val="20"/>
          <w:szCs w:val="20"/>
          <w:lang w:val="es-CR"/>
        </w:rPr>
        <w:t xml:space="preserve">, la “recepción de varias versiones”, la “búsqueda y posesión de peritos” y “requerimientos </w:t>
      </w:r>
      <w:r w:rsidR="005F715D" w:rsidRPr="003256B4">
        <w:rPr>
          <w:rFonts w:ascii="Verdana" w:hAnsi="Verdana"/>
          <w:sz w:val="20"/>
          <w:szCs w:val="20"/>
          <w:lang w:val="es-CR"/>
        </w:rPr>
        <w:t>documentales a la Corte Nacional de Justicia [sobre] el juicio penal N. 19-1992”</w:t>
      </w:r>
      <w:r w:rsidR="00F05C8A" w:rsidRPr="00FB306F">
        <w:rPr>
          <w:rFonts w:ascii="Verdana" w:hAnsi="Verdana"/>
          <w:sz w:val="20"/>
          <w:szCs w:val="20"/>
          <w:lang w:val="es-CR"/>
        </w:rPr>
        <w:t xml:space="preserve"> sobre los hechos del presente caso</w:t>
      </w:r>
      <w:r w:rsidR="00F05C8A">
        <w:rPr>
          <w:rStyle w:val="Refdenotaalpie"/>
          <w:rFonts w:ascii="Verdana" w:hAnsi="Verdana"/>
          <w:sz w:val="20"/>
          <w:szCs w:val="20"/>
          <w:lang w:val="es-CR"/>
        </w:rPr>
        <w:footnoteReference w:id="13"/>
      </w:r>
      <w:r w:rsidR="00F05C8A" w:rsidRPr="00A60576">
        <w:rPr>
          <w:rFonts w:ascii="Verdana" w:hAnsi="Verdana"/>
          <w:sz w:val="20"/>
          <w:szCs w:val="20"/>
          <w:lang w:val="es-CR"/>
        </w:rPr>
        <w:t>.</w:t>
      </w:r>
      <w:r w:rsidR="00F3189A" w:rsidRPr="00A60576">
        <w:rPr>
          <w:rFonts w:ascii="Verdana" w:hAnsi="Verdana"/>
          <w:sz w:val="16"/>
          <w:szCs w:val="16"/>
          <w:lang w:val="es-CR"/>
        </w:rPr>
        <w:t xml:space="preserve"> </w:t>
      </w:r>
      <w:r w:rsidR="00D1383A" w:rsidRPr="00A443AE">
        <w:rPr>
          <w:rFonts w:ascii="Verdana" w:hAnsi="Verdana"/>
          <w:sz w:val="20"/>
          <w:szCs w:val="20"/>
          <w:lang w:val="es-CR"/>
        </w:rPr>
        <w:t xml:space="preserve">Asimismo, </w:t>
      </w:r>
      <w:r w:rsidR="003057EF">
        <w:rPr>
          <w:rFonts w:ascii="Verdana" w:hAnsi="Verdana"/>
          <w:sz w:val="20"/>
          <w:szCs w:val="20"/>
          <w:lang w:val="es-CR"/>
        </w:rPr>
        <w:t xml:space="preserve">en </w:t>
      </w:r>
      <w:r w:rsidR="00D1383A" w:rsidRPr="00A443AE">
        <w:rPr>
          <w:rFonts w:ascii="Verdana" w:hAnsi="Verdana"/>
          <w:sz w:val="20"/>
          <w:szCs w:val="20"/>
          <w:lang w:val="es-CR"/>
        </w:rPr>
        <w:t xml:space="preserve">el mencionado informe </w:t>
      </w:r>
      <w:r w:rsidR="00C06486">
        <w:rPr>
          <w:rFonts w:ascii="Verdana" w:hAnsi="Verdana"/>
          <w:sz w:val="20"/>
          <w:szCs w:val="20"/>
          <w:lang w:val="es-CR"/>
        </w:rPr>
        <w:t>se indicaron</w:t>
      </w:r>
      <w:r w:rsidR="003057EF">
        <w:rPr>
          <w:rFonts w:ascii="Verdana" w:hAnsi="Verdana"/>
          <w:sz w:val="20"/>
          <w:szCs w:val="20"/>
          <w:lang w:val="es-CR"/>
        </w:rPr>
        <w:t xml:space="preserve"> algunas de las</w:t>
      </w:r>
      <w:r w:rsidR="00D1383A" w:rsidRPr="00A443AE">
        <w:rPr>
          <w:rFonts w:ascii="Verdana" w:hAnsi="Verdana"/>
          <w:sz w:val="20"/>
          <w:szCs w:val="20"/>
          <w:lang w:val="es-CR"/>
        </w:rPr>
        <w:t xml:space="preserve"> diligencias que se tiene pre</w:t>
      </w:r>
      <w:r w:rsidR="00C046B1" w:rsidRPr="00D53D1C">
        <w:rPr>
          <w:rFonts w:ascii="Verdana" w:hAnsi="Verdana"/>
          <w:sz w:val="20"/>
          <w:szCs w:val="20"/>
          <w:lang w:val="es-CR"/>
        </w:rPr>
        <w:t>visto realizar</w:t>
      </w:r>
      <w:r w:rsidR="005F715D" w:rsidRPr="00D53D1C">
        <w:rPr>
          <w:rFonts w:ascii="Verdana" w:hAnsi="Verdana"/>
          <w:sz w:val="20"/>
          <w:szCs w:val="20"/>
          <w:lang w:val="es-CR"/>
        </w:rPr>
        <w:t xml:space="preserve"> </w:t>
      </w:r>
      <w:r w:rsidR="005F715D" w:rsidRPr="00D53D1C">
        <w:rPr>
          <w:rFonts w:ascii="Verdana" w:hAnsi="Verdana"/>
          <w:sz w:val="20"/>
          <w:szCs w:val="20"/>
          <w:lang w:val="es-CR"/>
        </w:rPr>
        <w:lastRenderedPageBreak/>
        <w:t xml:space="preserve">a fin de contar con los elementos necesarios </w:t>
      </w:r>
      <w:r w:rsidR="00552B61" w:rsidRPr="00D53D1C">
        <w:rPr>
          <w:rFonts w:ascii="Verdana" w:hAnsi="Verdana"/>
          <w:sz w:val="20"/>
          <w:szCs w:val="20"/>
          <w:lang w:val="es-CR"/>
        </w:rPr>
        <w:t xml:space="preserve">“en procura de poder </w:t>
      </w:r>
      <w:r w:rsidR="005F715D" w:rsidRPr="00D53D1C">
        <w:rPr>
          <w:rFonts w:ascii="Verdana" w:hAnsi="Verdana"/>
          <w:sz w:val="20"/>
          <w:szCs w:val="20"/>
          <w:lang w:val="es-CR"/>
        </w:rPr>
        <w:t>judicializar el presente caso”</w:t>
      </w:r>
      <w:r w:rsidR="00C046B1" w:rsidRPr="00D53D1C">
        <w:rPr>
          <w:rFonts w:ascii="Verdana" w:hAnsi="Verdana"/>
          <w:sz w:val="20"/>
          <w:szCs w:val="20"/>
          <w:lang w:val="es-CR"/>
        </w:rPr>
        <w:t>.</w:t>
      </w:r>
    </w:p>
    <w:p w:rsidR="00D63CE1" w:rsidRPr="00A45062" w:rsidRDefault="00D63CE1" w:rsidP="00874106">
      <w:pPr>
        <w:pStyle w:val="Listavistosa-nfasis1"/>
        <w:numPr>
          <w:ilvl w:val="0"/>
          <w:numId w:val="48"/>
        </w:numPr>
        <w:spacing w:before="120" w:after="120" w:line="240" w:lineRule="auto"/>
        <w:ind w:left="0" w:firstLine="0"/>
        <w:contextualSpacing w:val="0"/>
        <w:jc w:val="both"/>
        <w:rPr>
          <w:rFonts w:ascii="Verdana" w:hAnsi="Verdana"/>
          <w:sz w:val="20"/>
          <w:szCs w:val="20"/>
          <w:lang w:val="es-CR"/>
        </w:rPr>
      </w:pPr>
      <w:r w:rsidRPr="00A45062">
        <w:rPr>
          <w:rFonts w:ascii="Verdana" w:hAnsi="Verdana"/>
          <w:sz w:val="20"/>
          <w:szCs w:val="20"/>
          <w:lang w:val="es-CR"/>
        </w:rPr>
        <w:t>A pesa</w:t>
      </w:r>
      <w:r w:rsidR="00B728B0">
        <w:rPr>
          <w:rFonts w:ascii="Verdana" w:hAnsi="Verdana"/>
          <w:sz w:val="20"/>
          <w:szCs w:val="20"/>
          <w:lang w:val="es-CR"/>
        </w:rPr>
        <w:t>r de que el representante de los familiares de la</w:t>
      </w:r>
      <w:r w:rsidRPr="00A45062">
        <w:rPr>
          <w:rFonts w:ascii="Verdana" w:hAnsi="Verdana"/>
          <w:sz w:val="20"/>
          <w:szCs w:val="20"/>
          <w:lang w:val="es-CR"/>
        </w:rPr>
        <w:t xml:space="preserve"> v</w:t>
      </w:r>
      <w:r w:rsidR="00364B5F">
        <w:rPr>
          <w:rFonts w:ascii="Verdana" w:hAnsi="Verdana"/>
          <w:sz w:val="20"/>
          <w:szCs w:val="20"/>
          <w:lang w:val="es-CR"/>
        </w:rPr>
        <w:t>íctima</w:t>
      </w:r>
      <w:r w:rsidRPr="00A45062">
        <w:rPr>
          <w:rFonts w:ascii="Verdana" w:hAnsi="Verdana"/>
          <w:sz w:val="20"/>
          <w:szCs w:val="20"/>
          <w:lang w:val="es-CR"/>
        </w:rPr>
        <w:t xml:space="preserve"> y la Comisión Interamericana no </w:t>
      </w:r>
      <w:r w:rsidR="00C06486">
        <w:rPr>
          <w:rFonts w:ascii="Verdana" w:hAnsi="Verdana"/>
          <w:sz w:val="20"/>
          <w:szCs w:val="20"/>
          <w:lang w:val="es-CR"/>
        </w:rPr>
        <w:t>remitieron</w:t>
      </w:r>
      <w:r w:rsidRPr="00A45062">
        <w:rPr>
          <w:rFonts w:ascii="Verdana" w:hAnsi="Verdana"/>
          <w:sz w:val="20"/>
          <w:szCs w:val="20"/>
          <w:lang w:val="es-CR"/>
        </w:rPr>
        <w:t xml:space="preserve"> observaciones al referido informe estatal (</w:t>
      </w:r>
      <w:r w:rsidRPr="00A45062">
        <w:rPr>
          <w:rFonts w:ascii="Verdana" w:hAnsi="Verdana"/>
          <w:i/>
          <w:sz w:val="20"/>
          <w:szCs w:val="20"/>
          <w:lang w:val="es-CR"/>
        </w:rPr>
        <w:t>supra</w:t>
      </w:r>
      <w:r w:rsidRPr="00A45062">
        <w:rPr>
          <w:rFonts w:ascii="Verdana" w:hAnsi="Verdana"/>
          <w:sz w:val="20"/>
          <w:szCs w:val="20"/>
          <w:lang w:val="es-CR"/>
        </w:rPr>
        <w:t xml:space="preserve"> Visto </w:t>
      </w:r>
      <w:r w:rsidR="00A92E1F">
        <w:rPr>
          <w:rFonts w:ascii="Verdana" w:hAnsi="Verdana"/>
          <w:sz w:val="20"/>
          <w:szCs w:val="20"/>
          <w:lang w:val="es-CR"/>
        </w:rPr>
        <w:t>5</w:t>
      </w:r>
      <w:r w:rsidRPr="00A45062">
        <w:rPr>
          <w:rFonts w:ascii="Verdana" w:hAnsi="Verdana"/>
          <w:sz w:val="20"/>
          <w:szCs w:val="20"/>
          <w:lang w:val="es-CR"/>
        </w:rPr>
        <w:t xml:space="preserve">), la Corte considera que la información presentada por Ecuador </w:t>
      </w:r>
      <w:r w:rsidR="00A45062" w:rsidRPr="00A45062">
        <w:rPr>
          <w:rFonts w:ascii="Verdana" w:hAnsi="Verdana"/>
          <w:sz w:val="20"/>
          <w:szCs w:val="20"/>
          <w:lang w:val="es-CR"/>
        </w:rPr>
        <w:t xml:space="preserve">respecto a la apertura de una nueva investigación </w:t>
      </w:r>
      <w:r w:rsidR="00A92E1F">
        <w:rPr>
          <w:rFonts w:ascii="Verdana" w:hAnsi="Verdana"/>
          <w:sz w:val="20"/>
          <w:szCs w:val="20"/>
          <w:lang w:val="es-CR"/>
        </w:rPr>
        <w:t xml:space="preserve">penal </w:t>
      </w:r>
      <w:r w:rsidR="00A45062" w:rsidRPr="00A45062">
        <w:rPr>
          <w:rFonts w:ascii="Verdana" w:hAnsi="Verdana"/>
          <w:sz w:val="20"/>
          <w:szCs w:val="20"/>
          <w:lang w:val="es-CR"/>
        </w:rPr>
        <w:t xml:space="preserve">por los hechos de este caso refleja su voluntad clara y concreta de adoptar medidas para el cumplimiento de </w:t>
      </w:r>
      <w:r w:rsidR="006C2328">
        <w:rPr>
          <w:rFonts w:ascii="Verdana" w:hAnsi="Verdana"/>
          <w:sz w:val="20"/>
          <w:szCs w:val="20"/>
          <w:lang w:val="es-CR"/>
        </w:rPr>
        <w:t>la</w:t>
      </w:r>
      <w:r w:rsidR="00A45062" w:rsidRPr="00A45062">
        <w:rPr>
          <w:rFonts w:ascii="Verdana" w:hAnsi="Verdana"/>
          <w:sz w:val="20"/>
          <w:szCs w:val="20"/>
          <w:lang w:val="es-CR"/>
        </w:rPr>
        <w:t xml:space="preserve"> obligación internacional de investigar, juzgar y, eventualmente, sancionar a los responsables de </w:t>
      </w:r>
      <w:r w:rsidR="006C2328">
        <w:rPr>
          <w:rFonts w:ascii="Verdana" w:hAnsi="Verdana"/>
          <w:sz w:val="20"/>
          <w:szCs w:val="20"/>
          <w:lang w:val="es-CR"/>
        </w:rPr>
        <w:t xml:space="preserve">las graves </w:t>
      </w:r>
      <w:r w:rsidR="00A45062" w:rsidRPr="00A45062">
        <w:rPr>
          <w:rFonts w:ascii="Verdana" w:hAnsi="Verdana"/>
          <w:sz w:val="20"/>
          <w:szCs w:val="20"/>
          <w:lang w:val="es-CR"/>
        </w:rPr>
        <w:t>violaciones a los derechos humanos</w:t>
      </w:r>
      <w:r w:rsidR="006C2328">
        <w:rPr>
          <w:rFonts w:ascii="Verdana" w:hAnsi="Verdana"/>
          <w:sz w:val="20"/>
          <w:szCs w:val="20"/>
          <w:lang w:val="es-CR"/>
        </w:rPr>
        <w:t xml:space="preserve"> perpetradas en perjuicio de Consuelo Benavides Cevallos</w:t>
      </w:r>
      <w:r w:rsidR="00A45062" w:rsidRPr="00A45062">
        <w:rPr>
          <w:rFonts w:ascii="Verdana" w:hAnsi="Verdana"/>
          <w:sz w:val="20"/>
          <w:szCs w:val="20"/>
          <w:lang w:val="es-CR"/>
        </w:rPr>
        <w:t>. En virtud de ello, este Tribunal considera que</w:t>
      </w:r>
      <w:r w:rsidRPr="00A45062">
        <w:rPr>
          <w:rFonts w:ascii="Verdana" w:hAnsi="Verdana"/>
          <w:sz w:val="20"/>
          <w:szCs w:val="20"/>
          <w:lang w:val="es-CR"/>
        </w:rPr>
        <w:t xml:space="preserve"> el presente caso se encuentra actualmente en una situación </w:t>
      </w:r>
      <w:r w:rsidR="006C2328">
        <w:rPr>
          <w:rFonts w:ascii="Verdana" w:hAnsi="Verdana"/>
          <w:sz w:val="20"/>
          <w:szCs w:val="20"/>
          <w:lang w:val="es-CR"/>
        </w:rPr>
        <w:t xml:space="preserve">que no amerita </w:t>
      </w:r>
      <w:r w:rsidRPr="00A45062">
        <w:rPr>
          <w:rFonts w:ascii="Verdana" w:hAnsi="Verdana"/>
          <w:sz w:val="20"/>
          <w:szCs w:val="20"/>
          <w:lang w:val="es-CR"/>
        </w:rPr>
        <w:t xml:space="preserve">que se </w:t>
      </w:r>
      <w:r w:rsidR="00B728B0" w:rsidRPr="00A45062">
        <w:rPr>
          <w:rFonts w:ascii="Verdana" w:hAnsi="Verdana"/>
          <w:sz w:val="20"/>
          <w:szCs w:val="20"/>
          <w:lang w:val="es-CR"/>
        </w:rPr>
        <w:t>continú</w:t>
      </w:r>
      <w:r w:rsidR="00B728B0">
        <w:rPr>
          <w:rFonts w:ascii="Verdana" w:hAnsi="Verdana"/>
          <w:sz w:val="20"/>
          <w:szCs w:val="20"/>
          <w:lang w:val="es-CR"/>
        </w:rPr>
        <w:t>e</w:t>
      </w:r>
      <w:r w:rsidRPr="00A45062">
        <w:rPr>
          <w:rFonts w:ascii="Verdana" w:hAnsi="Verdana"/>
          <w:sz w:val="20"/>
          <w:szCs w:val="20"/>
          <w:lang w:val="es-CR"/>
        </w:rPr>
        <w:t xml:space="preserve"> aplicando el artículo 65 de la Convención Americana</w:t>
      </w:r>
      <w:r w:rsidR="00A92E1F">
        <w:rPr>
          <w:rFonts w:ascii="Verdana" w:hAnsi="Verdana"/>
          <w:sz w:val="20"/>
          <w:szCs w:val="20"/>
          <w:lang w:val="es-CR"/>
        </w:rPr>
        <w:t xml:space="preserve"> y, por ello, </w:t>
      </w:r>
      <w:r w:rsidR="00C617A5">
        <w:rPr>
          <w:rFonts w:ascii="Verdana" w:hAnsi="Verdana"/>
          <w:sz w:val="20"/>
          <w:szCs w:val="20"/>
          <w:lang w:val="es-CR"/>
        </w:rPr>
        <w:t>se excluirá d</w:t>
      </w:r>
      <w:r w:rsidR="00A92E1F">
        <w:rPr>
          <w:rFonts w:ascii="Verdana" w:hAnsi="Verdana"/>
          <w:sz w:val="20"/>
          <w:szCs w:val="20"/>
          <w:lang w:val="es-CR"/>
        </w:rPr>
        <w:t>el Informe Anual de labores del 2018 que presente la Corte Interamericana a consideración de la Asamblea General de la Organización de los Estados Americanos</w:t>
      </w:r>
      <w:r w:rsidRPr="00A45062">
        <w:rPr>
          <w:rFonts w:ascii="Verdana" w:hAnsi="Verdana"/>
          <w:sz w:val="20"/>
          <w:szCs w:val="20"/>
          <w:lang w:val="es-CR"/>
        </w:rPr>
        <w:t xml:space="preserve">. </w:t>
      </w:r>
    </w:p>
    <w:p w:rsidR="00F262D4" w:rsidRPr="00364B5F" w:rsidRDefault="00A45062" w:rsidP="00874106">
      <w:pPr>
        <w:pStyle w:val="Listavistosa-nfasis1"/>
        <w:numPr>
          <w:ilvl w:val="0"/>
          <w:numId w:val="48"/>
        </w:numPr>
        <w:spacing w:before="120" w:after="120" w:line="240" w:lineRule="auto"/>
        <w:ind w:left="0" w:firstLine="0"/>
        <w:contextualSpacing w:val="0"/>
        <w:jc w:val="both"/>
        <w:rPr>
          <w:rFonts w:ascii="Verdana" w:hAnsi="Verdana"/>
          <w:sz w:val="20"/>
          <w:szCs w:val="20"/>
          <w:lang w:val="es-CR"/>
        </w:rPr>
      </w:pPr>
      <w:r w:rsidRPr="00364B5F">
        <w:rPr>
          <w:rFonts w:ascii="Verdana" w:hAnsi="Verdana"/>
          <w:sz w:val="20"/>
          <w:szCs w:val="20"/>
          <w:lang w:val="es-CR"/>
        </w:rPr>
        <w:t xml:space="preserve">Si bien la Corte valora positivamente que el Estado haya adoptado el importante paso de investigar las violaciones a derechos humanos objeto del presente caso, no deja de advertir que han transcurrido </w:t>
      </w:r>
      <w:r w:rsidR="00F05C8A" w:rsidRPr="00364B5F">
        <w:rPr>
          <w:rFonts w:ascii="Verdana" w:hAnsi="Verdana"/>
          <w:sz w:val="20"/>
          <w:szCs w:val="20"/>
          <w:lang w:val="es-CR"/>
        </w:rPr>
        <w:t xml:space="preserve">casi treinta y tres </w:t>
      </w:r>
      <w:r w:rsidRPr="00364B5F">
        <w:rPr>
          <w:rFonts w:ascii="Verdana" w:hAnsi="Verdana"/>
          <w:sz w:val="20"/>
          <w:szCs w:val="20"/>
          <w:lang w:val="es-CR"/>
        </w:rPr>
        <w:t>años desde que ocurrieron los hechos</w:t>
      </w:r>
      <w:r w:rsidR="00F229BD" w:rsidRPr="00364B5F">
        <w:rPr>
          <w:rFonts w:ascii="Verdana" w:hAnsi="Verdana"/>
          <w:sz w:val="20"/>
          <w:szCs w:val="20"/>
          <w:lang w:val="es-CR"/>
        </w:rPr>
        <w:t xml:space="preserve"> y más de </w:t>
      </w:r>
      <w:r w:rsidR="00874106" w:rsidRPr="00364B5F">
        <w:rPr>
          <w:rFonts w:ascii="Verdana" w:hAnsi="Verdana"/>
          <w:sz w:val="20"/>
          <w:szCs w:val="20"/>
          <w:lang w:val="es-CR"/>
        </w:rPr>
        <w:t>veinte</w:t>
      </w:r>
      <w:r w:rsidRPr="00364B5F">
        <w:rPr>
          <w:rFonts w:ascii="Verdana" w:hAnsi="Verdana"/>
          <w:sz w:val="20"/>
          <w:szCs w:val="20"/>
          <w:lang w:val="es-CR"/>
        </w:rPr>
        <w:t xml:space="preserve"> años desde la emisión de la Sente</w:t>
      </w:r>
      <w:r w:rsidR="00F229BD" w:rsidRPr="00364B5F">
        <w:rPr>
          <w:rFonts w:ascii="Verdana" w:hAnsi="Verdana"/>
          <w:sz w:val="20"/>
          <w:szCs w:val="20"/>
          <w:lang w:val="es-CR"/>
        </w:rPr>
        <w:t xml:space="preserve">ncia de </w:t>
      </w:r>
      <w:r w:rsidR="006C2328">
        <w:rPr>
          <w:rFonts w:ascii="Verdana" w:hAnsi="Verdana"/>
          <w:sz w:val="20"/>
          <w:szCs w:val="20"/>
          <w:lang w:val="es-CR"/>
        </w:rPr>
        <w:t>esta</w:t>
      </w:r>
      <w:r w:rsidR="00F229BD" w:rsidRPr="00364B5F">
        <w:rPr>
          <w:rFonts w:ascii="Verdana" w:hAnsi="Verdana"/>
          <w:sz w:val="20"/>
          <w:szCs w:val="20"/>
          <w:lang w:val="es-CR"/>
        </w:rPr>
        <w:t xml:space="preserve"> Corte. Además, desde hace siete años</w:t>
      </w:r>
      <w:r w:rsidR="00874106" w:rsidRPr="00364B5F">
        <w:rPr>
          <w:rFonts w:ascii="Verdana" w:hAnsi="Verdana"/>
          <w:sz w:val="20"/>
          <w:szCs w:val="20"/>
          <w:lang w:val="es-CR"/>
        </w:rPr>
        <w:t>,</w:t>
      </w:r>
      <w:r w:rsidR="00F229BD" w:rsidRPr="00364B5F">
        <w:rPr>
          <w:rFonts w:ascii="Verdana" w:hAnsi="Verdana"/>
          <w:sz w:val="20"/>
          <w:szCs w:val="20"/>
          <w:lang w:val="es-CR"/>
        </w:rPr>
        <w:t xml:space="preserve"> aproximadamente</w:t>
      </w:r>
      <w:r w:rsidR="00874106" w:rsidRPr="00364B5F">
        <w:rPr>
          <w:rFonts w:ascii="Verdana" w:hAnsi="Verdana"/>
          <w:sz w:val="20"/>
          <w:szCs w:val="20"/>
          <w:lang w:val="es-CR"/>
        </w:rPr>
        <w:t>,</w:t>
      </w:r>
      <w:r w:rsidRPr="00364B5F">
        <w:rPr>
          <w:rFonts w:ascii="Verdana" w:hAnsi="Verdana"/>
          <w:sz w:val="20"/>
          <w:szCs w:val="20"/>
          <w:lang w:val="es-CR"/>
        </w:rPr>
        <w:t xml:space="preserve"> </w:t>
      </w:r>
      <w:r w:rsidR="006C2328">
        <w:rPr>
          <w:rFonts w:ascii="Verdana" w:hAnsi="Verdana"/>
          <w:sz w:val="20"/>
          <w:szCs w:val="20"/>
          <w:lang w:val="es-CR"/>
        </w:rPr>
        <w:t xml:space="preserve">el proceso </w:t>
      </w:r>
      <w:r w:rsidRPr="00364B5F">
        <w:rPr>
          <w:rFonts w:ascii="Verdana" w:hAnsi="Verdana"/>
          <w:sz w:val="20"/>
          <w:szCs w:val="20"/>
          <w:lang w:val="es-CR"/>
        </w:rPr>
        <w:t xml:space="preserve">penal </w:t>
      </w:r>
      <w:r w:rsidR="00F229BD" w:rsidRPr="00364B5F">
        <w:rPr>
          <w:rFonts w:ascii="Verdana" w:hAnsi="Verdana"/>
          <w:sz w:val="20"/>
          <w:szCs w:val="20"/>
          <w:lang w:val="es-CR"/>
        </w:rPr>
        <w:t>por las violaciones ocurridas a la señora Benavides Cevallos se encuentra</w:t>
      </w:r>
      <w:r w:rsidRPr="00364B5F">
        <w:rPr>
          <w:rFonts w:ascii="Verdana" w:hAnsi="Verdana"/>
          <w:sz w:val="20"/>
          <w:szCs w:val="20"/>
          <w:lang w:val="es-CR"/>
        </w:rPr>
        <w:t xml:space="preserve"> en etapa de indagación previa</w:t>
      </w:r>
      <w:r w:rsidR="00242CCB" w:rsidRPr="00364B5F">
        <w:rPr>
          <w:rFonts w:ascii="Verdana" w:hAnsi="Verdana"/>
          <w:sz w:val="20"/>
          <w:szCs w:val="20"/>
          <w:lang w:val="es-CR"/>
        </w:rPr>
        <w:t xml:space="preserve">, sin que </w:t>
      </w:r>
      <w:r w:rsidRPr="00364B5F">
        <w:rPr>
          <w:rFonts w:ascii="Verdana" w:hAnsi="Verdana"/>
          <w:sz w:val="20"/>
          <w:szCs w:val="20"/>
          <w:lang w:val="es-CR"/>
        </w:rPr>
        <w:t xml:space="preserve">de la </w:t>
      </w:r>
      <w:r w:rsidR="00874106" w:rsidRPr="00364B5F">
        <w:rPr>
          <w:rFonts w:ascii="Verdana" w:hAnsi="Verdana"/>
          <w:sz w:val="20"/>
          <w:szCs w:val="20"/>
          <w:lang w:val="es-CR"/>
        </w:rPr>
        <w:t xml:space="preserve">referida </w:t>
      </w:r>
      <w:r w:rsidRPr="00364B5F">
        <w:rPr>
          <w:rFonts w:ascii="Verdana" w:hAnsi="Verdana"/>
          <w:sz w:val="20"/>
          <w:szCs w:val="20"/>
          <w:lang w:val="es-CR"/>
        </w:rPr>
        <w:t xml:space="preserve">información presentada por el Estado se pueda desprender que </w:t>
      </w:r>
      <w:proofErr w:type="gramStart"/>
      <w:r w:rsidRPr="00364B5F">
        <w:rPr>
          <w:rFonts w:ascii="Verdana" w:hAnsi="Verdana"/>
          <w:sz w:val="20"/>
          <w:szCs w:val="20"/>
          <w:lang w:val="es-CR"/>
        </w:rPr>
        <w:t>hayan</w:t>
      </w:r>
      <w:proofErr w:type="gramEnd"/>
      <w:r w:rsidRPr="00364B5F">
        <w:rPr>
          <w:rFonts w:ascii="Verdana" w:hAnsi="Verdana"/>
          <w:sz w:val="20"/>
          <w:szCs w:val="20"/>
          <w:lang w:val="es-CR"/>
        </w:rPr>
        <w:t xml:space="preserve"> avances sustanciales en la identificación y acusación de posibles responsables, que permitan continuar a otras etapas del proceso penal.</w:t>
      </w:r>
    </w:p>
    <w:p w:rsidR="00874106" w:rsidRPr="00364B5F" w:rsidRDefault="00242CCB" w:rsidP="00874106">
      <w:pPr>
        <w:pStyle w:val="Listavistosa-nfasis1"/>
        <w:numPr>
          <w:ilvl w:val="0"/>
          <w:numId w:val="48"/>
        </w:numPr>
        <w:spacing w:before="120" w:after="120" w:line="240" w:lineRule="auto"/>
        <w:ind w:left="0" w:firstLine="0"/>
        <w:contextualSpacing w:val="0"/>
        <w:jc w:val="both"/>
        <w:rPr>
          <w:rFonts w:ascii="Verdana" w:hAnsi="Verdana"/>
          <w:sz w:val="20"/>
          <w:szCs w:val="20"/>
          <w:lang w:val="es-CR"/>
        </w:rPr>
      </w:pPr>
      <w:r w:rsidRPr="00364B5F">
        <w:rPr>
          <w:rFonts w:ascii="Verdana" w:hAnsi="Verdana"/>
          <w:sz w:val="20"/>
          <w:szCs w:val="20"/>
          <w:lang w:val="es-CR"/>
        </w:rPr>
        <w:t xml:space="preserve">Tomando en cuenta el prolongado tiempo transcurrido, es imprescindible que el Estado intensifique sus esfuerzos y adopte medidas concretas para avanzar, con la debida diligencia y en un plazo razonable, </w:t>
      </w:r>
      <w:r w:rsidR="006C2328">
        <w:rPr>
          <w:rFonts w:ascii="Verdana" w:hAnsi="Verdana"/>
          <w:sz w:val="20"/>
          <w:szCs w:val="20"/>
          <w:lang w:val="es-CR"/>
        </w:rPr>
        <w:t xml:space="preserve">a las demás etapas del proceso penal para </w:t>
      </w:r>
      <w:r w:rsidRPr="00364B5F">
        <w:rPr>
          <w:rFonts w:ascii="Verdana" w:hAnsi="Verdana"/>
          <w:sz w:val="20"/>
          <w:szCs w:val="20"/>
          <w:lang w:val="es-CR"/>
        </w:rPr>
        <w:t xml:space="preserve">la investigación, juzgamiento y, en su caso, sanción de los </w:t>
      </w:r>
      <w:r w:rsidR="00C0079F">
        <w:rPr>
          <w:rFonts w:ascii="Verdana" w:hAnsi="Verdana"/>
          <w:sz w:val="20"/>
          <w:szCs w:val="20"/>
          <w:lang w:val="es-CR"/>
        </w:rPr>
        <w:t xml:space="preserve">responsables de los </w:t>
      </w:r>
      <w:r w:rsidRPr="00364B5F">
        <w:rPr>
          <w:rFonts w:ascii="Verdana" w:hAnsi="Verdana"/>
          <w:sz w:val="20"/>
          <w:szCs w:val="20"/>
          <w:lang w:val="es-CR"/>
        </w:rPr>
        <w:t xml:space="preserve">hechos que configuraron violaciones a derechos humanos en este caso. </w:t>
      </w:r>
      <w:r w:rsidR="00C0079F">
        <w:rPr>
          <w:rFonts w:ascii="Verdana" w:hAnsi="Verdana"/>
          <w:sz w:val="20"/>
          <w:szCs w:val="20"/>
          <w:lang w:val="es-CR"/>
        </w:rPr>
        <w:t>En ese sentido, s</w:t>
      </w:r>
      <w:r w:rsidR="006C2328">
        <w:rPr>
          <w:rFonts w:ascii="Verdana" w:hAnsi="Verdana"/>
          <w:sz w:val="20"/>
          <w:szCs w:val="20"/>
          <w:lang w:val="es-CR"/>
        </w:rPr>
        <w:t xml:space="preserve">e espera que </w:t>
      </w:r>
      <w:r w:rsidR="00C0079F">
        <w:rPr>
          <w:rFonts w:ascii="Verdana" w:hAnsi="Verdana"/>
          <w:sz w:val="20"/>
          <w:szCs w:val="20"/>
          <w:lang w:val="es-CR"/>
        </w:rPr>
        <w:t xml:space="preserve">Ecuador </w:t>
      </w:r>
      <w:r w:rsidR="006C2328">
        <w:rPr>
          <w:rFonts w:ascii="Verdana" w:hAnsi="Verdana"/>
          <w:sz w:val="20"/>
          <w:szCs w:val="20"/>
          <w:lang w:val="es-CR"/>
        </w:rPr>
        <w:t xml:space="preserve">cumpla en forma pronta con el compromiso expresado de </w:t>
      </w:r>
      <w:r w:rsidR="006C2328" w:rsidRPr="00D53D1C">
        <w:rPr>
          <w:rFonts w:ascii="Verdana" w:hAnsi="Verdana"/>
          <w:sz w:val="20"/>
          <w:szCs w:val="20"/>
          <w:lang w:val="es-CR"/>
        </w:rPr>
        <w:t xml:space="preserve">realizar </w:t>
      </w:r>
      <w:r w:rsidR="006C2328">
        <w:rPr>
          <w:rFonts w:ascii="Verdana" w:hAnsi="Verdana"/>
          <w:sz w:val="20"/>
          <w:szCs w:val="20"/>
          <w:lang w:val="es-CR"/>
        </w:rPr>
        <w:t xml:space="preserve">las diligencias que le permitan </w:t>
      </w:r>
      <w:r w:rsidR="006C2328" w:rsidRPr="00D53D1C">
        <w:rPr>
          <w:rFonts w:ascii="Verdana" w:hAnsi="Verdana"/>
          <w:sz w:val="20"/>
          <w:szCs w:val="20"/>
          <w:lang w:val="es-CR"/>
        </w:rPr>
        <w:t>contar con los elementos necesarios “en procura de poder judicializar el presente caso”</w:t>
      </w:r>
      <w:r w:rsidR="006C2328">
        <w:rPr>
          <w:rFonts w:ascii="Verdana" w:hAnsi="Verdana"/>
          <w:sz w:val="20"/>
          <w:szCs w:val="20"/>
          <w:lang w:val="es-CR"/>
        </w:rPr>
        <w:t xml:space="preserve"> (</w:t>
      </w:r>
      <w:r w:rsidR="006C2328" w:rsidRPr="00B728B0">
        <w:rPr>
          <w:rFonts w:ascii="Verdana" w:hAnsi="Verdana"/>
          <w:i/>
          <w:sz w:val="20"/>
          <w:szCs w:val="20"/>
          <w:lang w:val="es-CR"/>
        </w:rPr>
        <w:t>supra</w:t>
      </w:r>
      <w:r w:rsidR="006C2328">
        <w:rPr>
          <w:rFonts w:ascii="Verdana" w:hAnsi="Verdana"/>
          <w:sz w:val="20"/>
          <w:szCs w:val="20"/>
          <w:lang w:val="es-CR"/>
        </w:rPr>
        <w:t xml:space="preserve"> Considerando </w:t>
      </w:r>
      <w:r w:rsidR="00C0079F">
        <w:rPr>
          <w:rFonts w:ascii="Verdana" w:hAnsi="Verdana"/>
          <w:sz w:val="20"/>
          <w:szCs w:val="20"/>
          <w:lang w:val="es-CR"/>
        </w:rPr>
        <w:t>5</w:t>
      </w:r>
      <w:r w:rsidR="006C2328">
        <w:rPr>
          <w:rFonts w:ascii="Verdana" w:hAnsi="Verdana"/>
          <w:sz w:val="20"/>
          <w:szCs w:val="20"/>
          <w:lang w:val="es-CR"/>
        </w:rPr>
        <w:t>)</w:t>
      </w:r>
      <w:r w:rsidR="006C2328" w:rsidRPr="00D53D1C">
        <w:rPr>
          <w:rFonts w:ascii="Verdana" w:hAnsi="Verdana"/>
          <w:sz w:val="20"/>
          <w:szCs w:val="20"/>
          <w:lang w:val="es-CR"/>
        </w:rPr>
        <w:t xml:space="preserve">. </w:t>
      </w:r>
      <w:r w:rsidRPr="00364B5F">
        <w:rPr>
          <w:rFonts w:ascii="Verdana" w:hAnsi="Verdana"/>
          <w:sz w:val="20"/>
          <w:szCs w:val="20"/>
          <w:lang w:val="es-CR"/>
        </w:rPr>
        <w:t xml:space="preserve">Asimismo, es necesario que el Estado continúe presentando información actualizada y detallada sobre la investigación penal que permita a esta Corte evaluar adecuadamente el grado de cumplimiento de dicha obligación de investigar. </w:t>
      </w:r>
    </w:p>
    <w:p w:rsidR="00874106" w:rsidRPr="009A27E2" w:rsidRDefault="00D614C9" w:rsidP="009A27E2">
      <w:pPr>
        <w:numPr>
          <w:ilvl w:val="0"/>
          <w:numId w:val="48"/>
        </w:numPr>
        <w:spacing w:before="120" w:after="120" w:line="240" w:lineRule="auto"/>
        <w:ind w:left="0" w:firstLine="0"/>
        <w:jc w:val="both"/>
        <w:rPr>
          <w:rFonts w:ascii="Verdana" w:hAnsi="Verdana"/>
          <w:sz w:val="20"/>
          <w:lang w:val="es-CR"/>
        </w:rPr>
      </w:pPr>
      <w:r>
        <w:rPr>
          <w:rFonts w:ascii="Verdana" w:hAnsi="Verdana"/>
          <w:sz w:val="20"/>
          <w:lang w:val="es-CR"/>
        </w:rPr>
        <w:t>Asimismo</w:t>
      </w:r>
      <w:r w:rsidR="00874106" w:rsidRPr="009A27E2">
        <w:rPr>
          <w:rFonts w:ascii="Verdana" w:hAnsi="Verdana"/>
          <w:sz w:val="20"/>
          <w:lang w:val="es-CR"/>
        </w:rPr>
        <w:t xml:space="preserve">, </w:t>
      </w:r>
      <w:r w:rsidR="00874106" w:rsidRPr="00874106">
        <w:rPr>
          <w:rFonts w:ascii="Verdana" w:hAnsi="Verdana"/>
          <w:sz w:val="20"/>
          <w:lang w:val="es-CR"/>
        </w:rPr>
        <w:t xml:space="preserve">la Corte concluye que se encuentra pendiente de cumplimiento la medida de reparación relativa </w:t>
      </w:r>
      <w:r w:rsidR="00C124B2">
        <w:rPr>
          <w:rFonts w:ascii="Verdana" w:hAnsi="Verdana"/>
          <w:sz w:val="20"/>
          <w:lang w:val="es-CR"/>
        </w:rPr>
        <w:t xml:space="preserve">al deber del Estado de </w:t>
      </w:r>
      <w:r w:rsidR="009A27E2" w:rsidRPr="009A27E2">
        <w:rPr>
          <w:rFonts w:ascii="Verdana" w:hAnsi="Verdana"/>
          <w:sz w:val="20"/>
          <w:lang w:val="es-CR"/>
        </w:rPr>
        <w:t>continuar las investigaciones para sancionar a todos los responsables de las violaciones a derechos humanos en ocurridas a</w:t>
      </w:r>
      <w:r w:rsidR="00C0079F">
        <w:rPr>
          <w:rFonts w:ascii="Verdana" w:hAnsi="Verdana"/>
          <w:sz w:val="20"/>
          <w:lang w:val="es-CR"/>
        </w:rPr>
        <w:t xml:space="preserve"> la señora</w:t>
      </w:r>
      <w:r w:rsidR="009A27E2" w:rsidRPr="009A27E2">
        <w:rPr>
          <w:rFonts w:ascii="Verdana" w:hAnsi="Verdana"/>
          <w:sz w:val="20"/>
          <w:lang w:val="es-CR"/>
        </w:rPr>
        <w:t xml:space="preserve"> Consuelo Benavides Cevallos, </w:t>
      </w:r>
      <w:r w:rsidR="00B37676" w:rsidRPr="009A27E2">
        <w:rPr>
          <w:rFonts w:ascii="Verdana" w:hAnsi="Verdana"/>
          <w:sz w:val="20"/>
          <w:lang w:val="es-CR"/>
        </w:rPr>
        <w:t>ordenada en el punto resolutivo cuarto de la Sentencia</w:t>
      </w:r>
      <w:r w:rsidR="009A27E2" w:rsidRPr="009A27E2">
        <w:rPr>
          <w:rFonts w:ascii="Verdana" w:hAnsi="Verdana"/>
          <w:sz w:val="20"/>
          <w:lang w:val="es-CR"/>
        </w:rPr>
        <w:t>.</w:t>
      </w:r>
    </w:p>
    <w:p w:rsidR="00D614C9" w:rsidRDefault="00D614C9" w:rsidP="00874106">
      <w:pPr>
        <w:tabs>
          <w:tab w:val="left" w:pos="680"/>
        </w:tabs>
        <w:spacing w:before="120" w:after="120" w:line="240" w:lineRule="auto"/>
        <w:jc w:val="both"/>
        <w:rPr>
          <w:rFonts w:ascii="Verdana" w:hAnsi="Verdana"/>
          <w:b/>
          <w:sz w:val="20"/>
          <w:szCs w:val="20"/>
          <w:lang w:val="es-MX"/>
        </w:rPr>
      </w:pPr>
    </w:p>
    <w:p w:rsidR="00874106" w:rsidRPr="006D2F98" w:rsidRDefault="00874106" w:rsidP="00874106">
      <w:pPr>
        <w:tabs>
          <w:tab w:val="left" w:pos="680"/>
        </w:tabs>
        <w:spacing w:before="120" w:after="120" w:line="240" w:lineRule="auto"/>
        <w:jc w:val="both"/>
        <w:rPr>
          <w:rFonts w:ascii="Verdana" w:hAnsi="Verdana"/>
          <w:b/>
          <w:sz w:val="20"/>
          <w:szCs w:val="20"/>
          <w:lang w:val="es-MX"/>
        </w:rPr>
      </w:pPr>
      <w:r>
        <w:rPr>
          <w:rFonts w:ascii="Verdana" w:hAnsi="Verdana"/>
          <w:b/>
          <w:sz w:val="20"/>
          <w:szCs w:val="20"/>
          <w:lang w:val="es-MX"/>
        </w:rPr>
        <w:t>POR TANTO:</w:t>
      </w:r>
    </w:p>
    <w:p w:rsidR="00027C5C" w:rsidRDefault="00027C5C" w:rsidP="00874106">
      <w:pPr>
        <w:pStyle w:val="Textoindependiente"/>
        <w:tabs>
          <w:tab w:val="left" w:pos="360"/>
          <w:tab w:val="left" w:pos="567"/>
        </w:tabs>
        <w:spacing w:before="120" w:line="240" w:lineRule="auto"/>
        <w:rPr>
          <w:rFonts w:ascii="Verdana" w:hAnsi="Verdana"/>
          <w:b/>
          <w:sz w:val="20"/>
          <w:lang w:val="es-CR"/>
        </w:rPr>
      </w:pPr>
    </w:p>
    <w:p w:rsidR="00874106" w:rsidRDefault="00874106" w:rsidP="00874106">
      <w:pPr>
        <w:pStyle w:val="Textoindependiente"/>
        <w:tabs>
          <w:tab w:val="left" w:pos="360"/>
          <w:tab w:val="left" w:pos="567"/>
        </w:tabs>
        <w:spacing w:before="120" w:line="240" w:lineRule="auto"/>
        <w:rPr>
          <w:rFonts w:ascii="Verdana" w:hAnsi="Verdana"/>
          <w:b/>
          <w:sz w:val="20"/>
          <w:lang w:val="es-CR"/>
        </w:rPr>
      </w:pPr>
      <w:r w:rsidRPr="00C16F1F">
        <w:rPr>
          <w:rFonts w:ascii="Verdana" w:hAnsi="Verdana"/>
          <w:b/>
          <w:sz w:val="20"/>
          <w:lang w:val="es-CR"/>
        </w:rPr>
        <w:t>LA CORTE INTERAMERICANA DE DERECHOS HUMANOS,</w:t>
      </w:r>
    </w:p>
    <w:p w:rsidR="00874106" w:rsidRPr="009F78E3" w:rsidRDefault="00874106" w:rsidP="00874106">
      <w:pPr>
        <w:tabs>
          <w:tab w:val="left" w:pos="567"/>
        </w:tabs>
        <w:spacing w:before="120" w:after="120" w:line="240" w:lineRule="auto"/>
        <w:jc w:val="both"/>
        <w:rPr>
          <w:rFonts w:ascii="Verdana" w:hAnsi="Verdana"/>
          <w:sz w:val="20"/>
          <w:lang w:val="es-CR"/>
        </w:rPr>
      </w:pPr>
      <w:r w:rsidRPr="009F78E3">
        <w:rPr>
          <w:rFonts w:ascii="Verdana" w:hAnsi="Verdana"/>
          <w:sz w:val="20"/>
          <w:lang w:val="es-CR"/>
        </w:rPr>
        <w:t>en el ejercicio de sus atribuciones de supervisión del cumplimiento de sus decisiones, de conformidad con los artículos 33, 62.1, 62.3, 65, 67 y 68.1 de la Convención Americana sobre Derechos Humanos, 24, 25 y 30 del Estatuto, y 31.2 y 69 de su Reglamento,</w:t>
      </w:r>
    </w:p>
    <w:p w:rsidR="00874106" w:rsidRDefault="00874106" w:rsidP="00874106">
      <w:pPr>
        <w:tabs>
          <w:tab w:val="left" w:pos="567"/>
        </w:tabs>
        <w:spacing w:before="120" w:after="120" w:line="240" w:lineRule="auto"/>
        <w:ind w:right="22"/>
        <w:jc w:val="both"/>
        <w:rPr>
          <w:rFonts w:ascii="Verdana" w:hAnsi="Verdana"/>
          <w:b/>
          <w:sz w:val="20"/>
          <w:lang w:val="es-CR"/>
        </w:rPr>
      </w:pPr>
      <w:r w:rsidRPr="006F0AF8">
        <w:rPr>
          <w:rFonts w:ascii="Verdana" w:hAnsi="Verdana"/>
          <w:b/>
          <w:sz w:val="20"/>
          <w:lang w:val="es-CR"/>
        </w:rPr>
        <w:t xml:space="preserve">RESUELVE: </w:t>
      </w:r>
    </w:p>
    <w:p w:rsidR="001F5B21" w:rsidRDefault="001F5B21" w:rsidP="001F5B21">
      <w:pPr>
        <w:pStyle w:val="Listavistosa-nfasis1"/>
        <w:numPr>
          <w:ilvl w:val="0"/>
          <w:numId w:val="50"/>
        </w:numPr>
        <w:spacing w:before="120" w:after="120" w:line="240" w:lineRule="auto"/>
        <w:ind w:left="0" w:firstLine="0"/>
        <w:contextualSpacing w:val="0"/>
        <w:jc w:val="both"/>
        <w:rPr>
          <w:rFonts w:ascii="Verdana" w:hAnsi="Verdana"/>
          <w:sz w:val="20"/>
          <w:szCs w:val="20"/>
          <w:lang w:val="es-CR"/>
        </w:rPr>
      </w:pPr>
      <w:r w:rsidRPr="00C124B2">
        <w:rPr>
          <w:rFonts w:ascii="Verdana" w:hAnsi="Verdana"/>
          <w:sz w:val="20"/>
          <w:szCs w:val="20"/>
          <w:lang w:val="es-CR"/>
        </w:rPr>
        <w:t xml:space="preserve">Mantener abierto el procedimiento de supervisión de cumplimiento respecto de la medida de reparación ordenada en el punto </w:t>
      </w:r>
      <w:r w:rsidR="00C617A5">
        <w:rPr>
          <w:rFonts w:ascii="Verdana" w:hAnsi="Verdana"/>
          <w:sz w:val="20"/>
          <w:szCs w:val="20"/>
          <w:lang w:val="es-CR"/>
        </w:rPr>
        <w:t xml:space="preserve">resolutivo </w:t>
      </w:r>
      <w:r w:rsidRPr="00C124B2">
        <w:rPr>
          <w:rFonts w:ascii="Verdana" w:hAnsi="Verdana"/>
          <w:sz w:val="20"/>
          <w:szCs w:val="20"/>
          <w:lang w:val="es-CR"/>
        </w:rPr>
        <w:t xml:space="preserve">cuarto de la Sentencia, relativa al deber del Estado de continuar las investigaciones para sancionar a todos los responsables de las </w:t>
      </w:r>
      <w:r w:rsidRPr="00C124B2">
        <w:rPr>
          <w:rFonts w:ascii="Verdana" w:hAnsi="Verdana"/>
          <w:sz w:val="20"/>
          <w:szCs w:val="20"/>
          <w:lang w:val="es-CR"/>
        </w:rPr>
        <w:lastRenderedPageBreak/>
        <w:t xml:space="preserve">violaciones a derechos humanos ocurridas a Consuelo Benavides Cevallos, la cual se encuentra pendiente de cumplimiento de conformidad con lo señalado en los Considerandos </w:t>
      </w:r>
      <w:r w:rsidR="00C617A5">
        <w:rPr>
          <w:rFonts w:ascii="Verdana" w:hAnsi="Verdana"/>
          <w:sz w:val="20"/>
          <w:szCs w:val="20"/>
          <w:lang w:val="es-CR"/>
        </w:rPr>
        <w:t>5</w:t>
      </w:r>
      <w:r w:rsidR="00C617A5" w:rsidRPr="00C124B2">
        <w:rPr>
          <w:rFonts w:ascii="Verdana" w:hAnsi="Verdana"/>
          <w:sz w:val="20"/>
          <w:szCs w:val="20"/>
          <w:lang w:val="es-CR"/>
        </w:rPr>
        <w:t xml:space="preserve"> </w:t>
      </w:r>
      <w:r w:rsidRPr="00C124B2">
        <w:rPr>
          <w:rFonts w:ascii="Verdana" w:hAnsi="Verdana"/>
          <w:sz w:val="20"/>
          <w:szCs w:val="20"/>
          <w:lang w:val="es-CR"/>
        </w:rPr>
        <w:t xml:space="preserve">a </w:t>
      </w:r>
      <w:r w:rsidR="00C617A5">
        <w:rPr>
          <w:rFonts w:ascii="Verdana" w:hAnsi="Verdana"/>
          <w:sz w:val="20"/>
          <w:szCs w:val="20"/>
          <w:lang w:val="es-CR"/>
        </w:rPr>
        <w:t>9</w:t>
      </w:r>
      <w:r w:rsidR="00C617A5" w:rsidRPr="00C124B2">
        <w:rPr>
          <w:rFonts w:ascii="Verdana" w:hAnsi="Verdana"/>
          <w:sz w:val="20"/>
          <w:szCs w:val="20"/>
          <w:lang w:val="es-CR"/>
        </w:rPr>
        <w:t xml:space="preserve"> </w:t>
      </w:r>
      <w:r w:rsidRPr="00C124B2">
        <w:rPr>
          <w:rFonts w:ascii="Verdana" w:hAnsi="Verdana"/>
          <w:sz w:val="20"/>
          <w:szCs w:val="20"/>
          <w:lang w:val="es-CR"/>
        </w:rPr>
        <w:t>de la presente Resolución.</w:t>
      </w:r>
    </w:p>
    <w:p w:rsidR="00D614C9" w:rsidRPr="00D614C9" w:rsidRDefault="00D614C9" w:rsidP="00C124B2">
      <w:pPr>
        <w:pStyle w:val="Listavistosa-nfasis1"/>
        <w:numPr>
          <w:ilvl w:val="0"/>
          <w:numId w:val="50"/>
        </w:numPr>
        <w:spacing w:before="120" w:after="120" w:line="240" w:lineRule="auto"/>
        <w:ind w:left="0" w:firstLine="0"/>
        <w:contextualSpacing w:val="0"/>
        <w:jc w:val="both"/>
        <w:rPr>
          <w:rFonts w:ascii="Verdana" w:hAnsi="Verdana"/>
          <w:b/>
          <w:sz w:val="20"/>
          <w:szCs w:val="20"/>
          <w:lang w:val="es-CR"/>
        </w:rPr>
      </w:pPr>
      <w:r w:rsidRPr="00BA21EE">
        <w:rPr>
          <w:rFonts w:ascii="Verdana" w:hAnsi="Verdana"/>
          <w:sz w:val="20"/>
          <w:szCs w:val="20"/>
          <w:lang w:val="es-CR"/>
        </w:rPr>
        <w:t xml:space="preserve">Disponer que el presente caso se </w:t>
      </w:r>
      <w:r w:rsidRPr="00A45062">
        <w:rPr>
          <w:rFonts w:ascii="Verdana" w:hAnsi="Verdana"/>
          <w:sz w:val="20"/>
          <w:szCs w:val="20"/>
          <w:lang w:val="es-CR"/>
        </w:rPr>
        <w:t xml:space="preserve">encuentra en una situación </w:t>
      </w:r>
      <w:r>
        <w:rPr>
          <w:rFonts w:ascii="Verdana" w:hAnsi="Verdana"/>
          <w:sz w:val="20"/>
          <w:szCs w:val="20"/>
          <w:lang w:val="es-CR"/>
        </w:rPr>
        <w:t xml:space="preserve">que no amerita </w:t>
      </w:r>
      <w:r w:rsidRPr="00A45062">
        <w:rPr>
          <w:rFonts w:ascii="Verdana" w:hAnsi="Verdana"/>
          <w:sz w:val="20"/>
          <w:szCs w:val="20"/>
          <w:lang w:val="es-CR"/>
        </w:rPr>
        <w:t>que se continú</w:t>
      </w:r>
      <w:r>
        <w:rPr>
          <w:rFonts w:ascii="Verdana" w:hAnsi="Verdana"/>
          <w:sz w:val="20"/>
          <w:szCs w:val="20"/>
          <w:lang w:val="es-CR"/>
        </w:rPr>
        <w:t>e</w:t>
      </w:r>
      <w:r w:rsidRPr="00A45062">
        <w:rPr>
          <w:rFonts w:ascii="Verdana" w:hAnsi="Verdana"/>
          <w:sz w:val="20"/>
          <w:szCs w:val="20"/>
          <w:lang w:val="es-CR"/>
        </w:rPr>
        <w:t xml:space="preserve"> aplicando el artículo 65 de la Convención Americana</w:t>
      </w:r>
      <w:r>
        <w:rPr>
          <w:rFonts w:ascii="Verdana" w:hAnsi="Verdana"/>
          <w:sz w:val="20"/>
          <w:szCs w:val="20"/>
          <w:lang w:val="es-CR"/>
        </w:rPr>
        <w:t xml:space="preserve">, </w:t>
      </w:r>
      <w:r w:rsidR="00A32098">
        <w:rPr>
          <w:rFonts w:ascii="Verdana" w:hAnsi="Verdana"/>
          <w:sz w:val="20"/>
          <w:szCs w:val="20"/>
          <w:lang w:val="es-CR"/>
        </w:rPr>
        <w:t xml:space="preserve">y por ello, disponer que </w:t>
      </w:r>
      <w:r>
        <w:rPr>
          <w:rFonts w:ascii="Verdana" w:hAnsi="Verdana"/>
          <w:sz w:val="20"/>
          <w:szCs w:val="20"/>
          <w:lang w:val="es-CR"/>
        </w:rPr>
        <w:t>no se incluya en el Informe Anual</w:t>
      </w:r>
      <w:r w:rsidR="00BA21EE">
        <w:rPr>
          <w:rFonts w:ascii="Verdana" w:hAnsi="Verdana"/>
          <w:sz w:val="20"/>
          <w:szCs w:val="20"/>
          <w:lang w:val="es-CR"/>
        </w:rPr>
        <w:t xml:space="preserve"> de labores de la Corte Interamericana del 2018 dentro de los casos que tienen la aplicación de tal artículo.</w:t>
      </w:r>
    </w:p>
    <w:p w:rsidR="00C124B2" w:rsidRPr="00C124B2" w:rsidRDefault="00C124B2" w:rsidP="00C124B2">
      <w:pPr>
        <w:pStyle w:val="Listavistosa-nfasis1"/>
        <w:numPr>
          <w:ilvl w:val="0"/>
          <w:numId w:val="50"/>
        </w:numPr>
        <w:spacing w:before="120" w:after="120" w:line="240" w:lineRule="auto"/>
        <w:ind w:left="0" w:firstLine="0"/>
        <w:contextualSpacing w:val="0"/>
        <w:jc w:val="both"/>
        <w:rPr>
          <w:rFonts w:ascii="Verdana" w:hAnsi="Verdana"/>
          <w:sz w:val="20"/>
          <w:szCs w:val="20"/>
          <w:lang w:val="es-CR"/>
        </w:rPr>
      </w:pPr>
      <w:r w:rsidRPr="00C124B2">
        <w:rPr>
          <w:rFonts w:ascii="Verdana" w:hAnsi="Verdana"/>
          <w:sz w:val="20"/>
          <w:szCs w:val="20"/>
          <w:lang w:val="es-CR"/>
        </w:rPr>
        <w:t xml:space="preserve">Disponer que el Estado adopte, en definitiva y a la mayor brevedad, las medidas que sean necesarias para dar efectivo y pronto cumplimiento al único punto pendiente de </w:t>
      </w:r>
      <w:r w:rsidR="00C617A5">
        <w:rPr>
          <w:rFonts w:ascii="Verdana" w:hAnsi="Verdana"/>
          <w:sz w:val="20"/>
          <w:szCs w:val="20"/>
          <w:lang w:val="es-CR"/>
        </w:rPr>
        <w:t xml:space="preserve">cumplimiento de </w:t>
      </w:r>
      <w:r w:rsidRPr="00C124B2">
        <w:rPr>
          <w:rFonts w:ascii="Verdana" w:hAnsi="Verdana"/>
          <w:sz w:val="20"/>
          <w:szCs w:val="20"/>
          <w:lang w:val="es-CR"/>
        </w:rPr>
        <w:t>la Sentencia de fondo, reparaciones y costas emitida en el presente caso, de acuerdo con lo considerado en la presente Resolución, y con lo estipulado en el artículo 68.1 de la Convención Americana sobre Derechos Humanos.</w:t>
      </w:r>
    </w:p>
    <w:p w:rsidR="00C124B2" w:rsidRPr="003A4A90" w:rsidRDefault="00C124B2" w:rsidP="00C124B2">
      <w:pPr>
        <w:pStyle w:val="Listavistosa-nfasis1"/>
        <w:numPr>
          <w:ilvl w:val="0"/>
          <w:numId w:val="50"/>
        </w:numPr>
        <w:spacing w:before="120" w:after="120" w:line="240" w:lineRule="auto"/>
        <w:ind w:left="0" w:firstLine="0"/>
        <w:contextualSpacing w:val="0"/>
        <w:jc w:val="both"/>
        <w:rPr>
          <w:rFonts w:ascii="Verdana" w:hAnsi="Verdana"/>
          <w:sz w:val="20"/>
          <w:szCs w:val="20"/>
          <w:lang w:val="es-CR"/>
        </w:rPr>
      </w:pPr>
      <w:r w:rsidRPr="00C124B2">
        <w:rPr>
          <w:rFonts w:ascii="Verdana" w:hAnsi="Verdana"/>
          <w:sz w:val="20"/>
          <w:szCs w:val="20"/>
          <w:lang w:val="es-CR"/>
        </w:rPr>
        <w:t xml:space="preserve">Disponer que el Estado presente a la Corte Interamericana, a más tardar el </w:t>
      </w:r>
      <w:r w:rsidR="00C617A5">
        <w:rPr>
          <w:rFonts w:ascii="Verdana" w:hAnsi="Verdana"/>
          <w:sz w:val="20"/>
          <w:szCs w:val="20"/>
          <w:lang w:val="es-CR"/>
        </w:rPr>
        <w:t>1</w:t>
      </w:r>
      <w:r w:rsidR="00C617A5" w:rsidRPr="00C124B2">
        <w:rPr>
          <w:rFonts w:ascii="Verdana" w:hAnsi="Verdana"/>
          <w:sz w:val="20"/>
          <w:szCs w:val="20"/>
          <w:lang w:val="es-CR"/>
        </w:rPr>
        <w:t xml:space="preserve"> </w:t>
      </w:r>
      <w:r w:rsidRPr="00C124B2">
        <w:rPr>
          <w:rFonts w:ascii="Verdana" w:hAnsi="Verdana"/>
          <w:sz w:val="20"/>
          <w:szCs w:val="20"/>
          <w:lang w:val="es-CR"/>
        </w:rPr>
        <w:t xml:space="preserve">de </w:t>
      </w:r>
      <w:r w:rsidRPr="003A4A90">
        <w:rPr>
          <w:rFonts w:ascii="Verdana" w:hAnsi="Verdana"/>
          <w:sz w:val="20"/>
          <w:szCs w:val="20"/>
          <w:lang w:val="es-CR"/>
        </w:rPr>
        <w:t xml:space="preserve">marzo de 2019, un informe en el cual indique todas las medidas adoptadas para cumplir con la reparación ordenada por esta Corte que se encuentra pendiente de cumplimiento, de conformidad con el Considerando </w:t>
      </w:r>
      <w:r w:rsidR="00C617A5">
        <w:rPr>
          <w:rFonts w:ascii="Verdana" w:hAnsi="Verdana"/>
          <w:sz w:val="20"/>
          <w:szCs w:val="20"/>
          <w:lang w:val="es-CR"/>
        </w:rPr>
        <w:t>9</w:t>
      </w:r>
      <w:r w:rsidR="00C617A5" w:rsidRPr="003A4A90">
        <w:rPr>
          <w:rFonts w:ascii="Verdana" w:hAnsi="Verdana"/>
          <w:sz w:val="20"/>
          <w:szCs w:val="20"/>
          <w:lang w:val="es-CR"/>
        </w:rPr>
        <w:t xml:space="preserve"> </w:t>
      </w:r>
      <w:r w:rsidR="00C617A5">
        <w:rPr>
          <w:rFonts w:ascii="Verdana" w:hAnsi="Verdana"/>
          <w:sz w:val="20"/>
          <w:szCs w:val="20"/>
          <w:lang w:val="es-CR"/>
        </w:rPr>
        <w:t>y</w:t>
      </w:r>
      <w:r w:rsidRPr="003A4A90">
        <w:rPr>
          <w:rFonts w:ascii="Verdana" w:hAnsi="Verdana"/>
          <w:sz w:val="20"/>
          <w:szCs w:val="20"/>
          <w:lang w:val="es-CR"/>
        </w:rPr>
        <w:t xml:space="preserve"> el punto resolutivo </w:t>
      </w:r>
      <w:r w:rsidR="00C617A5">
        <w:rPr>
          <w:rFonts w:ascii="Verdana" w:hAnsi="Verdana"/>
          <w:sz w:val="20"/>
          <w:szCs w:val="20"/>
          <w:lang w:val="es-CR"/>
        </w:rPr>
        <w:t>primero</w:t>
      </w:r>
      <w:r w:rsidR="00C617A5" w:rsidRPr="003A4A90">
        <w:rPr>
          <w:rFonts w:ascii="Verdana" w:hAnsi="Verdana"/>
          <w:sz w:val="20"/>
          <w:szCs w:val="20"/>
          <w:lang w:val="es-CR"/>
        </w:rPr>
        <w:t xml:space="preserve"> </w:t>
      </w:r>
      <w:r w:rsidRPr="003A4A90">
        <w:rPr>
          <w:rFonts w:ascii="Verdana" w:hAnsi="Verdana"/>
          <w:sz w:val="20"/>
          <w:szCs w:val="20"/>
          <w:lang w:val="es-CR"/>
        </w:rPr>
        <w:t xml:space="preserve">de esta Resolución. </w:t>
      </w:r>
    </w:p>
    <w:p w:rsidR="00C124B2" w:rsidRPr="003A4A90" w:rsidRDefault="00C124B2" w:rsidP="00C124B2">
      <w:pPr>
        <w:pStyle w:val="Listavistosa-nfasis1"/>
        <w:numPr>
          <w:ilvl w:val="0"/>
          <w:numId w:val="50"/>
        </w:numPr>
        <w:spacing w:before="120" w:after="120" w:line="240" w:lineRule="auto"/>
        <w:ind w:left="0" w:firstLine="0"/>
        <w:contextualSpacing w:val="0"/>
        <w:jc w:val="both"/>
        <w:rPr>
          <w:rFonts w:ascii="Verdana" w:hAnsi="Verdana"/>
          <w:sz w:val="20"/>
          <w:szCs w:val="20"/>
          <w:lang w:val="es-CR"/>
        </w:rPr>
      </w:pPr>
      <w:r w:rsidRPr="003A4A90">
        <w:rPr>
          <w:rFonts w:ascii="Verdana" w:hAnsi="Verdana"/>
          <w:sz w:val="20"/>
          <w:szCs w:val="20"/>
          <w:lang w:val="es-CR"/>
        </w:rPr>
        <w:t>Disponer que el representante de l</w:t>
      </w:r>
      <w:r w:rsidR="00B728B0">
        <w:rPr>
          <w:rFonts w:ascii="Verdana" w:hAnsi="Verdana"/>
          <w:sz w:val="20"/>
          <w:szCs w:val="20"/>
          <w:lang w:val="es-CR"/>
        </w:rPr>
        <w:t>os familiares de</w:t>
      </w:r>
      <w:r w:rsidRPr="003A4A90">
        <w:rPr>
          <w:rFonts w:ascii="Verdana" w:hAnsi="Verdana"/>
          <w:sz w:val="20"/>
          <w:szCs w:val="20"/>
          <w:lang w:val="es-CR"/>
        </w:rPr>
        <w:t xml:space="preserve"> víctima y la Comisión Interamericana de Derechos Humanos presenten observaciones al informe del Estado mencionado en el punto resolutivo anterior, en los plazos de cuatro y seis semanas, respectivamente, contados a partir de la recepción del informe. </w:t>
      </w:r>
    </w:p>
    <w:p w:rsidR="00C124B2" w:rsidRDefault="00C124B2" w:rsidP="00C124B2">
      <w:pPr>
        <w:pStyle w:val="Listavistosa-nfasis1"/>
        <w:numPr>
          <w:ilvl w:val="0"/>
          <w:numId w:val="50"/>
        </w:numPr>
        <w:spacing w:before="120" w:after="120" w:line="240" w:lineRule="auto"/>
        <w:ind w:left="0" w:firstLine="0"/>
        <w:contextualSpacing w:val="0"/>
        <w:jc w:val="both"/>
        <w:rPr>
          <w:rFonts w:ascii="Verdana" w:hAnsi="Verdana"/>
          <w:sz w:val="20"/>
          <w:szCs w:val="20"/>
          <w:lang w:val="es-CR"/>
        </w:rPr>
      </w:pPr>
      <w:r w:rsidRPr="003A4A90">
        <w:rPr>
          <w:rFonts w:ascii="Verdana" w:hAnsi="Verdana"/>
          <w:sz w:val="20"/>
          <w:szCs w:val="20"/>
          <w:lang w:val="es-CR"/>
        </w:rPr>
        <w:t>Disponer que la Secretaría de la Corte notifique la presente Resolución al Estado, a</w:t>
      </w:r>
      <w:r w:rsidR="003A4A90" w:rsidRPr="003A4A90">
        <w:rPr>
          <w:rFonts w:ascii="Verdana" w:hAnsi="Verdana"/>
          <w:sz w:val="20"/>
          <w:szCs w:val="20"/>
          <w:lang w:val="es-CR"/>
        </w:rPr>
        <w:t>l</w:t>
      </w:r>
      <w:r w:rsidRPr="003A4A90">
        <w:rPr>
          <w:rFonts w:ascii="Verdana" w:hAnsi="Verdana"/>
          <w:sz w:val="20"/>
          <w:szCs w:val="20"/>
          <w:lang w:val="es-CR"/>
        </w:rPr>
        <w:t xml:space="preserve"> representante d</w:t>
      </w:r>
      <w:r w:rsidR="00B728B0">
        <w:rPr>
          <w:rFonts w:ascii="Verdana" w:hAnsi="Verdana"/>
          <w:sz w:val="20"/>
          <w:szCs w:val="20"/>
          <w:lang w:val="es-CR"/>
        </w:rPr>
        <w:t>e los familiares de la</w:t>
      </w:r>
      <w:r w:rsidRPr="003A4A90">
        <w:rPr>
          <w:rFonts w:ascii="Verdana" w:hAnsi="Verdana"/>
          <w:sz w:val="20"/>
          <w:szCs w:val="20"/>
          <w:lang w:val="es-CR"/>
        </w:rPr>
        <w:t xml:space="preserve"> víctima y a la Comisión Interamericana de Derechos Humanos.</w:t>
      </w:r>
    </w:p>
    <w:p w:rsidR="00456A00" w:rsidRDefault="00456A00" w:rsidP="00322867">
      <w:pPr>
        <w:pStyle w:val="Listavistosa-nfasis1"/>
        <w:spacing w:before="120" w:after="120" w:line="240" w:lineRule="auto"/>
        <w:ind w:left="0"/>
        <w:contextualSpacing w:val="0"/>
        <w:jc w:val="both"/>
        <w:rPr>
          <w:rFonts w:ascii="Verdana" w:hAnsi="Verdana"/>
          <w:sz w:val="20"/>
          <w:szCs w:val="20"/>
          <w:lang w:val="es-CR"/>
        </w:rPr>
      </w:pPr>
      <w:r>
        <w:rPr>
          <w:rFonts w:ascii="Verdana" w:hAnsi="Verdana"/>
          <w:sz w:val="20"/>
          <w:szCs w:val="20"/>
          <w:lang w:val="es-CR"/>
        </w:rPr>
        <w:t>Corte IDH. Caso Benavides Cevallos Vs. Ecuador. Supervisión de Cumplimiento de Sentencia. Resolución de la Corte Interamericana de Derechos Humanos de 28 de noviembre de 2018.</w:t>
      </w:r>
    </w:p>
    <w:p w:rsidR="00456A00" w:rsidRPr="0019261A" w:rsidRDefault="00456A00" w:rsidP="00456A00">
      <w:pPr>
        <w:spacing w:after="0"/>
        <w:jc w:val="center"/>
        <w:rPr>
          <w:rFonts w:ascii="Verdana" w:hAnsi="Verdana"/>
          <w:sz w:val="20"/>
          <w:lang w:val="pt-BR"/>
        </w:rPr>
      </w:pPr>
      <w:r w:rsidRPr="0019261A">
        <w:rPr>
          <w:rFonts w:ascii="Verdana" w:hAnsi="Verdana"/>
          <w:sz w:val="20"/>
          <w:lang w:val="pt-BR"/>
        </w:rPr>
        <w:t xml:space="preserve">Eduardo Ferrer </w:t>
      </w:r>
      <w:proofErr w:type="spellStart"/>
      <w:r w:rsidRPr="0019261A">
        <w:rPr>
          <w:rFonts w:ascii="Verdana" w:hAnsi="Verdana"/>
          <w:sz w:val="20"/>
          <w:lang w:val="pt-BR"/>
        </w:rPr>
        <w:t>Mac-Gregor</w:t>
      </w:r>
      <w:proofErr w:type="spellEnd"/>
      <w:r w:rsidRPr="0019261A">
        <w:rPr>
          <w:rFonts w:ascii="Verdana" w:hAnsi="Verdana"/>
          <w:sz w:val="20"/>
          <w:lang w:val="pt-BR"/>
        </w:rPr>
        <w:t xml:space="preserve"> </w:t>
      </w:r>
      <w:proofErr w:type="spellStart"/>
      <w:r w:rsidRPr="0019261A">
        <w:rPr>
          <w:rFonts w:ascii="Verdana" w:hAnsi="Verdana"/>
          <w:sz w:val="20"/>
          <w:lang w:val="pt-BR"/>
        </w:rPr>
        <w:t>Poisot</w:t>
      </w:r>
      <w:proofErr w:type="spellEnd"/>
    </w:p>
    <w:p w:rsidR="00456A00" w:rsidRDefault="00456A00" w:rsidP="00456A00">
      <w:pPr>
        <w:spacing w:after="0"/>
        <w:jc w:val="center"/>
        <w:rPr>
          <w:rFonts w:ascii="Verdana" w:hAnsi="Verdana"/>
          <w:sz w:val="20"/>
          <w:lang w:val="pt-BR"/>
        </w:rPr>
      </w:pPr>
      <w:r w:rsidRPr="0019261A">
        <w:rPr>
          <w:rFonts w:ascii="Verdana" w:hAnsi="Verdana"/>
          <w:sz w:val="20"/>
          <w:lang w:val="pt-BR"/>
        </w:rPr>
        <w:t xml:space="preserve">Presidente </w:t>
      </w:r>
    </w:p>
    <w:p w:rsidR="00456A00" w:rsidRPr="0019261A" w:rsidRDefault="00456A00" w:rsidP="00456A00">
      <w:pPr>
        <w:spacing w:after="0"/>
        <w:jc w:val="center"/>
        <w:rPr>
          <w:rFonts w:ascii="Verdana" w:hAnsi="Verdana"/>
          <w:sz w:val="20"/>
          <w:lang w:val="pt-BR"/>
        </w:rPr>
      </w:pPr>
    </w:p>
    <w:p w:rsidR="00456A00" w:rsidRPr="0019261A" w:rsidRDefault="00456A00" w:rsidP="00456A00">
      <w:pPr>
        <w:spacing w:after="0"/>
        <w:rPr>
          <w:rFonts w:ascii="Verdana" w:hAnsi="Verdana"/>
          <w:sz w:val="20"/>
          <w:lang w:val="pt-BR"/>
        </w:rPr>
      </w:pPr>
      <w:r w:rsidRPr="0019261A">
        <w:rPr>
          <w:rFonts w:ascii="Verdana" w:hAnsi="Verdana"/>
          <w:sz w:val="20"/>
          <w:lang w:val="pt-BR"/>
        </w:rPr>
        <w:t xml:space="preserve">Eduardo </w:t>
      </w:r>
      <w:proofErr w:type="spellStart"/>
      <w:r w:rsidRPr="0019261A">
        <w:rPr>
          <w:rFonts w:ascii="Verdana" w:hAnsi="Verdana"/>
          <w:sz w:val="20"/>
          <w:lang w:val="pt-BR"/>
        </w:rPr>
        <w:t>Vio</w:t>
      </w:r>
      <w:proofErr w:type="spellEnd"/>
      <w:r w:rsidRPr="0019261A">
        <w:rPr>
          <w:rFonts w:ascii="Verdana" w:hAnsi="Verdana"/>
          <w:sz w:val="20"/>
          <w:lang w:val="pt-BR"/>
        </w:rPr>
        <w:t xml:space="preserve"> Grossi</w:t>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19261A">
        <w:rPr>
          <w:rFonts w:ascii="Verdana" w:hAnsi="Verdana"/>
          <w:sz w:val="20"/>
          <w:lang w:val="pt-BR"/>
        </w:rPr>
        <w:t xml:space="preserve">Humberto </w:t>
      </w:r>
      <w:r>
        <w:rPr>
          <w:rFonts w:ascii="Verdana" w:hAnsi="Verdana"/>
          <w:sz w:val="20"/>
          <w:lang w:val="pt-BR"/>
        </w:rPr>
        <w:t xml:space="preserve">A. </w:t>
      </w:r>
      <w:r w:rsidRPr="0019261A">
        <w:rPr>
          <w:rFonts w:ascii="Verdana" w:hAnsi="Verdana"/>
          <w:sz w:val="20"/>
          <w:lang w:val="pt-BR"/>
        </w:rPr>
        <w:t>Sierra Porto</w:t>
      </w:r>
      <w:r w:rsidRPr="0019261A">
        <w:rPr>
          <w:rFonts w:ascii="Verdana" w:hAnsi="Verdana"/>
          <w:sz w:val="20"/>
          <w:lang w:val="pt-BR"/>
        </w:rPr>
        <w:tab/>
      </w:r>
      <w:r w:rsidRPr="0019261A">
        <w:rPr>
          <w:rFonts w:ascii="Verdana" w:hAnsi="Verdana"/>
          <w:sz w:val="20"/>
          <w:lang w:val="pt-BR"/>
        </w:rPr>
        <w:tab/>
      </w:r>
      <w:r w:rsidRPr="0019261A">
        <w:rPr>
          <w:rFonts w:ascii="Verdana" w:hAnsi="Verdana"/>
          <w:sz w:val="20"/>
          <w:lang w:val="pt-BR"/>
        </w:rPr>
        <w:tab/>
      </w:r>
    </w:p>
    <w:p w:rsidR="00456A00" w:rsidRPr="0019261A" w:rsidRDefault="00456A00" w:rsidP="00456A00">
      <w:pPr>
        <w:spacing w:after="0"/>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19261A">
        <w:rPr>
          <w:rFonts w:ascii="Verdana" w:hAnsi="Verdana"/>
          <w:sz w:val="20"/>
          <w:lang w:val="pt-BR"/>
        </w:rPr>
        <w:t>Eugenio Raúl Zaffaroni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p>
    <w:p w:rsidR="00456A00" w:rsidRDefault="00456A00" w:rsidP="00456A00">
      <w:pPr>
        <w:spacing w:after="0"/>
        <w:jc w:val="center"/>
        <w:rPr>
          <w:rFonts w:ascii="Verdana" w:hAnsi="Verdana"/>
          <w:sz w:val="20"/>
          <w:lang w:val="pt-BR"/>
        </w:rPr>
      </w:pPr>
    </w:p>
    <w:p w:rsidR="00456A00" w:rsidRDefault="00456A00" w:rsidP="00456A00">
      <w:pPr>
        <w:spacing w:after="0"/>
        <w:jc w:val="center"/>
        <w:rPr>
          <w:rFonts w:ascii="Verdana" w:hAnsi="Verdana"/>
          <w:sz w:val="20"/>
          <w:lang w:val="pt-BR"/>
        </w:rPr>
      </w:pPr>
    </w:p>
    <w:p w:rsidR="00456A00" w:rsidRPr="00FC4051" w:rsidRDefault="00456A00" w:rsidP="00456A00">
      <w:pPr>
        <w:spacing w:after="0"/>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rsidR="00456A00" w:rsidRDefault="00456A00" w:rsidP="00456A00">
      <w:pPr>
        <w:spacing w:after="0"/>
        <w:jc w:val="right"/>
        <w:rPr>
          <w:rFonts w:ascii="Verdana" w:hAnsi="Verdana"/>
          <w:sz w:val="20"/>
          <w:lang w:val="pt-BR"/>
        </w:rPr>
      </w:pPr>
    </w:p>
    <w:p w:rsidR="00456A00" w:rsidRPr="00FC4051" w:rsidRDefault="00456A00" w:rsidP="00456A00">
      <w:pPr>
        <w:spacing w:after="0"/>
        <w:jc w:val="center"/>
        <w:rPr>
          <w:rFonts w:ascii="Verdana" w:hAnsi="Verdana"/>
          <w:sz w:val="20"/>
          <w:lang w:val="pt-BR"/>
        </w:rPr>
      </w:pPr>
      <w:r>
        <w:rPr>
          <w:rFonts w:ascii="Verdana" w:hAnsi="Verdana"/>
          <w:sz w:val="20"/>
          <w:lang w:val="pt-BR"/>
        </w:rPr>
        <w:t xml:space="preserve">                                                                                   </w:t>
      </w:r>
      <w:r w:rsidRPr="0019261A">
        <w:rPr>
          <w:rFonts w:ascii="Verdana" w:hAnsi="Verdana"/>
          <w:sz w:val="20"/>
          <w:lang w:val="pt-BR"/>
        </w:rPr>
        <w:t>Eduardo Ferrer Mac-Gregor Poisot</w:t>
      </w:r>
    </w:p>
    <w:p w:rsidR="00456A00" w:rsidRDefault="00456A00" w:rsidP="00456A00">
      <w:pPr>
        <w:spacing w:after="0"/>
        <w:rPr>
          <w:rFonts w:ascii="Verdana" w:hAnsi="Verdana"/>
          <w:sz w:val="20"/>
          <w:lang w:val="pt-BR"/>
        </w:rPr>
      </w:pPr>
      <w:r>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19261A">
        <w:rPr>
          <w:rFonts w:ascii="Verdana" w:hAnsi="Verdana"/>
          <w:sz w:val="20"/>
          <w:lang w:val="pt-BR"/>
        </w:rPr>
        <w:t xml:space="preserve">Presidente </w:t>
      </w:r>
    </w:p>
    <w:p w:rsidR="00456A00" w:rsidRPr="00FC4051" w:rsidRDefault="00456A00" w:rsidP="00456A00">
      <w:pPr>
        <w:spacing w:after="0"/>
        <w:jc w:val="both"/>
        <w:rPr>
          <w:rFonts w:ascii="Verdana" w:hAnsi="Verdana"/>
          <w:sz w:val="20"/>
          <w:lang w:val="pt-BR"/>
        </w:rPr>
      </w:pPr>
      <w:bookmarkStart w:id="0" w:name="_GoBack"/>
      <w:bookmarkEnd w:id="0"/>
    </w:p>
    <w:p w:rsidR="00456A00" w:rsidRPr="00FC4051" w:rsidRDefault="00456A00" w:rsidP="00456A00">
      <w:pPr>
        <w:spacing w:after="0"/>
        <w:jc w:val="both"/>
        <w:rPr>
          <w:rFonts w:ascii="Verdana" w:hAnsi="Verdana"/>
          <w:sz w:val="20"/>
          <w:lang w:val="pt-BR"/>
        </w:rPr>
      </w:pPr>
      <w:r w:rsidRPr="00FC4051">
        <w:rPr>
          <w:rFonts w:ascii="Verdana" w:hAnsi="Verdana"/>
          <w:sz w:val="20"/>
          <w:lang w:val="pt-BR"/>
        </w:rPr>
        <w:t>Pablo Saavedra Alessandri</w:t>
      </w:r>
    </w:p>
    <w:p w:rsidR="00456A00" w:rsidRDefault="00456A00" w:rsidP="00456A00">
      <w:pPr>
        <w:spacing w:after="0"/>
        <w:rPr>
          <w:rFonts w:ascii="Verdana" w:hAnsi="Verdana"/>
          <w:sz w:val="20"/>
          <w:lang w:val="es-ES"/>
        </w:rPr>
      </w:pPr>
      <w:r w:rsidRPr="00FC4051">
        <w:rPr>
          <w:rFonts w:ascii="Verdana" w:hAnsi="Verdana"/>
          <w:sz w:val="20"/>
          <w:lang w:val="pt-BR"/>
        </w:rPr>
        <w:tab/>
      </w:r>
      <w:r w:rsidRPr="0019261A">
        <w:rPr>
          <w:rFonts w:ascii="Verdana" w:hAnsi="Verdana"/>
          <w:sz w:val="20"/>
          <w:lang w:val="es-ES"/>
        </w:rPr>
        <w:t>Secret</w:t>
      </w:r>
      <w:r>
        <w:rPr>
          <w:rFonts w:ascii="Verdana" w:hAnsi="Verdana"/>
          <w:sz w:val="20"/>
          <w:lang w:val="es-ES"/>
        </w:rPr>
        <w:t>ario</w:t>
      </w:r>
    </w:p>
    <w:sectPr w:rsidR="00456A00" w:rsidSect="00A67693">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58B" w:rsidRDefault="0024758B" w:rsidP="005A1B3D">
      <w:pPr>
        <w:spacing w:after="0" w:line="240" w:lineRule="auto"/>
      </w:pPr>
      <w:r>
        <w:separator/>
      </w:r>
    </w:p>
  </w:endnote>
  <w:endnote w:type="continuationSeparator" w:id="0">
    <w:p w:rsidR="0024758B" w:rsidRDefault="0024758B"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BBC" w:rsidRDefault="002A0BBC" w:rsidP="0006620E">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58B" w:rsidRDefault="0024758B" w:rsidP="005A1B3D">
      <w:pPr>
        <w:spacing w:after="0" w:line="240" w:lineRule="auto"/>
      </w:pPr>
      <w:r>
        <w:separator/>
      </w:r>
    </w:p>
  </w:footnote>
  <w:footnote w:type="continuationSeparator" w:id="0">
    <w:p w:rsidR="0024758B" w:rsidRDefault="0024758B" w:rsidP="005A1B3D">
      <w:pPr>
        <w:spacing w:after="0" w:line="240" w:lineRule="auto"/>
      </w:pPr>
      <w:r>
        <w:continuationSeparator/>
      </w:r>
    </w:p>
  </w:footnote>
  <w:footnote w:id="1">
    <w:p w:rsidR="002A0BBC" w:rsidRPr="000E52D3" w:rsidRDefault="00571DA0" w:rsidP="002E3A2F">
      <w:pPr>
        <w:pStyle w:val="Textonotapie"/>
        <w:suppressLineNumbers/>
        <w:tabs>
          <w:tab w:val="left" w:pos="426"/>
        </w:tabs>
        <w:jc w:val="both"/>
        <w:rPr>
          <w:rFonts w:ascii="Verdana" w:hAnsi="Verdana"/>
          <w:sz w:val="16"/>
          <w:szCs w:val="16"/>
          <w:lang w:val="es-CR"/>
        </w:rPr>
      </w:pPr>
      <w:r w:rsidRPr="000E52D3">
        <w:rPr>
          <w:rFonts w:ascii="Verdana" w:hAnsi="Verdana"/>
          <w:sz w:val="16"/>
          <w:szCs w:val="16"/>
          <w:lang w:val="es-CR"/>
        </w:rPr>
        <w:t>*</w:t>
      </w:r>
      <w:r w:rsidRPr="000E52D3">
        <w:rPr>
          <w:rFonts w:ascii="Verdana" w:hAnsi="Verdana"/>
          <w:sz w:val="16"/>
          <w:szCs w:val="16"/>
          <w:lang w:val="es-CR"/>
        </w:rPr>
        <w:tab/>
        <w:t>El Juez L. Patricio Pazmiño Freire, de nacionalidad ecuatoriana, no participó en la deliberación y firma de la presente Resolución, de conformidad con lo dispuesto en el artículo 19.1 del Reglamento de la Corte.</w:t>
      </w:r>
    </w:p>
  </w:footnote>
  <w:footnote w:id="2">
    <w:p w:rsidR="002A0BBC" w:rsidRPr="000E52D3" w:rsidRDefault="002A0BBC" w:rsidP="002E3A2F">
      <w:pPr>
        <w:pStyle w:val="Textonotapie"/>
        <w:tabs>
          <w:tab w:val="left" w:pos="426"/>
        </w:tabs>
        <w:jc w:val="both"/>
        <w:rPr>
          <w:rFonts w:ascii="Verdana" w:hAnsi="Verdana"/>
          <w:color w:val="000000"/>
          <w:sz w:val="16"/>
          <w:szCs w:val="16"/>
          <w:lang w:val="es-CR"/>
        </w:rPr>
      </w:pPr>
      <w:r w:rsidRPr="000E52D3">
        <w:rPr>
          <w:rStyle w:val="Refdenotaalpie"/>
          <w:rFonts w:ascii="Verdana" w:hAnsi="Verdana"/>
          <w:color w:val="000000"/>
          <w:sz w:val="16"/>
          <w:szCs w:val="16"/>
        </w:rPr>
        <w:footnoteRef/>
      </w:r>
      <w:r w:rsidRPr="000E52D3">
        <w:rPr>
          <w:rFonts w:ascii="Verdana" w:hAnsi="Verdana"/>
          <w:color w:val="000000"/>
          <w:sz w:val="16"/>
          <w:szCs w:val="16"/>
          <w:lang w:val="es-CR"/>
        </w:rPr>
        <w:t xml:space="preserve"> </w:t>
      </w:r>
      <w:r w:rsidRPr="000E52D3">
        <w:rPr>
          <w:rFonts w:ascii="Verdana" w:hAnsi="Verdana"/>
          <w:color w:val="000000"/>
          <w:sz w:val="16"/>
          <w:szCs w:val="16"/>
          <w:lang w:val="es-CR"/>
        </w:rPr>
        <w:tab/>
      </w:r>
      <w:r w:rsidR="0009286F">
        <w:rPr>
          <w:rFonts w:ascii="Verdana" w:hAnsi="Verdana"/>
          <w:color w:val="000000"/>
          <w:sz w:val="16"/>
          <w:szCs w:val="16"/>
          <w:lang w:val="es-CR"/>
        </w:rPr>
        <w:t xml:space="preserve">La Sentencia fue notificada el 23 de junio de 1998. </w:t>
      </w:r>
      <w:r w:rsidRPr="000E52D3">
        <w:rPr>
          <w:rFonts w:ascii="Verdana" w:hAnsi="Verdana"/>
          <w:i/>
          <w:color w:val="000000"/>
          <w:sz w:val="16"/>
          <w:szCs w:val="16"/>
          <w:lang w:val="es-CR"/>
        </w:rPr>
        <w:t>Cfr.</w:t>
      </w:r>
      <w:r w:rsidRPr="000E52D3">
        <w:rPr>
          <w:rFonts w:ascii="Verdana" w:hAnsi="Verdana"/>
          <w:bCs/>
          <w:color w:val="000000"/>
          <w:sz w:val="16"/>
          <w:szCs w:val="16"/>
          <w:shd w:val="clear" w:color="auto" w:fill="FFFFFF"/>
          <w:lang w:val="es-CR"/>
        </w:rPr>
        <w:t xml:space="preserve"> </w:t>
      </w:r>
      <w:r w:rsidR="002E3A2F" w:rsidRPr="000E52D3">
        <w:rPr>
          <w:rFonts w:ascii="Verdana" w:hAnsi="Verdana"/>
          <w:bCs/>
          <w:i/>
          <w:color w:val="000000"/>
          <w:sz w:val="16"/>
          <w:szCs w:val="16"/>
          <w:shd w:val="clear" w:color="auto" w:fill="FFFFFF"/>
          <w:lang w:val="es-CR"/>
        </w:rPr>
        <w:t>Caso Benavides Cevallos V</w:t>
      </w:r>
      <w:r w:rsidR="005469D1" w:rsidRPr="000E52D3">
        <w:rPr>
          <w:rFonts w:ascii="Verdana" w:hAnsi="Verdana"/>
          <w:bCs/>
          <w:i/>
          <w:color w:val="000000"/>
          <w:sz w:val="16"/>
          <w:szCs w:val="16"/>
          <w:shd w:val="clear" w:color="auto" w:fill="FFFFFF"/>
          <w:lang w:val="es-CR"/>
        </w:rPr>
        <w:t>s. Ecuador</w:t>
      </w:r>
      <w:r w:rsidRPr="000E52D3">
        <w:rPr>
          <w:rFonts w:ascii="Verdana" w:hAnsi="Verdana"/>
          <w:bCs/>
          <w:i/>
          <w:color w:val="000000"/>
          <w:sz w:val="16"/>
          <w:szCs w:val="16"/>
          <w:shd w:val="clear" w:color="auto" w:fill="FFFFFF"/>
          <w:lang w:val="es-CR"/>
        </w:rPr>
        <w:t xml:space="preserve">. </w:t>
      </w:r>
      <w:r w:rsidRPr="000E52D3">
        <w:rPr>
          <w:rFonts w:ascii="Verdana" w:hAnsi="Verdana"/>
          <w:bCs/>
          <w:i/>
          <w:color w:val="000000"/>
          <w:sz w:val="16"/>
          <w:szCs w:val="16"/>
          <w:shd w:val="clear" w:color="auto" w:fill="FFFFFF"/>
          <w:lang w:val="es-CR"/>
        </w:rPr>
        <w:t>Fondo, Repara</w:t>
      </w:r>
      <w:r w:rsidR="005469D1" w:rsidRPr="000E52D3">
        <w:rPr>
          <w:rFonts w:ascii="Verdana" w:hAnsi="Verdana"/>
          <w:bCs/>
          <w:i/>
          <w:color w:val="000000"/>
          <w:sz w:val="16"/>
          <w:szCs w:val="16"/>
          <w:shd w:val="clear" w:color="auto" w:fill="FFFFFF"/>
          <w:lang w:val="es-CR"/>
        </w:rPr>
        <w:t xml:space="preserve">ciones y Costas. </w:t>
      </w:r>
      <w:r w:rsidR="005469D1" w:rsidRPr="000E52D3">
        <w:rPr>
          <w:rFonts w:ascii="Verdana" w:hAnsi="Verdana"/>
          <w:bCs/>
          <w:color w:val="000000"/>
          <w:sz w:val="16"/>
          <w:szCs w:val="16"/>
          <w:shd w:val="clear" w:color="auto" w:fill="FFFFFF"/>
          <w:lang w:val="es-CR"/>
        </w:rPr>
        <w:t>Sentencia de 19</w:t>
      </w:r>
      <w:r w:rsidRPr="000E52D3">
        <w:rPr>
          <w:rFonts w:ascii="Verdana" w:hAnsi="Verdana"/>
          <w:bCs/>
          <w:color w:val="000000"/>
          <w:sz w:val="16"/>
          <w:szCs w:val="16"/>
          <w:shd w:val="clear" w:color="auto" w:fill="FFFFFF"/>
          <w:lang w:val="es-CR"/>
        </w:rPr>
        <w:t xml:space="preserve"> </w:t>
      </w:r>
      <w:r w:rsidR="005469D1" w:rsidRPr="000E52D3">
        <w:rPr>
          <w:rFonts w:ascii="Verdana" w:hAnsi="Verdana"/>
          <w:bCs/>
          <w:color w:val="000000"/>
          <w:sz w:val="16"/>
          <w:szCs w:val="16"/>
          <w:shd w:val="clear" w:color="auto" w:fill="FFFFFF"/>
          <w:lang w:val="es-CR"/>
        </w:rPr>
        <w:t>de junio de 1998</w:t>
      </w:r>
      <w:r w:rsidR="002320D9" w:rsidRPr="000E52D3">
        <w:rPr>
          <w:rFonts w:ascii="Verdana" w:hAnsi="Verdana"/>
          <w:bCs/>
          <w:color w:val="000000"/>
          <w:sz w:val="16"/>
          <w:szCs w:val="16"/>
          <w:shd w:val="clear" w:color="auto" w:fill="FFFFFF"/>
          <w:lang w:val="es-CR"/>
        </w:rPr>
        <w:t>.</w:t>
      </w:r>
      <w:r w:rsidR="002320D9" w:rsidRPr="000E52D3">
        <w:rPr>
          <w:rFonts w:ascii="Verdana" w:hAnsi="Verdana"/>
          <w:bCs/>
          <w:i/>
          <w:color w:val="000000"/>
          <w:sz w:val="16"/>
          <w:szCs w:val="16"/>
          <w:shd w:val="clear" w:color="auto" w:fill="FFFFFF"/>
          <w:lang w:val="es-CR"/>
        </w:rPr>
        <w:t xml:space="preserve"> </w:t>
      </w:r>
      <w:r w:rsidR="002320D9" w:rsidRPr="00B728B0">
        <w:rPr>
          <w:rFonts w:ascii="Verdana" w:hAnsi="Verdana"/>
          <w:bCs/>
          <w:color w:val="000000"/>
          <w:sz w:val="16"/>
          <w:szCs w:val="16"/>
          <w:shd w:val="clear" w:color="auto" w:fill="FFFFFF"/>
          <w:lang w:val="es-CR"/>
        </w:rPr>
        <w:t>Serie C No. 38</w:t>
      </w:r>
      <w:r w:rsidRPr="00B728B0">
        <w:rPr>
          <w:rFonts w:ascii="Verdana" w:hAnsi="Verdana"/>
          <w:bCs/>
          <w:color w:val="000000"/>
          <w:sz w:val="16"/>
          <w:szCs w:val="16"/>
          <w:shd w:val="clear" w:color="auto" w:fill="FFFFFF"/>
          <w:lang w:val="es-CR"/>
        </w:rPr>
        <w:t>.</w:t>
      </w:r>
      <w:r w:rsidRPr="000E52D3">
        <w:rPr>
          <w:rFonts w:ascii="Verdana" w:hAnsi="Verdana"/>
          <w:bCs/>
          <w:i/>
          <w:color w:val="000000"/>
          <w:sz w:val="16"/>
          <w:szCs w:val="16"/>
          <w:shd w:val="clear" w:color="auto" w:fill="FFFFFF"/>
          <w:lang w:val="es-CR"/>
        </w:rPr>
        <w:t xml:space="preserve"> </w:t>
      </w:r>
      <w:r w:rsidRPr="000E52D3">
        <w:rPr>
          <w:rFonts w:ascii="Verdana" w:hAnsi="Verdana"/>
          <w:color w:val="000000"/>
          <w:sz w:val="16"/>
          <w:szCs w:val="16"/>
          <w:lang w:val="es-CR"/>
        </w:rPr>
        <w:t xml:space="preserve">El texto íntegro de la Sentencia se encuentra disponible en: </w:t>
      </w:r>
      <w:hyperlink r:id="rId1" w:history="1">
        <w:r w:rsidR="005469D1" w:rsidRPr="000E52D3">
          <w:rPr>
            <w:rStyle w:val="Hipervnculo"/>
            <w:rFonts w:ascii="Verdana" w:hAnsi="Verdana"/>
            <w:sz w:val="16"/>
            <w:szCs w:val="16"/>
            <w:lang w:val="es-CR"/>
          </w:rPr>
          <w:t>http://www.corteidh.or.cr/docs/casos/articulos/seriec_38_esp.pdf</w:t>
        </w:r>
      </w:hyperlink>
      <w:r w:rsidR="00571DA0" w:rsidRPr="000E52D3">
        <w:rPr>
          <w:rFonts w:ascii="Verdana" w:hAnsi="Verdana"/>
          <w:color w:val="000000"/>
          <w:sz w:val="16"/>
          <w:szCs w:val="16"/>
          <w:lang w:val="es-CR"/>
        </w:rPr>
        <w:t>.</w:t>
      </w:r>
      <w:r w:rsidR="005469D1" w:rsidRPr="000E52D3">
        <w:rPr>
          <w:rFonts w:ascii="Verdana" w:hAnsi="Verdana"/>
          <w:color w:val="000000"/>
          <w:sz w:val="16"/>
          <w:szCs w:val="16"/>
          <w:lang w:val="es-CR"/>
        </w:rPr>
        <w:t xml:space="preserve"> </w:t>
      </w:r>
    </w:p>
  </w:footnote>
  <w:footnote w:id="3">
    <w:p w:rsidR="00133430" w:rsidRPr="000E52D3" w:rsidRDefault="00133430" w:rsidP="002E3A2F">
      <w:pPr>
        <w:pStyle w:val="Textonotapie"/>
        <w:tabs>
          <w:tab w:val="left" w:pos="426"/>
        </w:tabs>
        <w:jc w:val="both"/>
        <w:rPr>
          <w:rFonts w:ascii="Verdana" w:hAnsi="Verdana"/>
          <w:sz w:val="16"/>
          <w:szCs w:val="16"/>
          <w:lang w:val="es-CR"/>
        </w:rPr>
      </w:pPr>
      <w:r w:rsidRPr="000E52D3">
        <w:rPr>
          <w:rStyle w:val="Refdenotaalpie"/>
          <w:rFonts w:ascii="Verdana" w:hAnsi="Verdana"/>
          <w:sz w:val="16"/>
          <w:szCs w:val="16"/>
        </w:rPr>
        <w:footnoteRef/>
      </w:r>
      <w:r w:rsidRPr="000E52D3">
        <w:rPr>
          <w:rFonts w:ascii="Verdana" w:hAnsi="Verdana"/>
          <w:sz w:val="16"/>
          <w:szCs w:val="16"/>
          <w:lang w:val="es-CR"/>
        </w:rPr>
        <w:t xml:space="preserve"> </w:t>
      </w:r>
      <w:r w:rsidR="002E3A2F" w:rsidRPr="000E52D3">
        <w:rPr>
          <w:rFonts w:ascii="Verdana" w:hAnsi="Verdana"/>
          <w:sz w:val="16"/>
          <w:szCs w:val="16"/>
          <w:lang w:val="es-CR"/>
        </w:rPr>
        <w:tab/>
        <w:t>El Es</w:t>
      </w:r>
      <w:r w:rsidRPr="000E52D3">
        <w:rPr>
          <w:rFonts w:ascii="Verdana" w:hAnsi="Verdana"/>
          <w:sz w:val="16"/>
          <w:szCs w:val="16"/>
          <w:lang w:val="es-CR"/>
        </w:rPr>
        <w:t xml:space="preserve">tado reconoció que “[d]el respectivo proceso judicial sustanciado en la Corte Suprema de Justicia del Ecuador, se concluye que el 4 de diciembre de 1985, la Srta. Consuelo Benavides fue ilegal y arbitrariamente detenida por miembros de la Infantería Naval Ecuatoriana, en Quinindé, provincia de Esmeraldas, para fines de investigación por presuntas actividades subversivas ligadas al grupo guerrillero ‘ALFARO VIVE CARAJO’”, y que “[e]l 13 de diciembre de 1985 fue encontrado su cadáver en la parroquia Rocafuerte, cantón Esmeraldas”. </w:t>
      </w:r>
      <w:r w:rsidR="002E3A2F" w:rsidRPr="000E52D3">
        <w:rPr>
          <w:rFonts w:ascii="Verdana" w:hAnsi="Verdana"/>
          <w:i/>
          <w:color w:val="000000"/>
          <w:sz w:val="16"/>
          <w:szCs w:val="16"/>
          <w:lang w:val="es-CR"/>
        </w:rPr>
        <w:t>Cfr.</w:t>
      </w:r>
      <w:r w:rsidR="002E3A2F" w:rsidRPr="000E52D3">
        <w:rPr>
          <w:rFonts w:ascii="Verdana" w:hAnsi="Verdana"/>
          <w:bCs/>
          <w:color w:val="000000"/>
          <w:sz w:val="16"/>
          <w:szCs w:val="16"/>
          <w:shd w:val="clear" w:color="auto" w:fill="FFFFFF"/>
          <w:lang w:val="es-CR"/>
        </w:rPr>
        <w:t xml:space="preserve"> </w:t>
      </w:r>
      <w:r w:rsidR="002E3A2F" w:rsidRPr="000E52D3">
        <w:rPr>
          <w:rFonts w:ascii="Verdana" w:hAnsi="Verdana"/>
          <w:bCs/>
          <w:i/>
          <w:color w:val="000000"/>
          <w:sz w:val="16"/>
          <w:szCs w:val="16"/>
          <w:shd w:val="clear" w:color="auto" w:fill="FFFFFF"/>
          <w:lang w:val="es-CR"/>
        </w:rPr>
        <w:t xml:space="preserve">Caso Benavides Cevallos, supra </w:t>
      </w:r>
      <w:r w:rsidR="002E3A2F" w:rsidRPr="000E52D3">
        <w:rPr>
          <w:rFonts w:ascii="Verdana" w:hAnsi="Verdana"/>
          <w:bCs/>
          <w:color w:val="000000"/>
          <w:sz w:val="16"/>
          <w:szCs w:val="16"/>
          <w:shd w:val="clear" w:color="auto" w:fill="FFFFFF"/>
          <w:lang w:val="es-CR"/>
        </w:rPr>
        <w:t>nota 1, párr.</w:t>
      </w:r>
      <w:r w:rsidR="002E3A2F" w:rsidRPr="000E52D3">
        <w:rPr>
          <w:rFonts w:ascii="Verdana" w:hAnsi="Verdana"/>
          <w:bCs/>
          <w:i/>
          <w:color w:val="000000"/>
          <w:sz w:val="16"/>
          <w:szCs w:val="16"/>
          <w:shd w:val="clear" w:color="auto" w:fill="FFFFFF"/>
          <w:lang w:val="es-CR"/>
        </w:rPr>
        <w:t xml:space="preserve"> </w:t>
      </w:r>
      <w:r w:rsidR="002E3A2F" w:rsidRPr="000E52D3">
        <w:rPr>
          <w:rFonts w:ascii="Verdana" w:hAnsi="Verdana"/>
          <w:bCs/>
          <w:color w:val="000000"/>
          <w:sz w:val="16"/>
          <w:szCs w:val="16"/>
          <w:shd w:val="clear" w:color="auto" w:fill="FFFFFF"/>
          <w:lang w:val="es-CR"/>
        </w:rPr>
        <w:t>35.</w:t>
      </w:r>
    </w:p>
  </w:footnote>
  <w:footnote w:id="4">
    <w:p w:rsidR="002E3A2F" w:rsidRPr="000E52D3" w:rsidRDefault="002E3A2F" w:rsidP="000E52D3">
      <w:pPr>
        <w:pStyle w:val="Textonotapie"/>
        <w:tabs>
          <w:tab w:val="left" w:pos="426"/>
        </w:tabs>
        <w:jc w:val="both"/>
        <w:rPr>
          <w:rFonts w:ascii="Verdana" w:hAnsi="Verdana"/>
          <w:sz w:val="16"/>
          <w:szCs w:val="16"/>
          <w:lang w:val="es-CR"/>
        </w:rPr>
      </w:pPr>
      <w:r w:rsidRPr="000E52D3">
        <w:rPr>
          <w:rStyle w:val="Refdenotaalpie"/>
          <w:rFonts w:ascii="Verdana" w:hAnsi="Verdana"/>
          <w:sz w:val="16"/>
          <w:szCs w:val="16"/>
        </w:rPr>
        <w:footnoteRef/>
      </w:r>
      <w:r w:rsidRPr="000E52D3">
        <w:rPr>
          <w:rFonts w:ascii="Verdana" w:hAnsi="Verdana"/>
          <w:sz w:val="16"/>
          <w:szCs w:val="16"/>
          <w:lang w:val="es-CR"/>
        </w:rPr>
        <w:t xml:space="preserve"> </w:t>
      </w:r>
      <w:r w:rsidRPr="000E52D3">
        <w:rPr>
          <w:rFonts w:ascii="Verdana" w:hAnsi="Verdana"/>
          <w:sz w:val="16"/>
          <w:szCs w:val="16"/>
          <w:lang w:val="es-CR"/>
        </w:rPr>
        <w:tab/>
      </w:r>
      <w:r w:rsidRPr="000E52D3">
        <w:rPr>
          <w:rFonts w:ascii="Verdana" w:hAnsi="Verdana"/>
          <w:i/>
          <w:color w:val="000000"/>
          <w:sz w:val="16"/>
          <w:szCs w:val="16"/>
          <w:lang w:val="es-CR"/>
        </w:rPr>
        <w:t>Cfr.</w:t>
      </w:r>
      <w:r w:rsidRPr="000E52D3">
        <w:rPr>
          <w:rFonts w:ascii="Verdana" w:hAnsi="Verdana"/>
          <w:bCs/>
          <w:color w:val="000000"/>
          <w:sz w:val="16"/>
          <w:szCs w:val="16"/>
          <w:shd w:val="clear" w:color="auto" w:fill="FFFFFF"/>
          <w:lang w:val="es-CR"/>
        </w:rPr>
        <w:t xml:space="preserve"> </w:t>
      </w:r>
      <w:r w:rsidRPr="000E52D3">
        <w:rPr>
          <w:rFonts w:ascii="Verdana" w:hAnsi="Verdana"/>
          <w:bCs/>
          <w:i/>
          <w:color w:val="000000"/>
          <w:sz w:val="16"/>
          <w:szCs w:val="16"/>
          <w:shd w:val="clear" w:color="auto" w:fill="FFFFFF"/>
          <w:lang w:val="es-CR"/>
        </w:rPr>
        <w:t xml:space="preserve">Caso Benavides Cevallos, supra </w:t>
      </w:r>
      <w:r w:rsidRPr="000E52D3">
        <w:rPr>
          <w:rFonts w:ascii="Verdana" w:hAnsi="Verdana"/>
          <w:bCs/>
          <w:color w:val="000000"/>
          <w:sz w:val="16"/>
          <w:szCs w:val="16"/>
          <w:shd w:val="clear" w:color="auto" w:fill="FFFFFF"/>
          <w:lang w:val="es-CR"/>
        </w:rPr>
        <w:t>nota 1, párr.</w:t>
      </w:r>
      <w:r w:rsidRPr="000E52D3">
        <w:rPr>
          <w:rFonts w:ascii="Verdana" w:hAnsi="Verdana"/>
          <w:bCs/>
          <w:i/>
          <w:color w:val="000000"/>
          <w:sz w:val="16"/>
          <w:szCs w:val="16"/>
          <w:shd w:val="clear" w:color="auto" w:fill="FFFFFF"/>
          <w:lang w:val="es-CR"/>
        </w:rPr>
        <w:t xml:space="preserve"> </w:t>
      </w:r>
      <w:r w:rsidRPr="000E52D3">
        <w:rPr>
          <w:rFonts w:ascii="Verdana" w:hAnsi="Verdana"/>
          <w:bCs/>
          <w:color w:val="000000"/>
          <w:sz w:val="16"/>
          <w:szCs w:val="16"/>
          <w:shd w:val="clear" w:color="auto" w:fill="FFFFFF"/>
          <w:lang w:val="es-CR"/>
        </w:rPr>
        <w:t>35.</w:t>
      </w:r>
    </w:p>
  </w:footnote>
  <w:footnote w:id="5">
    <w:p w:rsidR="000E52D3" w:rsidRPr="000E52D3" w:rsidRDefault="000E52D3" w:rsidP="000E52D3">
      <w:pPr>
        <w:pStyle w:val="Textonotapie"/>
        <w:tabs>
          <w:tab w:val="left" w:pos="426"/>
        </w:tabs>
        <w:jc w:val="both"/>
        <w:rPr>
          <w:rFonts w:ascii="Verdana" w:hAnsi="Verdana"/>
          <w:sz w:val="16"/>
          <w:szCs w:val="16"/>
          <w:lang w:val="es-CR"/>
        </w:rPr>
      </w:pPr>
      <w:r w:rsidRPr="008C29B3">
        <w:rPr>
          <w:rStyle w:val="Refdenotaalpie"/>
          <w:rFonts w:ascii="Verdana" w:hAnsi="Verdana"/>
          <w:sz w:val="16"/>
          <w:szCs w:val="16"/>
        </w:rPr>
        <w:footnoteRef/>
      </w:r>
      <w:r w:rsidRPr="008C29B3">
        <w:rPr>
          <w:rFonts w:ascii="Verdana" w:hAnsi="Verdana"/>
          <w:sz w:val="16"/>
          <w:szCs w:val="16"/>
          <w:lang w:val="es-CR"/>
        </w:rPr>
        <w:t xml:space="preserve"> </w:t>
      </w:r>
      <w:r w:rsidRPr="008C29B3">
        <w:rPr>
          <w:rFonts w:ascii="Verdana" w:hAnsi="Verdana"/>
          <w:sz w:val="16"/>
          <w:szCs w:val="16"/>
          <w:lang w:val="es-CR"/>
        </w:rPr>
        <w:tab/>
        <w:t>Las partes llegaron a un acuerdo el 20 de febrero de 1998, en el cual “el Estado asumió los compromisos y efectuó las declaraciones siguientes: 1.- Entregar al señor Luis Darío Benavides Enríquez y señora Sofía Rosa María Cevallos, padres de Consuelo Benavides Cevallos, y únicos llamados a sucederle en ausencia de cónyuge e hijos, al tenor de lo previsto en los artículos 1045 y 1052 del Código Civil, una indemnización</w:t>
      </w:r>
      <w:r w:rsidR="00A24025">
        <w:rPr>
          <w:rFonts w:ascii="Verdana" w:hAnsi="Verdana"/>
          <w:sz w:val="16"/>
          <w:szCs w:val="16"/>
          <w:lang w:val="es-CR"/>
        </w:rPr>
        <w:t xml:space="preserve"> […]</w:t>
      </w:r>
      <w:r w:rsidRPr="008C29B3">
        <w:rPr>
          <w:rFonts w:ascii="Verdana" w:hAnsi="Verdana"/>
          <w:sz w:val="16"/>
          <w:szCs w:val="16"/>
          <w:lang w:val="es-CR"/>
        </w:rPr>
        <w:t xml:space="preserve">. Esta indemnización involucra el daño emergente, el lucro cesante y el daño moral irrogados; </w:t>
      </w:r>
      <w:r w:rsidR="00A24025">
        <w:rPr>
          <w:rFonts w:ascii="Verdana" w:hAnsi="Verdana"/>
          <w:sz w:val="16"/>
          <w:szCs w:val="16"/>
          <w:lang w:val="es-CR"/>
        </w:rPr>
        <w:t>[…]</w:t>
      </w:r>
      <w:r w:rsidR="0009286F">
        <w:rPr>
          <w:rFonts w:ascii="Verdana" w:hAnsi="Verdana"/>
          <w:sz w:val="16"/>
          <w:szCs w:val="16"/>
          <w:lang w:val="es-CR"/>
        </w:rPr>
        <w:t xml:space="preserve"> </w:t>
      </w:r>
      <w:r w:rsidRPr="000E52D3">
        <w:rPr>
          <w:rFonts w:ascii="Verdana" w:hAnsi="Verdana"/>
          <w:sz w:val="16"/>
          <w:szCs w:val="16"/>
          <w:lang w:val="es-CR"/>
        </w:rPr>
        <w:t xml:space="preserve">4.- El compromiso del Estado ecuatoriano de impulsar y concluir los procesos judiciales suspendidos a causa de la fuga de los sindicados en el crimen de la Profesora Benavides; y de patrocinar, conforme a la ley, las acciones judiciales contra las personas responsables de delitos conexos, que no hubieran sido sancionados. Agotará, en fin, directamente o por intermedio de las autoridades competentes, todos los esfuerzos y medidas que procedan, con sujeción al ordenamiento jurídico interno, para que el delito cometido contra la Profesora Benavides no quede impune. 5.- El Estado ecuatoriano, por intermedio de la Procuraduría General del Estado, oficiará al Ministerio de Educación y Cultura y a los Municipios del país para que, en ejercicio de sus atribuciones legales, </w:t>
      </w:r>
      <w:r w:rsidR="0009286F" w:rsidRPr="000E52D3">
        <w:rPr>
          <w:rFonts w:ascii="Verdana" w:hAnsi="Verdana"/>
          <w:sz w:val="16"/>
          <w:szCs w:val="16"/>
          <w:lang w:val="es-CR"/>
        </w:rPr>
        <w:t>perennicen</w:t>
      </w:r>
      <w:r w:rsidRPr="000E52D3">
        <w:rPr>
          <w:rFonts w:ascii="Verdana" w:hAnsi="Verdana"/>
          <w:sz w:val="16"/>
          <w:szCs w:val="16"/>
          <w:lang w:val="es-CR"/>
        </w:rPr>
        <w:t xml:space="preserve"> el nombre de la señorita Consuelo Benavides Cevallos en calles, plazas o escuelas, acogiendo el pedido de sus padres</w:t>
      </w:r>
      <w:r>
        <w:rPr>
          <w:rFonts w:ascii="Verdana" w:hAnsi="Verdana"/>
          <w:sz w:val="16"/>
          <w:szCs w:val="16"/>
          <w:lang w:val="es-CR"/>
        </w:rPr>
        <w:t>”</w:t>
      </w:r>
      <w:r w:rsidRPr="000E52D3">
        <w:rPr>
          <w:rFonts w:ascii="Verdana" w:hAnsi="Verdana"/>
          <w:sz w:val="16"/>
          <w:szCs w:val="16"/>
          <w:lang w:val="es-CR"/>
        </w:rPr>
        <w:t>.</w:t>
      </w:r>
      <w:r>
        <w:rPr>
          <w:rFonts w:ascii="Verdana" w:hAnsi="Verdana"/>
          <w:sz w:val="16"/>
          <w:szCs w:val="16"/>
          <w:lang w:val="es-CR"/>
        </w:rPr>
        <w:t xml:space="preserve"> </w:t>
      </w:r>
      <w:r w:rsidRPr="000E52D3">
        <w:rPr>
          <w:rFonts w:ascii="Verdana" w:hAnsi="Verdana"/>
          <w:i/>
          <w:color w:val="000000"/>
          <w:sz w:val="16"/>
          <w:szCs w:val="16"/>
          <w:lang w:val="es-CR"/>
        </w:rPr>
        <w:t>Cfr.</w:t>
      </w:r>
      <w:r w:rsidRPr="000E52D3">
        <w:rPr>
          <w:rFonts w:ascii="Verdana" w:hAnsi="Verdana"/>
          <w:bCs/>
          <w:color w:val="000000"/>
          <w:sz w:val="16"/>
          <w:szCs w:val="16"/>
          <w:shd w:val="clear" w:color="auto" w:fill="FFFFFF"/>
          <w:lang w:val="es-CR"/>
        </w:rPr>
        <w:t xml:space="preserve"> </w:t>
      </w:r>
      <w:r w:rsidRPr="000E52D3">
        <w:rPr>
          <w:rFonts w:ascii="Verdana" w:hAnsi="Verdana"/>
          <w:bCs/>
          <w:i/>
          <w:color w:val="000000"/>
          <w:sz w:val="16"/>
          <w:szCs w:val="16"/>
          <w:shd w:val="clear" w:color="auto" w:fill="FFFFFF"/>
          <w:lang w:val="es-CR"/>
        </w:rPr>
        <w:t xml:space="preserve">Caso Benavides Cevallos, supra </w:t>
      </w:r>
      <w:r w:rsidRPr="000E52D3">
        <w:rPr>
          <w:rFonts w:ascii="Verdana" w:hAnsi="Verdana"/>
          <w:bCs/>
          <w:color w:val="000000"/>
          <w:sz w:val="16"/>
          <w:szCs w:val="16"/>
          <w:shd w:val="clear" w:color="auto" w:fill="FFFFFF"/>
          <w:lang w:val="es-CR"/>
        </w:rPr>
        <w:t>nota 1, párr.</w:t>
      </w:r>
      <w:r>
        <w:rPr>
          <w:rFonts w:ascii="Verdana" w:hAnsi="Verdana"/>
          <w:bCs/>
          <w:color w:val="000000"/>
          <w:sz w:val="16"/>
          <w:szCs w:val="16"/>
          <w:shd w:val="clear" w:color="auto" w:fill="FFFFFF"/>
          <w:lang w:val="es-CR"/>
        </w:rPr>
        <w:t xml:space="preserve"> 48.</w:t>
      </w:r>
    </w:p>
  </w:footnote>
  <w:footnote w:id="6">
    <w:p w:rsidR="00A639B0" w:rsidRPr="00A639B0" w:rsidRDefault="00A639B0" w:rsidP="00A639B0">
      <w:pPr>
        <w:pStyle w:val="Textonotapie"/>
        <w:tabs>
          <w:tab w:val="left" w:pos="426"/>
        </w:tabs>
        <w:rPr>
          <w:rFonts w:ascii="Verdana" w:hAnsi="Verdana"/>
          <w:sz w:val="16"/>
          <w:szCs w:val="16"/>
          <w:lang w:val="es-CR"/>
        </w:rPr>
      </w:pPr>
      <w:r w:rsidRPr="00A639B0">
        <w:rPr>
          <w:rStyle w:val="Refdenotaalpie"/>
          <w:rFonts w:ascii="Verdana" w:hAnsi="Verdana"/>
          <w:sz w:val="16"/>
          <w:szCs w:val="16"/>
        </w:rPr>
        <w:footnoteRef/>
      </w:r>
      <w:r w:rsidRPr="00A639B0">
        <w:rPr>
          <w:rFonts w:ascii="Verdana" w:hAnsi="Verdana"/>
          <w:sz w:val="16"/>
          <w:szCs w:val="16"/>
          <w:lang w:val="es-CR"/>
        </w:rPr>
        <w:t xml:space="preserve"> </w:t>
      </w:r>
      <w:r w:rsidRPr="00A639B0">
        <w:rPr>
          <w:rFonts w:ascii="Verdana" w:hAnsi="Verdana"/>
          <w:sz w:val="16"/>
          <w:szCs w:val="16"/>
          <w:lang w:val="es-CR"/>
        </w:rPr>
        <w:tab/>
        <w:t xml:space="preserve">El señor Alejandro Ponce Villacís. </w:t>
      </w:r>
    </w:p>
  </w:footnote>
  <w:footnote w:id="7">
    <w:p w:rsidR="00590CBA" w:rsidRPr="000516AB" w:rsidRDefault="00590CBA" w:rsidP="00590CBA">
      <w:pPr>
        <w:pStyle w:val="Textonotapie"/>
        <w:tabs>
          <w:tab w:val="left" w:pos="426"/>
        </w:tabs>
        <w:jc w:val="both"/>
        <w:rPr>
          <w:rFonts w:ascii="Verdana" w:hAnsi="Verdana"/>
          <w:sz w:val="16"/>
          <w:szCs w:val="16"/>
          <w:lang w:val="es-CR"/>
        </w:rPr>
      </w:pPr>
      <w:r w:rsidRPr="00A639B0">
        <w:rPr>
          <w:rStyle w:val="Refdenotaalpie"/>
          <w:rFonts w:ascii="Verdana" w:hAnsi="Verdana"/>
          <w:sz w:val="16"/>
          <w:szCs w:val="16"/>
        </w:rPr>
        <w:footnoteRef/>
      </w:r>
      <w:r w:rsidRPr="00A639B0">
        <w:rPr>
          <w:rFonts w:ascii="Verdana" w:hAnsi="Verdana"/>
          <w:sz w:val="16"/>
          <w:szCs w:val="16"/>
          <w:lang w:val="es-CR"/>
        </w:rPr>
        <w:t xml:space="preserve"> </w:t>
      </w:r>
      <w:r w:rsidRPr="00A639B0">
        <w:rPr>
          <w:rFonts w:ascii="Verdana" w:hAnsi="Verdana"/>
          <w:sz w:val="16"/>
          <w:szCs w:val="16"/>
          <w:lang w:val="es-CR"/>
        </w:rPr>
        <w:tab/>
        <w:t xml:space="preserve">Facultad que además </w:t>
      </w:r>
      <w:r w:rsidRPr="00A639B0">
        <w:rPr>
          <w:rFonts w:ascii="Verdana" w:hAnsi="Verdana"/>
          <w:sz w:val="16"/>
          <w:szCs w:val="16"/>
          <w:lang w:val="es-ES"/>
        </w:rPr>
        <w:t>se desprende de lo</w:t>
      </w:r>
      <w:r w:rsidRPr="000516AB">
        <w:rPr>
          <w:rFonts w:ascii="Verdana" w:hAnsi="Verdana"/>
          <w:sz w:val="16"/>
          <w:szCs w:val="16"/>
          <w:lang w:val="es-ES"/>
        </w:rPr>
        <w:t xml:space="preserve"> dispuesto en los artículos 33, 62.1, 62.3 y 65 de la Convención Americana y </w:t>
      </w:r>
      <w:r w:rsidRPr="000516AB">
        <w:rPr>
          <w:rFonts w:ascii="Verdana" w:hAnsi="Verdana"/>
          <w:sz w:val="16"/>
          <w:szCs w:val="16"/>
          <w:lang w:val="es-CR"/>
        </w:rPr>
        <w:t>30 de su Estatuto y se encuentra regulada en el artículo 69 de su Reglamento.</w:t>
      </w:r>
    </w:p>
  </w:footnote>
  <w:footnote w:id="8">
    <w:p w:rsidR="003A4A90" w:rsidRPr="000516AB" w:rsidRDefault="003A4A90" w:rsidP="003A4A90">
      <w:pPr>
        <w:pStyle w:val="Textonotapie"/>
        <w:tabs>
          <w:tab w:val="left" w:pos="426"/>
        </w:tabs>
        <w:ind w:right="4"/>
        <w:jc w:val="both"/>
        <w:rPr>
          <w:rFonts w:ascii="Verdana" w:hAnsi="Verdana"/>
          <w:color w:val="000000"/>
          <w:sz w:val="16"/>
          <w:szCs w:val="16"/>
          <w:lang w:val="es-CR"/>
        </w:rPr>
      </w:pPr>
      <w:r w:rsidRPr="000516AB">
        <w:rPr>
          <w:rStyle w:val="Refdenotaalpie"/>
          <w:rFonts w:ascii="Verdana" w:hAnsi="Verdana"/>
          <w:sz w:val="16"/>
          <w:szCs w:val="16"/>
        </w:rPr>
        <w:footnoteRef/>
      </w:r>
      <w:r w:rsidRPr="000516AB">
        <w:rPr>
          <w:rFonts w:ascii="Verdana" w:hAnsi="Verdana"/>
          <w:i/>
          <w:color w:val="000000"/>
          <w:sz w:val="16"/>
          <w:szCs w:val="16"/>
          <w:lang w:val="es-AR"/>
        </w:rPr>
        <w:t xml:space="preserve"> </w:t>
      </w:r>
      <w:r w:rsidRPr="000516AB">
        <w:rPr>
          <w:rFonts w:ascii="Verdana" w:hAnsi="Verdana"/>
          <w:i/>
          <w:color w:val="000000"/>
          <w:sz w:val="16"/>
          <w:szCs w:val="16"/>
          <w:lang w:val="es-AR"/>
        </w:rPr>
        <w:tab/>
        <w:t>Cfr. Caso Cinco Pensionistas Vs. Perú</w:t>
      </w:r>
      <w:r>
        <w:rPr>
          <w:rFonts w:ascii="Verdana" w:hAnsi="Verdana"/>
          <w:i/>
          <w:color w:val="000000"/>
          <w:sz w:val="16"/>
          <w:szCs w:val="16"/>
          <w:lang w:val="es-AR"/>
        </w:rPr>
        <w:t>. Supervisión de Cumplimiento de Sentencia.</w:t>
      </w:r>
      <w:r w:rsidRPr="000516AB">
        <w:rPr>
          <w:rFonts w:ascii="Verdana" w:hAnsi="Verdana"/>
          <w:i/>
          <w:color w:val="000000"/>
          <w:sz w:val="16"/>
          <w:szCs w:val="16"/>
          <w:lang w:val="es-AR"/>
        </w:rPr>
        <w:t xml:space="preserve"> </w:t>
      </w:r>
      <w:r w:rsidRPr="000516AB">
        <w:rPr>
          <w:rFonts w:ascii="Verdana" w:hAnsi="Verdana"/>
          <w:color w:val="000000"/>
          <w:sz w:val="16"/>
          <w:szCs w:val="16"/>
          <w:lang w:val="es-AR"/>
        </w:rPr>
        <w:t xml:space="preserve">Resolución de la Corte </w:t>
      </w:r>
      <w:r>
        <w:rPr>
          <w:rFonts w:ascii="Verdana" w:hAnsi="Verdana"/>
          <w:color w:val="000000"/>
          <w:sz w:val="16"/>
          <w:szCs w:val="16"/>
          <w:lang w:val="es-AR"/>
        </w:rPr>
        <w:t xml:space="preserve">Interamericana de Derechos Humanos </w:t>
      </w:r>
      <w:r w:rsidRPr="000516AB">
        <w:rPr>
          <w:rFonts w:ascii="Verdana" w:hAnsi="Verdana"/>
          <w:color w:val="000000"/>
          <w:sz w:val="16"/>
          <w:szCs w:val="16"/>
          <w:lang w:val="es-AR"/>
        </w:rPr>
        <w:t>de 17 de noviembre de 2004, Considerando quinto, y</w:t>
      </w:r>
      <w:r w:rsidR="00313CA8">
        <w:rPr>
          <w:rFonts w:ascii="Verdana" w:hAnsi="Verdana"/>
          <w:b/>
          <w:bCs/>
          <w:i/>
          <w:color w:val="000000"/>
          <w:sz w:val="16"/>
          <w:szCs w:val="16"/>
          <w:lang w:val="es-CR"/>
        </w:rPr>
        <w:t xml:space="preserve"> </w:t>
      </w:r>
      <w:r w:rsidR="0009286F" w:rsidRPr="00A67693">
        <w:rPr>
          <w:rStyle w:val="Textoennegrita"/>
          <w:rFonts w:ascii="Verdana" w:hAnsi="Verdana"/>
          <w:b w:val="0"/>
          <w:i/>
          <w:color w:val="000000"/>
          <w:sz w:val="16"/>
          <w:szCs w:val="16"/>
          <w:shd w:val="clear" w:color="auto" w:fill="FFFFFF"/>
          <w:lang w:val="es-CR"/>
        </w:rPr>
        <w:t xml:space="preserve">Caso del Pueblo Saramaka Vs. Surinam. Supervisión de Cumplimiento de Sentencia. </w:t>
      </w:r>
      <w:r w:rsidR="0009286F" w:rsidRPr="00A67693">
        <w:rPr>
          <w:rStyle w:val="Textoennegrita"/>
          <w:rFonts w:ascii="Verdana" w:hAnsi="Verdana"/>
          <w:b w:val="0"/>
          <w:color w:val="000000"/>
          <w:sz w:val="16"/>
          <w:szCs w:val="16"/>
          <w:shd w:val="clear" w:color="auto" w:fill="FFFFFF"/>
          <w:lang w:val="es-CR"/>
        </w:rPr>
        <w:t>Resolución de la Corte Interamericana de Derechos Humanos de 26 de septiembre de 2018</w:t>
      </w:r>
      <w:r w:rsidRPr="00DB6FCB">
        <w:rPr>
          <w:rFonts w:ascii="Verdana" w:hAnsi="Verdana"/>
          <w:bCs/>
          <w:color w:val="000000"/>
          <w:sz w:val="16"/>
          <w:szCs w:val="16"/>
          <w:lang w:val="es-CR"/>
        </w:rPr>
        <w:t>,</w:t>
      </w:r>
      <w:r w:rsidRPr="000516AB">
        <w:rPr>
          <w:rFonts w:ascii="Verdana" w:hAnsi="Verdana"/>
          <w:bCs/>
          <w:color w:val="000000"/>
          <w:sz w:val="16"/>
          <w:szCs w:val="16"/>
          <w:lang w:val="es-CR"/>
        </w:rPr>
        <w:t xml:space="preserve"> Considerando segundo</w:t>
      </w:r>
      <w:r w:rsidRPr="006B2423">
        <w:rPr>
          <w:rStyle w:val="Textoennegrita"/>
          <w:rFonts w:ascii="Verdana" w:hAnsi="Verdana"/>
          <w:b w:val="0"/>
          <w:color w:val="000000"/>
          <w:sz w:val="16"/>
          <w:szCs w:val="16"/>
          <w:shd w:val="clear" w:color="auto" w:fill="FFFFFF"/>
          <w:lang w:val="es-CR"/>
        </w:rPr>
        <w:t>.</w:t>
      </w:r>
    </w:p>
  </w:footnote>
  <w:footnote w:id="9">
    <w:p w:rsidR="003A4A90" w:rsidRPr="000516AB" w:rsidRDefault="003A4A90" w:rsidP="003A4A90">
      <w:pPr>
        <w:pStyle w:val="Textonotapie"/>
        <w:tabs>
          <w:tab w:val="left" w:pos="426"/>
        </w:tabs>
        <w:ind w:right="4"/>
        <w:jc w:val="both"/>
        <w:rPr>
          <w:rFonts w:ascii="Verdana" w:hAnsi="Verdana"/>
          <w:b/>
          <w:color w:val="000000"/>
          <w:sz w:val="16"/>
          <w:szCs w:val="16"/>
          <w:lang w:val="es-CR"/>
        </w:rPr>
      </w:pPr>
      <w:r w:rsidRPr="000516AB">
        <w:rPr>
          <w:rStyle w:val="Refdenotaalpie"/>
          <w:rFonts w:ascii="Verdana" w:hAnsi="Verdana"/>
          <w:sz w:val="16"/>
          <w:szCs w:val="16"/>
        </w:rPr>
        <w:footnoteRef/>
      </w:r>
      <w:r w:rsidRPr="000516AB">
        <w:rPr>
          <w:rFonts w:ascii="Verdana" w:hAnsi="Verdana"/>
          <w:sz w:val="16"/>
          <w:szCs w:val="16"/>
          <w:lang w:val="es-CR"/>
        </w:rPr>
        <w:t xml:space="preserve"> </w:t>
      </w:r>
      <w:r w:rsidRPr="000516AB">
        <w:rPr>
          <w:rFonts w:ascii="Verdana" w:hAnsi="Verdana"/>
          <w:sz w:val="16"/>
          <w:szCs w:val="16"/>
          <w:lang w:val="es-CR"/>
        </w:rPr>
        <w:tab/>
      </w:r>
      <w:r w:rsidRPr="000516AB">
        <w:rPr>
          <w:rFonts w:ascii="Verdana" w:hAnsi="Verdana"/>
          <w:i/>
          <w:sz w:val="16"/>
          <w:szCs w:val="16"/>
          <w:lang w:val="es-CR"/>
        </w:rPr>
        <w:t>Cfr. Caso Ivcher Bronstein Vs. Perú. Competencia</w:t>
      </w:r>
      <w:r w:rsidRPr="000516AB">
        <w:rPr>
          <w:rFonts w:ascii="Verdana" w:hAnsi="Verdana"/>
          <w:sz w:val="16"/>
          <w:szCs w:val="16"/>
          <w:lang w:val="es-CR"/>
        </w:rPr>
        <w:t xml:space="preserve">. Sentencia de la Corte Interamericana de Derechos Humanos de 24 de septiembre de 1999. Serie C No. 54, párr. 37, y </w:t>
      </w:r>
      <w:r w:rsidR="0009286F" w:rsidRPr="009073D6">
        <w:rPr>
          <w:rStyle w:val="Textoennegrita"/>
          <w:rFonts w:ascii="Verdana" w:hAnsi="Verdana"/>
          <w:b w:val="0"/>
          <w:i/>
          <w:color w:val="000000"/>
          <w:sz w:val="16"/>
          <w:szCs w:val="16"/>
          <w:shd w:val="clear" w:color="auto" w:fill="FFFFFF"/>
          <w:lang w:val="es-CR"/>
        </w:rPr>
        <w:t xml:space="preserve">Caso </w:t>
      </w:r>
      <w:r w:rsidR="0009286F">
        <w:rPr>
          <w:rStyle w:val="Textoennegrita"/>
          <w:rFonts w:ascii="Verdana" w:hAnsi="Verdana"/>
          <w:b w:val="0"/>
          <w:i/>
          <w:color w:val="000000"/>
          <w:sz w:val="16"/>
          <w:szCs w:val="16"/>
          <w:shd w:val="clear" w:color="auto" w:fill="FFFFFF"/>
          <w:lang w:val="es-CR"/>
        </w:rPr>
        <w:t>del Pueblo Saramaka Vs. Surinam</w:t>
      </w:r>
      <w:r w:rsidRPr="000516AB">
        <w:rPr>
          <w:rFonts w:ascii="Verdana" w:hAnsi="Verdana"/>
          <w:bCs/>
          <w:color w:val="000000"/>
          <w:sz w:val="16"/>
          <w:szCs w:val="16"/>
          <w:lang w:val="es-CR"/>
        </w:rPr>
        <w:t>,</w:t>
      </w:r>
      <w:r>
        <w:rPr>
          <w:rFonts w:ascii="Verdana" w:hAnsi="Verdana"/>
          <w:bCs/>
          <w:color w:val="000000"/>
          <w:sz w:val="16"/>
          <w:szCs w:val="16"/>
          <w:lang w:val="es-CR"/>
        </w:rPr>
        <w:t xml:space="preserve"> </w:t>
      </w:r>
      <w:r w:rsidRPr="00BF33E2">
        <w:rPr>
          <w:rFonts w:ascii="Verdana" w:hAnsi="Verdana"/>
          <w:bCs/>
          <w:i/>
          <w:color w:val="000000"/>
          <w:sz w:val="16"/>
          <w:szCs w:val="16"/>
          <w:lang w:val="es-CR"/>
        </w:rPr>
        <w:t xml:space="preserve">supra </w:t>
      </w:r>
      <w:r>
        <w:rPr>
          <w:rFonts w:ascii="Verdana" w:hAnsi="Verdana"/>
          <w:bCs/>
          <w:color w:val="000000"/>
          <w:sz w:val="16"/>
          <w:szCs w:val="16"/>
          <w:lang w:val="es-CR"/>
        </w:rPr>
        <w:t xml:space="preserve">nota </w:t>
      </w:r>
      <w:r w:rsidR="005B64B9">
        <w:rPr>
          <w:rFonts w:ascii="Verdana" w:hAnsi="Verdana"/>
          <w:bCs/>
          <w:color w:val="000000"/>
          <w:sz w:val="16"/>
          <w:szCs w:val="16"/>
          <w:lang w:val="es-CR"/>
        </w:rPr>
        <w:t>7</w:t>
      </w:r>
      <w:r>
        <w:rPr>
          <w:rFonts w:ascii="Verdana" w:hAnsi="Verdana"/>
          <w:bCs/>
          <w:color w:val="000000"/>
          <w:sz w:val="16"/>
          <w:szCs w:val="16"/>
          <w:lang w:val="es-CR"/>
        </w:rPr>
        <w:t>,</w:t>
      </w:r>
      <w:r w:rsidRPr="000516AB">
        <w:rPr>
          <w:rFonts w:ascii="Verdana" w:hAnsi="Verdana"/>
          <w:bCs/>
          <w:color w:val="000000"/>
          <w:sz w:val="16"/>
          <w:szCs w:val="16"/>
          <w:lang w:val="es-CR"/>
        </w:rPr>
        <w:t xml:space="preserve"> Considerando segundo.</w:t>
      </w:r>
    </w:p>
  </w:footnote>
  <w:footnote w:id="10">
    <w:p w:rsidR="004F39F9" w:rsidRPr="004F39F9" w:rsidRDefault="004F39F9" w:rsidP="004F39F9">
      <w:pPr>
        <w:pStyle w:val="Textonotapie"/>
        <w:tabs>
          <w:tab w:val="left" w:pos="426"/>
        </w:tabs>
        <w:jc w:val="both"/>
        <w:rPr>
          <w:lang w:val="es-CR"/>
        </w:rPr>
      </w:pPr>
      <w:r w:rsidRPr="004F39F9">
        <w:rPr>
          <w:rStyle w:val="Refdenotaalpie"/>
          <w:rFonts w:ascii="Verdana" w:hAnsi="Verdana"/>
          <w:sz w:val="16"/>
          <w:szCs w:val="16"/>
        </w:rPr>
        <w:footnoteRef/>
      </w:r>
      <w:r w:rsidRPr="004F39F9">
        <w:rPr>
          <w:rFonts w:ascii="Verdana" w:hAnsi="Verdana"/>
          <w:sz w:val="16"/>
          <w:szCs w:val="16"/>
          <w:lang w:val="es-CR"/>
        </w:rPr>
        <w:t xml:space="preserve"> </w:t>
      </w:r>
      <w:r w:rsidRPr="004F39F9">
        <w:rPr>
          <w:rFonts w:ascii="Verdana" w:hAnsi="Verdana"/>
          <w:sz w:val="16"/>
          <w:szCs w:val="16"/>
          <w:lang w:val="es-CR"/>
        </w:rPr>
        <w:tab/>
      </w:r>
      <w:r w:rsidR="00313CA8" w:rsidRPr="00FB2D8E">
        <w:rPr>
          <w:rFonts w:ascii="Verdana" w:hAnsi="Verdana"/>
          <w:sz w:val="16"/>
          <w:szCs w:val="16"/>
          <w:lang w:val="es-ES"/>
        </w:rPr>
        <w:t xml:space="preserve">El artículo 65 de la Convención Americana consagra que en el informe anual que sobre su labor somete la Corte a la consideración de la Asamblea General de la Organización, “[d]e manera especial y con las recomendaciones pertinentes, señalará los casos en que un Estado no haya dado cumplimiento a sus fallos”. Igualmente, el artículo 30 del Estatuto de la Corte Interamericana prescribe que en el referido informe de su labor “[s]eñalará los casos en que un Estado no haya dado cumplimiento a sus fallos”. Como puede apreciarse de dichas normas, los Estados Parte de la Convención Americana han dispuesto un sistema de garantía colectiva, de manera que es de interés de todos y cada uno de esos Estados mantener el sistema de protección de los derechos humanos que ellos mismos han creado y evitar que la justicia interamericana se torne ilusoria al quedar al arbitrio de las decisiones internas de un Estado. </w:t>
      </w:r>
    </w:p>
  </w:footnote>
  <w:footnote w:id="11">
    <w:p w:rsidR="008A25F1" w:rsidRPr="002C2BEA" w:rsidRDefault="008A25F1" w:rsidP="00CA65A8">
      <w:pPr>
        <w:pStyle w:val="Textonotapie"/>
        <w:tabs>
          <w:tab w:val="left" w:pos="426"/>
        </w:tabs>
        <w:jc w:val="both"/>
        <w:rPr>
          <w:rFonts w:ascii="Verdana" w:hAnsi="Verdana"/>
          <w:sz w:val="16"/>
          <w:szCs w:val="16"/>
          <w:lang w:val="es-CR"/>
        </w:rPr>
      </w:pPr>
      <w:r w:rsidRPr="002C2BEA">
        <w:rPr>
          <w:rStyle w:val="Refdenotaalpie"/>
          <w:rFonts w:ascii="Verdana" w:hAnsi="Verdana"/>
          <w:sz w:val="16"/>
          <w:szCs w:val="16"/>
        </w:rPr>
        <w:footnoteRef/>
      </w:r>
      <w:r w:rsidRPr="002C2BEA">
        <w:rPr>
          <w:rFonts w:ascii="Verdana" w:hAnsi="Verdana"/>
          <w:sz w:val="16"/>
          <w:szCs w:val="16"/>
          <w:lang w:val="es-CR"/>
        </w:rPr>
        <w:t xml:space="preserve"> </w:t>
      </w:r>
      <w:r w:rsidRPr="002C2BEA">
        <w:rPr>
          <w:rFonts w:ascii="Verdana" w:hAnsi="Verdana"/>
          <w:sz w:val="16"/>
          <w:szCs w:val="16"/>
          <w:lang w:val="es-CR"/>
        </w:rPr>
        <w:tab/>
      </w:r>
      <w:r w:rsidR="00DB6FCB">
        <w:rPr>
          <w:rFonts w:ascii="Verdana" w:hAnsi="Verdana"/>
          <w:sz w:val="16"/>
          <w:szCs w:val="16"/>
          <w:lang w:val="es-CR"/>
        </w:rPr>
        <w:t>El Estado indicó que l</w:t>
      </w:r>
      <w:r w:rsidR="00C046B1" w:rsidRPr="002C2BEA">
        <w:rPr>
          <w:rFonts w:ascii="Verdana" w:hAnsi="Verdana"/>
          <w:sz w:val="16"/>
          <w:szCs w:val="16"/>
          <w:lang w:val="es-CR"/>
        </w:rPr>
        <w:t xml:space="preserve">a Unidad Especializada de la Comisión de la Verdad de la Fiscalía General del </w:t>
      </w:r>
      <w:proofErr w:type="gramStart"/>
      <w:r w:rsidR="00C046B1" w:rsidRPr="002C2BEA">
        <w:rPr>
          <w:rFonts w:ascii="Verdana" w:hAnsi="Verdana"/>
          <w:sz w:val="16"/>
          <w:szCs w:val="16"/>
          <w:lang w:val="es-CR"/>
        </w:rPr>
        <w:t>Estado  fue</w:t>
      </w:r>
      <w:proofErr w:type="gramEnd"/>
      <w:r w:rsidR="00C046B1" w:rsidRPr="002C2BEA">
        <w:rPr>
          <w:rFonts w:ascii="Verdana" w:hAnsi="Verdana"/>
          <w:sz w:val="16"/>
          <w:szCs w:val="16"/>
          <w:lang w:val="es-CR"/>
        </w:rPr>
        <w:t xml:space="preserve"> creada en julio de 2010, y es la “encargada de investigar penalmente los casos denunciados en el “informe final: ‘Sin verdad no hay justicia’ de la Comisión de la Verdad</w:t>
      </w:r>
      <w:r w:rsidR="00CA65A8" w:rsidRPr="002C2BEA">
        <w:rPr>
          <w:rFonts w:ascii="Verdana" w:hAnsi="Verdana"/>
          <w:sz w:val="16"/>
          <w:szCs w:val="16"/>
          <w:lang w:val="es-CR"/>
        </w:rPr>
        <w:t>,</w:t>
      </w:r>
      <w:r w:rsidR="00C046B1" w:rsidRPr="002C2BEA">
        <w:rPr>
          <w:rFonts w:ascii="Verdana" w:hAnsi="Verdana"/>
          <w:sz w:val="16"/>
          <w:szCs w:val="16"/>
          <w:lang w:val="es-CR"/>
        </w:rPr>
        <w:t xml:space="preserve"> creada por el Ejecutivo</w:t>
      </w:r>
      <w:r w:rsidR="00CA65A8" w:rsidRPr="002C2BEA">
        <w:rPr>
          <w:rFonts w:ascii="Verdana" w:hAnsi="Verdana"/>
          <w:sz w:val="16"/>
          <w:szCs w:val="16"/>
          <w:lang w:val="es-CR"/>
        </w:rPr>
        <w:t xml:space="preserve">, el cual </w:t>
      </w:r>
      <w:r w:rsidR="00C046B1" w:rsidRPr="002C2BEA">
        <w:rPr>
          <w:rFonts w:ascii="Verdana" w:hAnsi="Verdana"/>
          <w:sz w:val="16"/>
          <w:szCs w:val="16"/>
          <w:lang w:val="es-CR"/>
        </w:rPr>
        <w:t xml:space="preserve"> </w:t>
      </w:r>
      <w:r w:rsidR="00CA65A8" w:rsidRPr="002C2BEA">
        <w:rPr>
          <w:rFonts w:ascii="Verdana" w:hAnsi="Verdana"/>
          <w:sz w:val="16"/>
          <w:szCs w:val="16"/>
          <w:lang w:val="es-CR"/>
        </w:rPr>
        <w:t>“</w:t>
      </w:r>
      <w:r w:rsidR="00C046B1" w:rsidRPr="002C2BEA">
        <w:rPr>
          <w:rFonts w:ascii="Verdana" w:hAnsi="Verdana"/>
          <w:sz w:val="16"/>
          <w:szCs w:val="16"/>
          <w:lang w:val="es-CR"/>
        </w:rPr>
        <w:t xml:space="preserve">contenía casos </w:t>
      </w:r>
      <w:r w:rsidR="00313CA8">
        <w:rPr>
          <w:rFonts w:ascii="Verdana" w:hAnsi="Verdana"/>
          <w:sz w:val="16"/>
          <w:szCs w:val="16"/>
          <w:lang w:val="es-CR"/>
        </w:rPr>
        <w:t xml:space="preserve">de </w:t>
      </w:r>
      <w:r w:rsidR="00C046B1" w:rsidRPr="002C2BEA">
        <w:rPr>
          <w:rFonts w:ascii="Verdana" w:hAnsi="Verdana"/>
          <w:sz w:val="16"/>
          <w:szCs w:val="16"/>
          <w:lang w:val="es-CR"/>
        </w:rPr>
        <w:t>graves violaciones a los derecho</w:t>
      </w:r>
      <w:r w:rsidR="00CA65A8" w:rsidRPr="002C2BEA">
        <w:rPr>
          <w:rFonts w:ascii="Verdana" w:hAnsi="Verdana"/>
          <w:sz w:val="16"/>
          <w:szCs w:val="16"/>
          <w:lang w:val="es-CR"/>
        </w:rPr>
        <w:t xml:space="preserve">s humanos ocurridas en el Ecuador entre 1984 y 2008”. </w:t>
      </w:r>
      <w:r w:rsidR="00DB6FCB">
        <w:rPr>
          <w:rFonts w:ascii="Verdana" w:hAnsi="Verdana"/>
          <w:sz w:val="16"/>
          <w:szCs w:val="16"/>
          <w:lang w:val="es-CR"/>
        </w:rPr>
        <w:t xml:space="preserve">Asimismo, explicó </w:t>
      </w:r>
      <w:proofErr w:type="gramStart"/>
      <w:r w:rsidR="00DB6FCB">
        <w:rPr>
          <w:rFonts w:ascii="Verdana" w:hAnsi="Verdana"/>
          <w:sz w:val="16"/>
          <w:szCs w:val="16"/>
          <w:lang w:val="es-CR"/>
        </w:rPr>
        <w:t>que</w:t>
      </w:r>
      <w:proofErr w:type="gramEnd"/>
      <w:r w:rsidR="00DB6FCB">
        <w:rPr>
          <w:rFonts w:ascii="Verdana" w:hAnsi="Verdana"/>
          <w:sz w:val="16"/>
          <w:szCs w:val="16"/>
          <w:lang w:val="es-CR"/>
        </w:rPr>
        <w:t xml:space="preserve"> e</w:t>
      </w:r>
      <w:r w:rsidR="00CA65A8" w:rsidRPr="002C2BEA">
        <w:rPr>
          <w:rFonts w:ascii="Verdana" w:hAnsi="Verdana"/>
          <w:sz w:val="16"/>
          <w:szCs w:val="16"/>
          <w:lang w:val="es-CR"/>
        </w:rPr>
        <w:t>n el año 2012, debido a “un cambio legal y administrativo al interior de la Unidad Especializada”, ésta se extinguió y fue sustituida por la Dirección de la Comisión de la Verdad.</w:t>
      </w:r>
    </w:p>
  </w:footnote>
  <w:footnote w:id="12">
    <w:p w:rsidR="00241E17" w:rsidRPr="00B868FF" w:rsidRDefault="00241E17" w:rsidP="00F3189A">
      <w:pPr>
        <w:pStyle w:val="Textonotapie"/>
        <w:tabs>
          <w:tab w:val="left" w:pos="426"/>
        </w:tabs>
        <w:jc w:val="both"/>
        <w:rPr>
          <w:lang w:val="es-CR"/>
        </w:rPr>
      </w:pPr>
      <w:r w:rsidRPr="002C2BEA">
        <w:rPr>
          <w:rStyle w:val="Refdenotaalpie"/>
          <w:rFonts w:ascii="Verdana" w:hAnsi="Verdana"/>
          <w:sz w:val="16"/>
          <w:szCs w:val="16"/>
        </w:rPr>
        <w:footnoteRef/>
      </w:r>
      <w:r w:rsidRPr="002C2BEA">
        <w:rPr>
          <w:rFonts w:ascii="Verdana" w:hAnsi="Verdana"/>
          <w:sz w:val="16"/>
          <w:szCs w:val="16"/>
          <w:lang w:val="es-CR"/>
        </w:rPr>
        <w:t xml:space="preserve"> </w:t>
      </w:r>
      <w:r w:rsidR="00B868FF" w:rsidRPr="002C2BEA">
        <w:rPr>
          <w:rFonts w:ascii="Verdana" w:hAnsi="Verdana"/>
          <w:sz w:val="16"/>
          <w:szCs w:val="16"/>
          <w:lang w:val="es-CR"/>
        </w:rPr>
        <w:tab/>
      </w:r>
      <w:r w:rsidR="00B868FF" w:rsidRPr="002C2BEA">
        <w:rPr>
          <w:rFonts w:ascii="Verdana" w:hAnsi="Verdana"/>
          <w:i/>
          <w:sz w:val="16"/>
          <w:szCs w:val="16"/>
          <w:lang w:val="es-CR"/>
        </w:rPr>
        <w:t>Cfr.</w:t>
      </w:r>
      <w:r w:rsidR="00B868FF" w:rsidRPr="002C2BEA">
        <w:rPr>
          <w:rFonts w:ascii="Verdana" w:hAnsi="Verdana"/>
          <w:sz w:val="16"/>
          <w:szCs w:val="16"/>
          <w:lang w:val="es-CR"/>
        </w:rPr>
        <w:t xml:space="preserve"> Informe No. FGE-DCVDH-2018-76 de 21 de junio de 2018 de la Dirección de la Comisión de la Verdad y Derechos Humanos de la Fiscalía General del Estado</w:t>
      </w:r>
      <w:r w:rsidR="002C2BEA" w:rsidRPr="002C2BEA">
        <w:rPr>
          <w:rFonts w:ascii="Verdana" w:hAnsi="Verdana"/>
          <w:sz w:val="16"/>
          <w:szCs w:val="16"/>
          <w:lang w:val="es-CR"/>
        </w:rPr>
        <w:t xml:space="preserve"> (anexo al informe estatal de junio de 2018).</w:t>
      </w:r>
    </w:p>
  </w:footnote>
  <w:footnote w:id="13">
    <w:p w:rsidR="00F05C8A" w:rsidRPr="00F05C8A" w:rsidRDefault="00F05C8A" w:rsidP="00A67693">
      <w:pPr>
        <w:pStyle w:val="Textonotapie"/>
        <w:tabs>
          <w:tab w:val="left" w:pos="426"/>
        </w:tabs>
        <w:jc w:val="both"/>
        <w:rPr>
          <w:rFonts w:ascii="Verdana" w:hAnsi="Verdana"/>
          <w:sz w:val="16"/>
          <w:szCs w:val="16"/>
          <w:lang w:val="es-CR"/>
        </w:rPr>
      </w:pPr>
      <w:r w:rsidRPr="00F05C8A">
        <w:rPr>
          <w:rStyle w:val="Refdenotaalpie"/>
          <w:rFonts w:ascii="Verdana" w:hAnsi="Verdana"/>
          <w:sz w:val="16"/>
          <w:szCs w:val="16"/>
        </w:rPr>
        <w:footnoteRef/>
      </w:r>
      <w:r w:rsidRPr="00F05C8A">
        <w:rPr>
          <w:rFonts w:ascii="Verdana" w:hAnsi="Verdana"/>
          <w:sz w:val="16"/>
          <w:szCs w:val="16"/>
          <w:lang w:val="es-CR"/>
        </w:rPr>
        <w:t xml:space="preserve"> </w:t>
      </w:r>
      <w:r w:rsidRPr="00F05C8A">
        <w:rPr>
          <w:rFonts w:ascii="Verdana" w:hAnsi="Verdana"/>
          <w:sz w:val="16"/>
          <w:szCs w:val="16"/>
          <w:lang w:val="es-CR"/>
        </w:rPr>
        <w:tab/>
        <w:t>En la Sentencia</w:t>
      </w:r>
      <w:r w:rsidR="001F5B21">
        <w:rPr>
          <w:rFonts w:ascii="Verdana" w:hAnsi="Verdana"/>
          <w:sz w:val="16"/>
          <w:szCs w:val="16"/>
          <w:lang w:val="es-CR"/>
        </w:rPr>
        <w:t>,</w:t>
      </w:r>
      <w:r w:rsidRPr="00F05C8A">
        <w:rPr>
          <w:rFonts w:ascii="Verdana" w:hAnsi="Verdana"/>
          <w:sz w:val="16"/>
          <w:szCs w:val="16"/>
          <w:lang w:val="es-CR"/>
        </w:rPr>
        <w:t xml:space="preserve"> la Corte constató el reconocimiento del Estado respecto a que por los hechos sucedidos a la señora Benavides Cevallos “se instauraron los respectivos procesos penales en las diversas instancias judiciales”. </w:t>
      </w:r>
      <w:r w:rsidRPr="00F05C8A">
        <w:rPr>
          <w:rFonts w:ascii="Verdana" w:hAnsi="Verdana"/>
          <w:i/>
          <w:color w:val="000000"/>
          <w:sz w:val="16"/>
          <w:szCs w:val="16"/>
          <w:lang w:val="es-CR"/>
        </w:rPr>
        <w:t>Cfr.</w:t>
      </w:r>
      <w:r w:rsidRPr="00F05C8A">
        <w:rPr>
          <w:rFonts w:ascii="Verdana" w:hAnsi="Verdana"/>
          <w:bCs/>
          <w:color w:val="000000"/>
          <w:sz w:val="16"/>
          <w:szCs w:val="16"/>
          <w:shd w:val="clear" w:color="auto" w:fill="FFFFFF"/>
          <w:lang w:val="es-CR"/>
        </w:rPr>
        <w:t xml:space="preserve"> </w:t>
      </w:r>
      <w:r w:rsidRPr="00F05C8A">
        <w:rPr>
          <w:rFonts w:ascii="Verdana" w:hAnsi="Verdana"/>
          <w:bCs/>
          <w:i/>
          <w:color w:val="000000"/>
          <w:sz w:val="16"/>
          <w:szCs w:val="16"/>
          <w:shd w:val="clear" w:color="auto" w:fill="FFFFFF"/>
          <w:lang w:val="es-CR"/>
        </w:rPr>
        <w:t xml:space="preserve">Caso Benavides Cevallos, supra </w:t>
      </w:r>
      <w:r w:rsidRPr="00F05C8A">
        <w:rPr>
          <w:rFonts w:ascii="Verdana" w:hAnsi="Verdana"/>
          <w:bCs/>
          <w:color w:val="000000"/>
          <w:sz w:val="16"/>
          <w:szCs w:val="16"/>
          <w:shd w:val="clear" w:color="auto" w:fill="FFFFFF"/>
          <w:lang w:val="es-CR"/>
        </w:rPr>
        <w:t xml:space="preserve">nota 1, párr. </w:t>
      </w:r>
      <w:r w:rsidR="001F5B21" w:rsidRPr="00F05C8A">
        <w:rPr>
          <w:rFonts w:ascii="Verdana" w:hAnsi="Verdana"/>
          <w:bCs/>
          <w:color w:val="000000"/>
          <w:sz w:val="16"/>
          <w:szCs w:val="16"/>
          <w:shd w:val="clear" w:color="auto" w:fill="FFFFFF"/>
          <w:lang w:val="es-CR"/>
        </w:rPr>
        <w:t>3</w:t>
      </w:r>
      <w:r w:rsidR="001F5B21">
        <w:rPr>
          <w:rFonts w:ascii="Verdana" w:hAnsi="Verdana"/>
          <w:bCs/>
          <w:color w:val="000000"/>
          <w:sz w:val="16"/>
          <w:szCs w:val="16"/>
          <w:shd w:val="clear" w:color="auto" w:fill="FFFFFF"/>
          <w:lang w:val="es-CR"/>
        </w:rPr>
        <w:t>5</w:t>
      </w:r>
      <w:r w:rsidRPr="00F05C8A">
        <w:rPr>
          <w:rFonts w:ascii="Verdana" w:hAnsi="Verdana"/>
          <w:bCs/>
          <w:color w:val="000000"/>
          <w:sz w:val="16"/>
          <w:szCs w:val="16"/>
          <w:shd w:val="clear" w:color="auto" w:fill="FFFFFF"/>
          <w:lang w:val="es-CR"/>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F90" w:rsidRPr="003C5F90" w:rsidRDefault="003C5F90">
    <w:pPr>
      <w:pStyle w:val="Encabezado"/>
      <w:jc w:val="center"/>
      <w:rPr>
        <w:rFonts w:ascii="Verdana" w:hAnsi="Verdana"/>
        <w:sz w:val="20"/>
        <w:szCs w:val="20"/>
      </w:rPr>
    </w:pPr>
    <w:r w:rsidRPr="003C5F90">
      <w:rPr>
        <w:rFonts w:ascii="Verdana" w:hAnsi="Verdana"/>
        <w:sz w:val="20"/>
        <w:szCs w:val="20"/>
      </w:rPr>
      <w:t>-</w:t>
    </w:r>
    <w:r w:rsidRPr="003C5F90">
      <w:rPr>
        <w:rFonts w:ascii="Verdana" w:hAnsi="Verdana"/>
        <w:sz w:val="20"/>
        <w:szCs w:val="20"/>
      </w:rPr>
      <w:fldChar w:fldCharType="begin"/>
    </w:r>
    <w:r w:rsidRPr="003C5F90">
      <w:rPr>
        <w:rFonts w:ascii="Verdana" w:hAnsi="Verdana"/>
        <w:sz w:val="20"/>
        <w:szCs w:val="20"/>
      </w:rPr>
      <w:instrText>PAGE   \* MERGEFORMAT</w:instrText>
    </w:r>
    <w:r w:rsidRPr="003C5F90">
      <w:rPr>
        <w:rFonts w:ascii="Verdana" w:hAnsi="Verdana"/>
        <w:sz w:val="20"/>
        <w:szCs w:val="20"/>
      </w:rPr>
      <w:fldChar w:fldCharType="separate"/>
    </w:r>
    <w:r w:rsidR="00A5408C" w:rsidRPr="00A5408C">
      <w:rPr>
        <w:rFonts w:ascii="Verdana" w:hAnsi="Verdana"/>
        <w:noProof/>
        <w:sz w:val="20"/>
        <w:szCs w:val="20"/>
        <w:lang w:val="es-ES"/>
      </w:rPr>
      <w:t>5</w:t>
    </w:r>
    <w:r w:rsidRPr="003C5F90">
      <w:rPr>
        <w:rFonts w:ascii="Verdana" w:hAnsi="Verdana"/>
        <w:sz w:val="20"/>
        <w:szCs w:val="20"/>
      </w:rPr>
      <w:fldChar w:fldCharType="end"/>
    </w:r>
    <w:r w:rsidRPr="003C5F90">
      <w:rPr>
        <w:rFonts w:ascii="Verdana" w:hAnsi="Verdana"/>
        <w:sz w:val="20"/>
        <w:szCs w:val="20"/>
      </w:rPr>
      <w:t>-</w:t>
    </w:r>
  </w:p>
  <w:p w:rsidR="002A0BBC" w:rsidRPr="000C7BDF" w:rsidRDefault="002A0BBC" w:rsidP="004C504B">
    <w:pPr>
      <w:pStyle w:val="Encabezado"/>
      <w:jc w:val="right"/>
      <w:rPr>
        <w:rFonts w:ascii="Verdana" w:hAnsi="Verdana"/>
        <w:b/>
        <w:i/>
        <w:sz w:val="16"/>
        <w:szCs w:val="16"/>
        <w:lang w:val="es-C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6B" w:rsidRPr="00C83015" w:rsidRDefault="00CE566B" w:rsidP="004A3773">
    <w:pPr>
      <w:pStyle w:val="Encabezado"/>
      <w:jc w:val="right"/>
      <w:rPr>
        <w:rFonts w:ascii="Verdana" w:hAnsi="Verdana"/>
        <w:b/>
        <w:i/>
        <w:sz w:val="16"/>
        <w:szCs w:val="16"/>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B06F3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84260"/>
    <w:multiLevelType w:val="hybridMultilevel"/>
    <w:tmpl w:val="7B561A5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CB702B8"/>
    <w:multiLevelType w:val="hybridMultilevel"/>
    <w:tmpl w:val="63C02CBC"/>
    <w:lvl w:ilvl="0" w:tplc="91A63B20">
      <w:start w:val="1"/>
      <w:numFmt w:val="decimal"/>
      <w:lvlText w:val="%1."/>
      <w:lvlJc w:val="left"/>
      <w:pPr>
        <w:ind w:left="720" w:hanging="360"/>
      </w:pPr>
      <w:rPr>
        <w:rFonts w:cs="Times New Roman"/>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E242228"/>
    <w:multiLevelType w:val="hybridMultilevel"/>
    <w:tmpl w:val="3E6899A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0A41DBE"/>
    <w:multiLevelType w:val="hybridMultilevel"/>
    <w:tmpl w:val="65141D8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667AAF"/>
    <w:multiLevelType w:val="hybridMultilevel"/>
    <w:tmpl w:val="A538D2B6"/>
    <w:lvl w:ilvl="0" w:tplc="04090017">
      <w:start w:val="1"/>
      <w:numFmt w:val="lowerLetter"/>
      <w:lvlText w:val="%1)"/>
      <w:lvlJc w:val="left"/>
      <w:pPr>
        <w:ind w:left="1080" w:hanging="72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0543F3"/>
    <w:multiLevelType w:val="hybridMultilevel"/>
    <w:tmpl w:val="6D0845B2"/>
    <w:lvl w:ilvl="0" w:tplc="14C883C4">
      <w:start w:val="1"/>
      <w:numFmt w:val="decimal"/>
      <w:lvlText w:val="%1."/>
      <w:lvlJc w:val="left"/>
      <w:pPr>
        <w:ind w:left="720" w:hanging="360"/>
      </w:pPr>
      <w:rPr>
        <w:rFonts w:ascii="Verdana" w:hAnsi="Verdana"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6059A7"/>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8" w15:restartNumberingAfterBreak="0">
    <w:nsid w:val="20DD7CCC"/>
    <w:multiLevelType w:val="hybridMultilevel"/>
    <w:tmpl w:val="CF50CF46"/>
    <w:lvl w:ilvl="0" w:tplc="4874E622">
      <w:start w:val="1"/>
      <w:numFmt w:val="decimal"/>
      <w:lvlText w:val="%1."/>
      <w:lvlJc w:val="left"/>
      <w:pPr>
        <w:ind w:left="2061" w:hanging="360"/>
      </w:pPr>
      <w:rPr>
        <w:b w:val="0"/>
        <w:color w:val="auto"/>
      </w:rPr>
    </w:lvl>
    <w:lvl w:ilvl="1" w:tplc="915E67B4">
      <w:start w:val="1"/>
      <w:numFmt w:val="upperLetter"/>
      <w:lvlText w:val="%2."/>
      <w:lvlJc w:val="left"/>
      <w:pPr>
        <w:ind w:left="2886" w:hanging="465"/>
      </w:pPr>
      <w:rPr>
        <w:b/>
      </w:rPr>
    </w:lvl>
    <w:lvl w:ilvl="2" w:tplc="F03A615C">
      <w:start w:val="1"/>
      <w:numFmt w:val="lowerLetter"/>
      <w:lvlText w:val="%3)"/>
      <w:lvlJc w:val="left"/>
      <w:pPr>
        <w:ind w:left="4041" w:hanging="720"/>
      </w:pPr>
    </w:lvl>
    <w:lvl w:ilvl="3" w:tplc="140A000F">
      <w:start w:val="1"/>
      <w:numFmt w:val="decimal"/>
      <w:lvlText w:val="%4."/>
      <w:lvlJc w:val="left"/>
      <w:pPr>
        <w:ind w:left="4221" w:hanging="360"/>
      </w:pPr>
    </w:lvl>
    <w:lvl w:ilvl="4" w:tplc="140A0019">
      <w:start w:val="1"/>
      <w:numFmt w:val="lowerLetter"/>
      <w:lvlText w:val="%5."/>
      <w:lvlJc w:val="left"/>
      <w:pPr>
        <w:ind w:left="4941" w:hanging="360"/>
      </w:pPr>
    </w:lvl>
    <w:lvl w:ilvl="5" w:tplc="140A001B">
      <w:start w:val="1"/>
      <w:numFmt w:val="lowerRoman"/>
      <w:lvlText w:val="%6."/>
      <w:lvlJc w:val="right"/>
      <w:pPr>
        <w:ind w:left="5661" w:hanging="180"/>
      </w:pPr>
    </w:lvl>
    <w:lvl w:ilvl="6" w:tplc="140A000F">
      <w:start w:val="1"/>
      <w:numFmt w:val="decimal"/>
      <w:lvlText w:val="%7."/>
      <w:lvlJc w:val="left"/>
      <w:pPr>
        <w:ind w:left="6381" w:hanging="360"/>
      </w:pPr>
    </w:lvl>
    <w:lvl w:ilvl="7" w:tplc="140A0019">
      <w:start w:val="1"/>
      <w:numFmt w:val="lowerLetter"/>
      <w:lvlText w:val="%8."/>
      <w:lvlJc w:val="left"/>
      <w:pPr>
        <w:ind w:left="7101" w:hanging="360"/>
      </w:pPr>
    </w:lvl>
    <w:lvl w:ilvl="8" w:tplc="140A001B">
      <w:start w:val="1"/>
      <w:numFmt w:val="lowerRoman"/>
      <w:lvlText w:val="%9."/>
      <w:lvlJc w:val="right"/>
      <w:pPr>
        <w:ind w:left="7821" w:hanging="180"/>
      </w:pPr>
    </w:lvl>
  </w:abstractNum>
  <w:abstractNum w:abstractNumId="9" w15:restartNumberingAfterBreak="0">
    <w:nsid w:val="26B078C3"/>
    <w:multiLevelType w:val="hybridMultilevel"/>
    <w:tmpl w:val="71C2A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F1F02"/>
    <w:multiLevelType w:val="hybridMultilevel"/>
    <w:tmpl w:val="9A4E079A"/>
    <w:lvl w:ilvl="0" w:tplc="B10C97CE">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A291CFB"/>
    <w:multiLevelType w:val="hybridMultilevel"/>
    <w:tmpl w:val="87F2B49E"/>
    <w:lvl w:ilvl="0" w:tplc="C9AA36E8">
      <w:start w:val="1"/>
      <w:numFmt w:val="lowerRoman"/>
      <w:lvlText w:val="%1)"/>
      <w:lvlJc w:val="left"/>
      <w:pPr>
        <w:ind w:left="795" w:hanging="360"/>
      </w:pPr>
      <w:rPr>
        <w:rFonts w:hint="default"/>
        <w:b w:val="0"/>
      </w:rPr>
    </w:lvl>
    <w:lvl w:ilvl="1" w:tplc="140A0019" w:tentative="1">
      <w:start w:val="1"/>
      <w:numFmt w:val="lowerLetter"/>
      <w:lvlText w:val="%2."/>
      <w:lvlJc w:val="left"/>
      <w:pPr>
        <w:ind w:left="1515" w:hanging="360"/>
      </w:pPr>
    </w:lvl>
    <w:lvl w:ilvl="2" w:tplc="140A001B" w:tentative="1">
      <w:start w:val="1"/>
      <w:numFmt w:val="lowerRoman"/>
      <w:lvlText w:val="%3."/>
      <w:lvlJc w:val="right"/>
      <w:pPr>
        <w:ind w:left="2235" w:hanging="180"/>
      </w:pPr>
    </w:lvl>
    <w:lvl w:ilvl="3" w:tplc="140A000F" w:tentative="1">
      <w:start w:val="1"/>
      <w:numFmt w:val="decimal"/>
      <w:lvlText w:val="%4."/>
      <w:lvlJc w:val="left"/>
      <w:pPr>
        <w:ind w:left="2955" w:hanging="360"/>
      </w:pPr>
    </w:lvl>
    <w:lvl w:ilvl="4" w:tplc="140A0019" w:tentative="1">
      <w:start w:val="1"/>
      <w:numFmt w:val="lowerLetter"/>
      <w:lvlText w:val="%5."/>
      <w:lvlJc w:val="left"/>
      <w:pPr>
        <w:ind w:left="3675" w:hanging="360"/>
      </w:pPr>
    </w:lvl>
    <w:lvl w:ilvl="5" w:tplc="140A001B" w:tentative="1">
      <w:start w:val="1"/>
      <w:numFmt w:val="lowerRoman"/>
      <w:lvlText w:val="%6."/>
      <w:lvlJc w:val="right"/>
      <w:pPr>
        <w:ind w:left="4395" w:hanging="180"/>
      </w:pPr>
    </w:lvl>
    <w:lvl w:ilvl="6" w:tplc="140A000F" w:tentative="1">
      <w:start w:val="1"/>
      <w:numFmt w:val="decimal"/>
      <w:lvlText w:val="%7."/>
      <w:lvlJc w:val="left"/>
      <w:pPr>
        <w:ind w:left="5115" w:hanging="360"/>
      </w:pPr>
    </w:lvl>
    <w:lvl w:ilvl="7" w:tplc="140A0019" w:tentative="1">
      <w:start w:val="1"/>
      <w:numFmt w:val="lowerLetter"/>
      <w:lvlText w:val="%8."/>
      <w:lvlJc w:val="left"/>
      <w:pPr>
        <w:ind w:left="5835" w:hanging="360"/>
      </w:pPr>
    </w:lvl>
    <w:lvl w:ilvl="8" w:tplc="140A001B" w:tentative="1">
      <w:start w:val="1"/>
      <w:numFmt w:val="lowerRoman"/>
      <w:lvlText w:val="%9."/>
      <w:lvlJc w:val="right"/>
      <w:pPr>
        <w:ind w:left="6555" w:hanging="180"/>
      </w:pPr>
    </w:lvl>
  </w:abstractNum>
  <w:abstractNum w:abstractNumId="12" w15:restartNumberingAfterBreak="0">
    <w:nsid w:val="32841C47"/>
    <w:multiLevelType w:val="hybridMultilevel"/>
    <w:tmpl w:val="E756605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93014FD"/>
    <w:multiLevelType w:val="hybridMultilevel"/>
    <w:tmpl w:val="7B561A5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AAB648A"/>
    <w:multiLevelType w:val="hybridMultilevel"/>
    <w:tmpl w:val="2084DC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5B44A3"/>
    <w:multiLevelType w:val="hybridMultilevel"/>
    <w:tmpl w:val="55924D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E34446"/>
    <w:multiLevelType w:val="hybridMultilevel"/>
    <w:tmpl w:val="41AA6776"/>
    <w:lvl w:ilvl="0" w:tplc="0C3CBA0E">
      <w:start w:val="9"/>
      <w:numFmt w:val="lowerLetter"/>
      <w:lvlText w:val="%1)"/>
      <w:lvlJc w:val="left"/>
      <w:pPr>
        <w:ind w:left="1410" w:hanging="705"/>
      </w:pPr>
    </w:lvl>
    <w:lvl w:ilvl="1" w:tplc="140A0019">
      <w:start w:val="1"/>
      <w:numFmt w:val="lowerLetter"/>
      <w:lvlText w:val="%2."/>
      <w:lvlJc w:val="left"/>
      <w:pPr>
        <w:ind w:left="1785" w:hanging="360"/>
      </w:pPr>
    </w:lvl>
    <w:lvl w:ilvl="2" w:tplc="140A001B">
      <w:start w:val="1"/>
      <w:numFmt w:val="lowerRoman"/>
      <w:lvlText w:val="%3."/>
      <w:lvlJc w:val="right"/>
      <w:pPr>
        <w:ind w:left="2505" w:hanging="180"/>
      </w:pPr>
    </w:lvl>
    <w:lvl w:ilvl="3" w:tplc="140A000F">
      <w:start w:val="1"/>
      <w:numFmt w:val="decimal"/>
      <w:lvlText w:val="%4."/>
      <w:lvlJc w:val="left"/>
      <w:pPr>
        <w:ind w:left="3225" w:hanging="360"/>
      </w:pPr>
    </w:lvl>
    <w:lvl w:ilvl="4" w:tplc="140A0019">
      <w:start w:val="1"/>
      <w:numFmt w:val="lowerLetter"/>
      <w:lvlText w:val="%5."/>
      <w:lvlJc w:val="left"/>
      <w:pPr>
        <w:ind w:left="3945" w:hanging="360"/>
      </w:pPr>
    </w:lvl>
    <w:lvl w:ilvl="5" w:tplc="140A001B">
      <w:start w:val="1"/>
      <w:numFmt w:val="lowerRoman"/>
      <w:lvlText w:val="%6."/>
      <w:lvlJc w:val="right"/>
      <w:pPr>
        <w:ind w:left="4665" w:hanging="180"/>
      </w:pPr>
    </w:lvl>
    <w:lvl w:ilvl="6" w:tplc="140A000F">
      <w:start w:val="1"/>
      <w:numFmt w:val="decimal"/>
      <w:lvlText w:val="%7."/>
      <w:lvlJc w:val="left"/>
      <w:pPr>
        <w:ind w:left="5385" w:hanging="360"/>
      </w:pPr>
    </w:lvl>
    <w:lvl w:ilvl="7" w:tplc="140A0019">
      <w:start w:val="1"/>
      <w:numFmt w:val="lowerLetter"/>
      <w:lvlText w:val="%8."/>
      <w:lvlJc w:val="left"/>
      <w:pPr>
        <w:ind w:left="6105" w:hanging="360"/>
      </w:pPr>
    </w:lvl>
    <w:lvl w:ilvl="8" w:tplc="140A001B">
      <w:start w:val="1"/>
      <w:numFmt w:val="lowerRoman"/>
      <w:lvlText w:val="%9."/>
      <w:lvlJc w:val="right"/>
      <w:pPr>
        <w:ind w:left="6825" w:hanging="180"/>
      </w:pPr>
    </w:lvl>
  </w:abstractNum>
  <w:abstractNum w:abstractNumId="17" w15:restartNumberingAfterBreak="0">
    <w:nsid w:val="3EFC151E"/>
    <w:multiLevelType w:val="hybridMultilevel"/>
    <w:tmpl w:val="1C80A81E"/>
    <w:lvl w:ilvl="0" w:tplc="002E361A">
      <w:start w:val="1"/>
      <w:numFmt w:val="lowerRoman"/>
      <w:lvlText w:val="%1)"/>
      <w:lvlJc w:val="left"/>
      <w:pPr>
        <w:ind w:left="1178" w:hanging="720"/>
      </w:pPr>
      <w:rPr>
        <w:rFonts w:hint="default"/>
        <w:sz w:val="20"/>
        <w:szCs w:val="20"/>
      </w:rPr>
    </w:lvl>
    <w:lvl w:ilvl="1" w:tplc="140A0019" w:tentative="1">
      <w:start w:val="1"/>
      <w:numFmt w:val="lowerLetter"/>
      <w:lvlText w:val="%2."/>
      <w:lvlJc w:val="left"/>
      <w:pPr>
        <w:ind w:left="1538" w:hanging="360"/>
      </w:pPr>
    </w:lvl>
    <w:lvl w:ilvl="2" w:tplc="140A001B" w:tentative="1">
      <w:start w:val="1"/>
      <w:numFmt w:val="lowerRoman"/>
      <w:lvlText w:val="%3."/>
      <w:lvlJc w:val="right"/>
      <w:pPr>
        <w:ind w:left="2258" w:hanging="180"/>
      </w:pPr>
    </w:lvl>
    <w:lvl w:ilvl="3" w:tplc="140A000F" w:tentative="1">
      <w:start w:val="1"/>
      <w:numFmt w:val="decimal"/>
      <w:lvlText w:val="%4."/>
      <w:lvlJc w:val="left"/>
      <w:pPr>
        <w:ind w:left="2978" w:hanging="360"/>
      </w:pPr>
    </w:lvl>
    <w:lvl w:ilvl="4" w:tplc="140A0019" w:tentative="1">
      <w:start w:val="1"/>
      <w:numFmt w:val="lowerLetter"/>
      <w:lvlText w:val="%5."/>
      <w:lvlJc w:val="left"/>
      <w:pPr>
        <w:ind w:left="3698" w:hanging="360"/>
      </w:pPr>
    </w:lvl>
    <w:lvl w:ilvl="5" w:tplc="140A001B" w:tentative="1">
      <w:start w:val="1"/>
      <w:numFmt w:val="lowerRoman"/>
      <w:lvlText w:val="%6."/>
      <w:lvlJc w:val="right"/>
      <w:pPr>
        <w:ind w:left="4418" w:hanging="180"/>
      </w:pPr>
    </w:lvl>
    <w:lvl w:ilvl="6" w:tplc="140A000F" w:tentative="1">
      <w:start w:val="1"/>
      <w:numFmt w:val="decimal"/>
      <w:lvlText w:val="%7."/>
      <w:lvlJc w:val="left"/>
      <w:pPr>
        <w:ind w:left="5138" w:hanging="360"/>
      </w:pPr>
    </w:lvl>
    <w:lvl w:ilvl="7" w:tplc="140A0019" w:tentative="1">
      <w:start w:val="1"/>
      <w:numFmt w:val="lowerLetter"/>
      <w:lvlText w:val="%8."/>
      <w:lvlJc w:val="left"/>
      <w:pPr>
        <w:ind w:left="5858" w:hanging="360"/>
      </w:pPr>
    </w:lvl>
    <w:lvl w:ilvl="8" w:tplc="140A001B" w:tentative="1">
      <w:start w:val="1"/>
      <w:numFmt w:val="lowerRoman"/>
      <w:lvlText w:val="%9."/>
      <w:lvlJc w:val="right"/>
      <w:pPr>
        <w:ind w:left="6578" w:hanging="180"/>
      </w:pPr>
    </w:lvl>
  </w:abstractNum>
  <w:abstractNum w:abstractNumId="18" w15:restartNumberingAfterBreak="0">
    <w:nsid w:val="40467FCD"/>
    <w:multiLevelType w:val="hybridMultilevel"/>
    <w:tmpl w:val="9B44F7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14D7B4D"/>
    <w:multiLevelType w:val="hybridMultilevel"/>
    <w:tmpl w:val="9B463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B00C38"/>
    <w:multiLevelType w:val="hybridMultilevel"/>
    <w:tmpl w:val="A3B03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52F5D"/>
    <w:multiLevelType w:val="hybridMultilevel"/>
    <w:tmpl w:val="D220C056"/>
    <w:lvl w:ilvl="0" w:tplc="9DE00E5A">
      <w:start w:val="19"/>
      <w:numFmt w:val="decimal"/>
      <w:lvlText w:val="%1."/>
      <w:lvlJc w:val="left"/>
      <w:pPr>
        <w:tabs>
          <w:tab w:val="num" w:pos="680"/>
        </w:tabs>
        <w:ind w:left="0" w:firstLine="0"/>
      </w:pPr>
      <w:rPr>
        <w:rFonts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AE858E9"/>
    <w:multiLevelType w:val="hybridMultilevel"/>
    <w:tmpl w:val="9B44F7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BBE0E90"/>
    <w:multiLevelType w:val="hybridMultilevel"/>
    <w:tmpl w:val="68A4D502"/>
    <w:lvl w:ilvl="0" w:tplc="838AAB9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C1C037F"/>
    <w:multiLevelType w:val="hybridMultilevel"/>
    <w:tmpl w:val="90B85926"/>
    <w:lvl w:ilvl="0" w:tplc="8192513E">
      <w:start w:val="1"/>
      <w:numFmt w:val="lowerLetter"/>
      <w:lvlText w:val="%1)"/>
      <w:lvlJc w:val="left"/>
      <w:pPr>
        <w:ind w:left="720" w:hanging="360"/>
      </w:pPr>
      <w:rPr>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C1E5298"/>
    <w:multiLevelType w:val="hybridMultilevel"/>
    <w:tmpl w:val="E732E8F0"/>
    <w:lvl w:ilvl="0" w:tplc="C7023862">
      <w:start w:val="1"/>
      <w:numFmt w:val="decimal"/>
      <w:lvlText w:val="%1."/>
      <w:lvlJc w:val="left"/>
      <w:pPr>
        <w:tabs>
          <w:tab w:val="num" w:pos="720"/>
        </w:tabs>
        <w:ind w:left="0" w:firstLine="0"/>
      </w:pPr>
      <w:rPr>
        <w:rFonts w:ascii="Verdana" w:hAnsi="Verdana" w:hint="default"/>
        <w:b w:val="0"/>
        <w:color w:val="auto"/>
        <w:sz w:val="20"/>
        <w:lang w:val="es-ES_tradnl"/>
      </w:rPr>
    </w:lvl>
    <w:lvl w:ilvl="1" w:tplc="00190409">
      <w:start w:val="1"/>
      <w:numFmt w:val="lowerLetter"/>
      <w:lvlText w:val="%2."/>
      <w:lvlJc w:val="left"/>
      <w:pPr>
        <w:tabs>
          <w:tab w:val="num" w:pos="1440"/>
        </w:tabs>
        <w:ind w:left="1440" w:hanging="360"/>
      </w:pPr>
    </w:lvl>
    <w:lvl w:ilvl="2" w:tplc="00010409">
      <w:start w:val="1"/>
      <w:numFmt w:val="bullet"/>
      <w:lvlText w:val=""/>
      <w:lvlJc w:val="left"/>
      <w:pPr>
        <w:tabs>
          <w:tab w:val="num" w:pos="2340"/>
        </w:tabs>
        <w:ind w:left="2340" w:hanging="360"/>
      </w:pPr>
      <w:rPr>
        <w:rFonts w:ascii="Symbol" w:hAnsi="Symbol" w:hint="default"/>
        <w:b w:val="0"/>
        <w:color w:val="auto"/>
        <w:sz w:val="20"/>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CF75EAB"/>
    <w:multiLevelType w:val="hybridMultilevel"/>
    <w:tmpl w:val="2B6073E6"/>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7" w15:restartNumberingAfterBreak="0">
    <w:nsid w:val="50701093"/>
    <w:multiLevelType w:val="hybridMultilevel"/>
    <w:tmpl w:val="18D28E7A"/>
    <w:lvl w:ilvl="0" w:tplc="140A0017">
      <w:start w:val="1"/>
      <w:numFmt w:val="lowerLetter"/>
      <w:lvlText w:val="%1)"/>
      <w:lvlJc w:val="left"/>
      <w:pPr>
        <w:ind w:left="791" w:hanging="360"/>
      </w:pPr>
    </w:lvl>
    <w:lvl w:ilvl="1" w:tplc="140A0019" w:tentative="1">
      <w:start w:val="1"/>
      <w:numFmt w:val="lowerLetter"/>
      <w:lvlText w:val="%2."/>
      <w:lvlJc w:val="left"/>
      <w:pPr>
        <w:ind w:left="1511" w:hanging="360"/>
      </w:pPr>
    </w:lvl>
    <w:lvl w:ilvl="2" w:tplc="140A001B" w:tentative="1">
      <w:start w:val="1"/>
      <w:numFmt w:val="lowerRoman"/>
      <w:lvlText w:val="%3."/>
      <w:lvlJc w:val="right"/>
      <w:pPr>
        <w:ind w:left="2231" w:hanging="180"/>
      </w:pPr>
    </w:lvl>
    <w:lvl w:ilvl="3" w:tplc="140A000F" w:tentative="1">
      <w:start w:val="1"/>
      <w:numFmt w:val="decimal"/>
      <w:lvlText w:val="%4."/>
      <w:lvlJc w:val="left"/>
      <w:pPr>
        <w:ind w:left="2951" w:hanging="360"/>
      </w:pPr>
    </w:lvl>
    <w:lvl w:ilvl="4" w:tplc="140A0019" w:tentative="1">
      <w:start w:val="1"/>
      <w:numFmt w:val="lowerLetter"/>
      <w:lvlText w:val="%5."/>
      <w:lvlJc w:val="left"/>
      <w:pPr>
        <w:ind w:left="3671" w:hanging="360"/>
      </w:pPr>
    </w:lvl>
    <w:lvl w:ilvl="5" w:tplc="140A001B" w:tentative="1">
      <w:start w:val="1"/>
      <w:numFmt w:val="lowerRoman"/>
      <w:lvlText w:val="%6."/>
      <w:lvlJc w:val="right"/>
      <w:pPr>
        <w:ind w:left="4391" w:hanging="180"/>
      </w:pPr>
    </w:lvl>
    <w:lvl w:ilvl="6" w:tplc="140A000F" w:tentative="1">
      <w:start w:val="1"/>
      <w:numFmt w:val="decimal"/>
      <w:lvlText w:val="%7."/>
      <w:lvlJc w:val="left"/>
      <w:pPr>
        <w:ind w:left="5111" w:hanging="360"/>
      </w:pPr>
    </w:lvl>
    <w:lvl w:ilvl="7" w:tplc="140A0019" w:tentative="1">
      <w:start w:val="1"/>
      <w:numFmt w:val="lowerLetter"/>
      <w:lvlText w:val="%8."/>
      <w:lvlJc w:val="left"/>
      <w:pPr>
        <w:ind w:left="5831" w:hanging="360"/>
      </w:pPr>
    </w:lvl>
    <w:lvl w:ilvl="8" w:tplc="140A001B" w:tentative="1">
      <w:start w:val="1"/>
      <w:numFmt w:val="lowerRoman"/>
      <w:lvlText w:val="%9."/>
      <w:lvlJc w:val="right"/>
      <w:pPr>
        <w:ind w:left="6551" w:hanging="180"/>
      </w:pPr>
    </w:lvl>
  </w:abstractNum>
  <w:abstractNum w:abstractNumId="28" w15:restartNumberingAfterBreak="0">
    <w:nsid w:val="527F1197"/>
    <w:multiLevelType w:val="hybridMultilevel"/>
    <w:tmpl w:val="13FE3C9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4800774"/>
    <w:multiLevelType w:val="hybridMultilevel"/>
    <w:tmpl w:val="8FD8D728"/>
    <w:lvl w:ilvl="0" w:tplc="8BFE3276">
      <w:start w:val="1"/>
      <w:numFmt w:val="decimal"/>
      <w:lvlText w:val="%1."/>
      <w:lvlJc w:val="left"/>
      <w:pPr>
        <w:ind w:left="360" w:hanging="360"/>
      </w:pPr>
      <w:rPr>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0" w15:restartNumberingAfterBreak="0">
    <w:nsid w:val="54DA04E4"/>
    <w:multiLevelType w:val="hybridMultilevel"/>
    <w:tmpl w:val="A3B03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2753B7"/>
    <w:multiLevelType w:val="hybridMultilevel"/>
    <w:tmpl w:val="7464BBB0"/>
    <w:lvl w:ilvl="0" w:tplc="93905DF8">
      <w:start w:val="1"/>
      <w:numFmt w:val="lowerLetter"/>
      <w:lvlText w:val="%1)"/>
      <w:lvlJc w:val="left"/>
      <w:pPr>
        <w:ind w:left="720" w:hanging="360"/>
      </w:pPr>
      <w:rPr>
        <w:rFonts w:ascii="Calibri" w:hAnsi="Calibri"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64C6C9A"/>
    <w:multiLevelType w:val="hybridMultilevel"/>
    <w:tmpl w:val="4D8A1128"/>
    <w:lvl w:ilvl="0" w:tplc="63308630">
      <w:start w:val="1"/>
      <w:numFmt w:val="lowerLetter"/>
      <w:lvlText w:val="%1)"/>
      <w:lvlJc w:val="left"/>
      <w:pPr>
        <w:ind w:left="840" w:hanging="4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857562"/>
    <w:multiLevelType w:val="hybridMultilevel"/>
    <w:tmpl w:val="D6BC683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92C38A9"/>
    <w:multiLevelType w:val="hybridMultilevel"/>
    <w:tmpl w:val="B316E78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BF16599"/>
    <w:multiLevelType w:val="hybridMultilevel"/>
    <w:tmpl w:val="DD62BAF4"/>
    <w:lvl w:ilvl="0" w:tplc="B0CAE380">
      <w:start w:val="5"/>
      <w:numFmt w:val="decimal"/>
      <w:lvlText w:val="%1."/>
      <w:lvlJc w:val="left"/>
      <w:pPr>
        <w:ind w:left="518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F4F2CB0"/>
    <w:multiLevelType w:val="hybridMultilevel"/>
    <w:tmpl w:val="63C02CBC"/>
    <w:lvl w:ilvl="0" w:tplc="91A63B20">
      <w:start w:val="1"/>
      <w:numFmt w:val="decimal"/>
      <w:lvlText w:val="%1."/>
      <w:lvlJc w:val="left"/>
      <w:pPr>
        <w:ind w:left="720" w:hanging="360"/>
      </w:pPr>
      <w:rPr>
        <w:rFonts w:cs="Times New Roman"/>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0DD55B0"/>
    <w:multiLevelType w:val="hybridMultilevel"/>
    <w:tmpl w:val="A3B03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B023B6"/>
    <w:multiLevelType w:val="hybridMultilevel"/>
    <w:tmpl w:val="7652C500"/>
    <w:lvl w:ilvl="0" w:tplc="4D68EACA">
      <w:start w:val="6"/>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AAD3C9F"/>
    <w:multiLevelType w:val="hybridMultilevel"/>
    <w:tmpl w:val="B7B649D6"/>
    <w:lvl w:ilvl="0" w:tplc="910E32BC">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D9B11B4"/>
    <w:multiLevelType w:val="hybridMultilevel"/>
    <w:tmpl w:val="63C02CBC"/>
    <w:lvl w:ilvl="0" w:tplc="91A63B20">
      <w:start w:val="1"/>
      <w:numFmt w:val="decimal"/>
      <w:lvlText w:val="%1."/>
      <w:lvlJc w:val="left"/>
      <w:pPr>
        <w:ind w:left="720" w:hanging="360"/>
      </w:pPr>
      <w:rPr>
        <w:rFonts w:cs="Times New Roman"/>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6E34079A"/>
    <w:multiLevelType w:val="hybridMultilevel"/>
    <w:tmpl w:val="CDC6A5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CD7A0E"/>
    <w:multiLevelType w:val="hybridMultilevel"/>
    <w:tmpl w:val="A3B03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946F55"/>
    <w:multiLevelType w:val="hybridMultilevel"/>
    <w:tmpl w:val="CC788FB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5EB099F"/>
    <w:multiLevelType w:val="hybridMultilevel"/>
    <w:tmpl w:val="ADE80AC2"/>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5" w15:restartNumberingAfterBreak="0">
    <w:nsid w:val="76127058"/>
    <w:multiLevelType w:val="hybridMultilevel"/>
    <w:tmpl w:val="C7FA4A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83635B"/>
    <w:multiLevelType w:val="hybridMultilevel"/>
    <w:tmpl w:val="093C8AC8"/>
    <w:lvl w:ilvl="0" w:tplc="1B88837E">
      <w:start w:val="1"/>
      <w:numFmt w:val="decimal"/>
      <w:lvlText w:val="%1."/>
      <w:lvlJc w:val="left"/>
      <w:pPr>
        <w:ind w:left="720" w:hanging="360"/>
      </w:pPr>
      <w:rPr>
        <w:rFonts w:ascii="Verdana" w:hAnsi="Verdana" w:hint="default"/>
        <w:b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7" w15:restartNumberingAfterBreak="0">
    <w:nsid w:val="7F42621D"/>
    <w:multiLevelType w:val="hybridMultilevel"/>
    <w:tmpl w:val="95848352"/>
    <w:lvl w:ilvl="0" w:tplc="9968ADEE">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9"/>
  </w:num>
  <w:num w:numId="6">
    <w:abstractNumId w:val="41"/>
  </w:num>
  <w:num w:numId="7">
    <w:abstractNumId w:val="32"/>
  </w:num>
  <w:num w:numId="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37"/>
  </w:num>
  <w:num w:numId="11">
    <w:abstractNumId w:val="20"/>
  </w:num>
  <w:num w:numId="12">
    <w:abstractNumId w:val="33"/>
  </w:num>
  <w:num w:numId="13">
    <w:abstractNumId w:val="23"/>
  </w:num>
  <w:num w:numId="14">
    <w:abstractNumId w:val="4"/>
  </w:num>
  <w:num w:numId="15">
    <w:abstractNumId w:val="43"/>
  </w:num>
  <w:num w:numId="16">
    <w:abstractNumId w:val="26"/>
  </w:num>
  <w:num w:numId="17">
    <w:abstractNumId w:val="44"/>
  </w:num>
  <w:num w:numId="18">
    <w:abstractNumId w:val="28"/>
  </w:num>
  <w:num w:numId="19">
    <w:abstractNumId w:val="35"/>
  </w:num>
  <w:num w:numId="20">
    <w:abstractNumId w:val="30"/>
  </w:num>
  <w:num w:numId="21">
    <w:abstractNumId w:val="24"/>
  </w:num>
  <w:num w:numId="22">
    <w:abstractNumId w:val="2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42"/>
  </w:num>
  <w:num w:numId="26">
    <w:abstractNumId w:val="19"/>
  </w:num>
  <w:num w:numId="27">
    <w:abstractNumId w:val="13"/>
  </w:num>
  <w:num w:numId="28">
    <w:abstractNumId w:val="5"/>
  </w:num>
  <w:num w:numId="29">
    <w:abstractNumId w:val="12"/>
  </w:num>
  <w:num w:numId="30">
    <w:abstractNumId w:val="31"/>
  </w:num>
  <w:num w:numId="31">
    <w:abstractNumId w:val="46"/>
  </w:num>
  <w:num w:numId="32">
    <w:abstractNumId w:val="38"/>
  </w:num>
  <w:num w:numId="33">
    <w:abstractNumId w:val="3"/>
  </w:num>
  <w:num w:numId="34">
    <w:abstractNumId w:val="39"/>
  </w:num>
  <w:num w:numId="35">
    <w:abstractNumId w:val="47"/>
  </w:num>
  <w:num w:numId="36">
    <w:abstractNumId w:val="10"/>
  </w:num>
  <w:num w:numId="37">
    <w:abstractNumId w:val="14"/>
  </w:num>
  <w:num w:numId="38">
    <w:abstractNumId w:val="22"/>
  </w:num>
  <w:num w:numId="39">
    <w:abstractNumId w:val="34"/>
  </w:num>
  <w:num w:numId="40">
    <w:abstractNumId w:val="1"/>
  </w:num>
  <w:num w:numId="41">
    <w:abstractNumId w:val="18"/>
  </w:num>
  <w:num w:numId="42">
    <w:abstractNumId w:val="29"/>
  </w:num>
  <w:num w:numId="43">
    <w:abstractNumId w:val="11"/>
  </w:num>
  <w:num w:numId="44">
    <w:abstractNumId w:val="25"/>
  </w:num>
  <w:num w:numId="45">
    <w:abstractNumId w:val="17"/>
  </w:num>
  <w:num w:numId="46">
    <w:abstractNumId w:val="0"/>
  </w:num>
  <w:num w:numId="47">
    <w:abstractNumId w:val="2"/>
  </w:num>
  <w:num w:numId="48">
    <w:abstractNumId w:val="36"/>
  </w:num>
  <w:num w:numId="49">
    <w:abstractNumId w:val="40"/>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4F"/>
    <w:rsid w:val="0000172D"/>
    <w:rsid w:val="0000617D"/>
    <w:rsid w:val="00006546"/>
    <w:rsid w:val="00006DB9"/>
    <w:rsid w:val="000121ED"/>
    <w:rsid w:val="00012BFF"/>
    <w:rsid w:val="000142A3"/>
    <w:rsid w:val="00014366"/>
    <w:rsid w:val="000159FF"/>
    <w:rsid w:val="00017E73"/>
    <w:rsid w:val="0002220E"/>
    <w:rsid w:val="0002488B"/>
    <w:rsid w:val="00024A8B"/>
    <w:rsid w:val="000264F8"/>
    <w:rsid w:val="00026B32"/>
    <w:rsid w:val="000278A1"/>
    <w:rsid w:val="00027C5C"/>
    <w:rsid w:val="00030265"/>
    <w:rsid w:val="00032A4E"/>
    <w:rsid w:val="000368A4"/>
    <w:rsid w:val="00036946"/>
    <w:rsid w:val="00037483"/>
    <w:rsid w:val="00040684"/>
    <w:rsid w:val="00041814"/>
    <w:rsid w:val="00043B6F"/>
    <w:rsid w:val="000444EB"/>
    <w:rsid w:val="000457D4"/>
    <w:rsid w:val="00046F7E"/>
    <w:rsid w:val="00047288"/>
    <w:rsid w:val="000477CE"/>
    <w:rsid w:val="000516AB"/>
    <w:rsid w:val="000534CE"/>
    <w:rsid w:val="00053BEC"/>
    <w:rsid w:val="00055FA5"/>
    <w:rsid w:val="0006095B"/>
    <w:rsid w:val="00060D08"/>
    <w:rsid w:val="00061FEF"/>
    <w:rsid w:val="00062679"/>
    <w:rsid w:val="00064748"/>
    <w:rsid w:val="00065B58"/>
    <w:rsid w:val="0006620E"/>
    <w:rsid w:val="00066865"/>
    <w:rsid w:val="00072210"/>
    <w:rsid w:val="000734F1"/>
    <w:rsid w:val="00073FE6"/>
    <w:rsid w:val="000747B5"/>
    <w:rsid w:val="00075469"/>
    <w:rsid w:val="00075CC2"/>
    <w:rsid w:val="00076512"/>
    <w:rsid w:val="00076BDB"/>
    <w:rsid w:val="00077139"/>
    <w:rsid w:val="000834B0"/>
    <w:rsid w:val="00087876"/>
    <w:rsid w:val="0009166C"/>
    <w:rsid w:val="0009286F"/>
    <w:rsid w:val="00096CE4"/>
    <w:rsid w:val="000A011B"/>
    <w:rsid w:val="000A041E"/>
    <w:rsid w:val="000A2B57"/>
    <w:rsid w:val="000A4636"/>
    <w:rsid w:val="000A552E"/>
    <w:rsid w:val="000A758E"/>
    <w:rsid w:val="000B01FF"/>
    <w:rsid w:val="000B0702"/>
    <w:rsid w:val="000B4BDF"/>
    <w:rsid w:val="000C042D"/>
    <w:rsid w:val="000C609F"/>
    <w:rsid w:val="000C7BDF"/>
    <w:rsid w:val="000D23E2"/>
    <w:rsid w:val="000D278F"/>
    <w:rsid w:val="000D5673"/>
    <w:rsid w:val="000D5FAC"/>
    <w:rsid w:val="000D6122"/>
    <w:rsid w:val="000E1063"/>
    <w:rsid w:val="000E50D8"/>
    <w:rsid w:val="000E52D3"/>
    <w:rsid w:val="000E71A9"/>
    <w:rsid w:val="000E7572"/>
    <w:rsid w:val="000F0C43"/>
    <w:rsid w:val="000F1CF4"/>
    <w:rsid w:val="000F29C9"/>
    <w:rsid w:val="000F6367"/>
    <w:rsid w:val="00102481"/>
    <w:rsid w:val="00104788"/>
    <w:rsid w:val="00106618"/>
    <w:rsid w:val="00106CFE"/>
    <w:rsid w:val="001141EE"/>
    <w:rsid w:val="00120996"/>
    <w:rsid w:val="00120C2D"/>
    <w:rsid w:val="00121288"/>
    <w:rsid w:val="001235EA"/>
    <w:rsid w:val="00124BCB"/>
    <w:rsid w:val="00126E82"/>
    <w:rsid w:val="00132974"/>
    <w:rsid w:val="00132F50"/>
    <w:rsid w:val="00133430"/>
    <w:rsid w:val="00136053"/>
    <w:rsid w:val="00136725"/>
    <w:rsid w:val="0014086D"/>
    <w:rsid w:val="00141C87"/>
    <w:rsid w:val="0014369F"/>
    <w:rsid w:val="00145076"/>
    <w:rsid w:val="00145EA9"/>
    <w:rsid w:val="00146DDA"/>
    <w:rsid w:val="00150846"/>
    <w:rsid w:val="00150C79"/>
    <w:rsid w:val="00152DBB"/>
    <w:rsid w:val="001540F7"/>
    <w:rsid w:val="00156E17"/>
    <w:rsid w:val="00157974"/>
    <w:rsid w:val="001611DA"/>
    <w:rsid w:val="001633AC"/>
    <w:rsid w:val="00163C46"/>
    <w:rsid w:val="00166CB6"/>
    <w:rsid w:val="001676AB"/>
    <w:rsid w:val="00173388"/>
    <w:rsid w:val="0017343D"/>
    <w:rsid w:val="001759FF"/>
    <w:rsid w:val="001811E8"/>
    <w:rsid w:val="00183A97"/>
    <w:rsid w:val="001916B5"/>
    <w:rsid w:val="00191815"/>
    <w:rsid w:val="001933A9"/>
    <w:rsid w:val="00193CD3"/>
    <w:rsid w:val="00194909"/>
    <w:rsid w:val="001978EC"/>
    <w:rsid w:val="00197F8D"/>
    <w:rsid w:val="001A0FCF"/>
    <w:rsid w:val="001A23A8"/>
    <w:rsid w:val="001A3510"/>
    <w:rsid w:val="001A526E"/>
    <w:rsid w:val="001A6685"/>
    <w:rsid w:val="001A7811"/>
    <w:rsid w:val="001B0651"/>
    <w:rsid w:val="001B0BB6"/>
    <w:rsid w:val="001B30D5"/>
    <w:rsid w:val="001B501F"/>
    <w:rsid w:val="001B5547"/>
    <w:rsid w:val="001B6128"/>
    <w:rsid w:val="001C048B"/>
    <w:rsid w:val="001C0DED"/>
    <w:rsid w:val="001C1572"/>
    <w:rsid w:val="001C1C3A"/>
    <w:rsid w:val="001C3AB5"/>
    <w:rsid w:val="001C483E"/>
    <w:rsid w:val="001C5E0F"/>
    <w:rsid w:val="001C70A4"/>
    <w:rsid w:val="001C7A4B"/>
    <w:rsid w:val="001D0D85"/>
    <w:rsid w:val="001D1F34"/>
    <w:rsid w:val="001D4F99"/>
    <w:rsid w:val="001D5473"/>
    <w:rsid w:val="001D7B31"/>
    <w:rsid w:val="001E19A3"/>
    <w:rsid w:val="001E23A6"/>
    <w:rsid w:val="001E4180"/>
    <w:rsid w:val="001E43A2"/>
    <w:rsid w:val="001E557C"/>
    <w:rsid w:val="001E64A7"/>
    <w:rsid w:val="001E7608"/>
    <w:rsid w:val="001F019B"/>
    <w:rsid w:val="001F16A3"/>
    <w:rsid w:val="001F5A26"/>
    <w:rsid w:val="001F5B21"/>
    <w:rsid w:val="001F62D3"/>
    <w:rsid w:val="00201CA9"/>
    <w:rsid w:val="00202E30"/>
    <w:rsid w:val="00212F4F"/>
    <w:rsid w:val="0021442D"/>
    <w:rsid w:val="00215F72"/>
    <w:rsid w:val="002174A2"/>
    <w:rsid w:val="00227446"/>
    <w:rsid w:val="002320D9"/>
    <w:rsid w:val="0023290D"/>
    <w:rsid w:val="00235FA5"/>
    <w:rsid w:val="00236782"/>
    <w:rsid w:val="00236C4D"/>
    <w:rsid w:val="00237589"/>
    <w:rsid w:val="00241312"/>
    <w:rsid w:val="00241E17"/>
    <w:rsid w:val="00242BD0"/>
    <w:rsid w:val="00242CCB"/>
    <w:rsid w:val="002439D0"/>
    <w:rsid w:val="00243B67"/>
    <w:rsid w:val="00244281"/>
    <w:rsid w:val="002446E6"/>
    <w:rsid w:val="00246221"/>
    <w:rsid w:val="0024758B"/>
    <w:rsid w:val="00247B4B"/>
    <w:rsid w:val="00250B16"/>
    <w:rsid w:val="0025143F"/>
    <w:rsid w:val="00251DB6"/>
    <w:rsid w:val="00253240"/>
    <w:rsid w:val="00253D1B"/>
    <w:rsid w:val="002545E6"/>
    <w:rsid w:val="00255B9F"/>
    <w:rsid w:val="002579E3"/>
    <w:rsid w:val="00264887"/>
    <w:rsid w:val="00264C30"/>
    <w:rsid w:val="00265EBD"/>
    <w:rsid w:val="00267DF3"/>
    <w:rsid w:val="00271DC5"/>
    <w:rsid w:val="002733A0"/>
    <w:rsid w:val="00273E5A"/>
    <w:rsid w:val="002743D0"/>
    <w:rsid w:val="002751B7"/>
    <w:rsid w:val="00276A9C"/>
    <w:rsid w:val="00277370"/>
    <w:rsid w:val="002776A8"/>
    <w:rsid w:val="00280090"/>
    <w:rsid w:val="0028181B"/>
    <w:rsid w:val="00282B6A"/>
    <w:rsid w:val="002835BA"/>
    <w:rsid w:val="002875B9"/>
    <w:rsid w:val="00290176"/>
    <w:rsid w:val="002911F3"/>
    <w:rsid w:val="00294D65"/>
    <w:rsid w:val="002A0BBC"/>
    <w:rsid w:val="002A2E46"/>
    <w:rsid w:val="002A4405"/>
    <w:rsid w:val="002A4433"/>
    <w:rsid w:val="002A52A5"/>
    <w:rsid w:val="002A727E"/>
    <w:rsid w:val="002B08BB"/>
    <w:rsid w:val="002B4690"/>
    <w:rsid w:val="002B604E"/>
    <w:rsid w:val="002B625E"/>
    <w:rsid w:val="002C1A32"/>
    <w:rsid w:val="002C2BEA"/>
    <w:rsid w:val="002C2C59"/>
    <w:rsid w:val="002C33E5"/>
    <w:rsid w:val="002C35FD"/>
    <w:rsid w:val="002C7A56"/>
    <w:rsid w:val="002D018B"/>
    <w:rsid w:val="002D3D95"/>
    <w:rsid w:val="002D4DD0"/>
    <w:rsid w:val="002D5190"/>
    <w:rsid w:val="002D56CA"/>
    <w:rsid w:val="002D5CF0"/>
    <w:rsid w:val="002D7C72"/>
    <w:rsid w:val="002E1101"/>
    <w:rsid w:val="002E1EEC"/>
    <w:rsid w:val="002E305D"/>
    <w:rsid w:val="002E3A2F"/>
    <w:rsid w:val="002E3CC1"/>
    <w:rsid w:val="002E484D"/>
    <w:rsid w:val="002E6550"/>
    <w:rsid w:val="002F006C"/>
    <w:rsid w:val="002F2207"/>
    <w:rsid w:val="002F50F0"/>
    <w:rsid w:val="002F5B3D"/>
    <w:rsid w:val="002F620F"/>
    <w:rsid w:val="00300D02"/>
    <w:rsid w:val="00302DAA"/>
    <w:rsid w:val="00304503"/>
    <w:rsid w:val="0030486D"/>
    <w:rsid w:val="003057EF"/>
    <w:rsid w:val="00306011"/>
    <w:rsid w:val="0031140A"/>
    <w:rsid w:val="003139CB"/>
    <w:rsid w:val="00313CA8"/>
    <w:rsid w:val="00314982"/>
    <w:rsid w:val="00314A94"/>
    <w:rsid w:val="003151C8"/>
    <w:rsid w:val="00316149"/>
    <w:rsid w:val="0031723F"/>
    <w:rsid w:val="0031749C"/>
    <w:rsid w:val="00317779"/>
    <w:rsid w:val="00317822"/>
    <w:rsid w:val="00317DB3"/>
    <w:rsid w:val="003202D8"/>
    <w:rsid w:val="00322612"/>
    <w:rsid w:val="00322867"/>
    <w:rsid w:val="003256B4"/>
    <w:rsid w:val="0032570B"/>
    <w:rsid w:val="00326E4B"/>
    <w:rsid w:val="00327708"/>
    <w:rsid w:val="00331915"/>
    <w:rsid w:val="003320E3"/>
    <w:rsid w:val="0033360F"/>
    <w:rsid w:val="00337FAA"/>
    <w:rsid w:val="0034207D"/>
    <w:rsid w:val="00342BD7"/>
    <w:rsid w:val="00342CE4"/>
    <w:rsid w:val="00343A43"/>
    <w:rsid w:val="00343FC2"/>
    <w:rsid w:val="003453C7"/>
    <w:rsid w:val="003453F7"/>
    <w:rsid w:val="0034597E"/>
    <w:rsid w:val="0035003E"/>
    <w:rsid w:val="0035279C"/>
    <w:rsid w:val="00352841"/>
    <w:rsid w:val="00353B1C"/>
    <w:rsid w:val="00355C30"/>
    <w:rsid w:val="003563C4"/>
    <w:rsid w:val="00357712"/>
    <w:rsid w:val="00357F47"/>
    <w:rsid w:val="0036064A"/>
    <w:rsid w:val="00361848"/>
    <w:rsid w:val="0036260B"/>
    <w:rsid w:val="003631F8"/>
    <w:rsid w:val="00364B5F"/>
    <w:rsid w:val="0036536B"/>
    <w:rsid w:val="00366C30"/>
    <w:rsid w:val="00367622"/>
    <w:rsid w:val="0036774A"/>
    <w:rsid w:val="00367E71"/>
    <w:rsid w:val="003712BC"/>
    <w:rsid w:val="00372198"/>
    <w:rsid w:val="00373956"/>
    <w:rsid w:val="00374AB2"/>
    <w:rsid w:val="00375E7C"/>
    <w:rsid w:val="00380604"/>
    <w:rsid w:val="00382381"/>
    <w:rsid w:val="00383078"/>
    <w:rsid w:val="0038360F"/>
    <w:rsid w:val="003840A3"/>
    <w:rsid w:val="00384D60"/>
    <w:rsid w:val="00384F4E"/>
    <w:rsid w:val="00385396"/>
    <w:rsid w:val="0038562F"/>
    <w:rsid w:val="003878CA"/>
    <w:rsid w:val="00390D23"/>
    <w:rsid w:val="00392FA8"/>
    <w:rsid w:val="00393991"/>
    <w:rsid w:val="003957B7"/>
    <w:rsid w:val="003A023E"/>
    <w:rsid w:val="003A0625"/>
    <w:rsid w:val="003A0823"/>
    <w:rsid w:val="003A0C49"/>
    <w:rsid w:val="003A137E"/>
    <w:rsid w:val="003A4A90"/>
    <w:rsid w:val="003A60C9"/>
    <w:rsid w:val="003B4EBF"/>
    <w:rsid w:val="003B56AC"/>
    <w:rsid w:val="003B5E9F"/>
    <w:rsid w:val="003C11A2"/>
    <w:rsid w:val="003C1505"/>
    <w:rsid w:val="003C52E0"/>
    <w:rsid w:val="003C5F90"/>
    <w:rsid w:val="003D2021"/>
    <w:rsid w:val="003D30E0"/>
    <w:rsid w:val="003D45F1"/>
    <w:rsid w:val="003D4B93"/>
    <w:rsid w:val="003D5CA6"/>
    <w:rsid w:val="003E00DA"/>
    <w:rsid w:val="003E423E"/>
    <w:rsid w:val="003E4608"/>
    <w:rsid w:val="003E4CF5"/>
    <w:rsid w:val="003E6270"/>
    <w:rsid w:val="003E70D1"/>
    <w:rsid w:val="003E742A"/>
    <w:rsid w:val="003F5288"/>
    <w:rsid w:val="003F5996"/>
    <w:rsid w:val="003F5F46"/>
    <w:rsid w:val="004047B0"/>
    <w:rsid w:val="00404C04"/>
    <w:rsid w:val="004063E0"/>
    <w:rsid w:val="00406CC3"/>
    <w:rsid w:val="00411820"/>
    <w:rsid w:val="00413D22"/>
    <w:rsid w:val="00416916"/>
    <w:rsid w:val="00417478"/>
    <w:rsid w:val="004203C4"/>
    <w:rsid w:val="00422EFD"/>
    <w:rsid w:val="004267A7"/>
    <w:rsid w:val="00427378"/>
    <w:rsid w:val="004372CF"/>
    <w:rsid w:val="00437D4D"/>
    <w:rsid w:val="00440A34"/>
    <w:rsid w:val="00441DB4"/>
    <w:rsid w:val="00444BC9"/>
    <w:rsid w:val="00445E82"/>
    <w:rsid w:val="0044752C"/>
    <w:rsid w:val="00450D75"/>
    <w:rsid w:val="0045154D"/>
    <w:rsid w:val="004517B4"/>
    <w:rsid w:val="00451864"/>
    <w:rsid w:val="00452C6A"/>
    <w:rsid w:val="00453865"/>
    <w:rsid w:val="00456387"/>
    <w:rsid w:val="00456633"/>
    <w:rsid w:val="00456A00"/>
    <w:rsid w:val="0045756A"/>
    <w:rsid w:val="00457747"/>
    <w:rsid w:val="00460746"/>
    <w:rsid w:val="00462841"/>
    <w:rsid w:val="004633A4"/>
    <w:rsid w:val="00465C31"/>
    <w:rsid w:val="00467AED"/>
    <w:rsid w:val="00467D3C"/>
    <w:rsid w:val="00471329"/>
    <w:rsid w:val="00471923"/>
    <w:rsid w:val="0047217D"/>
    <w:rsid w:val="0047228E"/>
    <w:rsid w:val="00473F6E"/>
    <w:rsid w:val="004746D4"/>
    <w:rsid w:val="00475416"/>
    <w:rsid w:val="004772E7"/>
    <w:rsid w:val="00480B28"/>
    <w:rsid w:val="00484BD0"/>
    <w:rsid w:val="00485674"/>
    <w:rsid w:val="00490425"/>
    <w:rsid w:val="004920ED"/>
    <w:rsid w:val="004971B8"/>
    <w:rsid w:val="004A2378"/>
    <w:rsid w:val="004A31B5"/>
    <w:rsid w:val="004A3347"/>
    <w:rsid w:val="004A3773"/>
    <w:rsid w:val="004A6627"/>
    <w:rsid w:val="004A697A"/>
    <w:rsid w:val="004A6A22"/>
    <w:rsid w:val="004C04C4"/>
    <w:rsid w:val="004C41A4"/>
    <w:rsid w:val="004C430A"/>
    <w:rsid w:val="004C504B"/>
    <w:rsid w:val="004C7B35"/>
    <w:rsid w:val="004C7E5C"/>
    <w:rsid w:val="004D2F7F"/>
    <w:rsid w:val="004D3129"/>
    <w:rsid w:val="004D3929"/>
    <w:rsid w:val="004D40FA"/>
    <w:rsid w:val="004D4C34"/>
    <w:rsid w:val="004D50B3"/>
    <w:rsid w:val="004D62C9"/>
    <w:rsid w:val="004D6330"/>
    <w:rsid w:val="004D6BFD"/>
    <w:rsid w:val="004D764E"/>
    <w:rsid w:val="004E25AB"/>
    <w:rsid w:val="004E3998"/>
    <w:rsid w:val="004E4873"/>
    <w:rsid w:val="004E6320"/>
    <w:rsid w:val="004E7702"/>
    <w:rsid w:val="004E7944"/>
    <w:rsid w:val="004E7DE1"/>
    <w:rsid w:val="004F18D4"/>
    <w:rsid w:val="004F2397"/>
    <w:rsid w:val="004F39F9"/>
    <w:rsid w:val="004F4B79"/>
    <w:rsid w:val="005012E3"/>
    <w:rsid w:val="005034A8"/>
    <w:rsid w:val="005034CA"/>
    <w:rsid w:val="00505829"/>
    <w:rsid w:val="005071E3"/>
    <w:rsid w:val="00507EFD"/>
    <w:rsid w:val="00513B49"/>
    <w:rsid w:val="0051635A"/>
    <w:rsid w:val="00520034"/>
    <w:rsid w:val="00520868"/>
    <w:rsid w:val="00521176"/>
    <w:rsid w:val="00523004"/>
    <w:rsid w:val="005237EB"/>
    <w:rsid w:val="00530289"/>
    <w:rsid w:val="00530C7C"/>
    <w:rsid w:val="005326B7"/>
    <w:rsid w:val="00532B4C"/>
    <w:rsid w:val="00533307"/>
    <w:rsid w:val="005375F8"/>
    <w:rsid w:val="00540471"/>
    <w:rsid w:val="00541208"/>
    <w:rsid w:val="00543304"/>
    <w:rsid w:val="005439B2"/>
    <w:rsid w:val="00544F6E"/>
    <w:rsid w:val="005460D3"/>
    <w:rsid w:val="00546253"/>
    <w:rsid w:val="005469D1"/>
    <w:rsid w:val="005479CC"/>
    <w:rsid w:val="00552600"/>
    <w:rsid w:val="00552B61"/>
    <w:rsid w:val="005541A9"/>
    <w:rsid w:val="00555371"/>
    <w:rsid w:val="00556A89"/>
    <w:rsid w:val="00557584"/>
    <w:rsid w:val="00560316"/>
    <w:rsid w:val="005626A2"/>
    <w:rsid w:val="00563E3A"/>
    <w:rsid w:val="00565F2A"/>
    <w:rsid w:val="00567043"/>
    <w:rsid w:val="00570321"/>
    <w:rsid w:val="0057155D"/>
    <w:rsid w:val="00571888"/>
    <w:rsid w:val="00571DA0"/>
    <w:rsid w:val="00573B7B"/>
    <w:rsid w:val="0057609C"/>
    <w:rsid w:val="00576156"/>
    <w:rsid w:val="005809F6"/>
    <w:rsid w:val="00582FFB"/>
    <w:rsid w:val="005834BD"/>
    <w:rsid w:val="00584D2C"/>
    <w:rsid w:val="00585FB4"/>
    <w:rsid w:val="00590CBA"/>
    <w:rsid w:val="005921C0"/>
    <w:rsid w:val="005923F4"/>
    <w:rsid w:val="00593569"/>
    <w:rsid w:val="00594AF8"/>
    <w:rsid w:val="005952CF"/>
    <w:rsid w:val="0059605C"/>
    <w:rsid w:val="005964F5"/>
    <w:rsid w:val="00596D5E"/>
    <w:rsid w:val="005A1B3D"/>
    <w:rsid w:val="005A29F3"/>
    <w:rsid w:val="005A2E32"/>
    <w:rsid w:val="005A7319"/>
    <w:rsid w:val="005B3B1C"/>
    <w:rsid w:val="005B4A61"/>
    <w:rsid w:val="005B5CF2"/>
    <w:rsid w:val="005B64B9"/>
    <w:rsid w:val="005C025D"/>
    <w:rsid w:val="005C0DF5"/>
    <w:rsid w:val="005C3529"/>
    <w:rsid w:val="005C535F"/>
    <w:rsid w:val="005C6019"/>
    <w:rsid w:val="005C715C"/>
    <w:rsid w:val="005D1C19"/>
    <w:rsid w:val="005D26C7"/>
    <w:rsid w:val="005D45C5"/>
    <w:rsid w:val="005D68FE"/>
    <w:rsid w:val="005D6A03"/>
    <w:rsid w:val="005D6E11"/>
    <w:rsid w:val="005E1062"/>
    <w:rsid w:val="005E1CE3"/>
    <w:rsid w:val="005E3AA2"/>
    <w:rsid w:val="005E3F7F"/>
    <w:rsid w:val="005E4F7E"/>
    <w:rsid w:val="005F402B"/>
    <w:rsid w:val="005F5FCA"/>
    <w:rsid w:val="005F715D"/>
    <w:rsid w:val="005F72F5"/>
    <w:rsid w:val="005F7C6A"/>
    <w:rsid w:val="005F7C9B"/>
    <w:rsid w:val="0060189A"/>
    <w:rsid w:val="00605FC0"/>
    <w:rsid w:val="006063C0"/>
    <w:rsid w:val="006063D6"/>
    <w:rsid w:val="00606C37"/>
    <w:rsid w:val="00611911"/>
    <w:rsid w:val="00612458"/>
    <w:rsid w:val="00613151"/>
    <w:rsid w:val="006139EA"/>
    <w:rsid w:val="00613B0B"/>
    <w:rsid w:val="00615471"/>
    <w:rsid w:val="00615910"/>
    <w:rsid w:val="006172BC"/>
    <w:rsid w:val="00617A05"/>
    <w:rsid w:val="00620082"/>
    <w:rsid w:val="006230A5"/>
    <w:rsid w:val="006232CA"/>
    <w:rsid w:val="00624BAD"/>
    <w:rsid w:val="00633F7C"/>
    <w:rsid w:val="00634041"/>
    <w:rsid w:val="006347AA"/>
    <w:rsid w:val="0063534C"/>
    <w:rsid w:val="00637414"/>
    <w:rsid w:val="00637E9D"/>
    <w:rsid w:val="006402BF"/>
    <w:rsid w:val="0064259A"/>
    <w:rsid w:val="00643491"/>
    <w:rsid w:val="00644DAC"/>
    <w:rsid w:val="00651322"/>
    <w:rsid w:val="006551AA"/>
    <w:rsid w:val="00656B92"/>
    <w:rsid w:val="00657109"/>
    <w:rsid w:val="00657427"/>
    <w:rsid w:val="00660C65"/>
    <w:rsid w:val="006645BD"/>
    <w:rsid w:val="0066670D"/>
    <w:rsid w:val="00671120"/>
    <w:rsid w:val="006739F4"/>
    <w:rsid w:val="006744E5"/>
    <w:rsid w:val="00675265"/>
    <w:rsid w:val="00676434"/>
    <w:rsid w:val="00677344"/>
    <w:rsid w:val="00677F89"/>
    <w:rsid w:val="00680283"/>
    <w:rsid w:val="00681861"/>
    <w:rsid w:val="006818D3"/>
    <w:rsid w:val="00683765"/>
    <w:rsid w:val="00684C4D"/>
    <w:rsid w:val="00685725"/>
    <w:rsid w:val="00691A77"/>
    <w:rsid w:val="00691AD6"/>
    <w:rsid w:val="006921EA"/>
    <w:rsid w:val="006939EF"/>
    <w:rsid w:val="00694EF7"/>
    <w:rsid w:val="006A08FC"/>
    <w:rsid w:val="006A44E3"/>
    <w:rsid w:val="006A5395"/>
    <w:rsid w:val="006A562A"/>
    <w:rsid w:val="006A7AD2"/>
    <w:rsid w:val="006B2423"/>
    <w:rsid w:val="006B6526"/>
    <w:rsid w:val="006B6721"/>
    <w:rsid w:val="006B7EC5"/>
    <w:rsid w:val="006C2328"/>
    <w:rsid w:val="006C42FF"/>
    <w:rsid w:val="006D19D6"/>
    <w:rsid w:val="006D4222"/>
    <w:rsid w:val="006D52AB"/>
    <w:rsid w:val="006D5A7B"/>
    <w:rsid w:val="006D5A85"/>
    <w:rsid w:val="006E46F7"/>
    <w:rsid w:val="006E4A7A"/>
    <w:rsid w:val="006E5CB9"/>
    <w:rsid w:val="006E7145"/>
    <w:rsid w:val="006F0AF8"/>
    <w:rsid w:val="006F2F58"/>
    <w:rsid w:val="006F31A3"/>
    <w:rsid w:val="006F4AF1"/>
    <w:rsid w:val="006F4DDF"/>
    <w:rsid w:val="006F4E0F"/>
    <w:rsid w:val="006F6910"/>
    <w:rsid w:val="006F7199"/>
    <w:rsid w:val="006F7360"/>
    <w:rsid w:val="006F7B44"/>
    <w:rsid w:val="00703B00"/>
    <w:rsid w:val="00704DDA"/>
    <w:rsid w:val="00705D08"/>
    <w:rsid w:val="007068AB"/>
    <w:rsid w:val="00707F54"/>
    <w:rsid w:val="00710B73"/>
    <w:rsid w:val="00711749"/>
    <w:rsid w:val="00712988"/>
    <w:rsid w:val="00714186"/>
    <w:rsid w:val="00715182"/>
    <w:rsid w:val="00715C62"/>
    <w:rsid w:val="00720785"/>
    <w:rsid w:val="007217F7"/>
    <w:rsid w:val="00722ED3"/>
    <w:rsid w:val="007231F2"/>
    <w:rsid w:val="007239FA"/>
    <w:rsid w:val="00723AED"/>
    <w:rsid w:val="007249FC"/>
    <w:rsid w:val="0072546D"/>
    <w:rsid w:val="007277CE"/>
    <w:rsid w:val="0073704B"/>
    <w:rsid w:val="00737D1F"/>
    <w:rsid w:val="00740F3F"/>
    <w:rsid w:val="007411AD"/>
    <w:rsid w:val="007424D6"/>
    <w:rsid w:val="007438C6"/>
    <w:rsid w:val="00743E84"/>
    <w:rsid w:val="007454AB"/>
    <w:rsid w:val="00745734"/>
    <w:rsid w:val="00745AE4"/>
    <w:rsid w:val="00746C17"/>
    <w:rsid w:val="00750EC4"/>
    <w:rsid w:val="00753A39"/>
    <w:rsid w:val="00753BB4"/>
    <w:rsid w:val="007547ED"/>
    <w:rsid w:val="00757F87"/>
    <w:rsid w:val="00760F6D"/>
    <w:rsid w:val="007636AF"/>
    <w:rsid w:val="00766423"/>
    <w:rsid w:val="00766755"/>
    <w:rsid w:val="007703C8"/>
    <w:rsid w:val="007747E9"/>
    <w:rsid w:val="00774C04"/>
    <w:rsid w:val="00775C78"/>
    <w:rsid w:val="00776A05"/>
    <w:rsid w:val="00777FD2"/>
    <w:rsid w:val="00780F06"/>
    <w:rsid w:val="00782730"/>
    <w:rsid w:val="00783B44"/>
    <w:rsid w:val="00786A46"/>
    <w:rsid w:val="007874D5"/>
    <w:rsid w:val="00787FD0"/>
    <w:rsid w:val="00790114"/>
    <w:rsid w:val="007962F8"/>
    <w:rsid w:val="007A04D1"/>
    <w:rsid w:val="007A04E2"/>
    <w:rsid w:val="007A0739"/>
    <w:rsid w:val="007A0BE5"/>
    <w:rsid w:val="007A1576"/>
    <w:rsid w:val="007A284E"/>
    <w:rsid w:val="007A4EC7"/>
    <w:rsid w:val="007B1643"/>
    <w:rsid w:val="007B1D21"/>
    <w:rsid w:val="007B1D29"/>
    <w:rsid w:val="007B1ECB"/>
    <w:rsid w:val="007B2E9E"/>
    <w:rsid w:val="007B5310"/>
    <w:rsid w:val="007B5E5F"/>
    <w:rsid w:val="007C5D2E"/>
    <w:rsid w:val="007C6155"/>
    <w:rsid w:val="007D03BF"/>
    <w:rsid w:val="007D0C27"/>
    <w:rsid w:val="007D52E7"/>
    <w:rsid w:val="007D7825"/>
    <w:rsid w:val="007E26B6"/>
    <w:rsid w:val="007E3920"/>
    <w:rsid w:val="007E3D6E"/>
    <w:rsid w:val="007E461C"/>
    <w:rsid w:val="007E5882"/>
    <w:rsid w:val="007F0BB2"/>
    <w:rsid w:val="007F0BDA"/>
    <w:rsid w:val="007F28AB"/>
    <w:rsid w:val="007F3106"/>
    <w:rsid w:val="007F391C"/>
    <w:rsid w:val="007F3C4A"/>
    <w:rsid w:val="007F4BC5"/>
    <w:rsid w:val="007F6652"/>
    <w:rsid w:val="00801F0E"/>
    <w:rsid w:val="0080326C"/>
    <w:rsid w:val="00803BE1"/>
    <w:rsid w:val="00811864"/>
    <w:rsid w:val="00814445"/>
    <w:rsid w:val="00817967"/>
    <w:rsid w:val="00825733"/>
    <w:rsid w:val="0082668D"/>
    <w:rsid w:val="00834D5C"/>
    <w:rsid w:val="00836A46"/>
    <w:rsid w:val="00836BE0"/>
    <w:rsid w:val="00837EDE"/>
    <w:rsid w:val="008406E2"/>
    <w:rsid w:val="00844436"/>
    <w:rsid w:val="008448E8"/>
    <w:rsid w:val="008460A8"/>
    <w:rsid w:val="00846413"/>
    <w:rsid w:val="008469E4"/>
    <w:rsid w:val="00847D8C"/>
    <w:rsid w:val="0085029B"/>
    <w:rsid w:val="00850877"/>
    <w:rsid w:val="00851DF8"/>
    <w:rsid w:val="0085654B"/>
    <w:rsid w:val="00861D6F"/>
    <w:rsid w:val="00862D86"/>
    <w:rsid w:val="00863257"/>
    <w:rsid w:val="00863C90"/>
    <w:rsid w:val="0086436C"/>
    <w:rsid w:val="008648F7"/>
    <w:rsid w:val="00865839"/>
    <w:rsid w:val="008729E6"/>
    <w:rsid w:val="00872A34"/>
    <w:rsid w:val="00874106"/>
    <w:rsid w:val="00875527"/>
    <w:rsid w:val="00875C5C"/>
    <w:rsid w:val="00875DCD"/>
    <w:rsid w:val="00880564"/>
    <w:rsid w:val="00884DDA"/>
    <w:rsid w:val="00886837"/>
    <w:rsid w:val="00893BCB"/>
    <w:rsid w:val="0089449E"/>
    <w:rsid w:val="00894866"/>
    <w:rsid w:val="00894883"/>
    <w:rsid w:val="0089551E"/>
    <w:rsid w:val="00896AA2"/>
    <w:rsid w:val="008A083C"/>
    <w:rsid w:val="008A1C85"/>
    <w:rsid w:val="008A25F1"/>
    <w:rsid w:val="008A3AB2"/>
    <w:rsid w:val="008A560B"/>
    <w:rsid w:val="008A625C"/>
    <w:rsid w:val="008B1106"/>
    <w:rsid w:val="008B26FB"/>
    <w:rsid w:val="008B5244"/>
    <w:rsid w:val="008C0E58"/>
    <w:rsid w:val="008C2089"/>
    <w:rsid w:val="008C2839"/>
    <w:rsid w:val="008C29B3"/>
    <w:rsid w:val="008C38D2"/>
    <w:rsid w:val="008C3914"/>
    <w:rsid w:val="008C4663"/>
    <w:rsid w:val="008C52CC"/>
    <w:rsid w:val="008C5D1A"/>
    <w:rsid w:val="008C5F98"/>
    <w:rsid w:val="008D0655"/>
    <w:rsid w:val="008D1D36"/>
    <w:rsid w:val="008D2300"/>
    <w:rsid w:val="008D4ABC"/>
    <w:rsid w:val="008D4E76"/>
    <w:rsid w:val="008D512C"/>
    <w:rsid w:val="008D5265"/>
    <w:rsid w:val="008D6BC8"/>
    <w:rsid w:val="008D6D2F"/>
    <w:rsid w:val="008D7702"/>
    <w:rsid w:val="008E283B"/>
    <w:rsid w:val="008E3182"/>
    <w:rsid w:val="008E40D8"/>
    <w:rsid w:val="008E4853"/>
    <w:rsid w:val="008E5769"/>
    <w:rsid w:val="008F0AA1"/>
    <w:rsid w:val="008F1ADF"/>
    <w:rsid w:val="008F1C9E"/>
    <w:rsid w:val="008F1FBF"/>
    <w:rsid w:val="008F2187"/>
    <w:rsid w:val="008F29BC"/>
    <w:rsid w:val="008F2F7B"/>
    <w:rsid w:val="008F3B2B"/>
    <w:rsid w:val="008F47E2"/>
    <w:rsid w:val="008F5FD0"/>
    <w:rsid w:val="008F7933"/>
    <w:rsid w:val="00901C7A"/>
    <w:rsid w:val="009044CD"/>
    <w:rsid w:val="009103BD"/>
    <w:rsid w:val="00913E5A"/>
    <w:rsid w:val="00914764"/>
    <w:rsid w:val="00914FD9"/>
    <w:rsid w:val="00916479"/>
    <w:rsid w:val="00920BDB"/>
    <w:rsid w:val="00922AE7"/>
    <w:rsid w:val="00924D89"/>
    <w:rsid w:val="00926661"/>
    <w:rsid w:val="00926B04"/>
    <w:rsid w:val="00926CE7"/>
    <w:rsid w:val="0093233E"/>
    <w:rsid w:val="009323FF"/>
    <w:rsid w:val="0093294F"/>
    <w:rsid w:val="009350E3"/>
    <w:rsid w:val="0093543D"/>
    <w:rsid w:val="00935E0A"/>
    <w:rsid w:val="00937CBE"/>
    <w:rsid w:val="009400E5"/>
    <w:rsid w:val="00940240"/>
    <w:rsid w:val="00940C1C"/>
    <w:rsid w:val="00941769"/>
    <w:rsid w:val="00942A64"/>
    <w:rsid w:val="00944ABD"/>
    <w:rsid w:val="009455D3"/>
    <w:rsid w:val="009468E5"/>
    <w:rsid w:val="00950263"/>
    <w:rsid w:val="00952269"/>
    <w:rsid w:val="009534EC"/>
    <w:rsid w:val="0095489F"/>
    <w:rsid w:val="00956100"/>
    <w:rsid w:val="009603D6"/>
    <w:rsid w:val="0096164F"/>
    <w:rsid w:val="00964CF8"/>
    <w:rsid w:val="00965335"/>
    <w:rsid w:val="00967037"/>
    <w:rsid w:val="00971034"/>
    <w:rsid w:val="0097275F"/>
    <w:rsid w:val="00975B02"/>
    <w:rsid w:val="0097687C"/>
    <w:rsid w:val="009770BC"/>
    <w:rsid w:val="00977F0D"/>
    <w:rsid w:val="0098409F"/>
    <w:rsid w:val="00984195"/>
    <w:rsid w:val="00984C96"/>
    <w:rsid w:val="00987E8F"/>
    <w:rsid w:val="009919DB"/>
    <w:rsid w:val="0099218D"/>
    <w:rsid w:val="009929D5"/>
    <w:rsid w:val="00993038"/>
    <w:rsid w:val="00993FE3"/>
    <w:rsid w:val="0099416F"/>
    <w:rsid w:val="0099578D"/>
    <w:rsid w:val="009A04EC"/>
    <w:rsid w:val="009A27E2"/>
    <w:rsid w:val="009A3C26"/>
    <w:rsid w:val="009A47C6"/>
    <w:rsid w:val="009A59D0"/>
    <w:rsid w:val="009A7871"/>
    <w:rsid w:val="009B2AEB"/>
    <w:rsid w:val="009B4B9D"/>
    <w:rsid w:val="009B529F"/>
    <w:rsid w:val="009B591D"/>
    <w:rsid w:val="009B66C6"/>
    <w:rsid w:val="009B6DE9"/>
    <w:rsid w:val="009C0C39"/>
    <w:rsid w:val="009C1694"/>
    <w:rsid w:val="009C2BC9"/>
    <w:rsid w:val="009C36DE"/>
    <w:rsid w:val="009C5D40"/>
    <w:rsid w:val="009C7A15"/>
    <w:rsid w:val="009D0674"/>
    <w:rsid w:val="009D1836"/>
    <w:rsid w:val="009D4381"/>
    <w:rsid w:val="009D5421"/>
    <w:rsid w:val="009D5A20"/>
    <w:rsid w:val="009D5A4D"/>
    <w:rsid w:val="009E007E"/>
    <w:rsid w:val="009E258A"/>
    <w:rsid w:val="009E3502"/>
    <w:rsid w:val="009E41CE"/>
    <w:rsid w:val="009F00E2"/>
    <w:rsid w:val="009F0325"/>
    <w:rsid w:val="009F143A"/>
    <w:rsid w:val="009F18AA"/>
    <w:rsid w:val="009F19BA"/>
    <w:rsid w:val="009F215D"/>
    <w:rsid w:val="009F2D15"/>
    <w:rsid w:val="009F3BE0"/>
    <w:rsid w:val="009F6389"/>
    <w:rsid w:val="009F78E3"/>
    <w:rsid w:val="009F7E09"/>
    <w:rsid w:val="00A024B5"/>
    <w:rsid w:val="00A0422D"/>
    <w:rsid w:val="00A04E03"/>
    <w:rsid w:val="00A0685F"/>
    <w:rsid w:val="00A07406"/>
    <w:rsid w:val="00A118CA"/>
    <w:rsid w:val="00A126F2"/>
    <w:rsid w:val="00A12DF2"/>
    <w:rsid w:val="00A168C5"/>
    <w:rsid w:val="00A17306"/>
    <w:rsid w:val="00A1762F"/>
    <w:rsid w:val="00A203FC"/>
    <w:rsid w:val="00A21E36"/>
    <w:rsid w:val="00A22697"/>
    <w:rsid w:val="00A22859"/>
    <w:rsid w:val="00A23C67"/>
    <w:rsid w:val="00A23F9B"/>
    <w:rsid w:val="00A24025"/>
    <w:rsid w:val="00A244D1"/>
    <w:rsid w:val="00A25D6D"/>
    <w:rsid w:val="00A26559"/>
    <w:rsid w:val="00A303A7"/>
    <w:rsid w:val="00A31FEA"/>
    <w:rsid w:val="00A32098"/>
    <w:rsid w:val="00A32C77"/>
    <w:rsid w:val="00A35ABC"/>
    <w:rsid w:val="00A36C96"/>
    <w:rsid w:val="00A443AE"/>
    <w:rsid w:val="00A44DA6"/>
    <w:rsid w:val="00A45062"/>
    <w:rsid w:val="00A47337"/>
    <w:rsid w:val="00A4796F"/>
    <w:rsid w:val="00A52F18"/>
    <w:rsid w:val="00A5408C"/>
    <w:rsid w:val="00A60576"/>
    <w:rsid w:val="00A61AD4"/>
    <w:rsid w:val="00A639B0"/>
    <w:rsid w:val="00A63ABA"/>
    <w:rsid w:val="00A66616"/>
    <w:rsid w:val="00A67693"/>
    <w:rsid w:val="00A7090A"/>
    <w:rsid w:val="00A70AF0"/>
    <w:rsid w:val="00A7334B"/>
    <w:rsid w:val="00A75FA4"/>
    <w:rsid w:val="00A7610D"/>
    <w:rsid w:val="00A76391"/>
    <w:rsid w:val="00A76CF7"/>
    <w:rsid w:val="00A77F1D"/>
    <w:rsid w:val="00A812DC"/>
    <w:rsid w:val="00A82CF5"/>
    <w:rsid w:val="00A8508D"/>
    <w:rsid w:val="00A86D26"/>
    <w:rsid w:val="00A870DF"/>
    <w:rsid w:val="00A87151"/>
    <w:rsid w:val="00A92E1F"/>
    <w:rsid w:val="00A93D4F"/>
    <w:rsid w:val="00A94984"/>
    <w:rsid w:val="00A95EF8"/>
    <w:rsid w:val="00A96B72"/>
    <w:rsid w:val="00A96BF5"/>
    <w:rsid w:val="00A970D6"/>
    <w:rsid w:val="00AA18F9"/>
    <w:rsid w:val="00AA3201"/>
    <w:rsid w:val="00AA535D"/>
    <w:rsid w:val="00AA6956"/>
    <w:rsid w:val="00AA75E5"/>
    <w:rsid w:val="00AB0AC4"/>
    <w:rsid w:val="00AB0B52"/>
    <w:rsid w:val="00AB170B"/>
    <w:rsid w:val="00AB5CB9"/>
    <w:rsid w:val="00AC2872"/>
    <w:rsid w:val="00AC3D11"/>
    <w:rsid w:val="00AC5F0D"/>
    <w:rsid w:val="00AC5F1D"/>
    <w:rsid w:val="00AD00FC"/>
    <w:rsid w:val="00AD186A"/>
    <w:rsid w:val="00AD277C"/>
    <w:rsid w:val="00AD38E8"/>
    <w:rsid w:val="00AD4184"/>
    <w:rsid w:val="00AD49D3"/>
    <w:rsid w:val="00AD5D2C"/>
    <w:rsid w:val="00AE115F"/>
    <w:rsid w:val="00AE338B"/>
    <w:rsid w:val="00AE36A3"/>
    <w:rsid w:val="00AE5E44"/>
    <w:rsid w:val="00AE690E"/>
    <w:rsid w:val="00AE72B1"/>
    <w:rsid w:val="00AF100B"/>
    <w:rsid w:val="00AF1D4D"/>
    <w:rsid w:val="00AF1EDB"/>
    <w:rsid w:val="00AF216A"/>
    <w:rsid w:val="00AF33ED"/>
    <w:rsid w:val="00AF556E"/>
    <w:rsid w:val="00AF5891"/>
    <w:rsid w:val="00B00248"/>
    <w:rsid w:val="00B00507"/>
    <w:rsid w:val="00B02D14"/>
    <w:rsid w:val="00B045AF"/>
    <w:rsid w:val="00B065D7"/>
    <w:rsid w:val="00B12851"/>
    <w:rsid w:val="00B20D91"/>
    <w:rsid w:val="00B243BE"/>
    <w:rsid w:val="00B26011"/>
    <w:rsid w:val="00B26EB9"/>
    <w:rsid w:val="00B2714A"/>
    <w:rsid w:val="00B27C16"/>
    <w:rsid w:val="00B32467"/>
    <w:rsid w:val="00B33ABF"/>
    <w:rsid w:val="00B343C4"/>
    <w:rsid w:val="00B36822"/>
    <w:rsid w:val="00B37676"/>
    <w:rsid w:val="00B4033F"/>
    <w:rsid w:val="00B412A2"/>
    <w:rsid w:val="00B41C14"/>
    <w:rsid w:val="00B425BB"/>
    <w:rsid w:val="00B4505D"/>
    <w:rsid w:val="00B453BC"/>
    <w:rsid w:val="00B54B04"/>
    <w:rsid w:val="00B54D7D"/>
    <w:rsid w:val="00B56D98"/>
    <w:rsid w:val="00B5731F"/>
    <w:rsid w:val="00B62A84"/>
    <w:rsid w:val="00B70B94"/>
    <w:rsid w:val="00B70FF0"/>
    <w:rsid w:val="00B71B46"/>
    <w:rsid w:val="00B71BB4"/>
    <w:rsid w:val="00B72232"/>
    <w:rsid w:val="00B728B0"/>
    <w:rsid w:val="00B72976"/>
    <w:rsid w:val="00B72BAF"/>
    <w:rsid w:val="00B75CD4"/>
    <w:rsid w:val="00B761EC"/>
    <w:rsid w:val="00B76500"/>
    <w:rsid w:val="00B7695E"/>
    <w:rsid w:val="00B80E3F"/>
    <w:rsid w:val="00B81905"/>
    <w:rsid w:val="00B82998"/>
    <w:rsid w:val="00B83017"/>
    <w:rsid w:val="00B855F4"/>
    <w:rsid w:val="00B86026"/>
    <w:rsid w:val="00B86341"/>
    <w:rsid w:val="00B8654E"/>
    <w:rsid w:val="00B868FF"/>
    <w:rsid w:val="00B86EF9"/>
    <w:rsid w:val="00B92A39"/>
    <w:rsid w:val="00B94831"/>
    <w:rsid w:val="00B94ED3"/>
    <w:rsid w:val="00B971F9"/>
    <w:rsid w:val="00BA06FA"/>
    <w:rsid w:val="00BA1721"/>
    <w:rsid w:val="00BA21EE"/>
    <w:rsid w:val="00BA2EEF"/>
    <w:rsid w:val="00BA3166"/>
    <w:rsid w:val="00BA4533"/>
    <w:rsid w:val="00BA5D8D"/>
    <w:rsid w:val="00BA618E"/>
    <w:rsid w:val="00BA6D2A"/>
    <w:rsid w:val="00BA7C80"/>
    <w:rsid w:val="00BB25CB"/>
    <w:rsid w:val="00BB3A65"/>
    <w:rsid w:val="00BB6688"/>
    <w:rsid w:val="00BC126B"/>
    <w:rsid w:val="00BC17FD"/>
    <w:rsid w:val="00BC1B7A"/>
    <w:rsid w:val="00BC54E5"/>
    <w:rsid w:val="00BC6974"/>
    <w:rsid w:val="00BD3648"/>
    <w:rsid w:val="00BD3694"/>
    <w:rsid w:val="00BD5A4F"/>
    <w:rsid w:val="00BD66D0"/>
    <w:rsid w:val="00BD6BE0"/>
    <w:rsid w:val="00BD6F58"/>
    <w:rsid w:val="00BE0A71"/>
    <w:rsid w:val="00BE3F70"/>
    <w:rsid w:val="00BE4E49"/>
    <w:rsid w:val="00BE5E5E"/>
    <w:rsid w:val="00BE746C"/>
    <w:rsid w:val="00BF0E49"/>
    <w:rsid w:val="00BF1DB2"/>
    <w:rsid w:val="00BF33E2"/>
    <w:rsid w:val="00BF44DA"/>
    <w:rsid w:val="00BF5236"/>
    <w:rsid w:val="00BF6F58"/>
    <w:rsid w:val="00BF73B1"/>
    <w:rsid w:val="00C0079F"/>
    <w:rsid w:val="00C03332"/>
    <w:rsid w:val="00C03BD5"/>
    <w:rsid w:val="00C046B1"/>
    <w:rsid w:val="00C05DD2"/>
    <w:rsid w:val="00C062F5"/>
    <w:rsid w:val="00C06486"/>
    <w:rsid w:val="00C064CE"/>
    <w:rsid w:val="00C10923"/>
    <w:rsid w:val="00C1243A"/>
    <w:rsid w:val="00C12457"/>
    <w:rsid w:val="00C124B2"/>
    <w:rsid w:val="00C13905"/>
    <w:rsid w:val="00C15629"/>
    <w:rsid w:val="00C1710D"/>
    <w:rsid w:val="00C17D1D"/>
    <w:rsid w:val="00C234DD"/>
    <w:rsid w:val="00C23779"/>
    <w:rsid w:val="00C269DF"/>
    <w:rsid w:val="00C27A78"/>
    <w:rsid w:val="00C36C69"/>
    <w:rsid w:val="00C40226"/>
    <w:rsid w:val="00C40404"/>
    <w:rsid w:val="00C42B83"/>
    <w:rsid w:val="00C44CD6"/>
    <w:rsid w:val="00C501F0"/>
    <w:rsid w:val="00C517D6"/>
    <w:rsid w:val="00C52368"/>
    <w:rsid w:val="00C52796"/>
    <w:rsid w:val="00C578E8"/>
    <w:rsid w:val="00C617A5"/>
    <w:rsid w:val="00C62877"/>
    <w:rsid w:val="00C6463C"/>
    <w:rsid w:val="00C64C26"/>
    <w:rsid w:val="00C66139"/>
    <w:rsid w:val="00C673D6"/>
    <w:rsid w:val="00C70927"/>
    <w:rsid w:val="00C71288"/>
    <w:rsid w:val="00C7213E"/>
    <w:rsid w:val="00C72E11"/>
    <w:rsid w:val="00C737DB"/>
    <w:rsid w:val="00C75CE5"/>
    <w:rsid w:val="00C75D67"/>
    <w:rsid w:val="00C77AE1"/>
    <w:rsid w:val="00C77CCE"/>
    <w:rsid w:val="00C80356"/>
    <w:rsid w:val="00C81C4C"/>
    <w:rsid w:val="00C82A1C"/>
    <w:rsid w:val="00C83015"/>
    <w:rsid w:val="00C83A11"/>
    <w:rsid w:val="00C8434A"/>
    <w:rsid w:val="00C869E0"/>
    <w:rsid w:val="00C878BB"/>
    <w:rsid w:val="00C91444"/>
    <w:rsid w:val="00C91E39"/>
    <w:rsid w:val="00C93475"/>
    <w:rsid w:val="00CA007D"/>
    <w:rsid w:val="00CA0FE0"/>
    <w:rsid w:val="00CA2539"/>
    <w:rsid w:val="00CA65A8"/>
    <w:rsid w:val="00CB51F2"/>
    <w:rsid w:val="00CB5365"/>
    <w:rsid w:val="00CB6FDA"/>
    <w:rsid w:val="00CC1D2C"/>
    <w:rsid w:val="00CC2140"/>
    <w:rsid w:val="00CC7E9A"/>
    <w:rsid w:val="00CD0A56"/>
    <w:rsid w:val="00CD131C"/>
    <w:rsid w:val="00CD2BD7"/>
    <w:rsid w:val="00CD44FE"/>
    <w:rsid w:val="00CD4637"/>
    <w:rsid w:val="00CD4DDE"/>
    <w:rsid w:val="00CD5CB8"/>
    <w:rsid w:val="00CD60EF"/>
    <w:rsid w:val="00CD79C6"/>
    <w:rsid w:val="00CE1D20"/>
    <w:rsid w:val="00CE269E"/>
    <w:rsid w:val="00CE2C33"/>
    <w:rsid w:val="00CE566B"/>
    <w:rsid w:val="00CE5F47"/>
    <w:rsid w:val="00CF0138"/>
    <w:rsid w:val="00CF0524"/>
    <w:rsid w:val="00CF4882"/>
    <w:rsid w:val="00CF7B40"/>
    <w:rsid w:val="00CF7F8A"/>
    <w:rsid w:val="00D009BD"/>
    <w:rsid w:val="00D00BB1"/>
    <w:rsid w:val="00D01886"/>
    <w:rsid w:val="00D01897"/>
    <w:rsid w:val="00D03615"/>
    <w:rsid w:val="00D03B8C"/>
    <w:rsid w:val="00D1383A"/>
    <w:rsid w:val="00D2339B"/>
    <w:rsid w:val="00D24E80"/>
    <w:rsid w:val="00D251BB"/>
    <w:rsid w:val="00D2578C"/>
    <w:rsid w:val="00D25A1A"/>
    <w:rsid w:val="00D2775B"/>
    <w:rsid w:val="00D31BD4"/>
    <w:rsid w:val="00D31BD8"/>
    <w:rsid w:val="00D32945"/>
    <w:rsid w:val="00D33BB6"/>
    <w:rsid w:val="00D35DF8"/>
    <w:rsid w:val="00D37730"/>
    <w:rsid w:val="00D40E88"/>
    <w:rsid w:val="00D41128"/>
    <w:rsid w:val="00D42487"/>
    <w:rsid w:val="00D42842"/>
    <w:rsid w:val="00D42CB8"/>
    <w:rsid w:val="00D42E91"/>
    <w:rsid w:val="00D438FE"/>
    <w:rsid w:val="00D45268"/>
    <w:rsid w:val="00D46553"/>
    <w:rsid w:val="00D50462"/>
    <w:rsid w:val="00D529B7"/>
    <w:rsid w:val="00D53D1C"/>
    <w:rsid w:val="00D540DD"/>
    <w:rsid w:val="00D56236"/>
    <w:rsid w:val="00D56924"/>
    <w:rsid w:val="00D57B97"/>
    <w:rsid w:val="00D57EF4"/>
    <w:rsid w:val="00D60AB6"/>
    <w:rsid w:val="00D61283"/>
    <w:rsid w:val="00D614C9"/>
    <w:rsid w:val="00D63CE1"/>
    <w:rsid w:val="00D65D71"/>
    <w:rsid w:val="00D665C7"/>
    <w:rsid w:val="00D668CF"/>
    <w:rsid w:val="00D67524"/>
    <w:rsid w:val="00D70F1E"/>
    <w:rsid w:val="00D72CFA"/>
    <w:rsid w:val="00D7381F"/>
    <w:rsid w:val="00D73B08"/>
    <w:rsid w:val="00D74D13"/>
    <w:rsid w:val="00D74F7A"/>
    <w:rsid w:val="00D76D87"/>
    <w:rsid w:val="00D8057A"/>
    <w:rsid w:val="00D82689"/>
    <w:rsid w:val="00D831BF"/>
    <w:rsid w:val="00D8432E"/>
    <w:rsid w:val="00D84638"/>
    <w:rsid w:val="00D85CA3"/>
    <w:rsid w:val="00D85E81"/>
    <w:rsid w:val="00D8774C"/>
    <w:rsid w:val="00D87BE1"/>
    <w:rsid w:val="00D92904"/>
    <w:rsid w:val="00D9544D"/>
    <w:rsid w:val="00D95916"/>
    <w:rsid w:val="00D97F5B"/>
    <w:rsid w:val="00DA639B"/>
    <w:rsid w:val="00DA767D"/>
    <w:rsid w:val="00DA7E98"/>
    <w:rsid w:val="00DB0F56"/>
    <w:rsid w:val="00DB158B"/>
    <w:rsid w:val="00DB3609"/>
    <w:rsid w:val="00DB48C4"/>
    <w:rsid w:val="00DB4F0A"/>
    <w:rsid w:val="00DB6FCB"/>
    <w:rsid w:val="00DC5D85"/>
    <w:rsid w:val="00DC6EC0"/>
    <w:rsid w:val="00DD08A1"/>
    <w:rsid w:val="00DD0ADB"/>
    <w:rsid w:val="00DD2F02"/>
    <w:rsid w:val="00DD37A0"/>
    <w:rsid w:val="00DD5F49"/>
    <w:rsid w:val="00DE247E"/>
    <w:rsid w:val="00DE2CC4"/>
    <w:rsid w:val="00DE45A9"/>
    <w:rsid w:val="00DE7BD4"/>
    <w:rsid w:val="00DF16B1"/>
    <w:rsid w:val="00DF37D4"/>
    <w:rsid w:val="00DF468E"/>
    <w:rsid w:val="00DF4DB7"/>
    <w:rsid w:val="00E00F25"/>
    <w:rsid w:val="00E021F2"/>
    <w:rsid w:val="00E023B3"/>
    <w:rsid w:val="00E03626"/>
    <w:rsid w:val="00E03813"/>
    <w:rsid w:val="00E03A34"/>
    <w:rsid w:val="00E0544E"/>
    <w:rsid w:val="00E0546E"/>
    <w:rsid w:val="00E07A61"/>
    <w:rsid w:val="00E115F7"/>
    <w:rsid w:val="00E13209"/>
    <w:rsid w:val="00E14F6B"/>
    <w:rsid w:val="00E16C3E"/>
    <w:rsid w:val="00E262FC"/>
    <w:rsid w:val="00E26C67"/>
    <w:rsid w:val="00E30719"/>
    <w:rsid w:val="00E30B3D"/>
    <w:rsid w:val="00E344B8"/>
    <w:rsid w:val="00E37A65"/>
    <w:rsid w:val="00E40645"/>
    <w:rsid w:val="00E408EC"/>
    <w:rsid w:val="00E410FD"/>
    <w:rsid w:val="00E442DA"/>
    <w:rsid w:val="00E453F0"/>
    <w:rsid w:val="00E4588A"/>
    <w:rsid w:val="00E465EE"/>
    <w:rsid w:val="00E4755D"/>
    <w:rsid w:val="00E50A1B"/>
    <w:rsid w:val="00E51757"/>
    <w:rsid w:val="00E521E3"/>
    <w:rsid w:val="00E533CD"/>
    <w:rsid w:val="00E53872"/>
    <w:rsid w:val="00E53C06"/>
    <w:rsid w:val="00E54B4F"/>
    <w:rsid w:val="00E55FEA"/>
    <w:rsid w:val="00E578B9"/>
    <w:rsid w:val="00E57E7D"/>
    <w:rsid w:val="00E6023C"/>
    <w:rsid w:val="00E71DB0"/>
    <w:rsid w:val="00E72B0E"/>
    <w:rsid w:val="00E74EC6"/>
    <w:rsid w:val="00E74F37"/>
    <w:rsid w:val="00E75D39"/>
    <w:rsid w:val="00E76634"/>
    <w:rsid w:val="00E80004"/>
    <w:rsid w:val="00E80D5D"/>
    <w:rsid w:val="00E80EA6"/>
    <w:rsid w:val="00E816AC"/>
    <w:rsid w:val="00E82C8A"/>
    <w:rsid w:val="00E830B6"/>
    <w:rsid w:val="00E83EB7"/>
    <w:rsid w:val="00E84F5D"/>
    <w:rsid w:val="00E85F85"/>
    <w:rsid w:val="00E92630"/>
    <w:rsid w:val="00E94A75"/>
    <w:rsid w:val="00E95107"/>
    <w:rsid w:val="00E95989"/>
    <w:rsid w:val="00E9609F"/>
    <w:rsid w:val="00E96F7A"/>
    <w:rsid w:val="00EA0254"/>
    <w:rsid w:val="00EA0D9F"/>
    <w:rsid w:val="00EA3445"/>
    <w:rsid w:val="00EA53E7"/>
    <w:rsid w:val="00EA6CFF"/>
    <w:rsid w:val="00EA7D70"/>
    <w:rsid w:val="00EB091F"/>
    <w:rsid w:val="00EB0F87"/>
    <w:rsid w:val="00EB17A4"/>
    <w:rsid w:val="00EB216E"/>
    <w:rsid w:val="00EB2584"/>
    <w:rsid w:val="00EB33D5"/>
    <w:rsid w:val="00EB5230"/>
    <w:rsid w:val="00EB55F6"/>
    <w:rsid w:val="00EB687C"/>
    <w:rsid w:val="00EB78B2"/>
    <w:rsid w:val="00EC06A7"/>
    <w:rsid w:val="00EC6433"/>
    <w:rsid w:val="00EC700D"/>
    <w:rsid w:val="00ED1DDD"/>
    <w:rsid w:val="00ED2EFF"/>
    <w:rsid w:val="00ED4039"/>
    <w:rsid w:val="00ED5F3C"/>
    <w:rsid w:val="00ED6D6F"/>
    <w:rsid w:val="00EE037A"/>
    <w:rsid w:val="00EE16B6"/>
    <w:rsid w:val="00EE2BD2"/>
    <w:rsid w:val="00EE5573"/>
    <w:rsid w:val="00EE7716"/>
    <w:rsid w:val="00EF12A8"/>
    <w:rsid w:val="00EF3688"/>
    <w:rsid w:val="00EF41D5"/>
    <w:rsid w:val="00EF420E"/>
    <w:rsid w:val="00EF7930"/>
    <w:rsid w:val="00EF7996"/>
    <w:rsid w:val="00F02594"/>
    <w:rsid w:val="00F0336F"/>
    <w:rsid w:val="00F03843"/>
    <w:rsid w:val="00F05A17"/>
    <w:rsid w:val="00F05C8A"/>
    <w:rsid w:val="00F06186"/>
    <w:rsid w:val="00F1487A"/>
    <w:rsid w:val="00F16A34"/>
    <w:rsid w:val="00F20839"/>
    <w:rsid w:val="00F229BD"/>
    <w:rsid w:val="00F247B6"/>
    <w:rsid w:val="00F252A6"/>
    <w:rsid w:val="00F2619C"/>
    <w:rsid w:val="00F262D4"/>
    <w:rsid w:val="00F3189A"/>
    <w:rsid w:val="00F325C2"/>
    <w:rsid w:val="00F32DFC"/>
    <w:rsid w:val="00F34A04"/>
    <w:rsid w:val="00F34DAA"/>
    <w:rsid w:val="00F35D06"/>
    <w:rsid w:val="00F37F62"/>
    <w:rsid w:val="00F42CBB"/>
    <w:rsid w:val="00F42D7B"/>
    <w:rsid w:val="00F440AE"/>
    <w:rsid w:val="00F4512C"/>
    <w:rsid w:val="00F47AE3"/>
    <w:rsid w:val="00F50406"/>
    <w:rsid w:val="00F512EB"/>
    <w:rsid w:val="00F53A9A"/>
    <w:rsid w:val="00F55F82"/>
    <w:rsid w:val="00F56ACD"/>
    <w:rsid w:val="00F57856"/>
    <w:rsid w:val="00F5795F"/>
    <w:rsid w:val="00F64EFE"/>
    <w:rsid w:val="00F67486"/>
    <w:rsid w:val="00F70B39"/>
    <w:rsid w:val="00F71436"/>
    <w:rsid w:val="00F7180F"/>
    <w:rsid w:val="00F7406C"/>
    <w:rsid w:val="00F749C0"/>
    <w:rsid w:val="00F76BFB"/>
    <w:rsid w:val="00F81399"/>
    <w:rsid w:val="00F83AFD"/>
    <w:rsid w:val="00F84F35"/>
    <w:rsid w:val="00F85D78"/>
    <w:rsid w:val="00F87974"/>
    <w:rsid w:val="00F87D11"/>
    <w:rsid w:val="00F87D5C"/>
    <w:rsid w:val="00F90AD1"/>
    <w:rsid w:val="00F9143D"/>
    <w:rsid w:val="00F95DB4"/>
    <w:rsid w:val="00F97981"/>
    <w:rsid w:val="00F97ADE"/>
    <w:rsid w:val="00FA010E"/>
    <w:rsid w:val="00FA168E"/>
    <w:rsid w:val="00FA1BD6"/>
    <w:rsid w:val="00FA2241"/>
    <w:rsid w:val="00FA369B"/>
    <w:rsid w:val="00FA4FDB"/>
    <w:rsid w:val="00FA5F62"/>
    <w:rsid w:val="00FA78BA"/>
    <w:rsid w:val="00FB101F"/>
    <w:rsid w:val="00FB2607"/>
    <w:rsid w:val="00FB306F"/>
    <w:rsid w:val="00FB377C"/>
    <w:rsid w:val="00FB3834"/>
    <w:rsid w:val="00FB419D"/>
    <w:rsid w:val="00FB4D85"/>
    <w:rsid w:val="00FC04BE"/>
    <w:rsid w:val="00FC26BE"/>
    <w:rsid w:val="00FC4512"/>
    <w:rsid w:val="00FC5CBC"/>
    <w:rsid w:val="00FD5005"/>
    <w:rsid w:val="00FD5630"/>
    <w:rsid w:val="00FD69CD"/>
    <w:rsid w:val="00FE0BB1"/>
    <w:rsid w:val="00FE2301"/>
    <w:rsid w:val="00FE2AC2"/>
    <w:rsid w:val="00FE3BF1"/>
    <w:rsid w:val="00FE3F6C"/>
    <w:rsid w:val="00FE4ED9"/>
    <w:rsid w:val="00FE6451"/>
    <w:rsid w:val="00FE79EB"/>
    <w:rsid w:val="00FF04A0"/>
    <w:rsid w:val="00FF0626"/>
    <w:rsid w:val="00FF2D7F"/>
    <w:rsid w:val="00FF482C"/>
    <w:rsid w:val="00FF6308"/>
    <w:rsid w:val="00FF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3050D74B-8A50-4548-B75A-66A9BD77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5A1B3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Listavistosa-nfasis1">
    <w:name w:val="Colorful List Accent 1"/>
    <w:aliases w:val="Footnote,Párrafo de lista1"/>
    <w:basedOn w:val="Normal"/>
    <w:link w:val="Listavistosa-nfasis1Car"/>
    <w:uiPriority w:val="99"/>
    <w:qFormat/>
    <w:rsid w:val="00D665C7"/>
    <w:pPr>
      <w:ind w:left="720"/>
      <w:contextualSpacing/>
    </w:pPr>
  </w:style>
  <w:style w:type="character" w:customStyle="1" w:styleId="Listavistosa-nfasis1Car">
    <w:name w:val="Lista vistosa - Énfasis 1 Car"/>
    <w:aliases w:val="Footnote Car,Párrafo de lista1 Car"/>
    <w:link w:val="Listavistosa-nfasis1"/>
    <w:uiPriority w:val="99"/>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Sombreadovistoso-nfasis1">
    <w:name w:val="Colorful Shading Accent 1"/>
    <w:hidden/>
    <w:uiPriority w:val="99"/>
    <w:semiHidden/>
    <w:rsid w:val="00790114"/>
    <w:rPr>
      <w:sz w:val="22"/>
      <w:szCs w:val="22"/>
    </w:rPr>
  </w:style>
  <w:style w:type="paragraph" w:styleId="TDC1">
    <w:name w:val="toc 1"/>
    <w:basedOn w:val="Normal"/>
    <w:next w:val="Normal"/>
    <w:autoRedefine/>
    <w:uiPriority w:val="39"/>
    <w:unhideWhenUsed/>
    <w:qFormat/>
    <w:rsid w:val="00202E30"/>
    <w:pPr>
      <w:tabs>
        <w:tab w:val="left" w:pos="709"/>
        <w:tab w:val="left" w:pos="8505"/>
      </w:tabs>
      <w:spacing w:after="100"/>
      <w:ind w:left="284" w:right="996"/>
      <w:jc w:val="both"/>
    </w:p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OCHeading1">
    <w:name w:val="TOC Heading1"/>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739F4"/>
    <w:pPr>
      <w:spacing w:after="0" w:line="240" w:lineRule="auto"/>
      <w:jc w:val="both"/>
    </w:pPr>
    <w:rPr>
      <w:sz w:val="20"/>
      <w:szCs w:val="20"/>
      <w:vertAlign w:val="superscript"/>
      <w:lang w:val="es-CR" w:eastAsia="es-CR"/>
    </w:rPr>
  </w:style>
  <w:style w:type="paragraph" w:styleId="Prrafodelista">
    <w:name w:val="List Paragraph"/>
    <w:basedOn w:val="Normal"/>
    <w:uiPriority w:val="99"/>
    <w:qFormat/>
    <w:rsid w:val="006D5A8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649482712">
      <w:bodyDiv w:val="1"/>
      <w:marLeft w:val="0"/>
      <w:marRight w:val="0"/>
      <w:marTop w:val="0"/>
      <w:marBottom w:val="0"/>
      <w:divBdr>
        <w:top w:val="none" w:sz="0" w:space="0" w:color="auto"/>
        <w:left w:val="none" w:sz="0" w:space="0" w:color="auto"/>
        <w:bottom w:val="none" w:sz="0" w:space="0" w:color="auto"/>
        <w:right w:val="none" w:sz="0" w:space="0" w:color="auto"/>
      </w:divBdr>
    </w:div>
    <w:div w:id="181772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38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2594E-BAE8-4B5B-AAD2-1E62A159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2119</Words>
  <Characters>12084</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14175</CharactersWithSpaces>
  <SharedDoc>false</SharedDoc>
  <HLinks>
    <vt:vector size="6" baseType="variant">
      <vt:variant>
        <vt:i4>3997796</vt:i4>
      </vt:variant>
      <vt:variant>
        <vt:i4>0</vt:i4>
      </vt:variant>
      <vt:variant>
        <vt:i4>0</vt:i4>
      </vt:variant>
      <vt:variant>
        <vt:i4>5</vt:i4>
      </vt:variant>
      <vt:variant>
        <vt:lpwstr>http://www.corteidh.or.cr/docs/casos/articulos/seriec_38_esp.pdf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4</cp:revision>
  <cp:lastPrinted>2018-12-28T19:40:00Z</cp:lastPrinted>
  <dcterms:created xsi:type="dcterms:W3CDTF">2018-12-28T19:40:00Z</dcterms:created>
  <dcterms:modified xsi:type="dcterms:W3CDTF">2018-12-28T19:40:00Z</dcterms:modified>
</cp:coreProperties>
</file>