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ACD" w:rsidRDefault="00745AE4" w:rsidP="003636C8">
      <w:pPr>
        <w:spacing w:after="0" w:line="240" w:lineRule="auto"/>
        <w:jc w:val="center"/>
        <w:rPr>
          <w:rFonts w:ascii="Verdana" w:hAnsi="Verdana"/>
          <w:b/>
          <w:sz w:val="20"/>
          <w:szCs w:val="20"/>
          <w:lang w:val="es-CR"/>
        </w:rPr>
      </w:pPr>
      <w:r w:rsidRPr="00745AE4">
        <w:rPr>
          <w:rFonts w:ascii="Verdana" w:hAnsi="Verdana"/>
          <w:b/>
          <w:sz w:val="20"/>
          <w:szCs w:val="20"/>
          <w:lang w:val="es-CR"/>
        </w:rPr>
        <w:t>RESOLUCIÓN DE LA</w:t>
      </w:r>
    </w:p>
    <w:p w:rsidR="00FF7EEA" w:rsidRDefault="00745AE4" w:rsidP="00FF7EEA">
      <w:pPr>
        <w:spacing w:after="0" w:line="240" w:lineRule="auto"/>
        <w:jc w:val="center"/>
        <w:rPr>
          <w:rFonts w:ascii="Verdana" w:hAnsi="Verdana"/>
          <w:b/>
          <w:smallCaps/>
          <w:sz w:val="20"/>
          <w:lang w:val="es-CR"/>
        </w:rPr>
      </w:pPr>
      <w:r w:rsidRPr="00745AE4">
        <w:rPr>
          <w:rFonts w:ascii="Verdana" w:hAnsi="Verdana"/>
          <w:b/>
          <w:sz w:val="20"/>
          <w:szCs w:val="20"/>
          <w:lang w:val="es-CR"/>
        </w:rPr>
        <w:t>CORTE INTERAMERICANA DE DERECHOS HUMANOS</w:t>
      </w:r>
      <w:r w:rsidR="003636C8" w:rsidRPr="003636C8">
        <w:rPr>
          <w:rFonts w:ascii="Verdana" w:hAnsi="Verdana"/>
          <w:b/>
          <w:smallCaps/>
          <w:sz w:val="20"/>
          <w:lang w:val="es-CR"/>
        </w:rPr>
        <w:t>*</w:t>
      </w:r>
      <w:r w:rsidR="00FF7EEA" w:rsidRPr="00FF7EEA">
        <w:rPr>
          <w:rStyle w:val="Refdenotaalpie"/>
          <w:rFonts w:ascii="Verdana" w:hAnsi="Verdana"/>
          <w:b/>
          <w:smallCaps/>
          <w:sz w:val="20"/>
          <w:lang w:val="es-CR"/>
        </w:rPr>
        <w:t xml:space="preserve"> </w:t>
      </w:r>
    </w:p>
    <w:p w:rsidR="00AD4184" w:rsidRPr="00745AE4" w:rsidRDefault="00AD4184" w:rsidP="00AD4184">
      <w:pPr>
        <w:spacing w:after="0" w:line="240" w:lineRule="auto"/>
        <w:jc w:val="center"/>
        <w:rPr>
          <w:rFonts w:ascii="Verdana" w:hAnsi="Verdana"/>
          <w:b/>
          <w:sz w:val="20"/>
          <w:szCs w:val="20"/>
          <w:lang w:val="es-CR"/>
        </w:rPr>
      </w:pPr>
    </w:p>
    <w:p w:rsidR="00745AE4" w:rsidRDefault="00671120" w:rsidP="00AD4184">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C619EC">
        <w:rPr>
          <w:rFonts w:ascii="Verdana" w:hAnsi="Verdana"/>
          <w:b/>
          <w:sz w:val="20"/>
          <w:szCs w:val="20"/>
          <w:lang w:val="es-CR"/>
        </w:rPr>
        <w:t>28</w:t>
      </w:r>
      <w:r w:rsidR="00745AE4">
        <w:rPr>
          <w:rFonts w:ascii="Verdana" w:hAnsi="Verdana"/>
          <w:b/>
          <w:sz w:val="20"/>
          <w:szCs w:val="20"/>
          <w:lang w:val="es-CR"/>
        </w:rPr>
        <w:t xml:space="preserve"> DE </w:t>
      </w:r>
      <w:r w:rsidR="0045586D">
        <w:rPr>
          <w:rFonts w:ascii="Verdana" w:hAnsi="Verdana"/>
          <w:b/>
          <w:sz w:val="20"/>
          <w:szCs w:val="20"/>
          <w:lang w:val="es-CR"/>
        </w:rPr>
        <w:t>NOVIEMBRE</w:t>
      </w:r>
      <w:r w:rsidR="00745AE4" w:rsidRPr="00745AE4">
        <w:rPr>
          <w:rFonts w:ascii="Verdana" w:hAnsi="Verdana"/>
          <w:b/>
          <w:sz w:val="20"/>
          <w:szCs w:val="20"/>
          <w:lang w:val="es-CR"/>
        </w:rPr>
        <w:t xml:space="preserve"> DE </w:t>
      </w:r>
      <w:r w:rsidR="003636C8">
        <w:rPr>
          <w:rFonts w:ascii="Verdana" w:hAnsi="Verdana"/>
          <w:b/>
          <w:sz w:val="20"/>
          <w:szCs w:val="20"/>
          <w:lang w:val="es-CR"/>
        </w:rPr>
        <w:t>201</w:t>
      </w:r>
      <w:r w:rsidR="001B628C">
        <w:rPr>
          <w:rFonts w:ascii="Verdana" w:hAnsi="Verdana"/>
          <w:b/>
          <w:sz w:val="20"/>
          <w:szCs w:val="20"/>
          <w:lang w:val="es-CR"/>
        </w:rPr>
        <w:t>8</w:t>
      </w:r>
    </w:p>
    <w:p w:rsidR="00AD4184" w:rsidRPr="00745AE4" w:rsidRDefault="00AD4184" w:rsidP="00AD4184">
      <w:pPr>
        <w:spacing w:after="0" w:line="240" w:lineRule="auto"/>
        <w:jc w:val="center"/>
        <w:rPr>
          <w:rFonts w:ascii="Verdana" w:hAnsi="Verdana"/>
          <w:b/>
          <w:sz w:val="20"/>
          <w:szCs w:val="20"/>
          <w:lang w:val="es-CR"/>
        </w:rPr>
      </w:pPr>
    </w:p>
    <w:p w:rsidR="00745AE4" w:rsidRPr="00063E83" w:rsidRDefault="00745AE4" w:rsidP="00AD4184">
      <w:pPr>
        <w:spacing w:after="0" w:line="240" w:lineRule="auto"/>
        <w:jc w:val="center"/>
        <w:rPr>
          <w:rFonts w:ascii="Verdana" w:hAnsi="Verdana"/>
          <w:b/>
          <w:i/>
          <w:sz w:val="20"/>
          <w:szCs w:val="20"/>
          <w:lang w:val="es-CR"/>
        </w:rPr>
      </w:pPr>
      <w:r w:rsidRPr="00063E83">
        <w:rPr>
          <w:rFonts w:ascii="Verdana" w:hAnsi="Verdana"/>
          <w:b/>
          <w:i/>
          <w:sz w:val="20"/>
          <w:szCs w:val="20"/>
          <w:lang w:val="es-CR"/>
        </w:rPr>
        <w:t xml:space="preserve">CASO </w:t>
      </w:r>
      <w:r w:rsidR="003636C8" w:rsidRPr="00063E83">
        <w:rPr>
          <w:rFonts w:ascii="Verdana" w:hAnsi="Verdana"/>
          <w:b/>
          <w:i/>
          <w:smallCaps/>
          <w:sz w:val="20"/>
          <w:szCs w:val="20"/>
          <w:lang w:val="es-CR"/>
        </w:rPr>
        <w:t xml:space="preserve">NORÍN CATRIMÁN Y OTROS </w:t>
      </w:r>
      <w:r w:rsidR="00063E83" w:rsidRPr="00063E83">
        <w:rPr>
          <w:rFonts w:ascii="Verdana" w:hAnsi="Verdana"/>
          <w:b/>
          <w:i/>
          <w:smallCaps/>
          <w:sz w:val="20"/>
          <w:szCs w:val="20"/>
          <w:lang w:val="es-CR"/>
        </w:rPr>
        <w:t xml:space="preserve">(DIRIGENTES, MIEMBROS Y ACTIVISTA DEL PUEBLO INDÍGENA MAPUCHE) </w:t>
      </w:r>
      <w:r w:rsidR="003636C8" w:rsidRPr="00063E83">
        <w:rPr>
          <w:rFonts w:ascii="Verdana" w:hAnsi="Verdana"/>
          <w:b/>
          <w:i/>
          <w:smallCaps/>
          <w:sz w:val="20"/>
          <w:szCs w:val="20"/>
          <w:lang w:val="es-CR"/>
        </w:rPr>
        <w:t>V</w:t>
      </w:r>
      <w:r w:rsidR="00063E83" w:rsidRPr="00063E83">
        <w:rPr>
          <w:rFonts w:ascii="Verdana" w:hAnsi="Verdana"/>
          <w:b/>
          <w:i/>
          <w:smallCaps/>
          <w:sz w:val="20"/>
          <w:szCs w:val="20"/>
          <w:lang w:val="es-CR"/>
        </w:rPr>
        <w:t>S</w:t>
      </w:r>
      <w:r w:rsidR="003636C8" w:rsidRPr="00063E83">
        <w:rPr>
          <w:rFonts w:ascii="Verdana" w:hAnsi="Verdana"/>
          <w:b/>
          <w:i/>
          <w:smallCaps/>
          <w:sz w:val="20"/>
          <w:szCs w:val="20"/>
          <w:lang w:val="es-CR"/>
        </w:rPr>
        <w:t>. CHILE</w:t>
      </w:r>
    </w:p>
    <w:p w:rsidR="00AD4184" w:rsidRPr="009B4B9D" w:rsidRDefault="00AD4184" w:rsidP="00AD4184">
      <w:pPr>
        <w:spacing w:after="0" w:line="240" w:lineRule="auto"/>
        <w:jc w:val="center"/>
        <w:rPr>
          <w:rFonts w:ascii="Verdana" w:hAnsi="Verdana"/>
          <w:b/>
          <w:sz w:val="20"/>
          <w:szCs w:val="20"/>
          <w:lang w:val="es-CR"/>
        </w:rPr>
      </w:pPr>
    </w:p>
    <w:p w:rsidR="00745AE4" w:rsidRPr="009B4B9D" w:rsidRDefault="00745AE4" w:rsidP="00AD4184">
      <w:pPr>
        <w:spacing w:after="0" w:line="240" w:lineRule="auto"/>
        <w:jc w:val="center"/>
        <w:rPr>
          <w:rFonts w:ascii="Verdana" w:hAnsi="Verdana"/>
          <w:b/>
          <w:sz w:val="20"/>
          <w:szCs w:val="20"/>
          <w:lang w:val="es-CR"/>
        </w:rPr>
      </w:pPr>
      <w:r w:rsidRPr="009B4B9D">
        <w:rPr>
          <w:rFonts w:ascii="Verdana" w:hAnsi="Verdana"/>
          <w:b/>
          <w:sz w:val="20"/>
          <w:szCs w:val="20"/>
          <w:lang w:val="es-CR"/>
        </w:rPr>
        <w:t>SUPERVISIÓN DE CUMPLIMIENTO DE SENTENCIA</w:t>
      </w:r>
    </w:p>
    <w:p w:rsidR="00CD4DDE" w:rsidRDefault="005A1B3D" w:rsidP="00000252">
      <w:pPr>
        <w:spacing w:before="120" w:after="120" w:line="240" w:lineRule="auto"/>
        <w:jc w:val="both"/>
        <w:rPr>
          <w:rFonts w:ascii="Verdana" w:hAnsi="Verdana"/>
          <w:b/>
          <w:sz w:val="20"/>
          <w:szCs w:val="20"/>
          <w:lang w:val="es-CR"/>
        </w:rPr>
      </w:pPr>
      <w:r w:rsidRPr="009B4B9D">
        <w:rPr>
          <w:rFonts w:ascii="Verdana" w:hAnsi="Verdana"/>
          <w:b/>
          <w:sz w:val="20"/>
          <w:szCs w:val="20"/>
          <w:lang w:val="es-CR"/>
        </w:rPr>
        <w:t>VISTO:</w:t>
      </w:r>
      <w:r w:rsidR="006D19D6">
        <w:rPr>
          <w:rFonts w:ascii="Verdana" w:hAnsi="Verdana"/>
          <w:b/>
          <w:sz w:val="20"/>
          <w:szCs w:val="20"/>
          <w:lang w:val="es-CR"/>
        </w:rPr>
        <w:t xml:space="preserve"> </w:t>
      </w:r>
    </w:p>
    <w:p w:rsidR="003636C8" w:rsidRPr="001549D3" w:rsidRDefault="003636C8" w:rsidP="001549D3">
      <w:pPr>
        <w:pStyle w:val="Listavistosa-nfasis1"/>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3636C8">
        <w:rPr>
          <w:rFonts w:ascii="Verdana" w:hAnsi="Verdana"/>
          <w:sz w:val="20"/>
          <w:szCs w:val="20"/>
          <w:lang w:val="es-ES_tradnl"/>
        </w:rPr>
        <w:t>La Sentencia de fondo, reparaciones y costas (en adelante “la Sentencia” o “el Fallo”) dictada por la Corte Interamericana de Derechos Humanos (en adelante “la Corte Interamericana”, “la Corte” o “el Tribunal”) el 29 de mayo de 2014</w:t>
      </w:r>
      <w:r w:rsidRPr="003636C8">
        <w:rPr>
          <w:rFonts w:ascii="Verdana" w:hAnsi="Verdana"/>
          <w:sz w:val="20"/>
          <w:szCs w:val="20"/>
          <w:vertAlign w:val="superscript"/>
          <w:lang w:val="es-ES_tradnl"/>
        </w:rPr>
        <w:footnoteReference w:id="1"/>
      </w:r>
      <w:r w:rsidRPr="003636C8">
        <w:rPr>
          <w:rFonts w:ascii="Verdana" w:hAnsi="Verdana"/>
          <w:sz w:val="20"/>
          <w:szCs w:val="20"/>
          <w:lang w:val="es-ES_tradnl"/>
        </w:rPr>
        <w:t xml:space="preserve">. </w:t>
      </w:r>
      <w:r w:rsidR="00063E83">
        <w:rPr>
          <w:rFonts w:ascii="Verdana" w:hAnsi="Verdana"/>
          <w:sz w:val="20"/>
          <w:szCs w:val="20"/>
          <w:lang w:val="es-ES_tradnl"/>
        </w:rPr>
        <w:t>La Corte</w:t>
      </w:r>
      <w:r w:rsidRPr="003636C8">
        <w:rPr>
          <w:rFonts w:ascii="Verdana" w:hAnsi="Verdana"/>
          <w:sz w:val="20"/>
          <w:szCs w:val="20"/>
          <w:lang w:val="es-ES_tradnl"/>
        </w:rPr>
        <w:t xml:space="preserve"> declaró la responsabilidad internacional de </w:t>
      </w:r>
      <w:r w:rsidR="00063E83">
        <w:rPr>
          <w:rFonts w:ascii="Verdana" w:hAnsi="Verdana"/>
          <w:sz w:val="20"/>
          <w:szCs w:val="20"/>
          <w:lang w:val="es-ES_tradnl"/>
        </w:rPr>
        <w:t xml:space="preserve">la República de </w:t>
      </w:r>
      <w:r w:rsidRPr="003636C8">
        <w:rPr>
          <w:rFonts w:ascii="Verdana" w:hAnsi="Verdana"/>
          <w:sz w:val="20"/>
          <w:szCs w:val="20"/>
          <w:lang w:val="es-ES_tradnl"/>
        </w:rPr>
        <w:t xml:space="preserve">Chile (en adelante “el Estado” o “Chile”) por la violación del principio de legalidad y el derecho a la presunción de inocencia, </w:t>
      </w:r>
      <w:r w:rsidR="003C10BD">
        <w:rPr>
          <w:rFonts w:ascii="Verdana" w:hAnsi="Verdana"/>
          <w:sz w:val="20"/>
          <w:szCs w:val="20"/>
          <w:lang w:val="es-ES_tradnl"/>
        </w:rPr>
        <w:t>así como d</w:t>
      </w:r>
      <w:r w:rsidRPr="003636C8">
        <w:rPr>
          <w:rFonts w:ascii="Verdana" w:hAnsi="Verdana"/>
          <w:sz w:val="20"/>
          <w:szCs w:val="20"/>
          <w:lang w:val="es-ES_tradnl"/>
        </w:rPr>
        <w:t xml:space="preserve">el principio de igualdad y no discriminación, el derecho a la igual protección de la ley </w:t>
      </w:r>
      <w:r w:rsidR="003C10BD">
        <w:rPr>
          <w:rFonts w:ascii="Verdana" w:hAnsi="Verdana"/>
          <w:sz w:val="20"/>
          <w:szCs w:val="20"/>
          <w:lang w:val="es-ES_tradnl"/>
        </w:rPr>
        <w:t>y d</w:t>
      </w:r>
      <w:r w:rsidRPr="003636C8">
        <w:rPr>
          <w:rFonts w:ascii="Verdana" w:hAnsi="Verdana"/>
          <w:sz w:val="20"/>
          <w:szCs w:val="20"/>
          <w:lang w:val="es-ES_tradnl"/>
        </w:rPr>
        <w:t>el derecho a la libertad personal, en perjuicio de las ocho víctimas de este caso</w:t>
      </w:r>
      <w:r w:rsidR="006D0232">
        <w:rPr>
          <w:rFonts w:ascii="Verdana" w:hAnsi="Verdana"/>
          <w:sz w:val="20"/>
          <w:szCs w:val="20"/>
          <w:lang w:val="es-ES_tradnl"/>
        </w:rPr>
        <w:t>, a saber: tres dirigentes</w:t>
      </w:r>
      <w:r w:rsidR="006D0232">
        <w:rPr>
          <w:rStyle w:val="Refdenotaalpie"/>
          <w:rFonts w:ascii="Verdana" w:hAnsi="Verdana"/>
          <w:sz w:val="20"/>
          <w:szCs w:val="20"/>
          <w:lang w:val="es-ES_tradnl"/>
        </w:rPr>
        <w:footnoteReference w:id="2"/>
      </w:r>
      <w:r w:rsidR="006D0232">
        <w:rPr>
          <w:rFonts w:ascii="Verdana" w:hAnsi="Verdana"/>
          <w:sz w:val="20"/>
          <w:szCs w:val="20"/>
          <w:lang w:val="es-ES_tradnl"/>
        </w:rPr>
        <w:t>, cuatro miembros</w:t>
      </w:r>
      <w:r w:rsidR="006D0232">
        <w:rPr>
          <w:rStyle w:val="Refdenotaalpie"/>
          <w:rFonts w:ascii="Verdana" w:hAnsi="Verdana"/>
          <w:sz w:val="20"/>
          <w:szCs w:val="20"/>
          <w:lang w:val="es-ES_tradnl"/>
        </w:rPr>
        <w:footnoteReference w:id="3"/>
      </w:r>
      <w:r w:rsidR="006D0232">
        <w:rPr>
          <w:rFonts w:ascii="Verdana" w:hAnsi="Verdana"/>
          <w:sz w:val="20"/>
          <w:szCs w:val="20"/>
          <w:lang w:val="es-ES_tradnl"/>
        </w:rPr>
        <w:t xml:space="preserve"> y una activista</w:t>
      </w:r>
      <w:r w:rsidR="006D0232">
        <w:rPr>
          <w:rStyle w:val="Refdenotaalpie"/>
          <w:rFonts w:ascii="Verdana" w:hAnsi="Verdana"/>
          <w:sz w:val="20"/>
          <w:szCs w:val="20"/>
          <w:lang w:val="es-ES_tradnl"/>
        </w:rPr>
        <w:footnoteReference w:id="4"/>
      </w:r>
      <w:r w:rsidR="006D0232">
        <w:rPr>
          <w:rFonts w:ascii="Verdana" w:hAnsi="Verdana"/>
          <w:sz w:val="20"/>
          <w:szCs w:val="20"/>
          <w:lang w:val="es-ES_tradnl"/>
        </w:rPr>
        <w:t xml:space="preserve"> del pueblo indígena mapuche</w:t>
      </w:r>
      <w:r w:rsidR="001F56C5">
        <w:rPr>
          <w:rStyle w:val="Refdenotaalpie"/>
          <w:rFonts w:ascii="Verdana" w:hAnsi="Verdana"/>
          <w:sz w:val="20"/>
          <w:szCs w:val="20"/>
          <w:lang w:val="es-ES_tradnl"/>
        </w:rPr>
        <w:footnoteReference w:id="5"/>
      </w:r>
      <w:r w:rsidRPr="003636C8">
        <w:rPr>
          <w:rFonts w:ascii="Verdana" w:hAnsi="Verdana"/>
          <w:sz w:val="20"/>
          <w:szCs w:val="20"/>
          <w:lang w:val="es-ES_tradnl"/>
        </w:rPr>
        <w:t xml:space="preserve">. Asimismo, </w:t>
      </w:r>
      <w:r w:rsidR="007F6D4A">
        <w:rPr>
          <w:rFonts w:ascii="Verdana" w:hAnsi="Verdana"/>
          <w:sz w:val="20"/>
          <w:szCs w:val="20"/>
          <w:lang w:val="es-ES_tradnl"/>
        </w:rPr>
        <w:t>se</w:t>
      </w:r>
      <w:r w:rsidRPr="003636C8">
        <w:rPr>
          <w:rFonts w:ascii="Verdana" w:hAnsi="Verdana"/>
          <w:sz w:val="20"/>
          <w:szCs w:val="20"/>
          <w:lang w:val="es-ES_tradnl"/>
        </w:rPr>
        <w:t xml:space="preserve"> declaró que Chile violó el derecho de la defensa a interrogar testigos, en perjuicio de dos </w:t>
      </w:r>
      <w:r w:rsidR="007F6D4A">
        <w:rPr>
          <w:rFonts w:ascii="Verdana" w:hAnsi="Verdana"/>
          <w:sz w:val="20"/>
          <w:szCs w:val="20"/>
          <w:lang w:val="es-ES_tradnl"/>
        </w:rPr>
        <w:t xml:space="preserve">de las </w:t>
      </w:r>
      <w:r w:rsidRPr="003636C8">
        <w:rPr>
          <w:rFonts w:ascii="Verdana" w:hAnsi="Verdana"/>
          <w:sz w:val="20"/>
          <w:szCs w:val="20"/>
          <w:lang w:val="es-ES_tradnl"/>
        </w:rPr>
        <w:t>víctimas</w:t>
      </w:r>
      <w:r w:rsidRPr="003636C8">
        <w:rPr>
          <w:rFonts w:ascii="Verdana" w:hAnsi="Verdana"/>
          <w:sz w:val="20"/>
          <w:szCs w:val="20"/>
          <w:vertAlign w:val="superscript"/>
          <w:lang w:val="es-ES_tradnl"/>
        </w:rPr>
        <w:footnoteReference w:id="6"/>
      </w:r>
      <w:r w:rsidR="007F6D4A">
        <w:rPr>
          <w:rFonts w:ascii="Verdana" w:hAnsi="Verdana"/>
          <w:sz w:val="20"/>
          <w:szCs w:val="20"/>
          <w:lang w:val="es-ES_tradnl"/>
        </w:rPr>
        <w:t xml:space="preserve"> y</w:t>
      </w:r>
      <w:r w:rsidRPr="003636C8">
        <w:rPr>
          <w:rFonts w:ascii="Verdana" w:hAnsi="Verdana"/>
          <w:sz w:val="20"/>
          <w:szCs w:val="20"/>
          <w:lang w:val="es-ES_tradnl"/>
        </w:rPr>
        <w:t xml:space="preserve"> el derecho a recurrir el fallo ante </w:t>
      </w:r>
      <w:r w:rsidR="00BA502F">
        <w:rPr>
          <w:rFonts w:ascii="Verdana" w:hAnsi="Verdana"/>
          <w:sz w:val="20"/>
          <w:szCs w:val="20"/>
          <w:lang w:val="es-ES_tradnl"/>
        </w:rPr>
        <w:t xml:space="preserve">un </w:t>
      </w:r>
      <w:r w:rsidRPr="003636C8">
        <w:rPr>
          <w:rFonts w:ascii="Verdana" w:hAnsi="Verdana"/>
          <w:sz w:val="20"/>
          <w:szCs w:val="20"/>
          <w:lang w:val="es-ES_tradnl"/>
        </w:rPr>
        <w:t>juez o tribunal superior, en perjuicio de siete</w:t>
      </w:r>
      <w:r w:rsidR="007F6D4A">
        <w:rPr>
          <w:rFonts w:ascii="Verdana" w:hAnsi="Verdana"/>
          <w:sz w:val="20"/>
          <w:szCs w:val="20"/>
          <w:lang w:val="es-ES_tradnl"/>
        </w:rPr>
        <w:t xml:space="preserve"> de las</w:t>
      </w:r>
      <w:r w:rsidRPr="003636C8">
        <w:rPr>
          <w:rFonts w:ascii="Verdana" w:hAnsi="Verdana"/>
          <w:sz w:val="20"/>
          <w:szCs w:val="20"/>
          <w:lang w:val="es-ES_tradnl"/>
        </w:rPr>
        <w:t xml:space="preserve"> víctimas</w:t>
      </w:r>
      <w:r w:rsidRPr="003636C8">
        <w:rPr>
          <w:rFonts w:ascii="Verdana" w:hAnsi="Verdana"/>
          <w:sz w:val="20"/>
          <w:szCs w:val="20"/>
          <w:vertAlign w:val="superscript"/>
          <w:lang w:val="es-ES_tradnl"/>
        </w:rPr>
        <w:footnoteReference w:id="7"/>
      </w:r>
      <w:r w:rsidR="007F6D4A">
        <w:rPr>
          <w:rFonts w:ascii="Verdana" w:hAnsi="Verdana"/>
          <w:sz w:val="20"/>
          <w:szCs w:val="20"/>
          <w:lang w:val="es-ES_tradnl"/>
        </w:rPr>
        <w:t>. También se declaró la violación</w:t>
      </w:r>
      <w:r w:rsidRPr="003636C8">
        <w:rPr>
          <w:rFonts w:ascii="Verdana" w:hAnsi="Verdana"/>
          <w:sz w:val="20"/>
          <w:szCs w:val="20"/>
          <w:lang w:val="es-ES_tradnl"/>
        </w:rPr>
        <w:t xml:space="preserve"> </w:t>
      </w:r>
      <w:r w:rsidR="007F6D4A">
        <w:rPr>
          <w:rFonts w:ascii="Verdana" w:hAnsi="Verdana"/>
          <w:sz w:val="20"/>
          <w:szCs w:val="20"/>
          <w:lang w:val="es-ES_tradnl"/>
        </w:rPr>
        <w:t>d</w:t>
      </w:r>
      <w:r w:rsidRPr="003636C8">
        <w:rPr>
          <w:rFonts w:ascii="Verdana" w:hAnsi="Verdana"/>
          <w:sz w:val="20"/>
          <w:szCs w:val="20"/>
          <w:lang w:val="es-ES_tradnl"/>
        </w:rPr>
        <w:t xml:space="preserve">el derecho a la libertad de pensamiento y de expresión en perjuicio de tres </w:t>
      </w:r>
      <w:r w:rsidR="007F6D4A">
        <w:rPr>
          <w:rFonts w:ascii="Verdana" w:hAnsi="Verdana"/>
          <w:sz w:val="20"/>
          <w:szCs w:val="20"/>
          <w:lang w:val="es-ES_tradnl"/>
        </w:rPr>
        <w:t xml:space="preserve">de las </w:t>
      </w:r>
      <w:r w:rsidRPr="003636C8">
        <w:rPr>
          <w:rFonts w:ascii="Verdana" w:hAnsi="Verdana"/>
          <w:sz w:val="20"/>
          <w:szCs w:val="20"/>
          <w:lang w:val="es-ES_tradnl"/>
        </w:rPr>
        <w:t>víctimas</w:t>
      </w:r>
      <w:r w:rsidRPr="003636C8">
        <w:rPr>
          <w:rFonts w:ascii="Verdana" w:hAnsi="Verdana"/>
          <w:sz w:val="20"/>
          <w:szCs w:val="20"/>
          <w:vertAlign w:val="superscript"/>
          <w:lang w:val="es-ES_tradnl"/>
        </w:rPr>
        <w:footnoteReference w:id="8"/>
      </w:r>
      <w:r w:rsidR="007F6D4A">
        <w:rPr>
          <w:rFonts w:ascii="Verdana" w:hAnsi="Verdana"/>
          <w:sz w:val="20"/>
          <w:szCs w:val="20"/>
          <w:lang w:val="es-ES_tradnl"/>
        </w:rPr>
        <w:t>, de los derechos políticos de las ocho víctimas</w:t>
      </w:r>
      <w:r w:rsidR="001F56C5">
        <w:rPr>
          <w:rStyle w:val="Refdenotaalpie"/>
          <w:rFonts w:ascii="Verdana" w:hAnsi="Verdana"/>
          <w:sz w:val="20"/>
          <w:szCs w:val="20"/>
          <w:lang w:val="es-ES_tradnl"/>
        </w:rPr>
        <w:footnoteReference w:id="9"/>
      </w:r>
      <w:r w:rsidR="007F6D4A">
        <w:rPr>
          <w:rFonts w:ascii="Verdana" w:hAnsi="Verdana"/>
          <w:sz w:val="20"/>
          <w:szCs w:val="20"/>
          <w:lang w:val="es-ES_tradnl"/>
        </w:rPr>
        <w:t xml:space="preserve"> </w:t>
      </w:r>
      <w:r w:rsidRPr="003636C8">
        <w:rPr>
          <w:rFonts w:ascii="Verdana" w:hAnsi="Verdana"/>
          <w:sz w:val="20"/>
          <w:szCs w:val="20"/>
          <w:lang w:val="es-ES_tradnl"/>
        </w:rPr>
        <w:t xml:space="preserve">y </w:t>
      </w:r>
      <w:r w:rsidR="007F6D4A">
        <w:rPr>
          <w:rFonts w:ascii="Verdana" w:hAnsi="Verdana"/>
          <w:sz w:val="20"/>
          <w:szCs w:val="20"/>
          <w:lang w:val="es-ES_tradnl"/>
        </w:rPr>
        <w:t>d</w:t>
      </w:r>
      <w:r w:rsidRPr="003636C8">
        <w:rPr>
          <w:rFonts w:ascii="Verdana" w:hAnsi="Verdana"/>
          <w:sz w:val="20"/>
          <w:szCs w:val="20"/>
          <w:lang w:val="es-ES_tradnl"/>
        </w:rPr>
        <w:t>el derecho a la protección a la familia, en perjuicio de</w:t>
      </w:r>
      <w:r w:rsidR="007F6D4A">
        <w:rPr>
          <w:rFonts w:ascii="Verdana" w:hAnsi="Verdana"/>
          <w:sz w:val="20"/>
          <w:szCs w:val="20"/>
          <w:lang w:val="es-ES_tradnl"/>
        </w:rPr>
        <w:t xml:space="preserve"> una de ellas</w:t>
      </w:r>
      <w:r w:rsidR="007F6D4A">
        <w:rPr>
          <w:rStyle w:val="Refdenotaalpie"/>
          <w:rFonts w:ascii="Verdana" w:hAnsi="Verdana"/>
          <w:sz w:val="20"/>
          <w:szCs w:val="20"/>
          <w:lang w:val="es-ES_tradnl"/>
        </w:rPr>
        <w:footnoteReference w:id="10"/>
      </w:r>
      <w:r w:rsidRPr="003636C8">
        <w:rPr>
          <w:rFonts w:ascii="Verdana" w:hAnsi="Verdana"/>
          <w:sz w:val="20"/>
          <w:szCs w:val="20"/>
          <w:lang w:val="es-ES_tradnl"/>
        </w:rPr>
        <w:t xml:space="preserve">. Dichas violaciones derivaron de los procesos penales que se abrieron </w:t>
      </w:r>
      <w:r w:rsidR="000A1800">
        <w:rPr>
          <w:rFonts w:ascii="Verdana" w:hAnsi="Verdana"/>
          <w:sz w:val="20"/>
          <w:szCs w:val="20"/>
          <w:lang w:val="es-ES_tradnl"/>
        </w:rPr>
        <w:t xml:space="preserve">en contra de las ocho víctimas </w:t>
      </w:r>
      <w:r w:rsidRPr="003636C8">
        <w:rPr>
          <w:rFonts w:ascii="Verdana" w:hAnsi="Verdana"/>
          <w:sz w:val="20"/>
          <w:szCs w:val="20"/>
          <w:lang w:val="es-ES_tradnl"/>
        </w:rPr>
        <w:t xml:space="preserve">por los hechos </w:t>
      </w:r>
      <w:r w:rsidR="00903910">
        <w:rPr>
          <w:rFonts w:ascii="Verdana" w:hAnsi="Verdana"/>
          <w:sz w:val="20"/>
          <w:szCs w:val="20"/>
          <w:lang w:val="es-ES_tradnl"/>
        </w:rPr>
        <w:t xml:space="preserve">relativos al incendio de un predio forestal, la amenaza de incendio y la quema de un camión de una empresa privada, </w:t>
      </w:r>
      <w:r w:rsidRPr="003636C8">
        <w:rPr>
          <w:rFonts w:ascii="Verdana" w:hAnsi="Verdana"/>
          <w:sz w:val="20"/>
          <w:szCs w:val="20"/>
          <w:lang w:val="es-ES_tradnl"/>
        </w:rPr>
        <w:t xml:space="preserve">ocurridos en los años 2001 y 2002 en las Regiones </w:t>
      </w:r>
      <w:r w:rsidR="00BA502F">
        <w:rPr>
          <w:rFonts w:ascii="Verdana" w:hAnsi="Verdana"/>
          <w:sz w:val="20"/>
          <w:szCs w:val="20"/>
          <w:lang w:val="es-ES_tradnl"/>
        </w:rPr>
        <w:t>Octava</w:t>
      </w:r>
      <w:r w:rsidR="00BA502F" w:rsidRPr="003636C8">
        <w:rPr>
          <w:rFonts w:ascii="Verdana" w:hAnsi="Verdana"/>
          <w:sz w:val="20"/>
          <w:szCs w:val="20"/>
          <w:lang w:val="es-ES_tradnl"/>
        </w:rPr>
        <w:t xml:space="preserve"> </w:t>
      </w:r>
      <w:r w:rsidR="00903DE2">
        <w:rPr>
          <w:rFonts w:ascii="Verdana" w:hAnsi="Verdana"/>
          <w:sz w:val="20"/>
          <w:szCs w:val="20"/>
          <w:lang w:val="es-ES_tradnl"/>
        </w:rPr>
        <w:t>(Bí</w:t>
      </w:r>
      <w:r w:rsidRPr="003636C8">
        <w:rPr>
          <w:rFonts w:ascii="Verdana" w:hAnsi="Verdana"/>
          <w:sz w:val="20"/>
          <w:szCs w:val="20"/>
          <w:lang w:val="es-ES_tradnl"/>
        </w:rPr>
        <w:t>o</w:t>
      </w:r>
      <w:r w:rsidR="00903DE2">
        <w:rPr>
          <w:rFonts w:ascii="Verdana" w:hAnsi="Verdana"/>
          <w:sz w:val="20"/>
          <w:szCs w:val="20"/>
          <w:lang w:val="es-ES_tradnl"/>
        </w:rPr>
        <w:t xml:space="preserve"> B</w:t>
      </w:r>
      <w:r w:rsidRPr="003636C8">
        <w:rPr>
          <w:rFonts w:ascii="Verdana" w:hAnsi="Verdana"/>
          <w:sz w:val="20"/>
          <w:szCs w:val="20"/>
          <w:lang w:val="es-ES_tradnl"/>
        </w:rPr>
        <w:t xml:space="preserve">ío) y </w:t>
      </w:r>
      <w:r w:rsidR="00BA502F">
        <w:rPr>
          <w:rFonts w:ascii="Verdana" w:hAnsi="Verdana"/>
          <w:sz w:val="20"/>
          <w:szCs w:val="20"/>
          <w:lang w:val="es-ES_tradnl"/>
        </w:rPr>
        <w:t>Novena</w:t>
      </w:r>
      <w:r w:rsidR="00BA502F" w:rsidRPr="003636C8">
        <w:rPr>
          <w:rFonts w:ascii="Verdana" w:hAnsi="Verdana"/>
          <w:sz w:val="20"/>
          <w:szCs w:val="20"/>
          <w:lang w:val="es-ES_tradnl"/>
        </w:rPr>
        <w:t xml:space="preserve"> </w:t>
      </w:r>
      <w:r w:rsidRPr="003636C8">
        <w:rPr>
          <w:rFonts w:ascii="Verdana" w:hAnsi="Verdana"/>
          <w:sz w:val="20"/>
          <w:szCs w:val="20"/>
          <w:lang w:val="es-ES_tradnl"/>
        </w:rPr>
        <w:t>(Araucanía) de Chile, en los cuales fueron condenadas</w:t>
      </w:r>
      <w:r w:rsidR="00903910">
        <w:rPr>
          <w:rFonts w:ascii="Verdana" w:hAnsi="Verdana"/>
          <w:sz w:val="20"/>
          <w:szCs w:val="20"/>
          <w:lang w:val="es-ES_tradnl"/>
        </w:rPr>
        <w:t xml:space="preserve"> </w:t>
      </w:r>
      <w:r w:rsidR="00903910" w:rsidRPr="005931EF">
        <w:rPr>
          <w:rFonts w:ascii="Verdana" w:hAnsi="Verdana"/>
          <w:sz w:val="20"/>
          <w:szCs w:val="20"/>
          <w:lang w:val="es-ES_tradnl"/>
        </w:rPr>
        <w:t>arbitrariamente</w:t>
      </w:r>
      <w:r w:rsidRPr="005931EF">
        <w:rPr>
          <w:rFonts w:ascii="Verdana" w:hAnsi="Verdana"/>
          <w:sz w:val="20"/>
          <w:szCs w:val="20"/>
          <w:lang w:val="es-ES_tradnl"/>
        </w:rPr>
        <w:t xml:space="preserve"> </w:t>
      </w:r>
      <w:r w:rsidRPr="003636C8">
        <w:rPr>
          <w:rFonts w:ascii="Verdana" w:hAnsi="Verdana"/>
          <w:sz w:val="20"/>
          <w:szCs w:val="20"/>
          <w:lang w:val="es-ES_tradnl"/>
        </w:rPr>
        <w:t xml:space="preserve">como autores de delitos </w:t>
      </w:r>
      <w:r w:rsidR="00903910">
        <w:rPr>
          <w:rFonts w:ascii="Verdana" w:hAnsi="Verdana"/>
          <w:sz w:val="20"/>
          <w:szCs w:val="20"/>
          <w:lang w:val="es-ES_tradnl"/>
        </w:rPr>
        <w:t xml:space="preserve">que fueron </w:t>
      </w:r>
      <w:r w:rsidRPr="003636C8">
        <w:rPr>
          <w:rFonts w:ascii="Verdana" w:hAnsi="Verdana"/>
          <w:sz w:val="20"/>
          <w:szCs w:val="20"/>
          <w:lang w:val="es-ES_tradnl"/>
        </w:rPr>
        <w:t xml:space="preserve">calificados </w:t>
      </w:r>
      <w:r w:rsidR="000A1800">
        <w:rPr>
          <w:rFonts w:ascii="Verdana" w:hAnsi="Verdana"/>
          <w:sz w:val="20"/>
          <w:szCs w:val="20"/>
          <w:lang w:val="es-ES_tradnl"/>
        </w:rPr>
        <w:t xml:space="preserve">como </w:t>
      </w:r>
      <w:r w:rsidRPr="003636C8">
        <w:rPr>
          <w:rFonts w:ascii="Verdana" w:hAnsi="Verdana"/>
          <w:sz w:val="20"/>
          <w:szCs w:val="20"/>
          <w:lang w:val="es-ES_tradnl"/>
        </w:rPr>
        <w:t xml:space="preserve">de </w:t>
      </w:r>
      <w:r w:rsidR="000A1800">
        <w:rPr>
          <w:rFonts w:ascii="Verdana" w:hAnsi="Verdana"/>
          <w:sz w:val="20"/>
          <w:szCs w:val="20"/>
          <w:lang w:val="es-ES_tradnl"/>
        </w:rPr>
        <w:t xml:space="preserve">carácter </w:t>
      </w:r>
      <w:r w:rsidRPr="003636C8">
        <w:rPr>
          <w:rFonts w:ascii="Verdana" w:hAnsi="Verdana"/>
          <w:sz w:val="20"/>
          <w:szCs w:val="20"/>
          <w:lang w:val="es-ES_tradnl"/>
        </w:rPr>
        <w:t>terrorista</w:t>
      </w:r>
      <w:r w:rsidR="00BA502F">
        <w:rPr>
          <w:rFonts w:ascii="Verdana" w:hAnsi="Verdana"/>
          <w:sz w:val="20"/>
          <w:szCs w:val="20"/>
          <w:lang w:val="es-ES_tradnl"/>
        </w:rPr>
        <w:t>,</w:t>
      </w:r>
      <w:r w:rsidRPr="003636C8">
        <w:rPr>
          <w:rFonts w:ascii="Verdana" w:hAnsi="Verdana"/>
          <w:sz w:val="20"/>
          <w:szCs w:val="20"/>
          <w:lang w:val="es-ES_tradnl"/>
        </w:rPr>
        <w:t xml:space="preserve"> en aplicación de la Ley N° 18.314 que “[d]etermina conductas terroristas y fija su penalidad”</w:t>
      </w:r>
      <w:r w:rsidR="00903910">
        <w:rPr>
          <w:rStyle w:val="Refdenotaalpie"/>
          <w:rFonts w:ascii="Verdana" w:hAnsi="Verdana"/>
          <w:sz w:val="20"/>
          <w:szCs w:val="20"/>
          <w:lang w:val="es-ES_tradnl"/>
        </w:rPr>
        <w:footnoteReference w:id="11"/>
      </w:r>
      <w:r w:rsidRPr="003636C8">
        <w:rPr>
          <w:rFonts w:ascii="Verdana" w:hAnsi="Verdana"/>
          <w:sz w:val="20"/>
          <w:szCs w:val="20"/>
          <w:lang w:val="es-ES_tradnl"/>
        </w:rPr>
        <w:t xml:space="preserve">. </w:t>
      </w:r>
      <w:r w:rsidR="001549D3">
        <w:rPr>
          <w:rFonts w:ascii="Verdana" w:hAnsi="Verdana"/>
          <w:color w:val="000000"/>
          <w:sz w:val="20"/>
          <w:szCs w:val="20"/>
          <w:shd w:val="clear" w:color="auto" w:fill="FFFFFF"/>
          <w:lang w:val="es-CR"/>
        </w:rPr>
        <w:t xml:space="preserve">La Corte </w:t>
      </w:r>
      <w:r w:rsidRPr="001549D3">
        <w:rPr>
          <w:rFonts w:ascii="Verdana" w:hAnsi="Verdana"/>
          <w:sz w:val="20"/>
          <w:szCs w:val="20"/>
          <w:lang w:val="es-ES_tradnl"/>
        </w:rPr>
        <w:t xml:space="preserve">estableció que su Sentencia constituye por sí misma una forma de </w:t>
      </w:r>
      <w:r w:rsidRPr="001549D3">
        <w:rPr>
          <w:rFonts w:ascii="Verdana" w:hAnsi="Verdana"/>
          <w:sz w:val="20"/>
          <w:szCs w:val="20"/>
          <w:lang w:val="es-ES_tradnl"/>
        </w:rPr>
        <w:lastRenderedPageBreak/>
        <w:t>reparación y</w:t>
      </w:r>
      <w:r w:rsidR="001549D3">
        <w:rPr>
          <w:rFonts w:ascii="Verdana" w:hAnsi="Verdana"/>
          <w:sz w:val="20"/>
          <w:szCs w:val="20"/>
          <w:lang w:val="es-ES_tradnl"/>
        </w:rPr>
        <w:t xml:space="preserve"> </w:t>
      </w:r>
      <w:r w:rsidRPr="001549D3">
        <w:rPr>
          <w:rFonts w:ascii="Verdana" w:hAnsi="Verdana"/>
          <w:sz w:val="20"/>
          <w:szCs w:val="20"/>
          <w:lang w:val="es-ES_tradnl"/>
        </w:rPr>
        <w:t xml:space="preserve">ordenó al Estado </w:t>
      </w:r>
      <w:r w:rsidR="001549D3">
        <w:rPr>
          <w:rFonts w:ascii="Verdana" w:hAnsi="Verdana"/>
          <w:sz w:val="20"/>
          <w:szCs w:val="20"/>
          <w:lang w:val="es-ES_tradnl"/>
        </w:rPr>
        <w:t>la adopción de diversas</w:t>
      </w:r>
      <w:r w:rsidRPr="001549D3">
        <w:rPr>
          <w:rFonts w:ascii="Verdana" w:hAnsi="Verdana"/>
          <w:sz w:val="20"/>
          <w:szCs w:val="20"/>
          <w:lang w:val="es-ES_tradnl"/>
        </w:rPr>
        <w:t xml:space="preserve"> medidas de reparación </w:t>
      </w:r>
      <w:r w:rsidR="001549D3">
        <w:rPr>
          <w:rFonts w:ascii="Verdana" w:hAnsi="Verdana"/>
          <w:sz w:val="20"/>
          <w:szCs w:val="20"/>
          <w:lang w:val="es-ES_tradnl"/>
        </w:rPr>
        <w:t xml:space="preserve">adicionales </w:t>
      </w:r>
      <w:r w:rsidRPr="001549D3">
        <w:rPr>
          <w:rFonts w:ascii="Verdana" w:hAnsi="Verdana"/>
          <w:sz w:val="20"/>
          <w:szCs w:val="20"/>
          <w:lang w:val="es-ES_tradnl"/>
        </w:rPr>
        <w:t>(</w:t>
      </w:r>
      <w:r w:rsidRPr="001549D3">
        <w:rPr>
          <w:rFonts w:ascii="Verdana" w:hAnsi="Verdana"/>
          <w:i/>
          <w:sz w:val="20"/>
          <w:szCs w:val="20"/>
          <w:lang w:val="es-ES_tradnl"/>
        </w:rPr>
        <w:t>infra</w:t>
      </w:r>
      <w:r w:rsidRPr="001549D3">
        <w:rPr>
          <w:rFonts w:ascii="Verdana" w:hAnsi="Verdana"/>
          <w:sz w:val="20"/>
          <w:szCs w:val="20"/>
          <w:lang w:val="es-ES_tradnl"/>
        </w:rPr>
        <w:t xml:space="preserve"> Considerando 1).</w:t>
      </w:r>
    </w:p>
    <w:p w:rsidR="00132D2E" w:rsidRPr="00132D2E" w:rsidRDefault="00132D2E" w:rsidP="00000252">
      <w:pPr>
        <w:pStyle w:val="Listavistosa-nfasis1"/>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132D2E">
        <w:rPr>
          <w:rFonts w:ascii="Verdana" w:hAnsi="Verdana"/>
          <w:sz w:val="20"/>
          <w:szCs w:val="20"/>
          <w:lang w:val="es-CR"/>
        </w:rPr>
        <w:t xml:space="preserve">La Resolución emitida por la Corte el 26 de enero de 2015 sobre el </w:t>
      </w:r>
      <w:r w:rsidR="006911FD">
        <w:rPr>
          <w:rFonts w:ascii="Verdana" w:hAnsi="Verdana"/>
          <w:sz w:val="20"/>
          <w:szCs w:val="20"/>
          <w:lang w:val="es-CR"/>
        </w:rPr>
        <w:t xml:space="preserve">cumplimiento del </w:t>
      </w:r>
      <w:r w:rsidRPr="00132D2E">
        <w:rPr>
          <w:rFonts w:ascii="Verdana" w:hAnsi="Verdana"/>
          <w:sz w:val="20"/>
          <w:szCs w:val="20"/>
          <w:lang w:val="es-CR"/>
        </w:rPr>
        <w:t>reintegro realizado por el Estado al Fondo de Asistencia Legal de Víctimas de la Corte (en adelante “Fondo de Asistencia”) en relación con el presente caso</w:t>
      </w:r>
      <w:r w:rsidRPr="00224B25">
        <w:rPr>
          <w:rStyle w:val="Refdenotaalpie"/>
          <w:rFonts w:ascii="Verdana" w:hAnsi="Verdana"/>
          <w:sz w:val="20"/>
          <w:szCs w:val="20"/>
        </w:rPr>
        <w:footnoteReference w:id="12"/>
      </w:r>
      <w:r w:rsidRPr="00132D2E">
        <w:rPr>
          <w:rFonts w:ascii="Verdana" w:hAnsi="Verdana"/>
          <w:sz w:val="20"/>
          <w:szCs w:val="20"/>
          <w:lang w:val="es-CR"/>
        </w:rPr>
        <w:t>.</w:t>
      </w:r>
    </w:p>
    <w:p w:rsidR="003636C8" w:rsidRPr="003636C8" w:rsidRDefault="003636C8" w:rsidP="00000252">
      <w:pPr>
        <w:pStyle w:val="Listavistosa-nfasis1"/>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3636C8">
        <w:rPr>
          <w:rFonts w:ascii="Verdana" w:hAnsi="Verdana"/>
          <w:sz w:val="20"/>
          <w:lang w:val="es-ES_tradnl"/>
        </w:rPr>
        <w:t xml:space="preserve">Los </w:t>
      </w:r>
      <w:r w:rsidR="00132D2E">
        <w:rPr>
          <w:rFonts w:ascii="Verdana" w:hAnsi="Verdana"/>
          <w:sz w:val="20"/>
          <w:lang w:val="es-ES_tradnl"/>
        </w:rPr>
        <w:t>cuatro</w:t>
      </w:r>
      <w:r w:rsidR="00132D2E" w:rsidRPr="003636C8">
        <w:rPr>
          <w:rFonts w:ascii="Verdana" w:hAnsi="Verdana"/>
          <w:sz w:val="20"/>
          <w:lang w:val="es-ES_tradnl"/>
        </w:rPr>
        <w:t xml:space="preserve"> </w:t>
      </w:r>
      <w:r w:rsidRPr="003636C8">
        <w:rPr>
          <w:rFonts w:ascii="Verdana" w:hAnsi="Verdana"/>
          <w:sz w:val="20"/>
          <w:lang w:val="es-ES_tradnl"/>
        </w:rPr>
        <w:t xml:space="preserve">informes presentados por el Estado </w:t>
      </w:r>
      <w:r w:rsidR="00132D2E">
        <w:rPr>
          <w:rFonts w:ascii="Verdana" w:hAnsi="Verdana"/>
          <w:sz w:val="20"/>
          <w:lang w:val="es-ES_tradnl"/>
        </w:rPr>
        <w:t>entre</w:t>
      </w:r>
      <w:r w:rsidRPr="003636C8">
        <w:rPr>
          <w:rFonts w:ascii="Verdana" w:hAnsi="Verdana"/>
          <w:sz w:val="20"/>
          <w:lang w:val="es-ES_tradnl"/>
        </w:rPr>
        <w:t xml:space="preserve"> julio de 2015</w:t>
      </w:r>
      <w:r w:rsidR="00D95658">
        <w:rPr>
          <w:rFonts w:ascii="Verdana" w:hAnsi="Verdana"/>
          <w:sz w:val="20"/>
          <w:lang w:val="es-ES_tradnl"/>
        </w:rPr>
        <w:t xml:space="preserve"> </w:t>
      </w:r>
      <w:r w:rsidRPr="003636C8">
        <w:rPr>
          <w:rFonts w:ascii="Verdana" w:hAnsi="Verdana"/>
          <w:sz w:val="20"/>
          <w:lang w:val="es-ES_tradnl"/>
        </w:rPr>
        <w:t>y julio de 2017</w:t>
      </w:r>
      <w:r w:rsidR="00132D2E">
        <w:rPr>
          <w:rFonts w:ascii="Verdana" w:hAnsi="Verdana"/>
          <w:sz w:val="20"/>
          <w:lang w:val="es-ES_tradnl"/>
        </w:rPr>
        <w:t>,</w:t>
      </w:r>
      <w:r w:rsidRPr="003636C8">
        <w:rPr>
          <w:rFonts w:ascii="Verdana" w:hAnsi="Verdana"/>
          <w:sz w:val="20"/>
          <w:lang w:val="es-ES_tradnl"/>
        </w:rPr>
        <w:t xml:space="preserve"> en respuesta a solicitudes efectuadas por la Corte o su </w:t>
      </w:r>
      <w:r w:rsidR="00132D2E">
        <w:rPr>
          <w:rFonts w:ascii="Verdana" w:hAnsi="Verdana"/>
          <w:sz w:val="20"/>
          <w:lang w:val="es-ES_tradnl"/>
        </w:rPr>
        <w:t>P</w:t>
      </w:r>
      <w:r w:rsidR="00E65D57" w:rsidRPr="003636C8">
        <w:rPr>
          <w:rFonts w:ascii="Verdana" w:hAnsi="Verdana"/>
          <w:sz w:val="20"/>
          <w:lang w:val="es-ES_tradnl"/>
        </w:rPr>
        <w:t>residente</w:t>
      </w:r>
      <w:r w:rsidR="006911FD">
        <w:rPr>
          <w:rFonts w:ascii="Verdana" w:hAnsi="Verdana"/>
          <w:sz w:val="20"/>
          <w:lang w:val="es-ES_tradnl"/>
        </w:rPr>
        <w:t>,</w:t>
      </w:r>
      <w:r w:rsidRPr="003636C8">
        <w:rPr>
          <w:rFonts w:ascii="Verdana" w:hAnsi="Verdana"/>
          <w:sz w:val="20"/>
          <w:lang w:val="es-ES_tradnl"/>
        </w:rPr>
        <w:t xml:space="preserve"> mediante notas de la Secretaría del Tribunal</w:t>
      </w:r>
      <w:r w:rsidR="00132D2E">
        <w:rPr>
          <w:rStyle w:val="Refdenotaalpie"/>
          <w:rFonts w:ascii="Verdana" w:hAnsi="Verdana"/>
          <w:sz w:val="20"/>
          <w:lang w:val="es-ES_tradnl"/>
        </w:rPr>
        <w:footnoteReference w:id="13"/>
      </w:r>
      <w:r w:rsidRPr="003636C8">
        <w:rPr>
          <w:rFonts w:ascii="Verdana" w:hAnsi="Verdana"/>
          <w:sz w:val="20"/>
          <w:lang w:val="es-ES_tradnl"/>
        </w:rPr>
        <w:t>.</w:t>
      </w:r>
    </w:p>
    <w:p w:rsidR="003636C8" w:rsidRPr="00052FBA" w:rsidRDefault="003636C8" w:rsidP="00000252">
      <w:pPr>
        <w:pStyle w:val="Listavistosa-nfasis1"/>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052FBA">
        <w:rPr>
          <w:rFonts w:ascii="Verdana" w:hAnsi="Verdana"/>
          <w:sz w:val="20"/>
          <w:szCs w:val="20"/>
          <w:lang w:val="es-CR"/>
        </w:rPr>
        <w:t xml:space="preserve">Los </w:t>
      </w:r>
      <w:r w:rsidR="000E34AA" w:rsidRPr="00903DE2">
        <w:rPr>
          <w:rFonts w:ascii="Verdana" w:hAnsi="Verdana"/>
          <w:sz w:val="20"/>
          <w:szCs w:val="20"/>
          <w:lang w:val="es-CR"/>
        </w:rPr>
        <w:t>veintitrés</w:t>
      </w:r>
      <w:r w:rsidR="00492983" w:rsidRPr="00052FBA">
        <w:rPr>
          <w:rFonts w:ascii="Verdana" w:hAnsi="Verdana"/>
          <w:sz w:val="20"/>
          <w:szCs w:val="20"/>
          <w:lang w:val="es-CR"/>
        </w:rPr>
        <w:t xml:space="preserve"> </w:t>
      </w:r>
      <w:r w:rsidRPr="00052FBA">
        <w:rPr>
          <w:rFonts w:ascii="Verdana" w:hAnsi="Verdana"/>
          <w:sz w:val="20"/>
          <w:szCs w:val="20"/>
          <w:lang w:val="es-CR"/>
        </w:rPr>
        <w:t xml:space="preserve">escritos de observaciones presentados </w:t>
      </w:r>
      <w:r w:rsidR="003B59F5" w:rsidRPr="00052FBA">
        <w:rPr>
          <w:rFonts w:ascii="Verdana" w:hAnsi="Verdana"/>
          <w:sz w:val="20"/>
          <w:szCs w:val="20"/>
          <w:lang w:val="es-CR"/>
        </w:rPr>
        <w:t xml:space="preserve">entre septiembre de 2014 y </w:t>
      </w:r>
      <w:r w:rsidR="005A25A4" w:rsidRPr="00052FBA">
        <w:rPr>
          <w:rFonts w:ascii="Verdana" w:hAnsi="Verdana"/>
          <w:sz w:val="20"/>
          <w:szCs w:val="20"/>
          <w:lang w:val="es-CR"/>
        </w:rPr>
        <w:t>julio</w:t>
      </w:r>
      <w:r w:rsidR="003B59F5" w:rsidRPr="00052FBA">
        <w:rPr>
          <w:rFonts w:ascii="Verdana" w:hAnsi="Verdana"/>
          <w:sz w:val="20"/>
          <w:szCs w:val="20"/>
          <w:lang w:val="es-CR"/>
        </w:rPr>
        <w:t xml:space="preserve"> de 201</w:t>
      </w:r>
      <w:r w:rsidR="005A25A4" w:rsidRPr="00052FBA">
        <w:rPr>
          <w:rFonts w:ascii="Verdana" w:hAnsi="Verdana"/>
          <w:sz w:val="20"/>
          <w:szCs w:val="20"/>
          <w:lang w:val="es-CR"/>
        </w:rPr>
        <w:t>8</w:t>
      </w:r>
      <w:r w:rsidR="003B59F5" w:rsidRPr="00052FBA">
        <w:rPr>
          <w:rStyle w:val="Refdenotaalpie"/>
          <w:rFonts w:ascii="Verdana" w:hAnsi="Verdana"/>
          <w:sz w:val="20"/>
          <w:szCs w:val="20"/>
        </w:rPr>
        <w:footnoteReference w:id="14"/>
      </w:r>
      <w:r w:rsidR="003B59F5" w:rsidRPr="00052FBA">
        <w:rPr>
          <w:rFonts w:ascii="Verdana" w:hAnsi="Verdana"/>
          <w:sz w:val="20"/>
          <w:szCs w:val="20"/>
          <w:lang w:val="es-CR"/>
        </w:rPr>
        <w:t xml:space="preserve"> </w:t>
      </w:r>
      <w:r w:rsidRPr="00052FBA">
        <w:rPr>
          <w:rFonts w:ascii="Verdana" w:hAnsi="Verdana"/>
          <w:sz w:val="20"/>
          <w:szCs w:val="20"/>
          <w:lang w:val="es-CR"/>
        </w:rPr>
        <w:t>por</w:t>
      </w:r>
      <w:r w:rsidR="001A7B68" w:rsidRPr="00052FBA">
        <w:rPr>
          <w:rFonts w:ascii="Verdana" w:hAnsi="Verdana"/>
          <w:sz w:val="20"/>
          <w:szCs w:val="20"/>
          <w:lang w:val="es-CR"/>
        </w:rPr>
        <w:t xml:space="preserve"> </w:t>
      </w:r>
      <w:r w:rsidR="006911FD" w:rsidRPr="00052FBA">
        <w:rPr>
          <w:rFonts w:ascii="Verdana" w:hAnsi="Verdana"/>
          <w:sz w:val="20"/>
          <w:szCs w:val="20"/>
          <w:lang w:val="es-CR"/>
        </w:rPr>
        <w:t>el Centro por la Justicia y el Derecho Internacional (en adelante “CEJIL”) y la Federación Interamericana de Derechos Humanos (en adelante la “FIDH”),</w:t>
      </w:r>
      <w:r w:rsidR="00492983" w:rsidRPr="00052FBA">
        <w:rPr>
          <w:rFonts w:ascii="Verdana" w:hAnsi="Verdana"/>
          <w:sz w:val="20"/>
          <w:szCs w:val="20"/>
          <w:lang w:val="es-CR"/>
        </w:rPr>
        <w:t xml:space="preserve"> intervinientes comunes de los</w:t>
      </w:r>
      <w:r w:rsidRPr="00052FBA">
        <w:rPr>
          <w:rFonts w:ascii="Verdana" w:hAnsi="Verdana"/>
          <w:sz w:val="20"/>
          <w:szCs w:val="20"/>
          <w:lang w:val="es-CR"/>
        </w:rPr>
        <w:t xml:space="preserve"> representantes de las víctimas, mediante los cuales remitieron</w:t>
      </w:r>
      <w:r w:rsidR="003B59F5" w:rsidRPr="00052FBA">
        <w:rPr>
          <w:rFonts w:ascii="Verdana" w:hAnsi="Verdana"/>
          <w:sz w:val="20"/>
          <w:szCs w:val="20"/>
          <w:lang w:val="es-CR"/>
        </w:rPr>
        <w:t xml:space="preserve"> </w:t>
      </w:r>
      <w:r w:rsidR="00052FBA" w:rsidRPr="00052FBA">
        <w:rPr>
          <w:rFonts w:ascii="Verdana" w:hAnsi="Verdana"/>
          <w:sz w:val="20"/>
          <w:szCs w:val="20"/>
          <w:lang w:val="es-CR"/>
        </w:rPr>
        <w:t xml:space="preserve">sus </w:t>
      </w:r>
      <w:r w:rsidR="003B59F5" w:rsidRPr="00052FBA">
        <w:rPr>
          <w:rFonts w:ascii="Verdana" w:hAnsi="Verdana"/>
          <w:sz w:val="20"/>
          <w:szCs w:val="20"/>
          <w:lang w:val="es-CR"/>
        </w:rPr>
        <w:t>observaciones</w:t>
      </w:r>
      <w:r w:rsidRPr="00052FBA">
        <w:rPr>
          <w:rFonts w:ascii="Verdana" w:hAnsi="Verdana"/>
          <w:sz w:val="20"/>
          <w:szCs w:val="20"/>
          <w:lang w:val="es-CR"/>
        </w:rPr>
        <w:t xml:space="preserve"> sobre el cumplimiento de la Sentencia</w:t>
      </w:r>
      <w:r w:rsidR="00052FBA" w:rsidRPr="00052FBA">
        <w:rPr>
          <w:rFonts w:ascii="Verdana" w:hAnsi="Verdana"/>
          <w:sz w:val="20"/>
          <w:szCs w:val="20"/>
          <w:lang w:val="es-CR"/>
        </w:rPr>
        <w:t xml:space="preserve">, así como las de la señora Myriam Reyes y los señores Natividad Llanquileo Pilquimán, Sergio Eduardo Millamán Manríquez quienes son </w:t>
      </w:r>
      <w:r w:rsidR="003B59F5" w:rsidRPr="00052FBA">
        <w:rPr>
          <w:rFonts w:ascii="Verdana" w:hAnsi="Verdana"/>
          <w:sz w:val="20"/>
          <w:szCs w:val="20"/>
          <w:lang w:val="es-CR"/>
        </w:rPr>
        <w:t xml:space="preserve">representantes de </w:t>
      </w:r>
      <w:r w:rsidR="00052FBA">
        <w:rPr>
          <w:rFonts w:ascii="Verdana" w:hAnsi="Verdana"/>
          <w:sz w:val="20"/>
          <w:szCs w:val="20"/>
          <w:lang w:val="es-CR"/>
        </w:rPr>
        <w:t>algunas de las</w:t>
      </w:r>
      <w:r w:rsidR="003B59F5" w:rsidRPr="00052FBA">
        <w:rPr>
          <w:rFonts w:ascii="Verdana" w:hAnsi="Verdana"/>
          <w:sz w:val="20"/>
          <w:szCs w:val="20"/>
          <w:lang w:val="es-CR"/>
        </w:rPr>
        <w:t xml:space="preserve"> víctimas</w:t>
      </w:r>
      <w:r w:rsidR="00052FBA" w:rsidRPr="00052FBA">
        <w:rPr>
          <w:rFonts w:ascii="Verdana" w:hAnsi="Verdana"/>
          <w:sz w:val="20"/>
          <w:szCs w:val="20"/>
          <w:lang w:val="es-CR"/>
        </w:rPr>
        <w:t>, y de la víctima Patricia Troncoso Robles quien se representa a sí misma</w:t>
      </w:r>
      <w:r w:rsidR="003B59F5" w:rsidRPr="00052FBA">
        <w:rPr>
          <w:rStyle w:val="Refdenotaalpie"/>
          <w:rFonts w:ascii="Verdana" w:hAnsi="Verdana"/>
          <w:sz w:val="20"/>
          <w:szCs w:val="20"/>
        </w:rPr>
        <w:footnoteReference w:id="15"/>
      </w:r>
      <w:r w:rsidRPr="00052FBA">
        <w:rPr>
          <w:rFonts w:ascii="Verdana" w:hAnsi="Verdana"/>
          <w:sz w:val="20"/>
          <w:szCs w:val="20"/>
          <w:lang w:val="es-CR"/>
        </w:rPr>
        <w:t>.</w:t>
      </w:r>
    </w:p>
    <w:p w:rsidR="005806AA" w:rsidRPr="005806AA" w:rsidRDefault="003636C8" w:rsidP="00000252">
      <w:pPr>
        <w:pStyle w:val="Listavistosa-nfasis1"/>
        <w:numPr>
          <w:ilvl w:val="0"/>
          <w:numId w:val="1"/>
        </w:numPr>
        <w:spacing w:before="120" w:after="120" w:line="240" w:lineRule="auto"/>
        <w:ind w:left="0" w:firstLine="0"/>
        <w:contextualSpacing w:val="0"/>
        <w:jc w:val="both"/>
        <w:rPr>
          <w:rFonts w:ascii="Verdana" w:hAnsi="Verdana"/>
          <w:color w:val="000000"/>
          <w:sz w:val="20"/>
          <w:szCs w:val="20"/>
          <w:shd w:val="clear" w:color="auto" w:fill="FFFFFF"/>
          <w:lang w:val="es-CR"/>
        </w:rPr>
      </w:pPr>
      <w:r w:rsidRPr="00224B25">
        <w:rPr>
          <w:rFonts w:ascii="Verdana" w:hAnsi="Verdana"/>
          <w:sz w:val="20"/>
          <w:szCs w:val="20"/>
          <w:lang w:val="es-CR"/>
        </w:rPr>
        <w:t xml:space="preserve">Los </w:t>
      </w:r>
      <w:r w:rsidR="005806AA">
        <w:rPr>
          <w:rFonts w:ascii="Verdana" w:hAnsi="Verdana"/>
          <w:sz w:val="20"/>
          <w:szCs w:val="20"/>
          <w:lang w:val="es-CR"/>
        </w:rPr>
        <w:t>tres</w:t>
      </w:r>
      <w:r w:rsidRPr="00224B25">
        <w:rPr>
          <w:rFonts w:ascii="Verdana" w:hAnsi="Verdana"/>
          <w:sz w:val="20"/>
          <w:szCs w:val="20"/>
          <w:lang w:val="es-CR"/>
        </w:rPr>
        <w:t xml:space="preserve"> escritos de observaciones presentado</w:t>
      </w:r>
      <w:r w:rsidR="00132D2E">
        <w:rPr>
          <w:rFonts w:ascii="Verdana" w:hAnsi="Verdana"/>
          <w:sz w:val="20"/>
          <w:szCs w:val="20"/>
          <w:lang w:val="es-CR"/>
        </w:rPr>
        <w:t>s</w:t>
      </w:r>
      <w:r w:rsidRPr="00224B25">
        <w:rPr>
          <w:rFonts w:ascii="Verdana" w:hAnsi="Verdana"/>
          <w:sz w:val="20"/>
          <w:szCs w:val="20"/>
          <w:lang w:val="es-CR"/>
        </w:rPr>
        <w:t xml:space="preserve"> por la Comisión Interamericana de Derechos Humanos (en adelante “la Comisión Interamericana” o “la Comisión”) </w:t>
      </w:r>
      <w:r w:rsidR="005806AA">
        <w:rPr>
          <w:rFonts w:ascii="Verdana" w:hAnsi="Verdana"/>
          <w:sz w:val="20"/>
          <w:szCs w:val="20"/>
          <w:lang w:val="es-CR"/>
        </w:rPr>
        <w:t>entre noviembre de 2015 y diciembre de 2017</w:t>
      </w:r>
      <w:r w:rsidR="005806AA">
        <w:rPr>
          <w:rStyle w:val="Refdenotaalpie"/>
          <w:rFonts w:ascii="Verdana" w:hAnsi="Verdana"/>
          <w:sz w:val="20"/>
          <w:szCs w:val="20"/>
          <w:lang w:val="es-CR"/>
        </w:rPr>
        <w:footnoteReference w:id="16"/>
      </w:r>
      <w:r w:rsidR="005806AA">
        <w:rPr>
          <w:rFonts w:ascii="Verdana" w:hAnsi="Verdana"/>
          <w:sz w:val="20"/>
          <w:szCs w:val="20"/>
          <w:lang w:val="es-CR"/>
        </w:rPr>
        <w:t>.</w:t>
      </w:r>
    </w:p>
    <w:p w:rsidR="00520786" w:rsidRDefault="00520786" w:rsidP="00000252">
      <w:pPr>
        <w:pStyle w:val="Listavistosa-nfasis1"/>
        <w:spacing w:before="120" w:after="120" w:line="240" w:lineRule="auto"/>
        <w:contextualSpacing w:val="0"/>
        <w:jc w:val="both"/>
        <w:rPr>
          <w:rFonts w:ascii="Verdana" w:hAnsi="Verdana"/>
          <w:b/>
          <w:color w:val="000000"/>
          <w:sz w:val="20"/>
          <w:szCs w:val="20"/>
          <w:shd w:val="clear" w:color="auto" w:fill="FFFFFF"/>
          <w:lang w:val="es-CR"/>
        </w:rPr>
      </w:pPr>
    </w:p>
    <w:p w:rsidR="00520786" w:rsidRDefault="00520786" w:rsidP="00000252">
      <w:pPr>
        <w:pStyle w:val="Listavistosa-nfasis1"/>
        <w:spacing w:before="120" w:after="120" w:line="240" w:lineRule="auto"/>
        <w:contextualSpacing w:val="0"/>
        <w:jc w:val="both"/>
        <w:rPr>
          <w:rFonts w:ascii="Verdana" w:hAnsi="Verdana"/>
          <w:b/>
          <w:color w:val="000000"/>
          <w:sz w:val="20"/>
          <w:szCs w:val="20"/>
          <w:shd w:val="clear" w:color="auto" w:fill="FFFFFF"/>
          <w:lang w:val="es-CR"/>
        </w:rPr>
      </w:pPr>
    </w:p>
    <w:p w:rsidR="00253240" w:rsidRPr="009B4B9D" w:rsidRDefault="005921C0" w:rsidP="00000252">
      <w:pPr>
        <w:spacing w:before="120" w:after="120" w:line="240" w:lineRule="auto"/>
        <w:jc w:val="both"/>
        <w:rPr>
          <w:rFonts w:ascii="Verdana" w:hAnsi="Verdana"/>
          <w:b/>
          <w:sz w:val="20"/>
          <w:lang w:val="es-MX"/>
        </w:rPr>
      </w:pPr>
      <w:r w:rsidRPr="009B4B9D">
        <w:rPr>
          <w:rFonts w:ascii="Verdana" w:hAnsi="Verdana"/>
          <w:b/>
          <w:sz w:val="20"/>
          <w:szCs w:val="20"/>
          <w:lang w:val="es-CR"/>
        </w:rPr>
        <w:t>C</w:t>
      </w:r>
      <w:r w:rsidR="008F5FD0" w:rsidRPr="009B4B9D">
        <w:rPr>
          <w:rFonts w:ascii="Verdana" w:hAnsi="Verdana"/>
          <w:b/>
          <w:sz w:val="20"/>
          <w:lang w:val="es-MX"/>
        </w:rPr>
        <w:t xml:space="preserve">ONSIDERANDO QUE: </w:t>
      </w:r>
    </w:p>
    <w:p w:rsidR="004372CF" w:rsidRPr="004372CF" w:rsidRDefault="008F5FD0" w:rsidP="00000252">
      <w:pPr>
        <w:pStyle w:val="Listavistosa-nfasis1"/>
        <w:numPr>
          <w:ilvl w:val="0"/>
          <w:numId w:val="2"/>
        </w:numPr>
        <w:spacing w:before="120" w:after="120" w:line="240" w:lineRule="auto"/>
        <w:ind w:left="0" w:firstLine="0"/>
        <w:contextualSpacing w:val="0"/>
        <w:jc w:val="both"/>
        <w:rPr>
          <w:rFonts w:ascii="Verdana" w:hAnsi="Verdana"/>
          <w:b/>
          <w:sz w:val="20"/>
          <w:lang w:val="es-MX"/>
        </w:rPr>
      </w:pPr>
      <w:r w:rsidRPr="009B4B9D">
        <w:rPr>
          <w:rFonts w:ascii="Verdana" w:hAnsi="Verdana"/>
          <w:sz w:val="20"/>
          <w:lang w:val="es-CR"/>
        </w:rPr>
        <w:t xml:space="preserve">En el ejercicio de </w:t>
      </w:r>
      <w:r w:rsidRPr="009B4B9D">
        <w:rPr>
          <w:rFonts w:ascii="Verdana" w:hAnsi="Verdana"/>
          <w:sz w:val="20"/>
          <w:lang w:val="es-ES"/>
        </w:rPr>
        <w:t xml:space="preserve">su función jurisdiccional de </w:t>
      </w:r>
      <w:r w:rsidRPr="009B4B9D">
        <w:rPr>
          <w:rFonts w:ascii="Verdana" w:hAnsi="Verdana"/>
          <w:sz w:val="20"/>
          <w:lang w:val="es-CR"/>
        </w:rPr>
        <w:t xml:space="preserve">supervisar el cumplimiento de sus </w:t>
      </w:r>
      <w:r w:rsidR="00C82BA3" w:rsidRPr="00C82BA3">
        <w:rPr>
          <w:rFonts w:ascii="Verdana" w:hAnsi="Verdana"/>
          <w:sz w:val="20"/>
          <w:lang w:val="es-ES_tradnl"/>
        </w:rPr>
        <w:t>decisiones</w:t>
      </w:r>
      <w:r w:rsidR="00C82BA3" w:rsidRPr="00C82BA3">
        <w:rPr>
          <w:rFonts w:ascii="Verdana" w:hAnsi="Verdana"/>
          <w:sz w:val="20"/>
          <w:vertAlign w:val="superscript"/>
          <w:lang w:val="es-ES_tradnl"/>
        </w:rPr>
        <w:footnoteReference w:id="17"/>
      </w:r>
      <w:r w:rsidR="00C82BA3" w:rsidRPr="00C82BA3">
        <w:rPr>
          <w:rFonts w:ascii="Verdana" w:hAnsi="Verdana"/>
          <w:sz w:val="20"/>
          <w:lang w:val="es-ES_tradnl"/>
        </w:rPr>
        <w:t xml:space="preserve">, la Corte ha venido supervisando la ejecución de la Sentencia emitida </w:t>
      </w:r>
      <w:r w:rsidR="00C82BA3" w:rsidRPr="00C82BA3">
        <w:rPr>
          <w:rFonts w:ascii="Verdana" w:hAnsi="Verdana"/>
          <w:sz w:val="20"/>
          <w:lang w:val="es-MX"/>
        </w:rPr>
        <w:t>en el presente caso en el año 2014 (</w:t>
      </w:r>
      <w:r w:rsidR="00C82BA3" w:rsidRPr="00C82BA3">
        <w:rPr>
          <w:rFonts w:ascii="Verdana" w:hAnsi="Verdana"/>
          <w:i/>
          <w:sz w:val="20"/>
          <w:lang w:val="es-MX"/>
        </w:rPr>
        <w:t>supra</w:t>
      </w:r>
      <w:r w:rsidR="00C82BA3" w:rsidRPr="00C82BA3">
        <w:rPr>
          <w:rFonts w:ascii="Verdana" w:hAnsi="Verdana"/>
          <w:sz w:val="20"/>
          <w:lang w:val="es-MX"/>
        </w:rPr>
        <w:t xml:space="preserve"> Visto 1). En la Sentencia, el Tribunal dispuso </w:t>
      </w:r>
      <w:r w:rsidR="00052FBA">
        <w:rPr>
          <w:rFonts w:ascii="Verdana" w:hAnsi="Verdana"/>
          <w:sz w:val="20"/>
          <w:lang w:val="es-MX"/>
        </w:rPr>
        <w:t xml:space="preserve">siete </w:t>
      </w:r>
      <w:r w:rsidR="00C82BA3" w:rsidRPr="00C82BA3">
        <w:rPr>
          <w:rFonts w:ascii="Verdana" w:hAnsi="Verdana"/>
          <w:sz w:val="20"/>
          <w:lang w:val="es-MX"/>
        </w:rPr>
        <w:lastRenderedPageBreak/>
        <w:t>medidas de reparación</w:t>
      </w:r>
      <w:r w:rsidR="00052FBA">
        <w:rPr>
          <w:rFonts w:ascii="Verdana" w:hAnsi="Verdana"/>
          <w:sz w:val="20"/>
          <w:lang w:val="es-MX"/>
        </w:rPr>
        <w:t xml:space="preserve"> (</w:t>
      </w:r>
      <w:r w:rsidR="00052FBA" w:rsidRPr="00052FBA">
        <w:rPr>
          <w:rFonts w:ascii="Verdana" w:hAnsi="Verdana"/>
          <w:i/>
          <w:sz w:val="20"/>
          <w:lang w:val="es-MX"/>
        </w:rPr>
        <w:t>infra</w:t>
      </w:r>
      <w:r w:rsidR="00052FBA">
        <w:rPr>
          <w:rFonts w:ascii="Verdana" w:hAnsi="Verdana"/>
          <w:sz w:val="20"/>
          <w:lang w:val="es-MX"/>
        </w:rPr>
        <w:t xml:space="preserve"> Considerandos </w:t>
      </w:r>
      <w:r w:rsidR="00857630">
        <w:rPr>
          <w:rFonts w:ascii="Verdana" w:hAnsi="Verdana"/>
          <w:sz w:val="20"/>
          <w:lang w:val="es-MX"/>
        </w:rPr>
        <w:t>4, 16, 28, 39, 53, 67 y 69</w:t>
      </w:r>
      <w:r w:rsidR="00052FBA">
        <w:rPr>
          <w:rFonts w:ascii="Verdana" w:hAnsi="Verdana"/>
          <w:sz w:val="20"/>
          <w:lang w:val="es-MX"/>
        </w:rPr>
        <w:t xml:space="preserve">). </w:t>
      </w:r>
      <w:r w:rsidR="001C2E9A">
        <w:rPr>
          <w:rFonts w:ascii="Verdana" w:hAnsi="Verdana"/>
          <w:sz w:val="20"/>
          <w:lang w:val="es-ES_tradnl"/>
        </w:rPr>
        <w:t>También se dispuso que el Estado debía reintegrar al Fondo de Asistencia la cantidad erogada durante la tramitación de la etapa de fondo de este caso, lo cual ya fue declarado como cumplido por este Tribunal (</w:t>
      </w:r>
      <w:r w:rsidR="001C2E9A" w:rsidRPr="00F17DBB">
        <w:rPr>
          <w:rFonts w:ascii="Verdana" w:hAnsi="Verdana"/>
          <w:i/>
          <w:sz w:val="20"/>
          <w:lang w:val="es-ES_tradnl"/>
        </w:rPr>
        <w:t>supra</w:t>
      </w:r>
      <w:r w:rsidR="001C2E9A">
        <w:rPr>
          <w:rFonts w:ascii="Verdana" w:hAnsi="Verdana"/>
          <w:sz w:val="20"/>
          <w:lang w:val="es-ES_tradnl"/>
        </w:rPr>
        <w:t xml:space="preserve"> Visto 2).</w:t>
      </w:r>
    </w:p>
    <w:p w:rsidR="00253240" w:rsidRPr="009769CA" w:rsidRDefault="0028181B" w:rsidP="00000252">
      <w:pPr>
        <w:pStyle w:val="Listavistosa-nfasis1"/>
        <w:numPr>
          <w:ilvl w:val="0"/>
          <w:numId w:val="2"/>
        </w:numPr>
        <w:tabs>
          <w:tab w:val="left" w:pos="709"/>
        </w:tabs>
        <w:spacing w:before="120" w:after="120" w:line="240" w:lineRule="auto"/>
        <w:ind w:left="0" w:firstLine="0"/>
        <w:contextualSpacing w:val="0"/>
        <w:jc w:val="both"/>
        <w:rPr>
          <w:rFonts w:ascii="Verdana" w:hAnsi="Verdana"/>
          <w:color w:val="000000"/>
          <w:sz w:val="20"/>
          <w:szCs w:val="20"/>
          <w:lang w:val="es-MX"/>
        </w:rPr>
      </w:pPr>
      <w:r w:rsidRPr="009B4B9D">
        <w:rPr>
          <w:rFonts w:ascii="Verdana" w:hAnsi="Verdana"/>
          <w:sz w:val="20"/>
          <w:szCs w:val="20"/>
          <w:lang w:val="es-CR"/>
        </w:rPr>
        <w:t xml:space="preserve">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w:t>
      </w:r>
      <w:r w:rsidR="00224B25" w:rsidRPr="00224B25">
        <w:rPr>
          <w:rFonts w:ascii="Verdana" w:hAnsi="Verdana"/>
          <w:sz w:val="20"/>
          <w:szCs w:val="20"/>
          <w:lang w:val="es-ES_tradnl"/>
        </w:rPr>
        <w:t>su conjunto</w:t>
      </w:r>
      <w:r w:rsidR="00224B25" w:rsidRPr="00224B25">
        <w:rPr>
          <w:rFonts w:ascii="Verdana" w:hAnsi="Verdana"/>
          <w:sz w:val="20"/>
          <w:szCs w:val="20"/>
          <w:vertAlign w:val="superscript"/>
          <w:lang w:val="es-ES_tradnl"/>
        </w:rPr>
        <w:footnoteReference w:id="18"/>
      </w:r>
      <w:r w:rsidR="00224B25" w:rsidRPr="00224B25">
        <w:rPr>
          <w:rFonts w:ascii="Verdana" w:hAnsi="Verdana"/>
          <w:sz w:val="20"/>
          <w:szCs w:val="20"/>
          <w:lang w:val="es-ES_tradnl"/>
        </w:rPr>
        <w:t xml:space="preserve">. </w:t>
      </w:r>
      <w:r w:rsidR="00FB3834" w:rsidRPr="006A08FC">
        <w:rPr>
          <w:rFonts w:ascii="Verdana" w:hAnsi="Verdana"/>
          <w:sz w:val="20"/>
          <w:szCs w:val="20"/>
          <w:lang w:val="es-CR"/>
        </w:rPr>
        <w:t>Los Estados Parte en la Convención deben garantizar el cumplimiento de las disposiciones convencionales y sus efectos propios (</w:t>
      </w:r>
      <w:r w:rsidR="00FB3834" w:rsidRPr="006A08FC">
        <w:rPr>
          <w:rFonts w:ascii="Verdana" w:hAnsi="Verdana"/>
          <w:i/>
          <w:sz w:val="20"/>
          <w:szCs w:val="20"/>
          <w:lang w:val="es-CR"/>
        </w:rPr>
        <w:t>effet utile</w:t>
      </w:r>
      <w:r w:rsidR="00FB3834" w:rsidRPr="006A08FC">
        <w:rPr>
          <w:rFonts w:ascii="Verdana" w:hAnsi="Verdana"/>
          <w:sz w:val="20"/>
          <w:szCs w:val="20"/>
          <w:lang w:val="es-CR"/>
        </w:rPr>
        <w:t xml:space="preserve">) en el plano de sus respectivos derechos internos. Estas obligaciones deben ser interpretadas y aplicadas de manera que la garantía protegida sea verdaderamente práctica y eficaz, teniendo presente la naturaleza especial de </w:t>
      </w:r>
      <w:r w:rsidR="00FB3834" w:rsidRPr="009769CA">
        <w:rPr>
          <w:rFonts w:ascii="Verdana" w:hAnsi="Verdana"/>
          <w:color w:val="000000"/>
          <w:sz w:val="20"/>
          <w:szCs w:val="20"/>
          <w:lang w:val="es-CR"/>
        </w:rPr>
        <w:t xml:space="preserve">los tratados de derechos </w:t>
      </w:r>
      <w:r w:rsidR="00224B25" w:rsidRPr="009769CA">
        <w:rPr>
          <w:rFonts w:ascii="Verdana" w:hAnsi="Verdana"/>
          <w:color w:val="000000"/>
          <w:sz w:val="20"/>
          <w:szCs w:val="20"/>
          <w:lang w:val="es-ES"/>
        </w:rPr>
        <w:t>humanos</w:t>
      </w:r>
      <w:r w:rsidR="00224B25" w:rsidRPr="009769CA">
        <w:rPr>
          <w:rFonts w:ascii="Verdana" w:hAnsi="Verdana"/>
          <w:color w:val="000000"/>
          <w:sz w:val="20"/>
          <w:szCs w:val="20"/>
          <w:vertAlign w:val="superscript"/>
          <w:lang w:val="es-ES_tradnl"/>
        </w:rPr>
        <w:footnoteReference w:id="19"/>
      </w:r>
      <w:r w:rsidR="00224B25" w:rsidRPr="009769CA">
        <w:rPr>
          <w:rFonts w:ascii="Verdana" w:hAnsi="Verdana"/>
          <w:color w:val="000000"/>
          <w:sz w:val="20"/>
          <w:szCs w:val="20"/>
          <w:lang w:val="es-ES"/>
        </w:rPr>
        <w:t>.</w:t>
      </w:r>
    </w:p>
    <w:p w:rsidR="00224B25" w:rsidRPr="00052FBA" w:rsidRDefault="00224B25" w:rsidP="00052FBA">
      <w:pPr>
        <w:pStyle w:val="Listavistosa-nfasis1"/>
        <w:numPr>
          <w:ilvl w:val="0"/>
          <w:numId w:val="4"/>
        </w:numPr>
        <w:tabs>
          <w:tab w:val="left" w:pos="709"/>
        </w:tabs>
        <w:spacing w:before="120" w:after="120" w:line="240" w:lineRule="auto"/>
        <w:ind w:left="0" w:firstLine="0"/>
        <w:contextualSpacing w:val="0"/>
        <w:jc w:val="both"/>
        <w:rPr>
          <w:rFonts w:ascii="Verdana" w:hAnsi="Verdana"/>
          <w:color w:val="000000"/>
          <w:sz w:val="20"/>
          <w:szCs w:val="20"/>
          <w:lang w:val="es-ES_tradnl"/>
        </w:rPr>
      </w:pPr>
      <w:r w:rsidRPr="009769CA">
        <w:rPr>
          <w:rFonts w:ascii="Verdana" w:hAnsi="Verdana"/>
          <w:color w:val="000000"/>
          <w:sz w:val="20"/>
          <w:szCs w:val="20"/>
          <w:lang w:val="es-ES_tradnl"/>
        </w:rPr>
        <w:t xml:space="preserve">Seguidamente, la Corte valorará la información presentada </w:t>
      </w:r>
      <w:r w:rsidR="00EA72E9">
        <w:rPr>
          <w:rFonts w:ascii="Verdana" w:hAnsi="Verdana"/>
          <w:color w:val="000000"/>
          <w:sz w:val="20"/>
          <w:szCs w:val="20"/>
          <w:lang w:val="es-ES_tradnl"/>
        </w:rPr>
        <w:t>por Chile</w:t>
      </w:r>
      <w:r w:rsidR="00052FBA">
        <w:rPr>
          <w:rFonts w:ascii="Verdana" w:hAnsi="Verdana"/>
          <w:color w:val="000000"/>
          <w:sz w:val="20"/>
          <w:szCs w:val="20"/>
          <w:lang w:val="es-ES_tradnl"/>
        </w:rPr>
        <w:t xml:space="preserve">, </w:t>
      </w:r>
      <w:r w:rsidR="00C07B11">
        <w:rPr>
          <w:rFonts w:ascii="Verdana" w:hAnsi="Verdana"/>
          <w:color w:val="000000"/>
          <w:sz w:val="20"/>
          <w:szCs w:val="20"/>
          <w:lang w:val="es-ES_tradnl"/>
        </w:rPr>
        <w:t xml:space="preserve">por </w:t>
      </w:r>
      <w:r w:rsidR="00052FBA">
        <w:rPr>
          <w:rFonts w:ascii="Verdana" w:hAnsi="Verdana"/>
          <w:color w:val="000000"/>
          <w:sz w:val="20"/>
          <w:szCs w:val="20"/>
          <w:lang w:val="es-ES_tradnl"/>
        </w:rPr>
        <w:t>los representantes de las víctimas</w:t>
      </w:r>
      <w:r w:rsidR="00EA72E9">
        <w:rPr>
          <w:rFonts w:ascii="Verdana" w:hAnsi="Verdana"/>
          <w:color w:val="000000"/>
          <w:sz w:val="20"/>
          <w:szCs w:val="20"/>
          <w:lang w:val="es-ES_tradnl"/>
        </w:rPr>
        <w:t xml:space="preserve"> y la víctima Patricia Troncoso Robles,</w:t>
      </w:r>
      <w:r w:rsidR="00C07B11">
        <w:rPr>
          <w:rFonts w:ascii="Verdana" w:hAnsi="Verdana"/>
          <w:color w:val="000000"/>
          <w:sz w:val="20"/>
          <w:szCs w:val="20"/>
          <w:lang w:val="es-ES_tradnl"/>
        </w:rPr>
        <w:t xml:space="preserve"> a través de los intervinientes comunes,</w:t>
      </w:r>
      <w:r w:rsidR="00EA72E9">
        <w:rPr>
          <w:rFonts w:ascii="Verdana" w:hAnsi="Verdana"/>
          <w:color w:val="000000"/>
          <w:sz w:val="20"/>
          <w:szCs w:val="20"/>
          <w:lang w:val="es-ES_tradnl"/>
        </w:rPr>
        <w:t xml:space="preserve"> así como las observaciones de la Comisión Interamericana</w:t>
      </w:r>
      <w:r w:rsidR="00052FBA">
        <w:rPr>
          <w:rFonts w:ascii="Verdana" w:hAnsi="Verdana"/>
          <w:color w:val="000000"/>
          <w:sz w:val="20"/>
          <w:szCs w:val="20"/>
          <w:lang w:val="es-ES_tradnl"/>
        </w:rPr>
        <w:t xml:space="preserve"> </w:t>
      </w:r>
      <w:r w:rsidRPr="009769CA">
        <w:rPr>
          <w:rFonts w:ascii="Verdana" w:hAnsi="Verdana"/>
          <w:color w:val="000000"/>
          <w:sz w:val="20"/>
          <w:szCs w:val="20"/>
          <w:lang w:val="es-ES_tradnl"/>
        </w:rPr>
        <w:t xml:space="preserve">respecto de las siete medidas de reparación ordenadas en este caso, y determinará el grado de cumplimiento por parte del Estado. </w:t>
      </w:r>
      <w:r w:rsidRPr="00052FBA">
        <w:rPr>
          <w:rFonts w:ascii="Verdana" w:hAnsi="Verdana"/>
          <w:color w:val="000000"/>
          <w:sz w:val="20"/>
          <w:szCs w:val="20"/>
          <w:lang w:val="es-ES"/>
        </w:rPr>
        <w:t>Las consideraciones de este Tribunal se estructurarán en el siguiente orden:</w:t>
      </w:r>
    </w:p>
    <w:p w:rsidR="00546784" w:rsidRPr="00546784" w:rsidRDefault="00546784" w:rsidP="0017186D">
      <w:pPr>
        <w:pStyle w:val="TDC1"/>
        <w:tabs>
          <w:tab w:val="left" w:pos="426"/>
          <w:tab w:val="right" w:leader="dot" w:pos="8789"/>
        </w:tabs>
        <w:spacing w:after="0"/>
        <w:ind w:left="567"/>
        <w:rPr>
          <w:rFonts w:eastAsia="Times New Roman"/>
          <w:b w:val="0"/>
          <w:bCs w:val="0"/>
          <w:caps w:val="0"/>
          <w:noProof/>
          <w:sz w:val="16"/>
          <w:szCs w:val="16"/>
          <w:lang w:val="es-CR" w:eastAsia="es-CR"/>
        </w:rPr>
      </w:pPr>
      <w:r w:rsidRPr="00546784">
        <w:rPr>
          <w:rFonts w:ascii="Verdana" w:hAnsi="Verdana"/>
          <w:b w:val="0"/>
          <w:caps w:val="0"/>
          <w:color w:val="000000"/>
          <w:sz w:val="16"/>
          <w:szCs w:val="16"/>
          <w:lang w:val="es-ES_tradnl"/>
        </w:rPr>
        <w:fldChar w:fldCharType="begin"/>
      </w:r>
      <w:r w:rsidRPr="00546784">
        <w:rPr>
          <w:rFonts w:ascii="Verdana" w:hAnsi="Verdana"/>
          <w:b w:val="0"/>
          <w:caps w:val="0"/>
          <w:color w:val="000000"/>
          <w:sz w:val="16"/>
          <w:szCs w:val="16"/>
          <w:lang w:val="es-ES_tradnl"/>
        </w:rPr>
        <w:instrText xml:space="preserve"> TOC \o "1-1" \h \z \u </w:instrText>
      </w:r>
      <w:r w:rsidRPr="00546784">
        <w:rPr>
          <w:rFonts w:ascii="Verdana" w:hAnsi="Verdana"/>
          <w:b w:val="0"/>
          <w:caps w:val="0"/>
          <w:color w:val="000000"/>
          <w:sz w:val="16"/>
          <w:szCs w:val="16"/>
          <w:lang w:val="es-ES_tradnl"/>
        </w:rPr>
        <w:fldChar w:fldCharType="separate"/>
      </w:r>
      <w:hyperlink w:anchor="_Toc523309966" w:history="1">
        <w:r w:rsidRPr="00546784">
          <w:rPr>
            <w:rStyle w:val="Hipervnculo"/>
            <w:rFonts w:ascii="Verdana" w:eastAsia="Times New Roman" w:hAnsi="Verdana"/>
            <w:b w:val="0"/>
            <w:i/>
            <w:caps w:val="0"/>
            <w:noProof/>
            <w:sz w:val="16"/>
            <w:szCs w:val="16"/>
            <w:lang w:val="es-ES_tradnl" w:eastAsia="es-ES"/>
          </w:rPr>
          <w:t>A.</w:t>
        </w:r>
        <w:r w:rsidRPr="00546784">
          <w:rPr>
            <w:rFonts w:eastAsia="Times New Roman"/>
            <w:b w:val="0"/>
            <w:bCs w:val="0"/>
            <w:caps w:val="0"/>
            <w:noProof/>
            <w:sz w:val="16"/>
            <w:szCs w:val="16"/>
            <w:lang w:val="es-CR" w:eastAsia="es-CR"/>
          </w:rPr>
          <w:t xml:space="preserve"> </w:t>
        </w:r>
        <w:r w:rsidRPr="00546784">
          <w:rPr>
            <w:rStyle w:val="Hipervnculo"/>
            <w:rFonts w:ascii="Verdana" w:eastAsia="Times New Roman" w:hAnsi="Verdana"/>
            <w:b w:val="0"/>
            <w:i/>
            <w:caps w:val="0"/>
            <w:noProof/>
            <w:sz w:val="16"/>
            <w:szCs w:val="16"/>
            <w:lang w:val="es-ES_tradnl" w:eastAsia="es-ES"/>
          </w:rPr>
          <w:t>Dejar sin efecto las sentencias penales condenatorias emitidas en contra de las víctimas</w:t>
        </w:r>
        <w:r w:rsidRPr="00546784">
          <w:rPr>
            <w:b w:val="0"/>
            <w:caps w:val="0"/>
            <w:noProof/>
            <w:webHidden/>
            <w:sz w:val="16"/>
            <w:szCs w:val="16"/>
          </w:rPr>
          <w:tab/>
        </w:r>
        <w:r w:rsidRPr="00546784">
          <w:rPr>
            <w:b w:val="0"/>
            <w:caps w:val="0"/>
            <w:noProof/>
            <w:webHidden/>
            <w:sz w:val="16"/>
            <w:szCs w:val="16"/>
          </w:rPr>
          <w:fldChar w:fldCharType="begin"/>
        </w:r>
        <w:r w:rsidRPr="00546784">
          <w:rPr>
            <w:b w:val="0"/>
            <w:caps w:val="0"/>
            <w:noProof/>
            <w:webHidden/>
            <w:sz w:val="16"/>
            <w:szCs w:val="16"/>
          </w:rPr>
          <w:instrText xml:space="preserve"> PAGEREF _Toc523309966 \h </w:instrText>
        </w:r>
        <w:r w:rsidRPr="00546784">
          <w:rPr>
            <w:b w:val="0"/>
            <w:caps w:val="0"/>
            <w:noProof/>
            <w:webHidden/>
            <w:sz w:val="16"/>
            <w:szCs w:val="16"/>
          </w:rPr>
        </w:r>
        <w:r w:rsidRPr="00546784">
          <w:rPr>
            <w:b w:val="0"/>
            <w:caps w:val="0"/>
            <w:noProof/>
            <w:webHidden/>
            <w:sz w:val="16"/>
            <w:szCs w:val="16"/>
          </w:rPr>
          <w:fldChar w:fldCharType="separate"/>
        </w:r>
        <w:r w:rsidR="002617F0">
          <w:rPr>
            <w:b w:val="0"/>
            <w:caps w:val="0"/>
            <w:noProof/>
            <w:webHidden/>
            <w:sz w:val="16"/>
            <w:szCs w:val="16"/>
          </w:rPr>
          <w:t>3</w:t>
        </w:r>
        <w:r w:rsidRPr="00546784">
          <w:rPr>
            <w:b w:val="0"/>
            <w:caps w:val="0"/>
            <w:noProof/>
            <w:webHidden/>
            <w:sz w:val="16"/>
            <w:szCs w:val="16"/>
          </w:rPr>
          <w:fldChar w:fldCharType="end"/>
        </w:r>
      </w:hyperlink>
    </w:p>
    <w:p w:rsidR="00546784" w:rsidRPr="00546784" w:rsidRDefault="00546784" w:rsidP="0017186D">
      <w:pPr>
        <w:pStyle w:val="TDC1"/>
        <w:tabs>
          <w:tab w:val="left" w:pos="426"/>
          <w:tab w:val="right" w:leader="dot" w:pos="8789"/>
        </w:tabs>
        <w:spacing w:after="0"/>
        <w:ind w:left="567"/>
        <w:rPr>
          <w:rFonts w:eastAsia="Times New Roman"/>
          <w:b w:val="0"/>
          <w:bCs w:val="0"/>
          <w:caps w:val="0"/>
          <w:noProof/>
          <w:sz w:val="16"/>
          <w:szCs w:val="16"/>
          <w:lang w:val="es-CR" w:eastAsia="es-CR"/>
        </w:rPr>
      </w:pPr>
      <w:hyperlink w:anchor="_Toc523309967" w:history="1">
        <w:r w:rsidRPr="00546784">
          <w:rPr>
            <w:rStyle w:val="Hipervnculo"/>
            <w:rFonts w:ascii="Verdana" w:eastAsia="Times New Roman" w:hAnsi="Verdana"/>
            <w:b w:val="0"/>
            <w:i/>
            <w:caps w:val="0"/>
            <w:noProof/>
            <w:sz w:val="16"/>
            <w:szCs w:val="16"/>
            <w:lang w:val="es-ES_tradnl" w:eastAsia="es-ES"/>
          </w:rPr>
          <w:t>B.</w:t>
        </w:r>
        <w:r w:rsidRPr="00546784">
          <w:rPr>
            <w:rFonts w:eastAsia="Times New Roman"/>
            <w:b w:val="0"/>
            <w:bCs w:val="0"/>
            <w:caps w:val="0"/>
            <w:noProof/>
            <w:sz w:val="16"/>
            <w:szCs w:val="16"/>
            <w:lang w:val="es-CR" w:eastAsia="es-CR"/>
          </w:rPr>
          <w:t xml:space="preserve"> </w:t>
        </w:r>
        <w:r w:rsidRPr="00546784">
          <w:rPr>
            <w:rStyle w:val="Hipervnculo"/>
            <w:rFonts w:ascii="Verdana" w:eastAsia="Times New Roman" w:hAnsi="Verdana"/>
            <w:b w:val="0"/>
            <w:i/>
            <w:caps w:val="0"/>
            <w:noProof/>
            <w:sz w:val="16"/>
            <w:szCs w:val="16"/>
            <w:lang w:val="es-ES_tradnl" w:eastAsia="es-ES"/>
          </w:rPr>
          <w:t>Brindar tratamiento médico y psicológico o psiquiátrico</w:t>
        </w:r>
        <w:r w:rsidRPr="00546784">
          <w:rPr>
            <w:b w:val="0"/>
            <w:caps w:val="0"/>
            <w:noProof/>
            <w:webHidden/>
            <w:sz w:val="16"/>
            <w:szCs w:val="16"/>
          </w:rPr>
          <w:tab/>
        </w:r>
        <w:r w:rsidRPr="00546784">
          <w:rPr>
            <w:b w:val="0"/>
            <w:caps w:val="0"/>
            <w:noProof/>
            <w:webHidden/>
            <w:sz w:val="16"/>
            <w:szCs w:val="16"/>
          </w:rPr>
          <w:fldChar w:fldCharType="begin"/>
        </w:r>
        <w:r w:rsidRPr="00546784">
          <w:rPr>
            <w:b w:val="0"/>
            <w:caps w:val="0"/>
            <w:noProof/>
            <w:webHidden/>
            <w:sz w:val="16"/>
            <w:szCs w:val="16"/>
          </w:rPr>
          <w:instrText xml:space="preserve"> PAGEREF _Toc523309967 \h </w:instrText>
        </w:r>
        <w:r w:rsidRPr="00546784">
          <w:rPr>
            <w:b w:val="0"/>
            <w:caps w:val="0"/>
            <w:noProof/>
            <w:webHidden/>
            <w:sz w:val="16"/>
            <w:szCs w:val="16"/>
          </w:rPr>
        </w:r>
        <w:r w:rsidRPr="00546784">
          <w:rPr>
            <w:b w:val="0"/>
            <w:caps w:val="0"/>
            <w:noProof/>
            <w:webHidden/>
            <w:sz w:val="16"/>
            <w:szCs w:val="16"/>
          </w:rPr>
          <w:fldChar w:fldCharType="separate"/>
        </w:r>
        <w:r w:rsidR="002617F0">
          <w:rPr>
            <w:b w:val="0"/>
            <w:caps w:val="0"/>
            <w:noProof/>
            <w:webHidden/>
            <w:sz w:val="16"/>
            <w:szCs w:val="16"/>
          </w:rPr>
          <w:t>8</w:t>
        </w:r>
        <w:r w:rsidRPr="00546784">
          <w:rPr>
            <w:b w:val="0"/>
            <w:caps w:val="0"/>
            <w:noProof/>
            <w:webHidden/>
            <w:sz w:val="16"/>
            <w:szCs w:val="16"/>
          </w:rPr>
          <w:fldChar w:fldCharType="end"/>
        </w:r>
      </w:hyperlink>
    </w:p>
    <w:p w:rsidR="00546784" w:rsidRPr="00546784" w:rsidRDefault="00546784" w:rsidP="0017186D">
      <w:pPr>
        <w:pStyle w:val="TDC1"/>
        <w:tabs>
          <w:tab w:val="left" w:pos="426"/>
          <w:tab w:val="right" w:leader="dot" w:pos="8789"/>
        </w:tabs>
        <w:spacing w:after="0"/>
        <w:ind w:left="567"/>
        <w:rPr>
          <w:rFonts w:eastAsia="Times New Roman"/>
          <w:b w:val="0"/>
          <w:bCs w:val="0"/>
          <w:caps w:val="0"/>
          <w:noProof/>
          <w:sz w:val="16"/>
          <w:szCs w:val="16"/>
          <w:lang w:val="es-CR" w:eastAsia="es-CR"/>
        </w:rPr>
      </w:pPr>
      <w:hyperlink w:anchor="_Toc523309968" w:history="1">
        <w:r w:rsidRPr="00546784">
          <w:rPr>
            <w:rStyle w:val="Hipervnculo"/>
            <w:rFonts w:ascii="Verdana" w:eastAsia="Times New Roman" w:hAnsi="Verdana"/>
            <w:b w:val="0"/>
            <w:i/>
            <w:caps w:val="0"/>
            <w:noProof/>
            <w:sz w:val="16"/>
            <w:szCs w:val="16"/>
            <w:lang w:val="es-ES_tradnl" w:eastAsia="es-ES"/>
          </w:rPr>
          <w:t>C.</w:t>
        </w:r>
        <w:r w:rsidRPr="00546784">
          <w:rPr>
            <w:rFonts w:eastAsia="Times New Roman"/>
            <w:b w:val="0"/>
            <w:bCs w:val="0"/>
            <w:caps w:val="0"/>
            <w:noProof/>
            <w:sz w:val="16"/>
            <w:szCs w:val="16"/>
            <w:lang w:val="es-CR" w:eastAsia="es-CR"/>
          </w:rPr>
          <w:t xml:space="preserve"> </w:t>
        </w:r>
        <w:r w:rsidRPr="00546784">
          <w:rPr>
            <w:rStyle w:val="Hipervnculo"/>
            <w:rFonts w:ascii="Verdana" w:eastAsia="Times New Roman" w:hAnsi="Verdana"/>
            <w:b w:val="0"/>
            <w:i/>
            <w:caps w:val="0"/>
            <w:noProof/>
            <w:sz w:val="16"/>
            <w:szCs w:val="16"/>
            <w:lang w:val="es-ES_tradnl" w:eastAsia="es-ES"/>
          </w:rPr>
          <w:t>Publicación y difusión de la Sentencia</w:t>
        </w:r>
        <w:r w:rsidRPr="00546784">
          <w:rPr>
            <w:b w:val="0"/>
            <w:caps w:val="0"/>
            <w:noProof/>
            <w:webHidden/>
            <w:sz w:val="16"/>
            <w:szCs w:val="16"/>
          </w:rPr>
          <w:tab/>
        </w:r>
        <w:r w:rsidRPr="00546784">
          <w:rPr>
            <w:b w:val="0"/>
            <w:caps w:val="0"/>
            <w:noProof/>
            <w:webHidden/>
            <w:sz w:val="16"/>
            <w:szCs w:val="16"/>
          </w:rPr>
          <w:fldChar w:fldCharType="begin"/>
        </w:r>
        <w:r w:rsidRPr="00546784">
          <w:rPr>
            <w:b w:val="0"/>
            <w:caps w:val="0"/>
            <w:noProof/>
            <w:webHidden/>
            <w:sz w:val="16"/>
            <w:szCs w:val="16"/>
          </w:rPr>
          <w:instrText xml:space="preserve"> PAGEREF _Toc523309968 \h </w:instrText>
        </w:r>
        <w:r w:rsidRPr="00546784">
          <w:rPr>
            <w:b w:val="0"/>
            <w:caps w:val="0"/>
            <w:noProof/>
            <w:webHidden/>
            <w:sz w:val="16"/>
            <w:szCs w:val="16"/>
          </w:rPr>
        </w:r>
        <w:r w:rsidRPr="00546784">
          <w:rPr>
            <w:b w:val="0"/>
            <w:caps w:val="0"/>
            <w:noProof/>
            <w:webHidden/>
            <w:sz w:val="16"/>
            <w:szCs w:val="16"/>
          </w:rPr>
          <w:fldChar w:fldCharType="separate"/>
        </w:r>
        <w:r w:rsidR="002617F0">
          <w:rPr>
            <w:b w:val="0"/>
            <w:caps w:val="0"/>
            <w:noProof/>
            <w:webHidden/>
            <w:sz w:val="16"/>
            <w:szCs w:val="16"/>
          </w:rPr>
          <w:t>11</w:t>
        </w:r>
        <w:r w:rsidRPr="00546784">
          <w:rPr>
            <w:b w:val="0"/>
            <w:caps w:val="0"/>
            <w:noProof/>
            <w:webHidden/>
            <w:sz w:val="16"/>
            <w:szCs w:val="16"/>
          </w:rPr>
          <w:fldChar w:fldCharType="end"/>
        </w:r>
      </w:hyperlink>
    </w:p>
    <w:p w:rsidR="00546784" w:rsidRPr="00546784" w:rsidRDefault="00546784" w:rsidP="0017186D">
      <w:pPr>
        <w:pStyle w:val="TDC1"/>
        <w:tabs>
          <w:tab w:val="left" w:pos="426"/>
          <w:tab w:val="right" w:leader="dot" w:pos="8789"/>
        </w:tabs>
        <w:spacing w:after="0"/>
        <w:ind w:left="567"/>
        <w:rPr>
          <w:rFonts w:eastAsia="Times New Roman"/>
          <w:b w:val="0"/>
          <w:bCs w:val="0"/>
          <w:caps w:val="0"/>
          <w:noProof/>
          <w:sz w:val="16"/>
          <w:szCs w:val="16"/>
          <w:lang w:val="es-CR" w:eastAsia="es-CR"/>
        </w:rPr>
      </w:pPr>
      <w:hyperlink w:anchor="_Toc523309969" w:history="1">
        <w:r w:rsidRPr="00546784">
          <w:rPr>
            <w:rStyle w:val="Hipervnculo"/>
            <w:rFonts w:ascii="Verdana" w:eastAsia="Times New Roman" w:hAnsi="Verdana"/>
            <w:b w:val="0"/>
            <w:i/>
            <w:caps w:val="0"/>
            <w:noProof/>
            <w:sz w:val="16"/>
            <w:szCs w:val="16"/>
            <w:lang w:val="es-ES_tradnl" w:eastAsia="es-ES"/>
          </w:rPr>
          <w:t>D.</w:t>
        </w:r>
        <w:r w:rsidRPr="00546784">
          <w:rPr>
            <w:rFonts w:eastAsia="Times New Roman"/>
            <w:b w:val="0"/>
            <w:bCs w:val="0"/>
            <w:caps w:val="0"/>
            <w:noProof/>
            <w:sz w:val="16"/>
            <w:szCs w:val="16"/>
            <w:lang w:val="es-CR" w:eastAsia="es-CR"/>
          </w:rPr>
          <w:t xml:space="preserve"> </w:t>
        </w:r>
        <w:r w:rsidRPr="00546784">
          <w:rPr>
            <w:rStyle w:val="Hipervnculo"/>
            <w:rFonts w:ascii="Verdana" w:eastAsia="Times New Roman" w:hAnsi="Verdana"/>
            <w:b w:val="0"/>
            <w:i/>
            <w:caps w:val="0"/>
            <w:noProof/>
            <w:sz w:val="16"/>
            <w:szCs w:val="16"/>
            <w:lang w:val="es-ES_tradnl" w:eastAsia="es-ES"/>
          </w:rPr>
          <w:t>Otorgar becas de estudio a los hijos de las víctimas</w:t>
        </w:r>
        <w:r w:rsidRPr="00546784">
          <w:rPr>
            <w:b w:val="0"/>
            <w:caps w:val="0"/>
            <w:noProof/>
            <w:webHidden/>
            <w:sz w:val="16"/>
            <w:szCs w:val="16"/>
          </w:rPr>
          <w:tab/>
        </w:r>
        <w:r w:rsidRPr="00546784">
          <w:rPr>
            <w:b w:val="0"/>
            <w:caps w:val="0"/>
            <w:noProof/>
            <w:webHidden/>
            <w:sz w:val="16"/>
            <w:szCs w:val="16"/>
          </w:rPr>
          <w:fldChar w:fldCharType="begin"/>
        </w:r>
        <w:r w:rsidRPr="00546784">
          <w:rPr>
            <w:b w:val="0"/>
            <w:caps w:val="0"/>
            <w:noProof/>
            <w:webHidden/>
            <w:sz w:val="16"/>
            <w:szCs w:val="16"/>
          </w:rPr>
          <w:instrText xml:space="preserve"> PAGEREF _Toc523309969 \h </w:instrText>
        </w:r>
        <w:r w:rsidRPr="00546784">
          <w:rPr>
            <w:b w:val="0"/>
            <w:caps w:val="0"/>
            <w:noProof/>
            <w:webHidden/>
            <w:sz w:val="16"/>
            <w:szCs w:val="16"/>
          </w:rPr>
        </w:r>
        <w:r w:rsidRPr="00546784">
          <w:rPr>
            <w:b w:val="0"/>
            <w:caps w:val="0"/>
            <w:noProof/>
            <w:webHidden/>
            <w:sz w:val="16"/>
            <w:szCs w:val="16"/>
          </w:rPr>
          <w:fldChar w:fldCharType="separate"/>
        </w:r>
        <w:r w:rsidR="002617F0">
          <w:rPr>
            <w:b w:val="0"/>
            <w:caps w:val="0"/>
            <w:noProof/>
            <w:webHidden/>
            <w:sz w:val="16"/>
            <w:szCs w:val="16"/>
          </w:rPr>
          <w:t>15</w:t>
        </w:r>
        <w:r w:rsidRPr="00546784">
          <w:rPr>
            <w:b w:val="0"/>
            <w:caps w:val="0"/>
            <w:noProof/>
            <w:webHidden/>
            <w:sz w:val="16"/>
            <w:szCs w:val="16"/>
          </w:rPr>
          <w:fldChar w:fldCharType="end"/>
        </w:r>
      </w:hyperlink>
    </w:p>
    <w:p w:rsidR="00546784" w:rsidRPr="00546784" w:rsidRDefault="00546784" w:rsidP="0017186D">
      <w:pPr>
        <w:pStyle w:val="TDC1"/>
        <w:tabs>
          <w:tab w:val="left" w:pos="426"/>
          <w:tab w:val="right" w:leader="dot" w:pos="8789"/>
        </w:tabs>
        <w:spacing w:after="0"/>
        <w:ind w:left="567"/>
        <w:rPr>
          <w:rFonts w:eastAsia="Times New Roman"/>
          <w:b w:val="0"/>
          <w:bCs w:val="0"/>
          <w:caps w:val="0"/>
          <w:noProof/>
          <w:sz w:val="16"/>
          <w:szCs w:val="16"/>
          <w:lang w:val="es-CR" w:eastAsia="es-CR"/>
        </w:rPr>
      </w:pPr>
      <w:hyperlink w:anchor="_Toc523309972" w:history="1">
        <w:r w:rsidRPr="00546784">
          <w:rPr>
            <w:rStyle w:val="Hipervnculo"/>
            <w:rFonts w:ascii="Verdana" w:eastAsia="Times New Roman" w:hAnsi="Verdana"/>
            <w:b w:val="0"/>
            <w:i/>
            <w:caps w:val="0"/>
            <w:noProof/>
            <w:sz w:val="16"/>
            <w:szCs w:val="16"/>
            <w:lang w:val="es-ES_tradnl" w:eastAsia="es-ES"/>
          </w:rPr>
          <w:t>E.</w:t>
        </w:r>
        <w:r w:rsidRPr="00546784">
          <w:rPr>
            <w:rFonts w:eastAsia="Times New Roman"/>
            <w:b w:val="0"/>
            <w:bCs w:val="0"/>
            <w:caps w:val="0"/>
            <w:noProof/>
            <w:sz w:val="16"/>
            <w:szCs w:val="16"/>
            <w:lang w:val="es-CR" w:eastAsia="es-CR"/>
          </w:rPr>
          <w:t xml:space="preserve"> </w:t>
        </w:r>
        <w:r w:rsidRPr="00546784">
          <w:rPr>
            <w:rStyle w:val="Hipervnculo"/>
            <w:rFonts w:ascii="Verdana" w:eastAsia="Times New Roman" w:hAnsi="Verdana"/>
            <w:b w:val="0"/>
            <w:i/>
            <w:caps w:val="0"/>
            <w:noProof/>
            <w:sz w:val="16"/>
            <w:szCs w:val="16"/>
            <w:lang w:val="es-ES_tradnl" w:eastAsia="es-ES"/>
          </w:rPr>
          <w:t>Regular la medida procesal de protección de testigos relativa a la reserva de identidad</w:t>
        </w:r>
        <w:r w:rsidRPr="00546784">
          <w:rPr>
            <w:b w:val="0"/>
            <w:caps w:val="0"/>
            <w:noProof/>
            <w:webHidden/>
            <w:sz w:val="16"/>
            <w:szCs w:val="16"/>
          </w:rPr>
          <w:tab/>
        </w:r>
        <w:r w:rsidRPr="00546784">
          <w:rPr>
            <w:b w:val="0"/>
            <w:caps w:val="0"/>
            <w:noProof/>
            <w:webHidden/>
            <w:sz w:val="16"/>
            <w:szCs w:val="16"/>
          </w:rPr>
          <w:fldChar w:fldCharType="begin"/>
        </w:r>
        <w:r w:rsidRPr="00546784">
          <w:rPr>
            <w:b w:val="0"/>
            <w:caps w:val="0"/>
            <w:noProof/>
            <w:webHidden/>
            <w:sz w:val="16"/>
            <w:szCs w:val="16"/>
          </w:rPr>
          <w:instrText xml:space="preserve"> PAGEREF _Toc523309972 \h </w:instrText>
        </w:r>
        <w:r w:rsidRPr="00546784">
          <w:rPr>
            <w:b w:val="0"/>
            <w:caps w:val="0"/>
            <w:noProof/>
            <w:webHidden/>
            <w:sz w:val="16"/>
            <w:szCs w:val="16"/>
          </w:rPr>
        </w:r>
        <w:r w:rsidRPr="00546784">
          <w:rPr>
            <w:b w:val="0"/>
            <w:caps w:val="0"/>
            <w:noProof/>
            <w:webHidden/>
            <w:sz w:val="16"/>
            <w:szCs w:val="16"/>
          </w:rPr>
          <w:fldChar w:fldCharType="separate"/>
        </w:r>
        <w:r w:rsidR="002617F0">
          <w:rPr>
            <w:b w:val="0"/>
            <w:caps w:val="0"/>
            <w:noProof/>
            <w:webHidden/>
            <w:sz w:val="16"/>
            <w:szCs w:val="16"/>
          </w:rPr>
          <w:t>19</w:t>
        </w:r>
        <w:r w:rsidRPr="00546784">
          <w:rPr>
            <w:b w:val="0"/>
            <w:caps w:val="0"/>
            <w:noProof/>
            <w:webHidden/>
            <w:sz w:val="16"/>
            <w:szCs w:val="16"/>
          </w:rPr>
          <w:fldChar w:fldCharType="end"/>
        </w:r>
      </w:hyperlink>
    </w:p>
    <w:p w:rsidR="00546784" w:rsidRPr="00546784" w:rsidRDefault="00546784" w:rsidP="0017186D">
      <w:pPr>
        <w:pStyle w:val="TDC1"/>
        <w:tabs>
          <w:tab w:val="left" w:pos="426"/>
          <w:tab w:val="right" w:leader="dot" w:pos="8789"/>
        </w:tabs>
        <w:spacing w:after="0"/>
        <w:ind w:left="567"/>
        <w:rPr>
          <w:rFonts w:eastAsia="Times New Roman"/>
          <w:b w:val="0"/>
          <w:bCs w:val="0"/>
          <w:caps w:val="0"/>
          <w:noProof/>
          <w:sz w:val="16"/>
          <w:szCs w:val="16"/>
          <w:lang w:val="es-CR" w:eastAsia="es-CR"/>
        </w:rPr>
      </w:pPr>
      <w:hyperlink w:anchor="_Toc523309975" w:history="1">
        <w:r w:rsidRPr="00546784">
          <w:rPr>
            <w:rStyle w:val="Hipervnculo"/>
            <w:rFonts w:ascii="Verdana" w:eastAsia="Times New Roman" w:hAnsi="Verdana"/>
            <w:b w:val="0"/>
            <w:i/>
            <w:caps w:val="0"/>
            <w:noProof/>
            <w:sz w:val="16"/>
            <w:szCs w:val="16"/>
            <w:lang w:val="es-ES_tradnl" w:eastAsia="es-ES"/>
          </w:rPr>
          <w:t>F.</w:t>
        </w:r>
        <w:r w:rsidRPr="00546784">
          <w:rPr>
            <w:rFonts w:eastAsia="Times New Roman"/>
            <w:b w:val="0"/>
            <w:bCs w:val="0"/>
            <w:caps w:val="0"/>
            <w:noProof/>
            <w:sz w:val="16"/>
            <w:szCs w:val="16"/>
            <w:lang w:val="es-CR" w:eastAsia="es-CR"/>
          </w:rPr>
          <w:t xml:space="preserve"> </w:t>
        </w:r>
        <w:r w:rsidRPr="00546784">
          <w:rPr>
            <w:rStyle w:val="Hipervnculo"/>
            <w:rFonts w:ascii="Verdana" w:eastAsia="Times New Roman" w:hAnsi="Verdana"/>
            <w:b w:val="0"/>
            <w:i/>
            <w:caps w:val="0"/>
            <w:noProof/>
            <w:sz w:val="16"/>
            <w:szCs w:val="16"/>
            <w:lang w:val="es-ES_tradnl" w:eastAsia="es-ES"/>
          </w:rPr>
          <w:t>Pago de indemnizaciones por concepto de daños materiales e inmateriales</w:t>
        </w:r>
        <w:r w:rsidRPr="00546784">
          <w:rPr>
            <w:b w:val="0"/>
            <w:caps w:val="0"/>
            <w:noProof/>
            <w:webHidden/>
            <w:sz w:val="16"/>
            <w:szCs w:val="16"/>
          </w:rPr>
          <w:tab/>
        </w:r>
        <w:r w:rsidRPr="00546784">
          <w:rPr>
            <w:b w:val="0"/>
            <w:caps w:val="0"/>
            <w:noProof/>
            <w:webHidden/>
            <w:sz w:val="16"/>
            <w:szCs w:val="16"/>
          </w:rPr>
          <w:fldChar w:fldCharType="begin"/>
        </w:r>
        <w:r w:rsidRPr="00546784">
          <w:rPr>
            <w:b w:val="0"/>
            <w:caps w:val="0"/>
            <w:noProof/>
            <w:webHidden/>
            <w:sz w:val="16"/>
            <w:szCs w:val="16"/>
          </w:rPr>
          <w:instrText xml:space="preserve"> PAGEREF _Toc523309975 \h </w:instrText>
        </w:r>
        <w:r w:rsidRPr="00546784">
          <w:rPr>
            <w:b w:val="0"/>
            <w:caps w:val="0"/>
            <w:noProof/>
            <w:webHidden/>
            <w:sz w:val="16"/>
            <w:szCs w:val="16"/>
          </w:rPr>
        </w:r>
        <w:r w:rsidRPr="00546784">
          <w:rPr>
            <w:b w:val="0"/>
            <w:caps w:val="0"/>
            <w:noProof/>
            <w:webHidden/>
            <w:sz w:val="16"/>
            <w:szCs w:val="16"/>
          </w:rPr>
          <w:fldChar w:fldCharType="separate"/>
        </w:r>
        <w:r w:rsidR="002617F0">
          <w:rPr>
            <w:b w:val="0"/>
            <w:caps w:val="0"/>
            <w:noProof/>
            <w:webHidden/>
            <w:sz w:val="16"/>
            <w:szCs w:val="16"/>
          </w:rPr>
          <w:t>24</w:t>
        </w:r>
        <w:r w:rsidRPr="00546784">
          <w:rPr>
            <w:b w:val="0"/>
            <w:caps w:val="0"/>
            <w:noProof/>
            <w:webHidden/>
            <w:sz w:val="16"/>
            <w:szCs w:val="16"/>
          </w:rPr>
          <w:fldChar w:fldCharType="end"/>
        </w:r>
      </w:hyperlink>
    </w:p>
    <w:p w:rsidR="00546784" w:rsidRPr="00546784" w:rsidRDefault="00546784" w:rsidP="0017186D">
      <w:pPr>
        <w:pStyle w:val="TDC1"/>
        <w:tabs>
          <w:tab w:val="left" w:pos="426"/>
          <w:tab w:val="right" w:leader="dot" w:pos="8789"/>
        </w:tabs>
        <w:spacing w:after="0"/>
        <w:ind w:left="567"/>
        <w:rPr>
          <w:rFonts w:eastAsia="Times New Roman"/>
          <w:b w:val="0"/>
          <w:bCs w:val="0"/>
          <w:caps w:val="0"/>
          <w:noProof/>
          <w:sz w:val="16"/>
          <w:szCs w:val="16"/>
          <w:lang w:val="es-CR" w:eastAsia="es-CR"/>
        </w:rPr>
      </w:pPr>
      <w:hyperlink w:anchor="_Toc523309977" w:history="1">
        <w:r w:rsidRPr="00546784">
          <w:rPr>
            <w:rStyle w:val="Hipervnculo"/>
            <w:rFonts w:ascii="Verdana" w:eastAsia="Times New Roman" w:hAnsi="Verdana"/>
            <w:b w:val="0"/>
            <w:i/>
            <w:caps w:val="0"/>
            <w:noProof/>
            <w:sz w:val="16"/>
            <w:szCs w:val="16"/>
            <w:lang w:val="es-ES_tradnl" w:eastAsia="es-ES"/>
          </w:rPr>
          <w:t>G.</w:t>
        </w:r>
        <w:r w:rsidRPr="00546784">
          <w:rPr>
            <w:rFonts w:eastAsia="Times New Roman"/>
            <w:b w:val="0"/>
            <w:bCs w:val="0"/>
            <w:caps w:val="0"/>
            <w:noProof/>
            <w:sz w:val="16"/>
            <w:szCs w:val="16"/>
            <w:lang w:val="es-CR" w:eastAsia="es-CR"/>
          </w:rPr>
          <w:t xml:space="preserve"> </w:t>
        </w:r>
        <w:r w:rsidRPr="00546784">
          <w:rPr>
            <w:rStyle w:val="Hipervnculo"/>
            <w:rFonts w:ascii="Verdana" w:eastAsia="Times New Roman" w:hAnsi="Verdana"/>
            <w:b w:val="0"/>
            <w:i/>
            <w:caps w:val="0"/>
            <w:noProof/>
            <w:sz w:val="16"/>
            <w:szCs w:val="16"/>
            <w:lang w:val="es-ES_tradnl" w:eastAsia="es-ES"/>
          </w:rPr>
          <w:t>Pago por concepto de reintegro de costas y gastos</w:t>
        </w:r>
        <w:r w:rsidRPr="00546784">
          <w:rPr>
            <w:b w:val="0"/>
            <w:caps w:val="0"/>
            <w:noProof/>
            <w:webHidden/>
            <w:sz w:val="16"/>
            <w:szCs w:val="16"/>
          </w:rPr>
          <w:tab/>
        </w:r>
        <w:r w:rsidRPr="00546784">
          <w:rPr>
            <w:b w:val="0"/>
            <w:caps w:val="0"/>
            <w:noProof/>
            <w:webHidden/>
            <w:sz w:val="16"/>
            <w:szCs w:val="16"/>
          </w:rPr>
          <w:fldChar w:fldCharType="begin"/>
        </w:r>
        <w:r w:rsidRPr="00546784">
          <w:rPr>
            <w:b w:val="0"/>
            <w:caps w:val="0"/>
            <w:noProof/>
            <w:webHidden/>
            <w:sz w:val="16"/>
            <w:szCs w:val="16"/>
          </w:rPr>
          <w:instrText xml:space="preserve"> PAGEREF _Toc523309977 \h </w:instrText>
        </w:r>
        <w:r w:rsidRPr="00546784">
          <w:rPr>
            <w:b w:val="0"/>
            <w:caps w:val="0"/>
            <w:noProof/>
            <w:webHidden/>
            <w:sz w:val="16"/>
            <w:szCs w:val="16"/>
          </w:rPr>
        </w:r>
        <w:r w:rsidRPr="00546784">
          <w:rPr>
            <w:b w:val="0"/>
            <w:caps w:val="0"/>
            <w:noProof/>
            <w:webHidden/>
            <w:sz w:val="16"/>
            <w:szCs w:val="16"/>
          </w:rPr>
          <w:fldChar w:fldCharType="separate"/>
        </w:r>
        <w:r w:rsidR="002617F0">
          <w:rPr>
            <w:b w:val="0"/>
            <w:caps w:val="0"/>
            <w:noProof/>
            <w:webHidden/>
            <w:sz w:val="16"/>
            <w:szCs w:val="16"/>
          </w:rPr>
          <w:t>24</w:t>
        </w:r>
        <w:r w:rsidRPr="00546784">
          <w:rPr>
            <w:b w:val="0"/>
            <w:caps w:val="0"/>
            <w:noProof/>
            <w:webHidden/>
            <w:sz w:val="16"/>
            <w:szCs w:val="16"/>
          </w:rPr>
          <w:fldChar w:fldCharType="end"/>
        </w:r>
      </w:hyperlink>
    </w:p>
    <w:p w:rsidR="000673D5" w:rsidRDefault="00546784" w:rsidP="00807889">
      <w:pPr>
        <w:pStyle w:val="Listavistosa-nfasis1"/>
        <w:tabs>
          <w:tab w:val="left" w:pos="709"/>
          <w:tab w:val="right" w:leader="dot" w:pos="8789"/>
        </w:tabs>
        <w:spacing w:before="120" w:after="120" w:line="240" w:lineRule="auto"/>
        <w:ind w:left="0"/>
        <w:jc w:val="both"/>
        <w:rPr>
          <w:rFonts w:ascii="Verdana" w:hAnsi="Verdana"/>
          <w:color w:val="000000"/>
          <w:sz w:val="16"/>
          <w:szCs w:val="16"/>
          <w:lang w:val="es-ES_tradnl"/>
        </w:rPr>
      </w:pPr>
      <w:r w:rsidRPr="00546784">
        <w:rPr>
          <w:rFonts w:ascii="Verdana" w:hAnsi="Verdana"/>
          <w:color w:val="000000"/>
          <w:sz w:val="16"/>
          <w:szCs w:val="16"/>
          <w:lang w:val="es-ES_tradnl"/>
        </w:rPr>
        <w:fldChar w:fldCharType="end"/>
      </w:r>
    </w:p>
    <w:p w:rsidR="00D91E1F" w:rsidRPr="00F812F8" w:rsidRDefault="001C2E9A" w:rsidP="00807889">
      <w:pPr>
        <w:keepNext/>
        <w:keepLines/>
        <w:widowControl w:val="0"/>
        <w:numPr>
          <w:ilvl w:val="0"/>
          <w:numId w:val="18"/>
        </w:numPr>
        <w:spacing w:before="120" w:after="120" w:line="240" w:lineRule="auto"/>
        <w:jc w:val="both"/>
        <w:outlineLvl w:val="0"/>
        <w:rPr>
          <w:rFonts w:ascii="Verdana" w:eastAsia="Times New Roman" w:hAnsi="Verdana"/>
          <w:b/>
          <w:bCs/>
          <w:i/>
          <w:color w:val="000000"/>
          <w:sz w:val="20"/>
          <w:szCs w:val="20"/>
          <w:lang w:val="es-ES_tradnl" w:eastAsia="es-ES"/>
        </w:rPr>
      </w:pPr>
      <w:bookmarkStart w:id="0" w:name="_Toc507514083"/>
      <w:bookmarkStart w:id="1" w:name="_Toc507514923"/>
      <w:bookmarkStart w:id="2" w:name="_Toc523309966"/>
      <w:r w:rsidRPr="00F812F8">
        <w:rPr>
          <w:rFonts w:ascii="Verdana" w:eastAsia="Times New Roman" w:hAnsi="Verdana"/>
          <w:b/>
          <w:bCs/>
          <w:i/>
          <w:color w:val="000000"/>
          <w:sz w:val="20"/>
          <w:szCs w:val="20"/>
          <w:lang w:val="es-ES_tradnl" w:eastAsia="es-ES"/>
        </w:rPr>
        <w:t>D</w:t>
      </w:r>
      <w:r w:rsidR="00D91E1F" w:rsidRPr="00F812F8">
        <w:rPr>
          <w:rFonts w:ascii="Verdana" w:eastAsia="Times New Roman" w:hAnsi="Verdana"/>
          <w:b/>
          <w:bCs/>
          <w:i/>
          <w:color w:val="000000"/>
          <w:sz w:val="20"/>
          <w:szCs w:val="20"/>
          <w:lang w:val="es-ES_tradnl" w:eastAsia="es-ES"/>
        </w:rPr>
        <w:t>ejar sin efecto</w:t>
      </w:r>
      <w:r w:rsidR="005371EE" w:rsidRPr="00F812F8">
        <w:rPr>
          <w:rFonts w:ascii="Verdana" w:eastAsia="Times New Roman" w:hAnsi="Verdana"/>
          <w:b/>
          <w:bCs/>
          <w:i/>
          <w:color w:val="000000"/>
          <w:sz w:val="20"/>
          <w:szCs w:val="20"/>
          <w:lang w:val="es-ES_tradnl" w:eastAsia="es-ES"/>
        </w:rPr>
        <w:t xml:space="preserve"> </w:t>
      </w:r>
      <w:r w:rsidR="00D91E1F" w:rsidRPr="00F812F8">
        <w:rPr>
          <w:rFonts w:ascii="Verdana" w:eastAsia="Times New Roman" w:hAnsi="Verdana"/>
          <w:b/>
          <w:bCs/>
          <w:i/>
          <w:color w:val="000000"/>
          <w:sz w:val="20"/>
          <w:szCs w:val="20"/>
          <w:lang w:val="es-ES_tradnl" w:eastAsia="es-ES"/>
        </w:rPr>
        <w:t>las sentencias penales condenatorias</w:t>
      </w:r>
      <w:r w:rsidRPr="00F812F8">
        <w:rPr>
          <w:rFonts w:ascii="Verdana" w:eastAsia="Times New Roman" w:hAnsi="Verdana"/>
          <w:b/>
          <w:bCs/>
          <w:i/>
          <w:color w:val="000000"/>
          <w:sz w:val="20"/>
          <w:szCs w:val="20"/>
          <w:lang w:val="es-ES_tradnl" w:eastAsia="es-ES"/>
        </w:rPr>
        <w:t xml:space="preserve"> emitidas en contra de las víctimas</w:t>
      </w:r>
      <w:bookmarkEnd w:id="0"/>
      <w:bookmarkEnd w:id="1"/>
      <w:bookmarkEnd w:id="2"/>
    </w:p>
    <w:p w:rsidR="002F50F0" w:rsidRPr="000121ED" w:rsidRDefault="002F50F0" w:rsidP="00807889">
      <w:pPr>
        <w:pStyle w:val="Listavistosa-nfasis1"/>
        <w:spacing w:before="120" w:after="120" w:line="240" w:lineRule="auto"/>
        <w:contextualSpacing w:val="0"/>
        <w:jc w:val="both"/>
        <w:rPr>
          <w:rFonts w:ascii="Verdana" w:hAnsi="Verdana"/>
          <w:i/>
          <w:sz w:val="20"/>
          <w:lang w:val="es-MX"/>
        </w:rPr>
      </w:pPr>
      <w:r w:rsidRPr="000121ED">
        <w:rPr>
          <w:rFonts w:ascii="Verdana" w:hAnsi="Verdana"/>
          <w:i/>
          <w:sz w:val="20"/>
          <w:lang w:val="es-MX"/>
        </w:rPr>
        <w:t>A.1</w:t>
      </w:r>
      <w:r w:rsidR="00A812DC" w:rsidRPr="000121ED">
        <w:rPr>
          <w:rFonts w:ascii="Verdana" w:hAnsi="Verdana"/>
          <w:i/>
          <w:sz w:val="20"/>
          <w:lang w:val="es-MX"/>
        </w:rPr>
        <w:t>.</w:t>
      </w:r>
      <w:r w:rsidRPr="000121ED">
        <w:rPr>
          <w:rFonts w:ascii="Verdana" w:hAnsi="Verdana"/>
          <w:i/>
          <w:sz w:val="20"/>
          <w:lang w:val="es-MX"/>
        </w:rPr>
        <w:t xml:space="preserve"> Medida ordenada por la Corte</w:t>
      </w:r>
      <w:r w:rsidR="0028181B" w:rsidRPr="000121ED">
        <w:rPr>
          <w:rFonts w:ascii="Verdana" w:hAnsi="Verdana"/>
          <w:i/>
          <w:sz w:val="20"/>
          <w:lang w:val="es-MX"/>
        </w:rPr>
        <w:t xml:space="preserve"> </w:t>
      </w:r>
    </w:p>
    <w:p w:rsidR="00A812DC" w:rsidRPr="00D95658" w:rsidRDefault="00743E84" w:rsidP="00807889">
      <w:pPr>
        <w:pStyle w:val="Listavistosa-nfasis1"/>
        <w:numPr>
          <w:ilvl w:val="0"/>
          <w:numId w:val="4"/>
        </w:numPr>
        <w:spacing w:before="120" w:after="120" w:line="240" w:lineRule="auto"/>
        <w:ind w:left="0" w:firstLine="0"/>
        <w:contextualSpacing w:val="0"/>
        <w:jc w:val="both"/>
        <w:rPr>
          <w:rFonts w:ascii="Verdana" w:hAnsi="Verdana"/>
          <w:sz w:val="20"/>
          <w:szCs w:val="20"/>
          <w:lang w:val="es-MX"/>
        </w:rPr>
      </w:pPr>
      <w:r w:rsidRPr="00D91E1F">
        <w:rPr>
          <w:rFonts w:ascii="Verdana" w:hAnsi="Verdana"/>
          <w:sz w:val="20"/>
          <w:szCs w:val="20"/>
          <w:lang w:val="es-MX"/>
        </w:rPr>
        <w:t>E</w:t>
      </w:r>
      <w:r w:rsidR="000121ED" w:rsidRPr="00D91E1F">
        <w:rPr>
          <w:rFonts w:ascii="Verdana" w:hAnsi="Verdana"/>
          <w:sz w:val="20"/>
          <w:szCs w:val="20"/>
          <w:lang w:val="es-MX"/>
        </w:rPr>
        <w:t xml:space="preserve">n </w:t>
      </w:r>
      <w:r w:rsidR="009A7871" w:rsidRPr="00D91E1F">
        <w:rPr>
          <w:rFonts w:ascii="Verdana" w:hAnsi="Verdana"/>
          <w:sz w:val="20"/>
          <w:szCs w:val="20"/>
          <w:lang w:val="es-MX"/>
        </w:rPr>
        <w:t xml:space="preserve">el punto </w:t>
      </w:r>
      <w:r w:rsidR="00857630">
        <w:rPr>
          <w:rFonts w:ascii="Verdana" w:hAnsi="Verdana"/>
          <w:sz w:val="20"/>
          <w:szCs w:val="20"/>
          <w:lang w:val="es-MX"/>
        </w:rPr>
        <w:t>dispositivo</w:t>
      </w:r>
      <w:r w:rsidR="00857630" w:rsidRPr="00D91E1F">
        <w:rPr>
          <w:rFonts w:ascii="Verdana" w:hAnsi="Verdana"/>
          <w:sz w:val="20"/>
          <w:szCs w:val="20"/>
          <w:lang w:val="es-MX"/>
        </w:rPr>
        <w:t xml:space="preserve"> </w:t>
      </w:r>
      <w:r w:rsidR="00D91E1F" w:rsidRPr="00D91E1F">
        <w:rPr>
          <w:rFonts w:ascii="Verdana" w:hAnsi="Verdana"/>
          <w:sz w:val="20"/>
          <w:szCs w:val="20"/>
          <w:lang w:val="es-CR"/>
        </w:rPr>
        <w:t xml:space="preserve">décimo sexto de la Sentencia </w:t>
      </w:r>
      <w:r w:rsidR="00E47FEA">
        <w:rPr>
          <w:rFonts w:ascii="Verdana" w:hAnsi="Verdana"/>
          <w:sz w:val="20"/>
          <w:szCs w:val="20"/>
          <w:lang w:val="es-CR"/>
        </w:rPr>
        <w:t xml:space="preserve">se </w:t>
      </w:r>
      <w:r w:rsidR="00D91E1F" w:rsidRPr="00D91E1F">
        <w:rPr>
          <w:rFonts w:ascii="Verdana" w:hAnsi="Verdana"/>
          <w:sz w:val="20"/>
          <w:szCs w:val="20"/>
          <w:lang w:val="es-CR"/>
        </w:rPr>
        <w:t>dispuso que</w:t>
      </w:r>
      <w:r w:rsidR="00747CC1">
        <w:rPr>
          <w:rFonts w:ascii="Verdana" w:hAnsi="Verdana"/>
          <w:sz w:val="20"/>
          <w:szCs w:val="20"/>
          <w:lang w:val="es-CR"/>
        </w:rPr>
        <w:t xml:space="preserve"> </w:t>
      </w:r>
      <w:r w:rsidR="00D91E1F" w:rsidRPr="00D91E1F">
        <w:rPr>
          <w:rFonts w:ascii="Verdana" w:hAnsi="Verdana"/>
          <w:sz w:val="20"/>
          <w:szCs w:val="20"/>
          <w:lang w:val="es-CR"/>
        </w:rPr>
        <w:t>“</w:t>
      </w:r>
      <w:r w:rsidR="00E47FEA">
        <w:rPr>
          <w:rFonts w:ascii="Verdana" w:hAnsi="Verdana"/>
          <w:sz w:val="20"/>
          <w:szCs w:val="20"/>
          <w:lang w:val="es-CR"/>
        </w:rPr>
        <w:t>[</w:t>
      </w:r>
      <w:r w:rsidR="00D91E1F" w:rsidRPr="00D91E1F">
        <w:rPr>
          <w:rFonts w:ascii="Verdana" w:hAnsi="Verdana"/>
          <w:sz w:val="20"/>
          <w:szCs w:val="20"/>
          <w:lang w:val="es-CR"/>
        </w:rPr>
        <w:t>e</w:t>
      </w:r>
      <w:r w:rsidR="00E47FEA">
        <w:rPr>
          <w:rFonts w:ascii="Verdana" w:hAnsi="Verdana"/>
          <w:sz w:val="20"/>
          <w:szCs w:val="20"/>
          <w:lang w:val="es-CR"/>
        </w:rPr>
        <w:t>]</w:t>
      </w:r>
      <w:r w:rsidR="00D91E1F" w:rsidRPr="00D91E1F">
        <w:rPr>
          <w:rFonts w:ascii="Verdana" w:hAnsi="Verdana"/>
          <w:sz w:val="20"/>
          <w:szCs w:val="20"/>
          <w:lang w:val="es-CR"/>
        </w:rPr>
        <w:t>l Estado deb</w:t>
      </w:r>
      <w:r w:rsidR="00E47FEA">
        <w:rPr>
          <w:rFonts w:ascii="Verdana" w:hAnsi="Verdana"/>
          <w:sz w:val="20"/>
          <w:szCs w:val="20"/>
          <w:lang w:val="es-CR"/>
        </w:rPr>
        <w:t>e</w:t>
      </w:r>
      <w:r w:rsidR="00D91E1F" w:rsidRPr="00D91E1F">
        <w:rPr>
          <w:rFonts w:ascii="Verdana" w:hAnsi="Verdana"/>
          <w:sz w:val="20"/>
          <w:szCs w:val="20"/>
          <w:lang w:val="es-CR"/>
        </w:rPr>
        <w:t xml:space="preserve"> adoptar todas las medidas judiciales, administrativas o de cualquier otra índole para dejar sin efecto, en todos sus extremos, las sentencias penales condenatorias emitidas en contra de los señores Segundo Aniceto Norín Catrimán, Pascual Huentequeo Pichún Paillalao, Víctor Manuel Ancalaf L</w:t>
      </w:r>
      <w:r w:rsidR="009B701C">
        <w:rPr>
          <w:rFonts w:ascii="Verdana" w:hAnsi="Verdana"/>
          <w:sz w:val="20"/>
          <w:szCs w:val="20"/>
          <w:lang w:val="es-CR"/>
        </w:rPr>
        <w:t>l</w:t>
      </w:r>
      <w:r w:rsidR="00D91E1F" w:rsidRPr="00D91E1F">
        <w:rPr>
          <w:rFonts w:ascii="Verdana" w:hAnsi="Verdana"/>
          <w:sz w:val="20"/>
          <w:szCs w:val="20"/>
          <w:lang w:val="es-CR"/>
        </w:rPr>
        <w:t>aupe, Florencio Jaime Marileo Saravia, Juan Patricio Marileo Saravia, José Huenchunao Mariñán, Juan Ciriaco Millacheo Licán y la señora Patricia Troncoso Robles</w:t>
      </w:r>
      <w:r w:rsidR="00E47FEA">
        <w:rPr>
          <w:rFonts w:ascii="Verdana" w:hAnsi="Verdana"/>
          <w:sz w:val="20"/>
          <w:szCs w:val="20"/>
          <w:lang w:val="es-CR"/>
        </w:rPr>
        <w:t>[,] sobre las cuales la Corte se pronunció en [la] Sentencia, en los términos del párrafo 422 de la [misma]</w:t>
      </w:r>
      <w:r w:rsidR="00D91E1F" w:rsidRPr="00D91E1F">
        <w:rPr>
          <w:rFonts w:ascii="Verdana" w:hAnsi="Verdana"/>
          <w:sz w:val="20"/>
          <w:szCs w:val="20"/>
          <w:lang w:val="es-CR"/>
        </w:rPr>
        <w:t>”.</w:t>
      </w:r>
    </w:p>
    <w:p w:rsidR="00890D68" w:rsidRPr="00585163" w:rsidRDefault="00890D68" w:rsidP="00807889">
      <w:pPr>
        <w:pStyle w:val="Listavistosa-nfasis1"/>
        <w:spacing w:before="120" w:after="120" w:line="240" w:lineRule="auto"/>
        <w:contextualSpacing w:val="0"/>
        <w:jc w:val="both"/>
        <w:rPr>
          <w:rFonts w:ascii="Verdana" w:hAnsi="Verdana"/>
          <w:i/>
          <w:sz w:val="20"/>
          <w:lang w:val="es-MX"/>
        </w:rPr>
      </w:pPr>
      <w:r w:rsidRPr="00585163">
        <w:rPr>
          <w:rFonts w:ascii="Verdana" w:hAnsi="Verdana"/>
          <w:i/>
          <w:sz w:val="20"/>
          <w:lang w:val="es-MX"/>
        </w:rPr>
        <w:lastRenderedPageBreak/>
        <w:t>A.2. Consideraciones de la Corte</w:t>
      </w:r>
    </w:p>
    <w:p w:rsidR="0026690A" w:rsidRPr="00585163" w:rsidRDefault="00406DD4" w:rsidP="00807889">
      <w:pPr>
        <w:pStyle w:val="Listavistosa-nfasis1"/>
        <w:numPr>
          <w:ilvl w:val="0"/>
          <w:numId w:val="4"/>
        </w:numPr>
        <w:spacing w:before="120" w:after="120" w:line="240" w:lineRule="auto"/>
        <w:ind w:left="0" w:firstLine="0"/>
        <w:contextualSpacing w:val="0"/>
        <w:jc w:val="both"/>
        <w:rPr>
          <w:rFonts w:ascii="Verdana" w:hAnsi="Verdana"/>
          <w:sz w:val="20"/>
          <w:szCs w:val="20"/>
          <w:lang w:val="es-MX"/>
        </w:rPr>
      </w:pPr>
      <w:r w:rsidRPr="00585163">
        <w:rPr>
          <w:rFonts w:ascii="Verdana" w:hAnsi="Verdana"/>
          <w:sz w:val="20"/>
          <w:szCs w:val="20"/>
          <w:lang w:val="es-MX"/>
        </w:rPr>
        <w:t>La Corte estima pertinente recordar que</w:t>
      </w:r>
      <w:r w:rsidR="0013075E" w:rsidRPr="00585163">
        <w:rPr>
          <w:rFonts w:ascii="Verdana" w:hAnsi="Verdana"/>
          <w:sz w:val="20"/>
          <w:szCs w:val="20"/>
          <w:lang w:val="es-MX"/>
        </w:rPr>
        <w:t>, según lo dispuesto en el párrafo 422 de la Sentencia,</w:t>
      </w:r>
      <w:r w:rsidRPr="00585163">
        <w:rPr>
          <w:rFonts w:ascii="Verdana" w:hAnsi="Verdana"/>
          <w:sz w:val="20"/>
          <w:szCs w:val="20"/>
          <w:lang w:val="es-MX"/>
        </w:rPr>
        <w:t xml:space="preserve"> el cumplimiento de esta reparación comprende varios aspectos: </w:t>
      </w:r>
    </w:p>
    <w:p w:rsidR="0026690A" w:rsidRPr="00585163" w:rsidRDefault="0026690A" w:rsidP="00807889">
      <w:pPr>
        <w:pStyle w:val="Listavistosa-nfasis1"/>
        <w:numPr>
          <w:ilvl w:val="0"/>
          <w:numId w:val="21"/>
        </w:numPr>
        <w:spacing w:before="120" w:after="120" w:line="240" w:lineRule="auto"/>
        <w:contextualSpacing w:val="0"/>
        <w:jc w:val="both"/>
        <w:rPr>
          <w:rFonts w:ascii="Verdana" w:hAnsi="Verdana"/>
          <w:sz w:val="20"/>
          <w:szCs w:val="20"/>
          <w:lang w:val="es-MX"/>
        </w:rPr>
      </w:pPr>
      <w:r w:rsidRPr="00585163">
        <w:rPr>
          <w:rFonts w:ascii="Verdana" w:hAnsi="Verdana"/>
          <w:sz w:val="20"/>
          <w:szCs w:val="20"/>
          <w:lang w:val="es-CR"/>
        </w:rPr>
        <w:t>“</w:t>
      </w:r>
      <w:r w:rsidR="00747CC1" w:rsidRPr="00585163">
        <w:rPr>
          <w:rFonts w:ascii="Verdana" w:hAnsi="Verdana"/>
          <w:sz w:val="20"/>
          <w:szCs w:val="20"/>
          <w:lang w:val="es-CR"/>
        </w:rPr>
        <w:t>dejar sin efecto la declaración de las ocho víctimas de este caso como autores de delitos de carácter terrorista</w:t>
      </w:r>
      <w:r w:rsidRPr="00585163">
        <w:rPr>
          <w:rFonts w:ascii="Verdana" w:hAnsi="Verdana"/>
          <w:sz w:val="20"/>
          <w:szCs w:val="20"/>
          <w:lang w:val="es-CR"/>
        </w:rPr>
        <w:t>”</w:t>
      </w:r>
      <w:r w:rsidR="00747CC1" w:rsidRPr="00585163">
        <w:rPr>
          <w:rFonts w:ascii="Verdana" w:hAnsi="Verdana"/>
          <w:sz w:val="20"/>
          <w:szCs w:val="20"/>
          <w:lang w:val="es-CR"/>
        </w:rPr>
        <w:t xml:space="preserve">; </w:t>
      </w:r>
    </w:p>
    <w:p w:rsidR="0026690A" w:rsidRPr="00585163" w:rsidRDefault="0026690A" w:rsidP="00807889">
      <w:pPr>
        <w:pStyle w:val="Listavistosa-nfasis1"/>
        <w:numPr>
          <w:ilvl w:val="0"/>
          <w:numId w:val="21"/>
        </w:numPr>
        <w:spacing w:before="120" w:after="120" w:line="240" w:lineRule="auto"/>
        <w:contextualSpacing w:val="0"/>
        <w:jc w:val="both"/>
        <w:rPr>
          <w:rFonts w:ascii="Verdana" w:hAnsi="Verdana"/>
          <w:sz w:val="20"/>
          <w:szCs w:val="20"/>
          <w:lang w:val="es-MX"/>
        </w:rPr>
      </w:pPr>
      <w:r w:rsidRPr="00585163">
        <w:rPr>
          <w:rFonts w:ascii="Verdana" w:hAnsi="Verdana"/>
          <w:sz w:val="20"/>
          <w:szCs w:val="20"/>
          <w:lang w:val="es-CR"/>
        </w:rPr>
        <w:t>“</w:t>
      </w:r>
      <w:r w:rsidR="00747CC1" w:rsidRPr="00585163">
        <w:rPr>
          <w:rFonts w:ascii="Verdana" w:hAnsi="Verdana"/>
          <w:sz w:val="20"/>
          <w:szCs w:val="20"/>
          <w:lang w:val="es-CR"/>
        </w:rPr>
        <w:t>dejar sin efecto las penas privativas de libertad y penas accesorias, consecuencias y registros, a la mayor brevedad posible, así como las condenas civiles que se hayan impuesto a las víctimas</w:t>
      </w:r>
      <w:r w:rsidRPr="00585163">
        <w:rPr>
          <w:rFonts w:ascii="Verdana" w:hAnsi="Verdana"/>
          <w:sz w:val="20"/>
          <w:szCs w:val="20"/>
          <w:lang w:val="es-CR"/>
        </w:rPr>
        <w:t>”</w:t>
      </w:r>
      <w:r w:rsidR="00747CC1" w:rsidRPr="00585163">
        <w:rPr>
          <w:rFonts w:ascii="Verdana" w:hAnsi="Verdana"/>
          <w:sz w:val="20"/>
          <w:szCs w:val="20"/>
          <w:lang w:val="es-CR"/>
        </w:rPr>
        <w:t xml:space="preserve">; </w:t>
      </w:r>
    </w:p>
    <w:p w:rsidR="0026690A" w:rsidRPr="00585163" w:rsidRDefault="0026690A" w:rsidP="00807889">
      <w:pPr>
        <w:pStyle w:val="Listavistosa-nfasis1"/>
        <w:numPr>
          <w:ilvl w:val="0"/>
          <w:numId w:val="21"/>
        </w:numPr>
        <w:spacing w:before="120" w:after="120" w:line="240" w:lineRule="auto"/>
        <w:contextualSpacing w:val="0"/>
        <w:jc w:val="both"/>
        <w:rPr>
          <w:rFonts w:ascii="Verdana" w:hAnsi="Verdana"/>
          <w:sz w:val="20"/>
          <w:szCs w:val="20"/>
          <w:lang w:val="es-MX"/>
        </w:rPr>
      </w:pPr>
      <w:r w:rsidRPr="00585163">
        <w:rPr>
          <w:rFonts w:ascii="Verdana" w:hAnsi="Verdana"/>
          <w:sz w:val="20"/>
          <w:szCs w:val="20"/>
          <w:lang w:val="es-CR"/>
        </w:rPr>
        <w:t>“</w:t>
      </w:r>
      <w:r w:rsidR="00747CC1" w:rsidRPr="00585163">
        <w:rPr>
          <w:rFonts w:ascii="Verdana" w:hAnsi="Verdana"/>
          <w:sz w:val="20"/>
          <w:szCs w:val="20"/>
          <w:lang w:val="es-CR"/>
        </w:rPr>
        <w:t>disponer la libertad personal de las víctimas que aún se encuentren sujetas a libertad condicional</w:t>
      </w:r>
      <w:r w:rsidRPr="00585163">
        <w:rPr>
          <w:rFonts w:ascii="Verdana" w:hAnsi="Verdana"/>
          <w:sz w:val="20"/>
          <w:szCs w:val="20"/>
          <w:lang w:val="es-CR"/>
        </w:rPr>
        <w:t>”</w:t>
      </w:r>
      <w:r w:rsidR="00747CC1" w:rsidRPr="00585163">
        <w:rPr>
          <w:rFonts w:ascii="Verdana" w:hAnsi="Verdana"/>
          <w:sz w:val="20"/>
          <w:szCs w:val="20"/>
          <w:lang w:val="es-CR"/>
        </w:rPr>
        <w:t xml:space="preserve">, y </w:t>
      </w:r>
    </w:p>
    <w:p w:rsidR="00406DD4" w:rsidRPr="00747CC1" w:rsidRDefault="0026690A" w:rsidP="00807889">
      <w:pPr>
        <w:pStyle w:val="Listavistosa-nfasis1"/>
        <w:numPr>
          <w:ilvl w:val="0"/>
          <w:numId w:val="21"/>
        </w:numPr>
        <w:spacing w:before="120" w:after="120" w:line="240" w:lineRule="auto"/>
        <w:contextualSpacing w:val="0"/>
        <w:jc w:val="both"/>
        <w:rPr>
          <w:rFonts w:ascii="Verdana" w:hAnsi="Verdana"/>
          <w:sz w:val="20"/>
          <w:szCs w:val="20"/>
          <w:lang w:val="es-MX"/>
        </w:rPr>
      </w:pPr>
      <w:r>
        <w:rPr>
          <w:rFonts w:ascii="Verdana" w:hAnsi="Verdana"/>
          <w:sz w:val="20"/>
          <w:szCs w:val="20"/>
          <w:lang w:val="es-MX"/>
        </w:rPr>
        <w:t>“</w:t>
      </w:r>
      <w:r w:rsidR="00747CC1" w:rsidRPr="00747CC1">
        <w:rPr>
          <w:rFonts w:ascii="Verdana" w:hAnsi="Verdana"/>
          <w:sz w:val="20"/>
          <w:szCs w:val="20"/>
          <w:lang w:val="es-CR"/>
        </w:rPr>
        <w:t>suprimir los antecedentes judiciales, administrativos, penales o policiales que existan en contra de las ocho víctimas en relación con las referidas sentencias, así como la anulación de su inscripción en cualquier tipo de registro nacional e internacional que los vincule con actos de carácter terrorista”.</w:t>
      </w:r>
    </w:p>
    <w:p w:rsidR="00CF7632" w:rsidRDefault="00406DD4" w:rsidP="00807889">
      <w:pPr>
        <w:pStyle w:val="Listavistosa-nfasis1"/>
        <w:numPr>
          <w:ilvl w:val="0"/>
          <w:numId w:val="4"/>
        </w:numPr>
        <w:spacing w:before="120" w:after="120" w:line="240" w:lineRule="auto"/>
        <w:ind w:left="0" w:firstLine="0"/>
        <w:contextualSpacing w:val="0"/>
        <w:jc w:val="both"/>
        <w:rPr>
          <w:rFonts w:ascii="Verdana" w:hAnsi="Verdana"/>
          <w:sz w:val="20"/>
          <w:szCs w:val="20"/>
          <w:lang w:val="es-MX"/>
        </w:rPr>
      </w:pPr>
      <w:r w:rsidRPr="00792A88">
        <w:rPr>
          <w:rFonts w:ascii="Verdana" w:hAnsi="Verdana"/>
          <w:sz w:val="20"/>
          <w:szCs w:val="20"/>
          <w:lang w:val="es-MX"/>
        </w:rPr>
        <w:t xml:space="preserve">En cuanto </w:t>
      </w:r>
      <w:r w:rsidR="002F24D7">
        <w:rPr>
          <w:rFonts w:ascii="Verdana" w:hAnsi="Verdana"/>
          <w:sz w:val="20"/>
          <w:szCs w:val="20"/>
          <w:lang w:val="es-MX"/>
        </w:rPr>
        <w:t>a</w:t>
      </w:r>
      <w:r w:rsidR="002E2917">
        <w:rPr>
          <w:rFonts w:ascii="Verdana" w:hAnsi="Verdana"/>
          <w:sz w:val="20"/>
          <w:szCs w:val="20"/>
          <w:lang w:val="es-MX"/>
        </w:rPr>
        <w:t>l primer aspecto de la reparación (</w:t>
      </w:r>
      <w:r w:rsidR="002E2917" w:rsidRPr="002E2917">
        <w:rPr>
          <w:rFonts w:ascii="Verdana" w:hAnsi="Verdana"/>
          <w:i/>
          <w:sz w:val="20"/>
          <w:szCs w:val="20"/>
          <w:lang w:val="es-MX"/>
        </w:rPr>
        <w:t>supra</w:t>
      </w:r>
      <w:r w:rsidR="002E2917">
        <w:rPr>
          <w:rFonts w:ascii="Verdana" w:hAnsi="Verdana"/>
          <w:sz w:val="20"/>
          <w:szCs w:val="20"/>
          <w:lang w:val="es-MX"/>
        </w:rPr>
        <w:t xml:space="preserve"> Considerando 5.i.),</w:t>
      </w:r>
      <w:r w:rsidR="002F24D7">
        <w:rPr>
          <w:rFonts w:ascii="Verdana" w:hAnsi="Verdana"/>
          <w:sz w:val="20"/>
          <w:szCs w:val="20"/>
          <w:lang w:val="es-MX"/>
        </w:rPr>
        <w:t xml:space="preserve"> </w:t>
      </w:r>
      <w:r w:rsidRPr="00792A88">
        <w:rPr>
          <w:rFonts w:ascii="Verdana" w:hAnsi="Verdana"/>
          <w:sz w:val="20"/>
          <w:szCs w:val="20"/>
          <w:lang w:val="es-MX"/>
        </w:rPr>
        <w:t xml:space="preserve">Chile no ha presentado información que acredite que </w:t>
      </w:r>
      <w:r w:rsidR="002E2917">
        <w:rPr>
          <w:rFonts w:ascii="Verdana" w:hAnsi="Verdana"/>
          <w:sz w:val="20"/>
          <w:szCs w:val="20"/>
          <w:lang w:val="es-MX"/>
        </w:rPr>
        <w:t>haya</w:t>
      </w:r>
      <w:r w:rsidR="002E2917" w:rsidRPr="00792A88">
        <w:rPr>
          <w:rFonts w:ascii="Verdana" w:hAnsi="Verdana"/>
          <w:sz w:val="20"/>
          <w:szCs w:val="20"/>
          <w:lang w:val="es-MX"/>
        </w:rPr>
        <w:t xml:space="preserve"> </w:t>
      </w:r>
      <w:r w:rsidR="00C07B11">
        <w:rPr>
          <w:rFonts w:ascii="Verdana" w:hAnsi="Verdana"/>
          <w:sz w:val="20"/>
          <w:szCs w:val="20"/>
          <w:lang w:val="es-MX"/>
        </w:rPr>
        <w:t xml:space="preserve">sido </w:t>
      </w:r>
      <w:r w:rsidR="002E2917" w:rsidRPr="00792A88">
        <w:rPr>
          <w:rFonts w:ascii="Verdana" w:hAnsi="Verdana"/>
          <w:sz w:val="20"/>
          <w:szCs w:val="20"/>
          <w:lang w:val="es-MX"/>
        </w:rPr>
        <w:t>deja</w:t>
      </w:r>
      <w:r w:rsidR="002E2917">
        <w:rPr>
          <w:rFonts w:ascii="Verdana" w:hAnsi="Verdana"/>
          <w:sz w:val="20"/>
          <w:szCs w:val="20"/>
          <w:lang w:val="es-MX"/>
        </w:rPr>
        <w:t>d</w:t>
      </w:r>
      <w:r w:rsidR="00C07B11">
        <w:rPr>
          <w:rFonts w:ascii="Verdana" w:hAnsi="Verdana"/>
          <w:sz w:val="20"/>
          <w:szCs w:val="20"/>
          <w:lang w:val="es-MX"/>
        </w:rPr>
        <w:t>a</w:t>
      </w:r>
      <w:r w:rsidR="002E2917" w:rsidRPr="00792A88">
        <w:rPr>
          <w:rFonts w:ascii="Verdana" w:hAnsi="Verdana"/>
          <w:sz w:val="20"/>
          <w:szCs w:val="20"/>
          <w:lang w:val="es-MX"/>
        </w:rPr>
        <w:t xml:space="preserve"> sin efecto la declaración de las ocho víctimas como autores de delitos de carácter terrorista</w:t>
      </w:r>
      <w:r w:rsidR="00F62754">
        <w:rPr>
          <w:rFonts w:ascii="Verdana" w:hAnsi="Verdana"/>
          <w:sz w:val="20"/>
          <w:szCs w:val="20"/>
          <w:lang w:val="es-MX"/>
        </w:rPr>
        <w:t>.</w:t>
      </w:r>
      <w:r w:rsidR="004778B0" w:rsidRPr="00792A88">
        <w:rPr>
          <w:rFonts w:ascii="Verdana" w:hAnsi="Verdana"/>
          <w:sz w:val="20"/>
          <w:szCs w:val="20"/>
          <w:lang w:val="es-MX"/>
        </w:rPr>
        <w:t xml:space="preserve"> </w:t>
      </w:r>
      <w:r w:rsidR="00F62754">
        <w:rPr>
          <w:rFonts w:ascii="Verdana" w:hAnsi="Verdana"/>
          <w:sz w:val="20"/>
          <w:szCs w:val="20"/>
          <w:lang w:val="es-MX"/>
        </w:rPr>
        <w:t xml:space="preserve">Tal declaración fue </w:t>
      </w:r>
      <w:r w:rsidR="004778B0" w:rsidRPr="00792A88">
        <w:rPr>
          <w:rFonts w:ascii="Verdana" w:hAnsi="Verdana"/>
          <w:sz w:val="20"/>
          <w:szCs w:val="20"/>
          <w:lang w:val="es-MX"/>
        </w:rPr>
        <w:t>realizada</w:t>
      </w:r>
      <w:r w:rsidRPr="00792A88">
        <w:rPr>
          <w:rFonts w:ascii="Verdana" w:eastAsia="Times New Roman" w:hAnsi="Verdana"/>
          <w:sz w:val="20"/>
          <w:szCs w:val="20"/>
          <w:lang w:val="es-ES_tradnl" w:eastAsia="es-ES"/>
        </w:rPr>
        <w:t xml:space="preserve"> en las sentencias penales condenatorias que la Corte determinó </w:t>
      </w:r>
      <w:r w:rsidR="00F62754">
        <w:rPr>
          <w:rFonts w:ascii="Verdana" w:eastAsia="Times New Roman" w:hAnsi="Verdana"/>
          <w:sz w:val="20"/>
          <w:szCs w:val="20"/>
          <w:lang w:val="es-ES_tradnl" w:eastAsia="es-ES"/>
        </w:rPr>
        <w:t xml:space="preserve">en su Sentencia </w:t>
      </w:r>
      <w:r w:rsidRPr="00792A88">
        <w:rPr>
          <w:rFonts w:ascii="Verdana" w:eastAsia="Times New Roman" w:hAnsi="Verdana"/>
          <w:sz w:val="20"/>
          <w:szCs w:val="20"/>
          <w:lang w:val="es-ES_tradnl" w:eastAsia="es-ES"/>
        </w:rPr>
        <w:t xml:space="preserve">como </w:t>
      </w:r>
      <w:r w:rsidR="001E12D1">
        <w:rPr>
          <w:rFonts w:ascii="Verdana" w:eastAsia="Times New Roman" w:hAnsi="Verdana"/>
          <w:sz w:val="20"/>
          <w:szCs w:val="20"/>
          <w:lang w:val="es-ES_tradnl" w:eastAsia="es-ES"/>
        </w:rPr>
        <w:t xml:space="preserve">arbitrarias e incompatibles con </w:t>
      </w:r>
      <w:r w:rsidRPr="00792A88">
        <w:rPr>
          <w:rFonts w:ascii="Verdana" w:eastAsia="Times New Roman" w:hAnsi="Verdana"/>
          <w:sz w:val="20"/>
          <w:szCs w:val="20"/>
          <w:lang w:val="es-ES_tradnl" w:eastAsia="es-ES"/>
        </w:rPr>
        <w:t>la Convención Americana</w:t>
      </w:r>
      <w:r w:rsidR="001E12D1">
        <w:rPr>
          <w:rStyle w:val="Refdenotaalpie"/>
          <w:rFonts w:ascii="Verdana" w:eastAsia="Times New Roman" w:hAnsi="Verdana"/>
          <w:sz w:val="20"/>
          <w:szCs w:val="20"/>
          <w:lang w:val="es-ES_tradnl" w:eastAsia="es-ES"/>
        </w:rPr>
        <w:footnoteReference w:id="20"/>
      </w:r>
      <w:r w:rsidRPr="00792A88">
        <w:rPr>
          <w:rFonts w:ascii="Verdana" w:eastAsia="Times New Roman" w:hAnsi="Verdana"/>
          <w:sz w:val="20"/>
          <w:szCs w:val="20"/>
          <w:lang w:val="es-ES_tradnl" w:eastAsia="es-ES"/>
        </w:rPr>
        <w:t xml:space="preserve">. </w:t>
      </w:r>
      <w:r w:rsidR="00774DE1" w:rsidRPr="00792A88">
        <w:rPr>
          <w:rFonts w:ascii="Verdana" w:eastAsia="Times New Roman" w:hAnsi="Verdana"/>
          <w:sz w:val="20"/>
          <w:szCs w:val="20"/>
          <w:lang w:val="es-ES_tradnl" w:eastAsia="es-ES"/>
        </w:rPr>
        <w:t xml:space="preserve">Al respecto, </w:t>
      </w:r>
      <w:r w:rsidR="00774DE1" w:rsidRPr="00C4792B">
        <w:rPr>
          <w:rFonts w:ascii="Verdana" w:hAnsi="Verdana"/>
          <w:i/>
          <w:sz w:val="20"/>
          <w:szCs w:val="20"/>
          <w:lang w:val="es-CR"/>
        </w:rPr>
        <w:t>la representante</w:t>
      </w:r>
      <w:r w:rsidR="00774DE1" w:rsidRPr="00792A88">
        <w:rPr>
          <w:rFonts w:ascii="Verdana" w:hAnsi="Verdana"/>
          <w:sz w:val="20"/>
          <w:szCs w:val="20"/>
          <w:lang w:val="es-CR"/>
        </w:rPr>
        <w:t xml:space="preserve"> </w:t>
      </w:r>
      <w:r w:rsidR="00774DE1" w:rsidRPr="00792A88">
        <w:rPr>
          <w:rFonts w:ascii="Verdana" w:hAnsi="Verdana"/>
          <w:i/>
          <w:sz w:val="20"/>
          <w:szCs w:val="20"/>
          <w:lang w:val="es-CR"/>
        </w:rPr>
        <w:t>Myriam Reyes</w:t>
      </w:r>
      <w:r w:rsidR="00774DE1" w:rsidRPr="00792A88">
        <w:rPr>
          <w:rStyle w:val="Refdenotaalpie"/>
          <w:rFonts w:ascii="Verdana" w:hAnsi="Verdana"/>
          <w:sz w:val="20"/>
          <w:szCs w:val="20"/>
        </w:rPr>
        <w:footnoteReference w:id="21"/>
      </w:r>
      <w:r w:rsidR="00774DE1" w:rsidRPr="00792A88">
        <w:rPr>
          <w:rFonts w:ascii="Verdana" w:hAnsi="Verdana"/>
          <w:sz w:val="20"/>
          <w:szCs w:val="20"/>
          <w:lang w:val="es-CR"/>
        </w:rPr>
        <w:t xml:space="preserve">, y </w:t>
      </w:r>
      <w:r w:rsidR="00774DE1" w:rsidRPr="00C4792B">
        <w:rPr>
          <w:rFonts w:ascii="Verdana" w:hAnsi="Verdana"/>
          <w:i/>
          <w:sz w:val="20"/>
          <w:szCs w:val="20"/>
          <w:lang w:val="es-CR"/>
        </w:rPr>
        <w:t>los representantes</w:t>
      </w:r>
      <w:r w:rsidR="00774DE1" w:rsidRPr="00792A88">
        <w:rPr>
          <w:rFonts w:ascii="Verdana" w:hAnsi="Verdana"/>
          <w:sz w:val="20"/>
          <w:szCs w:val="20"/>
          <w:lang w:val="es-CR"/>
        </w:rPr>
        <w:t xml:space="preserve"> </w:t>
      </w:r>
      <w:r w:rsidR="00774DE1" w:rsidRPr="00792A88">
        <w:rPr>
          <w:rFonts w:ascii="Verdana" w:hAnsi="Verdana"/>
          <w:i/>
          <w:sz w:val="20"/>
          <w:szCs w:val="20"/>
          <w:lang w:val="es-CR"/>
        </w:rPr>
        <w:t>Llanquileo, Millamán y Lienlaf</w:t>
      </w:r>
      <w:r w:rsidR="00A00468" w:rsidRPr="00792A88">
        <w:rPr>
          <w:rStyle w:val="Refdenotaalpie"/>
          <w:rFonts w:ascii="Verdana" w:hAnsi="Verdana"/>
          <w:sz w:val="20"/>
          <w:szCs w:val="20"/>
        </w:rPr>
        <w:footnoteReference w:id="22"/>
      </w:r>
      <w:r w:rsidR="00A80782">
        <w:rPr>
          <w:rFonts w:ascii="Verdana" w:hAnsi="Verdana"/>
          <w:i/>
          <w:sz w:val="20"/>
          <w:szCs w:val="20"/>
          <w:lang w:val="es-CR"/>
        </w:rPr>
        <w:t>,</w:t>
      </w:r>
      <w:r w:rsidR="00774DE1" w:rsidRPr="00792A88">
        <w:rPr>
          <w:rFonts w:ascii="Verdana" w:hAnsi="Verdana"/>
          <w:sz w:val="20"/>
          <w:szCs w:val="20"/>
          <w:lang w:val="es-CR"/>
        </w:rPr>
        <w:t xml:space="preserve"> han hecho notar que el Estado no ha aportado información </w:t>
      </w:r>
      <w:r w:rsidR="00792A88" w:rsidRPr="00792A88">
        <w:rPr>
          <w:rFonts w:ascii="Verdana" w:hAnsi="Verdana"/>
          <w:sz w:val="20"/>
          <w:szCs w:val="20"/>
          <w:lang w:val="es-CR"/>
        </w:rPr>
        <w:t xml:space="preserve">al respecto. Además, estos últimos </w:t>
      </w:r>
      <w:r w:rsidRPr="00792A88">
        <w:rPr>
          <w:rFonts w:ascii="Verdana" w:eastAsia="Times New Roman" w:hAnsi="Verdana"/>
          <w:sz w:val="20"/>
          <w:szCs w:val="20"/>
          <w:lang w:val="es-ES_tradnl" w:eastAsia="es-ES"/>
        </w:rPr>
        <w:t xml:space="preserve">han afirmado que </w:t>
      </w:r>
      <w:r w:rsidR="00792A88" w:rsidRPr="00792A88">
        <w:rPr>
          <w:rFonts w:ascii="Verdana" w:eastAsia="Times New Roman" w:hAnsi="Verdana"/>
          <w:sz w:val="20"/>
          <w:szCs w:val="20"/>
          <w:lang w:val="es-ES_tradnl" w:eastAsia="es-ES"/>
        </w:rPr>
        <w:t>las referidas sentencias condenatorias</w:t>
      </w:r>
      <w:r w:rsidRPr="00792A88">
        <w:rPr>
          <w:rFonts w:ascii="Verdana" w:eastAsia="Times New Roman" w:hAnsi="Verdana"/>
          <w:sz w:val="20"/>
          <w:szCs w:val="20"/>
          <w:lang w:val="es-ES_tradnl" w:eastAsia="es-ES"/>
        </w:rPr>
        <w:t xml:space="preserve"> aún tendrían “mérito de sentencia[s] firme[s] y ejecutoriada[s]” y que el Estado </w:t>
      </w:r>
      <w:r w:rsidRPr="00CF7632">
        <w:rPr>
          <w:rFonts w:ascii="Verdana" w:eastAsia="Times New Roman" w:hAnsi="Verdana"/>
          <w:sz w:val="20"/>
          <w:szCs w:val="20"/>
          <w:lang w:val="es-ES_tradnl" w:eastAsia="es-ES"/>
        </w:rPr>
        <w:t xml:space="preserve">tampoco ha </w:t>
      </w:r>
      <w:r w:rsidR="00CF7632" w:rsidRPr="00CF7632">
        <w:rPr>
          <w:rFonts w:ascii="Verdana" w:eastAsia="Times New Roman" w:hAnsi="Verdana"/>
          <w:sz w:val="20"/>
          <w:szCs w:val="20"/>
          <w:lang w:val="es-ES_tradnl" w:eastAsia="es-ES"/>
        </w:rPr>
        <w:t>“</w:t>
      </w:r>
      <w:r w:rsidRPr="00CF7632">
        <w:rPr>
          <w:rFonts w:ascii="Verdana" w:eastAsia="Times New Roman" w:hAnsi="Verdana"/>
          <w:sz w:val="20"/>
          <w:szCs w:val="20"/>
          <w:lang w:val="es-ES_tradnl" w:eastAsia="es-ES"/>
        </w:rPr>
        <w:t>señala</w:t>
      </w:r>
      <w:r w:rsidR="00A00468">
        <w:rPr>
          <w:rFonts w:ascii="Verdana" w:eastAsia="Times New Roman" w:hAnsi="Verdana"/>
          <w:sz w:val="20"/>
          <w:szCs w:val="20"/>
          <w:lang w:val="es-ES_tradnl" w:eastAsia="es-ES"/>
        </w:rPr>
        <w:t>[</w:t>
      </w:r>
      <w:r w:rsidRPr="00CF7632">
        <w:rPr>
          <w:rFonts w:ascii="Verdana" w:eastAsia="Times New Roman" w:hAnsi="Verdana"/>
          <w:sz w:val="20"/>
          <w:szCs w:val="20"/>
          <w:lang w:val="es-ES_tradnl" w:eastAsia="es-ES"/>
        </w:rPr>
        <w:t>do</w:t>
      </w:r>
      <w:r w:rsidR="00CF7632" w:rsidRPr="00CF7632">
        <w:rPr>
          <w:rFonts w:ascii="Verdana" w:eastAsia="Times New Roman" w:hAnsi="Verdana"/>
          <w:sz w:val="20"/>
          <w:szCs w:val="20"/>
          <w:lang w:val="es-ES_tradnl" w:eastAsia="es-ES"/>
        </w:rPr>
        <w:t>]</w:t>
      </w:r>
      <w:r w:rsidRPr="00CF7632">
        <w:rPr>
          <w:rFonts w:ascii="Verdana" w:eastAsia="Times New Roman" w:hAnsi="Verdana"/>
          <w:sz w:val="20"/>
          <w:szCs w:val="20"/>
          <w:lang w:val="es-ES_tradnl" w:eastAsia="es-ES"/>
        </w:rPr>
        <w:t xml:space="preserve"> si </w:t>
      </w:r>
      <w:r w:rsidR="00CF7632" w:rsidRPr="00CF7632">
        <w:rPr>
          <w:rFonts w:ascii="Verdana" w:hAnsi="Verdana"/>
          <w:sz w:val="20"/>
          <w:szCs w:val="20"/>
          <w:lang w:val="es-CR"/>
        </w:rPr>
        <w:t xml:space="preserve">en el sistema computacional de tribunales [la sentencia penal condenatoria de </w:t>
      </w:r>
      <w:proofErr w:type="gramStart"/>
      <w:r w:rsidR="00CF7632" w:rsidRPr="00CF7632">
        <w:rPr>
          <w:rFonts w:ascii="Verdana" w:hAnsi="Verdana"/>
          <w:sz w:val="20"/>
          <w:szCs w:val="20"/>
          <w:lang w:val="es-CR"/>
        </w:rPr>
        <w:t>las víctima</w:t>
      </w:r>
      <w:proofErr w:type="gramEnd"/>
      <w:r w:rsidR="00CF7632" w:rsidRPr="00CF7632">
        <w:rPr>
          <w:rFonts w:ascii="Verdana" w:hAnsi="Verdana"/>
          <w:sz w:val="20"/>
          <w:szCs w:val="20"/>
          <w:lang w:val="es-CR"/>
        </w:rPr>
        <w:t xml:space="preserve"> Norín Catrimán] </w:t>
      </w:r>
      <w:r w:rsidR="00CF7632" w:rsidRPr="00CF7632">
        <w:rPr>
          <w:rFonts w:ascii="Verdana" w:eastAsia="Times New Roman" w:hAnsi="Verdana"/>
          <w:sz w:val="20"/>
          <w:szCs w:val="20"/>
          <w:lang w:val="es-ES_tradnl" w:eastAsia="es-ES"/>
        </w:rPr>
        <w:t>fue eliminada”</w:t>
      </w:r>
      <w:r w:rsidR="00A00468">
        <w:rPr>
          <w:rFonts w:ascii="Verdana" w:eastAsia="Times New Roman" w:hAnsi="Verdana"/>
          <w:sz w:val="20"/>
          <w:szCs w:val="20"/>
          <w:lang w:val="es-ES_tradnl" w:eastAsia="es-ES"/>
        </w:rPr>
        <w:t>.</w:t>
      </w:r>
      <w:r w:rsidRPr="00CF7632">
        <w:rPr>
          <w:rFonts w:ascii="Verdana" w:eastAsia="Times New Roman" w:hAnsi="Verdana"/>
          <w:sz w:val="20"/>
          <w:szCs w:val="20"/>
          <w:lang w:val="es-ES_tradnl" w:eastAsia="es-ES"/>
        </w:rPr>
        <w:t xml:space="preserve"> </w:t>
      </w:r>
      <w:r w:rsidRPr="003C3A9F">
        <w:rPr>
          <w:rFonts w:ascii="Verdana" w:eastAsia="Times New Roman" w:hAnsi="Verdana"/>
          <w:sz w:val="20"/>
          <w:szCs w:val="20"/>
          <w:lang w:val="es-ES_tradnl" w:eastAsia="es-ES"/>
        </w:rPr>
        <w:t xml:space="preserve">En ese sentido, </w:t>
      </w:r>
      <w:r w:rsidR="00A80782">
        <w:rPr>
          <w:rFonts w:ascii="Verdana" w:hAnsi="Verdana"/>
          <w:sz w:val="20"/>
          <w:szCs w:val="20"/>
          <w:lang w:val="es-CR"/>
        </w:rPr>
        <w:t xml:space="preserve">la Corte considera </w:t>
      </w:r>
      <w:r w:rsidRPr="003C3A9F">
        <w:rPr>
          <w:rFonts w:ascii="Verdana" w:hAnsi="Verdana"/>
          <w:sz w:val="20"/>
          <w:szCs w:val="20"/>
          <w:lang w:val="es-CR"/>
        </w:rPr>
        <w:t>necesario que en su próximo informe Chile remita información detallada sobre las acciones que ha emprendido para dejar sin efecto la declaración de las víctimas como autores de</w:t>
      </w:r>
      <w:r w:rsidR="00277293">
        <w:rPr>
          <w:rFonts w:ascii="Verdana" w:hAnsi="Verdana"/>
          <w:sz w:val="20"/>
          <w:szCs w:val="20"/>
          <w:lang w:val="es-CR"/>
        </w:rPr>
        <w:t xml:space="preserve"> delitos de carácter terrorista, para lo cual</w:t>
      </w:r>
      <w:r>
        <w:rPr>
          <w:rFonts w:ascii="Verdana" w:hAnsi="Verdana"/>
          <w:sz w:val="20"/>
          <w:szCs w:val="20"/>
          <w:lang w:val="es-CR"/>
        </w:rPr>
        <w:t xml:space="preserve"> </w:t>
      </w:r>
      <w:r w:rsidRPr="00DA416D">
        <w:rPr>
          <w:rFonts w:ascii="Verdana" w:hAnsi="Verdana"/>
          <w:sz w:val="20"/>
          <w:szCs w:val="20"/>
          <w:lang w:val="es-CR"/>
        </w:rPr>
        <w:t xml:space="preserve">deberá tomar en cuenta </w:t>
      </w:r>
      <w:r w:rsidR="00792A88" w:rsidRPr="00DA416D">
        <w:rPr>
          <w:rFonts w:ascii="Verdana" w:hAnsi="Verdana"/>
          <w:sz w:val="20"/>
          <w:szCs w:val="20"/>
          <w:lang w:val="es-CR"/>
        </w:rPr>
        <w:t xml:space="preserve">las </w:t>
      </w:r>
      <w:r w:rsidR="00F62754">
        <w:rPr>
          <w:rFonts w:ascii="Verdana" w:hAnsi="Verdana"/>
          <w:sz w:val="20"/>
          <w:szCs w:val="20"/>
          <w:lang w:val="es-CR"/>
        </w:rPr>
        <w:t xml:space="preserve">referidas </w:t>
      </w:r>
      <w:r w:rsidRPr="00DA416D">
        <w:rPr>
          <w:rFonts w:ascii="Verdana" w:hAnsi="Verdana"/>
          <w:sz w:val="20"/>
          <w:szCs w:val="20"/>
          <w:lang w:val="es-CR"/>
        </w:rPr>
        <w:t xml:space="preserve">observaciones </w:t>
      </w:r>
      <w:r w:rsidR="00F62754">
        <w:rPr>
          <w:rFonts w:ascii="Verdana" w:hAnsi="Verdana"/>
          <w:sz w:val="20"/>
          <w:szCs w:val="20"/>
          <w:lang w:val="es-CR"/>
        </w:rPr>
        <w:t>de los</w:t>
      </w:r>
      <w:r w:rsidR="00792A88" w:rsidRPr="00DA416D">
        <w:rPr>
          <w:rFonts w:ascii="Verdana" w:hAnsi="Verdana"/>
          <w:sz w:val="20"/>
          <w:szCs w:val="20"/>
          <w:lang w:val="es-CR"/>
        </w:rPr>
        <w:t xml:space="preserve"> </w:t>
      </w:r>
      <w:r w:rsidRPr="00DA416D">
        <w:rPr>
          <w:rFonts w:ascii="Verdana" w:hAnsi="Verdana"/>
          <w:sz w:val="20"/>
          <w:szCs w:val="20"/>
          <w:lang w:val="es-CR"/>
        </w:rPr>
        <w:t>representantes de las víctimas.</w:t>
      </w:r>
    </w:p>
    <w:p w:rsidR="00792A88" w:rsidRPr="00771D24" w:rsidRDefault="004778B0" w:rsidP="00807889">
      <w:pPr>
        <w:pStyle w:val="Listavistosa-nfasis1"/>
        <w:numPr>
          <w:ilvl w:val="0"/>
          <w:numId w:val="4"/>
        </w:numPr>
        <w:spacing w:before="120" w:after="120" w:line="240" w:lineRule="auto"/>
        <w:ind w:left="0" w:firstLine="0"/>
        <w:contextualSpacing w:val="0"/>
        <w:jc w:val="both"/>
        <w:rPr>
          <w:rFonts w:ascii="Verdana" w:hAnsi="Verdana"/>
          <w:sz w:val="20"/>
          <w:szCs w:val="20"/>
          <w:lang w:val="es-MX"/>
        </w:rPr>
      </w:pPr>
      <w:r w:rsidRPr="00DA416D">
        <w:rPr>
          <w:rFonts w:ascii="Verdana" w:hAnsi="Verdana"/>
          <w:sz w:val="20"/>
          <w:szCs w:val="20"/>
          <w:lang w:val="es-MX"/>
        </w:rPr>
        <w:t>Respecto a</w:t>
      </w:r>
      <w:r w:rsidR="00A80782">
        <w:rPr>
          <w:rFonts w:ascii="Verdana" w:hAnsi="Verdana"/>
          <w:sz w:val="20"/>
          <w:szCs w:val="20"/>
          <w:lang w:val="es-MX"/>
        </w:rPr>
        <w:t>l segundo aspecto de la reparación (</w:t>
      </w:r>
      <w:r w:rsidR="00A80782" w:rsidRPr="00A80782">
        <w:rPr>
          <w:rFonts w:ascii="Verdana" w:hAnsi="Verdana"/>
          <w:i/>
          <w:sz w:val="20"/>
          <w:szCs w:val="20"/>
          <w:lang w:val="es-MX"/>
        </w:rPr>
        <w:t>supra</w:t>
      </w:r>
      <w:r w:rsidR="00A80782">
        <w:rPr>
          <w:rFonts w:ascii="Verdana" w:hAnsi="Verdana"/>
          <w:sz w:val="20"/>
          <w:szCs w:val="20"/>
          <w:lang w:val="es-MX"/>
        </w:rPr>
        <w:t xml:space="preserve"> Considerando 5.ii.), relativo</w:t>
      </w:r>
      <w:r w:rsidR="002F24D7">
        <w:rPr>
          <w:rFonts w:ascii="Verdana" w:hAnsi="Verdana"/>
          <w:sz w:val="20"/>
          <w:szCs w:val="20"/>
          <w:lang w:val="es-MX"/>
        </w:rPr>
        <w:t xml:space="preserve"> a </w:t>
      </w:r>
      <w:r w:rsidR="0013075E" w:rsidRPr="00DA416D">
        <w:rPr>
          <w:rFonts w:ascii="Verdana" w:hAnsi="Verdana"/>
          <w:sz w:val="20"/>
          <w:szCs w:val="20"/>
          <w:lang w:val="es-MX"/>
        </w:rPr>
        <w:t>dejar sin efecto las penas</w:t>
      </w:r>
      <w:r w:rsidR="001340FE">
        <w:rPr>
          <w:rFonts w:ascii="Verdana" w:hAnsi="Verdana"/>
          <w:sz w:val="20"/>
          <w:szCs w:val="20"/>
          <w:lang w:val="es-MX"/>
        </w:rPr>
        <w:t xml:space="preserve"> privativas de libertad, penas accesorias</w:t>
      </w:r>
      <w:r w:rsidR="0013075E" w:rsidRPr="00DA416D">
        <w:rPr>
          <w:rFonts w:ascii="Verdana" w:hAnsi="Verdana"/>
          <w:sz w:val="20"/>
          <w:szCs w:val="20"/>
          <w:lang w:val="es-MX"/>
        </w:rPr>
        <w:t xml:space="preserve"> y condenas civiles impuestas a las víctimas,</w:t>
      </w:r>
      <w:r w:rsidR="000D0057" w:rsidRPr="00DA416D">
        <w:rPr>
          <w:rFonts w:ascii="Verdana" w:hAnsi="Verdana"/>
          <w:sz w:val="20"/>
          <w:szCs w:val="20"/>
          <w:lang w:val="es-MX"/>
        </w:rPr>
        <w:t xml:space="preserve"> el Estado solo presentó información respecto a la eliminación de las penas accesorias</w:t>
      </w:r>
      <w:r w:rsidR="00792A88" w:rsidRPr="00DA416D">
        <w:rPr>
          <w:rFonts w:ascii="Verdana" w:hAnsi="Verdana"/>
          <w:sz w:val="20"/>
          <w:szCs w:val="20"/>
          <w:lang w:val="es-MX"/>
        </w:rPr>
        <w:t xml:space="preserve"> </w:t>
      </w:r>
      <w:r w:rsidR="00771D24">
        <w:rPr>
          <w:rFonts w:ascii="Verdana" w:hAnsi="Verdana"/>
          <w:sz w:val="20"/>
          <w:szCs w:val="20"/>
          <w:lang w:val="es-MX"/>
        </w:rPr>
        <w:t>relacionadas con la</w:t>
      </w:r>
      <w:r w:rsidR="00DA416D" w:rsidRPr="00DA416D">
        <w:rPr>
          <w:rFonts w:ascii="Verdana" w:hAnsi="Verdana"/>
          <w:sz w:val="20"/>
          <w:szCs w:val="20"/>
          <w:lang w:val="es-MX"/>
        </w:rPr>
        <w:t xml:space="preserve"> inhabilitación </w:t>
      </w:r>
      <w:r w:rsidR="00771D24">
        <w:rPr>
          <w:rFonts w:ascii="Verdana" w:hAnsi="Verdana"/>
          <w:sz w:val="20"/>
          <w:szCs w:val="20"/>
          <w:lang w:val="es-MX"/>
        </w:rPr>
        <w:t xml:space="preserve">de las víctimas </w:t>
      </w:r>
      <w:r w:rsidR="00DA416D" w:rsidRPr="00DA416D">
        <w:rPr>
          <w:rFonts w:ascii="Verdana" w:hAnsi="Verdana"/>
          <w:sz w:val="20"/>
          <w:szCs w:val="20"/>
          <w:lang w:val="es-MX"/>
        </w:rPr>
        <w:t>para el ejercicio de derechos políticos</w:t>
      </w:r>
      <w:r w:rsidR="00792A88" w:rsidRPr="00DA416D">
        <w:rPr>
          <w:rFonts w:ascii="Verdana" w:hAnsi="Verdana"/>
          <w:sz w:val="20"/>
          <w:szCs w:val="20"/>
          <w:lang w:val="es-MX"/>
        </w:rPr>
        <w:t>.</w:t>
      </w:r>
      <w:r w:rsidR="00DA416D" w:rsidRPr="00DA416D">
        <w:rPr>
          <w:rFonts w:ascii="Verdana" w:hAnsi="Verdana"/>
          <w:sz w:val="20"/>
          <w:szCs w:val="20"/>
          <w:lang w:val="es-MX"/>
        </w:rPr>
        <w:t xml:space="preserve"> Al respecto, se constata que </w:t>
      </w:r>
      <w:r w:rsidR="00A36CB4" w:rsidRPr="00DA416D">
        <w:rPr>
          <w:rFonts w:ascii="Verdana" w:hAnsi="Verdana"/>
          <w:sz w:val="20"/>
          <w:szCs w:val="20"/>
          <w:lang w:val="es-MX"/>
        </w:rPr>
        <w:t xml:space="preserve">el Servicio Electoral </w:t>
      </w:r>
      <w:r w:rsidR="007A7BA6">
        <w:rPr>
          <w:rFonts w:ascii="Verdana" w:hAnsi="Verdana"/>
          <w:sz w:val="20"/>
          <w:szCs w:val="20"/>
          <w:lang w:val="es-MX"/>
        </w:rPr>
        <w:t xml:space="preserve">de Chile </w:t>
      </w:r>
      <w:r w:rsidR="00A36CB4" w:rsidRPr="00DA416D">
        <w:rPr>
          <w:rFonts w:ascii="Verdana" w:hAnsi="Verdana"/>
          <w:sz w:val="20"/>
          <w:szCs w:val="20"/>
          <w:lang w:val="es-MX"/>
        </w:rPr>
        <w:t xml:space="preserve">hizo constar que </w:t>
      </w:r>
      <w:r w:rsidR="007A7BA6">
        <w:rPr>
          <w:rFonts w:ascii="Verdana" w:hAnsi="Verdana"/>
          <w:sz w:val="20"/>
          <w:szCs w:val="20"/>
          <w:lang w:val="es-MX"/>
        </w:rPr>
        <w:t>“</w:t>
      </w:r>
      <w:r w:rsidR="00A36CB4" w:rsidRPr="00DA416D">
        <w:rPr>
          <w:rFonts w:ascii="Verdana" w:hAnsi="Verdana"/>
          <w:sz w:val="20"/>
          <w:szCs w:val="20"/>
          <w:lang w:val="es-MX"/>
        </w:rPr>
        <w:t>todas las personas individualizadas en la [S]entencia de la Corte Interamericana […] se encuentran habilitadas para ejercer el derecho al sufragio”</w:t>
      </w:r>
      <w:r w:rsidR="00A36CB4" w:rsidRPr="00DA416D">
        <w:rPr>
          <w:rStyle w:val="Refdenotaalpie"/>
          <w:rFonts w:ascii="Verdana" w:hAnsi="Verdana"/>
          <w:sz w:val="20"/>
          <w:szCs w:val="20"/>
          <w:lang w:val="es-MX"/>
        </w:rPr>
        <w:footnoteReference w:id="23"/>
      </w:r>
      <w:r w:rsidR="00A36CB4" w:rsidRPr="00DA416D">
        <w:rPr>
          <w:rFonts w:ascii="Verdana" w:hAnsi="Verdana"/>
          <w:sz w:val="20"/>
          <w:szCs w:val="20"/>
          <w:lang w:val="es-MX"/>
        </w:rPr>
        <w:t xml:space="preserve">. </w:t>
      </w:r>
      <w:r w:rsidR="00EC0F95" w:rsidRPr="005F336B">
        <w:rPr>
          <w:rFonts w:ascii="Verdana" w:hAnsi="Verdana"/>
          <w:sz w:val="20"/>
          <w:szCs w:val="20"/>
          <w:lang w:val="es-MX"/>
        </w:rPr>
        <w:t xml:space="preserve">Chile no </w:t>
      </w:r>
      <w:r w:rsidR="00A56C6B">
        <w:rPr>
          <w:rFonts w:ascii="Verdana" w:hAnsi="Verdana"/>
          <w:sz w:val="20"/>
          <w:szCs w:val="20"/>
          <w:lang w:val="es-MX"/>
        </w:rPr>
        <w:t>ha hecho</w:t>
      </w:r>
      <w:r w:rsidR="00EC0F95" w:rsidRPr="005F336B">
        <w:rPr>
          <w:rFonts w:ascii="Verdana" w:hAnsi="Verdana"/>
          <w:sz w:val="20"/>
          <w:szCs w:val="20"/>
          <w:lang w:val="es-MX"/>
        </w:rPr>
        <w:t xml:space="preserve"> referencia a las demás penas </w:t>
      </w:r>
      <w:r w:rsidR="00A56C6B">
        <w:rPr>
          <w:rFonts w:ascii="Verdana" w:hAnsi="Verdana"/>
          <w:sz w:val="20"/>
          <w:szCs w:val="20"/>
          <w:lang w:val="es-MX"/>
        </w:rPr>
        <w:t>(</w:t>
      </w:r>
      <w:r w:rsidR="00EC0F95" w:rsidRPr="005F336B">
        <w:rPr>
          <w:rFonts w:ascii="Verdana" w:hAnsi="Verdana"/>
          <w:sz w:val="20"/>
          <w:szCs w:val="20"/>
          <w:lang w:val="es-MX"/>
        </w:rPr>
        <w:t xml:space="preserve">privativas de libertad y </w:t>
      </w:r>
      <w:r w:rsidR="003F2118">
        <w:rPr>
          <w:rFonts w:ascii="Verdana" w:hAnsi="Verdana"/>
          <w:sz w:val="20"/>
          <w:szCs w:val="20"/>
          <w:lang w:val="es-MX"/>
        </w:rPr>
        <w:t xml:space="preserve">otras </w:t>
      </w:r>
      <w:r w:rsidR="00EC0F95" w:rsidRPr="005F336B">
        <w:rPr>
          <w:rFonts w:ascii="Verdana" w:hAnsi="Verdana"/>
          <w:sz w:val="20"/>
          <w:szCs w:val="20"/>
          <w:lang w:val="es-MX"/>
        </w:rPr>
        <w:t>accesorias</w:t>
      </w:r>
      <w:r w:rsidR="00A56C6B">
        <w:rPr>
          <w:rFonts w:ascii="Verdana" w:hAnsi="Verdana"/>
          <w:sz w:val="20"/>
          <w:szCs w:val="20"/>
          <w:lang w:val="es-MX"/>
        </w:rPr>
        <w:t>)</w:t>
      </w:r>
      <w:r w:rsidR="00EC0F95" w:rsidRPr="005F336B">
        <w:rPr>
          <w:rFonts w:ascii="Verdana" w:hAnsi="Verdana"/>
          <w:sz w:val="20"/>
          <w:szCs w:val="20"/>
          <w:lang w:val="es-MX"/>
        </w:rPr>
        <w:t xml:space="preserve"> </w:t>
      </w:r>
      <w:r w:rsidR="005F336B" w:rsidRPr="005F336B">
        <w:rPr>
          <w:rFonts w:ascii="Verdana" w:hAnsi="Verdana"/>
          <w:sz w:val="20"/>
          <w:szCs w:val="20"/>
          <w:lang w:val="es-MX"/>
        </w:rPr>
        <w:t>ni a las</w:t>
      </w:r>
      <w:r w:rsidR="00EC0F95" w:rsidRPr="005F336B">
        <w:rPr>
          <w:rFonts w:ascii="Verdana" w:hAnsi="Verdana"/>
          <w:sz w:val="20"/>
          <w:szCs w:val="20"/>
          <w:lang w:val="es-MX"/>
        </w:rPr>
        <w:t xml:space="preserve"> condenas civiles impuestas a las víctimas.</w:t>
      </w:r>
      <w:r w:rsidR="00EC0F95" w:rsidRPr="00903DE2">
        <w:rPr>
          <w:rFonts w:ascii="Verdana" w:hAnsi="Verdana"/>
          <w:sz w:val="20"/>
          <w:szCs w:val="20"/>
          <w:lang w:val="es-MX"/>
        </w:rPr>
        <w:t xml:space="preserve"> </w:t>
      </w:r>
      <w:r w:rsidR="00DA416D" w:rsidRPr="00DA416D">
        <w:rPr>
          <w:rFonts w:ascii="Verdana" w:hAnsi="Verdana"/>
          <w:sz w:val="20"/>
          <w:szCs w:val="20"/>
          <w:lang w:val="es-MX"/>
        </w:rPr>
        <w:t>L</w:t>
      </w:r>
      <w:r w:rsidR="00792A88" w:rsidRPr="00DA416D">
        <w:rPr>
          <w:rFonts w:ascii="Verdana" w:hAnsi="Verdana"/>
          <w:sz w:val="20"/>
          <w:szCs w:val="20"/>
          <w:lang w:val="es-CR"/>
        </w:rPr>
        <w:t xml:space="preserve">a Corte hace notar que </w:t>
      </w:r>
      <w:r w:rsidR="00A56C6B">
        <w:rPr>
          <w:rFonts w:ascii="Verdana" w:hAnsi="Verdana"/>
          <w:sz w:val="20"/>
          <w:szCs w:val="20"/>
          <w:lang w:val="es-CR"/>
        </w:rPr>
        <w:t xml:space="preserve">el cumplimiento de este extremo de la reparación ordenada </w:t>
      </w:r>
      <w:r w:rsidR="00792A88" w:rsidRPr="00DA416D">
        <w:rPr>
          <w:rFonts w:ascii="Verdana" w:hAnsi="Verdana"/>
          <w:sz w:val="20"/>
          <w:szCs w:val="20"/>
          <w:lang w:val="es-CR"/>
        </w:rPr>
        <w:t xml:space="preserve">depende, fundamentalmente, de que el Estado cumpla con dejar sin efecto </w:t>
      </w:r>
      <w:r w:rsidR="00771D24">
        <w:rPr>
          <w:rFonts w:ascii="Verdana" w:hAnsi="Verdana"/>
          <w:sz w:val="20"/>
          <w:szCs w:val="20"/>
          <w:lang w:val="es-CR"/>
        </w:rPr>
        <w:t>las sentencias penales que declararon a</w:t>
      </w:r>
      <w:r w:rsidR="00792A88" w:rsidRPr="00DA416D">
        <w:rPr>
          <w:rFonts w:ascii="Verdana" w:hAnsi="Verdana"/>
          <w:sz w:val="20"/>
          <w:szCs w:val="20"/>
          <w:lang w:val="es-CR"/>
        </w:rPr>
        <w:t xml:space="preserve"> las víctimas como autores de </w:t>
      </w:r>
      <w:r w:rsidR="00DA416D" w:rsidRPr="00DA416D">
        <w:rPr>
          <w:rFonts w:ascii="Verdana" w:hAnsi="Verdana"/>
          <w:sz w:val="20"/>
          <w:szCs w:val="20"/>
          <w:lang w:val="es-CR"/>
        </w:rPr>
        <w:t xml:space="preserve">delitos de carácter </w:t>
      </w:r>
      <w:r w:rsidR="00DA416D" w:rsidRPr="00DA416D">
        <w:rPr>
          <w:rFonts w:ascii="Verdana" w:hAnsi="Verdana"/>
          <w:sz w:val="20"/>
          <w:szCs w:val="20"/>
          <w:lang w:val="es-CR"/>
        </w:rPr>
        <w:lastRenderedPageBreak/>
        <w:t>terrorista</w:t>
      </w:r>
      <w:r w:rsidR="004B57E9">
        <w:rPr>
          <w:rFonts w:ascii="Verdana" w:hAnsi="Verdana"/>
          <w:sz w:val="20"/>
          <w:szCs w:val="20"/>
          <w:lang w:val="es-CR"/>
        </w:rPr>
        <w:t>, sobre lo cual se ha requerido a Chile que remita información (</w:t>
      </w:r>
      <w:r w:rsidR="004B57E9" w:rsidRPr="004B57E9">
        <w:rPr>
          <w:rFonts w:ascii="Verdana" w:hAnsi="Verdana"/>
          <w:i/>
          <w:sz w:val="20"/>
          <w:szCs w:val="20"/>
          <w:lang w:val="es-CR"/>
        </w:rPr>
        <w:t>supra</w:t>
      </w:r>
      <w:r w:rsidR="004B57E9">
        <w:rPr>
          <w:rFonts w:ascii="Verdana" w:hAnsi="Verdana"/>
          <w:sz w:val="20"/>
          <w:szCs w:val="20"/>
          <w:lang w:val="es-CR"/>
        </w:rPr>
        <w:t xml:space="preserve"> Considerando </w:t>
      </w:r>
      <w:r w:rsidR="00C91439">
        <w:rPr>
          <w:rFonts w:ascii="Verdana" w:hAnsi="Verdana"/>
          <w:sz w:val="20"/>
          <w:szCs w:val="20"/>
          <w:lang w:val="es-CR"/>
        </w:rPr>
        <w:t>6</w:t>
      </w:r>
      <w:r w:rsidR="004B57E9">
        <w:rPr>
          <w:rFonts w:ascii="Verdana" w:hAnsi="Verdana"/>
          <w:sz w:val="20"/>
          <w:szCs w:val="20"/>
          <w:lang w:val="es-CR"/>
        </w:rPr>
        <w:t>)</w:t>
      </w:r>
      <w:r w:rsidR="00DA416D" w:rsidRPr="00DA416D">
        <w:rPr>
          <w:rFonts w:ascii="Verdana" w:hAnsi="Verdana"/>
          <w:sz w:val="20"/>
          <w:szCs w:val="20"/>
          <w:lang w:val="es-CR"/>
        </w:rPr>
        <w:t xml:space="preserve">. </w:t>
      </w:r>
    </w:p>
    <w:p w:rsidR="00771D24" w:rsidRPr="00D45D07" w:rsidRDefault="002A4551" w:rsidP="00807889">
      <w:pPr>
        <w:pStyle w:val="Listavistosa-nfasis1"/>
        <w:numPr>
          <w:ilvl w:val="0"/>
          <w:numId w:val="4"/>
        </w:numPr>
        <w:spacing w:before="120" w:after="120" w:line="240" w:lineRule="auto"/>
        <w:ind w:left="0" w:firstLine="0"/>
        <w:contextualSpacing w:val="0"/>
        <w:jc w:val="both"/>
        <w:rPr>
          <w:rFonts w:ascii="Verdana" w:hAnsi="Verdana"/>
          <w:sz w:val="20"/>
          <w:szCs w:val="20"/>
          <w:lang w:val="es-MX"/>
        </w:rPr>
      </w:pPr>
      <w:r w:rsidRPr="00630263">
        <w:rPr>
          <w:rFonts w:ascii="Verdana" w:hAnsi="Verdana"/>
          <w:sz w:val="20"/>
          <w:szCs w:val="20"/>
          <w:lang w:val="es-CR"/>
        </w:rPr>
        <w:t xml:space="preserve">Aunque Chile no ha presentado información sobre </w:t>
      </w:r>
      <w:r w:rsidR="00075226">
        <w:rPr>
          <w:rFonts w:ascii="Verdana" w:hAnsi="Verdana"/>
          <w:sz w:val="20"/>
          <w:szCs w:val="20"/>
          <w:lang w:val="es-CR"/>
        </w:rPr>
        <w:t xml:space="preserve">lo relativo a </w:t>
      </w:r>
      <w:r w:rsidRPr="00630263">
        <w:rPr>
          <w:rFonts w:ascii="Verdana" w:hAnsi="Verdana"/>
          <w:sz w:val="20"/>
          <w:szCs w:val="20"/>
          <w:lang w:val="es-CR"/>
        </w:rPr>
        <w:t xml:space="preserve">dejar sin efecto las penas privativas de libertad impuestas a las víctimas, </w:t>
      </w:r>
      <w:r w:rsidR="00D45D07">
        <w:rPr>
          <w:rFonts w:ascii="Verdana" w:hAnsi="Verdana"/>
          <w:sz w:val="20"/>
          <w:szCs w:val="20"/>
          <w:lang w:val="es-CR"/>
        </w:rPr>
        <w:t xml:space="preserve">sí presentó información respecto a la eliminación de órdenes detención que tenían algunas de </w:t>
      </w:r>
      <w:r w:rsidR="00297AC7">
        <w:rPr>
          <w:rFonts w:ascii="Verdana" w:hAnsi="Verdana"/>
          <w:sz w:val="20"/>
          <w:szCs w:val="20"/>
          <w:lang w:val="es-CR"/>
        </w:rPr>
        <w:t>ellas</w:t>
      </w:r>
      <w:r w:rsidR="00D45D07">
        <w:rPr>
          <w:rFonts w:ascii="Verdana" w:hAnsi="Verdana"/>
          <w:sz w:val="20"/>
          <w:szCs w:val="20"/>
          <w:lang w:val="es-CR"/>
        </w:rPr>
        <w:t xml:space="preserve">. En su </w:t>
      </w:r>
      <w:r w:rsidRPr="00D45D07">
        <w:rPr>
          <w:rFonts w:ascii="Verdana" w:hAnsi="Verdana"/>
          <w:sz w:val="20"/>
          <w:szCs w:val="20"/>
          <w:lang w:val="es-CR"/>
        </w:rPr>
        <w:t xml:space="preserve">escrito de </w:t>
      </w:r>
      <w:r w:rsidR="00771D24" w:rsidRPr="00D45D07">
        <w:rPr>
          <w:rFonts w:ascii="Verdana" w:hAnsi="Verdana"/>
          <w:sz w:val="20"/>
          <w:szCs w:val="20"/>
          <w:lang w:val="es-MX"/>
        </w:rPr>
        <w:t xml:space="preserve">julio de 2015 </w:t>
      </w:r>
      <w:r w:rsidR="00771D24" w:rsidRPr="00903DE2">
        <w:rPr>
          <w:rFonts w:ascii="Verdana" w:hAnsi="Verdana"/>
          <w:i/>
          <w:sz w:val="20"/>
          <w:szCs w:val="20"/>
          <w:lang w:val="es-MX"/>
        </w:rPr>
        <w:t>Chile</w:t>
      </w:r>
      <w:r w:rsidR="00771D24" w:rsidRPr="00D45D07">
        <w:rPr>
          <w:rFonts w:ascii="Verdana" w:hAnsi="Verdana"/>
          <w:sz w:val="20"/>
          <w:szCs w:val="20"/>
          <w:lang w:val="es-MX"/>
        </w:rPr>
        <w:t xml:space="preserve"> </w:t>
      </w:r>
      <w:r w:rsidRPr="00D45D07">
        <w:rPr>
          <w:rFonts w:ascii="Verdana" w:hAnsi="Verdana"/>
          <w:sz w:val="20"/>
          <w:szCs w:val="20"/>
          <w:lang w:val="es-MX"/>
        </w:rPr>
        <w:t xml:space="preserve">afirmó que se </w:t>
      </w:r>
      <w:r w:rsidR="00A453CD">
        <w:rPr>
          <w:rFonts w:ascii="Verdana" w:hAnsi="Verdana"/>
          <w:sz w:val="20"/>
          <w:szCs w:val="20"/>
          <w:lang w:val="es-MX"/>
        </w:rPr>
        <w:t>eliminaron</w:t>
      </w:r>
      <w:r w:rsidR="00771D24" w:rsidRPr="00D45D07">
        <w:rPr>
          <w:rFonts w:ascii="Verdana" w:hAnsi="Verdana"/>
          <w:sz w:val="20"/>
          <w:szCs w:val="20"/>
          <w:lang w:val="es-MX"/>
        </w:rPr>
        <w:t xml:space="preserve"> las “órdenes de detención” que permanecían vigentes en el </w:t>
      </w:r>
      <w:r w:rsidR="00771D24" w:rsidRPr="00D45D07">
        <w:rPr>
          <w:rFonts w:ascii="Verdana" w:hAnsi="Verdana"/>
          <w:sz w:val="20"/>
          <w:lang w:val="es-MX"/>
        </w:rPr>
        <w:t>Servicio de Registro Civil e Identificación</w:t>
      </w:r>
      <w:r w:rsidR="00771D24" w:rsidRPr="00630263">
        <w:rPr>
          <w:rStyle w:val="Refdenotaalpie"/>
          <w:rFonts w:ascii="Verdana" w:hAnsi="Verdana"/>
          <w:sz w:val="20"/>
          <w:szCs w:val="20"/>
          <w:lang w:val="es-MX"/>
        </w:rPr>
        <w:footnoteReference w:id="24"/>
      </w:r>
      <w:r w:rsidR="00771D24" w:rsidRPr="00D45D07">
        <w:rPr>
          <w:rFonts w:ascii="Verdana" w:hAnsi="Verdana"/>
          <w:sz w:val="20"/>
          <w:szCs w:val="20"/>
          <w:lang w:val="es-MX"/>
        </w:rPr>
        <w:t>. No obstante</w:t>
      </w:r>
      <w:r w:rsidR="00630263" w:rsidRPr="00D45D07">
        <w:rPr>
          <w:rFonts w:ascii="Verdana" w:hAnsi="Verdana"/>
          <w:sz w:val="20"/>
          <w:szCs w:val="20"/>
          <w:lang w:val="es-MX"/>
        </w:rPr>
        <w:t xml:space="preserve"> lo anterior</w:t>
      </w:r>
      <w:r w:rsidR="00771D24" w:rsidRPr="00D45D07">
        <w:rPr>
          <w:rFonts w:ascii="Verdana" w:hAnsi="Verdana"/>
          <w:sz w:val="20"/>
          <w:szCs w:val="20"/>
          <w:lang w:val="es-MX"/>
        </w:rPr>
        <w:t>,</w:t>
      </w:r>
      <w:r w:rsidR="00A453CD">
        <w:rPr>
          <w:rFonts w:ascii="Verdana" w:hAnsi="Verdana"/>
          <w:sz w:val="20"/>
          <w:szCs w:val="20"/>
          <w:lang w:val="es-MX"/>
        </w:rPr>
        <w:t xml:space="preserve"> </w:t>
      </w:r>
      <w:r w:rsidR="00075226">
        <w:rPr>
          <w:rFonts w:ascii="Verdana" w:hAnsi="Verdana"/>
          <w:sz w:val="20"/>
          <w:szCs w:val="20"/>
          <w:lang w:val="es-MX"/>
        </w:rPr>
        <w:t xml:space="preserve">la </w:t>
      </w:r>
      <w:r w:rsidR="00A453CD">
        <w:rPr>
          <w:rFonts w:ascii="Verdana" w:hAnsi="Verdana"/>
          <w:sz w:val="20"/>
          <w:szCs w:val="20"/>
          <w:lang w:val="es-MX"/>
        </w:rPr>
        <w:t>representante</w:t>
      </w:r>
      <w:r w:rsidR="00A453CD" w:rsidRPr="00A453CD">
        <w:rPr>
          <w:rFonts w:ascii="Verdana" w:hAnsi="Verdana"/>
          <w:i/>
          <w:sz w:val="20"/>
          <w:szCs w:val="20"/>
          <w:lang w:val="es-MX"/>
        </w:rPr>
        <w:t xml:space="preserve"> Myriam Reyes</w:t>
      </w:r>
      <w:r w:rsidR="00A453CD">
        <w:rPr>
          <w:rFonts w:ascii="Verdana" w:hAnsi="Verdana"/>
          <w:sz w:val="20"/>
          <w:szCs w:val="20"/>
          <w:lang w:val="es-MX"/>
        </w:rPr>
        <w:t>, informó que</w:t>
      </w:r>
      <w:r w:rsidR="00771D24" w:rsidRPr="00D45D07">
        <w:rPr>
          <w:rFonts w:ascii="Verdana" w:hAnsi="Verdana"/>
          <w:sz w:val="20"/>
          <w:szCs w:val="20"/>
          <w:lang w:val="es-MX"/>
        </w:rPr>
        <w:t xml:space="preserve"> en marzo de 2017</w:t>
      </w:r>
      <w:r w:rsidR="00075226">
        <w:rPr>
          <w:rFonts w:ascii="Verdana" w:hAnsi="Verdana"/>
          <w:sz w:val="20"/>
          <w:szCs w:val="20"/>
          <w:lang w:val="es-MX"/>
        </w:rPr>
        <w:t xml:space="preserve"> uno de sus representados,</w:t>
      </w:r>
      <w:r w:rsidR="00771D24" w:rsidRPr="00D45D07">
        <w:rPr>
          <w:rFonts w:ascii="Verdana" w:hAnsi="Verdana"/>
          <w:sz w:val="20"/>
          <w:szCs w:val="20"/>
          <w:lang w:val="es-MX"/>
        </w:rPr>
        <w:t xml:space="preserve"> la víctima </w:t>
      </w:r>
      <w:r w:rsidR="00771D24" w:rsidRPr="00D45D07">
        <w:rPr>
          <w:rFonts w:ascii="Verdana" w:hAnsi="Verdana"/>
          <w:sz w:val="20"/>
          <w:szCs w:val="20"/>
          <w:lang w:val="es-CR"/>
        </w:rPr>
        <w:t>José Benicio Huenchunao Mariñán</w:t>
      </w:r>
      <w:r w:rsidR="00075226">
        <w:rPr>
          <w:rFonts w:ascii="Verdana" w:hAnsi="Verdana"/>
          <w:sz w:val="20"/>
          <w:szCs w:val="20"/>
          <w:lang w:val="es-CR"/>
        </w:rPr>
        <w:t>,</w:t>
      </w:r>
      <w:r w:rsidR="00771D24" w:rsidRPr="00D45D07">
        <w:rPr>
          <w:rFonts w:ascii="Verdana" w:hAnsi="Verdana"/>
          <w:sz w:val="20"/>
          <w:szCs w:val="20"/>
          <w:lang w:val="es-CR"/>
        </w:rPr>
        <w:t xml:space="preserve"> </w:t>
      </w:r>
      <w:r w:rsidR="0001594A" w:rsidRPr="00D45D07">
        <w:rPr>
          <w:rFonts w:ascii="Verdana" w:hAnsi="Verdana"/>
          <w:sz w:val="20"/>
          <w:szCs w:val="20"/>
          <w:lang w:val="es-CR"/>
        </w:rPr>
        <w:t>fue detenida</w:t>
      </w:r>
      <w:r w:rsidR="00FB23CF" w:rsidRPr="00022402">
        <w:rPr>
          <w:rFonts w:ascii="Verdana" w:hAnsi="Verdana"/>
          <w:sz w:val="20"/>
          <w:szCs w:val="20"/>
          <w:lang w:val="es-CR"/>
        </w:rPr>
        <w:t xml:space="preserve">, por </w:t>
      </w:r>
      <w:r w:rsidR="000619F6" w:rsidRPr="00022402">
        <w:rPr>
          <w:rFonts w:ascii="Verdana" w:hAnsi="Verdana"/>
          <w:sz w:val="20"/>
          <w:szCs w:val="20"/>
          <w:lang w:val="es-CR"/>
        </w:rPr>
        <w:t>un lapso aproximado de cinco horas</w:t>
      </w:r>
      <w:r w:rsidR="00FB23CF" w:rsidRPr="00022402">
        <w:rPr>
          <w:rFonts w:ascii="Verdana" w:hAnsi="Verdana"/>
          <w:sz w:val="20"/>
          <w:szCs w:val="20"/>
          <w:lang w:val="es-CR"/>
        </w:rPr>
        <w:t>,</w:t>
      </w:r>
      <w:r w:rsidR="0001594A" w:rsidRPr="00022402">
        <w:rPr>
          <w:rFonts w:ascii="Verdana" w:hAnsi="Verdana"/>
          <w:sz w:val="20"/>
          <w:szCs w:val="20"/>
          <w:lang w:val="es-CR"/>
        </w:rPr>
        <w:t xml:space="preserve"> por</w:t>
      </w:r>
      <w:r w:rsidR="00771D24" w:rsidRPr="00022402">
        <w:rPr>
          <w:rFonts w:ascii="Verdana" w:hAnsi="Verdana"/>
          <w:sz w:val="20"/>
          <w:szCs w:val="20"/>
          <w:lang w:val="es-CR"/>
        </w:rPr>
        <w:t xml:space="preserve"> Carabineros </w:t>
      </w:r>
      <w:r w:rsidR="005F24F1" w:rsidRPr="00022402">
        <w:rPr>
          <w:rFonts w:ascii="Verdana" w:hAnsi="Verdana"/>
          <w:sz w:val="20"/>
          <w:szCs w:val="20"/>
          <w:lang w:val="es-CR"/>
        </w:rPr>
        <w:t>de Fuerzas Especiales</w:t>
      </w:r>
      <w:r w:rsidR="00771D24" w:rsidRPr="00022402">
        <w:rPr>
          <w:rFonts w:ascii="Verdana" w:hAnsi="Verdana"/>
          <w:sz w:val="20"/>
          <w:szCs w:val="20"/>
          <w:lang w:val="es-CR"/>
        </w:rPr>
        <w:t>, bajo el argumento de mantenerse vigente una orden de detención por una sentencia</w:t>
      </w:r>
      <w:r w:rsidR="00630263" w:rsidRPr="00022402">
        <w:rPr>
          <w:rFonts w:ascii="Verdana" w:hAnsi="Verdana"/>
          <w:sz w:val="20"/>
          <w:szCs w:val="20"/>
          <w:lang w:val="es-CR"/>
        </w:rPr>
        <w:t xml:space="preserve"> penal</w:t>
      </w:r>
      <w:r w:rsidR="00771D24" w:rsidRPr="00022402">
        <w:rPr>
          <w:rFonts w:ascii="Verdana" w:hAnsi="Verdana"/>
          <w:sz w:val="20"/>
          <w:szCs w:val="20"/>
          <w:lang w:val="es-CR"/>
        </w:rPr>
        <w:t xml:space="preserve"> condenatoria </w:t>
      </w:r>
      <w:r w:rsidR="00197CD6" w:rsidRPr="00022402">
        <w:rPr>
          <w:rFonts w:ascii="Verdana" w:hAnsi="Verdana"/>
          <w:sz w:val="20"/>
          <w:szCs w:val="20"/>
          <w:lang w:val="es-CR"/>
        </w:rPr>
        <w:t>por la “</w:t>
      </w:r>
      <w:r w:rsidR="005F24F1" w:rsidRPr="00022402">
        <w:rPr>
          <w:rFonts w:ascii="Verdana" w:hAnsi="Verdana"/>
          <w:sz w:val="20"/>
          <w:szCs w:val="20"/>
          <w:lang w:val="es-CR"/>
        </w:rPr>
        <w:t>causa Poluco Pidenco</w:t>
      </w:r>
      <w:r w:rsidR="00197CD6" w:rsidRPr="00022402">
        <w:rPr>
          <w:rFonts w:ascii="Verdana" w:hAnsi="Verdana"/>
          <w:sz w:val="20"/>
          <w:szCs w:val="20"/>
          <w:lang w:val="es-CR"/>
        </w:rPr>
        <w:t>”</w:t>
      </w:r>
      <w:r w:rsidR="005F24F1" w:rsidRPr="00022402">
        <w:rPr>
          <w:rFonts w:ascii="Verdana" w:hAnsi="Verdana"/>
          <w:sz w:val="20"/>
          <w:szCs w:val="20"/>
          <w:lang w:val="es-CR"/>
        </w:rPr>
        <w:t xml:space="preserve">, que fue </w:t>
      </w:r>
      <w:r w:rsidR="00771D24" w:rsidRPr="00022402">
        <w:rPr>
          <w:rFonts w:ascii="Verdana" w:hAnsi="Verdana"/>
          <w:sz w:val="20"/>
          <w:szCs w:val="20"/>
          <w:lang w:val="es-CR"/>
        </w:rPr>
        <w:t>objeto del presente caso</w:t>
      </w:r>
      <w:r w:rsidR="005F24F1" w:rsidRPr="00022402">
        <w:rPr>
          <w:rFonts w:ascii="Verdana" w:hAnsi="Verdana"/>
          <w:sz w:val="20"/>
          <w:szCs w:val="20"/>
          <w:lang w:val="es-CR"/>
        </w:rPr>
        <w:t>,</w:t>
      </w:r>
      <w:r w:rsidR="00771D24" w:rsidRPr="00022402">
        <w:rPr>
          <w:rFonts w:ascii="Verdana" w:hAnsi="Verdana"/>
          <w:sz w:val="20"/>
          <w:szCs w:val="20"/>
          <w:lang w:val="es-CR"/>
        </w:rPr>
        <w:t xml:space="preserve"> </w:t>
      </w:r>
      <w:r w:rsidR="005F24F1" w:rsidRPr="00022402">
        <w:rPr>
          <w:rFonts w:ascii="Verdana" w:hAnsi="Verdana"/>
          <w:sz w:val="20"/>
          <w:szCs w:val="20"/>
          <w:lang w:val="es-CR"/>
        </w:rPr>
        <w:t>sin que las referidas autoridades corroboraran</w:t>
      </w:r>
      <w:r w:rsidR="00197CD6" w:rsidRPr="00022402">
        <w:rPr>
          <w:rFonts w:ascii="Verdana" w:hAnsi="Verdana"/>
          <w:sz w:val="20"/>
          <w:szCs w:val="20"/>
          <w:lang w:val="es-CR"/>
        </w:rPr>
        <w:t xml:space="preserve"> al momento de la detención</w:t>
      </w:r>
      <w:r w:rsidR="005F24F1" w:rsidRPr="00022402">
        <w:rPr>
          <w:rFonts w:ascii="Verdana" w:hAnsi="Verdana"/>
          <w:sz w:val="20"/>
          <w:szCs w:val="20"/>
          <w:lang w:val="es-CR"/>
        </w:rPr>
        <w:t xml:space="preserve"> los antecedentes expuestos por </w:t>
      </w:r>
      <w:r w:rsidR="00A453CD">
        <w:rPr>
          <w:rFonts w:ascii="Verdana" w:hAnsi="Verdana"/>
          <w:sz w:val="20"/>
          <w:szCs w:val="20"/>
          <w:lang w:val="es-CR"/>
        </w:rPr>
        <w:t>esta</w:t>
      </w:r>
      <w:r w:rsidR="005F24F1" w:rsidRPr="00022402">
        <w:rPr>
          <w:rFonts w:ascii="Verdana" w:hAnsi="Verdana"/>
          <w:sz w:val="20"/>
          <w:szCs w:val="20"/>
          <w:lang w:val="es-CR"/>
        </w:rPr>
        <w:t xml:space="preserve"> víctima respecto a que dicha condena penal había sido anulada por Sentencia de la Corte Interamericana</w:t>
      </w:r>
      <w:r w:rsidR="005F24F1" w:rsidRPr="00022402">
        <w:rPr>
          <w:rStyle w:val="Refdenotaalpie"/>
          <w:rFonts w:ascii="Verdana" w:hAnsi="Verdana"/>
          <w:sz w:val="20"/>
          <w:szCs w:val="20"/>
          <w:lang w:val="es-CR"/>
        </w:rPr>
        <w:footnoteReference w:id="25"/>
      </w:r>
      <w:r w:rsidR="005F24F1" w:rsidRPr="00022402">
        <w:rPr>
          <w:rFonts w:ascii="Verdana" w:hAnsi="Verdana"/>
          <w:sz w:val="20"/>
          <w:szCs w:val="20"/>
          <w:lang w:val="es-CR"/>
        </w:rPr>
        <w:t>.</w:t>
      </w:r>
      <w:r w:rsidR="005F24F1">
        <w:rPr>
          <w:rFonts w:ascii="Verdana" w:hAnsi="Verdana"/>
          <w:sz w:val="20"/>
          <w:szCs w:val="20"/>
          <w:lang w:val="es-CR"/>
        </w:rPr>
        <w:t xml:space="preserve"> </w:t>
      </w:r>
      <w:r w:rsidR="00771D24" w:rsidRPr="00D45D07">
        <w:rPr>
          <w:rFonts w:ascii="Verdana" w:hAnsi="Verdana"/>
          <w:sz w:val="20"/>
          <w:szCs w:val="20"/>
          <w:lang w:val="es-CR"/>
        </w:rPr>
        <w:t>Tanto</w:t>
      </w:r>
      <w:r w:rsidR="00771D24" w:rsidRPr="00903DE2">
        <w:rPr>
          <w:rFonts w:ascii="Verdana" w:hAnsi="Verdana"/>
          <w:sz w:val="20"/>
          <w:szCs w:val="20"/>
          <w:lang w:val="es-CR"/>
        </w:rPr>
        <w:t xml:space="preserve"> </w:t>
      </w:r>
      <w:r w:rsidR="00630263" w:rsidRPr="00D45D07">
        <w:rPr>
          <w:rFonts w:ascii="Verdana" w:hAnsi="Verdana"/>
          <w:sz w:val="20"/>
          <w:szCs w:val="20"/>
          <w:lang w:val="es-CR"/>
        </w:rPr>
        <w:t>su</w:t>
      </w:r>
      <w:r w:rsidR="00771D24" w:rsidRPr="00D45D07">
        <w:rPr>
          <w:rFonts w:ascii="Verdana" w:hAnsi="Verdana"/>
          <w:sz w:val="20"/>
          <w:szCs w:val="20"/>
          <w:lang w:val="es-CR"/>
        </w:rPr>
        <w:t xml:space="preserve"> </w:t>
      </w:r>
      <w:r w:rsidR="00771D24" w:rsidRPr="00903DE2">
        <w:rPr>
          <w:rFonts w:ascii="Verdana" w:hAnsi="Verdana"/>
          <w:i/>
          <w:sz w:val="20"/>
          <w:szCs w:val="20"/>
          <w:lang w:val="es-CR"/>
        </w:rPr>
        <w:t>representante</w:t>
      </w:r>
      <w:r w:rsidR="00771D24" w:rsidRPr="00630263">
        <w:rPr>
          <w:rStyle w:val="Refdenotaalpie"/>
          <w:rFonts w:ascii="Verdana" w:hAnsi="Verdana"/>
          <w:i/>
          <w:sz w:val="20"/>
          <w:szCs w:val="20"/>
        </w:rPr>
        <w:footnoteReference w:id="26"/>
      </w:r>
      <w:r w:rsidR="00630263" w:rsidRPr="00D45D07">
        <w:rPr>
          <w:rFonts w:ascii="Verdana" w:hAnsi="Verdana"/>
          <w:i/>
          <w:sz w:val="20"/>
          <w:szCs w:val="20"/>
          <w:lang w:val="es-CR"/>
        </w:rPr>
        <w:t>,</w:t>
      </w:r>
      <w:r w:rsidR="00771D24" w:rsidRPr="00D45D07">
        <w:rPr>
          <w:rFonts w:ascii="Verdana" w:hAnsi="Verdana"/>
          <w:sz w:val="20"/>
          <w:szCs w:val="20"/>
          <w:lang w:val="es-CR"/>
        </w:rPr>
        <w:t xml:space="preserve"> como </w:t>
      </w:r>
      <w:r w:rsidR="00771D24" w:rsidRPr="00D45D07">
        <w:rPr>
          <w:rFonts w:ascii="Verdana" w:hAnsi="Verdana"/>
          <w:i/>
          <w:sz w:val="20"/>
          <w:szCs w:val="20"/>
          <w:lang w:val="es-CR"/>
        </w:rPr>
        <w:t>CEJIL</w:t>
      </w:r>
      <w:r w:rsidR="00771D24" w:rsidRPr="00630263">
        <w:rPr>
          <w:rStyle w:val="Refdenotaalpie"/>
          <w:rFonts w:ascii="Verdana" w:hAnsi="Verdana"/>
          <w:i/>
          <w:sz w:val="20"/>
          <w:szCs w:val="20"/>
        </w:rPr>
        <w:footnoteReference w:id="27"/>
      </w:r>
      <w:r w:rsidR="00771D24" w:rsidRPr="00D45D07">
        <w:rPr>
          <w:rFonts w:ascii="Verdana" w:hAnsi="Verdana"/>
          <w:i/>
          <w:sz w:val="20"/>
          <w:szCs w:val="20"/>
          <w:lang w:val="es-CR"/>
        </w:rPr>
        <w:t xml:space="preserve"> </w:t>
      </w:r>
      <w:r w:rsidR="00771D24" w:rsidRPr="00D45D07">
        <w:rPr>
          <w:rFonts w:ascii="Verdana" w:hAnsi="Verdana"/>
          <w:sz w:val="20"/>
          <w:szCs w:val="20"/>
          <w:lang w:val="es-CR"/>
        </w:rPr>
        <w:t>observaron que lo ocurrido al señor Huenchunao Mariñán relativiza lo afirmado por lo Estado</w:t>
      </w:r>
      <w:r w:rsidR="007F766D">
        <w:rPr>
          <w:rFonts w:ascii="Verdana" w:hAnsi="Verdana"/>
          <w:sz w:val="20"/>
          <w:szCs w:val="20"/>
          <w:lang w:val="es-CR"/>
        </w:rPr>
        <w:t xml:space="preserve"> en cuanto a la eliminación de las órdenes de detención</w:t>
      </w:r>
      <w:r w:rsidR="00771D24" w:rsidRPr="00D45D07">
        <w:rPr>
          <w:rFonts w:ascii="Verdana" w:hAnsi="Verdana"/>
          <w:sz w:val="20"/>
          <w:szCs w:val="20"/>
          <w:lang w:val="es-CR"/>
        </w:rPr>
        <w:t xml:space="preserve"> y evidencia un incumplimiento de la reparación ordenada.</w:t>
      </w:r>
      <w:r w:rsidR="00BE52D8" w:rsidRPr="00D45D07">
        <w:rPr>
          <w:rFonts w:ascii="Verdana" w:hAnsi="Verdana"/>
          <w:sz w:val="20"/>
          <w:szCs w:val="20"/>
          <w:lang w:val="es-CR"/>
        </w:rPr>
        <w:t xml:space="preserve"> Posteriormente, </w:t>
      </w:r>
      <w:r w:rsidR="003E14D1" w:rsidRPr="00CF7632">
        <w:rPr>
          <w:rFonts w:ascii="Verdana" w:hAnsi="Verdana"/>
          <w:i/>
          <w:sz w:val="20"/>
          <w:szCs w:val="20"/>
          <w:lang w:val="es-CR"/>
        </w:rPr>
        <w:t>Chile</w:t>
      </w:r>
      <w:r w:rsidR="00BE52D8" w:rsidRPr="00D45D07">
        <w:rPr>
          <w:rFonts w:ascii="Verdana" w:hAnsi="Verdana"/>
          <w:sz w:val="20"/>
          <w:szCs w:val="20"/>
          <w:lang w:val="es-CR"/>
        </w:rPr>
        <w:t xml:space="preserve"> </w:t>
      </w:r>
      <w:r w:rsidR="0046029A" w:rsidRPr="00D45D07">
        <w:rPr>
          <w:rFonts w:ascii="Verdana" w:hAnsi="Verdana"/>
          <w:sz w:val="20"/>
          <w:szCs w:val="20"/>
          <w:lang w:val="es-CR"/>
        </w:rPr>
        <w:t>“reconoc</w:t>
      </w:r>
      <w:r w:rsidR="00B52C7F">
        <w:rPr>
          <w:rFonts w:ascii="Verdana" w:hAnsi="Verdana"/>
          <w:sz w:val="20"/>
          <w:szCs w:val="20"/>
          <w:lang w:val="es-CR"/>
        </w:rPr>
        <w:t>[</w:t>
      </w:r>
      <w:r w:rsidR="0046029A" w:rsidRPr="00D45D07">
        <w:rPr>
          <w:rFonts w:ascii="Verdana" w:hAnsi="Verdana"/>
          <w:sz w:val="20"/>
          <w:szCs w:val="20"/>
          <w:lang w:val="es-CR"/>
        </w:rPr>
        <w:t xml:space="preserve">ió] y lament[ó] el hecho ocurrido al s[eñor] Huenchunao”. Además, </w:t>
      </w:r>
      <w:r w:rsidR="00BE52D8" w:rsidRPr="00D45D07">
        <w:rPr>
          <w:rFonts w:ascii="Verdana" w:hAnsi="Verdana"/>
          <w:sz w:val="20"/>
          <w:szCs w:val="20"/>
          <w:lang w:val="es-CR"/>
        </w:rPr>
        <w:t xml:space="preserve">explicó que </w:t>
      </w:r>
      <w:r w:rsidR="003E14D1" w:rsidRPr="00D45D07">
        <w:rPr>
          <w:rFonts w:ascii="Verdana" w:hAnsi="Verdana"/>
          <w:sz w:val="20"/>
          <w:szCs w:val="20"/>
          <w:lang w:val="es-CR"/>
        </w:rPr>
        <w:t xml:space="preserve">se trató de un “hecho aislado” que </w:t>
      </w:r>
      <w:r w:rsidR="00BE52D8" w:rsidRPr="00D45D07">
        <w:rPr>
          <w:rFonts w:ascii="Verdana" w:hAnsi="Verdana"/>
          <w:sz w:val="20"/>
          <w:szCs w:val="20"/>
          <w:lang w:val="es-CR"/>
        </w:rPr>
        <w:t xml:space="preserve">se debió </w:t>
      </w:r>
      <w:r w:rsidR="00EA4609" w:rsidRPr="00D45D07">
        <w:rPr>
          <w:rFonts w:ascii="Verdana" w:hAnsi="Verdana"/>
          <w:sz w:val="20"/>
          <w:szCs w:val="20"/>
          <w:lang w:val="es-CR"/>
        </w:rPr>
        <w:t xml:space="preserve">a un “error </w:t>
      </w:r>
      <w:r w:rsidR="003E14D1" w:rsidRPr="00D45D07">
        <w:rPr>
          <w:rFonts w:ascii="Verdana" w:hAnsi="Verdana"/>
          <w:sz w:val="20"/>
          <w:szCs w:val="20"/>
          <w:lang w:val="es-CR"/>
        </w:rPr>
        <w:t>de actualización”</w:t>
      </w:r>
      <w:r w:rsidR="00A87644" w:rsidRPr="00D45D07">
        <w:rPr>
          <w:rFonts w:ascii="Verdana" w:hAnsi="Verdana"/>
          <w:sz w:val="20"/>
          <w:szCs w:val="20"/>
          <w:lang w:val="es-CR"/>
        </w:rPr>
        <w:t xml:space="preserve"> </w:t>
      </w:r>
      <w:r w:rsidR="003E14D1" w:rsidRPr="00D45D07">
        <w:rPr>
          <w:rFonts w:ascii="Verdana" w:hAnsi="Verdana"/>
          <w:sz w:val="20"/>
          <w:szCs w:val="20"/>
          <w:lang w:val="es-CR"/>
        </w:rPr>
        <w:t>en el “sistema de órdenes y contraórdenes del Poder Judicial</w:t>
      </w:r>
      <w:r w:rsidR="00A87644" w:rsidRPr="00D45D07">
        <w:rPr>
          <w:rFonts w:ascii="Verdana" w:hAnsi="Verdana"/>
          <w:sz w:val="20"/>
          <w:szCs w:val="20"/>
          <w:lang w:val="es-CR"/>
        </w:rPr>
        <w:t xml:space="preserve">”, </w:t>
      </w:r>
      <w:r w:rsidR="003E14D1" w:rsidRPr="00D45D07">
        <w:rPr>
          <w:rFonts w:ascii="Verdana" w:hAnsi="Verdana"/>
          <w:sz w:val="20"/>
          <w:szCs w:val="20"/>
          <w:lang w:val="es-CR"/>
        </w:rPr>
        <w:t xml:space="preserve">e hizo referencia a las medidas adoptadas para que </w:t>
      </w:r>
      <w:r w:rsidR="0046029A" w:rsidRPr="00D45D07">
        <w:rPr>
          <w:rFonts w:ascii="Verdana" w:hAnsi="Verdana"/>
          <w:sz w:val="20"/>
          <w:szCs w:val="20"/>
          <w:lang w:val="es-CR"/>
        </w:rPr>
        <w:t>“situaciones como la denunciada no vuelvan a ocurrir”</w:t>
      </w:r>
      <w:r w:rsidR="003E14D1" w:rsidRPr="00D45D07">
        <w:rPr>
          <w:rFonts w:ascii="Verdana" w:hAnsi="Verdana"/>
          <w:sz w:val="20"/>
          <w:szCs w:val="20"/>
          <w:lang w:val="es-CR"/>
        </w:rPr>
        <w:t>. Entre ellas,</w:t>
      </w:r>
      <w:r w:rsidR="0046029A" w:rsidRPr="00D45D07">
        <w:rPr>
          <w:rFonts w:ascii="Verdana" w:hAnsi="Verdana"/>
          <w:sz w:val="20"/>
          <w:szCs w:val="20"/>
          <w:lang w:val="es-CR"/>
        </w:rPr>
        <w:t xml:space="preserve"> indicó que procedió a “revisar nuevamente los sistemas informáticos de cada una de sus instituciones</w:t>
      </w:r>
      <w:r w:rsidR="00B52C7F">
        <w:rPr>
          <w:rFonts w:ascii="Verdana" w:hAnsi="Verdana"/>
          <w:sz w:val="20"/>
          <w:szCs w:val="20"/>
          <w:lang w:val="es-CR"/>
        </w:rPr>
        <w:t>,</w:t>
      </w:r>
      <w:r w:rsidR="0046029A" w:rsidRPr="00D45D07">
        <w:rPr>
          <w:rFonts w:ascii="Verdana" w:hAnsi="Verdana"/>
          <w:sz w:val="20"/>
          <w:szCs w:val="20"/>
          <w:lang w:val="es-CR"/>
        </w:rPr>
        <w:t xml:space="preserve"> para cada una de las víctimas del presente caso”, confirmando </w:t>
      </w:r>
      <w:r w:rsidR="00FB23CF">
        <w:rPr>
          <w:rFonts w:ascii="Verdana" w:hAnsi="Verdana"/>
          <w:sz w:val="20"/>
          <w:szCs w:val="20"/>
          <w:lang w:val="es-CR"/>
        </w:rPr>
        <w:t>que en la Corte Suprema de Justicia</w:t>
      </w:r>
      <w:r w:rsidR="005F35FE">
        <w:rPr>
          <w:rStyle w:val="Refdenotaalpie"/>
          <w:rFonts w:ascii="Verdana" w:hAnsi="Verdana"/>
          <w:sz w:val="20"/>
          <w:szCs w:val="20"/>
          <w:lang w:val="es-CR"/>
        </w:rPr>
        <w:footnoteReference w:id="28"/>
      </w:r>
      <w:r w:rsidR="00FB23CF">
        <w:rPr>
          <w:rFonts w:ascii="Verdana" w:hAnsi="Verdana"/>
          <w:sz w:val="20"/>
          <w:szCs w:val="20"/>
          <w:lang w:val="es-CR"/>
        </w:rPr>
        <w:t xml:space="preserve"> </w:t>
      </w:r>
      <w:r w:rsidR="005F35FE">
        <w:rPr>
          <w:rFonts w:ascii="Verdana" w:hAnsi="Verdana"/>
          <w:sz w:val="20"/>
          <w:szCs w:val="20"/>
          <w:lang w:val="es-CR"/>
        </w:rPr>
        <w:t>y en el</w:t>
      </w:r>
      <w:r w:rsidR="001E4300">
        <w:rPr>
          <w:rFonts w:ascii="Verdana" w:hAnsi="Verdana"/>
          <w:sz w:val="20"/>
          <w:szCs w:val="20"/>
          <w:lang w:val="es-CR"/>
        </w:rPr>
        <w:t xml:space="preserve"> “Catastro de Órdenes y Contraórdenes de Detención” del</w:t>
      </w:r>
      <w:r w:rsidR="005F35FE">
        <w:rPr>
          <w:rFonts w:ascii="Verdana" w:hAnsi="Verdana"/>
          <w:sz w:val="20"/>
          <w:szCs w:val="20"/>
          <w:lang w:val="es-CR"/>
        </w:rPr>
        <w:t xml:space="preserve"> </w:t>
      </w:r>
      <w:r w:rsidR="001E4300">
        <w:rPr>
          <w:rFonts w:ascii="Verdana" w:hAnsi="Verdana"/>
          <w:sz w:val="20"/>
          <w:szCs w:val="20"/>
          <w:lang w:val="es-CR"/>
        </w:rPr>
        <w:t>“</w:t>
      </w:r>
      <w:r w:rsidR="005F35FE">
        <w:rPr>
          <w:rFonts w:ascii="Verdana" w:hAnsi="Verdana"/>
          <w:sz w:val="20"/>
          <w:szCs w:val="20"/>
          <w:lang w:val="es-CR"/>
        </w:rPr>
        <w:t xml:space="preserve">Servicio de </w:t>
      </w:r>
      <w:r w:rsidR="005F35FE" w:rsidRPr="005F35FE">
        <w:rPr>
          <w:rFonts w:ascii="Verdana" w:hAnsi="Verdana"/>
          <w:sz w:val="20"/>
          <w:lang w:val="es-MX"/>
        </w:rPr>
        <w:t>Registro Civil e Identificación</w:t>
      </w:r>
      <w:r w:rsidR="001E4300">
        <w:rPr>
          <w:rFonts w:ascii="Verdana" w:hAnsi="Verdana"/>
          <w:sz w:val="20"/>
          <w:lang w:val="es-MX"/>
        </w:rPr>
        <w:t>”</w:t>
      </w:r>
      <w:r w:rsidR="00B06335">
        <w:rPr>
          <w:rStyle w:val="Refdenotaalpie"/>
          <w:rFonts w:ascii="Verdana" w:hAnsi="Verdana"/>
          <w:sz w:val="20"/>
          <w:lang w:val="es-MX"/>
        </w:rPr>
        <w:footnoteReference w:id="29"/>
      </w:r>
      <w:r w:rsidR="005F35FE">
        <w:rPr>
          <w:rFonts w:ascii="Verdana" w:hAnsi="Verdana"/>
          <w:sz w:val="20"/>
          <w:szCs w:val="20"/>
          <w:lang w:val="es-CR"/>
        </w:rPr>
        <w:t xml:space="preserve"> </w:t>
      </w:r>
      <w:r w:rsidR="00733960" w:rsidRPr="00D45D07">
        <w:rPr>
          <w:rFonts w:ascii="Verdana" w:hAnsi="Verdana"/>
          <w:sz w:val="20"/>
          <w:szCs w:val="20"/>
          <w:lang w:val="es-CR"/>
        </w:rPr>
        <w:t xml:space="preserve">no </w:t>
      </w:r>
      <w:r w:rsidR="005F35FE">
        <w:rPr>
          <w:rFonts w:ascii="Verdana" w:hAnsi="Verdana"/>
          <w:sz w:val="20"/>
          <w:szCs w:val="20"/>
          <w:lang w:val="es-CR"/>
        </w:rPr>
        <w:t>se registran órdenes de</w:t>
      </w:r>
      <w:r w:rsidR="00733960" w:rsidRPr="00D45D07">
        <w:rPr>
          <w:rFonts w:ascii="Verdana" w:hAnsi="Verdana"/>
          <w:sz w:val="20"/>
          <w:szCs w:val="20"/>
          <w:lang w:val="es-CR"/>
        </w:rPr>
        <w:t xml:space="preserve"> detención </w:t>
      </w:r>
      <w:r w:rsidR="005F35FE">
        <w:rPr>
          <w:rFonts w:ascii="Verdana" w:hAnsi="Verdana"/>
          <w:sz w:val="20"/>
          <w:szCs w:val="20"/>
          <w:lang w:val="es-CR"/>
        </w:rPr>
        <w:t xml:space="preserve">vigentes </w:t>
      </w:r>
      <w:r w:rsidR="00733960" w:rsidRPr="00D45D07">
        <w:rPr>
          <w:rFonts w:ascii="Verdana" w:hAnsi="Verdana"/>
          <w:sz w:val="20"/>
          <w:szCs w:val="20"/>
          <w:lang w:val="es-CR"/>
        </w:rPr>
        <w:t>respecto de las víctimas del caso</w:t>
      </w:r>
      <w:r w:rsidR="00FB23CF">
        <w:rPr>
          <w:rFonts w:ascii="Verdana" w:hAnsi="Verdana"/>
          <w:sz w:val="20"/>
          <w:szCs w:val="20"/>
          <w:lang w:val="es-CR"/>
        </w:rPr>
        <w:t xml:space="preserve">, </w:t>
      </w:r>
      <w:r w:rsidR="001E4300">
        <w:rPr>
          <w:rFonts w:ascii="Verdana" w:hAnsi="Verdana"/>
          <w:sz w:val="20"/>
          <w:szCs w:val="20"/>
          <w:lang w:val="es-CR"/>
        </w:rPr>
        <w:t>así como</w:t>
      </w:r>
      <w:r w:rsidR="00FB23CF">
        <w:rPr>
          <w:rFonts w:ascii="Verdana" w:hAnsi="Verdana"/>
          <w:sz w:val="20"/>
          <w:szCs w:val="20"/>
          <w:lang w:val="es-CR"/>
        </w:rPr>
        <w:t xml:space="preserve"> </w:t>
      </w:r>
      <w:r w:rsidR="00733960" w:rsidRPr="005F35FE">
        <w:rPr>
          <w:rFonts w:ascii="Verdana" w:hAnsi="Verdana"/>
          <w:sz w:val="20"/>
          <w:szCs w:val="20"/>
          <w:lang w:val="es-CR"/>
        </w:rPr>
        <w:t xml:space="preserve">que </w:t>
      </w:r>
      <w:r w:rsidR="001E4300">
        <w:rPr>
          <w:rFonts w:ascii="Verdana" w:hAnsi="Verdana"/>
          <w:sz w:val="20"/>
          <w:szCs w:val="20"/>
          <w:lang w:val="es-CR"/>
        </w:rPr>
        <w:t>sus</w:t>
      </w:r>
      <w:r w:rsidR="00733960" w:rsidRPr="005F35FE">
        <w:rPr>
          <w:rFonts w:ascii="Verdana" w:hAnsi="Verdana"/>
          <w:sz w:val="20"/>
          <w:szCs w:val="20"/>
          <w:lang w:val="es-CR"/>
        </w:rPr>
        <w:t xml:space="preserve"> antecedentes habían sido eliminados del </w:t>
      </w:r>
      <w:r w:rsidR="005F35FE">
        <w:rPr>
          <w:rFonts w:ascii="Verdana" w:hAnsi="Verdana"/>
          <w:sz w:val="20"/>
          <w:szCs w:val="20"/>
          <w:lang w:val="es-CR"/>
        </w:rPr>
        <w:t xml:space="preserve">“Servicio de </w:t>
      </w:r>
      <w:r w:rsidR="00733960" w:rsidRPr="005F35FE">
        <w:rPr>
          <w:rFonts w:ascii="Verdana" w:hAnsi="Verdana"/>
          <w:sz w:val="20"/>
          <w:lang w:val="es-MX"/>
        </w:rPr>
        <w:t>Registro Civil e Identificación</w:t>
      </w:r>
      <w:r w:rsidR="00BF065E" w:rsidRPr="005F35FE">
        <w:rPr>
          <w:rFonts w:ascii="Verdana" w:hAnsi="Verdana"/>
          <w:sz w:val="20"/>
          <w:lang w:val="es-MX"/>
        </w:rPr>
        <w:t>”</w:t>
      </w:r>
      <w:r w:rsidR="00733960" w:rsidRPr="005F35FE">
        <w:rPr>
          <w:rFonts w:ascii="Verdana" w:hAnsi="Verdana"/>
          <w:b/>
          <w:sz w:val="20"/>
          <w:szCs w:val="20"/>
          <w:lang w:val="es-CR"/>
        </w:rPr>
        <w:t xml:space="preserve"> </w:t>
      </w:r>
      <w:r w:rsidR="00733960" w:rsidRPr="005F35FE">
        <w:rPr>
          <w:rFonts w:ascii="Verdana" w:hAnsi="Verdana"/>
          <w:sz w:val="20"/>
          <w:szCs w:val="20"/>
          <w:lang w:val="es-CR"/>
        </w:rPr>
        <w:t>y del</w:t>
      </w:r>
      <w:r w:rsidR="00BF065E" w:rsidRPr="005F35FE">
        <w:rPr>
          <w:rFonts w:ascii="Verdana" w:hAnsi="Verdana"/>
          <w:sz w:val="20"/>
          <w:szCs w:val="20"/>
          <w:lang w:val="es-CR"/>
        </w:rPr>
        <w:t xml:space="preserve"> “Registro de Sistema de Apoyo a Fiscales” (</w:t>
      </w:r>
      <w:r w:rsidR="00BF065E" w:rsidRPr="005F35FE">
        <w:rPr>
          <w:rFonts w:ascii="Verdana" w:hAnsi="Verdana"/>
          <w:i/>
          <w:sz w:val="20"/>
          <w:szCs w:val="20"/>
          <w:lang w:val="es-CR"/>
        </w:rPr>
        <w:t>infra</w:t>
      </w:r>
      <w:r w:rsidR="00BF065E" w:rsidRPr="005F35FE">
        <w:rPr>
          <w:rFonts w:ascii="Verdana" w:hAnsi="Verdana"/>
          <w:sz w:val="20"/>
          <w:szCs w:val="20"/>
          <w:lang w:val="es-CR"/>
        </w:rPr>
        <w:t xml:space="preserve"> Considerando </w:t>
      </w:r>
      <w:r w:rsidR="00B52C7F">
        <w:rPr>
          <w:rFonts w:ascii="Verdana" w:hAnsi="Verdana"/>
          <w:sz w:val="20"/>
          <w:szCs w:val="20"/>
          <w:lang w:val="es-CR"/>
        </w:rPr>
        <w:t>11</w:t>
      </w:r>
      <w:r w:rsidR="00BF065E" w:rsidRPr="005F35FE">
        <w:rPr>
          <w:rFonts w:ascii="Verdana" w:hAnsi="Verdana"/>
          <w:sz w:val="20"/>
          <w:szCs w:val="20"/>
          <w:lang w:val="es-CR"/>
        </w:rPr>
        <w:t>).</w:t>
      </w:r>
    </w:p>
    <w:p w:rsidR="00BF065E" w:rsidRDefault="00BF065E" w:rsidP="00807889">
      <w:pPr>
        <w:pStyle w:val="Listavistosa-nfasis1"/>
        <w:numPr>
          <w:ilvl w:val="0"/>
          <w:numId w:val="4"/>
        </w:numPr>
        <w:spacing w:before="120" w:after="120" w:line="240" w:lineRule="auto"/>
        <w:ind w:left="0" w:firstLine="0"/>
        <w:contextualSpacing w:val="0"/>
        <w:jc w:val="both"/>
        <w:rPr>
          <w:rFonts w:ascii="Verdana" w:hAnsi="Verdana"/>
          <w:color w:val="FF0000"/>
          <w:sz w:val="20"/>
          <w:szCs w:val="20"/>
          <w:lang w:val="es-MX"/>
        </w:rPr>
      </w:pPr>
      <w:r w:rsidRPr="00BA4FF4">
        <w:rPr>
          <w:rFonts w:ascii="Verdana" w:hAnsi="Verdana"/>
          <w:sz w:val="20"/>
          <w:szCs w:val="20"/>
          <w:lang w:val="es-MX"/>
        </w:rPr>
        <w:t xml:space="preserve">La Corte valora positivamente que el Estado </w:t>
      </w:r>
      <w:r w:rsidR="005F24F1" w:rsidRPr="00BA4FF4">
        <w:rPr>
          <w:rFonts w:ascii="Verdana" w:hAnsi="Verdana"/>
          <w:sz w:val="20"/>
          <w:szCs w:val="20"/>
          <w:lang w:val="es-MX"/>
        </w:rPr>
        <w:t>haya realizado acciones para asegurarse que no existen órdenes de detención vigentes respecto de las víctimas por las causas penales objeto del presente caso</w:t>
      </w:r>
      <w:r w:rsidR="005F24F1" w:rsidRPr="006B291F">
        <w:rPr>
          <w:rFonts w:ascii="Verdana" w:hAnsi="Verdana"/>
          <w:sz w:val="20"/>
          <w:szCs w:val="20"/>
          <w:lang w:val="es-MX"/>
        </w:rPr>
        <w:t xml:space="preserve">. No </w:t>
      </w:r>
      <w:proofErr w:type="gramStart"/>
      <w:r w:rsidR="005F24F1" w:rsidRPr="006B291F">
        <w:rPr>
          <w:rFonts w:ascii="Verdana" w:hAnsi="Verdana"/>
          <w:sz w:val="20"/>
          <w:szCs w:val="20"/>
          <w:lang w:val="es-MX"/>
        </w:rPr>
        <w:t>obstante</w:t>
      </w:r>
      <w:proofErr w:type="gramEnd"/>
      <w:r w:rsidR="005F24F1" w:rsidRPr="006B291F">
        <w:rPr>
          <w:rFonts w:ascii="Verdana" w:hAnsi="Verdana"/>
          <w:sz w:val="20"/>
          <w:szCs w:val="20"/>
          <w:lang w:val="es-MX"/>
        </w:rPr>
        <w:t xml:space="preserve"> ello, este Tribunal no puede dejar de advertir que</w:t>
      </w:r>
      <w:r w:rsidR="000A1ED5">
        <w:rPr>
          <w:rFonts w:ascii="Verdana" w:hAnsi="Verdana"/>
          <w:sz w:val="20"/>
          <w:szCs w:val="20"/>
          <w:lang w:val="es-MX"/>
        </w:rPr>
        <w:t xml:space="preserve"> situaciones como la ocurrida</w:t>
      </w:r>
      <w:r w:rsidR="00A453CD">
        <w:rPr>
          <w:rFonts w:ascii="Verdana" w:hAnsi="Verdana"/>
          <w:sz w:val="20"/>
          <w:szCs w:val="20"/>
          <w:lang w:val="es-MX"/>
        </w:rPr>
        <w:t xml:space="preserve"> a la víctima </w:t>
      </w:r>
      <w:r w:rsidR="00A453CD" w:rsidRPr="006B291F">
        <w:rPr>
          <w:rFonts w:ascii="Verdana" w:hAnsi="Verdana"/>
          <w:sz w:val="20"/>
          <w:szCs w:val="20"/>
          <w:lang w:val="es-MX"/>
        </w:rPr>
        <w:t>Huenchunao Mariñán</w:t>
      </w:r>
      <w:r w:rsidR="000A1ED5">
        <w:rPr>
          <w:rFonts w:ascii="Verdana" w:hAnsi="Verdana"/>
          <w:sz w:val="20"/>
          <w:szCs w:val="20"/>
          <w:lang w:val="es-MX"/>
        </w:rPr>
        <w:t xml:space="preserve"> no se deben repetir</w:t>
      </w:r>
      <w:r w:rsidR="00A453CD">
        <w:rPr>
          <w:rFonts w:ascii="Verdana" w:hAnsi="Verdana"/>
          <w:sz w:val="20"/>
          <w:szCs w:val="20"/>
          <w:lang w:val="es-MX"/>
        </w:rPr>
        <w:t>,</w:t>
      </w:r>
      <w:r w:rsidR="000A1ED5">
        <w:rPr>
          <w:rFonts w:ascii="Verdana" w:hAnsi="Verdana"/>
          <w:sz w:val="20"/>
          <w:szCs w:val="20"/>
          <w:lang w:val="es-MX"/>
        </w:rPr>
        <w:t xml:space="preserve"> ya que</w:t>
      </w:r>
      <w:r w:rsidR="005F24F1" w:rsidRPr="006B291F">
        <w:rPr>
          <w:rFonts w:ascii="Verdana" w:hAnsi="Verdana"/>
          <w:sz w:val="20"/>
          <w:szCs w:val="20"/>
          <w:lang w:val="es-MX"/>
        </w:rPr>
        <w:t xml:space="preserve"> </w:t>
      </w:r>
      <w:r w:rsidR="00A453CD">
        <w:rPr>
          <w:rFonts w:ascii="Verdana" w:hAnsi="Verdana"/>
          <w:sz w:val="20"/>
          <w:szCs w:val="20"/>
          <w:lang w:val="es-MX"/>
        </w:rPr>
        <w:t>su</w:t>
      </w:r>
      <w:r w:rsidR="000619F6" w:rsidRPr="006B291F">
        <w:rPr>
          <w:rFonts w:ascii="Verdana" w:hAnsi="Verdana"/>
          <w:sz w:val="20"/>
          <w:szCs w:val="20"/>
          <w:lang w:val="es-MX"/>
        </w:rPr>
        <w:t xml:space="preserve"> detención indebida, por error del Estado, constituyó una </w:t>
      </w:r>
      <w:r w:rsidR="005F07E1" w:rsidRPr="006B291F">
        <w:rPr>
          <w:rFonts w:ascii="Verdana" w:hAnsi="Verdana"/>
          <w:sz w:val="20"/>
          <w:szCs w:val="20"/>
          <w:lang w:val="es-MX"/>
        </w:rPr>
        <w:t>vulneración</w:t>
      </w:r>
      <w:r w:rsidR="000619F6" w:rsidRPr="006B291F">
        <w:rPr>
          <w:rFonts w:ascii="Verdana" w:hAnsi="Verdana"/>
          <w:sz w:val="20"/>
          <w:szCs w:val="20"/>
          <w:lang w:val="es-MX"/>
        </w:rPr>
        <w:t xml:space="preserve"> </w:t>
      </w:r>
      <w:r w:rsidR="00A76D70" w:rsidRPr="006B291F">
        <w:rPr>
          <w:rFonts w:ascii="Verdana" w:hAnsi="Verdana"/>
          <w:sz w:val="20"/>
          <w:szCs w:val="20"/>
          <w:lang w:val="es-MX"/>
        </w:rPr>
        <w:t xml:space="preserve">a su </w:t>
      </w:r>
      <w:r w:rsidR="000619F6" w:rsidRPr="006B291F">
        <w:rPr>
          <w:rFonts w:ascii="Verdana" w:hAnsi="Verdana"/>
          <w:sz w:val="20"/>
          <w:szCs w:val="20"/>
          <w:lang w:val="es-MX"/>
        </w:rPr>
        <w:t xml:space="preserve">derecho a la libertad </w:t>
      </w:r>
      <w:r w:rsidR="000619F6" w:rsidRPr="006B291F">
        <w:rPr>
          <w:rFonts w:ascii="Verdana" w:hAnsi="Verdana"/>
          <w:sz w:val="20"/>
          <w:szCs w:val="20"/>
          <w:lang w:val="es-MX"/>
        </w:rPr>
        <w:lastRenderedPageBreak/>
        <w:t xml:space="preserve">personal. </w:t>
      </w:r>
      <w:r w:rsidR="005F496C">
        <w:rPr>
          <w:rFonts w:ascii="Verdana" w:hAnsi="Verdana"/>
          <w:sz w:val="20"/>
          <w:szCs w:val="20"/>
          <w:lang w:val="es-MX"/>
        </w:rPr>
        <w:t>Esto mismo</w:t>
      </w:r>
      <w:r w:rsidR="005F496C" w:rsidRPr="006B291F">
        <w:rPr>
          <w:rFonts w:ascii="Verdana" w:hAnsi="Verdana"/>
          <w:sz w:val="20"/>
          <w:szCs w:val="20"/>
          <w:lang w:val="es-MX"/>
        </w:rPr>
        <w:t xml:space="preserve"> </w:t>
      </w:r>
      <w:r w:rsidR="00E04B82" w:rsidRPr="006B291F">
        <w:rPr>
          <w:rFonts w:ascii="Verdana" w:hAnsi="Verdana"/>
          <w:sz w:val="20"/>
          <w:szCs w:val="20"/>
          <w:lang w:val="es-MX"/>
        </w:rPr>
        <w:t>fue declarado a nivel interno por</w:t>
      </w:r>
      <w:r w:rsidR="00022402" w:rsidRPr="006B291F">
        <w:rPr>
          <w:rFonts w:ascii="Verdana" w:hAnsi="Verdana"/>
          <w:sz w:val="20"/>
          <w:szCs w:val="20"/>
          <w:lang w:val="es-MX"/>
        </w:rPr>
        <w:t xml:space="preserve"> la </w:t>
      </w:r>
      <w:r w:rsidR="00B7005E" w:rsidRPr="006B291F">
        <w:rPr>
          <w:rFonts w:ascii="Verdana" w:hAnsi="Verdana"/>
          <w:sz w:val="20"/>
          <w:szCs w:val="20"/>
          <w:lang w:val="es-MX"/>
        </w:rPr>
        <w:t>Corte de Apelaciones de Temuco, la cual</w:t>
      </w:r>
      <w:r w:rsidR="00E04B82" w:rsidRPr="006B291F">
        <w:rPr>
          <w:rFonts w:ascii="Verdana" w:hAnsi="Verdana"/>
          <w:sz w:val="20"/>
          <w:szCs w:val="20"/>
          <w:lang w:val="es-MX"/>
        </w:rPr>
        <w:t>,</w:t>
      </w:r>
      <w:r w:rsidR="00B7005E" w:rsidRPr="006B291F">
        <w:rPr>
          <w:rFonts w:ascii="Verdana" w:hAnsi="Verdana"/>
          <w:sz w:val="20"/>
          <w:szCs w:val="20"/>
          <w:lang w:val="es-MX"/>
        </w:rPr>
        <w:t xml:space="preserve"> </w:t>
      </w:r>
      <w:r w:rsidR="00022402" w:rsidRPr="006B291F">
        <w:rPr>
          <w:rFonts w:ascii="Verdana" w:hAnsi="Verdana"/>
          <w:sz w:val="20"/>
          <w:szCs w:val="20"/>
          <w:lang w:val="es-MX"/>
        </w:rPr>
        <w:t>al resolver</w:t>
      </w:r>
      <w:r w:rsidR="00022402" w:rsidRPr="00BA4FF4">
        <w:rPr>
          <w:rFonts w:ascii="Verdana" w:hAnsi="Verdana"/>
          <w:sz w:val="20"/>
          <w:szCs w:val="20"/>
          <w:lang w:val="es-MX"/>
        </w:rPr>
        <w:t xml:space="preserve"> una acción de amparo constitucional interpuesta </w:t>
      </w:r>
      <w:r w:rsidR="00E04B82" w:rsidRPr="00BA4FF4">
        <w:rPr>
          <w:rFonts w:ascii="Verdana" w:hAnsi="Verdana"/>
          <w:sz w:val="20"/>
          <w:szCs w:val="20"/>
          <w:lang w:val="es-MX"/>
        </w:rPr>
        <w:t>en relación con estos</w:t>
      </w:r>
      <w:r w:rsidR="00022402" w:rsidRPr="00BA4FF4">
        <w:rPr>
          <w:rFonts w:ascii="Verdana" w:hAnsi="Verdana"/>
          <w:sz w:val="20"/>
          <w:szCs w:val="20"/>
          <w:lang w:val="es-MX"/>
        </w:rPr>
        <w:t xml:space="preserve"> hechos</w:t>
      </w:r>
      <w:r w:rsidR="00B7005E" w:rsidRPr="00BA4FF4">
        <w:rPr>
          <w:rFonts w:ascii="Verdana" w:hAnsi="Verdana"/>
          <w:sz w:val="20"/>
          <w:szCs w:val="20"/>
          <w:lang w:val="es-MX"/>
        </w:rPr>
        <w:t>, consideró que la detenci</w:t>
      </w:r>
      <w:r w:rsidR="00E04B82" w:rsidRPr="00BA4FF4">
        <w:rPr>
          <w:rFonts w:ascii="Verdana" w:hAnsi="Verdana"/>
          <w:sz w:val="20"/>
          <w:szCs w:val="20"/>
          <w:lang w:val="es-MX"/>
        </w:rPr>
        <w:t>ón de José Benicio Huenchunao Mariñán fue</w:t>
      </w:r>
      <w:r w:rsidR="00B7005E" w:rsidRPr="00BA4FF4">
        <w:rPr>
          <w:rFonts w:ascii="Verdana" w:hAnsi="Verdana"/>
          <w:sz w:val="20"/>
          <w:szCs w:val="20"/>
          <w:lang w:val="es-MX"/>
        </w:rPr>
        <w:t xml:space="preserve"> “</w:t>
      </w:r>
      <w:r w:rsidR="00E04B82" w:rsidRPr="00BA4FF4">
        <w:rPr>
          <w:rFonts w:ascii="Verdana" w:hAnsi="Verdana"/>
          <w:sz w:val="20"/>
          <w:szCs w:val="20"/>
          <w:lang w:val="es-MX"/>
        </w:rPr>
        <w:t>ilegal</w:t>
      </w:r>
      <w:r w:rsidR="00B7005E" w:rsidRPr="00BA4FF4">
        <w:rPr>
          <w:rFonts w:ascii="Verdana" w:hAnsi="Verdana"/>
          <w:sz w:val="20"/>
          <w:szCs w:val="20"/>
          <w:lang w:val="es-MX"/>
        </w:rPr>
        <w:t>”</w:t>
      </w:r>
      <w:r w:rsidR="00E04B82" w:rsidRPr="00BA4FF4">
        <w:rPr>
          <w:rFonts w:ascii="Verdana" w:hAnsi="Verdana"/>
          <w:sz w:val="20"/>
          <w:szCs w:val="20"/>
          <w:lang w:val="es-MX"/>
        </w:rPr>
        <w:t xml:space="preserve"> </w:t>
      </w:r>
      <w:r w:rsidR="00AE2694" w:rsidRPr="00BA4FF4">
        <w:rPr>
          <w:rFonts w:ascii="Verdana" w:hAnsi="Verdana"/>
          <w:sz w:val="20"/>
          <w:szCs w:val="20"/>
          <w:lang w:val="es-MX"/>
        </w:rPr>
        <w:t xml:space="preserve">y que “no resulta aceptable que un error </w:t>
      </w:r>
      <w:r w:rsidR="005F496C">
        <w:rPr>
          <w:rFonts w:ascii="Verdana" w:hAnsi="Verdana"/>
          <w:sz w:val="20"/>
          <w:szCs w:val="20"/>
          <w:lang w:val="es-MX"/>
        </w:rPr>
        <w:t>[</w:t>
      </w:r>
      <w:r w:rsidR="00AE2694" w:rsidRPr="00BA4FF4">
        <w:rPr>
          <w:rFonts w:ascii="Verdana" w:hAnsi="Verdana"/>
          <w:sz w:val="20"/>
          <w:szCs w:val="20"/>
          <w:lang w:val="es-MX"/>
        </w:rPr>
        <w:t>en la</w:t>
      </w:r>
      <w:r w:rsidR="005F496C">
        <w:rPr>
          <w:rFonts w:ascii="Verdana" w:hAnsi="Verdana"/>
          <w:sz w:val="20"/>
          <w:szCs w:val="20"/>
          <w:lang w:val="es-MX"/>
        </w:rPr>
        <w:t>]</w:t>
      </w:r>
      <w:r w:rsidR="00AE2694" w:rsidRPr="00BA4FF4">
        <w:rPr>
          <w:rFonts w:ascii="Verdana" w:hAnsi="Verdana"/>
          <w:sz w:val="20"/>
          <w:szCs w:val="20"/>
          <w:lang w:val="es-MX"/>
        </w:rPr>
        <w:t xml:space="preserve"> actualización del sistema </w:t>
      </w:r>
      <w:r w:rsidR="005F496C" w:rsidRPr="00BA4FF4">
        <w:rPr>
          <w:rFonts w:ascii="Verdana" w:hAnsi="Verdana"/>
          <w:sz w:val="20"/>
          <w:szCs w:val="20"/>
          <w:lang w:val="es-MX"/>
        </w:rPr>
        <w:t>pu</w:t>
      </w:r>
      <w:r w:rsidR="005F496C">
        <w:rPr>
          <w:rFonts w:ascii="Verdana" w:hAnsi="Verdana"/>
          <w:sz w:val="20"/>
          <w:szCs w:val="20"/>
          <w:lang w:val="es-MX"/>
        </w:rPr>
        <w:t>[diera]</w:t>
      </w:r>
      <w:r w:rsidR="005F496C" w:rsidRPr="00BA4FF4">
        <w:rPr>
          <w:rFonts w:ascii="Verdana" w:hAnsi="Verdana"/>
          <w:sz w:val="20"/>
          <w:szCs w:val="20"/>
          <w:lang w:val="es-MX"/>
        </w:rPr>
        <w:t xml:space="preserve"> </w:t>
      </w:r>
      <w:r w:rsidR="00AE2694" w:rsidRPr="00BA4FF4">
        <w:rPr>
          <w:rFonts w:ascii="Verdana" w:hAnsi="Verdana"/>
          <w:sz w:val="20"/>
          <w:szCs w:val="20"/>
          <w:lang w:val="es-MX"/>
        </w:rPr>
        <w:t>producir como resultado el ser privad[o] o amenazad[o</w:t>
      </w:r>
      <w:r w:rsidR="00E04B82" w:rsidRPr="00BA4FF4">
        <w:rPr>
          <w:rFonts w:ascii="Verdana" w:hAnsi="Verdana"/>
          <w:sz w:val="20"/>
          <w:szCs w:val="20"/>
          <w:lang w:val="es-MX"/>
        </w:rPr>
        <w:t>] en su libertad, como ocurrió con el amparado”</w:t>
      </w:r>
      <w:r w:rsidR="00B7005E" w:rsidRPr="00BA4FF4">
        <w:rPr>
          <w:rStyle w:val="Refdenotaalpie"/>
          <w:rFonts w:ascii="Verdana" w:hAnsi="Verdana"/>
          <w:sz w:val="20"/>
          <w:szCs w:val="20"/>
          <w:lang w:val="es-MX"/>
        </w:rPr>
        <w:footnoteReference w:id="30"/>
      </w:r>
      <w:r w:rsidR="00B7005E" w:rsidRPr="00BA4FF4">
        <w:rPr>
          <w:rFonts w:ascii="Verdana" w:hAnsi="Verdana"/>
          <w:sz w:val="20"/>
          <w:szCs w:val="20"/>
          <w:lang w:val="es-MX"/>
        </w:rPr>
        <w:t>.</w:t>
      </w:r>
      <w:r w:rsidR="00E04B82" w:rsidRPr="00BA4FF4">
        <w:rPr>
          <w:rFonts w:ascii="Verdana" w:hAnsi="Verdana"/>
          <w:sz w:val="20"/>
          <w:szCs w:val="20"/>
          <w:lang w:val="es-MX"/>
        </w:rPr>
        <w:t xml:space="preserve"> </w:t>
      </w:r>
    </w:p>
    <w:p w:rsidR="008500F9" w:rsidRDefault="006E457B" w:rsidP="00807889">
      <w:pPr>
        <w:pStyle w:val="Listavistosa-nfasis1"/>
        <w:numPr>
          <w:ilvl w:val="0"/>
          <w:numId w:val="4"/>
        </w:numPr>
        <w:spacing w:before="120" w:after="120" w:line="240" w:lineRule="auto"/>
        <w:ind w:left="0" w:firstLine="0"/>
        <w:contextualSpacing w:val="0"/>
        <w:jc w:val="both"/>
        <w:rPr>
          <w:rFonts w:ascii="Verdana" w:hAnsi="Verdana"/>
          <w:sz w:val="20"/>
          <w:szCs w:val="20"/>
          <w:lang w:val="es-MX"/>
        </w:rPr>
      </w:pPr>
      <w:r>
        <w:rPr>
          <w:rFonts w:ascii="Verdana" w:hAnsi="Verdana"/>
          <w:sz w:val="20"/>
          <w:szCs w:val="20"/>
          <w:lang w:val="es-CR"/>
        </w:rPr>
        <w:t>Por otra parte, e</w:t>
      </w:r>
      <w:r w:rsidR="00943840">
        <w:rPr>
          <w:rFonts w:ascii="Verdana" w:hAnsi="Verdana"/>
          <w:sz w:val="20"/>
          <w:szCs w:val="20"/>
          <w:lang w:val="es-CR"/>
        </w:rPr>
        <w:t xml:space="preserve">n cuanto </w:t>
      </w:r>
      <w:r w:rsidR="002F24D7">
        <w:rPr>
          <w:rFonts w:ascii="Verdana" w:hAnsi="Verdana"/>
          <w:sz w:val="20"/>
          <w:szCs w:val="20"/>
          <w:lang w:val="es-CR"/>
        </w:rPr>
        <w:t>al</w:t>
      </w:r>
      <w:r w:rsidR="00D45D07">
        <w:rPr>
          <w:rFonts w:ascii="Verdana" w:hAnsi="Verdana"/>
          <w:sz w:val="20"/>
          <w:szCs w:val="20"/>
          <w:lang w:val="es-CR"/>
        </w:rPr>
        <w:t xml:space="preserve"> aspecto de la reparación relativo al</w:t>
      </w:r>
      <w:r w:rsidR="002F24D7">
        <w:rPr>
          <w:rFonts w:ascii="Verdana" w:hAnsi="Verdana"/>
          <w:sz w:val="20"/>
          <w:szCs w:val="20"/>
          <w:lang w:val="es-CR"/>
        </w:rPr>
        <w:t xml:space="preserve"> deber del Estado de</w:t>
      </w:r>
      <w:r w:rsidR="00943840">
        <w:rPr>
          <w:rFonts w:ascii="Verdana" w:hAnsi="Verdana"/>
          <w:sz w:val="20"/>
          <w:szCs w:val="20"/>
          <w:lang w:val="es-CR"/>
        </w:rPr>
        <w:t xml:space="preserve"> disponer la </w:t>
      </w:r>
      <w:r w:rsidR="00943840" w:rsidRPr="00DA416D">
        <w:rPr>
          <w:rFonts w:ascii="Verdana" w:hAnsi="Verdana"/>
          <w:sz w:val="20"/>
          <w:szCs w:val="20"/>
          <w:lang w:val="es-MX"/>
        </w:rPr>
        <w:t>libertad de las víctimas que se encontraran en libertad condicional</w:t>
      </w:r>
      <w:r w:rsidR="002F24D7">
        <w:rPr>
          <w:rFonts w:ascii="Verdana" w:hAnsi="Verdana"/>
          <w:sz w:val="20"/>
          <w:szCs w:val="20"/>
          <w:lang w:val="es-MX"/>
        </w:rPr>
        <w:t xml:space="preserve"> </w:t>
      </w:r>
      <w:r w:rsidR="002F24D7" w:rsidRPr="00792A88">
        <w:rPr>
          <w:rFonts w:ascii="Verdana" w:hAnsi="Verdana"/>
          <w:sz w:val="20"/>
          <w:szCs w:val="20"/>
          <w:lang w:val="es-MX"/>
        </w:rPr>
        <w:t>(</w:t>
      </w:r>
      <w:r w:rsidR="002F24D7" w:rsidRPr="00792A88">
        <w:rPr>
          <w:rFonts w:ascii="Verdana" w:hAnsi="Verdana"/>
          <w:i/>
          <w:sz w:val="20"/>
          <w:szCs w:val="20"/>
          <w:lang w:val="es-MX"/>
        </w:rPr>
        <w:t>supra</w:t>
      </w:r>
      <w:r w:rsidR="002F24D7" w:rsidRPr="00792A88">
        <w:rPr>
          <w:rFonts w:ascii="Verdana" w:hAnsi="Verdana"/>
          <w:sz w:val="20"/>
          <w:szCs w:val="20"/>
          <w:lang w:val="es-MX"/>
        </w:rPr>
        <w:t xml:space="preserve"> Considerando </w:t>
      </w:r>
      <w:r w:rsidR="00D45D07">
        <w:rPr>
          <w:rFonts w:ascii="Verdana" w:hAnsi="Verdana"/>
          <w:sz w:val="20"/>
          <w:szCs w:val="20"/>
          <w:lang w:val="es-MX"/>
        </w:rPr>
        <w:t>5.iii.</w:t>
      </w:r>
      <w:r w:rsidR="002F24D7" w:rsidRPr="00792A88">
        <w:rPr>
          <w:rFonts w:ascii="Verdana" w:hAnsi="Verdana"/>
          <w:sz w:val="20"/>
          <w:szCs w:val="20"/>
          <w:lang w:val="es-MX"/>
        </w:rPr>
        <w:t>)</w:t>
      </w:r>
      <w:r w:rsidR="00943840">
        <w:rPr>
          <w:rFonts w:ascii="Verdana" w:hAnsi="Verdana"/>
          <w:sz w:val="20"/>
          <w:szCs w:val="20"/>
          <w:lang w:val="es-MX"/>
        </w:rPr>
        <w:t xml:space="preserve">, </w:t>
      </w:r>
      <w:r w:rsidR="00D45D07">
        <w:rPr>
          <w:rFonts w:ascii="Verdana" w:hAnsi="Verdana"/>
          <w:sz w:val="20"/>
          <w:szCs w:val="20"/>
          <w:lang w:val="es-MX"/>
        </w:rPr>
        <w:t>este Tribunal</w:t>
      </w:r>
      <w:r w:rsidR="00943840">
        <w:rPr>
          <w:rFonts w:ascii="Verdana" w:hAnsi="Verdana"/>
          <w:sz w:val="20"/>
          <w:szCs w:val="20"/>
          <w:lang w:val="es-MX"/>
        </w:rPr>
        <w:t xml:space="preserve"> </w:t>
      </w:r>
      <w:r w:rsidR="00D45D07">
        <w:rPr>
          <w:rFonts w:ascii="Verdana" w:hAnsi="Verdana"/>
          <w:sz w:val="20"/>
          <w:szCs w:val="20"/>
          <w:lang w:val="es-MX"/>
        </w:rPr>
        <w:t>advierte</w:t>
      </w:r>
      <w:r w:rsidR="00943840">
        <w:rPr>
          <w:rFonts w:ascii="Verdana" w:hAnsi="Verdana"/>
          <w:sz w:val="20"/>
          <w:szCs w:val="20"/>
          <w:lang w:val="es-MX"/>
        </w:rPr>
        <w:t xml:space="preserve"> que no ha sido aportada información por parte del Estado o de los intervinientes comunes</w:t>
      </w:r>
      <w:r w:rsidR="00D03604">
        <w:rPr>
          <w:rFonts w:ascii="Verdana" w:hAnsi="Verdana"/>
          <w:sz w:val="20"/>
          <w:szCs w:val="20"/>
          <w:lang w:val="es-MX"/>
        </w:rPr>
        <w:t xml:space="preserve"> de los representantes de las víctimas</w:t>
      </w:r>
      <w:r w:rsidR="00943840">
        <w:rPr>
          <w:rFonts w:ascii="Verdana" w:hAnsi="Verdana"/>
          <w:sz w:val="20"/>
          <w:szCs w:val="20"/>
          <w:lang w:val="es-MX"/>
        </w:rPr>
        <w:t xml:space="preserve"> de la cual se desprenda que </w:t>
      </w:r>
      <w:r w:rsidR="00D03604">
        <w:rPr>
          <w:rFonts w:ascii="Verdana" w:hAnsi="Verdana"/>
          <w:sz w:val="20"/>
          <w:szCs w:val="20"/>
          <w:lang w:val="es-MX"/>
        </w:rPr>
        <w:t>alguna de éstas</w:t>
      </w:r>
      <w:r>
        <w:rPr>
          <w:rFonts w:ascii="Verdana" w:hAnsi="Verdana"/>
          <w:sz w:val="20"/>
          <w:szCs w:val="20"/>
          <w:lang w:val="es-MX"/>
        </w:rPr>
        <w:t xml:space="preserve"> se encuentre sujeta a libertad condicional por las sentencias penales internas objeto del presente caso</w:t>
      </w:r>
      <w:r w:rsidR="00943840">
        <w:rPr>
          <w:rFonts w:ascii="Verdana" w:hAnsi="Verdana"/>
          <w:sz w:val="20"/>
          <w:szCs w:val="20"/>
          <w:lang w:val="es-MX"/>
        </w:rPr>
        <w:t>.</w:t>
      </w:r>
      <w:r w:rsidR="00622D6C">
        <w:rPr>
          <w:rFonts w:ascii="Verdana" w:hAnsi="Verdana"/>
          <w:sz w:val="20"/>
          <w:szCs w:val="20"/>
          <w:lang w:val="es-MX"/>
        </w:rPr>
        <w:t xml:space="preserve"> </w:t>
      </w:r>
    </w:p>
    <w:p w:rsidR="00903DE2" w:rsidRDefault="00943840" w:rsidP="00903DE2">
      <w:pPr>
        <w:pStyle w:val="Listavistosa-nfasis1"/>
        <w:numPr>
          <w:ilvl w:val="0"/>
          <w:numId w:val="4"/>
        </w:numPr>
        <w:spacing w:before="120" w:after="120" w:line="240" w:lineRule="auto"/>
        <w:ind w:left="0" w:firstLine="0"/>
        <w:contextualSpacing w:val="0"/>
        <w:jc w:val="both"/>
        <w:rPr>
          <w:rFonts w:ascii="Verdana" w:hAnsi="Verdana"/>
          <w:color w:val="0070C0"/>
          <w:sz w:val="20"/>
          <w:szCs w:val="20"/>
          <w:lang w:val="es-MX"/>
        </w:rPr>
      </w:pPr>
      <w:r w:rsidRPr="000F5AA2">
        <w:rPr>
          <w:rFonts w:ascii="Verdana" w:hAnsi="Verdana"/>
          <w:sz w:val="20"/>
          <w:szCs w:val="20"/>
          <w:lang w:val="es-MX"/>
        </w:rPr>
        <w:t xml:space="preserve">Finalmente, </w:t>
      </w:r>
      <w:r w:rsidR="00096B12" w:rsidRPr="000F5AA2">
        <w:rPr>
          <w:rFonts w:ascii="Verdana" w:hAnsi="Verdana"/>
          <w:sz w:val="20"/>
          <w:szCs w:val="20"/>
          <w:lang w:val="es-MX"/>
        </w:rPr>
        <w:t xml:space="preserve">respecto a la </w:t>
      </w:r>
      <w:r w:rsidR="00D45D07" w:rsidRPr="000F5AA2">
        <w:rPr>
          <w:rFonts w:ascii="Verdana" w:hAnsi="Verdana"/>
          <w:sz w:val="20"/>
          <w:szCs w:val="20"/>
          <w:lang w:val="es-MX"/>
        </w:rPr>
        <w:t xml:space="preserve">eliminación de </w:t>
      </w:r>
      <w:r w:rsidR="00933013" w:rsidRPr="000F5AA2">
        <w:rPr>
          <w:rFonts w:ascii="Verdana" w:hAnsi="Verdana"/>
          <w:sz w:val="20"/>
          <w:szCs w:val="20"/>
          <w:lang w:val="es-MX"/>
        </w:rPr>
        <w:t xml:space="preserve">los antecedentes </w:t>
      </w:r>
      <w:r w:rsidR="00933013" w:rsidRPr="000F5AA2">
        <w:rPr>
          <w:rFonts w:ascii="Verdana" w:hAnsi="Verdana"/>
          <w:sz w:val="20"/>
          <w:szCs w:val="20"/>
          <w:lang w:val="es-CR"/>
        </w:rPr>
        <w:t xml:space="preserve">judiciales, administrativos, penales o policiales que existan en contra de las ocho víctimas en relación con </w:t>
      </w:r>
      <w:r w:rsidR="000F5AA2" w:rsidRPr="000F5AA2">
        <w:rPr>
          <w:rFonts w:ascii="Verdana" w:hAnsi="Verdana"/>
          <w:sz w:val="20"/>
          <w:szCs w:val="20"/>
          <w:lang w:val="es-CR"/>
        </w:rPr>
        <w:t>las sentencias penales condenatorias por delitos de carácter terrorista (</w:t>
      </w:r>
      <w:r w:rsidR="000F5AA2" w:rsidRPr="009635D2">
        <w:rPr>
          <w:rFonts w:ascii="Verdana" w:hAnsi="Verdana"/>
          <w:i/>
          <w:sz w:val="20"/>
          <w:szCs w:val="20"/>
          <w:lang w:val="es-CR"/>
        </w:rPr>
        <w:t>supra</w:t>
      </w:r>
      <w:r w:rsidR="000F5AA2" w:rsidRPr="000F5AA2">
        <w:rPr>
          <w:rFonts w:ascii="Verdana" w:hAnsi="Verdana"/>
          <w:sz w:val="20"/>
          <w:szCs w:val="20"/>
          <w:lang w:val="es-CR"/>
        </w:rPr>
        <w:t xml:space="preserve"> Considerando 5.iv</w:t>
      </w:r>
      <w:r w:rsidR="00754442">
        <w:rPr>
          <w:rFonts w:ascii="Verdana" w:hAnsi="Verdana"/>
          <w:sz w:val="20"/>
          <w:szCs w:val="20"/>
          <w:lang w:val="es-CR"/>
        </w:rPr>
        <w:t>.</w:t>
      </w:r>
      <w:r w:rsidR="000F5AA2" w:rsidRPr="000F5AA2">
        <w:rPr>
          <w:rFonts w:ascii="Verdana" w:hAnsi="Verdana"/>
          <w:sz w:val="20"/>
          <w:szCs w:val="20"/>
          <w:lang w:val="es-CR"/>
        </w:rPr>
        <w:t>), la Corte constata, con base en lo informado por el Estado y lo observado por los representantes de las víctimas, que</w:t>
      </w:r>
      <w:r w:rsidR="0052729E">
        <w:rPr>
          <w:rFonts w:ascii="Verdana" w:hAnsi="Verdana"/>
          <w:sz w:val="20"/>
          <w:szCs w:val="20"/>
          <w:lang w:val="es-CR"/>
        </w:rPr>
        <w:t xml:space="preserve"> se eliminaron antecedentes de las víctimas que constaban en</w:t>
      </w:r>
      <w:r w:rsidR="00743FCB">
        <w:rPr>
          <w:rFonts w:ascii="Verdana" w:hAnsi="Verdana"/>
          <w:sz w:val="20"/>
          <w:szCs w:val="20"/>
          <w:lang w:val="es-CR"/>
        </w:rPr>
        <w:t>:</w:t>
      </w:r>
      <w:r w:rsidR="0052729E">
        <w:rPr>
          <w:rFonts w:ascii="Verdana" w:hAnsi="Verdana"/>
          <w:sz w:val="20"/>
          <w:szCs w:val="20"/>
          <w:lang w:val="es-CR"/>
        </w:rPr>
        <w:t xml:space="preserve"> </w:t>
      </w:r>
      <w:r w:rsidR="003F2118">
        <w:rPr>
          <w:rFonts w:ascii="Verdana" w:hAnsi="Verdana"/>
          <w:sz w:val="20"/>
          <w:szCs w:val="20"/>
          <w:lang w:val="es-CR"/>
        </w:rPr>
        <w:t xml:space="preserve">i) </w:t>
      </w:r>
      <w:r w:rsidR="0052729E">
        <w:rPr>
          <w:rFonts w:ascii="Verdana" w:hAnsi="Verdana"/>
          <w:sz w:val="20"/>
          <w:szCs w:val="20"/>
          <w:lang w:val="es-CR"/>
        </w:rPr>
        <w:t>el “Registro General de Condenas” y el “</w:t>
      </w:r>
      <w:r w:rsidR="00754442">
        <w:rPr>
          <w:rFonts w:ascii="Verdana" w:hAnsi="Verdana"/>
          <w:sz w:val="20"/>
          <w:szCs w:val="20"/>
          <w:lang w:val="es-CR"/>
        </w:rPr>
        <w:t xml:space="preserve">Registro </w:t>
      </w:r>
      <w:r w:rsidR="0052729E">
        <w:rPr>
          <w:rFonts w:ascii="Verdana" w:hAnsi="Verdana"/>
          <w:sz w:val="20"/>
          <w:szCs w:val="20"/>
          <w:lang w:val="es-CR"/>
        </w:rPr>
        <w:t>de Condenados de la Base de Datos de ADN”, ambos del “Servicio Civil e Identificación”</w:t>
      </w:r>
      <w:r w:rsidR="0052729E" w:rsidRPr="00A76D70">
        <w:rPr>
          <w:rStyle w:val="Refdenotaalpie"/>
          <w:rFonts w:ascii="Verdana" w:hAnsi="Verdana"/>
          <w:sz w:val="20"/>
          <w:lang w:val="es-MX"/>
        </w:rPr>
        <w:footnoteReference w:id="31"/>
      </w:r>
      <w:r w:rsidR="0052729E">
        <w:rPr>
          <w:rFonts w:ascii="Verdana" w:hAnsi="Verdana"/>
          <w:sz w:val="20"/>
          <w:szCs w:val="20"/>
          <w:lang w:val="es-CR"/>
        </w:rPr>
        <w:t>;</w:t>
      </w:r>
      <w:r w:rsidR="0052729E" w:rsidRPr="0052729E">
        <w:rPr>
          <w:rFonts w:ascii="Verdana" w:hAnsi="Verdana"/>
          <w:b/>
          <w:sz w:val="16"/>
          <w:szCs w:val="16"/>
          <w:lang w:val="es-MX"/>
        </w:rPr>
        <w:t xml:space="preserve"> </w:t>
      </w:r>
      <w:r w:rsidR="003F2118">
        <w:rPr>
          <w:rFonts w:ascii="Verdana" w:hAnsi="Verdana"/>
          <w:sz w:val="20"/>
          <w:szCs w:val="20"/>
          <w:lang w:val="es-MX"/>
        </w:rPr>
        <w:t xml:space="preserve">ii) </w:t>
      </w:r>
      <w:r w:rsidR="0052729E">
        <w:rPr>
          <w:rFonts w:ascii="Verdana" w:hAnsi="Verdana"/>
          <w:sz w:val="20"/>
          <w:szCs w:val="20"/>
          <w:lang w:val="es-MX"/>
        </w:rPr>
        <w:t xml:space="preserve">el </w:t>
      </w:r>
      <w:r w:rsidR="0052729E" w:rsidRPr="00A76D70">
        <w:rPr>
          <w:rFonts w:ascii="Verdana" w:hAnsi="Verdana"/>
          <w:sz w:val="20"/>
          <w:szCs w:val="20"/>
          <w:lang w:val="es-MX"/>
        </w:rPr>
        <w:t>“Servicio Médico Legal”</w:t>
      </w:r>
      <w:r w:rsidR="00663D39" w:rsidRPr="00A76D70">
        <w:rPr>
          <w:rStyle w:val="Refdenotaalpie"/>
          <w:rFonts w:ascii="Verdana" w:hAnsi="Verdana"/>
          <w:sz w:val="20"/>
          <w:szCs w:val="20"/>
          <w:lang w:val="es-CR"/>
        </w:rPr>
        <w:footnoteReference w:id="32"/>
      </w:r>
      <w:r w:rsidR="00663D39" w:rsidRPr="0052729E">
        <w:rPr>
          <w:rFonts w:ascii="Verdana" w:hAnsi="Verdana"/>
          <w:sz w:val="20"/>
          <w:szCs w:val="20"/>
          <w:lang w:val="es-CR"/>
        </w:rPr>
        <w:t xml:space="preserve">; </w:t>
      </w:r>
      <w:r w:rsidR="003F2118" w:rsidRPr="00903DE2">
        <w:rPr>
          <w:rFonts w:ascii="Verdana" w:hAnsi="Verdana"/>
          <w:sz w:val="20"/>
          <w:szCs w:val="20"/>
          <w:lang w:val="es-CR"/>
        </w:rPr>
        <w:t>iii)</w:t>
      </w:r>
      <w:r w:rsidR="003F2118">
        <w:rPr>
          <w:rFonts w:ascii="Verdana" w:hAnsi="Verdana"/>
          <w:b/>
          <w:sz w:val="16"/>
          <w:szCs w:val="16"/>
          <w:lang w:val="es-CR"/>
        </w:rPr>
        <w:t xml:space="preserve"> </w:t>
      </w:r>
      <w:r w:rsidR="0052729E" w:rsidRPr="0052729E">
        <w:rPr>
          <w:rFonts w:ascii="Verdana" w:hAnsi="Verdana"/>
          <w:sz w:val="20"/>
          <w:szCs w:val="20"/>
          <w:lang w:val="es-CR"/>
        </w:rPr>
        <w:t xml:space="preserve">los </w:t>
      </w:r>
      <w:r w:rsidR="0052729E">
        <w:rPr>
          <w:rFonts w:ascii="Verdana" w:hAnsi="Verdana"/>
          <w:sz w:val="20"/>
          <w:szCs w:val="20"/>
          <w:lang w:val="es-CR"/>
        </w:rPr>
        <w:t>“registros informáticos [de] Gendarmería de Chile”</w:t>
      </w:r>
      <w:r w:rsidR="007B31E2" w:rsidRPr="00A76D70">
        <w:rPr>
          <w:rStyle w:val="Refdenotaalpie"/>
          <w:rFonts w:ascii="Verdana" w:hAnsi="Verdana"/>
          <w:sz w:val="20"/>
          <w:szCs w:val="20"/>
          <w:lang w:val="es-MX"/>
        </w:rPr>
        <w:footnoteReference w:id="33"/>
      </w:r>
      <w:r w:rsidR="007B31E2">
        <w:rPr>
          <w:rFonts w:ascii="Verdana" w:hAnsi="Verdana"/>
          <w:sz w:val="20"/>
          <w:szCs w:val="20"/>
          <w:lang w:val="es-MX"/>
        </w:rPr>
        <w:t>;</w:t>
      </w:r>
      <w:r w:rsidR="007B31E2">
        <w:rPr>
          <w:rFonts w:ascii="Verdana" w:hAnsi="Verdana"/>
          <w:b/>
          <w:sz w:val="16"/>
          <w:szCs w:val="16"/>
          <w:lang w:val="es-MX"/>
        </w:rPr>
        <w:t xml:space="preserve"> </w:t>
      </w:r>
      <w:r w:rsidR="003F2118">
        <w:rPr>
          <w:rFonts w:ascii="Verdana" w:hAnsi="Verdana"/>
          <w:sz w:val="20"/>
          <w:szCs w:val="20"/>
          <w:lang w:val="es-MX"/>
        </w:rPr>
        <w:t xml:space="preserve">iv) </w:t>
      </w:r>
      <w:r w:rsidR="007B31E2">
        <w:rPr>
          <w:rFonts w:ascii="Verdana" w:hAnsi="Verdana"/>
          <w:sz w:val="20"/>
          <w:szCs w:val="20"/>
          <w:lang w:val="es-MX"/>
        </w:rPr>
        <w:t xml:space="preserve">los registros de datos policiales y administrativos de </w:t>
      </w:r>
      <w:r w:rsidR="007B31E2">
        <w:rPr>
          <w:rFonts w:ascii="Verdana" w:hAnsi="Verdana"/>
          <w:sz w:val="20"/>
          <w:szCs w:val="20"/>
          <w:lang w:val="es-MX"/>
        </w:rPr>
        <w:lastRenderedPageBreak/>
        <w:t>“Carabineros de Chile”</w:t>
      </w:r>
      <w:r w:rsidR="00663D39" w:rsidRPr="00A76D70">
        <w:rPr>
          <w:rStyle w:val="Refdenotaalpie"/>
          <w:rFonts w:ascii="Verdana" w:hAnsi="Verdana"/>
          <w:sz w:val="20"/>
          <w:szCs w:val="20"/>
          <w:lang w:val="es-MX"/>
        </w:rPr>
        <w:footnoteReference w:id="34"/>
      </w:r>
      <w:r w:rsidR="007B31E2">
        <w:rPr>
          <w:rFonts w:ascii="Verdana" w:hAnsi="Verdana"/>
          <w:sz w:val="20"/>
          <w:szCs w:val="20"/>
          <w:lang w:val="es-MX"/>
        </w:rPr>
        <w:t>;</w:t>
      </w:r>
      <w:r w:rsidR="00663D39" w:rsidRPr="007B31E2">
        <w:rPr>
          <w:rFonts w:ascii="Verdana" w:hAnsi="Verdana"/>
          <w:sz w:val="20"/>
          <w:szCs w:val="20"/>
          <w:lang w:val="es-MX"/>
        </w:rPr>
        <w:t xml:space="preserve"> </w:t>
      </w:r>
      <w:r w:rsidR="003F2118" w:rsidRPr="002E6E89">
        <w:rPr>
          <w:rFonts w:ascii="Verdana" w:hAnsi="Verdana"/>
          <w:sz w:val="20"/>
          <w:szCs w:val="20"/>
          <w:lang w:val="es-MX"/>
        </w:rPr>
        <w:t>v)</w:t>
      </w:r>
      <w:r w:rsidR="003F2118" w:rsidRPr="00903DE2">
        <w:rPr>
          <w:rFonts w:ascii="Verdana" w:hAnsi="Verdana"/>
          <w:sz w:val="20"/>
          <w:szCs w:val="20"/>
          <w:lang w:val="es-MX"/>
        </w:rPr>
        <w:t xml:space="preserve"> </w:t>
      </w:r>
      <w:r w:rsidR="007B31E2" w:rsidRPr="003D01D5">
        <w:rPr>
          <w:rFonts w:ascii="Verdana" w:hAnsi="Verdana"/>
          <w:sz w:val="20"/>
          <w:szCs w:val="20"/>
          <w:lang w:val="es-MX"/>
        </w:rPr>
        <w:t xml:space="preserve">el </w:t>
      </w:r>
      <w:r w:rsidR="005B2165">
        <w:rPr>
          <w:rFonts w:ascii="Verdana" w:hAnsi="Verdana"/>
          <w:sz w:val="20"/>
          <w:szCs w:val="20"/>
          <w:lang w:val="es-MX"/>
        </w:rPr>
        <w:t>“Registro de Sistema de Apoyo a Fiscales”</w:t>
      </w:r>
      <w:r w:rsidR="005B2165" w:rsidRPr="00A76D70">
        <w:rPr>
          <w:rStyle w:val="Refdenotaalpie"/>
          <w:rFonts w:ascii="Verdana" w:hAnsi="Verdana"/>
          <w:sz w:val="20"/>
          <w:szCs w:val="20"/>
          <w:lang w:val="es-MX"/>
        </w:rPr>
        <w:footnoteReference w:id="35"/>
      </w:r>
      <w:r w:rsidR="005B2165">
        <w:rPr>
          <w:rFonts w:ascii="Verdana" w:hAnsi="Verdana"/>
          <w:sz w:val="20"/>
          <w:szCs w:val="20"/>
          <w:lang w:val="es-MX"/>
        </w:rPr>
        <w:t xml:space="preserve">, y </w:t>
      </w:r>
      <w:r w:rsidR="003F2118">
        <w:rPr>
          <w:rFonts w:ascii="Verdana" w:hAnsi="Verdana"/>
          <w:sz w:val="20"/>
          <w:szCs w:val="20"/>
          <w:lang w:val="es-MX"/>
        </w:rPr>
        <w:t xml:space="preserve">vi) </w:t>
      </w:r>
      <w:r w:rsidR="005B2165">
        <w:rPr>
          <w:rFonts w:ascii="Verdana" w:hAnsi="Verdana"/>
          <w:sz w:val="20"/>
          <w:szCs w:val="20"/>
          <w:lang w:val="es-MX"/>
        </w:rPr>
        <w:t>en los registros de la “Policía de Investigaciones”</w:t>
      </w:r>
      <w:r w:rsidR="005B2165" w:rsidRPr="00A76D70">
        <w:rPr>
          <w:rStyle w:val="Refdenotaalpie"/>
          <w:rFonts w:ascii="Verdana" w:hAnsi="Verdana"/>
          <w:sz w:val="20"/>
          <w:szCs w:val="20"/>
          <w:lang w:val="es-MX"/>
        </w:rPr>
        <w:footnoteReference w:id="36"/>
      </w:r>
      <w:r w:rsidR="005B2165">
        <w:rPr>
          <w:rFonts w:ascii="Verdana" w:hAnsi="Verdana"/>
          <w:sz w:val="20"/>
          <w:szCs w:val="20"/>
          <w:lang w:val="es-MX"/>
        </w:rPr>
        <w:t>.</w:t>
      </w:r>
    </w:p>
    <w:p w:rsidR="004319FF" w:rsidRPr="00903DE2" w:rsidRDefault="006B291F" w:rsidP="00903DE2">
      <w:pPr>
        <w:pStyle w:val="Listavistosa-nfasis1"/>
        <w:numPr>
          <w:ilvl w:val="0"/>
          <w:numId w:val="4"/>
        </w:numPr>
        <w:spacing w:before="120" w:after="120" w:line="240" w:lineRule="auto"/>
        <w:ind w:left="0" w:firstLine="0"/>
        <w:contextualSpacing w:val="0"/>
        <w:jc w:val="both"/>
        <w:rPr>
          <w:rFonts w:ascii="Verdana" w:hAnsi="Verdana"/>
          <w:color w:val="0070C0"/>
          <w:sz w:val="20"/>
          <w:szCs w:val="20"/>
          <w:lang w:val="es-MX"/>
        </w:rPr>
      </w:pPr>
      <w:r w:rsidRPr="00903DE2">
        <w:rPr>
          <w:rFonts w:ascii="Verdana" w:hAnsi="Verdana"/>
          <w:color w:val="000000"/>
          <w:sz w:val="20"/>
          <w:szCs w:val="20"/>
          <w:lang w:val="es-MX"/>
        </w:rPr>
        <w:t xml:space="preserve">El </w:t>
      </w:r>
      <w:r w:rsidRPr="00903DE2">
        <w:rPr>
          <w:rFonts w:ascii="Verdana" w:hAnsi="Verdana"/>
          <w:i/>
          <w:color w:val="000000"/>
          <w:sz w:val="20"/>
          <w:szCs w:val="20"/>
          <w:lang w:val="es-MX"/>
        </w:rPr>
        <w:t>Estado</w:t>
      </w:r>
      <w:r w:rsidRPr="00903DE2">
        <w:rPr>
          <w:rFonts w:ascii="Verdana" w:hAnsi="Verdana"/>
          <w:color w:val="000000"/>
          <w:sz w:val="20"/>
          <w:szCs w:val="20"/>
          <w:lang w:val="es-MX"/>
        </w:rPr>
        <w:t xml:space="preserve"> solicitó a la Corte </w:t>
      </w:r>
      <w:r w:rsidR="0052729E" w:rsidRPr="00903DE2">
        <w:rPr>
          <w:rFonts w:ascii="Verdana" w:hAnsi="Verdana"/>
          <w:color w:val="000000"/>
          <w:sz w:val="20"/>
          <w:szCs w:val="20"/>
          <w:lang w:val="es-MX"/>
        </w:rPr>
        <w:t>que se reconocieran “todas las medidas adoptadas para dejar sin efecto, en todos sus extremos, las sentencias penales condenatorias emitidas en contra de las víctimas del presente caso</w:t>
      </w:r>
      <w:r w:rsidR="00CF7632" w:rsidRPr="00903DE2">
        <w:rPr>
          <w:rFonts w:ascii="Verdana" w:hAnsi="Verdana"/>
          <w:color w:val="000000"/>
          <w:sz w:val="20"/>
          <w:szCs w:val="20"/>
          <w:lang w:val="es-MX"/>
        </w:rPr>
        <w:t>”.</w:t>
      </w:r>
      <w:r w:rsidR="0052729E" w:rsidRPr="00903DE2">
        <w:rPr>
          <w:rFonts w:ascii="Verdana" w:hAnsi="Verdana"/>
          <w:color w:val="000000"/>
          <w:sz w:val="20"/>
          <w:szCs w:val="20"/>
          <w:lang w:val="es-MX"/>
        </w:rPr>
        <w:t xml:space="preserve"> </w:t>
      </w:r>
      <w:r w:rsidRPr="00903DE2">
        <w:rPr>
          <w:rFonts w:ascii="Verdana" w:hAnsi="Verdana"/>
          <w:color w:val="000000"/>
          <w:sz w:val="20"/>
          <w:szCs w:val="20"/>
          <w:lang w:val="es-MX"/>
        </w:rPr>
        <w:t xml:space="preserve">En general, </w:t>
      </w:r>
      <w:r w:rsidRPr="00903DE2">
        <w:rPr>
          <w:rFonts w:ascii="Verdana" w:hAnsi="Verdana"/>
          <w:i/>
          <w:color w:val="000000"/>
          <w:sz w:val="20"/>
          <w:szCs w:val="20"/>
          <w:lang w:val="es-MX"/>
        </w:rPr>
        <w:t>CEJIL</w:t>
      </w:r>
      <w:r w:rsidRPr="00903DE2">
        <w:rPr>
          <w:rFonts w:ascii="Verdana" w:hAnsi="Verdana"/>
          <w:color w:val="000000"/>
          <w:sz w:val="20"/>
          <w:szCs w:val="20"/>
          <w:lang w:val="es-CR"/>
        </w:rPr>
        <w:t xml:space="preserve">, la </w:t>
      </w:r>
      <w:r w:rsidRPr="00903DE2">
        <w:rPr>
          <w:rFonts w:ascii="Verdana" w:hAnsi="Verdana"/>
          <w:i/>
          <w:color w:val="000000"/>
          <w:sz w:val="20"/>
          <w:szCs w:val="20"/>
          <w:lang w:val="es-CR"/>
        </w:rPr>
        <w:t>FIDH</w:t>
      </w:r>
      <w:r w:rsidRPr="00903DE2">
        <w:rPr>
          <w:rFonts w:ascii="Verdana" w:hAnsi="Verdana"/>
          <w:color w:val="000000"/>
          <w:sz w:val="20"/>
          <w:szCs w:val="20"/>
          <w:lang w:val="es-CR"/>
        </w:rPr>
        <w:t xml:space="preserve">, la representante </w:t>
      </w:r>
      <w:r w:rsidRPr="00903DE2">
        <w:rPr>
          <w:rFonts w:ascii="Verdana" w:hAnsi="Verdana"/>
          <w:i/>
          <w:color w:val="000000"/>
          <w:sz w:val="20"/>
          <w:szCs w:val="20"/>
          <w:lang w:val="es-CR"/>
        </w:rPr>
        <w:t xml:space="preserve">Myriam Reyes </w:t>
      </w:r>
      <w:r w:rsidRPr="00903DE2">
        <w:rPr>
          <w:rFonts w:ascii="Verdana" w:hAnsi="Verdana"/>
          <w:color w:val="000000"/>
          <w:sz w:val="20"/>
          <w:szCs w:val="20"/>
          <w:lang w:val="es-CR"/>
        </w:rPr>
        <w:t>y los representantes</w:t>
      </w:r>
      <w:r w:rsidRPr="00903DE2">
        <w:rPr>
          <w:rFonts w:ascii="Verdana" w:hAnsi="Verdana"/>
          <w:i/>
          <w:color w:val="000000"/>
          <w:sz w:val="20"/>
          <w:szCs w:val="20"/>
          <w:lang w:val="es-CR"/>
        </w:rPr>
        <w:t xml:space="preserve"> Llanquileo, Millamán y Lienlaf</w:t>
      </w:r>
      <w:r w:rsidR="00C44A53" w:rsidRPr="00903DE2">
        <w:rPr>
          <w:rFonts w:ascii="Verdana" w:hAnsi="Verdana"/>
          <w:color w:val="000000"/>
          <w:sz w:val="20"/>
          <w:szCs w:val="20"/>
          <w:lang w:val="es-CR"/>
        </w:rPr>
        <w:t>, así como</w:t>
      </w:r>
      <w:r w:rsidRPr="00903DE2">
        <w:rPr>
          <w:rFonts w:ascii="Verdana" w:hAnsi="Verdana"/>
          <w:color w:val="000000"/>
          <w:sz w:val="20"/>
          <w:szCs w:val="20"/>
          <w:lang w:val="es-CR"/>
        </w:rPr>
        <w:t xml:space="preserve"> la</w:t>
      </w:r>
      <w:r w:rsidRPr="00903DE2">
        <w:rPr>
          <w:rFonts w:ascii="Verdana" w:hAnsi="Verdana"/>
          <w:i/>
          <w:color w:val="000000"/>
          <w:sz w:val="20"/>
          <w:szCs w:val="20"/>
          <w:lang w:val="es-CR"/>
        </w:rPr>
        <w:t xml:space="preserve"> Comisión</w:t>
      </w:r>
      <w:r w:rsidR="00C44A53" w:rsidRPr="00903DE2">
        <w:rPr>
          <w:rFonts w:ascii="Verdana" w:hAnsi="Verdana"/>
          <w:i/>
          <w:color w:val="000000"/>
          <w:sz w:val="20"/>
          <w:szCs w:val="20"/>
          <w:lang w:val="es-CR"/>
        </w:rPr>
        <w:t xml:space="preserve"> Interamericana</w:t>
      </w:r>
      <w:r w:rsidRPr="00903DE2">
        <w:rPr>
          <w:rFonts w:ascii="Verdana" w:hAnsi="Verdana"/>
          <w:i/>
          <w:color w:val="000000"/>
          <w:sz w:val="20"/>
          <w:szCs w:val="20"/>
          <w:lang w:val="es-CR"/>
        </w:rPr>
        <w:t xml:space="preserve"> </w:t>
      </w:r>
      <w:r w:rsidRPr="00903DE2">
        <w:rPr>
          <w:rFonts w:ascii="Verdana" w:hAnsi="Verdana"/>
          <w:color w:val="000000"/>
          <w:sz w:val="20"/>
          <w:szCs w:val="20"/>
          <w:lang w:val="es-CR"/>
        </w:rPr>
        <w:t xml:space="preserve">han reconocido los esfuerzos del Estado para la eliminación de los antecedentes de las víctimas en varios registros estatales. Sin embargo, </w:t>
      </w:r>
      <w:r w:rsidR="00CC1A9F" w:rsidRPr="00903DE2">
        <w:rPr>
          <w:rFonts w:ascii="Verdana" w:hAnsi="Verdana"/>
          <w:color w:val="000000"/>
          <w:sz w:val="20"/>
          <w:szCs w:val="20"/>
          <w:lang w:val="es-CR"/>
        </w:rPr>
        <w:t xml:space="preserve">han hecho referencia </w:t>
      </w:r>
      <w:r w:rsidR="00105A04" w:rsidRPr="00903DE2">
        <w:rPr>
          <w:rFonts w:ascii="Verdana" w:hAnsi="Verdana"/>
          <w:color w:val="000000"/>
          <w:sz w:val="20"/>
          <w:szCs w:val="20"/>
          <w:lang w:val="es-CR"/>
        </w:rPr>
        <w:t xml:space="preserve">reiteradamente </w:t>
      </w:r>
      <w:r w:rsidR="00CC1A9F" w:rsidRPr="00903DE2">
        <w:rPr>
          <w:rFonts w:ascii="Verdana" w:hAnsi="Verdana"/>
          <w:color w:val="000000"/>
          <w:sz w:val="20"/>
          <w:szCs w:val="20"/>
          <w:lang w:val="es-CR"/>
        </w:rPr>
        <w:t xml:space="preserve">a la existencia de otros registros públicos respecto de los cuales Chile no ha aportado constancia de la eliminación de </w:t>
      </w:r>
      <w:r w:rsidR="00C44A53" w:rsidRPr="00903DE2">
        <w:rPr>
          <w:rFonts w:ascii="Verdana" w:hAnsi="Verdana"/>
          <w:color w:val="000000"/>
          <w:sz w:val="20"/>
          <w:szCs w:val="20"/>
          <w:lang w:val="es-CR"/>
        </w:rPr>
        <w:t xml:space="preserve">sus </w:t>
      </w:r>
      <w:r w:rsidRPr="00903DE2">
        <w:rPr>
          <w:rFonts w:ascii="Verdana" w:hAnsi="Verdana"/>
          <w:color w:val="000000"/>
          <w:sz w:val="20"/>
          <w:szCs w:val="20"/>
          <w:lang w:val="es-CR"/>
        </w:rPr>
        <w:t>antecedentes</w:t>
      </w:r>
      <w:r w:rsidR="00831C45" w:rsidRPr="009B6451">
        <w:rPr>
          <w:rStyle w:val="Refdenotaalpie"/>
          <w:rFonts w:ascii="Verdana" w:hAnsi="Verdana"/>
          <w:color w:val="000000"/>
          <w:sz w:val="20"/>
          <w:szCs w:val="20"/>
          <w:lang w:val="es-CR"/>
        </w:rPr>
        <w:footnoteReference w:id="37"/>
      </w:r>
      <w:r w:rsidR="000A1ED5" w:rsidRPr="00903DE2">
        <w:rPr>
          <w:rFonts w:ascii="Verdana" w:hAnsi="Verdana"/>
          <w:color w:val="000000"/>
          <w:sz w:val="20"/>
          <w:szCs w:val="20"/>
          <w:lang w:val="es-CR"/>
        </w:rPr>
        <w:t>.</w:t>
      </w:r>
      <w:r w:rsidRPr="00903DE2">
        <w:rPr>
          <w:rFonts w:ascii="Verdana" w:hAnsi="Verdana"/>
          <w:color w:val="000000"/>
          <w:sz w:val="20"/>
          <w:szCs w:val="20"/>
          <w:lang w:val="es-CR"/>
        </w:rPr>
        <w:t xml:space="preserve"> Además, </w:t>
      </w:r>
      <w:r w:rsidR="00234058" w:rsidRPr="00903DE2">
        <w:rPr>
          <w:rFonts w:ascii="Verdana" w:hAnsi="Verdana"/>
          <w:color w:val="000000"/>
          <w:sz w:val="20"/>
          <w:szCs w:val="20"/>
          <w:lang w:val="es-CR"/>
        </w:rPr>
        <w:t xml:space="preserve">tanto </w:t>
      </w:r>
      <w:r w:rsidR="00234058" w:rsidRPr="00903DE2">
        <w:rPr>
          <w:rFonts w:ascii="Verdana" w:hAnsi="Verdana"/>
          <w:i/>
          <w:color w:val="000000"/>
          <w:sz w:val="20"/>
          <w:szCs w:val="20"/>
          <w:lang w:val="es-CR"/>
        </w:rPr>
        <w:t>CEJIL</w:t>
      </w:r>
      <w:r w:rsidR="00234058" w:rsidRPr="009B6451">
        <w:rPr>
          <w:rStyle w:val="Refdenotaalpie"/>
          <w:rFonts w:ascii="Verdana" w:hAnsi="Verdana"/>
          <w:color w:val="000000"/>
          <w:sz w:val="20"/>
          <w:szCs w:val="20"/>
        </w:rPr>
        <w:footnoteReference w:id="38"/>
      </w:r>
      <w:r w:rsidR="00730E52" w:rsidRPr="00903DE2">
        <w:rPr>
          <w:rFonts w:ascii="Verdana" w:hAnsi="Verdana"/>
          <w:i/>
          <w:color w:val="000000"/>
          <w:sz w:val="20"/>
          <w:szCs w:val="20"/>
          <w:lang w:val="es-CR"/>
        </w:rPr>
        <w:t>, la representante Myriam Reyes</w:t>
      </w:r>
      <w:r w:rsidR="00585163" w:rsidRPr="00903DE2">
        <w:rPr>
          <w:rFonts w:ascii="Verdana" w:hAnsi="Verdana"/>
          <w:color w:val="000000"/>
          <w:sz w:val="20"/>
          <w:szCs w:val="20"/>
          <w:lang w:val="es-CR"/>
        </w:rPr>
        <w:t xml:space="preserve"> y </w:t>
      </w:r>
      <w:r w:rsidR="00234058" w:rsidRPr="00903DE2">
        <w:rPr>
          <w:rFonts w:ascii="Verdana" w:hAnsi="Verdana"/>
          <w:i/>
          <w:color w:val="000000"/>
          <w:sz w:val="20"/>
          <w:szCs w:val="20"/>
          <w:lang w:val="es-CR"/>
        </w:rPr>
        <w:t>los representantes</w:t>
      </w:r>
      <w:r w:rsidR="00234058" w:rsidRPr="00903DE2">
        <w:rPr>
          <w:rFonts w:ascii="Verdana" w:hAnsi="Verdana"/>
          <w:color w:val="000000"/>
          <w:sz w:val="20"/>
          <w:szCs w:val="20"/>
          <w:lang w:val="es-CR"/>
        </w:rPr>
        <w:t xml:space="preserve"> </w:t>
      </w:r>
      <w:r w:rsidR="00234058" w:rsidRPr="00903DE2">
        <w:rPr>
          <w:rFonts w:ascii="Verdana" w:hAnsi="Verdana"/>
          <w:i/>
          <w:color w:val="000000"/>
          <w:sz w:val="20"/>
          <w:szCs w:val="20"/>
          <w:lang w:val="es-CR"/>
        </w:rPr>
        <w:t>Llanquileo, Millamán y Lienlaf</w:t>
      </w:r>
      <w:r w:rsidR="00234058" w:rsidRPr="009B6451">
        <w:rPr>
          <w:rStyle w:val="Refdenotaalpie"/>
          <w:rFonts w:ascii="Verdana" w:hAnsi="Verdana"/>
          <w:i/>
          <w:color w:val="000000"/>
          <w:sz w:val="20"/>
          <w:szCs w:val="20"/>
          <w:lang w:val="es-CR"/>
        </w:rPr>
        <w:footnoteReference w:id="39"/>
      </w:r>
      <w:r w:rsidR="00234058" w:rsidRPr="00903DE2">
        <w:rPr>
          <w:rFonts w:ascii="Verdana" w:hAnsi="Verdana"/>
          <w:i/>
          <w:color w:val="000000"/>
          <w:sz w:val="20"/>
          <w:szCs w:val="20"/>
          <w:lang w:val="es-CR"/>
        </w:rPr>
        <w:t xml:space="preserve"> </w:t>
      </w:r>
      <w:r w:rsidR="00831C45" w:rsidRPr="00903DE2">
        <w:rPr>
          <w:rFonts w:ascii="Verdana" w:hAnsi="Verdana"/>
          <w:color w:val="000000"/>
          <w:sz w:val="20"/>
          <w:szCs w:val="20"/>
          <w:lang w:val="es-CR"/>
        </w:rPr>
        <w:t>cuestionaron</w:t>
      </w:r>
      <w:r w:rsidR="00CC1A9F" w:rsidRPr="00903DE2">
        <w:rPr>
          <w:rFonts w:ascii="Verdana" w:hAnsi="Verdana"/>
          <w:color w:val="000000"/>
          <w:sz w:val="20"/>
          <w:szCs w:val="20"/>
          <w:lang w:val="es-CR"/>
        </w:rPr>
        <w:t xml:space="preserve"> </w:t>
      </w:r>
      <w:r w:rsidR="00234058" w:rsidRPr="00903DE2">
        <w:rPr>
          <w:rFonts w:ascii="Verdana" w:hAnsi="Verdana"/>
          <w:color w:val="000000"/>
          <w:sz w:val="20"/>
          <w:szCs w:val="20"/>
          <w:lang w:val="es-CR"/>
        </w:rPr>
        <w:t xml:space="preserve">que </w:t>
      </w:r>
      <w:r w:rsidR="00CC1A9F" w:rsidRPr="00903DE2">
        <w:rPr>
          <w:rFonts w:ascii="Verdana" w:hAnsi="Verdana"/>
          <w:color w:val="000000"/>
          <w:sz w:val="20"/>
          <w:szCs w:val="20"/>
          <w:lang w:val="es-CR"/>
        </w:rPr>
        <w:t>la eliminación de los antecedentes en los registros de Carabineros de Chile</w:t>
      </w:r>
      <w:r w:rsidR="00234058" w:rsidRPr="00903DE2">
        <w:rPr>
          <w:rFonts w:ascii="Verdana" w:hAnsi="Verdana"/>
          <w:color w:val="000000"/>
          <w:sz w:val="20"/>
          <w:szCs w:val="20"/>
          <w:lang w:val="es-CR"/>
        </w:rPr>
        <w:t xml:space="preserve"> no se habría realizado de forma completa</w:t>
      </w:r>
      <w:r w:rsidR="00CC1A9F" w:rsidRPr="00903DE2">
        <w:rPr>
          <w:rFonts w:ascii="Verdana" w:hAnsi="Verdana"/>
          <w:color w:val="000000"/>
          <w:sz w:val="20"/>
          <w:szCs w:val="20"/>
          <w:lang w:val="es-CR"/>
        </w:rPr>
        <w:t xml:space="preserve">. </w:t>
      </w:r>
      <w:r w:rsidR="00831C45" w:rsidRPr="00903DE2">
        <w:rPr>
          <w:rFonts w:ascii="Verdana" w:hAnsi="Verdana"/>
          <w:color w:val="000000"/>
          <w:sz w:val="20"/>
          <w:szCs w:val="20"/>
          <w:lang w:val="es-CR"/>
        </w:rPr>
        <w:t>El E</w:t>
      </w:r>
      <w:r w:rsidR="003F73B7" w:rsidRPr="00903DE2">
        <w:rPr>
          <w:rFonts w:ascii="Verdana" w:hAnsi="Verdana"/>
          <w:color w:val="000000"/>
          <w:sz w:val="20"/>
          <w:szCs w:val="20"/>
          <w:lang w:val="es-CR"/>
        </w:rPr>
        <w:t>s</w:t>
      </w:r>
      <w:r w:rsidR="00831C45" w:rsidRPr="00903DE2">
        <w:rPr>
          <w:rFonts w:ascii="Verdana" w:hAnsi="Verdana"/>
          <w:color w:val="000000"/>
          <w:sz w:val="20"/>
          <w:szCs w:val="20"/>
          <w:lang w:val="es-CR"/>
        </w:rPr>
        <w:t xml:space="preserve">tado </w:t>
      </w:r>
      <w:r w:rsidR="004319FF" w:rsidRPr="00903DE2">
        <w:rPr>
          <w:rFonts w:ascii="Verdana" w:hAnsi="Verdana"/>
          <w:color w:val="000000"/>
          <w:sz w:val="20"/>
          <w:szCs w:val="20"/>
          <w:lang w:val="es-CR"/>
        </w:rPr>
        <w:t>no</w:t>
      </w:r>
      <w:r w:rsidR="00831C45" w:rsidRPr="00903DE2">
        <w:rPr>
          <w:rFonts w:ascii="Verdana" w:hAnsi="Verdana"/>
          <w:color w:val="000000"/>
          <w:sz w:val="20"/>
          <w:szCs w:val="20"/>
          <w:lang w:val="es-CR"/>
        </w:rPr>
        <w:t xml:space="preserve"> </w:t>
      </w:r>
      <w:r w:rsidR="00BA2511" w:rsidRPr="00903DE2">
        <w:rPr>
          <w:rFonts w:ascii="Verdana" w:hAnsi="Verdana"/>
          <w:color w:val="000000"/>
          <w:sz w:val="20"/>
          <w:szCs w:val="20"/>
          <w:lang w:val="es-CR"/>
        </w:rPr>
        <w:t>hizo</w:t>
      </w:r>
      <w:r w:rsidR="00831C45" w:rsidRPr="00903DE2">
        <w:rPr>
          <w:rFonts w:ascii="Verdana" w:hAnsi="Verdana"/>
          <w:color w:val="000000"/>
          <w:sz w:val="20"/>
          <w:szCs w:val="20"/>
          <w:lang w:val="es-CR"/>
        </w:rPr>
        <w:t xml:space="preserve"> referenc</w:t>
      </w:r>
      <w:r w:rsidR="000A1ED5" w:rsidRPr="00903DE2">
        <w:rPr>
          <w:rFonts w:ascii="Verdana" w:hAnsi="Verdana"/>
          <w:color w:val="000000"/>
          <w:sz w:val="20"/>
          <w:szCs w:val="20"/>
          <w:lang w:val="es-CR"/>
        </w:rPr>
        <w:t xml:space="preserve">ia a estas </w:t>
      </w:r>
      <w:r w:rsidR="00252F30" w:rsidRPr="00903DE2">
        <w:rPr>
          <w:rFonts w:ascii="Verdana" w:hAnsi="Verdana"/>
          <w:color w:val="000000"/>
          <w:sz w:val="20"/>
          <w:szCs w:val="20"/>
          <w:lang w:val="es-CR"/>
        </w:rPr>
        <w:t>objeciones</w:t>
      </w:r>
      <w:r w:rsidR="003E0BB8" w:rsidRPr="00903DE2">
        <w:rPr>
          <w:rFonts w:ascii="Verdana" w:hAnsi="Verdana"/>
          <w:color w:val="000000"/>
          <w:sz w:val="20"/>
          <w:szCs w:val="20"/>
          <w:lang w:val="es-CR"/>
        </w:rPr>
        <w:t xml:space="preserve"> de </w:t>
      </w:r>
      <w:r w:rsidR="00E91C98" w:rsidRPr="00903DE2">
        <w:rPr>
          <w:rFonts w:ascii="Verdana" w:hAnsi="Verdana"/>
          <w:color w:val="000000"/>
          <w:sz w:val="20"/>
          <w:szCs w:val="20"/>
          <w:lang w:val="es-CR"/>
        </w:rPr>
        <w:t>los</w:t>
      </w:r>
      <w:r w:rsidR="00297847" w:rsidRPr="00903DE2">
        <w:rPr>
          <w:rFonts w:ascii="Verdana" w:hAnsi="Verdana"/>
          <w:color w:val="000000"/>
          <w:sz w:val="20"/>
          <w:szCs w:val="20"/>
          <w:lang w:val="es-CR"/>
        </w:rPr>
        <w:t xml:space="preserve"> </w:t>
      </w:r>
      <w:r w:rsidR="003E0BB8" w:rsidRPr="00903DE2">
        <w:rPr>
          <w:rFonts w:ascii="Verdana" w:hAnsi="Verdana"/>
          <w:color w:val="000000"/>
          <w:sz w:val="20"/>
          <w:szCs w:val="20"/>
          <w:lang w:val="es-CR"/>
        </w:rPr>
        <w:t>representantes</w:t>
      </w:r>
      <w:r w:rsidR="000634CA" w:rsidRPr="00903DE2">
        <w:rPr>
          <w:rFonts w:ascii="Verdana" w:hAnsi="Verdana"/>
          <w:color w:val="000000"/>
          <w:sz w:val="20"/>
          <w:szCs w:val="20"/>
          <w:lang w:val="es-CR"/>
        </w:rPr>
        <w:t xml:space="preserve"> </w:t>
      </w:r>
      <w:r w:rsidR="00BA2511" w:rsidRPr="00903DE2">
        <w:rPr>
          <w:rFonts w:ascii="Verdana" w:hAnsi="Verdana"/>
          <w:color w:val="000000"/>
          <w:sz w:val="20"/>
          <w:szCs w:val="20"/>
          <w:lang w:val="es-CR"/>
        </w:rPr>
        <w:t>y</w:t>
      </w:r>
      <w:r w:rsidR="000634CA" w:rsidRPr="00903DE2">
        <w:rPr>
          <w:rFonts w:ascii="Verdana" w:hAnsi="Verdana"/>
          <w:color w:val="000000"/>
          <w:sz w:val="20"/>
          <w:szCs w:val="20"/>
          <w:lang w:val="es-CR"/>
        </w:rPr>
        <w:t xml:space="preserve"> tampoco </w:t>
      </w:r>
      <w:r w:rsidR="00BA2511" w:rsidRPr="00903DE2">
        <w:rPr>
          <w:rFonts w:ascii="Verdana" w:hAnsi="Verdana"/>
          <w:color w:val="000000"/>
          <w:sz w:val="20"/>
          <w:szCs w:val="20"/>
          <w:lang w:val="es-CR"/>
        </w:rPr>
        <w:t>explicó</w:t>
      </w:r>
      <w:r w:rsidR="000634CA" w:rsidRPr="00903DE2">
        <w:rPr>
          <w:rFonts w:ascii="Verdana" w:hAnsi="Verdana"/>
          <w:color w:val="000000"/>
          <w:sz w:val="20"/>
          <w:szCs w:val="20"/>
          <w:lang w:val="es-CR"/>
        </w:rPr>
        <w:t xml:space="preserve"> cómo habría cumplido con la parte de la reparación relativa a “</w:t>
      </w:r>
      <w:r w:rsidR="000634CA" w:rsidRPr="00903DE2">
        <w:rPr>
          <w:rFonts w:ascii="Verdana" w:hAnsi="Verdana"/>
          <w:sz w:val="20"/>
          <w:szCs w:val="20"/>
          <w:lang w:val="es-CR"/>
        </w:rPr>
        <w:t>dejar sin efecto la declaración de las ocho víctimas de este caso como autores de delitos de carácter terrorista”</w:t>
      </w:r>
      <w:r w:rsidR="00D615F3" w:rsidRPr="00903DE2">
        <w:rPr>
          <w:rFonts w:ascii="Verdana" w:hAnsi="Verdana"/>
          <w:sz w:val="20"/>
          <w:szCs w:val="20"/>
          <w:lang w:val="es-CR"/>
        </w:rPr>
        <w:t xml:space="preserve"> (</w:t>
      </w:r>
      <w:r w:rsidR="00D615F3" w:rsidRPr="00903DE2">
        <w:rPr>
          <w:rFonts w:ascii="Verdana" w:hAnsi="Verdana"/>
          <w:i/>
          <w:sz w:val="20"/>
          <w:szCs w:val="20"/>
          <w:lang w:val="es-CR"/>
        </w:rPr>
        <w:t>supra</w:t>
      </w:r>
      <w:r w:rsidR="00D615F3" w:rsidRPr="00903DE2">
        <w:rPr>
          <w:rFonts w:ascii="Verdana" w:hAnsi="Verdana"/>
          <w:sz w:val="20"/>
          <w:szCs w:val="20"/>
          <w:lang w:val="es-CR"/>
        </w:rPr>
        <w:t xml:space="preserve"> Considerando 6)</w:t>
      </w:r>
      <w:r w:rsidR="00CF7632" w:rsidRPr="00903DE2">
        <w:rPr>
          <w:rStyle w:val="Refdenotaalpie"/>
          <w:rFonts w:ascii="Verdana" w:hAnsi="Verdana"/>
          <w:sz w:val="20"/>
          <w:szCs w:val="20"/>
          <w:lang w:val="es-CR"/>
        </w:rPr>
        <w:footnoteReference w:id="40"/>
      </w:r>
      <w:r w:rsidR="003E0BB8" w:rsidRPr="00903DE2">
        <w:rPr>
          <w:rFonts w:ascii="Verdana" w:hAnsi="Verdana"/>
          <w:color w:val="000000"/>
          <w:sz w:val="20"/>
          <w:szCs w:val="20"/>
          <w:lang w:val="es-CR"/>
        </w:rPr>
        <w:t xml:space="preserve">. </w:t>
      </w:r>
    </w:p>
    <w:p w:rsidR="00CC1A9F" w:rsidRPr="009B6451" w:rsidRDefault="00252F30" w:rsidP="00807889">
      <w:pPr>
        <w:pStyle w:val="Listavistosa-nfasis1"/>
        <w:numPr>
          <w:ilvl w:val="0"/>
          <w:numId w:val="4"/>
        </w:numPr>
        <w:spacing w:before="120" w:after="120" w:line="240" w:lineRule="auto"/>
        <w:ind w:left="0" w:firstLine="0"/>
        <w:contextualSpacing w:val="0"/>
        <w:jc w:val="both"/>
        <w:rPr>
          <w:rFonts w:ascii="Verdana" w:hAnsi="Verdana"/>
          <w:color w:val="548DD4"/>
          <w:sz w:val="20"/>
          <w:szCs w:val="20"/>
          <w:lang w:val="es-MX"/>
        </w:rPr>
      </w:pPr>
      <w:r w:rsidRPr="00725A52">
        <w:rPr>
          <w:rFonts w:ascii="Verdana" w:hAnsi="Verdana"/>
          <w:sz w:val="20"/>
          <w:szCs w:val="20"/>
          <w:lang w:val="es-CR"/>
        </w:rPr>
        <w:t xml:space="preserve">Siendo que la reparación ordenada implica la supresión </w:t>
      </w:r>
      <w:r w:rsidR="000634CA">
        <w:rPr>
          <w:rFonts w:ascii="Verdana" w:hAnsi="Verdana"/>
          <w:sz w:val="20"/>
          <w:szCs w:val="20"/>
          <w:lang w:val="es-CR"/>
        </w:rPr>
        <w:t xml:space="preserve">de </w:t>
      </w:r>
      <w:r w:rsidRPr="00725A52">
        <w:rPr>
          <w:rFonts w:ascii="Verdana" w:hAnsi="Verdana"/>
          <w:sz w:val="20"/>
          <w:szCs w:val="20"/>
          <w:lang w:val="es-CR"/>
        </w:rPr>
        <w:t>todos los antecedentes en cualquier tipo de registro nacional e internacional que vincule a las víctimas con actos de carácter terrorista (</w:t>
      </w:r>
      <w:r w:rsidRPr="00725A52">
        <w:rPr>
          <w:rFonts w:ascii="Verdana" w:hAnsi="Verdana"/>
          <w:i/>
          <w:sz w:val="20"/>
          <w:szCs w:val="20"/>
          <w:lang w:val="es-CR"/>
        </w:rPr>
        <w:t xml:space="preserve">supra </w:t>
      </w:r>
      <w:r w:rsidRPr="00725A52">
        <w:rPr>
          <w:rFonts w:ascii="Verdana" w:hAnsi="Verdana"/>
          <w:sz w:val="20"/>
          <w:szCs w:val="20"/>
          <w:lang w:val="es-CR"/>
        </w:rPr>
        <w:t>Considerando 5.iv.),</w:t>
      </w:r>
      <w:r>
        <w:rPr>
          <w:rFonts w:ascii="Verdana" w:hAnsi="Verdana"/>
          <w:sz w:val="20"/>
          <w:szCs w:val="20"/>
          <w:lang w:val="es-CR"/>
        </w:rPr>
        <w:t xml:space="preserve"> </w:t>
      </w:r>
      <w:r w:rsidR="003E0BB8">
        <w:rPr>
          <w:rFonts w:ascii="Verdana" w:hAnsi="Verdana"/>
          <w:sz w:val="20"/>
          <w:szCs w:val="20"/>
          <w:lang w:val="es-CR"/>
        </w:rPr>
        <w:t xml:space="preserve">se requiere </w:t>
      </w:r>
      <w:r>
        <w:rPr>
          <w:rFonts w:ascii="Verdana" w:hAnsi="Verdana"/>
          <w:sz w:val="20"/>
          <w:szCs w:val="20"/>
          <w:lang w:val="es-CR"/>
        </w:rPr>
        <w:t xml:space="preserve">a Chile </w:t>
      </w:r>
      <w:r w:rsidR="003E0BB8">
        <w:rPr>
          <w:rFonts w:ascii="Verdana" w:hAnsi="Verdana"/>
          <w:sz w:val="20"/>
          <w:szCs w:val="20"/>
          <w:lang w:val="es-CR"/>
        </w:rPr>
        <w:t xml:space="preserve">que en su próximo informe </w:t>
      </w:r>
      <w:r>
        <w:rPr>
          <w:rFonts w:ascii="Verdana" w:hAnsi="Verdana"/>
          <w:sz w:val="20"/>
          <w:szCs w:val="20"/>
          <w:lang w:val="es-CR"/>
        </w:rPr>
        <w:t xml:space="preserve">se refiera a las referidas objeciones de los representantes </w:t>
      </w:r>
      <w:r w:rsidR="004319FF">
        <w:rPr>
          <w:rFonts w:ascii="Verdana" w:hAnsi="Verdana"/>
          <w:sz w:val="20"/>
          <w:szCs w:val="20"/>
          <w:lang w:val="es-CR"/>
        </w:rPr>
        <w:t>(</w:t>
      </w:r>
      <w:r w:rsidR="004319FF" w:rsidRPr="00725A52">
        <w:rPr>
          <w:rFonts w:ascii="Verdana" w:hAnsi="Verdana"/>
          <w:i/>
          <w:sz w:val="20"/>
          <w:szCs w:val="20"/>
          <w:lang w:val="es-CR"/>
        </w:rPr>
        <w:t xml:space="preserve">supra </w:t>
      </w:r>
      <w:r w:rsidR="004319FF">
        <w:rPr>
          <w:rFonts w:ascii="Verdana" w:hAnsi="Verdana"/>
          <w:sz w:val="20"/>
          <w:szCs w:val="20"/>
          <w:lang w:val="es-CR"/>
        </w:rPr>
        <w:t>Considerando</w:t>
      </w:r>
      <w:r w:rsidR="00D615F3">
        <w:rPr>
          <w:rFonts w:ascii="Verdana" w:hAnsi="Verdana"/>
          <w:sz w:val="20"/>
          <w:szCs w:val="20"/>
          <w:lang w:val="es-CR"/>
        </w:rPr>
        <w:t>12</w:t>
      </w:r>
      <w:r w:rsidR="004319FF">
        <w:rPr>
          <w:rFonts w:ascii="Verdana" w:hAnsi="Verdana"/>
          <w:sz w:val="20"/>
          <w:szCs w:val="20"/>
          <w:lang w:val="es-CR"/>
        </w:rPr>
        <w:t xml:space="preserve">) </w:t>
      </w:r>
      <w:r>
        <w:rPr>
          <w:rFonts w:ascii="Verdana" w:hAnsi="Verdana"/>
          <w:sz w:val="20"/>
          <w:szCs w:val="20"/>
          <w:lang w:val="es-CR"/>
        </w:rPr>
        <w:t xml:space="preserve">e indique las acciones que </w:t>
      </w:r>
      <w:r w:rsidR="00D615F3">
        <w:rPr>
          <w:rFonts w:ascii="Verdana" w:hAnsi="Verdana"/>
          <w:sz w:val="20"/>
          <w:szCs w:val="20"/>
          <w:lang w:val="es-CR"/>
        </w:rPr>
        <w:t xml:space="preserve">está </w:t>
      </w:r>
      <w:r>
        <w:rPr>
          <w:rFonts w:ascii="Verdana" w:hAnsi="Verdana"/>
          <w:sz w:val="20"/>
          <w:szCs w:val="20"/>
          <w:lang w:val="es-CR"/>
        </w:rPr>
        <w:t xml:space="preserve">implementando para asegurar que </w:t>
      </w:r>
      <w:r w:rsidR="00730E52">
        <w:rPr>
          <w:rFonts w:ascii="Verdana" w:hAnsi="Verdana"/>
          <w:sz w:val="20"/>
          <w:szCs w:val="20"/>
          <w:lang w:val="es-CR"/>
        </w:rPr>
        <w:t>l</w:t>
      </w:r>
      <w:r>
        <w:rPr>
          <w:rFonts w:ascii="Verdana" w:hAnsi="Verdana"/>
          <w:sz w:val="20"/>
          <w:szCs w:val="20"/>
          <w:lang w:val="es-CR"/>
        </w:rPr>
        <w:t xml:space="preserve">os antecedentes de las ocho víctimas por las causas penales objeto del presente caso no consten en registro alguno. Asimismo, </w:t>
      </w:r>
      <w:r w:rsidR="00585163">
        <w:rPr>
          <w:rFonts w:ascii="Verdana" w:hAnsi="Verdana"/>
          <w:sz w:val="20"/>
          <w:szCs w:val="20"/>
          <w:lang w:val="es-CR"/>
        </w:rPr>
        <w:t xml:space="preserve">se requiere al Estado que en dicho informe se refiera a la solicitud planteada </w:t>
      </w:r>
      <w:r w:rsidR="001033C3">
        <w:rPr>
          <w:rFonts w:ascii="Verdana" w:hAnsi="Verdana"/>
          <w:sz w:val="20"/>
          <w:szCs w:val="20"/>
          <w:lang w:val="es-CR"/>
        </w:rPr>
        <w:t xml:space="preserve">reiteradamente </w:t>
      </w:r>
      <w:r w:rsidR="00585163">
        <w:rPr>
          <w:rFonts w:ascii="Verdana" w:hAnsi="Verdana"/>
          <w:sz w:val="20"/>
          <w:szCs w:val="20"/>
          <w:lang w:val="es-CR"/>
        </w:rPr>
        <w:t>por los representantes de las víctimas</w:t>
      </w:r>
      <w:r w:rsidR="001033C3">
        <w:rPr>
          <w:rFonts w:ascii="Verdana" w:hAnsi="Verdana"/>
          <w:sz w:val="20"/>
          <w:szCs w:val="20"/>
          <w:lang w:val="es-CR"/>
        </w:rPr>
        <w:t xml:space="preserve">, así como por </w:t>
      </w:r>
      <w:r w:rsidR="004319FF">
        <w:rPr>
          <w:rFonts w:ascii="Verdana" w:hAnsi="Verdana"/>
          <w:sz w:val="20"/>
          <w:szCs w:val="20"/>
          <w:lang w:val="es-CR"/>
        </w:rPr>
        <w:t>la Comisión Interamericana</w:t>
      </w:r>
      <w:r w:rsidR="000634CA">
        <w:rPr>
          <w:rFonts w:ascii="Verdana" w:hAnsi="Verdana"/>
          <w:sz w:val="20"/>
          <w:szCs w:val="20"/>
          <w:lang w:val="es-CR"/>
        </w:rPr>
        <w:t>,</w:t>
      </w:r>
      <w:r w:rsidR="00585163">
        <w:rPr>
          <w:rFonts w:ascii="Verdana" w:hAnsi="Verdana"/>
          <w:sz w:val="20"/>
          <w:szCs w:val="20"/>
          <w:lang w:val="es-CR"/>
        </w:rPr>
        <w:t xml:space="preserve"> respecto a proporcionar a cada una de las víctimas una “certificación específica y personalizada” donde </w:t>
      </w:r>
      <w:r w:rsidR="00585163">
        <w:rPr>
          <w:rFonts w:ascii="Verdana" w:hAnsi="Verdana"/>
          <w:sz w:val="20"/>
          <w:szCs w:val="20"/>
          <w:lang w:val="es-CR"/>
        </w:rPr>
        <w:lastRenderedPageBreak/>
        <w:t>se haga constar que no existen anotaciones de sus antecedentes en cualquier tipo de registro en relación con las sentencias penales condenatorias que fueron objeto del presente caso.</w:t>
      </w:r>
    </w:p>
    <w:p w:rsidR="001C6A45" w:rsidRPr="001C6A45" w:rsidRDefault="001C6A45" w:rsidP="00807889">
      <w:pPr>
        <w:pStyle w:val="Listavistosa-nfasis1"/>
        <w:numPr>
          <w:ilvl w:val="0"/>
          <w:numId w:val="4"/>
        </w:numPr>
        <w:spacing w:before="120" w:after="120" w:line="240" w:lineRule="auto"/>
        <w:ind w:left="0" w:firstLine="0"/>
        <w:contextualSpacing w:val="0"/>
        <w:jc w:val="both"/>
        <w:rPr>
          <w:rFonts w:ascii="Verdana" w:hAnsi="Verdana"/>
          <w:color w:val="000000"/>
          <w:sz w:val="20"/>
          <w:szCs w:val="20"/>
          <w:lang w:val="es-MX"/>
        </w:rPr>
      </w:pPr>
      <w:r>
        <w:rPr>
          <w:rFonts w:ascii="Verdana" w:hAnsi="Verdana"/>
          <w:color w:val="000000"/>
          <w:sz w:val="20"/>
          <w:szCs w:val="20"/>
          <w:lang w:val="es-MX"/>
        </w:rPr>
        <w:t xml:space="preserve">En razón de los avances </w:t>
      </w:r>
      <w:r w:rsidR="003F73B7" w:rsidRPr="001C6A45">
        <w:rPr>
          <w:rFonts w:ascii="Verdana" w:hAnsi="Verdana"/>
          <w:color w:val="000000"/>
          <w:sz w:val="20"/>
          <w:szCs w:val="20"/>
          <w:lang w:val="es-MX"/>
        </w:rPr>
        <w:t xml:space="preserve">realizados por </w:t>
      </w:r>
      <w:r w:rsidR="003E0BB8" w:rsidRPr="001C6A45">
        <w:rPr>
          <w:rFonts w:ascii="Verdana" w:hAnsi="Verdana"/>
          <w:color w:val="000000"/>
          <w:sz w:val="20"/>
          <w:szCs w:val="20"/>
          <w:lang w:val="es-MX"/>
        </w:rPr>
        <w:t>Chile</w:t>
      </w:r>
      <w:r w:rsidR="000A1ED5" w:rsidRPr="001C6A45">
        <w:rPr>
          <w:rFonts w:ascii="Verdana" w:hAnsi="Verdana"/>
          <w:color w:val="000000"/>
          <w:sz w:val="20"/>
          <w:szCs w:val="20"/>
          <w:lang w:val="es-MX"/>
        </w:rPr>
        <w:t xml:space="preserve"> </w:t>
      </w:r>
      <w:r w:rsidR="003E0BB8" w:rsidRPr="001C6A45">
        <w:rPr>
          <w:rFonts w:ascii="Verdana" w:hAnsi="Verdana"/>
          <w:color w:val="000000"/>
          <w:sz w:val="20"/>
          <w:szCs w:val="20"/>
          <w:lang w:val="es-MX"/>
        </w:rPr>
        <w:t xml:space="preserve">respecto a la eliminación </w:t>
      </w:r>
      <w:r>
        <w:rPr>
          <w:rFonts w:ascii="Verdana" w:hAnsi="Verdana"/>
          <w:color w:val="000000"/>
          <w:sz w:val="20"/>
          <w:szCs w:val="20"/>
          <w:lang w:val="es-MX"/>
        </w:rPr>
        <w:t xml:space="preserve">de </w:t>
      </w:r>
      <w:r w:rsidR="003E0BB8" w:rsidRPr="001C6A45">
        <w:rPr>
          <w:rFonts w:ascii="Verdana" w:hAnsi="Verdana"/>
          <w:color w:val="000000"/>
          <w:sz w:val="20"/>
          <w:szCs w:val="20"/>
          <w:lang w:val="es-MX"/>
        </w:rPr>
        <w:t>antecedentes de las víctimas en diversos registros estatales (</w:t>
      </w:r>
      <w:r w:rsidR="003E0BB8" w:rsidRPr="001C6A45">
        <w:rPr>
          <w:rFonts w:ascii="Verdana" w:hAnsi="Verdana"/>
          <w:i/>
          <w:color w:val="000000"/>
          <w:sz w:val="20"/>
          <w:szCs w:val="20"/>
          <w:lang w:val="es-MX"/>
        </w:rPr>
        <w:t xml:space="preserve">supra </w:t>
      </w:r>
      <w:r w:rsidR="003E0BB8" w:rsidRPr="001C6A45">
        <w:rPr>
          <w:rFonts w:ascii="Verdana" w:hAnsi="Verdana"/>
          <w:color w:val="000000"/>
          <w:sz w:val="20"/>
          <w:szCs w:val="20"/>
          <w:lang w:val="es-MX"/>
        </w:rPr>
        <w:t xml:space="preserve">Considerando </w:t>
      </w:r>
      <w:r w:rsidR="00DB18EA">
        <w:rPr>
          <w:rFonts w:ascii="Verdana" w:hAnsi="Verdana"/>
          <w:color w:val="000000"/>
          <w:sz w:val="20"/>
          <w:szCs w:val="20"/>
          <w:lang w:val="es-MX"/>
        </w:rPr>
        <w:t>11</w:t>
      </w:r>
      <w:r w:rsidR="00DB18EA" w:rsidRPr="001C6A45">
        <w:rPr>
          <w:rFonts w:ascii="Verdana" w:hAnsi="Verdana"/>
          <w:color w:val="000000"/>
          <w:sz w:val="20"/>
          <w:szCs w:val="20"/>
          <w:lang w:val="es-MX"/>
        </w:rPr>
        <w:t xml:space="preserve">), </w:t>
      </w:r>
      <w:r w:rsidR="003E0BB8" w:rsidRPr="001C6A45">
        <w:rPr>
          <w:rFonts w:ascii="Verdana" w:hAnsi="Verdana"/>
          <w:color w:val="000000"/>
          <w:sz w:val="20"/>
          <w:szCs w:val="20"/>
          <w:lang w:val="es-MX"/>
        </w:rPr>
        <w:t>a la eliminación de órdenes de detención (</w:t>
      </w:r>
      <w:r w:rsidR="003E0BB8" w:rsidRPr="001C6A45">
        <w:rPr>
          <w:rFonts w:ascii="Verdana" w:hAnsi="Verdana"/>
          <w:i/>
          <w:color w:val="000000"/>
          <w:sz w:val="20"/>
          <w:szCs w:val="20"/>
          <w:lang w:val="es-MX"/>
        </w:rPr>
        <w:t>supra</w:t>
      </w:r>
      <w:r w:rsidR="003E0BB8" w:rsidRPr="001C6A45">
        <w:rPr>
          <w:rFonts w:ascii="Verdana" w:hAnsi="Verdana"/>
          <w:color w:val="000000"/>
          <w:sz w:val="20"/>
          <w:szCs w:val="20"/>
          <w:lang w:val="es-MX"/>
        </w:rPr>
        <w:t xml:space="preserve"> Considerando </w:t>
      </w:r>
      <w:r w:rsidR="00DB18EA">
        <w:rPr>
          <w:rFonts w:ascii="Verdana" w:hAnsi="Verdana"/>
          <w:color w:val="000000"/>
          <w:sz w:val="20"/>
          <w:szCs w:val="20"/>
          <w:lang w:val="es-MX"/>
        </w:rPr>
        <w:t>8</w:t>
      </w:r>
      <w:r w:rsidR="00DB18EA" w:rsidRPr="001C6A45">
        <w:rPr>
          <w:rFonts w:ascii="Verdana" w:hAnsi="Verdana"/>
          <w:color w:val="000000"/>
          <w:sz w:val="20"/>
          <w:szCs w:val="20"/>
          <w:lang w:val="es-MX"/>
        </w:rPr>
        <w:t xml:space="preserve">) </w:t>
      </w:r>
      <w:r w:rsidR="003E0BB8" w:rsidRPr="001C6A45">
        <w:rPr>
          <w:rFonts w:ascii="Verdana" w:hAnsi="Verdana"/>
          <w:color w:val="000000"/>
          <w:sz w:val="20"/>
          <w:szCs w:val="20"/>
          <w:lang w:val="es-MX"/>
        </w:rPr>
        <w:t xml:space="preserve">y para dejar sin efecto las penas accesorias </w:t>
      </w:r>
      <w:r w:rsidR="00E91C98" w:rsidRPr="001C6A45">
        <w:rPr>
          <w:rFonts w:ascii="Verdana" w:hAnsi="Verdana"/>
          <w:color w:val="000000"/>
          <w:sz w:val="20"/>
          <w:szCs w:val="20"/>
          <w:lang w:val="es-MX"/>
        </w:rPr>
        <w:t xml:space="preserve">relacionadas con la inhabilitación de las víctimas para el ejercicio de </w:t>
      </w:r>
      <w:r w:rsidR="00E91C98" w:rsidRPr="00E54404">
        <w:rPr>
          <w:rFonts w:ascii="Verdana" w:hAnsi="Verdana"/>
          <w:color w:val="000000"/>
          <w:sz w:val="20"/>
          <w:szCs w:val="20"/>
          <w:lang w:val="es-MX"/>
        </w:rPr>
        <w:t>derechos políticos (</w:t>
      </w:r>
      <w:r w:rsidR="00E91C98" w:rsidRPr="00E54404">
        <w:rPr>
          <w:rFonts w:ascii="Verdana" w:hAnsi="Verdana"/>
          <w:i/>
          <w:color w:val="000000"/>
          <w:sz w:val="20"/>
          <w:szCs w:val="20"/>
          <w:lang w:val="es-MX"/>
        </w:rPr>
        <w:t xml:space="preserve">supra </w:t>
      </w:r>
      <w:r w:rsidR="00E91C98" w:rsidRPr="00E54404">
        <w:rPr>
          <w:rFonts w:ascii="Verdana" w:hAnsi="Verdana"/>
          <w:color w:val="000000"/>
          <w:sz w:val="20"/>
          <w:szCs w:val="20"/>
          <w:lang w:val="es-MX"/>
        </w:rPr>
        <w:t xml:space="preserve">Considerando </w:t>
      </w:r>
      <w:r w:rsidR="00DB18EA">
        <w:rPr>
          <w:rFonts w:ascii="Verdana" w:hAnsi="Verdana"/>
          <w:color w:val="000000"/>
          <w:sz w:val="20"/>
          <w:szCs w:val="20"/>
          <w:lang w:val="es-MX"/>
        </w:rPr>
        <w:t>7</w:t>
      </w:r>
      <w:r w:rsidR="00DB18EA" w:rsidRPr="00E54404">
        <w:rPr>
          <w:rFonts w:ascii="Verdana" w:hAnsi="Verdana"/>
          <w:color w:val="000000"/>
          <w:sz w:val="20"/>
          <w:szCs w:val="20"/>
          <w:lang w:val="es-MX"/>
        </w:rPr>
        <w:t xml:space="preserve">), </w:t>
      </w:r>
      <w:r w:rsidRPr="00E54404">
        <w:rPr>
          <w:rFonts w:ascii="Verdana" w:hAnsi="Verdana"/>
          <w:sz w:val="20"/>
          <w:szCs w:val="20"/>
          <w:lang w:val="es-CR"/>
        </w:rPr>
        <w:t>la Corte considera que el Estado ha dado cumplimiento parcial</w:t>
      </w:r>
      <w:r w:rsidR="00E54404" w:rsidRPr="00E54404">
        <w:rPr>
          <w:rFonts w:ascii="Verdana" w:hAnsi="Verdana"/>
          <w:sz w:val="20"/>
          <w:szCs w:val="20"/>
          <w:lang w:val="es-CR"/>
        </w:rPr>
        <w:t xml:space="preserve"> a</w:t>
      </w:r>
      <w:r w:rsidRPr="00E54404">
        <w:rPr>
          <w:rFonts w:ascii="Verdana" w:hAnsi="Verdana"/>
          <w:sz w:val="20"/>
          <w:szCs w:val="20"/>
          <w:lang w:val="es-CR"/>
        </w:rPr>
        <w:t xml:space="preserve"> </w:t>
      </w:r>
      <w:r>
        <w:rPr>
          <w:rFonts w:ascii="Verdana" w:hAnsi="Verdana"/>
          <w:sz w:val="20"/>
          <w:szCs w:val="20"/>
          <w:lang w:val="es-CR"/>
        </w:rPr>
        <w:t xml:space="preserve">la medida de reparación </w:t>
      </w:r>
      <w:r w:rsidRPr="00E47A2E">
        <w:rPr>
          <w:rFonts w:ascii="Verdana" w:hAnsi="Verdana"/>
          <w:sz w:val="20"/>
          <w:szCs w:val="20"/>
          <w:lang w:val="es-CR"/>
        </w:rPr>
        <w:t xml:space="preserve">ordenada en el punto </w:t>
      </w:r>
      <w:r w:rsidR="00DB18EA">
        <w:rPr>
          <w:rFonts w:ascii="Verdana" w:hAnsi="Verdana"/>
          <w:sz w:val="20"/>
          <w:szCs w:val="20"/>
          <w:lang w:val="es-CR"/>
        </w:rPr>
        <w:t>dispositivo</w:t>
      </w:r>
      <w:r w:rsidR="00DB18EA" w:rsidRPr="00E47A2E">
        <w:rPr>
          <w:rFonts w:ascii="Verdana" w:hAnsi="Verdana"/>
          <w:sz w:val="20"/>
          <w:szCs w:val="20"/>
          <w:lang w:val="es-CR"/>
        </w:rPr>
        <w:t xml:space="preserve"> </w:t>
      </w:r>
      <w:r w:rsidRPr="00E47A2E">
        <w:rPr>
          <w:rFonts w:ascii="Verdana" w:hAnsi="Verdana"/>
          <w:sz w:val="20"/>
          <w:szCs w:val="20"/>
          <w:lang w:val="es-CR"/>
        </w:rPr>
        <w:t>décimo sexto</w:t>
      </w:r>
      <w:r>
        <w:rPr>
          <w:rFonts w:ascii="Verdana" w:hAnsi="Verdana"/>
          <w:sz w:val="20"/>
          <w:szCs w:val="20"/>
          <w:lang w:val="es-CR"/>
        </w:rPr>
        <w:t xml:space="preserve"> de la Sentencia, relativa a dejar sin efecto </w:t>
      </w:r>
      <w:r w:rsidRPr="00E47A2E">
        <w:rPr>
          <w:rFonts w:ascii="Verdana" w:hAnsi="Verdana"/>
          <w:sz w:val="20"/>
          <w:szCs w:val="20"/>
          <w:lang w:val="es-CR"/>
        </w:rPr>
        <w:t>en todos sus extremos, las sentencias penales condenatorias emitidas en contra</w:t>
      </w:r>
      <w:r>
        <w:rPr>
          <w:rFonts w:ascii="Verdana" w:hAnsi="Verdana"/>
          <w:sz w:val="20"/>
          <w:szCs w:val="20"/>
          <w:lang w:val="es-CR"/>
        </w:rPr>
        <w:t xml:space="preserve"> de las ocho víctimas del presente caso. </w:t>
      </w:r>
    </w:p>
    <w:p w:rsidR="003F73B7" w:rsidRDefault="001C6A45" w:rsidP="00807889">
      <w:pPr>
        <w:pStyle w:val="Listavistosa-nfasis1"/>
        <w:numPr>
          <w:ilvl w:val="0"/>
          <w:numId w:val="4"/>
        </w:numPr>
        <w:spacing w:before="120" w:after="120" w:line="240" w:lineRule="auto"/>
        <w:ind w:left="0" w:firstLine="0"/>
        <w:contextualSpacing w:val="0"/>
        <w:jc w:val="both"/>
        <w:rPr>
          <w:rFonts w:ascii="Verdana" w:hAnsi="Verdana"/>
          <w:color w:val="000000"/>
          <w:sz w:val="20"/>
          <w:szCs w:val="20"/>
          <w:lang w:val="es-MX"/>
        </w:rPr>
      </w:pPr>
      <w:r>
        <w:rPr>
          <w:rFonts w:ascii="Verdana" w:hAnsi="Verdana"/>
          <w:sz w:val="20"/>
          <w:szCs w:val="20"/>
          <w:lang w:val="es-CR"/>
        </w:rPr>
        <w:t>Para dar</w:t>
      </w:r>
      <w:r w:rsidR="003E0BB8" w:rsidRPr="001C6A45">
        <w:rPr>
          <w:rFonts w:ascii="Verdana" w:hAnsi="Verdana"/>
          <w:color w:val="000000"/>
          <w:sz w:val="20"/>
          <w:szCs w:val="20"/>
          <w:lang w:val="es-MX"/>
        </w:rPr>
        <w:t xml:space="preserve"> cumplimiento </w:t>
      </w:r>
      <w:r>
        <w:rPr>
          <w:rFonts w:ascii="Verdana" w:hAnsi="Verdana"/>
          <w:color w:val="000000"/>
          <w:sz w:val="20"/>
          <w:szCs w:val="20"/>
          <w:lang w:val="es-MX"/>
        </w:rPr>
        <w:t>total a</w:t>
      </w:r>
      <w:r w:rsidR="003E0BB8" w:rsidRPr="001C6A45">
        <w:rPr>
          <w:rFonts w:ascii="Verdana" w:hAnsi="Verdana"/>
          <w:color w:val="000000"/>
          <w:sz w:val="20"/>
          <w:szCs w:val="20"/>
          <w:lang w:val="es-MX"/>
        </w:rPr>
        <w:t xml:space="preserve"> esta reparación, </w:t>
      </w:r>
      <w:r>
        <w:rPr>
          <w:rFonts w:ascii="Verdana" w:hAnsi="Verdana"/>
          <w:color w:val="000000"/>
          <w:sz w:val="20"/>
          <w:szCs w:val="20"/>
          <w:lang w:val="es-MX"/>
        </w:rPr>
        <w:t xml:space="preserve">es necesario </w:t>
      </w:r>
      <w:r w:rsidR="003E0BB8" w:rsidRPr="001C6A45">
        <w:rPr>
          <w:rFonts w:ascii="Verdana" w:hAnsi="Verdana"/>
          <w:color w:val="000000"/>
          <w:sz w:val="20"/>
          <w:szCs w:val="20"/>
          <w:lang w:val="es-MX"/>
        </w:rPr>
        <w:t xml:space="preserve">que </w:t>
      </w:r>
      <w:r>
        <w:rPr>
          <w:rFonts w:ascii="Verdana" w:hAnsi="Verdana"/>
          <w:color w:val="000000"/>
          <w:sz w:val="20"/>
          <w:szCs w:val="20"/>
          <w:lang w:val="es-MX"/>
        </w:rPr>
        <w:t>Chile adopte, a la brevedad posible</w:t>
      </w:r>
      <w:r w:rsidR="00D31FA2">
        <w:rPr>
          <w:rFonts w:ascii="Verdana" w:hAnsi="Verdana"/>
          <w:color w:val="000000"/>
          <w:sz w:val="20"/>
          <w:szCs w:val="20"/>
          <w:lang w:val="es-MX"/>
        </w:rPr>
        <w:t>,</w:t>
      </w:r>
      <w:r>
        <w:rPr>
          <w:rFonts w:ascii="Verdana" w:hAnsi="Verdana"/>
          <w:color w:val="000000"/>
          <w:sz w:val="20"/>
          <w:szCs w:val="20"/>
          <w:lang w:val="es-MX"/>
        </w:rPr>
        <w:t xml:space="preserve"> todas las medidas judiciales, </w:t>
      </w:r>
      <w:r w:rsidRPr="00E47A2E">
        <w:rPr>
          <w:rFonts w:ascii="Verdana" w:hAnsi="Verdana"/>
          <w:sz w:val="20"/>
          <w:szCs w:val="20"/>
          <w:lang w:val="es-CR"/>
        </w:rPr>
        <w:t>administrativas o de cualquier otra índole</w:t>
      </w:r>
      <w:r w:rsidR="00E54404">
        <w:rPr>
          <w:rFonts w:ascii="Verdana" w:hAnsi="Verdana"/>
          <w:sz w:val="20"/>
          <w:szCs w:val="20"/>
          <w:lang w:val="es-CR"/>
        </w:rPr>
        <w:t xml:space="preserve"> para cumplir con los aspectos que se han señalado </w:t>
      </w:r>
      <w:r w:rsidR="00DB18EA">
        <w:rPr>
          <w:rFonts w:ascii="Verdana" w:hAnsi="Verdana"/>
          <w:sz w:val="20"/>
          <w:szCs w:val="20"/>
          <w:lang w:val="es-CR"/>
        </w:rPr>
        <w:t xml:space="preserve">como pendientes </w:t>
      </w:r>
      <w:r w:rsidR="00E54404">
        <w:rPr>
          <w:rFonts w:ascii="Verdana" w:hAnsi="Verdana"/>
          <w:sz w:val="20"/>
          <w:szCs w:val="20"/>
          <w:lang w:val="es-CR"/>
        </w:rPr>
        <w:t xml:space="preserve">en </w:t>
      </w:r>
      <w:r w:rsidR="00DB18EA">
        <w:rPr>
          <w:rFonts w:ascii="Verdana" w:hAnsi="Verdana"/>
          <w:sz w:val="20"/>
          <w:szCs w:val="20"/>
          <w:lang w:val="es-CR"/>
        </w:rPr>
        <w:t xml:space="preserve">los Considerandos anteriores </w:t>
      </w:r>
      <w:r w:rsidR="00E54404">
        <w:rPr>
          <w:rFonts w:ascii="Verdana" w:hAnsi="Verdana"/>
          <w:sz w:val="20"/>
          <w:szCs w:val="20"/>
          <w:lang w:val="es-CR"/>
        </w:rPr>
        <w:t xml:space="preserve">la presente </w:t>
      </w:r>
      <w:proofErr w:type="gramStart"/>
      <w:r w:rsidR="00E54404">
        <w:rPr>
          <w:rFonts w:ascii="Verdana" w:hAnsi="Verdana"/>
          <w:sz w:val="20"/>
          <w:szCs w:val="20"/>
          <w:lang w:val="es-CR"/>
        </w:rPr>
        <w:t xml:space="preserve">resolución </w:t>
      </w:r>
      <w:r w:rsidR="00DB18EA">
        <w:rPr>
          <w:rFonts w:ascii="Verdana" w:hAnsi="Verdana"/>
          <w:sz w:val="20"/>
          <w:szCs w:val="20"/>
          <w:lang w:val="es-CR"/>
        </w:rPr>
        <w:t>,</w:t>
      </w:r>
      <w:proofErr w:type="gramEnd"/>
      <w:r w:rsidR="00DB18EA">
        <w:rPr>
          <w:rFonts w:ascii="Verdana" w:hAnsi="Verdana"/>
          <w:sz w:val="20"/>
          <w:szCs w:val="20"/>
          <w:lang w:val="es-CR"/>
        </w:rPr>
        <w:t xml:space="preserve"> a fin de</w:t>
      </w:r>
      <w:r w:rsidR="00E54404">
        <w:rPr>
          <w:rFonts w:ascii="Verdana" w:hAnsi="Verdana"/>
          <w:sz w:val="20"/>
          <w:szCs w:val="20"/>
          <w:lang w:val="es-CR"/>
        </w:rPr>
        <w:t xml:space="preserve"> </w:t>
      </w:r>
      <w:r>
        <w:rPr>
          <w:rFonts w:ascii="Verdana" w:hAnsi="Verdana"/>
          <w:sz w:val="20"/>
          <w:szCs w:val="20"/>
          <w:lang w:val="es-CR"/>
        </w:rPr>
        <w:t xml:space="preserve">dejar sin efecto en todos sus extremos las referidas Sentencias condenatorias y que </w:t>
      </w:r>
      <w:r w:rsidR="003E0BB8" w:rsidRPr="001C6A45">
        <w:rPr>
          <w:rFonts w:ascii="Verdana" w:hAnsi="Verdana"/>
          <w:color w:val="000000"/>
          <w:sz w:val="20"/>
          <w:szCs w:val="20"/>
          <w:lang w:val="es-MX"/>
        </w:rPr>
        <w:t>en su próximo informe remita la información que le ha sido requerida (</w:t>
      </w:r>
      <w:r w:rsidR="003E0BB8" w:rsidRPr="001C6A45">
        <w:rPr>
          <w:rFonts w:ascii="Verdana" w:hAnsi="Verdana"/>
          <w:i/>
          <w:color w:val="000000"/>
          <w:sz w:val="20"/>
          <w:szCs w:val="20"/>
          <w:lang w:val="es-MX"/>
        </w:rPr>
        <w:t>supra</w:t>
      </w:r>
      <w:r w:rsidR="003E0BB8" w:rsidRPr="001C6A45">
        <w:rPr>
          <w:rFonts w:ascii="Verdana" w:hAnsi="Verdana"/>
          <w:color w:val="000000"/>
          <w:sz w:val="20"/>
          <w:szCs w:val="20"/>
          <w:lang w:val="es-MX"/>
        </w:rPr>
        <w:t xml:space="preserve"> Considerandos </w:t>
      </w:r>
      <w:r w:rsidR="00DB18EA">
        <w:rPr>
          <w:rFonts w:ascii="Verdana" w:hAnsi="Verdana"/>
          <w:color w:val="000000"/>
          <w:sz w:val="20"/>
          <w:szCs w:val="20"/>
          <w:lang w:val="es-MX"/>
        </w:rPr>
        <w:t>6, 10, 12 y 13</w:t>
      </w:r>
      <w:r w:rsidR="00DB18EA" w:rsidRPr="001C6A45">
        <w:rPr>
          <w:rFonts w:ascii="Verdana" w:hAnsi="Verdana"/>
          <w:color w:val="000000"/>
          <w:sz w:val="20"/>
          <w:szCs w:val="20"/>
          <w:lang w:val="es-MX"/>
        </w:rPr>
        <w:t xml:space="preserve">). </w:t>
      </w:r>
    </w:p>
    <w:p w:rsidR="001C6A45" w:rsidRPr="001C6A45" w:rsidRDefault="001C6A45" w:rsidP="00807889">
      <w:pPr>
        <w:pStyle w:val="Listavistosa-nfasis1"/>
        <w:spacing w:before="120" w:after="120" w:line="240" w:lineRule="auto"/>
        <w:ind w:left="0"/>
        <w:contextualSpacing w:val="0"/>
        <w:jc w:val="both"/>
        <w:rPr>
          <w:rFonts w:ascii="Verdana" w:hAnsi="Verdana"/>
          <w:color w:val="000000"/>
          <w:sz w:val="20"/>
          <w:szCs w:val="20"/>
          <w:lang w:val="es-MX"/>
        </w:rPr>
      </w:pPr>
    </w:p>
    <w:p w:rsidR="007843D2" w:rsidRPr="00725A52" w:rsidRDefault="007843D2" w:rsidP="00807889">
      <w:pPr>
        <w:keepNext/>
        <w:keepLines/>
        <w:widowControl w:val="0"/>
        <w:numPr>
          <w:ilvl w:val="0"/>
          <w:numId w:val="18"/>
        </w:numPr>
        <w:spacing w:before="120" w:after="120" w:line="240" w:lineRule="auto"/>
        <w:jc w:val="both"/>
        <w:outlineLvl w:val="0"/>
        <w:rPr>
          <w:rFonts w:ascii="Verdana" w:eastAsia="Times New Roman" w:hAnsi="Verdana"/>
          <w:b/>
          <w:bCs/>
          <w:i/>
          <w:color w:val="000000"/>
          <w:sz w:val="20"/>
          <w:szCs w:val="20"/>
          <w:lang w:val="pt-BR" w:eastAsia="es-ES"/>
        </w:rPr>
      </w:pPr>
      <w:bookmarkStart w:id="3" w:name="_Toc507514924"/>
      <w:bookmarkStart w:id="4" w:name="_Toc523309967"/>
      <w:r w:rsidRPr="00725A52">
        <w:rPr>
          <w:rFonts w:ascii="Verdana" w:eastAsia="Times New Roman" w:hAnsi="Verdana"/>
          <w:b/>
          <w:bCs/>
          <w:i/>
          <w:color w:val="000000"/>
          <w:sz w:val="20"/>
          <w:szCs w:val="20"/>
          <w:lang w:val="pt-BR" w:eastAsia="es-ES"/>
        </w:rPr>
        <w:t>Brindar tratamiento médico y psicológico o psiquiátrico</w:t>
      </w:r>
      <w:bookmarkEnd w:id="3"/>
      <w:bookmarkEnd w:id="4"/>
      <w:r w:rsidRPr="00725A52">
        <w:rPr>
          <w:rFonts w:ascii="Verdana" w:eastAsia="Times New Roman" w:hAnsi="Verdana"/>
          <w:b/>
          <w:bCs/>
          <w:i/>
          <w:color w:val="000000"/>
          <w:sz w:val="20"/>
          <w:szCs w:val="20"/>
          <w:lang w:val="pt-BR" w:eastAsia="es-ES"/>
        </w:rPr>
        <w:t xml:space="preserve"> </w:t>
      </w:r>
    </w:p>
    <w:p w:rsidR="006F0AF8" w:rsidRPr="000121ED" w:rsidRDefault="006F0AF8" w:rsidP="00807889">
      <w:pPr>
        <w:pStyle w:val="Listavistosa-nfasis1"/>
        <w:spacing w:before="120" w:after="120" w:line="240" w:lineRule="auto"/>
        <w:contextualSpacing w:val="0"/>
        <w:jc w:val="both"/>
        <w:rPr>
          <w:rFonts w:ascii="Verdana" w:hAnsi="Verdana"/>
          <w:i/>
          <w:sz w:val="20"/>
          <w:lang w:val="es-MX"/>
        </w:rPr>
      </w:pPr>
      <w:r>
        <w:rPr>
          <w:rFonts w:ascii="Verdana" w:hAnsi="Verdana"/>
          <w:i/>
          <w:sz w:val="20"/>
          <w:lang w:val="es-MX"/>
        </w:rPr>
        <w:t>B</w:t>
      </w:r>
      <w:r w:rsidRPr="000121ED">
        <w:rPr>
          <w:rFonts w:ascii="Verdana" w:hAnsi="Verdana"/>
          <w:i/>
          <w:sz w:val="20"/>
          <w:lang w:val="es-MX"/>
        </w:rPr>
        <w:t xml:space="preserve">.1. Medida ordenada por la Corte </w:t>
      </w:r>
    </w:p>
    <w:p w:rsidR="002F0459" w:rsidRDefault="006F0AF8" w:rsidP="00857630">
      <w:pPr>
        <w:numPr>
          <w:ilvl w:val="0"/>
          <w:numId w:val="28"/>
        </w:numPr>
        <w:spacing w:before="120" w:after="120" w:line="240" w:lineRule="auto"/>
        <w:ind w:left="0" w:right="9" w:firstLine="0"/>
        <w:jc w:val="both"/>
        <w:rPr>
          <w:rFonts w:ascii="Verdana" w:eastAsia="Times New Roman" w:hAnsi="Verdana"/>
          <w:sz w:val="20"/>
          <w:szCs w:val="20"/>
          <w:lang w:val="es-ES_tradnl" w:eastAsia="es-ES"/>
        </w:rPr>
      </w:pPr>
      <w:r w:rsidRPr="00332ECF">
        <w:rPr>
          <w:rFonts w:ascii="Verdana" w:hAnsi="Verdana"/>
          <w:sz w:val="20"/>
          <w:szCs w:val="20"/>
          <w:lang w:val="es-MX"/>
        </w:rPr>
        <w:t xml:space="preserve">En el punto </w:t>
      </w:r>
      <w:r w:rsidR="005E70C6">
        <w:rPr>
          <w:rFonts w:ascii="Verdana" w:hAnsi="Verdana"/>
          <w:sz w:val="20"/>
          <w:szCs w:val="20"/>
          <w:lang w:val="es-MX"/>
        </w:rPr>
        <w:t>dispositivo</w:t>
      </w:r>
      <w:r w:rsidR="005E70C6" w:rsidRPr="00332ECF">
        <w:rPr>
          <w:rFonts w:ascii="Verdana" w:hAnsi="Verdana"/>
          <w:sz w:val="20"/>
          <w:szCs w:val="20"/>
          <w:lang w:val="es-MX"/>
        </w:rPr>
        <w:t xml:space="preserve"> </w:t>
      </w:r>
      <w:r w:rsidR="007843D2" w:rsidRPr="00332ECF">
        <w:rPr>
          <w:rFonts w:ascii="Verdana" w:eastAsia="Times New Roman" w:hAnsi="Verdana"/>
          <w:sz w:val="20"/>
          <w:szCs w:val="20"/>
          <w:lang w:val="es-ES_tradnl" w:eastAsia="es-ES"/>
        </w:rPr>
        <w:t xml:space="preserve">décimo séptimo y en los párrafos 425 y 426 de la Sentencia, </w:t>
      </w:r>
      <w:r w:rsidR="00332ECF" w:rsidRPr="00DC04F3">
        <w:rPr>
          <w:rFonts w:ascii="Verdana" w:eastAsia="Times New Roman" w:hAnsi="Verdana"/>
          <w:sz w:val="20"/>
          <w:szCs w:val="20"/>
          <w:lang w:val="es-ES_tradnl" w:eastAsia="es-ES"/>
        </w:rPr>
        <w:t>se</w:t>
      </w:r>
      <w:r w:rsidR="007843D2" w:rsidRPr="00DC04F3">
        <w:rPr>
          <w:rFonts w:ascii="Verdana" w:eastAsia="Times New Roman" w:hAnsi="Verdana"/>
          <w:sz w:val="20"/>
          <w:szCs w:val="20"/>
          <w:lang w:val="es-ES_tradnl" w:eastAsia="es-ES"/>
        </w:rPr>
        <w:t xml:space="preserve"> dispuso que “el Estado deb</w:t>
      </w:r>
      <w:r w:rsidR="00332ECF" w:rsidRPr="00DC04F3">
        <w:rPr>
          <w:rFonts w:ascii="Verdana" w:eastAsia="Times New Roman" w:hAnsi="Verdana"/>
          <w:sz w:val="20"/>
          <w:szCs w:val="20"/>
          <w:lang w:val="es-ES_tradnl" w:eastAsia="es-ES"/>
        </w:rPr>
        <w:t>e</w:t>
      </w:r>
      <w:r w:rsidR="007843D2" w:rsidRPr="00DC04F3">
        <w:rPr>
          <w:rFonts w:ascii="Verdana" w:eastAsia="Times New Roman" w:hAnsi="Verdana"/>
          <w:sz w:val="20"/>
          <w:szCs w:val="20"/>
          <w:lang w:val="es-ES_tradnl" w:eastAsia="es-ES"/>
        </w:rPr>
        <w:t xml:space="preserve"> brindar gratuitamente, a través de sus instituciones especializadas o personal de salud especializado, y de forma inmediata, adecuada y efectiva, el tratamiento médico y psicológico o psiquiátrico necesario</w:t>
      </w:r>
      <w:r w:rsidR="00730ADD" w:rsidRPr="00730ADD">
        <w:rPr>
          <w:lang w:val="es-CR"/>
        </w:rPr>
        <w:t xml:space="preserve"> </w:t>
      </w:r>
      <w:r w:rsidR="00730ADD" w:rsidRPr="00730ADD">
        <w:rPr>
          <w:rFonts w:ascii="Verdana" w:hAnsi="Verdana"/>
          <w:sz w:val="20"/>
          <w:szCs w:val="20"/>
          <w:lang w:val="es-CR"/>
        </w:rPr>
        <w:t>a Segundo Aniceto Norín Catrimán, Víctor Manuel Ancalaf Llaupe, Florencio Jaime Marileo Saravia, Juan Patricio Marileo Saravia, José Benicio Huenchunao Mariñán, Juan Ciriaco Millacheo Licán y Patricia Roxana Troncoso Robles</w:t>
      </w:r>
      <w:r w:rsidR="002E6E89">
        <w:rPr>
          <w:rStyle w:val="Refdenotaalpie"/>
          <w:rFonts w:ascii="Verdana" w:hAnsi="Verdana"/>
          <w:sz w:val="20"/>
          <w:szCs w:val="20"/>
          <w:lang w:val="es-CR"/>
        </w:rPr>
        <w:footnoteReference w:id="41"/>
      </w:r>
      <w:r w:rsidR="007843D2" w:rsidRPr="00730ADD">
        <w:rPr>
          <w:rFonts w:ascii="Verdana" w:eastAsia="Times New Roman" w:hAnsi="Verdana"/>
          <w:sz w:val="20"/>
          <w:szCs w:val="20"/>
          <w:lang w:val="es-ES_tradnl" w:eastAsia="es-ES"/>
        </w:rPr>
        <w:t>,</w:t>
      </w:r>
      <w:r w:rsidR="007843D2" w:rsidRPr="007557F1">
        <w:rPr>
          <w:rFonts w:ascii="Verdana" w:eastAsia="Times New Roman" w:hAnsi="Verdana"/>
          <w:sz w:val="20"/>
          <w:szCs w:val="20"/>
          <w:lang w:val="es-ES_tradnl" w:eastAsia="es-ES"/>
        </w:rPr>
        <w:t xml:space="preserve"> previo consentimiento inform</w:t>
      </w:r>
      <w:r w:rsidR="007843D2" w:rsidRPr="00A51C48">
        <w:rPr>
          <w:rFonts w:ascii="Verdana" w:eastAsia="Times New Roman" w:hAnsi="Verdana"/>
          <w:sz w:val="20"/>
          <w:szCs w:val="20"/>
          <w:lang w:val="es-ES_tradnl" w:eastAsia="es-ES"/>
        </w:rPr>
        <w:t>ado, incluyendo el suministro gratuito de los medicamentos que eventualmente se requi</w:t>
      </w:r>
      <w:r w:rsidR="007843D2" w:rsidRPr="00DD3C1B">
        <w:rPr>
          <w:rFonts w:ascii="Verdana" w:eastAsia="Times New Roman" w:hAnsi="Verdana"/>
          <w:sz w:val="20"/>
          <w:szCs w:val="20"/>
          <w:lang w:val="es-ES_tradnl" w:eastAsia="es-ES"/>
        </w:rPr>
        <w:t xml:space="preserve">eran, tomando en consideración los padecimientos de cada uno de ellos </w:t>
      </w:r>
      <w:r w:rsidR="00332ECF" w:rsidRPr="00DD3C1B">
        <w:rPr>
          <w:rFonts w:ascii="Verdana" w:eastAsia="Times New Roman" w:hAnsi="Verdana"/>
          <w:sz w:val="20"/>
          <w:szCs w:val="20"/>
          <w:lang w:val="es-ES_tradnl" w:eastAsia="es-ES"/>
        </w:rPr>
        <w:t xml:space="preserve">relacionados con el presente caso; </w:t>
      </w:r>
      <w:r w:rsidR="007843D2" w:rsidRPr="00DD3C1B">
        <w:rPr>
          <w:rFonts w:ascii="Verdana" w:eastAsia="Times New Roman" w:hAnsi="Verdana"/>
          <w:sz w:val="20"/>
          <w:szCs w:val="20"/>
          <w:lang w:val="es-ES_tradnl" w:eastAsia="es-ES"/>
        </w:rPr>
        <w:t>así como, en su caso, el transporte, y otros gastos que se</w:t>
      </w:r>
      <w:r w:rsidR="007843D2" w:rsidRPr="00D3610C">
        <w:rPr>
          <w:rFonts w:ascii="Verdana" w:eastAsia="Times New Roman" w:hAnsi="Verdana"/>
          <w:sz w:val="20"/>
          <w:szCs w:val="20"/>
          <w:lang w:val="es-ES_tradnl" w:eastAsia="es-ES"/>
        </w:rPr>
        <w:t>an estrictamente necesarios y estén directamente relacionados con la atención médica y psicológica”</w:t>
      </w:r>
      <w:r w:rsidR="005E7A79">
        <w:rPr>
          <w:rFonts w:ascii="Verdana" w:eastAsia="Times New Roman" w:hAnsi="Verdana"/>
          <w:sz w:val="20"/>
          <w:szCs w:val="20"/>
          <w:lang w:val="es-ES_tradnl" w:eastAsia="es-ES"/>
        </w:rPr>
        <w:t>.</w:t>
      </w:r>
      <w:r w:rsidR="007843D2" w:rsidRPr="00D3610C">
        <w:rPr>
          <w:rFonts w:ascii="Verdana" w:eastAsia="Times New Roman" w:hAnsi="Verdana"/>
          <w:sz w:val="20"/>
          <w:szCs w:val="20"/>
          <w:lang w:val="es-ES_tradnl" w:eastAsia="es-ES"/>
        </w:rPr>
        <w:t xml:space="preserve"> Asimismo, </w:t>
      </w:r>
      <w:r w:rsidR="007843D2" w:rsidRPr="000B61D8">
        <w:rPr>
          <w:rFonts w:ascii="Verdana" w:eastAsia="Times New Roman" w:hAnsi="Verdana"/>
          <w:sz w:val="20"/>
          <w:szCs w:val="20"/>
          <w:lang w:val="es-ES_tradnl" w:eastAsia="es-ES"/>
        </w:rPr>
        <w:t>se estableció que “</w:t>
      </w:r>
      <w:r w:rsidR="00332ECF" w:rsidRPr="00C15BE4">
        <w:rPr>
          <w:rFonts w:ascii="Verdana" w:eastAsia="Times New Roman" w:hAnsi="Verdana"/>
          <w:sz w:val="20"/>
          <w:szCs w:val="20"/>
          <w:lang w:val="es-ES_tradnl" w:eastAsia="es-ES"/>
        </w:rPr>
        <w:t xml:space="preserve">[e]n </w:t>
      </w:r>
      <w:r w:rsidR="007843D2" w:rsidRPr="0046230E">
        <w:rPr>
          <w:rFonts w:ascii="Verdana" w:eastAsia="Times New Roman" w:hAnsi="Verdana"/>
          <w:sz w:val="20"/>
          <w:szCs w:val="20"/>
          <w:lang w:val="es-ES_tradnl" w:eastAsia="es-ES"/>
        </w:rPr>
        <w:t>el caso de que el Estado careciera de personal o de las instituciones que pu</w:t>
      </w:r>
      <w:r w:rsidR="00332ECF" w:rsidRPr="0046230E">
        <w:rPr>
          <w:rFonts w:ascii="Verdana" w:eastAsia="Times New Roman" w:hAnsi="Verdana"/>
          <w:sz w:val="20"/>
          <w:szCs w:val="20"/>
          <w:lang w:val="es-ES_tradnl" w:eastAsia="es-ES"/>
        </w:rPr>
        <w:t>e</w:t>
      </w:r>
      <w:r w:rsidR="007843D2" w:rsidRPr="00BC4B37">
        <w:rPr>
          <w:rFonts w:ascii="Verdana" w:eastAsia="Times New Roman" w:hAnsi="Verdana"/>
          <w:sz w:val="20"/>
          <w:szCs w:val="20"/>
          <w:lang w:val="es-ES_tradnl" w:eastAsia="es-ES"/>
        </w:rPr>
        <w:t>d</w:t>
      </w:r>
      <w:r w:rsidR="007843D2" w:rsidRPr="009E2A1A">
        <w:rPr>
          <w:rFonts w:ascii="Verdana" w:eastAsia="Times New Roman" w:hAnsi="Verdana"/>
          <w:sz w:val="20"/>
          <w:szCs w:val="20"/>
          <w:lang w:val="es-ES_tradnl" w:eastAsia="es-ES"/>
        </w:rPr>
        <w:t>an proveer el nivel requerido de atención, deber</w:t>
      </w:r>
      <w:r w:rsidR="00332ECF" w:rsidRPr="00D75300">
        <w:rPr>
          <w:rFonts w:ascii="Verdana" w:eastAsia="Times New Roman" w:hAnsi="Verdana"/>
          <w:sz w:val="20"/>
          <w:szCs w:val="20"/>
          <w:lang w:val="es-ES_tradnl" w:eastAsia="es-ES"/>
        </w:rPr>
        <w:t>á</w:t>
      </w:r>
      <w:r w:rsidR="007843D2" w:rsidRPr="00470C1C">
        <w:rPr>
          <w:rFonts w:ascii="Verdana" w:eastAsia="Times New Roman" w:hAnsi="Verdana"/>
          <w:sz w:val="20"/>
          <w:szCs w:val="20"/>
          <w:lang w:val="es-ES_tradnl" w:eastAsia="es-ES"/>
        </w:rPr>
        <w:t xml:space="preserve"> recurrir a instituciones privadas o de la sociedad civil especializadas.” De igual manera, se </w:t>
      </w:r>
      <w:r w:rsidR="00332ECF" w:rsidRPr="00470C1C">
        <w:rPr>
          <w:rFonts w:ascii="Verdana" w:eastAsia="Times New Roman" w:hAnsi="Verdana"/>
          <w:sz w:val="20"/>
          <w:szCs w:val="20"/>
          <w:lang w:val="es-ES_tradnl" w:eastAsia="es-ES"/>
        </w:rPr>
        <w:t xml:space="preserve">dispuso </w:t>
      </w:r>
      <w:r w:rsidR="007843D2" w:rsidRPr="00FB53E6">
        <w:rPr>
          <w:rFonts w:ascii="Verdana" w:eastAsia="Times New Roman" w:hAnsi="Verdana"/>
          <w:sz w:val="20"/>
          <w:szCs w:val="20"/>
          <w:lang w:val="es-ES_tradnl" w:eastAsia="es-ES"/>
        </w:rPr>
        <w:t>que “los tratamientos respectivos deber[ía]n prestarse, en la medida de lo posible, en los centros más cer</w:t>
      </w:r>
      <w:r w:rsidR="007843D2" w:rsidRPr="005C0708">
        <w:rPr>
          <w:rFonts w:ascii="Verdana" w:eastAsia="Times New Roman" w:hAnsi="Verdana"/>
          <w:sz w:val="20"/>
          <w:szCs w:val="20"/>
          <w:lang w:val="es-ES_tradnl" w:eastAsia="es-ES"/>
        </w:rPr>
        <w:t xml:space="preserve">canos a sus lugares de residencia en Chile por el tiempo que </w:t>
      </w:r>
      <w:r w:rsidR="00332ECF">
        <w:rPr>
          <w:rFonts w:ascii="Verdana" w:eastAsia="Times New Roman" w:hAnsi="Verdana"/>
          <w:sz w:val="20"/>
          <w:szCs w:val="20"/>
          <w:lang w:val="es-ES_tradnl" w:eastAsia="es-ES"/>
        </w:rPr>
        <w:t>sea</w:t>
      </w:r>
      <w:r w:rsidR="007843D2" w:rsidRPr="00332ECF">
        <w:rPr>
          <w:rFonts w:ascii="Verdana" w:eastAsia="Times New Roman" w:hAnsi="Verdana"/>
          <w:sz w:val="20"/>
          <w:szCs w:val="20"/>
          <w:lang w:val="es-ES_tradnl" w:eastAsia="es-ES"/>
        </w:rPr>
        <w:t xml:space="preserve"> necesario”, y que “</w:t>
      </w:r>
      <w:r w:rsidR="00332ECF">
        <w:rPr>
          <w:rFonts w:ascii="Verdana" w:eastAsia="Times New Roman" w:hAnsi="Verdana"/>
          <w:sz w:val="20"/>
          <w:szCs w:val="20"/>
          <w:lang w:val="es-ES_tradnl" w:eastAsia="es-ES"/>
        </w:rPr>
        <w:t>[</w:t>
      </w:r>
      <w:r w:rsidR="007843D2" w:rsidRPr="00332ECF">
        <w:rPr>
          <w:rFonts w:ascii="Verdana" w:eastAsia="Times New Roman" w:hAnsi="Verdana"/>
          <w:sz w:val="20"/>
          <w:szCs w:val="20"/>
          <w:lang w:val="es-ES_tradnl" w:eastAsia="es-ES"/>
        </w:rPr>
        <w:t>a</w:t>
      </w:r>
      <w:r w:rsidR="00332ECF">
        <w:rPr>
          <w:rFonts w:ascii="Verdana" w:eastAsia="Times New Roman" w:hAnsi="Verdana"/>
          <w:sz w:val="20"/>
          <w:szCs w:val="20"/>
          <w:lang w:val="es-ES_tradnl" w:eastAsia="es-ES"/>
        </w:rPr>
        <w:t>]</w:t>
      </w:r>
      <w:r w:rsidR="007843D2" w:rsidRPr="00332ECF">
        <w:rPr>
          <w:rFonts w:ascii="Verdana" w:eastAsia="Times New Roman" w:hAnsi="Verdana"/>
          <w:sz w:val="20"/>
          <w:szCs w:val="20"/>
          <w:lang w:val="es-ES_tradnl" w:eastAsia="es-ES"/>
        </w:rPr>
        <w:t>l proveer el tratamiento se deb</w:t>
      </w:r>
      <w:r w:rsidR="00332ECF">
        <w:rPr>
          <w:rFonts w:ascii="Verdana" w:eastAsia="Times New Roman" w:hAnsi="Verdana"/>
          <w:sz w:val="20"/>
          <w:szCs w:val="20"/>
          <w:lang w:val="es-ES_tradnl" w:eastAsia="es-ES"/>
        </w:rPr>
        <w:t>e</w:t>
      </w:r>
      <w:r w:rsidR="007843D2" w:rsidRPr="00332ECF">
        <w:rPr>
          <w:rFonts w:ascii="Verdana" w:eastAsia="Times New Roman" w:hAnsi="Verdana"/>
          <w:sz w:val="20"/>
          <w:szCs w:val="20"/>
          <w:lang w:val="es-ES_tradnl" w:eastAsia="es-ES"/>
        </w:rPr>
        <w:t xml:space="preserve"> considerar, además, las circunstancias y necesidades particulares de cada víctima, también sus costumbres y tradiciones, según lo que se ac</w:t>
      </w:r>
      <w:r w:rsidR="00332ECF">
        <w:rPr>
          <w:rFonts w:ascii="Verdana" w:eastAsia="Times New Roman" w:hAnsi="Verdana"/>
          <w:sz w:val="20"/>
          <w:szCs w:val="20"/>
          <w:lang w:val="es-ES_tradnl" w:eastAsia="es-ES"/>
        </w:rPr>
        <w:t>uerde</w:t>
      </w:r>
      <w:r w:rsidR="007843D2" w:rsidRPr="00332ECF">
        <w:rPr>
          <w:rFonts w:ascii="Verdana" w:eastAsia="Times New Roman" w:hAnsi="Verdana"/>
          <w:sz w:val="20"/>
          <w:szCs w:val="20"/>
          <w:lang w:val="es-ES_tradnl" w:eastAsia="es-ES"/>
        </w:rPr>
        <w:t xml:space="preserve"> con cada una de ellas y después de una evaluación individual”.</w:t>
      </w:r>
      <w:r w:rsidR="00332ECF">
        <w:rPr>
          <w:rFonts w:ascii="Verdana" w:eastAsia="Times New Roman" w:hAnsi="Verdana"/>
          <w:sz w:val="20"/>
          <w:szCs w:val="20"/>
          <w:lang w:val="es-ES_tradnl" w:eastAsia="es-ES"/>
        </w:rPr>
        <w:t xml:space="preserve"> </w:t>
      </w:r>
    </w:p>
    <w:p w:rsidR="006F0AF8" w:rsidRPr="00332ECF" w:rsidRDefault="002F0459" w:rsidP="00857630">
      <w:pPr>
        <w:numPr>
          <w:ilvl w:val="0"/>
          <w:numId w:val="28"/>
        </w:numPr>
        <w:spacing w:before="120" w:after="120" w:line="240" w:lineRule="auto"/>
        <w:ind w:left="0" w:right="9" w:firstLine="0"/>
        <w:jc w:val="both"/>
        <w:rPr>
          <w:rFonts w:ascii="Verdana" w:eastAsia="Times New Roman" w:hAnsi="Verdana"/>
          <w:sz w:val="20"/>
          <w:szCs w:val="20"/>
          <w:lang w:val="es-ES_tradnl" w:eastAsia="es-ES"/>
        </w:rPr>
      </w:pPr>
      <w:r>
        <w:rPr>
          <w:rFonts w:ascii="Verdana" w:eastAsia="Times New Roman" w:hAnsi="Verdana"/>
          <w:sz w:val="20"/>
          <w:szCs w:val="20"/>
          <w:lang w:val="es-ES_tradnl" w:eastAsia="es-ES"/>
        </w:rPr>
        <w:t>Además, e</w:t>
      </w:r>
      <w:r w:rsidR="00332ECF">
        <w:rPr>
          <w:rFonts w:ascii="Verdana" w:eastAsia="Times New Roman" w:hAnsi="Verdana"/>
          <w:sz w:val="20"/>
          <w:szCs w:val="20"/>
          <w:lang w:val="es-ES_tradnl" w:eastAsia="es-ES"/>
        </w:rPr>
        <w:t>l Tribunal indicó que “las víctimas dispon[ían] del plazo de seis meses, contado a partir de la notificación de la […] Sentencia, para informar al Estado si desean recibir dicha atención médica, psicológica o psiquiátrica</w:t>
      </w:r>
      <w:r w:rsidR="00730ADD">
        <w:rPr>
          <w:rFonts w:ascii="Verdana" w:eastAsia="Times New Roman" w:hAnsi="Verdana"/>
          <w:sz w:val="20"/>
          <w:szCs w:val="20"/>
          <w:lang w:val="es-ES_tradnl" w:eastAsia="es-ES"/>
        </w:rPr>
        <w:t>”</w:t>
      </w:r>
      <w:r w:rsidR="00332ECF">
        <w:rPr>
          <w:rFonts w:ascii="Verdana" w:eastAsia="Times New Roman" w:hAnsi="Verdana"/>
          <w:sz w:val="20"/>
          <w:szCs w:val="20"/>
          <w:lang w:val="es-ES_tradnl" w:eastAsia="es-ES"/>
        </w:rPr>
        <w:t>.</w:t>
      </w:r>
    </w:p>
    <w:p w:rsidR="00903DE2" w:rsidRDefault="00903DE2" w:rsidP="00807889">
      <w:pPr>
        <w:pStyle w:val="Listavistosa-nfasis1"/>
        <w:spacing w:before="120" w:after="120" w:line="240" w:lineRule="auto"/>
        <w:contextualSpacing w:val="0"/>
        <w:jc w:val="both"/>
        <w:rPr>
          <w:rFonts w:ascii="Verdana" w:hAnsi="Verdana"/>
          <w:i/>
          <w:sz w:val="20"/>
          <w:lang w:val="es-MX"/>
        </w:rPr>
      </w:pPr>
    </w:p>
    <w:p w:rsidR="00903DE2" w:rsidRDefault="00903DE2" w:rsidP="00807889">
      <w:pPr>
        <w:pStyle w:val="Listavistosa-nfasis1"/>
        <w:spacing w:before="120" w:after="120" w:line="240" w:lineRule="auto"/>
        <w:contextualSpacing w:val="0"/>
        <w:jc w:val="both"/>
        <w:rPr>
          <w:rFonts w:ascii="Verdana" w:hAnsi="Verdana"/>
          <w:i/>
          <w:sz w:val="20"/>
          <w:lang w:val="es-MX"/>
        </w:rPr>
      </w:pPr>
    </w:p>
    <w:p w:rsidR="006F0AF8" w:rsidRPr="005237EB" w:rsidRDefault="006F0AF8" w:rsidP="00807889">
      <w:pPr>
        <w:pStyle w:val="Listavistosa-nfasis1"/>
        <w:spacing w:before="120" w:after="120" w:line="240" w:lineRule="auto"/>
        <w:contextualSpacing w:val="0"/>
        <w:jc w:val="both"/>
        <w:rPr>
          <w:rFonts w:ascii="Verdana" w:hAnsi="Verdana"/>
          <w:i/>
          <w:sz w:val="20"/>
          <w:lang w:val="es-MX"/>
        </w:rPr>
      </w:pPr>
      <w:r>
        <w:rPr>
          <w:rFonts w:ascii="Verdana" w:hAnsi="Verdana"/>
          <w:i/>
          <w:sz w:val="20"/>
          <w:lang w:val="es-MX"/>
        </w:rPr>
        <w:t>B</w:t>
      </w:r>
      <w:r w:rsidRPr="005237EB">
        <w:rPr>
          <w:rFonts w:ascii="Verdana" w:hAnsi="Verdana"/>
          <w:i/>
          <w:sz w:val="20"/>
          <w:lang w:val="es-MX"/>
        </w:rPr>
        <w:t>.2</w:t>
      </w:r>
      <w:r>
        <w:rPr>
          <w:rFonts w:ascii="Verdana" w:hAnsi="Verdana"/>
          <w:i/>
          <w:sz w:val="20"/>
          <w:lang w:val="es-MX"/>
        </w:rPr>
        <w:t>.</w:t>
      </w:r>
      <w:r w:rsidRPr="005237EB">
        <w:rPr>
          <w:rFonts w:ascii="Verdana" w:hAnsi="Verdana"/>
          <w:i/>
          <w:sz w:val="20"/>
          <w:lang w:val="es-MX"/>
        </w:rPr>
        <w:t xml:space="preserve"> </w:t>
      </w:r>
      <w:r w:rsidR="007843D2">
        <w:rPr>
          <w:rFonts w:ascii="Verdana" w:hAnsi="Verdana"/>
          <w:i/>
          <w:sz w:val="20"/>
          <w:lang w:val="es-MX"/>
        </w:rPr>
        <w:t>Consideraciones de la Corte</w:t>
      </w:r>
      <w:r>
        <w:rPr>
          <w:rFonts w:ascii="Verdana" w:hAnsi="Verdana"/>
          <w:i/>
          <w:sz w:val="20"/>
          <w:lang w:val="es-MX"/>
        </w:rPr>
        <w:t xml:space="preserve"> </w:t>
      </w:r>
    </w:p>
    <w:p w:rsidR="002577A5" w:rsidRPr="004668C3" w:rsidRDefault="000A435E" w:rsidP="00857630">
      <w:pPr>
        <w:pStyle w:val="Listavistosa-nfasis1"/>
        <w:numPr>
          <w:ilvl w:val="0"/>
          <w:numId w:val="28"/>
        </w:numPr>
        <w:spacing w:before="120" w:after="120" w:line="240" w:lineRule="auto"/>
        <w:ind w:left="0" w:right="9" w:firstLine="0"/>
        <w:contextualSpacing w:val="0"/>
        <w:jc w:val="both"/>
        <w:rPr>
          <w:rFonts w:ascii="Verdana" w:hAnsi="Verdana"/>
          <w:sz w:val="20"/>
          <w:szCs w:val="20"/>
          <w:lang w:val="es-CR"/>
        </w:rPr>
      </w:pPr>
      <w:r w:rsidRPr="004668C3">
        <w:rPr>
          <w:rFonts w:ascii="Verdana" w:hAnsi="Verdana"/>
          <w:sz w:val="20"/>
          <w:szCs w:val="20"/>
          <w:lang w:val="es-MX"/>
        </w:rPr>
        <w:lastRenderedPageBreak/>
        <w:t xml:space="preserve">Con base en informado por </w:t>
      </w:r>
      <w:r w:rsidR="00915158" w:rsidRPr="004668C3">
        <w:rPr>
          <w:rFonts w:ascii="Verdana" w:hAnsi="Verdana"/>
          <w:sz w:val="20"/>
          <w:szCs w:val="20"/>
          <w:lang w:val="es-MX"/>
        </w:rPr>
        <w:t>las partes</w:t>
      </w:r>
      <w:r w:rsidR="00BC25E9" w:rsidRPr="004668C3">
        <w:rPr>
          <w:rFonts w:ascii="Verdana" w:hAnsi="Verdana"/>
          <w:sz w:val="20"/>
          <w:szCs w:val="20"/>
          <w:lang w:val="es-MX"/>
        </w:rPr>
        <w:t xml:space="preserve">, </w:t>
      </w:r>
      <w:r w:rsidRPr="004668C3">
        <w:rPr>
          <w:rFonts w:ascii="Verdana" w:hAnsi="Verdana"/>
          <w:sz w:val="20"/>
          <w:szCs w:val="20"/>
          <w:lang w:val="es-MX"/>
        </w:rPr>
        <w:t>la Corte constata que</w:t>
      </w:r>
      <w:r w:rsidR="00215B6C" w:rsidRPr="004668C3">
        <w:rPr>
          <w:rFonts w:ascii="Verdana" w:hAnsi="Verdana"/>
          <w:sz w:val="20"/>
          <w:szCs w:val="20"/>
          <w:lang w:val="es-MX"/>
        </w:rPr>
        <w:t>,</w:t>
      </w:r>
      <w:r w:rsidRPr="004668C3">
        <w:rPr>
          <w:rFonts w:ascii="Verdana" w:hAnsi="Verdana"/>
          <w:sz w:val="20"/>
          <w:szCs w:val="20"/>
          <w:lang w:val="es-MX"/>
        </w:rPr>
        <w:t xml:space="preserve"> </w:t>
      </w:r>
      <w:r w:rsidR="00BC25E9" w:rsidRPr="004668C3">
        <w:rPr>
          <w:rFonts w:ascii="Verdana" w:hAnsi="Verdana"/>
          <w:sz w:val="20"/>
          <w:szCs w:val="20"/>
          <w:lang w:val="es-MX"/>
        </w:rPr>
        <w:t xml:space="preserve">dentro </w:t>
      </w:r>
      <w:r w:rsidR="00BC25E9" w:rsidRPr="004668C3">
        <w:rPr>
          <w:rFonts w:ascii="Verdana" w:hAnsi="Verdana"/>
          <w:sz w:val="20"/>
          <w:szCs w:val="20"/>
          <w:lang w:val="es-CR"/>
        </w:rPr>
        <w:t>del plazo dispuesto en la Sentencia (</w:t>
      </w:r>
      <w:r w:rsidR="00BC25E9" w:rsidRPr="004668C3">
        <w:rPr>
          <w:rFonts w:ascii="Verdana" w:hAnsi="Verdana"/>
          <w:i/>
          <w:sz w:val="20"/>
          <w:szCs w:val="20"/>
          <w:lang w:val="es-CR"/>
        </w:rPr>
        <w:t xml:space="preserve">supra </w:t>
      </w:r>
      <w:r w:rsidR="00BC25E9" w:rsidRPr="004668C3">
        <w:rPr>
          <w:rFonts w:ascii="Verdana" w:hAnsi="Verdana"/>
          <w:sz w:val="20"/>
          <w:szCs w:val="20"/>
          <w:lang w:val="es-CR"/>
        </w:rPr>
        <w:t xml:space="preserve">Considerando </w:t>
      </w:r>
      <w:r w:rsidR="000F1241">
        <w:rPr>
          <w:rFonts w:ascii="Verdana" w:hAnsi="Verdana"/>
          <w:sz w:val="20"/>
          <w:szCs w:val="20"/>
          <w:lang w:val="es-CR"/>
        </w:rPr>
        <w:t>17</w:t>
      </w:r>
      <w:r w:rsidR="000F1241" w:rsidRPr="004668C3">
        <w:rPr>
          <w:rFonts w:ascii="Verdana" w:hAnsi="Verdana"/>
          <w:sz w:val="20"/>
          <w:szCs w:val="20"/>
          <w:lang w:val="es-CR"/>
        </w:rPr>
        <w:t xml:space="preserve">), </w:t>
      </w:r>
      <w:r w:rsidR="00BC25E9" w:rsidRPr="004668C3">
        <w:rPr>
          <w:rFonts w:ascii="Verdana" w:hAnsi="Verdana"/>
          <w:sz w:val="20"/>
          <w:szCs w:val="20"/>
          <w:lang w:val="es-CR"/>
        </w:rPr>
        <w:t xml:space="preserve">las víctimas del caso expresaron su deseo de recibir </w:t>
      </w:r>
      <w:r w:rsidR="00BC25E9" w:rsidRPr="004668C3">
        <w:rPr>
          <w:rFonts w:ascii="Verdana" w:eastAsia="Times New Roman" w:hAnsi="Verdana"/>
          <w:sz w:val="20"/>
          <w:szCs w:val="20"/>
          <w:lang w:val="es-ES_tradnl" w:eastAsia="es-ES"/>
        </w:rPr>
        <w:t xml:space="preserve">atención médica, psicológica </w:t>
      </w:r>
      <w:r w:rsidR="000F1241">
        <w:rPr>
          <w:rFonts w:ascii="Verdana" w:eastAsia="Times New Roman" w:hAnsi="Verdana"/>
          <w:sz w:val="20"/>
          <w:szCs w:val="20"/>
          <w:lang w:val="es-ES_tradnl" w:eastAsia="es-ES"/>
        </w:rPr>
        <w:t>y/</w:t>
      </w:r>
      <w:r w:rsidR="00BC25E9" w:rsidRPr="004668C3">
        <w:rPr>
          <w:rFonts w:ascii="Verdana" w:eastAsia="Times New Roman" w:hAnsi="Verdana"/>
          <w:sz w:val="20"/>
          <w:szCs w:val="20"/>
          <w:lang w:val="es-ES_tradnl" w:eastAsia="es-ES"/>
        </w:rPr>
        <w:t>o psiquiátrica.</w:t>
      </w:r>
    </w:p>
    <w:p w:rsidR="000A435E" w:rsidRPr="00B078F0" w:rsidRDefault="00BC25E9" w:rsidP="00857630">
      <w:pPr>
        <w:pStyle w:val="Listavistosa-nfasis1"/>
        <w:numPr>
          <w:ilvl w:val="0"/>
          <w:numId w:val="28"/>
        </w:numPr>
        <w:spacing w:before="120" w:after="120" w:line="240" w:lineRule="auto"/>
        <w:ind w:left="0" w:right="9" w:firstLine="0"/>
        <w:contextualSpacing w:val="0"/>
        <w:jc w:val="both"/>
        <w:rPr>
          <w:rFonts w:ascii="Verdana" w:hAnsi="Verdana"/>
          <w:sz w:val="20"/>
          <w:szCs w:val="20"/>
          <w:lang w:val="es-CR"/>
        </w:rPr>
      </w:pPr>
      <w:r w:rsidRPr="004668C3">
        <w:rPr>
          <w:rFonts w:ascii="Verdana" w:eastAsia="Times New Roman" w:hAnsi="Verdana"/>
          <w:sz w:val="20"/>
          <w:szCs w:val="20"/>
          <w:lang w:val="es-ES_tradnl" w:eastAsia="es-ES"/>
        </w:rPr>
        <w:t>Además,</w:t>
      </w:r>
      <w:r w:rsidR="000A435E" w:rsidRPr="004668C3">
        <w:rPr>
          <w:rFonts w:ascii="Verdana" w:eastAsia="Times New Roman" w:hAnsi="Verdana"/>
          <w:sz w:val="20"/>
          <w:szCs w:val="20"/>
          <w:lang w:val="es-ES_tradnl" w:eastAsia="es-ES"/>
        </w:rPr>
        <w:t xml:space="preserve"> </w:t>
      </w:r>
      <w:r w:rsidR="00215B6C" w:rsidRPr="00903DE2">
        <w:rPr>
          <w:rFonts w:ascii="Verdana" w:eastAsia="Times New Roman" w:hAnsi="Verdana"/>
          <w:i/>
          <w:sz w:val="20"/>
          <w:szCs w:val="20"/>
          <w:lang w:val="es-ES_tradnl" w:eastAsia="es-ES"/>
        </w:rPr>
        <w:t>Chile</w:t>
      </w:r>
      <w:r w:rsidR="000A435E" w:rsidRPr="004668C3">
        <w:rPr>
          <w:rFonts w:ascii="Verdana" w:eastAsia="Times New Roman" w:hAnsi="Verdana"/>
          <w:sz w:val="20"/>
          <w:szCs w:val="20"/>
          <w:lang w:val="es-ES_tradnl" w:eastAsia="es-ES"/>
        </w:rPr>
        <w:t xml:space="preserve"> indicó que</w:t>
      </w:r>
      <w:r w:rsidRPr="004668C3">
        <w:rPr>
          <w:rFonts w:ascii="Verdana" w:eastAsia="Times New Roman" w:hAnsi="Verdana"/>
          <w:sz w:val="20"/>
          <w:szCs w:val="20"/>
          <w:lang w:val="es-ES_tradnl" w:eastAsia="es-ES"/>
        </w:rPr>
        <w:t xml:space="preserve"> </w:t>
      </w:r>
      <w:r w:rsidR="000A435E" w:rsidRPr="004668C3">
        <w:rPr>
          <w:rFonts w:ascii="Verdana" w:eastAsia="Times New Roman" w:hAnsi="Verdana"/>
          <w:sz w:val="20"/>
          <w:szCs w:val="20"/>
          <w:lang w:val="es-ES_tradnl" w:eastAsia="es-ES"/>
        </w:rPr>
        <w:t>las víctimas</w:t>
      </w:r>
      <w:r w:rsidRPr="004668C3">
        <w:rPr>
          <w:rFonts w:ascii="Verdana" w:eastAsia="Times New Roman" w:hAnsi="Verdana"/>
          <w:sz w:val="20"/>
          <w:szCs w:val="20"/>
          <w:lang w:val="es-ES_tradnl" w:eastAsia="es-ES"/>
        </w:rPr>
        <w:t xml:space="preserve"> </w:t>
      </w:r>
      <w:r w:rsidR="00215B6C" w:rsidRPr="004668C3">
        <w:rPr>
          <w:rFonts w:ascii="Verdana" w:eastAsia="Times New Roman" w:hAnsi="Verdana"/>
          <w:sz w:val="20"/>
          <w:szCs w:val="20"/>
          <w:lang w:val="es-ES_tradnl" w:eastAsia="es-ES"/>
        </w:rPr>
        <w:t xml:space="preserve">también </w:t>
      </w:r>
      <w:r w:rsidRPr="004668C3">
        <w:rPr>
          <w:rFonts w:ascii="Verdana" w:eastAsia="Times New Roman" w:hAnsi="Verdana"/>
          <w:sz w:val="20"/>
          <w:szCs w:val="20"/>
          <w:lang w:val="es-ES_tradnl" w:eastAsia="es-ES"/>
        </w:rPr>
        <w:t>manifesta</w:t>
      </w:r>
      <w:r w:rsidR="000A435E" w:rsidRPr="004668C3">
        <w:rPr>
          <w:rFonts w:ascii="Verdana" w:eastAsia="Times New Roman" w:hAnsi="Verdana"/>
          <w:sz w:val="20"/>
          <w:szCs w:val="20"/>
          <w:lang w:val="es-ES_tradnl" w:eastAsia="es-ES"/>
        </w:rPr>
        <w:t>ron</w:t>
      </w:r>
      <w:r w:rsidRPr="004668C3">
        <w:rPr>
          <w:rFonts w:ascii="Verdana" w:eastAsia="Times New Roman" w:hAnsi="Verdana"/>
          <w:sz w:val="20"/>
          <w:szCs w:val="20"/>
          <w:lang w:val="es-ES_tradnl" w:eastAsia="es-ES"/>
        </w:rPr>
        <w:t xml:space="preserve"> su deseo de que “la concesión del referido beneficio</w:t>
      </w:r>
      <w:r w:rsidR="000A435E" w:rsidRPr="004668C3">
        <w:rPr>
          <w:rFonts w:ascii="Verdana" w:eastAsia="Times New Roman" w:hAnsi="Verdana"/>
          <w:sz w:val="20"/>
          <w:szCs w:val="20"/>
          <w:lang w:val="es-ES_tradnl" w:eastAsia="es-ES"/>
        </w:rPr>
        <w:t xml:space="preserve"> [se diera también] a sus hijos y, en algunos casos, para sus nietos y otros miembros de sus comunidades”. Respecto de dicha solicitud,</w:t>
      </w:r>
      <w:r w:rsidR="00A30032" w:rsidRPr="004668C3">
        <w:rPr>
          <w:rFonts w:ascii="Verdana" w:eastAsia="Times New Roman" w:hAnsi="Verdana"/>
          <w:sz w:val="20"/>
          <w:szCs w:val="20"/>
          <w:lang w:val="es-ES_tradnl" w:eastAsia="es-ES"/>
        </w:rPr>
        <w:t xml:space="preserve"> en febrero de 2015</w:t>
      </w:r>
      <w:r w:rsidR="002B7590">
        <w:rPr>
          <w:rFonts w:ascii="Verdana" w:eastAsia="Times New Roman" w:hAnsi="Verdana"/>
          <w:sz w:val="20"/>
          <w:szCs w:val="20"/>
          <w:lang w:val="es-ES_tradnl" w:eastAsia="es-ES"/>
        </w:rPr>
        <w:t>,</w:t>
      </w:r>
      <w:r w:rsidR="000A435E" w:rsidRPr="004668C3">
        <w:rPr>
          <w:rFonts w:ascii="Verdana" w:eastAsia="Times New Roman" w:hAnsi="Verdana"/>
          <w:sz w:val="20"/>
          <w:szCs w:val="20"/>
          <w:lang w:val="es-ES_tradnl" w:eastAsia="es-ES"/>
        </w:rPr>
        <w:t xml:space="preserve"> el Ministerio de Salud </w:t>
      </w:r>
      <w:r w:rsidR="00A30032" w:rsidRPr="004668C3">
        <w:rPr>
          <w:rFonts w:ascii="Verdana" w:eastAsia="Times New Roman" w:hAnsi="Verdana"/>
          <w:sz w:val="20"/>
          <w:szCs w:val="20"/>
          <w:lang w:val="es-ES_tradnl" w:eastAsia="es-ES"/>
        </w:rPr>
        <w:t>emitió un oficio mediante el cual aprobó</w:t>
      </w:r>
      <w:r w:rsidR="002577A5" w:rsidRPr="004668C3">
        <w:rPr>
          <w:rFonts w:ascii="Verdana" w:eastAsia="Times New Roman" w:hAnsi="Verdana"/>
          <w:sz w:val="20"/>
          <w:szCs w:val="20"/>
          <w:lang w:val="es-ES_tradnl" w:eastAsia="es-ES"/>
        </w:rPr>
        <w:t xml:space="preserve"> </w:t>
      </w:r>
      <w:r w:rsidR="003C4FAD" w:rsidRPr="004668C3">
        <w:rPr>
          <w:rFonts w:ascii="Verdana" w:eastAsia="Times New Roman" w:hAnsi="Verdana"/>
          <w:sz w:val="20"/>
          <w:szCs w:val="20"/>
          <w:lang w:val="es-ES_tradnl" w:eastAsia="es-ES"/>
        </w:rPr>
        <w:t xml:space="preserve">que el beneficio de la atención médica, psicológica y psiquiátrica dispuesto en la Sentencia </w:t>
      </w:r>
      <w:r w:rsidR="002577A5" w:rsidRPr="004668C3">
        <w:rPr>
          <w:rFonts w:ascii="Verdana" w:eastAsia="Times New Roman" w:hAnsi="Verdana"/>
          <w:sz w:val="20"/>
          <w:szCs w:val="20"/>
          <w:lang w:val="es-ES_tradnl" w:eastAsia="es-ES"/>
        </w:rPr>
        <w:t>“</w:t>
      </w:r>
      <w:r w:rsidR="003C4FAD" w:rsidRPr="004668C3">
        <w:rPr>
          <w:rFonts w:ascii="Verdana" w:eastAsia="Times New Roman" w:hAnsi="Verdana"/>
          <w:sz w:val="20"/>
          <w:szCs w:val="20"/>
          <w:lang w:val="es-ES_tradnl" w:eastAsia="es-ES"/>
        </w:rPr>
        <w:t>se har[ía</w:t>
      </w:r>
      <w:r w:rsidR="002577A5" w:rsidRPr="004668C3">
        <w:rPr>
          <w:rFonts w:ascii="Verdana" w:eastAsia="Times New Roman" w:hAnsi="Verdana"/>
          <w:sz w:val="20"/>
          <w:szCs w:val="20"/>
          <w:lang w:val="es-ES_tradnl" w:eastAsia="es-ES"/>
        </w:rPr>
        <w:t>] extensivo a las familias y comunidades a las cuales pertenecen las víctimas; en función a la naturaleza de los vínculos familiares y culturales al interior de las comunidades mapuches”</w:t>
      </w:r>
      <w:r w:rsidR="00845DF9" w:rsidRPr="004668C3">
        <w:rPr>
          <w:rStyle w:val="Refdenotaalpie"/>
          <w:rFonts w:ascii="Verdana" w:eastAsia="Times New Roman" w:hAnsi="Verdana"/>
          <w:sz w:val="20"/>
          <w:szCs w:val="20"/>
          <w:lang w:val="es-ES_tradnl" w:eastAsia="es-ES"/>
        </w:rPr>
        <w:footnoteReference w:id="42"/>
      </w:r>
      <w:r w:rsidR="002577A5" w:rsidRPr="004668C3">
        <w:rPr>
          <w:rFonts w:ascii="Verdana" w:eastAsia="Times New Roman" w:hAnsi="Verdana"/>
          <w:sz w:val="20"/>
          <w:szCs w:val="20"/>
          <w:lang w:val="es-ES_tradnl" w:eastAsia="es-ES"/>
        </w:rPr>
        <w:t xml:space="preserve">. </w:t>
      </w:r>
      <w:r w:rsidR="00FC302E">
        <w:rPr>
          <w:rFonts w:ascii="Verdana" w:eastAsia="Times New Roman" w:hAnsi="Verdana"/>
          <w:sz w:val="20"/>
          <w:szCs w:val="20"/>
          <w:lang w:val="es-ES_tradnl" w:eastAsia="es-ES"/>
        </w:rPr>
        <w:t>E</w:t>
      </w:r>
      <w:r w:rsidR="00215B6C" w:rsidRPr="004668C3">
        <w:rPr>
          <w:rFonts w:ascii="Verdana" w:eastAsia="Times New Roman" w:hAnsi="Verdana"/>
          <w:sz w:val="20"/>
          <w:szCs w:val="20"/>
          <w:lang w:val="es-ES_tradnl" w:eastAsia="es-ES"/>
        </w:rPr>
        <w:t xml:space="preserve">l Estado </w:t>
      </w:r>
      <w:r w:rsidR="003C4FAD" w:rsidRPr="004668C3">
        <w:rPr>
          <w:rFonts w:ascii="Verdana" w:eastAsia="Times New Roman" w:hAnsi="Verdana"/>
          <w:sz w:val="20"/>
          <w:szCs w:val="20"/>
          <w:lang w:val="es-ES_tradnl" w:eastAsia="es-ES"/>
        </w:rPr>
        <w:t>comunicó</w:t>
      </w:r>
      <w:r w:rsidR="00215B6C" w:rsidRPr="004668C3">
        <w:rPr>
          <w:rFonts w:ascii="Verdana" w:eastAsia="Times New Roman" w:hAnsi="Verdana"/>
          <w:sz w:val="20"/>
          <w:szCs w:val="20"/>
          <w:lang w:val="es-ES_tradnl" w:eastAsia="es-ES"/>
        </w:rPr>
        <w:t xml:space="preserve"> que</w:t>
      </w:r>
      <w:r w:rsidR="00FC302E">
        <w:rPr>
          <w:rFonts w:ascii="Verdana" w:eastAsia="Times New Roman" w:hAnsi="Verdana"/>
          <w:sz w:val="20"/>
          <w:szCs w:val="20"/>
          <w:lang w:val="es-ES_tradnl" w:eastAsia="es-ES"/>
        </w:rPr>
        <w:t>,</w:t>
      </w:r>
      <w:r w:rsidR="00215B6C" w:rsidRPr="004668C3">
        <w:rPr>
          <w:rFonts w:ascii="Verdana" w:eastAsia="Times New Roman" w:hAnsi="Verdana"/>
          <w:sz w:val="20"/>
          <w:szCs w:val="20"/>
          <w:lang w:val="es-ES_tradnl" w:eastAsia="es-ES"/>
        </w:rPr>
        <w:t xml:space="preserve"> </w:t>
      </w:r>
      <w:r w:rsidR="00FC302E">
        <w:rPr>
          <w:rFonts w:ascii="Verdana" w:eastAsia="Times New Roman" w:hAnsi="Verdana"/>
          <w:sz w:val="20"/>
          <w:szCs w:val="20"/>
          <w:lang w:val="es-ES_tradnl" w:eastAsia="es-ES"/>
        </w:rPr>
        <w:t>c</w:t>
      </w:r>
      <w:r w:rsidR="00FC302E" w:rsidRPr="004668C3">
        <w:rPr>
          <w:rFonts w:ascii="Verdana" w:eastAsia="Times New Roman" w:hAnsi="Verdana"/>
          <w:sz w:val="20"/>
          <w:szCs w:val="20"/>
          <w:lang w:val="es-ES_tradnl" w:eastAsia="es-ES"/>
        </w:rPr>
        <w:t xml:space="preserve">on dicha disposición del Ministerio de Salud, </w:t>
      </w:r>
      <w:r w:rsidR="00215B6C" w:rsidRPr="004668C3">
        <w:rPr>
          <w:rFonts w:ascii="Verdana" w:eastAsia="Times New Roman" w:hAnsi="Verdana"/>
          <w:sz w:val="20"/>
          <w:szCs w:val="20"/>
          <w:lang w:val="es-ES_tradnl" w:eastAsia="es-ES"/>
        </w:rPr>
        <w:t>“</w:t>
      </w:r>
      <w:r w:rsidR="000E34AA">
        <w:rPr>
          <w:rFonts w:ascii="Verdana" w:eastAsia="Times New Roman" w:hAnsi="Verdana"/>
          <w:sz w:val="20"/>
          <w:szCs w:val="20"/>
          <w:lang w:val="es-ES_tradnl" w:eastAsia="es-ES"/>
        </w:rPr>
        <w:t>427 [</w:t>
      </w:r>
      <w:r w:rsidR="00215B6C" w:rsidRPr="004668C3">
        <w:rPr>
          <w:rFonts w:ascii="Verdana" w:eastAsia="Times New Roman" w:hAnsi="Verdana"/>
          <w:sz w:val="20"/>
          <w:szCs w:val="20"/>
          <w:lang w:val="es-ES_tradnl" w:eastAsia="es-ES"/>
        </w:rPr>
        <w:t xml:space="preserve">personas </w:t>
      </w:r>
      <w:r w:rsidR="000E34AA">
        <w:rPr>
          <w:rFonts w:ascii="Verdana" w:eastAsia="Times New Roman" w:hAnsi="Verdana"/>
          <w:sz w:val="20"/>
          <w:szCs w:val="20"/>
          <w:lang w:val="es-ES_tradnl" w:eastAsia="es-ES"/>
        </w:rPr>
        <w:t>son las]</w:t>
      </w:r>
      <w:r w:rsidR="00215B6C" w:rsidRPr="004668C3">
        <w:rPr>
          <w:rFonts w:ascii="Verdana" w:eastAsia="Times New Roman" w:hAnsi="Verdana"/>
          <w:sz w:val="20"/>
          <w:szCs w:val="20"/>
          <w:lang w:val="es-ES_tradnl" w:eastAsia="es-ES"/>
        </w:rPr>
        <w:t xml:space="preserve"> beneficiari</w:t>
      </w:r>
      <w:r w:rsidR="002E421A">
        <w:rPr>
          <w:rFonts w:ascii="Verdana" w:eastAsia="Times New Roman" w:hAnsi="Verdana"/>
          <w:sz w:val="20"/>
          <w:szCs w:val="20"/>
          <w:lang w:val="es-ES_tradnl" w:eastAsia="es-ES"/>
        </w:rPr>
        <w:t>[</w:t>
      </w:r>
      <w:r w:rsidR="00215B6C" w:rsidRPr="004668C3">
        <w:rPr>
          <w:rFonts w:ascii="Verdana" w:eastAsia="Times New Roman" w:hAnsi="Verdana"/>
          <w:sz w:val="20"/>
          <w:szCs w:val="20"/>
          <w:lang w:val="es-ES_tradnl" w:eastAsia="es-ES"/>
        </w:rPr>
        <w:t>a</w:t>
      </w:r>
      <w:r w:rsidR="002E421A">
        <w:rPr>
          <w:rFonts w:ascii="Verdana" w:eastAsia="Times New Roman" w:hAnsi="Verdana"/>
          <w:sz w:val="20"/>
          <w:szCs w:val="20"/>
          <w:lang w:val="es-ES_tradnl" w:eastAsia="es-ES"/>
        </w:rPr>
        <w:t>]</w:t>
      </w:r>
      <w:r w:rsidR="00215B6C" w:rsidRPr="004668C3">
        <w:rPr>
          <w:rFonts w:ascii="Verdana" w:eastAsia="Times New Roman" w:hAnsi="Verdana"/>
          <w:sz w:val="20"/>
          <w:szCs w:val="20"/>
          <w:lang w:val="es-ES_tradnl" w:eastAsia="es-ES"/>
        </w:rPr>
        <w:t>s de esta reparación”.</w:t>
      </w:r>
      <w:r w:rsidR="000E34AA" w:rsidRPr="00903DE2">
        <w:rPr>
          <w:rFonts w:ascii="Verdana" w:eastAsia="Times New Roman" w:hAnsi="Verdana"/>
          <w:sz w:val="16"/>
          <w:szCs w:val="16"/>
          <w:lang w:val="es-ES_tradnl" w:eastAsia="es-ES"/>
        </w:rPr>
        <w:t xml:space="preserve"> </w:t>
      </w:r>
      <w:r w:rsidR="002577A5" w:rsidRPr="005F0E01">
        <w:rPr>
          <w:rFonts w:ascii="Verdana" w:hAnsi="Verdana"/>
          <w:sz w:val="20"/>
          <w:szCs w:val="20"/>
          <w:lang w:val="es-CR"/>
        </w:rPr>
        <w:t>Par</w:t>
      </w:r>
      <w:r w:rsidR="000E34AA" w:rsidRPr="005F0E01">
        <w:rPr>
          <w:rFonts w:ascii="Verdana" w:hAnsi="Verdana"/>
          <w:sz w:val="20"/>
          <w:szCs w:val="20"/>
          <w:lang w:val="es-CR"/>
        </w:rPr>
        <w:t xml:space="preserve">a implementar la medida en esta forma extensiva, </w:t>
      </w:r>
      <w:r w:rsidR="0007174C">
        <w:rPr>
          <w:rFonts w:ascii="Verdana" w:hAnsi="Verdana"/>
          <w:sz w:val="20"/>
          <w:szCs w:val="20"/>
          <w:lang w:val="es-CR"/>
        </w:rPr>
        <w:t>el Ministerio de Salud elaboró “un programa especial de reparación”, denominado “Programa de Reparación Integral</w:t>
      </w:r>
      <w:r w:rsidR="00FC302E">
        <w:rPr>
          <w:rFonts w:ascii="Verdana" w:hAnsi="Verdana"/>
          <w:sz w:val="20"/>
          <w:szCs w:val="20"/>
          <w:lang w:val="es-CR"/>
        </w:rPr>
        <w:t xml:space="preserve">: </w:t>
      </w:r>
      <w:r w:rsidR="0007174C">
        <w:rPr>
          <w:rFonts w:ascii="Verdana" w:hAnsi="Verdana"/>
          <w:sz w:val="20"/>
          <w:szCs w:val="20"/>
          <w:lang w:val="es-CR"/>
        </w:rPr>
        <w:t>Loncos</w:t>
      </w:r>
      <w:r w:rsidR="00FC302E">
        <w:rPr>
          <w:rFonts w:ascii="Verdana" w:hAnsi="Verdana"/>
          <w:sz w:val="20"/>
          <w:szCs w:val="20"/>
          <w:lang w:val="es-CR"/>
        </w:rPr>
        <w:t>”</w:t>
      </w:r>
      <w:r w:rsidR="0007174C">
        <w:rPr>
          <w:rFonts w:ascii="Verdana" w:hAnsi="Verdana"/>
          <w:sz w:val="20"/>
          <w:szCs w:val="20"/>
          <w:lang w:val="es-CR"/>
        </w:rPr>
        <w:t xml:space="preserve"> </w:t>
      </w:r>
      <w:r w:rsidR="00FC302E">
        <w:rPr>
          <w:rFonts w:ascii="Verdana" w:hAnsi="Verdana"/>
          <w:sz w:val="20"/>
          <w:szCs w:val="20"/>
          <w:lang w:val="es-CR"/>
        </w:rPr>
        <w:t>“</w:t>
      </w:r>
      <w:r w:rsidR="0007174C">
        <w:rPr>
          <w:rFonts w:ascii="Verdana" w:hAnsi="Verdana"/>
          <w:sz w:val="20"/>
          <w:szCs w:val="20"/>
          <w:lang w:val="es-CR"/>
        </w:rPr>
        <w:t xml:space="preserve">(PRILONCOS)”, </w:t>
      </w:r>
      <w:r w:rsidR="0007174C" w:rsidRPr="0007174C">
        <w:rPr>
          <w:rFonts w:ascii="Verdana" w:hAnsi="Verdana"/>
          <w:sz w:val="20"/>
          <w:szCs w:val="20"/>
          <w:lang w:val="es-CR"/>
        </w:rPr>
        <w:t>en el cual</w:t>
      </w:r>
      <w:r w:rsidR="0007174C">
        <w:rPr>
          <w:rFonts w:ascii="Verdana" w:hAnsi="Verdana"/>
          <w:b/>
          <w:sz w:val="16"/>
          <w:szCs w:val="16"/>
          <w:lang w:val="es-CR"/>
        </w:rPr>
        <w:t xml:space="preserve"> </w:t>
      </w:r>
      <w:r w:rsidR="003C4FAD" w:rsidRPr="005F0E01">
        <w:rPr>
          <w:rFonts w:ascii="Verdana" w:hAnsi="Verdana"/>
          <w:sz w:val="20"/>
          <w:szCs w:val="20"/>
          <w:lang w:val="es-CR"/>
        </w:rPr>
        <w:t xml:space="preserve">los servicios de salud de </w:t>
      </w:r>
      <w:r w:rsidR="00FC302E">
        <w:rPr>
          <w:rFonts w:ascii="Verdana" w:hAnsi="Verdana"/>
          <w:sz w:val="20"/>
          <w:szCs w:val="20"/>
          <w:lang w:val="es-CR"/>
        </w:rPr>
        <w:t xml:space="preserve">las localidades de </w:t>
      </w:r>
      <w:r w:rsidR="003C4FAD" w:rsidRPr="005F0E01">
        <w:rPr>
          <w:rFonts w:ascii="Verdana" w:hAnsi="Verdana"/>
          <w:sz w:val="20"/>
          <w:szCs w:val="20"/>
          <w:lang w:val="es-CR"/>
        </w:rPr>
        <w:t>Arauco y Araucanía Norte</w:t>
      </w:r>
      <w:r w:rsidR="0007174C">
        <w:rPr>
          <w:rFonts w:ascii="Verdana" w:hAnsi="Verdana"/>
          <w:sz w:val="20"/>
          <w:szCs w:val="20"/>
          <w:lang w:val="es-CR"/>
        </w:rPr>
        <w:t xml:space="preserve"> </w:t>
      </w:r>
      <w:r w:rsidR="003C4FAD" w:rsidRPr="005F0E01">
        <w:rPr>
          <w:rFonts w:ascii="Verdana" w:hAnsi="Verdana"/>
          <w:sz w:val="20"/>
          <w:szCs w:val="20"/>
          <w:lang w:val="es-CR"/>
        </w:rPr>
        <w:t>llevaron</w:t>
      </w:r>
      <w:r w:rsidR="002577A5" w:rsidRPr="005F0E01">
        <w:rPr>
          <w:rFonts w:ascii="Verdana" w:hAnsi="Verdana"/>
          <w:sz w:val="20"/>
          <w:szCs w:val="20"/>
          <w:lang w:val="es-CR"/>
        </w:rPr>
        <w:t xml:space="preserve"> a cabo</w:t>
      </w:r>
      <w:r w:rsidR="000E34AA" w:rsidRPr="00B078F0">
        <w:rPr>
          <w:rFonts w:ascii="Verdana" w:hAnsi="Verdana"/>
          <w:sz w:val="20"/>
          <w:szCs w:val="20"/>
          <w:lang w:val="es-CR"/>
        </w:rPr>
        <w:t>,</w:t>
      </w:r>
      <w:r w:rsidR="002577A5" w:rsidRPr="00B078F0">
        <w:rPr>
          <w:rFonts w:ascii="Verdana" w:hAnsi="Verdana"/>
          <w:sz w:val="20"/>
          <w:szCs w:val="20"/>
          <w:lang w:val="es-CR"/>
        </w:rPr>
        <w:t xml:space="preserve"> </w:t>
      </w:r>
      <w:r w:rsidR="000E34AA" w:rsidRPr="00B078F0">
        <w:rPr>
          <w:rFonts w:ascii="Verdana" w:hAnsi="Verdana"/>
          <w:sz w:val="20"/>
          <w:szCs w:val="20"/>
          <w:lang w:val="es-CR"/>
        </w:rPr>
        <w:t xml:space="preserve">durante el 2016, </w:t>
      </w:r>
      <w:r w:rsidR="002577A5" w:rsidRPr="00B078F0">
        <w:rPr>
          <w:rFonts w:ascii="Verdana" w:hAnsi="Verdana"/>
          <w:sz w:val="20"/>
          <w:szCs w:val="20"/>
          <w:lang w:val="es-CR"/>
        </w:rPr>
        <w:t xml:space="preserve">un “diagnóstico de las </w:t>
      </w:r>
      <w:r w:rsidR="00215B6C" w:rsidRPr="00B078F0">
        <w:rPr>
          <w:rFonts w:ascii="Verdana" w:hAnsi="Verdana"/>
          <w:sz w:val="20"/>
          <w:szCs w:val="20"/>
          <w:lang w:val="es-CR"/>
        </w:rPr>
        <w:t xml:space="preserve">condiciones de salud- tanto física, mental como dental- de los beneficiarios” </w:t>
      </w:r>
      <w:r w:rsidR="000E34AA" w:rsidRPr="00B078F0">
        <w:rPr>
          <w:rFonts w:ascii="Verdana" w:hAnsi="Verdana"/>
          <w:sz w:val="20"/>
          <w:szCs w:val="20"/>
          <w:lang w:val="es-CR"/>
        </w:rPr>
        <w:t>y una “recopilación de antecedes sobre la composición familiar y comunitaria” y del “acceso con pertinencia cultural de los […] beneficiarios de esta reparación</w:t>
      </w:r>
      <w:r w:rsidR="005F57F5" w:rsidRPr="00B078F0">
        <w:rPr>
          <w:rStyle w:val="Refdenotaalpie"/>
          <w:rFonts w:ascii="Verdana" w:hAnsi="Verdana"/>
          <w:sz w:val="20"/>
          <w:szCs w:val="20"/>
          <w:lang w:val="es-CR"/>
        </w:rPr>
        <w:footnoteReference w:id="43"/>
      </w:r>
      <w:r w:rsidR="000E34AA" w:rsidRPr="00B078F0">
        <w:rPr>
          <w:rFonts w:ascii="Verdana" w:hAnsi="Verdana"/>
          <w:sz w:val="20"/>
          <w:szCs w:val="20"/>
          <w:lang w:val="es-CR"/>
        </w:rPr>
        <w:t>.</w:t>
      </w:r>
      <w:r w:rsidR="006208D0">
        <w:rPr>
          <w:rFonts w:ascii="Verdana" w:hAnsi="Verdana"/>
          <w:sz w:val="20"/>
          <w:szCs w:val="20"/>
          <w:lang w:val="es-CR"/>
        </w:rPr>
        <w:t xml:space="preserve"> Según el Estado</w:t>
      </w:r>
      <w:r w:rsidR="00E40D2C">
        <w:rPr>
          <w:rFonts w:ascii="Verdana" w:hAnsi="Verdana"/>
          <w:sz w:val="20"/>
          <w:szCs w:val="20"/>
          <w:lang w:val="es-CR"/>
        </w:rPr>
        <w:t>,</w:t>
      </w:r>
      <w:r w:rsidR="006208D0">
        <w:rPr>
          <w:rFonts w:ascii="Verdana" w:hAnsi="Verdana"/>
          <w:sz w:val="20"/>
          <w:szCs w:val="20"/>
          <w:lang w:val="es-CR"/>
        </w:rPr>
        <w:t xml:space="preserve"> d</w:t>
      </w:r>
      <w:r w:rsidR="000E34AA" w:rsidRPr="00B078F0">
        <w:rPr>
          <w:rFonts w:ascii="Verdana" w:hAnsi="Verdana"/>
          <w:sz w:val="20"/>
          <w:szCs w:val="20"/>
          <w:lang w:val="es-CR"/>
        </w:rPr>
        <w:t xml:space="preserve">icho diagnóstico y levantamiento de datos </w:t>
      </w:r>
      <w:r w:rsidR="006208D0">
        <w:rPr>
          <w:rFonts w:ascii="Verdana" w:hAnsi="Verdana"/>
          <w:sz w:val="20"/>
          <w:szCs w:val="20"/>
          <w:lang w:val="es-CR"/>
        </w:rPr>
        <w:t>habría sido</w:t>
      </w:r>
      <w:r w:rsidR="00215B6C" w:rsidRPr="00B078F0">
        <w:rPr>
          <w:rFonts w:ascii="Verdana" w:hAnsi="Verdana"/>
          <w:sz w:val="20"/>
          <w:szCs w:val="20"/>
          <w:lang w:val="es-CR"/>
        </w:rPr>
        <w:t xml:space="preserve"> la base para elaboración de “un programa de atención para cada uno de ellos”</w:t>
      </w:r>
      <w:r w:rsidR="000E34AA" w:rsidRPr="00B078F0">
        <w:rPr>
          <w:rStyle w:val="Refdenotaalpie"/>
          <w:rFonts w:ascii="Verdana" w:hAnsi="Verdana"/>
          <w:sz w:val="20"/>
          <w:szCs w:val="20"/>
          <w:lang w:val="es-CR"/>
        </w:rPr>
        <w:footnoteReference w:id="44"/>
      </w:r>
      <w:r w:rsidR="0007174C" w:rsidRPr="00B078F0">
        <w:rPr>
          <w:rFonts w:ascii="Verdana" w:hAnsi="Verdana"/>
          <w:sz w:val="20"/>
          <w:szCs w:val="20"/>
          <w:lang w:val="es-CR"/>
        </w:rPr>
        <w:t>.</w:t>
      </w:r>
    </w:p>
    <w:p w:rsidR="005F096D" w:rsidRDefault="000E34AA" w:rsidP="00857630">
      <w:pPr>
        <w:pStyle w:val="Listavistosa-nfasis1"/>
        <w:numPr>
          <w:ilvl w:val="0"/>
          <w:numId w:val="28"/>
        </w:numPr>
        <w:spacing w:before="120" w:after="120" w:line="240" w:lineRule="auto"/>
        <w:ind w:left="0" w:right="9" w:firstLine="0"/>
        <w:contextualSpacing w:val="0"/>
        <w:jc w:val="both"/>
        <w:rPr>
          <w:rFonts w:ascii="Verdana" w:hAnsi="Verdana"/>
          <w:color w:val="0070C0"/>
          <w:sz w:val="20"/>
          <w:szCs w:val="20"/>
          <w:lang w:val="es-CR"/>
        </w:rPr>
      </w:pPr>
      <w:r w:rsidRPr="00730ADD">
        <w:rPr>
          <w:rFonts w:ascii="Verdana" w:hAnsi="Verdana"/>
          <w:sz w:val="20"/>
          <w:szCs w:val="20"/>
          <w:lang w:val="es-CR"/>
        </w:rPr>
        <w:t xml:space="preserve">El </w:t>
      </w:r>
      <w:r w:rsidRPr="00730ADD">
        <w:rPr>
          <w:rFonts w:ascii="Verdana" w:hAnsi="Verdana"/>
          <w:i/>
          <w:sz w:val="20"/>
          <w:szCs w:val="20"/>
          <w:lang w:val="es-CR"/>
        </w:rPr>
        <w:t>Estado</w:t>
      </w:r>
      <w:r w:rsidRPr="00730ADD">
        <w:rPr>
          <w:rFonts w:ascii="Verdana" w:hAnsi="Verdana"/>
          <w:sz w:val="20"/>
          <w:szCs w:val="20"/>
          <w:lang w:val="es-CR"/>
        </w:rPr>
        <w:t xml:space="preserve"> </w:t>
      </w:r>
      <w:r w:rsidR="005F57F5" w:rsidRPr="00730ADD">
        <w:rPr>
          <w:rFonts w:ascii="Verdana" w:hAnsi="Verdana"/>
          <w:sz w:val="20"/>
          <w:szCs w:val="20"/>
          <w:lang w:val="es-CR"/>
        </w:rPr>
        <w:t xml:space="preserve">destacó que “el principal avance en esta materia corresponde a </w:t>
      </w:r>
      <w:r w:rsidR="005F57F5" w:rsidRPr="00730ADD">
        <w:rPr>
          <w:rFonts w:ascii="Verdana" w:hAnsi="Verdana"/>
          <w:sz w:val="20"/>
          <w:lang w:val="es-ES_tradnl"/>
        </w:rPr>
        <w:t>la creación de un programa de reparación específico para cada una de las víctimas del presente caso, a través de un equipo interdisciplinario que busca atender todas las necesidades de salud de los beneficiarios de esta reparación”</w:t>
      </w:r>
      <w:r w:rsidR="00A26EE9">
        <w:rPr>
          <w:rFonts w:ascii="Verdana" w:hAnsi="Verdana"/>
          <w:sz w:val="20"/>
          <w:lang w:val="es-ES_tradnl"/>
        </w:rPr>
        <w:t xml:space="preserve"> y </w:t>
      </w:r>
      <w:r w:rsidR="00A26EE9" w:rsidRPr="004E2D06">
        <w:rPr>
          <w:rFonts w:ascii="Verdana" w:hAnsi="Verdana"/>
          <w:sz w:val="20"/>
          <w:szCs w:val="20"/>
          <w:lang w:val="es-ES_tradnl"/>
        </w:rPr>
        <w:t xml:space="preserve">también </w:t>
      </w:r>
      <w:r w:rsidR="00A26EE9" w:rsidRPr="004E2D06">
        <w:rPr>
          <w:rFonts w:ascii="Verdana" w:hAnsi="Verdana"/>
          <w:sz w:val="20"/>
          <w:szCs w:val="20"/>
          <w:lang w:val="es-CR"/>
        </w:rPr>
        <w:t>se refirió a los “desafíos” del funcionamiento de este programa</w:t>
      </w:r>
      <w:r w:rsidR="005F57F5" w:rsidRPr="004E2D06">
        <w:rPr>
          <w:rStyle w:val="Refdenotaalpie"/>
          <w:rFonts w:ascii="Verdana" w:hAnsi="Verdana"/>
          <w:sz w:val="20"/>
          <w:szCs w:val="20"/>
          <w:lang w:val="es-ES_tradnl"/>
        </w:rPr>
        <w:footnoteReference w:id="45"/>
      </w:r>
      <w:r w:rsidR="005F57F5" w:rsidRPr="004E2D06">
        <w:rPr>
          <w:rFonts w:ascii="Verdana" w:hAnsi="Verdana"/>
          <w:sz w:val="20"/>
          <w:szCs w:val="20"/>
          <w:lang w:val="es-ES_tradnl"/>
        </w:rPr>
        <w:t>.</w:t>
      </w:r>
      <w:r w:rsidR="005F57F5" w:rsidRPr="00730ADD">
        <w:rPr>
          <w:rFonts w:ascii="Verdana" w:hAnsi="Verdana"/>
          <w:sz w:val="20"/>
          <w:lang w:val="es-ES_tradnl"/>
        </w:rPr>
        <w:t xml:space="preserve"> En ese sentido, </w:t>
      </w:r>
      <w:r w:rsidRPr="00730ADD">
        <w:rPr>
          <w:rFonts w:ascii="Verdana" w:hAnsi="Verdana"/>
          <w:sz w:val="20"/>
          <w:szCs w:val="20"/>
          <w:lang w:val="es-CR"/>
        </w:rPr>
        <w:t xml:space="preserve">solicitó a la Corte que “recono[ciera] la existencia de un programa específico de reparación y su funcionamiento permanente”. </w:t>
      </w:r>
      <w:r w:rsidR="00B078F0" w:rsidRPr="00B078F0">
        <w:rPr>
          <w:rFonts w:ascii="Verdana" w:hAnsi="Verdana"/>
          <w:sz w:val="20"/>
          <w:szCs w:val="20"/>
          <w:lang w:val="es-CR"/>
        </w:rPr>
        <w:t xml:space="preserve">A pesar de que </w:t>
      </w:r>
      <w:r w:rsidR="005F0E01" w:rsidRPr="00903DE2">
        <w:rPr>
          <w:rFonts w:ascii="Verdana" w:hAnsi="Verdana"/>
          <w:sz w:val="20"/>
          <w:szCs w:val="20"/>
          <w:lang w:val="es-CR"/>
        </w:rPr>
        <w:t>las</w:t>
      </w:r>
      <w:r w:rsidR="005F0E01" w:rsidRPr="00B078F0">
        <w:rPr>
          <w:rFonts w:ascii="Verdana" w:hAnsi="Verdana"/>
          <w:i/>
          <w:sz w:val="20"/>
          <w:szCs w:val="20"/>
          <w:lang w:val="es-CR"/>
        </w:rPr>
        <w:t xml:space="preserve"> </w:t>
      </w:r>
      <w:r w:rsidR="005F0E01" w:rsidRPr="00903DE2">
        <w:rPr>
          <w:rFonts w:ascii="Verdana" w:hAnsi="Verdana"/>
          <w:sz w:val="20"/>
          <w:szCs w:val="20"/>
          <w:lang w:val="es-CR"/>
        </w:rPr>
        <w:t>víctimas</w:t>
      </w:r>
      <w:r w:rsidR="005F096D" w:rsidRPr="00903DE2">
        <w:rPr>
          <w:rFonts w:ascii="Verdana" w:hAnsi="Verdana"/>
          <w:sz w:val="20"/>
          <w:szCs w:val="20"/>
          <w:lang w:val="es-CR"/>
        </w:rPr>
        <w:t xml:space="preserve"> y sus representantes</w:t>
      </w:r>
      <w:r w:rsidR="005F0E01" w:rsidRPr="00B078F0">
        <w:rPr>
          <w:rFonts w:ascii="Verdana" w:hAnsi="Verdana"/>
          <w:sz w:val="20"/>
          <w:szCs w:val="20"/>
          <w:lang w:val="es-CR"/>
        </w:rPr>
        <w:t xml:space="preserve"> </w:t>
      </w:r>
      <w:r w:rsidR="00B078F0" w:rsidRPr="00B078F0">
        <w:rPr>
          <w:rFonts w:ascii="Verdana" w:hAnsi="Verdana"/>
          <w:sz w:val="20"/>
          <w:szCs w:val="20"/>
          <w:lang w:val="es-CR"/>
        </w:rPr>
        <w:t>han</w:t>
      </w:r>
      <w:r w:rsidR="005F0E01" w:rsidRPr="00B078F0">
        <w:rPr>
          <w:rFonts w:ascii="Verdana" w:hAnsi="Verdana"/>
          <w:sz w:val="20"/>
          <w:szCs w:val="20"/>
          <w:lang w:val="es-CR"/>
        </w:rPr>
        <w:t xml:space="preserve"> </w:t>
      </w:r>
      <w:r w:rsidRPr="00B078F0">
        <w:rPr>
          <w:rFonts w:ascii="Verdana" w:hAnsi="Verdana"/>
          <w:sz w:val="20"/>
          <w:szCs w:val="20"/>
          <w:lang w:val="es-CR"/>
        </w:rPr>
        <w:t>valora</w:t>
      </w:r>
      <w:r w:rsidR="005F0E01" w:rsidRPr="00B078F0">
        <w:rPr>
          <w:rFonts w:ascii="Verdana" w:hAnsi="Verdana"/>
          <w:sz w:val="20"/>
          <w:szCs w:val="20"/>
          <w:lang w:val="es-CR"/>
        </w:rPr>
        <w:t>d</w:t>
      </w:r>
      <w:r w:rsidR="00B078F0" w:rsidRPr="00B078F0">
        <w:rPr>
          <w:rFonts w:ascii="Verdana" w:hAnsi="Verdana"/>
          <w:sz w:val="20"/>
          <w:szCs w:val="20"/>
          <w:lang w:val="es-CR"/>
        </w:rPr>
        <w:t>o</w:t>
      </w:r>
      <w:r w:rsidR="005F096D" w:rsidRPr="00B078F0">
        <w:rPr>
          <w:rFonts w:ascii="Verdana" w:hAnsi="Verdana"/>
          <w:sz w:val="20"/>
          <w:szCs w:val="20"/>
          <w:lang w:val="es-CR"/>
        </w:rPr>
        <w:t xml:space="preserve"> la</w:t>
      </w:r>
      <w:r w:rsidRPr="00B078F0">
        <w:rPr>
          <w:rFonts w:ascii="Verdana" w:hAnsi="Verdana"/>
          <w:sz w:val="20"/>
          <w:szCs w:val="20"/>
          <w:lang w:val="es-CR"/>
        </w:rPr>
        <w:t xml:space="preserve"> </w:t>
      </w:r>
      <w:r w:rsidR="005F096D" w:rsidRPr="00B078F0">
        <w:rPr>
          <w:rFonts w:ascii="Verdana" w:hAnsi="Verdana"/>
          <w:sz w:val="20"/>
          <w:szCs w:val="20"/>
          <w:lang w:val="es-CR"/>
        </w:rPr>
        <w:t>decisión del Estado de hacer extensiva</w:t>
      </w:r>
      <w:r w:rsidRPr="00B078F0">
        <w:rPr>
          <w:rFonts w:ascii="Verdana" w:hAnsi="Verdana"/>
          <w:sz w:val="20"/>
          <w:szCs w:val="20"/>
          <w:lang w:val="es-CR"/>
        </w:rPr>
        <w:t xml:space="preserve"> </w:t>
      </w:r>
      <w:r w:rsidR="005F0E01" w:rsidRPr="00B078F0">
        <w:rPr>
          <w:rFonts w:ascii="Verdana" w:hAnsi="Verdana"/>
          <w:sz w:val="20"/>
          <w:szCs w:val="20"/>
          <w:lang w:val="es-CR"/>
        </w:rPr>
        <w:t xml:space="preserve">la atención </w:t>
      </w:r>
      <w:r w:rsidR="0003507A">
        <w:rPr>
          <w:rFonts w:ascii="Verdana" w:hAnsi="Verdana"/>
          <w:sz w:val="20"/>
          <w:szCs w:val="20"/>
          <w:lang w:val="es-CR"/>
        </w:rPr>
        <w:t>en salud</w:t>
      </w:r>
      <w:r w:rsidRPr="00B078F0">
        <w:rPr>
          <w:rFonts w:ascii="Verdana" w:hAnsi="Verdana"/>
          <w:sz w:val="20"/>
          <w:szCs w:val="20"/>
          <w:lang w:val="es-CR"/>
        </w:rPr>
        <w:t xml:space="preserve"> a los familiares de </w:t>
      </w:r>
      <w:r w:rsidR="005F096D" w:rsidRPr="00B078F0">
        <w:rPr>
          <w:rFonts w:ascii="Verdana" w:hAnsi="Verdana"/>
          <w:sz w:val="20"/>
          <w:szCs w:val="20"/>
          <w:lang w:val="es-CR"/>
        </w:rPr>
        <w:t>las víctimas</w:t>
      </w:r>
      <w:r w:rsidRPr="00B078F0">
        <w:rPr>
          <w:rFonts w:ascii="Verdana" w:hAnsi="Verdana"/>
          <w:sz w:val="20"/>
          <w:szCs w:val="20"/>
          <w:lang w:val="es-CR"/>
        </w:rPr>
        <w:t xml:space="preserve"> y a sus comunidades</w:t>
      </w:r>
      <w:r w:rsidR="00B078F0" w:rsidRPr="00B078F0">
        <w:rPr>
          <w:rFonts w:ascii="Verdana" w:hAnsi="Verdana"/>
          <w:sz w:val="20"/>
          <w:szCs w:val="20"/>
          <w:lang w:val="es-CR"/>
        </w:rPr>
        <w:t>, también han expuesto objeciones respecto al funcionamiento del referido programa</w:t>
      </w:r>
      <w:r w:rsidR="002014BA">
        <w:rPr>
          <w:rStyle w:val="Refdenotaalpie"/>
          <w:rFonts w:ascii="Verdana" w:hAnsi="Verdana"/>
          <w:sz w:val="20"/>
          <w:szCs w:val="20"/>
          <w:lang w:val="es-CR"/>
        </w:rPr>
        <w:footnoteReference w:id="46"/>
      </w:r>
      <w:r w:rsidR="00B078F0" w:rsidRPr="00B078F0">
        <w:rPr>
          <w:rFonts w:ascii="Verdana" w:hAnsi="Verdana"/>
          <w:sz w:val="20"/>
          <w:szCs w:val="20"/>
          <w:lang w:val="es-CR"/>
        </w:rPr>
        <w:t>.</w:t>
      </w:r>
    </w:p>
    <w:p w:rsidR="00A26EE9" w:rsidRPr="00A26EE9" w:rsidRDefault="005F0E01" w:rsidP="00857630">
      <w:pPr>
        <w:pStyle w:val="Listavistosa-nfasis1"/>
        <w:numPr>
          <w:ilvl w:val="0"/>
          <w:numId w:val="28"/>
        </w:numPr>
        <w:spacing w:before="120" w:after="120" w:line="240" w:lineRule="auto"/>
        <w:ind w:left="0" w:right="9" w:firstLine="0"/>
        <w:contextualSpacing w:val="0"/>
        <w:jc w:val="both"/>
        <w:rPr>
          <w:rFonts w:ascii="Verdana" w:hAnsi="Verdana"/>
          <w:b/>
          <w:color w:val="0070C0"/>
          <w:sz w:val="20"/>
          <w:szCs w:val="20"/>
          <w:lang w:val="es-CR"/>
        </w:rPr>
      </w:pPr>
      <w:r w:rsidRPr="00CD15B9">
        <w:rPr>
          <w:rFonts w:ascii="Verdana" w:hAnsi="Verdana"/>
          <w:sz w:val="20"/>
          <w:szCs w:val="20"/>
          <w:lang w:val="es-CR"/>
        </w:rPr>
        <w:lastRenderedPageBreak/>
        <w:t xml:space="preserve">La Corte valora positivamente la buena fe demostrada por Chile al ampliar </w:t>
      </w:r>
      <w:r w:rsidR="00605B08">
        <w:rPr>
          <w:rFonts w:ascii="Verdana" w:hAnsi="Verdana"/>
          <w:sz w:val="20"/>
          <w:szCs w:val="20"/>
          <w:lang w:val="es-CR"/>
        </w:rPr>
        <w:t>la cantidad de</w:t>
      </w:r>
      <w:r w:rsidR="00651101" w:rsidRPr="00CD15B9">
        <w:rPr>
          <w:rFonts w:ascii="Verdana" w:hAnsi="Verdana"/>
          <w:sz w:val="20"/>
          <w:szCs w:val="20"/>
          <w:lang w:val="es-CR"/>
        </w:rPr>
        <w:t xml:space="preserve"> beneficiarios </w:t>
      </w:r>
      <w:r w:rsidRPr="00CD15B9">
        <w:rPr>
          <w:rFonts w:ascii="Verdana" w:hAnsi="Verdana"/>
          <w:sz w:val="20"/>
          <w:szCs w:val="20"/>
          <w:lang w:val="es-CR"/>
        </w:rPr>
        <w:t xml:space="preserve">de </w:t>
      </w:r>
      <w:r w:rsidR="00605B08">
        <w:rPr>
          <w:rFonts w:ascii="Verdana" w:hAnsi="Verdana"/>
          <w:sz w:val="20"/>
          <w:szCs w:val="20"/>
          <w:lang w:val="es-CR"/>
        </w:rPr>
        <w:t>esta</w:t>
      </w:r>
      <w:r w:rsidRPr="00CD15B9">
        <w:rPr>
          <w:rFonts w:ascii="Verdana" w:hAnsi="Verdana"/>
          <w:sz w:val="20"/>
          <w:szCs w:val="20"/>
          <w:lang w:val="es-CR"/>
        </w:rPr>
        <w:t xml:space="preserve"> medida de reparación </w:t>
      </w:r>
      <w:r w:rsidR="0068531C">
        <w:rPr>
          <w:rFonts w:ascii="Verdana" w:hAnsi="Verdana"/>
          <w:sz w:val="20"/>
          <w:szCs w:val="20"/>
          <w:lang w:val="es-CR"/>
        </w:rPr>
        <w:t>con el fin de</w:t>
      </w:r>
      <w:r w:rsidR="002B7590">
        <w:rPr>
          <w:rFonts w:ascii="Verdana" w:hAnsi="Verdana"/>
          <w:sz w:val="20"/>
          <w:szCs w:val="20"/>
          <w:lang w:val="es-CR"/>
        </w:rPr>
        <w:t xml:space="preserve"> brindar </w:t>
      </w:r>
      <w:r w:rsidR="00505F0A" w:rsidRPr="00CD15B9">
        <w:rPr>
          <w:rFonts w:ascii="Verdana" w:hAnsi="Verdana"/>
          <w:sz w:val="20"/>
          <w:szCs w:val="20"/>
          <w:lang w:val="es-CR"/>
        </w:rPr>
        <w:t>tratamiento médico</w:t>
      </w:r>
      <w:r w:rsidR="001744BC" w:rsidRPr="00CD15B9">
        <w:rPr>
          <w:rFonts w:ascii="Verdana" w:hAnsi="Verdana"/>
          <w:sz w:val="20"/>
          <w:szCs w:val="20"/>
          <w:lang w:val="es-CR"/>
        </w:rPr>
        <w:t xml:space="preserve">, </w:t>
      </w:r>
      <w:r w:rsidR="00505F0A" w:rsidRPr="00CD15B9">
        <w:rPr>
          <w:rFonts w:ascii="Verdana" w:hAnsi="Verdana"/>
          <w:sz w:val="20"/>
          <w:szCs w:val="20"/>
          <w:lang w:val="es-CR"/>
        </w:rPr>
        <w:t>psicológico</w:t>
      </w:r>
      <w:r w:rsidR="00651101" w:rsidRPr="00CD15B9">
        <w:rPr>
          <w:rFonts w:ascii="Verdana" w:hAnsi="Verdana"/>
          <w:sz w:val="20"/>
          <w:szCs w:val="20"/>
          <w:lang w:val="es-CR"/>
        </w:rPr>
        <w:t xml:space="preserve"> </w:t>
      </w:r>
      <w:r w:rsidR="002B7590">
        <w:rPr>
          <w:rFonts w:ascii="Verdana" w:hAnsi="Verdana"/>
          <w:sz w:val="20"/>
          <w:szCs w:val="20"/>
          <w:lang w:val="es-CR"/>
        </w:rPr>
        <w:t xml:space="preserve">y dental </w:t>
      </w:r>
      <w:r w:rsidR="00651101" w:rsidRPr="00CD15B9">
        <w:rPr>
          <w:rFonts w:ascii="Verdana" w:hAnsi="Verdana"/>
          <w:sz w:val="20"/>
          <w:szCs w:val="20"/>
          <w:lang w:val="es-CR"/>
        </w:rPr>
        <w:t xml:space="preserve">a los familiares y comunidades de las ocho víctimas de este caso </w:t>
      </w:r>
      <w:r w:rsidR="005F096D" w:rsidRPr="00CD15B9">
        <w:rPr>
          <w:rFonts w:ascii="Verdana" w:hAnsi="Verdana"/>
          <w:sz w:val="20"/>
          <w:szCs w:val="20"/>
          <w:lang w:val="es-CR"/>
        </w:rPr>
        <w:t>(</w:t>
      </w:r>
      <w:r w:rsidR="005F096D" w:rsidRPr="00CD15B9">
        <w:rPr>
          <w:rFonts w:ascii="Verdana" w:hAnsi="Verdana"/>
          <w:i/>
          <w:sz w:val="20"/>
          <w:szCs w:val="20"/>
          <w:lang w:val="es-CR"/>
        </w:rPr>
        <w:t xml:space="preserve">supra </w:t>
      </w:r>
      <w:r w:rsidR="005F096D" w:rsidRPr="00CD15B9">
        <w:rPr>
          <w:rFonts w:ascii="Verdana" w:hAnsi="Verdana"/>
          <w:sz w:val="20"/>
          <w:szCs w:val="20"/>
          <w:lang w:val="es-CR"/>
        </w:rPr>
        <w:t xml:space="preserve">Considerando </w:t>
      </w:r>
      <w:r w:rsidR="005819C6">
        <w:rPr>
          <w:rFonts w:ascii="Verdana" w:hAnsi="Verdana"/>
          <w:sz w:val="20"/>
          <w:szCs w:val="20"/>
          <w:lang w:val="es-CR"/>
        </w:rPr>
        <w:t>19</w:t>
      </w:r>
      <w:r w:rsidR="005F096D" w:rsidRPr="00CD15B9">
        <w:rPr>
          <w:rFonts w:ascii="Verdana" w:hAnsi="Verdana"/>
          <w:sz w:val="20"/>
          <w:szCs w:val="20"/>
          <w:lang w:val="es-CR"/>
        </w:rPr>
        <w:t>)</w:t>
      </w:r>
      <w:r w:rsidR="00505F0A" w:rsidRPr="00CD15B9">
        <w:rPr>
          <w:rFonts w:ascii="Verdana" w:hAnsi="Verdana"/>
          <w:sz w:val="20"/>
          <w:szCs w:val="20"/>
          <w:lang w:val="es-CR"/>
        </w:rPr>
        <w:t>. Asimismo,</w:t>
      </w:r>
      <w:r w:rsidR="005F096D" w:rsidRPr="00CD15B9">
        <w:rPr>
          <w:rFonts w:ascii="Verdana" w:hAnsi="Verdana"/>
          <w:sz w:val="20"/>
          <w:szCs w:val="20"/>
          <w:lang w:val="es-CR"/>
        </w:rPr>
        <w:t xml:space="preserve"> </w:t>
      </w:r>
      <w:r w:rsidR="00505F0A" w:rsidRPr="00CD15B9">
        <w:rPr>
          <w:rFonts w:ascii="Verdana" w:hAnsi="Verdana"/>
          <w:sz w:val="20"/>
          <w:szCs w:val="20"/>
          <w:lang w:val="es-CR"/>
        </w:rPr>
        <w:t xml:space="preserve">se </w:t>
      </w:r>
      <w:r w:rsidRPr="00CD15B9">
        <w:rPr>
          <w:rFonts w:ascii="Verdana" w:hAnsi="Verdana"/>
          <w:sz w:val="20"/>
          <w:szCs w:val="20"/>
          <w:lang w:val="es-CR"/>
        </w:rPr>
        <w:t>reconoce</w:t>
      </w:r>
      <w:r w:rsidR="00505F0A" w:rsidRPr="00CD15B9">
        <w:rPr>
          <w:rFonts w:ascii="Verdana" w:hAnsi="Verdana"/>
          <w:sz w:val="20"/>
          <w:szCs w:val="20"/>
          <w:lang w:val="es-CR"/>
        </w:rPr>
        <w:t>n</w:t>
      </w:r>
      <w:r w:rsidRPr="00CD15B9">
        <w:rPr>
          <w:rFonts w:ascii="Verdana" w:hAnsi="Verdana"/>
          <w:sz w:val="20"/>
          <w:szCs w:val="20"/>
          <w:lang w:val="es-CR"/>
        </w:rPr>
        <w:t xml:space="preserve"> sus esfuerzos para la elaboración y puesta en funcionamiento de un programa </w:t>
      </w:r>
      <w:r w:rsidR="0068531C">
        <w:rPr>
          <w:rFonts w:ascii="Verdana" w:hAnsi="Verdana"/>
          <w:sz w:val="20"/>
          <w:szCs w:val="20"/>
          <w:lang w:val="es-CR"/>
        </w:rPr>
        <w:t xml:space="preserve">específico </w:t>
      </w:r>
      <w:r w:rsidRPr="00CD15B9">
        <w:rPr>
          <w:rFonts w:ascii="Verdana" w:hAnsi="Verdana"/>
          <w:sz w:val="20"/>
          <w:szCs w:val="20"/>
          <w:lang w:val="es-CR"/>
        </w:rPr>
        <w:t xml:space="preserve">de atención </w:t>
      </w:r>
      <w:r w:rsidR="0068531C">
        <w:rPr>
          <w:rFonts w:ascii="Verdana" w:hAnsi="Verdana"/>
          <w:sz w:val="20"/>
          <w:szCs w:val="20"/>
          <w:lang w:val="es-CR"/>
        </w:rPr>
        <w:t>para tal fin</w:t>
      </w:r>
      <w:r w:rsidRPr="00CD15B9">
        <w:rPr>
          <w:rFonts w:ascii="Verdana" w:hAnsi="Verdana"/>
          <w:sz w:val="20"/>
          <w:szCs w:val="20"/>
          <w:lang w:val="es-CR"/>
        </w:rPr>
        <w:t>.</w:t>
      </w:r>
      <w:r w:rsidRPr="005F096D">
        <w:rPr>
          <w:rFonts w:ascii="Verdana" w:hAnsi="Verdana"/>
          <w:color w:val="0070C0"/>
          <w:sz w:val="20"/>
          <w:szCs w:val="20"/>
          <w:lang w:val="es-CR"/>
        </w:rPr>
        <w:t xml:space="preserve"> </w:t>
      </w:r>
      <w:r w:rsidRPr="00B078F0">
        <w:rPr>
          <w:rFonts w:ascii="Verdana" w:hAnsi="Verdana"/>
          <w:sz w:val="20"/>
          <w:szCs w:val="20"/>
          <w:lang w:val="es-CR"/>
        </w:rPr>
        <w:t xml:space="preserve">Si bien </w:t>
      </w:r>
      <w:r w:rsidR="00505F0A" w:rsidRPr="002E6E89">
        <w:rPr>
          <w:rFonts w:ascii="Verdana" w:hAnsi="Verdana"/>
          <w:sz w:val="20"/>
          <w:szCs w:val="20"/>
          <w:lang w:val="es-CR"/>
        </w:rPr>
        <w:t>se considera beneficioso</w:t>
      </w:r>
      <w:r w:rsidRPr="00B078F0">
        <w:rPr>
          <w:rFonts w:ascii="Verdana" w:hAnsi="Verdana"/>
          <w:sz w:val="20"/>
          <w:szCs w:val="20"/>
          <w:lang w:val="es-CR"/>
        </w:rPr>
        <w:t xml:space="preserve"> que el Estado contin</w:t>
      </w:r>
      <w:r w:rsidR="00C744E6">
        <w:rPr>
          <w:rFonts w:ascii="Verdana" w:hAnsi="Verdana"/>
          <w:sz w:val="20"/>
          <w:szCs w:val="20"/>
          <w:lang w:val="es-CR"/>
        </w:rPr>
        <w:t>úe</w:t>
      </w:r>
      <w:r w:rsidRPr="00B078F0">
        <w:rPr>
          <w:rFonts w:ascii="Verdana" w:hAnsi="Verdana"/>
          <w:sz w:val="20"/>
          <w:szCs w:val="20"/>
          <w:lang w:val="es-CR"/>
        </w:rPr>
        <w:t xml:space="preserve"> con la implementación de dicho programa</w:t>
      </w:r>
      <w:r w:rsidR="0068531C">
        <w:rPr>
          <w:rFonts w:ascii="Verdana" w:hAnsi="Verdana"/>
          <w:sz w:val="20"/>
          <w:szCs w:val="20"/>
          <w:lang w:val="es-CR"/>
        </w:rPr>
        <w:t xml:space="preserve"> para </w:t>
      </w:r>
      <w:r w:rsidR="005F096D" w:rsidRPr="00B078F0">
        <w:rPr>
          <w:rFonts w:ascii="Verdana" w:hAnsi="Verdana"/>
          <w:sz w:val="20"/>
          <w:szCs w:val="20"/>
          <w:lang w:val="es-CR"/>
        </w:rPr>
        <w:t xml:space="preserve">garantizar atención en </w:t>
      </w:r>
      <w:r w:rsidR="005F096D" w:rsidRPr="00A26EE9">
        <w:rPr>
          <w:rFonts w:ascii="Verdana" w:hAnsi="Verdana"/>
          <w:sz w:val="20"/>
          <w:szCs w:val="20"/>
          <w:lang w:val="es-CR"/>
        </w:rPr>
        <w:t>salud a otras personas</w:t>
      </w:r>
      <w:r w:rsidRPr="00A26EE9">
        <w:rPr>
          <w:rFonts w:ascii="Verdana" w:hAnsi="Verdana"/>
          <w:sz w:val="20"/>
          <w:szCs w:val="20"/>
          <w:lang w:val="es-CR"/>
        </w:rPr>
        <w:t>,</w:t>
      </w:r>
      <w:r w:rsidR="005F096D" w:rsidRPr="00A26EE9">
        <w:rPr>
          <w:rFonts w:ascii="Verdana" w:hAnsi="Verdana"/>
          <w:sz w:val="20"/>
          <w:szCs w:val="20"/>
          <w:lang w:val="es-CR"/>
        </w:rPr>
        <w:t xml:space="preserve"> en particular</w:t>
      </w:r>
      <w:r w:rsidR="003162C6" w:rsidRPr="00A26EE9">
        <w:rPr>
          <w:rFonts w:ascii="Verdana" w:hAnsi="Verdana"/>
          <w:sz w:val="20"/>
          <w:szCs w:val="20"/>
          <w:lang w:val="es-CR"/>
        </w:rPr>
        <w:t>,</w:t>
      </w:r>
      <w:r w:rsidR="005F096D" w:rsidRPr="00A26EE9">
        <w:rPr>
          <w:rFonts w:ascii="Verdana" w:hAnsi="Verdana"/>
          <w:sz w:val="20"/>
          <w:szCs w:val="20"/>
          <w:lang w:val="es-CR"/>
        </w:rPr>
        <w:t xml:space="preserve"> a los familiares de las víctimas del presente caso;</w:t>
      </w:r>
      <w:r w:rsidRPr="00A26EE9">
        <w:rPr>
          <w:rFonts w:ascii="Verdana" w:hAnsi="Verdana"/>
          <w:sz w:val="20"/>
          <w:szCs w:val="20"/>
          <w:lang w:val="es-CR"/>
        </w:rPr>
        <w:t xml:space="preserve"> ello no ser</w:t>
      </w:r>
      <w:r w:rsidR="00A13EF4" w:rsidRPr="00A26EE9">
        <w:rPr>
          <w:rFonts w:ascii="Verdana" w:hAnsi="Verdana"/>
          <w:sz w:val="20"/>
          <w:szCs w:val="20"/>
          <w:lang w:val="es-CR"/>
        </w:rPr>
        <w:t xml:space="preserve">á supervisado por la Corte. </w:t>
      </w:r>
    </w:p>
    <w:p w:rsidR="00383AF8" w:rsidRPr="00383AF8" w:rsidRDefault="005F096D" w:rsidP="00857630">
      <w:pPr>
        <w:pStyle w:val="Listavistosa-nfasis1"/>
        <w:numPr>
          <w:ilvl w:val="0"/>
          <w:numId w:val="28"/>
        </w:numPr>
        <w:spacing w:before="120" w:after="120" w:line="240" w:lineRule="auto"/>
        <w:ind w:left="0" w:right="9" w:firstLine="0"/>
        <w:contextualSpacing w:val="0"/>
        <w:jc w:val="both"/>
        <w:rPr>
          <w:rFonts w:ascii="Verdana" w:hAnsi="Verdana"/>
          <w:b/>
          <w:color w:val="0070C0"/>
          <w:sz w:val="20"/>
          <w:szCs w:val="20"/>
          <w:lang w:val="es-CR"/>
        </w:rPr>
      </w:pPr>
      <w:r w:rsidRPr="00A26EE9">
        <w:rPr>
          <w:rFonts w:ascii="Verdana" w:hAnsi="Verdana"/>
          <w:sz w:val="20"/>
          <w:szCs w:val="20"/>
          <w:lang w:val="es-CR"/>
        </w:rPr>
        <w:t xml:space="preserve">Este Tribunal únicamente supervisará </w:t>
      </w:r>
      <w:r w:rsidR="00505F0A" w:rsidRPr="00A26EE9">
        <w:rPr>
          <w:rFonts w:ascii="Verdana" w:hAnsi="Verdana"/>
          <w:sz w:val="20"/>
          <w:szCs w:val="20"/>
          <w:lang w:val="es-CR"/>
        </w:rPr>
        <w:t>el cumplimiento de la</w:t>
      </w:r>
      <w:r w:rsidRPr="00A26EE9">
        <w:rPr>
          <w:rFonts w:ascii="Verdana" w:hAnsi="Verdana"/>
          <w:sz w:val="20"/>
          <w:szCs w:val="20"/>
          <w:lang w:val="es-CR"/>
        </w:rPr>
        <w:t xml:space="preserve"> reparación </w:t>
      </w:r>
      <w:r w:rsidR="00A26EE9">
        <w:rPr>
          <w:rFonts w:ascii="Verdana" w:hAnsi="Verdana"/>
          <w:sz w:val="20"/>
          <w:szCs w:val="20"/>
          <w:lang w:val="es-CR"/>
        </w:rPr>
        <w:t>dispuesta</w:t>
      </w:r>
      <w:r w:rsidRPr="00A26EE9">
        <w:rPr>
          <w:rFonts w:ascii="Verdana" w:hAnsi="Verdana"/>
          <w:sz w:val="20"/>
          <w:szCs w:val="20"/>
          <w:lang w:val="es-CR"/>
        </w:rPr>
        <w:t xml:space="preserve"> en </w:t>
      </w:r>
      <w:r w:rsidR="00A26EE9">
        <w:rPr>
          <w:rFonts w:ascii="Verdana" w:hAnsi="Verdana"/>
          <w:sz w:val="20"/>
          <w:szCs w:val="20"/>
          <w:lang w:val="es-CR"/>
        </w:rPr>
        <w:t xml:space="preserve">el punto </w:t>
      </w:r>
      <w:r w:rsidR="005819C6">
        <w:rPr>
          <w:rFonts w:ascii="Verdana" w:hAnsi="Verdana"/>
          <w:sz w:val="20"/>
          <w:szCs w:val="20"/>
          <w:lang w:val="es-CR"/>
        </w:rPr>
        <w:t xml:space="preserve">dispositivo </w:t>
      </w:r>
      <w:r w:rsidR="00A26EE9">
        <w:rPr>
          <w:rFonts w:ascii="Verdana" w:hAnsi="Verdana"/>
          <w:sz w:val="20"/>
          <w:szCs w:val="20"/>
          <w:lang w:val="es-CR"/>
        </w:rPr>
        <w:t xml:space="preserve">décimo séptimo de </w:t>
      </w:r>
      <w:r w:rsidRPr="00A26EE9">
        <w:rPr>
          <w:rFonts w:ascii="Verdana" w:hAnsi="Verdana"/>
          <w:sz w:val="20"/>
          <w:szCs w:val="20"/>
          <w:lang w:val="es-CR"/>
        </w:rPr>
        <w:t>la Sentencia</w:t>
      </w:r>
      <w:r w:rsidR="00A26EE9">
        <w:rPr>
          <w:rFonts w:ascii="Verdana" w:hAnsi="Verdana"/>
          <w:sz w:val="20"/>
          <w:szCs w:val="20"/>
          <w:lang w:val="es-CR"/>
        </w:rPr>
        <w:t xml:space="preserve"> respecto</w:t>
      </w:r>
      <w:r w:rsidR="0068531C">
        <w:rPr>
          <w:rFonts w:ascii="Verdana" w:hAnsi="Verdana"/>
          <w:sz w:val="20"/>
          <w:szCs w:val="20"/>
          <w:lang w:val="es-CR"/>
        </w:rPr>
        <w:t xml:space="preserve"> de las siete víctimas para cuales </w:t>
      </w:r>
      <w:r w:rsidR="00A26EE9">
        <w:rPr>
          <w:rFonts w:ascii="Verdana" w:hAnsi="Verdana"/>
          <w:sz w:val="20"/>
          <w:szCs w:val="20"/>
          <w:lang w:val="es-CR"/>
        </w:rPr>
        <w:t>fue ordenada</w:t>
      </w:r>
      <w:r w:rsidR="00C744E6">
        <w:rPr>
          <w:rFonts w:ascii="Verdana" w:hAnsi="Verdana"/>
          <w:sz w:val="20"/>
          <w:szCs w:val="20"/>
          <w:lang w:val="es-CR"/>
        </w:rPr>
        <w:t xml:space="preserve"> </w:t>
      </w:r>
      <w:r w:rsidR="00730ADD" w:rsidRPr="0068531C">
        <w:rPr>
          <w:rFonts w:ascii="Verdana" w:hAnsi="Verdana"/>
          <w:sz w:val="20"/>
          <w:szCs w:val="20"/>
          <w:lang w:val="es-CR"/>
        </w:rPr>
        <w:t>(</w:t>
      </w:r>
      <w:r w:rsidR="00730ADD" w:rsidRPr="0068531C">
        <w:rPr>
          <w:rFonts w:ascii="Verdana" w:hAnsi="Verdana"/>
          <w:i/>
          <w:sz w:val="20"/>
          <w:szCs w:val="20"/>
          <w:lang w:val="es-CR"/>
        </w:rPr>
        <w:t>supra</w:t>
      </w:r>
      <w:r w:rsidR="00730ADD" w:rsidRPr="0068531C">
        <w:rPr>
          <w:rFonts w:ascii="Verdana" w:hAnsi="Verdana"/>
          <w:sz w:val="20"/>
          <w:szCs w:val="20"/>
          <w:lang w:val="es-CR"/>
        </w:rPr>
        <w:t xml:space="preserve"> Considerando </w:t>
      </w:r>
      <w:r w:rsidR="005819C6">
        <w:rPr>
          <w:rFonts w:ascii="Verdana" w:hAnsi="Verdana"/>
          <w:sz w:val="20"/>
          <w:szCs w:val="20"/>
          <w:lang w:val="es-CR"/>
        </w:rPr>
        <w:t>16</w:t>
      </w:r>
      <w:r w:rsidR="005819C6" w:rsidRPr="0068531C">
        <w:rPr>
          <w:rFonts w:ascii="Verdana" w:hAnsi="Verdana"/>
          <w:sz w:val="20"/>
          <w:szCs w:val="20"/>
          <w:lang w:val="es-CR"/>
        </w:rPr>
        <w:t xml:space="preserve">). </w:t>
      </w:r>
      <w:r w:rsidR="00CD15B9" w:rsidRPr="0068531C">
        <w:rPr>
          <w:rFonts w:ascii="Verdana" w:hAnsi="Verdana"/>
          <w:sz w:val="20"/>
          <w:szCs w:val="20"/>
          <w:lang w:val="es-CR"/>
        </w:rPr>
        <w:t xml:space="preserve">Por esta razón, </w:t>
      </w:r>
      <w:r w:rsidR="005819C6">
        <w:rPr>
          <w:rFonts w:ascii="Verdana" w:hAnsi="Verdana"/>
          <w:sz w:val="20"/>
          <w:szCs w:val="20"/>
          <w:lang w:val="es-CR"/>
        </w:rPr>
        <w:t>la</w:t>
      </w:r>
      <w:r w:rsidR="005819C6" w:rsidRPr="0068531C">
        <w:rPr>
          <w:rFonts w:ascii="Verdana" w:hAnsi="Verdana"/>
          <w:sz w:val="20"/>
          <w:szCs w:val="20"/>
          <w:lang w:val="es-CR"/>
        </w:rPr>
        <w:t xml:space="preserve"> </w:t>
      </w:r>
      <w:r w:rsidR="00CD15B9" w:rsidRPr="0068531C">
        <w:rPr>
          <w:rFonts w:ascii="Verdana" w:hAnsi="Verdana"/>
          <w:sz w:val="20"/>
          <w:szCs w:val="20"/>
          <w:lang w:val="es-CR"/>
        </w:rPr>
        <w:t xml:space="preserve">Corte no se pronunciará </w:t>
      </w:r>
      <w:r w:rsidR="00605B08">
        <w:rPr>
          <w:rFonts w:ascii="Verdana" w:hAnsi="Verdana"/>
          <w:sz w:val="20"/>
          <w:szCs w:val="20"/>
          <w:lang w:val="es-CR"/>
        </w:rPr>
        <w:t xml:space="preserve">en esta oportunidad </w:t>
      </w:r>
      <w:r w:rsidR="00CD15B9" w:rsidRPr="0068531C">
        <w:rPr>
          <w:rFonts w:ascii="Verdana" w:hAnsi="Verdana"/>
          <w:sz w:val="20"/>
          <w:szCs w:val="20"/>
          <w:lang w:val="es-CR"/>
        </w:rPr>
        <w:t>sobr</w:t>
      </w:r>
      <w:r w:rsidR="000D29ED">
        <w:rPr>
          <w:rFonts w:ascii="Verdana" w:hAnsi="Verdana"/>
          <w:sz w:val="20"/>
          <w:szCs w:val="20"/>
          <w:lang w:val="es-CR"/>
        </w:rPr>
        <w:t>e</w:t>
      </w:r>
      <w:r w:rsidR="00CD15B9" w:rsidRPr="0068531C">
        <w:rPr>
          <w:rFonts w:ascii="Verdana" w:hAnsi="Verdana"/>
          <w:sz w:val="20"/>
          <w:szCs w:val="20"/>
          <w:lang w:val="es-CR"/>
        </w:rPr>
        <w:t xml:space="preserve"> las objeciones que han expuesto los intervinientes comunes </w:t>
      </w:r>
      <w:r w:rsidR="00C744E6">
        <w:rPr>
          <w:rFonts w:ascii="Verdana" w:hAnsi="Verdana"/>
          <w:sz w:val="20"/>
          <w:szCs w:val="20"/>
          <w:lang w:val="es-CR"/>
        </w:rPr>
        <w:t>que se refieren a</w:t>
      </w:r>
      <w:r w:rsidR="005819C6">
        <w:rPr>
          <w:rFonts w:ascii="Verdana" w:hAnsi="Verdana"/>
          <w:sz w:val="20"/>
          <w:szCs w:val="20"/>
          <w:lang w:val="es-CR"/>
        </w:rPr>
        <w:t xml:space="preserve"> la implementación del</w:t>
      </w:r>
      <w:r w:rsidR="00C744E6">
        <w:rPr>
          <w:rFonts w:ascii="Verdana" w:hAnsi="Verdana"/>
          <w:sz w:val="20"/>
          <w:szCs w:val="20"/>
          <w:lang w:val="es-CR"/>
        </w:rPr>
        <w:t xml:space="preserve"> </w:t>
      </w:r>
      <w:r w:rsidR="00CD15B9" w:rsidRPr="0068531C">
        <w:rPr>
          <w:rFonts w:ascii="Verdana" w:hAnsi="Verdana"/>
          <w:sz w:val="20"/>
          <w:szCs w:val="20"/>
          <w:lang w:val="es-CR"/>
        </w:rPr>
        <w:t>referido programa</w:t>
      </w:r>
      <w:r w:rsidR="00A26EE9" w:rsidRPr="0068531C">
        <w:rPr>
          <w:rFonts w:ascii="Verdana" w:hAnsi="Verdana"/>
          <w:sz w:val="20"/>
          <w:szCs w:val="20"/>
          <w:lang w:val="es-CR"/>
        </w:rPr>
        <w:t xml:space="preserve"> PRILONCOS</w:t>
      </w:r>
      <w:r w:rsidR="00892483" w:rsidRPr="0068531C">
        <w:rPr>
          <w:rFonts w:ascii="Verdana" w:hAnsi="Verdana"/>
          <w:sz w:val="20"/>
          <w:szCs w:val="20"/>
          <w:lang w:val="es-CR"/>
        </w:rPr>
        <w:t xml:space="preserve"> </w:t>
      </w:r>
      <w:r w:rsidR="005819C6">
        <w:rPr>
          <w:rFonts w:ascii="Verdana" w:hAnsi="Verdana"/>
          <w:sz w:val="20"/>
          <w:szCs w:val="20"/>
          <w:lang w:val="es-CR"/>
        </w:rPr>
        <w:t>para todos los beneficiarios</w:t>
      </w:r>
      <w:r w:rsidR="005819C6" w:rsidRPr="0068531C">
        <w:rPr>
          <w:rFonts w:ascii="Verdana" w:hAnsi="Verdana"/>
          <w:sz w:val="20"/>
          <w:szCs w:val="20"/>
          <w:lang w:val="es-CR"/>
        </w:rPr>
        <w:t xml:space="preserve"> </w:t>
      </w:r>
      <w:r w:rsidR="00892483" w:rsidRPr="0068531C">
        <w:rPr>
          <w:rFonts w:ascii="Verdana" w:hAnsi="Verdana"/>
          <w:sz w:val="20"/>
          <w:szCs w:val="20"/>
          <w:lang w:val="es-CR"/>
        </w:rPr>
        <w:t>ni a los desafíos que ha identificado el Estado (</w:t>
      </w:r>
      <w:r w:rsidR="00892483" w:rsidRPr="0068531C">
        <w:rPr>
          <w:rFonts w:ascii="Verdana" w:hAnsi="Verdana"/>
          <w:i/>
          <w:sz w:val="20"/>
          <w:szCs w:val="20"/>
          <w:lang w:val="es-CR"/>
        </w:rPr>
        <w:t>supra</w:t>
      </w:r>
      <w:r w:rsidR="00892483" w:rsidRPr="0068531C">
        <w:rPr>
          <w:rFonts w:ascii="Verdana" w:hAnsi="Verdana"/>
          <w:sz w:val="20"/>
          <w:szCs w:val="20"/>
          <w:lang w:val="es-CR"/>
        </w:rPr>
        <w:t xml:space="preserve"> Considerando </w:t>
      </w:r>
      <w:r w:rsidR="005819C6">
        <w:rPr>
          <w:rFonts w:ascii="Verdana" w:hAnsi="Verdana"/>
          <w:sz w:val="20"/>
          <w:szCs w:val="20"/>
          <w:lang w:val="es-CR"/>
        </w:rPr>
        <w:t>20</w:t>
      </w:r>
      <w:r w:rsidR="005819C6" w:rsidRPr="0068531C">
        <w:rPr>
          <w:rFonts w:ascii="Verdana" w:hAnsi="Verdana"/>
          <w:sz w:val="20"/>
          <w:szCs w:val="20"/>
          <w:lang w:val="es-CR"/>
        </w:rPr>
        <w:t xml:space="preserve">). </w:t>
      </w:r>
    </w:p>
    <w:p w:rsidR="005F096D" w:rsidRPr="00383AF8" w:rsidRDefault="00CD15B9" w:rsidP="00857630">
      <w:pPr>
        <w:pStyle w:val="Listavistosa-nfasis1"/>
        <w:numPr>
          <w:ilvl w:val="0"/>
          <w:numId w:val="28"/>
        </w:numPr>
        <w:spacing w:before="120" w:after="120" w:line="240" w:lineRule="auto"/>
        <w:ind w:left="0" w:right="9" w:firstLine="0"/>
        <w:contextualSpacing w:val="0"/>
        <w:jc w:val="both"/>
        <w:rPr>
          <w:rFonts w:ascii="Verdana" w:hAnsi="Verdana"/>
          <w:b/>
          <w:color w:val="0070C0"/>
          <w:sz w:val="20"/>
          <w:szCs w:val="20"/>
          <w:lang w:val="es-CR"/>
        </w:rPr>
      </w:pPr>
      <w:r w:rsidRPr="0068531C">
        <w:rPr>
          <w:rFonts w:ascii="Verdana" w:hAnsi="Verdana"/>
          <w:sz w:val="20"/>
          <w:szCs w:val="20"/>
          <w:lang w:val="es-CR"/>
        </w:rPr>
        <w:t xml:space="preserve">El </w:t>
      </w:r>
      <w:r w:rsidRPr="00383AF8">
        <w:rPr>
          <w:rFonts w:ascii="Verdana" w:hAnsi="Verdana"/>
          <w:sz w:val="20"/>
          <w:szCs w:val="20"/>
          <w:lang w:val="es-CR"/>
        </w:rPr>
        <w:t xml:space="preserve">objeto de la supervisión será </w:t>
      </w:r>
      <w:r w:rsidR="0068531C" w:rsidRPr="00383AF8">
        <w:rPr>
          <w:rFonts w:ascii="Verdana" w:hAnsi="Verdana"/>
          <w:sz w:val="20"/>
          <w:szCs w:val="20"/>
          <w:lang w:val="es-CR"/>
        </w:rPr>
        <w:t xml:space="preserve">evaluar </w:t>
      </w:r>
      <w:r w:rsidRPr="00383AF8">
        <w:rPr>
          <w:rFonts w:ascii="Verdana" w:hAnsi="Verdana"/>
          <w:sz w:val="20"/>
          <w:szCs w:val="20"/>
          <w:lang w:val="es-CR"/>
        </w:rPr>
        <w:t xml:space="preserve">que el Estado brinde a </w:t>
      </w:r>
      <w:r w:rsidR="00A26EE9" w:rsidRPr="00383AF8">
        <w:rPr>
          <w:rFonts w:ascii="Verdana" w:hAnsi="Verdana"/>
          <w:sz w:val="20"/>
          <w:szCs w:val="20"/>
          <w:lang w:val="es-CR"/>
        </w:rPr>
        <w:t>las</w:t>
      </w:r>
      <w:r w:rsidRPr="00383AF8">
        <w:rPr>
          <w:rFonts w:ascii="Verdana" w:hAnsi="Verdana"/>
          <w:sz w:val="20"/>
          <w:szCs w:val="20"/>
          <w:lang w:val="es-CR"/>
        </w:rPr>
        <w:t xml:space="preserve"> </w:t>
      </w:r>
      <w:r w:rsidR="00892483" w:rsidRPr="00383AF8">
        <w:rPr>
          <w:rFonts w:ascii="Verdana" w:hAnsi="Verdana"/>
          <w:sz w:val="20"/>
          <w:szCs w:val="20"/>
          <w:lang w:val="es-CR"/>
        </w:rPr>
        <w:t xml:space="preserve">referidas siete </w:t>
      </w:r>
      <w:r w:rsidRPr="00383AF8">
        <w:rPr>
          <w:rFonts w:ascii="Verdana" w:hAnsi="Verdana"/>
          <w:sz w:val="20"/>
          <w:szCs w:val="20"/>
          <w:lang w:val="es-CR"/>
        </w:rPr>
        <w:t>víctimas de este caso</w:t>
      </w:r>
      <w:r w:rsidR="00892483" w:rsidRPr="00383AF8">
        <w:rPr>
          <w:rFonts w:ascii="Verdana" w:hAnsi="Verdana"/>
          <w:sz w:val="20"/>
          <w:szCs w:val="20"/>
          <w:lang w:val="es-CR"/>
        </w:rPr>
        <w:t xml:space="preserve">, </w:t>
      </w:r>
      <w:r w:rsidRPr="00383AF8">
        <w:rPr>
          <w:rFonts w:ascii="Verdana" w:hAnsi="Verdana"/>
          <w:sz w:val="20"/>
          <w:szCs w:val="20"/>
          <w:lang w:val="es-CR"/>
        </w:rPr>
        <w:t xml:space="preserve">a través del programa PRILONCOS o de cualquier otro medio que resulte </w:t>
      </w:r>
      <w:r w:rsidR="007525C1" w:rsidRPr="00383AF8">
        <w:rPr>
          <w:rFonts w:ascii="Verdana" w:hAnsi="Verdana"/>
          <w:sz w:val="20"/>
          <w:szCs w:val="20"/>
          <w:lang w:val="es-CR"/>
        </w:rPr>
        <w:t xml:space="preserve">adecuado y </w:t>
      </w:r>
      <w:r w:rsidRPr="00383AF8">
        <w:rPr>
          <w:rFonts w:ascii="Verdana" w:hAnsi="Verdana"/>
          <w:sz w:val="20"/>
          <w:szCs w:val="20"/>
          <w:lang w:val="es-CR"/>
        </w:rPr>
        <w:t xml:space="preserve">efectivo, el tratamiento médico, psicológico </w:t>
      </w:r>
      <w:r w:rsidR="001E77E8">
        <w:rPr>
          <w:rFonts w:ascii="Verdana" w:hAnsi="Verdana"/>
          <w:sz w:val="20"/>
          <w:szCs w:val="20"/>
          <w:lang w:val="es-CR"/>
        </w:rPr>
        <w:t>y/</w:t>
      </w:r>
      <w:r w:rsidRPr="00383AF8">
        <w:rPr>
          <w:rFonts w:ascii="Verdana" w:hAnsi="Verdana"/>
          <w:sz w:val="20"/>
          <w:szCs w:val="20"/>
          <w:lang w:val="es-CR"/>
        </w:rPr>
        <w:t xml:space="preserve">o psiquiátrico especializado que </w:t>
      </w:r>
      <w:r w:rsidR="00C54645" w:rsidRPr="00383AF8">
        <w:rPr>
          <w:rFonts w:ascii="Verdana" w:hAnsi="Verdana"/>
          <w:sz w:val="20"/>
          <w:szCs w:val="20"/>
          <w:lang w:val="es-CR"/>
        </w:rPr>
        <w:t xml:space="preserve">las víctimas </w:t>
      </w:r>
      <w:r w:rsidRPr="00383AF8">
        <w:rPr>
          <w:rFonts w:ascii="Verdana" w:hAnsi="Verdana"/>
          <w:sz w:val="20"/>
          <w:szCs w:val="20"/>
          <w:lang w:val="es-CR"/>
        </w:rPr>
        <w:t>requieran</w:t>
      </w:r>
      <w:r w:rsidR="001E77E8">
        <w:rPr>
          <w:rFonts w:ascii="Verdana" w:hAnsi="Verdana"/>
          <w:sz w:val="20"/>
          <w:szCs w:val="20"/>
          <w:lang w:val="es-CR"/>
        </w:rPr>
        <w:t>,</w:t>
      </w:r>
      <w:r w:rsidRPr="00383AF8">
        <w:rPr>
          <w:rFonts w:ascii="Verdana" w:hAnsi="Verdana"/>
          <w:sz w:val="20"/>
          <w:szCs w:val="20"/>
          <w:lang w:val="es-CR"/>
        </w:rPr>
        <w:t xml:space="preserve"> y que en el cumplimiento de esta obligación sean observados </w:t>
      </w:r>
      <w:r w:rsidR="00C54645" w:rsidRPr="00383AF8">
        <w:rPr>
          <w:rFonts w:ascii="Verdana" w:hAnsi="Verdana"/>
          <w:sz w:val="20"/>
          <w:szCs w:val="20"/>
          <w:lang w:val="es-CR"/>
        </w:rPr>
        <w:t xml:space="preserve">todos </w:t>
      </w:r>
      <w:r w:rsidRPr="00383AF8">
        <w:rPr>
          <w:rFonts w:ascii="Verdana" w:hAnsi="Verdana"/>
          <w:sz w:val="20"/>
          <w:szCs w:val="20"/>
          <w:lang w:val="es-CR"/>
        </w:rPr>
        <w:t xml:space="preserve">los términos dispuestos en la Sentencia </w:t>
      </w:r>
      <w:r w:rsidR="00605B08">
        <w:rPr>
          <w:rFonts w:ascii="Verdana" w:hAnsi="Verdana"/>
          <w:sz w:val="20"/>
          <w:szCs w:val="20"/>
          <w:lang w:val="es-CR"/>
        </w:rPr>
        <w:t>relativos</w:t>
      </w:r>
      <w:r w:rsidR="00790361" w:rsidRPr="00383AF8">
        <w:rPr>
          <w:rFonts w:ascii="Verdana" w:hAnsi="Verdana"/>
          <w:sz w:val="20"/>
          <w:szCs w:val="20"/>
          <w:lang w:val="es-CR"/>
        </w:rPr>
        <w:t xml:space="preserve"> a</w:t>
      </w:r>
      <w:r w:rsidR="001E77E8">
        <w:rPr>
          <w:rFonts w:ascii="Verdana" w:hAnsi="Verdana"/>
          <w:sz w:val="20"/>
          <w:szCs w:val="20"/>
          <w:lang w:val="es-CR"/>
        </w:rPr>
        <w:t>:</w:t>
      </w:r>
      <w:r w:rsidR="00790361" w:rsidRPr="00383AF8">
        <w:rPr>
          <w:rFonts w:ascii="Verdana" w:hAnsi="Verdana"/>
          <w:sz w:val="20"/>
          <w:szCs w:val="20"/>
          <w:lang w:val="es-CR"/>
        </w:rPr>
        <w:t xml:space="preserve"> </w:t>
      </w:r>
      <w:r w:rsidR="00383AF8" w:rsidRPr="00383AF8">
        <w:rPr>
          <w:rFonts w:ascii="Verdana" w:hAnsi="Verdana"/>
          <w:sz w:val="20"/>
          <w:szCs w:val="20"/>
          <w:lang w:val="es-CR"/>
        </w:rPr>
        <w:t xml:space="preserve">la </w:t>
      </w:r>
      <w:r w:rsidR="00790361" w:rsidRPr="00383AF8">
        <w:rPr>
          <w:rFonts w:ascii="Verdana" w:hAnsi="Verdana"/>
          <w:sz w:val="20"/>
          <w:szCs w:val="20"/>
          <w:lang w:val="es-CR"/>
        </w:rPr>
        <w:t xml:space="preserve">gratuidad de las prestaciones, </w:t>
      </w:r>
      <w:r w:rsidR="001E77E8">
        <w:rPr>
          <w:rFonts w:ascii="Verdana" w:hAnsi="Verdana"/>
          <w:sz w:val="20"/>
          <w:szCs w:val="20"/>
          <w:lang w:val="es-CR"/>
        </w:rPr>
        <w:t xml:space="preserve">al </w:t>
      </w:r>
      <w:r w:rsidR="00790361" w:rsidRPr="00383AF8">
        <w:rPr>
          <w:rFonts w:ascii="Verdana" w:hAnsi="Verdana"/>
          <w:sz w:val="20"/>
          <w:szCs w:val="20"/>
          <w:lang w:val="es-CR"/>
        </w:rPr>
        <w:t xml:space="preserve">suministro gratuito de medicamentos, </w:t>
      </w:r>
      <w:r w:rsidR="001E77E8">
        <w:rPr>
          <w:rFonts w:ascii="Verdana" w:hAnsi="Verdana"/>
          <w:sz w:val="20"/>
          <w:szCs w:val="20"/>
          <w:lang w:val="es-CR"/>
        </w:rPr>
        <w:t xml:space="preserve">a la </w:t>
      </w:r>
      <w:r w:rsidR="00383AF8" w:rsidRPr="00383AF8">
        <w:rPr>
          <w:rFonts w:ascii="Verdana" w:hAnsi="Verdana"/>
          <w:sz w:val="20"/>
          <w:szCs w:val="20"/>
          <w:lang w:val="es-CR"/>
        </w:rPr>
        <w:t xml:space="preserve">atención individualizada y preferencial, </w:t>
      </w:r>
      <w:r w:rsidR="001E77E8">
        <w:rPr>
          <w:rFonts w:ascii="Verdana" w:hAnsi="Verdana"/>
          <w:sz w:val="20"/>
          <w:szCs w:val="20"/>
          <w:lang w:val="es-CR"/>
        </w:rPr>
        <w:t xml:space="preserve">la </w:t>
      </w:r>
      <w:r w:rsidR="00383AF8" w:rsidRPr="00383AF8">
        <w:rPr>
          <w:rFonts w:ascii="Verdana" w:hAnsi="Verdana"/>
          <w:sz w:val="20"/>
          <w:szCs w:val="20"/>
          <w:lang w:val="es-CR"/>
        </w:rPr>
        <w:t>provisión de trasporte y otros gastos directamente relacionados con la atención que reciban, y la necesaria consideración de las costumbres y tradiciones de las víctimas al proveer los tratamientos</w:t>
      </w:r>
      <w:r w:rsidR="00605B08">
        <w:rPr>
          <w:rFonts w:ascii="Verdana" w:hAnsi="Verdana"/>
          <w:sz w:val="20"/>
          <w:szCs w:val="20"/>
          <w:lang w:val="es-CR"/>
        </w:rPr>
        <w:t xml:space="preserve"> </w:t>
      </w:r>
      <w:r w:rsidR="00605B08" w:rsidRPr="00383AF8">
        <w:rPr>
          <w:rFonts w:ascii="Verdana" w:hAnsi="Verdana"/>
          <w:sz w:val="20"/>
          <w:szCs w:val="20"/>
          <w:lang w:val="es-CR"/>
        </w:rPr>
        <w:t>(</w:t>
      </w:r>
      <w:r w:rsidR="00605B08" w:rsidRPr="00383AF8">
        <w:rPr>
          <w:rFonts w:ascii="Verdana" w:hAnsi="Verdana"/>
          <w:i/>
          <w:sz w:val="20"/>
          <w:szCs w:val="20"/>
          <w:lang w:val="es-CR"/>
        </w:rPr>
        <w:t>supra</w:t>
      </w:r>
      <w:r w:rsidR="00605B08" w:rsidRPr="00383AF8">
        <w:rPr>
          <w:rFonts w:ascii="Verdana" w:hAnsi="Verdana"/>
          <w:sz w:val="20"/>
          <w:szCs w:val="20"/>
          <w:lang w:val="es-CR"/>
        </w:rPr>
        <w:t xml:space="preserve"> Considerando </w:t>
      </w:r>
      <w:r w:rsidR="001E77E8">
        <w:rPr>
          <w:rFonts w:ascii="Verdana" w:hAnsi="Verdana"/>
          <w:sz w:val="20"/>
          <w:szCs w:val="20"/>
          <w:lang w:val="es-CR"/>
        </w:rPr>
        <w:t>16</w:t>
      </w:r>
      <w:r w:rsidR="001E77E8" w:rsidRPr="00383AF8">
        <w:rPr>
          <w:rFonts w:ascii="Verdana" w:hAnsi="Verdana"/>
          <w:sz w:val="20"/>
          <w:szCs w:val="20"/>
          <w:lang w:val="es-CR"/>
        </w:rPr>
        <w:t xml:space="preserve">). </w:t>
      </w:r>
      <w:r w:rsidR="009B726D" w:rsidRPr="00383AF8">
        <w:rPr>
          <w:rFonts w:ascii="Verdana" w:hAnsi="Verdana"/>
          <w:sz w:val="20"/>
          <w:szCs w:val="20"/>
          <w:lang w:val="es-CR"/>
        </w:rPr>
        <w:t xml:space="preserve">En caso que el Estado opte por continuar la ejecución de la presente medida de reparación </w:t>
      </w:r>
      <w:r w:rsidR="00C744E6">
        <w:rPr>
          <w:rFonts w:ascii="Verdana" w:hAnsi="Verdana"/>
          <w:sz w:val="20"/>
          <w:szCs w:val="20"/>
          <w:lang w:val="es-CR"/>
        </w:rPr>
        <w:t xml:space="preserve">a través del programa </w:t>
      </w:r>
      <w:r w:rsidR="009B726D" w:rsidRPr="00383AF8">
        <w:rPr>
          <w:rFonts w:ascii="Verdana" w:hAnsi="Verdana"/>
          <w:sz w:val="20"/>
          <w:szCs w:val="20"/>
          <w:lang w:val="es-CR"/>
        </w:rPr>
        <w:t>PRILONCOS es necesario que también preste atención a las observaciones formuladas por</w:t>
      </w:r>
      <w:r w:rsidR="009B726D" w:rsidRPr="00383AF8">
        <w:rPr>
          <w:rFonts w:ascii="Verdana" w:hAnsi="Verdana"/>
          <w:i/>
          <w:sz w:val="20"/>
          <w:szCs w:val="20"/>
          <w:lang w:val="es-CR"/>
        </w:rPr>
        <w:t xml:space="preserve"> </w:t>
      </w:r>
      <w:r w:rsidR="009B726D" w:rsidRPr="00383AF8">
        <w:rPr>
          <w:rFonts w:ascii="Verdana" w:hAnsi="Verdana"/>
          <w:sz w:val="20"/>
          <w:szCs w:val="20"/>
          <w:lang w:val="es-CR"/>
        </w:rPr>
        <w:t xml:space="preserve">las víctimas y sus representantes respecto </w:t>
      </w:r>
      <w:r w:rsidR="00605B08">
        <w:rPr>
          <w:rFonts w:ascii="Verdana" w:hAnsi="Verdana"/>
          <w:sz w:val="20"/>
          <w:szCs w:val="20"/>
          <w:lang w:val="es-CR"/>
        </w:rPr>
        <w:t>de</w:t>
      </w:r>
      <w:r w:rsidR="009B726D" w:rsidRPr="00383AF8">
        <w:rPr>
          <w:rFonts w:ascii="Verdana" w:hAnsi="Verdana"/>
          <w:sz w:val="20"/>
          <w:szCs w:val="20"/>
          <w:lang w:val="es-CR"/>
        </w:rPr>
        <w:t xml:space="preserve"> su funcionamiento (</w:t>
      </w:r>
      <w:r w:rsidR="009B726D" w:rsidRPr="00383AF8">
        <w:rPr>
          <w:rFonts w:ascii="Verdana" w:hAnsi="Verdana"/>
          <w:i/>
          <w:sz w:val="20"/>
          <w:szCs w:val="20"/>
          <w:lang w:val="es-CR"/>
        </w:rPr>
        <w:t>supra</w:t>
      </w:r>
      <w:r w:rsidR="009B726D" w:rsidRPr="00383AF8">
        <w:rPr>
          <w:rFonts w:ascii="Verdana" w:hAnsi="Verdana"/>
          <w:sz w:val="20"/>
          <w:szCs w:val="20"/>
          <w:lang w:val="es-CR"/>
        </w:rPr>
        <w:t xml:space="preserve"> Considerando </w:t>
      </w:r>
      <w:r w:rsidR="001E77E8">
        <w:rPr>
          <w:rFonts w:ascii="Verdana" w:hAnsi="Verdana"/>
          <w:sz w:val="20"/>
          <w:szCs w:val="20"/>
          <w:lang w:val="es-CR"/>
        </w:rPr>
        <w:t>20</w:t>
      </w:r>
      <w:r w:rsidR="001E77E8" w:rsidRPr="00383AF8">
        <w:rPr>
          <w:rFonts w:ascii="Verdana" w:hAnsi="Verdana"/>
          <w:sz w:val="20"/>
          <w:szCs w:val="20"/>
          <w:lang w:val="es-CR"/>
        </w:rPr>
        <w:t>)</w:t>
      </w:r>
      <w:r w:rsidR="001E77E8" w:rsidRPr="00383AF8">
        <w:rPr>
          <w:rFonts w:ascii="Verdana" w:hAnsi="Verdana"/>
          <w:i/>
          <w:sz w:val="20"/>
          <w:szCs w:val="20"/>
          <w:lang w:val="es-CR"/>
        </w:rPr>
        <w:t>.</w:t>
      </w:r>
    </w:p>
    <w:p w:rsidR="0068531C" w:rsidRPr="00903113" w:rsidRDefault="0068531C" w:rsidP="00857630">
      <w:pPr>
        <w:pStyle w:val="Listavistosa-nfasis1"/>
        <w:numPr>
          <w:ilvl w:val="0"/>
          <w:numId w:val="28"/>
        </w:numPr>
        <w:spacing w:before="120" w:after="120" w:line="240" w:lineRule="auto"/>
        <w:ind w:left="0" w:right="9" w:firstLine="0"/>
        <w:contextualSpacing w:val="0"/>
        <w:jc w:val="both"/>
        <w:rPr>
          <w:rFonts w:ascii="Verdana" w:hAnsi="Verdana"/>
          <w:sz w:val="20"/>
          <w:szCs w:val="20"/>
          <w:lang w:val="es-CR"/>
        </w:rPr>
      </w:pPr>
      <w:r w:rsidRPr="00903113">
        <w:rPr>
          <w:rFonts w:ascii="Verdana" w:hAnsi="Verdana"/>
          <w:sz w:val="20"/>
          <w:szCs w:val="20"/>
          <w:lang w:val="es-CR"/>
        </w:rPr>
        <w:t>En cuanto a la implementación de esta medida de reparación para las siete víctimas</w:t>
      </w:r>
      <w:r w:rsidR="001847F3">
        <w:rPr>
          <w:rFonts w:ascii="Verdana" w:hAnsi="Verdana"/>
          <w:sz w:val="20"/>
          <w:szCs w:val="20"/>
          <w:lang w:val="es-CR"/>
        </w:rPr>
        <w:t xml:space="preserve"> del caso</w:t>
      </w:r>
      <w:r w:rsidRPr="00903113">
        <w:rPr>
          <w:rFonts w:ascii="Verdana" w:hAnsi="Verdana"/>
          <w:sz w:val="20"/>
          <w:szCs w:val="20"/>
          <w:lang w:val="es-CR"/>
        </w:rPr>
        <w:t>, la Corte observa que</w:t>
      </w:r>
      <w:r w:rsidR="008F3BFF">
        <w:rPr>
          <w:rFonts w:ascii="Verdana" w:hAnsi="Verdana"/>
          <w:sz w:val="20"/>
          <w:szCs w:val="20"/>
          <w:lang w:val="es-CR"/>
        </w:rPr>
        <w:t>,</w:t>
      </w:r>
      <w:r w:rsidRPr="00903113">
        <w:rPr>
          <w:rFonts w:ascii="Verdana" w:hAnsi="Verdana"/>
          <w:sz w:val="20"/>
          <w:szCs w:val="20"/>
          <w:lang w:val="es-CR"/>
        </w:rPr>
        <w:t xml:space="preserve"> de la información aportada hasta el momento por </w:t>
      </w:r>
      <w:r w:rsidR="00A60A22" w:rsidRPr="00903113">
        <w:rPr>
          <w:rFonts w:ascii="Verdana" w:hAnsi="Verdana"/>
          <w:sz w:val="20"/>
          <w:szCs w:val="20"/>
          <w:lang w:val="es-CR"/>
        </w:rPr>
        <w:t>Chile</w:t>
      </w:r>
      <w:r w:rsidRPr="00903113">
        <w:rPr>
          <w:rFonts w:ascii="Verdana" w:hAnsi="Verdana"/>
          <w:sz w:val="20"/>
          <w:szCs w:val="20"/>
          <w:lang w:val="es-CR"/>
        </w:rPr>
        <w:t xml:space="preserve"> y</w:t>
      </w:r>
      <w:r w:rsidR="008F3BFF">
        <w:rPr>
          <w:rFonts w:ascii="Verdana" w:hAnsi="Verdana"/>
          <w:sz w:val="20"/>
          <w:szCs w:val="20"/>
          <w:lang w:val="es-CR"/>
        </w:rPr>
        <w:t xml:space="preserve"> por</w:t>
      </w:r>
      <w:r w:rsidRPr="00903113">
        <w:rPr>
          <w:rFonts w:ascii="Verdana" w:hAnsi="Verdana"/>
          <w:sz w:val="20"/>
          <w:szCs w:val="20"/>
          <w:lang w:val="es-CR"/>
        </w:rPr>
        <w:t xml:space="preserve"> los representantes de las víctimas</w:t>
      </w:r>
      <w:r w:rsidR="008F3BFF">
        <w:rPr>
          <w:rFonts w:ascii="Verdana" w:hAnsi="Verdana"/>
          <w:sz w:val="20"/>
          <w:szCs w:val="20"/>
          <w:lang w:val="es-CR"/>
        </w:rPr>
        <w:t>,</w:t>
      </w:r>
      <w:r w:rsidRPr="00903113">
        <w:rPr>
          <w:rFonts w:ascii="Verdana" w:hAnsi="Verdana"/>
          <w:sz w:val="20"/>
          <w:szCs w:val="20"/>
          <w:lang w:val="es-CR"/>
        </w:rPr>
        <w:t xml:space="preserve"> no se desprende que estén recibiendo </w:t>
      </w:r>
      <w:r w:rsidRPr="00903113">
        <w:rPr>
          <w:rFonts w:ascii="Verdana" w:eastAsia="Times New Roman" w:hAnsi="Verdana"/>
          <w:sz w:val="20"/>
          <w:szCs w:val="20"/>
          <w:lang w:val="es-ES_tradnl" w:eastAsia="es-ES"/>
        </w:rPr>
        <w:t xml:space="preserve">atención médica, psicológica </w:t>
      </w:r>
      <w:r w:rsidR="008F3BFF">
        <w:rPr>
          <w:rFonts w:ascii="Verdana" w:eastAsia="Times New Roman" w:hAnsi="Verdana"/>
          <w:sz w:val="20"/>
          <w:szCs w:val="20"/>
          <w:lang w:val="es-ES_tradnl" w:eastAsia="es-ES"/>
        </w:rPr>
        <w:t>y/</w:t>
      </w:r>
      <w:r w:rsidRPr="00903113">
        <w:rPr>
          <w:rFonts w:ascii="Verdana" w:eastAsia="Times New Roman" w:hAnsi="Verdana"/>
          <w:sz w:val="20"/>
          <w:szCs w:val="20"/>
          <w:lang w:val="es-ES_tradnl" w:eastAsia="es-ES"/>
        </w:rPr>
        <w:t>o psiquiátrica en los términos dispuestos por la Corte en la Sentencia.</w:t>
      </w:r>
      <w:r w:rsidR="007525C1" w:rsidRPr="00903113">
        <w:rPr>
          <w:rFonts w:ascii="Verdana" w:eastAsia="Times New Roman" w:hAnsi="Verdana"/>
          <w:sz w:val="20"/>
          <w:szCs w:val="20"/>
          <w:lang w:val="es-ES_tradnl" w:eastAsia="es-ES"/>
        </w:rPr>
        <w:t xml:space="preserve"> Al respecto, </w:t>
      </w:r>
      <w:r w:rsidR="007525C1" w:rsidRPr="00DE04A2">
        <w:rPr>
          <w:rFonts w:ascii="Verdana" w:eastAsia="Times New Roman" w:hAnsi="Verdana"/>
          <w:i/>
          <w:sz w:val="20"/>
          <w:szCs w:val="20"/>
          <w:lang w:val="es-ES_tradnl" w:eastAsia="es-ES"/>
        </w:rPr>
        <w:t>la representante</w:t>
      </w:r>
      <w:r w:rsidR="007525C1" w:rsidRPr="00903113">
        <w:rPr>
          <w:rFonts w:ascii="Verdana" w:eastAsia="Times New Roman" w:hAnsi="Verdana"/>
          <w:sz w:val="20"/>
          <w:szCs w:val="20"/>
          <w:lang w:val="es-ES_tradnl" w:eastAsia="es-ES"/>
        </w:rPr>
        <w:t xml:space="preserve"> </w:t>
      </w:r>
      <w:r w:rsidR="007525C1" w:rsidRPr="00903113">
        <w:rPr>
          <w:rFonts w:ascii="Verdana" w:eastAsia="Times New Roman" w:hAnsi="Verdana"/>
          <w:i/>
          <w:sz w:val="20"/>
          <w:szCs w:val="20"/>
          <w:lang w:val="es-ES_tradnl" w:eastAsia="es-ES"/>
        </w:rPr>
        <w:t>Myriam Reyes</w:t>
      </w:r>
      <w:r w:rsidR="007525C1" w:rsidRPr="00903113">
        <w:rPr>
          <w:rFonts w:ascii="Verdana" w:eastAsia="Times New Roman" w:hAnsi="Verdana"/>
          <w:sz w:val="20"/>
          <w:szCs w:val="20"/>
          <w:lang w:val="es-ES_tradnl" w:eastAsia="es-ES"/>
        </w:rPr>
        <w:t xml:space="preserve"> sostuvo que “ha habido reuniones de trabajo con las víctimas Juan Patricio Marileo Saravia, Jaime Florencio Marileo Saravia y Juan Ciriaco Millacheo Licán” con “el servicio de Salud </w:t>
      </w:r>
      <w:r w:rsidR="008F3BFF">
        <w:rPr>
          <w:rFonts w:ascii="Verdana" w:eastAsia="Times New Roman" w:hAnsi="Verdana"/>
          <w:sz w:val="20"/>
          <w:szCs w:val="20"/>
          <w:lang w:val="es-ES_tradnl" w:eastAsia="es-ES"/>
        </w:rPr>
        <w:t>[</w:t>
      </w:r>
      <w:r w:rsidR="007525C1" w:rsidRPr="00903113">
        <w:rPr>
          <w:rFonts w:ascii="Verdana" w:eastAsia="Times New Roman" w:hAnsi="Verdana"/>
          <w:sz w:val="20"/>
          <w:szCs w:val="20"/>
          <w:lang w:val="es-ES_tradnl" w:eastAsia="es-ES"/>
        </w:rPr>
        <w:t>de</w:t>
      </w:r>
      <w:r w:rsidR="008F3BFF">
        <w:rPr>
          <w:rFonts w:ascii="Verdana" w:eastAsia="Times New Roman" w:hAnsi="Verdana"/>
          <w:sz w:val="20"/>
          <w:szCs w:val="20"/>
          <w:lang w:val="es-ES_tradnl" w:eastAsia="es-ES"/>
        </w:rPr>
        <w:t>]</w:t>
      </w:r>
      <w:r w:rsidR="007525C1" w:rsidRPr="00903113">
        <w:rPr>
          <w:rFonts w:ascii="Verdana" w:eastAsia="Times New Roman" w:hAnsi="Verdana"/>
          <w:sz w:val="20"/>
          <w:szCs w:val="20"/>
          <w:lang w:val="es-ES_tradnl" w:eastAsia="es-ES"/>
        </w:rPr>
        <w:t xml:space="preserve"> Araucanía Norte”, que “</w:t>
      </w:r>
      <w:proofErr w:type="gramStart"/>
      <w:r w:rsidR="007525C1" w:rsidRPr="00903113">
        <w:rPr>
          <w:rFonts w:ascii="Verdana" w:eastAsia="Times New Roman" w:hAnsi="Verdana"/>
          <w:sz w:val="20"/>
          <w:szCs w:val="20"/>
          <w:lang w:val="es-ES_tradnl" w:eastAsia="es-ES"/>
        </w:rPr>
        <w:t>ha[</w:t>
      </w:r>
      <w:proofErr w:type="gramEnd"/>
      <w:r w:rsidR="007525C1" w:rsidRPr="00903113">
        <w:rPr>
          <w:rFonts w:ascii="Verdana" w:eastAsia="Times New Roman" w:hAnsi="Verdana"/>
          <w:sz w:val="20"/>
          <w:szCs w:val="20"/>
          <w:lang w:val="es-ES_tradnl" w:eastAsia="es-ES"/>
        </w:rPr>
        <w:t>…] visitado […] sus comunidades”, pero</w:t>
      </w:r>
      <w:r w:rsidR="008F3BFF">
        <w:rPr>
          <w:rFonts w:ascii="Verdana" w:eastAsia="Times New Roman" w:hAnsi="Verdana"/>
          <w:sz w:val="20"/>
          <w:szCs w:val="20"/>
          <w:lang w:val="es-ES_tradnl" w:eastAsia="es-ES"/>
        </w:rPr>
        <w:t xml:space="preserve"> que</w:t>
      </w:r>
      <w:r w:rsidR="007525C1" w:rsidRPr="00903113">
        <w:rPr>
          <w:rFonts w:ascii="Verdana" w:eastAsia="Times New Roman" w:hAnsi="Verdana"/>
          <w:sz w:val="20"/>
          <w:szCs w:val="20"/>
          <w:lang w:val="es-ES_tradnl" w:eastAsia="es-ES"/>
        </w:rPr>
        <w:t xml:space="preserve"> “aquello no se ha materializado en prestación alguna”, e incluso que “no se ha realizado siquiera un diagnóstico de [su] salud”. Además, respecto a la víctima José Benicio Huenchunao Mariñán afirmó que “no ha sido […] contactado con ningún equipo de salud”. En similar sentido, </w:t>
      </w:r>
      <w:r w:rsidR="007525C1" w:rsidRPr="00903113">
        <w:rPr>
          <w:rFonts w:ascii="Verdana" w:eastAsia="Times New Roman" w:hAnsi="Verdana"/>
          <w:i/>
          <w:sz w:val="20"/>
          <w:szCs w:val="20"/>
          <w:lang w:val="es-ES_tradnl" w:eastAsia="es-ES"/>
        </w:rPr>
        <w:t>CEJIL</w:t>
      </w:r>
      <w:r w:rsidR="007525C1" w:rsidRPr="00903113">
        <w:rPr>
          <w:rFonts w:ascii="Verdana" w:eastAsia="Times New Roman" w:hAnsi="Verdana"/>
          <w:sz w:val="20"/>
          <w:szCs w:val="20"/>
          <w:lang w:val="es-ES_tradnl" w:eastAsia="es-ES"/>
        </w:rPr>
        <w:t xml:space="preserve"> sostuvo que la víctima Víctor </w:t>
      </w:r>
      <w:r w:rsidR="008F3BFF">
        <w:rPr>
          <w:rFonts w:ascii="Verdana" w:eastAsia="Times New Roman" w:hAnsi="Verdana"/>
          <w:sz w:val="20"/>
          <w:szCs w:val="20"/>
          <w:lang w:val="es-ES_tradnl" w:eastAsia="es-ES"/>
        </w:rPr>
        <w:t>Ancalaf</w:t>
      </w:r>
      <w:r w:rsidR="008F3BFF" w:rsidRPr="00903113">
        <w:rPr>
          <w:rFonts w:ascii="Verdana" w:eastAsia="Times New Roman" w:hAnsi="Verdana"/>
          <w:sz w:val="20"/>
          <w:szCs w:val="20"/>
          <w:lang w:val="es-ES_tradnl" w:eastAsia="es-ES"/>
        </w:rPr>
        <w:t xml:space="preserve"> </w:t>
      </w:r>
      <w:r w:rsidR="007525C1" w:rsidRPr="00903113">
        <w:rPr>
          <w:rFonts w:ascii="Verdana" w:eastAsia="Times New Roman" w:hAnsi="Verdana"/>
          <w:sz w:val="20"/>
          <w:szCs w:val="20"/>
          <w:lang w:val="es-ES_tradnl" w:eastAsia="es-ES"/>
        </w:rPr>
        <w:t>“no ha recibido ningún tipo de atención”</w:t>
      </w:r>
      <w:r w:rsidR="007525C1" w:rsidRPr="00903DE2">
        <w:rPr>
          <w:rFonts w:ascii="Verdana" w:eastAsia="Times New Roman" w:hAnsi="Verdana"/>
          <w:sz w:val="20"/>
          <w:szCs w:val="20"/>
          <w:lang w:val="es-ES_tradnl" w:eastAsia="es-ES"/>
        </w:rPr>
        <w:t xml:space="preserve">, </w:t>
      </w:r>
      <w:r w:rsidR="007525C1" w:rsidRPr="00903113">
        <w:rPr>
          <w:rFonts w:ascii="Verdana" w:eastAsia="Times New Roman" w:hAnsi="Verdana"/>
          <w:sz w:val="20"/>
          <w:szCs w:val="20"/>
          <w:lang w:val="es-ES_tradnl" w:eastAsia="es-ES"/>
        </w:rPr>
        <w:t>y los representantes</w:t>
      </w:r>
      <w:r w:rsidR="007525C1" w:rsidRPr="00903DE2">
        <w:rPr>
          <w:rFonts w:ascii="Verdana" w:eastAsia="Times New Roman" w:hAnsi="Verdana"/>
          <w:sz w:val="20"/>
          <w:szCs w:val="20"/>
          <w:lang w:val="es-ES_tradnl" w:eastAsia="es-ES"/>
        </w:rPr>
        <w:t xml:space="preserve"> </w:t>
      </w:r>
      <w:r w:rsidR="007525C1" w:rsidRPr="00903113">
        <w:rPr>
          <w:rFonts w:ascii="Verdana" w:hAnsi="Verdana"/>
          <w:i/>
          <w:sz w:val="20"/>
          <w:szCs w:val="20"/>
          <w:lang w:val="es-CR"/>
        </w:rPr>
        <w:t xml:space="preserve">Llanquileo, Millamán y Lienlaf </w:t>
      </w:r>
      <w:r w:rsidR="007525C1" w:rsidRPr="00903113">
        <w:rPr>
          <w:rFonts w:ascii="Verdana" w:hAnsi="Verdana"/>
          <w:sz w:val="20"/>
          <w:szCs w:val="20"/>
          <w:lang w:val="es-CR"/>
        </w:rPr>
        <w:t>han hecho referencia a</w:t>
      </w:r>
      <w:r w:rsidR="00DE04A2">
        <w:rPr>
          <w:rFonts w:ascii="Verdana" w:hAnsi="Verdana"/>
          <w:sz w:val="20"/>
          <w:szCs w:val="20"/>
          <w:lang w:val="es-CR"/>
        </w:rPr>
        <w:t>l</w:t>
      </w:r>
      <w:r w:rsidR="007525C1" w:rsidRPr="00903113">
        <w:rPr>
          <w:rFonts w:ascii="Verdana" w:hAnsi="Verdana"/>
          <w:sz w:val="20"/>
          <w:szCs w:val="20"/>
          <w:lang w:val="es-CR"/>
        </w:rPr>
        <w:t xml:space="preserve"> “proceso […] burocrático”</w:t>
      </w:r>
      <w:r w:rsidR="00DE04A2">
        <w:rPr>
          <w:rFonts w:ascii="Verdana" w:hAnsi="Verdana"/>
          <w:sz w:val="20"/>
          <w:szCs w:val="20"/>
          <w:lang w:val="es-CR"/>
        </w:rPr>
        <w:t xml:space="preserve"> del referido programa</w:t>
      </w:r>
      <w:r w:rsidR="007525C1" w:rsidRPr="00903113">
        <w:rPr>
          <w:rFonts w:ascii="Verdana" w:hAnsi="Verdana"/>
          <w:sz w:val="20"/>
          <w:szCs w:val="20"/>
          <w:lang w:val="es-CR"/>
        </w:rPr>
        <w:t xml:space="preserve"> y “las múltiples dificultades y gestiones que la víctima [Segundo Aniceto Norín Catrimán] ha debido realizar para que esta reparación logre cumplir su objetivo”. También estos últimos</w:t>
      </w:r>
      <w:r w:rsidR="001A1EE7">
        <w:rPr>
          <w:rFonts w:ascii="Verdana" w:hAnsi="Verdana"/>
          <w:sz w:val="20"/>
          <w:szCs w:val="20"/>
          <w:lang w:val="es-CR"/>
        </w:rPr>
        <w:t>,</w:t>
      </w:r>
      <w:r w:rsidR="007525C1" w:rsidRPr="00903113">
        <w:rPr>
          <w:rFonts w:ascii="Verdana" w:hAnsi="Verdana"/>
          <w:sz w:val="20"/>
          <w:szCs w:val="20"/>
          <w:lang w:val="es-CR"/>
        </w:rPr>
        <w:t xml:space="preserve"> la </w:t>
      </w:r>
      <w:r w:rsidR="007525C1" w:rsidRPr="00903113">
        <w:rPr>
          <w:rFonts w:ascii="Verdana" w:hAnsi="Verdana"/>
          <w:i/>
          <w:sz w:val="20"/>
          <w:szCs w:val="20"/>
          <w:lang w:val="es-CR"/>
        </w:rPr>
        <w:t>FIDH</w:t>
      </w:r>
      <w:r w:rsidR="007525C1" w:rsidRPr="00903113">
        <w:rPr>
          <w:rFonts w:ascii="Verdana" w:hAnsi="Verdana"/>
          <w:sz w:val="20"/>
          <w:szCs w:val="20"/>
          <w:lang w:val="es-CR"/>
        </w:rPr>
        <w:t xml:space="preserve"> </w:t>
      </w:r>
      <w:r w:rsidR="001A1EE7">
        <w:rPr>
          <w:rFonts w:ascii="Verdana" w:hAnsi="Verdana"/>
          <w:sz w:val="20"/>
          <w:szCs w:val="20"/>
          <w:lang w:val="es-CR"/>
        </w:rPr>
        <w:t xml:space="preserve">y la </w:t>
      </w:r>
      <w:r w:rsidR="001A1EE7" w:rsidRPr="00903DE2">
        <w:rPr>
          <w:rFonts w:ascii="Verdana" w:hAnsi="Verdana"/>
          <w:i/>
          <w:sz w:val="20"/>
          <w:szCs w:val="20"/>
          <w:lang w:val="es-CR"/>
        </w:rPr>
        <w:t>víctima Patricia Troncoso</w:t>
      </w:r>
      <w:r w:rsidR="001A1EE7">
        <w:rPr>
          <w:rFonts w:ascii="Verdana" w:hAnsi="Verdana"/>
          <w:sz w:val="20"/>
          <w:szCs w:val="20"/>
          <w:lang w:val="es-CR"/>
        </w:rPr>
        <w:t xml:space="preserve"> </w:t>
      </w:r>
      <w:r w:rsidR="007525C1" w:rsidRPr="00903113">
        <w:rPr>
          <w:rFonts w:ascii="Verdana" w:hAnsi="Verdana"/>
          <w:sz w:val="20"/>
          <w:szCs w:val="20"/>
          <w:lang w:val="es-CR"/>
        </w:rPr>
        <w:t xml:space="preserve">se han referido a la “demora” en el otorgamiento de prestaciones a las víctimas. </w:t>
      </w:r>
      <w:r w:rsidR="007525C1" w:rsidRPr="00903113">
        <w:rPr>
          <w:rFonts w:ascii="Verdana" w:eastAsia="Times New Roman" w:hAnsi="Verdana"/>
          <w:sz w:val="20"/>
          <w:szCs w:val="20"/>
          <w:lang w:val="es-ES_tradnl" w:eastAsia="es-ES"/>
        </w:rPr>
        <w:t xml:space="preserve">El Estado tampoco </w:t>
      </w:r>
      <w:r w:rsidR="001A1EE7">
        <w:rPr>
          <w:rFonts w:ascii="Verdana" w:eastAsia="Times New Roman" w:hAnsi="Verdana"/>
          <w:sz w:val="20"/>
          <w:szCs w:val="20"/>
          <w:lang w:val="es-ES_tradnl" w:eastAsia="es-ES"/>
        </w:rPr>
        <w:t>presentó</w:t>
      </w:r>
      <w:r w:rsidR="007525C1" w:rsidRPr="00903113">
        <w:rPr>
          <w:rFonts w:ascii="Verdana" w:eastAsia="Times New Roman" w:hAnsi="Verdana"/>
          <w:sz w:val="20"/>
          <w:szCs w:val="20"/>
          <w:lang w:val="es-ES_tradnl" w:eastAsia="es-ES"/>
        </w:rPr>
        <w:t xml:space="preserve"> información sobre cómo el “</w:t>
      </w:r>
      <w:r w:rsidR="007525C1" w:rsidRPr="00903113">
        <w:rPr>
          <w:rFonts w:ascii="Verdana" w:hAnsi="Verdana"/>
          <w:sz w:val="20"/>
          <w:lang w:val="es-ES_tradnl"/>
        </w:rPr>
        <w:t xml:space="preserve">programa de reparación específico” que habría elaborado se está aplicando </w:t>
      </w:r>
      <w:r w:rsidR="00DE04A2">
        <w:rPr>
          <w:rFonts w:ascii="Verdana" w:hAnsi="Verdana"/>
          <w:sz w:val="20"/>
          <w:lang w:val="es-ES_tradnl"/>
        </w:rPr>
        <w:t>a</w:t>
      </w:r>
      <w:r w:rsidR="007525C1" w:rsidRPr="00903113">
        <w:rPr>
          <w:rFonts w:ascii="Verdana" w:hAnsi="Verdana"/>
          <w:sz w:val="20"/>
          <w:lang w:val="es-ES_tradnl"/>
        </w:rPr>
        <w:t xml:space="preserve"> las siete víctimas del presente caso (</w:t>
      </w:r>
      <w:r w:rsidR="007525C1" w:rsidRPr="00903113">
        <w:rPr>
          <w:rFonts w:ascii="Verdana" w:hAnsi="Verdana"/>
          <w:i/>
          <w:sz w:val="20"/>
          <w:lang w:val="es-ES_tradnl"/>
        </w:rPr>
        <w:t>supra</w:t>
      </w:r>
      <w:r w:rsidR="007525C1" w:rsidRPr="00903113">
        <w:rPr>
          <w:rFonts w:ascii="Verdana" w:hAnsi="Verdana"/>
          <w:sz w:val="20"/>
          <w:lang w:val="es-ES_tradnl"/>
        </w:rPr>
        <w:t xml:space="preserve"> Considerando </w:t>
      </w:r>
      <w:r w:rsidR="001A1EE7">
        <w:rPr>
          <w:rFonts w:ascii="Verdana" w:hAnsi="Verdana"/>
          <w:sz w:val="20"/>
          <w:lang w:val="es-ES_tradnl"/>
        </w:rPr>
        <w:t>19</w:t>
      </w:r>
      <w:r w:rsidR="001A1EE7" w:rsidRPr="00903113">
        <w:rPr>
          <w:rFonts w:ascii="Verdana" w:hAnsi="Verdana"/>
          <w:sz w:val="20"/>
          <w:lang w:val="es-ES_tradnl"/>
        </w:rPr>
        <w:t>).</w:t>
      </w:r>
    </w:p>
    <w:p w:rsidR="00B352E6" w:rsidRDefault="007525C1" w:rsidP="00857630">
      <w:pPr>
        <w:pStyle w:val="Listavistosa-nfasis1"/>
        <w:numPr>
          <w:ilvl w:val="0"/>
          <w:numId w:val="28"/>
        </w:numPr>
        <w:spacing w:before="120" w:after="120" w:line="240" w:lineRule="auto"/>
        <w:ind w:left="0" w:right="9" w:firstLine="0"/>
        <w:contextualSpacing w:val="0"/>
        <w:jc w:val="both"/>
        <w:rPr>
          <w:rFonts w:ascii="Verdana" w:hAnsi="Verdana"/>
          <w:sz w:val="20"/>
          <w:szCs w:val="20"/>
          <w:lang w:val="es-CR"/>
        </w:rPr>
      </w:pPr>
      <w:r w:rsidRPr="00B352E6">
        <w:rPr>
          <w:rFonts w:ascii="Verdana" w:hAnsi="Verdana"/>
          <w:sz w:val="20"/>
          <w:szCs w:val="20"/>
          <w:lang w:val="es-CR"/>
        </w:rPr>
        <w:lastRenderedPageBreak/>
        <w:t xml:space="preserve">La Corte recuerda que esta reparación debía implementarse </w:t>
      </w:r>
      <w:r w:rsidR="002621C4" w:rsidRPr="00B352E6">
        <w:rPr>
          <w:rFonts w:ascii="Verdana" w:hAnsi="Verdana"/>
          <w:sz w:val="20"/>
          <w:szCs w:val="20"/>
          <w:lang w:val="es-CR"/>
        </w:rPr>
        <w:t>“</w:t>
      </w:r>
      <w:r w:rsidR="002621C4" w:rsidRPr="00B352E6">
        <w:rPr>
          <w:rFonts w:ascii="Verdana" w:eastAsia="Times New Roman" w:hAnsi="Verdana"/>
          <w:sz w:val="20"/>
          <w:szCs w:val="20"/>
          <w:lang w:val="es-ES_tradnl" w:eastAsia="es-ES"/>
        </w:rPr>
        <w:t>de forma inmediata, adecuada y efectiva”. Sin embargo, han transcurrido</w:t>
      </w:r>
      <w:r w:rsidRPr="00B352E6">
        <w:rPr>
          <w:rFonts w:ascii="Verdana" w:hAnsi="Verdana"/>
          <w:sz w:val="20"/>
          <w:szCs w:val="20"/>
          <w:lang w:val="es-CR"/>
        </w:rPr>
        <w:t xml:space="preserve"> </w:t>
      </w:r>
      <w:r w:rsidR="00C54645" w:rsidRPr="00B352E6">
        <w:rPr>
          <w:rFonts w:ascii="Verdana" w:hAnsi="Verdana"/>
          <w:sz w:val="20"/>
          <w:szCs w:val="20"/>
          <w:lang w:val="es-CR"/>
        </w:rPr>
        <w:t xml:space="preserve">más de tres años desde que las víctimas del caso expresaron su deseo </w:t>
      </w:r>
      <w:r w:rsidR="002621C4" w:rsidRPr="00B352E6">
        <w:rPr>
          <w:rFonts w:ascii="Verdana" w:hAnsi="Verdana"/>
          <w:sz w:val="20"/>
          <w:szCs w:val="20"/>
          <w:lang w:val="es-CR"/>
        </w:rPr>
        <w:t xml:space="preserve">recibir atención médica, psicológica </w:t>
      </w:r>
      <w:r w:rsidR="0024357E">
        <w:rPr>
          <w:rFonts w:ascii="Verdana" w:hAnsi="Verdana"/>
          <w:sz w:val="20"/>
          <w:szCs w:val="20"/>
          <w:lang w:val="es-CR"/>
        </w:rPr>
        <w:t>y/</w:t>
      </w:r>
      <w:r w:rsidR="002621C4" w:rsidRPr="00B352E6">
        <w:rPr>
          <w:rFonts w:ascii="Verdana" w:hAnsi="Verdana"/>
          <w:sz w:val="20"/>
          <w:szCs w:val="20"/>
          <w:lang w:val="es-CR"/>
        </w:rPr>
        <w:t>o psiquiátrica</w:t>
      </w:r>
      <w:r w:rsidR="00C54645" w:rsidRPr="00B352E6">
        <w:rPr>
          <w:rFonts w:ascii="Verdana" w:hAnsi="Verdana"/>
          <w:sz w:val="20"/>
          <w:szCs w:val="20"/>
          <w:lang w:val="es-CR"/>
        </w:rPr>
        <w:t>,</w:t>
      </w:r>
      <w:r w:rsidR="002621C4" w:rsidRPr="00B352E6">
        <w:rPr>
          <w:rFonts w:ascii="Verdana" w:hAnsi="Verdana"/>
          <w:sz w:val="20"/>
          <w:szCs w:val="20"/>
          <w:lang w:val="es-CR"/>
        </w:rPr>
        <w:t xml:space="preserve"> sin</w:t>
      </w:r>
      <w:r w:rsidR="00404382" w:rsidRPr="00B352E6">
        <w:rPr>
          <w:rFonts w:ascii="Verdana" w:hAnsi="Verdana"/>
          <w:sz w:val="20"/>
          <w:szCs w:val="20"/>
          <w:lang w:val="es-CR"/>
        </w:rPr>
        <w:t xml:space="preserve"> que haya sido informado que estén</w:t>
      </w:r>
      <w:r w:rsidR="002621C4" w:rsidRPr="00B352E6">
        <w:rPr>
          <w:rFonts w:ascii="Verdana" w:hAnsi="Verdana"/>
          <w:sz w:val="20"/>
          <w:szCs w:val="20"/>
          <w:lang w:val="es-CR"/>
        </w:rPr>
        <w:t xml:space="preserve"> recibi</w:t>
      </w:r>
      <w:r w:rsidR="00404382" w:rsidRPr="00B352E6">
        <w:rPr>
          <w:rFonts w:ascii="Verdana" w:hAnsi="Verdana"/>
          <w:sz w:val="20"/>
          <w:szCs w:val="20"/>
          <w:lang w:val="es-CR"/>
        </w:rPr>
        <w:t>endo</w:t>
      </w:r>
      <w:r w:rsidR="002621C4" w:rsidRPr="00B352E6">
        <w:rPr>
          <w:rFonts w:ascii="Verdana" w:hAnsi="Verdana"/>
          <w:sz w:val="20"/>
          <w:szCs w:val="20"/>
          <w:lang w:val="es-CR"/>
        </w:rPr>
        <w:t xml:space="preserve"> algún tratamiento en concreto. </w:t>
      </w:r>
      <w:r w:rsidR="00814805" w:rsidRPr="00B352E6">
        <w:rPr>
          <w:rFonts w:ascii="Verdana" w:hAnsi="Verdana"/>
          <w:sz w:val="20"/>
          <w:szCs w:val="20"/>
          <w:lang w:val="es-CR"/>
        </w:rPr>
        <w:t>En consecuencia, es necesario que el Estado adopte, a la mayor brevedad posible, todas las acciones necesarias para dar cumplimiento a esta reparación en los términos dispuestos en la Sentencia. Para continuar valora</w:t>
      </w:r>
      <w:r w:rsidR="0024357E">
        <w:rPr>
          <w:rFonts w:ascii="Verdana" w:hAnsi="Verdana"/>
          <w:sz w:val="20"/>
          <w:szCs w:val="20"/>
          <w:lang w:val="es-CR"/>
        </w:rPr>
        <w:t>n</w:t>
      </w:r>
      <w:r w:rsidR="00814805" w:rsidRPr="00B352E6">
        <w:rPr>
          <w:rFonts w:ascii="Verdana" w:hAnsi="Verdana"/>
          <w:sz w:val="20"/>
          <w:szCs w:val="20"/>
          <w:lang w:val="es-CR"/>
        </w:rPr>
        <w:t xml:space="preserve">do el cumplimiento de esta reparación es necesario que en su próximo informe Chile se refiera en forma actualizada y detallada </w:t>
      </w:r>
      <w:r w:rsidR="0024357E">
        <w:rPr>
          <w:rFonts w:ascii="Verdana" w:hAnsi="Verdana"/>
          <w:sz w:val="20"/>
          <w:szCs w:val="20"/>
          <w:lang w:val="es-CR"/>
        </w:rPr>
        <w:t xml:space="preserve">a </w:t>
      </w:r>
      <w:r w:rsidR="00814805" w:rsidRPr="00B352E6">
        <w:rPr>
          <w:rFonts w:ascii="Verdana" w:hAnsi="Verdana"/>
          <w:sz w:val="20"/>
          <w:szCs w:val="20"/>
          <w:lang w:val="es-CR"/>
        </w:rPr>
        <w:t>los avances en la ejecución de esta reparación para cada una de las siete víctimas de este caso</w:t>
      </w:r>
      <w:r w:rsidR="00B352E6">
        <w:rPr>
          <w:rFonts w:ascii="Verdana" w:hAnsi="Verdana"/>
          <w:sz w:val="20"/>
          <w:szCs w:val="20"/>
          <w:lang w:val="es-CR"/>
        </w:rPr>
        <w:t>.</w:t>
      </w:r>
    </w:p>
    <w:p w:rsidR="00926ACE" w:rsidRPr="00B352E6" w:rsidRDefault="00814805" w:rsidP="00857630">
      <w:pPr>
        <w:pStyle w:val="Listavistosa-nfasis1"/>
        <w:numPr>
          <w:ilvl w:val="0"/>
          <w:numId w:val="28"/>
        </w:numPr>
        <w:spacing w:before="120" w:after="120" w:line="240" w:lineRule="auto"/>
        <w:ind w:left="0" w:right="9" w:firstLine="0"/>
        <w:contextualSpacing w:val="0"/>
        <w:jc w:val="both"/>
        <w:rPr>
          <w:rFonts w:ascii="Verdana" w:hAnsi="Verdana"/>
          <w:sz w:val="20"/>
          <w:szCs w:val="20"/>
          <w:lang w:val="es-CR"/>
        </w:rPr>
      </w:pPr>
      <w:r w:rsidRPr="00B352E6">
        <w:rPr>
          <w:rFonts w:ascii="Verdana" w:hAnsi="Verdana"/>
          <w:sz w:val="20"/>
          <w:szCs w:val="20"/>
          <w:lang w:val="es-CR"/>
        </w:rPr>
        <w:t>Por otra parte, en relaci</w:t>
      </w:r>
      <w:r w:rsidR="005545A1" w:rsidRPr="00B352E6">
        <w:rPr>
          <w:rFonts w:ascii="Verdana" w:hAnsi="Verdana"/>
          <w:sz w:val="20"/>
          <w:szCs w:val="20"/>
          <w:lang w:val="es-CR"/>
        </w:rPr>
        <w:t xml:space="preserve">ón con lo </w:t>
      </w:r>
      <w:r w:rsidR="00926ACE" w:rsidRPr="00B352E6">
        <w:rPr>
          <w:rFonts w:ascii="Verdana" w:hAnsi="Verdana"/>
          <w:sz w:val="20"/>
          <w:szCs w:val="20"/>
          <w:lang w:val="es-CR"/>
        </w:rPr>
        <w:t>sostenido</w:t>
      </w:r>
      <w:r w:rsidR="005545A1" w:rsidRPr="00B352E6">
        <w:rPr>
          <w:rFonts w:ascii="Verdana" w:hAnsi="Verdana"/>
          <w:sz w:val="20"/>
          <w:szCs w:val="20"/>
          <w:lang w:val="es-CR"/>
        </w:rPr>
        <w:t xml:space="preserve"> por algunos d</w:t>
      </w:r>
      <w:r w:rsidR="000D29ED" w:rsidRPr="00B352E6">
        <w:rPr>
          <w:rFonts w:ascii="Verdana" w:hAnsi="Verdana"/>
          <w:sz w:val="20"/>
          <w:szCs w:val="20"/>
          <w:lang w:val="es-CR"/>
        </w:rPr>
        <w:t>e los representantes de las víctimas y la víctima Patricia Troncoso respecto que la atención ofrecida por el Estado a través del Programa PRILONCOS no sería de carácter preferencial</w:t>
      </w:r>
      <w:r w:rsidR="00DE04A2">
        <w:rPr>
          <w:rFonts w:ascii="Verdana" w:hAnsi="Verdana"/>
          <w:sz w:val="20"/>
          <w:szCs w:val="20"/>
          <w:lang w:val="es-CR"/>
        </w:rPr>
        <w:t xml:space="preserve">, </w:t>
      </w:r>
      <w:r w:rsidR="00926ACE" w:rsidRPr="00B352E6">
        <w:rPr>
          <w:rFonts w:ascii="Verdana" w:hAnsi="Verdana"/>
          <w:sz w:val="20"/>
          <w:szCs w:val="20"/>
          <w:lang w:val="es-CR"/>
        </w:rPr>
        <w:t>pues se asemeja a</w:t>
      </w:r>
      <w:r w:rsidR="00DE04A2">
        <w:rPr>
          <w:rFonts w:ascii="Verdana" w:hAnsi="Verdana"/>
          <w:sz w:val="20"/>
          <w:szCs w:val="20"/>
          <w:lang w:val="es-CR"/>
        </w:rPr>
        <w:t xml:space="preserve"> </w:t>
      </w:r>
      <w:r w:rsidR="00926ACE" w:rsidRPr="00B352E6">
        <w:rPr>
          <w:rFonts w:ascii="Verdana" w:hAnsi="Verdana"/>
          <w:sz w:val="20"/>
          <w:szCs w:val="20"/>
          <w:lang w:val="es-CR"/>
        </w:rPr>
        <w:t>l</w:t>
      </w:r>
      <w:r w:rsidR="00DE04A2">
        <w:rPr>
          <w:rFonts w:ascii="Verdana" w:hAnsi="Verdana"/>
          <w:sz w:val="20"/>
          <w:szCs w:val="20"/>
          <w:lang w:val="es-CR"/>
        </w:rPr>
        <w:t>a</w:t>
      </w:r>
      <w:r w:rsidR="00926ACE" w:rsidRPr="00B352E6">
        <w:rPr>
          <w:rFonts w:ascii="Verdana" w:hAnsi="Verdana"/>
          <w:sz w:val="20"/>
          <w:szCs w:val="20"/>
          <w:lang w:val="es-CR"/>
        </w:rPr>
        <w:t xml:space="preserve"> que se recibe en el sistema público de salud (</w:t>
      </w:r>
      <w:r w:rsidR="00926ACE" w:rsidRPr="00B352E6">
        <w:rPr>
          <w:rFonts w:ascii="Verdana" w:hAnsi="Verdana"/>
          <w:i/>
          <w:sz w:val="20"/>
          <w:szCs w:val="20"/>
          <w:lang w:val="es-CR"/>
        </w:rPr>
        <w:t xml:space="preserve">supra </w:t>
      </w:r>
      <w:r w:rsidR="00926ACE" w:rsidRPr="00B352E6">
        <w:rPr>
          <w:rFonts w:ascii="Verdana" w:hAnsi="Verdana"/>
          <w:sz w:val="20"/>
          <w:szCs w:val="20"/>
          <w:lang w:val="es-CR"/>
        </w:rPr>
        <w:t xml:space="preserve">nota al pie </w:t>
      </w:r>
      <w:r w:rsidR="0024357E">
        <w:rPr>
          <w:rFonts w:ascii="Verdana" w:hAnsi="Verdana"/>
          <w:sz w:val="20"/>
          <w:szCs w:val="20"/>
          <w:lang w:val="es-CR"/>
        </w:rPr>
        <w:t>46</w:t>
      </w:r>
      <w:r w:rsidR="0024357E" w:rsidRPr="00B352E6">
        <w:rPr>
          <w:rFonts w:ascii="Verdana" w:hAnsi="Verdana"/>
          <w:sz w:val="20"/>
          <w:szCs w:val="20"/>
          <w:lang w:val="es-CR"/>
        </w:rPr>
        <w:t xml:space="preserve">), </w:t>
      </w:r>
      <w:r w:rsidR="00926ACE" w:rsidRPr="00B352E6">
        <w:rPr>
          <w:rFonts w:ascii="Verdana" w:hAnsi="Verdana"/>
          <w:sz w:val="20"/>
          <w:szCs w:val="20"/>
          <w:lang w:val="es-CR"/>
        </w:rPr>
        <w:t xml:space="preserve">la Corte estima pertinente </w:t>
      </w:r>
      <w:r w:rsidR="00B352E6" w:rsidRPr="00B352E6">
        <w:rPr>
          <w:rFonts w:ascii="Verdana" w:hAnsi="Verdana"/>
          <w:sz w:val="20"/>
          <w:szCs w:val="20"/>
          <w:lang w:val="es-CR"/>
        </w:rPr>
        <w:t>hacer notar</w:t>
      </w:r>
      <w:r w:rsidR="00926ACE" w:rsidRPr="00B352E6">
        <w:rPr>
          <w:rFonts w:ascii="Verdana" w:hAnsi="Verdana"/>
          <w:sz w:val="20"/>
          <w:szCs w:val="20"/>
          <w:lang w:val="es-CR"/>
        </w:rPr>
        <w:t xml:space="preserve"> que, además de las medidas que adopte en el marco del sistema general de salud, es necesario que el Estado otorgue una atención </w:t>
      </w:r>
      <w:r w:rsidR="00C744E6">
        <w:rPr>
          <w:rFonts w:ascii="Verdana" w:hAnsi="Verdana"/>
          <w:sz w:val="20"/>
          <w:szCs w:val="20"/>
          <w:lang w:val="es-CR"/>
        </w:rPr>
        <w:t>preferencial</w:t>
      </w:r>
      <w:r w:rsidR="00284D32">
        <w:rPr>
          <w:rFonts w:ascii="Verdana" w:hAnsi="Verdana"/>
          <w:sz w:val="20"/>
          <w:szCs w:val="20"/>
          <w:lang w:val="es-CR"/>
        </w:rPr>
        <w:t xml:space="preserve"> </w:t>
      </w:r>
      <w:r w:rsidR="00926ACE" w:rsidRPr="00B352E6">
        <w:rPr>
          <w:rFonts w:ascii="Verdana" w:hAnsi="Verdana"/>
          <w:sz w:val="20"/>
          <w:szCs w:val="20"/>
          <w:lang w:val="es-CR"/>
        </w:rPr>
        <w:t>a las víctimas</w:t>
      </w:r>
      <w:r w:rsidR="00926ACE" w:rsidRPr="00B352E6">
        <w:rPr>
          <w:rStyle w:val="Refdenotaalpie"/>
          <w:rFonts w:ascii="Verdana" w:hAnsi="Verdana"/>
          <w:sz w:val="20"/>
          <w:szCs w:val="20"/>
          <w:lang w:val="es-CR"/>
        </w:rPr>
        <w:footnoteReference w:id="47"/>
      </w:r>
      <w:r w:rsidR="00926ACE" w:rsidRPr="00B352E6">
        <w:rPr>
          <w:rFonts w:ascii="Verdana" w:hAnsi="Verdana"/>
          <w:sz w:val="20"/>
          <w:szCs w:val="20"/>
          <w:lang w:val="es-CR"/>
        </w:rPr>
        <w:t>. En ese sentido, el Tribunal ha señalado que no puede confundirse la prestación de los servicios sociales que el Estado brinda a los individuos, con las reparaciones a las que tienen derecho las víctimas de violaciones de derechos humanos, en razón del daño específico generado por la violación</w:t>
      </w:r>
      <w:r w:rsidR="00926ACE" w:rsidRPr="004B1C00">
        <w:rPr>
          <w:rStyle w:val="Refdenotaalpie"/>
          <w:rFonts w:ascii="Verdana" w:hAnsi="Verdana"/>
          <w:sz w:val="20"/>
          <w:szCs w:val="20"/>
          <w:lang w:val="es-CR"/>
        </w:rPr>
        <w:footnoteReference w:id="48"/>
      </w:r>
      <w:r w:rsidR="00926ACE" w:rsidRPr="00B352E6">
        <w:rPr>
          <w:rFonts w:ascii="Verdana" w:hAnsi="Verdana"/>
          <w:sz w:val="20"/>
          <w:szCs w:val="20"/>
          <w:lang w:val="es-CR"/>
        </w:rPr>
        <w:t>. Por ello, el Tribunal advierte que las siete víctimas de este caso deben recibir un tratamiento diferenciado en relación con el trámite y procedimiento que debieran realizar para ser atendidos en los hospitales públicos</w:t>
      </w:r>
      <w:r w:rsidR="00926ACE" w:rsidRPr="004B1C00">
        <w:rPr>
          <w:rStyle w:val="Refdenotaalpie"/>
          <w:rFonts w:ascii="Verdana" w:hAnsi="Verdana"/>
          <w:sz w:val="20"/>
          <w:szCs w:val="20"/>
          <w:lang w:val="es-CR"/>
        </w:rPr>
        <w:footnoteReference w:id="49"/>
      </w:r>
      <w:r w:rsidR="00926ACE" w:rsidRPr="00B352E6">
        <w:rPr>
          <w:rFonts w:ascii="Verdana" w:hAnsi="Verdana"/>
          <w:sz w:val="20"/>
          <w:szCs w:val="20"/>
          <w:lang w:val="es-CR"/>
        </w:rPr>
        <w:t>.</w:t>
      </w:r>
    </w:p>
    <w:p w:rsidR="00B352E6" w:rsidRPr="000B5118" w:rsidRDefault="00B352E6"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B352E6">
        <w:rPr>
          <w:rFonts w:ascii="Verdana" w:hAnsi="Verdana"/>
          <w:sz w:val="20"/>
          <w:szCs w:val="20"/>
          <w:lang w:val="es-CR"/>
        </w:rPr>
        <w:t xml:space="preserve">Con base en lo expuesto, la Corte considera que se encuentra pendiente de cumplimiento la medida de reparación dispuesta en el punto </w:t>
      </w:r>
      <w:r w:rsidR="00A218B1">
        <w:rPr>
          <w:rFonts w:ascii="Verdana" w:hAnsi="Verdana"/>
          <w:sz w:val="20"/>
          <w:szCs w:val="20"/>
          <w:lang w:val="es-CR"/>
        </w:rPr>
        <w:t>dispositivo</w:t>
      </w:r>
      <w:r w:rsidR="00A218B1" w:rsidRPr="00B352E6">
        <w:rPr>
          <w:rFonts w:ascii="Verdana" w:hAnsi="Verdana"/>
          <w:sz w:val="20"/>
          <w:szCs w:val="20"/>
          <w:lang w:val="es-CR"/>
        </w:rPr>
        <w:t xml:space="preserve"> </w:t>
      </w:r>
      <w:r w:rsidRPr="00B352E6">
        <w:rPr>
          <w:rFonts w:ascii="Verdana" w:hAnsi="Verdana"/>
          <w:sz w:val="20"/>
          <w:szCs w:val="20"/>
          <w:lang w:val="es-CR"/>
        </w:rPr>
        <w:t xml:space="preserve">décimo sétimo de la sentencia, relativa a </w:t>
      </w:r>
      <w:r w:rsidRPr="00B352E6">
        <w:rPr>
          <w:rFonts w:ascii="Verdana" w:eastAsia="Times New Roman" w:hAnsi="Verdana"/>
          <w:sz w:val="20"/>
          <w:szCs w:val="20"/>
          <w:lang w:val="es-ES_tradnl" w:eastAsia="es-ES"/>
        </w:rPr>
        <w:t>brindar, gratuitamente, a través de sus instituciones especializadas o personal de salud especializado, y de forma inmediata, adecuada y efectiva, el tratamiento médico y psicológico o psiquiátrico necesario</w:t>
      </w:r>
      <w:r w:rsidR="00A218B1">
        <w:rPr>
          <w:rFonts w:ascii="Verdana" w:eastAsia="Times New Roman" w:hAnsi="Verdana"/>
          <w:sz w:val="20"/>
          <w:szCs w:val="20"/>
          <w:lang w:val="es-ES_tradnl" w:eastAsia="es-ES"/>
        </w:rPr>
        <w:t>,</w:t>
      </w:r>
      <w:r w:rsidRPr="00B352E6">
        <w:rPr>
          <w:lang w:val="es-CR"/>
        </w:rPr>
        <w:t xml:space="preserve"> </w:t>
      </w:r>
      <w:r w:rsidRPr="00B352E6">
        <w:rPr>
          <w:rFonts w:ascii="Verdana" w:hAnsi="Verdana"/>
          <w:sz w:val="20"/>
          <w:szCs w:val="20"/>
          <w:lang w:val="es-CR"/>
        </w:rPr>
        <w:t>a Segundo Aniceto Norín Catrimán, Víctor Manuel Ancalaf Llaupe, Florencio Jaime Marileo Saravia, Juan Patricio Marileo Saravia, José Benicio Huenchunao Mariñán, Juan Ciriaco Millacheo Licán y Patricia Roxana Troncoso Robles</w:t>
      </w:r>
      <w:r w:rsidRPr="00B352E6">
        <w:rPr>
          <w:rFonts w:ascii="Verdana" w:eastAsia="Times New Roman" w:hAnsi="Verdana"/>
          <w:sz w:val="20"/>
          <w:szCs w:val="20"/>
          <w:lang w:val="es-ES_tradnl" w:eastAsia="es-ES"/>
        </w:rPr>
        <w:t>.</w:t>
      </w:r>
    </w:p>
    <w:p w:rsidR="000B5118" w:rsidRPr="00B352E6" w:rsidRDefault="000B5118" w:rsidP="00C95520">
      <w:pPr>
        <w:pStyle w:val="Listavistosa-nfasis1"/>
        <w:spacing w:before="120" w:after="120" w:line="240" w:lineRule="auto"/>
        <w:ind w:left="0" w:right="11"/>
        <w:contextualSpacing w:val="0"/>
        <w:jc w:val="both"/>
        <w:rPr>
          <w:rFonts w:ascii="Verdana" w:hAnsi="Verdana"/>
          <w:sz w:val="20"/>
          <w:szCs w:val="20"/>
          <w:lang w:val="es-CR"/>
        </w:rPr>
      </w:pPr>
    </w:p>
    <w:p w:rsidR="007A1771" w:rsidRPr="00F812F8" w:rsidRDefault="00C02F3A" w:rsidP="00807889">
      <w:pPr>
        <w:keepNext/>
        <w:keepLines/>
        <w:widowControl w:val="0"/>
        <w:numPr>
          <w:ilvl w:val="0"/>
          <w:numId w:val="18"/>
        </w:numPr>
        <w:spacing w:before="120" w:after="120" w:line="240" w:lineRule="auto"/>
        <w:jc w:val="both"/>
        <w:outlineLvl w:val="0"/>
        <w:rPr>
          <w:rFonts w:ascii="Verdana" w:eastAsia="Times New Roman" w:hAnsi="Verdana"/>
          <w:b/>
          <w:bCs/>
          <w:i/>
          <w:color w:val="000000"/>
          <w:sz w:val="20"/>
          <w:szCs w:val="20"/>
          <w:lang w:val="es-ES_tradnl" w:eastAsia="es-ES"/>
        </w:rPr>
      </w:pPr>
      <w:bookmarkStart w:id="5" w:name="_Toc507514925"/>
      <w:bookmarkStart w:id="6" w:name="_Toc523309968"/>
      <w:r w:rsidRPr="00F812F8">
        <w:rPr>
          <w:rFonts w:ascii="Verdana" w:eastAsia="Times New Roman" w:hAnsi="Verdana"/>
          <w:b/>
          <w:bCs/>
          <w:i/>
          <w:color w:val="000000"/>
          <w:sz w:val="20"/>
          <w:szCs w:val="20"/>
          <w:lang w:val="es-ES_tradnl" w:eastAsia="es-ES"/>
        </w:rPr>
        <w:t>Publicación y difusión</w:t>
      </w:r>
      <w:r w:rsidR="007A1771" w:rsidRPr="00F812F8">
        <w:rPr>
          <w:rFonts w:ascii="Verdana" w:eastAsia="Times New Roman" w:hAnsi="Verdana"/>
          <w:b/>
          <w:bCs/>
          <w:i/>
          <w:color w:val="000000"/>
          <w:sz w:val="20"/>
          <w:szCs w:val="20"/>
          <w:lang w:val="es-ES_tradnl" w:eastAsia="es-ES"/>
        </w:rPr>
        <w:t xml:space="preserve"> de la Sentencia</w:t>
      </w:r>
      <w:bookmarkEnd w:id="5"/>
      <w:bookmarkEnd w:id="6"/>
      <w:r w:rsidR="007A1771" w:rsidRPr="00F812F8">
        <w:rPr>
          <w:rFonts w:ascii="Verdana" w:eastAsia="Times New Roman" w:hAnsi="Verdana"/>
          <w:b/>
          <w:bCs/>
          <w:i/>
          <w:color w:val="000000"/>
          <w:sz w:val="20"/>
          <w:szCs w:val="20"/>
          <w:lang w:val="es-ES_tradnl" w:eastAsia="es-ES"/>
        </w:rPr>
        <w:t xml:space="preserve"> </w:t>
      </w:r>
    </w:p>
    <w:p w:rsidR="006F0AF8" w:rsidRPr="000121ED" w:rsidRDefault="006F0AF8" w:rsidP="00807889">
      <w:pPr>
        <w:pStyle w:val="Listavistosa-nfasis1"/>
        <w:spacing w:before="120" w:after="120" w:line="240" w:lineRule="auto"/>
        <w:contextualSpacing w:val="0"/>
        <w:jc w:val="both"/>
        <w:rPr>
          <w:rFonts w:ascii="Verdana" w:hAnsi="Verdana"/>
          <w:i/>
          <w:sz w:val="20"/>
          <w:lang w:val="es-MX"/>
        </w:rPr>
      </w:pPr>
      <w:r>
        <w:rPr>
          <w:rFonts w:ascii="Verdana" w:hAnsi="Verdana"/>
          <w:i/>
          <w:sz w:val="20"/>
          <w:lang w:val="es-MX"/>
        </w:rPr>
        <w:t>C</w:t>
      </w:r>
      <w:r w:rsidRPr="000121ED">
        <w:rPr>
          <w:rFonts w:ascii="Verdana" w:hAnsi="Verdana"/>
          <w:i/>
          <w:sz w:val="20"/>
          <w:lang w:val="es-MX"/>
        </w:rPr>
        <w:t>.1. Medida</w:t>
      </w:r>
      <w:r w:rsidR="009564AA">
        <w:rPr>
          <w:rFonts w:ascii="Verdana" w:hAnsi="Verdana"/>
          <w:i/>
          <w:sz w:val="20"/>
          <w:lang w:val="es-MX"/>
        </w:rPr>
        <w:t>s</w:t>
      </w:r>
      <w:r w:rsidRPr="000121ED">
        <w:rPr>
          <w:rFonts w:ascii="Verdana" w:hAnsi="Verdana"/>
          <w:i/>
          <w:sz w:val="20"/>
          <w:lang w:val="es-MX"/>
        </w:rPr>
        <w:t xml:space="preserve"> ordenada</w:t>
      </w:r>
      <w:r w:rsidR="009564AA">
        <w:rPr>
          <w:rFonts w:ascii="Verdana" w:hAnsi="Verdana"/>
          <w:i/>
          <w:sz w:val="20"/>
          <w:lang w:val="es-MX"/>
        </w:rPr>
        <w:t>s</w:t>
      </w:r>
      <w:r w:rsidRPr="000121ED">
        <w:rPr>
          <w:rFonts w:ascii="Verdana" w:hAnsi="Verdana"/>
          <w:i/>
          <w:sz w:val="20"/>
          <w:lang w:val="es-MX"/>
        </w:rPr>
        <w:t xml:space="preserve"> por la Corte </w:t>
      </w:r>
    </w:p>
    <w:p w:rsidR="000A4162" w:rsidRDefault="006F0AF8" w:rsidP="00857630">
      <w:pPr>
        <w:numPr>
          <w:ilvl w:val="0"/>
          <w:numId w:val="28"/>
        </w:numPr>
        <w:spacing w:before="120" w:after="120" w:line="240" w:lineRule="auto"/>
        <w:ind w:left="0" w:right="9" w:firstLine="0"/>
        <w:jc w:val="both"/>
        <w:rPr>
          <w:rFonts w:ascii="Verdana" w:eastAsia="Times New Roman" w:hAnsi="Verdana"/>
          <w:sz w:val="20"/>
          <w:szCs w:val="20"/>
          <w:lang w:val="es-ES_tradnl" w:eastAsia="es-ES"/>
        </w:rPr>
      </w:pPr>
      <w:r>
        <w:rPr>
          <w:rFonts w:ascii="Verdana" w:hAnsi="Verdana"/>
          <w:sz w:val="20"/>
          <w:lang w:val="es-MX"/>
        </w:rPr>
        <w:t>E</w:t>
      </w:r>
      <w:r w:rsidRPr="00BD6F58">
        <w:rPr>
          <w:rFonts w:ascii="Verdana" w:hAnsi="Verdana"/>
          <w:sz w:val="20"/>
          <w:lang w:val="es-MX"/>
        </w:rPr>
        <w:t xml:space="preserve">n el punto </w:t>
      </w:r>
      <w:r w:rsidR="00E51EDD">
        <w:rPr>
          <w:rFonts w:ascii="Verdana" w:hAnsi="Verdana"/>
          <w:sz w:val="20"/>
          <w:lang w:val="es-MX"/>
        </w:rPr>
        <w:t>dispositivo</w:t>
      </w:r>
      <w:r w:rsidR="00E51EDD" w:rsidRPr="00BD6F58">
        <w:rPr>
          <w:rFonts w:ascii="Verdana" w:hAnsi="Verdana"/>
          <w:sz w:val="20"/>
          <w:lang w:val="es-MX"/>
        </w:rPr>
        <w:t xml:space="preserve"> </w:t>
      </w:r>
      <w:r w:rsidR="007A1771" w:rsidRPr="007A1771">
        <w:rPr>
          <w:rFonts w:ascii="Verdana" w:eastAsia="Times New Roman" w:hAnsi="Verdana"/>
          <w:sz w:val="20"/>
          <w:szCs w:val="20"/>
          <w:lang w:val="es-ES_tradnl" w:eastAsia="es-ES"/>
        </w:rPr>
        <w:t xml:space="preserve">décimo octavo de la Sentencia, se </w:t>
      </w:r>
      <w:r w:rsidR="00DC04F3">
        <w:rPr>
          <w:rFonts w:ascii="Verdana" w:eastAsia="Times New Roman" w:hAnsi="Verdana"/>
          <w:sz w:val="20"/>
          <w:szCs w:val="20"/>
          <w:lang w:val="es-ES_tradnl" w:eastAsia="es-ES"/>
        </w:rPr>
        <w:t>ordenó</w:t>
      </w:r>
      <w:r w:rsidR="00DC04F3" w:rsidRPr="007A1771">
        <w:rPr>
          <w:rFonts w:ascii="Verdana" w:eastAsia="Times New Roman" w:hAnsi="Verdana"/>
          <w:sz w:val="20"/>
          <w:szCs w:val="20"/>
          <w:lang w:val="es-ES_tradnl" w:eastAsia="es-ES"/>
        </w:rPr>
        <w:t xml:space="preserve"> </w:t>
      </w:r>
      <w:r w:rsidR="007A1771" w:rsidRPr="007A1771">
        <w:rPr>
          <w:rFonts w:ascii="Verdana" w:eastAsia="Times New Roman" w:hAnsi="Verdana"/>
          <w:sz w:val="20"/>
          <w:szCs w:val="20"/>
          <w:lang w:val="es-ES_tradnl" w:eastAsia="es-ES"/>
        </w:rPr>
        <w:t>que</w:t>
      </w:r>
      <w:r w:rsidR="000A4162">
        <w:rPr>
          <w:rFonts w:ascii="Verdana" w:eastAsia="Times New Roman" w:hAnsi="Verdana"/>
          <w:sz w:val="20"/>
          <w:szCs w:val="20"/>
          <w:lang w:val="es-ES_tradnl" w:eastAsia="es-ES"/>
        </w:rPr>
        <w:t xml:space="preserve">, “en el plazo de seis meses, contado a partir de la notificación de la </w:t>
      </w:r>
      <w:r w:rsidR="00E51EDD">
        <w:rPr>
          <w:rFonts w:ascii="Verdana" w:eastAsia="Times New Roman" w:hAnsi="Verdana"/>
          <w:sz w:val="20"/>
          <w:szCs w:val="20"/>
          <w:lang w:val="es-ES_tradnl" w:eastAsia="es-ES"/>
        </w:rPr>
        <w:t xml:space="preserve">[…] </w:t>
      </w:r>
      <w:r w:rsidR="000A4162">
        <w:rPr>
          <w:rFonts w:ascii="Verdana" w:eastAsia="Times New Roman" w:hAnsi="Verdana"/>
          <w:sz w:val="20"/>
          <w:szCs w:val="20"/>
          <w:lang w:val="es-ES_tradnl" w:eastAsia="es-ES"/>
        </w:rPr>
        <w:t>Sentencia”,</w:t>
      </w:r>
      <w:r w:rsidR="00DC04F3">
        <w:rPr>
          <w:rFonts w:ascii="Verdana" w:eastAsia="Times New Roman" w:hAnsi="Verdana"/>
          <w:sz w:val="20"/>
          <w:szCs w:val="20"/>
          <w:lang w:val="es-ES_tradnl" w:eastAsia="es-ES"/>
        </w:rPr>
        <w:t xml:space="preserve"> “[e]l Estado debe realizar las publicaciones y radiodifusión de la Sentencia indicadas en los </w:t>
      </w:r>
      <w:r w:rsidR="000A4162">
        <w:rPr>
          <w:rFonts w:ascii="Verdana" w:eastAsia="Times New Roman" w:hAnsi="Verdana"/>
          <w:sz w:val="20"/>
          <w:szCs w:val="20"/>
          <w:lang w:val="es-ES_tradnl" w:eastAsia="es-ES"/>
        </w:rPr>
        <w:t xml:space="preserve">párrafos 428 y 429 </w:t>
      </w:r>
      <w:proofErr w:type="gramStart"/>
      <w:r w:rsidR="000A4162">
        <w:rPr>
          <w:rFonts w:ascii="Verdana" w:eastAsia="Times New Roman" w:hAnsi="Verdana"/>
          <w:sz w:val="20"/>
          <w:szCs w:val="20"/>
          <w:lang w:val="es-ES_tradnl" w:eastAsia="es-ES"/>
        </w:rPr>
        <w:t>d[</w:t>
      </w:r>
      <w:proofErr w:type="gramEnd"/>
      <w:r w:rsidR="000A4162">
        <w:rPr>
          <w:rFonts w:ascii="Verdana" w:eastAsia="Times New Roman" w:hAnsi="Verdana"/>
          <w:sz w:val="20"/>
          <w:szCs w:val="20"/>
          <w:lang w:val="es-ES_tradnl" w:eastAsia="es-ES"/>
        </w:rPr>
        <w:t>el Fallo]”, a saber:</w:t>
      </w:r>
    </w:p>
    <w:p w:rsidR="00903DE2" w:rsidRDefault="00903DE2" w:rsidP="00903DE2">
      <w:pPr>
        <w:spacing w:before="120" w:after="120" w:line="240" w:lineRule="auto"/>
        <w:ind w:right="9"/>
        <w:jc w:val="both"/>
        <w:rPr>
          <w:rFonts w:ascii="Verdana" w:eastAsia="Times New Roman" w:hAnsi="Verdana"/>
          <w:sz w:val="20"/>
          <w:szCs w:val="20"/>
          <w:lang w:val="es-ES_tradnl" w:eastAsia="es-ES"/>
        </w:rPr>
      </w:pPr>
    </w:p>
    <w:p w:rsidR="00CA2AFC" w:rsidRDefault="000A4162" w:rsidP="00807889">
      <w:pPr>
        <w:numPr>
          <w:ilvl w:val="0"/>
          <w:numId w:val="26"/>
        </w:numPr>
        <w:spacing w:before="120" w:after="120" w:line="240" w:lineRule="auto"/>
        <w:ind w:right="9"/>
        <w:jc w:val="both"/>
        <w:rPr>
          <w:rFonts w:ascii="Verdana" w:eastAsia="Times New Roman" w:hAnsi="Verdana"/>
          <w:sz w:val="20"/>
          <w:szCs w:val="20"/>
          <w:lang w:val="es-ES_tradnl" w:eastAsia="es-ES"/>
        </w:rPr>
      </w:pPr>
      <w:r>
        <w:rPr>
          <w:rFonts w:ascii="Verdana" w:eastAsia="Times New Roman" w:hAnsi="Verdana"/>
          <w:sz w:val="20"/>
          <w:szCs w:val="20"/>
          <w:lang w:val="es-ES_tradnl" w:eastAsia="es-ES"/>
        </w:rPr>
        <w:t>la publicación de “</w:t>
      </w:r>
      <w:r w:rsidR="007A1771" w:rsidRPr="000A4162">
        <w:rPr>
          <w:rFonts w:ascii="Verdana" w:eastAsia="Times New Roman" w:hAnsi="Verdana"/>
          <w:sz w:val="20"/>
          <w:szCs w:val="20"/>
          <w:lang w:val="es-ES_tradnl" w:eastAsia="es-ES"/>
        </w:rPr>
        <w:t xml:space="preserve">a) el resumen oficial de la </w:t>
      </w:r>
      <w:r w:rsidR="00DC04F3" w:rsidRPr="000A4162">
        <w:rPr>
          <w:rFonts w:ascii="Verdana" w:eastAsia="Times New Roman" w:hAnsi="Verdana"/>
          <w:sz w:val="20"/>
          <w:szCs w:val="20"/>
          <w:lang w:val="es-ES_tradnl" w:eastAsia="es-ES"/>
        </w:rPr>
        <w:t xml:space="preserve">[…] </w:t>
      </w:r>
      <w:r w:rsidR="007A1771" w:rsidRPr="000A4162">
        <w:rPr>
          <w:rFonts w:ascii="Verdana" w:eastAsia="Times New Roman" w:hAnsi="Verdana"/>
          <w:sz w:val="20"/>
          <w:szCs w:val="20"/>
          <w:lang w:val="es-ES_tradnl" w:eastAsia="es-ES"/>
        </w:rPr>
        <w:t>Sentencia elaborado por la Corte, por una sola vez en el diario oficial</w:t>
      </w:r>
      <w:r w:rsidR="00DC04F3" w:rsidRPr="000A4162">
        <w:rPr>
          <w:rFonts w:ascii="Verdana" w:eastAsia="Times New Roman" w:hAnsi="Verdana"/>
          <w:sz w:val="20"/>
          <w:szCs w:val="20"/>
          <w:lang w:val="es-ES_tradnl" w:eastAsia="es-ES"/>
        </w:rPr>
        <w:t xml:space="preserve">; b) el resumen oficial de la […] Sentencia elaborado por la Corte, por una sola vez </w:t>
      </w:r>
      <w:r w:rsidR="007A1771" w:rsidRPr="000A4162">
        <w:rPr>
          <w:rFonts w:ascii="Verdana" w:eastAsia="Times New Roman" w:hAnsi="Verdana"/>
          <w:sz w:val="20"/>
          <w:szCs w:val="20"/>
          <w:lang w:val="es-ES_tradnl" w:eastAsia="es-ES"/>
        </w:rPr>
        <w:t>en un diario de amplia circulación nacional</w:t>
      </w:r>
      <w:r w:rsidR="00DC04F3" w:rsidRPr="000A4162">
        <w:rPr>
          <w:rFonts w:ascii="Verdana" w:eastAsia="Times New Roman" w:hAnsi="Verdana"/>
          <w:sz w:val="20"/>
          <w:szCs w:val="20"/>
          <w:lang w:val="es-ES_tradnl" w:eastAsia="es-ES"/>
        </w:rPr>
        <w:t>, y</w:t>
      </w:r>
      <w:r w:rsidR="007A1771" w:rsidRPr="000A4162">
        <w:rPr>
          <w:rFonts w:ascii="Verdana" w:eastAsia="Times New Roman" w:hAnsi="Verdana"/>
          <w:sz w:val="20"/>
          <w:szCs w:val="20"/>
          <w:lang w:val="es-ES_tradnl" w:eastAsia="es-ES"/>
        </w:rPr>
        <w:t xml:space="preserve"> </w:t>
      </w:r>
      <w:r w:rsidR="00DC04F3" w:rsidRPr="000A4162">
        <w:rPr>
          <w:rFonts w:ascii="Verdana" w:eastAsia="Times New Roman" w:hAnsi="Verdana"/>
          <w:sz w:val="20"/>
          <w:szCs w:val="20"/>
          <w:lang w:val="es-ES_tradnl" w:eastAsia="es-ES"/>
        </w:rPr>
        <w:t>c</w:t>
      </w:r>
      <w:r w:rsidR="007A1771" w:rsidRPr="000A4162">
        <w:rPr>
          <w:rFonts w:ascii="Verdana" w:eastAsia="Times New Roman" w:hAnsi="Verdana"/>
          <w:sz w:val="20"/>
          <w:szCs w:val="20"/>
          <w:lang w:val="es-ES_tradnl" w:eastAsia="es-ES"/>
        </w:rPr>
        <w:t xml:space="preserve">) la </w:t>
      </w:r>
      <w:r w:rsidR="00DC04F3" w:rsidRPr="000A4162">
        <w:rPr>
          <w:rFonts w:ascii="Verdana" w:eastAsia="Times New Roman" w:hAnsi="Verdana"/>
          <w:sz w:val="20"/>
          <w:szCs w:val="20"/>
          <w:lang w:val="es-ES_tradnl" w:eastAsia="es-ES"/>
        </w:rPr>
        <w:t xml:space="preserve">[…] </w:t>
      </w:r>
      <w:r w:rsidR="007A1771" w:rsidRPr="000A4162">
        <w:rPr>
          <w:rFonts w:ascii="Verdana" w:eastAsia="Times New Roman" w:hAnsi="Verdana"/>
          <w:sz w:val="20"/>
          <w:szCs w:val="20"/>
          <w:lang w:val="es-ES_tradnl" w:eastAsia="es-ES"/>
        </w:rPr>
        <w:lastRenderedPageBreak/>
        <w:t xml:space="preserve">Sentencia en su integridad, disponible por un período de un año, en un sitio </w:t>
      </w:r>
      <w:r w:rsidR="007A1771" w:rsidRPr="00903DE2">
        <w:rPr>
          <w:rFonts w:ascii="Verdana" w:eastAsia="Times New Roman" w:hAnsi="Verdana"/>
          <w:i/>
          <w:sz w:val="20"/>
          <w:szCs w:val="20"/>
          <w:lang w:val="es-ES_tradnl" w:eastAsia="es-ES"/>
        </w:rPr>
        <w:t>web</w:t>
      </w:r>
      <w:r w:rsidR="007A1771" w:rsidRPr="000A4162">
        <w:rPr>
          <w:rFonts w:ascii="Verdana" w:eastAsia="Times New Roman" w:hAnsi="Verdana"/>
          <w:sz w:val="20"/>
          <w:szCs w:val="20"/>
          <w:lang w:val="es-ES_tradnl" w:eastAsia="es-ES"/>
        </w:rPr>
        <w:t xml:space="preserve"> oficial del Estado</w:t>
      </w:r>
      <w:r w:rsidR="00DC04F3" w:rsidRPr="000A4162">
        <w:rPr>
          <w:rFonts w:ascii="Verdana" w:eastAsia="Times New Roman" w:hAnsi="Verdana"/>
          <w:sz w:val="20"/>
          <w:szCs w:val="20"/>
          <w:lang w:val="es-ES_tradnl" w:eastAsia="es-ES"/>
        </w:rPr>
        <w:t>”</w:t>
      </w:r>
      <w:r>
        <w:rPr>
          <w:rStyle w:val="Refdenotaalpie"/>
          <w:rFonts w:ascii="Verdana" w:eastAsia="Times New Roman" w:hAnsi="Verdana"/>
          <w:sz w:val="20"/>
          <w:szCs w:val="20"/>
          <w:lang w:val="es-ES_tradnl" w:eastAsia="es-ES"/>
        </w:rPr>
        <w:footnoteReference w:id="50"/>
      </w:r>
      <w:r>
        <w:rPr>
          <w:rFonts w:ascii="Verdana" w:eastAsia="Times New Roman" w:hAnsi="Verdana"/>
          <w:sz w:val="20"/>
          <w:szCs w:val="20"/>
          <w:lang w:val="es-ES_tradnl" w:eastAsia="es-ES"/>
        </w:rPr>
        <w:t>, y</w:t>
      </w:r>
    </w:p>
    <w:p w:rsidR="006F0AF8" w:rsidRDefault="000A4162" w:rsidP="00807889">
      <w:pPr>
        <w:numPr>
          <w:ilvl w:val="0"/>
          <w:numId w:val="26"/>
        </w:numPr>
        <w:spacing w:before="120" w:after="120" w:line="240" w:lineRule="auto"/>
        <w:ind w:right="9"/>
        <w:jc w:val="both"/>
        <w:rPr>
          <w:rFonts w:ascii="Verdana" w:eastAsia="Times New Roman" w:hAnsi="Verdana"/>
          <w:sz w:val="20"/>
          <w:szCs w:val="20"/>
          <w:lang w:val="es-ES_tradnl" w:eastAsia="es-ES"/>
        </w:rPr>
      </w:pPr>
      <w:r>
        <w:rPr>
          <w:rFonts w:ascii="Verdana" w:eastAsia="Times New Roman" w:hAnsi="Verdana"/>
          <w:sz w:val="20"/>
          <w:szCs w:val="20"/>
          <w:lang w:val="es-ES_tradnl" w:eastAsia="es-ES"/>
        </w:rPr>
        <w:t xml:space="preserve">“d[ar] </w:t>
      </w:r>
      <w:r w:rsidR="007A1771" w:rsidRPr="000A4162">
        <w:rPr>
          <w:rFonts w:ascii="Verdana" w:eastAsia="Times New Roman" w:hAnsi="Verdana"/>
          <w:sz w:val="20"/>
          <w:szCs w:val="20"/>
          <w:lang w:val="es-ES_tradnl" w:eastAsia="es-ES"/>
        </w:rPr>
        <w:t>publicidad, a través de una emisora radial de amplia cobertura en las Regiones Octava y Novena</w:t>
      </w:r>
      <w:r w:rsidR="00DC04F3" w:rsidRPr="000A4162">
        <w:rPr>
          <w:rFonts w:ascii="Verdana" w:eastAsia="Times New Roman" w:hAnsi="Verdana"/>
          <w:sz w:val="20"/>
          <w:szCs w:val="20"/>
          <w:lang w:val="es-ES_tradnl" w:eastAsia="es-ES"/>
        </w:rPr>
        <w:t xml:space="preserve"> [correspondientes, res</w:t>
      </w:r>
      <w:r w:rsidR="00CA2AFC" w:rsidRPr="000A4162">
        <w:rPr>
          <w:rFonts w:ascii="Verdana" w:eastAsia="Times New Roman" w:hAnsi="Verdana"/>
          <w:sz w:val="20"/>
          <w:szCs w:val="20"/>
          <w:lang w:val="es-ES_tradnl" w:eastAsia="es-ES"/>
        </w:rPr>
        <w:t>pectivamente, a la región del Bío Bí</w:t>
      </w:r>
      <w:r w:rsidR="00DC04F3" w:rsidRPr="000A4162">
        <w:rPr>
          <w:rFonts w:ascii="Verdana" w:eastAsia="Times New Roman" w:hAnsi="Verdana"/>
          <w:sz w:val="20"/>
          <w:szCs w:val="20"/>
          <w:lang w:val="es-ES_tradnl" w:eastAsia="es-ES"/>
        </w:rPr>
        <w:t>o y de la Araucanía]</w:t>
      </w:r>
      <w:r w:rsidR="007A1771" w:rsidRPr="000A4162">
        <w:rPr>
          <w:rFonts w:ascii="Verdana" w:eastAsia="Times New Roman" w:hAnsi="Verdana"/>
          <w:sz w:val="20"/>
          <w:szCs w:val="20"/>
          <w:lang w:val="es-ES_tradnl" w:eastAsia="es-ES"/>
        </w:rPr>
        <w:t>, al resumen oficial de la Sentencia, en español y en mapudungun</w:t>
      </w:r>
      <w:r w:rsidR="00CA2AFC" w:rsidRPr="000A4162">
        <w:rPr>
          <w:rFonts w:ascii="Verdana" w:eastAsia="Times New Roman" w:hAnsi="Verdana"/>
          <w:sz w:val="20"/>
          <w:szCs w:val="20"/>
          <w:lang w:val="es-ES_tradnl" w:eastAsia="es-ES"/>
        </w:rPr>
        <w:t xml:space="preserve">”. Al respecto, </w:t>
      </w:r>
      <w:r w:rsidR="005304AA">
        <w:rPr>
          <w:rFonts w:ascii="Verdana" w:eastAsia="Times New Roman" w:hAnsi="Verdana"/>
          <w:sz w:val="20"/>
          <w:szCs w:val="20"/>
          <w:lang w:val="es-ES_tradnl" w:eastAsia="es-ES"/>
        </w:rPr>
        <w:t xml:space="preserve">se </w:t>
      </w:r>
      <w:r w:rsidR="00CA2AFC" w:rsidRPr="000A4162">
        <w:rPr>
          <w:rFonts w:ascii="Verdana" w:eastAsia="Times New Roman" w:hAnsi="Verdana"/>
          <w:sz w:val="20"/>
          <w:szCs w:val="20"/>
          <w:lang w:val="es-ES_tradnl" w:eastAsia="es-ES"/>
        </w:rPr>
        <w:t>estableció que “[l]a transmisión radial deberá efectuarse</w:t>
      </w:r>
      <w:r w:rsidR="007A1771" w:rsidRPr="000A4162">
        <w:rPr>
          <w:rFonts w:ascii="Verdana" w:eastAsia="Times New Roman" w:hAnsi="Verdana"/>
          <w:sz w:val="20"/>
          <w:szCs w:val="20"/>
          <w:lang w:val="es-ES_tradnl" w:eastAsia="es-ES"/>
        </w:rPr>
        <w:t xml:space="preserve"> cada primer domingo de mes al menos en tres ocasiones</w:t>
      </w:r>
      <w:r w:rsidR="00CA2AFC" w:rsidRPr="000A4162">
        <w:rPr>
          <w:rFonts w:ascii="Verdana" w:eastAsia="Times New Roman" w:hAnsi="Verdana"/>
          <w:sz w:val="20"/>
          <w:szCs w:val="20"/>
          <w:lang w:val="es-ES_tradnl" w:eastAsia="es-ES"/>
        </w:rPr>
        <w:t xml:space="preserve"> [y] comunicar previamente a los intervinientes comunes, al menos con dos semanas de anticipación, la fecha, horario, emisora en que se efectuará tal difusión”</w:t>
      </w:r>
      <w:r w:rsidR="000F5B4B">
        <w:rPr>
          <w:rStyle w:val="Refdenotaalpie"/>
          <w:rFonts w:ascii="Verdana" w:eastAsia="Times New Roman" w:hAnsi="Verdana"/>
          <w:sz w:val="20"/>
          <w:szCs w:val="20"/>
          <w:lang w:val="es-ES_tradnl" w:eastAsia="es-ES"/>
        </w:rPr>
        <w:footnoteReference w:id="51"/>
      </w:r>
      <w:r w:rsidR="007A1771" w:rsidRPr="000A4162">
        <w:rPr>
          <w:rFonts w:ascii="Verdana" w:eastAsia="Times New Roman" w:hAnsi="Verdana"/>
          <w:sz w:val="20"/>
          <w:szCs w:val="20"/>
          <w:lang w:val="es-ES_tradnl" w:eastAsia="es-ES"/>
        </w:rPr>
        <w:t>.</w:t>
      </w:r>
    </w:p>
    <w:p w:rsidR="000B5118" w:rsidRPr="00903DE2" w:rsidRDefault="000B5118" w:rsidP="00807889">
      <w:pPr>
        <w:pStyle w:val="Listavistosa-nfasis1"/>
        <w:spacing w:before="120" w:after="120" w:line="240" w:lineRule="auto"/>
        <w:contextualSpacing w:val="0"/>
        <w:jc w:val="both"/>
        <w:rPr>
          <w:rFonts w:ascii="Verdana" w:hAnsi="Verdana"/>
          <w:i/>
          <w:sz w:val="20"/>
          <w:szCs w:val="20"/>
          <w:lang w:val="es-MX"/>
        </w:rPr>
      </w:pPr>
    </w:p>
    <w:p w:rsidR="006F0AF8" w:rsidRPr="007A1771" w:rsidRDefault="00E65D57" w:rsidP="00807889">
      <w:pPr>
        <w:pStyle w:val="Listavistosa-nfasis1"/>
        <w:spacing w:before="120" w:after="120" w:line="240" w:lineRule="auto"/>
        <w:contextualSpacing w:val="0"/>
        <w:jc w:val="both"/>
        <w:rPr>
          <w:rFonts w:ascii="Verdana" w:hAnsi="Verdana"/>
          <w:i/>
          <w:sz w:val="20"/>
          <w:szCs w:val="20"/>
          <w:lang w:val="es-MX"/>
        </w:rPr>
      </w:pPr>
      <w:r>
        <w:rPr>
          <w:rFonts w:ascii="Verdana" w:hAnsi="Verdana"/>
          <w:i/>
          <w:sz w:val="20"/>
          <w:szCs w:val="20"/>
          <w:lang w:val="es-MX"/>
        </w:rPr>
        <w:t>C.2</w:t>
      </w:r>
      <w:r w:rsidR="006F0AF8" w:rsidRPr="007A1771">
        <w:rPr>
          <w:rFonts w:ascii="Verdana" w:hAnsi="Verdana"/>
          <w:i/>
          <w:sz w:val="20"/>
          <w:szCs w:val="20"/>
          <w:lang w:val="es-MX"/>
        </w:rPr>
        <w:t>. Consideraciones de la Corte</w:t>
      </w:r>
    </w:p>
    <w:p w:rsidR="007A1771" w:rsidRPr="007A1771" w:rsidRDefault="000F5B4B"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Pr>
          <w:rFonts w:ascii="Verdana" w:hAnsi="Verdana"/>
          <w:sz w:val="20"/>
          <w:szCs w:val="20"/>
          <w:lang w:val="es-CR"/>
        </w:rPr>
        <w:t>C</w:t>
      </w:r>
      <w:r w:rsidR="007A1771" w:rsidRPr="007A1771">
        <w:rPr>
          <w:rFonts w:ascii="Verdana" w:hAnsi="Verdana"/>
          <w:sz w:val="20"/>
          <w:szCs w:val="20"/>
          <w:lang w:val="es-CR"/>
        </w:rPr>
        <w:t xml:space="preserve">on base en </w:t>
      </w:r>
      <w:r w:rsidR="00F713F6">
        <w:rPr>
          <w:rFonts w:ascii="Verdana" w:hAnsi="Verdana"/>
          <w:sz w:val="20"/>
          <w:szCs w:val="20"/>
          <w:lang w:val="es-CR"/>
        </w:rPr>
        <w:t>el</w:t>
      </w:r>
      <w:r w:rsidR="00F713F6" w:rsidRPr="007A1771">
        <w:rPr>
          <w:rFonts w:ascii="Verdana" w:hAnsi="Verdana"/>
          <w:sz w:val="20"/>
          <w:szCs w:val="20"/>
          <w:lang w:val="es-CR"/>
        </w:rPr>
        <w:t xml:space="preserve"> </w:t>
      </w:r>
      <w:r w:rsidR="007A1771" w:rsidRPr="007A1771">
        <w:rPr>
          <w:rFonts w:ascii="Verdana" w:hAnsi="Verdana"/>
          <w:sz w:val="20"/>
          <w:szCs w:val="20"/>
          <w:lang w:val="es-CR"/>
        </w:rPr>
        <w:t>comprobante aportado por el Estado</w:t>
      </w:r>
      <w:r w:rsidR="00317565" w:rsidRPr="007A1771">
        <w:rPr>
          <w:rStyle w:val="Refdenotaalpie"/>
          <w:rFonts w:ascii="Verdana" w:hAnsi="Verdana"/>
          <w:sz w:val="20"/>
          <w:szCs w:val="20"/>
        </w:rPr>
        <w:footnoteReference w:id="52"/>
      </w:r>
      <w:r w:rsidR="007509A8">
        <w:rPr>
          <w:rFonts w:ascii="Verdana" w:hAnsi="Verdana"/>
          <w:sz w:val="20"/>
          <w:szCs w:val="20"/>
          <w:lang w:val="es-CR"/>
        </w:rPr>
        <w:t>,</w:t>
      </w:r>
      <w:r w:rsidR="00F713F6">
        <w:rPr>
          <w:rFonts w:ascii="Verdana" w:hAnsi="Verdana"/>
          <w:sz w:val="20"/>
          <w:szCs w:val="20"/>
          <w:lang w:val="es-CR"/>
        </w:rPr>
        <w:t xml:space="preserve"> </w:t>
      </w:r>
      <w:r w:rsidR="00F713F6" w:rsidRPr="00A23FDB">
        <w:rPr>
          <w:rFonts w:ascii="Verdana" w:hAnsi="Verdana"/>
          <w:sz w:val="20"/>
          <w:szCs w:val="20"/>
          <w:lang w:val="es-CR"/>
        </w:rPr>
        <w:t>el cual no fue controvertido</w:t>
      </w:r>
      <w:r w:rsidR="009E2A1A" w:rsidRPr="00A23FDB">
        <w:rPr>
          <w:rStyle w:val="Refdenotaalpie"/>
          <w:rFonts w:ascii="Verdana" w:hAnsi="Verdana"/>
          <w:sz w:val="20"/>
          <w:szCs w:val="20"/>
          <w:lang w:val="es-CR"/>
        </w:rPr>
        <w:footnoteReference w:id="53"/>
      </w:r>
      <w:r>
        <w:rPr>
          <w:rFonts w:ascii="Verdana" w:hAnsi="Verdana"/>
          <w:sz w:val="20"/>
          <w:szCs w:val="20"/>
          <w:lang w:val="es-CR"/>
        </w:rPr>
        <w:t>, la Corte constata</w:t>
      </w:r>
      <w:r w:rsidR="007A1771" w:rsidRPr="007A1771">
        <w:rPr>
          <w:rFonts w:ascii="Verdana" w:hAnsi="Verdana"/>
          <w:sz w:val="20"/>
          <w:szCs w:val="20"/>
          <w:lang w:val="es-CR"/>
        </w:rPr>
        <w:t xml:space="preserve"> que, dentro del plazo otorgado en la Sentencia, el Estado cumplió con publicar, por una sola vez, el resumen oficial de la Sentencia en el </w:t>
      </w:r>
      <w:r w:rsidR="000B61D8">
        <w:rPr>
          <w:rFonts w:ascii="Verdana" w:hAnsi="Verdana"/>
          <w:sz w:val="20"/>
          <w:szCs w:val="20"/>
          <w:lang w:val="es-CR"/>
        </w:rPr>
        <w:t>D</w:t>
      </w:r>
      <w:r w:rsidR="007A1771" w:rsidRPr="007A1771">
        <w:rPr>
          <w:rFonts w:ascii="Verdana" w:hAnsi="Verdana"/>
          <w:sz w:val="20"/>
          <w:szCs w:val="20"/>
          <w:lang w:val="es-CR"/>
        </w:rPr>
        <w:t xml:space="preserve">iario </w:t>
      </w:r>
      <w:r w:rsidR="000B61D8">
        <w:rPr>
          <w:rFonts w:ascii="Verdana" w:hAnsi="Verdana"/>
          <w:sz w:val="20"/>
          <w:szCs w:val="20"/>
          <w:lang w:val="es-CR"/>
        </w:rPr>
        <w:t>O</w:t>
      </w:r>
      <w:r w:rsidR="007A1771" w:rsidRPr="007A1771">
        <w:rPr>
          <w:rFonts w:ascii="Verdana" w:hAnsi="Verdana"/>
          <w:sz w:val="20"/>
          <w:szCs w:val="20"/>
          <w:lang w:val="es-CR"/>
        </w:rPr>
        <w:t>ficial</w:t>
      </w:r>
      <w:r w:rsidR="000B61D8">
        <w:rPr>
          <w:rFonts w:ascii="Verdana" w:hAnsi="Verdana"/>
          <w:sz w:val="20"/>
          <w:szCs w:val="20"/>
          <w:lang w:val="es-CR"/>
        </w:rPr>
        <w:t xml:space="preserve"> de la República de Chile</w:t>
      </w:r>
      <w:r w:rsidR="007A1771" w:rsidRPr="007A1771">
        <w:rPr>
          <w:rFonts w:ascii="Verdana" w:hAnsi="Verdana"/>
          <w:sz w:val="20"/>
          <w:szCs w:val="20"/>
          <w:lang w:val="es-CR"/>
        </w:rPr>
        <w:t xml:space="preserve">. </w:t>
      </w:r>
    </w:p>
    <w:p w:rsidR="00470C1C" w:rsidRPr="00501D32" w:rsidRDefault="007509A8" w:rsidP="00857630">
      <w:pPr>
        <w:pStyle w:val="Prrafodelista"/>
        <w:widowControl/>
        <w:numPr>
          <w:ilvl w:val="0"/>
          <w:numId w:val="28"/>
        </w:numPr>
        <w:spacing w:before="120" w:after="120"/>
        <w:ind w:left="0" w:right="11" w:firstLine="0"/>
        <w:contextualSpacing w:val="0"/>
        <w:jc w:val="both"/>
        <w:rPr>
          <w:rFonts w:ascii="Verdana" w:hAnsi="Verdana"/>
          <w:sz w:val="16"/>
          <w:szCs w:val="16"/>
        </w:rPr>
      </w:pPr>
      <w:r>
        <w:rPr>
          <w:rFonts w:ascii="Verdana" w:hAnsi="Verdana"/>
          <w:lang w:val="es-CR"/>
        </w:rPr>
        <w:t>Respecto</w:t>
      </w:r>
      <w:r w:rsidR="000B61D8" w:rsidRPr="007A1771">
        <w:rPr>
          <w:rFonts w:ascii="Verdana" w:hAnsi="Verdana"/>
          <w:lang w:val="es-CR"/>
        </w:rPr>
        <w:t xml:space="preserve"> </w:t>
      </w:r>
      <w:r>
        <w:rPr>
          <w:rFonts w:ascii="Verdana" w:hAnsi="Verdana"/>
          <w:lang w:val="es-CR"/>
        </w:rPr>
        <w:t xml:space="preserve">de </w:t>
      </w:r>
      <w:r w:rsidR="007A1771" w:rsidRPr="007A1771">
        <w:rPr>
          <w:rFonts w:ascii="Verdana" w:hAnsi="Verdana"/>
          <w:lang w:val="es-CR"/>
        </w:rPr>
        <w:t>la publicación del resumen oficial de la Sentencia</w:t>
      </w:r>
      <w:r w:rsidR="000B61D8">
        <w:rPr>
          <w:rFonts w:ascii="Verdana" w:hAnsi="Verdana"/>
          <w:lang w:val="es-CR"/>
        </w:rPr>
        <w:t xml:space="preserve"> </w:t>
      </w:r>
      <w:r w:rsidR="007A1771" w:rsidRPr="007A1771">
        <w:rPr>
          <w:rFonts w:ascii="Verdana" w:hAnsi="Verdana"/>
          <w:lang w:val="es-CR"/>
        </w:rPr>
        <w:t xml:space="preserve">en un diario de amplia circulación nacional, </w:t>
      </w:r>
      <w:r w:rsidR="000B61D8">
        <w:rPr>
          <w:rFonts w:ascii="Verdana" w:hAnsi="Verdana"/>
          <w:lang w:val="es-CR"/>
        </w:rPr>
        <w:t xml:space="preserve">este Tribunal observa que </w:t>
      </w:r>
      <w:r w:rsidR="007A1771" w:rsidRPr="007A1771">
        <w:rPr>
          <w:rFonts w:ascii="Verdana" w:hAnsi="Verdana"/>
          <w:lang w:val="es-CR"/>
        </w:rPr>
        <w:t xml:space="preserve">Chile afirmó que </w:t>
      </w:r>
      <w:r w:rsidR="009363A3">
        <w:rPr>
          <w:rFonts w:ascii="Verdana" w:hAnsi="Verdana"/>
          <w:lang w:val="es-CR"/>
        </w:rPr>
        <w:t>dio cumplimiento a este aspecto de la Sentencia</w:t>
      </w:r>
      <w:r w:rsidR="00107FB2">
        <w:rPr>
          <w:rFonts w:ascii="Verdana" w:hAnsi="Verdana"/>
          <w:lang w:val="es-CR"/>
        </w:rPr>
        <w:t>,</w:t>
      </w:r>
      <w:r w:rsidR="009363A3">
        <w:rPr>
          <w:rFonts w:ascii="Verdana" w:hAnsi="Verdana"/>
          <w:lang w:val="es-CR"/>
        </w:rPr>
        <w:t xml:space="preserve"> ya que </w:t>
      </w:r>
      <w:r w:rsidR="007A1771" w:rsidRPr="007A1771">
        <w:rPr>
          <w:rFonts w:ascii="Verdana" w:hAnsi="Verdana"/>
          <w:lang w:val="es-CR"/>
        </w:rPr>
        <w:t>dicha publicación fue realizada en el “Diario La Tercera”, y ap</w:t>
      </w:r>
      <w:r w:rsidR="00D44B53">
        <w:rPr>
          <w:rFonts w:ascii="Verdana" w:hAnsi="Verdana"/>
          <w:lang w:val="es-CR"/>
        </w:rPr>
        <w:t>ortó el comprobante de la misma</w:t>
      </w:r>
      <w:r w:rsidR="000B61D8">
        <w:rPr>
          <w:rStyle w:val="Refdenotaalpie"/>
          <w:rFonts w:ascii="Verdana" w:hAnsi="Verdana"/>
          <w:lang w:val="es-CR"/>
        </w:rPr>
        <w:footnoteReference w:id="54"/>
      </w:r>
      <w:r w:rsidR="007A1771" w:rsidRPr="007A1771">
        <w:rPr>
          <w:rFonts w:ascii="Verdana" w:hAnsi="Verdana"/>
          <w:lang w:val="es-CR"/>
        </w:rPr>
        <w:t xml:space="preserve">. </w:t>
      </w:r>
      <w:r w:rsidR="0046230E">
        <w:rPr>
          <w:rFonts w:ascii="Verdana" w:hAnsi="Verdana"/>
          <w:lang w:val="es-CR"/>
        </w:rPr>
        <w:t xml:space="preserve">Solamente </w:t>
      </w:r>
      <w:r w:rsidR="0046230E" w:rsidRPr="00D35609">
        <w:rPr>
          <w:rFonts w:ascii="Verdana" w:hAnsi="Verdana"/>
          <w:i/>
          <w:lang w:val="es-CR"/>
        </w:rPr>
        <w:t>l</w:t>
      </w:r>
      <w:r w:rsidR="007A1771" w:rsidRPr="00D35609">
        <w:rPr>
          <w:rFonts w:ascii="Verdana" w:hAnsi="Verdana"/>
          <w:i/>
          <w:lang w:val="es-CR"/>
        </w:rPr>
        <w:t>a representante Myriam Reyes</w:t>
      </w:r>
      <w:r w:rsidR="007A1771" w:rsidRPr="007A1771">
        <w:rPr>
          <w:rFonts w:ascii="Verdana" w:hAnsi="Verdana"/>
          <w:lang w:val="es-CR"/>
        </w:rPr>
        <w:t xml:space="preserve"> presentó </w:t>
      </w:r>
      <w:r w:rsidR="00A23FDB">
        <w:rPr>
          <w:rFonts w:ascii="Verdana" w:hAnsi="Verdana"/>
          <w:lang w:val="es-CR"/>
        </w:rPr>
        <w:t>observaciones con respecto a esta publicación</w:t>
      </w:r>
      <w:r w:rsidR="009363A3">
        <w:rPr>
          <w:rFonts w:ascii="Verdana" w:hAnsi="Verdana"/>
          <w:lang w:val="es-CR"/>
        </w:rPr>
        <w:t>.</w:t>
      </w:r>
      <w:r w:rsidR="00A23FDB">
        <w:rPr>
          <w:rFonts w:ascii="Verdana" w:hAnsi="Verdana"/>
          <w:lang w:val="es-CR"/>
        </w:rPr>
        <w:t xml:space="preserve"> </w:t>
      </w:r>
      <w:r w:rsidR="009363A3">
        <w:rPr>
          <w:rFonts w:ascii="Verdana" w:hAnsi="Verdana"/>
          <w:lang w:val="es-CR"/>
        </w:rPr>
        <w:t>Planteó</w:t>
      </w:r>
      <w:r w:rsidR="00A23FDB">
        <w:rPr>
          <w:rFonts w:ascii="Verdana" w:hAnsi="Verdana"/>
          <w:lang w:val="es-CR"/>
        </w:rPr>
        <w:t xml:space="preserve"> </w:t>
      </w:r>
      <w:r w:rsidR="007A1771" w:rsidRPr="007A1771">
        <w:rPr>
          <w:rFonts w:ascii="Verdana" w:hAnsi="Verdana"/>
          <w:lang w:val="es-CR"/>
        </w:rPr>
        <w:t xml:space="preserve">una objeción </w:t>
      </w:r>
      <w:r w:rsidR="0046230E">
        <w:rPr>
          <w:rFonts w:ascii="Verdana" w:hAnsi="Verdana"/>
          <w:lang w:val="es-CR"/>
        </w:rPr>
        <w:t xml:space="preserve">en relación con </w:t>
      </w:r>
      <w:r w:rsidR="009363A3">
        <w:rPr>
          <w:rFonts w:ascii="Verdana" w:hAnsi="Verdana"/>
          <w:lang w:val="es-CR"/>
        </w:rPr>
        <w:t>la falta de legibilidad</w:t>
      </w:r>
      <w:r w:rsidR="0046230E">
        <w:rPr>
          <w:rFonts w:ascii="Verdana" w:hAnsi="Verdana"/>
          <w:lang w:val="es-CR"/>
        </w:rPr>
        <w:t xml:space="preserve"> </w:t>
      </w:r>
      <w:r w:rsidR="00CA695B">
        <w:rPr>
          <w:rFonts w:ascii="Verdana" w:hAnsi="Verdana"/>
          <w:lang w:val="es-CR"/>
        </w:rPr>
        <w:t>de la misma</w:t>
      </w:r>
      <w:r w:rsidR="00A23FDB">
        <w:rPr>
          <w:rFonts w:ascii="Verdana" w:hAnsi="Verdana"/>
          <w:lang w:val="es-CR"/>
        </w:rPr>
        <w:t xml:space="preserve">, por lo </w:t>
      </w:r>
      <w:r w:rsidR="009363A3">
        <w:rPr>
          <w:rFonts w:ascii="Verdana" w:hAnsi="Verdana"/>
          <w:lang w:val="es-CR"/>
        </w:rPr>
        <w:t>cual</w:t>
      </w:r>
      <w:r w:rsidR="00A23FDB">
        <w:rPr>
          <w:rFonts w:ascii="Verdana" w:hAnsi="Verdana"/>
          <w:lang w:val="es-CR"/>
        </w:rPr>
        <w:t xml:space="preserve"> solicitó que se ordenara al Estado realizar</w:t>
      </w:r>
      <w:r w:rsidR="00CA695B">
        <w:rPr>
          <w:rFonts w:ascii="Verdana" w:hAnsi="Verdana"/>
          <w:lang w:val="es-CR"/>
        </w:rPr>
        <w:t xml:space="preserve"> </w:t>
      </w:r>
      <w:r w:rsidR="00A23FDB">
        <w:rPr>
          <w:rFonts w:ascii="Verdana" w:hAnsi="Verdana"/>
          <w:lang w:val="es-CR"/>
        </w:rPr>
        <w:t xml:space="preserve">la </w:t>
      </w:r>
      <w:r w:rsidR="00CA695B">
        <w:rPr>
          <w:rFonts w:ascii="Verdana" w:hAnsi="Verdana"/>
          <w:lang w:val="es-CR"/>
        </w:rPr>
        <w:t xml:space="preserve">publicación </w:t>
      </w:r>
      <w:r w:rsidR="00A23FDB">
        <w:rPr>
          <w:rFonts w:ascii="Verdana" w:hAnsi="Verdana"/>
          <w:lang w:val="es-CR"/>
        </w:rPr>
        <w:t xml:space="preserve">nuevamente en un tamaño de letra </w:t>
      </w:r>
      <w:r w:rsidR="009F1666">
        <w:rPr>
          <w:rFonts w:ascii="Verdana" w:hAnsi="Verdana"/>
          <w:lang w:val="es-CR"/>
        </w:rPr>
        <w:t>más grande</w:t>
      </w:r>
      <w:r w:rsidR="0046230E">
        <w:rPr>
          <w:rStyle w:val="Refdenotaalpie"/>
          <w:rFonts w:ascii="Verdana" w:hAnsi="Verdana"/>
          <w:lang w:val="es-CR"/>
        </w:rPr>
        <w:footnoteReference w:id="55"/>
      </w:r>
      <w:r w:rsidR="00A23FDB">
        <w:rPr>
          <w:rFonts w:ascii="Verdana" w:hAnsi="Verdana"/>
          <w:lang w:val="es-CR"/>
        </w:rPr>
        <w:t>.</w:t>
      </w:r>
      <w:r w:rsidR="009363A3">
        <w:rPr>
          <w:rFonts w:ascii="Verdana" w:hAnsi="Verdana"/>
          <w:lang w:val="es-CR"/>
        </w:rPr>
        <w:t xml:space="preserve"> Chile no se refirió a esta objeción. </w:t>
      </w:r>
      <w:r w:rsidR="005B5AF3" w:rsidRPr="005B5AF3">
        <w:rPr>
          <w:rFonts w:ascii="Verdana" w:hAnsi="Verdana"/>
        </w:rPr>
        <w:t>Al</w:t>
      </w:r>
      <w:r w:rsidR="000F5B4B">
        <w:rPr>
          <w:rFonts w:ascii="Verdana" w:hAnsi="Verdana"/>
        </w:rPr>
        <w:t xml:space="preserve"> respecto, la Corte hace notar</w:t>
      </w:r>
      <w:r w:rsidR="005B5AF3" w:rsidRPr="005B5AF3">
        <w:rPr>
          <w:rFonts w:ascii="Verdana" w:hAnsi="Verdana"/>
        </w:rPr>
        <w:t>, en cuanto al comprobante aportado</w:t>
      </w:r>
      <w:r w:rsidR="00CA695B">
        <w:rPr>
          <w:rFonts w:ascii="Verdana" w:hAnsi="Verdana"/>
        </w:rPr>
        <w:t xml:space="preserve"> por el Estado</w:t>
      </w:r>
      <w:r w:rsidR="005B5AF3" w:rsidRPr="005B5AF3">
        <w:rPr>
          <w:rFonts w:ascii="Verdana" w:hAnsi="Verdana"/>
        </w:rPr>
        <w:t xml:space="preserve">, </w:t>
      </w:r>
      <w:r w:rsidR="000F5B4B">
        <w:rPr>
          <w:rFonts w:ascii="Verdana" w:hAnsi="Verdana"/>
        </w:rPr>
        <w:t xml:space="preserve">que </w:t>
      </w:r>
      <w:r w:rsidR="005B5AF3" w:rsidRPr="005B5AF3">
        <w:rPr>
          <w:rFonts w:ascii="Verdana" w:hAnsi="Verdana"/>
        </w:rPr>
        <w:t xml:space="preserve">no </w:t>
      </w:r>
      <w:r w:rsidR="00CA695B">
        <w:rPr>
          <w:rFonts w:ascii="Verdana" w:hAnsi="Verdana"/>
        </w:rPr>
        <w:t>es</w:t>
      </w:r>
      <w:r w:rsidR="005B5AF3" w:rsidRPr="005B5AF3">
        <w:rPr>
          <w:rFonts w:ascii="Verdana" w:hAnsi="Verdana"/>
        </w:rPr>
        <w:t xml:space="preserve"> un ejemplar original de la publicación, sino una </w:t>
      </w:r>
      <w:r w:rsidR="009363A3" w:rsidRPr="005B5AF3">
        <w:rPr>
          <w:rFonts w:ascii="Verdana" w:hAnsi="Verdana"/>
        </w:rPr>
        <w:t>copia de tamaño reducido de la página correspondiente a la misma</w:t>
      </w:r>
      <w:r w:rsidR="00470C1C" w:rsidRPr="005B5AF3">
        <w:rPr>
          <w:rFonts w:ascii="Verdana" w:hAnsi="Verdana"/>
        </w:rPr>
        <w:t>, con lo cual no se puede constatar el tamaño real de la publicación</w:t>
      </w:r>
      <w:r w:rsidR="009363A3" w:rsidRPr="005B5AF3">
        <w:rPr>
          <w:rFonts w:ascii="Verdana" w:hAnsi="Verdana"/>
        </w:rPr>
        <w:t xml:space="preserve">. </w:t>
      </w:r>
      <w:r w:rsidR="00470C1C" w:rsidRPr="005B5AF3">
        <w:rPr>
          <w:rFonts w:ascii="Verdana" w:hAnsi="Verdana"/>
        </w:rPr>
        <w:t xml:space="preserve">No obstante, </w:t>
      </w:r>
      <w:r w:rsidR="009363A3" w:rsidRPr="005B5AF3">
        <w:rPr>
          <w:rFonts w:ascii="Verdana" w:hAnsi="Verdana"/>
        </w:rPr>
        <w:t>la</w:t>
      </w:r>
      <w:r w:rsidR="00470C1C" w:rsidRPr="005B5AF3">
        <w:rPr>
          <w:rFonts w:ascii="Verdana" w:hAnsi="Verdana"/>
        </w:rPr>
        <w:t xml:space="preserve"> referida </w:t>
      </w:r>
      <w:r w:rsidR="009363A3" w:rsidRPr="005B5AF3">
        <w:rPr>
          <w:rFonts w:ascii="Verdana" w:hAnsi="Verdana"/>
        </w:rPr>
        <w:t xml:space="preserve">representante </w:t>
      </w:r>
      <w:r w:rsidR="00D35609" w:rsidRPr="005B5AF3">
        <w:rPr>
          <w:rFonts w:ascii="Verdana" w:hAnsi="Verdana"/>
        </w:rPr>
        <w:t xml:space="preserve">incluso </w:t>
      </w:r>
      <w:r w:rsidR="009363A3" w:rsidRPr="005B5AF3">
        <w:rPr>
          <w:rFonts w:ascii="Verdana" w:hAnsi="Verdana"/>
        </w:rPr>
        <w:t>reconoció que el tamaño de letra de la publicación</w:t>
      </w:r>
      <w:r w:rsidR="00CA695B">
        <w:rPr>
          <w:rFonts w:ascii="Verdana" w:hAnsi="Verdana"/>
        </w:rPr>
        <w:t xml:space="preserve"> original</w:t>
      </w:r>
      <w:r w:rsidR="009363A3" w:rsidRPr="005B5AF3">
        <w:rPr>
          <w:rFonts w:ascii="Verdana" w:hAnsi="Verdana"/>
        </w:rPr>
        <w:t xml:space="preserve"> no es </w:t>
      </w:r>
      <w:r w:rsidR="000F5B4B">
        <w:rPr>
          <w:rFonts w:ascii="Verdana" w:hAnsi="Verdana"/>
        </w:rPr>
        <w:t>el</w:t>
      </w:r>
      <w:r w:rsidR="009363A3" w:rsidRPr="005B5AF3">
        <w:rPr>
          <w:rFonts w:ascii="Verdana" w:hAnsi="Verdana"/>
        </w:rPr>
        <w:t xml:space="preserve"> del comprobante aportado por el Estado, </w:t>
      </w:r>
      <w:r w:rsidR="00470C1C" w:rsidRPr="005B5AF3">
        <w:rPr>
          <w:rFonts w:ascii="Verdana" w:hAnsi="Verdana"/>
        </w:rPr>
        <w:t>“</w:t>
      </w:r>
      <w:r w:rsidR="00470C1C" w:rsidRPr="005B5AF3">
        <w:rPr>
          <w:rFonts w:ascii="Verdana" w:hAnsi="Verdana"/>
          <w:lang w:val="es-CR"/>
        </w:rPr>
        <w:t>sino un tamaño un poco mayor”.</w:t>
      </w:r>
      <w:r w:rsidR="00D44B53" w:rsidRPr="005B5AF3">
        <w:rPr>
          <w:rFonts w:ascii="Verdana" w:hAnsi="Verdana"/>
        </w:rPr>
        <w:t xml:space="preserve"> </w:t>
      </w:r>
      <w:r w:rsidR="00470C1C" w:rsidRPr="005B5AF3">
        <w:rPr>
          <w:rFonts w:ascii="Verdana" w:hAnsi="Verdana"/>
          <w:lang w:val="es-CR"/>
        </w:rPr>
        <w:t>Con base en lo expuesto</w:t>
      </w:r>
      <w:r w:rsidR="00D35609" w:rsidRPr="005B5AF3">
        <w:rPr>
          <w:rFonts w:ascii="Verdana" w:hAnsi="Verdana"/>
          <w:lang w:val="es-CR"/>
        </w:rPr>
        <w:t xml:space="preserve">, el Tribunal nota que </w:t>
      </w:r>
      <w:r w:rsidR="00470C1C" w:rsidRPr="005B5AF3">
        <w:rPr>
          <w:rFonts w:ascii="Verdana" w:hAnsi="Verdana"/>
          <w:lang w:val="es-CR"/>
        </w:rPr>
        <w:t xml:space="preserve">la letra utilizada para la publicación del resumen oficial de la Sentencia sí </w:t>
      </w:r>
      <w:r w:rsidR="00D35609" w:rsidRPr="005B5AF3">
        <w:rPr>
          <w:rFonts w:ascii="Verdana" w:hAnsi="Verdana"/>
          <w:lang w:val="es-CR"/>
        </w:rPr>
        <w:t>permitía</w:t>
      </w:r>
      <w:r w:rsidR="00470C1C" w:rsidRPr="005B5AF3">
        <w:rPr>
          <w:rFonts w:ascii="Verdana" w:hAnsi="Verdana"/>
          <w:lang w:val="es-CR"/>
        </w:rPr>
        <w:t xml:space="preserve"> realizar una lectura del </w:t>
      </w:r>
      <w:r w:rsidR="00D35609" w:rsidRPr="005B5AF3">
        <w:rPr>
          <w:rFonts w:ascii="Verdana" w:hAnsi="Verdana"/>
          <w:lang w:val="es-CR"/>
        </w:rPr>
        <w:t>mismo</w:t>
      </w:r>
      <w:r w:rsidR="00470C1C" w:rsidRPr="005B5AF3">
        <w:rPr>
          <w:rFonts w:ascii="Verdana" w:hAnsi="Verdana"/>
          <w:lang w:val="es-CR"/>
        </w:rPr>
        <w:t>. Por tanto,</w:t>
      </w:r>
      <w:r w:rsidR="005B5AF3" w:rsidRPr="005B5AF3">
        <w:rPr>
          <w:rFonts w:ascii="Verdana" w:hAnsi="Verdana"/>
          <w:lang w:val="es-CR"/>
        </w:rPr>
        <w:t xml:space="preserve"> considerando lo anterior y que en la Sentencia no se realizó ninguna disposición respecto al carácter legible</w:t>
      </w:r>
      <w:r w:rsidR="000F5B4B">
        <w:rPr>
          <w:rFonts w:ascii="Verdana" w:hAnsi="Verdana"/>
          <w:lang w:val="es-CR"/>
        </w:rPr>
        <w:t xml:space="preserve"> o tamaño de letra en que debía realizarse</w:t>
      </w:r>
      <w:r w:rsidR="005B5AF3" w:rsidRPr="005B5AF3">
        <w:rPr>
          <w:rFonts w:ascii="Verdana" w:hAnsi="Verdana"/>
          <w:lang w:val="es-CR"/>
        </w:rPr>
        <w:t xml:space="preserve"> la publicación,</w:t>
      </w:r>
      <w:r w:rsidR="00470C1C" w:rsidRPr="005B5AF3">
        <w:rPr>
          <w:rFonts w:ascii="Verdana" w:hAnsi="Verdana"/>
          <w:lang w:val="es-CR"/>
        </w:rPr>
        <w:t xml:space="preserve"> no </w:t>
      </w:r>
      <w:r w:rsidR="005B5AF3">
        <w:rPr>
          <w:rFonts w:ascii="Verdana" w:hAnsi="Verdana"/>
          <w:lang w:val="es-CR"/>
        </w:rPr>
        <w:t xml:space="preserve">se </w:t>
      </w:r>
      <w:r w:rsidR="00470C1C" w:rsidRPr="005B5AF3">
        <w:rPr>
          <w:rFonts w:ascii="Verdana" w:hAnsi="Verdana"/>
          <w:lang w:val="es-CR"/>
        </w:rPr>
        <w:t xml:space="preserve">considera pertinente disponer que el Estado </w:t>
      </w:r>
      <w:r w:rsidR="00022366">
        <w:rPr>
          <w:rFonts w:ascii="Verdana" w:hAnsi="Verdana"/>
          <w:lang w:val="es-CR"/>
        </w:rPr>
        <w:t xml:space="preserve">la </w:t>
      </w:r>
      <w:r w:rsidR="00470C1C" w:rsidRPr="005B5AF3">
        <w:rPr>
          <w:rFonts w:ascii="Verdana" w:hAnsi="Verdana"/>
          <w:lang w:val="es-CR"/>
        </w:rPr>
        <w:t>realice nueva</w:t>
      </w:r>
      <w:r w:rsidR="00022366">
        <w:rPr>
          <w:rFonts w:ascii="Verdana" w:hAnsi="Verdana"/>
          <w:lang w:val="es-CR"/>
        </w:rPr>
        <w:t>mente</w:t>
      </w:r>
      <w:r w:rsidR="005B5AF3">
        <w:rPr>
          <w:rStyle w:val="Refdenotaalpie"/>
          <w:rFonts w:ascii="Verdana" w:hAnsi="Verdana"/>
          <w:lang w:val="es-CR"/>
        </w:rPr>
        <w:footnoteReference w:id="56"/>
      </w:r>
      <w:r w:rsidR="005B5AF3" w:rsidRPr="005B5AF3">
        <w:rPr>
          <w:rFonts w:ascii="Verdana" w:hAnsi="Verdana"/>
          <w:lang w:val="es-CR"/>
        </w:rPr>
        <w:t>.</w:t>
      </w:r>
      <w:r w:rsidR="007A3149">
        <w:rPr>
          <w:rFonts w:ascii="Verdana" w:hAnsi="Verdana"/>
          <w:lang w:val="es-CR"/>
        </w:rPr>
        <w:t xml:space="preserve"> </w:t>
      </w:r>
    </w:p>
    <w:p w:rsidR="00BC4B37" w:rsidRDefault="00BC4B37" w:rsidP="00857630">
      <w:pPr>
        <w:pStyle w:val="Cuerpodeltexto190"/>
        <w:numPr>
          <w:ilvl w:val="0"/>
          <w:numId w:val="28"/>
        </w:numPr>
        <w:shd w:val="clear" w:color="auto" w:fill="auto"/>
        <w:spacing w:before="120" w:after="120" w:line="240" w:lineRule="auto"/>
        <w:ind w:left="0" w:right="20" w:firstLine="0"/>
        <w:rPr>
          <w:rFonts w:ascii="Verdana" w:hAnsi="Verdana"/>
          <w:sz w:val="20"/>
          <w:szCs w:val="20"/>
        </w:rPr>
      </w:pPr>
      <w:r>
        <w:rPr>
          <w:rFonts w:ascii="Verdana" w:hAnsi="Verdana"/>
          <w:sz w:val="20"/>
          <w:szCs w:val="20"/>
        </w:rPr>
        <w:t>Adicionalmente, el Tribunal constata que el Estado</w:t>
      </w:r>
      <w:r w:rsidRPr="009E16E1">
        <w:rPr>
          <w:rFonts w:ascii="Verdana" w:hAnsi="Verdana"/>
          <w:sz w:val="20"/>
          <w:szCs w:val="20"/>
        </w:rPr>
        <w:t xml:space="preserve"> cumplió con publicar</w:t>
      </w:r>
      <w:r>
        <w:rPr>
          <w:rFonts w:ascii="Verdana" w:hAnsi="Verdana"/>
          <w:sz w:val="20"/>
          <w:szCs w:val="20"/>
        </w:rPr>
        <w:t>,</w:t>
      </w:r>
      <w:r w:rsidRPr="009E16E1">
        <w:rPr>
          <w:rFonts w:ascii="Verdana" w:hAnsi="Verdana"/>
          <w:sz w:val="20"/>
          <w:szCs w:val="20"/>
        </w:rPr>
        <w:t xml:space="preserve"> de manera íntegra</w:t>
      </w:r>
      <w:r>
        <w:rPr>
          <w:rFonts w:ascii="Verdana" w:hAnsi="Verdana"/>
          <w:sz w:val="20"/>
          <w:szCs w:val="20"/>
        </w:rPr>
        <w:t>,</w:t>
      </w:r>
      <w:r w:rsidRPr="009E16E1">
        <w:rPr>
          <w:rFonts w:ascii="Verdana" w:hAnsi="Verdana"/>
          <w:sz w:val="20"/>
          <w:szCs w:val="20"/>
        </w:rPr>
        <w:t xml:space="preserve"> la Sentencia </w:t>
      </w:r>
      <w:r>
        <w:rPr>
          <w:rFonts w:ascii="Verdana" w:hAnsi="Verdana"/>
          <w:sz w:val="20"/>
          <w:szCs w:val="20"/>
        </w:rPr>
        <w:t xml:space="preserve">del </w:t>
      </w:r>
      <w:r w:rsidR="00253374">
        <w:rPr>
          <w:rFonts w:ascii="Verdana" w:hAnsi="Verdana"/>
          <w:sz w:val="20"/>
          <w:szCs w:val="20"/>
        </w:rPr>
        <w:t xml:space="preserve">presente </w:t>
      </w:r>
      <w:r>
        <w:rPr>
          <w:rFonts w:ascii="Verdana" w:hAnsi="Verdana"/>
          <w:sz w:val="20"/>
          <w:szCs w:val="20"/>
        </w:rPr>
        <w:t xml:space="preserve">caso </w:t>
      </w:r>
      <w:r w:rsidRPr="009E16E1">
        <w:rPr>
          <w:rFonts w:ascii="Verdana" w:hAnsi="Verdana"/>
          <w:sz w:val="20"/>
          <w:szCs w:val="20"/>
        </w:rPr>
        <w:t>en un siti</w:t>
      </w:r>
      <w:r>
        <w:rPr>
          <w:rFonts w:ascii="Verdana" w:hAnsi="Verdana"/>
          <w:sz w:val="20"/>
          <w:szCs w:val="20"/>
        </w:rPr>
        <w:t xml:space="preserve">o </w:t>
      </w:r>
      <w:r w:rsidRPr="00915A0B">
        <w:rPr>
          <w:rFonts w:ascii="Verdana" w:hAnsi="Verdana"/>
          <w:i/>
          <w:sz w:val="20"/>
          <w:szCs w:val="20"/>
        </w:rPr>
        <w:t>web</w:t>
      </w:r>
      <w:r>
        <w:rPr>
          <w:rFonts w:ascii="Verdana" w:hAnsi="Verdana"/>
          <w:sz w:val="20"/>
          <w:szCs w:val="20"/>
        </w:rPr>
        <w:t xml:space="preserve"> oficial del </w:t>
      </w:r>
      <w:r w:rsidRPr="00847C96">
        <w:rPr>
          <w:rFonts w:ascii="Verdana" w:hAnsi="Verdana"/>
          <w:sz w:val="20"/>
          <w:szCs w:val="20"/>
        </w:rPr>
        <w:t>Estado</w:t>
      </w:r>
      <w:r w:rsidRPr="009E16E1">
        <w:rPr>
          <w:rFonts w:ascii="Verdana" w:hAnsi="Verdana"/>
          <w:sz w:val="20"/>
          <w:szCs w:val="20"/>
        </w:rPr>
        <w:t xml:space="preserve"> por el período de un </w:t>
      </w:r>
      <w:r w:rsidRPr="009E16E1">
        <w:rPr>
          <w:rFonts w:ascii="Verdana" w:hAnsi="Verdana"/>
          <w:sz w:val="20"/>
          <w:szCs w:val="20"/>
        </w:rPr>
        <w:lastRenderedPageBreak/>
        <w:t xml:space="preserve">año, efectuando dicha publicación en </w:t>
      </w:r>
      <w:r>
        <w:rPr>
          <w:rFonts w:ascii="Verdana" w:hAnsi="Verdana"/>
          <w:sz w:val="20"/>
          <w:szCs w:val="20"/>
        </w:rPr>
        <w:t>los</w:t>
      </w:r>
      <w:r w:rsidRPr="009E16E1">
        <w:rPr>
          <w:rFonts w:ascii="Verdana" w:hAnsi="Verdana"/>
          <w:sz w:val="20"/>
          <w:szCs w:val="20"/>
        </w:rPr>
        <w:t xml:space="preserve"> sitio</w:t>
      </w:r>
      <w:r>
        <w:rPr>
          <w:rFonts w:ascii="Verdana" w:hAnsi="Verdana"/>
          <w:sz w:val="20"/>
          <w:szCs w:val="20"/>
        </w:rPr>
        <w:t>s</w:t>
      </w:r>
      <w:r w:rsidRPr="009E16E1">
        <w:rPr>
          <w:rFonts w:ascii="Verdana" w:hAnsi="Verdana"/>
          <w:sz w:val="20"/>
          <w:szCs w:val="20"/>
        </w:rPr>
        <w:t xml:space="preserve"> </w:t>
      </w:r>
      <w:r w:rsidRPr="00915A0B">
        <w:rPr>
          <w:rFonts w:ascii="Verdana" w:hAnsi="Verdana"/>
          <w:i/>
          <w:sz w:val="20"/>
          <w:szCs w:val="20"/>
        </w:rPr>
        <w:t>web</w:t>
      </w:r>
      <w:r w:rsidR="001134EC">
        <w:rPr>
          <w:rFonts w:ascii="Verdana" w:hAnsi="Verdana"/>
          <w:sz w:val="20"/>
          <w:szCs w:val="20"/>
        </w:rPr>
        <w:t xml:space="preserve"> oficiales</w:t>
      </w:r>
      <w:r w:rsidRPr="009E16E1">
        <w:rPr>
          <w:rFonts w:ascii="Verdana" w:hAnsi="Verdana"/>
          <w:sz w:val="20"/>
          <w:szCs w:val="20"/>
        </w:rPr>
        <w:t xml:space="preserve"> del </w:t>
      </w:r>
      <w:r>
        <w:rPr>
          <w:rFonts w:ascii="Verdana" w:hAnsi="Verdana"/>
          <w:sz w:val="20"/>
          <w:szCs w:val="20"/>
        </w:rPr>
        <w:t>Ministerio de Justicia</w:t>
      </w:r>
      <w:r w:rsidR="001134EC">
        <w:rPr>
          <w:rFonts w:ascii="Verdana" w:hAnsi="Verdana"/>
          <w:sz w:val="20"/>
          <w:szCs w:val="20"/>
        </w:rPr>
        <w:t>,</w:t>
      </w:r>
      <w:r>
        <w:rPr>
          <w:rFonts w:ascii="Verdana" w:hAnsi="Verdana"/>
          <w:sz w:val="20"/>
          <w:szCs w:val="20"/>
        </w:rPr>
        <w:t xml:space="preserve"> el Ministerio de Relaciones Exteriores</w:t>
      </w:r>
      <w:r w:rsidR="001134EC">
        <w:rPr>
          <w:rFonts w:ascii="Verdana" w:hAnsi="Verdana"/>
          <w:sz w:val="20"/>
          <w:szCs w:val="20"/>
        </w:rPr>
        <w:t xml:space="preserve"> y el Ministerio de Desarrollo Social</w:t>
      </w:r>
      <w:r w:rsidR="004C1435">
        <w:rPr>
          <w:rFonts w:ascii="Verdana" w:hAnsi="Verdana"/>
          <w:sz w:val="20"/>
          <w:szCs w:val="20"/>
        </w:rPr>
        <w:t xml:space="preserve"> a partir del 2015 y </w:t>
      </w:r>
      <w:r w:rsidR="00253374">
        <w:rPr>
          <w:rFonts w:ascii="Verdana" w:hAnsi="Verdana"/>
          <w:sz w:val="20"/>
          <w:szCs w:val="20"/>
        </w:rPr>
        <w:t xml:space="preserve">que </w:t>
      </w:r>
      <w:r w:rsidR="004C1435">
        <w:rPr>
          <w:rFonts w:ascii="Verdana" w:hAnsi="Verdana"/>
          <w:sz w:val="20"/>
          <w:szCs w:val="20"/>
        </w:rPr>
        <w:t>continúan disponibles</w:t>
      </w:r>
      <w:r w:rsidRPr="00847C96">
        <w:rPr>
          <w:rStyle w:val="Refdenotaalpie"/>
          <w:rFonts w:ascii="Verdana" w:hAnsi="Verdana"/>
          <w:szCs w:val="20"/>
        </w:rPr>
        <w:footnoteReference w:id="57"/>
      </w:r>
      <w:r>
        <w:rPr>
          <w:rFonts w:ascii="Verdana" w:hAnsi="Verdana"/>
          <w:sz w:val="20"/>
          <w:szCs w:val="20"/>
        </w:rPr>
        <w:t>.</w:t>
      </w:r>
    </w:p>
    <w:p w:rsidR="007A1771" w:rsidRPr="009564AA" w:rsidRDefault="000F5B4B" w:rsidP="00857630">
      <w:pPr>
        <w:pStyle w:val="Listavistosa-nfasis1"/>
        <w:numPr>
          <w:ilvl w:val="0"/>
          <w:numId w:val="28"/>
        </w:numPr>
        <w:spacing w:before="120" w:after="120" w:line="240" w:lineRule="auto"/>
        <w:ind w:left="0" w:right="11" w:firstLine="0"/>
        <w:contextualSpacing w:val="0"/>
        <w:jc w:val="both"/>
        <w:rPr>
          <w:rFonts w:ascii="Verdana" w:hAnsi="Verdana"/>
          <w:sz w:val="16"/>
          <w:szCs w:val="16"/>
          <w:lang w:val="es-CR"/>
        </w:rPr>
      </w:pPr>
      <w:r>
        <w:rPr>
          <w:rFonts w:ascii="Verdana" w:hAnsi="Verdana"/>
          <w:color w:val="000000"/>
          <w:sz w:val="20"/>
          <w:szCs w:val="20"/>
          <w:lang w:val="es-CR"/>
        </w:rPr>
        <w:t>En cuanto a la obligación estatal de</w:t>
      </w:r>
      <w:r w:rsidR="007A1771" w:rsidRPr="007A1771">
        <w:rPr>
          <w:rFonts w:ascii="Verdana" w:hAnsi="Verdana"/>
          <w:color w:val="000000"/>
          <w:sz w:val="20"/>
          <w:szCs w:val="20"/>
          <w:lang w:val="es-CR"/>
        </w:rPr>
        <w:t xml:space="preserve"> </w:t>
      </w:r>
      <w:r w:rsidR="00BC4B37">
        <w:rPr>
          <w:rFonts w:ascii="Verdana" w:hAnsi="Verdana"/>
          <w:color w:val="000000"/>
          <w:sz w:val="20"/>
          <w:szCs w:val="20"/>
          <w:lang w:val="es-CR"/>
        </w:rPr>
        <w:t>“d[ar] publicidad</w:t>
      </w:r>
      <w:r w:rsidR="00645862">
        <w:rPr>
          <w:rFonts w:ascii="Verdana" w:hAnsi="Verdana"/>
          <w:color w:val="000000"/>
          <w:sz w:val="20"/>
          <w:szCs w:val="20"/>
          <w:lang w:val="es-CR"/>
        </w:rPr>
        <w:t>,</w:t>
      </w:r>
      <w:r w:rsidR="00BC4B37">
        <w:rPr>
          <w:rFonts w:ascii="Verdana" w:hAnsi="Verdana"/>
          <w:color w:val="000000"/>
          <w:sz w:val="20"/>
          <w:szCs w:val="20"/>
          <w:lang w:val="es-CR"/>
        </w:rPr>
        <w:t xml:space="preserve"> </w:t>
      </w:r>
      <w:r w:rsidR="00BC4B37" w:rsidRPr="007A1771">
        <w:rPr>
          <w:rFonts w:ascii="Verdana" w:eastAsia="Times New Roman" w:hAnsi="Verdana"/>
          <w:sz w:val="20"/>
          <w:szCs w:val="20"/>
          <w:lang w:val="es-ES_tradnl" w:eastAsia="es-ES"/>
        </w:rPr>
        <w:t>a través de una emisora radial</w:t>
      </w:r>
      <w:r w:rsidR="00645862">
        <w:rPr>
          <w:rFonts w:ascii="Verdana" w:eastAsia="Times New Roman" w:hAnsi="Verdana"/>
          <w:sz w:val="20"/>
          <w:szCs w:val="20"/>
          <w:lang w:val="es-ES_tradnl" w:eastAsia="es-ES"/>
        </w:rPr>
        <w:t>,</w:t>
      </w:r>
      <w:r w:rsidR="00BC4B37">
        <w:rPr>
          <w:rFonts w:ascii="Verdana" w:eastAsia="Times New Roman" w:hAnsi="Verdana"/>
          <w:sz w:val="20"/>
          <w:szCs w:val="20"/>
          <w:lang w:val="es-ES_tradnl" w:eastAsia="es-ES"/>
        </w:rPr>
        <w:t xml:space="preserve"> [al]</w:t>
      </w:r>
      <w:r w:rsidR="007A1771" w:rsidRPr="007A1771">
        <w:rPr>
          <w:rFonts w:ascii="Verdana" w:hAnsi="Verdana"/>
          <w:color w:val="000000"/>
          <w:sz w:val="20"/>
          <w:szCs w:val="20"/>
          <w:lang w:val="es-CR"/>
        </w:rPr>
        <w:t xml:space="preserve"> resumen oficial de la Sentencia</w:t>
      </w:r>
      <w:r w:rsidR="00BC4B37">
        <w:rPr>
          <w:rFonts w:ascii="Verdana" w:hAnsi="Verdana"/>
          <w:color w:val="000000"/>
          <w:sz w:val="20"/>
          <w:szCs w:val="20"/>
          <w:lang w:val="es-CR"/>
        </w:rPr>
        <w:t>” (</w:t>
      </w:r>
      <w:r w:rsidR="00BC4B37" w:rsidRPr="00184C35">
        <w:rPr>
          <w:rFonts w:ascii="Verdana" w:hAnsi="Verdana"/>
          <w:i/>
          <w:color w:val="000000"/>
          <w:sz w:val="20"/>
          <w:szCs w:val="20"/>
          <w:lang w:val="es-CR"/>
        </w:rPr>
        <w:t xml:space="preserve">supra </w:t>
      </w:r>
      <w:r w:rsidR="00BC4B37">
        <w:rPr>
          <w:rFonts w:ascii="Verdana" w:hAnsi="Verdana"/>
          <w:color w:val="000000"/>
          <w:sz w:val="20"/>
          <w:szCs w:val="20"/>
          <w:lang w:val="es-CR"/>
        </w:rPr>
        <w:t xml:space="preserve">Considerando </w:t>
      </w:r>
      <w:r w:rsidR="00D36F3B">
        <w:rPr>
          <w:rFonts w:ascii="Verdana" w:hAnsi="Verdana"/>
          <w:color w:val="000000"/>
          <w:sz w:val="20"/>
          <w:szCs w:val="20"/>
          <w:lang w:val="es-CR"/>
        </w:rPr>
        <w:t>28.ii</w:t>
      </w:r>
      <w:r w:rsidR="00B90714">
        <w:rPr>
          <w:rFonts w:ascii="Verdana" w:hAnsi="Verdana"/>
          <w:color w:val="000000"/>
          <w:sz w:val="20"/>
          <w:szCs w:val="20"/>
          <w:lang w:val="es-CR"/>
        </w:rPr>
        <w:t>.</w:t>
      </w:r>
      <w:r w:rsidR="00D36F3B">
        <w:rPr>
          <w:rFonts w:ascii="Verdana" w:hAnsi="Verdana"/>
          <w:color w:val="000000"/>
          <w:sz w:val="20"/>
          <w:szCs w:val="20"/>
          <w:lang w:val="es-CR"/>
        </w:rPr>
        <w:t>)</w:t>
      </w:r>
      <w:r w:rsidR="00D36F3B" w:rsidRPr="007A1771">
        <w:rPr>
          <w:rFonts w:ascii="Verdana" w:hAnsi="Verdana"/>
          <w:color w:val="000000"/>
          <w:sz w:val="20"/>
          <w:szCs w:val="20"/>
          <w:lang w:val="es-CR"/>
        </w:rPr>
        <w:t xml:space="preserve">, </w:t>
      </w:r>
      <w:r w:rsidR="007A1771" w:rsidRPr="007A1771">
        <w:rPr>
          <w:rFonts w:ascii="Verdana" w:hAnsi="Verdana"/>
          <w:color w:val="000000"/>
          <w:sz w:val="20"/>
          <w:szCs w:val="20"/>
          <w:lang w:val="es-CR"/>
        </w:rPr>
        <w:t xml:space="preserve">el </w:t>
      </w:r>
      <w:r w:rsidR="007A1771" w:rsidRPr="00903DE2">
        <w:rPr>
          <w:rFonts w:ascii="Verdana" w:hAnsi="Verdana"/>
          <w:i/>
          <w:color w:val="000000"/>
          <w:sz w:val="20"/>
          <w:szCs w:val="20"/>
          <w:lang w:val="es-CR"/>
        </w:rPr>
        <w:t>Estado</w:t>
      </w:r>
      <w:r w:rsidR="00184C35">
        <w:rPr>
          <w:rFonts w:ascii="Verdana" w:hAnsi="Verdana"/>
          <w:color w:val="000000"/>
          <w:sz w:val="20"/>
          <w:szCs w:val="20"/>
          <w:lang w:val="es-CR"/>
        </w:rPr>
        <w:t xml:space="preserve"> consideró</w:t>
      </w:r>
      <w:r w:rsidR="00D35609">
        <w:rPr>
          <w:rFonts w:ascii="Verdana" w:hAnsi="Verdana"/>
          <w:color w:val="000000"/>
          <w:sz w:val="20"/>
          <w:szCs w:val="20"/>
          <w:lang w:val="es-CR"/>
        </w:rPr>
        <w:t xml:space="preserve"> que ha dado cumplimiento a lo ordenado por la Corte. </w:t>
      </w:r>
      <w:r>
        <w:rPr>
          <w:rFonts w:ascii="Verdana" w:hAnsi="Verdana"/>
          <w:color w:val="000000"/>
          <w:sz w:val="20"/>
          <w:szCs w:val="20"/>
          <w:lang w:val="es-CR"/>
        </w:rPr>
        <w:t>Al respecto, i</w:t>
      </w:r>
      <w:r w:rsidR="007A1771" w:rsidRPr="007A1771">
        <w:rPr>
          <w:rFonts w:ascii="Verdana" w:hAnsi="Verdana"/>
          <w:color w:val="000000"/>
          <w:sz w:val="20"/>
          <w:szCs w:val="20"/>
          <w:lang w:val="es-CR"/>
        </w:rPr>
        <w:t xml:space="preserve">nformó sobre la difusión de un </w:t>
      </w:r>
      <w:r w:rsidR="00FB53E6">
        <w:rPr>
          <w:rFonts w:ascii="Verdana" w:hAnsi="Verdana"/>
          <w:color w:val="000000"/>
          <w:sz w:val="20"/>
          <w:szCs w:val="20"/>
          <w:lang w:val="es-CR"/>
        </w:rPr>
        <w:t>“</w:t>
      </w:r>
      <w:r w:rsidR="007A1771" w:rsidRPr="007A1771">
        <w:rPr>
          <w:rFonts w:ascii="Verdana" w:hAnsi="Verdana"/>
          <w:sz w:val="20"/>
          <w:szCs w:val="20"/>
          <w:lang w:val="es-CR"/>
        </w:rPr>
        <w:t>mensaje radial</w:t>
      </w:r>
      <w:r w:rsidR="005C1824">
        <w:rPr>
          <w:rFonts w:ascii="Verdana" w:hAnsi="Verdana"/>
          <w:sz w:val="20"/>
          <w:szCs w:val="20"/>
          <w:lang w:val="es-CR"/>
        </w:rPr>
        <w:t>”</w:t>
      </w:r>
      <w:r w:rsidR="00FB53E6">
        <w:rPr>
          <w:rFonts w:ascii="Verdana" w:hAnsi="Verdana"/>
          <w:sz w:val="20"/>
          <w:szCs w:val="20"/>
          <w:lang w:val="es-CR"/>
        </w:rPr>
        <w:t xml:space="preserve"> que fue transmitido</w:t>
      </w:r>
      <w:r w:rsidR="007A1771" w:rsidRPr="007A1771">
        <w:rPr>
          <w:rFonts w:ascii="Verdana" w:hAnsi="Verdana"/>
          <w:color w:val="000000"/>
          <w:sz w:val="20"/>
          <w:szCs w:val="20"/>
          <w:lang w:val="es-CR"/>
        </w:rPr>
        <w:t xml:space="preserve"> </w:t>
      </w:r>
      <w:r w:rsidR="00CA03F2">
        <w:rPr>
          <w:rFonts w:ascii="Verdana" w:hAnsi="Verdana"/>
          <w:color w:val="000000"/>
          <w:sz w:val="20"/>
          <w:szCs w:val="20"/>
          <w:lang w:val="es-CR"/>
        </w:rPr>
        <w:t xml:space="preserve">en </w:t>
      </w:r>
      <w:r>
        <w:rPr>
          <w:rFonts w:ascii="Verdana" w:hAnsi="Verdana"/>
          <w:color w:val="000000"/>
          <w:sz w:val="20"/>
          <w:szCs w:val="20"/>
          <w:lang w:val="es-CR"/>
        </w:rPr>
        <w:t>múltiples</w:t>
      </w:r>
      <w:r w:rsidR="00903DE2">
        <w:rPr>
          <w:rFonts w:ascii="Verdana" w:hAnsi="Verdana"/>
          <w:sz w:val="20"/>
          <w:szCs w:val="20"/>
          <w:lang w:val="es-CR"/>
        </w:rPr>
        <w:t xml:space="preserve"> radios de las regiones del Bí</w:t>
      </w:r>
      <w:r w:rsidR="007A1771" w:rsidRPr="007A1771">
        <w:rPr>
          <w:rFonts w:ascii="Verdana" w:hAnsi="Verdana"/>
          <w:sz w:val="20"/>
          <w:szCs w:val="20"/>
          <w:lang w:val="es-CR"/>
        </w:rPr>
        <w:t>o</w:t>
      </w:r>
      <w:r w:rsidR="00903DE2">
        <w:rPr>
          <w:rFonts w:ascii="Verdana" w:hAnsi="Verdana"/>
          <w:sz w:val="20"/>
          <w:szCs w:val="20"/>
          <w:lang w:val="es-CR"/>
        </w:rPr>
        <w:t xml:space="preserve"> B</w:t>
      </w:r>
      <w:r w:rsidR="007A1771" w:rsidRPr="007A1771">
        <w:rPr>
          <w:rFonts w:ascii="Verdana" w:hAnsi="Verdana"/>
          <w:sz w:val="20"/>
          <w:szCs w:val="20"/>
          <w:lang w:val="es-CR"/>
        </w:rPr>
        <w:t>í</w:t>
      </w:r>
      <w:r w:rsidR="00CA03F2">
        <w:rPr>
          <w:rFonts w:ascii="Verdana" w:hAnsi="Verdana"/>
          <w:sz w:val="20"/>
          <w:szCs w:val="20"/>
          <w:lang w:val="es-CR"/>
        </w:rPr>
        <w:t xml:space="preserve">o (VIII) y de la Araucanía (IX), </w:t>
      </w:r>
      <w:r w:rsidR="007A1771" w:rsidRPr="007A1771">
        <w:rPr>
          <w:rFonts w:ascii="Verdana" w:hAnsi="Verdana"/>
          <w:sz w:val="20"/>
          <w:szCs w:val="20"/>
          <w:lang w:val="es-CR"/>
        </w:rPr>
        <w:t>los días 15 de febrero, 1 de marzo y 5 de abril de 2015, en diversos horarios, dependiendo de la programación de las radios</w:t>
      </w:r>
      <w:r w:rsidR="00FB53E6">
        <w:rPr>
          <w:rFonts w:ascii="Verdana" w:hAnsi="Verdana"/>
          <w:sz w:val="20"/>
          <w:szCs w:val="20"/>
          <w:lang w:val="es-CR"/>
        </w:rPr>
        <w:t xml:space="preserve">. </w:t>
      </w:r>
      <w:r w:rsidR="0069265B">
        <w:rPr>
          <w:rFonts w:ascii="Verdana" w:hAnsi="Verdana"/>
          <w:sz w:val="20"/>
          <w:szCs w:val="20"/>
          <w:lang w:val="es-CR"/>
        </w:rPr>
        <w:t xml:space="preserve">Como comprobante de tal difusión, </w:t>
      </w:r>
      <w:r w:rsidR="00FB53E6" w:rsidRPr="00184C35">
        <w:rPr>
          <w:rFonts w:ascii="Verdana" w:hAnsi="Verdana"/>
          <w:sz w:val="20"/>
          <w:szCs w:val="20"/>
          <w:lang w:val="es-CR"/>
        </w:rPr>
        <w:t xml:space="preserve">aportó </w:t>
      </w:r>
      <w:r w:rsidR="00FB53E6">
        <w:rPr>
          <w:rFonts w:ascii="Verdana" w:hAnsi="Verdana"/>
          <w:sz w:val="20"/>
          <w:szCs w:val="20"/>
          <w:lang w:val="es-CR"/>
        </w:rPr>
        <w:t xml:space="preserve">un oficio </w:t>
      </w:r>
      <w:r w:rsidR="00CE5CA9">
        <w:rPr>
          <w:rFonts w:ascii="Verdana" w:hAnsi="Verdana"/>
          <w:sz w:val="20"/>
          <w:szCs w:val="20"/>
          <w:lang w:val="es-CR"/>
        </w:rPr>
        <w:t xml:space="preserve">en el cual el </w:t>
      </w:r>
      <w:r w:rsidR="00FB53E6">
        <w:rPr>
          <w:rFonts w:ascii="Verdana" w:hAnsi="Verdana"/>
          <w:sz w:val="20"/>
          <w:szCs w:val="20"/>
          <w:lang w:val="es-CR"/>
        </w:rPr>
        <w:t xml:space="preserve">Secretario General de Gobierno </w:t>
      </w:r>
      <w:r w:rsidR="00CE5CA9">
        <w:rPr>
          <w:rFonts w:ascii="Verdana" w:hAnsi="Verdana"/>
          <w:sz w:val="20"/>
          <w:szCs w:val="20"/>
          <w:lang w:val="es-CR"/>
        </w:rPr>
        <w:t xml:space="preserve">informó </w:t>
      </w:r>
      <w:r w:rsidR="00FB53E6">
        <w:rPr>
          <w:rFonts w:ascii="Verdana" w:hAnsi="Verdana"/>
          <w:sz w:val="20"/>
          <w:szCs w:val="20"/>
          <w:lang w:val="es-CR"/>
        </w:rPr>
        <w:t>al Subsecretario de Relaciones Exteriores sobre</w:t>
      </w:r>
      <w:r w:rsidR="00CE5CA9">
        <w:rPr>
          <w:rFonts w:ascii="Verdana" w:hAnsi="Verdana"/>
          <w:sz w:val="20"/>
          <w:szCs w:val="20"/>
          <w:lang w:val="es-CR"/>
        </w:rPr>
        <w:t>:</w:t>
      </w:r>
      <w:r w:rsidR="00FB53E6">
        <w:rPr>
          <w:rFonts w:ascii="Verdana" w:hAnsi="Verdana"/>
          <w:sz w:val="20"/>
          <w:szCs w:val="20"/>
          <w:lang w:val="es-CR"/>
        </w:rPr>
        <w:t xml:space="preserve"> “la difusión de una frase radial</w:t>
      </w:r>
      <w:r w:rsidR="005C1824">
        <w:rPr>
          <w:rFonts w:ascii="Verdana" w:hAnsi="Verdana"/>
          <w:sz w:val="20"/>
          <w:szCs w:val="20"/>
          <w:lang w:val="es-CR"/>
        </w:rPr>
        <w:t xml:space="preserve"> invitando a la comunidad a conocer, informarse y acceder a la [S]entencia </w:t>
      </w:r>
      <w:r w:rsidR="00CE5CA9">
        <w:rPr>
          <w:rFonts w:ascii="Verdana" w:hAnsi="Verdana"/>
          <w:sz w:val="20"/>
          <w:szCs w:val="20"/>
          <w:lang w:val="es-CR"/>
        </w:rPr>
        <w:t xml:space="preserve">[del presente caso,] </w:t>
      </w:r>
      <w:r w:rsidR="005C1824">
        <w:rPr>
          <w:rFonts w:ascii="Verdana" w:hAnsi="Verdana"/>
          <w:sz w:val="20"/>
          <w:szCs w:val="20"/>
          <w:lang w:val="es-CR"/>
        </w:rPr>
        <w:t>así como al resumen oficial de la misma en español y</w:t>
      </w:r>
      <w:r w:rsidR="00B90714">
        <w:rPr>
          <w:rFonts w:ascii="Verdana" w:hAnsi="Verdana"/>
          <w:sz w:val="20"/>
          <w:szCs w:val="20"/>
          <w:lang w:val="es-CR"/>
        </w:rPr>
        <w:t xml:space="preserve"> en</w:t>
      </w:r>
      <w:r w:rsidR="005C1824">
        <w:rPr>
          <w:rFonts w:ascii="Verdana" w:hAnsi="Verdana"/>
          <w:sz w:val="20"/>
          <w:szCs w:val="20"/>
          <w:lang w:val="es-CR"/>
        </w:rPr>
        <w:t xml:space="preserve"> mapudungun en diversas páginas institucionales</w:t>
      </w:r>
      <w:r w:rsidR="00FB53E6">
        <w:rPr>
          <w:rFonts w:ascii="Verdana" w:hAnsi="Verdana"/>
          <w:sz w:val="20"/>
          <w:szCs w:val="20"/>
          <w:lang w:val="es-CR"/>
        </w:rPr>
        <w:t>”</w:t>
      </w:r>
      <w:r w:rsidR="00CE5CA9">
        <w:rPr>
          <w:rFonts w:ascii="Verdana" w:hAnsi="Verdana"/>
          <w:sz w:val="20"/>
          <w:szCs w:val="20"/>
          <w:lang w:val="es-CR"/>
        </w:rPr>
        <w:t>;</w:t>
      </w:r>
      <w:r w:rsidR="00FB53E6">
        <w:rPr>
          <w:rFonts w:ascii="Verdana" w:hAnsi="Verdana"/>
          <w:sz w:val="20"/>
          <w:szCs w:val="20"/>
          <w:lang w:val="es-CR"/>
        </w:rPr>
        <w:t xml:space="preserve"> el listado de las </w:t>
      </w:r>
      <w:r w:rsidR="00CA03F2">
        <w:rPr>
          <w:rFonts w:ascii="Verdana" w:hAnsi="Verdana"/>
          <w:sz w:val="20"/>
          <w:szCs w:val="20"/>
          <w:lang w:val="es-CR"/>
        </w:rPr>
        <w:t>8</w:t>
      </w:r>
      <w:r w:rsidR="00FB53E6">
        <w:rPr>
          <w:rFonts w:ascii="Verdana" w:hAnsi="Verdana"/>
          <w:sz w:val="20"/>
          <w:szCs w:val="20"/>
          <w:lang w:val="es-CR"/>
        </w:rPr>
        <w:t>6 radios que participaron en la difusi</w:t>
      </w:r>
      <w:r w:rsidR="00B40C8F">
        <w:rPr>
          <w:rFonts w:ascii="Verdana" w:hAnsi="Verdana"/>
          <w:sz w:val="20"/>
          <w:szCs w:val="20"/>
          <w:lang w:val="es-CR"/>
        </w:rPr>
        <w:t xml:space="preserve">ón, sus frecuencias </w:t>
      </w:r>
      <w:r w:rsidR="00FB53E6">
        <w:rPr>
          <w:rFonts w:ascii="Verdana" w:hAnsi="Verdana"/>
          <w:sz w:val="20"/>
          <w:szCs w:val="20"/>
          <w:lang w:val="es-CR"/>
        </w:rPr>
        <w:t>y las ciudades o l</w:t>
      </w:r>
      <w:r w:rsidR="005C1824">
        <w:rPr>
          <w:rFonts w:ascii="Verdana" w:hAnsi="Verdana"/>
          <w:sz w:val="20"/>
          <w:szCs w:val="20"/>
          <w:lang w:val="es-CR"/>
        </w:rPr>
        <w:t xml:space="preserve">ocalidades a las que pertenecen, así como </w:t>
      </w:r>
      <w:r w:rsidR="00FB53E6">
        <w:rPr>
          <w:rFonts w:ascii="Verdana" w:hAnsi="Verdana"/>
          <w:sz w:val="20"/>
          <w:szCs w:val="20"/>
          <w:lang w:val="es-CR"/>
        </w:rPr>
        <w:t>las fechas en que se realizó dicha difusión</w:t>
      </w:r>
      <w:r w:rsidR="007A1771" w:rsidRPr="007A1771">
        <w:rPr>
          <w:rStyle w:val="Refdenotaalpie"/>
          <w:rFonts w:ascii="Verdana" w:hAnsi="Verdana"/>
          <w:sz w:val="20"/>
          <w:szCs w:val="20"/>
        </w:rPr>
        <w:footnoteReference w:id="58"/>
      </w:r>
      <w:r w:rsidR="007A1771" w:rsidRPr="007A1771">
        <w:rPr>
          <w:rFonts w:ascii="Verdana" w:hAnsi="Verdana"/>
          <w:sz w:val="20"/>
          <w:szCs w:val="20"/>
          <w:lang w:val="es-CR"/>
        </w:rPr>
        <w:t>.</w:t>
      </w:r>
    </w:p>
    <w:p w:rsidR="007A1771" w:rsidRPr="00425DC8" w:rsidRDefault="00FB53E6" w:rsidP="00857630">
      <w:pPr>
        <w:pStyle w:val="Cuerpodeltexto190"/>
        <w:numPr>
          <w:ilvl w:val="0"/>
          <w:numId w:val="28"/>
        </w:numPr>
        <w:shd w:val="clear" w:color="auto" w:fill="auto"/>
        <w:spacing w:before="120" w:after="120" w:line="240" w:lineRule="auto"/>
        <w:ind w:left="0" w:right="20" w:firstLine="0"/>
        <w:rPr>
          <w:rFonts w:ascii="Verdana" w:hAnsi="Verdana"/>
          <w:sz w:val="20"/>
          <w:szCs w:val="20"/>
        </w:rPr>
      </w:pPr>
      <w:r w:rsidRPr="009E77B5">
        <w:rPr>
          <w:rFonts w:ascii="Verdana" w:hAnsi="Verdana"/>
          <w:sz w:val="20"/>
          <w:szCs w:val="20"/>
        </w:rPr>
        <w:t>Al respecto, l</w:t>
      </w:r>
      <w:r w:rsidR="007A1771" w:rsidRPr="009E77B5">
        <w:rPr>
          <w:rFonts w:ascii="Verdana" w:hAnsi="Verdana"/>
          <w:sz w:val="20"/>
          <w:szCs w:val="20"/>
        </w:rPr>
        <w:t>os representantes de las víctimas</w:t>
      </w:r>
      <w:r w:rsidR="002F5ABD" w:rsidRPr="009E77B5">
        <w:rPr>
          <w:rFonts w:ascii="Verdana" w:hAnsi="Verdana"/>
          <w:sz w:val="20"/>
          <w:szCs w:val="20"/>
        </w:rPr>
        <w:t xml:space="preserve"> </w:t>
      </w:r>
      <w:r w:rsidR="007A1771" w:rsidRPr="009E77B5">
        <w:rPr>
          <w:rFonts w:ascii="Verdana" w:hAnsi="Verdana"/>
          <w:sz w:val="20"/>
          <w:szCs w:val="20"/>
        </w:rPr>
        <w:t>presentaron una serie de objeciones</w:t>
      </w:r>
      <w:r w:rsidR="003621E2" w:rsidRPr="009E77B5">
        <w:rPr>
          <w:rFonts w:ascii="Verdana" w:hAnsi="Verdana"/>
          <w:sz w:val="20"/>
          <w:szCs w:val="20"/>
        </w:rPr>
        <w:t xml:space="preserve"> sobre la forma y </w:t>
      </w:r>
      <w:r w:rsidR="0047675B" w:rsidRPr="009E77B5">
        <w:rPr>
          <w:rFonts w:ascii="Verdana" w:hAnsi="Verdana"/>
          <w:sz w:val="20"/>
          <w:szCs w:val="20"/>
        </w:rPr>
        <w:t xml:space="preserve">el </w:t>
      </w:r>
      <w:r w:rsidR="003621E2" w:rsidRPr="009E77B5">
        <w:rPr>
          <w:rFonts w:ascii="Verdana" w:hAnsi="Verdana"/>
          <w:sz w:val="20"/>
          <w:szCs w:val="20"/>
        </w:rPr>
        <w:t xml:space="preserve">contenido de la </w:t>
      </w:r>
      <w:r w:rsidR="0047675B" w:rsidRPr="009E77B5">
        <w:rPr>
          <w:rFonts w:ascii="Verdana" w:hAnsi="Verdana"/>
          <w:sz w:val="20"/>
          <w:szCs w:val="20"/>
        </w:rPr>
        <w:t>radio</w:t>
      </w:r>
      <w:r w:rsidR="003621E2" w:rsidRPr="009E77B5">
        <w:rPr>
          <w:rFonts w:ascii="Verdana" w:hAnsi="Verdana"/>
          <w:sz w:val="20"/>
          <w:szCs w:val="20"/>
        </w:rPr>
        <w:t>difusión realizada por el Estado</w:t>
      </w:r>
      <w:r w:rsidR="0047675B" w:rsidRPr="009E77B5">
        <w:rPr>
          <w:rStyle w:val="Refdenotaalpie"/>
          <w:rFonts w:ascii="Verdana" w:hAnsi="Verdana"/>
          <w:sz w:val="20"/>
          <w:szCs w:val="20"/>
        </w:rPr>
        <w:footnoteReference w:id="59"/>
      </w:r>
      <w:r w:rsidR="007024DB" w:rsidRPr="009E77B5">
        <w:rPr>
          <w:rFonts w:ascii="Verdana" w:hAnsi="Verdana"/>
          <w:sz w:val="20"/>
          <w:szCs w:val="20"/>
        </w:rPr>
        <w:t>.</w:t>
      </w:r>
      <w:r w:rsidR="007A1771">
        <w:rPr>
          <w:rFonts w:ascii="Verdana" w:hAnsi="Verdana"/>
          <w:sz w:val="20"/>
          <w:szCs w:val="20"/>
        </w:rPr>
        <w:t xml:space="preserve"> </w:t>
      </w:r>
      <w:r w:rsidR="002F5ABD" w:rsidRPr="0047675B">
        <w:rPr>
          <w:rFonts w:ascii="Verdana" w:hAnsi="Verdana"/>
          <w:i/>
          <w:sz w:val="20"/>
          <w:szCs w:val="20"/>
        </w:rPr>
        <w:t xml:space="preserve">CEJIL </w:t>
      </w:r>
      <w:r w:rsidR="002F5ABD">
        <w:rPr>
          <w:rFonts w:ascii="Verdana" w:hAnsi="Verdana"/>
          <w:sz w:val="20"/>
          <w:szCs w:val="20"/>
        </w:rPr>
        <w:t xml:space="preserve">y la </w:t>
      </w:r>
      <w:r w:rsidR="002F5ABD" w:rsidRPr="0047675B">
        <w:rPr>
          <w:rFonts w:ascii="Verdana" w:hAnsi="Verdana"/>
          <w:i/>
          <w:sz w:val="20"/>
          <w:szCs w:val="20"/>
        </w:rPr>
        <w:t>representante Myriam Reyes</w:t>
      </w:r>
      <w:r w:rsidR="002F5ABD">
        <w:rPr>
          <w:rFonts w:ascii="Verdana" w:hAnsi="Verdana"/>
          <w:sz w:val="20"/>
          <w:szCs w:val="20"/>
        </w:rPr>
        <w:t xml:space="preserve"> </w:t>
      </w:r>
      <w:r w:rsidR="0047675B">
        <w:rPr>
          <w:rFonts w:ascii="Verdana" w:hAnsi="Verdana"/>
          <w:sz w:val="20"/>
          <w:szCs w:val="20"/>
        </w:rPr>
        <w:t>objetaron</w:t>
      </w:r>
      <w:r w:rsidR="002F5ABD">
        <w:rPr>
          <w:rFonts w:ascii="Verdana" w:hAnsi="Verdana"/>
          <w:sz w:val="20"/>
          <w:szCs w:val="20"/>
        </w:rPr>
        <w:t xml:space="preserve"> que el contenido de la difusión no se ajustó a lo ordenado por la Corte porque no se dio difusión al resumen de la Sentencia sino a una frase radial invitando a conocer la misma. También, </w:t>
      </w:r>
      <w:r w:rsidR="002F5ABD" w:rsidRPr="0047675B">
        <w:rPr>
          <w:rFonts w:ascii="Verdana" w:hAnsi="Verdana"/>
          <w:sz w:val="20"/>
          <w:szCs w:val="20"/>
        </w:rPr>
        <w:t>la</w:t>
      </w:r>
      <w:r w:rsidR="002F5ABD" w:rsidRPr="002F5ABD">
        <w:rPr>
          <w:rFonts w:ascii="Verdana" w:hAnsi="Verdana"/>
          <w:i/>
          <w:sz w:val="20"/>
          <w:szCs w:val="20"/>
        </w:rPr>
        <w:t xml:space="preserve"> representante Myriam Reyes</w:t>
      </w:r>
      <w:r w:rsidR="002F5ABD">
        <w:rPr>
          <w:rFonts w:ascii="Verdana" w:hAnsi="Verdana"/>
          <w:sz w:val="20"/>
          <w:szCs w:val="20"/>
        </w:rPr>
        <w:t xml:space="preserve"> y </w:t>
      </w:r>
      <w:r w:rsidR="002F5ABD" w:rsidRPr="0047675B">
        <w:rPr>
          <w:rFonts w:ascii="Verdana" w:hAnsi="Verdana"/>
          <w:sz w:val="20"/>
          <w:szCs w:val="20"/>
        </w:rPr>
        <w:t>los</w:t>
      </w:r>
      <w:r w:rsidR="002F5ABD" w:rsidRPr="002F5ABD">
        <w:rPr>
          <w:rFonts w:ascii="Verdana" w:hAnsi="Verdana"/>
          <w:i/>
          <w:sz w:val="20"/>
          <w:szCs w:val="20"/>
        </w:rPr>
        <w:t xml:space="preserve"> representantes Llanquileo, Millam</w:t>
      </w:r>
      <w:r w:rsidR="002F5ABD" w:rsidRPr="0047675B">
        <w:rPr>
          <w:rFonts w:ascii="Verdana" w:hAnsi="Verdana"/>
          <w:i/>
          <w:sz w:val="20"/>
          <w:szCs w:val="20"/>
        </w:rPr>
        <w:t>án y Lienlaf</w:t>
      </w:r>
      <w:r w:rsidR="002F5ABD">
        <w:rPr>
          <w:rFonts w:ascii="Verdana" w:hAnsi="Verdana"/>
          <w:sz w:val="20"/>
          <w:szCs w:val="20"/>
        </w:rPr>
        <w:t xml:space="preserve"> plantearon una objeción en cuanto al alcance de las radios utilizadas para la difusión en las comunidades de las víctimas. </w:t>
      </w:r>
      <w:r w:rsidR="002F5ABD" w:rsidRPr="002F5ABD">
        <w:rPr>
          <w:rFonts w:ascii="Verdana" w:hAnsi="Verdana"/>
          <w:i/>
          <w:sz w:val="20"/>
          <w:szCs w:val="20"/>
        </w:rPr>
        <w:t xml:space="preserve">CEJIL, </w:t>
      </w:r>
      <w:r w:rsidR="002F5ABD" w:rsidRPr="0047675B">
        <w:rPr>
          <w:rFonts w:ascii="Verdana" w:hAnsi="Verdana"/>
          <w:sz w:val="20"/>
          <w:szCs w:val="20"/>
        </w:rPr>
        <w:t>la</w:t>
      </w:r>
      <w:r w:rsidR="002F5ABD" w:rsidRPr="002F5ABD">
        <w:rPr>
          <w:rFonts w:ascii="Verdana" w:hAnsi="Verdana"/>
          <w:i/>
          <w:sz w:val="20"/>
          <w:szCs w:val="20"/>
        </w:rPr>
        <w:t xml:space="preserve"> representante Myriam Reyes </w:t>
      </w:r>
      <w:r w:rsidR="002F5ABD" w:rsidRPr="0047675B">
        <w:rPr>
          <w:rFonts w:ascii="Verdana" w:hAnsi="Verdana"/>
          <w:sz w:val="20"/>
          <w:szCs w:val="20"/>
        </w:rPr>
        <w:t>y los</w:t>
      </w:r>
      <w:r w:rsidR="002F5ABD" w:rsidRPr="002F5ABD">
        <w:rPr>
          <w:rFonts w:ascii="Verdana" w:hAnsi="Verdana"/>
          <w:i/>
          <w:sz w:val="20"/>
          <w:szCs w:val="20"/>
        </w:rPr>
        <w:t xml:space="preserve"> representantes Llanquileo, Millamán y Lienlaf</w:t>
      </w:r>
      <w:r w:rsidR="002F5ABD">
        <w:rPr>
          <w:rFonts w:ascii="Verdana" w:hAnsi="Verdana"/>
          <w:i/>
          <w:sz w:val="20"/>
          <w:szCs w:val="20"/>
        </w:rPr>
        <w:t xml:space="preserve"> </w:t>
      </w:r>
      <w:r w:rsidR="002F5ABD" w:rsidRPr="002F5ABD">
        <w:rPr>
          <w:rFonts w:ascii="Verdana" w:hAnsi="Verdana"/>
          <w:sz w:val="20"/>
          <w:szCs w:val="20"/>
        </w:rPr>
        <w:t xml:space="preserve">señalaron </w:t>
      </w:r>
      <w:r w:rsidR="00805B75">
        <w:rPr>
          <w:rFonts w:ascii="Verdana" w:hAnsi="Verdana"/>
          <w:sz w:val="20"/>
          <w:szCs w:val="20"/>
        </w:rPr>
        <w:lastRenderedPageBreak/>
        <w:t xml:space="preserve">además </w:t>
      </w:r>
      <w:r w:rsidR="002F5ABD" w:rsidRPr="002F5ABD">
        <w:rPr>
          <w:rFonts w:ascii="Verdana" w:hAnsi="Verdana"/>
          <w:sz w:val="20"/>
          <w:szCs w:val="20"/>
        </w:rPr>
        <w:t>que las difusiones radiales no les fueron avisadas con la anticipación dispuesta en la Sentencia.</w:t>
      </w:r>
      <w:r w:rsidR="002F5ABD">
        <w:rPr>
          <w:rFonts w:ascii="Verdana" w:hAnsi="Verdana"/>
          <w:i/>
          <w:sz w:val="20"/>
          <w:szCs w:val="20"/>
        </w:rPr>
        <w:t xml:space="preserve"> </w:t>
      </w:r>
      <w:r w:rsidR="00805B75">
        <w:rPr>
          <w:rFonts w:ascii="Verdana" w:hAnsi="Verdana"/>
          <w:sz w:val="20"/>
          <w:szCs w:val="20"/>
        </w:rPr>
        <w:t xml:space="preserve">Estos últimos </w:t>
      </w:r>
      <w:r w:rsidR="0047675B" w:rsidRPr="0047675B">
        <w:rPr>
          <w:rFonts w:ascii="Verdana" w:hAnsi="Verdana"/>
          <w:sz w:val="20"/>
          <w:szCs w:val="20"/>
        </w:rPr>
        <w:t>también hic</w:t>
      </w:r>
      <w:r w:rsidR="0047675B">
        <w:rPr>
          <w:rFonts w:ascii="Verdana" w:hAnsi="Verdana"/>
          <w:sz w:val="20"/>
          <w:szCs w:val="20"/>
        </w:rPr>
        <w:t>ieron notar que la prueba aportada por el Estado no acredita que las radiodifusiones hayan sido realizadas.</w:t>
      </w:r>
      <w:r w:rsidR="002F5ABD">
        <w:rPr>
          <w:rFonts w:ascii="Verdana" w:hAnsi="Verdana"/>
          <w:sz w:val="20"/>
          <w:szCs w:val="20"/>
        </w:rPr>
        <w:t xml:space="preserve"> </w:t>
      </w:r>
      <w:r w:rsidR="0047675B">
        <w:rPr>
          <w:rFonts w:ascii="Verdana" w:hAnsi="Verdana"/>
          <w:sz w:val="20"/>
          <w:szCs w:val="20"/>
        </w:rPr>
        <w:t>Respecto de tales objeciones</w:t>
      </w:r>
      <w:r w:rsidR="007A1771" w:rsidRPr="00903DE2">
        <w:rPr>
          <w:rFonts w:ascii="Verdana" w:hAnsi="Verdana"/>
          <w:sz w:val="20"/>
          <w:szCs w:val="20"/>
        </w:rPr>
        <w:t xml:space="preserve"> </w:t>
      </w:r>
      <w:r w:rsidR="007A1771">
        <w:rPr>
          <w:rFonts w:ascii="Verdana" w:hAnsi="Verdana"/>
          <w:sz w:val="20"/>
          <w:szCs w:val="20"/>
        </w:rPr>
        <w:t xml:space="preserve">la </w:t>
      </w:r>
      <w:r w:rsidR="007A1771" w:rsidRPr="009564AA">
        <w:rPr>
          <w:rFonts w:ascii="Verdana" w:hAnsi="Verdana"/>
          <w:i/>
          <w:sz w:val="20"/>
          <w:szCs w:val="20"/>
        </w:rPr>
        <w:t xml:space="preserve">Comisión </w:t>
      </w:r>
      <w:r w:rsidR="0047675B" w:rsidRPr="009564AA">
        <w:rPr>
          <w:rFonts w:ascii="Verdana" w:hAnsi="Verdana"/>
          <w:i/>
          <w:sz w:val="20"/>
          <w:szCs w:val="20"/>
        </w:rPr>
        <w:t>Interamericana</w:t>
      </w:r>
      <w:r w:rsidR="0047675B">
        <w:rPr>
          <w:rFonts w:ascii="Verdana" w:hAnsi="Verdana"/>
          <w:sz w:val="20"/>
          <w:szCs w:val="20"/>
        </w:rPr>
        <w:t xml:space="preserve"> “observ</w:t>
      </w:r>
      <w:r w:rsidR="00BA19AE">
        <w:rPr>
          <w:rFonts w:ascii="Verdana" w:hAnsi="Verdana"/>
          <w:sz w:val="20"/>
          <w:szCs w:val="20"/>
        </w:rPr>
        <w:t>[</w:t>
      </w:r>
      <w:r w:rsidR="0047675B">
        <w:rPr>
          <w:rFonts w:ascii="Verdana" w:hAnsi="Verdana"/>
          <w:sz w:val="20"/>
          <w:szCs w:val="20"/>
        </w:rPr>
        <w:t>ó</w:t>
      </w:r>
      <w:r w:rsidR="00BA19AE">
        <w:rPr>
          <w:rFonts w:ascii="Verdana" w:hAnsi="Verdana"/>
          <w:sz w:val="20"/>
          <w:szCs w:val="20"/>
        </w:rPr>
        <w:t>]</w:t>
      </w:r>
      <w:r w:rsidR="0047675B">
        <w:rPr>
          <w:rFonts w:ascii="Verdana" w:hAnsi="Verdana"/>
          <w:sz w:val="20"/>
          <w:szCs w:val="20"/>
        </w:rPr>
        <w:t xml:space="preserve"> la importancia de que el Estado aporte información específica que acredite</w:t>
      </w:r>
      <w:r w:rsidR="00E02468">
        <w:rPr>
          <w:rFonts w:ascii="Verdana" w:hAnsi="Verdana"/>
          <w:sz w:val="20"/>
          <w:szCs w:val="20"/>
        </w:rPr>
        <w:t xml:space="preserve"> que las emisiones </w:t>
      </w:r>
      <w:r w:rsidR="00E43B62">
        <w:rPr>
          <w:rFonts w:ascii="Verdana" w:hAnsi="Verdana"/>
          <w:sz w:val="20"/>
          <w:szCs w:val="20"/>
        </w:rPr>
        <w:t xml:space="preserve">radiales </w:t>
      </w:r>
      <w:r w:rsidR="00E02468">
        <w:rPr>
          <w:rFonts w:ascii="Verdana" w:hAnsi="Verdana"/>
          <w:sz w:val="20"/>
          <w:szCs w:val="20"/>
        </w:rPr>
        <w:t>fueron, como lo ordenó la Corte, debidamente informadas” y</w:t>
      </w:r>
      <w:r w:rsidR="0047675B">
        <w:rPr>
          <w:rFonts w:ascii="Verdana" w:hAnsi="Verdana"/>
          <w:sz w:val="20"/>
          <w:szCs w:val="20"/>
        </w:rPr>
        <w:t xml:space="preserve"> </w:t>
      </w:r>
      <w:r w:rsidR="00E02468">
        <w:rPr>
          <w:rFonts w:ascii="Verdana" w:hAnsi="Verdana"/>
          <w:sz w:val="20"/>
          <w:szCs w:val="20"/>
        </w:rPr>
        <w:t>“</w:t>
      </w:r>
      <w:r w:rsidR="007A1771">
        <w:rPr>
          <w:rFonts w:ascii="Verdana" w:hAnsi="Verdana"/>
          <w:sz w:val="20"/>
          <w:szCs w:val="20"/>
        </w:rPr>
        <w:t>estim</w:t>
      </w:r>
      <w:r w:rsidR="00E02468">
        <w:rPr>
          <w:rFonts w:ascii="Verdana" w:hAnsi="Verdana"/>
          <w:sz w:val="20"/>
          <w:szCs w:val="20"/>
        </w:rPr>
        <w:t>[</w:t>
      </w:r>
      <w:r w:rsidR="007A1771">
        <w:rPr>
          <w:rFonts w:ascii="Verdana" w:hAnsi="Verdana"/>
          <w:sz w:val="20"/>
          <w:szCs w:val="20"/>
        </w:rPr>
        <w:t>ó</w:t>
      </w:r>
      <w:r w:rsidR="00E02468">
        <w:rPr>
          <w:rFonts w:ascii="Verdana" w:hAnsi="Verdana"/>
          <w:sz w:val="20"/>
          <w:szCs w:val="20"/>
        </w:rPr>
        <w:t>]</w:t>
      </w:r>
      <w:r w:rsidR="007A1771" w:rsidRPr="00DF5A0B">
        <w:rPr>
          <w:rFonts w:ascii="Verdana" w:hAnsi="Verdana"/>
          <w:sz w:val="20"/>
          <w:szCs w:val="20"/>
        </w:rPr>
        <w:t xml:space="preserve"> relevante que, de ser posible y existir registro, se remita la grabación sobre el mensaje que fue difundido</w:t>
      </w:r>
      <w:r w:rsidR="00E02468">
        <w:rPr>
          <w:rFonts w:ascii="Verdana" w:hAnsi="Verdana"/>
          <w:sz w:val="20"/>
          <w:szCs w:val="20"/>
        </w:rPr>
        <w:t>”</w:t>
      </w:r>
      <w:r w:rsidR="007A1771" w:rsidRPr="00DF5A0B">
        <w:rPr>
          <w:rFonts w:ascii="Verdana" w:hAnsi="Verdana"/>
          <w:sz w:val="20"/>
          <w:szCs w:val="20"/>
        </w:rPr>
        <w:t>.</w:t>
      </w:r>
    </w:p>
    <w:p w:rsidR="006C1393" w:rsidRPr="006C1393" w:rsidRDefault="0080157F"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80157F">
        <w:rPr>
          <w:rFonts w:ascii="Verdana" w:hAnsi="Verdana"/>
          <w:sz w:val="20"/>
          <w:szCs w:val="20"/>
          <w:lang w:val="es-CR"/>
        </w:rPr>
        <w:t xml:space="preserve">Mediante nota de </w:t>
      </w:r>
      <w:r>
        <w:rPr>
          <w:rFonts w:ascii="Verdana" w:hAnsi="Verdana"/>
          <w:sz w:val="20"/>
          <w:szCs w:val="20"/>
          <w:lang w:val="es-CR"/>
        </w:rPr>
        <w:t>l</w:t>
      </w:r>
      <w:r w:rsidR="00E02468" w:rsidRPr="0080157F">
        <w:rPr>
          <w:rFonts w:ascii="Verdana" w:hAnsi="Verdana"/>
          <w:sz w:val="20"/>
          <w:szCs w:val="20"/>
          <w:lang w:val="es-CR"/>
        </w:rPr>
        <w:t xml:space="preserve">a Secretaría de la Corte, siguiendo instrucciones del Presidente del Tribunal, </w:t>
      </w:r>
      <w:r>
        <w:rPr>
          <w:rFonts w:ascii="Verdana" w:hAnsi="Verdana"/>
          <w:sz w:val="20"/>
          <w:szCs w:val="20"/>
          <w:lang w:val="es-CR"/>
        </w:rPr>
        <w:t xml:space="preserve">se </w:t>
      </w:r>
      <w:r w:rsidR="00E02468" w:rsidRPr="0080157F">
        <w:rPr>
          <w:rFonts w:ascii="Verdana" w:hAnsi="Verdana"/>
          <w:sz w:val="20"/>
          <w:szCs w:val="20"/>
          <w:lang w:val="es-CR"/>
        </w:rPr>
        <w:t>solicitó al Estado que “aport[ara] el comprobante del mensaje radial por medio del cual habría dado publicidad al resumen oficial de la Sentencia”</w:t>
      </w:r>
      <w:r w:rsidR="00E02468">
        <w:rPr>
          <w:rStyle w:val="Refdenotaalpie"/>
          <w:rFonts w:ascii="Verdana" w:hAnsi="Verdana"/>
          <w:sz w:val="20"/>
          <w:szCs w:val="20"/>
        </w:rPr>
        <w:footnoteReference w:id="60"/>
      </w:r>
      <w:r w:rsidR="00E02468" w:rsidRPr="0080157F">
        <w:rPr>
          <w:rFonts w:ascii="Verdana" w:hAnsi="Verdana"/>
          <w:sz w:val="20"/>
          <w:szCs w:val="20"/>
          <w:lang w:val="es-CR"/>
        </w:rPr>
        <w:t xml:space="preserve">. </w:t>
      </w:r>
      <w:r w:rsidR="00E02468" w:rsidRPr="0004214A">
        <w:rPr>
          <w:rFonts w:ascii="Verdana" w:hAnsi="Verdana"/>
          <w:sz w:val="20"/>
          <w:szCs w:val="20"/>
          <w:lang w:val="es-CR"/>
        </w:rPr>
        <w:t>Al respecto, junto con su informe de octubre de 2016, Chile aportó un documento denominado “Informe Registro Radiodifusión”</w:t>
      </w:r>
      <w:r w:rsidR="0004214A" w:rsidRPr="0004214A">
        <w:rPr>
          <w:rFonts w:ascii="Verdana" w:hAnsi="Verdana"/>
          <w:sz w:val="20"/>
          <w:szCs w:val="20"/>
          <w:lang w:val="es-CR"/>
        </w:rPr>
        <w:t xml:space="preserve"> elaborado por la “Secretaría de Comunicaciones del Ministerio Secretaría General de Gobierno”, en el cual se indica </w:t>
      </w:r>
      <w:r w:rsidR="00E02468" w:rsidRPr="0004214A">
        <w:rPr>
          <w:rFonts w:ascii="Verdana" w:hAnsi="Verdana"/>
          <w:sz w:val="20"/>
          <w:szCs w:val="20"/>
          <w:lang w:val="es-CR"/>
        </w:rPr>
        <w:t>la misma información que el referido oficio del Secretario General de Gobierno (</w:t>
      </w:r>
      <w:r w:rsidR="00E02468" w:rsidRPr="0004214A">
        <w:rPr>
          <w:rFonts w:ascii="Verdana" w:hAnsi="Verdana"/>
          <w:i/>
          <w:sz w:val="20"/>
          <w:szCs w:val="20"/>
          <w:lang w:val="es-CR"/>
        </w:rPr>
        <w:t>supra</w:t>
      </w:r>
      <w:r w:rsidR="00E02468" w:rsidRPr="0004214A">
        <w:rPr>
          <w:rFonts w:ascii="Verdana" w:hAnsi="Verdana"/>
          <w:sz w:val="20"/>
          <w:szCs w:val="20"/>
          <w:lang w:val="es-CR"/>
        </w:rPr>
        <w:t xml:space="preserve"> Considerando </w:t>
      </w:r>
      <w:r w:rsidR="00BA19AE">
        <w:rPr>
          <w:rFonts w:ascii="Verdana" w:hAnsi="Verdana"/>
          <w:sz w:val="20"/>
          <w:szCs w:val="20"/>
          <w:lang w:val="es-CR"/>
        </w:rPr>
        <w:t>32</w:t>
      </w:r>
      <w:r w:rsidR="00BA19AE" w:rsidRPr="0004214A">
        <w:rPr>
          <w:rFonts w:ascii="Verdana" w:hAnsi="Verdana"/>
          <w:sz w:val="20"/>
          <w:szCs w:val="20"/>
          <w:lang w:val="es-CR"/>
        </w:rPr>
        <w:t xml:space="preserve">), </w:t>
      </w:r>
      <w:r w:rsidR="00E02468" w:rsidRPr="0004214A">
        <w:rPr>
          <w:rFonts w:ascii="Verdana" w:hAnsi="Verdana"/>
          <w:sz w:val="20"/>
          <w:szCs w:val="20"/>
          <w:lang w:val="es-CR"/>
        </w:rPr>
        <w:t xml:space="preserve">y </w:t>
      </w:r>
      <w:r w:rsidR="00950098">
        <w:rPr>
          <w:rFonts w:ascii="Verdana" w:hAnsi="Verdana"/>
          <w:sz w:val="20"/>
          <w:szCs w:val="20"/>
          <w:lang w:val="es-CR"/>
        </w:rPr>
        <w:t xml:space="preserve">se </w:t>
      </w:r>
      <w:r w:rsidR="00E02468" w:rsidRPr="0004214A">
        <w:rPr>
          <w:rFonts w:ascii="Verdana" w:hAnsi="Verdana"/>
          <w:sz w:val="20"/>
          <w:szCs w:val="20"/>
          <w:lang w:val="es-CR"/>
        </w:rPr>
        <w:t>añade</w:t>
      </w:r>
      <w:r w:rsidR="0004214A">
        <w:rPr>
          <w:rFonts w:ascii="Verdana" w:hAnsi="Verdana"/>
          <w:sz w:val="20"/>
          <w:szCs w:val="20"/>
          <w:lang w:val="es-CR"/>
        </w:rPr>
        <w:t xml:space="preserve"> una trascripción </w:t>
      </w:r>
      <w:r w:rsidR="00950098">
        <w:rPr>
          <w:rFonts w:ascii="Verdana" w:hAnsi="Verdana"/>
          <w:sz w:val="20"/>
          <w:szCs w:val="20"/>
          <w:lang w:val="es-CR"/>
        </w:rPr>
        <w:t xml:space="preserve">en español </w:t>
      </w:r>
      <w:r w:rsidR="0004214A">
        <w:rPr>
          <w:rFonts w:ascii="Verdana" w:hAnsi="Verdana"/>
          <w:sz w:val="20"/>
          <w:szCs w:val="20"/>
          <w:lang w:val="es-CR"/>
        </w:rPr>
        <w:t>del mensaje radial que fue difundido</w:t>
      </w:r>
      <w:r w:rsidR="00E02468" w:rsidRPr="00781C7B">
        <w:rPr>
          <w:rFonts w:ascii="Verdana" w:hAnsi="Verdana"/>
          <w:sz w:val="20"/>
          <w:szCs w:val="20"/>
          <w:lang w:val="es-CR"/>
        </w:rPr>
        <w:t>”</w:t>
      </w:r>
      <w:r w:rsidR="009564AA" w:rsidRPr="00425DC8">
        <w:rPr>
          <w:rStyle w:val="Refdenotaalpie"/>
          <w:rFonts w:ascii="Verdana" w:hAnsi="Verdana"/>
          <w:sz w:val="20"/>
          <w:szCs w:val="20"/>
          <w:lang w:val="es-CR"/>
        </w:rPr>
        <w:footnoteReference w:id="61"/>
      </w:r>
      <w:r w:rsidR="00E02468" w:rsidRPr="00781C7B">
        <w:rPr>
          <w:rFonts w:ascii="Verdana" w:hAnsi="Verdana"/>
          <w:sz w:val="20"/>
          <w:szCs w:val="20"/>
          <w:lang w:val="es-CR"/>
        </w:rPr>
        <w:t>.</w:t>
      </w:r>
    </w:p>
    <w:p w:rsidR="006C1393" w:rsidRPr="00D52D53" w:rsidRDefault="009E77B5"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6C1393">
        <w:rPr>
          <w:rFonts w:ascii="Verdana" w:hAnsi="Verdana"/>
          <w:color w:val="000000"/>
          <w:sz w:val="20"/>
          <w:szCs w:val="20"/>
          <w:lang w:val="es-CR"/>
        </w:rPr>
        <w:t xml:space="preserve">En cuanto a </w:t>
      </w:r>
      <w:r w:rsidR="0065716A">
        <w:rPr>
          <w:rFonts w:ascii="Verdana" w:hAnsi="Verdana"/>
          <w:color w:val="000000"/>
          <w:sz w:val="20"/>
          <w:szCs w:val="20"/>
          <w:lang w:val="es-CR"/>
        </w:rPr>
        <w:t>lo indicado por los representantes respecto a</w:t>
      </w:r>
      <w:r w:rsidRPr="006C1393">
        <w:rPr>
          <w:rFonts w:ascii="Verdana" w:hAnsi="Verdana"/>
          <w:color w:val="000000"/>
          <w:sz w:val="20"/>
          <w:szCs w:val="20"/>
          <w:lang w:val="es-CR"/>
        </w:rPr>
        <w:t xml:space="preserve"> que el Estado no difundió el </w:t>
      </w:r>
      <w:r w:rsidR="002D11C2" w:rsidRPr="006C1393">
        <w:rPr>
          <w:rFonts w:ascii="Verdana" w:hAnsi="Verdana"/>
          <w:color w:val="000000"/>
          <w:sz w:val="20"/>
          <w:szCs w:val="20"/>
          <w:lang w:val="es-CR"/>
        </w:rPr>
        <w:t xml:space="preserve">contenido del </w:t>
      </w:r>
      <w:r w:rsidRPr="006C1393">
        <w:rPr>
          <w:rFonts w:ascii="Verdana" w:hAnsi="Verdana"/>
          <w:color w:val="000000"/>
          <w:sz w:val="20"/>
          <w:szCs w:val="20"/>
          <w:lang w:val="es-CR"/>
        </w:rPr>
        <w:t>resumen oficial de la Sentencia (</w:t>
      </w:r>
      <w:r w:rsidRPr="006C1393">
        <w:rPr>
          <w:rFonts w:ascii="Verdana" w:hAnsi="Verdana"/>
          <w:i/>
          <w:color w:val="000000"/>
          <w:sz w:val="20"/>
          <w:szCs w:val="20"/>
          <w:lang w:val="es-CR"/>
        </w:rPr>
        <w:t>supra</w:t>
      </w:r>
      <w:r w:rsidRPr="006C1393">
        <w:rPr>
          <w:rFonts w:ascii="Verdana" w:hAnsi="Verdana"/>
          <w:color w:val="000000"/>
          <w:sz w:val="20"/>
          <w:szCs w:val="20"/>
          <w:lang w:val="es-CR"/>
        </w:rPr>
        <w:t xml:space="preserve"> Considerando </w:t>
      </w:r>
      <w:r w:rsidR="00615A37">
        <w:rPr>
          <w:rFonts w:ascii="Verdana" w:hAnsi="Verdana"/>
          <w:color w:val="000000"/>
          <w:sz w:val="20"/>
          <w:szCs w:val="20"/>
          <w:lang w:val="es-CR"/>
        </w:rPr>
        <w:t>33</w:t>
      </w:r>
      <w:r w:rsidR="00615A37" w:rsidRPr="006C1393">
        <w:rPr>
          <w:rFonts w:ascii="Verdana" w:hAnsi="Verdana"/>
          <w:color w:val="000000"/>
          <w:sz w:val="20"/>
          <w:szCs w:val="20"/>
          <w:lang w:val="es-CR"/>
        </w:rPr>
        <w:t xml:space="preserve">), </w:t>
      </w:r>
      <w:r w:rsidR="00F62612" w:rsidRPr="006C1393">
        <w:rPr>
          <w:rFonts w:ascii="Verdana" w:hAnsi="Verdana"/>
          <w:color w:val="000000"/>
          <w:sz w:val="20"/>
          <w:szCs w:val="20"/>
          <w:lang w:val="es-CR"/>
        </w:rPr>
        <w:t xml:space="preserve">es </w:t>
      </w:r>
      <w:r w:rsidR="00F62612" w:rsidRPr="006C1393">
        <w:rPr>
          <w:rFonts w:ascii="Verdana" w:hAnsi="Verdana"/>
          <w:sz w:val="20"/>
          <w:szCs w:val="20"/>
          <w:lang w:val="es-CR"/>
        </w:rPr>
        <w:t xml:space="preserve">pertinente aclarar que, según lo dispuesto en </w:t>
      </w:r>
      <w:r w:rsidRPr="006C1393">
        <w:rPr>
          <w:rFonts w:ascii="Verdana" w:hAnsi="Verdana"/>
          <w:sz w:val="20"/>
          <w:szCs w:val="20"/>
          <w:lang w:val="es-CR"/>
        </w:rPr>
        <w:t>el párrafo 429 del Fallo</w:t>
      </w:r>
      <w:r w:rsidR="00F62612" w:rsidRPr="006C1393">
        <w:rPr>
          <w:rFonts w:ascii="Verdana" w:hAnsi="Verdana"/>
          <w:sz w:val="20"/>
          <w:szCs w:val="20"/>
          <w:lang w:val="es-CR"/>
        </w:rPr>
        <w:t xml:space="preserve"> (</w:t>
      </w:r>
      <w:r w:rsidR="00F62612" w:rsidRPr="006C1393">
        <w:rPr>
          <w:rFonts w:ascii="Verdana" w:hAnsi="Verdana"/>
          <w:i/>
          <w:sz w:val="20"/>
          <w:szCs w:val="20"/>
          <w:lang w:val="es-CR"/>
        </w:rPr>
        <w:t xml:space="preserve">supra </w:t>
      </w:r>
      <w:r w:rsidR="00F62612" w:rsidRPr="006C1393">
        <w:rPr>
          <w:rFonts w:ascii="Verdana" w:hAnsi="Verdana"/>
          <w:sz w:val="20"/>
          <w:szCs w:val="20"/>
          <w:lang w:val="es-CR"/>
        </w:rPr>
        <w:t xml:space="preserve">Considerando </w:t>
      </w:r>
      <w:r w:rsidR="00615A37">
        <w:rPr>
          <w:rFonts w:ascii="Verdana" w:hAnsi="Verdana"/>
          <w:sz w:val="20"/>
          <w:szCs w:val="20"/>
          <w:lang w:val="es-CR"/>
        </w:rPr>
        <w:t>28.ii.</w:t>
      </w:r>
      <w:r w:rsidR="00615A37" w:rsidRPr="006C1393">
        <w:rPr>
          <w:rFonts w:ascii="Verdana" w:hAnsi="Verdana"/>
          <w:sz w:val="20"/>
          <w:szCs w:val="20"/>
          <w:lang w:val="es-CR"/>
        </w:rPr>
        <w:t xml:space="preserve">), </w:t>
      </w:r>
      <w:r w:rsidR="00F62612" w:rsidRPr="006C1393">
        <w:rPr>
          <w:rFonts w:ascii="Verdana" w:hAnsi="Verdana"/>
          <w:sz w:val="20"/>
          <w:szCs w:val="20"/>
          <w:lang w:val="es-CR"/>
        </w:rPr>
        <w:t>el cumplimiento de la medida no implica</w:t>
      </w:r>
      <w:r w:rsidR="002D11C2" w:rsidRPr="006C1393">
        <w:rPr>
          <w:rFonts w:ascii="Verdana" w:hAnsi="Verdana"/>
          <w:sz w:val="20"/>
          <w:szCs w:val="20"/>
          <w:lang w:val="es-CR"/>
        </w:rPr>
        <w:t>ba</w:t>
      </w:r>
      <w:r w:rsidR="00F62612" w:rsidRPr="006C1393">
        <w:rPr>
          <w:rFonts w:ascii="Verdana" w:hAnsi="Verdana"/>
          <w:sz w:val="20"/>
          <w:szCs w:val="20"/>
          <w:lang w:val="es-CR"/>
        </w:rPr>
        <w:t xml:space="preserve"> necesariamente difundir radialmente todo el contenido del resumen oficial de la Sentencia, </w:t>
      </w:r>
      <w:r w:rsidR="00D52D53">
        <w:rPr>
          <w:rFonts w:ascii="Verdana" w:hAnsi="Verdana"/>
          <w:sz w:val="20"/>
          <w:szCs w:val="20"/>
          <w:lang w:val="es-CR"/>
        </w:rPr>
        <w:t xml:space="preserve">pero sí que se basara en el mismo para </w:t>
      </w:r>
      <w:r w:rsidR="00F62612" w:rsidRPr="006C1393">
        <w:rPr>
          <w:rFonts w:ascii="Verdana" w:hAnsi="Verdana"/>
          <w:sz w:val="20"/>
          <w:szCs w:val="20"/>
          <w:lang w:val="es-CR"/>
        </w:rPr>
        <w:t xml:space="preserve">dar publicidad a </w:t>
      </w:r>
      <w:r w:rsidR="00D52D53">
        <w:rPr>
          <w:rFonts w:ascii="Verdana" w:hAnsi="Verdana"/>
          <w:sz w:val="20"/>
          <w:szCs w:val="20"/>
          <w:lang w:val="es-CR"/>
        </w:rPr>
        <w:t xml:space="preserve">una parte considerable de la información </w:t>
      </w:r>
      <w:r w:rsidR="00615A37">
        <w:rPr>
          <w:rFonts w:ascii="Verdana" w:hAnsi="Verdana"/>
          <w:sz w:val="20"/>
          <w:szCs w:val="20"/>
          <w:lang w:val="es-CR"/>
        </w:rPr>
        <w:t xml:space="preserve">allí </w:t>
      </w:r>
      <w:r w:rsidR="00D52D53">
        <w:rPr>
          <w:rFonts w:ascii="Verdana" w:hAnsi="Verdana"/>
          <w:sz w:val="20"/>
          <w:szCs w:val="20"/>
          <w:lang w:val="es-CR"/>
        </w:rPr>
        <w:t>comprendida</w:t>
      </w:r>
      <w:r w:rsidR="00F62612" w:rsidRPr="006C1393">
        <w:rPr>
          <w:rFonts w:ascii="Verdana" w:hAnsi="Verdana"/>
          <w:sz w:val="20"/>
          <w:szCs w:val="20"/>
          <w:lang w:val="es-CR"/>
        </w:rPr>
        <w:t xml:space="preserve">. </w:t>
      </w:r>
      <w:r w:rsidR="006C1393" w:rsidRPr="00D52D53">
        <w:rPr>
          <w:rFonts w:ascii="Verdana" w:hAnsi="Verdana"/>
          <w:sz w:val="20"/>
          <w:szCs w:val="20"/>
          <w:lang w:val="es-CR"/>
        </w:rPr>
        <w:t xml:space="preserve">La Corte coincide con los representantes </w:t>
      </w:r>
      <w:r w:rsidR="00615A37">
        <w:rPr>
          <w:rFonts w:ascii="Verdana" w:hAnsi="Verdana"/>
          <w:sz w:val="20"/>
          <w:szCs w:val="20"/>
          <w:lang w:val="es-CR"/>
        </w:rPr>
        <w:t xml:space="preserve">de las víctimas </w:t>
      </w:r>
      <w:r w:rsidR="006C1393" w:rsidRPr="00D52D53">
        <w:rPr>
          <w:rFonts w:ascii="Verdana" w:hAnsi="Verdana"/>
          <w:sz w:val="20"/>
          <w:szCs w:val="20"/>
          <w:lang w:val="es-CR"/>
        </w:rPr>
        <w:t>en que</w:t>
      </w:r>
      <w:r w:rsidR="00615A37">
        <w:rPr>
          <w:rFonts w:ascii="Verdana" w:hAnsi="Verdana"/>
          <w:sz w:val="20"/>
          <w:szCs w:val="20"/>
          <w:lang w:val="es-CR"/>
        </w:rPr>
        <w:t>,</w:t>
      </w:r>
      <w:r w:rsidR="006C1393" w:rsidRPr="00D52D53">
        <w:rPr>
          <w:rFonts w:ascii="Verdana" w:hAnsi="Verdana"/>
          <w:sz w:val="20"/>
          <w:szCs w:val="20"/>
          <w:lang w:val="es-CR"/>
        </w:rPr>
        <w:t xml:space="preserve"> para cumplir con un efecto reparador</w:t>
      </w:r>
      <w:r w:rsidR="00615A37">
        <w:rPr>
          <w:rFonts w:ascii="Verdana" w:hAnsi="Verdana"/>
          <w:sz w:val="20"/>
          <w:szCs w:val="20"/>
          <w:lang w:val="es-CR"/>
        </w:rPr>
        <w:t>,</w:t>
      </w:r>
      <w:r w:rsidR="006C1393" w:rsidRPr="00D52D53">
        <w:rPr>
          <w:rFonts w:ascii="Verdana" w:hAnsi="Verdana"/>
          <w:sz w:val="20"/>
          <w:szCs w:val="20"/>
          <w:lang w:val="es-CR"/>
        </w:rPr>
        <w:t xml:space="preserve"> sería necesario que la radiodifusión no se limite a anunciar la disponibilidad del resumen oficial de la Sentencia en determinadas páginas </w:t>
      </w:r>
      <w:r w:rsidR="006C1393" w:rsidRPr="00FA7305">
        <w:rPr>
          <w:rFonts w:ascii="Verdana" w:hAnsi="Verdana"/>
          <w:i/>
          <w:sz w:val="20"/>
          <w:szCs w:val="20"/>
          <w:lang w:val="es-CR"/>
        </w:rPr>
        <w:t>web</w:t>
      </w:r>
      <w:r w:rsidR="006C1393" w:rsidRPr="00FA7305">
        <w:rPr>
          <w:rFonts w:ascii="Verdana" w:hAnsi="Verdana"/>
          <w:sz w:val="20"/>
          <w:szCs w:val="20"/>
          <w:lang w:val="es-CR"/>
        </w:rPr>
        <w:t xml:space="preserve"> de instituciones estatales, sino que en el mensaje radial se haga también referencia a los principales hechos y violaciones del caso. </w:t>
      </w:r>
      <w:r w:rsidR="002D11C2" w:rsidRPr="00190230">
        <w:rPr>
          <w:rFonts w:ascii="Verdana" w:hAnsi="Verdana"/>
          <w:sz w:val="20"/>
          <w:szCs w:val="20"/>
          <w:lang w:val="es-CR"/>
        </w:rPr>
        <w:t>El mensaje difundido</w:t>
      </w:r>
      <w:r w:rsidR="006C1393" w:rsidRPr="00190230">
        <w:rPr>
          <w:rFonts w:ascii="Verdana" w:hAnsi="Verdana"/>
          <w:sz w:val="20"/>
          <w:szCs w:val="20"/>
          <w:lang w:val="es-CR"/>
        </w:rPr>
        <w:t xml:space="preserve"> por el Estado</w:t>
      </w:r>
      <w:r w:rsidR="002D11C2" w:rsidRPr="00190230">
        <w:rPr>
          <w:rFonts w:ascii="Verdana" w:hAnsi="Verdana"/>
          <w:sz w:val="20"/>
          <w:szCs w:val="20"/>
          <w:lang w:val="es-CR"/>
        </w:rPr>
        <w:t xml:space="preserve"> </w:t>
      </w:r>
      <w:r w:rsidR="006C1393" w:rsidRPr="00190230">
        <w:rPr>
          <w:rFonts w:ascii="Verdana" w:hAnsi="Verdana"/>
          <w:sz w:val="20"/>
          <w:szCs w:val="20"/>
          <w:lang w:val="es-CR"/>
        </w:rPr>
        <w:t xml:space="preserve">cumple con lo anterior, ya que en él </w:t>
      </w:r>
      <w:r w:rsidR="00615A37">
        <w:rPr>
          <w:rFonts w:ascii="Verdana" w:hAnsi="Verdana"/>
          <w:sz w:val="20"/>
          <w:szCs w:val="20"/>
          <w:lang w:val="es-CR"/>
        </w:rPr>
        <w:t xml:space="preserve">se </w:t>
      </w:r>
      <w:r w:rsidR="006C1393" w:rsidRPr="00190230">
        <w:rPr>
          <w:rFonts w:ascii="Verdana" w:hAnsi="Verdana"/>
          <w:sz w:val="20"/>
          <w:szCs w:val="20"/>
          <w:lang w:val="es-CR"/>
        </w:rPr>
        <w:t>hizo referencia a la Sentencia dictada por la Corte Interamericana en el presente caso</w:t>
      </w:r>
      <w:r w:rsidR="0065716A" w:rsidRPr="00190230">
        <w:rPr>
          <w:rFonts w:ascii="Verdana" w:hAnsi="Verdana"/>
          <w:sz w:val="20"/>
          <w:szCs w:val="20"/>
          <w:lang w:val="es-CR"/>
        </w:rPr>
        <w:t xml:space="preserve">, indicando que </w:t>
      </w:r>
      <w:r w:rsidR="00615A37">
        <w:rPr>
          <w:rFonts w:ascii="Verdana" w:hAnsi="Verdana"/>
          <w:sz w:val="20"/>
          <w:szCs w:val="20"/>
          <w:lang w:val="es-CR"/>
        </w:rPr>
        <w:t>é</w:t>
      </w:r>
      <w:r w:rsidR="0065716A" w:rsidRPr="00190230">
        <w:rPr>
          <w:rFonts w:ascii="Verdana" w:hAnsi="Verdana"/>
          <w:sz w:val="20"/>
          <w:szCs w:val="20"/>
          <w:lang w:val="es-CR"/>
        </w:rPr>
        <w:t>sta se emitió</w:t>
      </w:r>
      <w:r w:rsidR="006C1393" w:rsidRPr="002846DD">
        <w:rPr>
          <w:rFonts w:ascii="Verdana" w:hAnsi="Verdana"/>
          <w:sz w:val="20"/>
          <w:szCs w:val="20"/>
          <w:lang w:val="es-CR"/>
        </w:rPr>
        <w:t xml:space="preserve"> “por aplicación discriminatoria de la Ley Antiterrorista contra dirigente</w:t>
      </w:r>
      <w:r w:rsidR="0065716A" w:rsidRPr="00DD37FC">
        <w:rPr>
          <w:rFonts w:ascii="Verdana" w:hAnsi="Verdana"/>
          <w:sz w:val="20"/>
          <w:szCs w:val="20"/>
          <w:lang w:val="es-CR"/>
        </w:rPr>
        <w:t>s y lonkos del pueblo mapuche”; se hace referencia a</w:t>
      </w:r>
      <w:r w:rsidR="006C1393" w:rsidRPr="00DB36D7">
        <w:rPr>
          <w:rFonts w:ascii="Verdana" w:hAnsi="Verdana"/>
          <w:sz w:val="20"/>
          <w:szCs w:val="20"/>
          <w:lang w:val="es-CR"/>
        </w:rPr>
        <w:t xml:space="preserve"> qu</w:t>
      </w:r>
      <w:r w:rsidR="0065716A" w:rsidRPr="00A47A4B">
        <w:rPr>
          <w:rFonts w:ascii="Verdana" w:hAnsi="Verdana"/>
          <w:sz w:val="20"/>
          <w:szCs w:val="20"/>
          <w:lang w:val="es-CR"/>
        </w:rPr>
        <w:t xml:space="preserve">iénes son las </w:t>
      </w:r>
      <w:r w:rsidR="00615A37">
        <w:rPr>
          <w:rFonts w:ascii="Verdana" w:hAnsi="Verdana"/>
          <w:sz w:val="20"/>
          <w:szCs w:val="20"/>
          <w:lang w:val="es-CR"/>
        </w:rPr>
        <w:t xml:space="preserve">ocho </w:t>
      </w:r>
      <w:r w:rsidR="0065716A" w:rsidRPr="00A47A4B">
        <w:rPr>
          <w:rFonts w:ascii="Verdana" w:hAnsi="Verdana"/>
          <w:sz w:val="20"/>
          <w:szCs w:val="20"/>
          <w:lang w:val="es-CR"/>
        </w:rPr>
        <w:t xml:space="preserve">víctimas del caso, así como </w:t>
      </w:r>
      <w:r w:rsidR="006C1393" w:rsidRPr="003B2A92">
        <w:rPr>
          <w:rFonts w:ascii="Verdana" w:hAnsi="Verdana"/>
          <w:sz w:val="20"/>
          <w:szCs w:val="20"/>
          <w:lang w:val="es-CR"/>
        </w:rPr>
        <w:t>a la “disp[osición] de medidas tendientes a</w:t>
      </w:r>
      <w:r w:rsidR="006C1393" w:rsidRPr="00E936A1">
        <w:rPr>
          <w:rFonts w:ascii="Verdana" w:hAnsi="Verdana"/>
          <w:sz w:val="20"/>
          <w:szCs w:val="20"/>
          <w:lang w:val="es-CR"/>
        </w:rPr>
        <w:t xml:space="preserve"> [su] completa reparación”</w:t>
      </w:r>
      <w:r w:rsidR="0065716A" w:rsidRPr="00E936A1">
        <w:rPr>
          <w:rFonts w:ascii="Verdana" w:hAnsi="Verdana"/>
          <w:sz w:val="20"/>
          <w:szCs w:val="20"/>
          <w:lang w:val="es-CR"/>
        </w:rPr>
        <w:t xml:space="preserve"> por parte de </w:t>
      </w:r>
      <w:r w:rsidR="00615A37">
        <w:rPr>
          <w:rFonts w:ascii="Verdana" w:hAnsi="Verdana"/>
          <w:sz w:val="20"/>
          <w:szCs w:val="20"/>
          <w:lang w:val="es-CR"/>
        </w:rPr>
        <w:t>e</w:t>
      </w:r>
      <w:r w:rsidR="0065716A" w:rsidRPr="00E936A1">
        <w:rPr>
          <w:rFonts w:ascii="Verdana" w:hAnsi="Verdana"/>
          <w:sz w:val="20"/>
          <w:szCs w:val="20"/>
          <w:lang w:val="es-CR"/>
        </w:rPr>
        <w:t>ste Tribunal. También, cumple con</w:t>
      </w:r>
      <w:r w:rsidR="006C1393" w:rsidRPr="00A959D1">
        <w:rPr>
          <w:rFonts w:ascii="Verdana" w:hAnsi="Verdana"/>
          <w:sz w:val="20"/>
          <w:szCs w:val="20"/>
          <w:lang w:val="es-CR"/>
        </w:rPr>
        <w:t xml:space="preserve"> da</w:t>
      </w:r>
      <w:r w:rsidR="0065716A" w:rsidRPr="00A3724C">
        <w:rPr>
          <w:rFonts w:ascii="Verdana" w:hAnsi="Verdana"/>
          <w:sz w:val="20"/>
          <w:szCs w:val="20"/>
          <w:lang w:val="es-CR"/>
        </w:rPr>
        <w:t>r</w:t>
      </w:r>
      <w:r w:rsidR="006C1393" w:rsidRPr="00A3724C">
        <w:rPr>
          <w:rFonts w:ascii="Verdana" w:hAnsi="Verdana"/>
          <w:sz w:val="20"/>
          <w:szCs w:val="20"/>
          <w:lang w:val="es-CR"/>
        </w:rPr>
        <w:t xml:space="preserve"> publicidad a la Sentencia al indicar que “[e]l fallo íntegro de la </w:t>
      </w:r>
      <w:proofErr w:type="gramStart"/>
      <w:r w:rsidR="006C1393" w:rsidRPr="00A3724C">
        <w:rPr>
          <w:rFonts w:ascii="Verdana" w:hAnsi="Verdana"/>
          <w:sz w:val="20"/>
          <w:szCs w:val="20"/>
          <w:lang w:val="es-CR"/>
        </w:rPr>
        <w:t>Corte</w:t>
      </w:r>
      <w:proofErr w:type="gramEnd"/>
      <w:r w:rsidR="006C1393" w:rsidRPr="00A3724C">
        <w:rPr>
          <w:rFonts w:ascii="Verdana" w:hAnsi="Verdana"/>
          <w:sz w:val="20"/>
          <w:szCs w:val="20"/>
          <w:lang w:val="es-CR"/>
        </w:rPr>
        <w:t xml:space="preserve"> así como su resumen oficial, tanto en español como en mapudungun, se encuentran disponibles en las págin</w:t>
      </w:r>
      <w:r w:rsidR="006C1393" w:rsidRPr="00D64F41">
        <w:rPr>
          <w:rFonts w:ascii="Verdana" w:hAnsi="Verdana"/>
          <w:sz w:val="20"/>
          <w:szCs w:val="20"/>
          <w:lang w:val="es-CR"/>
        </w:rPr>
        <w:t xml:space="preserve">as </w:t>
      </w:r>
      <w:r w:rsidR="006C1393" w:rsidRPr="00903DE2">
        <w:rPr>
          <w:rFonts w:ascii="Verdana" w:hAnsi="Verdana"/>
          <w:i/>
          <w:sz w:val="20"/>
          <w:szCs w:val="20"/>
          <w:lang w:val="es-CR"/>
        </w:rPr>
        <w:t>web</w:t>
      </w:r>
      <w:r w:rsidR="006C1393" w:rsidRPr="00D64F41">
        <w:rPr>
          <w:rFonts w:ascii="Verdana" w:hAnsi="Verdana"/>
          <w:sz w:val="20"/>
          <w:szCs w:val="20"/>
          <w:lang w:val="es-CR"/>
        </w:rPr>
        <w:t xml:space="preserve"> de los ministerios de Relaciones Exteriores, de Justicia, de Desarrollo Social, y materialmente en las oficinas de información de CONADI en todo el país”. Además, resulta positivo que en el mensaje </w:t>
      </w:r>
      <w:r w:rsidR="00615A37">
        <w:rPr>
          <w:rFonts w:ascii="Verdana" w:hAnsi="Verdana"/>
          <w:sz w:val="20"/>
          <w:szCs w:val="20"/>
          <w:lang w:val="es-CR"/>
        </w:rPr>
        <w:t xml:space="preserve">radial </w:t>
      </w:r>
      <w:r w:rsidR="006C1393" w:rsidRPr="00D64F41">
        <w:rPr>
          <w:rFonts w:ascii="Verdana" w:hAnsi="Verdana"/>
          <w:sz w:val="20"/>
          <w:szCs w:val="20"/>
          <w:lang w:val="es-CR"/>
        </w:rPr>
        <w:t>el Estado haya incluido una referencia a que “lame</w:t>
      </w:r>
      <w:r w:rsidR="006C1393" w:rsidRPr="0041013A">
        <w:rPr>
          <w:rFonts w:ascii="Verdana" w:hAnsi="Verdana"/>
          <w:sz w:val="20"/>
          <w:szCs w:val="20"/>
          <w:lang w:val="es-CR"/>
        </w:rPr>
        <w:t>nta la vulneración de derechos de las víctimas, [y que] reafirma su compromiso de continuar trabajando por el respeto y la promoción de los Derechos Humanos, el fortalecimiento del Sistema Interamericano de Derechos Humanos y la promoción de los derechos de los pueblos indígenas en Chile”.</w:t>
      </w:r>
    </w:p>
    <w:p w:rsidR="003D7D9C" w:rsidRDefault="00732926" w:rsidP="00857630">
      <w:pPr>
        <w:numPr>
          <w:ilvl w:val="0"/>
          <w:numId w:val="28"/>
        </w:numPr>
        <w:spacing w:before="120" w:after="120" w:line="240" w:lineRule="auto"/>
        <w:ind w:left="0" w:firstLine="0"/>
        <w:jc w:val="both"/>
        <w:rPr>
          <w:rFonts w:ascii="Verdana" w:hAnsi="Verdana"/>
          <w:sz w:val="20"/>
          <w:szCs w:val="20"/>
          <w:lang w:val="es-CR"/>
        </w:rPr>
      </w:pPr>
      <w:r>
        <w:rPr>
          <w:rFonts w:ascii="Verdana" w:hAnsi="Verdana"/>
          <w:color w:val="000000"/>
          <w:sz w:val="20"/>
          <w:szCs w:val="20"/>
          <w:lang w:val="es-CR"/>
        </w:rPr>
        <w:t xml:space="preserve">Por otra </w:t>
      </w:r>
      <w:r w:rsidRPr="00915A0B">
        <w:rPr>
          <w:rFonts w:ascii="Verdana" w:hAnsi="Verdana"/>
          <w:sz w:val="20"/>
          <w:szCs w:val="20"/>
          <w:lang w:val="es-CR"/>
        </w:rPr>
        <w:t xml:space="preserve">parte, </w:t>
      </w:r>
      <w:r w:rsidR="00184C35">
        <w:rPr>
          <w:rFonts w:ascii="Verdana" w:hAnsi="Verdana"/>
          <w:sz w:val="20"/>
          <w:szCs w:val="20"/>
          <w:lang w:val="es-CR"/>
        </w:rPr>
        <w:t xml:space="preserve">en cuanto a </w:t>
      </w:r>
      <w:r w:rsidR="0065716A">
        <w:rPr>
          <w:rFonts w:ascii="Verdana" w:hAnsi="Verdana"/>
          <w:sz w:val="20"/>
          <w:szCs w:val="20"/>
          <w:lang w:val="es-CR"/>
        </w:rPr>
        <w:t>lo sostenido por los representantes sobre</w:t>
      </w:r>
      <w:r w:rsidR="00184C35">
        <w:rPr>
          <w:rFonts w:ascii="Verdana" w:hAnsi="Verdana"/>
          <w:sz w:val="20"/>
          <w:szCs w:val="20"/>
          <w:lang w:val="es-CR"/>
        </w:rPr>
        <w:t xml:space="preserve"> </w:t>
      </w:r>
      <w:r w:rsidR="0065716A">
        <w:rPr>
          <w:rFonts w:ascii="Verdana" w:hAnsi="Verdana"/>
          <w:sz w:val="20"/>
          <w:szCs w:val="20"/>
          <w:lang w:val="es-CR"/>
        </w:rPr>
        <w:t>e</w:t>
      </w:r>
      <w:r w:rsidR="00184C35">
        <w:rPr>
          <w:rFonts w:ascii="Verdana" w:hAnsi="Verdana"/>
          <w:sz w:val="20"/>
          <w:szCs w:val="20"/>
          <w:lang w:val="es-CR"/>
        </w:rPr>
        <w:t xml:space="preserve">l </w:t>
      </w:r>
      <w:r w:rsidR="00184C35" w:rsidRPr="00184C35">
        <w:rPr>
          <w:rFonts w:ascii="Verdana" w:hAnsi="Verdana"/>
          <w:sz w:val="20"/>
          <w:szCs w:val="20"/>
          <w:lang w:val="es-CR"/>
        </w:rPr>
        <w:t>alcance de las radio</w:t>
      </w:r>
      <w:r w:rsidR="00D52D53">
        <w:rPr>
          <w:rFonts w:ascii="Verdana" w:hAnsi="Verdana"/>
          <w:sz w:val="20"/>
          <w:szCs w:val="20"/>
          <w:lang w:val="es-CR"/>
        </w:rPr>
        <w:t>emisoras</w:t>
      </w:r>
      <w:r w:rsidR="00184C35" w:rsidRPr="00184C35">
        <w:rPr>
          <w:rFonts w:ascii="Verdana" w:hAnsi="Verdana"/>
          <w:sz w:val="20"/>
          <w:szCs w:val="20"/>
          <w:lang w:val="es-CR"/>
        </w:rPr>
        <w:t xml:space="preserve"> utilizadas para la difusión en las comunidades de las víctimas</w:t>
      </w:r>
      <w:r w:rsidR="003D7D9C">
        <w:rPr>
          <w:rFonts w:ascii="Verdana" w:hAnsi="Verdana"/>
          <w:sz w:val="20"/>
          <w:szCs w:val="20"/>
          <w:lang w:val="es-CR"/>
        </w:rPr>
        <w:t xml:space="preserve"> (</w:t>
      </w:r>
      <w:r w:rsidR="003D7D9C" w:rsidRPr="003D7D9C">
        <w:rPr>
          <w:rFonts w:ascii="Verdana" w:hAnsi="Verdana"/>
          <w:i/>
          <w:sz w:val="20"/>
          <w:szCs w:val="20"/>
          <w:lang w:val="es-CR"/>
        </w:rPr>
        <w:t xml:space="preserve">supra </w:t>
      </w:r>
      <w:r w:rsidR="003D7D9C">
        <w:rPr>
          <w:rFonts w:ascii="Verdana" w:hAnsi="Verdana"/>
          <w:sz w:val="20"/>
          <w:szCs w:val="20"/>
          <w:lang w:val="es-CR"/>
        </w:rPr>
        <w:t xml:space="preserve">Considerando </w:t>
      </w:r>
      <w:r w:rsidR="00615A37">
        <w:rPr>
          <w:rFonts w:ascii="Verdana" w:hAnsi="Verdana"/>
          <w:sz w:val="20"/>
          <w:szCs w:val="20"/>
          <w:lang w:val="es-CR"/>
        </w:rPr>
        <w:t xml:space="preserve">33), </w:t>
      </w:r>
      <w:r w:rsidR="00184C35">
        <w:rPr>
          <w:rFonts w:ascii="Verdana" w:hAnsi="Verdana"/>
          <w:sz w:val="20"/>
          <w:szCs w:val="20"/>
          <w:lang w:val="es-CR"/>
        </w:rPr>
        <w:t>la Corte recuerda que</w:t>
      </w:r>
      <w:r w:rsidR="0065716A">
        <w:rPr>
          <w:rFonts w:ascii="Verdana" w:hAnsi="Verdana"/>
          <w:sz w:val="20"/>
          <w:szCs w:val="20"/>
          <w:lang w:val="es-CR"/>
        </w:rPr>
        <w:t>,</w:t>
      </w:r>
      <w:r w:rsidR="00184C35">
        <w:rPr>
          <w:rFonts w:ascii="Verdana" w:hAnsi="Verdana"/>
          <w:sz w:val="20"/>
          <w:szCs w:val="20"/>
          <w:lang w:val="es-CR"/>
        </w:rPr>
        <w:t xml:space="preserve"> según la Sentencia</w:t>
      </w:r>
      <w:r w:rsidR="0065716A">
        <w:rPr>
          <w:rFonts w:ascii="Verdana" w:hAnsi="Verdana"/>
          <w:sz w:val="20"/>
          <w:szCs w:val="20"/>
          <w:lang w:val="es-CR"/>
        </w:rPr>
        <w:t>,</w:t>
      </w:r>
      <w:r w:rsidR="00184C35">
        <w:rPr>
          <w:rFonts w:ascii="Verdana" w:hAnsi="Verdana"/>
          <w:sz w:val="20"/>
          <w:szCs w:val="20"/>
          <w:lang w:val="es-CR"/>
        </w:rPr>
        <w:t xml:space="preserve"> el Estado debía realizar la radio difusión </w:t>
      </w:r>
      <w:r w:rsidR="00184C35">
        <w:rPr>
          <w:rFonts w:ascii="Verdana" w:hAnsi="Verdana"/>
          <w:color w:val="000000"/>
          <w:sz w:val="20"/>
          <w:szCs w:val="20"/>
          <w:lang w:val="es-CR"/>
        </w:rPr>
        <w:t xml:space="preserve">en “una </w:t>
      </w:r>
      <w:r w:rsidR="00184C35" w:rsidRPr="007A1771">
        <w:rPr>
          <w:rFonts w:ascii="Verdana" w:eastAsia="Times New Roman" w:hAnsi="Verdana"/>
          <w:sz w:val="20"/>
          <w:szCs w:val="20"/>
          <w:lang w:val="es-ES_tradnl" w:eastAsia="es-ES"/>
        </w:rPr>
        <w:t>emisora radial de amplia cobertura</w:t>
      </w:r>
      <w:r w:rsidR="00EA0670">
        <w:rPr>
          <w:rFonts w:ascii="Verdana" w:eastAsia="Times New Roman" w:hAnsi="Verdana"/>
          <w:sz w:val="20"/>
          <w:szCs w:val="20"/>
          <w:lang w:val="es-ES_tradnl" w:eastAsia="es-ES"/>
        </w:rPr>
        <w:t xml:space="preserve"> </w:t>
      </w:r>
      <w:r w:rsidR="00EA0670" w:rsidRPr="007A1771">
        <w:rPr>
          <w:rFonts w:ascii="Verdana" w:eastAsia="Times New Roman" w:hAnsi="Verdana"/>
          <w:sz w:val="20"/>
          <w:szCs w:val="20"/>
          <w:lang w:val="es-ES_tradnl" w:eastAsia="es-ES"/>
        </w:rPr>
        <w:t>en las Regiones Octava y Novena</w:t>
      </w:r>
      <w:r w:rsidR="00184C35">
        <w:rPr>
          <w:rFonts w:ascii="Verdana" w:eastAsia="Times New Roman" w:hAnsi="Verdana"/>
          <w:sz w:val="20"/>
          <w:szCs w:val="20"/>
          <w:lang w:val="es-ES_tradnl" w:eastAsia="es-ES"/>
        </w:rPr>
        <w:t>”</w:t>
      </w:r>
      <w:r w:rsidR="00DE6539">
        <w:rPr>
          <w:rFonts w:ascii="Verdana" w:eastAsia="Times New Roman" w:hAnsi="Verdana"/>
          <w:sz w:val="20"/>
          <w:szCs w:val="20"/>
          <w:lang w:val="es-ES_tradnl" w:eastAsia="es-ES"/>
        </w:rPr>
        <w:t>, lo cual, contrario a lo sostenido por la representante Myriam Reyes (</w:t>
      </w:r>
      <w:r w:rsidR="00DE6539" w:rsidRPr="00BB7671">
        <w:rPr>
          <w:rFonts w:ascii="Verdana" w:eastAsia="Times New Roman" w:hAnsi="Verdana"/>
          <w:i/>
          <w:sz w:val="20"/>
          <w:szCs w:val="20"/>
          <w:lang w:val="es-ES_tradnl" w:eastAsia="es-ES"/>
        </w:rPr>
        <w:t>supra</w:t>
      </w:r>
      <w:r w:rsidR="00DE6539">
        <w:rPr>
          <w:rFonts w:ascii="Verdana" w:eastAsia="Times New Roman" w:hAnsi="Verdana"/>
          <w:sz w:val="20"/>
          <w:szCs w:val="20"/>
          <w:lang w:val="es-ES_tradnl" w:eastAsia="es-ES"/>
        </w:rPr>
        <w:t xml:space="preserve"> nota al pie </w:t>
      </w:r>
      <w:r w:rsidR="00615A37">
        <w:rPr>
          <w:rFonts w:ascii="Verdana" w:eastAsia="Times New Roman" w:hAnsi="Verdana"/>
          <w:sz w:val="20"/>
          <w:szCs w:val="20"/>
          <w:lang w:val="es-ES_tradnl" w:eastAsia="es-ES"/>
        </w:rPr>
        <w:t xml:space="preserve">59), </w:t>
      </w:r>
      <w:r w:rsidR="00DE6539">
        <w:rPr>
          <w:rFonts w:ascii="Verdana" w:eastAsia="Times New Roman" w:hAnsi="Verdana"/>
          <w:sz w:val="20"/>
          <w:szCs w:val="20"/>
          <w:lang w:val="es-ES_tradnl" w:eastAsia="es-ES"/>
        </w:rPr>
        <w:t xml:space="preserve">no necesariamente implicaba que la difusión </w:t>
      </w:r>
      <w:r w:rsidR="00DE6539">
        <w:rPr>
          <w:rFonts w:ascii="Verdana" w:hAnsi="Verdana"/>
          <w:sz w:val="20"/>
          <w:szCs w:val="20"/>
          <w:lang w:val="es-CR"/>
        </w:rPr>
        <w:t xml:space="preserve">debiera </w:t>
      </w:r>
      <w:r w:rsidR="00DE6539" w:rsidRPr="007A1771">
        <w:rPr>
          <w:rFonts w:ascii="Verdana" w:hAnsi="Verdana"/>
          <w:sz w:val="20"/>
          <w:szCs w:val="20"/>
          <w:lang w:val="es-CR"/>
        </w:rPr>
        <w:t>ser</w:t>
      </w:r>
      <w:r w:rsidR="00DE6539">
        <w:rPr>
          <w:rFonts w:ascii="Verdana" w:hAnsi="Verdana"/>
          <w:sz w:val="20"/>
          <w:szCs w:val="20"/>
          <w:lang w:val="es-CR"/>
        </w:rPr>
        <w:t xml:space="preserve"> realizada</w:t>
      </w:r>
      <w:r w:rsidR="00DE6539" w:rsidRPr="007A1771">
        <w:rPr>
          <w:rFonts w:ascii="Verdana" w:hAnsi="Verdana"/>
          <w:sz w:val="20"/>
          <w:szCs w:val="20"/>
          <w:lang w:val="es-CR"/>
        </w:rPr>
        <w:t xml:space="preserve"> en la radio</w:t>
      </w:r>
      <w:r w:rsidR="00DE6539">
        <w:rPr>
          <w:rFonts w:ascii="Verdana" w:hAnsi="Verdana"/>
          <w:sz w:val="20"/>
          <w:szCs w:val="20"/>
          <w:lang w:val="es-CR"/>
        </w:rPr>
        <w:t xml:space="preserve"> emisora</w:t>
      </w:r>
      <w:r w:rsidR="00DE6539" w:rsidRPr="007A1771">
        <w:rPr>
          <w:rFonts w:ascii="Verdana" w:hAnsi="Verdana"/>
          <w:sz w:val="20"/>
          <w:szCs w:val="20"/>
          <w:lang w:val="es-CR"/>
        </w:rPr>
        <w:t xml:space="preserve"> con mayor cantidad de filiales o </w:t>
      </w:r>
      <w:r w:rsidR="00DE6539">
        <w:rPr>
          <w:rFonts w:ascii="Verdana" w:hAnsi="Verdana"/>
          <w:sz w:val="20"/>
          <w:szCs w:val="20"/>
          <w:lang w:val="es-CR"/>
        </w:rPr>
        <w:t xml:space="preserve">de </w:t>
      </w:r>
      <w:r w:rsidR="00DE6539" w:rsidRPr="007A1771">
        <w:rPr>
          <w:rFonts w:ascii="Verdana" w:hAnsi="Verdana"/>
          <w:sz w:val="20"/>
          <w:szCs w:val="20"/>
          <w:lang w:val="es-CR"/>
        </w:rPr>
        <w:t xml:space="preserve">primera sintonía </w:t>
      </w:r>
      <w:r w:rsidR="00DE6539">
        <w:rPr>
          <w:rFonts w:ascii="Verdana" w:hAnsi="Verdana"/>
          <w:sz w:val="20"/>
          <w:szCs w:val="20"/>
          <w:lang w:val="es-CR"/>
        </w:rPr>
        <w:t xml:space="preserve">en esas regiones </w:t>
      </w:r>
      <w:r w:rsidR="00DE6539" w:rsidRPr="007A1771">
        <w:rPr>
          <w:rFonts w:ascii="Verdana" w:hAnsi="Verdana"/>
          <w:sz w:val="20"/>
          <w:szCs w:val="20"/>
          <w:lang w:val="es-CR"/>
        </w:rPr>
        <w:t>del país</w:t>
      </w:r>
      <w:r w:rsidR="00DE6539">
        <w:rPr>
          <w:rFonts w:ascii="Verdana" w:eastAsia="Times New Roman" w:hAnsi="Verdana"/>
          <w:sz w:val="20"/>
          <w:szCs w:val="20"/>
          <w:lang w:val="es-ES_tradnl" w:eastAsia="es-ES"/>
        </w:rPr>
        <w:t xml:space="preserve">. En lugar de escoger una </w:t>
      </w:r>
      <w:r w:rsidR="0065716A">
        <w:rPr>
          <w:rFonts w:ascii="Verdana" w:eastAsia="Times New Roman" w:hAnsi="Verdana"/>
          <w:sz w:val="20"/>
          <w:szCs w:val="20"/>
          <w:lang w:val="es-ES_tradnl" w:eastAsia="es-ES"/>
        </w:rPr>
        <w:t xml:space="preserve">sola </w:t>
      </w:r>
      <w:r w:rsidR="00DE6539">
        <w:rPr>
          <w:rFonts w:ascii="Verdana" w:eastAsia="Times New Roman" w:hAnsi="Verdana"/>
          <w:sz w:val="20"/>
          <w:szCs w:val="20"/>
          <w:lang w:val="es-ES_tradnl" w:eastAsia="es-ES"/>
        </w:rPr>
        <w:t>emisora radial, p</w:t>
      </w:r>
      <w:r w:rsidR="00184C35">
        <w:rPr>
          <w:rFonts w:ascii="Verdana" w:eastAsia="Times New Roman" w:hAnsi="Verdana"/>
          <w:sz w:val="20"/>
          <w:szCs w:val="20"/>
          <w:lang w:val="es-ES_tradnl" w:eastAsia="es-ES"/>
        </w:rPr>
        <w:t xml:space="preserve">ara </w:t>
      </w:r>
      <w:r w:rsidR="00DE6539">
        <w:rPr>
          <w:rFonts w:ascii="Verdana" w:eastAsia="Times New Roman" w:hAnsi="Verdana"/>
          <w:sz w:val="20"/>
          <w:szCs w:val="20"/>
          <w:lang w:val="es-ES_tradnl" w:eastAsia="es-ES"/>
        </w:rPr>
        <w:t>la</w:t>
      </w:r>
      <w:r w:rsidR="00184C35">
        <w:rPr>
          <w:rFonts w:ascii="Verdana" w:eastAsia="Times New Roman" w:hAnsi="Verdana"/>
          <w:sz w:val="20"/>
          <w:szCs w:val="20"/>
          <w:lang w:val="es-ES_tradnl" w:eastAsia="es-ES"/>
        </w:rPr>
        <w:t xml:space="preserve"> ejecución </w:t>
      </w:r>
      <w:r w:rsidR="00DE6539">
        <w:rPr>
          <w:rFonts w:ascii="Verdana" w:eastAsia="Times New Roman" w:hAnsi="Verdana"/>
          <w:sz w:val="20"/>
          <w:szCs w:val="20"/>
          <w:lang w:val="es-ES_tradnl" w:eastAsia="es-ES"/>
        </w:rPr>
        <w:t xml:space="preserve">de este extremo de la </w:t>
      </w:r>
      <w:proofErr w:type="gramStart"/>
      <w:r w:rsidR="00DE6539">
        <w:rPr>
          <w:rFonts w:ascii="Verdana" w:eastAsia="Times New Roman" w:hAnsi="Verdana"/>
          <w:sz w:val="20"/>
          <w:szCs w:val="20"/>
          <w:lang w:val="es-ES_tradnl" w:eastAsia="es-ES"/>
        </w:rPr>
        <w:t>reparación ,</w:t>
      </w:r>
      <w:proofErr w:type="gramEnd"/>
      <w:r w:rsidR="00DE6539">
        <w:rPr>
          <w:rFonts w:ascii="Verdana" w:eastAsia="Times New Roman" w:hAnsi="Verdana"/>
          <w:sz w:val="20"/>
          <w:szCs w:val="20"/>
          <w:lang w:val="es-ES_tradnl" w:eastAsia="es-ES"/>
        </w:rPr>
        <w:t xml:space="preserve"> </w:t>
      </w:r>
      <w:r w:rsidR="00184C35">
        <w:rPr>
          <w:rFonts w:ascii="Verdana" w:eastAsia="Times New Roman" w:hAnsi="Verdana"/>
          <w:sz w:val="20"/>
          <w:szCs w:val="20"/>
          <w:lang w:val="es-ES_tradnl" w:eastAsia="es-ES"/>
        </w:rPr>
        <w:t xml:space="preserve">el Estado realizó la difusión en </w:t>
      </w:r>
      <w:r w:rsidR="00CA03F2">
        <w:rPr>
          <w:rFonts w:ascii="Verdana" w:eastAsia="Times New Roman" w:hAnsi="Verdana"/>
          <w:sz w:val="20"/>
          <w:szCs w:val="20"/>
          <w:lang w:val="es-ES_tradnl" w:eastAsia="es-ES"/>
        </w:rPr>
        <w:t>8</w:t>
      </w:r>
      <w:r w:rsidR="00184C35">
        <w:rPr>
          <w:rFonts w:ascii="Verdana" w:eastAsia="Times New Roman" w:hAnsi="Verdana"/>
          <w:sz w:val="20"/>
          <w:szCs w:val="20"/>
          <w:lang w:val="es-ES_tradnl" w:eastAsia="es-ES"/>
        </w:rPr>
        <w:t xml:space="preserve">6 radioemisoras que tienen cobertura en </w:t>
      </w:r>
      <w:r w:rsidR="00CA03F2">
        <w:rPr>
          <w:rFonts w:ascii="Verdana" w:eastAsia="Times New Roman" w:hAnsi="Verdana"/>
          <w:sz w:val="20"/>
          <w:szCs w:val="20"/>
          <w:lang w:val="es-ES_tradnl" w:eastAsia="es-ES"/>
        </w:rPr>
        <w:t xml:space="preserve">dichas regiones (45 de ellas en la Octava </w:t>
      </w:r>
      <w:r w:rsidR="00CA03F2">
        <w:rPr>
          <w:rFonts w:ascii="Verdana" w:eastAsia="Times New Roman" w:hAnsi="Verdana"/>
          <w:sz w:val="20"/>
          <w:szCs w:val="20"/>
          <w:lang w:val="es-ES_tradnl" w:eastAsia="es-ES"/>
        </w:rPr>
        <w:lastRenderedPageBreak/>
        <w:t xml:space="preserve">Región y </w:t>
      </w:r>
      <w:r w:rsidR="0065716A">
        <w:rPr>
          <w:rFonts w:ascii="Verdana" w:eastAsia="Times New Roman" w:hAnsi="Verdana"/>
          <w:sz w:val="20"/>
          <w:szCs w:val="20"/>
          <w:lang w:val="es-ES_tradnl" w:eastAsia="es-ES"/>
        </w:rPr>
        <w:t>41 en la Novena Región),</w:t>
      </w:r>
      <w:r w:rsidR="00E65C87">
        <w:rPr>
          <w:rFonts w:ascii="Verdana" w:eastAsia="Times New Roman" w:hAnsi="Verdana"/>
          <w:sz w:val="20"/>
          <w:szCs w:val="20"/>
          <w:lang w:val="es-ES_tradnl" w:eastAsia="es-ES"/>
        </w:rPr>
        <w:t xml:space="preserve"> </w:t>
      </w:r>
      <w:r w:rsidR="0065716A">
        <w:rPr>
          <w:rFonts w:ascii="Verdana" w:eastAsia="Times New Roman" w:hAnsi="Verdana"/>
          <w:sz w:val="20"/>
          <w:szCs w:val="20"/>
          <w:lang w:val="es-ES_tradnl" w:eastAsia="es-ES"/>
        </w:rPr>
        <w:t>con lo cual</w:t>
      </w:r>
      <w:r w:rsidR="00E65C87">
        <w:rPr>
          <w:rFonts w:ascii="Verdana" w:eastAsia="Times New Roman" w:hAnsi="Verdana"/>
          <w:sz w:val="20"/>
          <w:szCs w:val="20"/>
          <w:lang w:val="es-ES_tradnl" w:eastAsia="es-ES"/>
        </w:rPr>
        <w:t xml:space="preserve"> </w:t>
      </w:r>
      <w:r w:rsidR="00EA0670">
        <w:rPr>
          <w:rFonts w:ascii="Verdana" w:eastAsia="Times New Roman" w:hAnsi="Verdana"/>
          <w:sz w:val="20"/>
          <w:szCs w:val="20"/>
          <w:lang w:val="es-ES_tradnl" w:eastAsia="es-ES"/>
        </w:rPr>
        <w:t xml:space="preserve">la Corte considera </w:t>
      </w:r>
      <w:r w:rsidR="0065716A">
        <w:rPr>
          <w:rFonts w:ascii="Verdana" w:eastAsia="Times New Roman" w:hAnsi="Verdana"/>
          <w:sz w:val="20"/>
          <w:szCs w:val="20"/>
          <w:lang w:val="es-ES_tradnl" w:eastAsia="es-ES"/>
        </w:rPr>
        <w:t>Chile dio una adecuada cobertura</w:t>
      </w:r>
      <w:r w:rsidR="00615A37" w:rsidRPr="00615A37">
        <w:rPr>
          <w:rFonts w:ascii="Verdana" w:eastAsia="Times New Roman" w:hAnsi="Verdana"/>
          <w:sz w:val="20"/>
          <w:szCs w:val="20"/>
          <w:lang w:val="es-ES_tradnl" w:eastAsia="es-ES"/>
        </w:rPr>
        <w:t xml:space="preserve"> </w:t>
      </w:r>
      <w:r w:rsidR="00595160">
        <w:rPr>
          <w:rFonts w:ascii="Verdana" w:eastAsia="Times New Roman" w:hAnsi="Verdana"/>
          <w:sz w:val="20"/>
          <w:szCs w:val="20"/>
          <w:lang w:val="es-ES_tradnl" w:eastAsia="es-ES"/>
        </w:rPr>
        <w:t xml:space="preserve">a </w:t>
      </w:r>
      <w:r w:rsidR="00615A37">
        <w:rPr>
          <w:rFonts w:ascii="Verdana" w:eastAsia="Times New Roman" w:hAnsi="Verdana"/>
          <w:sz w:val="20"/>
          <w:szCs w:val="20"/>
          <w:lang w:val="es-ES_tradnl" w:eastAsia="es-ES"/>
        </w:rPr>
        <w:t>la publicidad del resumen de la Sentencia</w:t>
      </w:r>
      <w:r w:rsidR="00EA0670">
        <w:rPr>
          <w:rFonts w:ascii="Verdana" w:eastAsia="Times New Roman" w:hAnsi="Verdana"/>
          <w:sz w:val="20"/>
          <w:szCs w:val="20"/>
          <w:lang w:val="es-ES_tradnl" w:eastAsia="es-ES"/>
        </w:rPr>
        <w:t xml:space="preserve">. </w:t>
      </w:r>
    </w:p>
    <w:p w:rsidR="009978CF" w:rsidRPr="00356699" w:rsidRDefault="00356699" w:rsidP="00857630">
      <w:pPr>
        <w:numPr>
          <w:ilvl w:val="0"/>
          <w:numId w:val="28"/>
        </w:numPr>
        <w:spacing w:before="120" w:after="120" w:line="240" w:lineRule="auto"/>
        <w:ind w:left="0" w:firstLine="0"/>
        <w:jc w:val="both"/>
        <w:rPr>
          <w:rFonts w:ascii="Verdana" w:hAnsi="Verdana"/>
          <w:sz w:val="20"/>
          <w:szCs w:val="20"/>
          <w:lang w:val="es-CR"/>
        </w:rPr>
      </w:pPr>
      <w:r w:rsidRPr="00356699">
        <w:rPr>
          <w:rFonts w:ascii="Verdana" w:hAnsi="Verdana"/>
          <w:sz w:val="20"/>
          <w:szCs w:val="20"/>
          <w:lang w:val="es-CR"/>
        </w:rPr>
        <w:t>Finalmente, r</w:t>
      </w:r>
      <w:r w:rsidR="003D7D9C" w:rsidRPr="00356699">
        <w:rPr>
          <w:rFonts w:ascii="Verdana" w:hAnsi="Verdana"/>
          <w:sz w:val="20"/>
          <w:szCs w:val="20"/>
          <w:lang w:val="es-CR"/>
        </w:rPr>
        <w:t xml:space="preserve">especto </w:t>
      </w:r>
      <w:r w:rsidR="0065716A" w:rsidRPr="00356699">
        <w:rPr>
          <w:rFonts w:ascii="Verdana" w:hAnsi="Verdana"/>
          <w:sz w:val="20"/>
          <w:szCs w:val="20"/>
          <w:lang w:val="es-CR"/>
        </w:rPr>
        <w:t>a lo planteado en relación a que</w:t>
      </w:r>
      <w:r w:rsidR="00BB7671" w:rsidRPr="00356699">
        <w:rPr>
          <w:rFonts w:ascii="Verdana" w:hAnsi="Verdana"/>
          <w:color w:val="000000"/>
          <w:sz w:val="20"/>
          <w:szCs w:val="20"/>
          <w:lang w:val="es-CR"/>
        </w:rPr>
        <w:t xml:space="preserve"> la radiodifusión no </w:t>
      </w:r>
      <w:r w:rsidR="0065716A" w:rsidRPr="00356699">
        <w:rPr>
          <w:rFonts w:ascii="Verdana" w:hAnsi="Verdana"/>
          <w:color w:val="000000"/>
          <w:sz w:val="20"/>
          <w:szCs w:val="20"/>
          <w:lang w:val="es-CR"/>
        </w:rPr>
        <w:t xml:space="preserve">fue comunicada </w:t>
      </w:r>
      <w:r w:rsidR="004C4A5A">
        <w:rPr>
          <w:rFonts w:ascii="Verdana" w:hAnsi="Verdana"/>
          <w:color w:val="000000"/>
          <w:sz w:val="20"/>
          <w:szCs w:val="20"/>
          <w:lang w:val="es-CR"/>
        </w:rPr>
        <w:t xml:space="preserve">a las víctimas </w:t>
      </w:r>
      <w:r w:rsidR="0065716A" w:rsidRPr="00356699">
        <w:rPr>
          <w:rFonts w:ascii="Verdana" w:hAnsi="Verdana"/>
          <w:color w:val="000000"/>
          <w:sz w:val="20"/>
          <w:szCs w:val="20"/>
          <w:lang w:val="es-CR"/>
        </w:rPr>
        <w:t xml:space="preserve">previo a su realización </w:t>
      </w:r>
      <w:r w:rsidR="00BB7671" w:rsidRPr="00356699">
        <w:rPr>
          <w:rFonts w:ascii="Verdana" w:hAnsi="Verdana"/>
          <w:color w:val="000000"/>
          <w:sz w:val="20"/>
          <w:szCs w:val="20"/>
          <w:lang w:val="es-CR"/>
        </w:rPr>
        <w:t>(</w:t>
      </w:r>
      <w:r w:rsidR="00BB7671" w:rsidRPr="00356699">
        <w:rPr>
          <w:rFonts w:ascii="Verdana" w:hAnsi="Verdana"/>
          <w:i/>
          <w:color w:val="000000"/>
          <w:sz w:val="20"/>
          <w:szCs w:val="20"/>
          <w:lang w:val="es-CR"/>
        </w:rPr>
        <w:t>supra</w:t>
      </w:r>
      <w:r w:rsidR="00BB7671" w:rsidRPr="00356699">
        <w:rPr>
          <w:rFonts w:ascii="Verdana" w:hAnsi="Verdana"/>
          <w:color w:val="000000"/>
          <w:sz w:val="20"/>
          <w:szCs w:val="20"/>
          <w:lang w:val="es-CR"/>
        </w:rPr>
        <w:t xml:space="preserve"> Considerando </w:t>
      </w:r>
      <w:r w:rsidR="004C4A5A">
        <w:rPr>
          <w:rFonts w:ascii="Verdana" w:hAnsi="Verdana"/>
          <w:color w:val="000000"/>
          <w:sz w:val="20"/>
          <w:szCs w:val="20"/>
          <w:lang w:val="es-CR"/>
        </w:rPr>
        <w:t>33</w:t>
      </w:r>
      <w:r w:rsidR="004C4A5A" w:rsidRPr="00356699">
        <w:rPr>
          <w:rFonts w:ascii="Verdana" w:hAnsi="Verdana"/>
          <w:color w:val="000000"/>
          <w:sz w:val="20"/>
          <w:szCs w:val="20"/>
          <w:lang w:val="es-CR"/>
        </w:rPr>
        <w:t xml:space="preserve">), </w:t>
      </w:r>
      <w:r w:rsidR="003D7D9C" w:rsidRPr="00356699">
        <w:rPr>
          <w:rFonts w:ascii="Verdana" w:hAnsi="Verdana"/>
          <w:color w:val="000000"/>
          <w:sz w:val="20"/>
          <w:szCs w:val="20"/>
          <w:lang w:val="es-CR"/>
        </w:rPr>
        <w:t xml:space="preserve">la Corte observa que </w:t>
      </w:r>
      <w:r w:rsidRPr="00356699">
        <w:rPr>
          <w:rFonts w:ascii="Verdana" w:hAnsi="Verdana"/>
          <w:color w:val="000000"/>
          <w:sz w:val="20"/>
          <w:szCs w:val="20"/>
          <w:lang w:val="es-CR"/>
        </w:rPr>
        <w:t xml:space="preserve">el Estado no cumplió de la manera más adecuada este aspecto de la reparación </w:t>
      </w:r>
      <w:r w:rsidRPr="00356699">
        <w:rPr>
          <w:rFonts w:ascii="Verdana" w:hAnsi="Verdana"/>
          <w:sz w:val="20"/>
          <w:szCs w:val="20"/>
          <w:lang w:val="es-CR"/>
        </w:rPr>
        <w:t>(</w:t>
      </w:r>
      <w:r w:rsidRPr="00356699">
        <w:rPr>
          <w:rFonts w:ascii="Verdana" w:hAnsi="Verdana"/>
          <w:i/>
          <w:sz w:val="20"/>
          <w:szCs w:val="20"/>
          <w:lang w:val="es-CR"/>
        </w:rPr>
        <w:t xml:space="preserve">supra </w:t>
      </w:r>
      <w:r w:rsidRPr="00356699">
        <w:rPr>
          <w:rFonts w:ascii="Verdana" w:hAnsi="Verdana"/>
          <w:sz w:val="20"/>
          <w:szCs w:val="20"/>
          <w:lang w:val="es-CR"/>
        </w:rPr>
        <w:t xml:space="preserve">Considerando </w:t>
      </w:r>
      <w:r w:rsidR="004C4A5A">
        <w:rPr>
          <w:rFonts w:ascii="Verdana" w:hAnsi="Verdana"/>
          <w:sz w:val="20"/>
          <w:szCs w:val="20"/>
          <w:lang w:val="es-CR"/>
        </w:rPr>
        <w:t>28.ii.</w:t>
      </w:r>
      <w:r w:rsidR="004C4A5A" w:rsidRPr="00356699">
        <w:rPr>
          <w:rFonts w:ascii="Verdana" w:hAnsi="Verdana"/>
          <w:sz w:val="20"/>
          <w:szCs w:val="20"/>
          <w:lang w:val="es-CR"/>
        </w:rPr>
        <w:t xml:space="preserve">), </w:t>
      </w:r>
      <w:r w:rsidRPr="00356699">
        <w:rPr>
          <w:rFonts w:ascii="Verdana" w:hAnsi="Verdana"/>
          <w:color w:val="000000"/>
          <w:sz w:val="20"/>
          <w:szCs w:val="20"/>
          <w:lang w:val="es-CR"/>
        </w:rPr>
        <w:t>ya que aun cuando comunicó la realización de la radio difusión, no habría indicado</w:t>
      </w:r>
      <w:r w:rsidR="00CD7692">
        <w:rPr>
          <w:rFonts w:ascii="Verdana" w:hAnsi="Verdana"/>
          <w:color w:val="000000"/>
          <w:sz w:val="20"/>
          <w:szCs w:val="20"/>
          <w:lang w:val="es-CR"/>
        </w:rPr>
        <w:t xml:space="preserve"> de manera completa otros detalles, tales como</w:t>
      </w:r>
      <w:r w:rsidRPr="00356699">
        <w:rPr>
          <w:rFonts w:ascii="Verdana" w:hAnsi="Verdana"/>
          <w:color w:val="000000"/>
          <w:sz w:val="20"/>
          <w:szCs w:val="20"/>
          <w:lang w:val="es-CR"/>
        </w:rPr>
        <w:t xml:space="preserve"> </w:t>
      </w:r>
      <w:r w:rsidRPr="00356699">
        <w:rPr>
          <w:rFonts w:ascii="Verdana" w:eastAsia="Times New Roman" w:hAnsi="Verdana"/>
          <w:sz w:val="20"/>
          <w:szCs w:val="20"/>
          <w:lang w:val="es-ES_tradnl" w:eastAsia="es-ES"/>
        </w:rPr>
        <w:t>la fecha, horario, emisora para la misma</w:t>
      </w:r>
      <w:r w:rsidRPr="00356699">
        <w:rPr>
          <w:rStyle w:val="Refdenotaalpie"/>
          <w:rFonts w:ascii="Verdana" w:hAnsi="Verdana"/>
          <w:color w:val="000000"/>
          <w:sz w:val="20"/>
          <w:szCs w:val="20"/>
          <w:lang w:val="es-CR"/>
        </w:rPr>
        <w:footnoteReference w:id="62"/>
      </w:r>
      <w:r w:rsidRPr="00356699">
        <w:rPr>
          <w:rFonts w:ascii="Verdana" w:eastAsia="Times New Roman" w:hAnsi="Verdana"/>
          <w:sz w:val="20"/>
          <w:szCs w:val="20"/>
          <w:lang w:val="es-CR" w:eastAsia="es-ES"/>
        </w:rPr>
        <w:t>.</w:t>
      </w:r>
      <w:r w:rsidRPr="00356699">
        <w:rPr>
          <w:rFonts w:ascii="Verdana" w:hAnsi="Verdana"/>
          <w:sz w:val="20"/>
          <w:szCs w:val="20"/>
          <w:lang w:val="es-CR"/>
        </w:rPr>
        <w:t xml:space="preserve"> </w:t>
      </w:r>
      <w:r w:rsidR="00F10923" w:rsidRPr="00356699">
        <w:rPr>
          <w:rFonts w:ascii="Verdana" w:hAnsi="Verdana"/>
          <w:sz w:val="20"/>
          <w:szCs w:val="20"/>
          <w:lang w:val="es-CR"/>
        </w:rPr>
        <w:t xml:space="preserve">Si bien este Tribunal </w:t>
      </w:r>
      <w:r w:rsidR="00F10923" w:rsidRPr="00356699">
        <w:rPr>
          <w:rFonts w:ascii="Verdana" w:hAnsi="Verdana"/>
          <w:sz w:val="20"/>
          <w:szCs w:val="20"/>
          <w:lang w:val="es-MX"/>
        </w:rPr>
        <w:t xml:space="preserve">reconoce </w:t>
      </w:r>
      <w:r w:rsidR="009978CF" w:rsidRPr="00356699">
        <w:rPr>
          <w:rFonts w:ascii="Verdana" w:hAnsi="Verdana"/>
          <w:sz w:val="20"/>
          <w:szCs w:val="20"/>
          <w:lang w:val="es-MX"/>
        </w:rPr>
        <w:t xml:space="preserve">la importancia de que las víctimas se encuentren informadas de la publicación en forma previa </w:t>
      </w:r>
      <w:r w:rsidR="009978CF" w:rsidRPr="00356699">
        <w:rPr>
          <w:rFonts w:ascii="Verdana" w:hAnsi="Verdana"/>
          <w:sz w:val="20"/>
          <w:szCs w:val="20"/>
          <w:lang w:val="es-ES"/>
        </w:rPr>
        <w:t>para que puedan tener acceso a la misma en la época en que se efectúa</w:t>
      </w:r>
      <w:r w:rsidR="00F10923" w:rsidRPr="00356699">
        <w:rPr>
          <w:rFonts w:ascii="Verdana" w:hAnsi="Verdana"/>
          <w:sz w:val="20"/>
          <w:szCs w:val="20"/>
          <w:lang w:val="es-ES"/>
        </w:rPr>
        <w:t>, considerando los esfuerzos realizados por Chile para dar publicidad a</w:t>
      </w:r>
      <w:r w:rsidR="00CD7692">
        <w:rPr>
          <w:rFonts w:ascii="Verdana" w:hAnsi="Verdana"/>
          <w:sz w:val="20"/>
          <w:szCs w:val="20"/>
          <w:lang w:val="es-ES"/>
        </w:rPr>
        <w:t>l resumen de</w:t>
      </w:r>
      <w:r w:rsidR="00F10923" w:rsidRPr="00356699">
        <w:rPr>
          <w:rFonts w:ascii="Verdana" w:hAnsi="Verdana"/>
          <w:sz w:val="20"/>
          <w:szCs w:val="20"/>
          <w:lang w:val="es-ES"/>
        </w:rPr>
        <w:t xml:space="preserve"> la Sentencia</w:t>
      </w:r>
      <w:r w:rsidR="00805052" w:rsidRPr="00356699">
        <w:rPr>
          <w:rFonts w:ascii="Verdana" w:hAnsi="Verdana"/>
          <w:sz w:val="20"/>
          <w:szCs w:val="20"/>
          <w:lang w:val="es-ES"/>
        </w:rPr>
        <w:t xml:space="preserve"> en múltiples emisoras en tres días </w:t>
      </w:r>
      <w:r w:rsidR="00F10923" w:rsidRPr="00356699">
        <w:rPr>
          <w:rFonts w:ascii="Verdana" w:hAnsi="Verdana"/>
          <w:sz w:val="20"/>
          <w:szCs w:val="20"/>
          <w:lang w:val="es-ES"/>
        </w:rPr>
        <w:t>(</w:t>
      </w:r>
      <w:r w:rsidR="00F10923" w:rsidRPr="00356699">
        <w:rPr>
          <w:rFonts w:ascii="Verdana" w:hAnsi="Verdana"/>
          <w:i/>
          <w:sz w:val="20"/>
          <w:szCs w:val="20"/>
          <w:lang w:val="es-ES"/>
        </w:rPr>
        <w:t>supra</w:t>
      </w:r>
      <w:r w:rsidR="00F10923" w:rsidRPr="00356699">
        <w:rPr>
          <w:rFonts w:ascii="Verdana" w:hAnsi="Verdana"/>
          <w:sz w:val="20"/>
          <w:szCs w:val="20"/>
          <w:lang w:val="es-ES"/>
        </w:rPr>
        <w:t xml:space="preserve"> Considerando </w:t>
      </w:r>
      <w:r w:rsidR="00CD7692">
        <w:rPr>
          <w:rFonts w:ascii="Verdana" w:hAnsi="Verdana"/>
          <w:sz w:val="20"/>
          <w:szCs w:val="20"/>
          <w:lang w:val="es-ES"/>
        </w:rPr>
        <w:t>32</w:t>
      </w:r>
      <w:r w:rsidR="00CD7692" w:rsidRPr="00356699">
        <w:rPr>
          <w:rFonts w:ascii="Verdana" w:hAnsi="Verdana"/>
          <w:sz w:val="20"/>
          <w:szCs w:val="20"/>
          <w:lang w:val="es-ES"/>
        </w:rPr>
        <w:t xml:space="preserve">), </w:t>
      </w:r>
      <w:r w:rsidR="00F10923" w:rsidRPr="00356699">
        <w:rPr>
          <w:rFonts w:ascii="Verdana" w:hAnsi="Verdana"/>
          <w:sz w:val="20"/>
          <w:szCs w:val="20"/>
          <w:lang w:val="es-ES"/>
        </w:rPr>
        <w:t xml:space="preserve">la Corte considera que el incumplimiento de este extremo </w:t>
      </w:r>
      <w:r w:rsidR="00CD7692">
        <w:rPr>
          <w:rFonts w:ascii="Verdana" w:hAnsi="Verdana"/>
          <w:sz w:val="20"/>
          <w:szCs w:val="20"/>
          <w:lang w:val="es-ES"/>
        </w:rPr>
        <w:t xml:space="preserve">de la reparación </w:t>
      </w:r>
      <w:r w:rsidR="00F10923" w:rsidRPr="00356699">
        <w:rPr>
          <w:rFonts w:ascii="Verdana" w:hAnsi="Verdana"/>
          <w:sz w:val="20"/>
          <w:szCs w:val="20"/>
          <w:lang w:val="es-ES"/>
        </w:rPr>
        <w:t xml:space="preserve">no es suficiente para ordenar al Estado que realice nuevamente la radiodifusión dispuesta en la Sentencia. </w:t>
      </w:r>
    </w:p>
    <w:p w:rsidR="00CF7181" w:rsidRDefault="007A1771" w:rsidP="00857630">
      <w:pPr>
        <w:pStyle w:val="Cuerpodeltexto110"/>
        <w:numPr>
          <w:ilvl w:val="0"/>
          <w:numId w:val="28"/>
        </w:numPr>
        <w:shd w:val="clear" w:color="auto" w:fill="auto"/>
        <w:spacing w:before="120" w:after="120" w:line="240" w:lineRule="auto"/>
        <w:ind w:left="0" w:right="20" w:firstLine="0"/>
        <w:rPr>
          <w:rFonts w:ascii="Verdana" w:hAnsi="Verdana"/>
          <w:sz w:val="20"/>
          <w:szCs w:val="20"/>
        </w:rPr>
      </w:pPr>
      <w:r w:rsidRPr="005A6586">
        <w:rPr>
          <w:rFonts w:ascii="Verdana" w:hAnsi="Verdana"/>
          <w:sz w:val="20"/>
          <w:szCs w:val="20"/>
        </w:rPr>
        <w:t xml:space="preserve">En razón de lo anterior, la Corte considera que el Estado ha dado cumplimiento </w:t>
      </w:r>
      <w:r w:rsidR="0035797F">
        <w:rPr>
          <w:rFonts w:ascii="Verdana" w:hAnsi="Verdana"/>
          <w:sz w:val="20"/>
          <w:szCs w:val="20"/>
        </w:rPr>
        <w:t>total</w:t>
      </w:r>
      <w:r>
        <w:rPr>
          <w:rFonts w:ascii="Verdana" w:hAnsi="Verdana"/>
          <w:sz w:val="20"/>
          <w:szCs w:val="20"/>
        </w:rPr>
        <w:t xml:space="preserve"> a la</w:t>
      </w:r>
      <w:r w:rsidR="00FA7305">
        <w:rPr>
          <w:rFonts w:ascii="Verdana" w:hAnsi="Verdana"/>
          <w:sz w:val="20"/>
          <w:szCs w:val="20"/>
        </w:rPr>
        <w:t>s</w:t>
      </w:r>
      <w:r>
        <w:rPr>
          <w:rFonts w:ascii="Verdana" w:hAnsi="Verdana"/>
          <w:sz w:val="20"/>
          <w:szCs w:val="20"/>
        </w:rPr>
        <w:t xml:space="preserve"> medida</w:t>
      </w:r>
      <w:r w:rsidR="00FA7305">
        <w:rPr>
          <w:rFonts w:ascii="Verdana" w:hAnsi="Verdana"/>
          <w:sz w:val="20"/>
          <w:szCs w:val="20"/>
        </w:rPr>
        <w:t>s</w:t>
      </w:r>
      <w:r>
        <w:rPr>
          <w:rFonts w:ascii="Verdana" w:hAnsi="Verdana"/>
          <w:sz w:val="20"/>
          <w:szCs w:val="20"/>
        </w:rPr>
        <w:t xml:space="preserve"> relativa</w:t>
      </w:r>
      <w:r w:rsidR="00FA7305">
        <w:rPr>
          <w:rFonts w:ascii="Verdana" w:hAnsi="Verdana"/>
          <w:sz w:val="20"/>
          <w:szCs w:val="20"/>
        </w:rPr>
        <w:t>s</w:t>
      </w:r>
      <w:r>
        <w:rPr>
          <w:rFonts w:ascii="Verdana" w:hAnsi="Verdana"/>
          <w:sz w:val="20"/>
          <w:szCs w:val="20"/>
        </w:rPr>
        <w:t xml:space="preserve"> a la</w:t>
      </w:r>
      <w:r w:rsidRPr="005A6586">
        <w:rPr>
          <w:rFonts w:ascii="Verdana" w:hAnsi="Verdana"/>
          <w:sz w:val="20"/>
          <w:szCs w:val="20"/>
        </w:rPr>
        <w:t xml:space="preserve"> publicación y difusión de la Sentencia y su resumen oficial ordenada</w:t>
      </w:r>
      <w:r w:rsidR="00FA7305">
        <w:rPr>
          <w:rFonts w:ascii="Verdana" w:hAnsi="Verdana"/>
          <w:sz w:val="20"/>
          <w:szCs w:val="20"/>
        </w:rPr>
        <w:t>s</w:t>
      </w:r>
      <w:r w:rsidRPr="005A6586">
        <w:rPr>
          <w:rFonts w:ascii="Verdana" w:hAnsi="Verdana"/>
          <w:sz w:val="20"/>
          <w:szCs w:val="20"/>
        </w:rPr>
        <w:t xml:space="preserve"> en el punto dispositivo décimo octavo y los párrafos 428 y 429 de la misma</w:t>
      </w:r>
      <w:r w:rsidR="0035797F">
        <w:rPr>
          <w:rFonts w:ascii="Verdana" w:hAnsi="Verdana"/>
          <w:sz w:val="20"/>
          <w:szCs w:val="20"/>
        </w:rPr>
        <w:t>.</w:t>
      </w:r>
      <w:r w:rsidR="0067736B">
        <w:rPr>
          <w:rFonts w:ascii="Verdana" w:hAnsi="Verdana"/>
          <w:sz w:val="20"/>
          <w:szCs w:val="20"/>
        </w:rPr>
        <w:t xml:space="preserve"> </w:t>
      </w:r>
    </w:p>
    <w:p w:rsidR="00356699" w:rsidRDefault="00356699" w:rsidP="00356699">
      <w:pPr>
        <w:pStyle w:val="Cuerpodeltexto110"/>
        <w:shd w:val="clear" w:color="auto" w:fill="auto"/>
        <w:spacing w:before="120" w:after="120" w:line="240" w:lineRule="auto"/>
        <w:ind w:right="20"/>
        <w:rPr>
          <w:rFonts w:ascii="Verdana" w:hAnsi="Verdana"/>
          <w:sz w:val="20"/>
          <w:szCs w:val="20"/>
        </w:rPr>
      </w:pPr>
    </w:p>
    <w:p w:rsidR="00CF39F7" w:rsidRPr="00D85299" w:rsidRDefault="00CF39F7" w:rsidP="00807889">
      <w:pPr>
        <w:keepNext/>
        <w:keepLines/>
        <w:widowControl w:val="0"/>
        <w:numPr>
          <w:ilvl w:val="0"/>
          <w:numId w:val="18"/>
        </w:numPr>
        <w:spacing w:before="120" w:after="120" w:line="240" w:lineRule="auto"/>
        <w:jc w:val="both"/>
        <w:outlineLvl w:val="0"/>
        <w:rPr>
          <w:rFonts w:ascii="Verdana" w:eastAsia="Times New Roman" w:hAnsi="Verdana"/>
          <w:b/>
          <w:bCs/>
          <w:i/>
          <w:color w:val="000000"/>
          <w:sz w:val="20"/>
          <w:szCs w:val="20"/>
          <w:lang w:val="es-ES_tradnl" w:eastAsia="es-ES"/>
        </w:rPr>
      </w:pPr>
      <w:bookmarkStart w:id="7" w:name="_Toc507514926"/>
      <w:bookmarkStart w:id="8" w:name="_Toc523309969"/>
      <w:r w:rsidRPr="00D85299">
        <w:rPr>
          <w:rFonts w:ascii="Verdana" w:eastAsia="Times New Roman" w:hAnsi="Verdana"/>
          <w:b/>
          <w:bCs/>
          <w:i/>
          <w:color w:val="000000"/>
          <w:sz w:val="20"/>
          <w:szCs w:val="20"/>
          <w:lang w:val="es-ES_tradnl" w:eastAsia="es-ES"/>
        </w:rPr>
        <w:t xml:space="preserve">Otorgar becas de estudio </w:t>
      </w:r>
      <w:r w:rsidR="00C02F3A" w:rsidRPr="00D85299">
        <w:rPr>
          <w:rFonts w:ascii="Verdana" w:eastAsia="Times New Roman" w:hAnsi="Verdana"/>
          <w:b/>
          <w:bCs/>
          <w:i/>
          <w:color w:val="000000"/>
          <w:sz w:val="20"/>
          <w:szCs w:val="20"/>
          <w:lang w:val="es-ES_tradnl" w:eastAsia="es-ES"/>
        </w:rPr>
        <w:t>a</w:t>
      </w:r>
      <w:r w:rsidRPr="00D85299">
        <w:rPr>
          <w:rFonts w:ascii="Verdana" w:eastAsia="Times New Roman" w:hAnsi="Verdana"/>
          <w:b/>
          <w:bCs/>
          <w:i/>
          <w:color w:val="000000"/>
          <w:sz w:val="20"/>
          <w:szCs w:val="20"/>
          <w:lang w:val="es-ES_tradnl" w:eastAsia="es-ES"/>
        </w:rPr>
        <w:t xml:space="preserve"> los hijos de las víctimas</w:t>
      </w:r>
      <w:bookmarkEnd w:id="7"/>
      <w:bookmarkEnd w:id="8"/>
      <w:r w:rsidRPr="00D85299">
        <w:rPr>
          <w:rFonts w:ascii="Verdana" w:eastAsia="Times New Roman" w:hAnsi="Verdana"/>
          <w:b/>
          <w:bCs/>
          <w:i/>
          <w:color w:val="000000"/>
          <w:sz w:val="20"/>
          <w:szCs w:val="20"/>
          <w:lang w:val="es-ES_tradnl" w:eastAsia="es-ES"/>
        </w:rPr>
        <w:t xml:space="preserve"> </w:t>
      </w:r>
    </w:p>
    <w:p w:rsidR="00CF39F7" w:rsidRPr="00D85299" w:rsidRDefault="00CF39F7" w:rsidP="00807889">
      <w:pPr>
        <w:pStyle w:val="Cuerpodeltexto110"/>
        <w:shd w:val="clear" w:color="auto" w:fill="auto"/>
        <w:spacing w:before="120" w:after="120" w:line="240" w:lineRule="auto"/>
        <w:ind w:left="567" w:right="20"/>
        <w:outlineLvl w:val="0"/>
        <w:rPr>
          <w:rFonts w:ascii="Verdana" w:hAnsi="Verdana"/>
          <w:i/>
          <w:sz w:val="20"/>
          <w:szCs w:val="20"/>
        </w:rPr>
      </w:pPr>
      <w:bookmarkStart w:id="9" w:name="_Toc486848476"/>
      <w:bookmarkStart w:id="10" w:name="_Toc507514084"/>
      <w:bookmarkStart w:id="11" w:name="_Toc507514927"/>
      <w:bookmarkStart w:id="12" w:name="_Toc523309970"/>
      <w:r w:rsidRPr="00D85299">
        <w:rPr>
          <w:rFonts w:ascii="Verdana" w:hAnsi="Verdana"/>
          <w:i/>
          <w:sz w:val="20"/>
          <w:szCs w:val="20"/>
        </w:rPr>
        <w:t>D.1. Medida ordenada por la Corte</w:t>
      </w:r>
      <w:bookmarkEnd w:id="9"/>
      <w:bookmarkEnd w:id="10"/>
      <w:bookmarkEnd w:id="11"/>
      <w:bookmarkEnd w:id="12"/>
    </w:p>
    <w:p w:rsidR="00CF39F7" w:rsidRPr="00D85299" w:rsidRDefault="00CF39F7"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D85299">
        <w:rPr>
          <w:rFonts w:ascii="Verdana" w:hAnsi="Verdana"/>
          <w:sz w:val="20"/>
          <w:szCs w:val="20"/>
          <w:lang w:val="es-CR"/>
        </w:rPr>
        <w:t xml:space="preserve">En el punto </w:t>
      </w:r>
      <w:r w:rsidR="00FA0FF2">
        <w:rPr>
          <w:rFonts w:ascii="Verdana" w:hAnsi="Verdana"/>
          <w:sz w:val="20"/>
          <w:szCs w:val="20"/>
          <w:lang w:val="es-CR"/>
        </w:rPr>
        <w:t>dispositivo</w:t>
      </w:r>
      <w:r w:rsidR="00FA0FF2" w:rsidRPr="00D85299">
        <w:rPr>
          <w:rFonts w:ascii="Verdana" w:hAnsi="Verdana"/>
          <w:sz w:val="20"/>
          <w:szCs w:val="20"/>
          <w:lang w:val="es-CR"/>
        </w:rPr>
        <w:t xml:space="preserve"> </w:t>
      </w:r>
      <w:r w:rsidRPr="00D85299">
        <w:rPr>
          <w:rFonts w:ascii="Verdana" w:hAnsi="Verdana"/>
          <w:sz w:val="20"/>
          <w:szCs w:val="20"/>
          <w:lang w:val="es-CR"/>
        </w:rPr>
        <w:t xml:space="preserve">décimo noveno y en el párrafo 432 de la Sentencia, </w:t>
      </w:r>
      <w:r w:rsidR="00CA2AFC" w:rsidRPr="00D85299">
        <w:rPr>
          <w:rFonts w:ascii="Verdana" w:hAnsi="Verdana"/>
          <w:sz w:val="20"/>
          <w:szCs w:val="20"/>
          <w:lang w:val="es-CR"/>
        </w:rPr>
        <w:t>se</w:t>
      </w:r>
      <w:r w:rsidRPr="00D85299">
        <w:rPr>
          <w:rFonts w:ascii="Verdana" w:hAnsi="Verdana"/>
          <w:sz w:val="20"/>
          <w:szCs w:val="20"/>
          <w:lang w:val="es-CR"/>
        </w:rPr>
        <w:t xml:space="preserve"> ordenó al Estado “otorgar becas </w:t>
      </w:r>
      <w:r w:rsidR="00CA2AFC" w:rsidRPr="00D85299">
        <w:rPr>
          <w:rFonts w:ascii="Verdana" w:hAnsi="Verdana"/>
          <w:sz w:val="20"/>
          <w:szCs w:val="20"/>
          <w:lang w:val="es-CR"/>
        </w:rPr>
        <w:t xml:space="preserve">de estudio </w:t>
      </w:r>
      <w:r w:rsidRPr="00D85299">
        <w:rPr>
          <w:rFonts w:ascii="Verdana" w:hAnsi="Verdana"/>
          <w:sz w:val="20"/>
          <w:szCs w:val="20"/>
          <w:lang w:val="es-CR"/>
        </w:rPr>
        <w:t>en instituciones públicas chilenas, en beneficio de los hijos de las ocho víctimas de</w:t>
      </w:r>
      <w:r w:rsidR="00CA2AFC" w:rsidRPr="00D85299">
        <w:rPr>
          <w:rFonts w:ascii="Verdana" w:hAnsi="Verdana"/>
          <w:sz w:val="20"/>
          <w:szCs w:val="20"/>
          <w:lang w:val="es-CR"/>
        </w:rPr>
        <w:t xml:space="preserve">l presente </w:t>
      </w:r>
      <w:r w:rsidRPr="00D85299">
        <w:rPr>
          <w:rFonts w:ascii="Verdana" w:hAnsi="Verdana"/>
          <w:sz w:val="20"/>
          <w:szCs w:val="20"/>
          <w:lang w:val="es-CR"/>
        </w:rPr>
        <w:t>caso</w:t>
      </w:r>
      <w:r w:rsidR="00CA2AFC" w:rsidRPr="00D85299">
        <w:rPr>
          <w:rFonts w:ascii="Verdana" w:hAnsi="Verdana"/>
          <w:sz w:val="20"/>
          <w:szCs w:val="20"/>
          <w:lang w:val="es-CR"/>
        </w:rPr>
        <w:t xml:space="preserve"> que así lo soliciten”. Al respecto, el Tribunal especificó que las becas deben</w:t>
      </w:r>
      <w:r w:rsidRPr="00D85299">
        <w:rPr>
          <w:rFonts w:ascii="Verdana" w:hAnsi="Verdana"/>
          <w:sz w:val="20"/>
          <w:szCs w:val="20"/>
          <w:lang w:val="es-CR"/>
        </w:rPr>
        <w:t xml:space="preserve"> </w:t>
      </w:r>
      <w:r w:rsidR="00CA2AFC" w:rsidRPr="00D85299">
        <w:rPr>
          <w:rFonts w:ascii="Verdana" w:hAnsi="Verdana"/>
          <w:sz w:val="20"/>
          <w:szCs w:val="20"/>
          <w:lang w:val="es-CR"/>
        </w:rPr>
        <w:t xml:space="preserve">“cubr[ir] </w:t>
      </w:r>
      <w:r w:rsidRPr="00D85299">
        <w:rPr>
          <w:rFonts w:ascii="Verdana" w:hAnsi="Verdana"/>
          <w:sz w:val="20"/>
          <w:szCs w:val="20"/>
          <w:lang w:val="es-CR"/>
        </w:rPr>
        <w:t>todos los costos de su educación hasta la conclusión de sus estudios superiores, bien sean técnicos o universitarios”.</w:t>
      </w:r>
      <w:r w:rsidR="00CA2AFC" w:rsidRPr="00D85299">
        <w:rPr>
          <w:rFonts w:ascii="Verdana" w:hAnsi="Verdana"/>
          <w:sz w:val="20"/>
          <w:szCs w:val="20"/>
          <w:lang w:val="es-CR"/>
        </w:rPr>
        <w:t xml:space="preserve"> Para el cumplimiento de esta obligación, </w:t>
      </w:r>
      <w:r w:rsidR="00FD0ECB">
        <w:rPr>
          <w:rFonts w:ascii="Verdana" w:hAnsi="Verdana"/>
          <w:sz w:val="20"/>
          <w:szCs w:val="20"/>
          <w:lang w:val="es-CR"/>
        </w:rPr>
        <w:t>se</w:t>
      </w:r>
      <w:r w:rsidR="00CA2AFC" w:rsidRPr="00D85299">
        <w:rPr>
          <w:rFonts w:ascii="Verdana" w:hAnsi="Verdana"/>
          <w:sz w:val="20"/>
          <w:szCs w:val="20"/>
          <w:lang w:val="es-CR"/>
        </w:rPr>
        <w:t xml:space="preserve"> dispuso que </w:t>
      </w:r>
      <w:r w:rsidR="00705A10" w:rsidRPr="00D85299">
        <w:rPr>
          <w:rFonts w:ascii="Verdana" w:hAnsi="Verdana"/>
          <w:sz w:val="20"/>
          <w:szCs w:val="20"/>
          <w:lang w:val="es-CR"/>
        </w:rPr>
        <w:t xml:space="preserve">“quienes soliciten esta medida de reparación, o sus representantes legales, disponen de un plazo de seis meses, contados a partir de la notificación </w:t>
      </w:r>
      <w:proofErr w:type="gramStart"/>
      <w:r w:rsidR="00705A10" w:rsidRPr="00D85299">
        <w:rPr>
          <w:rFonts w:ascii="Verdana" w:hAnsi="Verdana"/>
          <w:sz w:val="20"/>
          <w:szCs w:val="20"/>
          <w:lang w:val="es-CR"/>
        </w:rPr>
        <w:t>de  la</w:t>
      </w:r>
      <w:proofErr w:type="gramEnd"/>
      <w:r w:rsidR="00705A10" w:rsidRPr="00D85299">
        <w:rPr>
          <w:rFonts w:ascii="Verdana" w:hAnsi="Verdana"/>
          <w:sz w:val="20"/>
          <w:szCs w:val="20"/>
          <w:lang w:val="es-CR"/>
        </w:rPr>
        <w:t xml:space="preserve"> </w:t>
      </w:r>
      <w:r w:rsidR="00FD0ECB" w:rsidRPr="00D85299">
        <w:rPr>
          <w:rFonts w:ascii="Verdana" w:hAnsi="Verdana"/>
          <w:sz w:val="20"/>
          <w:szCs w:val="20"/>
          <w:lang w:val="es-CR"/>
        </w:rPr>
        <w:t>[…]</w:t>
      </w:r>
      <w:r w:rsidR="00FD0ECB">
        <w:rPr>
          <w:rFonts w:ascii="Verdana" w:hAnsi="Verdana"/>
          <w:sz w:val="20"/>
          <w:szCs w:val="20"/>
          <w:lang w:val="es-CR"/>
        </w:rPr>
        <w:t xml:space="preserve"> </w:t>
      </w:r>
      <w:r w:rsidR="00705A10" w:rsidRPr="00D85299">
        <w:rPr>
          <w:rFonts w:ascii="Verdana" w:hAnsi="Verdana"/>
          <w:sz w:val="20"/>
          <w:szCs w:val="20"/>
          <w:lang w:val="es-CR"/>
        </w:rPr>
        <w:t>Sentencia, para que den a conocer al Estado sus solicitudes de beca</w:t>
      </w:r>
      <w:r w:rsidR="00FD0ECB">
        <w:rPr>
          <w:rFonts w:ascii="Verdana" w:hAnsi="Verdana"/>
          <w:sz w:val="20"/>
          <w:szCs w:val="20"/>
          <w:lang w:val="es-CR"/>
        </w:rPr>
        <w:t>s</w:t>
      </w:r>
      <w:r w:rsidR="00705A10" w:rsidRPr="00D85299">
        <w:rPr>
          <w:rFonts w:ascii="Verdana" w:hAnsi="Verdana"/>
          <w:sz w:val="20"/>
          <w:szCs w:val="20"/>
          <w:lang w:val="es-CR"/>
        </w:rPr>
        <w:t>”.</w:t>
      </w:r>
    </w:p>
    <w:p w:rsidR="00903DE2" w:rsidRDefault="00903DE2" w:rsidP="00807889">
      <w:pPr>
        <w:spacing w:before="120" w:after="120" w:line="240" w:lineRule="auto"/>
        <w:ind w:left="567" w:right="11"/>
        <w:jc w:val="both"/>
        <w:outlineLvl w:val="0"/>
        <w:rPr>
          <w:rFonts w:ascii="Verdana" w:hAnsi="Verdana"/>
          <w:i/>
          <w:sz w:val="20"/>
          <w:szCs w:val="20"/>
          <w:lang w:val="es-CR"/>
        </w:rPr>
      </w:pPr>
      <w:bookmarkStart w:id="13" w:name="_Toc486848477"/>
      <w:bookmarkStart w:id="14" w:name="_Toc507514085"/>
      <w:bookmarkStart w:id="15" w:name="_Toc507514928"/>
      <w:bookmarkStart w:id="16" w:name="_Toc523309971"/>
    </w:p>
    <w:p w:rsidR="00CF39F7" w:rsidRPr="00D85299" w:rsidRDefault="00CF39F7" w:rsidP="00807889">
      <w:pPr>
        <w:spacing w:before="120" w:after="120" w:line="240" w:lineRule="auto"/>
        <w:ind w:left="567" w:right="11"/>
        <w:jc w:val="both"/>
        <w:outlineLvl w:val="0"/>
        <w:rPr>
          <w:rFonts w:ascii="Verdana" w:hAnsi="Verdana"/>
          <w:sz w:val="20"/>
          <w:szCs w:val="20"/>
          <w:lang w:val="es-CR"/>
        </w:rPr>
      </w:pPr>
      <w:r w:rsidRPr="00D85299">
        <w:rPr>
          <w:rFonts w:ascii="Verdana" w:hAnsi="Verdana"/>
          <w:i/>
          <w:sz w:val="20"/>
          <w:szCs w:val="20"/>
          <w:lang w:val="es-CR"/>
        </w:rPr>
        <w:t>D.2</w:t>
      </w:r>
      <w:r w:rsidR="003F7D37" w:rsidRPr="00D85299">
        <w:rPr>
          <w:rFonts w:ascii="Verdana" w:hAnsi="Verdana"/>
          <w:i/>
          <w:sz w:val="20"/>
          <w:szCs w:val="20"/>
          <w:lang w:val="es-CR"/>
        </w:rPr>
        <w:t>.</w:t>
      </w:r>
      <w:r w:rsidRPr="00D85299">
        <w:rPr>
          <w:rFonts w:ascii="Verdana" w:hAnsi="Verdana"/>
          <w:i/>
          <w:sz w:val="20"/>
          <w:szCs w:val="20"/>
          <w:lang w:val="es-CR"/>
        </w:rPr>
        <w:t xml:space="preserve"> </w:t>
      </w:r>
      <w:bookmarkStart w:id="17" w:name="_Toc486848478"/>
      <w:bookmarkEnd w:id="13"/>
      <w:r w:rsidRPr="00D85299">
        <w:rPr>
          <w:rFonts w:ascii="Verdana" w:hAnsi="Verdana"/>
          <w:i/>
          <w:sz w:val="20"/>
          <w:szCs w:val="20"/>
          <w:lang w:val="es-CR"/>
        </w:rPr>
        <w:t>Consideraciones de la Corte</w:t>
      </w:r>
      <w:bookmarkEnd w:id="14"/>
      <w:bookmarkEnd w:id="15"/>
      <w:bookmarkEnd w:id="16"/>
      <w:bookmarkEnd w:id="17"/>
    </w:p>
    <w:p w:rsidR="007E562F" w:rsidRPr="009B2106" w:rsidRDefault="00D85299"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9B2106">
        <w:rPr>
          <w:rFonts w:ascii="Verdana" w:hAnsi="Verdana"/>
          <w:sz w:val="20"/>
          <w:szCs w:val="20"/>
          <w:lang w:val="es-CR"/>
        </w:rPr>
        <w:t>Con base en lo informado, la Corte constata que, dentro del plazo dispuesto en la Sentencia (</w:t>
      </w:r>
      <w:r w:rsidRPr="009B2106">
        <w:rPr>
          <w:rFonts w:ascii="Verdana" w:hAnsi="Verdana"/>
          <w:i/>
          <w:sz w:val="20"/>
          <w:szCs w:val="20"/>
          <w:lang w:val="es-CR"/>
        </w:rPr>
        <w:t xml:space="preserve">supra </w:t>
      </w:r>
      <w:r w:rsidRPr="009B2106">
        <w:rPr>
          <w:rFonts w:ascii="Verdana" w:hAnsi="Verdana"/>
          <w:sz w:val="20"/>
          <w:szCs w:val="20"/>
          <w:lang w:val="es-CR"/>
        </w:rPr>
        <w:t xml:space="preserve">Considerando </w:t>
      </w:r>
      <w:r w:rsidR="00EA58AE">
        <w:rPr>
          <w:rFonts w:ascii="Verdana" w:hAnsi="Verdana"/>
          <w:sz w:val="20"/>
          <w:szCs w:val="20"/>
          <w:lang w:val="es-CR"/>
        </w:rPr>
        <w:t>39</w:t>
      </w:r>
      <w:r w:rsidR="00EA58AE" w:rsidRPr="009B2106">
        <w:rPr>
          <w:rFonts w:ascii="Verdana" w:hAnsi="Verdana"/>
          <w:sz w:val="20"/>
          <w:szCs w:val="20"/>
          <w:lang w:val="es-CR"/>
        </w:rPr>
        <w:t xml:space="preserve">), </w:t>
      </w:r>
      <w:r w:rsidRPr="009B2106">
        <w:rPr>
          <w:rFonts w:ascii="Verdana" w:hAnsi="Verdana"/>
          <w:sz w:val="20"/>
          <w:szCs w:val="20"/>
          <w:lang w:val="es-CR"/>
        </w:rPr>
        <w:t>fue presentada al Estado la información de los hijos</w:t>
      </w:r>
      <w:r w:rsidR="00523EB7">
        <w:rPr>
          <w:rFonts w:ascii="Verdana" w:hAnsi="Verdana"/>
          <w:sz w:val="20"/>
          <w:szCs w:val="20"/>
          <w:lang w:val="es-CR"/>
        </w:rPr>
        <w:t xml:space="preserve"> </w:t>
      </w:r>
      <w:r w:rsidR="002846DD">
        <w:rPr>
          <w:rFonts w:ascii="Verdana" w:hAnsi="Verdana"/>
          <w:sz w:val="20"/>
          <w:szCs w:val="20"/>
          <w:lang w:val="es-CR"/>
        </w:rPr>
        <w:t>e</w:t>
      </w:r>
      <w:r w:rsidR="00523EB7">
        <w:rPr>
          <w:rFonts w:ascii="Verdana" w:hAnsi="Verdana"/>
          <w:sz w:val="20"/>
          <w:szCs w:val="20"/>
          <w:lang w:val="es-CR"/>
        </w:rPr>
        <w:t xml:space="preserve"> hijas</w:t>
      </w:r>
      <w:r w:rsidRPr="009B2106">
        <w:rPr>
          <w:rFonts w:ascii="Verdana" w:hAnsi="Verdana"/>
          <w:sz w:val="20"/>
          <w:szCs w:val="20"/>
          <w:lang w:val="es-CR"/>
        </w:rPr>
        <w:t xml:space="preserve"> de las ocho víctimas del caso que solicitaron el otorgamiento de becas. Asimismo, solicitaron la concesión de dicho beneficio “en algunos casos para sus nietos y otros miembros de sus comunidades”.</w:t>
      </w:r>
    </w:p>
    <w:p w:rsidR="0096086B" w:rsidRPr="005450D3" w:rsidRDefault="0096086B"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FB4C77">
        <w:rPr>
          <w:rFonts w:ascii="Verdana" w:hAnsi="Verdana"/>
          <w:sz w:val="20"/>
          <w:szCs w:val="20"/>
          <w:lang w:val="es-CR"/>
        </w:rPr>
        <w:t xml:space="preserve">Mediante </w:t>
      </w:r>
      <w:r w:rsidR="00FB4C77" w:rsidRPr="00903DE2">
        <w:rPr>
          <w:rFonts w:ascii="Verdana" w:hAnsi="Verdana"/>
          <w:sz w:val="20"/>
          <w:szCs w:val="20"/>
          <w:lang w:val="es-CR"/>
        </w:rPr>
        <w:t>o</w:t>
      </w:r>
      <w:r w:rsidRPr="00FB4C77">
        <w:rPr>
          <w:rFonts w:ascii="Verdana" w:hAnsi="Verdana"/>
          <w:sz w:val="20"/>
          <w:szCs w:val="20"/>
          <w:lang w:val="es-CR"/>
        </w:rPr>
        <w:t>ficio de</w:t>
      </w:r>
      <w:r w:rsidR="002846DD" w:rsidRPr="00FB4C77">
        <w:rPr>
          <w:rFonts w:ascii="Verdana" w:hAnsi="Verdana"/>
          <w:sz w:val="20"/>
          <w:szCs w:val="20"/>
          <w:lang w:val="es-CR"/>
        </w:rPr>
        <w:t xml:space="preserve"> </w:t>
      </w:r>
      <w:r w:rsidRPr="00FB4C77">
        <w:rPr>
          <w:rFonts w:ascii="Verdana" w:hAnsi="Verdana"/>
          <w:sz w:val="20"/>
          <w:szCs w:val="20"/>
          <w:lang w:val="es-CR"/>
        </w:rPr>
        <w:t>l</w:t>
      </w:r>
      <w:r w:rsidR="002846DD" w:rsidRPr="0087453C">
        <w:rPr>
          <w:rFonts w:ascii="Verdana" w:hAnsi="Verdana"/>
          <w:sz w:val="20"/>
          <w:szCs w:val="20"/>
          <w:lang w:val="es-CR"/>
        </w:rPr>
        <w:t>a</w:t>
      </w:r>
      <w:r w:rsidRPr="0087453C">
        <w:rPr>
          <w:rFonts w:ascii="Verdana" w:hAnsi="Verdana"/>
          <w:sz w:val="20"/>
          <w:szCs w:val="20"/>
          <w:lang w:val="es-CR"/>
        </w:rPr>
        <w:t xml:space="preserve"> </w:t>
      </w:r>
      <w:r w:rsidR="002846DD" w:rsidRPr="0087453C">
        <w:rPr>
          <w:rFonts w:ascii="Verdana" w:hAnsi="Verdana"/>
          <w:sz w:val="20"/>
          <w:szCs w:val="20"/>
          <w:lang w:val="es-CR"/>
        </w:rPr>
        <w:t>Subsecretar</w:t>
      </w:r>
      <w:r w:rsidR="00FB4C77" w:rsidRPr="00903DE2">
        <w:rPr>
          <w:rFonts w:ascii="Verdana" w:hAnsi="Verdana"/>
          <w:sz w:val="20"/>
          <w:szCs w:val="20"/>
          <w:lang w:val="es-CR"/>
        </w:rPr>
        <w:t>í</w:t>
      </w:r>
      <w:r w:rsidR="002846DD" w:rsidRPr="00FB4C77">
        <w:rPr>
          <w:rFonts w:ascii="Verdana" w:hAnsi="Verdana"/>
          <w:sz w:val="20"/>
          <w:szCs w:val="20"/>
          <w:lang w:val="es-CR"/>
        </w:rPr>
        <w:t xml:space="preserve">a del </w:t>
      </w:r>
      <w:r w:rsidRPr="00FB4C77">
        <w:rPr>
          <w:rFonts w:ascii="Verdana" w:hAnsi="Verdana"/>
          <w:sz w:val="20"/>
          <w:szCs w:val="20"/>
          <w:lang w:val="es-CR"/>
        </w:rPr>
        <w:t>Ministerio de Educación de febrero de 2015 se definieron los “criterios a partir de los cuales se [brindarían] los beneficios en materia de educación”</w:t>
      </w:r>
      <w:r w:rsidR="00255F3B" w:rsidRPr="0087453C">
        <w:rPr>
          <w:rFonts w:ascii="Verdana" w:hAnsi="Verdana"/>
          <w:sz w:val="20"/>
          <w:szCs w:val="20"/>
          <w:lang w:val="es-CR"/>
        </w:rPr>
        <w:t>,</w:t>
      </w:r>
      <w:r w:rsidR="00597DF2" w:rsidRPr="0087453C">
        <w:rPr>
          <w:rFonts w:ascii="Verdana" w:hAnsi="Verdana"/>
          <w:sz w:val="20"/>
          <w:szCs w:val="20"/>
          <w:lang w:val="es-CR"/>
        </w:rPr>
        <w:t xml:space="preserve"> </w:t>
      </w:r>
      <w:r w:rsidR="00255F3B" w:rsidRPr="0087453C">
        <w:rPr>
          <w:rFonts w:ascii="Verdana" w:hAnsi="Verdana"/>
          <w:sz w:val="20"/>
          <w:szCs w:val="20"/>
          <w:lang w:val="es-CR"/>
        </w:rPr>
        <w:t>es decir, el otorgamiento de</w:t>
      </w:r>
      <w:r w:rsidR="00255F3B" w:rsidRPr="009B2106">
        <w:rPr>
          <w:rFonts w:ascii="Verdana" w:hAnsi="Verdana"/>
          <w:sz w:val="20"/>
          <w:szCs w:val="20"/>
          <w:lang w:val="es-CR"/>
        </w:rPr>
        <w:t xml:space="preserve"> becas</w:t>
      </w:r>
      <w:r w:rsidRPr="009B2106">
        <w:rPr>
          <w:rFonts w:ascii="Verdana" w:hAnsi="Verdana"/>
          <w:sz w:val="20"/>
          <w:szCs w:val="20"/>
          <w:lang w:val="es-CR"/>
        </w:rPr>
        <w:t xml:space="preserve"> en el presente caso</w:t>
      </w:r>
      <w:r w:rsidRPr="009B2106">
        <w:rPr>
          <w:rStyle w:val="Refdenotaalpie"/>
          <w:rFonts w:ascii="Verdana" w:hAnsi="Verdana"/>
          <w:sz w:val="20"/>
          <w:szCs w:val="20"/>
          <w:lang w:val="es-CR"/>
        </w:rPr>
        <w:footnoteReference w:id="63"/>
      </w:r>
      <w:r w:rsidR="00255F3B" w:rsidRPr="009B2106">
        <w:rPr>
          <w:rFonts w:ascii="Verdana" w:hAnsi="Verdana"/>
          <w:sz w:val="20"/>
          <w:szCs w:val="20"/>
          <w:lang w:val="es-CR"/>
        </w:rPr>
        <w:t xml:space="preserve">, a saber: i) “la fecha de inicio del beneficio educacional”, </w:t>
      </w:r>
      <w:r w:rsidR="00FB4C77">
        <w:rPr>
          <w:rFonts w:ascii="Verdana" w:hAnsi="Verdana"/>
          <w:sz w:val="20"/>
          <w:szCs w:val="20"/>
          <w:lang w:val="es-CR"/>
        </w:rPr>
        <w:t xml:space="preserve">para lo cual </w:t>
      </w:r>
      <w:r w:rsidR="00255F3B" w:rsidRPr="009B2106">
        <w:rPr>
          <w:rFonts w:ascii="Verdana" w:hAnsi="Verdana"/>
          <w:sz w:val="20"/>
          <w:szCs w:val="20"/>
          <w:lang w:val="es-CR"/>
        </w:rPr>
        <w:t>se fijó que debe regir a partir del dictado de la Sentencia de la Corte Interamericana, el 29 mayo de 2014; ii)</w:t>
      </w:r>
      <w:r w:rsidR="004272A4" w:rsidRPr="009B2106">
        <w:rPr>
          <w:rFonts w:ascii="Verdana" w:hAnsi="Verdana"/>
          <w:sz w:val="20"/>
          <w:szCs w:val="20"/>
          <w:lang w:val="es-CR"/>
        </w:rPr>
        <w:t xml:space="preserve"> que los beneficios só</w:t>
      </w:r>
      <w:r w:rsidR="00597DF2" w:rsidRPr="009B2106">
        <w:rPr>
          <w:rFonts w:ascii="Verdana" w:hAnsi="Verdana"/>
          <w:sz w:val="20"/>
          <w:szCs w:val="20"/>
          <w:lang w:val="es-CR"/>
        </w:rPr>
        <w:t xml:space="preserve">lo alcanzarían a “todos aquellos” que hubieran realizado la solicitud dentro del plazo de los seis </w:t>
      </w:r>
      <w:r w:rsidR="00597DF2" w:rsidRPr="009B2106">
        <w:rPr>
          <w:rFonts w:ascii="Verdana" w:hAnsi="Verdana"/>
          <w:sz w:val="20"/>
          <w:szCs w:val="20"/>
          <w:lang w:val="es-CR"/>
        </w:rPr>
        <w:lastRenderedPageBreak/>
        <w:t>meses fijado en la Sentencia; iii) que como “beneficiarios” de las becas se “reconoc</w:t>
      </w:r>
      <w:r w:rsidR="00FB4C77">
        <w:rPr>
          <w:rFonts w:ascii="Verdana" w:hAnsi="Verdana"/>
          <w:sz w:val="20"/>
          <w:szCs w:val="20"/>
          <w:lang w:val="es-CR"/>
        </w:rPr>
        <w:t>[ía</w:t>
      </w:r>
      <w:r w:rsidR="00597DF2" w:rsidRPr="009B2106">
        <w:rPr>
          <w:rFonts w:ascii="Verdana" w:hAnsi="Verdana"/>
          <w:sz w:val="20"/>
          <w:szCs w:val="20"/>
          <w:lang w:val="es-CR"/>
        </w:rPr>
        <w:t>n</w:t>
      </w:r>
      <w:r w:rsidR="00FB4C77">
        <w:rPr>
          <w:rFonts w:ascii="Verdana" w:hAnsi="Verdana"/>
          <w:sz w:val="20"/>
          <w:szCs w:val="20"/>
          <w:lang w:val="es-CR"/>
        </w:rPr>
        <w:t xml:space="preserve"> a</w:t>
      </w:r>
      <w:r w:rsidR="00597DF2" w:rsidRPr="009B2106">
        <w:rPr>
          <w:rFonts w:ascii="Verdana" w:hAnsi="Verdana"/>
          <w:sz w:val="20"/>
          <w:szCs w:val="20"/>
          <w:lang w:val="es-CR"/>
        </w:rPr>
        <w:t>] las víctimas, sus hijos, nietos y, en el caso de los Lon</w:t>
      </w:r>
      <w:r w:rsidR="00FB4C77">
        <w:rPr>
          <w:rFonts w:ascii="Verdana" w:hAnsi="Verdana"/>
          <w:sz w:val="20"/>
          <w:szCs w:val="20"/>
          <w:lang w:val="es-CR"/>
        </w:rPr>
        <w:t>k</w:t>
      </w:r>
      <w:r w:rsidR="00597DF2" w:rsidRPr="009B2106">
        <w:rPr>
          <w:rFonts w:ascii="Verdana" w:hAnsi="Verdana"/>
          <w:sz w:val="20"/>
          <w:szCs w:val="20"/>
          <w:lang w:val="es-CR"/>
        </w:rPr>
        <w:t>os [</w:t>
      </w:r>
      <w:r w:rsidR="004272A4" w:rsidRPr="009B2106">
        <w:rPr>
          <w:rFonts w:ascii="Verdana" w:hAnsi="Verdana"/>
          <w:sz w:val="20"/>
          <w:szCs w:val="20"/>
          <w:lang w:val="es-CR"/>
        </w:rPr>
        <w:t>Segundo Aniceto Norín Catrimán y Pascual Huentequeo Pichún Paillalao</w:t>
      </w:r>
      <w:r w:rsidR="00597DF2" w:rsidRPr="009B2106">
        <w:rPr>
          <w:rFonts w:ascii="Verdana" w:hAnsi="Verdana"/>
          <w:sz w:val="20"/>
          <w:szCs w:val="20"/>
          <w:lang w:val="es-CR"/>
        </w:rPr>
        <w:t>], también a sus comunidades”; iv) que los beneficios “no debe[n] ser transferible[s] ni transmisible[s]”</w:t>
      </w:r>
      <w:r w:rsidR="004272A4" w:rsidRPr="009B2106">
        <w:rPr>
          <w:rFonts w:ascii="Verdana" w:hAnsi="Verdana"/>
          <w:sz w:val="20"/>
          <w:szCs w:val="20"/>
          <w:lang w:val="es-CR"/>
        </w:rPr>
        <w:t>, y v) que las becas “debe</w:t>
      </w:r>
      <w:r w:rsidR="00FB4C77">
        <w:rPr>
          <w:rFonts w:ascii="Verdana" w:hAnsi="Verdana"/>
          <w:sz w:val="20"/>
          <w:szCs w:val="20"/>
          <w:lang w:val="es-CR"/>
        </w:rPr>
        <w:t>[</w:t>
      </w:r>
      <w:r w:rsidR="004272A4" w:rsidRPr="009B2106">
        <w:rPr>
          <w:rFonts w:ascii="Verdana" w:hAnsi="Verdana"/>
          <w:sz w:val="20"/>
          <w:szCs w:val="20"/>
          <w:lang w:val="es-CR"/>
        </w:rPr>
        <w:t>n</w:t>
      </w:r>
      <w:r w:rsidR="00FB4C77">
        <w:rPr>
          <w:rFonts w:ascii="Verdana" w:hAnsi="Verdana"/>
          <w:sz w:val="20"/>
          <w:szCs w:val="20"/>
          <w:lang w:val="es-CR"/>
        </w:rPr>
        <w:t>]</w:t>
      </w:r>
      <w:r w:rsidR="004272A4" w:rsidRPr="009B2106">
        <w:rPr>
          <w:rFonts w:ascii="Verdana" w:hAnsi="Verdana"/>
          <w:sz w:val="20"/>
          <w:szCs w:val="20"/>
          <w:lang w:val="es-CR"/>
        </w:rPr>
        <w:t xml:space="preserve"> incluir desde el nivel preescolar</w:t>
      </w:r>
      <w:r w:rsidR="00A93081">
        <w:rPr>
          <w:rFonts w:ascii="Verdana" w:hAnsi="Verdana"/>
          <w:sz w:val="20"/>
          <w:szCs w:val="20"/>
          <w:lang w:val="es-CR"/>
        </w:rPr>
        <w:t xml:space="preserve"> [(parvulario)]</w:t>
      </w:r>
      <w:r w:rsidR="004272A4" w:rsidRPr="009B2106">
        <w:rPr>
          <w:rFonts w:ascii="Verdana" w:hAnsi="Verdana"/>
          <w:sz w:val="20"/>
          <w:szCs w:val="20"/>
          <w:lang w:val="es-CR"/>
        </w:rPr>
        <w:t xml:space="preserve"> hasta la finalización de la educación superior de pregrado, ya sea, técnica o universitaria completa”, en “instituciones públicas chilenas, salvo que en la región en que […] t[enga] domicilio el beneficiario, no exista una entidad pública que imparta la carrera seleccionada por éste, o que el estudiante ya se hubiere matriculado en otra”</w:t>
      </w:r>
      <w:r w:rsidR="00CD36D2" w:rsidRPr="00BE4880">
        <w:rPr>
          <w:rStyle w:val="Refdenotaalpie"/>
          <w:rFonts w:ascii="Verdana" w:hAnsi="Verdana"/>
          <w:sz w:val="20"/>
          <w:szCs w:val="20"/>
          <w:lang w:val="es-CR"/>
        </w:rPr>
        <w:footnoteReference w:id="64"/>
      </w:r>
      <w:r w:rsidR="004272A4" w:rsidRPr="009B2106">
        <w:rPr>
          <w:rFonts w:ascii="Verdana" w:hAnsi="Verdana"/>
          <w:sz w:val="20"/>
          <w:szCs w:val="20"/>
          <w:lang w:val="es-CR"/>
        </w:rPr>
        <w:t xml:space="preserve">. </w:t>
      </w:r>
      <w:r w:rsidR="00422556" w:rsidRPr="009B2106">
        <w:rPr>
          <w:rFonts w:ascii="Verdana" w:hAnsi="Verdana"/>
          <w:sz w:val="20"/>
          <w:szCs w:val="20"/>
          <w:lang w:val="es-CR"/>
        </w:rPr>
        <w:t>Adicionalmente, en el referido oficio se indicó que “una vez [fuera] definido el universo de los beneficiarios, se proceder[ía] con el trámite de asignación y ejecución”.</w:t>
      </w:r>
      <w:r w:rsidR="001E16CB" w:rsidRPr="009B2106">
        <w:rPr>
          <w:rFonts w:ascii="Verdana" w:hAnsi="Verdana"/>
          <w:b/>
          <w:sz w:val="16"/>
          <w:szCs w:val="16"/>
          <w:lang w:val="es-CR"/>
        </w:rPr>
        <w:t xml:space="preserve"> </w:t>
      </w:r>
      <w:r w:rsidR="00194BC7" w:rsidRPr="00194BC7">
        <w:rPr>
          <w:rFonts w:ascii="Verdana" w:hAnsi="Verdana"/>
          <w:sz w:val="20"/>
          <w:szCs w:val="20"/>
          <w:lang w:val="es-CR"/>
        </w:rPr>
        <w:t xml:space="preserve">En general, los </w:t>
      </w:r>
      <w:r w:rsidR="00194BC7" w:rsidRPr="00D05476">
        <w:rPr>
          <w:rFonts w:ascii="Verdana" w:hAnsi="Verdana"/>
          <w:i/>
          <w:sz w:val="20"/>
          <w:szCs w:val="20"/>
          <w:lang w:val="es-CR"/>
        </w:rPr>
        <w:t>representantes de las víctimas</w:t>
      </w:r>
      <w:r w:rsidR="00194BC7" w:rsidRPr="00194BC7">
        <w:rPr>
          <w:rFonts w:ascii="Verdana" w:hAnsi="Verdana"/>
          <w:sz w:val="20"/>
          <w:szCs w:val="20"/>
          <w:lang w:val="es-CR"/>
        </w:rPr>
        <w:t xml:space="preserve"> han valorado positivamente que el Estado haya decidido “ir más allá” de lo ordenado en la Sentencia en materia de otorgamiento de becas educativas.</w:t>
      </w:r>
      <w:r w:rsidR="00194BC7">
        <w:rPr>
          <w:rFonts w:ascii="Verdana" w:hAnsi="Verdana"/>
          <w:b/>
          <w:sz w:val="16"/>
          <w:szCs w:val="16"/>
          <w:lang w:val="es-CR"/>
        </w:rPr>
        <w:t xml:space="preserve"> </w:t>
      </w:r>
    </w:p>
    <w:p w:rsidR="00942E6C" w:rsidRPr="007B56AE" w:rsidRDefault="0012265C"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BE4880">
        <w:rPr>
          <w:rFonts w:ascii="Verdana" w:hAnsi="Verdana"/>
          <w:sz w:val="20"/>
          <w:szCs w:val="20"/>
          <w:lang w:val="es-CR"/>
        </w:rPr>
        <w:t xml:space="preserve">La Corte considera que los referidos criterios definidos por el Estado guardan conformidad con la reparación dispuesta. En particular, se valora positivamente que </w:t>
      </w:r>
      <w:r w:rsidR="002846DD">
        <w:rPr>
          <w:rFonts w:ascii="Verdana" w:hAnsi="Verdana"/>
          <w:sz w:val="20"/>
          <w:szCs w:val="20"/>
          <w:lang w:val="es-CR"/>
        </w:rPr>
        <w:t xml:space="preserve">Chile </w:t>
      </w:r>
      <w:r w:rsidRPr="00BE4880">
        <w:rPr>
          <w:rFonts w:ascii="Verdana" w:hAnsi="Verdana"/>
          <w:sz w:val="20"/>
          <w:szCs w:val="20"/>
          <w:lang w:val="es-CR"/>
        </w:rPr>
        <w:t xml:space="preserve">haya </w:t>
      </w:r>
      <w:r w:rsidRPr="004F356F">
        <w:rPr>
          <w:rFonts w:ascii="Verdana" w:hAnsi="Verdana"/>
          <w:sz w:val="20"/>
          <w:szCs w:val="20"/>
          <w:lang w:val="es-CR"/>
        </w:rPr>
        <w:t xml:space="preserve">optado por brindar las becas de manera retroactiva a la fecha de </w:t>
      </w:r>
      <w:r w:rsidR="003004B4" w:rsidRPr="004F356F">
        <w:rPr>
          <w:rFonts w:ascii="Verdana" w:hAnsi="Verdana"/>
          <w:sz w:val="20"/>
          <w:szCs w:val="20"/>
          <w:lang w:val="es-CR"/>
        </w:rPr>
        <w:t xml:space="preserve">emisión </w:t>
      </w:r>
      <w:r w:rsidRPr="008A4374">
        <w:rPr>
          <w:rFonts w:ascii="Verdana" w:hAnsi="Verdana"/>
          <w:sz w:val="20"/>
          <w:szCs w:val="20"/>
          <w:lang w:val="es-CR"/>
        </w:rPr>
        <w:t>de la Sentencia</w:t>
      </w:r>
      <w:r w:rsidR="00E8458F" w:rsidRPr="008A4374">
        <w:rPr>
          <w:rFonts w:ascii="Verdana" w:hAnsi="Verdana"/>
          <w:sz w:val="20"/>
          <w:szCs w:val="20"/>
          <w:lang w:val="es-CR"/>
        </w:rPr>
        <w:t xml:space="preserve"> (</w:t>
      </w:r>
      <w:r w:rsidR="00E8458F" w:rsidRPr="008A4374">
        <w:rPr>
          <w:rFonts w:ascii="Verdana" w:hAnsi="Verdana"/>
          <w:i/>
          <w:sz w:val="20"/>
          <w:szCs w:val="20"/>
          <w:lang w:val="es-CR"/>
        </w:rPr>
        <w:t>infra</w:t>
      </w:r>
      <w:r w:rsidR="00E8458F" w:rsidRPr="008A4374">
        <w:rPr>
          <w:rFonts w:ascii="Verdana" w:hAnsi="Verdana"/>
          <w:sz w:val="20"/>
          <w:szCs w:val="20"/>
          <w:lang w:val="es-CR"/>
        </w:rPr>
        <w:t xml:space="preserve"> Considerando</w:t>
      </w:r>
      <w:r w:rsidR="004F356F" w:rsidRPr="00903DE2">
        <w:rPr>
          <w:rFonts w:ascii="Verdana" w:hAnsi="Verdana"/>
          <w:sz w:val="20"/>
          <w:szCs w:val="20"/>
          <w:lang w:val="es-CR"/>
        </w:rPr>
        <w:t xml:space="preserve"> 49</w:t>
      </w:r>
      <w:r w:rsidR="00E8458F" w:rsidRPr="004F356F">
        <w:rPr>
          <w:rFonts w:ascii="Verdana" w:hAnsi="Verdana"/>
          <w:sz w:val="20"/>
          <w:szCs w:val="20"/>
          <w:lang w:val="es-CR"/>
        </w:rPr>
        <w:t>)</w:t>
      </w:r>
      <w:r w:rsidRPr="004F356F">
        <w:rPr>
          <w:rFonts w:ascii="Verdana" w:hAnsi="Verdana"/>
          <w:sz w:val="20"/>
          <w:szCs w:val="20"/>
          <w:lang w:val="es-CR"/>
        </w:rPr>
        <w:t xml:space="preserve">. </w:t>
      </w:r>
      <w:r w:rsidRPr="008A4374">
        <w:rPr>
          <w:rFonts w:ascii="Verdana" w:hAnsi="Verdana"/>
          <w:sz w:val="20"/>
          <w:szCs w:val="20"/>
          <w:lang w:val="es-CR"/>
        </w:rPr>
        <w:t xml:space="preserve">Asimismo, se destaca </w:t>
      </w:r>
      <w:r w:rsidR="00F2050C" w:rsidRPr="008A4374">
        <w:rPr>
          <w:rFonts w:ascii="Verdana" w:hAnsi="Verdana"/>
          <w:sz w:val="20"/>
          <w:szCs w:val="20"/>
          <w:lang w:val="es-CR"/>
        </w:rPr>
        <w:t>que el</w:t>
      </w:r>
      <w:r w:rsidRPr="008A4374">
        <w:rPr>
          <w:rFonts w:ascii="Verdana" w:hAnsi="Verdana"/>
          <w:sz w:val="20"/>
          <w:szCs w:val="20"/>
          <w:lang w:val="es-CR"/>
        </w:rPr>
        <w:t xml:space="preserve"> Estado </w:t>
      </w:r>
      <w:r w:rsidR="00D05476" w:rsidRPr="008A4374">
        <w:rPr>
          <w:rFonts w:ascii="Verdana" w:hAnsi="Verdana"/>
          <w:sz w:val="20"/>
          <w:szCs w:val="20"/>
          <w:lang w:val="es-CR"/>
        </w:rPr>
        <w:t>tuviera en</w:t>
      </w:r>
      <w:r w:rsidR="00F2050C" w:rsidRPr="008A4374">
        <w:rPr>
          <w:rFonts w:ascii="Verdana" w:hAnsi="Verdana"/>
          <w:sz w:val="20"/>
          <w:szCs w:val="20"/>
          <w:lang w:val="es-CR"/>
        </w:rPr>
        <w:t xml:space="preserve"> considera</w:t>
      </w:r>
      <w:r w:rsidR="00D05476" w:rsidRPr="008A4374">
        <w:rPr>
          <w:rFonts w:ascii="Verdana" w:hAnsi="Verdana"/>
          <w:sz w:val="20"/>
          <w:szCs w:val="20"/>
          <w:lang w:val="es-CR"/>
        </w:rPr>
        <w:t xml:space="preserve">ción </w:t>
      </w:r>
      <w:r w:rsidR="00F2050C" w:rsidRPr="004801A8">
        <w:rPr>
          <w:rFonts w:ascii="Verdana" w:hAnsi="Verdana"/>
          <w:sz w:val="20"/>
          <w:szCs w:val="20"/>
          <w:lang w:val="es-CR"/>
        </w:rPr>
        <w:t>las solicitudes de las víctimas</w:t>
      </w:r>
      <w:r w:rsidR="00D05476">
        <w:rPr>
          <w:rFonts w:ascii="Verdana" w:hAnsi="Verdana"/>
          <w:sz w:val="20"/>
          <w:szCs w:val="20"/>
          <w:lang w:val="es-CR"/>
        </w:rPr>
        <w:t xml:space="preserve"> y sus representantes</w:t>
      </w:r>
      <w:r w:rsidR="00F2050C" w:rsidRPr="007B56AE">
        <w:rPr>
          <w:rFonts w:ascii="Verdana" w:hAnsi="Verdana"/>
          <w:sz w:val="20"/>
          <w:szCs w:val="20"/>
          <w:lang w:val="es-CR"/>
        </w:rPr>
        <w:t xml:space="preserve"> (</w:t>
      </w:r>
      <w:r w:rsidR="00F2050C" w:rsidRPr="007B56AE">
        <w:rPr>
          <w:rFonts w:ascii="Verdana" w:hAnsi="Verdana"/>
          <w:i/>
          <w:sz w:val="20"/>
          <w:szCs w:val="20"/>
          <w:lang w:val="es-CR"/>
        </w:rPr>
        <w:t xml:space="preserve">supra </w:t>
      </w:r>
      <w:r w:rsidR="00F2050C" w:rsidRPr="007B56AE">
        <w:rPr>
          <w:rFonts w:ascii="Verdana" w:hAnsi="Verdana"/>
          <w:sz w:val="20"/>
          <w:szCs w:val="20"/>
          <w:lang w:val="es-CR"/>
        </w:rPr>
        <w:t xml:space="preserve">Considerando </w:t>
      </w:r>
      <w:r w:rsidR="00EE57F7">
        <w:rPr>
          <w:rFonts w:ascii="Verdana" w:hAnsi="Verdana"/>
          <w:sz w:val="20"/>
          <w:szCs w:val="20"/>
          <w:lang w:val="es-CR"/>
        </w:rPr>
        <w:t>40</w:t>
      </w:r>
      <w:r w:rsidR="00EE57F7" w:rsidRPr="007B56AE">
        <w:rPr>
          <w:rFonts w:ascii="Verdana" w:hAnsi="Verdana"/>
          <w:sz w:val="20"/>
          <w:szCs w:val="20"/>
          <w:lang w:val="es-CR"/>
        </w:rPr>
        <w:t xml:space="preserve">), </w:t>
      </w:r>
      <w:r w:rsidR="00F2050C" w:rsidRPr="006F55BC">
        <w:rPr>
          <w:rFonts w:ascii="Verdana" w:hAnsi="Verdana"/>
          <w:sz w:val="20"/>
          <w:szCs w:val="20"/>
          <w:lang w:val="es-CR"/>
        </w:rPr>
        <w:t>la Sentencia del presente caso y la “armonía con los principios básicos del Convenio N°169 de la OIT”</w:t>
      </w:r>
      <w:r w:rsidR="00F2050C" w:rsidRPr="002846DD">
        <w:rPr>
          <w:rFonts w:ascii="Verdana" w:hAnsi="Verdana"/>
          <w:sz w:val="20"/>
          <w:szCs w:val="20"/>
          <w:lang w:val="es-CR"/>
        </w:rPr>
        <w:t>,</w:t>
      </w:r>
      <w:r w:rsidR="00F2050C" w:rsidRPr="007B56AE">
        <w:rPr>
          <w:rFonts w:ascii="Verdana" w:hAnsi="Verdana"/>
          <w:sz w:val="20"/>
          <w:szCs w:val="20"/>
          <w:lang w:val="es-CR"/>
        </w:rPr>
        <w:t xml:space="preserve"> para</w:t>
      </w:r>
      <w:r w:rsidR="008D4116" w:rsidRPr="007B56AE">
        <w:rPr>
          <w:rFonts w:ascii="Verdana" w:hAnsi="Verdana"/>
          <w:sz w:val="20"/>
          <w:szCs w:val="20"/>
          <w:lang w:val="es-CR"/>
        </w:rPr>
        <w:t xml:space="preserve"> ampliar lo</w:t>
      </w:r>
      <w:r w:rsidR="00E916BB" w:rsidRPr="007B56AE">
        <w:rPr>
          <w:rFonts w:ascii="Verdana" w:hAnsi="Verdana"/>
          <w:sz w:val="20"/>
          <w:szCs w:val="20"/>
          <w:lang w:val="es-CR"/>
        </w:rPr>
        <w:t xml:space="preserve">s beneficiarios de las becas </w:t>
      </w:r>
      <w:r w:rsidR="00C800A7" w:rsidRPr="007B56AE">
        <w:rPr>
          <w:rFonts w:ascii="Verdana" w:hAnsi="Verdana"/>
          <w:sz w:val="20"/>
          <w:szCs w:val="20"/>
          <w:lang w:val="es-CR"/>
        </w:rPr>
        <w:t>a otras personas adicionales a</w:t>
      </w:r>
      <w:r w:rsidR="00E916BB" w:rsidRPr="007B56AE">
        <w:rPr>
          <w:rFonts w:ascii="Verdana" w:hAnsi="Verdana"/>
          <w:sz w:val="20"/>
          <w:szCs w:val="20"/>
          <w:lang w:val="es-CR"/>
        </w:rPr>
        <w:t xml:space="preserve"> </w:t>
      </w:r>
      <w:r w:rsidR="00C800A7" w:rsidRPr="007B56AE">
        <w:rPr>
          <w:rFonts w:ascii="Verdana" w:hAnsi="Verdana"/>
          <w:sz w:val="20"/>
          <w:szCs w:val="20"/>
          <w:lang w:val="es-CR"/>
        </w:rPr>
        <w:t>las</w:t>
      </w:r>
      <w:r w:rsidR="00E916BB" w:rsidRPr="007B56AE">
        <w:rPr>
          <w:rFonts w:ascii="Verdana" w:hAnsi="Verdana"/>
          <w:sz w:val="20"/>
          <w:szCs w:val="20"/>
          <w:lang w:val="es-CR"/>
        </w:rPr>
        <w:t xml:space="preserve"> dispuest</w:t>
      </w:r>
      <w:r w:rsidR="00C800A7" w:rsidRPr="007B56AE">
        <w:rPr>
          <w:rFonts w:ascii="Verdana" w:hAnsi="Verdana"/>
          <w:sz w:val="20"/>
          <w:szCs w:val="20"/>
          <w:lang w:val="es-CR"/>
        </w:rPr>
        <w:t>as</w:t>
      </w:r>
      <w:r w:rsidR="00E916BB" w:rsidRPr="007B56AE">
        <w:rPr>
          <w:rFonts w:ascii="Verdana" w:hAnsi="Verdana"/>
          <w:sz w:val="20"/>
          <w:szCs w:val="20"/>
          <w:lang w:val="es-CR"/>
        </w:rPr>
        <w:t xml:space="preserve"> por este Tribunal en la Sentencia</w:t>
      </w:r>
      <w:r w:rsidR="00E8458F" w:rsidRPr="00BE4880">
        <w:rPr>
          <w:rStyle w:val="Refdenotaalpie"/>
          <w:rFonts w:ascii="Verdana" w:hAnsi="Verdana"/>
          <w:sz w:val="20"/>
          <w:szCs w:val="20"/>
          <w:lang w:val="es-CR"/>
        </w:rPr>
        <w:footnoteReference w:id="65"/>
      </w:r>
      <w:r w:rsidR="00E916BB" w:rsidRPr="007B56AE">
        <w:rPr>
          <w:rFonts w:ascii="Verdana" w:hAnsi="Verdana"/>
          <w:sz w:val="20"/>
          <w:szCs w:val="20"/>
          <w:lang w:val="es-CR"/>
        </w:rPr>
        <w:t xml:space="preserve">, en la cual </w:t>
      </w:r>
      <w:r w:rsidR="00E8458F" w:rsidRPr="007B56AE">
        <w:rPr>
          <w:rFonts w:ascii="Verdana" w:hAnsi="Verdana"/>
          <w:sz w:val="20"/>
          <w:szCs w:val="20"/>
          <w:lang w:val="es-CR"/>
        </w:rPr>
        <w:t xml:space="preserve">sólo </w:t>
      </w:r>
      <w:r w:rsidR="00E916BB" w:rsidRPr="007B56AE">
        <w:rPr>
          <w:rFonts w:ascii="Verdana" w:hAnsi="Verdana"/>
          <w:sz w:val="20"/>
          <w:szCs w:val="20"/>
          <w:lang w:val="es-CR"/>
        </w:rPr>
        <w:t>se ordenó que éstas fueran otorgadas a los hijos de las ocho víctimas del caso (</w:t>
      </w:r>
      <w:r w:rsidR="00E916BB" w:rsidRPr="007B56AE">
        <w:rPr>
          <w:rFonts w:ascii="Verdana" w:hAnsi="Verdana"/>
          <w:i/>
          <w:sz w:val="20"/>
          <w:szCs w:val="20"/>
          <w:lang w:val="es-CR"/>
        </w:rPr>
        <w:t xml:space="preserve">supra </w:t>
      </w:r>
      <w:r w:rsidR="00E916BB" w:rsidRPr="007B56AE">
        <w:rPr>
          <w:rFonts w:ascii="Verdana" w:hAnsi="Verdana"/>
          <w:sz w:val="20"/>
          <w:szCs w:val="20"/>
          <w:lang w:val="es-CR"/>
        </w:rPr>
        <w:t xml:space="preserve">Considerando </w:t>
      </w:r>
      <w:r w:rsidR="008E0BA3">
        <w:rPr>
          <w:rFonts w:ascii="Verdana" w:hAnsi="Verdana"/>
          <w:sz w:val="20"/>
          <w:szCs w:val="20"/>
          <w:lang w:val="es-CR"/>
        </w:rPr>
        <w:t>39</w:t>
      </w:r>
      <w:r w:rsidR="008E0BA3" w:rsidRPr="007B56AE">
        <w:rPr>
          <w:rFonts w:ascii="Verdana" w:hAnsi="Verdana"/>
          <w:sz w:val="20"/>
          <w:szCs w:val="20"/>
          <w:lang w:val="es-CR"/>
        </w:rPr>
        <w:t xml:space="preserve">). </w:t>
      </w:r>
    </w:p>
    <w:p w:rsidR="00D05476" w:rsidRDefault="00E8458F" w:rsidP="00857630">
      <w:pPr>
        <w:pStyle w:val="Listavistosa-nfasis1"/>
        <w:numPr>
          <w:ilvl w:val="0"/>
          <w:numId w:val="28"/>
        </w:numPr>
        <w:spacing w:before="120" w:after="120" w:line="240" w:lineRule="auto"/>
        <w:ind w:left="0" w:right="11" w:firstLine="0"/>
        <w:contextualSpacing w:val="0"/>
        <w:jc w:val="both"/>
        <w:rPr>
          <w:rFonts w:ascii="Verdana" w:hAnsi="Verdana"/>
          <w:color w:val="7030A0"/>
          <w:sz w:val="20"/>
          <w:szCs w:val="20"/>
          <w:lang w:val="es-CR"/>
        </w:rPr>
      </w:pPr>
      <w:r w:rsidRPr="00BE4880">
        <w:rPr>
          <w:rFonts w:ascii="Verdana" w:hAnsi="Verdana"/>
          <w:sz w:val="20"/>
          <w:szCs w:val="20"/>
          <w:lang w:val="es-CR"/>
        </w:rPr>
        <w:t xml:space="preserve">Si bien </w:t>
      </w:r>
      <w:r w:rsidR="00607BEE" w:rsidRPr="00BE4880">
        <w:rPr>
          <w:rFonts w:ascii="Verdana" w:hAnsi="Verdana"/>
          <w:sz w:val="20"/>
          <w:szCs w:val="20"/>
          <w:lang w:val="es-CR"/>
        </w:rPr>
        <w:t>este Tribunal</w:t>
      </w:r>
      <w:r w:rsidR="00505E07" w:rsidRPr="00BE4880">
        <w:rPr>
          <w:rFonts w:ascii="Verdana" w:hAnsi="Verdana"/>
          <w:sz w:val="20"/>
          <w:szCs w:val="20"/>
          <w:lang w:val="es-CR"/>
        </w:rPr>
        <w:t xml:space="preserve"> insta a que el Es</w:t>
      </w:r>
      <w:r w:rsidRPr="00BE4880">
        <w:rPr>
          <w:rFonts w:ascii="Verdana" w:hAnsi="Verdana"/>
          <w:sz w:val="20"/>
          <w:szCs w:val="20"/>
          <w:lang w:val="es-CR"/>
        </w:rPr>
        <w:t xml:space="preserve">tado </w:t>
      </w:r>
      <w:r w:rsidR="00505E07" w:rsidRPr="00BE4880">
        <w:rPr>
          <w:rFonts w:ascii="Verdana" w:hAnsi="Verdana"/>
          <w:sz w:val="20"/>
          <w:szCs w:val="20"/>
          <w:lang w:val="es-CR"/>
        </w:rPr>
        <w:t xml:space="preserve">continúe honrando su compromiso de brindar </w:t>
      </w:r>
      <w:r w:rsidR="00607BEE" w:rsidRPr="00BE4880">
        <w:rPr>
          <w:rFonts w:ascii="Verdana" w:hAnsi="Verdana"/>
          <w:sz w:val="20"/>
          <w:szCs w:val="20"/>
          <w:lang w:val="es-CR"/>
        </w:rPr>
        <w:t>becas educativas</w:t>
      </w:r>
      <w:r w:rsidR="00505E07" w:rsidRPr="00BE4880">
        <w:rPr>
          <w:rFonts w:ascii="Verdana" w:hAnsi="Verdana"/>
          <w:sz w:val="20"/>
          <w:szCs w:val="20"/>
          <w:lang w:val="es-CR"/>
        </w:rPr>
        <w:t xml:space="preserve"> siguiendo el</w:t>
      </w:r>
      <w:r w:rsidRPr="00BE4880">
        <w:rPr>
          <w:rFonts w:ascii="Verdana" w:hAnsi="Verdana"/>
          <w:sz w:val="20"/>
          <w:szCs w:val="20"/>
          <w:lang w:val="es-CR"/>
        </w:rPr>
        <w:t xml:space="preserve"> </w:t>
      </w:r>
      <w:r w:rsidR="00505E07" w:rsidRPr="00BE4880">
        <w:rPr>
          <w:rFonts w:ascii="Verdana" w:hAnsi="Verdana"/>
          <w:sz w:val="20"/>
          <w:szCs w:val="20"/>
          <w:lang w:val="es-CR"/>
        </w:rPr>
        <w:t xml:space="preserve">referido </w:t>
      </w:r>
      <w:r w:rsidRPr="00BE4880">
        <w:rPr>
          <w:rFonts w:ascii="Verdana" w:hAnsi="Verdana"/>
          <w:sz w:val="20"/>
          <w:szCs w:val="20"/>
          <w:lang w:val="es-CR"/>
        </w:rPr>
        <w:t xml:space="preserve">criterio </w:t>
      </w:r>
      <w:r w:rsidR="00523EB7">
        <w:rPr>
          <w:rFonts w:ascii="Verdana" w:hAnsi="Verdana"/>
          <w:sz w:val="20"/>
          <w:szCs w:val="20"/>
          <w:lang w:val="es-CR"/>
        </w:rPr>
        <w:t xml:space="preserve">amplio </w:t>
      </w:r>
      <w:r w:rsidRPr="00BE4880">
        <w:rPr>
          <w:rFonts w:ascii="Verdana" w:hAnsi="Verdana"/>
          <w:sz w:val="20"/>
          <w:szCs w:val="20"/>
          <w:lang w:val="es-CR"/>
        </w:rPr>
        <w:t>de beneficiarios</w:t>
      </w:r>
      <w:r w:rsidR="00505E07" w:rsidRPr="00BE4880">
        <w:rPr>
          <w:rFonts w:ascii="Verdana" w:hAnsi="Verdana"/>
          <w:sz w:val="20"/>
          <w:szCs w:val="20"/>
          <w:lang w:val="es-CR"/>
        </w:rPr>
        <w:t>, en la etapa de supervisión de cumplimiento del presente caso la Corte únicamente verificará la ejecución de la reparación respecto de</w:t>
      </w:r>
      <w:r w:rsidR="00607BEE" w:rsidRPr="00BE4880">
        <w:rPr>
          <w:rFonts w:ascii="Verdana" w:hAnsi="Verdana"/>
          <w:sz w:val="20"/>
          <w:szCs w:val="20"/>
          <w:lang w:val="es-CR"/>
        </w:rPr>
        <w:t>: i)</w:t>
      </w:r>
      <w:r w:rsidR="00505E07" w:rsidRPr="00BE4880">
        <w:rPr>
          <w:rFonts w:ascii="Verdana" w:hAnsi="Verdana"/>
          <w:sz w:val="20"/>
          <w:szCs w:val="20"/>
          <w:lang w:val="es-CR"/>
        </w:rPr>
        <w:t xml:space="preserve"> las siete víctimas del caso, según fue definido en los referidos criterios del Ministerio de Educación de Chile (</w:t>
      </w:r>
      <w:r w:rsidR="00505E07" w:rsidRPr="00BE4880">
        <w:rPr>
          <w:rFonts w:ascii="Verdana" w:hAnsi="Verdana"/>
          <w:i/>
          <w:sz w:val="20"/>
          <w:szCs w:val="20"/>
          <w:lang w:val="es-CR"/>
        </w:rPr>
        <w:t>supra</w:t>
      </w:r>
      <w:r w:rsidR="00505E07" w:rsidRPr="00BE4880">
        <w:rPr>
          <w:rFonts w:ascii="Verdana" w:hAnsi="Verdana"/>
          <w:sz w:val="20"/>
          <w:szCs w:val="20"/>
          <w:lang w:val="es-CR"/>
        </w:rPr>
        <w:t xml:space="preserve"> Considerando </w:t>
      </w:r>
      <w:r w:rsidR="008E0BA3">
        <w:rPr>
          <w:rFonts w:ascii="Verdana" w:hAnsi="Verdana"/>
          <w:sz w:val="20"/>
          <w:szCs w:val="20"/>
          <w:lang w:val="es-CR"/>
        </w:rPr>
        <w:t>41</w:t>
      </w:r>
      <w:r w:rsidR="008E0BA3" w:rsidRPr="00BE4880">
        <w:rPr>
          <w:rFonts w:ascii="Verdana" w:hAnsi="Verdana"/>
          <w:sz w:val="20"/>
          <w:szCs w:val="20"/>
          <w:lang w:val="es-CR"/>
        </w:rPr>
        <w:t xml:space="preserve">), </w:t>
      </w:r>
      <w:r w:rsidR="00505E07" w:rsidRPr="00BE4880">
        <w:rPr>
          <w:rFonts w:ascii="Verdana" w:hAnsi="Verdana"/>
          <w:sz w:val="20"/>
          <w:szCs w:val="20"/>
          <w:lang w:val="es-CR"/>
        </w:rPr>
        <w:t>y</w:t>
      </w:r>
      <w:r w:rsidR="00607BEE" w:rsidRPr="00BE4880">
        <w:rPr>
          <w:rFonts w:ascii="Verdana" w:hAnsi="Verdana"/>
          <w:sz w:val="20"/>
          <w:szCs w:val="20"/>
          <w:lang w:val="es-CR"/>
        </w:rPr>
        <w:t xml:space="preserve"> ii) de</w:t>
      </w:r>
      <w:r w:rsidR="00505E07" w:rsidRPr="00BE4880">
        <w:rPr>
          <w:rFonts w:ascii="Verdana" w:hAnsi="Verdana"/>
          <w:sz w:val="20"/>
          <w:szCs w:val="20"/>
          <w:lang w:val="es-CR"/>
        </w:rPr>
        <w:t xml:space="preserve"> sus hijos</w:t>
      </w:r>
      <w:r w:rsidR="00460F5D">
        <w:rPr>
          <w:rFonts w:ascii="Verdana" w:hAnsi="Verdana"/>
          <w:sz w:val="20"/>
          <w:szCs w:val="20"/>
          <w:lang w:val="es-CR"/>
        </w:rPr>
        <w:t xml:space="preserve"> y/o hijas</w:t>
      </w:r>
      <w:r w:rsidR="00505E07" w:rsidRPr="00BE4880">
        <w:rPr>
          <w:rFonts w:ascii="Verdana" w:hAnsi="Verdana"/>
          <w:sz w:val="20"/>
          <w:szCs w:val="20"/>
          <w:lang w:val="es-CR"/>
        </w:rPr>
        <w:t xml:space="preserve">, de acuerdo con lo ordenado en </w:t>
      </w:r>
      <w:r w:rsidR="00607BEE" w:rsidRPr="00BE4880">
        <w:rPr>
          <w:rFonts w:ascii="Verdana" w:hAnsi="Verdana"/>
          <w:sz w:val="20"/>
          <w:szCs w:val="20"/>
          <w:lang w:val="es-CR"/>
        </w:rPr>
        <w:t xml:space="preserve">el punto </w:t>
      </w:r>
      <w:r w:rsidR="008E0BA3">
        <w:rPr>
          <w:rFonts w:ascii="Verdana" w:hAnsi="Verdana"/>
          <w:sz w:val="20"/>
          <w:szCs w:val="20"/>
          <w:lang w:val="es-CR"/>
        </w:rPr>
        <w:t>dispositivo</w:t>
      </w:r>
      <w:r w:rsidR="008E0BA3" w:rsidRPr="00BE4880">
        <w:rPr>
          <w:rFonts w:ascii="Verdana" w:hAnsi="Verdana"/>
          <w:sz w:val="20"/>
          <w:szCs w:val="20"/>
          <w:lang w:val="es-CR"/>
        </w:rPr>
        <w:t xml:space="preserve"> </w:t>
      </w:r>
      <w:r w:rsidR="00607BEE" w:rsidRPr="00BE4880">
        <w:rPr>
          <w:rFonts w:ascii="Verdana" w:hAnsi="Verdana"/>
          <w:sz w:val="20"/>
          <w:szCs w:val="20"/>
          <w:lang w:val="es-CR"/>
        </w:rPr>
        <w:t xml:space="preserve">décimo noveno de </w:t>
      </w:r>
      <w:r w:rsidR="00505E07" w:rsidRPr="00BE4880">
        <w:rPr>
          <w:rFonts w:ascii="Verdana" w:hAnsi="Verdana"/>
          <w:sz w:val="20"/>
          <w:szCs w:val="20"/>
          <w:lang w:val="es-CR"/>
        </w:rPr>
        <w:t>la Sentencia (</w:t>
      </w:r>
      <w:r w:rsidR="00505E07" w:rsidRPr="00BE4880">
        <w:rPr>
          <w:rFonts w:ascii="Verdana" w:hAnsi="Verdana"/>
          <w:i/>
          <w:sz w:val="20"/>
          <w:szCs w:val="20"/>
          <w:lang w:val="es-CR"/>
        </w:rPr>
        <w:t>supra</w:t>
      </w:r>
      <w:r w:rsidR="00505E07" w:rsidRPr="00BE4880">
        <w:rPr>
          <w:rFonts w:ascii="Verdana" w:hAnsi="Verdana"/>
          <w:sz w:val="20"/>
          <w:szCs w:val="20"/>
          <w:lang w:val="es-CR"/>
        </w:rPr>
        <w:t xml:space="preserve"> Considerando </w:t>
      </w:r>
      <w:r w:rsidR="008E0BA3">
        <w:rPr>
          <w:rFonts w:ascii="Verdana" w:hAnsi="Verdana"/>
          <w:sz w:val="20"/>
          <w:szCs w:val="20"/>
          <w:lang w:val="es-CR"/>
        </w:rPr>
        <w:t>39</w:t>
      </w:r>
      <w:r w:rsidR="008E0BA3" w:rsidRPr="00BE4880">
        <w:rPr>
          <w:rFonts w:ascii="Verdana" w:hAnsi="Verdana"/>
          <w:sz w:val="20"/>
          <w:szCs w:val="20"/>
          <w:lang w:val="es-CR"/>
        </w:rPr>
        <w:t>).</w:t>
      </w:r>
      <w:r w:rsidR="008E0BA3">
        <w:rPr>
          <w:rFonts w:ascii="Verdana" w:hAnsi="Verdana"/>
          <w:color w:val="7030A0"/>
          <w:sz w:val="20"/>
          <w:szCs w:val="20"/>
          <w:lang w:val="es-CR"/>
        </w:rPr>
        <w:t xml:space="preserve"> </w:t>
      </w:r>
    </w:p>
    <w:p w:rsidR="00EE2598" w:rsidRDefault="00351C84"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58301D">
        <w:rPr>
          <w:rFonts w:ascii="Verdana" w:hAnsi="Verdana"/>
          <w:sz w:val="20"/>
          <w:szCs w:val="20"/>
          <w:lang w:val="es-CR"/>
        </w:rPr>
        <w:t>Si bien el Estado ha aportado diversos listados de beneficiarios, para continuar con una adecuada supervisión de la medida es</w:t>
      </w:r>
      <w:r w:rsidR="00D62038" w:rsidRPr="0058301D">
        <w:rPr>
          <w:rFonts w:ascii="Verdana" w:hAnsi="Verdana"/>
          <w:sz w:val="20"/>
          <w:szCs w:val="20"/>
          <w:lang w:val="es-CR"/>
        </w:rPr>
        <w:t xml:space="preserve"> necesario que </w:t>
      </w:r>
      <w:r w:rsidR="005450D3" w:rsidRPr="0058301D">
        <w:rPr>
          <w:rFonts w:ascii="Verdana" w:hAnsi="Verdana"/>
          <w:sz w:val="20"/>
          <w:szCs w:val="20"/>
          <w:lang w:val="es-CR"/>
        </w:rPr>
        <w:t xml:space="preserve">aclare </w:t>
      </w:r>
      <w:r w:rsidRPr="0058301D">
        <w:rPr>
          <w:rFonts w:ascii="Verdana" w:hAnsi="Verdana"/>
          <w:sz w:val="20"/>
          <w:szCs w:val="20"/>
          <w:lang w:val="es-CR"/>
        </w:rPr>
        <w:t>dicha</w:t>
      </w:r>
      <w:r w:rsidR="005450D3" w:rsidRPr="0058301D">
        <w:rPr>
          <w:rFonts w:ascii="Verdana" w:hAnsi="Verdana"/>
          <w:sz w:val="20"/>
          <w:szCs w:val="20"/>
          <w:lang w:val="es-CR"/>
        </w:rPr>
        <w:t xml:space="preserve"> información</w:t>
      </w:r>
      <w:r w:rsidR="00384AFC">
        <w:rPr>
          <w:rFonts w:ascii="Verdana" w:hAnsi="Verdana"/>
          <w:sz w:val="20"/>
          <w:szCs w:val="20"/>
          <w:lang w:val="es-CR"/>
        </w:rPr>
        <w:t xml:space="preserve">, </w:t>
      </w:r>
      <w:r w:rsidR="005450D3" w:rsidRPr="0058301D">
        <w:rPr>
          <w:rFonts w:ascii="Verdana" w:hAnsi="Verdana"/>
          <w:sz w:val="20"/>
          <w:szCs w:val="20"/>
          <w:lang w:val="es-CR"/>
        </w:rPr>
        <w:t>presentando un</w:t>
      </w:r>
      <w:r w:rsidR="00D55FAA" w:rsidRPr="0058301D">
        <w:rPr>
          <w:rFonts w:ascii="Verdana" w:hAnsi="Verdana"/>
          <w:sz w:val="20"/>
          <w:szCs w:val="20"/>
          <w:lang w:val="es-CR"/>
        </w:rPr>
        <w:t xml:space="preserve"> </w:t>
      </w:r>
      <w:r w:rsidRPr="0058301D">
        <w:rPr>
          <w:rFonts w:ascii="Verdana" w:hAnsi="Verdana"/>
          <w:sz w:val="20"/>
          <w:szCs w:val="20"/>
          <w:lang w:val="es-CR"/>
        </w:rPr>
        <w:t xml:space="preserve">único </w:t>
      </w:r>
      <w:r w:rsidR="00D55FAA" w:rsidRPr="0058301D">
        <w:rPr>
          <w:rFonts w:ascii="Verdana" w:hAnsi="Verdana"/>
          <w:sz w:val="20"/>
          <w:szCs w:val="20"/>
          <w:lang w:val="es-CR"/>
        </w:rPr>
        <w:t>listado con los nombres de</w:t>
      </w:r>
      <w:r w:rsidR="008E3388" w:rsidRPr="0058301D">
        <w:rPr>
          <w:rFonts w:ascii="Verdana" w:hAnsi="Verdana"/>
          <w:sz w:val="20"/>
          <w:szCs w:val="20"/>
          <w:lang w:val="es-CR"/>
        </w:rPr>
        <w:t xml:space="preserve"> las víctimas del caso y </w:t>
      </w:r>
      <w:r w:rsidR="00523EB7">
        <w:rPr>
          <w:rFonts w:ascii="Verdana" w:hAnsi="Verdana"/>
          <w:sz w:val="20"/>
          <w:szCs w:val="20"/>
          <w:lang w:val="es-CR"/>
        </w:rPr>
        <w:t>los</w:t>
      </w:r>
      <w:r w:rsidR="00D55FAA" w:rsidRPr="0058301D">
        <w:rPr>
          <w:rFonts w:ascii="Verdana" w:hAnsi="Verdana"/>
          <w:sz w:val="20"/>
          <w:szCs w:val="20"/>
          <w:lang w:val="es-CR"/>
        </w:rPr>
        <w:t xml:space="preserve"> </w:t>
      </w:r>
      <w:r w:rsidR="008E3388" w:rsidRPr="0058301D">
        <w:rPr>
          <w:rFonts w:ascii="Verdana" w:hAnsi="Verdana"/>
          <w:sz w:val="20"/>
          <w:szCs w:val="20"/>
          <w:lang w:val="es-CR"/>
        </w:rPr>
        <w:t xml:space="preserve">hijos </w:t>
      </w:r>
      <w:r w:rsidR="00384AFC">
        <w:rPr>
          <w:rFonts w:ascii="Verdana" w:hAnsi="Verdana"/>
          <w:sz w:val="20"/>
          <w:szCs w:val="20"/>
          <w:lang w:val="es-CR"/>
        </w:rPr>
        <w:t xml:space="preserve">e hijas </w:t>
      </w:r>
      <w:r w:rsidR="00523EB7">
        <w:rPr>
          <w:rFonts w:ascii="Verdana" w:hAnsi="Verdana"/>
          <w:sz w:val="20"/>
          <w:szCs w:val="20"/>
          <w:lang w:val="es-CR"/>
        </w:rPr>
        <w:t xml:space="preserve">de cada uno de </w:t>
      </w:r>
      <w:r w:rsidR="00384AFC">
        <w:rPr>
          <w:rFonts w:ascii="Verdana" w:hAnsi="Verdana"/>
          <w:sz w:val="20"/>
          <w:szCs w:val="20"/>
          <w:lang w:val="es-CR"/>
        </w:rPr>
        <w:t xml:space="preserve">ellas </w:t>
      </w:r>
      <w:r w:rsidR="008E3388" w:rsidRPr="0058301D">
        <w:rPr>
          <w:rFonts w:ascii="Verdana" w:hAnsi="Verdana"/>
          <w:sz w:val="20"/>
          <w:szCs w:val="20"/>
          <w:lang w:val="es-CR"/>
        </w:rPr>
        <w:t>que</w:t>
      </w:r>
      <w:r w:rsidR="00607BEE" w:rsidRPr="0058301D">
        <w:rPr>
          <w:rFonts w:ascii="Verdana" w:hAnsi="Verdana"/>
          <w:sz w:val="20"/>
          <w:szCs w:val="20"/>
          <w:lang w:val="es-CR"/>
        </w:rPr>
        <w:t xml:space="preserve"> habrían solicitado y</w:t>
      </w:r>
      <w:r w:rsidR="008E3388" w:rsidRPr="0058301D">
        <w:rPr>
          <w:rFonts w:ascii="Verdana" w:hAnsi="Verdana"/>
          <w:sz w:val="20"/>
          <w:szCs w:val="20"/>
          <w:lang w:val="es-CR"/>
        </w:rPr>
        <w:t xml:space="preserve"> </w:t>
      </w:r>
      <w:r w:rsidR="00607BEE" w:rsidRPr="0058301D">
        <w:rPr>
          <w:rFonts w:ascii="Verdana" w:hAnsi="Verdana"/>
          <w:sz w:val="20"/>
          <w:szCs w:val="20"/>
          <w:lang w:val="es-CR"/>
        </w:rPr>
        <w:t xml:space="preserve">están </w:t>
      </w:r>
      <w:r w:rsidR="008E3388" w:rsidRPr="0058301D">
        <w:rPr>
          <w:rFonts w:ascii="Verdana" w:hAnsi="Verdana"/>
          <w:sz w:val="20"/>
          <w:szCs w:val="20"/>
          <w:lang w:val="es-CR"/>
        </w:rPr>
        <w:t xml:space="preserve">recibiendo </w:t>
      </w:r>
      <w:r w:rsidR="00607BEE" w:rsidRPr="0058301D">
        <w:rPr>
          <w:rFonts w:ascii="Verdana" w:hAnsi="Verdana"/>
          <w:sz w:val="20"/>
          <w:szCs w:val="20"/>
          <w:lang w:val="es-CR"/>
        </w:rPr>
        <w:t xml:space="preserve">actualmente </w:t>
      </w:r>
      <w:r w:rsidR="008E3388" w:rsidRPr="0058301D">
        <w:rPr>
          <w:rFonts w:ascii="Verdana" w:hAnsi="Verdana"/>
          <w:sz w:val="20"/>
          <w:szCs w:val="20"/>
          <w:lang w:val="es-CR"/>
        </w:rPr>
        <w:t>becas</w:t>
      </w:r>
      <w:r w:rsidR="00607BEE" w:rsidRPr="0058301D">
        <w:rPr>
          <w:rFonts w:ascii="Verdana" w:hAnsi="Verdana"/>
          <w:sz w:val="20"/>
          <w:szCs w:val="20"/>
          <w:lang w:val="es-CR"/>
        </w:rPr>
        <w:t xml:space="preserve"> educativas por parte</w:t>
      </w:r>
      <w:r w:rsidR="008E3388" w:rsidRPr="0058301D">
        <w:rPr>
          <w:rFonts w:ascii="Verdana" w:hAnsi="Verdana"/>
          <w:sz w:val="20"/>
          <w:szCs w:val="20"/>
          <w:lang w:val="es-CR"/>
        </w:rPr>
        <w:t xml:space="preserve"> del Estado</w:t>
      </w:r>
      <w:r w:rsidR="00927DA8" w:rsidRPr="0058301D">
        <w:rPr>
          <w:rFonts w:ascii="Verdana" w:hAnsi="Verdana"/>
          <w:sz w:val="20"/>
          <w:szCs w:val="20"/>
          <w:lang w:val="es-CR"/>
        </w:rPr>
        <w:t xml:space="preserve">, con indicación del nivel educativo </w:t>
      </w:r>
      <w:r w:rsidR="005450D3" w:rsidRPr="0058301D">
        <w:rPr>
          <w:rFonts w:ascii="Verdana" w:hAnsi="Verdana"/>
          <w:sz w:val="20"/>
          <w:szCs w:val="20"/>
          <w:lang w:val="es-CR"/>
        </w:rPr>
        <w:t xml:space="preserve">para </w:t>
      </w:r>
      <w:r w:rsidR="00927DA8" w:rsidRPr="0058301D">
        <w:rPr>
          <w:rFonts w:ascii="Verdana" w:hAnsi="Verdana"/>
          <w:sz w:val="20"/>
          <w:szCs w:val="20"/>
          <w:lang w:val="es-CR"/>
        </w:rPr>
        <w:t>el</w:t>
      </w:r>
      <w:r w:rsidR="005450D3" w:rsidRPr="0058301D">
        <w:rPr>
          <w:rFonts w:ascii="Verdana" w:hAnsi="Verdana"/>
          <w:sz w:val="20"/>
          <w:szCs w:val="20"/>
          <w:lang w:val="es-CR"/>
        </w:rPr>
        <w:t xml:space="preserve"> cual la reciben</w:t>
      </w:r>
      <w:r w:rsidR="008E3388" w:rsidRPr="0058301D">
        <w:rPr>
          <w:rFonts w:ascii="Verdana" w:hAnsi="Verdana"/>
          <w:sz w:val="20"/>
          <w:szCs w:val="20"/>
          <w:lang w:val="es-CR"/>
        </w:rPr>
        <w:t>. Asimismo, este Tribunal nota que</w:t>
      </w:r>
      <w:r w:rsidR="00BE4880" w:rsidRPr="0058301D">
        <w:rPr>
          <w:rFonts w:ascii="Verdana" w:hAnsi="Verdana"/>
          <w:sz w:val="20"/>
          <w:szCs w:val="20"/>
          <w:lang w:val="es-CR"/>
        </w:rPr>
        <w:t>, a pesar de lo indicado por Chile respecto a que las víctimas del presente caso son beneficiarias de esta reparación</w:t>
      </w:r>
      <w:r w:rsidR="00523EB7">
        <w:rPr>
          <w:rFonts w:ascii="Verdana" w:hAnsi="Verdana"/>
          <w:sz w:val="20"/>
          <w:szCs w:val="20"/>
          <w:lang w:val="es-CR"/>
        </w:rPr>
        <w:t xml:space="preserve"> y de que se habrían ordenado pagos a su favor </w:t>
      </w:r>
      <w:r w:rsidR="00523EB7" w:rsidRPr="008A4374">
        <w:rPr>
          <w:rFonts w:ascii="Verdana" w:hAnsi="Verdana"/>
          <w:sz w:val="20"/>
          <w:szCs w:val="20"/>
          <w:lang w:val="es-CR"/>
        </w:rPr>
        <w:t>(</w:t>
      </w:r>
      <w:r w:rsidR="00523EB7" w:rsidRPr="008A4374">
        <w:rPr>
          <w:rFonts w:ascii="Verdana" w:hAnsi="Verdana"/>
          <w:i/>
          <w:sz w:val="20"/>
          <w:szCs w:val="20"/>
          <w:lang w:val="es-CR"/>
        </w:rPr>
        <w:t>infra</w:t>
      </w:r>
      <w:r w:rsidR="00523EB7" w:rsidRPr="004801A8">
        <w:rPr>
          <w:rFonts w:ascii="Verdana" w:hAnsi="Verdana"/>
          <w:sz w:val="20"/>
          <w:szCs w:val="20"/>
          <w:lang w:val="es-CR"/>
        </w:rPr>
        <w:t xml:space="preserve"> nota al pie </w:t>
      </w:r>
      <w:r w:rsidR="008A4374" w:rsidRPr="00903DE2">
        <w:rPr>
          <w:rFonts w:ascii="Verdana" w:hAnsi="Verdana"/>
          <w:sz w:val="20"/>
          <w:szCs w:val="20"/>
          <w:lang w:val="es-CR"/>
        </w:rPr>
        <w:t>68</w:t>
      </w:r>
      <w:r w:rsidR="00523EB7" w:rsidRPr="008A4374">
        <w:rPr>
          <w:rFonts w:ascii="Verdana" w:hAnsi="Verdana"/>
          <w:sz w:val="20"/>
          <w:szCs w:val="20"/>
          <w:lang w:val="es-CR"/>
        </w:rPr>
        <w:t>)</w:t>
      </w:r>
      <w:r w:rsidR="00BE4880" w:rsidRPr="008A4374">
        <w:rPr>
          <w:rFonts w:ascii="Verdana" w:hAnsi="Verdana"/>
          <w:sz w:val="20"/>
          <w:szCs w:val="20"/>
          <w:lang w:val="es-CR"/>
        </w:rPr>
        <w:t>,</w:t>
      </w:r>
      <w:r w:rsidR="008E3388" w:rsidRPr="0058301D">
        <w:rPr>
          <w:rFonts w:ascii="Verdana" w:hAnsi="Verdana"/>
          <w:sz w:val="20"/>
          <w:szCs w:val="20"/>
          <w:lang w:val="es-CR"/>
        </w:rPr>
        <w:t xml:space="preserve"> </w:t>
      </w:r>
      <w:r w:rsidR="009B2106" w:rsidRPr="0058301D">
        <w:rPr>
          <w:rFonts w:ascii="Verdana" w:hAnsi="Verdana"/>
          <w:sz w:val="20"/>
          <w:szCs w:val="20"/>
          <w:lang w:val="es-CR"/>
        </w:rPr>
        <w:t xml:space="preserve">la víctima Patricia Troncoso Robles ha expresado en varios escritos su disconformidad </w:t>
      </w:r>
      <w:r w:rsidR="00981C93" w:rsidRPr="0058301D">
        <w:rPr>
          <w:rFonts w:ascii="Verdana" w:hAnsi="Verdana"/>
          <w:sz w:val="20"/>
          <w:szCs w:val="20"/>
          <w:lang w:val="es-CR"/>
        </w:rPr>
        <w:t>respecto a que no se ha</w:t>
      </w:r>
      <w:r w:rsidR="005450D3" w:rsidRPr="0058301D">
        <w:rPr>
          <w:rFonts w:ascii="Verdana" w:hAnsi="Verdana"/>
          <w:sz w:val="20"/>
          <w:szCs w:val="20"/>
          <w:lang w:val="es-CR"/>
        </w:rPr>
        <w:t>bría</w:t>
      </w:r>
      <w:r w:rsidR="00981C93" w:rsidRPr="0058301D">
        <w:rPr>
          <w:rFonts w:ascii="Verdana" w:hAnsi="Verdana"/>
          <w:sz w:val="20"/>
          <w:szCs w:val="20"/>
          <w:lang w:val="es-CR"/>
        </w:rPr>
        <w:t xml:space="preserve"> otorgado una beca</w:t>
      </w:r>
      <w:r w:rsidR="00770737" w:rsidRPr="0058301D">
        <w:rPr>
          <w:rFonts w:ascii="Verdana" w:hAnsi="Verdana"/>
          <w:sz w:val="20"/>
          <w:szCs w:val="20"/>
          <w:lang w:val="es-CR"/>
        </w:rPr>
        <w:t xml:space="preserve"> “a su persona y familiares directos”. </w:t>
      </w:r>
      <w:r w:rsidR="005450D3" w:rsidRPr="0058301D">
        <w:rPr>
          <w:rFonts w:ascii="Verdana" w:hAnsi="Verdana"/>
          <w:sz w:val="20"/>
          <w:szCs w:val="20"/>
          <w:lang w:val="es-CR"/>
        </w:rPr>
        <w:t xml:space="preserve">Al respecto, es necesario que Chile </w:t>
      </w:r>
      <w:r w:rsidR="00523EB7">
        <w:rPr>
          <w:rFonts w:ascii="Verdana" w:hAnsi="Verdana"/>
          <w:sz w:val="20"/>
          <w:szCs w:val="20"/>
          <w:lang w:val="es-CR"/>
        </w:rPr>
        <w:t>aclare</w:t>
      </w:r>
      <w:r w:rsidR="005450D3" w:rsidRPr="0058301D">
        <w:rPr>
          <w:rFonts w:ascii="Verdana" w:hAnsi="Verdana"/>
          <w:sz w:val="20"/>
          <w:szCs w:val="20"/>
          <w:lang w:val="es-CR"/>
        </w:rPr>
        <w:t xml:space="preserve"> cómo se está garantizando la ejecución de esta medida de reparación para la referida víctima</w:t>
      </w:r>
      <w:r w:rsidR="00981C93" w:rsidRPr="0058301D">
        <w:rPr>
          <w:rFonts w:ascii="Verdana" w:hAnsi="Verdana"/>
          <w:sz w:val="20"/>
          <w:szCs w:val="20"/>
          <w:lang w:val="es-CR"/>
        </w:rPr>
        <w:t xml:space="preserve"> </w:t>
      </w:r>
      <w:r w:rsidR="005450D3" w:rsidRPr="0058301D">
        <w:rPr>
          <w:rFonts w:ascii="Verdana" w:hAnsi="Verdana"/>
          <w:sz w:val="20"/>
          <w:szCs w:val="20"/>
          <w:lang w:val="es-CR"/>
        </w:rPr>
        <w:t xml:space="preserve">y, de ser el caso, sus hijos </w:t>
      </w:r>
      <w:r w:rsidR="008D16DB" w:rsidRPr="0058301D">
        <w:rPr>
          <w:rFonts w:ascii="Verdana" w:hAnsi="Verdana"/>
          <w:sz w:val="20"/>
          <w:szCs w:val="20"/>
          <w:lang w:val="es-CR"/>
        </w:rPr>
        <w:t>y/</w:t>
      </w:r>
      <w:r w:rsidR="005450D3" w:rsidRPr="0058301D">
        <w:rPr>
          <w:rFonts w:ascii="Verdana" w:hAnsi="Verdana"/>
          <w:sz w:val="20"/>
          <w:szCs w:val="20"/>
          <w:lang w:val="es-CR"/>
        </w:rPr>
        <w:t xml:space="preserve">o hijas. </w:t>
      </w:r>
    </w:p>
    <w:p w:rsidR="00C92A05" w:rsidRPr="0058301D" w:rsidRDefault="00C92A05"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Pr>
          <w:rFonts w:ascii="Verdana" w:hAnsi="Verdana"/>
          <w:sz w:val="20"/>
          <w:szCs w:val="20"/>
          <w:lang w:val="es-CR"/>
        </w:rPr>
        <w:t xml:space="preserve">Asimismo, se advierte al Estado que el que haya optado voluntariamente por brindar esta medida de reparación a un número mayor de personas, no debe tener repercusiones o significar una demora en la adecuada ejecución de la medida para las víctimas del caso y sus hijas </w:t>
      </w:r>
      <w:r w:rsidR="00372D02">
        <w:rPr>
          <w:rFonts w:ascii="Verdana" w:hAnsi="Verdana"/>
          <w:sz w:val="20"/>
          <w:szCs w:val="20"/>
          <w:lang w:val="es-CR"/>
        </w:rPr>
        <w:t>y/</w:t>
      </w:r>
      <w:r>
        <w:rPr>
          <w:rFonts w:ascii="Verdana" w:hAnsi="Verdana"/>
          <w:sz w:val="20"/>
          <w:szCs w:val="20"/>
          <w:lang w:val="es-CR"/>
        </w:rPr>
        <w:t xml:space="preserve">o hijos. </w:t>
      </w:r>
    </w:p>
    <w:p w:rsidR="00D05476" w:rsidRPr="00560D3B" w:rsidRDefault="00D05476"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A5166A">
        <w:rPr>
          <w:rFonts w:ascii="Verdana" w:hAnsi="Verdana"/>
          <w:sz w:val="20"/>
          <w:szCs w:val="20"/>
          <w:lang w:val="es-CR"/>
        </w:rPr>
        <w:lastRenderedPageBreak/>
        <w:t xml:space="preserve">En cuanto a la cobertura de las becas, </w:t>
      </w:r>
      <w:r w:rsidR="00C92A05" w:rsidRPr="00A5166A">
        <w:rPr>
          <w:rFonts w:ascii="Verdana" w:hAnsi="Verdana"/>
          <w:sz w:val="20"/>
          <w:szCs w:val="20"/>
          <w:lang w:val="es-CR"/>
        </w:rPr>
        <w:t>l</w:t>
      </w:r>
      <w:r w:rsidRPr="00A5166A">
        <w:rPr>
          <w:rFonts w:ascii="Verdana" w:hAnsi="Verdana"/>
          <w:sz w:val="20"/>
          <w:szCs w:val="20"/>
          <w:lang w:val="es-CR"/>
        </w:rPr>
        <w:t xml:space="preserve">os </w:t>
      </w:r>
      <w:r w:rsidRPr="00A5166A">
        <w:rPr>
          <w:rFonts w:ascii="Verdana" w:hAnsi="Verdana"/>
          <w:i/>
          <w:sz w:val="20"/>
          <w:szCs w:val="20"/>
          <w:lang w:val="es-CR"/>
        </w:rPr>
        <w:t>representantes de las víctimas</w:t>
      </w:r>
      <w:r w:rsidRPr="00A5166A">
        <w:rPr>
          <w:rFonts w:ascii="Verdana" w:hAnsi="Verdana"/>
          <w:sz w:val="20"/>
          <w:szCs w:val="20"/>
          <w:lang w:val="es-CR"/>
        </w:rPr>
        <w:t xml:space="preserve"> </w:t>
      </w:r>
      <w:r w:rsidR="0058301D" w:rsidRPr="00A5166A">
        <w:rPr>
          <w:rFonts w:ascii="Verdana" w:hAnsi="Verdana"/>
          <w:sz w:val="20"/>
          <w:szCs w:val="20"/>
          <w:lang w:val="es-CR"/>
        </w:rPr>
        <w:t>han realizado observaciones respecto a los montos de las becas</w:t>
      </w:r>
      <w:r w:rsidR="00E04112">
        <w:rPr>
          <w:rFonts w:ascii="Verdana" w:hAnsi="Verdana"/>
          <w:sz w:val="20"/>
          <w:szCs w:val="20"/>
          <w:lang w:val="es-CR"/>
        </w:rPr>
        <w:t xml:space="preserve"> que han sido</w:t>
      </w:r>
      <w:r w:rsidR="00606B24">
        <w:rPr>
          <w:rFonts w:ascii="Verdana" w:hAnsi="Verdana"/>
          <w:sz w:val="20"/>
          <w:szCs w:val="20"/>
          <w:lang w:val="es-CR"/>
        </w:rPr>
        <w:t xml:space="preserve"> asignados por el Estado</w:t>
      </w:r>
      <w:r w:rsidR="0058301D" w:rsidRPr="00A5166A">
        <w:rPr>
          <w:rFonts w:ascii="Verdana" w:hAnsi="Verdana"/>
          <w:sz w:val="20"/>
          <w:szCs w:val="20"/>
          <w:lang w:val="es-CR"/>
        </w:rPr>
        <w:t xml:space="preserve">. Al respecto, </w:t>
      </w:r>
      <w:r w:rsidR="0058301D" w:rsidRPr="00606B24">
        <w:rPr>
          <w:rFonts w:ascii="Verdana" w:hAnsi="Verdana"/>
          <w:i/>
          <w:sz w:val="20"/>
          <w:szCs w:val="20"/>
          <w:lang w:val="es-CR"/>
        </w:rPr>
        <w:t>la representante</w:t>
      </w:r>
      <w:r w:rsidR="0058301D" w:rsidRPr="00A5166A">
        <w:rPr>
          <w:rFonts w:ascii="Verdana" w:hAnsi="Verdana"/>
          <w:sz w:val="20"/>
          <w:szCs w:val="20"/>
          <w:lang w:val="es-CR"/>
        </w:rPr>
        <w:t xml:space="preserve"> </w:t>
      </w:r>
      <w:r w:rsidR="0058301D" w:rsidRPr="00A5166A">
        <w:rPr>
          <w:rFonts w:ascii="Verdana" w:hAnsi="Verdana"/>
          <w:i/>
          <w:sz w:val="20"/>
          <w:szCs w:val="20"/>
          <w:lang w:val="es-CR"/>
        </w:rPr>
        <w:t>Myriam Reyes</w:t>
      </w:r>
      <w:r w:rsidR="0058301D" w:rsidRPr="00A5166A">
        <w:rPr>
          <w:rFonts w:ascii="Verdana" w:hAnsi="Verdana"/>
          <w:sz w:val="20"/>
          <w:szCs w:val="20"/>
          <w:lang w:val="es-CR"/>
        </w:rPr>
        <w:t xml:space="preserve"> consideró que se presenta una falta de certeza en cuanto al monto de las becas, ya que “no se cuenta con un importe predeterminado </w:t>
      </w:r>
      <w:r w:rsidR="00190301" w:rsidRPr="00A5166A">
        <w:rPr>
          <w:rFonts w:ascii="Verdana" w:hAnsi="Verdana"/>
          <w:sz w:val="20"/>
          <w:szCs w:val="20"/>
          <w:lang w:val="es-CR"/>
        </w:rPr>
        <w:t>de cuánto</w:t>
      </w:r>
      <w:r w:rsidR="0058301D" w:rsidRPr="00A5166A">
        <w:rPr>
          <w:rFonts w:ascii="Verdana" w:hAnsi="Verdana"/>
          <w:sz w:val="20"/>
          <w:szCs w:val="20"/>
          <w:lang w:val="es-CR"/>
        </w:rPr>
        <w:t xml:space="preserve"> será el monto de la beca a pagar a cada beneficiario y eventuales diferencias entre ellos</w:t>
      </w:r>
      <w:r w:rsidR="0095556E" w:rsidRPr="00A5166A">
        <w:rPr>
          <w:rFonts w:ascii="Verdana" w:hAnsi="Verdana"/>
          <w:sz w:val="20"/>
          <w:szCs w:val="20"/>
          <w:lang w:val="es-CR"/>
        </w:rPr>
        <w:t xml:space="preserve">”. </w:t>
      </w:r>
      <w:r w:rsidR="00FA6D08" w:rsidRPr="00606B24">
        <w:rPr>
          <w:rFonts w:ascii="Verdana" w:hAnsi="Verdana"/>
          <w:i/>
          <w:sz w:val="20"/>
          <w:szCs w:val="20"/>
          <w:lang w:val="es-CR"/>
        </w:rPr>
        <w:t>CEJIL</w:t>
      </w:r>
      <w:r w:rsidR="00FA6D08" w:rsidRPr="00A5166A">
        <w:rPr>
          <w:rFonts w:ascii="Verdana" w:hAnsi="Verdana"/>
          <w:sz w:val="20"/>
          <w:szCs w:val="20"/>
          <w:lang w:val="es-CR"/>
        </w:rPr>
        <w:t xml:space="preserve"> ha hecho notar que para la ejecución de esta medida el Estado “ha optado por utilizar programas de becas con los que ya cuenta, como es el caso de la ‘Beca Indígena’ […] que resulta completamente insuficiente</w:t>
      </w:r>
      <w:r w:rsidR="002F623D" w:rsidRPr="00A5166A">
        <w:rPr>
          <w:rFonts w:ascii="Verdana" w:hAnsi="Verdana"/>
          <w:sz w:val="20"/>
          <w:szCs w:val="20"/>
          <w:lang w:val="es-CR"/>
        </w:rPr>
        <w:t xml:space="preserve">”, y que “de un modo indeterminado y aleatorio ha entregado sumas de dinero para cubrir </w:t>
      </w:r>
      <w:r w:rsidR="00C92A05" w:rsidRPr="00A5166A">
        <w:rPr>
          <w:rFonts w:ascii="Verdana" w:hAnsi="Verdana"/>
          <w:sz w:val="20"/>
          <w:szCs w:val="20"/>
          <w:lang w:val="es-CR"/>
        </w:rPr>
        <w:t xml:space="preserve">retroactivamente </w:t>
      </w:r>
      <w:r w:rsidR="002F623D" w:rsidRPr="00A5166A">
        <w:rPr>
          <w:rFonts w:ascii="Verdana" w:hAnsi="Verdana"/>
          <w:sz w:val="20"/>
          <w:szCs w:val="20"/>
          <w:lang w:val="es-CR"/>
        </w:rPr>
        <w:t>gastos de estudios en que han incurrido las víctimas</w:t>
      </w:r>
      <w:r w:rsidR="00C92A05" w:rsidRPr="00A5166A">
        <w:rPr>
          <w:rFonts w:ascii="Verdana" w:hAnsi="Verdana"/>
          <w:sz w:val="20"/>
          <w:szCs w:val="20"/>
          <w:lang w:val="es-CR"/>
        </w:rPr>
        <w:t>, según una forma de cálculo que utiliza el Estado</w:t>
      </w:r>
      <w:r w:rsidR="002F623D" w:rsidRPr="00A5166A">
        <w:rPr>
          <w:rFonts w:ascii="Verdana" w:hAnsi="Verdana"/>
          <w:sz w:val="20"/>
          <w:szCs w:val="20"/>
          <w:lang w:val="es-CR"/>
        </w:rPr>
        <w:t xml:space="preserve">”. </w:t>
      </w:r>
      <w:r w:rsidR="00C92A05">
        <w:rPr>
          <w:rFonts w:ascii="Verdana" w:hAnsi="Verdana"/>
          <w:sz w:val="20"/>
          <w:szCs w:val="20"/>
          <w:lang w:val="es-CR"/>
        </w:rPr>
        <w:t>S</w:t>
      </w:r>
      <w:r w:rsidR="00C92A05" w:rsidRPr="00FA6D08">
        <w:rPr>
          <w:rFonts w:ascii="Verdana" w:hAnsi="Verdana"/>
          <w:sz w:val="20"/>
          <w:szCs w:val="20"/>
          <w:lang w:val="es-CR"/>
        </w:rPr>
        <w:t xml:space="preserve">egún la documentación aportada por </w:t>
      </w:r>
      <w:r w:rsidR="00E04112">
        <w:rPr>
          <w:rFonts w:ascii="Verdana" w:hAnsi="Verdana"/>
          <w:sz w:val="20"/>
          <w:szCs w:val="20"/>
          <w:lang w:val="es-CR"/>
        </w:rPr>
        <w:t>Chile</w:t>
      </w:r>
      <w:r w:rsidR="00C92A05" w:rsidRPr="00FA6D08">
        <w:rPr>
          <w:rFonts w:ascii="Verdana" w:hAnsi="Verdana"/>
          <w:sz w:val="20"/>
          <w:szCs w:val="20"/>
          <w:lang w:val="es-CR"/>
        </w:rPr>
        <w:t xml:space="preserve">, </w:t>
      </w:r>
      <w:r w:rsidR="00157366">
        <w:rPr>
          <w:rFonts w:ascii="Verdana" w:hAnsi="Verdana"/>
          <w:sz w:val="20"/>
          <w:szCs w:val="20"/>
          <w:lang w:val="es-CR"/>
        </w:rPr>
        <w:t>el monto de las becas</w:t>
      </w:r>
      <w:r w:rsidR="00C92A05" w:rsidRPr="00FA6D08">
        <w:rPr>
          <w:rFonts w:ascii="Verdana" w:hAnsi="Verdana"/>
          <w:sz w:val="20"/>
          <w:szCs w:val="20"/>
          <w:lang w:val="es-CR"/>
        </w:rPr>
        <w:t xml:space="preserve"> comprende “los aranceles, matrículas, materiales educativos, traslados</w:t>
      </w:r>
      <w:r w:rsidR="00074035">
        <w:rPr>
          <w:rFonts w:ascii="Verdana" w:hAnsi="Verdana"/>
          <w:sz w:val="20"/>
          <w:szCs w:val="20"/>
          <w:lang w:val="es-CR"/>
        </w:rPr>
        <w:t>,</w:t>
      </w:r>
      <w:r w:rsidR="00C92A05" w:rsidRPr="00FA6D08">
        <w:rPr>
          <w:rFonts w:ascii="Verdana" w:hAnsi="Verdana"/>
          <w:sz w:val="20"/>
          <w:szCs w:val="20"/>
          <w:lang w:val="es-CR"/>
        </w:rPr>
        <w:t xml:space="preserve"> alimentación, manutención y uniforme”, y el monto total anual asignado a </w:t>
      </w:r>
      <w:r w:rsidR="00157366">
        <w:rPr>
          <w:rFonts w:ascii="Verdana" w:hAnsi="Verdana"/>
          <w:sz w:val="20"/>
          <w:szCs w:val="20"/>
          <w:lang w:val="es-CR"/>
        </w:rPr>
        <w:t>éstas</w:t>
      </w:r>
      <w:r w:rsidR="00C92A05" w:rsidRPr="00FA6D08">
        <w:rPr>
          <w:rFonts w:ascii="Verdana" w:hAnsi="Verdana"/>
          <w:sz w:val="20"/>
          <w:szCs w:val="20"/>
          <w:lang w:val="es-CR"/>
        </w:rPr>
        <w:t xml:space="preserve"> </w:t>
      </w:r>
      <w:r w:rsidR="00074035">
        <w:rPr>
          <w:rFonts w:ascii="Verdana" w:hAnsi="Verdana"/>
          <w:sz w:val="20"/>
          <w:szCs w:val="20"/>
          <w:lang w:val="es-CR"/>
        </w:rPr>
        <w:t>es</w:t>
      </w:r>
      <w:r w:rsidR="00074035" w:rsidRPr="00FA6D08">
        <w:rPr>
          <w:rFonts w:ascii="Verdana" w:hAnsi="Verdana"/>
          <w:sz w:val="20"/>
          <w:szCs w:val="20"/>
          <w:lang w:val="es-CR"/>
        </w:rPr>
        <w:t xml:space="preserve"> </w:t>
      </w:r>
      <w:r w:rsidR="00C92A05" w:rsidRPr="00FA6D08">
        <w:rPr>
          <w:rFonts w:ascii="Verdana" w:hAnsi="Verdana"/>
          <w:sz w:val="20"/>
          <w:szCs w:val="20"/>
          <w:lang w:val="es-CR"/>
        </w:rPr>
        <w:t xml:space="preserve">fijado </w:t>
      </w:r>
      <w:r w:rsidR="00157366">
        <w:rPr>
          <w:rFonts w:ascii="Verdana" w:hAnsi="Verdana"/>
          <w:sz w:val="20"/>
          <w:szCs w:val="20"/>
          <w:lang w:val="es-CR"/>
        </w:rPr>
        <w:t>el función del</w:t>
      </w:r>
      <w:r w:rsidR="00C92A05" w:rsidRPr="00FA6D08">
        <w:rPr>
          <w:rFonts w:ascii="Verdana" w:hAnsi="Verdana"/>
          <w:sz w:val="20"/>
          <w:szCs w:val="20"/>
          <w:lang w:val="es-CR"/>
        </w:rPr>
        <w:t xml:space="preserve"> nivel educativo</w:t>
      </w:r>
      <w:r w:rsidR="00157366">
        <w:rPr>
          <w:rFonts w:ascii="Verdana" w:hAnsi="Verdana"/>
          <w:sz w:val="20"/>
          <w:szCs w:val="20"/>
          <w:lang w:val="es-CR"/>
        </w:rPr>
        <w:t xml:space="preserve"> que se cursa</w:t>
      </w:r>
      <w:r w:rsidR="00C92A05" w:rsidRPr="00FA6D08">
        <w:rPr>
          <w:rStyle w:val="Refdenotaalpie"/>
          <w:rFonts w:ascii="Verdana" w:hAnsi="Verdana"/>
          <w:sz w:val="20"/>
          <w:szCs w:val="20"/>
          <w:lang w:val="es-CR"/>
        </w:rPr>
        <w:footnoteReference w:id="66"/>
      </w:r>
      <w:r w:rsidR="00C92A05" w:rsidRPr="00FA6D08">
        <w:rPr>
          <w:rFonts w:ascii="Verdana" w:hAnsi="Verdana"/>
          <w:sz w:val="20"/>
          <w:szCs w:val="20"/>
          <w:lang w:val="es-CR"/>
        </w:rPr>
        <w:t xml:space="preserve">. </w:t>
      </w:r>
      <w:r w:rsidR="00157366">
        <w:rPr>
          <w:rFonts w:ascii="Verdana" w:hAnsi="Verdana"/>
          <w:sz w:val="20"/>
          <w:szCs w:val="20"/>
          <w:lang w:val="es-CR"/>
        </w:rPr>
        <w:t xml:space="preserve">Asimismo, de la información aportada por </w:t>
      </w:r>
      <w:r w:rsidR="00074035">
        <w:rPr>
          <w:rFonts w:ascii="Verdana" w:hAnsi="Verdana"/>
          <w:sz w:val="20"/>
          <w:szCs w:val="20"/>
          <w:lang w:val="es-CR"/>
        </w:rPr>
        <w:t xml:space="preserve">el Estado </w:t>
      </w:r>
      <w:r w:rsidR="00157366">
        <w:rPr>
          <w:rFonts w:ascii="Verdana" w:hAnsi="Verdana"/>
          <w:sz w:val="20"/>
          <w:szCs w:val="20"/>
          <w:lang w:val="es-CR"/>
        </w:rPr>
        <w:t>se desprende que p</w:t>
      </w:r>
      <w:r w:rsidR="00C92A05" w:rsidRPr="00FA6D08">
        <w:rPr>
          <w:rFonts w:ascii="Verdana" w:hAnsi="Verdana"/>
          <w:sz w:val="20"/>
          <w:szCs w:val="20"/>
          <w:lang w:val="es-CR"/>
        </w:rPr>
        <w:t>ara el cálculo de los montos</w:t>
      </w:r>
      <w:r w:rsidR="00157366">
        <w:rPr>
          <w:rFonts w:ascii="Verdana" w:hAnsi="Verdana"/>
          <w:sz w:val="20"/>
          <w:szCs w:val="20"/>
          <w:lang w:val="es-CR"/>
        </w:rPr>
        <w:t xml:space="preserve"> también</w:t>
      </w:r>
      <w:r w:rsidR="00C92A05" w:rsidRPr="00FA6D08">
        <w:rPr>
          <w:rFonts w:ascii="Verdana" w:hAnsi="Verdana"/>
          <w:sz w:val="20"/>
          <w:szCs w:val="20"/>
          <w:lang w:val="es-CR"/>
        </w:rPr>
        <w:t xml:space="preserve"> habría sido tomado en cuenta </w:t>
      </w:r>
      <w:r w:rsidR="00157366">
        <w:rPr>
          <w:rFonts w:ascii="Verdana" w:hAnsi="Verdana"/>
          <w:sz w:val="20"/>
          <w:szCs w:val="20"/>
          <w:lang w:val="es-CR"/>
        </w:rPr>
        <w:t>si los</w:t>
      </w:r>
      <w:r w:rsidR="00C92A05" w:rsidRPr="00FA6D08">
        <w:rPr>
          <w:rFonts w:ascii="Verdana" w:hAnsi="Verdana"/>
          <w:sz w:val="20"/>
          <w:szCs w:val="20"/>
          <w:lang w:val="es-CR"/>
        </w:rPr>
        <w:t xml:space="preserve"> beneficiarios ya contaban con “algún beneficio del Estado, por ejemplo, beca de alimentación”</w:t>
      </w:r>
      <w:r w:rsidR="00716423">
        <w:rPr>
          <w:rFonts w:ascii="Verdana" w:hAnsi="Verdana"/>
          <w:sz w:val="20"/>
          <w:szCs w:val="20"/>
          <w:lang w:val="es-CR"/>
        </w:rPr>
        <w:t>,</w:t>
      </w:r>
      <w:r w:rsidR="00C92A05" w:rsidRPr="00FA6D08">
        <w:rPr>
          <w:rFonts w:ascii="Verdana" w:hAnsi="Verdana"/>
          <w:sz w:val="20"/>
          <w:szCs w:val="20"/>
          <w:lang w:val="es-CR"/>
        </w:rPr>
        <w:t xml:space="preserve"> según la información de la </w:t>
      </w:r>
      <w:hyperlink r:id="rId8" w:history="1">
        <w:r w:rsidR="00C92A05" w:rsidRPr="00FA6D08">
          <w:rPr>
            <w:rFonts w:ascii="Verdana" w:hAnsi="Verdana" w:cs="Arial"/>
            <w:bCs/>
            <w:sz w:val="20"/>
            <w:szCs w:val="20"/>
            <w:shd w:val="clear" w:color="auto" w:fill="FFFFFF"/>
            <w:lang w:val="es-CR"/>
          </w:rPr>
          <w:t>Junta Nacional de Auxilio Escolar y Becas (JUNAEB)</w:t>
        </w:r>
      </w:hyperlink>
      <w:r w:rsidR="00C92A05" w:rsidRPr="00FA6D08">
        <w:rPr>
          <w:rFonts w:ascii="Verdana" w:hAnsi="Verdana"/>
          <w:sz w:val="20"/>
          <w:szCs w:val="20"/>
          <w:lang w:val="es-CR"/>
        </w:rPr>
        <w:t>, así como un “informe técnico de becas” elaborado por la División de Planificación y Presupuesto del Ministerio de Educación</w:t>
      </w:r>
      <w:r w:rsidR="00C92A05" w:rsidRPr="00FA6D08">
        <w:rPr>
          <w:rStyle w:val="Refdenotaalpie"/>
          <w:rFonts w:ascii="Verdana" w:hAnsi="Verdana"/>
          <w:sz w:val="20"/>
          <w:szCs w:val="20"/>
          <w:lang w:val="es-CR"/>
        </w:rPr>
        <w:footnoteReference w:id="67"/>
      </w:r>
      <w:r w:rsidR="00C92A05" w:rsidRPr="00FA6D08">
        <w:rPr>
          <w:rFonts w:ascii="Verdana" w:hAnsi="Verdana"/>
          <w:sz w:val="20"/>
          <w:szCs w:val="20"/>
          <w:lang w:val="es-CR"/>
        </w:rPr>
        <w:t xml:space="preserve">. </w:t>
      </w:r>
      <w:r w:rsidR="00C92A05" w:rsidRPr="00307A8B">
        <w:rPr>
          <w:rFonts w:ascii="Verdana" w:hAnsi="Verdana"/>
          <w:sz w:val="20"/>
          <w:szCs w:val="20"/>
          <w:lang w:val="es-CR"/>
        </w:rPr>
        <w:t>Para poder emitir un pronunciamiento al respecto</w:t>
      </w:r>
      <w:r w:rsidR="00777B0C">
        <w:rPr>
          <w:rFonts w:ascii="Verdana" w:hAnsi="Verdana"/>
          <w:sz w:val="20"/>
          <w:szCs w:val="20"/>
          <w:lang w:val="es-CR"/>
        </w:rPr>
        <w:t>,</w:t>
      </w:r>
      <w:r w:rsidR="00190301" w:rsidRPr="00307A8B">
        <w:rPr>
          <w:rFonts w:ascii="Verdana" w:hAnsi="Verdana"/>
          <w:sz w:val="20"/>
          <w:szCs w:val="20"/>
          <w:lang w:val="es-CR"/>
        </w:rPr>
        <w:t xml:space="preserve"> este Tribunal </w:t>
      </w:r>
      <w:r w:rsidR="00307A8B" w:rsidRPr="00307A8B">
        <w:rPr>
          <w:rFonts w:ascii="Verdana" w:hAnsi="Verdana"/>
          <w:sz w:val="20"/>
          <w:szCs w:val="20"/>
          <w:lang w:val="es-CR"/>
        </w:rPr>
        <w:t>requiere</w:t>
      </w:r>
      <w:r w:rsidR="00190301" w:rsidRPr="00307A8B">
        <w:rPr>
          <w:rFonts w:ascii="Verdana" w:hAnsi="Verdana"/>
          <w:sz w:val="20"/>
          <w:szCs w:val="20"/>
          <w:lang w:val="es-CR"/>
        </w:rPr>
        <w:t xml:space="preserve"> que</w:t>
      </w:r>
      <w:r w:rsidR="00C92A05" w:rsidRPr="00307A8B">
        <w:rPr>
          <w:rFonts w:ascii="Verdana" w:hAnsi="Verdana"/>
          <w:sz w:val="20"/>
          <w:szCs w:val="20"/>
          <w:lang w:val="es-CR"/>
        </w:rPr>
        <w:t>,</w:t>
      </w:r>
      <w:r w:rsidR="00190301" w:rsidRPr="00307A8B">
        <w:rPr>
          <w:rFonts w:ascii="Verdana" w:hAnsi="Verdana"/>
          <w:sz w:val="20"/>
          <w:szCs w:val="20"/>
          <w:lang w:val="es-CR"/>
        </w:rPr>
        <w:t xml:space="preserve"> en su próximo informe</w:t>
      </w:r>
      <w:r w:rsidR="00C92A05" w:rsidRPr="00307A8B">
        <w:rPr>
          <w:rFonts w:ascii="Verdana" w:hAnsi="Verdana"/>
          <w:sz w:val="20"/>
          <w:szCs w:val="20"/>
          <w:lang w:val="es-CR"/>
        </w:rPr>
        <w:t>,</w:t>
      </w:r>
      <w:r w:rsidR="00190301" w:rsidRPr="00307A8B">
        <w:rPr>
          <w:rFonts w:ascii="Verdana" w:hAnsi="Verdana"/>
          <w:sz w:val="20"/>
          <w:szCs w:val="20"/>
          <w:lang w:val="es-CR"/>
        </w:rPr>
        <w:t xml:space="preserve"> el Estado se refiera a estas o</w:t>
      </w:r>
      <w:r w:rsidR="0045044D" w:rsidRPr="00307A8B">
        <w:rPr>
          <w:rFonts w:ascii="Verdana" w:hAnsi="Verdana"/>
          <w:sz w:val="20"/>
          <w:szCs w:val="20"/>
          <w:lang w:val="es-CR"/>
        </w:rPr>
        <w:t xml:space="preserve">bjeciones de los representantes. En particular, es necesario que </w:t>
      </w:r>
      <w:r w:rsidR="00190301" w:rsidRPr="00307A8B">
        <w:rPr>
          <w:rFonts w:ascii="Verdana" w:hAnsi="Verdana"/>
          <w:sz w:val="20"/>
          <w:szCs w:val="20"/>
          <w:lang w:val="es-CR"/>
        </w:rPr>
        <w:t>indique el monto que se le asignar</w:t>
      </w:r>
      <w:r w:rsidR="0045044D" w:rsidRPr="00307A8B">
        <w:rPr>
          <w:rFonts w:ascii="Verdana" w:hAnsi="Verdana"/>
          <w:sz w:val="20"/>
          <w:szCs w:val="20"/>
          <w:lang w:val="es-CR"/>
        </w:rPr>
        <w:t xml:space="preserve">á a cada </w:t>
      </w:r>
      <w:r w:rsidR="0045044D" w:rsidRPr="00560D3B">
        <w:rPr>
          <w:rFonts w:ascii="Verdana" w:hAnsi="Verdana"/>
          <w:sz w:val="20"/>
          <w:szCs w:val="20"/>
          <w:lang w:val="es-CR"/>
        </w:rPr>
        <w:t>uno</w:t>
      </w:r>
      <w:r w:rsidR="00190301" w:rsidRPr="00560D3B">
        <w:rPr>
          <w:rFonts w:ascii="Verdana" w:hAnsi="Verdana"/>
          <w:sz w:val="20"/>
          <w:szCs w:val="20"/>
          <w:lang w:val="es-CR"/>
        </w:rPr>
        <w:t xml:space="preserve"> de los beneficiarios de esta reparación (víctimas y sus hijos y/o hijas), </w:t>
      </w:r>
      <w:r w:rsidR="00C92A05" w:rsidRPr="00560D3B">
        <w:rPr>
          <w:rFonts w:ascii="Verdana" w:hAnsi="Verdana"/>
          <w:sz w:val="20"/>
          <w:szCs w:val="20"/>
          <w:lang w:val="es-CR"/>
        </w:rPr>
        <w:t xml:space="preserve">así como que explique detalladamente </w:t>
      </w:r>
      <w:r w:rsidR="00190301" w:rsidRPr="00560D3B">
        <w:rPr>
          <w:rFonts w:ascii="Verdana" w:hAnsi="Verdana"/>
          <w:sz w:val="20"/>
          <w:szCs w:val="20"/>
          <w:lang w:val="es-CR"/>
        </w:rPr>
        <w:t>lo que se encuentra cubierto por el monto asignado</w:t>
      </w:r>
      <w:r w:rsidR="00C92A05" w:rsidRPr="00560D3B">
        <w:rPr>
          <w:rFonts w:ascii="Verdana" w:hAnsi="Verdana"/>
          <w:sz w:val="20"/>
          <w:szCs w:val="20"/>
          <w:lang w:val="es-CR"/>
        </w:rPr>
        <w:t xml:space="preserve"> para cada uno de ellos</w:t>
      </w:r>
      <w:r w:rsidR="00190301" w:rsidRPr="00560D3B">
        <w:rPr>
          <w:rFonts w:ascii="Verdana" w:hAnsi="Verdana"/>
          <w:sz w:val="20"/>
          <w:szCs w:val="20"/>
          <w:lang w:val="es-CR"/>
        </w:rPr>
        <w:t xml:space="preserve">. </w:t>
      </w:r>
    </w:p>
    <w:p w:rsidR="00735647" w:rsidRPr="00560D3B" w:rsidRDefault="00C92A05"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560D3B">
        <w:rPr>
          <w:rFonts w:ascii="Verdana" w:hAnsi="Verdana"/>
          <w:sz w:val="20"/>
          <w:szCs w:val="20"/>
          <w:lang w:val="es-CR"/>
        </w:rPr>
        <w:t xml:space="preserve">Por otra parte, en sus informes de </w:t>
      </w:r>
      <w:r w:rsidR="00697B83" w:rsidRPr="00560D3B">
        <w:rPr>
          <w:rFonts w:ascii="Verdana" w:hAnsi="Verdana"/>
          <w:sz w:val="20"/>
          <w:szCs w:val="20"/>
          <w:lang w:val="es-CR"/>
        </w:rPr>
        <w:t xml:space="preserve">octubre de </w:t>
      </w:r>
      <w:r w:rsidRPr="00560D3B">
        <w:rPr>
          <w:rFonts w:ascii="Verdana" w:hAnsi="Verdana"/>
          <w:sz w:val="20"/>
          <w:szCs w:val="20"/>
          <w:lang w:val="es-CR"/>
        </w:rPr>
        <w:t xml:space="preserve">2016 y </w:t>
      </w:r>
      <w:r w:rsidR="00697B83" w:rsidRPr="00560D3B">
        <w:rPr>
          <w:rFonts w:ascii="Verdana" w:hAnsi="Verdana"/>
          <w:sz w:val="20"/>
          <w:szCs w:val="20"/>
          <w:lang w:val="es-CR"/>
        </w:rPr>
        <w:t xml:space="preserve">julio de </w:t>
      </w:r>
      <w:r w:rsidRPr="00560D3B">
        <w:rPr>
          <w:rFonts w:ascii="Verdana" w:hAnsi="Verdana"/>
          <w:sz w:val="20"/>
          <w:szCs w:val="20"/>
          <w:lang w:val="es-CR"/>
        </w:rPr>
        <w:t xml:space="preserve">2017 Chile hizo referencia a la forma de pago de las becas y a </w:t>
      </w:r>
      <w:r w:rsidR="00662384" w:rsidRPr="00560D3B">
        <w:rPr>
          <w:rFonts w:ascii="Verdana" w:hAnsi="Verdana"/>
          <w:sz w:val="20"/>
          <w:szCs w:val="20"/>
          <w:lang w:val="es-CR"/>
        </w:rPr>
        <w:t xml:space="preserve">varios de los </w:t>
      </w:r>
      <w:r w:rsidRPr="00560D3B">
        <w:rPr>
          <w:rFonts w:ascii="Verdana" w:hAnsi="Verdana"/>
          <w:sz w:val="20"/>
          <w:szCs w:val="20"/>
          <w:lang w:val="es-CR"/>
        </w:rPr>
        <w:t>pagos que habría realizado</w:t>
      </w:r>
      <w:r w:rsidR="00662384" w:rsidRPr="00560D3B">
        <w:rPr>
          <w:rFonts w:ascii="Verdana" w:hAnsi="Verdana"/>
          <w:sz w:val="20"/>
          <w:szCs w:val="20"/>
          <w:lang w:val="es-CR"/>
        </w:rPr>
        <w:t xml:space="preserve">. </w:t>
      </w:r>
      <w:r w:rsidR="00697B83" w:rsidRPr="00560D3B">
        <w:rPr>
          <w:rFonts w:ascii="Verdana" w:hAnsi="Verdana"/>
          <w:sz w:val="20"/>
          <w:szCs w:val="20"/>
          <w:lang w:val="es-CR"/>
        </w:rPr>
        <w:t>Al respecto, indicó que “se han realizado tres pagos retroactivos correspondientes a los beneficios [en educación] para los años 2014, 2015 y 2016”</w:t>
      </w:r>
      <w:r w:rsidR="0023665D" w:rsidRPr="00560D3B">
        <w:rPr>
          <w:rStyle w:val="Refdenotaalpie"/>
          <w:rFonts w:ascii="Verdana" w:hAnsi="Verdana"/>
          <w:sz w:val="20"/>
          <w:szCs w:val="20"/>
          <w:lang w:val="es-CR"/>
        </w:rPr>
        <w:footnoteReference w:id="68"/>
      </w:r>
      <w:r w:rsidR="00697B83" w:rsidRPr="00560D3B">
        <w:rPr>
          <w:rFonts w:ascii="Verdana" w:hAnsi="Verdana"/>
          <w:sz w:val="20"/>
          <w:szCs w:val="20"/>
          <w:lang w:val="es-CR"/>
        </w:rPr>
        <w:t xml:space="preserve"> y que “comenzar</w:t>
      </w:r>
      <w:r w:rsidR="006D7F72" w:rsidRPr="00560D3B">
        <w:rPr>
          <w:rFonts w:ascii="Verdana" w:hAnsi="Verdana"/>
          <w:sz w:val="20"/>
          <w:szCs w:val="20"/>
          <w:lang w:val="es-CR"/>
        </w:rPr>
        <w:t>[ía]</w:t>
      </w:r>
      <w:r w:rsidR="00EA1A3B">
        <w:rPr>
          <w:rFonts w:ascii="Verdana" w:hAnsi="Verdana"/>
          <w:sz w:val="20"/>
          <w:szCs w:val="20"/>
          <w:lang w:val="es-CR"/>
        </w:rPr>
        <w:t xml:space="preserve"> </w:t>
      </w:r>
      <w:r w:rsidR="006D7F72" w:rsidRPr="00560D3B">
        <w:rPr>
          <w:rFonts w:ascii="Verdana" w:hAnsi="Verdana"/>
          <w:sz w:val="20"/>
          <w:szCs w:val="20"/>
          <w:lang w:val="es-CR"/>
        </w:rPr>
        <w:t xml:space="preserve">a efectuar los pagos retroactivos [del] año 2017”. </w:t>
      </w:r>
      <w:r w:rsidR="00E14749" w:rsidRPr="00560D3B">
        <w:rPr>
          <w:rFonts w:ascii="Verdana" w:hAnsi="Verdana"/>
          <w:sz w:val="20"/>
          <w:szCs w:val="20"/>
          <w:lang w:val="es-CR"/>
        </w:rPr>
        <w:t>Los representantes de las víctimas han reconocido que el Estado ha</w:t>
      </w:r>
      <w:r w:rsidR="00F54B3B">
        <w:rPr>
          <w:rFonts w:ascii="Verdana" w:hAnsi="Verdana"/>
          <w:sz w:val="20"/>
          <w:szCs w:val="20"/>
          <w:lang w:val="es-CR"/>
        </w:rPr>
        <w:t xml:space="preserve"> efectuado los referidos pagos, pero también han hecho referencia a que algunos</w:t>
      </w:r>
      <w:r w:rsidR="00157366">
        <w:rPr>
          <w:rFonts w:ascii="Verdana" w:hAnsi="Verdana"/>
          <w:sz w:val="20"/>
          <w:szCs w:val="20"/>
          <w:lang w:val="es-CR"/>
        </w:rPr>
        <w:t xml:space="preserve"> aún</w:t>
      </w:r>
      <w:r w:rsidR="00F54B3B">
        <w:rPr>
          <w:rFonts w:ascii="Verdana" w:hAnsi="Verdana"/>
          <w:sz w:val="20"/>
          <w:szCs w:val="20"/>
          <w:lang w:val="es-CR"/>
        </w:rPr>
        <w:t xml:space="preserve"> se encontrarían pendientes.</w:t>
      </w:r>
      <w:r w:rsidR="00C24DA8" w:rsidRPr="00560D3B">
        <w:rPr>
          <w:rFonts w:ascii="Verdana" w:hAnsi="Verdana"/>
          <w:sz w:val="20"/>
          <w:szCs w:val="20"/>
          <w:lang w:val="es-CR"/>
        </w:rPr>
        <w:t xml:space="preserve"> Sobre los pagos relativos al 2017 el Estado indicó que </w:t>
      </w:r>
      <w:r w:rsidR="00735647" w:rsidRPr="00560D3B">
        <w:rPr>
          <w:rFonts w:ascii="Verdana" w:hAnsi="Verdana"/>
          <w:sz w:val="20"/>
          <w:szCs w:val="20"/>
          <w:lang w:val="es-CR"/>
        </w:rPr>
        <w:t>“</w:t>
      </w:r>
      <w:r w:rsidR="004F356F" w:rsidRPr="00560D3B">
        <w:rPr>
          <w:rFonts w:ascii="Verdana" w:hAnsi="Verdana"/>
          <w:sz w:val="20"/>
          <w:szCs w:val="20"/>
          <w:lang w:val="es-CR"/>
        </w:rPr>
        <w:t>informar</w:t>
      </w:r>
      <w:r w:rsidR="004F356F">
        <w:rPr>
          <w:rFonts w:ascii="Verdana" w:hAnsi="Verdana"/>
          <w:sz w:val="20"/>
          <w:szCs w:val="20"/>
          <w:lang w:val="es-CR"/>
        </w:rPr>
        <w:t>[ía]</w:t>
      </w:r>
      <w:r w:rsidR="004F356F" w:rsidRPr="00560D3B">
        <w:rPr>
          <w:rFonts w:ascii="Verdana" w:hAnsi="Verdana"/>
          <w:sz w:val="20"/>
          <w:szCs w:val="20"/>
          <w:lang w:val="es-CR"/>
        </w:rPr>
        <w:t xml:space="preserve"> </w:t>
      </w:r>
      <w:r w:rsidR="00735647" w:rsidRPr="00560D3B">
        <w:rPr>
          <w:rFonts w:ascii="Verdana" w:hAnsi="Verdana"/>
          <w:sz w:val="20"/>
          <w:szCs w:val="20"/>
          <w:lang w:val="es-CR"/>
        </w:rPr>
        <w:t xml:space="preserve">debidamente a la Corte una vez que </w:t>
      </w:r>
      <w:r w:rsidR="004F356F" w:rsidRPr="00560D3B">
        <w:rPr>
          <w:rFonts w:ascii="Verdana" w:hAnsi="Verdana"/>
          <w:sz w:val="20"/>
          <w:szCs w:val="20"/>
          <w:lang w:val="es-CR"/>
        </w:rPr>
        <w:t>exist</w:t>
      </w:r>
      <w:r w:rsidR="004F356F">
        <w:rPr>
          <w:rFonts w:ascii="Verdana" w:hAnsi="Verdana"/>
          <w:sz w:val="20"/>
          <w:szCs w:val="20"/>
          <w:lang w:val="es-CR"/>
        </w:rPr>
        <w:t>[ieran]</w:t>
      </w:r>
      <w:r w:rsidR="004F356F" w:rsidRPr="00560D3B">
        <w:rPr>
          <w:rFonts w:ascii="Verdana" w:hAnsi="Verdana"/>
          <w:sz w:val="20"/>
          <w:szCs w:val="20"/>
          <w:lang w:val="es-CR"/>
        </w:rPr>
        <w:t xml:space="preserve"> </w:t>
      </w:r>
      <w:r w:rsidR="00735647" w:rsidRPr="00560D3B">
        <w:rPr>
          <w:rFonts w:ascii="Verdana" w:hAnsi="Verdana"/>
          <w:sz w:val="20"/>
          <w:szCs w:val="20"/>
          <w:lang w:val="es-CR"/>
        </w:rPr>
        <w:t xml:space="preserve">nuevos antecedentes que aportar”, pero no </w:t>
      </w:r>
      <w:r w:rsidR="004F356F">
        <w:rPr>
          <w:rFonts w:ascii="Verdana" w:hAnsi="Verdana"/>
          <w:sz w:val="20"/>
          <w:szCs w:val="20"/>
          <w:lang w:val="es-CR"/>
        </w:rPr>
        <w:t>remitió,</w:t>
      </w:r>
      <w:r w:rsidR="00735647" w:rsidRPr="00560D3B">
        <w:rPr>
          <w:rFonts w:ascii="Verdana" w:hAnsi="Verdana"/>
          <w:sz w:val="20"/>
          <w:szCs w:val="20"/>
          <w:lang w:val="es-CR"/>
        </w:rPr>
        <w:t xml:space="preserve"> hasta el momento</w:t>
      </w:r>
      <w:r w:rsidR="004F356F">
        <w:rPr>
          <w:rFonts w:ascii="Verdana" w:hAnsi="Verdana"/>
          <w:sz w:val="20"/>
          <w:szCs w:val="20"/>
          <w:lang w:val="es-CR"/>
        </w:rPr>
        <w:t>,</w:t>
      </w:r>
      <w:r w:rsidR="00735647" w:rsidRPr="00560D3B">
        <w:rPr>
          <w:rFonts w:ascii="Verdana" w:hAnsi="Verdana"/>
          <w:sz w:val="20"/>
          <w:szCs w:val="20"/>
          <w:lang w:val="es-CR"/>
        </w:rPr>
        <w:t xml:space="preserve"> </w:t>
      </w:r>
      <w:r w:rsidR="00560D3B" w:rsidRPr="00560D3B">
        <w:rPr>
          <w:rFonts w:ascii="Verdana" w:hAnsi="Verdana"/>
          <w:sz w:val="20"/>
          <w:szCs w:val="20"/>
          <w:lang w:val="es-CR"/>
        </w:rPr>
        <w:t xml:space="preserve">más </w:t>
      </w:r>
      <w:r w:rsidR="00735647" w:rsidRPr="00560D3B">
        <w:rPr>
          <w:rFonts w:ascii="Verdana" w:hAnsi="Verdana"/>
          <w:sz w:val="20"/>
          <w:szCs w:val="20"/>
          <w:lang w:val="es-CR"/>
        </w:rPr>
        <w:t>información al respecto</w:t>
      </w:r>
      <w:r w:rsidR="00C24DA8" w:rsidRPr="00560D3B">
        <w:rPr>
          <w:rFonts w:ascii="Verdana" w:hAnsi="Verdana"/>
          <w:sz w:val="20"/>
          <w:szCs w:val="20"/>
          <w:lang w:val="es-CR"/>
        </w:rPr>
        <w:t xml:space="preserve">. </w:t>
      </w:r>
      <w:r w:rsidR="003302FE">
        <w:rPr>
          <w:rFonts w:ascii="Verdana" w:hAnsi="Verdana"/>
          <w:sz w:val="20"/>
          <w:szCs w:val="20"/>
          <w:lang w:val="es-CR"/>
        </w:rPr>
        <w:t>Para mayor claridad es necesario que</w:t>
      </w:r>
      <w:r w:rsidR="00157366">
        <w:rPr>
          <w:rFonts w:ascii="Verdana" w:hAnsi="Verdana"/>
          <w:sz w:val="20"/>
          <w:szCs w:val="20"/>
          <w:lang w:val="es-CR"/>
        </w:rPr>
        <w:t xml:space="preserve"> en su próximo informe</w:t>
      </w:r>
      <w:r w:rsidR="003302FE">
        <w:rPr>
          <w:rFonts w:ascii="Verdana" w:hAnsi="Verdana"/>
          <w:sz w:val="20"/>
          <w:szCs w:val="20"/>
          <w:lang w:val="es-CR"/>
        </w:rPr>
        <w:t xml:space="preserve"> el Es</w:t>
      </w:r>
      <w:r w:rsidR="003206EC">
        <w:rPr>
          <w:rFonts w:ascii="Verdana" w:hAnsi="Verdana"/>
          <w:sz w:val="20"/>
          <w:szCs w:val="20"/>
          <w:lang w:val="es-CR"/>
        </w:rPr>
        <w:t xml:space="preserve">tado indique la totalidad de </w:t>
      </w:r>
      <w:r w:rsidR="003302FE">
        <w:rPr>
          <w:rFonts w:ascii="Verdana" w:hAnsi="Verdana"/>
          <w:sz w:val="20"/>
          <w:szCs w:val="20"/>
          <w:lang w:val="es-CR"/>
        </w:rPr>
        <w:t xml:space="preserve">pagos </w:t>
      </w:r>
      <w:r w:rsidR="003206EC">
        <w:rPr>
          <w:rFonts w:ascii="Verdana" w:hAnsi="Verdana"/>
          <w:sz w:val="20"/>
          <w:szCs w:val="20"/>
          <w:lang w:val="es-CR"/>
        </w:rPr>
        <w:t xml:space="preserve">que se </w:t>
      </w:r>
      <w:r w:rsidR="003302FE">
        <w:rPr>
          <w:rFonts w:ascii="Verdana" w:hAnsi="Verdana"/>
          <w:sz w:val="20"/>
          <w:szCs w:val="20"/>
          <w:lang w:val="es-CR"/>
        </w:rPr>
        <w:t>ha</w:t>
      </w:r>
      <w:r w:rsidR="003206EC">
        <w:rPr>
          <w:rFonts w:ascii="Verdana" w:hAnsi="Verdana"/>
          <w:sz w:val="20"/>
          <w:szCs w:val="20"/>
          <w:lang w:val="es-CR"/>
        </w:rPr>
        <w:t>n</w:t>
      </w:r>
      <w:r w:rsidR="003302FE">
        <w:rPr>
          <w:rFonts w:ascii="Verdana" w:hAnsi="Verdana"/>
          <w:sz w:val="20"/>
          <w:szCs w:val="20"/>
          <w:lang w:val="es-CR"/>
        </w:rPr>
        <w:t xml:space="preserve"> realizado a </w:t>
      </w:r>
      <w:r w:rsidR="003302FE">
        <w:rPr>
          <w:rFonts w:ascii="Verdana" w:hAnsi="Verdana"/>
          <w:sz w:val="20"/>
          <w:szCs w:val="20"/>
          <w:lang w:val="es-CR"/>
        </w:rPr>
        <w:lastRenderedPageBreak/>
        <w:t xml:space="preserve">cada una de las víctimas y sus hijos </w:t>
      </w:r>
      <w:r w:rsidR="004F356F">
        <w:rPr>
          <w:rFonts w:ascii="Verdana" w:hAnsi="Verdana"/>
          <w:sz w:val="20"/>
          <w:szCs w:val="20"/>
          <w:lang w:val="es-CR"/>
        </w:rPr>
        <w:t>y/</w:t>
      </w:r>
      <w:r w:rsidR="003302FE">
        <w:rPr>
          <w:rFonts w:ascii="Verdana" w:hAnsi="Verdana"/>
          <w:sz w:val="20"/>
          <w:szCs w:val="20"/>
          <w:lang w:val="es-CR"/>
        </w:rPr>
        <w:t>o hijas, así como que explique si se encuentra pendiente algún pago respecto de ellos.</w:t>
      </w:r>
      <w:r w:rsidR="003302FE" w:rsidRPr="003302FE">
        <w:rPr>
          <w:rFonts w:ascii="Verdana" w:hAnsi="Verdana"/>
          <w:sz w:val="20"/>
          <w:szCs w:val="20"/>
          <w:lang w:val="es-CR"/>
        </w:rPr>
        <w:t xml:space="preserve"> </w:t>
      </w:r>
    </w:p>
    <w:p w:rsidR="003004B4" w:rsidRPr="00157366" w:rsidRDefault="00157366"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157366">
        <w:rPr>
          <w:rFonts w:ascii="Verdana" w:hAnsi="Verdana"/>
          <w:sz w:val="20"/>
          <w:szCs w:val="20"/>
          <w:lang w:val="es-CR"/>
        </w:rPr>
        <w:t>La Corte advierte que l</w:t>
      </w:r>
      <w:r w:rsidR="00C24DA8" w:rsidRPr="00157366">
        <w:rPr>
          <w:rFonts w:ascii="Verdana" w:hAnsi="Verdana"/>
          <w:sz w:val="20"/>
          <w:szCs w:val="20"/>
          <w:lang w:val="es-CR"/>
        </w:rPr>
        <w:t>os representantes</w:t>
      </w:r>
      <w:r w:rsidR="00735647" w:rsidRPr="00157366">
        <w:rPr>
          <w:rFonts w:ascii="Verdana" w:hAnsi="Verdana"/>
          <w:sz w:val="20"/>
          <w:szCs w:val="20"/>
          <w:lang w:val="es-CR"/>
        </w:rPr>
        <w:t xml:space="preserve"> de las víctimas</w:t>
      </w:r>
      <w:r w:rsidR="00C24DA8" w:rsidRPr="00157366">
        <w:rPr>
          <w:rFonts w:ascii="Verdana" w:hAnsi="Verdana"/>
          <w:sz w:val="20"/>
          <w:szCs w:val="20"/>
          <w:lang w:val="es-CR"/>
        </w:rPr>
        <w:t xml:space="preserve"> también han presentado una serie de objeciones relacionadas con </w:t>
      </w:r>
      <w:r w:rsidR="00735647" w:rsidRPr="00157366">
        <w:rPr>
          <w:rFonts w:ascii="Verdana" w:hAnsi="Verdana"/>
          <w:sz w:val="20"/>
          <w:szCs w:val="20"/>
          <w:lang w:val="es-CR"/>
        </w:rPr>
        <w:t xml:space="preserve">que el Estado haya escogido </w:t>
      </w:r>
      <w:r w:rsidR="00560D3B" w:rsidRPr="00157366">
        <w:rPr>
          <w:rFonts w:ascii="Verdana" w:hAnsi="Verdana"/>
          <w:sz w:val="20"/>
          <w:szCs w:val="20"/>
          <w:lang w:val="es-CR"/>
        </w:rPr>
        <w:t>como modalidad para el otorgamiento de becas de estudio la realización de</w:t>
      </w:r>
      <w:r w:rsidR="00735647" w:rsidRPr="00157366">
        <w:rPr>
          <w:rFonts w:ascii="Verdana" w:hAnsi="Verdana"/>
          <w:sz w:val="20"/>
          <w:szCs w:val="20"/>
          <w:lang w:val="es-CR"/>
        </w:rPr>
        <w:t xml:space="preserve"> pagos retroactivos</w:t>
      </w:r>
      <w:r w:rsidR="0075297C" w:rsidRPr="00157366">
        <w:rPr>
          <w:rFonts w:ascii="Verdana" w:hAnsi="Verdana"/>
          <w:sz w:val="20"/>
          <w:szCs w:val="20"/>
          <w:lang w:val="es-CR"/>
        </w:rPr>
        <w:t>. Al respecto</w:t>
      </w:r>
      <w:r w:rsidR="00560D3B" w:rsidRPr="00157366">
        <w:rPr>
          <w:rFonts w:ascii="Verdana" w:hAnsi="Verdana"/>
          <w:sz w:val="20"/>
          <w:szCs w:val="20"/>
          <w:lang w:val="es-CR"/>
        </w:rPr>
        <w:t>,</w:t>
      </w:r>
      <w:r w:rsidR="0075297C" w:rsidRPr="00157366">
        <w:rPr>
          <w:rFonts w:ascii="Verdana" w:hAnsi="Verdana"/>
          <w:sz w:val="20"/>
          <w:szCs w:val="20"/>
          <w:lang w:val="es-CR"/>
        </w:rPr>
        <w:t xml:space="preserve"> han </w:t>
      </w:r>
      <w:r w:rsidRPr="00157366">
        <w:rPr>
          <w:rFonts w:ascii="Verdana" w:hAnsi="Verdana"/>
          <w:sz w:val="20"/>
          <w:szCs w:val="20"/>
          <w:lang w:val="es-CR"/>
        </w:rPr>
        <w:t>sostenido reiteradamente</w:t>
      </w:r>
      <w:r w:rsidR="0075297C" w:rsidRPr="00157366">
        <w:rPr>
          <w:rFonts w:ascii="Verdana" w:hAnsi="Verdana"/>
          <w:sz w:val="20"/>
          <w:szCs w:val="20"/>
          <w:lang w:val="es-CR"/>
        </w:rPr>
        <w:t xml:space="preserve"> que esta forma de pago</w:t>
      </w:r>
      <w:r w:rsidR="0062389D" w:rsidRPr="00157366">
        <w:rPr>
          <w:rFonts w:ascii="Verdana" w:hAnsi="Verdana"/>
          <w:sz w:val="20"/>
          <w:szCs w:val="20"/>
          <w:lang w:val="es-CR"/>
        </w:rPr>
        <w:t xml:space="preserve"> </w:t>
      </w:r>
      <w:r w:rsidR="0075297C" w:rsidRPr="00157366">
        <w:rPr>
          <w:rFonts w:ascii="Verdana" w:hAnsi="Verdana"/>
          <w:sz w:val="20"/>
          <w:szCs w:val="20"/>
          <w:lang w:val="es-CR"/>
        </w:rPr>
        <w:t>tiene serias</w:t>
      </w:r>
      <w:r w:rsidR="0062389D" w:rsidRPr="00157366">
        <w:rPr>
          <w:rFonts w:ascii="Verdana" w:hAnsi="Verdana"/>
          <w:sz w:val="20"/>
          <w:szCs w:val="20"/>
          <w:lang w:val="es-CR"/>
        </w:rPr>
        <w:t xml:space="preserve"> repercusiones para los beneficiarios quienes reciben con demora sus becas, debiendo costear</w:t>
      </w:r>
      <w:r w:rsidR="00C95A90" w:rsidRPr="00157366">
        <w:rPr>
          <w:rFonts w:ascii="Verdana" w:hAnsi="Verdana"/>
          <w:sz w:val="20"/>
          <w:szCs w:val="20"/>
          <w:lang w:val="es-CR"/>
        </w:rPr>
        <w:t>,</w:t>
      </w:r>
      <w:r w:rsidR="0062389D" w:rsidRPr="00157366">
        <w:rPr>
          <w:rFonts w:ascii="Verdana" w:hAnsi="Verdana"/>
          <w:sz w:val="20"/>
          <w:szCs w:val="20"/>
          <w:lang w:val="es-CR"/>
        </w:rPr>
        <w:t xml:space="preserve"> por sus propios medios</w:t>
      </w:r>
      <w:r w:rsidR="00C95A90" w:rsidRPr="00157366">
        <w:rPr>
          <w:rFonts w:ascii="Verdana" w:hAnsi="Verdana"/>
          <w:sz w:val="20"/>
          <w:szCs w:val="20"/>
          <w:lang w:val="es-CR"/>
        </w:rPr>
        <w:t>,</w:t>
      </w:r>
      <w:r w:rsidR="0062389D" w:rsidRPr="00157366">
        <w:rPr>
          <w:rFonts w:ascii="Verdana" w:hAnsi="Verdana"/>
          <w:sz w:val="20"/>
          <w:szCs w:val="20"/>
          <w:lang w:val="es-CR"/>
        </w:rPr>
        <w:t xml:space="preserve"> su educación</w:t>
      </w:r>
      <w:r w:rsidR="003302FE" w:rsidRPr="00157366">
        <w:rPr>
          <w:rFonts w:ascii="Verdana" w:hAnsi="Verdana"/>
          <w:sz w:val="20"/>
          <w:szCs w:val="20"/>
          <w:lang w:val="es-CR"/>
        </w:rPr>
        <w:t>,</w:t>
      </w:r>
      <w:r w:rsidR="006710FD" w:rsidRPr="00157366">
        <w:rPr>
          <w:rFonts w:ascii="Verdana" w:hAnsi="Verdana"/>
          <w:sz w:val="20"/>
          <w:szCs w:val="20"/>
          <w:lang w:val="es-CR"/>
        </w:rPr>
        <w:t xml:space="preserve"> por lo cual han considerado que es necesario que Chile adopte otro sistema de pago</w:t>
      </w:r>
      <w:r w:rsidR="00735647" w:rsidRPr="00157366">
        <w:rPr>
          <w:rStyle w:val="Refdenotaalpie"/>
          <w:rFonts w:ascii="Verdana" w:hAnsi="Verdana"/>
          <w:sz w:val="20"/>
          <w:szCs w:val="20"/>
          <w:lang w:val="es-CR"/>
        </w:rPr>
        <w:footnoteReference w:id="69"/>
      </w:r>
      <w:r w:rsidR="00EC66DE" w:rsidRPr="00157366">
        <w:rPr>
          <w:rFonts w:ascii="Verdana" w:hAnsi="Verdana"/>
          <w:sz w:val="20"/>
          <w:szCs w:val="20"/>
          <w:lang w:val="es-CR"/>
        </w:rPr>
        <w:t>.</w:t>
      </w:r>
      <w:r w:rsidR="006710FD" w:rsidRPr="00157366">
        <w:rPr>
          <w:rFonts w:ascii="Verdana" w:hAnsi="Verdana"/>
          <w:sz w:val="20"/>
          <w:szCs w:val="20"/>
          <w:lang w:val="es-CR"/>
        </w:rPr>
        <w:t xml:space="preserve"> </w:t>
      </w:r>
    </w:p>
    <w:p w:rsidR="004A5CCD" w:rsidRPr="007A6A84" w:rsidRDefault="003004B4"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7A6A84">
        <w:rPr>
          <w:rFonts w:ascii="Verdana" w:hAnsi="Verdana"/>
          <w:sz w:val="20"/>
          <w:szCs w:val="20"/>
          <w:lang w:val="es-CR"/>
        </w:rPr>
        <w:t xml:space="preserve">La Corte ya ha valorado positivamente que el Estado haya optado por </w:t>
      </w:r>
      <w:r w:rsidR="007A25F1">
        <w:rPr>
          <w:rFonts w:ascii="Verdana" w:hAnsi="Verdana"/>
          <w:sz w:val="20"/>
          <w:szCs w:val="20"/>
          <w:lang w:val="es-CR"/>
        </w:rPr>
        <w:t>otorgar</w:t>
      </w:r>
      <w:r w:rsidR="007A25F1" w:rsidRPr="007A6A84">
        <w:rPr>
          <w:rFonts w:ascii="Verdana" w:hAnsi="Verdana"/>
          <w:sz w:val="20"/>
          <w:szCs w:val="20"/>
          <w:lang w:val="es-CR"/>
        </w:rPr>
        <w:t xml:space="preserve"> </w:t>
      </w:r>
      <w:r w:rsidRPr="007A6A84">
        <w:rPr>
          <w:rFonts w:ascii="Verdana" w:hAnsi="Verdana"/>
          <w:sz w:val="20"/>
          <w:szCs w:val="20"/>
          <w:lang w:val="es-CR"/>
        </w:rPr>
        <w:t>las becas de manera retroactiva desde la fecha de emisión de la Sentencia (</w:t>
      </w:r>
      <w:r w:rsidRPr="007A6A84">
        <w:rPr>
          <w:rFonts w:ascii="Verdana" w:hAnsi="Verdana"/>
          <w:i/>
          <w:sz w:val="20"/>
          <w:szCs w:val="20"/>
          <w:lang w:val="es-CR"/>
        </w:rPr>
        <w:t>supra</w:t>
      </w:r>
      <w:r w:rsidRPr="007A6A84">
        <w:rPr>
          <w:rFonts w:ascii="Verdana" w:hAnsi="Verdana"/>
          <w:sz w:val="20"/>
          <w:szCs w:val="20"/>
          <w:lang w:val="es-CR"/>
        </w:rPr>
        <w:t xml:space="preserve"> Considerando </w:t>
      </w:r>
      <w:r w:rsidR="00B25E92">
        <w:rPr>
          <w:rFonts w:ascii="Verdana" w:hAnsi="Verdana"/>
          <w:sz w:val="20"/>
          <w:szCs w:val="20"/>
          <w:lang w:val="es-CR"/>
        </w:rPr>
        <w:t>42</w:t>
      </w:r>
      <w:r w:rsidRPr="007A6A84">
        <w:rPr>
          <w:rFonts w:ascii="Verdana" w:hAnsi="Verdana"/>
          <w:sz w:val="20"/>
          <w:szCs w:val="20"/>
          <w:lang w:val="es-CR"/>
        </w:rPr>
        <w:t xml:space="preserve">). En ese sentido, es comprensible </w:t>
      </w:r>
      <w:r w:rsidR="006E6635" w:rsidRPr="007A6A84">
        <w:rPr>
          <w:rFonts w:ascii="Verdana" w:hAnsi="Verdana"/>
          <w:sz w:val="20"/>
          <w:szCs w:val="20"/>
          <w:lang w:val="es-CR"/>
        </w:rPr>
        <w:t>que</w:t>
      </w:r>
      <w:r w:rsidRPr="007A6A84">
        <w:rPr>
          <w:rFonts w:ascii="Verdana" w:hAnsi="Verdana"/>
          <w:sz w:val="20"/>
          <w:szCs w:val="20"/>
          <w:lang w:val="es-CR"/>
        </w:rPr>
        <w:t xml:space="preserve"> Chile haya debido recurrir, al menos inicialmente, a la realización de pagos retroactivos, para dar cumplimiento a la obligación </w:t>
      </w:r>
      <w:r w:rsidR="006E6635" w:rsidRPr="007A6A84">
        <w:rPr>
          <w:rFonts w:ascii="Verdana" w:hAnsi="Verdana"/>
          <w:sz w:val="20"/>
          <w:szCs w:val="20"/>
          <w:lang w:val="es-CR"/>
        </w:rPr>
        <w:t xml:space="preserve">por el período comprendido </w:t>
      </w:r>
      <w:r w:rsidRPr="007A6A84">
        <w:rPr>
          <w:rFonts w:ascii="Verdana" w:hAnsi="Verdana"/>
          <w:sz w:val="20"/>
          <w:szCs w:val="20"/>
          <w:lang w:val="es-CR"/>
        </w:rPr>
        <w:t xml:space="preserve">entre la fecha de emisión de la Sentencia en mayo de 2014 y la fecha en la que las víctimas </w:t>
      </w:r>
      <w:r w:rsidR="007A25F1">
        <w:rPr>
          <w:rFonts w:ascii="Verdana" w:hAnsi="Verdana"/>
          <w:sz w:val="20"/>
          <w:szCs w:val="20"/>
          <w:lang w:val="es-CR"/>
        </w:rPr>
        <w:t>y/</w:t>
      </w:r>
      <w:r w:rsidRPr="007A6A84">
        <w:rPr>
          <w:rFonts w:ascii="Verdana" w:hAnsi="Verdana"/>
          <w:sz w:val="20"/>
          <w:szCs w:val="20"/>
          <w:lang w:val="es-CR"/>
        </w:rPr>
        <w:t>o sus hijos</w:t>
      </w:r>
      <w:r w:rsidR="007A25F1">
        <w:rPr>
          <w:rFonts w:ascii="Verdana" w:hAnsi="Verdana"/>
          <w:sz w:val="20"/>
          <w:szCs w:val="20"/>
          <w:lang w:val="es-CR"/>
        </w:rPr>
        <w:t xml:space="preserve"> e hijas</w:t>
      </w:r>
      <w:r w:rsidRPr="007A6A84">
        <w:rPr>
          <w:rFonts w:ascii="Verdana" w:hAnsi="Verdana"/>
          <w:sz w:val="20"/>
          <w:szCs w:val="20"/>
          <w:lang w:val="es-CR"/>
        </w:rPr>
        <w:t xml:space="preserve"> hubieran expresado su deseo de recibir becas educativas. Sin embargo, la Corte </w:t>
      </w:r>
      <w:r w:rsidR="00EA1A3B">
        <w:rPr>
          <w:rFonts w:ascii="Verdana" w:hAnsi="Verdana"/>
          <w:sz w:val="20"/>
          <w:szCs w:val="20"/>
          <w:lang w:val="es-CR"/>
        </w:rPr>
        <w:t xml:space="preserve">considera </w:t>
      </w:r>
      <w:r w:rsidRPr="007A6A84">
        <w:rPr>
          <w:rFonts w:ascii="Verdana" w:hAnsi="Verdana"/>
          <w:sz w:val="20"/>
          <w:szCs w:val="20"/>
          <w:lang w:val="es-CR"/>
        </w:rPr>
        <w:t xml:space="preserve">que la modalidad de pagos retroactivos </w:t>
      </w:r>
      <w:r w:rsidR="00157366" w:rsidRPr="007A6A84">
        <w:rPr>
          <w:rFonts w:ascii="Verdana" w:hAnsi="Verdana"/>
          <w:sz w:val="20"/>
          <w:szCs w:val="20"/>
          <w:lang w:val="es-CR"/>
        </w:rPr>
        <w:t>debería ser de carácter excepcional</w:t>
      </w:r>
      <w:r w:rsidRPr="007A6A84">
        <w:rPr>
          <w:rFonts w:ascii="Verdana" w:hAnsi="Verdana"/>
          <w:sz w:val="20"/>
          <w:szCs w:val="20"/>
          <w:lang w:val="es-CR"/>
        </w:rPr>
        <w:t>, ya que</w:t>
      </w:r>
      <w:r w:rsidR="00FC38D1" w:rsidRPr="007A6A84">
        <w:rPr>
          <w:rFonts w:ascii="Verdana" w:hAnsi="Verdana"/>
          <w:sz w:val="20"/>
          <w:szCs w:val="20"/>
          <w:lang w:val="es-CR"/>
        </w:rPr>
        <w:t>,</w:t>
      </w:r>
      <w:r w:rsidRPr="007A6A84">
        <w:rPr>
          <w:rFonts w:ascii="Verdana" w:hAnsi="Verdana"/>
          <w:sz w:val="20"/>
          <w:szCs w:val="20"/>
          <w:lang w:val="es-CR"/>
        </w:rPr>
        <w:t xml:space="preserve"> para garantizar el efecto útil de la reparación ordenada</w:t>
      </w:r>
      <w:r w:rsidR="00FC38D1" w:rsidRPr="007A6A84">
        <w:rPr>
          <w:rFonts w:ascii="Verdana" w:hAnsi="Verdana"/>
          <w:sz w:val="20"/>
          <w:szCs w:val="20"/>
          <w:lang w:val="es-CR"/>
        </w:rPr>
        <w:t>,</w:t>
      </w:r>
      <w:r w:rsidRPr="007A6A84">
        <w:rPr>
          <w:rFonts w:ascii="Verdana" w:hAnsi="Verdana"/>
          <w:sz w:val="20"/>
          <w:szCs w:val="20"/>
          <w:lang w:val="es-CR"/>
        </w:rPr>
        <w:t xml:space="preserve"> el Estado debería garantizar que los beneficiarios cuenten con recursos necesarios</w:t>
      </w:r>
      <w:r w:rsidR="007022E5">
        <w:rPr>
          <w:rFonts w:ascii="Verdana" w:hAnsi="Verdana"/>
          <w:sz w:val="20"/>
          <w:szCs w:val="20"/>
          <w:lang w:val="es-CR"/>
        </w:rPr>
        <w:t>,</w:t>
      </w:r>
      <w:r w:rsidRPr="007A6A84">
        <w:rPr>
          <w:rFonts w:ascii="Verdana" w:hAnsi="Verdana"/>
          <w:sz w:val="20"/>
          <w:szCs w:val="20"/>
          <w:lang w:val="es-CR"/>
        </w:rPr>
        <w:t xml:space="preserve"> previo al inicio del </w:t>
      </w:r>
      <w:r w:rsidR="006F55BC">
        <w:rPr>
          <w:rFonts w:ascii="Verdana" w:hAnsi="Verdana"/>
          <w:sz w:val="20"/>
          <w:szCs w:val="20"/>
          <w:lang w:val="es-CR"/>
        </w:rPr>
        <w:t>curso</w:t>
      </w:r>
      <w:r w:rsidRPr="007A6A84">
        <w:rPr>
          <w:rFonts w:ascii="Verdana" w:hAnsi="Verdana"/>
          <w:sz w:val="20"/>
          <w:szCs w:val="20"/>
          <w:lang w:val="es-CR"/>
        </w:rPr>
        <w:t xml:space="preserve"> lectivo</w:t>
      </w:r>
      <w:r w:rsidR="007022E5">
        <w:rPr>
          <w:rFonts w:ascii="Verdana" w:hAnsi="Verdana"/>
          <w:sz w:val="20"/>
          <w:szCs w:val="20"/>
          <w:lang w:val="es-CR"/>
        </w:rPr>
        <w:t>,</w:t>
      </w:r>
      <w:r w:rsidRPr="007A6A84">
        <w:rPr>
          <w:rFonts w:ascii="Verdana" w:hAnsi="Verdana"/>
          <w:sz w:val="20"/>
          <w:szCs w:val="20"/>
          <w:lang w:val="es-CR"/>
        </w:rPr>
        <w:t xml:space="preserve"> para</w:t>
      </w:r>
      <w:r w:rsidR="001D275C" w:rsidRPr="007A6A84">
        <w:rPr>
          <w:rFonts w:ascii="Verdana" w:hAnsi="Verdana"/>
          <w:sz w:val="20"/>
          <w:szCs w:val="20"/>
          <w:lang w:val="es-CR"/>
        </w:rPr>
        <w:t xml:space="preserve"> asegurar que podrán</w:t>
      </w:r>
      <w:r w:rsidRPr="007A6A84">
        <w:rPr>
          <w:rFonts w:ascii="Verdana" w:hAnsi="Verdana"/>
          <w:sz w:val="20"/>
          <w:szCs w:val="20"/>
          <w:lang w:val="es-CR"/>
        </w:rPr>
        <w:t xml:space="preserve"> cubrir los costos que se generen durante el mismo</w:t>
      </w:r>
      <w:r w:rsidR="00A47A4B">
        <w:rPr>
          <w:rStyle w:val="Refdenotaalpie"/>
          <w:rFonts w:ascii="Verdana" w:hAnsi="Verdana"/>
          <w:sz w:val="20"/>
          <w:szCs w:val="20"/>
          <w:lang w:val="es-CR"/>
        </w:rPr>
        <w:footnoteReference w:id="70"/>
      </w:r>
      <w:r w:rsidRPr="007A6A84">
        <w:rPr>
          <w:rFonts w:ascii="Verdana" w:hAnsi="Verdana"/>
          <w:sz w:val="20"/>
          <w:szCs w:val="20"/>
          <w:lang w:val="es-CR"/>
        </w:rPr>
        <w:t xml:space="preserve">. </w:t>
      </w:r>
      <w:r w:rsidR="003302FE" w:rsidRPr="007A6A84">
        <w:rPr>
          <w:rFonts w:ascii="Verdana" w:hAnsi="Verdana"/>
          <w:sz w:val="20"/>
          <w:szCs w:val="20"/>
          <w:lang w:val="es-CR"/>
        </w:rPr>
        <w:t xml:space="preserve">Para ello, </w:t>
      </w:r>
      <w:r w:rsidR="00C35E1A" w:rsidRPr="007A6A84">
        <w:rPr>
          <w:rFonts w:ascii="Verdana" w:hAnsi="Verdana"/>
          <w:sz w:val="20"/>
          <w:szCs w:val="20"/>
          <w:lang w:val="es-CR"/>
        </w:rPr>
        <w:t xml:space="preserve">la Corte considera adecuado que, en adelante, el </w:t>
      </w:r>
      <w:r w:rsidR="003302FE" w:rsidRPr="007A6A84">
        <w:rPr>
          <w:rFonts w:ascii="Verdana" w:hAnsi="Verdana"/>
          <w:sz w:val="20"/>
          <w:szCs w:val="20"/>
          <w:lang w:val="es-CR"/>
        </w:rPr>
        <w:t xml:space="preserve">Estado </w:t>
      </w:r>
      <w:r w:rsidR="00C35E1A" w:rsidRPr="007A6A84">
        <w:rPr>
          <w:rFonts w:ascii="Verdana" w:hAnsi="Verdana"/>
          <w:sz w:val="20"/>
          <w:szCs w:val="20"/>
          <w:lang w:val="es-CR"/>
        </w:rPr>
        <w:t>procure</w:t>
      </w:r>
      <w:r w:rsidR="003302FE" w:rsidRPr="007A6A84">
        <w:rPr>
          <w:rFonts w:ascii="Verdana" w:hAnsi="Verdana"/>
          <w:sz w:val="20"/>
          <w:szCs w:val="20"/>
          <w:lang w:val="es-CR"/>
        </w:rPr>
        <w:t xml:space="preserve">, para el cumplimiento de esta reparación, </w:t>
      </w:r>
      <w:r w:rsidR="00C35E1A" w:rsidRPr="007A6A84">
        <w:rPr>
          <w:rFonts w:ascii="Verdana" w:hAnsi="Verdana"/>
          <w:sz w:val="20"/>
          <w:szCs w:val="20"/>
          <w:lang w:val="es-CR"/>
        </w:rPr>
        <w:t>que el</w:t>
      </w:r>
      <w:r w:rsidR="003302FE" w:rsidRPr="007A6A84">
        <w:rPr>
          <w:rFonts w:ascii="Verdana" w:hAnsi="Verdana"/>
          <w:sz w:val="20"/>
          <w:szCs w:val="20"/>
          <w:lang w:val="es-CR"/>
        </w:rPr>
        <w:t xml:space="preserve"> otorgamiento de becas </w:t>
      </w:r>
      <w:r w:rsidR="00C35E1A" w:rsidRPr="007A6A84">
        <w:rPr>
          <w:rFonts w:ascii="Verdana" w:hAnsi="Verdana"/>
          <w:sz w:val="20"/>
          <w:szCs w:val="20"/>
          <w:lang w:val="es-CR"/>
        </w:rPr>
        <w:t xml:space="preserve">se realice de una forma tal que </w:t>
      </w:r>
      <w:r w:rsidR="003302FE" w:rsidRPr="007A6A84">
        <w:rPr>
          <w:rFonts w:ascii="Verdana" w:hAnsi="Verdana"/>
          <w:sz w:val="20"/>
          <w:szCs w:val="20"/>
          <w:lang w:val="es-CR"/>
        </w:rPr>
        <w:t xml:space="preserve">no implique un esfuerzo económico previo por parte de las víctimas y/o sus hijos e hijas, ni </w:t>
      </w:r>
      <w:r w:rsidR="00C35E1A" w:rsidRPr="007A6A84">
        <w:rPr>
          <w:rFonts w:ascii="Verdana" w:hAnsi="Verdana"/>
          <w:sz w:val="20"/>
          <w:szCs w:val="20"/>
          <w:lang w:val="es-CR"/>
        </w:rPr>
        <w:t>acarre</w:t>
      </w:r>
      <w:r w:rsidR="00EA1A3B">
        <w:rPr>
          <w:rFonts w:ascii="Verdana" w:hAnsi="Verdana"/>
          <w:sz w:val="20"/>
          <w:szCs w:val="20"/>
          <w:lang w:val="es-CR"/>
        </w:rPr>
        <w:t>e</w:t>
      </w:r>
      <w:r w:rsidR="00C35E1A" w:rsidRPr="007A6A84">
        <w:rPr>
          <w:rFonts w:ascii="Verdana" w:hAnsi="Verdana"/>
          <w:sz w:val="20"/>
          <w:szCs w:val="20"/>
          <w:lang w:val="es-CR"/>
        </w:rPr>
        <w:t xml:space="preserve"> </w:t>
      </w:r>
      <w:r w:rsidR="003302FE" w:rsidRPr="007A6A84">
        <w:rPr>
          <w:rFonts w:ascii="Verdana" w:hAnsi="Verdana"/>
          <w:sz w:val="20"/>
          <w:szCs w:val="20"/>
          <w:lang w:val="es-CR"/>
        </w:rPr>
        <w:t xml:space="preserve">demoras en la recepción de las mismas, </w:t>
      </w:r>
      <w:r w:rsidR="00C35E1A" w:rsidRPr="007A6A84">
        <w:rPr>
          <w:rFonts w:ascii="Verdana" w:hAnsi="Verdana"/>
          <w:sz w:val="20"/>
          <w:szCs w:val="20"/>
          <w:lang w:val="es-CR"/>
        </w:rPr>
        <w:t>para que</w:t>
      </w:r>
      <w:r w:rsidR="003302FE" w:rsidRPr="007A6A84">
        <w:rPr>
          <w:rFonts w:ascii="Verdana" w:hAnsi="Verdana"/>
          <w:sz w:val="20"/>
          <w:szCs w:val="20"/>
          <w:lang w:val="es-CR"/>
        </w:rPr>
        <w:t xml:space="preserve"> éstos tengan certeza </w:t>
      </w:r>
      <w:r w:rsidR="0030684B">
        <w:rPr>
          <w:rFonts w:ascii="Verdana" w:hAnsi="Verdana"/>
          <w:sz w:val="20"/>
          <w:szCs w:val="20"/>
          <w:lang w:val="es-CR"/>
        </w:rPr>
        <w:t xml:space="preserve">de </w:t>
      </w:r>
      <w:r w:rsidR="003302FE" w:rsidRPr="007A6A84">
        <w:rPr>
          <w:rFonts w:ascii="Verdana" w:hAnsi="Verdana"/>
          <w:sz w:val="20"/>
          <w:szCs w:val="20"/>
          <w:lang w:val="es-CR"/>
        </w:rPr>
        <w:t>que podrán continuar con sus estudios</w:t>
      </w:r>
      <w:r w:rsidR="00EA199C" w:rsidRPr="007A6A84">
        <w:rPr>
          <w:rStyle w:val="Refdenotaalpie"/>
          <w:rFonts w:ascii="Verdana" w:hAnsi="Verdana"/>
          <w:sz w:val="20"/>
          <w:szCs w:val="20"/>
          <w:lang w:val="es-CR"/>
        </w:rPr>
        <w:footnoteReference w:id="71"/>
      </w:r>
      <w:r w:rsidR="003302FE" w:rsidRPr="007A6A84">
        <w:rPr>
          <w:rFonts w:ascii="Verdana" w:hAnsi="Verdana"/>
          <w:sz w:val="20"/>
          <w:szCs w:val="20"/>
          <w:lang w:val="es-CR"/>
        </w:rPr>
        <w:t>.</w:t>
      </w:r>
    </w:p>
    <w:p w:rsidR="003206EC" w:rsidRPr="007A6A84" w:rsidRDefault="00417D08"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7A6A84">
        <w:rPr>
          <w:rFonts w:ascii="Verdana" w:hAnsi="Verdana"/>
          <w:sz w:val="20"/>
          <w:szCs w:val="20"/>
          <w:lang w:val="es-CR"/>
        </w:rPr>
        <w:t xml:space="preserve">En relación con lo anterior, la </w:t>
      </w:r>
      <w:r w:rsidRPr="007A6A84">
        <w:rPr>
          <w:rFonts w:ascii="Verdana" w:hAnsi="Verdana"/>
          <w:i/>
          <w:sz w:val="20"/>
          <w:szCs w:val="20"/>
          <w:lang w:val="es-CR"/>
        </w:rPr>
        <w:t>FIDH</w:t>
      </w:r>
      <w:r w:rsidRPr="007A6A84">
        <w:rPr>
          <w:rFonts w:ascii="Verdana" w:hAnsi="Verdana"/>
          <w:sz w:val="20"/>
          <w:szCs w:val="20"/>
          <w:lang w:val="es-CR"/>
        </w:rPr>
        <w:t xml:space="preserve"> </w:t>
      </w:r>
      <w:r w:rsidR="00377799" w:rsidRPr="007A6A84">
        <w:rPr>
          <w:rFonts w:ascii="Verdana" w:hAnsi="Verdana"/>
          <w:sz w:val="20"/>
          <w:szCs w:val="20"/>
          <w:lang w:val="es-CR"/>
        </w:rPr>
        <w:t>indicó en su</w:t>
      </w:r>
      <w:r w:rsidR="003206EC" w:rsidRPr="007A6A84">
        <w:rPr>
          <w:rFonts w:ascii="Verdana" w:hAnsi="Verdana"/>
          <w:sz w:val="20"/>
          <w:szCs w:val="20"/>
          <w:lang w:val="es-CR"/>
        </w:rPr>
        <w:t>s</w:t>
      </w:r>
      <w:r w:rsidR="00377799" w:rsidRPr="007A6A84">
        <w:rPr>
          <w:rFonts w:ascii="Verdana" w:hAnsi="Verdana"/>
          <w:sz w:val="20"/>
          <w:szCs w:val="20"/>
          <w:lang w:val="es-CR"/>
        </w:rPr>
        <w:t xml:space="preserve"> escrito</w:t>
      </w:r>
      <w:r w:rsidR="003206EC" w:rsidRPr="007A6A84">
        <w:rPr>
          <w:rFonts w:ascii="Verdana" w:hAnsi="Verdana"/>
          <w:sz w:val="20"/>
          <w:szCs w:val="20"/>
          <w:lang w:val="es-CR"/>
        </w:rPr>
        <w:t>s</w:t>
      </w:r>
      <w:r w:rsidR="00377799" w:rsidRPr="007A6A84">
        <w:rPr>
          <w:rFonts w:ascii="Verdana" w:hAnsi="Verdana"/>
          <w:sz w:val="20"/>
          <w:szCs w:val="20"/>
          <w:lang w:val="es-CR"/>
        </w:rPr>
        <w:t xml:space="preserve"> de </w:t>
      </w:r>
      <w:r w:rsidR="003206EC" w:rsidRPr="007A6A84">
        <w:rPr>
          <w:rFonts w:ascii="Verdana" w:hAnsi="Verdana"/>
          <w:sz w:val="20"/>
          <w:szCs w:val="20"/>
          <w:lang w:val="es-CR"/>
        </w:rPr>
        <w:t>observaciones de diciembre de 2016 y agosto de 2017 que en una reunión que se habría sostenido con autoridades estatales el 13 de junio de 2016 “se había acordado […] la necesidad de definir un sistema permanente de otorgamiento de las becas que evitara que éstas f</w:t>
      </w:r>
      <w:r w:rsidR="007A6A84" w:rsidRPr="007A6A84">
        <w:rPr>
          <w:rFonts w:ascii="Verdana" w:hAnsi="Verdana"/>
          <w:sz w:val="20"/>
          <w:szCs w:val="20"/>
          <w:lang w:val="es-CR"/>
        </w:rPr>
        <w:t>ueran pagadas retroactivamente[</w:t>
      </w:r>
      <w:r w:rsidR="007022E5">
        <w:rPr>
          <w:rFonts w:ascii="Verdana" w:hAnsi="Verdana"/>
          <w:sz w:val="20"/>
          <w:szCs w:val="20"/>
          <w:lang w:val="es-CR"/>
        </w:rPr>
        <w:t xml:space="preserve">, </w:t>
      </w:r>
      <w:r w:rsidR="007A6A84" w:rsidRPr="007A6A84">
        <w:rPr>
          <w:rFonts w:ascii="Verdana" w:hAnsi="Verdana"/>
          <w:sz w:val="20"/>
          <w:szCs w:val="20"/>
          <w:lang w:val="es-CR"/>
        </w:rPr>
        <w:t>así como de</w:t>
      </w:r>
      <w:r w:rsidR="003206EC" w:rsidRPr="007A6A84">
        <w:rPr>
          <w:rFonts w:ascii="Verdana" w:hAnsi="Verdana"/>
          <w:sz w:val="20"/>
          <w:szCs w:val="20"/>
          <w:lang w:val="es-CR"/>
        </w:rPr>
        <w:t xml:space="preserve">] designar un </w:t>
      </w:r>
      <w:r w:rsidR="007022E5">
        <w:rPr>
          <w:rFonts w:ascii="Verdana" w:hAnsi="Verdana"/>
          <w:sz w:val="20"/>
          <w:szCs w:val="20"/>
          <w:lang w:val="es-CR"/>
        </w:rPr>
        <w:t>[…]</w:t>
      </w:r>
      <w:r w:rsidR="003206EC" w:rsidRPr="007A6A84">
        <w:rPr>
          <w:rFonts w:ascii="Verdana" w:hAnsi="Verdana"/>
          <w:sz w:val="20"/>
          <w:szCs w:val="20"/>
          <w:lang w:val="es-CR"/>
        </w:rPr>
        <w:t xml:space="preserve"> contacto gubernamental que facilitara la </w:t>
      </w:r>
      <w:r w:rsidR="003206EC" w:rsidRPr="007A6A84">
        <w:rPr>
          <w:rFonts w:ascii="Verdana" w:hAnsi="Verdana"/>
          <w:sz w:val="20"/>
          <w:szCs w:val="20"/>
          <w:lang w:val="es-CR"/>
        </w:rPr>
        <w:lastRenderedPageBreak/>
        <w:t xml:space="preserve">interlocución entre el gobierno y los beneficiarios”, pero que ello no ha sucedido. </w:t>
      </w:r>
      <w:r w:rsidR="00914B6B" w:rsidRPr="007A6A84">
        <w:rPr>
          <w:rFonts w:ascii="Verdana" w:hAnsi="Verdana"/>
          <w:sz w:val="20"/>
          <w:szCs w:val="20"/>
          <w:lang w:val="es-CR"/>
        </w:rPr>
        <w:t xml:space="preserve">El Estado no </w:t>
      </w:r>
      <w:r w:rsidR="007022E5">
        <w:rPr>
          <w:rFonts w:ascii="Verdana" w:hAnsi="Verdana"/>
          <w:sz w:val="20"/>
          <w:szCs w:val="20"/>
          <w:lang w:val="es-CR"/>
        </w:rPr>
        <w:t>hizo</w:t>
      </w:r>
      <w:r w:rsidR="00914B6B" w:rsidRPr="007A6A84">
        <w:rPr>
          <w:rFonts w:ascii="Verdana" w:hAnsi="Verdana"/>
          <w:sz w:val="20"/>
          <w:szCs w:val="20"/>
          <w:lang w:val="es-CR"/>
        </w:rPr>
        <w:t xml:space="preserve"> referencia a </w:t>
      </w:r>
      <w:r w:rsidR="007A6A84" w:rsidRPr="007A6A84">
        <w:rPr>
          <w:rFonts w:ascii="Verdana" w:hAnsi="Verdana"/>
          <w:sz w:val="20"/>
          <w:szCs w:val="20"/>
          <w:lang w:val="es-CR"/>
        </w:rPr>
        <w:t>dicha</w:t>
      </w:r>
      <w:r w:rsidR="00914B6B" w:rsidRPr="007A6A84">
        <w:rPr>
          <w:rFonts w:ascii="Verdana" w:hAnsi="Verdana"/>
          <w:sz w:val="20"/>
          <w:szCs w:val="20"/>
          <w:lang w:val="es-CR"/>
        </w:rPr>
        <w:t xml:space="preserve"> reunión ni ha dado cuenta en sus informes de acciones relacionadas con los referidos acuerdos. La Corte estima necesario que en su próximo informe Chile se refiera </w:t>
      </w:r>
      <w:r w:rsidR="007A6A84" w:rsidRPr="007A6A84">
        <w:rPr>
          <w:rFonts w:ascii="Verdana" w:hAnsi="Verdana"/>
          <w:sz w:val="20"/>
          <w:szCs w:val="20"/>
          <w:lang w:val="es-CR"/>
        </w:rPr>
        <w:t>al respecto</w:t>
      </w:r>
      <w:r w:rsidR="00914B6B" w:rsidRPr="007A6A84">
        <w:rPr>
          <w:rFonts w:ascii="Verdana" w:hAnsi="Verdana"/>
          <w:sz w:val="20"/>
          <w:szCs w:val="20"/>
          <w:lang w:val="es-CR"/>
        </w:rPr>
        <w:t xml:space="preserve">, </w:t>
      </w:r>
      <w:r w:rsidR="007A6A84" w:rsidRPr="007A6A84">
        <w:rPr>
          <w:rFonts w:ascii="Verdana" w:hAnsi="Verdana"/>
          <w:sz w:val="20"/>
          <w:szCs w:val="20"/>
          <w:lang w:val="es-CR"/>
        </w:rPr>
        <w:t>y que</w:t>
      </w:r>
      <w:r w:rsidR="00914B6B" w:rsidRPr="007A6A84">
        <w:rPr>
          <w:rFonts w:ascii="Verdana" w:hAnsi="Verdana"/>
          <w:sz w:val="20"/>
          <w:szCs w:val="20"/>
          <w:lang w:val="es-CR"/>
        </w:rPr>
        <w:t xml:space="preserve"> indique si está adoptando alguna acción para superar los obstáculos que han planteado los representantes</w:t>
      </w:r>
      <w:r w:rsidR="007A6A84" w:rsidRPr="007A6A84">
        <w:rPr>
          <w:rFonts w:ascii="Verdana" w:hAnsi="Verdana"/>
          <w:sz w:val="20"/>
          <w:szCs w:val="20"/>
          <w:lang w:val="es-CR"/>
        </w:rPr>
        <w:t xml:space="preserve"> de las víctimas en cuanto al pago retroactivo de </w:t>
      </w:r>
      <w:r w:rsidR="00914B6B" w:rsidRPr="007A6A84">
        <w:rPr>
          <w:rFonts w:ascii="Verdana" w:hAnsi="Verdana"/>
          <w:sz w:val="20"/>
          <w:szCs w:val="20"/>
          <w:lang w:val="es-CR"/>
        </w:rPr>
        <w:t>las becas (</w:t>
      </w:r>
      <w:r w:rsidR="00914B6B" w:rsidRPr="007A6A84">
        <w:rPr>
          <w:rFonts w:ascii="Verdana" w:hAnsi="Verdana"/>
          <w:i/>
          <w:sz w:val="20"/>
          <w:szCs w:val="20"/>
          <w:lang w:val="es-CR"/>
        </w:rPr>
        <w:t xml:space="preserve">supra </w:t>
      </w:r>
      <w:r w:rsidR="00914B6B" w:rsidRPr="007A6A84">
        <w:rPr>
          <w:rFonts w:ascii="Verdana" w:hAnsi="Verdana"/>
          <w:sz w:val="20"/>
          <w:szCs w:val="20"/>
          <w:lang w:val="es-CR"/>
        </w:rPr>
        <w:t xml:space="preserve">Considerando </w:t>
      </w:r>
      <w:r w:rsidR="00CB668E">
        <w:rPr>
          <w:rFonts w:ascii="Verdana" w:hAnsi="Verdana"/>
          <w:sz w:val="20"/>
          <w:szCs w:val="20"/>
          <w:lang w:val="es-CR"/>
        </w:rPr>
        <w:t>48</w:t>
      </w:r>
      <w:r w:rsidR="00CB668E" w:rsidRPr="007A6A84">
        <w:rPr>
          <w:rFonts w:ascii="Verdana" w:hAnsi="Verdana"/>
          <w:sz w:val="20"/>
          <w:szCs w:val="20"/>
          <w:lang w:val="es-CR"/>
        </w:rPr>
        <w:t xml:space="preserve">). </w:t>
      </w:r>
    </w:p>
    <w:p w:rsidR="0012264D" w:rsidRPr="0012264D" w:rsidRDefault="00DC700C"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12264D">
        <w:rPr>
          <w:rFonts w:ascii="Verdana" w:hAnsi="Verdana"/>
          <w:sz w:val="20"/>
          <w:szCs w:val="20"/>
          <w:lang w:val="es-CR"/>
        </w:rPr>
        <w:t xml:space="preserve">Finalmente, los </w:t>
      </w:r>
      <w:r w:rsidRPr="00903DE2">
        <w:rPr>
          <w:rFonts w:ascii="Verdana" w:hAnsi="Verdana"/>
          <w:i/>
          <w:sz w:val="20"/>
          <w:szCs w:val="20"/>
          <w:lang w:val="es-CR"/>
        </w:rPr>
        <w:t>representantes de las víctimas</w:t>
      </w:r>
      <w:r w:rsidRPr="0012264D">
        <w:rPr>
          <w:rFonts w:ascii="Verdana" w:hAnsi="Verdana"/>
          <w:sz w:val="20"/>
          <w:szCs w:val="20"/>
          <w:lang w:val="es-CR"/>
        </w:rPr>
        <w:t xml:space="preserve"> han expresado su preocupación </w:t>
      </w:r>
      <w:r w:rsidR="00703C74" w:rsidRPr="0012264D">
        <w:rPr>
          <w:rFonts w:ascii="Verdana" w:hAnsi="Verdana"/>
          <w:sz w:val="20"/>
          <w:szCs w:val="20"/>
          <w:lang w:val="es-CR"/>
        </w:rPr>
        <w:t>respecto a la falta de certeza sobre las acciones que implementará el E</w:t>
      </w:r>
      <w:r w:rsidR="00C7644B" w:rsidRPr="0012264D">
        <w:rPr>
          <w:rFonts w:ascii="Verdana" w:hAnsi="Verdana"/>
          <w:sz w:val="20"/>
          <w:szCs w:val="20"/>
          <w:lang w:val="es-CR"/>
        </w:rPr>
        <w:t>s</w:t>
      </w:r>
      <w:r w:rsidR="00703C74" w:rsidRPr="0012264D">
        <w:rPr>
          <w:rFonts w:ascii="Verdana" w:hAnsi="Verdana"/>
          <w:sz w:val="20"/>
          <w:szCs w:val="20"/>
          <w:lang w:val="es-CR"/>
        </w:rPr>
        <w:t>tado para asegurar que las becas se continúen brindando a futuro, hasta la conclusión de los estudios de los beneficiarios</w:t>
      </w:r>
      <w:r w:rsidR="00703C74" w:rsidRPr="0012264D">
        <w:rPr>
          <w:rStyle w:val="Refdenotaalpie"/>
          <w:rFonts w:ascii="Verdana" w:hAnsi="Verdana"/>
          <w:sz w:val="20"/>
          <w:szCs w:val="20"/>
          <w:lang w:val="es-CR"/>
        </w:rPr>
        <w:footnoteReference w:id="72"/>
      </w:r>
      <w:r w:rsidR="00703C74" w:rsidRPr="0012264D">
        <w:rPr>
          <w:rFonts w:ascii="Verdana" w:hAnsi="Verdana"/>
          <w:sz w:val="20"/>
          <w:szCs w:val="20"/>
          <w:lang w:val="es-CR"/>
        </w:rPr>
        <w:t xml:space="preserve">. En similar sentido, </w:t>
      </w:r>
      <w:r w:rsidR="003206EC" w:rsidRPr="0012264D">
        <w:rPr>
          <w:rFonts w:ascii="Verdana" w:hAnsi="Verdana"/>
          <w:sz w:val="20"/>
          <w:szCs w:val="20"/>
          <w:lang w:val="es-CR"/>
        </w:rPr>
        <w:t xml:space="preserve">la </w:t>
      </w:r>
      <w:r w:rsidR="003206EC" w:rsidRPr="00903DE2">
        <w:rPr>
          <w:rFonts w:ascii="Verdana" w:hAnsi="Verdana"/>
          <w:i/>
          <w:sz w:val="20"/>
          <w:szCs w:val="20"/>
          <w:lang w:val="es-CR"/>
        </w:rPr>
        <w:t>Comisión Interamericana</w:t>
      </w:r>
      <w:r w:rsidR="003206EC" w:rsidRPr="0012264D">
        <w:rPr>
          <w:rFonts w:ascii="Verdana" w:hAnsi="Verdana"/>
          <w:sz w:val="20"/>
          <w:szCs w:val="20"/>
          <w:lang w:val="es-CR"/>
        </w:rPr>
        <w:t xml:space="preserve"> ha observado que es necesario que el Estado “garantice las partidas presupuestales y la entrega efectiva y previsible de los montos de las becas, para lo cual observa que el Estado puede adoptar diversas medidas, inclusive, por ejemplo, la emisión de un acto jurídico que brindara seguridad a los beneficiarios”. </w:t>
      </w:r>
      <w:r w:rsidR="0012264D" w:rsidRPr="0012264D">
        <w:rPr>
          <w:rFonts w:ascii="Verdana" w:hAnsi="Verdana"/>
          <w:sz w:val="20"/>
          <w:szCs w:val="20"/>
          <w:lang w:val="es-CR"/>
        </w:rPr>
        <w:t>Al respecto es necesario que el Estado informe sobre las previsiones que ha adoptado a fin de garantizar</w:t>
      </w:r>
      <w:r w:rsidR="0012264D" w:rsidRPr="00903DE2">
        <w:rPr>
          <w:rFonts w:ascii="Verdana" w:hAnsi="Verdana"/>
          <w:sz w:val="20"/>
          <w:szCs w:val="20"/>
          <w:lang w:val="es-CR"/>
        </w:rPr>
        <w:t xml:space="preserve"> </w:t>
      </w:r>
      <w:r w:rsidR="0012264D" w:rsidRPr="0012264D">
        <w:rPr>
          <w:rFonts w:ascii="Verdana" w:hAnsi="Verdana"/>
          <w:sz w:val="20"/>
          <w:szCs w:val="20"/>
          <w:lang w:val="es-CR"/>
        </w:rPr>
        <w:t>el disfrute completo y efectivo de esta medida de reparación por todos los beneficiarios hasta la conclusión de sus estudios, en los términos dispuestos en la Sentencia</w:t>
      </w:r>
      <w:r w:rsidR="0012264D" w:rsidRPr="0012264D">
        <w:rPr>
          <w:rStyle w:val="Refdenotaalpie"/>
          <w:rFonts w:ascii="Verdana" w:hAnsi="Verdana"/>
          <w:sz w:val="20"/>
          <w:szCs w:val="20"/>
          <w:lang w:val="es-CR"/>
        </w:rPr>
        <w:footnoteReference w:id="73"/>
      </w:r>
      <w:r w:rsidR="0012264D" w:rsidRPr="0012264D">
        <w:rPr>
          <w:rFonts w:ascii="Verdana" w:hAnsi="Verdana"/>
          <w:sz w:val="20"/>
          <w:szCs w:val="20"/>
          <w:lang w:val="es-CR"/>
        </w:rPr>
        <w:t xml:space="preserve">. </w:t>
      </w:r>
    </w:p>
    <w:p w:rsidR="00EA199C" w:rsidRDefault="00914B6B" w:rsidP="00857630">
      <w:pPr>
        <w:pStyle w:val="Listavistosa-nfasis1"/>
        <w:numPr>
          <w:ilvl w:val="0"/>
          <w:numId w:val="28"/>
        </w:numPr>
        <w:spacing w:before="120" w:after="120" w:line="240" w:lineRule="auto"/>
        <w:ind w:left="0" w:right="11" w:firstLine="0"/>
        <w:contextualSpacing w:val="0"/>
        <w:jc w:val="both"/>
        <w:rPr>
          <w:rFonts w:ascii="Verdana" w:hAnsi="Verdana"/>
          <w:sz w:val="20"/>
          <w:szCs w:val="20"/>
          <w:lang w:val="es-CR"/>
        </w:rPr>
      </w:pPr>
      <w:r w:rsidRPr="00EA199C">
        <w:rPr>
          <w:rFonts w:ascii="Verdana" w:hAnsi="Verdana"/>
          <w:sz w:val="20"/>
          <w:szCs w:val="20"/>
          <w:lang w:val="es-CR"/>
        </w:rPr>
        <w:t>Con base en lo expuesto</w:t>
      </w:r>
      <w:r w:rsidR="00DC6AC6">
        <w:rPr>
          <w:rFonts w:ascii="Verdana" w:hAnsi="Verdana"/>
          <w:sz w:val="20"/>
          <w:szCs w:val="20"/>
          <w:lang w:val="es-CR"/>
        </w:rPr>
        <w:t>,</w:t>
      </w:r>
      <w:r w:rsidRPr="00EA199C">
        <w:rPr>
          <w:rFonts w:ascii="Verdana" w:hAnsi="Verdana"/>
          <w:sz w:val="20"/>
          <w:szCs w:val="20"/>
          <w:lang w:val="es-CR"/>
        </w:rPr>
        <w:t xml:space="preserve"> la </w:t>
      </w:r>
      <w:r w:rsidR="00EA199C" w:rsidRPr="00EA199C">
        <w:rPr>
          <w:rFonts w:ascii="Verdana" w:hAnsi="Verdana"/>
          <w:sz w:val="20"/>
          <w:szCs w:val="20"/>
          <w:lang w:val="es-CR"/>
        </w:rPr>
        <w:t xml:space="preserve">Corte considera que </w:t>
      </w:r>
      <w:r w:rsidR="00DD7FF8">
        <w:rPr>
          <w:rFonts w:ascii="Verdana" w:hAnsi="Verdana"/>
          <w:sz w:val="20"/>
          <w:szCs w:val="20"/>
          <w:lang w:val="es-CR"/>
        </w:rPr>
        <w:t>el Estado ha dado cumplimiento parcial a</w:t>
      </w:r>
      <w:r w:rsidR="00EA199C" w:rsidRPr="00EA199C">
        <w:rPr>
          <w:rFonts w:ascii="Verdana" w:hAnsi="Verdana"/>
          <w:sz w:val="20"/>
          <w:szCs w:val="20"/>
          <w:lang w:val="es-CR"/>
        </w:rPr>
        <w:t xml:space="preserve"> la medida ordenada en el punto </w:t>
      </w:r>
      <w:r w:rsidR="00CB668E">
        <w:rPr>
          <w:rFonts w:ascii="Verdana" w:hAnsi="Verdana"/>
          <w:sz w:val="20"/>
          <w:szCs w:val="20"/>
          <w:lang w:val="es-CR"/>
        </w:rPr>
        <w:t>dispositivo</w:t>
      </w:r>
      <w:r w:rsidR="00CB668E" w:rsidRPr="00EA199C">
        <w:rPr>
          <w:rFonts w:ascii="Verdana" w:hAnsi="Verdana"/>
          <w:sz w:val="20"/>
          <w:szCs w:val="20"/>
          <w:lang w:val="es-CR"/>
        </w:rPr>
        <w:t xml:space="preserve"> </w:t>
      </w:r>
      <w:r w:rsidR="00EA199C" w:rsidRPr="00EA199C">
        <w:rPr>
          <w:rFonts w:ascii="Verdana" w:hAnsi="Verdana"/>
          <w:sz w:val="20"/>
          <w:szCs w:val="20"/>
          <w:lang w:val="es-CR"/>
        </w:rPr>
        <w:t>décimo noveno de la Sentencia</w:t>
      </w:r>
      <w:r w:rsidR="00CB668E">
        <w:rPr>
          <w:rFonts w:ascii="Verdana" w:hAnsi="Verdana"/>
          <w:sz w:val="20"/>
          <w:szCs w:val="20"/>
          <w:lang w:val="es-CR"/>
        </w:rPr>
        <w:t>,</w:t>
      </w:r>
      <w:r w:rsidR="00EA199C" w:rsidRPr="00EA199C">
        <w:rPr>
          <w:rFonts w:ascii="Verdana" w:hAnsi="Verdana"/>
          <w:sz w:val="20"/>
          <w:szCs w:val="20"/>
          <w:lang w:val="es-CR"/>
        </w:rPr>
        <w:t xml:space="preserve"> relativa a otorgar becas de estudio</w:t>
      </w:r>
      <w:r w:rsidR="00AD1100">
        <w:rPr>
          <w:rFonts w:ascii="Verdana" w:hAnsi="Verdana"/>
          <w:sz w:val="20"/>
          <w:szCs w:val="20"/>
          <w:lang w:val="es-CR"/>
        </w:rPr>
        <w:t xml:space="preserve"> a las víctimas y a los hijos de éstas que así lo soliciten (</w:t>
      </w:r>
      <w:r w:rsidR="00AD1100" w:rsidRPr="00903DE2">
        <w:rPr>
          <w:rFonts w:ascii="Verdana" w:hAnsi="Verdana"/>
          <w:i/>
          <w:sz w:val="20"/>
          <w:szCs w:val="20"/>
          <w:lang w:val="es-CR"/>
        </w:rPr>
        <w:t>supra</w:t>
      </w:r>
      <w:r w:rsidR="00AD1100">
        <w:rPr>
          <w:rFonts w:ascii="Verdana" w:hAnsi="Verdana"/>
          <w:sz w:val="20"/>
          <w:szCs w:val="20"/>
          <w:lang w:val="es-CR"/>
        </w:rPr>
        <w:t xml:space="preserve"> Considerandos 39 y 43)</w:t>
      </w:r>
      <w:r w:rsidR="00EA199C" w:rsidRPr="00EA199C">
        <w:rPr>
          <w:rFonts w:ascii="Verdana" w:hAnsi="Verdana"/>
          <w:sz w:val="20"/>
          <w:szCs w:val="20"/>
          <w:lang w:val="es-CR"/>
        </w:rPr>
        <w:t xml:space="preserve">. </w:t>
      </w:r>
      <w:r w:rsidR="00A7765B">
        <w:rPr>
          <w:rFonts w:ascii="Verdana" w:hAnsi="Verdana"/>
          <w:sz w:val="20"/>
          <w:szCs w:val="20"/>
          <w:lang w:val="es-CR"/>
        </w:rPr>
        <w:t xml:space="preserve">El Estado debe adoptar, </w:t>
      </w:r>
      <w:r w:rsidR="00A7765B" w:rsidRPr="00EA199C">
        <w:rPr>
          <w:rFonts w:ascii="Verdana" w:hAnsi="Verdana"/>
          <w:sz w:val="20"/>
          <w:szCs w:val="20"/>
          <w:lang w:val="es-CR"/>
        </w:rPr>
        <w:t>a la mayor brevedad posible,</w:t>
      </w:r>
      <w:r w:rsidR="00A7765B">
        <w:rPr>
          <w:rFonts w:ascii="Verdana" w:hAnsi="Verdana"/>
          <w:sz w:val="20"/>
          <w:szCs w:val="20"/>
          <w:lang w:val="es-CR"/>
        </w:rPr>
        <w:t xml:space="preserve"> todas</w:t>
      </w:r>
      <w:r w:rsidR="00EA199C" w:rsidRPr="00EA199C">
        <w:rPr>
          <w:rFonts w:ascii="Verdana" w:hAnsi="Verdana"/>
          <w:sz w:val="20"/>
          <w:szCs w:val="20"/>
          <w:lang w:val="es-CR"/>
        </w:rPr>
        <w:t xml:space="preserve"> las medidas necesarias para superar los obstáculos que han sido expuestos por los representantes de las víctimas </w:t>
      </w:r>
      <w:r w:rsidR="00A7765B">
        <w:rPr>
          <w:rFonts w:ascii="Verdana" w:hAnsi="Verdana"/>
          <w:sz w:val="20"/>
          <w:szCs w:val="20"/>
          <w:lang w:val="es-CR"/>
        </w:rPr>
        <w:t>a fin de</w:t>
      </w:r>
      <w:r w:rsidR="00EA199C" w:rsidRPr="00EA199C">
        <w:rPr>
          <w:rFonts w:ascii="Verdana" w:hAnsi="Verdana"/>
          <w:sz w:val="20"/>
          <w:szCs w:val="20"/>
          <w:lang w:val="es-CR"/>
        </w:rPr>
        <w:t xml:space="preserve"> dar efectivo y pronto cumplimiento </w:t>
      </w:r>
      <w:r w:rsidR="00A97B6F">
        <w:rPr>
          <w:rFonts w:ascii="Verdana" w:hAnsi="Verdana"/>
          <w:sz w:val="20"/>
          <w:szCs w:val="20"/>
          <w:lang w:val="es-CR"/>
        </w:rPr>
        <w:t xml:space="preserve">a </w:t>
      </w:r>
      <w:r w:rsidR="00EA199C" w:rsidRPr="00EA199C">
        <w:rPr>
          <w:rFonts w:ascii="Verdana" w:hAnsi="Verdana"/>
          <w:sz w:val="20"/>
          <w:szCs w:val="20"/>
          <w:lang w:val="es-CR"/>
        </w:rPr>
        <w:t>esta reparación. Asimismo, se requiere al Estado que</w:t>
      </w:r>
      <w:r w:rsidR="00A7765B">
        <w:rPr>
          <w:rFonts w:ascii="Verdana" w:hAnsi="Verdana"/>
          <w:sz w:val="20"/>
          <w:szCs w:val="20"/>
          <w:lang w:val="es-CR"/>
        </w:rPr>
        <w:t>,</w:t>
      </w:r>
      <w:r w:rsidR="00EA199C" w:rsidRPr="00EA199C">
        <w:rPr>
          <w:rFonts w:ascii="Verdana" w:hAnsi="Verdana"/>
          <w:sz w:val="20"/>
          <w:szCs w:val="20"/>
          <w:lang w:val="es-CR"/>
        </w:rPr>
        <w:t xml:space="preserve"> en el plazo dispuesto en el punto resolutivo </w:t>
      </w:r>
      <w:r w:rsidR="00CB668E">
        <w:rPr>
          <w:rFonts w:ascii="Verdana" w:hAnsi="Verdana"/>
          <w:sz w:val="20"/>
          <w:szCs w:val="20"/>
          <w:lang w:val="es-CR"/>
        </w:rPr>
        <w:t>quinto</w:t>
      </w:r>
      <w:r w:rsidR="00CB668E" w:rsidRPr="00EA199C">
        <w:rPr>
          <w:rFonts w:ascii="Verdana" w:hAnsi="Verdana"/>
          <w:sz w:val="20"/>
          <w:szCs w:val="20"/>
          <w:lang w:val="es-CR"/>
        </w:rPr>
        <w:t xml:space="preserve"> </w:t>
      </w:r>
      <w:r w:rsidR="00EA199C" w:rsidRPr="00EA199C">
        <w:rPr>
          <w:rFonts w:ascii="Verdana" w:hAnsi="Verdana"/>
          <w:sz w:val="20"/>
          <w:szCs w:val="20"/>
          <w:lang w:val="es-CR"/>
        </w:rPr>
        <w:t>de la presente Resolución</w:t>
      </w:r>
      <w:r w:rsidR="00A7765B">
        <w:rPr>
          <w:rFonts w:ascii="Verdana" w:hAnsi="Verdana"/>
          <w:sz w:val="20"/>
          <w:szCs w:val="20"/>
          <w:lang w:val="es-CR"/>
        </w:rPr>
        <w:t xml:space="preserve">, </w:t>
      </w:r>
      <w:r w:rsidR="00EA199C" w:rsidRPr="00EA199C">
        <w:rPr>
          <w:rFonts w:ascii="Verdana" w:hAnsi="Verdana"/>
          <w:sz w:val="20"/>
          <w:szCs w:val="20"/>
          <w:lang w:val="es-CR"/>
        </w:rPr>
        <w:t>presente la información y aclaraciones que le han sido requeridas en los Considerandos anteriores (</w:t>
      </w:r>
      <w:r w:rsidR="00EA199C" w:rsidRPr="00EA199C">
        <w:rPr>
          <w:rFonts w:ascii="Verdana" w:hAnsi="Verdana"/>
          <w:i/>
          <w:sz w:val="20"/>
          <w:szCs w:val="20"/>
          <w:lang w:val="es-CR"/>
        </w:rPr>
        <w:t>supra</w:t>
      </w:r>
      <w:r w:rsidR="00EA199C" w:rsidRPr="00EA199C">
        <w:rPr>
          <w:rFonts w:ascii="Verdana" w:hAnsi="Verdana"/>
          <w:sz w:val="20"/>
          <w:szCs w:val="20"/>
          <w:lang w:val="es-CR"/>
        </w:rPr>
        <w:t xml:space="preserve"> Considerandos </w:t>
      </w:r>
      <w:r w:rsidR="00CF0ADE">
        <w:rPr>
          <w:rFonts w:ascii="Verdana" w:hAnsi="Verdana"/>
          <w:sz w:val="20"/>
          <w:szCs w:val="20"/>
          <w:lang w:val="es-CR"/>
        </w:rPr>
        <w:t>44, 46, 47, 50 y 51</w:t>
      </w:r>
      <w:r w:rsidR="00EA199C" w:rsidRPr="00EA199C">
        <w:rPr>
          <w:rFonts w:ascii="Verdana" w:hAnsi="Verdana"/>
          <w:sz w:val="20"/>
          <w:szCs w:val="20"/>
          <w:lang w:val="es-CR"/>
        </w:rPr>
        <w:t>).</w:t>
      </w:r>
    </w:p>
    <w:p w:rsidR="00C95520" w:rsidRPr="00EA199C" w:rsidRDefault="00C95520" w:rsidP="00C95520">
      <w:pPr>
        <w:pStyle w:val="Listavistosa-nfasis1"/>
        <w:spacing w:before="120" w:after="120" w:line="240" w:lineRule="auto"/>
        <w:ind w:left="0" w:right="11"/>
        <w:contextualSpacing w:val="0"/>
        <w:jc w:val="both"/>
        <w:rPr>
          <w:rFonts w:ascii="Verdana" w:hAnsi="Verdana"/>
          <w:sz w:val="20"/>
          <w:szCs w:val="20"/>
          <w:lang w:val="es-CR"/>
        </w:rPr>
      </w:pPr>
    </w:p>
    <w:p w:rsidR="007E562F" w:rsidRPr="00F812F8" w:rsidRDefault="007E562F" w:rsidP="00C95520">
      <w:pPr>
        <w:keepNext/>
        <w:keepLines/>
        <w:widowControl w:val="0"/>
        <w:numPr>
          <w:ilvl w:val="0"/>
          <w:numId w:val="18"/>
        </w:numPr>
        <w:spacing w:before="120" w:after="120" w:line="240" w:lineRule="auto"/>
        <w:jc w:val="both"/>
        <w:outlineLvl w:val="0"/>
        <w:rPr>
          <w:rFonts w:ascii="Verdana" w:eastAsia="Times New Roman" w:hAnsi="Verdana"/>
          <w:b/>
          <w:bCs/>
          <w:i/>
          <w:color w:val="000000"/>
          <w:sz w:val="20"/>
          <w:szCs w:val="20"/>
          <w:lang w:val="es-ES_tradnl" w:eastAsia="es-ES"/>
        </w:rPr>
      </w:pPr>
      <w:bookmarkStart w:id="18" w:name="_Toc507514929"/>
      <w:bookmarkStart w:id="19" w:name="_Toc523309972"/>
      <w:r w:rsidRPr="00F812F8">
        <w:rPr>
          <w:rFonts w:ascii="Verdana" w:eastAsia="Times New Roman" w:hAnsi="Verdana"/>
          <w:b/>
          <w:bCs/>
          <w:i/>
          <w:color w:val="000000"/>
          <w:sz w:val="20"/>
          <w:szCs w:val="20"/>
          <w:lang w:val="es-ES_tradnl" w:eastAsia="es-ES"/>
        </w:rPr>
        <w:t>Regular la medida procesal de protección de testigos relativa a la reserva de identidad</w:t>
      </w:r>
      <w:bookmarkEnd w:id="18"/>
      <w:bookmarkEnd w:id="19"/>
    </w:p>
    <w:p w:rsidR="007E562F" w:rsidRPr="007E562F" w:rsidRDefault="007E562F" w:rsidP="00C95520">
      <w:pPr>
        <w:widowControl w:val="0"/>
        <w:spacing w:before="120" w:after="120" w:line="240" w:lineRule="auto"/>
        <w:ind w:left="567" w:right="20"/>
        <w:jc w:val="both"/>
        <w:outlineLvl w:val="0"/>
        <w:rPr>
          <w:rFonts w:ascii="Verdana" w:eastAsia="Palatino Linotype" w:hAnsi="Verdana" w:cs="Palatino Linotype"/>
          <w:i/>
          <w:sz w:val="20"/>
          <w:szCs w:val="20"/>
          <w:lang w:val="es-CR"/>
        </w:rPr>
      </w:pPr>
      <w:bookmarkStart w:id="20" w:name="_Toc486848480"/>
      <w:bookmarkStart w:id="21" w:name="_Toc507514086"/>
      <w:bookmarkStart w:id="22" w:name="_Toc507514930"/>
      <w:bookmarkStart w:id="23" w:name="_Toc523309973"/>
      <w:r w:rsidRPr="007E562F">
        <w:rPr>
          <w:rFonts w:ascii="Verdana" w:eastAsia="Palatino Linotype" w:hAnsi="Verdana" w:cs="Palatino Linotype"/>
          <w:i/>
          <w:sz w:val="20"/>
          <w:szCs w:val="20"/>
          <w:lang w:val="es-CR"/>
        </w:rPr>
        <w:t>E.1. Media ordenada por la Corte</w:t>
      </w:r>
      <w:bookmarkEnd w:id="20"/>
      <w:bookmarkEnd w:id="21"/>
      <w:bookmarkEnd w:id="22"/>
      <w:bookmarkEnd w:id="23"/>
    </w:p>
    <w:p w:rsidR="007E562F" w:rsidRDefault="007E562F" w:rsidP="00857630">
      <w:pPr>
        <w:pStyle w:val="Listavistosa-nfasis1"/>
        <w:numPr>
          <w:ilvl w:val="0"/>
          <w:numId w:val="28"/>
        </w:numPr>
        <w:tabs>
          <w:tab w:val="left" w:pos="709"/>
        </w:tabs>
        <w:spacing w:before="120" w:after="120" w:line="240" w:lineRule="auto"/>
        <w:ind w:left="0" w:right="9" w:firstLine="0"/>
        <w:contextualSpacing w:val="0"/>
        <w:jc w:val="both"/>
        <w:rPr>
          <w:rFonts w:ascii="Verdana" w:hAnsi="Verdana"/>
          <w:sz w:val="20"/>
          <w:szCs w:val="20"/>
          <w:lang w:val="es-CR"/>
        </w:rPr>
      </w:pPr>
      <w:r w:rsidRPr="007E562F">
        <w:rPr>
          <w:rFonts w:ascii="Verdana" w:hAnsi="Verdana"/>
          <w:sz w:val="20"/>
          <w:szCs w:val="20"/>
          <w:lang w:val="es-CR"/>
        </w:rPr>
        <w:t xml:space="preserve">En el punto </w:t>
      </w:r>
      <w:r w:rsidR="00025E02">
        <w:rPr>
          <w:rFonts w:ascii="Verdana" w:hAnsi="Verdana"/>
          <w:sz w:val="20"/>
          <w:szCs w:val="20"/>
          <w:lang w:val="es-CR"/>
        </w:rPr>
        <w:t>dispositivo</w:t>
      </w:r>
      <w:r w:rsidR="00025E02" w:rsidRPr="007E562F">
        <w:rPr>
          <w:rFonts w:ascii="Verdana" w:hAnsi="Verdana"/>
          <w:sz w:val="20"/>
          <w:szCs w:val="20"/>
          <w:lang w:val="es-CR"/>
        </w:rPr>
        <w:t xml:space="preserve"> </w:t>
      </w:r>
      <w:r w:rsidRPr="007E562F">
        <w:rPr>
          <w:rFonts w:ascii="Verdana" w:hAnsi="Verdana"/>
          <w:sz w:val="20"/>
          <w:szCs w:val="20"/>
          <w:lang w:val="es-CR"/>
        </w:rPr>
        <w:t xml:space="preserve">vigésimo y en </w:t>
      </w:r>
      <w:r w:rsidR="003F7D37">
        <w:rPr>
          <w:rFonts w:ascii="Verdana" w:hAnsi="Verdana"/>
          <w:sz w:val="20"/>
          <w:szCs w:val="20"/>
          <w:lang w:val="es-CR"/>
        </w:rPr>
        <w:t>el párrafo</w:t>
      </w:r>
      <w:r w:rsidRPr="007E562F">
        <w:rPr>
          <w:rFonts w:ascii="Verdana" w:hAnsi="Verdana"/>
          <w:sz w:val="20"/>
          <w:szCs w:val="20"/>
          <w:lang w:val="es-CR"/>
        </w:rPr>
        <w:t xml:space="preserve"> 436 de la Sentencia, </w:t>
      </w:r>
      <w:r w:rsidR="00025E02">
        <w:rPr>
          <w:rFonts w:ascii="Verdana" w:hAnsi="Verdana"/>
          <w:sz w:val="20"/>
          <w:szCs w:val="20"/>
          <w:lang w:val="es-CR"/>
        </w:rPr>
        <w:t>se</w:t>
      </w:r>
      <w:r w:rsidRPr="007E562F">
        <w:rPr>
          <w:rFonts w:ascii="Verdana" w:hAnsi="Verdana"/>
          <w:sz w:val="20"/>
          <w:szCs w:val="20"/>
          <w:lang w:val="es-CR"/>
        </w:rPr>
        <w:t xml:space="preserve"> dispuso que “el Estado debe regular con claridad y seguridad la medida procesal de protección de testigos relativa a la reserva de identidad, asegurando que se trate de una medida excepcional, sujeta a control judicial en base a los principios de necesidad y proporcionalidad, y que ese medio de prueba no sea utilizado en grado decisivo para fundar una condena, así como regular las correspondientes medidas de contrapeso que asegur</w:t>
      </w:r>
      <w:r w:rsidR="008C4B67">
        <w:rPr>
          <w:rFonts w:ascii="Verdana" w:hAnsi="Verdana"/>
          <w:sz w:val="20"/>
          <w:szCs w:val="20"/>
          <w:lang w:val="es-CR"/>
        </w:rPr>
        <w:t>en</w:t>
      </w:r>
      <w:r w:rsidRPr="007E562F">
        <w:rPr>
          <w:rFonts w:ascii="Verdana" w:hAnsi="Verdana"/>
          <w:sz w:val="20"/>
          <w:szCs w:val="20"/>
          <w:lang w:val="es-CR"/>
        </w:rPr>
        <w:t xml:space="preserve"> que la afectación al derecho de defensa sea suficientemente contrarrestada</w:t>
      </w:r>
      <w:r w:rsidR="007557F1">
        <w:rPr>
          <w:rFonts w:ascii="Verdana" w:hAnsi="Verdana"/>
          <w:sz w:val="20"/>
          <w:szCs w:val="20"/>
          <w:lang w:val="es-CR"/>
        </w:rPr>
        <w:t xml:space="preserve">, de acuerdo con lo establecido en la </w:t>
      </w:r>
      <w:r w:rsidR="00025E02">
        <w:rPr>
          <w:rFonts w:ascii="Verdana" w:hAnsi="Verdana"/>
          <w:sz w:val="20"/>
          <w:szCs w:val="20"/>
          <w:lang w:val="es-CR"/>
        </w:rPr>
        <w:t xml:space="preserve">[…] </w:t>
      </w:r>
      <w:r w:rsidR="007557F1">
        <w:rPr>
          <w:rFonts w:ascii="Verdana" w:hAnsi="Verdana"/>
          <w:sz w:val="20"/>
          <w:szCs w:val="20"/>
          <w:lang w:val="es-CR"/>
        </w:rPr>
        <w:t>Sentencia</w:t>
      </w:r>
      <w:r w:rsidRPr="007E562F">
        <w:rPr>
          <w:rFonts w:ascii="Verdana" w:hAnsi="Verdana"/>
          <w:sz w:val="20"/>
          <w:szCs w:val="20"/>
          <w:lang w:val="es-CR"/>
        </w:rPr>
        <w:t>”</w:t>
      </w:r>
      <w:r w:rsidR="005966A2">
        <w:rPr>
          <w:rFonts w:ascii="Verdana" w:hAnsi="Verdana"/>
          <w:sz w:val="20"/>
          <w:szCs w:val="20"/>
          <w:lang w:val="es-CR"/>
        </w:rPr>
        <w:t xml:space="preserve">. En los </w:t>
      </w:r>
      <w:r w:rsidR="007557F1">
        <w:rPr>
          <w:rFonts w:ascii="Verdana" w:hAnsi="Verdana"/>
          <w:sz w:val="20"/>
          <w:szCs w:val="20"/>
          <w:lang w:val="es-CR"/>
        </w:rPr>
        <w:t>p</w:t>
      </w:r>
      <w:r w:rsidR="005C32D6">
        <w:rPr>
          <w:rFonts w:ascii="Verdana" w:hAnsi="Verdana"/>
          <w:sz w:val="20"/>
          <w:szCs w:val="20"/>
          <w:lang w:val="es-CR"/>
        </w:rPr>
        <w:t>árrafos 242 a 247 del Fallo</w:t>
      </w:r>
      <w:r w:rsidR="00560AE8">
        <w:rPr>
          <w:rFonts w:ascii="Verdana" w:hAnsi="Verdana"/>
          <w:sz w:val="20"/>
          <w:szCs w:val="20"/>
          <w:lang w:val="es-CR"/>
        </w:rPr>
        <w:t xml:space="preserve"> </w:t>
      </w:r>
      <w:r w:rsidR="005966A2">
        <w:rPr>
          <w:rFonts w:ascii="Verdana" w:hAnsi="Verdana"/>
          <w:sz w:val="20"/>
          <w:szCs w:val="20"/>
          <w:lang w:val="es-CR"/>
        </w:rPr>
        <w:t>se</w:t>
      </w:r>
      <w:r w:rsidR="00560AE8">
        <w:rPr>
          <w:rFonts w:ascii="Verdana" w:hAnsi="Verdana"/>
          <w:sz w:val="20"/>
          <w:szCs w:val="20"/>
          <w:lang w:val="es-CR"/>
        </w:rPr>
        <w:t xml:space="preserve"> establecen</w:t>
      </w:r>
      <w:r w:rsidR="00FF57B2">
        <w:rPr>
          <w:rFonts w:ascii="Verdana" w:hAnsi="Verdana"/>
          <w:sz w:val="20"/>
          <w:szCs w:val="20"/>
          <w:lang w:val="es-CR"/>
        </w:rPr>
        <w:t xml:space="preserve"> los criterios o estándares para </w:t>
      </w:r>
      <w:r w:rsidR="00FF57B2">
        <w:rPr>
          <w:rFonts w:ascii="Verdana" w:hAnsi="Verdana"/>
          <w:sz w:val="20"/>
          <w:szCs w:val="20"/>
          <w:lang w:val="es-CR"/>
        </w:rPr>
        <w:lastRenderedPageBreak/>
        <w:t>la protección del</w:t>
      </w:r>
      <w:r w:rsidR="00A51C48">
        <w:rPr>
          <w:rFonts w:ascii="Verdana" w:hAnsi="Verdana"/>
          <w:sz w:val="20"/>
          <w:szCs w:val="20"/>
          <w:lang w:val="es-CR"/>
        </w:rPr>
        <w:t xml:space="preserve"> derecho de defensa a interrogar testigos, previsto en el artículo 8.2.f</w:t>
      </w:r>
      <w:r w:rsidR="008C4B67">
        <w:rPr>
          <w:rFonts w:ascii="Verdana" w:hAnsi="Verdana"/>
          <w:sz w:val="20"/>
          <w:szCs w:val="20"/>
          <w:lang w:val="es-CR"/>
        </w:rPr>
        <w:t>)</w:t>
      </w:r>
      <w:r w:rsidR="00A51C48">
        <w:rPr>
          <w:rFonts w:ascii="Verdana" w:hAnsi="Verdana"/>
          <w:sz w:val="20"/>
          <w:szCs w:val="20"/>
          <w:lang w:val="es-CR"/>
        </w:rPr>
        <w:t xml:space="preserve"> de la Convenci</w:t>
      </w:r>
      <w:r w:rsidR="00FF57B2">
        <w:rPr>
          <w:rFonts w:ascii="Verdana" w:hAnsi="Verdana"/>
          <w:sz w:val="20"/>
          <w:szCs w:val="20"/>
          <w:lang w:val="es-CR"/>
        </w:rPr>
        <w:t>ón Americana</w:t>
      </w:r>
      <w:r w:rsidR="00560AE8">
        <w:rPr>
          <w:rStyle w:val="Refdenotaalpie"/>
          <w:rFonts w:ascii="Verdana" w:hAnsi="Verdana"/>
          <w:sz w:val="20"/>
          <w:szCs w:val="20"/>
          <w:lang w:val="es-CR"/>
        </w:rPr>
        <w:footnoteReference w:id="74"/>
      </w:r>
      <w:r w:rsidR="00A51C48">
        <w:rPr>
          <w:rFonts w:ascii="Verdana" w:hAnsi="Verdana"/>
          <w:sz w:val="20"/>
          <w:szCs w:val="20"/>
          <w:lang w:val="es-CR"/>
        </w:rPr>
        <w:t>.</w:t>
      </w:r>
      <w:r w:rsidRPr="007E562F">
        <w:rPr>
          <w:rFonts w:ascii="Verdana" w:hAnsi="Verdana"/>
          <w:sz w:val="20"/>
          <w:szCs w:val="20"/>
          <w:lang w:val="es-CR"/>
        </w:rPr>
        <w:t xml:space="preserve"> </w:t>
      </w:r>
    </w:p>
    <w:p w:rsidR="00B45B46" w:rsidRPr="007E562F" w:rsidRDefault="00B45B46" w:rsidP="00807889">
      <w:pPr>
        <w:pStyle w:val="Listavistosa-nfasis1"/>
        <w:tabs>
          <w:tab w:val="left" w:pos="709"/>
        </w:tabs>
        <w:spacing w:before="120" w:after="120" w:line="240" w:lineRule="auto"/>
        <w:ind w:left="0" w:right="9"/>
        <w:jc w:val="both"/>
        <w:rPr>
          <w:rFonts w:ascii="Verdana" w:hAnsi="Verdana"/>
          <w:sz w:val="20"/>
          <w:szCs w:val="20"/>
          <w:lang w:val="es-CR"/>
        </w:rPr>
      </w:pPr>
    </w:p>
    <w:p w:rsidR="000D2619" w:rsidRPr="00B45B46" w:rsidRDefault="007E562F" w:rsidP="00807889">
      <w:pPr>
        <w:spacing w:before="120" w:after="120" w:line="240" w:lineRule="auto"/>
        <w:ind w:left="567" w:right="9"/>
        <w:jc w:val="both"/>
        <w:outlineLvl w:val="0"/>
        <w:rPr>
          <w:rFonts w:ascii="Verdana" w:hAnsi="Verdana"/>
          <w:i/>
          <w:sz w:val="20"/>
          <w:szCs w:val="20"/>
          <w:lang w:val="es-CR"/>
        </w:rPr>
      </w:pPr>
      <w:bookmarkStart w:id="24" w:name="_Toc486848481"/>
      <w:bookmarkStart w:id="25" w:name="_Toc507514087"/>
      <w:bookmarkStart w:id="26" w:name="_Toc507514931"/>
      <w:bookmarkStart w:id="27" w:name="_Toc523309974"/>
      <w:r w:rsidRPr="00B45B46">
        <w:rPr>
          <w:rFonts w:ascii="Verdana" w:hAnsi="Verdana"/>
          <w:i/>
          <w:sz w:val="20"/>
          <w:szCs w:val="20"/>
          <w:lang w:val="es-CR"/>
        </w:rPr>
        <w:t>E.2</w:t>
      </w:r>
      <w:r w:rsidR="003F7D37" w:rsidRPr="00B45B46">
        <w:rPr>
          <w:rFonts w:ascii="Verdana" w:hAnsi="Verdana"/>
          <w:i/>
          <w:sz w:val="20"/>
          <w:szCs w:val="20"/>
          <w:lang w:val="es-CR"/>
        </w:rPr>
        <w:t>.</w:t>
      </w:r>
      <w:r w:rsidRPr="00B45B46">
        <w:rPr>
          <w:rFonts w:ascii="Verdana" w:hAnsi="Verdana"/>
          <w:i/>
          <w:sz w:val="20"/>
          <w:szCs w:val="20"/>
          <w:lang w:val="es-CR"/>
        </w:rPr>
        <w:t xml:space="preserve"> </w:t>
      </w:r>
      <w:bookmarkEnd w:id="24"/>
      <w:bookmarkEnd w:id="25"/>
      <w:bookmarkEnd w:id="26"/>
      <w:bookmarkEnd w:id="27"/>
      <w:r w:rsidR="00B45B46" w:rsidRPr="00B45B46">
        <w:rPr>
          <w:rFonts w:ascii="Verdana" w:hAnsi="Verdana"/>
          <w:i/>
          <w:sz w:val="20"/>
          <w:szCs w:val="20"/>
          <w:lang w:val="es-CR"/>
        </w:rPr>
        <w:t>Información y observaciones de las partes y de la Comisión</w:t>
      </w:r>
    </w:p>
    <w:p w:rsidR="007C084B" w:rsidRDefault="005C32D6" w:rsidP="00857630">
      <w:pPr>
        <w:pStyle w:val="Cuerpodeltexto110"/>
        <w:numPr>
          <w:ilvl w:val="0"/>
          <w:numId w:val="28"/>
        </w:numPr>
        <w:shd w:val="clear" w:color="auto" w:fill="auto"/>
        <w:spacing w:before="120" w:after="120" w:line="240" w:lineRule="auto"/>
        <w:ind w:left="0" w:right="20" w:firstLine="0"/>
        <w:rPr>
          <w:rFonts w:ascii="Verdana" w:hAnsi="Verdana"/>
          <w:sz w:val="20"/>
          <w:szCs w:val="20"/>
        </w:rPr>
      </w:pPr>
      <w:r w:rsidRPr="005D783D">
        <w:rPr>
          <w:rFonts w:ascii="Verdana" w:hAnsi="Verdana"/>
          <w:sz w:val="20"/>
          <w:szCs w:val="20"/>
        </w:rPr>
        <w:t xml:space="preserve">El </w:t>
      </w:r>
      <w:r w:rsidRPr="005D783D">
        <w:rPr>
          <w:rFonts w:ascii="Verdana" w:hAnsi="Verdana"/>
          <w:i/>
          <w:sz w:val="20"/>
          <w:szCs w:val="20"/>
        </w:rPr>
        <w:t>Estado</w:t>
      </w:r>
      <w:r w:rsidRPr="005D783D">
        <w:rPr>
          <w:rFonts w:ascii="Verdana" w:hAnsi="Verdana"/>
          <w:sz w:val="20"/>
          <w:szCs w:val="20"/>
        </w:rPr>
        <w:t xml:space="preserve"> </w:t>
      </w:r>
      <w:r w:rsidR="00B310CC">
        <w:rPr>
          <w:rFonts w:ascii="Verdana" w:hAnsi="Verdana"/>
          <w:sz w:val="20"/>
          <w:szCs w:val="20"/>
        </w:rPr>
        <w:t>hizo referencia en sus informes de julio de 2015 y octubre de 2016</w:t>
      </w:r>
      <w:r w:rsidR="005A5A48" w:rsidRPr="005D783D">
        <w:rPr>
          <w:rFonts w:ascii="Verdana" w:hAnsi="Verdana"/>
          <w:sz w:val="20"/>
          <w:szCs w:val="20"/>
        </w:rPr>
        <w:t xml:space="preserve"> </w:t>
      </w:r>
      <w:r w:rsidR="00B310CC">
        <w:rPr>
          <w:rFonts w:ascii="Verdana" w:hAnsi="Verdana"/>
          <w:sz w:val="20"/>
          <w:szCs w:val="20"/>
        </w:rPr>
        <w:t>a</w:t>
      </w:r>
      <w:r w:rsidR="005D783D">
        <w:rPr>
          <w:rFonts w:ascii="Verdana" w:hAnsi="Verdana"/>
          <w:sz w:val="20"/>
          <w:szCs w:val="20"/>
        </w:rPr>
        <w:t xml:space="preserve"> la presentación de dos proyectos de ley </w:t>
      </w:r>
      <w:r w:rsidR="00987D17">
        <w:rPr>
          <w:rFonts w:ascii="Verdana" w:hAnsi="Verdana"/>
          <w:sz w:val="20"/>
          <w:szCs w:val="20"/>
        </w:rPr>
        <w:t xml:space="preserve">en el 2014 </w:t>
      </w:r>
      <w:r w:rsidR="005D783D">
        <w:rPr>
          <w:rFonts w:ascii="Verdana" w:hAnsi="Verdana"/>
          <w:sz w:val="20"/>
          <w:szCs w:val="20"/>
        </w:rPr>
        <w:t>y aportó copia de los mismos</w:t>
      </w:r>
      <w:r w:rsidR="00B8306D">
        <w:rPr>
          <w:rStyle w:val="Refdenotaalpie"/>
          <w:rFonts w:ascii="Verdana" w:hAnsi="Verdana"/>
          <w:sz w:val="20"/>
          <w:szCs w:val="20"/>
        </w:rPr>
        <w:footnoteReference w:id="75"/>
      </w:r>
      <w:r w:rsidR="00B0015E">
        <w:rPr>
          <w:rFonts w:ascii="Verdana" w:hAnsi="Verdana"/>
          <w:sz w:val="20"/>
          <w:szCs w:val="20"/>
        </w:rPr>
        <w:t xml:space="preserve">. </w:t>
      </w:r>
      <w:r w:rsidR="00B310CC">
        <w:rPr>
          <w:rFonts w:ascii="Verdana" w:hAnsi="Verdana"/>
          <w:sz w:val="20"/>
          <w:szCs w:val="20"/>
        </w:rPr>
        <w:t>Explicó que s</w:t>
      </w:r>
      <w:r w:rsidR="00B0015E">
        <w:rPr>
          <w:rFonts w:ascii="Verdana" w:hAnsi="Verdana"/>
          <w:sz w:val="20"/>
          <w:szCs w:val="20"/>
        </w:rPr>
        <w:t>e trata de</w:t>
      </w:r>
      <w:r w:rsidR="0034599A">
        <w:rPr>
          <w:rFonts w:ascii="Verdana" w:hAnsi="Verdana"/>
          <w:sz w:val="20"/>
          <w:szCs w:val="20"/>
        </w:rPr>
        <w:t>l</w:t>
      </w:r>
      <w:r w:rsidR="00B0015E" w:rsidRPr="00901048">
        <w:rPr>
          <w:rFonts w:ascii="Verdana" w:hAnsi="Verdana"/>
          <w:sz w:val="20"/>
          <w:szCs w:val="20"/>
        </w:rPr>
        <w:t xml:space="preserve">: </w:t>
      </w:r>
      <w:r w:rsidR="00B0015E" w:rsidRPr="009E439D">
        <w:rPr>
          <w:rFonts w:ascii="Verdana" w:hAnsi="Verdana"/>
          <w:sz w:val="20"/>
          <w:szCs w:val="20"/>
        </w:rPr>
        <w:t>i) “Boletín N°</w:t>
      </w:r>
      <w:r w:rsidR="00987D17">
        <w:rPr>
          <w:rFonts w:ascii="Verdana" w:hAnsi="Verdana"/>
          <w:sz w:val="20"/>
          <w:szCs w:val="20"/>
        </w:rPr>
        <w:t xml:space="preserve"> </w:t>
      </w:r>
      <w:r w:rsidR="00B0015E" w:rsidRPr="009E439D">
        <w:rPr>
          <w:rFonts w:ascii="Verdana" w:hAnsi="Verdana"/>
          <w:sz w:val="20"/>
          <w:szCs w:val="20"/>
        </w:rPr>
        <w:t>9669-07”,</w:t>
      </w:r>
      <w:r w:rsidR="00B0015E" w:rsidRPr="00903DE2">
        <w:rPr>
          <w:rFonts w:ascii="Verdana" w:hAnsi="Verdana"/>
          <w:sz w:val="20"/>
          <w:szCs w:val="20"/>
        </w:rPr>
        <w:t xml:space="preserve"> </w:t>
      </w:r>
      <w:r w:rsidR="00B0015E">
        <w:rPr>
          <w:rFonts w:ascii="Verdana" w:hAnsi="Verdana"/>
          <w:sz w:val="20"/>
          <w:szCs w:val="20"/>
        </w:rPr>
        <w:t xml:space="preserve">presentado </w:t>
      </w:r>
      <w:r w:rsidR="00B310CC" w:rsidRPr="00B0015E">
        <w:rPr>
          <w:rFonts w:ascii="Verdana" w:hAnsi="Verdana"/>
          <w:sz w:val="20"/>
          <w:szCs w:val="20"/>
        </w:rPr>
        <w:t>“por moción parlamentaria</w:t>
      </w:r>
      <w:r w:rsidR="00B310CC">
        <w:rPr>
          <w:rFonts w:ascii="Verdana" w:hAnsi="Verdana"/>
          <w:sz w:val="20"/>
          <w:szCs w:val="20"/>
        </w:rPr>
        <w:t xml:space="preserve">” </w:t>
      </w:r>
      <w:r w:rsidR="00B0015E">
        <w:rPr>
          <w:rFonts w:ascii="Verdana" w:hAnsi="Verdana"/>
          <w:sz w:val="20"/>
          <w:szCs w:val="20"/>
        </w:rPr>
        <w:t>en octubre de 2014, el cual propone</w:t>
      </w:r>
      <w:r w:rsidR="005A5A48" w:rsidRPr="00B0015E">
        <w:rPr>
          <w:rFonts w:ascii="Verdana" w:hAnsi="Verdana"/>
          <w:sz w:val="20"/>
          <w:szCs w:val="20"/>
        </w:rPr>
        <w:t xml:space="preserve"> </w:t>
      </w:r>
      <w:r w:rsidR="00B0015E">
        <w:rPr>
          <w:rFonts w:ascii="Verdana" w:hAnsi="Verdana"/>
          <w:sz w:val="20"/>
          <w:szCs w:val="20"/>
        </w:rPr>
        <w:t>“</w:t>
      </w:r>
      <w:r w:rsidR="005A5A48" w:rsidRPr="00B0015E">
        <w:rPr>
          <w:rFonts w:ascii="Verdana" w:hAnsi="Verdana"/>
          <w:sz w:val="20"/>
          <w:szCs w:val="20"/>
        </w:rPr>
        <w:t>sustitu</w:t>
      </w:r>
      <w:r w:rsidR="00B0015E">
        <w:rPr>
          <w:rFonts w:ascii="Verdana" w:hAnsi="Verdana"/>
          <w:sz w:val="20"/>
          <w:szCs w:val="20"/>
        </w:rPr>
        <w:t>[ir]</w:t>
      </w:r>
      <w:r w:rsidR="005A5A48" w:rsidRPr="00B0015E">
        <w:rPr>
          <w:rFonts w:ascii="Verdana" w:hAnsi="Verdana"/>
          <w:sz w:val="20"/>
          <w:szCs w:val="20"/>
        </w:rPr>
        <w:t xml:space="preserve"> el texto de la Ley N° 18.314, que determina las conductas terroristas y fija su penalidad”</w:t>
      </w:r>
      <w:r w:rsidR="00C9229D">
        <w:rPr>
          <w:rStyle w:val="Refdenotaalpie"/>
          <w:rFonts w:ascii="Verdana" w:hAnsi="Verdana"/>
          <w:sz w:val="20"/>
          <w:szCs w:val="20"/>
        </w:rPr>
        <w:footnoteReference w:id="76"/>
      </w:r>
      <w:r w:rsidR="005A5A48" w:rsidRPr="00B0015E">
        <w:rPr>
          <w:rFonts w:ascii="Verdana" w:hAnsi="Verdana"/>
          <w:sz w:val="20"/>
          <w:szCs w:val="20"/>
        </w:rPr>
        <w:t xml:space="preserve">, </w:t>
      </w:r>
      <w:r w:rsidR="00B0015E">
        <w:rPr>
          <w:rFonts w:ascii="Verdana" w:hAnsi="Verdana"/>
          <w:sz w:val="20"/>
          <w:szCs w:val="20"/>
        </w:rPr>
        <w:t>y que</w:t>
      </w:r>
      <w:r w:rsidR="001C24F3">
        <w:rPr>
          <w:rFonts w:ascii="Verdana" w:hAnsi="Verdana"/>
          <w:sz w:val="20"/>
          <w:szCs w:val="20"/>
        </w:rPr>
        <w:t>,</w:t>
      </w:r>
      <w:r w:rsidR="00D97626" w:rsidRPr="00B0015E">
        <w:rPr>
          <w:rFonts w:ascii="Verdana" w:hAnsi="Verdana"/>
          <w:sz w:val="20"/>
          <w:szCs w:val="20"/>
        </w:rPr>
        <w:t xml:space="preserve"> entre otros aspectos, “propone un capítulo que regula y amplía las actuaciones del Ministerio Público en la investigación de es</w:t>
      </w:r>
      <w:r w:rsidR="00987D17">
        <w:rPr>
          <w:rFonts w:ascii="Verdana" w:hAnsi="Verdana"/>
          <w:sz w:val="20"/>
          <w:szCs w:val="20"/>
        </w:rPr>
        <w:t>t</w:t>
      </w:r>
      <w:r w:rsidR="00D97626" w:rsidRPr="00B0015E">
        <w:rPr>
          <w:rFonts w:ascii="Verdana" w:hAnsi="Verdana"/>
          <w:sz w:val="20"/>
          <w:szCs w:val="20"/>
        </w:rPr>
        <w:t>os delitos, manteniendo siempre un adecuado control judicial para aquellas medidas que puedan afectar derechos o libertades de las personas”</w:t>
      </w:r>
      <w:r w:rsidR="005D783D" w:rsidRPr="00B0015E">
        <w:rPr>
          <w:rFonts w:ascii="Verdana" w:hAnsi="Verdana"/>
          <w:sz w:val="20"/>
          <w:szCs w:val="20"/>
        </w:rPr>
        <w:t>, “autoriz[ando] para tomar medidas en caso de existir peligro para agentes o testigos”</w:t>
      </w:r>
      <w:r w:rsidR="0034599A">
        <w:rPr>
          <w:rFonts w:ascii="Verdana" w:hAnsi="Verdana"/>
          <w:sz w:val="20"/>
          <w:szCs w:val="20"/>
        </w:rPr>
        <w:t xml:space="preserve">, </w:t>
      </w:r>
      <w:r w:rsidR="0034599A" w:rsidRPr="00901048">
        <w:rPr>
          <w:rFonts w:ascii="Verdana" w:hAnsi="Verdana"/>
          <w:sz w:val="20"/>
          <w:szCs w:val="20"/>
        </w:rPr>
        <w:t xml:space="preserve">y </w:t>
      </w:r>
      <w:r w:rsidR="00B0015E" w:rsidRPr="009E439D">
        <w:rPr>
          <w:rFonts w:ascii="Verdana" w:hAnsi="Verdana"/>
          <w:sz w:val="20"/>
          <w:szCs w:val="20"/>
        </w:rPr>
        <w:t>ii)</w:t>
      </w:r>
      <w:r w:rsidR="00B0015E" w:rsidRPr="00901048">
        <w:rPr>
          <w:rFonts w:ascii="Verdana" w:hAnsi="Verdana"/>
          <w:sz w:val="20"/>
          <w:szCs w:val="20"/>
        </w:rPr>
        <w:t xml:space="preserve"> </w:t>
      </w:r>
      <w:r w:rsidR="0034599A" w:rsidRPr="00901048">
        <w:rPr>
          <w:rFonts w:ascii="Verdana" w:hAnsi="Verdana"/>
          <w:sz w:val="20"/>
          <w:szCs w:val="20"/>
        </w:rPr>
        <w:t>d</w:t>
      </w:r>
      <w:r w:rsidR="00C9229D" w:rsidRPr="00901048">
        <w:rPr>
          <w:rFonts w:ascii="Verdana" w:hAnsi="Verdana"/>
          <w:sz w:val="20"/>
          <w:szCs w:val="20"/>
        </w:rPr>
        <w:t xml:space="preserve">el </w:t>
      </w:r>
      <w:r w:rsidR="00B0015E" w:rsidRPr="009E439D">
        <w:rPr>
          <w:rFonts w:ascii="Verdana" w:hAnsi="Verdana"/>
          <w:sz w:val="20"/>
          <w:szCs w:val="20"/>
        </w:rPr>
        <w:t>“Boletín N°</w:t>
      </w:r>
      <w:r w:rsidR="00987D17">
        <w:rPr>
          <w:rFonts w:ascii="Verdana" w:hAnsi="Verdana"/>
          <w:sz w:val="20"/>
          <w:szCs w:val="20"/>
        </w:rPr>
        <w:t xml:space="preserve"> </w:t>
      </w:r>
      <w:r w:rsidR="00B0015E" w:rsidRPr="009E439D">
        <w:rPr>
          <w:rFonts w:ascii="Verdana" w:hAnsi="Verdana"/>
          <w:sz w:val="20"/>
          <w:szCs w:val="20"/>
        </w:rPr>
        <w:t>9692-07</w:t>
      </w:r>
      <w:r w:rsidR="00B0015E" w:rsidRPr="00901048">
        <w:rPr>
          <w:rFonts w:ascii="Verdana" w:hAnsi="Verdana"/>
          <w:sz w:val="20"/>
          <w:szCs w:val="20"/>
        </w:rPr>
        <w:t>”</w:t>
      </w:r>
      <w:r w:rsidR="00C9229D" w:rsidRPr="00901048">
        <w:rPr>
          <w:rFonts w:ascii="Verdana" w:hAnsi="Verdana"/>
          <w:sz w:val="20"/>
          <w:szCs w:val="20"/>
        </w:rPr>
        <w:t>,</w:t>
      </w:r>
      <w:r w:rsidR="00B0015E">
        <w:rPr>
          <w:rFonts w:ascii="Verdana" w:hAnsi="Verdana"/>
          <w:sz w:val="20"/>
          <w:szCs w:val="20"/>
        </w:rPr>
        <w:t xml:space="preserve"> </w:t>
      </w:r>
      <w:r w:rsidR="005D783D" w:rsidRPr="00B0015E">
        <w:rPr>
          <w:rFonts w:ascii="Verdana" w:hAnsi="Verdana"/>
          <w:sz w:val="20"/>
          <w:szCs w:val="20"/>
        </w:rPr>
        <w:t>present</w:t>
      </w:r>
      <w:r w:rsidR="00B0015E">
        <w:rPr>
          <w:rFonts w:ascii="Verdana" w:hAnsi="Verdana"/>
          <w:sz w:val="20"/>
          <w:szCs w:val="20"/>
        </w:rPr>
        <w:t>ado “</w:t>
      </w:r>
      <w:r w:rsidR="005D783D" w:rsidRPr="00B0015E">
        <w:rPr>
          <w:rFonts w:ascii="Verdana" w:hAnsi="Verdana"/>
          <w:sz w:val="20"/>
          <w:szCs w:val="20"/>
        </w:rPr>
        <w:t>por el Poder Ejecutivo</w:t>
      </w:r>
      <w:r w:rsidR="00B0015E">
        <w:rPr>
          <w:rFonts w:ascii="Verdana" w:hAnsi="Verdana"/>
          <w:sz w:val="20"/>
          <w:szCs w:val="20"/>
        </w:rPr>
        <w:t>”</w:t>
      </w:r>
      <w:r w:rsidR="00B310CC">
        <w:rPr>
          <w:rFonts w:ascii="Verdana" w:hAnsi="Verdana"/>
          <w:sz w:val="20"/>
          <w:szCs w:val="20"/>
        </w:rPr>
        <w:t xml:space="preserve"> en noviembre de 2014 al Congreso Nacional</w:t>
      </w:r>
      <w:r w:rsidR="00B0015E">
        <w:rPr>
          <w:rFonts w:ascii="Verdana" w:hAnsi="Verdana"/>
          <w:sz w:val="20"/>
          <w:szCs w:val="20"/>
        </w:rPr>
        <w:t>,</w:t>
      </w:r>
      <w:r w:rsidR="00B310CC">
        <w:rPr>
          <w:rFonts w:ascii="Verdana" w:hAnsi="Verdana"/>
          <w:sz w:val="20"/>
          <w:szCs w:val="20"/>
        </w:rPr>
        <w:t xml:space="preserve"> </w:t>
      </w:r>
      <w:r w:rsidR="00B0015E">
        <w:rPr>
          <w:rFonts w:ascii="Verdana" w:hAnsi="Verdana"/>
          <w:sz w:val="20"/>
          <w:szCs w:val="20"/>
        </w:rPr>
        <w:t>el cual propone</w:t>
      </w:r>
      <w:r w:rsidR="005D783D" w:rsidRPr="00B0015E">
        <w:rPr>
          <w:rFonts w:ascii="Verdana" w:hAnsi="Verdana"/>
          <w:sz w:val="20"/>
          <w:szCs w:val="20"/>
        </w:rPr>
        <w:t xml:space="preserve"> </w:t>
      </w:r>
      <w:r w:rsidR="00B0015E">
        <w:rPr>
          <w:rFonts w:ascii="Verdana" w:hAnsi="Verdana"/>
          <w:sz w:val="20"/>
          <w:szCs w:val="20"/>
        </w:rPr>
        <w:t>“</w:t>
      </w:r>
      <w:r w:rsidR="005D783D" w:rsidRPr="00B0015E">
        <w:rPr>
          <w:rFonts w:ascii="Verdana" w:hAnsi="Verdana"/>
          <w:sz w:val="20"/>
          <w:szCs w:val="20"/>
        </w:rPr>
        <w:t>modifica</w:t>
      </w:r>
      <w:r w:rsidR="00B0015E">
        <w:rPr>
          <w:rFonts w:ascii="Verdana" w:hAnsi="Verdana"/>
          <w:sz w:val="20"/>
          <w:szCs w:val="20"/>
        </w:rPr>
        <w:t>[r]</w:t>
      </w:r>
      <w:r w:rsidR="005D783D" w:rsidRPr="00B0015E">
        <w:rPr>
          <w:rFonts w:ascii="Verdana" w:hAnsi="Verdana"/>
          <w:sz w:val="20"/>
          <w:szCs w:val="20"/>
        </w:rPr>
        <w:t xml:space="preserve"> la [referida] Ley N°</w:t>
      </w:r>
      <w:r w:rsidR="00987D17">
        <w:rPr>
          <w:rFonts w:ascii="Verdana" w:hAnsi="Verdana"/>
          <w:sz w:val="20"/>
          <w:szCs w:val="20"/>
        </w:rPr>
        <w:t xml:space="preserve"> </w:t>
      </w:r>
      <w:r w:rsidR="005D783D" w:rsidRPr="00B0015E">
        <w:rPr>
          <w:rFonts w:ascii="Verdana" w:hAnsi="Verdana"/>
          <w:sz w:val="20"/>
          <w:szCs w:val="20"/>
        </w:rPr>
        <w:t>18.314, el Código Penal y el C</w:t>
      </w:r>
      <w:r w:rsidR="00B0015E" w:rsidRPr="00B0015E">
        <w:rPr>
          <w:rFonts w:ascii="Verdana" w:hAnsi="Verdana"/>
          <w:sz w:val="20"/>
          <w:szCs w:val="20"/>
        </w:rPr>
        <w:t>ódigo Procesal Penal”</w:t>
      </w:r>
      <w:r w:rsidR="00B0015E">
        <w:rPr>
          <w:rFonts w:ascii="Verdana" w:hAnsi="Verdana"/>
          <w:sz w:val="20"/>
          <w:szCs w:val="20"/>
        </w:rPr>
        <w:t>, y que</w:t>
      </w:r>
      <w:r w:rsidR="001C24F3">
        <w:rPr>
          <w:rFonts w:ascii="Verdana" w:hAnsi="Verdana"/>
          <w:sz w:val="20"/>
          <w:szCs w:val="20"/>
        </w:rPr>
        <w:t>,</w:t>
      </w:r>
      <w:r w:rsidR="00B0015E">
        <w:rPr>
          <w:rFonts w:ascii="Verdana" w:hAnsi="Verdana"/>
          <w:sz w:val="20"/>
          <w:szCs w:val="20"/>
        </w:rPr>
        <w:t xml:space="preserve"> entre otros aspectos</w:t>
      </w:r>
      <w:r w:rsidR="001C24F3">
        <w:rPr>
          <w:rFonts w:ascii="Verdana" w:hAnsi="Verdana"/>
          <w:sz w:val="20"/>
          <w:szCs w:val="20"/>
        </w:rPr>
        <w:t>, “establece la excepcionalidad de la medida de testigos protegidos”</w:t>
      </w:r>
      <w:r w:rsidR="00C9229D">
        <w:rPr>
          <w:rFonts w:ascii="Verdana" w:hAnsi="Verdana"/>
          <w:sz w:val="20"/>
          <w:szCs w:val="20"/>
        </w:rPr>
        <w:t xml:space="preserve"> para determinados supuestos únicamente durante la etapa de investigación penal</w:t>
      </w:r>
      <w:r w:rsidR="001C24F3">
        <w:rPr>
          <w:rStyle w:val="Refdenotaalpie"/>
          <w:rFonts w:ascii="Verdana" w:hAnsi="Verdana"/>
          <w:sz w:val="20"/>
          <w:szCs w:val="20"/>
        </w:rPr>
        <w:footnoteReference w:id="77"/>
      </w:r>
      <w:r w:rsidR="001C24F3">
        <w:rPr>
          <w:rFonts w:ascii="Verdana" w:hAnsi="Verdana"/>
          <w:sz w:val="20"/>
          <w:szCs w:val="20"/>
        </w:rPr>
        <w:t>. Chile indicó que este “Boletín N°</w:t>
      </w:r>
      <w:r w:rsidR="00987D17">
        <w:rPr>
          <w:rFonts w:ascii="Verdana" w:hAnsi="Verdana"/>
          <w:sz w:val="20"/>
          <w:szCs w:val="20"/>
        </w:rPr>
        <w:t xml:space="preserve"> </w:t>
      </w:r>
      <w:r w:rsidR="001C24F3">
        <w:rPr>
          <w:rFonts w:ascii="Verdana" w:hAnsi="Verdana"/>
          <w:sz w:val="20"/>
          <w:szCs w:val="20"/>
        </w:rPr>
        <w:t>9692-07” “luego fue refundido con el Boletín N°</w:t>
      </w:r>
      <w:r w:rsidR="00987D17">
        <w:rPr>
          <w:rFonts w:ascii="Verdana" w:hAnsi="Verdana"/>
          <w:sz w:val="20"/>
          <w:szCs w:val="20"/>
        </w:rPr>
        <w:t xml:space="preserve"> </w:t>
      </w:r>
      <w:r w:rsidR="001C24F3">
        <w:rPr>
          <w:rFonts w:ascii="Verdana" w:hAnsi="Verdana"/>
          <w:sz w:val="20"/>
          <w:szCs w:val="20"/>
        </w:rPr>
        <w:t>9669-07 mencionado precedentemente” y que “se encuentra en primer trámite constitucional</w:t>
      </w:r>
      <w:r w:rsidR="00B310CC">
        <w:rPr>
          <w:rFonts w:ascii="Verdana" w:hAnsi="Verdana"/>
          <w:sz w:val="20"/>
          <w:szCs w:val="20"/>
        </w:rPr>
        <w:t xml:space="preserve"> ante el Senado</w:t>
      </w:r>
      <w:r w:rsidR="001C24F3">
        <w:rPr>
          <w:rFonts w:ascii="Verdana" w:hAnsi="Verdana"/>
          <w:sz w:val="20"/>
          <w:szCs w:val="20"/>
        </w:rPr>
        <w:t>”</w:t>
      </w:r>
      <w:r w:rsidR="006C7763">
        <w:rPr>
          <w:rStyle w:val="Refdenotaalpie"/>
          <w:rFonts w:ascii="Verdana" w:hAnsi="Verdana"/>
          <w:sz w:val="20"/>
          <w:szCs w:val="20"/>
        </w:rPr>
        <w:footnoteReference w:id="78"/>
      </w:r>
      <w:r w:rsidR="001C24F3">
        <w:rPr>
          <w:rFonts w:ascii="Verdana" w:hAnsi="Verdana"/>
          <w:sz w:val="20"/>
          <w:szCs w:val="20"/>
        </w:rPr>
        <w:t>.</w:t>
      </w:r>
    </w:p>
    <w:p w:rsidR="00903DE2" w:rsidRDefault="00903DE2" w:rsidP="00903DE2">
      <w:pPr>
        <w:pStyle w:val="Cuerpodeltexto110"/>
        <w:shd w:val="clear" w:color="auto" w:fill="auto"/>
        <w:spacing w:before="120" w:after="120" w:line="240" w:lineRule="auto"/>
        <w:ind w:right="20"/>
        <w:rPr>
          <w:rFonts w:ascii="Verdana" w:hAnsi="Verdana"/>
          <w:sz w:val="20"/>
          <w:szCs w:val="20"/>
        </w:rPr>
      </w:pPr>
    </w:p>
    <w:p w:rsidR="009F0616" w:rsidRPr="0034599A" w:rsidRDefault="009F0616" w:rsidP="00857630">
      <w:pPr>
        <w:pStyle w:val="Cuerpodeltexto110"/>
        <w:numPr>
          <w:ilvl w:val="0"/>
          <w:numId w:val="28"/>
        </w:numPr>
        <w:shd w:val="clear" w:color="auto" w:fill="auto"/>
        <w:spacing w:before="120" w:after="120" w:line="240" w:lineRule="auto"/>
        <w:ind w:left="0" w:right="20" w:firstLine="0"/>
        <w:rPr>
          <w:rFonts w:ascii="Verdana" w:hAnsi="Verdana"/>
          <w:sz w:val="20"/>
          <w:szCs w:val="20"/>
        </w:rPr>
      </w:pPr>
      <w:r w:rsidRPr="003E6BFC">
        <w:rPr>
          <w:rFonts w:ascii="Verdana" w:hAnsi="Verdana"/>
          <w:i/>
          <w:sz w:val="20"/>
          <w:szCs w:val="20"/>
        </w:rPr>
        <w:t>CEJIL</w:t>
      </w:r>
      <w:r w:rsidRPr="003E6BFC">
        <w:rPr>
          <w:rFonts w:ascii="Verdana" w:hAnsi="Verdana"/>
          <w:sz w:val="20"/>
          <w:szCs w:val="20"/>
        </w:rPr>
        <w:t xml:space="preserve"> observó</w:t>
      </w:r>
      <w:r w:rsidRPr="00574A09">
        <w:rPr>
          <w:rFonts w:ascii="Verdana" w:hAnsi="Verdana"/>
          <w:sz w:val="20"/>
          <w:szCs w:val="20"/>
        </w:rPr>
        <w:t xml:space="preserve"> </w:t>
      </w:r>
      <w:r w:rsidR="00B01B39" w:rsidRPr="00574A09">
        <w:rPr>
          <w:rFonts w:ascii="Verdana" w:hAnsi="Verdana"/>
          <w:sz w:val="20"/>
          <w:szCs w:val="20"/>
        </w:rPr>
        <w:t>que</w:t>
      </w:r>
      <w:r w:rsidR="00901048">
        <w:rPr>
          <w:rFonts w:ascii="Verdana" w:hAnsi="Verdana"/>
          <w:sz w:val="20"/>
          <w:szCs w:val="20"/>
        </w:rPr>
        <w:t>,</w:t>
      </w:r>
      <w:r w:rsidR="00B01B39" w:rsidRPr="00574A09">
        <w:rPr>
          <w:rFonts w:ascii="Verdana" w:hAnsi="Verdana"/>
          <w:sz w:val="20"/>
          <w:szCs w:val="20"/>
        </w:rPr>
        <w:t xml:space="preserve"> “[d]e acuerdo con la información suministrada, el </w:t>
      </w:r>
      <w:r w:rsidR="0034599A">
        <w:rPr>
          <w:rFonts w:ascii="Verdana" w:hAnsi="Verdana"/>
          <w:sz w:val="20"/>
          <w:szCs w:val="20"/>
        </w:rPr>
        <w:t xml:space="preserve">[referido] </w:t>
      </w:r>
      <w:r w:rsidR="00B01B39" w:rsidRPr="00574A09">
        <w:rPr>
          <w:rFonts w:ascii="Verdana" w:hAnsi="Verdana"/>
          <w:sz w:val="20"/>
          <w:szCs w:val="20"/>
        </w:rPr>
        <w:t xml:space="preserve">proyecto [de ley] no tiene ningún carácter </w:t>
      </w:r>
      <w:r w:rsidR="003E6BFC">
        <w:rPr>
          <w:rFonts w:ascii="Verdana" w:hAnsi="Verdana"/>
          <w:sz w:val="20"/>
          <w:szCs w:val="20"/>
        </w:rPr>
        <w:t xml:space="preserve">de </w:t>
      </w:r>
      <w:r w:rsidR="00B01B39" w:rsidRPr="00574A09">
        <w:rPr>
          <w:rFonts w:ascii="Verdana" w:hAnsi="Verdana"/>
          <w:sz w:val="20"/>
          <w:szCs w:val="20"/>
        </w:rPr>
        <w:t xml:space="preserve">urgente, lo que significa que el trámite del mismo debe sortear la demora propia del </w:t>
      </w:r>
      <w:r w:rsidR="003E6BFC">
        <w:rPr>
          <w:rFonts w:ascii="Verdana" w:hAnsi="Verdana"/>
          <w:sz w:val="20"/>
          <w:szCs w:val="20"/>
        </w:rPr>
        <w:t>[</w:t>
      </w:r>
      <w:r w:rsidR="00B01B39" w:rsidRPr="00574A09">
        <w:rPr>
          <w:rFonts w:ascii="Verdana" w:hAnsi="Verdana"/>
          <w:sz w:val="20"/>
          <w:szCs w:val="20"/>
        </w:rPr>
        <w:t>trámite</w:t>
      </w:r>
      <w:r w:rsidR="003E6BFC">
        <w:rPr>
          <w:rFonts w:ascii="Verdana" w:hAnsi="Verdana"/>
          <w:sz w:val="20"/>
          <w:szCs w:val="20"/>
        </w:rPr>
        <w:t>]</w:t>
      </w:r>
      <w:r w:rsidR="00B01B39" w:rsidRPr="00574A09">
        <w:rPr>
          <w:rFonts w:ascii="Verdana" w:hAnsi="Verdana"/>
          <w:sz w:val="20"/>
          <w:szCs w:val="20"/>
        </w:rPr>
        <w:t xml:space="preserve"> legislativo”</w:t>
      </w:r>
      <w:r w:rsidR="00D7068B" w:rsidRPr="00574A09">
        <w:rPr>
          <w:rFonts w:ascii="Verdana" w:hAnsi="Verdana"/>
          <w:sz w:val="20"/>
          <w:szCs w:val="20"/>
        </w:rPr>
        <w:t>, y que al 2016 “ni si quiera se registra</w:t>
      </w:r>
      <w:r w:rsidR="0034599A">
        <w:rPr>
          <w:rFonts w:ascii="Verdana" w:hAnsi="Verdana"/>
          <w:sz w:val="20"/>
          <w:szCs w:val="20"/>
        </w:rPr>
        <w:t>[ban]</w:t>
      </w:r>
      <w:r w:rsidR="00D7068B" w:rsidRPr="00574A09">
        <w:rPr>
          <w:rFonts w:ascii="Verdana" w:hAnsi="Verdana"/>
          <w:sz w:val="20"/>
          <w:szCs w:val="20"/>
        </w:rPr>
        <w:t xml:space="preserve"> avances en los trámites parlamentarios</w:t>
      </w:r>
      <w:r w:rsidR="003E6BFC">
        <w:rPr>
          <w:rFonts w:ascii="Verdana" w:hAnsi="Verdana"/>
          <w:sz w:val="20"/>
          <w:szCs w:val="20"/>
        </w:rPr>
        <w:t>”</w:t>
      </w:r>
      <w:r w:rsidR="00D7068B" w:rsidRPr="00574A09">
        <w:rPr>
          <w:rFonts w:ascii="Verdana" w:hAnsi="Verdana"/>
          <w:sz w:val="20"/>
          <w:szCs w:val="20"/>
        </w:rPr>
        <w:t xml:space="preserve">. </w:t>
      </w:r>
      <w:r w:rsidR="00B707C8">
        <w:rPr>
          <w:rFonts w:ascii="Verdana" w:hAnsi="Verdana"/>
          <w:sz w:val="20"/>
          <w:szCs w:val="20"/>
        </w:rPr>
        <w:t>S</w:t>
      </w:r>
      <w:r w:rsidR="00A3724C">
        <w:rPr>
          <w:rFonts w:ascii="Verdana" w:hAnsi="Verdana"/>
          <w:sz w:val="20"/>
          <w:szCs w:val="20"/>
        </w:rPr>
        <w:t xml:space="preserve">ostuvo que Chile </w:t>
      </w:r>
      <w:r w:rsidR="00763F58" w:rsidRPr="00831353">
        <w:rPr>
          <w:rFonts w:ascii="Verdana" w:hAnsi="Verdana"/>
          <w:sz w:val="20"/>
          <w:szCs w:val="20"/>
        </w:rPr>
        <w:t xml:space="preserve">“no ha cumplido con tomar medidas urgentes para que hechos como los del presente caso dejen de repetirse”, </w:t>
      </w:r>
      <w:r w:rsidR="00763F58" w:rsidRPr="0034599A">
        <w:rPr>
          <w:rFonts w:ascii="Verdana" w:hAnsi="Verdana"/>
          <w:sz w:val="20"/>
          <w:szCs w:val="20"/>
        </w:rPr>
        <w:t>ya que “se sig[</w:t>
      </w:r>
      <w:r w:rsidR="00A959D1">
        <w:rPr>
          <w:rFonts w:ascii="Verdana" w:hAnsi="Verdana"/>
          <w:sz w:val="20"/>
          <w:szCs w:val="20"/>
        </w:rPr>
        <w:t>u</w:t>
      </w:r>
      <w:r w:rsidR="00763F58" w:rsidRPr="0034599A">
        <w:rPr>
          <w:rFonts w:ascii="Verdana" w:hAnsi="Verdana"/>
          <w:sz w:val="20"/>
          <w:szCs w:val="20"/>
        </w:rPr>
        <w:t>e] aplicando la misma normativa</w:t>
      </w:r>
      <w:r w:rsidR="003E6BFC">
        <w:rPr>
          <w:rFonts w:ascii="Verdana" w:hAnsi="Verdana"/>
          <w:sz w:val="20"/>
          <w:szCs w:val="20"/>
        </w:rPr>
        <w:t>”</w:t>
      </w:r>
      <w:r w:rsidR="00763F58" w:rsidRPr="0034599A">
        <w:rPr>
          <w:rFonts w:ascii="Verdana" w:hAnsi="Verdana"/>
          <w:sz w:val="20"/>
          <w:szCs w:val="20"/>
        </w:rPr>
        <w:t xml:space="preserve"> que violó </w:t>
      </w:r>
      <w:r w:rsidR="003E6BFC">
        <w:rPr>
          <w:rFonts w:ascii="Verdana" w:hAnsi="Verdana"/>
          <w:sz w:val="20"/>
          <w:szCs w:val="20"/>
        </w:rPr>
        <w:t>los</w:t>
      </w:r>
      <w:r w:rsidR="00763F58" w:rsidRPr="0034599A">
        <w:rPr>
          <w:rFonts w:ascii="Verdana" w:hAnsi="Verdana"/>
          <w:sz w:val="20"/>
          <w:szCs w:val="20"/>
        </w:rPr>
        <w:t xml:space="preserve"> derechos</w:t>
      </w:r>
      <w:r w:rsidR="003E6BFC">
        <w:rPr>
          <w:rFonts w:ascii="Verdana" w:hAnsi="Verdana"/>
          <w:sz w:val="20"/>
          <w:szCs w:val="20"/>
        </w:rPr>
        <w:t xml:space="preserve"> de las víctimas</w:t>
      </w:r>
      <w:r w:rsidR="00763F58" w:rsidRPr="0034599A">
        <w:rPr>
          <w:rFonts w:ascii="Verdana" w:hAnsi="Verdana"/>
          <w:sz w:val="20"/>
          <w:szCs w:val="20"/>
        </w:rPr>
        <w:t xml:space="preserve">. Expresó que </w:t>
      </w:r>
      <w:r w:rsidR="00A3724C">
        <w:rPr>
          <w:rFonts w:ascii="Verdana" w:hAnsi="Verdana"/>
          <w:sz w:val="20"/>
          <w:szCs w:val="20"/>
        </w:rPr>
        <w:t xml:space="preserve">ello </w:t>
      </w:r>
      <w:r w:rsidR="00763F58" w:rsidRPr="0034599A">
        <w:rPr>
          <w:rFonts w:ascii="Verdana" w:hAnsi="Verdana"/>
          <w:sz w:val="20"/>
          <w:szCs w:val="20"/>
        </w:rPr>
        <w:t>incluye “la falta de cumplimiento con lo ordenado específicamente por la Corte en su Sentencia respecto a la necesidad de regular […] la medida procesal de protección de testigos de identidad reservada”.</w:t>
      </w:r>
    </w:p>
    <w:p w:rsidR="00221F18" w:rsidRPr="00221F18" w:rsidRDefault="00221F18" w:rsidP="00857630">
      <w:pPr>
        <w:pStyle w:val="Cuerpodeltexto110"/>
        <w:numPr>
          <w:ilvl w:val="0"/>
          <w:numId w:val="28"/>
        </w:numPr>
        <w:shd w:val="clear" w:color="auto" w:fill="auto"/>
        <w:spacing w:before="120" w:after="120" w:line="240" w:lineRule="auto"/>
        <w:ind w:left="0" w:right="20" w:firstLine="0"/>
        <w:rPr>
          <w:rFonts w:ascii="Verdana" w:hAnsi="Verdana"/>
          <w:sz w:val="20"/>
          <w:szCs w:val="20"/>
        </w:rPr>
      </w:pPr>
      <w:r w:rsidRPr="00221F18">
        <w:rPr>
          <w:rFonts w:ascii="Verdana" w:hAnsi="Verdana"/>
          <w:sz w:val="20"/>
          <w:szCs w:val="20"/>
        </w:rPr>
        <w:t xml:space="preserve">La </w:t>
      </w:r>
      <w:r w:rsidRPr="00221F18">
        <w:rPr>
          <w:rFonts w:ascii="Verdana" w:hAnsi="Verdana"/>
          <w:i/>
          <w:sz w:val="20"/>
          <w:szCs w:val="20"/>
        </w:rPr>
        <w:t xml:space="preserve">FIDH </w:t>
      </w:r>
      <w:r w:rsidRPr="00221F18">
        <w:rPr>
          <w:rFonts w:ascii="Verdana" w:hAnsi="Verdana"/>
          <w:sz w:val="20"/>
          <w:szCs w:val="20"/>
        </w:rPr>
        <w:t>reconoció que el proyecto de ley que limita temporalmente la utilización de la medida de reserva de identidad de los testigos “constituye un avance” en ese aspecto,</w:t>
      </w:r>
      <w:r w:rsidR="0034599A">
        <w:rPr>
          <w:rFonts w:ascii="Verdana" w:hAnsi="Verdana"/>
          <w:sz w:val="20"/>
          <w:szCs w:val="20"/>
        </w:rPr>
        <w:t xml:space="preserve"> pero</w:t>
      </w:r>
      <w:r w:rsidRPr="00221F18">
        <w:rPr>
          <w:rFonts w:ascii="Verdana" w:hAnsi="Verdana"/>
          <w:sz w:val="20"/>
          <w:szCs w:val="20"/>
        </w:rPr>
        <w:t xml:space="preserve"> también formuló observaciones respecto a</w:t>
      </w:r>
      <w:r w:rsidR="0034599A">
        <w:rPr>
          <w:rFonts w:ascii="Verdana" w:hAnsi="Verdana"/>
          <w:sz w:val="20"/>
          <w:szCs w:val="20"/>
        </w:rPr>
        <w:t>:</w:t>
      </w:r>
      <w:r w:rsidRPr="00221F18">
        <w:rPr>
          <w:rFonts w:ascii="Verdana" w:hAnsi="Verdana"/>
          <w:sz w:val="20"/>
          <w:szCs w:val="20"/>
        </w:rPr>
        <w:t xml:space="preserve"> la ampliación de medidas complementarias de protección de testigos, tal como</w:t>
      </w:r>
      <w:r w:rsidR="003E6BFC">
        <w:rPr>
          <w:rFonts w:ascii="Verdana" w:hAnsi="Verdana"/>
          <w:sz w:val="20"/>
          <w:szCs w:val="20"/>
        </w:rPr>
        <w:t>:</w:t>
      </w:r>
      <w:r w:rsidRPr="00221F18">
        <w:rPr>
          <w:rFonts w:ascii="Verdana" w:hAnsi="Verdana"/>
          <w:sz w:val="20"/>
          <w:szCs w:val="20"/>
        </w:rPr>
        <w:t xml:space="preserve"> la “provisión </w:t>
      </w:r>
      <w:r w:rsidR="00224F1E">
        <w:rPr>
          <w:rFonts w:ascii="Verdana" w:hAnsi="Verdana"/>
          <w:sz w:val="20"/>
          <w:szCs w:val="20"/>
        </w:rPr>
        <w:t xml:space="preserve">de </w:t>
      </w:r>
      <w:r w:rsidRPr="00221F18">
        <w:rPr>
          <w:rFonts w:ascii="Verdana" w:hAnsi="Verdana"/>
          <w:sz w:val="20"/>
          <w:szCs w:val="20"/>
        </w:rPr>
        <w:t xml:space="preserve">recursos económicos” que “ha erosionado </w:t>
      </w:r>
      <w:r w:rsidRPr="00221F18">
        <w:rPr>
          <w:rFonts w:ascii="Verdana" w:hAnsi="Verdana"/>
          <w:sz w:val="20"/>
          <w:szCs w:val="20"/>
        </w:rPr>
        <w:lastRenderedPageBreak/>
        <w:t>la credibilidad de tales testigos”; la insuficiencia del control judicial</w:t>
      </w:r>
      <w:r w:rsidRPr="00221F18">
        <w:rPr>
          <w:rFonts w:ascii="Verdana" w:hAnsi="Verdana"/>
          <w:b/>
          <w:sz w:val="16"/>
          <w:szCs w:val="16"/>
        </w:rPr>
        <w:t xml:space="preserve"> </w:t>
      </w:r>
      <w:r w:rsidRPr="00221F18">
        <w:rPr>
          <w:rFonts w:ascii="Verdana" w:hAnsi="Verdana"/>
          <w:sz w:val="20"/>
          <w:szCs w:val="20"/>
        </w:rPr>
        <w:t>previsto en el proyecto,</w:t>
      </w:r>
      <w:r w:rsidRPr="00221F18">
        <w:rPr>
          <w:rFonts w:ascii="Verdana" w:hAnsi="Verdana"/>
          <w:b/>
          <w:sz w:val="16"/>
          <w:szCs w:val="16"/>
        </w:rPr>
        <w:t xml:space="preserve"> </w:t>
      </w:r>
      <w:r w:rsidR="003E6BFC">
        <w:rPr>
          <w:rFonts w:ascii="Verdana" w:hAnsi="Verdana"/>
          <w:sz w:val="20"/>
          <w:szCs w:val="20"/>
        </w:rPr>
        <w:t>y</w:t>
      </w:r>
      <w:r w:rsidRPr="00221F18">
        <w:rPr>
          <w:rFonts w:ascii="Verdana" w:hAnsi="Verdana"/>
          <w:sz w:val="20"/>
          <w:szCs w:val="20"/>
        </w:rPr>
        <w:t xml:space="preserve"> la imposibilidad de </w:t>
      </w:r>
      <w:r w:rsidR="003E6BFC">
        <w:rPr>
          <w:rFonts w:ascii="Verdana" w:hAnsi="Verdana"/>
          <w:sz w:val="20"/>
          <w:szCs w:val="20"/>
        </w:rPr>
        <w:t>“</w:t>
      </w:r>
      <w:r w:rsidRPr="00221F18">
        <w:rPr>
          <w:rFonts w:ascii="Verdana" w:hAnsi="Verdana"/>
          <w:sz w:val="20"/>
          <w:szCs w:val="20"/>
        </w:rPr>
        <w:t xml:space="preserve">la defensa de acreditar la falta de credibilidad, verosimilitud e idoneidad” del testigo de identidad reservada después de haberse cerrado por el </w:t>
      </w:r>
      <w:r w:rsidR="003E6BFC">
        <w:rPr>
          <w:rFonts w:ascii="Verdana" w:hAnsi="Verdana"/>
          <w:sz w:val="20"/>
          <w:szCs w:val="20"/>
        </w:rPr>
        <w:t>f</w:t>
      </w:r>
      <w:r w:rsidR="003E6BFC" w:rsidRPr="00221F18">
        <w:rPr>
          <w:rFonts w:ascii="Verdana" w:hAnsi="Verdana"/>
          <w:sz w:val="20"/>
          <w:szCs w:val="20"/>
        </w:rPr>
        <w:t xml:space="preserve">iscal </w:t>
      </w:r>
      <w:r w:rsidRPr="00221F18">
        <w:rPr>
          <w:rFonts w:ascii="Verdana" w:hAnsi="Verdana"/>
          <w:sz w:val="20"/>
          <w:szCs w:val="20"/>
        </w:rPr>
        <w:t>la etapa de investigación.</w:t>
      </w:r>
      <w:r w:rsidRPr="00221F18">
        <w:rPr>
          <w:rFonts w:ascii="Verdana" w:hAnsi="Verdana"/>
          <w:b/>
          <w:sz w:val="16"/>
          <w:szCs w:val="16"/>
        </w:rPr>
        <w:t xml:space="preserve"> </w:t>
      </w:r>
      <w:r w:rsidRPr="00221F18">
        <w:rPr>
          <w:rFonts w:ascii="Verdana" w:hAnsi="Verdana"/>
          <w:sz w:val="20"/>
          <w:szCs w:val="20"/>
        </w:rPr>
        <w:t xml:space="preserve">También expuso las razones por las cuales considera que “la institución de los testigos </w:t>
      </w:r>
      <w:r w:rsidR="003E6BFC">
        <w:rPr>
          <w:rFonts w:ascii="Verdana" w:hAnsi="Verdana"/>
          <w:sz w:val="20"/>
          <w:szCs w:val="20"/>
        </w:rPr>
        <w:t xml:space="preserve">con </w:t>
      </w:r>
      <w:r w:rsidRPr="00221F18">
        <w:rPr>
          <w:rFonts w:ascii="Verdana" w:hAnsi="Verdana"/>
          <w:sz w:val="20"/>
          <w:szCs w:val="20"/>
        </w:rPr>
        <w:t>reserva de identidad no debe circunscribirse únicamente a la etapa de investigación”.</w:t>
      </w:r>
      <w:r w:rsidRPr="00221F18">
        <w:rPr>
          <w:rFonts w:ascii="Verdana" w:hAnsi="Verdana"/>
          <w:b/>
          <w:sz w:val="16"/>
          <w:szCs w:val="16"/>
        </w:rPr>
        <w:t xml:space="preserve"> </w:t>
      </w:r>
    </w:p>
    <w:p w:rsidR="001C24F3" w:rsidRPr="00221F18" w:rsidRDefault="002A04DF" w:rsidP="00857630">
      <w:pPr>
        <w:pStyle w:val="Cuerpodeltexto110"/>
        <w:numPr>
          <w:ilvl w:val="0"/>
          <w:numId w:val="28"/>
        </w:numPr>
        <w:shd w:val="clear" w:color="auto" w:fill="auto"/>
        <w:spacing w:before="120" w:after="120" w:line="240" w:lineRule="auto"/>
        <w:ind w:left="0" w:right="20" w:firstLine="0"/>
        <w:rPr>
          <w:rFonts w:ascii="Verdana" w:hAnsi="Verdana"/>
          <w:sz w:val="20"/>
          <w:szCs w:val="20"/>
        </w:rPr>
      </w:pPr>
      <w:r w:rsidRPr="00221F18">
        <w:rPr>
          <w:rFonts w:ascii="Verdana" w:hAnsi="Verdana"/>
          <w:sz w:val="20"/>
          <w:szCs w:val="20"/>
        </w:rPr>
        <w:t xml:space="preserve">La representante </w:t>
      </w:r>
      <w:r w:rsidRPr="00221F18">
        <w:rPr>
          <w:rFonts w:ascii="Verdana" w:hAnsi="Verdana"/>
          <w:i/>
          <w:sz w:val="20"/>
          <w:szCs w:val="20"/>
        </w:rPr>
        <w:t>Myriam Reyes</w:t>
      </w:r>
      <w:r w:rsidR="00E80779" w:rsidRPr="00221F18">
        <w:rPr>
          <w:rFonts w:ascii="Verdana" w:hAnsi="Verdana"/>
          <w:sz w:val="20"/>
          <w:szCs w:val="20"/>
        </w:rPr>
        <w:t xml:space="preserve"> observó </w:t>
      </w:r>
      <w:r w:rsidR="002303F9">
        <w:rPr>
          <w:rFonts w:ascii="Verdana" w:hAnsi="Verdana"/>
          <w:sz w:val="20"/>
          <w:szCs w:val="20"/>
        </w:rPr>
        <w:t xml:space="preserve">que </w:t>
      </w:r>
      <w:r w:rsidR="00E80779" w:rsidRPr="00221F18">
        <w:rPr>
          <w:rFonts w:ascii="Verdana" w:hAnsi="Verdana"/>
          <w:sz w:val="20"/>
          <w:szCs w:val="20"/>
        </w:rPr>
        <w:t xml:space="preserve">la medida “[n]o se ha cumplido” ya que “no existe en la actualidad modificación legal alguna que regule esta institución, tanto en la ley 18.314, como en el Código Procesal Penal o cualquier otra legislación </w:t>
      </w:r>
      <w:r w:rsidR="004D2E5D">
        <w:rPr>
          <w:rFonts w:ascii="Verdana" w:hAnsi="Verdana"/>
          <w:sz w:val="20"/>
          <w:szCs w:val="20"/>
        </w:rPr>
        <w:t xml:space="preserve">especial </w:t>
      </w:r>
      <w:r w:rsidR="00E80779" w:rsidRPr="00221F18">
        <w:rPr>
          <w:rFonts w:ascii="Verdana" w:hAnsi="Verdana"/>
          <w:sz w:val="20"/>
          <w:szCs w:val="20"/>
        </w:rPr>
        <w:t>vigente en Chile”, “continu[ando] vigente la misma normativa aplicada a las víctimas</w:t>
      </w:r>
      <w:r w:rsidR="00440489">
        <w:rPr>
          <w:rFonts w:ascii="Verdana" w:hAnsi="Verdana"/>
          <w:sz w:val="20"/>
          <w:szCs w:val="20"/>
        </w:rPr>
        <w:t>”</w:t>
      </w:r>
      <w:r w:rsidR="00E80779" w:rsidRPr="00221F18">
        <w:rPr>
          <w:rFonts w:ascii="Verdana" w:hAnsi="Verdana"/>
          <w:sz w:val="20"/>
          <w:szCs w:val="20"/>
        </w:rPr>
        <w:t>. Respecto a los proyectos de ley informados por el Estado, sostuvo que “se trata de iniciativas legislativas de trámite ordinario</w:t>
      </w:r>
      <w:r w:rsidR="008924C8" w:rsidRPr="00221F18">
        <w:rPr>
          <w:rFonts w:ascii="Verdana" w:hAnsi="Verdana"/>
          <w:sz w:val="20"/>
          <w:szCs w:val="20"/>
        </w:rPr>
        <w:t xml:space="preserve">”, sin </w:t>
      </w:r>
      <w:r w:rsidR="004D2E5D">
        <w:rPr>
          <w:rFonts w:ascii="Verdana" w:hAnsi="Verdana"/>
          <w:sz w:val="20"/>
          <w:szCs w:val="20"/>
        </w:rPr>
        <w:t>“</w:t>
      </w:r>
      <w:r w:rsidR="008924C8" w:rsidRPr="00221F18">
        <w:rPr>
          <w:rFonts w:ascii="Verdana" w:hAnsi="Verdana"/>
          <w:sz w:val="20"/>
          <w:szCs w:val="20"/>
        </w:rPr>
        <w:t>urgencias constitucionales”,</w:t>
      </w:r>
      <w:r w:rsidR="00E80779" w:rsidRPr="00221F18">
        <w:rPr>
          <w:rFonts w:ascii="Verdana" w:hAnsi="Verdana"/>
          <w:sz w:val="20"/>
          <w:szCs w:val="20"/>
        </w:rPr>
        <w:t xml:space="preserve"> </w:t>
      </w:r>
      <w:r w:rsidR="0084272C">
        <w:rPr>
          <w:rFonts w:ascii="Verdana" w:hAnsi="Verdana"/>
          <w:sz w:val="20"/>
          <w:szCs w:val="20"/>
        </w:rPr>
        <w:t>y que “</w:t>
      </w:r>
      <w:r w:rsidR="00E80779" w:rsidRPr="00221F18">
        <w:rPr>
          <w:rFonts w:ascii="Verdana" w:hAnsi="Verdana"/>
          <w:sz w:val="20"/>
          <w:szCs w:val="20"/>
        </w:rPr>
        <w:t>considera[á] su evaluación de compatibilidad con lo dispuesto en la Sentencia</w:t>
      </w:r>
      <w:r w:rsidR="0084272C">
        <w:rPr>
          <w:rFonts w:ascii="Verdana" w:hAnsi="Verdana"/>
          <w:sz w:val="20"/>
          <w:szCs w:val="20"/>
        </w:rPr>
        <w:t>,</w:t>
      </w:r>
      <w:r w:rsidR="00E80779" w:rsidRPr="00221F18">
        <w:rPr>
          <w:rFonts w:ascii="Verdana" w:hAnsi="Verdana"/>
          <w:sz w:val="20"/>
          <w:szCs w:val="20"/>
        </w:rPr>
        <w:t xml:space="preserve"> una vez establecidas como leyes”</w:t>
      </w:r>
      <w:r w:rsidR="00CE0533" w:rsidRPr="00221F18">
        <w:rPr>
          <w:rStyle w:val="Refdenotaalpie"/>
          <w:rFonts w:ascii="Verdana" w:hAnsi="Verdana"/>
          <w:sz w:val="20"/>
          <w:szCs w:val="20"/>
        </w:rPr>
        <w:footnoteReference w:id="79"/>
      </w:r>
      <w:r w:rsidR="00E80779" w:rsidRPr="00221F18">
        <w:rPr>
          <w:rFonts w:ascii="Verdana" w:hAnsi="Verdana"/>
          <w:sz w:val="20"/>
          <w:szCs w:val="20"/>
        </w:rPr>
        <w:t xml:space="preserve">. </w:t>
      </w:r>
      <w:r w:rsidR="008924C8" w:rsidRPr="00221F18">
        <w:rPr>
          <w:rFonts w:ascii="Verdana" w:hAnsi="Verdana"/>
          <w:sz w:val="20"/>
          <w:szCs w:val="20"/>
        </w:rPr>
        <w:t xml:space="preserve">Por otra parte, </w:t>
      </w:r>
      <w:r w:rsidR="00564155" w:rsidRPr="00221F18">
        <w:rPr>
          <w:rFonts w:ascii="Verdana" w:hAnsi="Verdana"/>
          <w:sz w:val="20"/>
          <w:szCs w:val="20"/>
        </w:rPr>
        <w:t xml:space="preserve">en su escrito de observaciones de diciembre de 2016, </w:t>
      </w:r>
      <w:r w:rsidR="008924C8" w:rsidRPr="00221F18">
        <w:rPr>
          <w:rFonts w:ascii="Verdana" w:hAnsi="Verdana"/>
          <w:sz w:val="20"/>
          <w:szCs w:val="20"/>
        </w:rPr>
        <w:t xml:space="preserve">se refirió a </w:t>
      </w:r>
      <w:r w:rsidR="00440489">
        <w:rPr>
          <w:rFonts w:ascii="Verdana" w:hAnsi="Verdana"/>
          <w:sz w:val="20"/>
          <w:szCs w:val="20"/>
        </w:rPr>
        <w:t xml:space="preserve">la gravedad de que se aprobó </w:t>
      </w:r>
      <w:r w:rsidR="008924C8" w:rsidRPr="00221F18">
        <w:rPr>
          <w:rFonts w:ascii="Verdana" w:hAnsi="Verdana"/>
          <w:sz w:val="20"/>
          <w:szCs w:val="20"/>
        </w:rPr>
        <w:t>una normativa</w:t>
      </w:r>
      <w:r w:rsidR="00440489">
        <w:rPr>
          <w:rFonts w:ascii="Verdana" w:hAnsi="Verdana"/>
          <w:sz w:val="20"/>
          <w:szCs w:val="20"/>
        </w:rPr>
        <w:t>,</w:t>
      </w:r>
      <w:r w:rsidR="008924C8" w:rsidRPr="00221F18">
        <w:rPr>
          <w:rFonts w:ascii="Verdana" w:hAnsi="Verdana"/>
          <w:sz w:val="20"/>
          <w:szCs w:val="20"/>
        </w:rPr>
        <w:t xml:space="preserve"> vigente desde julio de 2016, </w:t>
      </w:r>
      <w:r w:rsidR="00440489" w:rsidRPr="00221F18">
        <w:rPr>
          <w:rFonts w:ascii="Verdana" w:hAnsi="Verdana"/>
          <w:sz w:val="20"/>
          <w:szCs w:val="20"/>
        </w:rPr>
        <w:t xml:space="preserve">que </w:t>
      </w:r>
      <w:r w:rsidR="0084272C">
        <w:rPr>
          <w:rFonts w:ascii="Verdana" w:hAnsi="Verdana"/>
          <w:sz w:val="20"/>
          <w:szCs w:val="20"/>
        </w:rPr>
        <w:t>“</w:t>
      </w:r>
      <w:r w:rsidR="00440489" w:rsidRPr="00221F18">
        <w:rPr>
          <w:rFonts w:ascii="Verdana" w:hAnsi="Verdana"/>
          <w:sz w:val="20"/>
          <w:szCs w:val="20"/>
        </w:rPr>
        <w:t>conlleva una regulación totalmente opuesta a lo resuelto por la Corte”</w:t>
      </w:r>
      <w:r w:rsidR="008924C8" w:rsidRPr="00221F18">
        <w:rPr>
          <w:rFonts w:ascii="Verdana" w:hAnsi="Verdana"/>
          <w:sz w:val="20"/>
          <w:szCs w:val="20"/>
        </w:rPr>
        <w:t xml:space="preserve">. Al respecto, indicó que </w:t>
      </w:r>
      <w:r w:rsidR="0084272C">
        <w:rPr>
          <w:rFonts w:ascii="Verdana" w:hAnsi="Verdana"/>
          <w:sz w:val="20"/>
          <w:szCs w:val="20"/>
        </w:rPr>
        <w:t xml:space="preserve">se trata de </w:t>
      </w:r>
      <w:r w:rsidR="008924C8" w:rsidRPr="00221F18">
        <w:rPr>
          <w:rFonts w:ascii="Verdana" w:hAnsi="Verdana"/>
          <w:sz w:val="20"/>
          <w:szCs w:val="20"/>
        </w:rPr>
        <w:t xml:space="preserve">la </w:t>
      </w:r>
      <w:r w:rsidR="00625A4C" w:rsidRPr="00221F18">
        <w:rPr>
          <w:rFonts w:ascii="Verdana" w:hAnsi="Verdana"/>
          <w:sz w:val="20"/>
          <w:szCs w:val="20"/>
        </w:rPr>
        <w:t xml:space="preserve">normativa </w:t>
      </w:r>
      <w:r w:rsidR="008924C8" w:rsidRPr="00221F18">
        <w:rPr>
          <w:rFonts w:ascii="Verdana" w:hAnsi="Verdana"/>
          <w:sz w:val="20"/>
          <w:szCs w:val="20"/>
        </w:rPr>
        <w:t>denominada “Ley de Agenda Corta, Nro. 20.931</w:t>
      </w:r>
      <w:r w:rsidR="00514DFA" w:rsidRPr="00221F18">
        <w:rPr>
          <w:rStyle w:val="Refdenotaalpie"/>
          <w:rFonts w:ascii="Verdana" w:hAnsi="Verdana"/>
          <w:sz w:val="20"/>
          <w:szCs w:val="20"/>
        </w:rPr>
        <w:footnoteReference w:id="80"/>
      </w:r>
      <w:r w:rsidR="00514DFA" w:rsidRPr="00221F18">
        <w:rPr>
          <w:rFonts w:ascii="Verdana" w:hAnsi="Verdana"/>
          <w:sz w:val="20"/>
          <w:szCs w:val="20"/>
        </w:rPr>
        <w:t>,</w:t>
      </w:r>
      <w:r w:rsidR="009806B4" w:rsidRPr="00221F18">
        <w:rPr>
          <w:rFonts w:ascii="Verdana" w:hAnsi="Verdana"/>
          <w:sz w:val="20"/>
          <w:szCs w:val="20"/>
        </w:rPr>
        <w:t xml:space="preserve"> </w:t>
      </w:r>
      <w:r w:rsidR="0084272C">
        <w:rPr>
          <w:rFonts w:ascii="Verdana" w:hAnsi="Verdana"/>
          <w:sz w:val="20"/>
          <w:szCs w:val="20"/>
        </w:rPr>
        <w:t xml:space="preserve">que </w:t>
      </w:r>
      <w:r w:rsidR="009806B4" w:rsidRPr="00221F18">
        <w:rPr>
          <w:rFonts w:ascii="Verdana" w:hAnsi="Verdana"/>
          <w:sz w:val="20"/>
          <w:szCs w:val="20"/>
        </w:rPr>
        <w:t>“modificó</w:t>
      </w:r>
      <w:r w:rsidR="0084272C">
        <w:rPr>
          <w:rFonts w:ascii="Verdana" w:hAnsi="Verdana"/>
          <w:sz w:val="20"/>
          <w:szCs w:val="20"/>
        </w:rPr>
        <w:t>,</w:t>
      </w:r>
      <w:r w:rsidR="009806B4" w:rsidRPr="00221F18">
        <w:rPr>
          <w:rFonts w:ascii="Verdana" w:hAnsi="Verdana"/>
          <w:sz w:val="20"/>
          <w:szCs w:val="20"/>
        </w:rPr>
        <w:t xml:space="preserve"> entre otras leyes”</w:t>
      </w:r>
      <w:r w:rsidR="0084272C">
        <w:rPr>
          <w:rFonts w:ascii="Verdana" w:hAnsi="Verdana"/>
          <w:sz w:val="20"/>
          <w:szCs w:val="20"/>
        </w:rPr>
        <w:t>,</w:t>
      </w:r>
      <w:r w:rsidR="009806B4" w:rsidRPr="00221F18">
        <w:rPr>
          <w:rFonts w:ascii="Verdana" w:hAnsi="Verdana"/>
          <w:sz w:val="20"/>
          <w:szCs w:val="20"/>
        </w:rPr>
        <w:t xml:space="preserve"> el artículo 308 del Código Procesal Penal</w:t>
      </w:r>
      <w:r w:rsidR="00D15807">
        <w:rPr>
          <w:rFonts w:ascii="Verdana" w:hAnsi="Verdana"/>
          <w:sz w:val="20"/>
          <w:szCs w:val="20"/>
        </w:rPr>
        <w:t>,</w:t>
      </w:r>
      <w:r w:rsidR="009806B4" w:rsidRPr="00221F18">
        <w:rPr>
          <w:rFonts w:ascii="Verdana" w:hAnsi="Verdana"/>
          <w:sz w:val="20"/>
          <w:szCs w:val="20"/>
        </w:rPr>
        <w:t xml:space="preserve"> </w:t>
      </w:r>
      <w:r w:rsidR="00D15807">
        <w:rPr>
          <w:rFonts w:ascii="Verdana" w:hAnsi="Verdana"/>
          <w:sz w:val="20"/>
          <w:szCs w:val="20"/>
        </w:rPr>
        <w:t>con lo cual</w:t>
      </w:r>
      <w:r w:rsidR="009806B4" w:rsidRPr="00221F18">
        <w:rPr>
          <w:rFonts w:ascii="Verdana" w:hAnsi="Verdana"/>
          <w:sz w:val="20"/>
          <w:szCs w:val="20"/>
        </w:rPr>
        <w:t xml:space="preserve"> </w:t>
      </w:r>
      <w:r w:rsidR="005255FB" w:rsidRPr="00221F18">
        <w:rPr>
          <w:rFonts w:ascii="Verdana" w:hAnsi="Verdana"/>
          <w:sz w:val="20"/>
          <w:szCs w:val="20"/>
        </w:rPr>
        <w:t xml:space="preserve">“en todos los proceso penales, salvo […] una regulación especial”, “es posible </w:t>
      </w:r>
      <w:r w:rsidR="003F02CF" w:rsidRPr="00221F18">
        <w:rPr>
          <w:rFonts w:ascii="Verdana" w:hAnsi="Verdana"/>
          <w:sz w:val="20"/>
          <w:szCs w:val="20"/>
        </w:rPr>
        <w:t>decretar el secreto de la identidad de uno o más testigos</w:t>
      </w:r>
      <w:r w:rsidR="00564155" w:rsidRPr="00221F18">
        <w:rPr>
          <w:rFonts w:ascii="Verdana" w:hAnsi="Verdana"/>
          <w:sz w:val="16"/>
          <w:szCs w:val="16"/>
        </w:rPr>
        <w:t xml:space="preserve">” </w:t>
      </w:r>
      <w:r w:rsidR="00564155" w:rsidRPr="00221F18">
        <w:rPr>
          <w:rFonts w:ascii="Verdana" w:hAnsi="Verdana"/>
          <w:sz w:val="20"/>
          <w:szCs w:val="20"/>
        </w:rPr>
        <w:t>sin un adecuado control judicial, sin ninguna medida de contrapeso y sin disponer regulación alguna respecto a que el testimonio recibido bajo reserva de identidad no sea decisivo para fundar una sentencia penal condenatoria. Por ello, “soli</w:t>
      </w:r>
      <w:r w:rsidR="00533F0D">
        <w:rPr>
          <w:rFonts w:ascii="Verdana" w:hAnsi="Verdana"/>
          <w:sz w:val="20"/>
          <w:szCs w:val="20"/>
        </w:rPr>
        <w:t>ci</w:t>
      </w:r>
      <w:r w:rsidR="00564155" w:rsidRPr="00221F18">
        <w:rPr>
          <w:rFonts w:ascii="Verdana" w:hAnsi="Verdana"/>
          <w:sz w:val="20"/>
          <w:szCs w:val="20"/>
        </w:rPr>
        <w:t>t[ó] que no se tenga por cumplida la obligación del Estado en este punto”.</w:t>
      </w:r>
    </w:p>
    <w:p w:rsidR="009E439D" w:rsidRPr="009E439D" w:rsidRDefault="001930A4" w:rsidP="00857630">
      <w:pPr>
        <w:pStyle w:val="Cuerpodeltexto110"/>
        <w:numPr>
          <w:ilvl w:val="0"/>
          <w:numId w:val="28"/>
        </w:numPr>
        <w:shd w:val="clear" w:color="auto" w:fill="auto"/>
        <w:spacing w:before="120" w:after="120" w:line="240" w:lineRule="auto"/>
        <w:ind w:left="0" w:right="23" w:firstLine="0"/>
        <w:rPr>
          <w:rFonts w:ascii="Verdana" w:hAnsi="Verdana"/>
          <w:sz w:val="16"/>
          <w:szCs w:val="16"/>
        </w:rPr>
      </w:pPr>
      <w:r w:rsidRPr="00036B4B">
        <w:rPr>
          <w:rFonts w:ascii="Verdana" w:hAnsi="Verdana"/>
          <w:sz w:val="20"/>
          <w:szCs w:val="20"/>
        </w:rPr>
        <w:t xml:space="preserve">Los representantes </w:t>
      </w:r>
      <w:r w:rsidRPr="00036B4B">
        <w:rPr>
          <w:rFonts w:ascii="Verdana" w:hAnsi="Verdana"/>
          <w:i/>
          <w:sz w:val="20"/>
          <w:szCs w:val="20"/>
        </w:rPr>
        <w:t xml:space="preserve">Llanquileo, Millamán y Lienlaf </w:t>
      </w:r>
      <w:r w:rsidR="00CE0533" w:rsidRPr="00036B4B">
        <w:rPr>
          <w:rFonts w:ascii="Verdana" w:hAnsi="Verdana"/>
          <w:sz w:val="20"/>
          <w:szCs w:val="20"/>
        </w:rPr>
        <w:t>consideraron que</w:t>
      </w:r>
      <w:r w:rsidR="005C1434" w:rsidRPr="00036B4B">
        <w:rPr>
          <w:rFonts w:ascii="Verdana" w:hAnsi="Verdana"/>
          <w:sz w:val="20"/>
          <w:szCs w:val="20"/>
        </w:rPr>
        <w:t xml:space="preserve"> si bien uno de los </w:t>
      </w:r>
      <w:r w:rsidR="00440489">
        <w:rPr>
          <w:rFonts w:ascii="Verdana" w:hAnsi="Verdana"/>
          <w:sz w:val="20"/>
          <w:szCs w:val="20"/>
        </w:rPr>
        <w:t xml:space="preserve">referidos </w:t>
      </w:r>
      <w:r w:rsidR="005C1434" w:rsidRPr="00036B4B">
        <w:rPr>
          <w:rFonts w:ascii="Verdana" w:hAnsi="Verdana"/>
          <w:sz w:val="20"/>
          <w:szCs w:val="20"/>
        </w:rPr>
        <w:t>proyectos de ley</w:t>
      </w:r>
      <w:r w:rsidR="00440489">
        <w:rPr>
          <w:rFonts w:ascii="Verdana" w:hAnsi="Verdana"/>
          <w:sz w:val="20"/>
          <w:szCs w:val="20"/>
        </w:rPr>
        <w:t xml:space="preserve"> </w:t>
      </w:r>
      <w:r w:rsidR="005C1434" w:rsidRPr="00036B4B">
        <w:rPr>
          <w:rFonts w:ascii="Verdana" w:hAnsi="Verdana"/>
          <w:sz w:val="20"/>
          <w:szCs w:val="20"/>
        </w:rPr>
        <w:t>“constituye un avance en cuanto restringe la utilización de la medida de reserva de identidad de los testigos a la etapa de investigación”</w:t>
      </w:r>
      <w:r w:rsidR="004A0832" w:rsidRPr="00036B4B">
        <w:rPr>
          <w:rFonts w:ascii="Verdana" w:hAnsi="Verdana"/>
          <w:sz w:val="20"/>
          <w:szCs w:val="20"/>
        </w:rPr>
        <w:t xml:space="preserve"> al “limita[r] su período de duración”</w:t>
      </w:r>
      <w:r w:rsidR="005C1434" w:rsidRPr="00036B4B">
        <w:rPr>
          <w:rFonts w:ascii="Verdana" w:hAnsi="Verdana"/>
          <w:sz w:val="20"/>
          <w:szCs w:val="20"/>
        </w:rPr>
        <w:t xml:space="preserve"> (Boletín N°9692-07), éste “fue fusionado en su tramitación con el [otro] proyecto de le</w:t>
      </w:r>
      <w:r w:rsidR="000D1766" w:rsidRPr="00036B4B">
        <w:rPr>
          <w:rFonts w:ascii="Verdana" w:hAnsi="Verdana"/>
          <w:sz w:val="20"/>
          <w:szCs w:val="20"/>
        </w:rPr>
        <w:t>y, de moción parlamentaria</w:t>
      </w:r>
      <w:r w:rsidR="00D2349A">
        <w:rPr>
          <w:rFonts w:ascii="Verdana" w:hAnsi="Verdana"/>
          <w:sz w:val="20"/>
          <w:szCs w:val="20"/>
        </w:rPr>
        <w:t>”</w:t>
      </w:r>
      <w:r w:rsidR="005C1434" w:rsidRPr="00036B4B">
        <w:rPr>
          <w:rFonts w:ascii="Verdana" w:hAnsi="Verdana"/>
          <w:sz w:val="20"/>
          <w:szCs w:val="20"/>
        </w:rPr>
        <w:t xml:space="preserve"> (Boletín N°9669-07)</w:t>
      </w:r>
      <w:r w:rsidR="000D1766" w:rsidRPr="00036B4B">
        <w:rPr>
          <w:rFonts w:ascii="Verdana" w:hAnsi="Verdana"/>
          <w:sz w:val="20"/>
          <w:szCs w:val="20"/>
        </w:rPr>
        <w:t>,</w:t>
      </w:r>
      <w:r w:rsidR="005C1434" w:rsidRPr="00036B4B">
        <w:rPr>
          <w:rFonts w:ascii="Verdana" w:hAnsi="Verdana"/>
          <w:sz w:val="20"/>
          <w:szCs w:val="20"/>
        </w:rPr>
        <w:t xml:space="preserve"> “cuyo objetivo es reformular la definición de terrorismo” a una que estiman que “es amplia y sigue castigando delitos contra la propiedad”</w:t>
      </w:r>
      <w:r w:rsidR="00D2349A">
        <w:rPr>
          <w:rFonts w:ascii="Verdana" w:hAnsi="Verdana"/>
          <w:sz w:val="20"/>
          <w:szCs w:val="20"/>
        </w:rPr>
        <w:t>. Agregaron que este proyecto de ley</w:t>
      </w:r>
      <w:r w:rsidR="005C1434" w:rsidRPr="00036B4B">
        <w:rPr>
          <w:rFonts w:ascii="Verdana" w:hAnsi="Verdana"/>
          <w:sz w:val="20"/>
          <w:szCs w:val="20"/>
        </w:rPr>
        <w:t xml:space="preserve">, “nada dice” “[r]especto </w:t>
      </w:r>
      <w:r w:rsidR="00D2349A">
        <w:rPr>
          <w:rFonts w:ascii="Verdana" w:hAnsi="Verdana"/>
          <w:sz w:val="20"/>
          <w:szCs w:val="20"/>
        </w:rPr>
        <w:t>de</w:t>
      </w:r>
      <w:r w:rsidR="005C1434" w:rsidRPr="00036B4B">
        <w:rPr>
          <w:rFonts w:ascii="Verdana" w:hAnsi="Verdana"/>
          <w:sz w:val="20"/>
          <w:szCs w:val="20"/>
        </w:rPr>
        <w:t>l uso de testigos de identidad reservada como medida excepcional, sujeta a control judicial y [con la] entrega [de] adecuados contrapesos”</w:t>
      </w:r>
      <w:r w:rsidR="000D1766" w:rsidRPr="00036B4B">
        <w:rPr>
          <w:rFonts w:ascii="Verdana" w:hAnsi="Verdana"/>
          <w:sz w:val="20"/>
          <w:szCs w:val="20"/>
        </w:rPr>
        <w:t xml:space="preserve"> y</w:t>
      </w:r>
      <w:r w:rsidR="00D15807">
        <w:rPr>
          <w:rFonts w:ascii="Verdana" w:hAnsi="Verdana"/>
          <w:sz w:val="20"/>
          <w:szCs w:val="20"/>
        </w:rPr>
        <w:t xml:space="preserve"> que</w:t>
      </w:r>
      <w:r w:rsidR="000D1766" w:rsidRPr="00036B4B">
        <w:rPr>
          <w:rFonts w:ascii="Verdana" w:hAnsi="Verdana"/>
          <w:sz w:val="20"/>
          <w:szCs w:val="20"/>
        </w:rPr>
        <w:t>, por el contrario, “refuerza el uso de esa figura, y lo extiende a otras figuras como el perito secreto, el agente encubierto, el delator compensado y el colaborador eficaz”</w:t>
      </w:r>
      <w:r w:rsidR="00C45FF8" w:rsidRPr="00036B4B">
        <w:rPr>
          <w:rFonts w:ascii="Verdana" w:hAnsi="Verdana"/>
          <w:sz w:val="20"/>
          <w:szCs w:val="20"/>
        </w:rPr>
        <w:t>.</w:t>
      </w:r>
      <w:r w:rsidR="005C1434" w:rsidRPr="00036B4B">
        <w:rPr>
          <w:rFonts w:ascii="Verdana" w:hAnsi="Verdana"/>
          <w:sz w:val="20"/>
          <w:szCs w:val="20"/>
        </w:rPr>
        <w:t xml:space="preserve"> </w:t>
      </w:r>
      <w:r w:rsidR="00C45FF8" w:rsidRPr="00036B4B">
        <w:rPr>
          <w:rFonts w:ascii="Verdana" w:hAnsi="Verdana"/>
          <w:sz w:val="20"/>
          <w:szCs w:val="20"/>
        </w:rPr>
        <w:t>Además, se refirieron a “otras iniciativas legislativas relativas a la ley 18.314</w:t>
      </w:r>
      <w:r w:rsidR="00EE0ADB">
        <w:rPr>
          <w:rFonts w:ascii="Verdana" w:hAnsi="Verdana"/>
          <w:sz w:val="20"/>
          <w:szCs w:val="20"/>
        </w:rPr>
        <w:t>,</w:t>
      </w:r>
      <w:r w:rsidR="00C45FF8" w:rsidRPr="00036B4B">
        <w:rPr>
          <w:rFonts w:ascii="Verdana" w:hAnsi="Verdana"/>
          <w:sz w:val="20"/>
          <w:szCs w:val="20"/>
        </w:rPr>
        <w:t xml:space="preserve"> que van en</w:t>
      </w:r>
      <w:r w:rsidR="00D2349A">
        <w:rPr>
          <w:rFonts w:ascii="Verdana" w:hAnsi="Verdana"/>
          <w:sz w:val="20"/>
          <w:szCs w:val="20"/>
        </w:rPr>
        <w:t xml:space="preserve"> un</w:t>
      </w:r>
      <w:r w:rsidR="00C45FF8" w:rsidRPr="00036B4B">
        <w:rPr>
          <w:rFonts w:ascii="Verdana" w:hAnsi="Verdana"/>
          <w:sz w:val="20"/>
          <w:szCs w:val="20"/>
        </w:rPr>
        <w:t xml:space="preserve"> sentido contrario a lo ordenado por esta Corte”.</w:t>
      </w:r>
    </w:p>
    <w:p w:rsidR="009E439D" w:rsidRPr="005D02B3" w:rsidRDefault="009E439D" w:rsidP="00857630">
      <w:pPr>
        <w:pStyle w:val="Cuerpodeltexto110"/>
        <w:numPr>
          <w:ilvl w:val="0"/>
          <w:numId w:val="28"/>
        </w:numPr>
        <w:shd w:val="clear" w:color="auto" w:fill="auto"/>
        <w:spacing w:before="120" w:after="120" w:line="240" w:lineRule="auto"/>
        <w:ind w:left="0" w:right="23" w:firstLine="0"/>
        <w:rPr>
          <w:rFonts w:ascii="Verdana" w:hAnsi="Verdana"/>
          <w:sz w:val="20"/>
          <w:szCs w:val="20"/>
        </w:rPr>
      </w:pPr>
      <w:r w:rsidRPr="009E439D">
        <w:rPr>
          <w:rFonts w:ascii="Verdana" w:hAnsi="Verdana"/>
          <w:sz w:val="20"/>
          <w:szCs w:val="20"/>
        </w:rPr>
        <w:t xml:space="preserve">Adicionalmente, todos los representantes de las víctimas hicieron referencia a otras objeciones respecto al proyecto de reforma a la “ley antiterrorista”, así como observaciones generales en relación con </w:t>
      </w:r>
      <w:r w:rsidR="00B707C8">
        <w:rPr>
          <w:rFonts w:ascii="Verdana" w:hAnsi="Verdana"/>
          <w:sz w:val="20"/>
          <w:szCs w:val="20"/>
        </w:rPr>
        <w:t xml:space="preserve">la vigencia, </w:t>
      </w:r>
      <w:r w:rsidRPr="009E439D">
        <w:rPr>
          <w:rFonts w:ascii="Verdana" w:hAnsi="Verdana"/>
          <w:sz w:val="20"/>
          <w:szCs w:val="20"/>
        </w:rPr>
        <w:t>las disposiciones y aplicación de la Ley No. 18.314 conocida como “Ley Antiterrorista”</w:t>
      </w:r>
      <w:r>
        <w:rPr>
          <w:rStyle w:val="Refdenotaalpie"/>
          <w:rFonts w:ascii="Verdana" w:hAnsi="Verdana"/>
          <w:sz w:val="20"/>
          <w:szCs w:val="20"/>
        </w:rPr>
        <w:footnoteReference w:id="81"/>
      </w:r>
      <w:r w:rsidRPr="009E439D">
        <w:rPr>
          <w:rFonts w:ascii="Verdana" w:hAnsi="Verdana"/>
          <w:sz w:val="20"/>
          <w:szCs w:val="20"/>
        </w:rPr>
        <w:t xml:space="preserve"> </w:t>
      </w:r>
      <w:r w:rsidRPr="007020DC">
        <w:rPr>
          <w:rFonts w:ascii="Verdana" w:hAnsi="Verdana"/>
          <w:sz w:val="20"/>
          <w:szCs w:val="20"/>
        </w:rPr>
        <w:t>(</w:t>
      </w:r>
      <w:r w:rsidRPr="007020DC">
        <w:rPr>
          <w:rFonts w:ascii="Verdana" w:hAnsi="Verdana"/>
          <w:i/>
          <w:sz w:val="20"/>
          <w:szCs w:val="20"/>
        </w:rPr>
        <w:t>infra</w:t>
      </w:r>
      <w:r w:rsidRPr="005D02B3">
        <w:rPr>
          <w:rFonts w:ascii="Verdana" w:hAnsi="Verdana"/>
          <w:sz w:val="20"/>
          <w:szCs w:val="20"/>
        </w:rPr>
        <w:t xml:space="preserve"> Considerando </w:t>
      </w:r>
      <w:r w:rsidR="001A3B04" w:rsidRPr="00903DE2">
        <w:rPr>
          <w:rFonts w:ascii="Verdana" w:hAnsi="Verdana"/>
          <w:sz w:val="20"/>
          <w:szCs w:val="20"/>
        </w:rPr>
        <w:t>65</w:t>
      </w:r>
      <w:r w:rsidRPr="007020DC">
        <w:rPr>
          <w:rFonts w:ascii="Verdana" w:hAnsi="Verdana"/>
          <w:sz w:val="20"/>
          <w:szCs w:val="20"/>
        </w:rPr>
        <w:t>).</w:t>
      </w:r>
    </w:p>
    <w:p w:rsidR="00D368A7" w:rsidRPr="005E3309" w:rsidRDefault="00D368A7" w:rsidP="00857630">
      <w:pPr>
        <w:pStyle w:val="Cuerpodeltexto110"/>
        <w:numPr>
          <w:ilvl w:val="0"/>
          <w:numId w:val="28"/>
        </w:numPr>
        <w:shd w:val="clear" w:color="auto" w:fill="auto"/>
        <w:spacing w:before="120" w:after="120" w:line="240" w:lineRule="auto"/>
        <w:ind w:left="0" w:right="20" w:firstLine="0"/>
        <w:rPr>
          <w:rFonts w:ascii="Verdana" w:hAnsi="Verdana"/>
          <w:color w:val="00B050"/>
          <w:sz w:val="16"/>
          <w:szCs w:val="16"/>
        </w:rPr>
      </w:pPr>
      <w:r>
        <w:rPr>
          <w:rFonts w:ascii="Verdana" w:hAnsi="Verdana"/>
          <w:sz w:val="20"/>
          <w:szCs w:val="20"/>
        </w:rPr>
        <w:lastRenderedPageBreak/>
        <w:t xml:space="preserve">La </w:t>
      </w:r>
      <w:r w:rsidRPr="00AE53F5">
        <w:rPr>
          <w:rFonts w:ascii="Verdana" w:hAnsi="Verdana"/>
          <w:i/>
          <w:sz w:val="20"/>
          <w:szCs w:val="20"/>
        </w:rPr>
        <w:t>Comisión</w:t>
      </w:r>
      <w:r>
        <w:rPr>
          <w:rFonts w:ascii="Verdana" w:hAnsi="Verdana"/>
          <w:sz w:val="20"/>
          <w:szCs w:val="20"/>
        </w:rPr>
        <w:t xml:space="preserve"> indicó que “ha verificado en [la copia los proyectos de ley aportados por el Estado que éstos] contempla[n] algunos de los aspectos indicados por la Corte que se deben garantizar en cumplimiento del artículo 8.2. f) de la Convención Americana</w:t>
      </w:r>
      <w:r w:rsidR="00AE53F5">
        <w:rPr>
          <w:rFonts w:ascii="Verdana" w:hAnsi="Verdana"/>
          <w:sz w:val="20"/>
          <w:szCs w:val="20"/>
        </w:rPr>
        <w:t>”</w:t>
      </w:r>
      <w:r w:rsidR="00AE53F5">
        <w:rPr>
          <w:rStyle w:val="Refdenotaalpie"/>
          <w:rFonts w:ascii="Verdana" w:hAnsi="Verdana"/>
          <w:sz w:val="20"/>
          <w:szCs w:val="20"/>
        </w:rPr>
        <w:footnoteReference w:id="82"/>
      </w:r>
      <w:r w:rsidR="00AE53F5">
        <w:rPr>
          <w:rFonts w:ascii="Verdana" w:hAnsi="Verdana"/>
          <w:sz w:val="20"/>
          <w:szCs w:val="20"/>
        </w:rPr>
        <w:t xml:space="preserve">. </w:t>
      </w:r>
      <w:r w:rsidR="00440489">
        <w:rPr>
          <w:rFonts w:ascii="Verdana" w:hAnsi="Verdana"/>
          <w:sz w:val="20"/>
          <w:szCs w:val="20"/>
        </w:rPr>
        <w:t>A</w:t>
      </w:r>
      <w:r w:rsidR="00AE53F5">
        <w:rPr>
          <w:rFonts w:ascii="Verdana" w:hAnsi="Verdana"/>
          <w:sz w:val="20"/>
          <w:szCs w:val="20"/>
        </w:rPr>
        <w:t xml:space="preserve">dvirtió </w:t>
      </w:r>
      <w:r w:rsidR="00440489">
        <w:rPr>
          <w:rFonts w:ascii="Verdana" w:hAnsi="Verdana"/>
          <w:sz w:val="20"/>
          <w:szCs w:val="20"/>
        </w:rPr>
        <w:t>“</w:t>
      </w:r>
      <w:r w:rsidR="00AE53F5">
        <w:rPr>
          <w:rFonts w:ascii="Verdana" w:hAnsi="Verdana"/>
          <w:sz w:val="20"/>
          <w:szCs w:val="20"/>
        </w:rPr>
        <w:t xml:space="preserve">la importancia de que </w:t>
      </w:r>
      <w:r w:rsidR="001B4EEB">
        <w:rPr>
          <w:rFonts w:ascii="Verdana" w:hAnsi="Verdana"/>
          <w:sz w:val="20"/>
          <w:szCs w:val="20"/>
        </w:rPr>
        <w:t xml:space="preserve">[Chile] aporte información más específica sobre los requisitos indicados en el párrafo 436 de la Sentencia a la luz de tales proyectos [de ley] u otras iniciativas legislativas presentadas”. </w:t>
      </w:r>
      <w:r w:rsidR="005E3309" w:rsidRPr="0029456B">
        <w:rPr>
          <w:rFonts w:ascii="Verdana" w:hAnsi="Verdana"/>
          <w:sz w:val="20"/>
          <w:szCs w:val="16"/>
        </w:rPr>
        <w:t xml:space="preserve">Por otra parte, </w:t>
      </w:r>
      <w:r w:rsidR="00440489">
        <w:rPr>
          <w:rFonts w:ascii="Verdana" w:hAnsi="Verdana"/>
          <w:sz w:val="20"/>
          <w:szCs w:val="16"/>
        </w:rPr>
        <w:t xml:space="preserve">se refirió a la necesidad de que Chile remita información </w:t>
      </w:r>
      <w:r w:rsidR="005E3309" w:rsidRPr="0029456B">
        <w:rPr>
          <w:rFonts w:ascii="Verdana" w:hAnsi="Verdana"/>
          <w:sz w:val="20"/>
          <w:szCs w:val="16"/>
        </w:rPr>
        <w:t xml:space="preserve">en cuanto a lo alegado por </w:t>
      </w:r>
      <w:r w:rsidR="00D15807">
        <w:rPr>
          <w:rFonts w:ascii="Verdana" w:hAnsi="Verdana"/>
          <w:sz w:val="20"/>
          <w:szCs w:val="16"/>
        </w:rPr>
        <w:t>la representante Myriam Reyes</w:t>
      </w:r>
      <w:r w:rsidR="005E3309" w:rsidRPr="0029456B">
        <w:rPr>
          <w:rFonts w:ascii="Verdana" w:hAnsi="Verdana"/>
          <w:sz w:val="20"/>
          <w:szCs w:val="16"/>
        </w:rPr>
        <w:t xml:space="preserve"> respecto a las disposiciones incluidas en</w:t>
      </w:r>
      <w:r w:rsidR="0029456B" w:rsidRPr="0029456B">
        <w:rPr>
          <w:rFonts w:ascii="Verdana" w:hAnsi="Verdana"/>
          <w:sz w:val="20"/>
          <w:szCs w:val="16"/>
        </w:rPr>
        <w:t xml:space="preserve"> el artículo 308 de</w:t>
      </w:r>
      <w:r w:rsidR="005E3309" w:rsidRPr="0029456B">
        <w:rPr>
          <w:rFonts w:ascii="Verdana" w:hAnsi="Verdana"/>
          <w:sz w:val="20"/>
          <w:szCs w:val="16"/>
        </w:rPr>
        <w:t xml:space="preserve"> la reciente la Ley No. 20.931 </w:t>
      </w:r>
      <w:r w:rsidR="00440489">
        <w:rPr>
          <w:rFonts w:ascii="Verdana" w:hAnsi="Verdana"/>
          <w:sz w:val="20"/>
          <w:szCs w:val="16"/>
        </w:rPr>
        <w:t>(</w:t>
      </w:r>
      <w:r w:rsidR="00440489" w:rsidRPr="004E41CC">
        <w:rPr>
          <w:rFonts w:ascii="Verdana" w:hAnsi="Verdana"/>
          <w:i/>
          <w:sz w:val="20"/>
          <w:szCs w:val="16"/>
        </w:rPr>
        <w:t>supra</w:t>
      </w:r>
      <w:r w:rsidR="00440489">
        <w:rPr>
          <w:rFonts w:ascii="Verdana" w:hAnsi="Verdana"/>
          <w:sz w:val="20"/>
          <w:szCs w:val="16"/>
        </w:rPr>
        <w:t xml:space="preserve"> Considerando </w:t>
      </w:r>
      <w:r w:rsidR="004F0111">
        <w:rPr>
          <w:rFonts w:ascii="Verdana" w:hAnsi="Verdana"/>
          <w:sz w:val="20"/>
          <w:szCs w:val="16"/>
        </w:rPr>
        <w:t>57</w:t>
      </w:r>
      <w:r w:rsidR="00440489">
        <w:rPr>
          <w:rFonts w:ascii="Verdana" w:hAnsi="Verdana"/>
          <w:sz w:val="20"/>
          <w:szCs w:val="16"/>
        </w:rPr>
        <w:t>)</w:t>
      </w:r>
      <w:r w:rsidR="004E41CC">
        <w:rPr>
          <w:rFonts w:ascii="Verdana" w:hAnsi="Verdana"/>
          <w:sz w:val="20"/>
          <w:szCs w:val="16"/>
        </w:rPr>
        <w:t xml:space="preserve">. </w:t>
      </w:r>
    </w:p>
    <w:p w:rsidR="00C95520" w:rsidRDefault="00C95520" w:rsidP="00807889">
      <w:pPr>
        <w:spacing w:before="120" w:after="120" w:line="240" w:lineRule="auto"/>
        <w:ind w:left="567" w:right="9"/>
        <w:jc w:val="both"/>
        <w:outlineLvl w:val="0"/>
        <w:rPr>
          <w:rFonts w:ascii="Verdana" w:hAnsi="Verdana"/>
          <w:i/>
          <w:sz w:val="20"/>
          <w:szCs w:val="20"/>
          <w:lang w:val="es-CR"/>
        </w:rPr>
      </w:pPr>
    </w:p>
    <w:p w:rsidR="003F7D37" w:rsidRPr="003F7D37" w:rsidRDefault="003F7D37" w:rsidP="00807889">
      <w:pPr>
        <w:spacing w:before="120" w:after="120" w:line="240" w:lineRule="auto"/>
        <w:ind w:left="567" w:right="9"/>
        <w:jc w:val="both"/>
        <w:outlineLvl w:val="0"/>
        <w:rPr>
          <w:rFonts w:ascii="Verdana" w:hAnsi="Verdana"/>
          <w:sz w:val="20"/>
          <w:szCs w:val="20"/>
          <w:lang w:val="es-CR"/>
        </w:rPr>
      </w:pPr>
      <w:r>
        <w:rPr>
          <w:rFonts w:ascii="Verdana" w:hAnsi="Verdana"/>
          <w:i/>
          <w:sz w:val="20"/>
          <w:szCs w:val="20"/>
          <w:lang w:val="es-CR"/>
        </w:rPr>
        <w:t>E.3.</w:t>
      </w:r>
      <w:r w:rsidRPr="007E562F">
        <w:rPr>
          <w:rFonts w:ascii="Verdana" w:hAnsi="Verdana"/>
          <w:i/>
          <w:sz w:val="20"/>
          <w:szCs w:val="20"/>
          <w:lang w:val="es-CR"/>
        </w:rPr>
        <w:t xml:space="preserve"> </w:t>
      </w:r>
      <w:r w:rsidRPr="0080036B">
        <w:rPr>
          <w:rFonts w:ascii="Verdana" w:hAnsi="Verdana"/>
          <w:i/>
          <w:sz w:val="20"/>
          <w:szCs w:val="20"/>
          <w:lang w:val="es-CR"/>
        </w:rPr>
        <w:t>Consideraciones de la Corte</w:t>
      </w:r>
    </w:p>
    <w:p w:rsidR="003F7D37" w:rsidRPr="006D4C74" w:rsidRDefault="003D5F64" w:rsidP="00857630">
      <w:pPr>
        <w:pStyle w:val="Cuerpodeltexto110"/>
        <w:numPr>
          <w:ilvl w:val="0"/>
          <w:numId w:val="28"/>
        </w:numPr>
        <w:shd w:val="clear" w:color="auto" w:fill="auto"/>
        <w:spacing w:before="120" w:after="120" w:line="240" w:lineRule="auto"/>
        <w:ind w:left="0" w:right="20" w:firstLine="0"/>
        <w:rPr>
          <w:rFonts w:ascii="Verdana" w:hAnsi="Verdana"/>
          <w:b/>
          <w:sz w:val="20"/>
          <w:szCs w:val="20"/>
        </w:rPr>
      </w:pPr>
      <w:r w:rsidRPr="002C0D1E">
        <w:rPr>
          <w:rFonts w:ascii="Verdana" w:hAnsi="Verdana"/>
          <w:sz w:val="20"/>
          <w:szCs w:val="20"/>
        </w:rPr>
        <w:t xml:space="preserve">Con base en lo informado por el Estado y las observaciones de los representantes de las víctimas y la Comisión, la Corte advierte </w:t>
      </w:r>
      <w:r w:rsidR="0077519C" w:rsidRPr="002C0D1E">
        <w:rPr>
          <w:rFonts w:ascii="Verdana" w:hAnsi="Verdana"/>
          <w:sz w:val="20"/>
          <w:szCs w:val="20"/>
        </w:rPr>
        <w:t xml:space="preserve">que han trascurrido </w:t>
      </w:r>
      <w:r w:rsidR="00A2546A" w:rsidRPr="002C0D1E">
        <w:rPr>
          <w:rFonts w:ascii="Verdana" w:hAnsi="Verdana"/>
          <w:sz w:val="20"/>
          <w:szCs w:val="20"/>
        </w:rPr>
        <w:t xml:space="preserve">más de cuatro años desde la notificación de la Sentencia </w:t>
      </w:r>
      <w:r w:rsidR="001B7710" w:rsidRPr="002C0D1E">
        <w:rPr>
          <w:rFonts w:ascii="Verdana" w:hAnsi="Verdana"/>
          <w:sz w:val="20"/>
          <w:szCs w:val="20"/>
        </w:rPr>
        <w:t xml:space="preserve">sin avances </w:t>
      </w:r>
      <w:r w:rsidR="004A680A">
        <w:rPr>
          <w:rFonts w:ascii="Verdana" w:hAnsi="Verdana"/>
          <w:sz w:val="20"/>
          <w:szCs w:val="20"/>
        </w:rPr>
        <w:t xml:space="preserve">sustanciales </w:t>
      </w:r>
      <w:r w:rsidR="001B7710" w:rsidRPr="002C0D1E">
        <w:rPr>
          <w:rFonts w:ascii="Verdana" w:hAnsi="Verdana"/>
          <w:sz w:val="20"/>
          <w:szCs w:val="20"/>
        </w:rPr>
        <w:t>en la adopción de una regulación de la medida procesal de protección de testigos relativa a la reserva de identidad</w:t>
      </w:r>
      <w:r w:rsidR="00946527">
        <w:rPr>
          <w:rFonts w:ascii="Verdana" w:hAnsi="Verdana"/>
          <w:sz w:val="20"/>
          <w:szCs w:val="20"/>
        </w:rPr>
        <w:t>,</w:t>
      </w:r>
      <w:r w:rsidR="001B7710" w:rsidRPr="002C0D1E">
        <w:rPr>
          <w:rFonts w:ascii="Verdana" w:hAnsi="Verdana"/>
          <w:sz w:val="20"/>
          <w:szCs w:val="20"/>
        </w:rPr>
        <w:t xml:space="preserve"> conforme a los parámetros dispuestos en la Sentencia. Si bien la Corte valora los esfuerzos del Estado </w:t>
      </w:r>
      <w:r w:rsidR="00467D35" w:rsidRPr="002C0D1E">
        <w:rPr>
          <w:rFonts w:ascii="Verdana" w:hAnsi="Verdana"/>
          <w:sz w:val="20"/>
          <w:szCs w:val="20"/>
        </w:rPr>
        <w:t xml:space="preserve">por presentar proyectos de ley, </w:t>
      </w:r>
      <w:r w:rsidR="008C249D" w:rsidRPr="002C0D1E">
        <w:rPr>
          <w:rFonts w:ascii="Verdana" w:hAnsi="Verdana"/>
          <w:sz w:val="20"/>
          <w:szCs w:val="20"/>
        </w:rPr>
        <w:t>los cuales fueron fusionados</w:t>
      </w:r>
      <w:r w:rsidR="002C0D1E" w:rsidRPr="002C0D1E">
        <w:rPr>
          <w:rFonts w:ascii="Verdana" w:hAnsi="Verdana"/>
          <w:sz w:val="20"/>
          <w:szCs w:val="20"/>
        </w:rPr>
        <w:t xml:space="preserve"> en uno</w:t>
      </w:r>
      <w:r w:rsidR="008C249D" w:rsidRPr="002C0D1E">
        <w:rPr>
          <w:rFonts w:ascii="Verdana" w:hAnsi="Verdana"/>
          <w:sz w:val="20"/>
          <w:szCs w:val="20"/>
        </w:rPr>
        <w:t xml:space="preserve"> </w:t>
      </w:r>
      <w:r w:rsidR="002C0D1E" w:rsidRPr="002C0D1E">
        <w:rPr>
          <w:rFonts w:ascii="Verdana" w:hAnsi="Verdana"/>
          <w:sz w:val="20"/>
          <w:szCs w:val="20"/>
        </w:rPr>
        <w:t>(</w:t>
      </w:r>
      <w:r w:rsidR="002C0D1E" w:rsidRPr="002C0D1E">
        <w:rPr>
          <w:rFonts w:ascii="Verdana" w:hAnsi="Verdana"/>
          <w:i/>
          <w:sz w:val="20"/>
          <w:szCs w:val="20"/>
        </w:rPr>
        <w:t>supra</w:t>
      </w:r>
      <w:r w:rsidR="002C0D1E" w:rsidRPr="002C0D1E">
        <w:rPr>
          <w:rFonts w:ascii="Verdana" w:hAnsi="Verdana"/>
          <w:sz w:val="20"/>
          <w:szCs w:val="20"/>
        </w:rPr>
        <w:t xml:space="preserve"> Considerando </w:t>
      </w:r>
      <w:r w:rsidR="00946527">
        <w:rPr>
          <w:rFonts w:ascii="Verdana" w:hAnsi="Verdana"/>
          <w:sz w:val="20"/>
          <w:szCs w:val="20"/>
        </w:rPr>
        <w:t>54</w:t>
      </w:r>
      <w:r w:rsidR="002C0D1E" w:rsidRPr="002C0D1E">
        <w:rPr>
          <w:rFonts w:ascii="Verdana" w:hAnsi="Verdana"/>
          <w:sz w:val="20"/>
          <w:szCs w:val="20"/>
        </w:rPr>
        <w:t>), se advierte que éste permanece</w:t>
      </w:r>
      <w:r w:rsidR="00467D35" w:rsidRPr="002C0D1E">
        <w:rPr>
          <w:rFonts w:ascii="Verdana" w:hAnsi="Verdana"/>
          <w:sz w:val="20"/>
          <w:szCs w:val="20"/>
        </w:rPr>
        <w:t xml:space="preserve"> en etapa de “primer trámite constitucional” desde </w:t>
      </w:r>
      <w:r w:rsidR="004A680A">
        <w:rPr>
          <w:rFonts w:ascii="Verdana" w:hAnsi="Verdana"/>
          <w:sz w:val="20"/>
          <w:szCs w:val="20"/>
        </w:rPr>
        <w:t xml:space="preserve">el </w:t>
      </w:r>
      <w:r w:rsidR="00467D35" w:rsidRPr="002C0D1E">
        <w:rPr>
          <w:rFonts w:ascii="Verdana" w:hAnsi="Verdana"/>
          <w:sz w:val="20"/>
          <w:szCs w:val="20"/>
        </w:rPr>
        <w:t xml:space="preserve">2015, y </w:t>
      </w:r>
      <w:r w:rsidR="002C0D1E" w:rsidRPr="002C0D1E">
        <w:rPr>
          <w:rFonts w:ascii="Verdana" w:hAnsi="Verdana"/>
          <w:sz w:val="20"/>
          <w:szCs w:val="20"/>
        </w:rPr>
        <w:t xml:space="preserve">que </w:t>
      </w:r>
      <w:r w:rsidR="00467D35" w:rsidRPr="002C0D1E">
        <w:rPr>
          <w:rFonts w:ascii="Verdana" w:hAnsi="Verdana"/>
          <w:sz w:val="20"/>
          <w:szCs w:val="20"/>
        </w:rPr>
        <w:t>a su tramitación, según lo indicado por los representantes</w:t>
      </w:r>
      <w:r w:rsidR="00946527">
        <w:rPr>
          <w:rFonts w:ascii="Verdana" w:hAnsi="Verdana"/>
          <w:sz w:val="20"/>
          <w:szCs w:val="20"/>
        </w:rPr>
        <w:t xml:space="preserve"> de las víctimas</w:t>
      </w:r>
      <w:r w:rsidR="00467D35" w:rsidRPr="002C0D1E">
        <w:rPr>
          <w:rFonts w:ascii="Verdana" w:hAnsi="Verdana"/>
          <w:sz w:val="20"/>
          <w:szCs w:val="20"/>
        </w:rPr>
        <w:t>, no se le habría asignado carácter de urgencia</w:t>
      </w:r>
      <w:r w:rsidR="00467D35" w:rsidRPr="002C0D1E">
        <w:rPr>
          <w:rStyle w:val="Refdenotaalpie"/>
          <w:rFonts w:ascii="Verdana" w:hAnsi="Verdana"/>
          <w:sz w:val="20"/>
          <w:szCs w:val="20"/>
        </w:rPr>
        <w:footnoteReference w:id="83"/>
      </w:r>
      <w:r w:rsidR="00467D35" w:rsidRPr="002C0D1E">
        <w:rPr>
          <w:rFonts w:ascii="Verdana" w:hAnsi="Verdana"/>
          <w:sz w:val="20"/>
          <w:szCs w:val="20"/>
        </w:rPr>
        <w:t>.</w:t>
      </w:r>
      <w:r w:rsidR="00467D35" w:rsidRPr="006D4C74">
        <w:rPr>
          <w:rFonts w:ascii="Verdana" w:hAnsi="Verdana"/>
          <w:sz w:val="20"/>
          <w:szCs w:val="20"/>
        </w:rPr>
        <w:t xml:space="preserve"> </w:t>
      </w:r>
      <w:r w:rsidR="002B33AF" w:rsidRPr="006D4C74">
        <w:rPr>
          <w:rFonts w:ascii="Verdana" w:hAnsi="Verdana"/>
          <w:sz w:val="20"/>
          <w:szCs w:val="20"/>
        </w:rPr>
        <w:t>Este Tribunal no cuenta con</w:t>
      </w:r>
      <w:r w:rsidR="009821AF" w:rsidRPr="006D4C74">
        <w:rPr>
          <w:rFonts w:ascii="Verdana" w:hAnsi="Verdana"/>
          <w:sz w:val="20"/>
          <w:szCs w:val="20"/>
        </w:rPr>
        <w:t xml:space="preserve"> información actualizada sobre el </w:t>
      </w:r>
      <w:r w:rsidR="002C0D1E">
        <w:rPr>
          <w:rFonts w:ascii="Verdana" w:hAnsi="Verdana"/>
          <w:sz w:val="20"/>
          <w:szCs w:val="20"/>
        </w:rPr>
        <w:t>estado</w:t>
      </w:r>
      <w:r w:rsidR="009821AF" w:rsidRPr="006D4C74">
        <w:rPr>
          <w:rFonts w:ascii="Verdana" w:hAnsi="Verdana"/>
          <w:sz w:val="20"/>
          <w:szCs w:val="20"/>
        </w:rPr>
        <w:t xml:space="preserve"> en el que se encuentra el trámite legislativo del referido proyecto de ley, siendo necesario que en su próximo informe se refiera al respecto. </w:t>
      </w:r>
      <w:r w:rsidR="00467D35" w:rsidRPr="006D4C74">
        <w:rPr>
          <w:rFonts w:ascii="Verdana" w:hAnsi="Verdana"/>
          <w:sz w:val="20"/>
          <w:szCs w:val="20"/>
        </w:rPr>
        <w:t xml:space="preserve">Asimismo, los representantes de las víctimas y la Comisión </w:t>
      </w:r>
      <w:r w:rsidR="008C249D" w:rsidRPr="006D4C74">
        <w:rPr>
          <w:rFonts w:ascii="Verdana" w:hAnsi="Verdana"/>
          <w:sz w:val="20"/>
          <w:szCs w:val="20"/>
        </w:rPr>
        <w:t xml:space="preserve">han expresado </w:t>
      </w:r>
      <w:r w:rsidR="00276C30" w:rsidRPr="006D4C74">
        <w:rPr>
          <w:rFonts w:ascii="Verdana" w:hAnsi="Verdana"/>
          <w:sz w:val="20"/>
          <w:szCs w:val="20"/>
        </w:rPr>
        <w:t xml:space="preserve">varias </w:t>
      </w:r>
      <w:r w:rsidR="008C249D" w:rsidRPr="006D4C74">
        <w:rPr>
          <w:rFonts w:ascii="Verdana" w:hAnsi="Verdana"/>
          <w:sz w:val="20"/>
          <w:szCs w:val="20"/>
        </w:rPr>
        <w:t>críticas y objeciones al contenido del proyecto de ley (</w:t>
      </w:r>
      <w:r w:rsidR="008C249D" w:rsidRPr="002C0D1E">
        <w:rPr>
          <w:rFonts w:ascii="Verdana" w:hAnsi="Verdana"/>
          <w:i/>
          <w:sz w:val="20"/>
          <w:szCs w:val="20"/>
        </w:rPr>
        <w:t>supra</w:t>
      </w:r>
      <w:r w:rsidR="008C249D" w:rsidRPr="006D4C74">
        <w:rPr>
          <w:rFonts w:ascii="Verdana" w:hAnsi="Verdana"/>
          <w:sz w:val="20"/>
          <w:szCs w:val="20"/>
        </w:rPr>
        <w:t xml:space="preserve"> Considerando</w:t>
      </w:r>
      <w:r w:rsidR="00946527">
        <w:rPr>
          <w:rFonts w:ascii="Verdana" w:hAnsi="Verdana"/>
          <w:sz w:val="20"/>
          <w:szCs w:val="20"/>
        </w:rPr>
        <w:t>s</w:t>
      </w:r>
      <w:r w:rsidR="008C249D" w:rsidRPr="006D4C74">
        <w:rPr>
          <w:rFonts w:ascii="Verdana" w:hAnsi="Verdana"/>
          <w:sz w:val="20"/>
          <w:szCs w:val="20"/>
        </w:rPr>
        <w:t xml:space="preserve"> </w:t>
      </w:r>
      <w:r w:rsidR="00946527">
        <w:rPr>
          <w:rFonts w:ascii="Verdana" w:hAnsi="Verdana"/>
          <w:sz w:val="20"/>
          <w:szCs w:val="20"/>
        </w:rPr>
        <w:t>55 a 58 y 60</w:t>
      </w:r>
      <w:r w:rsidR="008C249D" w:rsidRPr="006D4C74">
        <w:rPr>
          <w:rFonts w:ascii="Verdana" w:hAnsi="Verdana"/>
          <w:sz w:val="20"/>
          <w:szCs w:val="20"/>
        </w:rPr>
        <w:t>)</w:t>
      </w:r>
      <w:r w:rsidR="002C0D1E">
        <w:rPr>
          <w:rFonts w:ascii="Verdana" w:hAnsi="Verdana"/>
          <w:sz w:val="20"/>
          <w:szCs w:val="20"/>
        </w:rPr>
        <w:t xml:space="preserve">, </w:t>
      </w:r>
      <w:r w:rsidR="008C249D" w:rsidRPr="006D4C74">
        <w:rPr>
          <w:rFonts w:ascii="Verdana" w:hAnsi="Verdana"/>
          <w:sz w:val="20"/>
          <w:szCs w:val="20"/>
        </w:rPr>
        <w:t>a l</w:t>
      </w:r>
      <w:r w:rsidR="002C0D1E">
        <w:rPr>
          <w:rFonts w:ascii="Verdana" w:hAnsi="Verdana"/>
          <w:sz w:val="20"/>
          <w:szCs w:val="20"/>
        </w:rPr>
        <w:t xml:space="preserve">as </w:t>
      </w:r>
      <w:r w:rsidR="008C249D" w:rsidRPr="006D4C74">
        <w:rPr>
          <w:rFonts w:ascii="Verdana" w:hAnsi="Verdana"/>
          <w:sz w:val="20"/>
          <w:szCs w:val="20"/>
        </w:rPr>
        <w:t>cuales Chile no ha hecho referencia</w:t>
      </w:r>
      <w:r w:rsidR="009821AF" w:rsidRPr="006D4C74">
        <w:rPr>
          <w:rFonts w:ascii="Verdana" w:hAnsi="Verdana"/>
          <w:sz w:val="20"/>
          <w:szCs w:val="20"/>
        </w:rPr>
        <w:t>, por lo cual se requiere que en el referido informe también exprese su posición al respecto</w:t>
      </w:r>
      <w:r w:rsidR="008C249D" w:rsidRPr="006D4C74">
        <w:rPr>
          <w:rFonts w:ascii="Verdana" w:hAnsi="Verdana"/>
          <w:sz w:val="20"/>
          <w:szCs w:val="20"/>
        </w:rPr>
        <w:t>.</w:t>
      </w:r>
      <w:r w:rsidR="00F67EFF">
        <w:rPr>
          <w:rFonts w:ascii="Verdana" w:hAnsi="Verdana"/>
          <w:sz w:val="20"/>
          <w:szCs w:val="20"/>
        </w:rPr>
        <w:t xml:space="preserve"> En particular, es necesario que explique cómo </w:t>
      </w:r>
      <w:r w:rsidR="00946527">
        <w:rPr>
          <w:rFonts w:ascii="Verdana" w:hAnsi="Verdana"/>
          <w:sz w:val="20"/>
          <w:szCs w:val="20"/>
        </w:rPr>
        <w:t xml:space="preserve">el </w:t>
      </w:r>
      <w:r w:rsidR="00F67EFF">
        <w:rPr>
          <w:rFonts w:ascii="Verdana" w:hAnsi="Verdana"/>
          <w:sz w:val="20"/>
          <w:szCs w:val="20"/>
        </w:rPr>
        <w:t xml:space="preserve">proyecto de ley propuesto regula las medidas de contrapeso de la reserva de identidad de testigos, de manera tal que aseguren que la afectación al derecho de defensa sea suficientemente contrarrestada para que este medio de prueba no tenga un grado decisivo para fundar una condena. </w:t>
      </w:r>
    </w:p>
    <w:p w:rsidR="00850A3B" w:rsidRPr="006D4C74" w:rsidRDefault="00276C30" w:rsidP="00857630">
      <w:pPr>
        <w:pStyle w:val="Cuerpodeltexto110"/>
        <w:numPr>
          <w:ilvl w:val="0"/>
          <w:numId w:val="28"/>
        </w:numPr>
        <w:shd w:val="clear" w:color="auto" w:fill="auto"/>
        <w:spacing w:before="120" w:after="120" w:line="240" w:lineRule="auto"/>
        <w:ind w:left="0" w:right="20" w:firstLine="0"/>
        <w:rPr>
          <w:rFonts w:ascii="Verdana" w:hAnsi="Verdana"/>
          <w:b/>
          <w:sz w:val="20"/>
          <w:szCs w:val="20"/>
        </w:rPr>
      </w:pPr>
      <w:r w:rsidRPr="006D4C74">
        <w:rPr>
          <w:rFonts w:ascii="Verdana" w:hAnsi="Verdana"/>
          <w:sz w:val="20"/>
          <w:szCs w:val="20"/>
        </w:rPr>
        <w:t>En virtud de lo anterior</w:t>
      </w:r>
      <w:r w:rsidR="008C249D" w:rsidRPr="006D4C74">
        <w:rPr>
          <w:rFonts w:ascii="Verdana" w:hAnsi="Verdana"/>
          <w:sz w:val="20"/>
          <w:szCs w:val="20"/>
        </w:rPr>
        <w:t>, este Tribunal estima necesario recordar que la obligación contenida en la presente medida de reparación no debe limitarse a impulsar el proyecto de ley correspondiente</w:t>
      </w:r>
      <w:r w:rsidRPr="006D4C74">
        <w:rPr>
          <w:rFonts w:ascii="Verdana" w:hAnsi="Verdana"/>
          <w:sz w:val="20"/>
          <w:szCs w:val="20"/>
        </w:rPr>
        <w:t xml:space="preserve">, sino que </w:t>
      </w:r>
      <w:r w:rsidR="002C0D1E">
        <w:rPr>
          <w:rFonts w:ascii="Verdana" w:hAnsi="Verdana"/>
          <w:sz w:val="20"/>
          <w:szCs w:val="20"/>
        </w:rPr>
        <w:t xml:space="preserve">se </w:t>
      </w:r>
      <w:r w:rsidRPr="006D4C74">
        <w:rPr>
          <w:rFonts w:ascii="Verdana" w:hAnsi="Verdana"/>
          <w:sz w:val="20"/>
          <w:szCs w:val="20"/>
        </w:rPr>
        <w:t>debe asegurar su pronta sanción y entrada en vigor, de acuerdo con los procedimientos establecidos en el ordenamiento jurídico interno. Asimismo, el Estado debe asegurar que el trámite legislativo no culmine con la aprobación y vigencia de normativa que no se ajuste, en el caso concreto</w:t>
      </w:r>
      <w:r w:rsidR="002C0D1E">
        <w:rPr>
          <w:rFonts w:ascii="Verdana" w:hAnsi="Verdana"/>
          <w:sz w:val="20"/>
          <w:szCs w:val="20"/>
        </w:rPr>
        <w:t>,</w:t>
      </w:r>
      <w:r w:rsidRPr="006D4C74">
        <w:rPr>
          <w:rFonts w:ascii="Verdana" w:hAnsi="Verdana"/>
          <w:sz w:val="20"/>
          <w:szCs w:val="20"/>
        </w:rPr>
        <w:t xml:space="preserve"> a lo previsto en el artículo 8.2. f) de la Convención Americana</w:t>
      </w:r>
      <w:r w:rsidR="002C0D1E">
        <w:rPr>
          <w:rFonts w:ascii="Verdana" w:hAnsi="Verdana"/>
          <w:sz w:val="20"/>
          <w:szCs w:val="20"/>
        </w:rPr>
        <w:t>, a los</w:t>
      </w:r>
      <w:r w:rsidRPr="006D4C74">
        <w:rPr>
          <w:rFonts w:ascii="Verdana" w:hAnsi="Verdana"/>
          <w:sz w:val="20"/>
          <w:szCs w:val="20"/>
        </w:rPr>
        <w:t xml:space="preserve"> estándares internacionales y/o que no cumpla a cabalidad con lo ordenado por este Tribunal. Por esta razón, es de fundamental relevancia que Chile tome en </w:t>
      </w:r>
      <w:r w:rsidR="004C5AF8" w:rsidRPr="006D4C74">
        <w:rPr>
          <w:rFonts w:ascii="Verdana" w:hAnsi="Verdana"/>
          <w:sz w:val="20"/>
          <w:szCs w:val="20"/>
        </w:rPr>
        <w:t>cuenta que la normativa que eventualmente apruebe debe cumplir con lo dispuesto en los párrafos 242 a 247</w:t>
      </w:r>
      <w:r w:rsidR="001E12A7" w:rsidRPr="006D4C74">
        <w:rPr>
          <w:rFonts w:ascii="Verdana" w:hAnsi="Verdana"/>
          <w:sz w:val="20"/>
          <w:szCs w:val="20"/>
        </w:rPr>
        <w:t xml:space="preserve"> </w:t>
      </w:r>
      <w:r w:rsidR="00946527">
        <w:rPr>
          <w:rFonts w:ascii="Verdana" w:hAnsi="Verdana"/>
          <w:sz w:val="20"/>
          <w:szCs w:val="20"/>
        </w:rPr>
        <w:t xml:space="preserve">de la Sentencia, </w:t>
      </w:r>
      <w:r w:rsidR="001E12A7" w:rsidRPr="006D4C74">
        <w:rPr>
          <w:rFonts w:ascii="Verdana" w:hAnsi="Verdana"/>
          <w:sz w:val="20"/>
          <w:szCs w:val="20"/>
        </w:rPr>
        <w:t xml:space="preserve">en relación a que la medida procesal de protección de </w:t>
      </w:r>
      <w:r w:rsidR="001E12A7" w:rsidRPr="006D4C74">
        <w:rPr>
          <w:rFonts w:ascii="Verdana" w:hAnsi="Verdana"/>
          <w:sz w:val="20"/>
          <w:szCs w:val="20"/>
        </w:rPr>
        <w:lastRenderedPageBreak/>
        <w:t>testigos relativa a la reserva de identidad debe tratarse de una medida excepcional, sujeta a control judicial, y que no puede ser utilizado como medio de prueba en grado decisivo para fundar una condena penal, así como regular las correspondientes medidas de contrapeso para asegurar que la afectación al derecho de defensa sea suficientemente contrarrestada</w:t>
      </w:r>
      <w:r w:rsidR="004C5AF8" w:rsidRPr="006D4C74">
        <w:rPr>
          <w:rFonts w:ascii="Verdana" w:hAnsi="Verdana"/>
          <w:sz w:val="20"/>
          <w:szCs w:val="20"/>
        </w:rPr>
        <w:t>. Una vez sea ap</w:t>
      </w:r>
      <w:r w:rsidR="001E12A7" w:rsidRPr="006D4C74">
        <w:rPr>
          <w:rFonts w:ascii="Verdana" w:hAnsi="Verdana"/>
          <w:sz w:val="20"/>
          <w:szCs w:val="20"/>
        </w:rPr>
        <w:t xml:space="preserve">robada legalmente una normativa, la Corte evaluará si la misma se adecua a dichos estándares. </w:t>
      </w:r>
    </w:p>
    <w:p w:rsidR="000314A4" w:rsidRPr="00F67EFF" w:rsidRDefault="001E12A7" w:rsidP="00857630">
      <w:pPr>
        <w:pStyle w:val="Cuerpodeltexto110"/>
        <w:numPr>
          <w:ilvl w:val="0"/>
          <w:numId w:val="28"/>
        </w:numPr>
        <w:shd w:val="clear" w:color="auto" w:fill="auto"/>
        <w:spacing w:before="120" w:after="120" w:line="240" w:lineRule="auto"/>
        <w:ind w:left="0" w:right="20" w:firstLine="0"/>
        <w:rPr>
          <w:rFonts w:ascii="Verdana" w:hAnsi="Verdana"/>
          <w:b/>
          <w:sz w:val="20"/>
          <w:szCs w:val="20"/>
        </w:rPr>
      </w:pPr>
      <w:r w:rsidRPr="006D4C74">
        <w:rPr>
          <w:rFonts w:ascii="Verdana" w:hAnsi="Verdana"/>
          <w:sz w:val="20"/>
          <w:szCs w:val="20"/>
        </w:rPr>
        <w:t xml:space="preserve">Por otra parte, la </w:t>
      </w:r>
      <w:r w:rsidRPr="00903DE2">
        <w:rPr>
          <w:rFonts w:ascii="Verdana" w:hAnsi="Verdana"/>
          <w:i/>
          <w:sz w:val="20"/>
          <w:szCs w:val="20"/>
        </w:rPr>
        <w:t>representante Myriam Reyes</w:t>
      </w:r>
      <w:r w:rsidRPr="006D4C74">
        <w:rPr>
          <w:rFonts w:ascii="Verdana" w:hAnsi="Verdana"/>
          <w:sz w:val="20"/>
          <w:szCs w:val="20"/>
        </w:rPr>
        <w:t xml:space="preserve"> informó que en julio de 201</w:t>
      </w:r>
      <w:r w:rsidR="00A803BE" w:rsidRPr="006D4C74">
        <w:rPr>
          <w:rFonts w:ascii="Verdana" w:hAnsi="Verdana"/>
          <w:sz w:val="20"/>
          <w:szCs w:val="20"/>
        </w:rPr>
        <w:t>6 habría entrado en vigencia</w:t>
      </w:r>
      <w:r w:rsidRPr="006D4C74">
        <w:rPr>
          <w:rFonts w:ascii="Verdana" w:hAnsi="Verdana"/>
          <w:sz w:val="20"/>
          <w:szCs w:val="20"/>
        </w:rPr>
        <w:t xml:space="preserve"> </w:t>
      </w:r>
      <w:r w:rsidR="00A52C44" w:rsidRPr="006D4C74">
        <w:rPr>
          <w:rFonts w:ascii="Verdana" w:hAnsi="Verdana"/>
          <w:sz w:val="20"/>
          <w:szCs w:val="20"/>
        </w:rPr>
        <w:t>una modificación</w:t>
      </w:r>
      <w:r w:rsidR="00A803BE" w:rsidRPr="006D4C74">
        <w:rPr>
          <w:rFonts w:ascii="Verdana" w:hAnsi="Verdana"/>
          <w:sz w:val="20"/>
          <w:szCs w:val="20"/>
        </w:rPr>
        <w:t xml:space="preserve"> </w:t>
      </w:r>
      <w:r w:rsidR="00A52C44" w:rsidRPr="006D4C74">
        <w:rPr>
          <w:rFonts w:ascii="Verdana" w:hAnsi="Verdana"/>
          <w:sz w:val="20"/>
          <w:szCs w:val="20"/>
        </w:rPr>
        <w:t>a</w:t>
      </w:r>
      <w:r w:rsidR="00A803BE" w:rsidRPr="006D4C74">
        <w:rPr>
          <w:rFonts w:ascii="Verdana" w:hAnsi="Verdana"/>
          <w:sz w:val="20"/>
          <w:szCs w:val="20"/>
        </w:rPr>
        <w:t>l artículo 308 del C</w:t>
      </w:r>
      <w:r w:rsidR="00A52C44" w:rsidRPr="006D4C74">
        <w:rPr>
          <w:rFonts w:ascii="Verdana" w:hAnsi="Verdana"/>
          <w:sz w:val="20"/>
          <w:szCs w:val="20"/>
        </w:rPr>
        <w:t xml:space="preserve">ódigo Procesal Penal, que regula las medidas de </w:t>
      </w:r>
      <w:r w:rsidR="002C0D1E">
        <w:rPr>
          <w:rFonts w:ascii="Verdana" w:hAnsi="Verdana"/>
          <w:sz w:val="20"/>
          <w:szCs w:val="20"/>
        </w:rPr>
        <w:t>“</w:t>
      </w:r>
      <w:r w:rsidR="00A52C44" w:rsidRPr="006D4C74">
        <w:rPr>
          <w:rFonts w:ascii="Verdana" w:hAnsi="Verdana"/>
          <w:sz w:val="20"/>
          <w:szCs w:val="20"/>
        </w:rPr>
        <w:t>protección a los testigos</w:t>
      </w:r>
      <w:r w:rsidR="002C0D1E">
        <w:rPr>
          <w:rFonts w:ascii="Verdana" w:hAnsi="Verdana"/>
          <w:sz w:val="20"/>
          <w:szCs w:val="20"/>
        </w:rPr>
        <w:t>”</w:t>
      </w:r>
      <w:r w:rsidR="004A680A">
        <w:rPr>
          <w:rFonts w:ascii="Verdana" w:hAnsi="Verdana"/>
          <w:sz w:val="20"/>
          <w:szCs w:val="20"/>
        </w:rPr>
        <w:t xml:space="preserve">. La </w:t>
      </w:r>
      <w:r w:rsidR="00946527">
        <w:rPr>
          <w:rFonts w:ascii="Verdana" w:hAnsi="Verdana"/>
          <w:sz w:val="20"/>
          <w:szCs w:val="20"/>
        </w:rPr>
        <w:t xml:space="preserve">referida </w:t>
      </w:r>
      <w:r w:rsidR="004A680A">
        <w:rPr>
          <w:rFonts w:ascii="Verdana" w:hAnsi="Verdana"/>
          <w:sz w:val="20"/>
          <w:szCs w:val="20"/>
        </w:rPr>
        <w:t>representante afirma que esa norma</w:t>
      </w:r>
      <w:r w:rsidR="00A52C44" w:rsidRPr="006D4C74">
        <w:rPr>
          <w:rFonts w:ascii="Verdana" w:hAnsi="Verdana"/>
          <w:sz w:val="20"/>
          <w:szCs w:val="20"/>
        </w:rPr>
        <w:t xml:space="preserve"> permitiría “decretar el secreto de la identidad de uno o más testigos</w:t>
      </w:r>
      <w:r w:rsidR="00A52C44" w:rsidRPr="006D4C74">
        <w:rPr>
          <w:rFonts w:ascii="Verdana" w:hAnsi="Verdana"/>
          <w:sz w:val="16"/>
          <w:szCs w:val="16"/>
        </w:rPr>
        <w:t xml:space="preserve">” </w:t>
      </w:r>
      <w:r w:rsidR="00A52C44" w:rsidRPr="006D4C74">
        <w:rPr>
          <w:rFonts w:ascii="Verdana" w:hAnsi="Verdana"/>
          <w:sz w:val="20"/>
          <w:szCs w:val="20"/>
        </w:rPr>
        <w:t xml:space="preserve">sin </w:t>
      </w:r>
      <w:r w:rsidR="002C0D1E">
        <w:rPr>
          <w:rFonts w:ascii="Verdana" w:hAnsi="Verdana"/>
          <w:sz w:val="20"/>
          <w:szCs w:val="20"/>
        </w:rPr>
        <w:t xml:space="preserve">que se respeten </w:t>
      </w:r>
      <w:r w:rsidR="00A52C44" w:rsidRPr="006D4C74">
        <w:rPr>
          <w:rFonts w:ascii="Verdana" w:hAnsi="Verdana"/>
          <w:sz w:val="20"/>
          <w:szCs w:val="20"/>
        </w:rPr>
        <w:t>los estándares dispuestos en la Sentencia del presente caso (</w:t>
      </w:r>
      <w:r w:rsidR="00A52C44" w:rsidRPr="006D4C74">
        <w:rPr>
          <w:rFonts w:ascii="Verdana" w:hAnsi="Verdana"/>
          <w:i/>
          <w:sz w:val="20"/>
          <w:szCs w:val="20"/>
        </w:rPr>
        <w:t>supra</w:t>
      </w:r>
      <w:r w:rsidR="00A52C44" w:rsidRPr="006D4C74">
        <w:rPr>
          <w:rFonts w:ascii="Verdana" w:hAnsi="Verdana"/>
          <w:sz w:val="20"/>
          <w:szCs w:val="20"/>
        </w:rPr>
        <w:t xml:space="preserve"> Considerando</w:t>
      </w:r>
      <w:r w:rsidR="00946527">
        <w:rPr>
          <w:rFonts w:ascii="Verdana" w:hAnsi="Verdana"/>
          <w:sz w:val="20"/>
          <w:szCs w:val="20"/>
        </w:rPr>
        <w:t>57</w:t>
      </w:r>
      <w:r w:rsidR="00A52C44" w:rsidRPr="006D4C74">
        <w:rPr>
          <w:rFonts w:ascii="Verdana" w:hAnsi="Verdana"/>
          <w:sz w:val="20"/>
          <w:szCs w:val="20"/>
        </w:rPr>
        <w:t xml:space="preserve">). </w:t>
      </w:r>
      <w:r w:rsidR="00A52C44" w:rsidRPr="00F67EFF">
        <w:rPr>
          <w:rFonts w:ascii="Verdana" w:hAnsi="Verdana"/>
          <w:sz w:val="20"/>
          <w:szCs w:val="20"/>
        </w:rPr>
        <w:t xml:space="preserve">La Corte no cuenta con información del Estado respecto </w:t>
      </w:r>
      <w:r w:rsidR="00D63FED" w:rsidRPr="00F67EFF">
        <w:rPr>
          <w:rFonts w:ascii="Verdana" w:hAnsi="Verdana"/>
          <w:sz w:val="20"/>
          <w:szCs w:val="20"/>
        </w:rPr>
        <w:t xml:space="preserve">a </w:t>
      </w:r>
      <w:r w:rsidR="00F67EFF" w:rsidRPr="00F67EFF">
        <w:rPr>
          <w:rFonts w:ascii="Verdana" w:hAnsi="Verdana"/>
          <w:sz w:val="20"/>
          <w:szCs w:val="20"/>
        </w:rPr>
        <w:t xml:space="preserve">la referida reforma, </w:t>
      </w:r>
      <w:r w:rsidR="004A680A" w:rsidRPr="00F67EFF">
        <w:rPr>
          <w:rFonts w:ascii="Verdana" w:hAnsi="Verdana"/>
          <w:sz w:val="20"/>
          <w:szCs w:val="20"/>
        </w:rPr>
        <w:t>sus</w:t>
      </w:r>
      <w:r w:rsidR="00D63FED" w:rsidRPr="00F67EFF">
        <w:rPr>
          <w:rFonts w:ascii="Verdana" w:hAnsi="Verdana"/>
          <w:sz w:val="20"/>
          <w:szCs w:val="20"/>
        </w:rPr>
        <w:t xml:space="preserve"> implicaciones</w:t>
      </w:r>
      <w:r w:rsidR="00A52C44" w:rsidRPr="00F67EFF">
        <w:rPr>
          <w:rFonts w:ascii="Verdana" w:hAnsi="Verdana"/>
          <w:sz w:val="20"/>
          <w:szCs w:val="20"/>
        </w:rPr>
        <w:t>,</w:t>
      </w:r>
      <w:r w:rsidR="00F67EFF" w:rsidRPr="00F67EFF">
        <w:rPr>
          <w:rFonts w:ascii="Verdana" w:hAnsi="Verdana"/>
          <w:sz w:val="20"/>
          <w:szCs w:val="20"/>
        </w:rPr>
        <w:t xml:space="preserve"> </w:t>
      </w:r>
      <w:r w:rsidR="00946527">
        <w:rPr>
          <w:rFonts w:ascii="Verdana" w:hAnsi="Verdana"/>
          <w:sz w:val="20"/>
          <w:szCs w:val="20"/>
        </w:rPr>
        <w:t>o</w:t>
      </w:r>
      <w:r w:rsidR="00946527" w:rsidRPr="00F67EFF">
        <w:rPr>
          <w:rFonts w:ascii="Verdana" w:hAnsi="Verdana"/>
          <w:sz w:val="20"/>
          <w:szCs w:val="20"/>
        </w:rPr>
        <w:t xml:space="preserve"> </w:t>
      </w:r>
      <w:r w:rsidR="00F67EFF" w:rsidRPr="00F67EFF">
        <w:rPr>
          <w:rFonts w:ascii="Verdana" w:hAnsi="Verdana"/>
          <w:sz w:val="20"/>
          <w:szCs w:val="20"/>
        </w:rPr>
        <w:t>si la manera en que ésta regula la reserva de identidad de testigos cumpliría con los estándares establecidos en la Sentencia,</w:t>
      </w:r>
      <w:r w:rsidR="00A52C44" w:rsidRPr="00F67EFF">
        <w:rPr>
          <w:rFonts w:ascii="Verdana" w:hAnsi="Verdana"/>
          <w:sz w:val="20"/>
          <w:szCs w:val="20"/>
        </w:rPr>
        <w:t xml:space="preserve"> siendo necesario que en su próximo informe se refiera al respecto para </w:t>
      </w:r>
      <w:r w:rsidR="00946527">
        <w:rPr>
          <w:rFonts w:ascii="Verdana" w:hAnsi="Verdana"/>
          <w:sz w:val="20"/>
          <w:szCs w:val="20"/>
        </w:rPr>
        <w:t>que este Tribunal pueda</w:t>
      </w:r>
      <w:r w:rsidR="00A52C44" w:rsidRPr="00F67EFF">
        <w:rPr>
          <w:rFonts w:ascii="Verdana" w:hAnsi="Verdana"/>
          <w:sz w:val="20"/>
          <w:szCs w:val="20"/>
        </w:rPr>
        <w:t xml:space="preserve"> realizar alguna valoración.</w:t>
      </w:r>
      <w:r w:rsidR="00A52C44" w:rsidRPr="006D4C74">
        <w:rPr>
          <w:rFonts w:ascii="Verdana" w:hAnsi="Verdana"/>
          <w:sz w:val="20"/>
          <w:szCs w:val="20"/>
        </w:rPr>
        <w:t xml:space="preserve"> </w:t>
      </w:r>
    </w:p>
    <w:p w:rsidR="000314A4" w:rsidRPr="00F67EFF" w:rsidRDefault="00F67EFF" w:rsidP="00857630">
      <w:pPr>
        <w:pStyle w:val="Cuerpodeltexto110"/>
        <w:numPr>
          <w:ilvl w:val="0"/>
          <w:numId w:val="28"/>
        </w:numPr>
        <w:shd w:val="clear" w:color="auto" w:fill="auto"/>
        <w:spacing w:before="120" w:after="120" w:line="240" w:lineRule="auto"/>
        <w:ind w:left="0" w:right="20" w:firstLine="0"/>
        <w:rPr>
          <w:rFonts w:ascii="Verdana" w:hAnsi="Verdana"/>
          <w:b/>
          <w:sz w:val="20"/>
          <w:szCs w:val="20"/>
        </w:rPr>
      </w:pPr>
      <w:r>
        <w:rPr>
          <w:rFonts w:ascii="Verdana" w:hAnsi="Verdana"/>
          <w:sz w:val="20"/>
          <w:szCs w:val="20"/>
        </w:rPr>
        <w:t xml:space="preserve">Este </w:t>
      </w:r>
      <w:r w:rsidR="00946527">
        <w:rPr>
          <w:rFonts w:ascii="Verdana" w:hAnsi="Verdana"/>
          <w:sz w:val="20"/>
          <w:szCs w:val="20"/>
        </w:rPr>
        <w:t>Corte</w:t>
      </w:r>
      <w:r w:rsidR="00946527" w:rsidRPr="00F67EFF">
        <w:rPr>
          <w:rFonts w:ascii="Verdana" w:hAnsi="Verdana"/>
          <w:sz w:val="20"/>
          <w:szCs w:val="20"/>
        </w:rPr>
        <w:t xml:space="preserve"> </w:t>
      </w:r>
      <w:r w:rsidR="004A680A" w:rsidRPr="00F67EFF">
        <w:rPr>
          <w:rFonts w:ascii="Verdana" w:hAnsi="Verdana"/>
          <w:sz w:val="20"/>
          <w:szCs w:val="20"/>
        </w:rPr>
        <w:t xml:space="preserve">recuerda que, de acuerdo a </w:t>
      </w:r>
      <w:r w:rsidR="00D63FED" w:rsidRPr="00F67EFF">
        <w:rPr>
          <w:rFonts w:ascii="Verdana" w:hAnsi="Verdana"/>
          <w:sz w:val="20"/>
          <w:szCs w:val="20"/>
        </w:rPr>
        <w:t xml:space="preserve">lo dispuesto en el artículo 2 de la Convención Americana sobre Derechos Humanos, </w:t>
      </w:r>
      <w:r w:rsidR="00D329B7" w:rsidRPr="00F67EFF">
        <w:rPr>
          <w:rFonts w:ascii="Verdana" w:hAnsi="Verdana"/>
          <w:sz w:val="20"/>
          <w:szCs w:val="20"/>
        </w:rPr>
        <w:t xml:space="preserve">los Estados </w:t>
      </w:r>
      <w:r w:rsidR="004A680A" w:rsidRPr="00F67EFF">
        <w:rPr>
          <w:rFonts w:ascii="Verdana" w:hAnsi="Verdana"/>
          <w:sz w:val="20"/>
          <w:szCs w:val="20"/>
        </w:rPr>
        <w:t xml:space="preserve">Parte </w:t>
      </w:r>
      <w:r w:rsidR="00D329B7" w:rsidRPr="00F67EFF">
        <w:rPr>
          <w:rFonts w:ascii="Verdana" w:hAnsi="Verdana"/>
          <w:sz w:val="20"/>
          <w:szCs w:val="20"/>
        </w:rPr>
        <w:t xml:space="preserve">tienen la obligación de </w:t>
      </w:r>
      <w:r w:rsidR="00A84E8A" w:rsidRPr="00F67EFF">
        <w:rPr>
          <w:rFonts w:ascii="Verdana" w:hAnsi="Verdana"/>
          <w:sz w:val="20"/>
          <w:szCs w:val="20"/>
        </w:rPr>
        <w:t>dejar sin efecto disposiciones legales contrarias a la Convención</w:t>
      </w:r>
      <w:r w:rsidR="00A84E8A" w:rsidRPr="00F67EFF">
        <w:rPr>
          <w:rStyle w:val="Refdenotaalpie"/>
          <w:rFonts w:ascii="Verdana" w:hAnsi="Verdana"/>
          <w:sz w:val="20"/>
          <w:szCs w:val="20"/>
        </w:rPr>
        <w:footnoteReference w:id="84"/>
      </w:r>
      <w:r w:rsidR="00A84E8A" w:rsidRPr="00F67EFF">
        <w:rPr>
          <w:rFonts w:ascii="Verdana" w:hAnsi="Verdana"/>
          <w:sz w:val="20"/>
          <w:szCs w:val="20"/>
        </w:rPr>
        <w:t xml:space="preserve">. Adicionalmente, se </w:t>
      </w:r>
      <w:r w:rsidR="004A680A" w:rsidRPr="00F67EFF">
        <w:rPr>
          <w:rFonts w:ascii="Verdana" w:hAnsi="Verdana"/>
          <w:sz w:val="20"/>
          <w:szCs w:val="20"/>
        </w:rPr>
        <w:t xml:space="preserve">reitera </w:t>
      </w:r>
      <w:r w:rsidR="00A84E8A" w:rsidRPr="00F67EFF">
        <w:rPr>
          <w:rFonts w:ascii="Verdana" w:hAnsi="Verdana"/>
          <w:sz w:val="20"/>
          <w:szCs w:val="20"/>
        </w:rPr>
        <w:t>que</w:t>
      </w:r>
      <w:r w:rsidR="004A680A" w:rsidRPr="00F67EFF">
        <w:rPr>
          <w:rFonts w:ascii="Verdana" w:hAnsi="Verdana"/>
          <w:sz w:val="20"/>
          <w:szCs w:val="20"/>
        </w:rPr>
        <w:t>,</w:t>
      </w:r>
      <w:r w:rsidR="00A84E8A" w:rsidRPr="00F67EFF">
        <w:rPr>
          <w:rFonts w:ascii="Verdana" w:hAnsi="Verdana"/>
          <w:sz w:val="20"/>
          <w:szCs w:val="20"/>
        </w:rPr>
        <w:t xml:space="preserve"> al disponer </w:t>
      </w:r>
      <w:r w:rsidR="00356DA3" w:rsidRPr="00F67EFF">
        <w:rPr>
          <w:rFonts w:ascii="Verdana" w:hAnsi="Verdana"/>
          <w:sz w:val="20"/>
          <w:szCs w:val="20"/>
        </w:rPr>
        <w:t xml:space="preserve">en la Sentencia </w:t>
      </w:r>
      <w:r w:rsidR="00A84E8A" w:rsidRPr="00F67EFF">
        <w:rPr>
          <w:rFonts w:ascii="Verdana" w:hAnsi="Verdana"/>
          <w:sz w:val="20"/>
          <w:szCs w:val="20"/>
        </w:rPr>
        <w:t xml:space="preserve">la medida de reparación de adecuación del derecho interno en relación con </w:t>
      </w:r>
      <w:r w:rsidR="00356DA3" w:rsidRPr="00F67EFF">
        <w:rPr>
          <w:rFonts w:ascii="Verdana" w:hAnsi="Verdana"/>
          <w:sz w:val="20"/>
          <w:szCs w:val="20"/>
        </w:rPr>
        <w:t>el derecho a la defensa a interrogar testigos, la Corte estableció en el párrafo 436 de la misma que</w:t>
      </w:r>
      <w:r w:rsidR="00946527">
        <w:rPr>
          <w:rFonts w:ascii="Verdana" w:hAnsi="Verdana"/>
          <w:sz w:val="20"/>
          <w:szCs w:val="20"/>
        </w:rPr>
        <w:t>,</w:t>
      </w:r>
      <w:r w:rsidR="00356DA3" w:rsidRPr="00F67EFF">
        <w:rPr>
          <w:rFonts w:ascii="Verdana" w:hAnsi="Verdana"/>
          <w:sz w:val="20"/>
          <w:szCs w:val="20"/>
        </w:rPr>
        <w:t xml:space="preserve"> “a fin de garantizar dicho derecho […], las autoridades judiciales deben aplicar </w:t>
      </w:r>
      <w:r w:rsidR="00946527">
        <w:rPr>
          <w:rFonts w:ascii="Verdana" w:hAnsi="Verdana"/>
          <w:sz w:val="20"/>
          <w:szCs w:val="20"/>
        </w:rPr>
        <w:t>[</w:t>
      </w:r>
      <w:r w:rsidR="00356DA3" w:rsidRPr="00F67EFF">
        <w:rPr>
          <w:rFonts w:ascii="Verdana" w:hAnsi="Verdana"/>
          <w:sz w:val="20"/>
          <w:szCs w:val="20"/>
        </w:rPr>
        <w:t>l</w:t>
      </w:r>
      <w:r w:rsidR="00946527">
        <w:rPr>
          <w:rFonts w:ascii="Verdana" w:hAnsi="Verdana"/>
          <w:sz w:val="20"/>
          <w:szCs w:val="20"/>
        </w:rPr>
        <w:t>]</w:t>
      </w:r>
      <w:r w:rsidR="00356DA3" w:rsidRPr="00F67EFF">
        <w:rPr>
          <w:rFonts w:ascii="Verdana" w:hAnsi="Verdana"/>
          <w:sz w:val="20"/>
          <w:szCs w:val="20"/>
        </w:rPr>
        <w:t xml:space="preserve">os criterios </w:t>
      </w:r>
      <w:r w:rsidR="000541B6">
        <w:rPr>
          <w:rFonts w:ascii="Verdana" w:hAnsi="Verdana"/>
          <w:sz w:val="20"/>
          <w:szCs w:val="20"/>
        </w:rPr>
        <w:t xml:space="preserve">[…] </w:t>
      </w:r>
      <w:r w:rsidR="00356DA3" w:rsidRPr="00F67EFF">
        <w:rPr>
          <w:rFonts w:ascii="Verdana" w:hAnsi="Verdana"/>
          <w:sz w:val="20"/>
          <w:szCs w:val="20"/>
        </w:rPr>
        <w:t xml:space="preserve">establecidos por la Corte [en los párrafos] 242 [a] 247 [de la Sentencia,] en ejercicio del control de convencionalidad”. El cumplimiento de este deber es fundamental en tanto </w:t>
      </w:r>
      <w:r w:rsidR="000541B6">
        <w:rPr>
          <w:rFonts w:ascii="Verdana" w:hAnsi="Verdana"/>
          <w:sz w:val="20"/>
          <w:szCs w:val="20"/>
        </w:rPr>
        <w:t>Chile</w:t>
      </w:r>
      <w:r w:rsidR="00356DA3" w:rsidRPr="00F67EFF">
        <w:rPr>
          <w:rFonts w:ascii="Verdana" w:hAnsi="Verdana"/>
          <w:sz w:val="20"/>
          <w:szCs w:val="20"/>
        </w:rPr>
        <w:t xml:space="preserve"> no cumpla con su obligación principal de adecuar el ordenamiento jurídico interno para garantizar un derecho adecuado a la defensa a interrogar testigos.</w:t>
      </w:r>
      <w:r w:rsidR="00356DA3" w:rsidRPr="00F67EFF">
        <w:rPr>
          <w:rFonts w:ascii="Verdana" w:hAnsi="Verdana"/>
          <w:sz w:val="16"/>
          <w:szCs w:val="16"/>
        </w:rPr>
        <w:t xml:space="preserve"> </w:t>
      </w:r>
    </w:p>
    <w:p w:rsidR="00F67EFF" w:rsidRPr="00991BB9" w:rsidRDefault="00F67EFF" w:rsidP="00857630">
      <w:pPr>
        <w:pStyle w:val="Cuerpodeltexto110"/>
        <w:numPr>
          <w:ilvl w:val="0"/>
          <w:numId w:val="28"/>
        </w:numPr>
        <w:shd w:val="clear" w:color="auto" w:fill="auto"/>
        <w:spacing w:before="120" w:after="120" w:line="240" w:lineRule="auto"/>
        <w:ind w:left="0" w:right="20" w:firstLine="0"/>
        <w:rPr>
          <w:rFonts w:ascii="Verdana" w:hAnsi="Verdana"/>
          <w:sz w:val="20"/>
          <w:szCs w:val="20"/>
        </w:rPr>
      </w:pPr>
      <w:r>
        <w:rPr>
          <w:rFonts w:ascii="Verdana" w:hAnsi="Verdana"/>
          <w:sz w:val="20"/>
          <w:szCs w:val="20"/>
        </w:rPr>
        <w:t xml:space="preserve">Finalmente, respecto </w:t>
      </w:r>
      <w:r w:rsidRPr="00991BB9">
        <w:rPr>
          <w:rFonts w:ascii="Verdana" w:hAnsi="Verdana"/>
          <w:sz w:val="20"/>
          <w:szCs w:val="20"/>
        </w:rPr>
        <w:t xml:space="preserve">a las observaciones generales planteadas por los representantes de las víctimas en relación con las disposiciones y aplicación de la </w:t>
      </w:r>
      <w:r>
        <w:rPr>
          <w:rFonts w:ascii="Verdana" w:hAnsi="Verdana"/>
          <w:sz w:val="20"/>
          <w:szCs w:val="20"/>
        </w:rPr>
        <w:t>Ley No. 18.314 conocida como “L</w:t>
      </w:r>
      <w:r w:rsidRPr="00991BB9">
        <w:rPr>
          <w:rFonts w:ascii="Verdana" w:hAnsi="Verdana"/>
          <w:sz w:val="20"/>
          <w:szCs w:val="20"/>
        </w:rPr>
        <w:t xml:space="preserve">ey </w:t>
      </w:r>
      <w:r>
        <w:rPr>
          <w:rFonts w:ascii="Verdana" w:hAnsi="Verdana"/>
          <w:sz w:val="20"/>
          <w:szCs w:val="20"/>
        </w:rPr>
        <w:t>A</w:t>
      </w:r>
      <w:r w:rsidRPr="00991BB9">
        <w:rPr>
          <w:rFonts w:ascii="Verdana" w:hAnsi="Verdana"/>
          <w:sz w:val="20"/>
          <w:szCs w:val="20"/>
        </w:rPr>
        <w:t>ntiterrorista” (</w:t>
      </w:r>
      <w:r w:rsidRPr="00991BB9">
        <w:rPr>
          <w:rFonts w:ascii="Verdana" w:hAnsi="Verdana"/>
          <w:i/>
          <w:sz w:val="20"/>
          <w:szCs w:val="20"/>
        </w:rPr>
        <w:t>supra</w:t>
      </w:r>
      <w:r w:rsidRPr="00991BB9">
        <w:rPr>
          <w:rFonts w:ascii="Verdana" w:hAnsi="Verdana"/>
          <w:sz w:val="20"/>
          <w:szCs w:val="20"/>
        </w:rPr>
        <w:t xml:space="preserve"> Considerando </w:t>
      </w:r>
      <w:r w:rsidR="001A3B04">
        <w:rPr>
          <w:rFonts w:ascii="Verdana" w:hAnsi="Verdana"/>
          <w:sz w:val="20"/>
          <w:szCs w:val="20"/>
        </w:rPr>
        <w:t>59</w:t>
      </w:r>
      <w:r w:rsidRPr="00991BB9">
        <w:rPr>
          <w:rFonts w:ascii="Verdana" w:hAnsi="Verdana"/>
          <w:sz w:val="20"/>
          <w:szCs w:val="20"/>
        </w:rPr>
        <w:t>), este Tribunal recuerda que en la Sentencia</w:t>
      </w:r>
      <w:r>
        <w:rPr>
          <w:rFonts w:ascii="Verdana" w:hAnsi="Verdana"/>
          <w:sz w:val="20"/>
          <w:szCs w:val="20"/>
        </w:rPr>
        <w:t>, al pronunciarse sobre la solicitud de la Comisión y los representantes de las víctimas de que se ordenara como medida de reparación la adecuación del derecho interno en relación con dicha ley, este Tribunal</w:t>
      </w:r>
      <w:r w:rsidRPr="00991BB9">
        <w:rPr>
          <w:rFonts w:ascii="Verdana" w:hAnsi="Verdana"/>
          <w:sz w:val="20"/>
          <w:szCs w:val="20"/>
        </w:rPr>
        <w:t xml:space="preserve"> indicó que “no efectuar[ía] consideraciones abstractas sobre la normativa chilena respecto de la tipificación actual contenida en la Ley Antiterrorista”</w:t>
      </w:r>
      <w:r w:rsidR="005D02B3">
        <w:rPr>
          <w:rFonts w:ascii="Verdana" w:hAnsi="Verdana"/>
          <w:sz w:val="20"/>
          <w:szCs w:val="20"/>
        </w:rPr>
        <w:t>. Asimismo, agregó</w:t>
      </w:r>
      <w:r w:rsidRPr="00991BB9">
        <w:rPr>
          <w:rFonts w:ascii="Verdana" w:hAnsi="Verdana"/>
          <w:sz w:val="20"/>
          <w:szCs w:val="20"/>
        </w:rPr>
        <w:t xml:space="preserve"> que “[e]l hecho </w:t>
      </w:r>
      <w:r w:rsidR="005B5A76">
        <w:rPr>
          <w:rFonts w:ascii="Verdana" w:hAnsi="Verdana"/>
          <w:sz w:val="20"/>
          <w:szCs w:val="20"/>
        </w:rPr>
        <w:t xml:space="preserve">de </w:t>
      </w:r>
      <w:r w:rsidRPr="00991BB9">
        <w:rPr>
          <w:rFonts w:ascii="Verdana" w:hAnsi="Verdana"/>
          <w:sz w:val="20"/>
          <w:szCs w:val="20"/>
        </w:rPr>
        <w:t xml:space="preserve">que al pronunciarse sobre el fondo el Tribunal no [hubiera] considera[do] pertinente analizar en este caso otras alegadas violaciones derivadas de [dicha] regulación </w:t>
      </w:r>
      <w:r>
        <w:rPr>
          <w:rFonts w:ascii="Verdana" w:hAnsi="Verdana"/>
          <w:sz w:val="20"/>
          <w:szCs w:val="20"/>
        </w:rPr>
        <w:t>[...], no obsta[ba] para que Chile, de considerarlo necesario realiz[ara] una revisión de su legislación que tome en cuenta</w:t>
      </w:r>
      <w:r w:rsidR="005D02B3">
        <w:rPr>
          <w:rFonts w:ascii="Verdana" w:hAnsi="Verdana"/>
          <w:sz w:val="20"/>
          <w:szCs w:val="20"/>
        </w:rPr>
        <w:t xml:space="preserve"> los</w:t>
      </w:r>
      <w:r>
        <w:rPr>
          <w:rFonts w:ascii="Verdana" w:hAnsi="Verdana"/>
          <w:sz w:val="20"/>
          <w:szCs w:val="20"/>
        </w:rPr>
        <w:t xml:space="preserve"> aspectos señalados por órganos internacionales y expertos en la materia”</w:t>
      </w:r>
      <w:r>
        <w:rPr>
          <w:rStyle w:val="Refdenotaalpie"/>
          <w:rFonts w:ascii="Verdana" w:hAnsi="Verdana"/>
          <w:sz w:val="20"/>
          <w:szCs w:val="20"/>
        </w:rPr>
        <w:footnoteReference w:id="85"/>
      </w:r>
      <w:r>
        <w:rPr>
          <w:rFonts w:ascii="Verdana" w:hAnsi="Verdana"/>
          <w:sz w:val="20"/>
          <w:szCs w:val="20"/>
        </w:rPr>
        <w:t>. En consecuencia, durante la etapa de supervisión de cumplimiento de Sentencia tampoco corresponde al Tribunal realizar este tipo de consideraciones sobre la referida ley.</w:t>
      </w:r>
    </w:p>
    <w:p w:rsidR="006D4C74" w:rsidRPr="00CD12C2" w:rsidRDefault="00F67EFF" w:rsidP="00857630">
      <w:pPr>
        <w:pStyle w:val="Cuerpodeltexto110"/>
        <w:numPr>
          <w:ilvl w:val="0"/>
          <w:numId w:val="28"/>
        </w:numPr>
        <w:shd w:val="clear" w:color="auto" w:fill="auto"/>
        <w:spacing w:before="120" w:after="120" w:line="240" w:lineRule="auto"/>
        <w:ind w:left="0" w:right="20" w:firstLine="0"/>
        <w:rPr>
          <w:rFonts w:ascii="Verdana" w:hAnsi="Verdana"/>
          <w:b/>
          <w:sz w:val="20"/>
          <w:szCs w:val="20"/>
        </w:rPr>
      </w:pPr>
      <w:r>
        <w:rPr>
          <w:rFonts w:ascii="Verdana" w:hAnsi="Verdana"/>
          <w:sz w:val="20"/>
          <w:szCs w:val="20"/>
        </w:rPr>
        <w:t>Con base en lo expuesto, este Tribunal considera que e</w:t>
      </w:r>
      <w:r w:rsidR="000150EA">
        <w:rPr>
          <w:rFonts w:ascii="Verdana" w:hAnsi="Verdana"/>
          <w:sz w:val="20"/>
          <w:szCs w:val="20"/>
        </w:rPr>
        <w:t xml:space="preserve">l </w:t>
      </w:r>
      <w:r w:rsidR="006D4C74" w:rsidRPr="00CD12C2">
        <w:rPr>
          <w:rFonts w:ascii="Verdana" w:hAnsi="Verdana"/>
          <w:sz w:val="20"/>
          <w:szCs w:val="20"/>
        </w:rPr>
        <w:t xml:space="preserve">Estado </w:t>
      </w:r>
      <w:r w:rsidR="000150EA">
        <w:rPr>
          <w:rFonts w:ascii="Verdana" w:hAnsi="Verdana"/>
          <w:sz w:val="20"/>
          <w:szCs w:val="20"/>
        </w:rPr>
        <w:t>debe</w:t>
      </w:r>
      <w:r w:rsidR="006D4C74" w:rsidRPr="00CD12C2">
        <w:rPr>
          <w:rFonts w:ascii="Verdana" w:hAnsi="Verdana"/>
          <w:sz w:val="20"/>
          <w:szCs w:val="20"/>
        </w:rPr>
        <w:t xml:space="preserve"> </w:t>
      </w:r>
      <w:r w:rsidR="00CD12C2" w:rsidRPr="00CD12C2">
        <w:rPr>
          <w:rFonts w:ascii="Verdana" w:hAnsi="Verdana"/>
          <w:sz w:val="20"/>
          <w:szCs w:val="20"/>
        </w:rPr>
        <w:t>adopt</w:t>
      </w:r>
      <w:r w:rsidR="000150EA">
        <w:rPr>
          <w:rFonts w:ascii="Verdana" w:hAnsi="Verdana"/>
          <w:sz w:val="20"/>
          <w:szCs w:val="20"/>
        </w:rPr>
        <w:t>ar</w:t>
      </w:r>
      <w:r w:rsidR="00CD12C2" w:rsidRPr="00CD12C2">
        <w:rPr>
          <w:rFonts w:ascii="Verdana" w:hAnsi="Verdana"/>
          <w:sz w:val="20"/>
          <w:szCs w:val="20"/>
        </w:rPr>
        <w:t xml:space="preserve"> las medidas necesarias para garantizar, a la mayor brevedad posible, el cumplimiento de las medida de reparación ordenada en </w:t>
      </w:r>
      <w:r w:rsidR="005D02B3">
        <w:rPr>
          <w:rFonts w:ascii="Verdana" w:hAnsi="Verdana"/>
          <w:sz w:val="20"/>
          <w:szCs w:val="20"/>
        </w:rPr>
        <w:t>el</w:t>
      </w:r>
      <w:r w:rsidR="005D02B3" w:rsidRPr="00CD12C2">
        <w:rPr>
          <w:rFonts w:ascii="Verdana" w:hAnsi="Verdana"/>
          <w:sz w:val="20"/>
          <w:szCs w:val="20"/>
        </w:rPr>
        <w:t xml:space="preserve"> </w:t>
      </w:r>
      <w:r w:rsidR="00CD12C2" w:rsidRPr="00CD12C2">
        <w:rPr>
          <w:rFonts w:ascii="Verdana" w:hAnsi="Verdana"/>
          <w:sz w:val="20"/>
          <w:szCs w:val="20"/>
        </w:rPr>
        <w:t xml:space="preserve">punto dispositivo </w:t>
      </w:r>
      <w:r w:rsidR="005D02B3">
        <w:rPr>
          <w:rFonts w:ascii="Verdana" w:hAnsi="Verdana"/>
          <w:sz w:val="20"/>
          <w:szCs w:val="20"/>
        </w:rPr>
        <w:t>vigésimo</w:t>
      </w:r>
      <w:r w:rsidR="005D02B3" w:rsidRPr="00CD12C2">
        <w:rPr>
          <w:rFonts w:ascii="Verdana" w:hAnsi="Verdana"/>
          <w:sz w:val="20"/>
          <w:szCs w:val="20"/>
        </w:rPr>
        <w:t xml:space="preserve"> </w:t>
      </w:r>
      <w:r w:rsidR="00CD12C2" w:rsidRPr="00CD12C2">
        <w:rPr>
          <w:rFonts w:ascii="Verdana" w:hAnsi="Verdana"/>
          <w:sz w:val="20"/>
          <w:szCs w:val="20"/>
        </w:rPr>
        <w:t>de la Sentencia, la cual se encuentran pendiente de cumplimiento, así como para asegurar que el trámite legislativo de</w:t>
      </w:r>
      <w:r w:rsidR="004A680A">
        <w:rPr>
          <w:rFonts w:ascii="Verdana" w:hAnsi="Verdana"/>
          <w:sz w:val="20"/>
          <w:szCs w:val="20"/>
        </w:rPr>
        <w:t>l</w:t>
      </w:r>
      <w:r w:rsidR="00CD12C2" w:rsidRPr="00CD12C2">
        <w:rPr>
          <w:rFonts w:ascii="Verdana" w:hAnsi="Verdana"/>
          <w:sz w:val="20"/>
          <w:szCs w:val="20"/>
        </w:rPr>
        <w:t xml:space="preserve"> proyecto de ley o de otros que se presenten al respecto en el futuro culminen con la aprobación y vigencia de una norma que se adecue a los estándares expuestos en la Sentencia. </w:t>
      </w:r>
      <w:r w:rsidR="00CD12C2" w:rsidRPr="00903DE2">
        <w:rPr>
          <w:rFonts w:ascii="Verdana" w:hAnsi="Verdana"/>
          <w:sz w:val="20"/>
          <w:szCs w:val="20"/>
        </w:rPr>
        <w:t xml:space="preserve">Asimismo, se requiere a Chile que presente la información que le ha sido requerida en los Considerandos </w:t>
      </w:r>
      <w:r w:rsidR="00C75AAA" w:rsidRPr="00903DE2">
        <w:rPr>
          <w:rFonts w:ascii="Verdana" w:hAnsi="Verdana"/>
          <w:sz w:val="20"/>
          <w:szCs w:val="20"/>
        </w:rPr>
        <w:t>61 y 36</w:t>
      </w:r>
      <w:r w:rsidR="00C75AAA">
        <w:rPr>
          <w:rFonts w:ascii="Verdana" w:hAnsi="Verdana"/>
          <w:sz w:val="20"/>
          <w:szCs w:val="20"/>
        </w:rPr>
        <w:t>,</w:t>
      </w:r>
      <w:r w:rsidR="00C75AAA" w:rsidRPr="00CD12C2">
        <w:rPr>
          <w:rFonts w:ascii="Verdana" w:hAnsi="Verdana"/>
          <w:sz w:val="20"/>
          <w:szCs w:val="20"/>
        </w:rPr>
        <w:t xml:space="preserve"> </w:t>
      </w:r>
      <w:r w:rsidR="00CD12C2" w:rsidRPr="00CD12C2">
        <w:rPr>
          <w:rFonts w:ascii="Verdana" w:hAnsi="Verdana"/>
          <w:sz w:val="20"/>
          <w:szCs w:val="20"/>
        </w:rPr>
        <w:t xml:space="preserve">en el plazo dispuesto en </w:t>
      </w:r>
      <w:r w:rsidR="000150EA">
        <w:rPr>
          <w:rFonts w:ascii="Verdana" w:hAnsi="Verdana"/>
          <w:sz w:val="20"/>
          <w:szCs w:val="20"/>
        </w:rPr>
        <w:t xml:space="preserve">el punto resolutivo </w:t>
      </w:r>
      <w:r w:rsidR="006C6B44">
        <w:rPr>
          <w:rFonts w:ascii="Verdana" w:hAnsi="Verdana"/>
          <w:sz w:val="20"/>
          <w:szCs w:val="20"/>
        </w:rPr>
        <w:t>quinto</w:t>
      </w:r>
      <w:r w:rsidR="006C6B44" w:rsidRPr="00CD12C2">
        <w:rPr>
          <w:rFonts w:ascii="Verdana" w:hAnsi="Verdana"/>
          <w:sz w:val="20"/>
          <w:szCs w:val="20"/>
        </w:rPr>
        <w:t xml:space="preserve"> </w:t>
      </w:r>
      <w:r w:rsidR="00CD12C2" w:rsidRPr="00CD12C2">
        <w:rPr>
          <w:rFonts w:ascii="Verdana" w:hAnsi="Verdana"/>
          <w:sz w:val="20"/>
          <w:szCs w:val="20"/>
        </w:rPr>
        <w:t xml:space="preserve">de la </w:t>
      </w:r>
      <w:r w:rsidR="00CD12C2" w:rsidRPr="00CD12C2">
        <w:rPr>
          <w:rFonts w:ascii="Verdana" w:hAnsi="Verdana"/>
          <w:sz w:val="20"/>
          <w:szCs w:val="20"/>
        </w:rPr>
        <w:lastRenderedPageBreak/>
        <w:t xml:space="preserve">presente </w:t>
      </w:r>
      <w:r w:rsidR="00C75AAA">
        <w:rPr>
          <w:rFonts w:ascii="Verdana" w:hAnsi="Verdana"/>
          <w:sz w:val="20"/>
          <w:szCs w:val="20"/>
        </w:rPr>
        <w:t>R</w:t>
      </w:r>
      <w:r w:rsidR="00C75AAA" w:rsidRPr="00CD12C2">
        <w:rPr>
          <w:rFonts w:ascii="Verdana" w:hAnsi="Verdana"/>
          <w:sz w:val="20"/>
          <w:szCs w:val="20"/>
        </w:rPr>
        <w:t>esolución</w:t>
      </w:r>
      <w:r w:rsidR="00CD12C2" w:rsidRPr="00CD12C2">
        <w:rPr>
          <w:rFonts w:ascii="Verdana" w:hAnsi="Verdana"/>
          <w:sz w:val="20"/>
          <w:szCs w:val="20"/>
        </w:rPr>
        <w:t>.</w:t>
      </w:r>
    </w:p>
    <w:p w:rsidR="001B7710" w:rsidRPr="00711B91" w:rsidRDefault="001B7710" w:rsidP="00807889">
      <w:pPr>
        <w:pStyle w:val="Cuerpodeltexto110"/>
        <w:shd w:val="clear" w:color="auto" w:fill="auto"/>
        <w:spacing w:before="120" w:after="120" w:line="240" w:lineRule="auto"/>
        <w:ind w:right="20"/>
        <w:rPr>
          <w:rFonts w:ascii="Verdana" w:hAnsi="Verdana"/>
          <w:sz w:val="20"/>
          <w:szCs w:val="20"/>
        </w:rPr>
      </w:pPr>
    </w:p>
    <w:p w:rsidR="00435F8E" w:rsidRPr="00F812F8" w:rsidRDefault="00435F8E" w:rsidP="00807889">
      <w:pPr>
        <w:keepNext/>
        <w:keepLines/>
        <w:widowControl w:val="0"/>
        <w:numPr>
          <w:ilvl w:val="0"/>
          <w:numId w:val="18"/>
        </w:numPr>
        <w:spacing w:before="120" w:after="120" w:line="240" w:lineRule="auto"/>
        <w:jc w:val="both"/>
        <w:outlineLvl w:val="0"/>
        <w:rPr>
          <w:rFonts w:ascii="Verdana" w:eastAsia="Times New Roman" w:hAnsi="Verdana"/>
          <w:b/>
          <w:bCs/>
          <w:i/>
          <w:color w:val="000000"/>
          <w:sz w:val="20"/>
          <w:szCs w:val="20"/>
          <w:lang w:val="es-ES_tradnl" w:eastAsia="es-ES"/>
        </w:rPr>
      </w:pPr>
      <w:bookmarkStart w:id="28" w:name="_Toc485226651"/>
      <w:bookmarkStart w:id="29" w:name="_Toc507514932"/>
      <w:bookmarkStart w:id="30" w:name="_Toc523309975"/>
      <w:r w:rsidRPr="00F812F8">
        <w:rPr>
          <w:rFonts w:ascii="Verdana" w:eastAsia="Times New Roman" w:hAnsi="Verdana"/>
          <w:b/>
          <w:bCs/>
          <w:i/>
          <w:color w:val="000000"/>
          <w:sz w:val="20"/>
          <w:szCs w:val="20"/>
          <w:lang w:val="es-ES_tradnl" w:eastAsia="es-ES"/>
        </w:rPr>
        <w:t>Pago de indemnizaciones por concepto de daño</w:t>
      </w:r>
      <w:r w:rsidR="00C02F3A" w:rsidRPr="00F812F8">
        <w:rPr>
          <w:rFonts w:ascii="Verdana" w:eastAsia="Times New Roman" w:hAnsi="Verdana"/>
          <w:b/>
          <w:bCs/>
          <w:i/>
          <w:color w:val="000000"/>
          <w:sz w:val="20"/>
          <w:szCs w:val="20"/>
          <w:lang w:val="es-ES_tradnl" w:eastAsia="es-ES"/>
        </w:rPr>
        <w:t>s</w:t>
      </w:r>
      <w:r w:rsidRPr="00F812F8">
        <w:rPr>
          <w:rFonts w:ascii="Verdana" w:eastAsia="Times New Roman" w:hAnsi="Verdana"/>
          <w:b/>
          <w:bCs/>
          <w:i/>
          <w:color w:val="000000"/>
          <w:sz w:val="20"/>
          <w:szCs w:val="20"/>
          <w:lang w:val="es-ES_tradnl" w:eastAsia="es-ES"/>
        </w:rPr>
        <w:t xml:space="preserve"> material</w:t>
      </w:r>
      <w:r w:rsidR="00C02F3A" w:rsidRPr="00F812F8">
        <w:rPr>
          <w:rFonts w:ascii="Verdana" w:eastAsia="Times New Roman" w:hAnsi="Verdana"/>
          <w:b/>
          <w:bCs/>
          <w:i/>
          <w:color w:val="000000"/>
          <w:sz w:val="20"/>
          <w:szCs w:val="20"/>
          <w:lang w:val="es-ES_tradnl" w:eastAsia="es-ES"/>
        </w:rPr>
        <w:t>es</w:t>
      </w:r>
      <w:r w:rsidRPr="00F812F8">
        <w:rPr>
          <w:rFonts w:ascii="Verdana" w:eastAsia="Times New Roman" w:hAnsi="Verdana"/>
          <w:b/>
          <w:bCs/>
          <w:i/>
          <w:color w:val="000000"/>
          <w:sz w:val="20"/>
          <w:szCs w:val="20"/>
          <w:lang w:val="es-ES_tradnl" w:eastAsia="es-ES"/>
        </w:rPr>
        <w:t xml:space="preserve"> e inmaterial</w:t>
      </w:r>
      <w:bookmarkEnd w:id="28"/>
      <w:r w:rsidR="00C02F3A" w:rsidRPr="00F812F8">
        <w:rPr>
          <w:rFonts w:ascii="Verdana" w:eastAsia="Times New Roman" w:hAnsi="Verdana"/>
          <w:b/>
          <w:bCs/>
          <w:i/>
          <w:color w:val="000000"/>
          <w:sz w:val="20"/>
          <w:szCs w:val="20"/>
          <w:lang w:val="es-ES_tradnl" w:eastAsia="es-ES"/>
        </w:rPr>
        <w:t>es</w:t>
      </w:r>
      <w:bookmarkEnd w:id="29"/>
      <w:bookmarkEnd w:id="30"/>
    </w:p>
    <w:p w:rsidR="00435F8E" w:rsidRPr="00711B91" w:rsidRDefault="00435F8E" w:rsidP="00807889">
      <w:pPr>
        <w:pStyle w:val="Cuerpodeltexto110"/>
        <w:shd w:val="clear" w:color="auto" w:fill="auto"/>
        <w:spacing w:before="120" w:after="120" w:line="240" w:lineRule="auto"/>
        <w:ind w:left="567" w:right="20"/>
        <w:rPr>
          <w:rFonts w:ascii="Verdana" w:hAnsi="Verdana"/>
          <w:sz w:val="20"/>
          <w:szCs w:val="20"/>
        </w:rPr>
      </w:pPr>
      <w:r w:rsidRPr="00711B91">
        <w:rPr>
          <w:rFonts w:ascii="Verdana" w:hAnsi="Verdana"/>
          <w:i/>
          <w:sz w:val="20"/>
          <w:szCs w:val="20"/>
        </w:rPr>
        <w:t>F.1. Medida ordenada por la Corte</w:t>
      </w:r>
    </w:p>
    <w:p w:rsidR="00435F8E" w:rsidRPr="00711B91" w:rsidRDefault="00435F8E" w:rsidP="00857630">
      <w:pPr>
        <w:numPr>
          <w:ilvl w:val="0"/>
          <w:numId w:val="28"/>
        </w:numPr>
        <w:spacing w:before="120" w:after="120" w:line="240" w:lineRule="auto"/>
        <w:ind w:left="0" w:right="20" w:firstLine="0"/>
        <w:jc w:val="both"/>
        <w:rPr>
          <w:rFonts w:ascii="Verdana" w:hAnsi="Verdana"/>
          <w:sz w:val="20"/>
          <w:szCs w:val="20"/>
          <w:lang w:val="es-CR"/>
        </w:rPr>
      </w:pPr>
      <w:r w:rsidRPr="00711B91">
        <w:rPr>
          <w:rFonts w:ascii="Verdana" w:hAnsi="Verdana"/>
          <w:sz w:val="20"/>
          <w:szCs w:val="20"/>
          <w:lang w:val="es-CR"/>
        </w:rPr>
        <w:t xml:space="preserve">En el punto </w:t>
      </w:r>
      <w:r w:rsidR="00715F7C">
        <w:rPr>
          <w:rFonts w:ascii="Verdana" w:hAnsi="Verdana"/>
          <w:sz w:val="20"/>
          <w:szCs w:val="20"/>
          <w:lang w:val="es-CR"/>
        </w:rPr>
        <w:t>dispositivo</w:t>
      </w:r>
      <w:r w:rsidR="00715F7C" w:rsidRPr="00711B91">
        <w:rPr>
          <w:rFonts w:ascii="Verdana" w:hAnsi="Verdana"/>
          <w:sz w:val="20"/>
          <w:szCs w:val="20"/>
          <w:lang w:val="es-CR"/>
        </w:rPr>
        <w:t xml:space="preserve"> </w:t>
      </w:r>
      <w:r w:rsidRPr="00711B91">
        <w:rPr>
          <w:rFonts w:ascii="Verdana" w:hAnsi="Verdana"/>
          <w:sz w:val="20"/>
          <w:szCs w:val="20"/>
          <w:lang w:val="es-CR"/>
        </w:rPr>
        <w:t>vigésimo primero</w:t>
      </w:r>
      <w:r w:rsidR="002E3CF3">
        <w:rPr>
          <w:rFonts w:ascii="Verdana" w:hAnsi="Verdana"/>
          <w:sz w:val="20"/>
          <w:szCs w:val="20"/>
          <w:lang w:val="es-CR"/>
        </w:rPr>
        <w:t xml:space="preserve"> de la Sentencia</w:t>
      </w:r>
      <w:r w:rsidRPr="00711B91">
        <w:rPr>
          <w:rFonts w:ascii="Verdana" w:hAnsi="Verdana"/>
          <w:sz w:val="20"/>
          <w:szCs w:val="20"/>
          <w:lang w:val="es-CR"/>
        </w:rPr>
        <w:t xml:space="preserve">, </w:t>
      </w:r>
      <w:r w:rsidR="002E3CF3">
        <w:rPr>
          <w:rFonts w:ascii="Verdana" w:hAnsi="Verdana"/>
          <w:sz w:val="20"/>
          <w:szCs w:val="20"/>
          <w:lang w:val="es-CR"/>
        </w:rPr>
        <w:t>se</w:t>
      </w:r>
      <w:r w:rsidRPr="00711B91">
        <w:rPr>
          <w:rFonts w:ascii="Verdana" w:hAnsi="Verdana"/>
          <w:sz w:val="20"/>
          <w:szCs w:val="20"/>
          <w:lang w:val="es-CR"/>
        </w:rPr>
        <w:t xml:space="preserve"> dispuso que </w:t>
      </w:r>
      <w:r w:rsidR="002E3CF3">
        <w:rPr>
          <w:rFonts w:ascii="Verdana" w:hAnsi="Verdana"/>
          <w:sz w:val="20"/>
          <w:szCs w:val="20"/>
          <w:lang w:val="es-CR"/>
        </w:rPr>
        <w:t>“[</w:t>
      </w:r>
      <w:r w:rsidRPr="00711B91">
        <w:rPr>
          <w:rFonts w:ascii="Verdana" w:hAnsi="Verdana"/>
          <w:sz w:val="20"/>
          <w:szCs w:val="20"/>
          <w:lang w:val="es-CR"/>
        </w:rPr>
        <w:t>e</w:t>
      </w:r>
      <w:r w:rsidR="002E3CF3">
        <w:rPr>
          <w:rFonts w:ascii="Verdana" w:hAnsi="Verdana"/>
          <w:sz w:val="20"/>
          <w:szCs w:val="20"/>
          <w:lang w:val="es-CR"/>
        </w:rPr>
        <w:t>]</w:t>
      </w:r>
      <w:r w:rsidRPr="00711B91">
        <w:rPr>
          <w:rFonts w:ascii="Verdana" w:hAnsi="Verdana"/>
          <w:sz w:val="20"/>
          <w:szCs w:val="20"/>
          <w:lang w:val="es-CR"/>
        </w:rPr>
        <w:t xml:space="preserve">l Estado </w:t>
      </w:r>
      <w:r w:rsidR="002E3CF3" w:rsidRPr="00711B91">
        <w:rPr>
          <w:rFonts w:ascii="Verdana" w:hAnsi="Verdana"/>
          <w:sz w:val="20"/>
          <w:szCs w:val="20"/>
          <w:lang w:val="es-CR"/>
        </w:rPr>
        <w:t>deb</w:t>
      </w:r>
      <w:r w:rsidR="002E3CF3">
        <w:rPr>
          <w:rFonts w:ascii="Verdana" w:hAnsi="Verdana"/>
          <w:sz w:val="20"/>
          <w:szCs w:val="20"/>
          <w:lang w:val="es-CR"/>
        </w:rPr>
        <w:t>e</w:t>
      </w:r>
      <w:r w:rsidR="002E3CF3" w:rsidRPr="00711B91">
        <w:rPr>
          <w:rFonts w:ascii="Verdana" w:hAnsi="Verdana"/>
          <w:sz w:val="20"/>
          <w:szCs w:val="20"/>
          <w:lang w:val="es-CR"/>
        </w:rPr>
        <w:t xml:space="preserve"> </w:t>
      </w:r>
      <w:r w:rsidRPr="00711B91">
        <w:rPr>
          <w:rFonts w:ascii="Verdana" w:hAnsi="Verdana"/>
          <w:sz w:val="20"/>
          <w:szCs w:val="20"/>
          <w:lang w:val="es-CR"/>
        </w:rPr>
        <w:t>pagar</w:t>
      </w:r>
      <w:r w:rsidR="002E3CF3">
        <w:rPr>
          <w:rFonts w:ascii="Verdana" w:hAnsi="Verdana"/>
          <w:sz w:val="20"/>
          <w:szCs w:val="20"/>
          <w:lang w:val="es-CR"/>
        </w:rPr>
        <w:t xml:space="preserve"> a cada una de las ocho víctimas del presente caso</w:t>
      </w:r>
      <w:r w:rsidRPr="00711B91">
        <w:rPr>
          <w:rFonts w:ascii="Verdana" w:hAnsi="Verdana"/>
          <w:sz w:val="20"/>
          <w:szCs w:val="20"/>
          <w:lang w:val="es-CR"/>
        </w:rPr>
        <w:t xml:space="preserve"> la cantidad fijada en el párrafo 446</w:t>
      </w:r>
      <w:r w:rsidRPr="00711B91">
        <w:rPr>
          <w:rStyle w:val="Refdenotaalpie"/>
          <w:rFonts w:ascii="Verdana" w:hAnsi="Verdana"/>
          <w:sz w:val="20"/>
          <w:szCs w:val="20"/>
        </w:rPr>
        <w:footnoteReference w:id="86"/>
      </w:r>
      <w:r w:rsidR="002E3CF3" w:rsidRPr="002E3CF3">
        <w:rPr>
          <w:rFonts w:ascii="Verdana" w:hAnsi="Verdana"/>
          <w:sz w:val="20"/>
          <w:szCs w:val="20"/>
          <w:lang w:val="es-CR"/>
        </w:rPr>
        <w:t xml:space="preserve"> de la [misma],</w:t>
      </w:r>
      <w:r w:rsidRPr="00711B91">
        <w:rPr>
          <w:rFonts w:ascii="Verdana" w:hAnsi="Verdana"/>
          <w:sz w:val="20"/>
          <w:szCs w:val="20"/>
          <w:lang w:val="es-CR"/>
        </w:rPr>
        <w:t xml:space="preserve"> por concepto de indemnización de los daños materiales e inmateriales</w:t>
      </w:r>
      <w:r w:rsidR="002E3CF3">
        <w:rPr>
          <w:rFonts w:ascii="Verdana" w:hAnsi="Verdana"/>
          <w:sz w:val="20"/>
          <w:szCs w:val="20"/>
          <w:lang w:val="es-CR"/>
        </w:rPr>
        <w:t>”</w:t>
      </w:r>
      <w:r w:rsidRPr="00711B91">
        <w:rPr>
          <w:rFonts w:ascii="Verdana" w:hAnsi="Verdana"/>
          <w:sz w:val="20"/>
          <w:szCs w:val="20"/>
          <w:lang w:val="es-CR"/>
        </w:rPr>
        <w:t>.</w:t>
      </w:r>
      <w:r w:rsidR="00DD3C1B">
        <w:rPr>
          <w:rFonts w:ascii="Verdana" w:hAnsi="Verdana"/>
          <w:sz w:val="20"/>
          <w:szCs w:val="20"/>
          <w:lang w:val="es-CR"/>
        </w:rPr>
        <w:t xml:space="preserve"> La Corte dispuso, entre otros aspectos, que los pagos de las indemnizaciones debían ser realizados “dentro del plazo de un año, contado a partir de la notificación de […] Sentencia” y que debían hacerse directamente a las víctimas o a sus derechohabientes en caso de las víctimas fallecidas, conforme al derecho interno aplicable</w:t>
      </w:r>
      <w:r w:rsidR="00DD3C1B">
        <w:rPr>
          <w:rStyle w:val="Refdenotaalpie"/>
          <w:rFonts w:ascii="Verdana" w:hAnsi="Verdana"/>
          <w:sz w:val="20"/>
          <w:szCs w:val="20"/>
          <w:lang w:val="es-CR"/>
        </w:rPr>
        <w:footnoteReference w:id="87"/>
      </w:r>
      <w:r w:rsidR="00BD5C7E">
        <w:rPr>
          <w:rFonts w:ascii="Verdana" w:hAnsi="Verdana"/>
          <w:sz w:val="20"/>
          <w:szCs w:val="20"/>
          <w:lang w:val="es-CR"/>
        </w:rPr>
        <w:t>.</w:t>
      </w:r>
      <w:r w:rsidR="00DD3C1B">
        <w:rPr>
          <w:rFonts w:ascii="Verdana" w:hAnsi="Verdana"/>
          <w:sz w:val="20"/>
          <w:szCs w:val="20"/>
          <w:lang w:val="es-CR"/>
        </w:rPr>
        <w:t xml:space="preserve"> </w:t>
      </w:r>
    </w:p>
    <w:p w:rsidR="00903DE2" w:rsidRDefault="00903DE2" w:rsidP="00807889">
      <w:pPr>
        <w:spacing w:before="120" w:after="120" w:line="240" w:lineRule="auto"/>
        <w:ind w:left="567" w:right="20"/>
        <w:jc w:val="both"/>
        <w:outlineLvl w:val="0"/>
        <w:rPr>
          <w:rFonts w:ascii="Verdana" w:hAnsi="Verdana"/>
          <w:i/>
          <w:sz w:val="20"/>
          <w:szCs w:val="20"/>
          <w:lang w:val="es-CR"/>
        </w:rPr>
      </w:pPr>
      <w:bookmarkStart w:id="31" w:name="_Toc486848484"/>
      <w:bookmarkStart w:id="32" w:name="_Toc507514088"/>
      <w:bookmarkStart w:id="33" w:name="_Toc507514933"/>
      <w:bookmarkStart w:id="34" w:name="_Toc523309976"/>
    </w:p>
    <w:p w:rsidR="00435F8E" w:rsidRPr="000A530C" w:rsidRDefault="00435F8E" w:rsidP="00807889">
      <w:pPr>
        <w:spacing w:before="120" w:after="120" w:line="240" w:lineRule="auto"/>
        <w:ind w:left="567" w:right="20"/>
        <w:jc w:val="both"/>
        <w:outlineLvl w:val="0"/>
        <w:rPr>
          <w:rFonts w:ascii="Verdana" w:hAnsi="Verdana"/>
          <w:sz w:val="20"/>
          <w:szCs w:val="20"/>
          <w:lang w:val="es-CR"/>
        </w:rPr>
      </w:pPr>
      <w:r w:rsidRPr="000A530C">
        <w:rPr>
          <w:rFonts w:ascii="Verdana" w:hAnsi="Verdana"/>
          <w:i/>
          <w:sz w:val="20"/>
          <w:szCs w:val="20"/>
          <w:lang w:val="es-CR"/>
        </w:rPr>
        <w:t>F.2. Consideraciones de la Corte</w:t>
      </w:r>
      <w:bookmarkEnd w:id="31"/>
      <w:bookmarkEnd w:id="32"/>
      <w:bookmarkEnd w:id="33"/>
      <w:bookmarkEnd w:id="34"/>
      <w:r w:rsidRPr="000A530C">
        <w:rPr>
          <w:rFonts w:ascii="Verdana" w:hAnsi="Verdana"/>
          <w:sz w:val="20"/>
          <w:szCs w:val="20"/>
          <w:lang w:val="es-CR"/>
        </w:rPr>
        <w:t xml:space="preserve"> </w:t>
      </w:r>
    </w:p>
    <w:p w:rsidR="00435F8E" w:rsidRPr="00903DE2" w:rsidRDefault="00435F8E" w:rsidP="00857630">
      <w:pPr>
        <w:numPr>
          <w:ilvl w:val="0"/>
          <w:numId w:val="28"/>
        </w:numPr>
        <w:spacing w:before="120" w:after="120" w:line="240" w:lineRule="auto"/>
        <w:ind w:left="0" w:right="20" w:firstLine="0"/>
        <w:jc w:val="both"/>
        <w:rPr>
          <w:rFonts w:ascii="Verdana" w:hAnsi="Verdana"/>
          <w:sz w:val="20"/>
          <w:szCs w:val="20"/>
          <w:lang w:val="es-CR"/>
        </w:rPr>
      </w:pPr>
      <w:r w:rsidRPr="00711B91">
        <w:rPr>
          <w:rFonts w:ascii="Verdana" w:hAnsi="Verdana"/>
          <w:sz w:val="20"/>
          <w:szCs w:val="20"/>
          <w:lang w:val="es-CR"/>
        </w:rPr>
        <w:t>Con base en la documentación aportada por el Estado</w:t>
      </w:r>
      <w:r w:rsidR="00B90BB3" w:rsidRPr="00711B91">
        <w:rPr>
          <w:rStyle w:val="Refdenotaalpie"/>
          <w:rFonts w:ascii="Verdana" w:hAnsi="Verdana"/>
          <w:sz w:val="20"/>
          <w:szCs w:val="20"/>
        </w:rPr>
        <w:footnoteReference w:id="88"/>
      </w:r>
      <w:r w:rsidRPr="00711B91">
        <w:rPr>
          <w:rFonts w:ascii="Verdana" w:hAnsi="Verdana"/>
          <w:sz w:val="20"/>
          <w:szCs w:val="20"/>
          <w:lang w:val="es-CR"/>
        </w:rPr>
        <w:t>, y lo afirmado por</w:t>
      </w:r>
      <w:r w:rsidR="00533C14">
        <w:rPr>
          <w:rFonts w:ascii="Verdana" w:hAnsi="Verdana"/>
          <w:sz w:val="20"/>
          <w:szCs w:val="20"/>
          <w:lang w:val="es-CR"/>
        </w:rPr>
        <w:t xml:space="preserve"> algunos de</w:t>
      </w:r>
      <w:r w:rsidRPr="00711B91">
        <w:rPr>
          <w:rFonts w:ascii="Verdana" w:hAnsi="Verdana"/>
          <w:sz w:val="20"/>
          <w:szCs w:val="20"/>
          <w:lang w:val="es-CR"/>
        </w:rPr>
        <w:t xml:space="preserve"> los</w:t>
      </w:r>
      <w:r w:rsidR="00612BF9">
        <w:rPr>
          <w:rFonts w:ascii="Verdana" w:hAnsi="Verdana"/>
          <w:sz w:val="20"/>
          <w:szCs w:val="20"/>
          <w:lang w:val="es-CR"/>
        </w:rPr>
        <w:t xml:space="preserve"> </w:t>
      </w:r>
      <w:r w:rsidRPr="00711B91">
        <w:rPr>
          <w:rFonts w:ascii="Verdana" w:hAnsi="Verdana"/>
          <w:sz w:val="20"/>
          <w:szCs w:val="20"/>
          <w:lang w:val="es-CR"/>
        </w:rPr>
        <w:t xml:space="preserve">representantes </w:t>
      </w:r>
      <w:r w:rsidR="00612BF9">
        <w:rPr>
          <w:rFonts w:ascii="Verdana" w:hAnsi="Verdana"/>
          <w:sz w:val="20"/>
          <w:szCs w:val="20"/>
          <w:lang w:val="es-CR"/>
        </w:rPr>
        <w:t xml:space="preserve">de las víctimas </w:t>
      </w:r>
      <w:r w:rsidRPr="00711B91">
        <w:rPr>
          <w:rFonts w:ascii="Verdana" w:hAnsi="Verdana"/>
          <w:sz w:val="20"/>
          <w:szCs w:val="20"/>
          <w:lang w:val="es-CR"/>
        </w:rPr>
        <w:t>y la Comisión</w:t>
      </w:r>
      <w:r w:rsidR="00612BF9">
        <w:rPr>
          <w:rFonts w:ascii="Verdana" w:hAnsi="Verdana"/>
          <w:sz w:val="20"/>
          <w:szCs w:val="20"/>
          <w:lang w:val="es-CR"/>
        </w:rPr>
        <w:t xml:space="preserve"> Interamericana</w:t>
      </w:r>
      <w:r w:rsidRPr="00711B91">
        <w:rPr>
          <w:rStyle w:val="Refdenotaalpie"/>
          <w:rFonts w:ascii="Verdana" w:hAnsi="Verdana"/>
          <w:sz w:val="20"/>
          <w:szCs w:val="20"/>
        </w:rPr>
        <w:footnoteReference w:id="89"/>
      </w:r>
      <w:r w:rsidRPr="00711B91">
        <w:rPr>
          <w:rFonts w:ascii="Verdana" w:hAnsi="Verdana"/>
          <w:sz w:val="20"/>
          <w:szCs w:val="20"/>
          <w:lang w:val="es-CR"/>
        </w:rPr>
        <w:t xml:space="preserve">, el Tribunal constata que, dentro del plazo otorgado en la Sentencia, Chile </w:t>
      </w:r>
      <w:r w:rsidR="005D642E">
        <w:rPr>
          <w:rFonts w:ascii="Verdana" w:hAnsi="Verdana"/>
          <w:sz w:val="20"/>
          <w:szCs w:val="20"/>
          <w:lang w:val="es-CR"/>
        </w:rPr>
        <w:t>pagó</w:t>
      </w:r>
      <w:r w:rsidRPr="00711B91">
        <w:rPr>
          <w:rFonts w:ascii="Verdana" w:hAnsi="Verdana"/>
          <w:sz w:val="20"/>
          <w:szCs w:val="20"/>
          <w:lang w:val="es-CR"/>
        </w:rPr>
        <w:t xml:space="preserve"> a las víctimas </w:t>
      </w:r>
      <w:r w:rsidR="00B90BB3">
        <w:rPr>
          <w:rFonts w:ascii="Verdana" w:hAnsi="Verdana"/>
          <w:sz w:val="20"/>
          <w:szCs w:val="20"/>
          <w:lang w:val="es-CR"/>
        </w:rPr>
        <w:t xml:space="preserve">Segundo Aniceto Norín Catrimán, Víctor Manuel Ancalaf Llaupe, Florencio Jaime Marileo Saravia, Juan Patricio Marileo Saravia, José Huenchunao Mariñán, Juan Ciriaco Millacheo Licán y Patricia Troncoso Robles </w:t>
      </w:r>
      <w:r w:rsidRPr="00711B91">
        <w:rPr>
          <w:rFonts w:ascii="Verdana" w:hAnsi="Verdana"/>
          <w:sz w:val="20"/>
          <w:szCs w:val="20"/>
          <w:lang w:val="es-CR"/>
        </w:rPr>
        <w:t>la totalidad de los montos fijados en la Sentencia por concepto de indemnizaciones de los daños material</w:t>
      </w:r>
      <w:r w:rsidR="005D642E">
        <w:rPr>
          <w:rFonts w:ascii="Verdana" w:hAnsi="Verdana"/>
          <w:sz w:val="20"/>
          <w:szCs w:val="20"/>
          <w:lang w:val="es-CR"/>
        </w:rPr>
        <w:t>es</w:t>
      </w:r>
      <w:r w:rsidRPr="00711B91">
        <w:rPr>
          <w:rFonts w:ascii="Verdana" w:hAnsi="Verdana"/>
          <w:sz w:val="20"/>
          <w:szCs w:val="20"/>
          <w:lang w:val="es-CR"/>
        </w:rPr>
        <w:t xml:space="preserve"> e inmaterial</w:t>
      </w:r>
      <w:r w:rsidR="005D642E">
        <w:rPr>
          <w:rFonts w:ascii="Verdana" w:hAnsi="Verdana"/>
          <w:sz w:val="20"/>
          <w:szCs w:val="20"/>
          <w:lang w:val="es-CR"/>
        </w:rPr>
        <w:t>es</w:t>
      </w:r>
      <w:r w:rsidRPr="00711B91">
        <w:rPr>
          <w:rFonts w:ascii="Verdana" w:hAnsi="Verdana"/>
          <w:sz w:val="20"/>
          <w:szCs w:val="20"/>
          <w:lang w:val="es-CR"/>
        </w:rPr>
        <w:t>.</w:t>
      </w:r>
      <w:r w:rsidR="00B90BB3">
        <w:rPr>
          <w:rFonts w:ascii="Verdana" w:hAnsi="Verdana"/>
          <w:sz w:val="20"/>
          <w:szCs w:val="20"/>
          <w:lang w:val="es-CR"/>
        </w:rPr>
        <w:t xml:space="preserve"> El monto correspondiente a estos conceptos, ordenado a favor de la víctima fallecida Pascual Huentequeo Pichún Paillalao, fue pagado a “María Audolia Collonao […e]n representación de [sus] </w:t>
      </w:r>
      <w:r w:rsidR="00B90BB3" w:rsidRPr="0024545D">
        <w:rPr>
          <w:rFonts w:ascii="Verdana" w:hAnsi="Verdana"/>
          <w:sz w:val="20"/>
          <w:szCs w:val="20"/>
          <w:lang w:val="es-CR"/>
        </w:rPr>
        <w:t>herederos”.</w:t>
      </w:r>
    </w:p>
    <w:p w:rsidR="00807889" w:rsidRPr="0024545D" w:rsidRDefault="005D642E" w:rsidP="00807889">
      <w:pPr>
        <w:numPr>
          <w:ilvl w:val="0"/>
          <w:numId w:val="28"/>
        </w:numPr>
        <w:spacing w:before="120" w:after="120" w:line="240" w:lineRule="auto"/>
        <w:ind w:left="0" w:right="20" w:firstLine="0"/>
        <w:jc w:val="both"/>
        <w:rPr>
          <w:rFonts w:ascii="Verdana" w:hAnsi="Verdana"/>
          <w:sz w:val="20"/>
          <w:szCs w:val="20"/>
          <w:lang w:val="es-CR"/>
        </w:rPr>
      </w:pPr>
      <w:r w:rsidRPr="0024545D">
        <w:rPr>
          <w:rFonts w:ascii="Verdana" w:hAnsi="Verdana"/>
          <w:sz w:val="20"/>
          <w:szCs w:val="20"/>
          <w:lang w:val="es-CR"/>
        </w:rPr>
        <w:t xml:space="preserve">En consecuencia, </w:t>
      </w:r>
      <w:r w:rsidR="0024545D" w:rsidRPr="0024545D">
        <w:rPr>
          <w:rFonts w:ascii="Verdana" w:hAnsi="Verdana"/>
          <w:sz w:val="20"/>
          <w:szCs w:val="20"/>
          <w:lang w:val="es-CR"/>
        </w:rPr>
        <w:t>la Corte concluye que, dentro del plazo dispuesto en la Sentencia, Chile dio cumplimiento total a las medidas ordenadas en el punto dispositivo vigésimo primero de la Sentencia, que se refieren al pago a las ocho víctimas del caso de las cantidades fijadas en la misma, por concepto de indemnización por daños materiales e inmateriales.</w:t>
      </w:r>
    </w:p>
    <w:p w:rsidR="00435F8E" w:rsidRPr="00F812F8" w:rsidRDefault="00435F8E" w:rsidP="00807889">
      <w:pPr>
        <w:keepNext/>
        <w:keepLines/>
        <w:widowControl w:val="0"/>
        <w:numPr>
          <w:ilvl w:val="0"/>
          <w:numId w:val="18"/>
        </w:numPr>
        <w:spacing w:before="120" w:after="120" w:line="240" w:lineRule="auto"/>
        <w:jc w:val="both"/>
        <w:outlineLvl w:val="0"/>
        <w:rPr>
          <w:rFonts w:ascii="Verdana" w:eastAsia="Times New Roman" w:hAnsi="Verdana"/>
          <w:b/>
          <w:bCs/>
          <w:i/>
          <w:color w:val="000000"/>
          <w:sz w:val="20"/>
          <w:szCs w:val="20"/>
          <w:lang w:val="es-ES_tradnl" w:eastAsia="es-ES"/>
        </w:rPr>
      </w:pPr>
      <w:bookmarkStart w:id="35" w:name="_Toc507514934"/>
      <w:bookmarkStart w:id="36" w:name="_Toc523309977"/>
      <w:r w:rsidRPr="00F812F8">
        <w:rPr>
          <w:rFonts w:ascii="Verdana" w:eastAsia="Times New Roman" w:hAnsi="Verdana"/>
          <w:b/>
          <w:bCs/>
          <w:i/>
          <w:color w:val="000000"/>
          <w:sz w:val="20"/>
          <w:szCs w:val="20"/>
          <w:lang w:val="es-ES_tradnl" w:eastAsia="es-ES"/>
        </w:rPr>
        <w:t>Pago por concepto de reintegro de costas y gastos</w:t>
      </w:r>
      <w:bookmarkEnd w:id="35"/>
      <w:bookmarkEnd w:id="36"/>
    </w:p>
    <w:p w:rsidR="00435F8E" w:rsidRPr="00711B91" w:rsidRDefault="00435F8E" w:rsidP="00807889">
      <w:pPr>
        <w:pStyle w:val="Cuerpodeltexto110"/>
        <w:shd w:val="clear" w:color="auto" w:fill="auto"/>
        <w:spacing w:before="120" w:after="120" w:line="240" w:lineRule="auto"/>
        <w:ind w:left="567" w:right="20"/>
        <w:rPr>
          <w:rFonts w:ascii="Verdana" w:hAnsi="Verdana"/>
          <w:sz w:val="20"/>
          <w:szCs w:val="20"/>
        </w:rPr>
      </w:pPr>
      <w:r w:rsidRPr="00711B91">
        <w:rPr>
          <w:rFonts w:ascii="Verdana" w:hAnsi="Verdana"/>
          <w:i/>
          <w:sz w:val="20"/>
          <w:szCs w:val="20"/>
        </w:rPr>
        <w:t>G.1. Medida ordenada por la Corte</w:t>
      </w:r>
    </w:p>
    <w:p w:rsidR="00435F8E" w:rsidRDefault="00435F8E" w:rsidP="00857630">
      <w:pPr>
        <w:numPr>
          <w:ilvl w:val="0"/>
          <w:numId w:val="28"/>
        </w:numPr>
        <w:spacing w:before="120" w:after="120" w:line="240" w:lineRule="auto"/>
        <w:ind w:left="0" w:right="20" w:firstLine="0"/>
        <w:jc w:val="both"/>
        <w:rPr>
          <w:rFonts w:ascii="Verdana" w:hAnsi="Verdana"/>
          <w:sz w:val="20"/>
          <w:szCs w:val="20"/>
          <w:lang w:val="es-CR"/>
        </w:rPr>
      </w:pPr>
      <w:r w:rsidRPr="00711B91">
        <w:rPr>
          <w:rFonts w:ascii="Verdana" w:hAnsi="Verdana"/>
          <w:sz w:val="20"/>
          <w:szCs w:val="20"/>
          <w:lang w:val="es-CR"/>
        </w:rPr>
        <w:lastRenderedPageBreak/>
        <w:t xml:space="preserve">En el punto </w:t>
      </w:r>
      <w:r w:rsidR="00473626">
        <w:rPr>
          <w:rFonts w:ascii="Verdana" w:hAnsi="Verdana"/>
          <w:sz w:val="20"/>
          <w:szCs w:val="20"/>
          <w:lang w:val="es-CR"/>
        </w:rPr>
        <w:t>dispositivo</w:t>
      </w:r>
      <w:r w:rsidR="00473626" w:rsidRPr="00711B91">
        <w:rPr>
          <w:rFonts w:ascii="Verdana" w:hAnsi="Verdana"/>
          <w:sz w:val="20"/>
          <w:szCs w:val="20"/>
          <w:lang w:val="es-CR"/>
        </w:rPr>
        <w:t xml:space="preserve"> </w:t>
      </w:r>
      <w:r w:rsidRPr="00711B91">
        <w:rPr>
          <w:rFonts w:ascii="Verdana" w:hAnsi="Verdana"/>
          <w:sz w:val="20"/>
          <w:szCs w:val="20"/>
          <w:lang w:val="es-CR"/>
        </w:rPr>
        <w:t>vigésimo segundo de la Sentencia, la Corte dispuso que el Estado debía pagar las cantidades fijadas en los párrafos 452 y 453</w:t>
      </w:r>
      <w:r w:rsidR="00473626">
        <w:rPr>
          <w:rFonts w:ascii="Verdana" w:hAnsi="Verdana"/>
          <w:sz w:val="20"/>
          <w:szCs w:val="20"/>
          <w:lang w:val="es-CR"/>
        </w:rPr>
        <w:t xml:space="preserve"> de la misma,</w:t>
      </w:r>
      <w:r w:rsidRPr="00711B91">
        <w:rPr>
          <w:rFonts w:ascii="Verdana" w:hAnsi="Verdana"/>
          <w:sz w:val="20"/>
          <w:szCs w:val="20"/>
          <w:lang w:val="es-CR"/>
        </w:rPr>
        <w:t xml:space="preserve"> por concepto de reintegro de costas y gastos</w:t>
      </w:r>
      <w:r w:rsidR="00473626" w:rsidRPr="00711B91">
        <w:rPr>
          <w:rStyle w:val="Refdenotaalpie"/>
          <w:rFonts w:ascii="Verdana" w:hAnsi="Verdana"/>
          <w:sz w:val="20"/>
          <w:szCs w:val="20"/>
        </w:rPr>
        <w:footnoteReference w:id="90"/>
      </w:r>
      <w:r w:rsidRPr="00711B91">
        <w:rPr>
          <w:rFonts w:ascii="Verdana" w:hAnsi="Verdana"/>
          <w:sz w:val="20"/>
          <w:szCs w:val="20"/>
          <w:lang w:val="es-CR"/>
        </w:rPr>
        <w:t>.</w:t>
      </w:r>
      <w:r w:rsidR="00D3610C">
        <w:rPr>
          <w:rFonts w:ascii="Verdana" w:hAnsi="Verdana"/>
          <w:sz w:val="20"/>
          <w:szCs w:val="20"/>
          <w:lang w:val="es-CR"/>
        </w:rPr>
        <w:t xml:space="preserve"> La Corte dispuso que el reintegro debía realizarse, “dentro del plazo de un año, contado a partir de la notificación de […] Sentencia”, directamente a las personas u organizaciones indicadas en los referidos párrafos.</w:t>
      </w:r>
    </w:p>
    <w:p w:rsidR="00903DE2" w:rsidRDefault="00903DE2" w:rsidP="00C95520">
      <w:pPr>
        <w:spacing w:before="120" w:after="120" w:line="240" w:lineRule="auto"/>
        <w:ind w:left="567" w:right="20"/>
        <w:jc w:val="both"/>
        <w:outlineLvl w:val="0"/>
        <w:rPr>
          <w:rFonts w:ascii="Verdana" w:hAnsi="Verdana"/>
          <w:i/>
          <w:sz w:val="20"/>
          <w:szCs w:val="20"/>
          <w:lang w:val="es-CR"/>
        </w:rPr>
      </w:pPr>
      <w:bookmarkStart w:id="37" w:name="_Toc486848486"/>
      <w:bookmarkStart w:id="38" w:name="_Toc507514089"/>
      <w:bookmarkStart w:id="39" w:name="_Toc507514935"/>
      <w:bookmarkStart w:id="40" w:name="_Toc523309978"/>
    </w:p>
    <w:p w:rsidR="00435F8E" w:rsidRPr="00711B91" w:rsidRDefault="00435F8E" w:rsidP="00C95520">
      <w:pPr>
        <w:spacing w:before="120" w:after="120" w:line="240" w:lineRule="auto"/>
        <w:ind w:left="567" w:right="20"/>
        <w:jc w:val="both"/>
        <w:outlineLvl w:val="0"/>
        <w:rPr>
          <w:rFonts w:ascii="Verdana" w:hAnsi="Verdana"/>
          <w:sz w:val="20"/>
          <w:szCs w:val="20"/>
          <w:lang w:val="es-CR"/>
        </w:rPr>
      </w:pPr>
      <w:r w:rsidRPr="00711B91">
        <w:rPr>
          <w:rFonts w:ascii="Verdana" w:hAnsi="Verdana"/>
          <w:i/>
          <w:sz w:val="20"/>
          <w:szCs w:val="20"/>
          <w:lang w:val="es-CR"/>
        </w:rPr>
        <w:t>G.2. Consideraciones de la Corte</w:t>
      </w:r>
      <w:bookmarkEnd w:id="37"/>
      <w:bookmarkEnd w:id="38"/>
      <w:bookmarkEnd w:id="39"/>
      <w:bookmarkEnd w:id="40"/>
      <w:r w:rsidRPr="00711B91">
        <w:rPr>
          <w:rFonts w:ascii="Verdana" w:hAnsi="Verdana"/>
          <w:sz w:val="20"/>
          <w:szCs w:val="20"/>
          <w:lang w:val="es-CR"/>
        </w:rPr>
        <w:t xml:space="preserve"> </w:t>
      </w:r>
    </w:p>
    <w:p w:rsidR="007E562F" w:rsidRPr="00711B91" w:rsidRDefault="00435F8E" w:rsidP="00857630">
      <w:pPr>
        <w:numPr>
          <w:ilvl w:val="0"/>
          <w:numId w:val="28"/>
        </w:numPr>
        <w:spacing w:before="120" w:after="120" w:line="240" w:lineRule="auto"/>
        <w:ind w:left="0" w:right="20" w:firstLine="0"/>
        <w:jc w:val="both"/>
        <w:rPr>
          <w:rFonts w:ascii="Verdana" w:hAnsi="Verdana"/>
          <w:sz w:val="20"/>
          <w:szCs w:val="20"/>
          <w:lang w:val="es-CR"/>
        </w:rPr>
      </w:pPr>
      <w:r w:rsidRPr="00711B91">
        <w:rPr>
          <w:rFonts w:ascii="Verdana" w:hAnsi="Verdana"/>
          <w:sz w:val="20"/>
          <w:szCs w:val="20"/>
          <w:lang w:val="es-CR"/>
        </w:rPr>
        <w:t>Con base en la información aportada por el Estado</w:t>
      </w:r>
      <w:r w:rsidRPr="00711B91">
        <w:rPr>
          <w:rStyle w:val="Refdenotaalpie"/>
          <w:rFonts w:ascii="Verdana" w:hAnsi="Verdana"/>
          <w:sz w:val="20"/>
          <w:szCs w:val="20"/>
        </w:rPr>
        <w:footnoteReference w:id="91"/>
      </w:r>
      <w:r w:rsidRPr="00711B91">
        <w:rPr>
          <w:rFonts w:ascii="Verdana" w:hAnsi="Verdana"/>
          <w:sz w:val="20"/>
          <w:szCs w:val="20"/>
          <w:lang w:val="es-CR"/>
        </w:rPr>
        <w:t xml:space="preserve"> y lo señalado por </w:t>
      </w:r>
      <w:r w:rsidR="00533C14">
        <w:rPr>
          <w:rFonts w:ascii="Verdana" w:hAnsi="Verdana"/>
          <w:sz w:val="20"/>
          <w:szCs w:val="20"/>
          <w:lang w:val="es-CR"/>
        </w:rPr>
        <w:t xml:space="preserve">algunos de </w:t>
      </w:r>
      <w:r w:rsidRPr="00711B91">
        <w:rPr>
          <w:rFonts w:ascii="Verdana" w:hAnsi="Verdana"/>
          <w:sz w:val="20"/>
          <w:szCs w:val="20"/>
          <w:lang w:val="es-CR"/>
        </w:rPr>
        <w:t>los</w:t>
      </w:r>
      <w:r w:rsidR="00612BF9">
        <w:rPr>
          <w:rFonts w:ascii="Verdana" w:hAnsi="Verdana"/>
          <w:sz w:val="20"/>
          <w:szCs w:val="20"/>
          <w:lang w:val="es-CR"/>
        </w:rPr>
        <w:t xml:space="preserve"> </w:t>
      </w:r>
      <w:r w:rsidRPr="00711B91">
        <w:rPr>
          <w:rFonts w:ascii="Verdana" w:hAnsi="Verdana"/>
          <w:sz w:val="20"/>
          <w:szCs w:val="20"/>
          <w:lang w:val="es-CR"/>
        </w:rPr>
        <w:t>representantes</w:t>
      </w:r>
      <w:r w:rsidR="00612BF9">
        <w:rPr>
          <w:rFonts w:ascii="Verdana" w:hAnsi="Verdana"/>
          <w:sz w:val="20"/>
          <w:szCs w:val="20"/>
          <w:lang w:val="es-CR"/>
        </w:rPr>
        <w:t xml:space="preserve"> de las víctimas</w:t>
      </w:r>
      <w:r w:rsidRPr="00711B91">
        <w:rPr>
          <w:rStyle w:val="Refdenotaalpie"/>
          <w:rFonts w:ascii="Verdana" w:hAnsi="Verdana"/>
          <w:sz w:val="20"/>
          <w:szCs w:val="20"/>
        </w:rPr>
        <w:footnoteReference w:id="92"/>
      </w:r>
      <w:r w:rsidRPr="00711B91">
        <w:rPr>
          <w:rFonts w:ascii="Verdana" w:hAnsi="Verdana"/>
          <w:sz w:val="20"/>
          <w:szCs w:val="20"/>
          <w:lang w:val="es-CR"/>
        </w:rPr>
        <w:t>, esta Corte considera que, dentro del plazo otorgado en la Sentencia, el Estado dio cumplimiento total a la medida ordenada en el punto resolutivo vigésimo segundo de la Sentencia</w:t>
      </w:r>
      <w:r w:rsidR="00612BF9">
        <w:rPr>
          <w:rFonts w:ascii="Verdana" w:hAnsi="Verdana"/>
          <w:sz w:val="20"/>
          <w:szCs w:val="20"/>
          <w:lang w:val="es-CR"/>
        </w:rPr>
        <w:t>, relativa a</w:t>
      </w:r>
      <w:r w:rsidRPr="00711B91">
        <w:rPr>
          <w:rFonts w:ascii="Verdana" w:hAnsi="Verdana"/>
          <w:sz w:val="20"/>
          <w:szCs w:val="20"/>
          <w:lang w:val="es-CR"/>
        </w:rPr>
        <w:t xml:space="preserve"> </w:t>
      </w:r>
      <w:r w:rsidR="00612BF9" w:rsidRPr="00711B91">
        <w:rPr>
          <w:rFonts w:ascii="Verdana" w:hAnsi="Verdana"/>
          <w:sz w:val="20"/>
          <w:szCs w:val="20"/>
          <w:lang w:val="es-CR"/>
        </w:rPr>
        <w:t>paga</w:t>
      </w:r>
      <w:r w:rsidR="00612BF9">
        <w:rPr>
          <w:rFonts w:ascii="Verdana" w:hAnsi="Verdana"/>
          <w:sz w:val="20"/>
          <w:szCs w:val="20"/>
          <w:lang w:val="es-CR"/>
        </w:rPr>
        <w:t>r</w:t>
      </w:r>
      <w:r w:rsidR="00612BF9" w:rsidRPr="00711B91">
        <w:rPr>
          <w:rFonts w:ascii="Verdana" w:hAnsi="Verdana"/>
          <w:sz w:val="20"/>
          <w:szCs w:val="20"/>
          <w:lang w:val="es-CR"/>
        </w:rPr>
        <w:t xml:space="preserve"> </w:t>
      </w:r>
      <w:r w:rsidRPr="00711B91">
        <w:rPr>
          <w:rFonts w:ascii="Verdana" w:hAnsi="Verdana"/>
          <w:sz w:val="20"/>
          <w:szCs w:val="20"/>
          <w:lang w:val="es-CR"/>
        </w:rPr>
        <w:t>la</w:t>
      </w:r>
      <w:r w:rsidR="00612BF9">
        <w:rPr>
          <w:rFonts w:ascii="Verdana" w:hAnsi="Verdana"/>
          <w:sz w:val="20"/>
          <w:szCs w:val="20"/>
          <w:lang w:val="es-CR"/>
        </w:rPr>
        <w:t>s</w:t>
      </w:r>
      <w:r w:rsidRPr="00711B91">
        <w:rPr>
          <w:rFonts w:ascii="Verdana" w:hAnsi="Verdana"/>
          <w:sz w:val="20"/>
          <w:szCs w:val="20"/>
          <w:lang w:val="es-CR"/>
        </w:rPr>
        <w:t xml:space="preserve"> cantidad</w:t>
      </w:r>
      <w:r w:rsidR="00612BF9">
        <w:rPr>
          <w:rFonts w:ascii="Verdana" w:hAnsi="Verdana"/>
          <w:sz w:val="20"/>
          <w:szCs w:val="20"/>
          <w:lang w:val="es-CR"/>
        </w:rPr>
        <w:t>es</w:t>
      </w:r>
      <w:r w:rsidRPr="00711B91">
        <w:rPr>
          <w:rFonts w:ascii="Verdana" w:hAnsi="Verdana"/>
          <w:sz w:val="20"/>
          <w:szCs w:val="20"/>
          <w:lang w:val="es-CR"/>
        </w:rPr>
        <w:t xml:space="preserve"> fijada</w:t>
      </w:r>
      <w:r w:rsidR="00612BF9">
        <w:rPr>
          <w:rFonts w:ascii="Verdana" w:hAnsi="Verdana"/>
          <w:sz w:val="20"/>
          <w:szCs w:val="20"/>
          <w:lang w:val="es-CR"/>
        </w:rPr>
        <w:t>s en la Sentencia</w:t>
      </w:r>
      <w:r w:rsidRPr="00711B91">
        <w:rPr>
          <w:rFonts w:ascii="Verdana" w:hAnsi="Verdana"/>
          <w:sz w:val="20"/>
          <w:szCs w:val="20"/>
          <w:lang w:val="es-CR"/>
        </w:rPr>
        <w:t xml:space="preserve"> por concepto de </w:t>
      </w:r>
      <w:r w:rsidR="00612BF9">
        <w:rPr>
          <w:rFonts w:ascii="Verdana" w:hAnsi="Verdana"/>
          <w:sz w:val="20"/>
          <w:szCs w:val="20"/>
          <w:lang w:val="es-CR"/>
        </w:rPr>
        <w:t xml:space="preserve">reintegro de </w:t>
      </w:r>
      <w:r w:rsidRPr="00711B91">
        <w:rPr>
          <w:rFonts w:ascii="Verdana" w:hAnsi="Verdana"/>
          <w:sz w:val="20"/>
          <w:szCs w:val="20"/>
          <w:lang w:val="es-CR"/>
        </w:rPr>
        <w:t>costas y gastos.</w:t>
      </w:r>
    </w:p>
    <w:p w:rsidR="00435F8E" w:rsidRDefault="00435F8E" w:rsidP="00C95520">
      <w:pPr>
        <w:spacing w:before="120" w:after="120" w:line="240" w:lineRule="auto"/>
        <w:ind w:right="20"/>
        <w:jc w:val="both"/>
        <w:rPr>
          <w:rFonts w:ascii="Verdana" w:hAnsi="Verdana"/>
          <w:lang w:val="es-CR"/>
        </w:rPr>
      </w:pPr>
    </w:p>
    <w:p w:rsidR="00903DE2" w:rsidRPr="00435F8E" w:rsidRDefault="00903DE2" w:rsidP="00C95520">
      <w:pPr>
        <w:spacing w:before="120" w:after="120" w:line="240" w:lineRule="auto"/>
        <w:ind w:right="20"/>
        <w:jc w:val="both"/>
        <w:rPr>
          <w:rFonts w:ascii="Verdana" w:hAnsi="Verdana"/>
          <w:lang w:val="es-CR"/>
        </w:rPr>
      </w:pPr>
    </w:p>
    <w:p w:rsidR="009F78E3" w:rsidRPr="007A1771" w:rsidRDefault="009F78E3" w:rsidP="00C95520">
      <w:pPr>
        <w:tabs>
          <w:tab w:val="left" w:pos="680"/>
        </w:tabs>
        <w:spacing w:before="120" w:after="120" w:line="240" w:lineRule="auto"/>
        <w:jc w:val="both"/>
        <w:rPr>
          <w:rFonts w:ascii="Verdana" w:hAnsi="Verdana"/>
          <w:b/>
          <w:sz w:val="20"/>
          <w:szCs w:val="20"/>
          <w:lang w:val="es-MX"/>
        </w:rPr>
      </w:pPr>
      <w:r>
        <w:rPr>
          <w:rFonts w:ascii="Verdana" w:hAnsi="Verdana"/>
          <w:b/>
          <w:sz w:val="20"/>
          <w:szCs w:val="20"/>
          <w:lang w:val="es-MX"/>
        </w:rPr>
        <w:t>POR TANTO:</w:t>
      </w:r>
    </w:p>
    <w:p w:rsidR="009F78E3" w:rsidRDefault="009F78E3" w:rsidP="00C95520">
      <w:pPr>
        <w:pStyle w:val="Textoindependiente"/>
        <w:tabs>
          <w:tab w:val="left" w:pos="360"/>
          <w:tab w:val="left" w:pos="567"/>
        </w:tabs>
        <w:spacing w:before="120" w:line="240" w:lineRule="auto"/>
        <w:rPr>
          <w:rFonts w:ascii="Verdana" w:hAnsi="Verdana"/>
          <w:b/>
          <w:sz w:val="20"/>
          <w:lang w:val="es-CR"/>
        </w:rPr>
      </w:pPr>
      <w:r w:rsidRPr="00C16F1F">
        <w:rPr>
          <w:rFonts w:ascii="Verdana" w:hAnsi="Verdana"/>
          <w:b/>
          <w:sz w:val="20"/>
          <w:lang w:val="es-CR"/>
        </w:rPr>
        <w:t>LA CORTE INTERAMERICANA DE DERECHOS HUMANOS,</w:t>
      </w:r>
    </w:p>
    <w:p w:rsidR="006F0AF8" w:rsidRPr="00711B91" w:rsidRDefault="009F78E3" w:rsidP="00C95520">
      <w:pPr>
        <w:tabs>
          <w:tab w:val="left" w:pos="567"/>
        </w:tabs>
        <w:spacing w:before="120" w:after="120" w:line="240" w:lineRule="auto"/>
        <w:jc w:val="both"/>
        <w:rPr>
          <w:rFonts w:ascii="Verdana" w:hAnsi="Verdana"/>
          <w:sz w:val="20"/>
          <w:szCs w:val="20"/>
          <w:lang w:val="es-CR"/>
        </w:rPr>
      </w:pPr>
      <w:r w:rsidRPr="00711B91">
        <w:rPr>
          <w:rFonts w:ascii="Verdana" w:hAnsi="Verdana"/>
          <w:sz w:val="20"/>
          <w:szCs w:val="20"/>
          <w:lang w:val="es-CR"/>
        </w:rPr>
        <w:t>en el ejercicio de sus atribuciones de supervisión del cumplimiento de sus decisiones, de conformidad con los artículos 33, 62.1, 62.3, 65, 67 y 68.1 de la Convención Americana sobre Derechos Humanos, 24, 25 y 30 del Estatuto</w:t>
      </w:r>
      <w:r w:rsidR="00435F8E" w:rsidRPr="00711B91">
        <w:rPr>
          <w:rFonts w:ascii="Verdana" w:hAnsi="Verdana"/>
          <w:sz w:val="20"/>
          <w:szCs w:val="20"/>
          <w:lang w:val="es-CR"/>
        </w:rPr>
        <w:t>, y 31.2 y 69 de su Reglamento,</w:t>
      </w:r>
    </w:p>
    <w:p w:rsidR="006909A8" w:rsidRPr="00711B91" w:rsidRDefault="006909A8" w:rsidP="00C95520">
      <w:pPr>
        <w:tabs>
          <w:tab w:val="left" w:pos="567"/>
        </w:tabs>
        <w:spacing w:before="120" w:after="120" w:line="240" w:lineRule="auto"/>
        <w:jc w:val="both"/>
        <w:rPr>
          <w:rFonts w:ascii="Verdana" w:hAnsi="Verdana"/>
          <w:sz w:val="20"/>
          <w:szCs w:val="20"/>
          <w:lang w:val="es-CR"/>
        </w:rPr>
      </w:pPr>
    </w:p>
    <w:p w:rsidR="006F0AF8" w:rsidRPr="00711B91" w:rsidRDefault="009F78E3" w:rsidP="00C95520">
      <w:pPr>
        <w:tabs>
          <w:tab w:val="left" w:pos="567"/>
        </w:tabs>
        <w:spacing w:before="120" w:after="120" w:line="240" w:lineRule="auto"/>
        <w:ind w:right="22"/>
        <w:jc w:val="both"/>
        <w:rPr>
          <w:rFonts w:ascii="Verdana" w:hAnsi="Verdana"/>
          <w:b/>
          <w:sz w:val="20"/>
          <w:szCs w:val="20"/>
          <w:lang w:val="es-CR"/>
        </w:rPr>
      </w:pPr>
      <w:r w:rsidRPr="00711B91">
        <w:rPr>
          <w:rFonts w:ascii="Verdana" w:hAnsi="Verdana"/>
          <w:b/>
          <w:sz w:val="20"/>
          <w:szCs w:val="20"/>
          <w:lang w:val="es-CR"/>
        </w:rPr>
        <w:t>RESUELVE:</w:t>
      </w:r>
      <w:r w:rsidR="006F0AF8" w:rsidRPr="00711B91">
        <w:rPr>
          <w:rFonts w:ascii="Verdana" w:hAnsi="Verdana"/>
          <w:b/>
          <w:sz w:val="20"/>
          <w:szCs w:val="20"/>
          <w:lang w:val="es-CR"/>
        </w:rPr>
        <w:t xml:space="preserve"> </w:t>
      </w:r>
    </w:p>
    <w:p w:rsidR="006F0AF8" w:rsidRPr="00711B91" w:rsidRDefault="006F0AF8" w:rsidP="00C95520">
      <w:pPr>
        <w:numPr>
          <w:ilvl w:val="0"/>
          <w:numId w:val="3"/>
        </w:numPr>
        <w:tabs>
          <w:tab w:val="left" w:pos="567"/>
        </w:tabs>
        <w:spacing w:before="120" w:after="120" w:line="240" w:lineRule="auto"/>
        <w:ind w:left="0" w:firstLine="0"/>
        <w:jc w:val="both"/>
        <w:rPr>
          <w:rFonts w:ascii="Verdana" w:hAnsi="Verdana"/>
          <w:sz w:val="20"/>
          <w:szCs w:val="20"/>
          <w:lang w:val="es-CR"/>
        </w:rPr>
      </w:pPr>
      <w:r w:rsidRPr="00711B91">
        <w:rPr>
          <w:rFonts w:ascii="Verdana" w:hAnsi="Verdana"/>
          <w:sz w:val="20"/>
          <w:szCs w:val="20"/>
          <w:lang w:val="es-CR"/>
        </w:rPr>
        <w:t xml:space="preserve">Declarar, de conformidad con lo señalado en los Considerandos </w:t>
      </w:r>
      <w:r w:rsidR="0010047D">
        <w:rPr>
          <w:rFonts w:ascii="Verdana" w:hAnsi="Verdana"/>
          <w:sz w:val="20"/>
          <w:szCs w:val="20"/>
          <w:lang w:val="es-CR"/>
        </w:rPr>
        <w:t>38, 69 y 71</w:t>
      </w:r>
      <w:r w:rsidR="0010047D" w:rsidRPr="00711B91">
        <w:rPr>
          <w:rFonts w:ascii="Verdana" w:hAnsi="Verdana"/>
          <w:sz w:val="20"/>
          <w:szCs w:val="20"/>
          <w:lang w:val="es-CR"/>
        </w:rPr>
        <w:t xml:space="preserve"> </w:t>
      </w:r>
      <w:r w:rsidRPr="00711B91">
        <w:rPr>
          <w:rFonts w:ascii="Verdana" w:hAnsi="Verdana"/>
          <w:sz w:val="20"/>
          <w:szCs w:val="20"/>
          <w:lang w:val="es-CR"/>
        </w:rPr>
        <w:t>de la presente Resolución, que el Estado ha dado cumplimiento total a</w:t>
      </w:r>
      <w:r w:rsidR="009929D5" w:rsidRPr="00711B91">
        <w:rPr>
          <w:rFonts w:ascii="Verdana" w:hAnsi="Verdana"/>
          <w:sz w:val="20"/>
          <w:szCs w:val="20"/>
          <w:lang w:val="es-CR"/>
        </w:rPr>
        <w:t xml:space="preserve"> </w:t>
      </w:r>
      <w:r w:rsidRPr="00711B91">
        <w:rPr>
          <w:rFonts w:ascii="Verdana" w:hAnsi="Verdana"/>
          <w:sz w:val="20"/>
          <w:szCs w:val="20"/>
          <w:lang w:val="es-CR"/>
        </w:rPr>
        <w:t>las siguientes reparaciones:</w:t>
      </w:r>
    </w:p>
    <w:p w:rsidR="00D4082A" w:rsidRPr="00D4082A" w:rsidRDefault="00D4082A" w:rsidP="00C95520">
      <w:pPr>
        <w:numPr>
          <w:ilvl w:val="0"/>
          <w:numId w:val="5"/>
        </w:numPr>
        <w:tabs>
          <w:tab w:val="left" w:pos="567"/>
        </w:tabs>
        <w:spacing w:before="120" w:after="120" w:line="240" w:lineRule="auto"/>
        <w:jc w:val="both"/>
        <w:rPr>
          <w:rFonts w:ascii="Verdana" w:hAnsi="Verdana"/>
          <w:sz w:val="20"/>
          <w:szCs w:val="20"/>
          <w:lang w:val="es-CR"/>
        </w:rPr>
      </w:pPr>
      <w:r w:rsidRPr="00D4082A">
        <w:rPr>
          <w:rFonts w:ascii="Verdana" w:hAnsi="Verdana"/>
          <w:sz w:val="20"/>
          <w:szCs w:val="20"/>
          <w:lang w:val="es-CR"/>
        </w:rPr>
        <w:t>realizar las publicaciones y radiodifusión de la Sentencia</w:t>
      </w:r>
      <w:r w:rsidR="0010047D">
        <w:rPr>
          <w:rFonts w:ascii="Verdana" w:hAnsi="Verdana"/>
          <w:sz w:val="20"/>
          <w:szCs w:val="20"/>
          <w:lang w:val="es-CR"/>
        </w:rPr>
        <w:t xml:space="preserve"> y de su resumen oficial</w:t>
      </w:r>
      <w:r w:rsidRPr="00D4082A">
        <w:rPr>
          <w:rFonts w:ascii="Verdana" w:hAnsi="Verdana"/>
          <w:sz w:val="20"/>
          <w:szCs w:val="20"/>
          <w:lang w:val="es-CR"/>
        </w:rPr>
        <w:t xml:space="preserve"> (</w:t>
      </w:r>
      <w:r w:rsidRPr="00D4082A">
        <w:rPr>
          <w:rFonts w:ascii="Verdana" w:hAnsi="Verdana"/>
          <w:i/>
          <w:sz w:val="20"/>
          <w:szCs w:val="20"/>
          <w:lang w:val="es-CR"/>
        </w:rPr>
        <w:t xml:space="preserve">punto </w:t>
      </w:r>
      <w:r w:rsidR="0010047D">
        <w:rPr>
          <w:rFonts w:ascii="Verdana" w:hAnsi="Verdana"/>
          <w:i/>
          <w:sz w:val="20"/>
          <w:szCs w:val="20"/>
          <w:lang w:val="es-CR"/>
        </w:rPr>
        <w:t>dispositivo</w:t>
      </w:r>
      <w:r w:rsidR="0010047D" w:rsidRPr="00D4082A">
        <w:rPr>
          <w:rFonts w:ascii="Verdana" w:hAnsi="Verdana"/>
          <w:i/>
          <w:sz w:val="20"/>
          <w:szCs w:val="20"/>
          <w:lang w:val="es-CR"/>
        </w:rPr>
        <w:t xml:space="preserve"> </w:t>
      </w:r>
      <w:r w:rsidRPr="00D4082A">
        <w:rPr>
          <w:rFonts w:ascii="Verdana" w:hAnsi="Verdana"/>
          <w:i/>
          <w:sz w:val="20"/>
          <w:szCs w:val="20"/>
          <w:lang w:val="es-CR"/>
        </w:rPr>
        <w:t>décimo octavo de la Sentencia)</w:t>
      </w:r>
      <w:r>
        <w:rPr>
          <w:rFonts w:ascii="Verdana" w:hAnsi="Verdana"/>
          <w:sz w:val="20"/>
          <w:szCs w:val="20"/>
          <w:lang w:val="es-CR"/>
        </w:rPr>
        <w:t>;</w:t>
      </w:r>
    </w:p>
    <w:p w:rsidR="00D4082A" w:rsidRDefault="0024305D" w:rsidP="00C95520">
      <w:pPr>
        <w:numPr>
          <w:ilvl w:val="0"/>
          <w:numId w:val="5"/>
        </w:numPr>
        <w:tabs>
          <w:tab w:val="left" w:pos="567"/>
        </w:tabs>
        <w:spacing w:before="120" w:after="120" w:line="240" w:lineRule="auto"/>
        <w:jc w:val="both"/>
        <w:rPr>
          <w:rFonts w:ascii="Verdana" w:hAnsi="Verdana"/>
          <w:sz w:val="20"/>
          <w:szCs w:val="20"/>
          <w:lang w:val="es-CR"/>
        </w:rPr>
      </w:pPr>
      <w:r w:rsidRPr="00711B91">
        <w:rPr>
          <w:rFonts w:ascii="Verdana" w:hAnsi="Verdana"/>
          <w:sz w:val="20"/>
          <w:szCs w:val="20"/>
          <w:lang w:val="es-CR"/>
        </w:rPr>
        <w:t xml:space="preserve">pagar </w:t>
      </w:r>
      <w:r w:rsidR="00564118">
        <w:rPr>
          <w:rFonts w:ascii="Verdana" w:hAnsi="Verdana"/>
          <w:sz w:val="20"/>
          <w:szCs w:val="20"/>
          <w:lang w:val="es-CR"/>
        </w:rPr>
        <w:t xml:space="preserve">a </w:t>
      </w:r>
      <w:r w:rsidR="00FC1EF2">
        <w:rPr>
          <w:rFonts w:ascii="Verdana" w:hAnsi="Verdana"/>
          <w:sz w:val="20"/>
          <w:szCs w:val="20"/>
          <w:lang w:val="es-CR"/>
        </w:rPr>
        <w:t xml:space="preserve">cada una de </w:t>
      </w:r>
      <w:r w:rsidR="00564118">
        <w:rPr>
          <w:rFonts w:ascii="Verdana" w:hAnsi="Verdana"/>
          <w:sz w:val="20"/>
          <w:szCs w:val="20"/>
          <w:lang w:val="es-CR"/>
        </w:rPr>
        <w:t xml:space="preserve">las ocho víctimas del caso la cantidad fijada en la Sentencia por concepto de </w:t>
      </w:r>
      <w:r w:rsidR="00564118" w:rsidRPr="00711B91">
        <w:rPr>
          <w:rFonts w:ascii="Verdana" w:hAnsi="Verdana"/>
          <w:sz w:val="20"/>
          <w:szCs w:val="20"/>
          <w:lang w:val="es-CR"/>
        </w:rPr>
        <w:t>indemnizaci</w:t>
      </w:r>
      <w:r w:rsidR="00564118">
        <w:rPr>
          <w:rFonts w:ascii="Verdana" w:hAnsi="Verdana"/>
          <w:sz w:val="20"/>
          <w:szCs w:val="20"/>
          <w:lang w:val="es-CR"/>
        </w:rPr>
        <w:t>ón</w:t>
      </w:r>
      <w:r w:rsidR="00564118" w:rsidRPr="00711B91">
        <w:rPr>
          <w:rFonts w:ascii="Verdana" w:hAnsi="Verdana"/>
          <w:sz w:val="20"/>
          <w:szCs w:val="20"/>
          <w:lang w:val="es-CR"/>
        </w:rPr>
        <w:t xml:space="preserve"> </w:t>
      </w:r>
      <w:r w:rsidRPr="00711B91">
        <w:rPr>
          <w:rFonts w:ascii="Verdana" w:hAnsi="Verdana"/>
          <w:sz w:val="20"/>
          <w:szCs w:val="20"/>
          <w:lang w:val="es-CR"/>
        </w:rPr>
        <w:t xml:space="preserve">de </w:t>
      </w:r>
      <w:r w:rsidR="00564118">
        <w:rPr>
          <w:rFonts w:ascii="Verdana" w:hAnsi="Verdana"/>
          <w:sz w:val="20"/>
          <w:szCs w:val="20"/>
          <w:lang w:val="es-CR"/>
        </w:rPr>
        <w:t xml:space="preserve">los </w:t>
      </w:r>
      <w:r w:rsidRPr="00711B91">
        <w:rPr>
          <w:rFonts w:ascii="Verdana" w:hAnsi="Verdana"/>
          <w:sz w:val="20"/>
          <w:szCs w:val="20"/>
          <w:lang w:val="es-CR"/>
        </w:rPr>
        <w:t>daño</w:t>
      </w:r>
      <w:r w:rsidR="00564118">
        <w:rPr>
          <w:rFonts w:ascii="Verdana" w:hAnsi="Verdana"/>
          <w:sz w:val="20"/>
          <w:szCs w:val="20"/>
          <w:lang w:val="es-CR"/>
        </w:rPr>
        <w:t>s</w:t>
      </w:r>
      <w:r w:rsidRPr="00711B91">
        <w:rPr>
          <w:rFonts w:ascii="Verdana" w:hAnsi="Verdana"/>
          <w:sz w:val="20"/>
          <w:szCs w:val="20"/>
          <w:lang w:val="es-CR"/>
        </w:rPr>
        <w:t xml:space="preserve"> material</w:t>
      </w:r>
      <w:r w:rsidR="00564118">
        <w:rPr>
          <w:rFonts w:ascii="Verdana" w:hAnsi="Verdana"/>
          <w:sz w:val="20"/>
          <w:szCs w:val="20"/>
          <w:lang w:val="es-CR"/>
        </w:rPr>
        <w:t>es</w:t>
      </w:r>
      <w:r w:rsidRPr="00711B91">
        <w:rPr>
          <w:rFonts w:ascii="Verdana" w:hAnsi="Verdana"/>
          <w:sz w:val="20"/>
          <w:szCs w:val="20"/>
          <w:lang w:val="es-CR"/>
        </w:rPr>
        <w:t xml:space="preserve"> e inmaterial</w:t>
      </w:r>
      <w:r w:rsidR="00564118">
        <w:rPr>
          <w:rFonts w:ascii="Verdana" w:hAnsi="Verdana"/>
          <w:sz w:val="20"/>
          <w:szCs w:val="20"/>
          <w:lang w:val="es-CR"/>
        </w:rPr>
        <w:t>es</w:t>
      </w:r>
      <w:r w:rsidRPr="00711B91">
        <w:rPr>
          <w:rFonts w:ascii="Verdana" w:hAnsi="Verdana"/>
          <w:sz w:val="20"/>
          <w:szCs w:val="20"/>
          <w:lang w:val="es-CR"/>
        </w:rPr>
        <w:t xml:space="preserve"> </w:t>
      </w:r>
      <w:r w:rsidR="006F0AF8" w:rsidRPr="0080036B">
        <w:rPr>
          <w:rFonts w:ascii="Verdana" w:hAnsi="Verdana"/>
          <w:i/>
          <w:sz w:val="20"/>
          <w:szCs w:val="20"/>
          <w:lang w:val="es-CR"/>
        </w:rPr>
        <w:t>(</w:t>
      </w:r>
      <w:r w:rsidR="006F0AF8" w:rsidRPr="00564118">
        <w:rPr>
          <w:rFonts w:ascii="Verdana" w:hAnsi="Verdana"/>
          <w:i/>
          <w:sz w:val="20"/>
          <w:szCs w:val="20"/>
          <w:lang w:val="es-CR"/>
        </w:rPr>
        <w:t xml:space="preserve">punto </w:t>
      </w:r>
      <w:r w:rsidR="00FC1EF2">
        <w:rPr>
          <w:rFonts w:ascii="Verdana" w:hAnsi="Verdana"/>
          <w:i/>
          <w:sz w:val="20"/>
          <w:szCs w:val="20"/>
          <w:lang w:val="es-CR"/>
        </w:rPr>
        <w:t xml:space="preserve">dispositivo </w:t>
      </w:r>
      <w:r w:rsidRPr="00564118">
        <w:rPr>
          <w:rFonts w:ascii="Verdana" w:hAnsi="Verdana"/>
          <w:i/>
          <w:sz w:val="20"/>
          <w:szCs w:val="20"/>
          <w:lang w:val="es-CR"/>
        </w:rPr>
        <w:t>vigésimo primero</w:t>
      </w:r>
      <w:r w:rsidR="006F0AF8" w:rsidRPr="00352D79">
        <w:rPr>
          <w:rFonts w:ascii="Verdana" w:hAnsi="Verdana"/>
          <w:i/>
          <w:sz w:val="20"/>
          <w:szCs w:val="20"/>
          <w:lang w:val="es-CR"/>
        </w:rPr>
        <w:t xml:space="preserve"> de la Sentencia</w:t>
      </w:r>
      <w:r w:rsidR="009929D5" w:rsidRPr="0080036B">
        <w:rPr>
          <w:rFonts w:ascii="Verdana" w:hAnsi="Verdana"/>
          <w:i/>
          <w:sz w:val="20"/>
          <w:szCs w:val="20"/>
          <w:lang w:val="es-CR"/>
        </w:rPr>
        <w:t>)</w:t>
      </w:r>
      <w:r w:rsidR="009929D5" w:rsidRPr="00711B91">
        <w:rPr>
          <w:rFonts w:ascii="Verdana" w:hAnsi="Verdana"/>
          <w:sz w:val="20"/>
          <w:szCs w:val="20"/>
          <w:lang w:val="es-CR"/>
        </w:rPr>
        <w:t>, y</w:t>
      </w:r>
    </w:p>
    <w:p w:rsidR="009929D5" w:rsidRDefault="0024305D" w:rsidP="00C95520">
      <w:pPr>
        <w:numPr>
          <w:ilvl w:val="0"/>
          <w:numId w:val="5"/>
        </w:numPr>
        <w:tabs>
          <w:tab w:val="left" w:pos="709"/>
        </w:tabs>
        <w:spacing w:before="120" w:after="120" w:line="240" w:lineRule="auto"/>
        <w:jc w:val="both"/>
        <w:rPr>
          <w:rFonts w:ascii="Verdana" w:hAnsi="Verdana"/>
          <w:sz w:val="20"/>
          <w:szCs w:val="20"/>
          <w:lang w:val="es-CR"/>
        </w:rPr>
      </w:pPr>
      <w:r w:rsidRPr="00D4082A">
        <w:rPr>
          <w:rFonts w:ascii="Verdana" w:hAnsi="Verdana"/>
          <w:sz w:val="20"/>
          <w:szCs w:val="20"/>
          <w:lang w:val="es-CR"/>
        </w:rPr>
        <w:lastRenderedPageBreak/>
        <w:t xml:space="preserve">pagar las cantidades fijadas </w:t>
      </w:r>
      <w:r w:rsidR="00564118" w:rsidRPr="00D4082A">
        <w:rPr>
          <w:rFonts w:ascii="Verdana" w:hAnsi="Verdana"/>
          <w:sz w:val="20"/>
          <w:szCs w:val="20"/>
          <w:lang w:val="es-CR"/>
        </w:rPr>
        <w:t>en</w:t>
      </w:r>
      <w:r w:rsidRPr="00D4082A">
        <w:rPr>
          <w:rFonts w:ascii="Verdana" w:hAnsi="Verdana"/>
          <w:sz w:val="20"/>
          <w:szCs w:val="20"/>
          <w:lang w:val="es-CR"/>
        </w:rPr>
        <w:t xml:space="preserve"> la Sentencia por concepto de reintegro de costas y gastos </w:t>
      </w:r>
      <w:r w:rsidR="009929D5" w:rsidRPr="00D4082A">
        <w:rPr>
          <w:rFonts w:ascii="Verdana" w:hAnsi="Verdana"/>
          <w:i/>
          <w:sz w:val="20"/>
          <w:szCs w:val="20"/>
          <w:lang w:val="es-CR"/>
        </w:rPr>
        <w:t xml:space="preserve">(punto </w:t>
      </w:r>
      <w:r w:rsidR="00FC1EF2">
        <w:rPr>
          <w:rFonts w:ascii="Verdana" w:hAnsi="Verdana"/>
          <w:i/>
          <w:sz w:val="20"/>
          <w:szCs w:val="20"/>
          <w:lang w:val="es-CR"/>
        </w:rPr>
        <w:t>dispositivo</w:t>
      </w:r>
      <w:r w:rsidR="00FC1EF2" w:rsidRPr="00D4082A">
        <w:rPr>
          <w:rFonts w:ascii="Verdana" w:hAnsi="Verdana"/>
          <w:i/>
          <w:sz w:val="20"/>
          <w:szCs w:val="20"/>
          <w:lang w:val="es-CR"/>
        </w:rPr>
        <w:t xml:space="preserve"> </w:t>
      </w:r>
      <w:r w:rsidRPr="00D4082A">
        <w:rPr>
          <w:rFonts w:ascii="Verdana" w:hAnsi="Verdana"/>
          <w:i/>
          <w:sz w:val="20"/>
          <w:szCs w:val="20"/>
          <w:lang w:val="es-CR"/>
        </w:rPr>
        <w:t xml:space="preserve">vigésimo segundo </w:t>
      </w:r>
      <w:r w:rsidR="009929D5" w:rsidRPr="00D4082A">
        <w:rPr>
          <w:rFonts w:ascii="Verdana" w:hAnsi="Verdana"/>
          <w:i/>
          <w:sz w:val="20"/>
          <w:szCs w:val="20"/>
          <w:lang w:val="es-CR"/>
        </w:rPr>
        <w:t>de la Sentencia)</w:t>
      </w:r>
      <w:r w:rsidR="009929D5" w:rsidRPr="00D4082A">
        <w:rPr>
          <w:rFonts w:ascii="Verdana" w:hAnsi="Verdana"/>
          <w:sz w:val="20"/>
          <w:szCs w:val="20"/>
          <w:lang w:val="es-CR"/>
        </w:rPr>
        <w:t>.</w:t>
      </w:r>
    </w:p>
    <w:p w:rsidR="00903DE2" w:rsidRPr="00D4082A" w:rsidRDefault="00903DE2" w:rsidP="00903DE2">
      <w:pPr>
        <w:tabs>
          <w:tab w:val="left" w:pos="709"/>
        </w:tabs>
        <w:spacing w:before="120" w:after="120" w:line="240" w:lineRule="auto"/>
        <w:ind w:left="720"/>
        <w:jc w:val="both"/>
        <w:rPr>
          <w:rFonts w:ascii="Verdana" w:hAnsi="Verdana"/>
          <w:sz w:val="20"/>
          <w:szCs w:val="20"/>
          <w:lang w:val="es-CR"/>
        </w:rPr>
      </w:pPr>
    </w:p>
    <w:p w:rsidR="00C95520" w:rsidRDefault="009929D5" w:rsidP="00C95520">
      <w:pPr>
        <w:numPr>
          <w:ilvl w:val="0"/>
          <w:numId w:val="3"/>
        </w:numPr>
        <w:tabs>
          <w:tab w:val="left" w:pos="567"/>
        </w:tabs>
        <w:spacing w:before="120" w:after="120" w:line="240" w:lineRule="auto"/>
        <w:ind w:left="0" w:firstLine="0"/>
        <w:jc w:val="both"/>
        <w:rPr>
          <w:rFonts w:ascii="Verdana" w:hAnsi="Verdana"/>
          <w:sz w:val="20"/>
          <w:szCs w:val="20"/>
          <w:lang w:val="es-CR"/>
        </w:rPr>
      </w:pPr>
      <w:r w:rsidRPr="00711B91">
        <w:rPr>
          <w:rFonts w:ascii="Verdana" w:hAnsi="Verdana"/>
          <w:sz w:val="20"/>
          <w:szCs w:val="20"/>
          <w:lang w:val="es-CR"/>
        </w:rPr>
        <w:t xml:space="preserve">Declarar, de conformidad con lo señalado en los Considerandos </w:t>
      </w:r>
      <w:r w:rsidR="00FC1EF2">
        <w:rPr>
          <w:rFonts w:ascii="Verdana" w:hAnsi="Verdana"/>
          <w:sz w:val="20"/>
          <w:szCs w:val="20"/>
          <w:lang w:val="es-CR"/>
        </w:rPr>
        <w:t>14 y 52</w:t>
      </w:r>
      <w:r w:rsidR="00FC1EF2" w:rsidRPr="00711B91">
        <w:rPr>
          <w:rFonts w:ascii="Verdana" w:hAnsi="Verdana"/>
          <w:sz w:val="20"/>
          <w:szCs w:val="20"/>
          <w:lang w:val="es-CR"/>
        </w:rPr>
        <w:t xml:space="preserve"> </w:t>
      </w:r>
      <w:r w:rsidRPr="00711B91">
        <w:rPr>
          <w:rFonts w:ascii="Verdana" w:hAnsi="Verdana"/>
          <w:sz w:val="20"/>
          <w:szCs w:val="20"/>
          <w:lang w:val="es-CR"/>
        </w:rPr>
        <w:t>de la presente Resolución, que el Estado h</w:t>
      </w:r>
      <w:r w:rsidR="00D4082A">
        <w:rPr>
          <w:rFonts w:ascii="Verdana" w:hAnsi="Verdana"/>
          <w:sz w:val="20"/>
          <w:szCs w:val="20"/>
          <w:lang w:val="es-CR"/>
        </w:rPr>
        <w:t>a dado cumplimiento parcial a la</w:t>
      </w:r>
      <w:r w:rsidR="00C95520">
        <w:rPr>
          <w:rFonts w:ascii="Verdana" w:hAnsi="Verdana"/>
          <w:sz w:val="20"/>
          <w:szCs w:val="20"/>
          <w:lang w:val="es-CR"/>
        </w:rPr>
        <w:t>s</w:t>
      </w:r>
      <w:r w:rsidR="00D4082A">
        <w:rPr>
          <w:rFonts w:ascii="Verdana" w:hAnsi="Verdana"/>
          <w:sz w:val="20"/>
          <w:szCs w:val="20"/>
          <w:lang w:val="es-CR"/>
        </w:rPr>
        <w:t xml:space="preserve"> </w:t>
      </w:r>
      <w:r w:rsidR="00C95520">
        <w:rPr>
          <w:rFonts w:ascii="Verdana" w:hAnsi="Verdana"/>
          <w:sz w:val="20"/>
          <w:szCs w:val="20"/>
          <w:lang w:val="es-CR"/>
        </w:rPr>
        <w:t xml:space="preserve">siguientes </w:t>
      </w:r>
      <w:r w:rsidR="00D4082A">
        <w:rPr>
          <w:rFonts w:ascii="Verdana" w:hAnsi="Verdana"/>
          <w:sz w:val="20"/>
          <w:szCs w:val="20"/>
          <w:lang w:val="es-CR"/>
        </w:rPr>
        <w:t>medida</w:t>
      </w:r>
      <w:r w:rsidR="00C95520">
        <w:rPr>
          <w:rFonts w:ascii="Verdana" w:hAnsi="Verdana"/>
          <w:sz w:val="20"/>
          <w:szCs w:val="20"/>
          <w:lang w:val="es-CR"/>
        </w:rPr>
        <w:t>s de reparación:</w:t>
      </w:r>
    </w:p>
    <w:p w:rsidR="0024305D" w:rsidRDefault="0024305D" w:rsidP="00C95520">
      <w:pPr>
        <w:numPr>
          <w:ilvl w:val="0"/>
          <w:numId w:val="27"/>
        </w:numPr>
        <w:tabs>
          <w:tab w:val="left" w:pos="567"/>
        </w:tabs>
        <w:spacing w:before="120" w:after="120" w:line="240" w:lineRule="auto"/>
        <w:jc w:val="both"/>
        <w:rPr>
          <w:rFonts w:ascii="Verdana" w:hAnsi="Verdana"/>
          <w:sz w:val="20"/>
          <w:szCs w:val="20"/>
          <w:lang w:val="es-CR"/>
        </w:rPr>
      </w:pPr>
      <w:r w:rsidRPr="00D4082A">
        <w:rPr>
          <w:rFonts w:ascii="Verdana" w:hAnsi="Verdana"/>
          <w:sz w:val="20"/>
          <w:szCs w:val="20"/>
          <w:lang w:val="es-CR"/>
        </w:rPr>
        <w:t xml:space="preserve">adoptar todas las medidas judiciales, administrativas o de cualquier otra índole para dejar sin efecto, en todos sus extremos, las sentencias penales condenatorias </w:t>
      </w:r>
      <w:r w:rsidR="00FC1EF2">
        <w:rPr>
          <w:rFonts w:ascii="Verdana" w:hAnsi="Verdana"/>
          <w:sz w:val="20"/>
          <w:szCs w:val="20"/>
          <w:lang w:val="es-CR"/>
        </w:rPr>
        <w:t xml:space="preserve">emitidas en contra de </w:t>
      </w:r>
      <w:r w:rsidR="00FC1EF2" w:rsidRPr="00D91E1F">
        <w:rPr>
          <w:rFonts w:ascii="Verdana" w:hAnsi="Verdana"/>
          <w:sz w:val="20"/>
          <w:szCs w:val="20"/>
          <w:lang w:val="es-CR"/>
        </w:rPr>
        <w:t>los señores Segundo Aniceto Norín Catrimán, Pascual Huentequeo Pichún Paillalao, Víctor Manuel Ancalaf L</w:t>
      </w:r>
      <w:r w:rsidR="00FC1EF2">
        <w:rPr>
          <w:rFonts w:ascii="Verdana" w:hAnsi="Verdana"/>
          <w:sz w:val="20"/>
          <w:szCs w:val="20"/>
          <w:lang w:val="es-CR"/>
        </w:rPr>
        <w:t>l</w:t>
      </w:r>
      <w:r w:rsidR="00FC1EF2" w:rsidRPr="00D91E1F">
        <w:rPr>
          <w:rFonts w:ascii="Verdana" w:hAnsi="Verdana"/>
          <w:sz w:val="20"/>
          <w:szCs w:val="20"/>
          <w:lang w:val="es-CR"/>
        </w:rPr>
        <w:t>aupe, Florencio Jaime Marileo Saravia, Juan Patricio Marileo Saravia, José Huenchunao Mariñán, Juan Ciriaco Millacheo Licán y la señora Patricia Troncoso Robles</w:t>
      </w:r>
      <w:r w:rsidR="00FC1EF2" w:rsidRPr="00D4082A">
        <w:rPr>
          <w:rFonts w:ascii="Verdana" w:hAnsi="Verdana"/>
          <w:i/>
          <w:sz w:val="20"/>
          <w:szCs w:val="20"/>
          <w:lang w:val="es-CR"/>
        </w:rPr>
        <w:t xml:space="preserve"> </w:t>
      </w:r>
      <w:r w:rsidRPr="00D4082A">
        <w:rPr>
          <w:rFonts w:ascii="Verdana" w:hAnsi="Verdana"/>
          <w:i/>
          <w:sz w:val="20"/>
          <w:szCs w:val="20"/>
          <w:lang w:val="es-CR"/>
        </w:rPr>
        <w:t xml:space="preserve">(punto </w:t>
      </w:r>
      <w:r w:rsidR="00FC1EF2">
        <w:rPr>
          <w:rFonts w:ascii="Verdana" w:hAnsi="Verdana"/>
          <w:i/>
          <w:sz w:val="20"/>
          <w:szCs w:val="20"/>
          <w:lang w:val="es-CR"/>
        </w:rPr>
        <w:t>dispositivo</w:t>
      </w:r>
      <w:r w:rsidR="00FC1EF2" w:rsidRPr="00D4082A">
        <w:rPr>
          <w:rFonts w:ascii="Verdana" w:hAnsi="Verdana"/>
          <w:i/>
          <w:sz w:val="20"/>
          <w:szCs w:val="20"/>
          <w:lang w:val="es-CR"/>
        </w:rPr>
        <w:t xml:space="preserve"> </w:t>
      </w:r>
      <w:r w:rsidR="00D4082A" w:rsidRPr="00D4082A">
        <w:rPr>
          <w:rFonts w:ascii="Verdana" w:hAnsi="Verdana"/>
          <w:i/>
          <w:sz w:val="20"/>
          <w:szCs w:val="20"/>
          <w:lang w:val="es-CR"/>
        </w:rPr>
        <w:t>décimo sexto de la Sentencia)</w:t>
      </w:r>
      <w:r w:rsidR="00C95520">
        <w:rPr>
          <w:rFonts w:ascii="Verdana" w:hAnsi="Verdana"/>
          <w:sz w:val="20"/>
          <w:szCs w:val="20"/>
          <w:lang w:val="es-CR"/>
        </w:rPr>
        <w:t>, y</w:t>
      </w:r>
    </w:p>
    <w:p w:rsidR="00C95520" w:rsidRDefault="00C95520" w:rsidP="00C95520">
      <w:pPr>
        <w:numPr>
          <w:ilvl w:val="0"/>
          <w:numId w:val="27"/>
        </w:numPr>
        <w:tabs>
          <w:tab w:val="left" w:pos="567"/>
        </w:tabs>
        <w:spacing w:before="120" w:after="120" w:line="240" w:lineRule="auto"/>
        <w:jc w:val="both"/>
        <w:rPr>
          <w:rFonts w:ascii="Verdana" w:hAnsi="Verdana"/>
          <w:sz w:val="20"/>
          <w:szCs w:val="20"/>
          <w:lang w:val="es-CR"/>
        </w:rPr>
      </w:pPr>
      <w:r w:rsidRPr="00C95520">
        <w:rPr>
          <w:rFonts w:ascii="Verdana" w:hAnsi="Verdana"/>
          <w:sz w:val="20"/>
          <w:szCs w:val="20"/>
          <w:lang w:val="es-CR"/>
        </w:rPr>
        <w:t>otorgar becas de estudio en instituciones públicas chilenas en beneficio de</w:t>
      </w:r>
      <w:r w:rsidR="00FC1EF2">
        <w:rPr>
          <w:rFonts w:ascii="Verdana" w:hAnsi="Verdana"/>
          <w:sz w:val="20"/>
          <w:szCs w:val="20"/>
          <w:lang w:val="es-CR"/>
        </w:rPr>
        <w:t xml:space="preserve"> </w:t>
      </w:r>
      <w:r w:rsidR="00FC1EF2" w:rsidRPr="00A97B6F">
        <w:rPr>
          <w:rFonts w:ascii="Verdana" w:hAnsi="Verdana"/>
          <w:sz w:val="20"/>
          <w:szCs w:val="20"/>
          <w:lang w:val="es-CR"/>
        </w:rPr>
        <w:t>las víctimas y</w:t>
      </w:r>
      <w:r w:rsidRPr="00A97B6F">
        <w:rPr>
          <w:rFonts w:ascii="Verdana" w:hAnsi="Verdana"/>
          <w:sz w:val="20"/>
          <w:szCs w:val="20"/>
          <w:lang w:val="es-CR"/>
        </w:rPr>
        <w:t xml:space="preserve"> los hijos de </w:t>
      </w:r>
      <w:r w:rsidR="00FC1EF2" w:rsidRPr="00A97B6F">
        <w:rPr>
          <w:rFonts w:ascii="Verdana" w:hAnsi="Verdana"/>
          <w:sz w:val="20"/>
          <w:szCs w:val="20"/>
          <w:lang w:val="es-CR"/>
        </w:rPr>
        <w:t>éstas</w:t>
      </w:r>
      <w:r w:rsidRPr="00A97B6F">
        <w:rPr>
          <w:rFonts w:ascii="Verdana" w:hAnsi="Verdana"/>
          <w:sz w:val="20"/>
          <w:szCs w:val="20"/>
          <w:lang w:val="es-CR"/>
        </w:rPr>
        <w:t xml:space="preserve"> que así lo soliciten</w:t>
      </w:r>
      <w:r w:rsidRPr="00C95520">
        <w:rPr>
          <w:rFonts w:ascii="Verdana" w:hAnsi="Verdana"/>
          <w:sz w:val="20"/>
          <w:szCs w:val="20"/>
          <w:lang w:val="es-CR"/>
        </w:rPr>
        <w:t xml:space="preserve"> (</w:t>
      </w:r>
      <w:r w:rsidRPr="00C95520">
        <w:rPr>
          <w:rFonts w:ascii="Verdana" w:hAnsi="Verdana"/>
          <w:i/>
          <w:sz w:val="20"/>
          <w:szCs w:val="20"/>
          <w:lang w:val="es-CR"/>
        </w:rPr>
        <w:t xml:space="preserve">punto </w:t>
      </w:r>
      <w:r w:rsidR="00FC1EF2">
        <w:rPr>
          <w:rFonts w:ascii="Verdana" w:hAnsi="Verdana"/>
          <w:i/>
          <w:sz w:val="20"/>
          <w:szCs w:val="20"/>
          <w:lang w:val="es-CR"/>
        </w:rPr>
        <w:t>dispositivo</w:t>
      </w:r>
      <w:r w:rsidR="00FC1EF2" w:rsidRPr="00C95520">
        <w:rPr>
          <w:rFonts w:ascii="Verdana" w:hAnsi="Verdana"/>
          <w:i/>
          <w:sz w:val="20"/>
          <w:szCs w:val="20"/>
          <w:lang w:val="es-CR"/>
        </w:rPr>
        <w:t xml:space="preserve"> </w:t>
      </w:r>
      <w:r w:rsidRPr="00C95520">
        <w:rPr>
          <w:rFonts w:ascii="Verdana" w:hAnsi="Verdana"/>
          <w:i/>
          <w:sz w:val="20"/>
          <w:szCs w:val="20"/>
          <w:lang w:val="es-CR"/>
        </w:rPr>
        <w:t>décimo noveno de la Sentencia</w:t>
      </w:r>
      <w:r>
        <w:rPr>
          <w:rFonts w:ascii="Verdana" w:hAnsi="Verdana"/>
          <w:sz w:val="20"/>
          <w:szCs w:val="20"/>
          <w:lang w:val="es-CR"/>
        </w:rPr>
        <w:t>).</w:t>
      </w:r>
    </w:p>
    <w:p w:rsidR="00903DE2" w:rsidRPr="00C95520" w:rsidRDefault="00903DE2" w:rsidP="00903DE2">
      <w:pPr>
        <w:tabs>
          <w:tab w:val="left" w:pos="567"/>
        </w:tabs>
        <w:spacing w:before="120" w:after="120" w:line="240" w:lineRule="auto"/>
        <w:ind w:left="720"/>
        <w:jc w:val="both"/>
        <w:rPr>
          <w:rFonts w:ascii="Verdana" w:hAnsi="Verdana"/>
          <w:sz w:val="20"/>
          <w:szCs w:val="20"/>
          <w:lang w:val="es-CR"/>
        </w:rPr>
      </w:pPr>
    </w:p>
    <w:p w:rsidR="009929D5" w:rsidRPr="0024305D" w:rsidRDefault="009F78E3" w:rsidP="00C95520">
      <w:pPr>
        <w:numPr>
          <w:ilvl w:val="0"/>
          <w:numId w:val="3"/>
        </w:numPr>
        <w:tabs>
          <w:tab w:val="left" w:pos="567"/>
        </w:tabs>
        <w:spacing w:before="120" w:after="120" w:line="240" w:lineRule="auto"/>
        <w:ind w:left="0" w:firstLine="0"/>
        <w:jc w:val="both"/>
        <w:rPr>
          <w:rFonts w:ascii="Verdana" w:hAnsi="Verdana"/>
          <w:sz w:val="20"/>
          <w:szCs w:val="20"/>
          <w:lang w:val="es-CR"/>
        </w:rPr>
      </w:pPr>
      <w:r w:rsidRPr="009F78E3">
        <w:rPr>
          <w:rFonts w:ascii="Verdana" w:hAnsi="Verdana"/>
          <w:sz w:val="20"/>
          <w:szCs w:val="20"/>
          <w:lang w:val="es-CR"/>
        </w:rPr>
        <w:t xml:space="preserve">Mantener abierto el procedimiento de supervisión de cumplimiento respecto </w:t>
      </w:r>
      <w:r w:rsidR="0024305D">
        <w:rPr>
          <w:rFonts w:ascii="Verdana" w:hAnsi="Verdana"/>
          <w:sz w:val="20"/>
          <w:szCs w:val="20"/>
          <w:lang w:val="es-CR"/>
        </w:rPr>
        <w:t xml:space="preserve">de las </w:t>
      </w:r>
      <w:r w:rsidR="0024305D" w:rsidRPr="0024305D">
        <w:rPr>
          <w:rFonts w:ascii="Verdana" w:hAnsi="Verdana"/>
          <w:sz w:val="20"/>
          <w:szCs w:val="20"/>
          <w:lang w:val="es-CR"/>
        </w:rPr>
        <w:t>siguientes medidas de reparación:</w:t>
      </w:r>
    </w:p>
    <w:p w:rsidR="0024305D" w:rsidRPr="0024305D" w:rsidRDefault="0024305D" w:rsidP="00C95520">
      <w:pPr>
        <w:pStyle w:val="Listavistosa-nfasis1"/>
        <w:numPr>
          <w:ilvl w:val="0"/>
          <w:numId w:val="11"/>
        </w:numPr>
        <w:spacing w:before="120" w:after="120" w:line="240" w:lineRule="auto"/>
        <w:ind w:right="4"/>
        <w:contextualSpacing w:val="0"/>
        <w:jc w:val="both"/>
        <w:rPr>
          <w:rFonts w:ascii="Verdana" w:hAnsi="Verdana"/>
          <w:sz w:val="20"/>
          <w:szCs w:val="20"/>
          <w:lang w:val="es-CR"/>
        </w:rPr>
      </w:pPr>
      <w:r w:rsidRPr="0024305D">
        <w:rPr>
          <w:rFonts w:ascii="Verdana" w:hAnsi="Verdana"/>
          <w:color w:val="000000"/>
          <w:sz w:val="20"/>
          <w:szCs w:val="20"/>
          <w:lang w:val="es-CR"/>
        </w:rPr>
        <w:t>adoptar todas las medidas judiciales, administrativas o de cualquier otra índole para dejar sin efecto, en todos sus extremos, las sentencias penales condenatorias</w:t>
      </w:r>
      <w:r w:rsidRPr="0024305D">
        <w:rPr>
          <w:rFonts w:ascii="Verdana" w:hAnsi="Verdana"/>
          <w:sz w:val="20"/>
          <w:szCs w:val="20"/>
          <w:lang w:val="es-CR"/>
        </w:rPr>
        <w:t xml:space="preserve"> </w:t>
      </w:r>
      <w:r w:rsidR="00FC1EF2">
        <w:rPr>
          <w:rFonts w:ascii="Verdana" w:hAnsi="Verdana"/>
          <w:sz w:val="20"/>
          <w:szCs w:val="20"/>
          <w:lang w:val="es-CR"/>
        </w:rPr>
        <w:t xml:space="preserve">emitidas en contra de </w:t>
      </w:r>
      <w:r w:rsidR="00FC1EF2" w:rsidRPr="00D91E1F">
        <w:rPr>
          <w:rFonts w:ascii="Verdana" w:hAnsi="Verdana"/>
          <w:sz w:val="20"/>
          <w:szCs w:val="20"/>
          <w:lang w:val="es-CR"/>
        </w:rPr>
        <w:t>los señores Segundo Aniceto Norín Catrimán, Pascual Huentequeo Pichún Paillalao, Víctor Manuel Ancalaf L</w:t>
      </w:r>
      <w:r w:rsidR="00FC1EF2">
        <w:rPr>
          <w:rFonts w:ascii="Verdana" w:hAnsi="Verdana"/>
          <w:sz w:val="20"/>
          <w:szCs w:val="20"/>
          <w:lang w:val="es-CR"/>
        </w:rPr>
        <w:t>l</w:t>
      </w:r>
      <w:r w:rsidR="00FC1EF2" w:rsidRPr="00D91E1F">
        <w:rPr>
          <w:rFonts w:ascii="Verdana" w:hAnsi="Verdana"/>
          <w:sz w:val="20"/>
          <w:szCs w:val="20"/>
          <w:lang w:val="es-CR"/>
        </w:rPr>
        <w:t>aupe, Florencio Jaime Marileo Saravia, Juan Patricio Marileo Saravia, José Huenchunao Mariñán, Juan Ciriaco Millacheo Licán y la señora Patricia Troncoso Robles</w:t>
      </w:r>
      <w:r w:rsidR="00FC1EF2" w:rsidRPr="00D4082A">
        <w:rPr>
          <w:rFonts w:ascii="Verdana" w:hAnsi="Verdana"/>
          <w:i/>
          <w:sz w:val="20"/>
          <w:szCs w:val="20"/>
          <w:lang w:val="es-CR"/>
        </w:rPr>
        <w:t xml:space="preserve"> </w:t>
      </w:r>
      <w:r w:rsidRPr="0024305D">
        <w:rPr>
          <w:rFonts w:ascii="Verdana" w:hAnsi="Verdana"/>
          <w:sz w:val="20"/>
          <w:szCs w:val="20"/>
          <w:lang w:val="es-CR"/>
        </w:rPr>
        <w:t>(</w:t>
      </w:r>
      <w:r w:rsidRPr="0024305D">
        <w:rPr>
          <w:rFonts w:ascii="Verdana" w:hAnsi="Verdana"/>
          <w:i/>
          <w:sz w:val="20"/>
          <w:szCs w:val="20"/>
          <w:lang w:val="es-CR"/>
        </w:rPr>
        <w:t xml:space="preserve">punto </w:t>
      </w:r>
      <w:r w:rsidR="00FC1EF2">
        <w:rPr>
          <w:rFonts w:ascii="Verdana" w:hAnsi="Verdana"/>
          <w:i/>
          <w:sz w:val="20"/>
          <w:szCs w:val="20"/>
          <w:lang w:val="es-CR"/>
        </w:rPr>
        <w:t>dispositivo</w:t>
      </w:r>
      <w:r w:rsidR="00FC1EF2" w:rsidRPr="0024305D">
        <w:rPr>
          <w:rFonts w:ascii="Verdana" w:hAnsi="Verdana"/>
          <w:i/>
          <w:sz w:val="20"/>
          <w:szCs w:val="20"/>
          <w:lang w:val="es-CR"/>
        </w:rPr>
        <w:t xml:space="preserve"> </w:t>
      </w:r>
      <w:r w:rsidRPr="0024305D">
        <w:rPr>
          <w:rFonts w:ascii="Verdana" w:hAnsi="Verdana"/>
          <w:i/>
          <w:sz w:val="20"/>
          <w:szCs w:val="20"/>
          <w:lang w:val="es-CR"/>
        </w:rPr>
        <w:t>décimo sexto de la Sentencia</w:t>
      </w:r>
      <w:r w:rsidRPr="0024305D">
        <w:rPr>
          <w:rFonts w:ascii="Verdana" w:hAnsi="Verdana"/>
          <w:sz w:val="20"/>
          <w:szCs w:val="20"/>
          <w:lang w:val="es-CR"/>
        </w:rPr>
        <w:t>);</w:t>
      </w:r>
    </w:p>
    <w:p w:rsidR="0024305D" w:rsidRDefault="0024305D" w:rsidP="00C95520">
      <w:pPr>
        <w:pStyle w:val="Listavistosa-nfasis1"/>
        <w:numPr>
          <w:ilvl w:val="0"/>
          <w:numId w:val="11"/>
        </w:numPr>
        <w:spacing w:before="120" w:after="120" w:line="240" w:lineRule="auto"/>
        <w:ind w:right="4"/>
        <w:contextualSpacing w:val="0"/>
        <w:jc w:val="both"/>
        <w:rPr>
          <w:rFonts w:ascii="Verdana" w:hAnsi="Verdana"/>
          <w:sz w:val="20"/>
          <w:szCs w:val="20"/>
          <w:lang w:val="es-CR"/>
        </w:rPr>
      </w:pPr>
      <w:r w:rsidRPr="0024305D">
        <w:rPr>
          <w:rFonts w:ascii="Verdana" w:hAnsi="Verdana"/>
          <w:color w:val="000000"/>
          <w:sz w:val="20"/>
          <w:szCs w:val="20"/>
          <w:lang w:val="es-CR"/>
        </w:rPr>
        <w:t>brindar, de forma gratuita e inmediata, el tratamiento médico y psicológico o psiquiátrico a las víctimas que así lo soliciten</w:t>
      </w:r>
      <w:r w:rsidRPr="0024305D">
        <w:rPr>
          <w:rFonts w:ascii="Verdana" w:hAnsi="Verdana"/>
          <w:sz w:val="20"/>
          <w:szCs w:val="20"/>
          <w:lang w:val="es-CR"/>
        </w:rPr>
        <w:t xml:space="preserve"> (</w:t>
      </w:r>
      <w:r w:rsidRPr="0024305D">
        <w:rPr>
          <w:rFonts w:ascii="Verdana" w:hAnsi="Verdana"/>
          <w:i/>
          <w:sz w:val="20"/>
          <w:szCs w:val="20"/>
          <w:lang w:val="es-CR"/>
        </w:rPr>
        <w:t xml:space="preserve">punto </w:t>
      </w:r>
      <w:r w:rsidR="00FC1EF2">
        <w:rPr>
          <w:rFonts w:ascii="Verdana" w:hAnsi="Verdana"/>
          <w:i/>
          <w:sz w:val="20"/>
          <w:szCs w:val="20"/>
          <w:lang w:val="es-CR"/>
        </w:rPr>
        <w:t>dispositivo</w:t>
      </w:r>
      <w:r w:rsidR="00FC1EF2" w:rsidRPr="0024305D">
        <w:rPr>
          <w:rFonts w:ascii="Verdana" w:hAnsi="Verdana"/>
          <w:i/>
          <w:sz w:val="20"/>
          <w:szCs w:val="20"/>
          <w:lang w:val="es-CR"/>
        </w:rPr>
        <w:t xml:space="preserve"> </w:t>
      </w:r>
      <w:r w:rsidRPr="0024305D">
        <w:rPr>
          <w:rFonts w:ascii="Verdana" w:hAnsi="Verdana"/>
          <w:i/>
          <w:sz w:val="20"/>
          <w:szCs w:val="20"/>
          <w:lang w:val="es-CR"/>
        </w:rPr>
        <w:t>décimo séptimo de la Sentencia</w:t>
      </w:r>
      <w:r w:rsidR="00C95520">
        <w:rPr>
          <w:rFonts w:ascii="Verdana" w:hAnsi="Verdana"/>
          <w:sz w:val="20"/>
          <w:szCs w:val="20"/>
          <w:lang w:val="es-CR"/>
        </w:rPr>
        <w:t>);</w:t>
      </w:r>
    </w:p>
    <w:p w:rsidR="00C95520" w:rsidRPr="00C95520" w:rsidRDefault="00C95520" w:rsidP="00C95520">
      <w:pPr>
        <w:numPr>
          <w:ilvl w:val="0"/>
          <w:numId w:val="11"/>
        </w:numPr>
        <w:tabs>
          <w:tab w:val="left" w:pos="567"/>
        </w:tabs>
        <w:spacing w:before="120" w:after="120" w:line="240" w:lineRule="auto"/>
        <w:jc w:val="both"/>
        <w:rPr>
          <w:rFonts w:ascii="Verdana" w:hAnsi="Verdana"/>
          <w:sz w:val="20"/>
          <w:szCs w:val="20"/>
          <w:lang w:val="es-CR"/>
        </w:rPr>
      </w:pPr>
      <w:r w:rsidRPr="00C95520">
        <w:rPr>
          <w:rFonts w:ascii="Verdana" w:hAnsi="Verdana"/>
          <w:sz w:val="20"/>
          <w:szCs w:val="20"/>
          <w:lang w:val="es-CR"/>
        </w:rPr>
        <w:t xml:space="preserve">otorgar becas de estudio en instituciones públicas chilenas en beneficio de </w:t>
      </w:r>
      <w:r w:rsidR="00FC1EF2" w:rsidRPr="00A97B6F">
        <w:rPr>
          <w:rFonts w:ascii="Verdana" w:hAnsi="Verdana"/>
          <w:sz w:val="20"/>
          <w:szCs w:val="20"/>
          <w:lang w:val="es-CR"/>
        </w:rPr>
        <w:t xml:space="preserve">las víctimas y </w:t>
      </w:r>
      <w:r w:rsidRPr="00A97B6F">
        <w:rPr>
          <w:rFonts w:ascii="Verdana" w:hAnsi="Verdana"/>
          <w:sz w:val="20"/>
          <w:szCs w:val="20"/>
          <w:lang w:val="es-CR"/>
        </w:rPr>
        <w:t xml:space="preserve">los hijos de </w:t>
      </w:r>
      <w:r w:rsidR="00FC1EF2" w:rsidRPr="00A97B6F">
        <w:rPr>
          <w:rFonts w:ascii="Verdana" w:hAnsi="Verdana"/>
          <w:sz w:val="20"/>
          <w:szCs w:val="20"/>
          <w:lang w:val="es-CR"/>
        </w:rPr>
        <w:t>éstas</w:t>
      </w:r>
      <w:r w:rsidRPr="00C95520">
        <w:rPr>
          <w:rFonts w:ascii="Verdana" w:hAnsi="Verdana"/>
          <w:sz w:val="20"/>
          <w:szCs w:val="20"/>
          <w:lang w:val="es-CR"/>
        </w:rPr>
        <w:t xml:space="preserve"> que así lo soliciten (</w:t>
      </w:r>
      <w:r w:rsidRPr="00C95520">
        <w:rPr>
          <w:rFonts w:ascii="Verdana" w:hAnsi="Verdana"/>
          <w:i/>
          <w:sz w:val="20"/>
          <w:szCs w:val="20"/>
          <w:lang w:val="es-CR"/>
        </w:rPr>
        <w:t xml:space="preserve">punto </w:t>
      </w:r>
      <w:r w:rsidR="00FC1EF2">
        <w:rPr>
          <w:rFonts w:ascii="Verdana" w:hAnsi="Verdana"/>
          <w:i/>
          <w:sz w:val="20"/>
          <w:szCs w:val="20"/>
          <w:lang w:val="es-CR"/>
        </w:rPr>
        <w:t>dispositivo</w:t>
      </w:r>
      <w:r w:rsidR="00FC1EF2" w:rsidRPr="00C95520">
        <w:rPr>
          <w:rFonts w:ascii="Verdana" w:hAnsi="Verdana"/>
          <w:i/>
          <w:sz w:val="20"/>
          <w:szCs w:val="20"/>
          <w:lang w:val="es-CR"/>
        </w:rPr>
        <w:t xml:space="preserve"> </w:t>
      </w:r>
      <w:r w:rsidRPr="00C95520">
        <w:rPr>
          <w:rFonts w:ascii="Verdana" w:hAnsi="Verdana"/>
          <w:i/>
          <w:sz w:val="20"/>
          <w:szCs w:val="20"/>
          <w:lang w:val="es-CR"/>
        </w:rPr>
        <w:t>décimo noveno de la Sentencia</w:t>
      </w:r>
      <w:r>
        <w:rPr>
          <w:rFonts w:ascii="Verdana" w:hAnsi="Verdana"/>
          <w:sz w:val="20"/>
          <w:szCs w:val="20"/>
          <w:lang w:val="es-CR"/>
        </w:rPr>
        <w:t>), y</w:t>
      </w:r>
    </w:p>
    <w:p w:rsidR="009929D5" w:rsidRPr="00711B91" w:rsidRDefault="0024305D" w:rsidP="00C95520">
      <w:pPr>
        <w:pStyle w:val="Listavistosa-nfasis1"/>
        <w:numPr>
          <w:ilvl w:val="0"/>
          <w:numId w:val="11"/>
        </w:numPr>
        <w:spacing w:before="120" w:after="120" w:line="240" w:lineRule="auto"/>
        <w:ind w:right="4"/>
        <w:contextualSpacing w:val="0"/>
        <w:jc w:val="both"/>
        <w:rPr>
          <w:rFonts w:ascii="Verdana" w:hAnsi="Verdana"/>
          <w:sz w:val="20"/>
          <w:szCs w:val="20"/>
          <w:lang w:val="es-CR"/>
        </w:rPr>
      </w:pPr>
      <w:r w:rsidRPr="00711B91">
        <w:rPr>
          <w:rFonts w:ascii="Verdana" w:hAnsi="Verdana"/>
          <w:sz w:val="20"/>
          <w:szCs w:val="20"/>
          <w:lang w:val="es-CR"/>
        </w:rPr>
        <w:t>regular con claridad y seguridad la medida procesal de protección de testigos relativa a la reserva de identidad</w:t>
      </w:r>
      <w:r w:rsidR="00F22567">
        <w:rPr>
          <w:rFonts w:ascii="Verdana" w:hAnsi="Verdana"/>
          <w:sz w:val="20"/>
          <w:szCs w:val="20"/>
          <w:lang w:val="es-CR"/>
        </w:rPr>
        <w:t>,</w:t>
      </w:r>
      <w:r w:rsidRPr="00711B91">
        <w:rPr>
          <w:rFonts w:ascii="Verdana" w:hAnsi="Verdana"/>
          <w:sz w:val="20"/>
          <w:szCs w:val="20"/>
          <w:lang w:val="es-CR"/>
        </w:rPr>
        <w:t xml:space="preserve"> </w:t>
      </w:r>
      <w:r w:rsidR="00F22567" w:rsidRPr="007E562F">
        <w:rPr>
          <w:rFonts w:ascii="Verdana" w:hAnsi="Verdana"/>
          <w:sz w:val="20"/>
          <w:szCs w:val="20"/>
          <w:lang w:val="es-CR"/>
        </w:rPr>
        <w:t>asegurando que se trate de una medida excepcional, sujeta a control judicial en base a los principios de necesidad y proporcionalidad, y que ese medio de prueba no sea utilizado en grado decisivo para fundar una condena, así como regular las correspondientes medidas de contrapeso que asegur</w:t>
      </w:r>
      <w:r w:rsidR="00FC1EF2">
        <w:rPr>
          <w:rFonts w:ascii="Verdana" w:hAnsi="Verdana"/>
          <w:sz w:val="20"/>
          <w:szCs w:val="20"/>
          <w:lang w:val="es-CR"/>
        </w:rPr>
        <w:t xml:space="preserve">en </w:t>
      </w:r>
      <w:r w:rsidR="00F22567" w:rsidRPr="007E562F">
        <w:rPr>
          <w:rFonts w:ascii="Verdana" w:hAnsi="Verdana"/>
          <w:sz w:val="20"/>
          <w:szCs w:val="20"/>
          <w:lang w:val="es-CR"/>
        </w:rPr>
        <w:t>que la afectación al derecho de defensa sea suficientemente contrarrestada</w:t>
      </w:r>
      <w:r w:rsidR="00F22567" w:rsidRPr="00711B91">
        <w:rPr>
          <w:rFonts w:ascii="Verdana" w:hAnsi="Verdana"/>
          <w:sz w:val="20"/>
          <w:szCs w:val="20"/>
          <w:lang w:val="es-CR"/>
        </w:rPr>
        <w:t xml:space="preserve"> </w:t>
      </w:r>
      <w:r w:rsidRPr="00711B91">
        <w:rPr>
          <w:rFonts w:ascii="Verdana" w:hAnsi="Verdana"/>
          <w:sz w:val="20"/>
          <w:szCs w:val="20"/>
          <w:lang w:val="es-CR"/>
        </w:rPr>
        <w:t>(</w:t>
      </w:r>
      <w:r w:rsidRPr="00711B91">
        <w:rPr>
          <w:rFonts w:ascii="Verdana" w:hAnsi="Verdana"/>
          <w:i/>
          <w:sz w:val="20"/>
          <w:szCs w:val="20"/>
          <w:lang w:val="es-CR"/>
        </w:rPr>
        <w:t xml:space="preserve">punto </w:t>
      </w:r>
      <w:r w:rsidR="00FC1EF2">
        <w:rPr>
          <w:rFonts w:ascii="Verdana" w:hAnsi="Verdana"/>
          <w:i/>
          <w:sz w:val="20"/>
          <w:szCs w:val="20"/>
          <w:lang w:val="es-CR"/>
        </w:rPr>
        <w:t>dispositivo</w:t>
      </w:r>
      <w:r w:rsidR="00FC1EF2" w:rsidRPr="00711B91">
        <w:rPr>
          <w:rFonts w:ascii="Verdana" w:hAnsi="Verdana"/>
          <w:i/>
          <w:sz w:val="20"/>
          <w:szCs w:val="20"/>
          <w:lang w:val="es-CR"/>
        </w:rPr>
        <w:t xml:space="preserve"> </w:t>
      </w:r>
      <w:r w:rsidRPr="00711B91">
        <w:rPr>
          <w:rFonts w:ascii="Verdana" w:hAnsi="Verdana"/>
          <w:i/>
          <w:sz w:val="20"/>
          <w:szCs w:val="20"/>
          <w:lang w:val="es-CR"/>
        </w:rPr>
        <w:t>décimo noveno de la Sentencia</w:t>
      </w:r>
      <w:r w:rsidRPr="00711B91">
        <w:rPr>
          <w:rFonts w:ascii="Verdana" w:hAnsi="Verdana"/>
          <w:sz w:val="20"/>
          <w:szCs w:val="20"/>
          <w:lang w:val="es-CR"/>
        </w:rPr>
        <w:t>).</w:t>
      </w:r>
    </w:p>
    <w:p w:rsidR="006909A8" w:rsidRPr="00711B91" w:rsidRDefault="009F78E3" w:rsidP="00C95520">
      <w:pPr>
        <w:numPr>
          <w:ilvl w:val="0"/>
          <w:numId w:val="3"/>
        </w:numPr>
        <w:tabs>
          <w:tab w:val="left" w:pos="567"/>
        </w:tabs>
        <w:spacing w:before="120" w:after="120" w:line="240" w:lineRule="auto"/>
        <w:ind w:left="0" w:firstLine="0"/>
        <w:jc w:val="both"/>
        <w:rPr>
          <w:rFonts w:ascii="Verdana" w:hAnsi="Verdana"/>
          <w:sz w:val="20"/>
          <w:szCs w:val="20"/>
          <w:lang w:val="es-ES_tradnl"/>
        </w:rPr>
      </w:pPr>
      <w:r w:rsidRPr="00711B91">
        <w:rPr>
          <w:rFonts w:ascii="Verdana" w:hAnsi="Verdana"/>
          <w:sz w:val="20"/>
          <w:szCs w:val="20"/>
          <w:lang w:val="es-CR"/>
        </w:rPr>
        <w:t xml:space="preserve">Disponer que el Estado </w:t>
      </w:r>
      <w:r w:rsidR="006909A8" w:rsidRPr="00711B91">
        <w:rPr>
          <w:rFonts w:ascii="Verdana" w:hAnsi="Verdana"/>
          <w:sz w:val="20"/>
          <w:szCs w:val="20"/>
          <w:lang w:val="es-ES_tradnl"/>
        </w:rPr>
        <w:t xml:space="preserve">adopte, en definitiva y a la mayor brevedad, las medidas que sean necesarias para dar efectivo y pronto cumplimiento los </w:t>
      </w:r>
      <w:r w:rsidR="00D4082A">
        <w:rPr>
          <w:rFonts w:ascii="Verdana" w:hAnsi="Verdana"/>
          <w:sz w:val="20"/>
          <w:szCs w:val="20"/>
          <w:lang w:val="es-ES_tradnl"/>
        </w:rPr>
        <w:t>cuatro</w:t>
      </w:r>
      <w:r w:rsidR="006909A8" w:rsidRPr="00711B91">
        <w:rPr>
          <w:rFonts w:ascii="Verdana" w:hAnsi="Verdana"/>
          <w:sz w:val="20"/>
          <w:szCs w:val="20"/>
          <w:lang w:val="es-ES_tradnl"/>
        </w:rPr>
        <w:t xml:space="preserve"> </w:t>
      </w:r>
      <w:proofErr w:type="gramStart"/>
      <w:r w:rsidR="006909A8" w:rsidRPr="00711B91">
        <w:rPr>
          <w:rFonts w:ascii="Verdana" w:hAnsi="Verdana"/>
          <w:sz w:val="20"/>
          <w:szCs w:val="20"/>
          <w:lang w:val="es-ES_tradnl"/>
        </w:rPr>
        <w:t>puntos pendiente</w:t>
      </w:r>
      <w:proofErr w:type="gramEnd"/>
      <w:r w:rsidR="006909A8" w:rsidRPr="00711B91">
        <w:rPr>
          <w:rFonts w:ascii="Verdana" w:hAnsi="Verdana"/>
          <w:sz w:val="20"/>
          <w:szCs w:val="20"/>
          <w:lang w:val="es-ES_tradnl"/>
        </w:rPr>
        <w:t xml:space="preserve"> de la Sentencia de fondo, reparaciones y costas emitida en el presente caso, de acuerdo con lo considerado en la presente Resolución, y con lo estipulado en el artículo 68.1 de la Convención Americana sobre Derechos Humanos.</w:t>
      </w:r>
    </w:p>
    <w:p w:rsidR="006909A8" w:rsidRPr="00711B91" w:rsidRDefault="009F78E3" w:rsidP="00C95520">
      <w:pPr>
        <w:numPr>
          <w:ilvl w:val="0"/>
          <w:numId w:val="3"/>
        </w:numPr>
        <w:tabs>
          <w:tab w:val="left" w:pos="567"/>
        </w:tabs>
        <w:spacing w:before="120" w:after="120" w:line="240" w:lineRule="auto"/>
        <w:ind w:left="0" w:firstLine="0"/>
        <w:jc w:val="both"/>
        <w:rPr>
          <w:rFonts w:ascii="Verdana" w:hAnsi="Verdana"/>
          <w:sz w:val="20"/>
          <w:szCs w:val="20"/>
          <w:lang w:val="es-ES_tradnl"/>
        </w:rPr>
      </w:pPr>
      <w:r w:rsidRPr="00711B91">
        <w:rPr>
          <w:rFonts w:ascii="Verdana" w:hAnsi="Verdana"/>
          <w:sz w:val="20"/>
          <w:szCs w:val="20"/>
          <w:lang w:val="es-CR"/>
        </w:rPr>
        <w:t xml:space="preserve">Disponer que </w:t>
      </w:r>
      <w:r w:rsidR="006909A8" w:rsidRPr="00711B91">
        <w:rPr>
          <w:rFonts w:ascii="Verdana" w:hAnsi="Verdana"/>
          <w:sz w:val="20"/>
          <w:szCs w:val="20"/>
          <w:lang w:val="es-ES_tradnl"/>
        </w:rPr>
        <w:t xml:space="preserve">el Estado presente a la Corte Interamericana de Derechos Humanos, a más tardar el </w:t>
      </w:r>
      <w:r w:rsidR="00FC1EF2">
        <w:rPr>
          <w:rFonts w:ascii="Verdana" w:hAnsi="Verdana"/>
          <w:sz w:val="20"/>
          <w:szCs w:val="20"/>
          <w:lang w:val="es-ES_tradnl"/>
        </w:rPr>
        <w:t>15</w:t>
      </w:r>
      <w:r w:rsidR="00FC1EF2" w:rsidRPr="00711B91">
        <w:rPr>
          <w:rFonts w:ascii="Verdana" w:hAnsi="Verdana"/>
          <w:sz w:val="20"/>
          <w:szCs w:val="20"/>
          <w:lang w:val="es-ES_tradnl"/>
        </w:rPr>
        <w:t xml:space="preserve"> </w:t>
      </w:r>
      <w:r w:rsidR="006909A8" w:rsidRPr="00711B91">
        <w:rPr>
          <w:rFonts w:ascii="Verdana" w:hAnsi="Verdana"/>
          <w:sz w:val="20"/>
          <w:szCs w:val="20"/>
          <w:lang w:val="es-ES_tradnl"/>
        </w:rPr>
        <w:t xml:space="preserve">de </w:t>
      </w:r>
      <w:r w:rsidR="00FC1EF2">
        <w:rPr>
          <w:rFonts w:ascii="Verdana" w:hAnsi="Verdana"/>
          <w:sz w:val="20"/>
          <w:szCs w:val="20"/>
          <w:lang w:val="es-ES_tradnl"/>
        </w:rPr>
        <w:t>marzo</w:t>
      </w:r>
      <w:r w:rsidR="00FC1EF2" w:rsidRPr="00711B91">
        <w:rPr>
          <w:rFonts w:ascii="Verdana" w:hAnsi="Verdana"/>
          <w:sz w:val="20"/>
          <w:szCs w:val="20"/>
          <w:lang w:val="es-ES_tradnl"/>
        </w:rPr>
        <w:t xml:space="preserve"> </w:t>
      </w:r>
      <w:r w:rsidR="006909A8" w:rsidRPr="00711B91">
        <w:rPr>
          <w:rFonts w:ascii="Verdana" w:hAnsi="Verdana"/>
          <w:sz w:val="20"/>
          <w:szCs w:val="20"/>
          <w:lang w:val="es-ES_tradnl"/>
        </w:rPr>
        <w:t xml:space="preserve">de </w:t>
      </w:r>
      <w:r w:rsidR="00564118" w:rsidRPr="00711B91">
        <w:rPr>
          <w:rFonts w:ascii="Verdana" w:hAnsi="Verdana"/>
          <w:sz w:val="20"/>
          <w:szCs w:val="20"/>
          <w:lang w:val="es-ES_tradnl"/>
        </w:rPr>
        <w:t>201</w:t>
      </w:r>
      <w:r w:rsidR="00AD4554">
        <w:rPr>
          <w:rFonts w:ascii="Verdana" w:hAnsi="Verdana"/>
          <w:sz w:val="20"/>
          <w:szCs w:val="20"/>
          <w:lang w:val="es-ES_tradnl"/>
        </w:rPr>
        <w:t>9</w:t>
      </w:r>
      <w:r w:rsidR="006909A8" w:rsidRPr="00711B91">
        <w:rPr>
          <w:rFonts w:ascii="Verdana" w:hAnsi="Verdana"/>
          <w:sz w:val="20"/>
          <w:szCs w:val="20"/>
          <w:lang w:val="es-ES_tradnl"/>
        </w:rPr>
        <w:t xml:space="preserve">, un informe en el cual indique todas las medidas adoptadas para cumplir con las reparaciones ordenadas por esta Corte que se encuentran pendientes de </w:t>
      </w:r>
      <w:r w:rsidR="006909A8" w:rsidRPr="00711B91">
        <w:rPr>
          <w:rFonts w:ascii="Verdana" w:hAnsi="Verdana"/>
          <w:sz w:val="20"/>
          <w:szCs w:val="20"/>
          <w:lang w:val="es-ES_tradnl"/>
        </w:rPr>
        <w:lastRenderedPageBreak/>
        <w:t xml:space="preserve">cumplimiento, de conformidad con los Considerandos </w:t>
      </w:r>
      <w:r w:rsidR="00FC1EF2">
        <w:rPr>
          <w:rFonts w:ascii="Verdana" w:hAnsi="Verdana"/>
          <w:sz w:val="20"/>
          <w:szCs w:val="20"/>
          <w:lang w:val="es-ES_tradnl"/>
        </w:rPr>
        <w:t>14, 27,</w:t>
      </w:r>
      <w:r w:rsidR="00A97B6F">
        <w:rPr>
          <w:rFonts w:ascii="Verdana" w:hAnsi="Verdana"/>
          <w:sz w:val="20"/>
          <w:szCs w:val="20"/>
          <w:lang w:val="es-ES_tradnl"/>
        </w:rPr>
        <w:t xml:space="preserve"> </w:t>
      </w:r>
      <w:r w:rsidR="00FC1EF2">
        <w:rPr>
          <w:rFonts w:ascii="Verdana" w:hAnsi="Verdana"/>
          <w:sz w:val="20"/>
          <w:szCs w:val="20"/>
          <w:lang w:val="es-ES_tradnl"/>
        </w:rPr>
        <w:t>52 y 66</w:t>
      </w:r>
      <w:r w:rsidR="00FC1EF2" w:rsidRPr="00711B91">
        <w:rPr>
          <w:rFonts w:ascii="Verdana" w:hAnsi="Verdana"/>
          <w:sz w:val="20"/>
          <w:szCs w:val="20"/>
          <w:lang w:val="es-ES_tradnl"/>
        </w:rPr>
        <w:t xml:space="preserve"> </w:t>
      </w:r>
      <w:r w:rsidR="006909A8" w:rsidRPr="00711B91">
        <w:rPr>
          <w:rFonts w:ascii="Verdana" w:hAnsi="Verdana"/>
          <w:sz w:val="20"/>
          <w:szCs w:val="20"/>
          <w:lang w:val="es-ES_tradnl"/>
        </w:rPr>
        <w:t xml:space="preserve">así como con los puntos resolutivos segundo y tercero de esta Resolución. </w:t>
      </w:r>
    </w:p>
    <w:p w:rsidR="006909A8" w:rsidRPr="00711B91" w:rsidRDefault="006909A8" w:rsidP="00C95520">
      <w:pPr>
        <w:numPr>
          <w:ilvl w:val="0"/>
          <w:numId w:val="3"/>
        </w:numPr>
        <w:tabs>
          <w:tab w:val="left" w:pos="567"/>
        </w:tabs>
        <w:spacing w:before="120" w:after="120" w:line="240" w:lineRule="auto"/>
        <w:ind w:left="0" w:firstLine="0"/>
        <w:jc w:val="both"/>
        <w:rPr>
          <w:rFonts w:ascii="Verdana" w:hAnsi="Verdana"/>
          <w:sz w:val="20"/>
          <w:szCs w:val="20"/>
          <w:lang w:val="es-ES_tradnl"/>
        </w:rPr>
      </w:pPr>
      <w:r w:rsidRPr="00711B91">
        <w:rPr>
          <w:rFonts w:ascii="Verdana" w:hAnsi="Verdana"/>
          <w:sz w:val="20"/>
          <w:szCs w:val="20"/>
          <w:lang w:val="es-CR"/>
        </w:rPr>
        <w:t xml:space="preserve">Disponer que </w:t>
      </w:r>
      <w:r w:rsidR="00564118">
        <w:rPr>
          <w:rFonts w:ascii="Verdana" w:hAnsi="Verdana"/>
          <w:sz w:val="20"/>
          <w:szCs w:val="20"/>
          <w:lang w:val="es-CR"/>
        </w:rPr>
        <w:t>los intervinientes comunes de los</w:t>
      </w:r>
      <w:r w:rsidR="00564118" w:rsidRPr="00711B91">
        <w:rPr>
          <w:rFonts w:ascii="Verdana" w:hAnsi="Verdana"/>
          <w:sz w:val="20"/>
          <w:szCs w:val="20"/>
          <w:lang w:val="es-CR"/>
        </w:rPr>
        <w:t xml:space="preserve"> </w:t>
      </w:r>
      <w:r w:rsidRPr="00711B91">
        <w:rPr>
          <w:rFonts w:ascii="Verdana" w:hAnsi="Verdana"/>
          <w:sz w:val="20"/>
          <w:szCs w:val="20"/>
          <w:lang w:val="es-CR"/>
        </w:rPr>
        <w:t>representante</w:t>
      </w:r>
      <w:r w:rsidR="00564118">
        <w:rPr>
          <w:rFonts w:ascii="Verdana" w:hAnsi="Verdana"/>
          <w:sz w:val="20"/>
          <w:szCs w:val="20"/>
          <w:lang w:val="es-CR"/>
        </w:rPr>
        <w:t>s</w:t>
      </w:r>
      <w:r w:rsidRPr="00711B91">
        <w:rPr>
          <w:rFonts w:ascii="Verdana" w:hAnsi="Verdana"/>
          <w:sz w:val="20"/>
          <w:szCs w:val="20"/>
          <w:lang w:val="es-CR"/>
        </w:rPr>
        <w:t xml:space="preserve"> de las víctimas y la Comisión Interamericana de Derechos Humanos presenten observaciones al informe del Estado mencionado en el punto resolutivo anterior, en los plazos de cuatro y seis semanas, respectivamente, contados a partir de la recepción del informe. </w:t>
      </w:r>
    </w:p>
    <w:p w:rsidR="00846413" w:rsidRDefault="006909A8" w:rsidP="00C95520">
      <w:pPr>
        <w:numPr>
          <w:ilvl w:val="0"/>
          <w:numId w:val="3"/>
        </w:numPr>
        <w:spacing w:before="120" w:after="120" w:line="240" w:lineRule="auto"/>
        <w:ind w:left="0" w:firstLine="0"/>
        <w:jc w:val="both"/>
        <w:rPr>
          <w:rFonts w:ascii="Verdana" w:hAnsi="Verdana"/>
          <w:sz w:val="20"/>
          <w:szCs w:val="20"/>
          <w:lang w:val="es-ES_tradnl"/>
        </w:rPr>
      </w:pPr>
      <w:r w:rsidRPr="00711B91">
        <w:rPr>
          <w:rFonts w:ascii="Verdana" w:hAnsi="Verdana"/>
          <w:sz w:val="20"/>
          <w:szCs w:val="20"/>
          <w:lang w:val="es-ES_tradnl"/>
        </w:rPr>
        <w:t>Disponer que la Secretaría de la Corte notifique la presente Resolución al Estado, a</w:t>
      </w:r>
      <w:r w:rsidR="00564118">
        <w:rPr>
          <w:rFonts w:ascii="Verdana" w:hAnsi="Verdana"/>
          <w:sz w:val="20"/>
          <w:szCs w:val="20"/>
          <w:lang w:val="es-ES_tradnl"/>
        </w:rPr>
        <w:t xml:space="preserve"> </w:t>
      </w:r>
      <w:r w:rsidRPr="00711B91">
        <w:rPr>
          <w:rFonts w:ascii="Verdana" w:hAnsi="Verdana"/>
          <w:sz w:val="20"/>
          <w:szCs w:val="20"/>
          <w:lang w:val="es-ES_tradnl"/>
        </w:rPr>
        <w:t>l</w:t>
      </w:r>
      <w:r w:rsidR="00564118">
        <w:rPr>
          <w:rFonts w:ascii="Verdana" w:hAnsi="Verdana"/>
          <w:sz w:val="20"/>
          <w:szCs w:val="20"/>
          <w:lang w:val="es-ES_tradnl"/>
        </w:rPr>
        <w:t>os intervinientes comunes de los</w:t>
      </w:r>
      <w:r w:rsidRPr="00711B91">
        <w:rPr>
          <w:rFonts w:ascii="Verdana" w:hAnsi="Verdana"/>
          <w:sz w:val="20"/>
          <w:szCs w:val="20"/>
          <w:lang w:val="es-ES_tradnl"/>
        </w:rPr>
        <w:t xml:space="preserve"> representante</w:t>
      </w:r>
      <w:r w:rsidR="00564118">
        <w:rPr>
          <w:rFonts w:ascii="Verdana" w:hAnsi="Verdana"/>
          <w:sz w:val="20"/>
          <w:szCs w:val="20"/>
          <w:lang w:val="es-ES_tradnl"/>
        </w:rPr>
        <w:t>s</w:t>
      </w:r>
      <w:r w:rsidRPr="00711B91">
        <w:rPr>
          <w:rFonts w:ascii="Verdana" w:hAnsi="Verdana"/>
          <w:sz w:val="20"/>
          <w:szCs w:val="20"/>
          <w:lang w:val="es-ES_tradnl"/>
        </w:rPr>
        <w:t xml:space="preserve"> de las víctimas y a la Comisión Interamericana de Derechos Humanos.</w:t>
      </w:r>
    </w:p>
    <w:p w:rsidR="00B52CD7" w:rsidRDefault="00B52CD7" w:rsidP="00B52CD7">
      <w:pPr>
        <w:spacing w:before="120" w:after="120" w:line="240" w:lineRule="auto"/>
        <w:jc w:val="both"/>
        <w:rPr>
          <w:rFonts w:ascii="Verdana" w:hAnsi="Verdana"/>
          <w:sz w:val="20"/>
          <w:szCs w:val="20"/>
          <w:lang w:val="es-ES_tradnl"/>
        </w:rPr>
      </w:pPr>
    </w:p>
    <w:p w:rsidR="00B52CD7" w:rsidRPr="008F69D4" w:rsidRDefault="00B52CD7" w:rsidP="00B52CD7">
      <w:pPr>
        <w:keepNext/>
        <w:jc w:val="both"/>
        <w:outlineLvl w:val="0"/>
        <w:rPr>
          <w:rFonts w:ascii="Verdana" w:hAnsi="Verdana" w:cs="Verdana"/>
          <w:b/>
          <w:bCs/>
          <w:sz w:val="20"/>
          <w:lang w:val="es-ES"/>
        </w:rPr>
      </w:pPr>
      <w:r w:rsidRPr="008F69D4">
        <w:rPr>
          <w:rFonts w:ascii="Verdana" w:hAnsi="Verdana" w:cs="Courier New"/>
          <w:noProof/>
          <w:sz w:val="20"/>
          <w:lang w:val="es-AR"/>
        </w:rPr>
        <w:t xml:space="preserve">Corte IDH. </w:t>
      </w:r>
      <w:r w:rsidRPr="008F69D4">
        <w:rPr>
          <w:rFonts w:ascii="Verdana" w:hAnsi="Verdana"/>
          <w:bCs/>
          <w:i/>
          <w:sz w:val="20"/>
          <w:lang w:val="es-CR"/>
        </w:rPr>
        <w:t>Caso</w:t>
      </w:r>
      <w:r>
        <w:rPr>
          <w:rFonts w:ascii="Verdana" w:hAnsi="Verdana"/>
          <w:bCs/>
          <w:i/>
          <w:sz w:val="20"/>
          <w:lang w:val="es-CR"/>
        </w:rPr>
        <w:t xml:space="preserve"> Norín Catrimán y otros (Dirigentes, miembros y activista del Pueblo Indígena Mapuche) Vs. Chile.  Supervisión de Cumplimiento de Sentencia. </w:t>
      </w:r>
      <w:r w:rsidRPr="008F69D4">
        <w:rPr>
          <w:rFonts w:ascii="Verdana" w:hAnsi="Verdana"/>
          <w:sz w:val="20"/>
          <w:lang w:val="es-CR"/>
        </w:rPr>
        <w:t xml:space="preserve"> </w:t>
      </w:r>
      <w:r w:rsidRPr="008F69D4">
        <w:rPr>
          <w:rFonts w:ascii="Verdana" w:hAnsi="Verdana"/>
          <w:sz w:val="20"/>
          <w:lang w:val="es-ES"/>
        </w:rPr>
        <w:t xml:space="preserve">Resolución de la Corte Interamericana de Derechos Humanos de </w:t>
      </w:r>
      <w:r>
        <w:rPr>
          <w:rFonts w:ascii="Verdana" w:hAnsi="Verdana"/>
          <w:sz w:val="20"/>
          <w:lang w:val="es-CR"/>
        </w:rPr>
        <w:t>28</w:t>
      </w:r>
      <w:r w:rsidRPr="008F69D4">
        <w:rPr>
          <w:rFonts w:ascii="Verdana" w:hAnsi="Verdana"/>
          <w:sz w:val="20"/>
          <w:lang w:val="es-CR"/>
        </w:rPr>
        <w:t xml:space="preserve"> de </w:t>
      </w:r>
      <w:r>
        <w:rPr>
          <w:rFonts w:ascii="Verdana" w:hAnsi="Verdana"/>
          <w:sz w:val="20"/>
          <w:lang w:val="es-CR"/>
        </w:rPr>
        <w:t>noviembre de 2018</w:t>
      </w:r>
      <w:r w:rsidRPr="008F69D4">
        <w:rPr>
          <w:rFonts w:ascii="Verdana" w:hAnsi="Verdana"/>
          <w:sz w:val="20"/>
          <w:lang w:val="es-ES"/>
        </w:rPr>
        <w:t xml:space="preserve">. </w:t>
      </w:r>
    </w:p>
    <w:p w:rsidR="00B52CD7" w:rsidRDefault="00B52CD7" w:rsidP="00520786">
      <w:pPr>
        <w:spacing w:after="0"/>
        <w:jc w:val="center"/>
        <w:rPr>
          <w:rFonts w:ascii="Verdana" w:hAnsi="Verdana"/>
          <w:sz w:val="20"/>
          <w:lang w:val="es-ES"/>
        </w:rPr>
      </w:pPr>
    </w:p>
    <w:p w:rsidR="00B52CD7" w:rsidRPr="00EA2C27" w:rsidRDefault="00B52CD7" w:rsidP="00520786">
      <w:pPr>
        <w:spacing w:after="0"/>
        <w:rPr>
          <w:rFonts w:ascii="Verdana" w:hAnsi="Verdana"/>
          <w:sz w:val="20"/>
          <w:lang w:val="es-MX"/>
        </w:rPr>
      </w:pPr>
    </w:p>
    <w:p w:rsidR="00B52CD7" w:rsidRPr="004B7A1D" w:rsidRDefault="00B52CD7" w:rsidP="00520786">
      <w:pPr>
        <w:spacing w:after="0"/>
        <w:jc w:val="center"/>
        <w:rPr>
          <w:rFonts w:ascii="Verdana" w:hAnsi="Verdana"/>
          <w:sz w:val="20"/>
          <w:lang w:val="es-ES"/>
        </w:rPr>
      </w:pPr>
      <w:r>
        <w:rPr>
          <w:rFonts w:ascii="Verdana" w:hAnsi="Verdana"/>
          <w:sz w:val="20"/>
          <w:lang w:val="es-ES"/>
        </w:rPr>
        <w:t>Eduardo Ferrer Mac-Gregor Poisot</w:t>
      </w:r>
      <w:r w:rsidRPr="004B7A1D">
        <w:rPr>
          <w:rFonts w:ascii="Verdana" w:hAnsi="Verdana"/>
          <w:sz w:val="20"/>
          <w:lang w:val="es-ES"/>
        </w:rPr>
        <w:tab/>
      </w:r>
    </w:p>
    <w:p w:rsidR="00B52CD7" w:rsidRPr="004B7A1D" w:rsidRDefault="00B52CD7" w:rsidP="00520786">
      <w:pPr>
        <w:spacing w:after="0"/>
        <w:jc w:val="center"/>
        <w:rPr>
          <w:rFonts w:ascii="Verdana" w:hAnsi="Verdana"/>
          <w:sz w:val="20"/>
          <w:lang w:val="es-ES"/>
        </w:rPr>
      </w:pPr>
      <w:r>
        <w:rPr>
          <w:rFonts w:ascii="Verdana" w:hAnsi="Verdana"/>
          <w:sz w:val="20"/>
          <w:lang w:val="es-ES"/>
        </w:rPr>
        <w:t xml:space="preserve"> </w:t>
      </w:r>
      <w:r w:rsidRPr="004B7A1D">
        <w:rPr>
          <w:rFonts w:ascii="Verdana" w:hAnsi="Verdana"/>
          <w:sz w:val="20"/>
          <w:lang w:val="es-ES"/>
        </w:rPr>
        <w:t xml:space="preserve">Presidente </w:t>
      </w:r>
    </w:p>
    <w:p w:rsidR="00B52CD7" w:rsidRPr="004B7A1D" w:rsidRDefault="00B52CD7" w:rsidP="00520786">
      <w:pPr>
        <w:spacing w:after="0"/>
        <w:jc w:val="both"/>
        <w:rPr>
          <w:rFonts w:ascii="Verdana" w:hAnsi="Verdana"/>
          <w:sz w:val="20"/>
          <w:lang w:val="es-ES"/>
        </w:rPr>
      </w:pPr>
    </w:p>
    <w:p w:rsidR="00B52CD7" w:rsidRDefault="00B52CD7" w:rsidP="00520786">
      <w:pPr>
        <w:spacing w:after="0"/>
        <w:jc w:val="both"/>
        <w:rPr>
          <w:rFonts w:ascii="Verdana" w:hAnsi="Verdana"/>
          <w:sz w:val="20"/>
          <w:lang w:val="es-ES"/>
        </w:rPr>
      </w:pPr>
    </w:p>
    <w:p w:rsidR="00B52CD7" w:rsidRPr="004B7A1D" w:rsidRDefault="00B52CD7" w:rsidP="00520786">
      <w:pPr>
        <w:spacing w:after="0"/>
        <w:jc w:val="both"/>
        <w:rPr>
          <w:rFonts w:ascii="Verdana" w:hAnsi="Verdana"/>
          <w:sz w:val="20"/>
          <w:lang w:val="es-ES"/>
        </w:rPr>
      </w:pPr>
      <w:r>
        <w:rPr>
          <w:rFonts w:ascii="Verdana" w:hAnsi="Verdana"/>
          <w:sz w:val="20"/>
          <w:lang w:val="es-ES"/>
        </w:rPr>
        <w:t>Humberto Antonio Sierra Porto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00520786">
        <w:rPr>
          <w:rFonts w:ascii="Verdana" w:hAnsi="Verdana"/>
          <w:sz w:val="20"/>
          <w:lang w:val="es-ES"/>
        </w:rPr>
        <w:tab/>
      </w:r>
      <w:r>
        <w:rPr>
          <w:rFonts w:ascii="Verdana" w:hAnsi="Verdana"/>
          <w:sz w:val="20"/>
          <w:lang w:val="es-ES"/>
        </w:rPr>
        <w:t>Elizabeth Odio Benito</w:t>
      </w:r>
    </w:p>
    <w:p w:rsidR="00B52CD7" w:rsidRPr="004B7A1D" w:rsidRDefault="00B52CD7" w:rsidP="00520786">
      <w:pPr>
        <w:spacing w:after="0"/>
        <w:jc w:val="both"/>
        <w:rPr>
          <w:rFonts w:ascii="Verdana" w:hAnsi="Verdana"/>
          <w:sz w:val="20"/>
          <w:lang w:val="es-ES"/>
        </w:rPr>
      </w:pPr>
    </w:p>
    <w:p w:rsidR="00B52CD7" w:rsidRPr="004B7A1D" w:rsidRDefault="00B52CD7" w:rsidP="00520786">
      <w:pPr>
        <w:spacing w:after="0"/>
        <w:jc w:val="both"/>
        <w:rPr>
          <w:rFonts w:ascii="Verdana" w:hAnsi="Verdana"/>
          <w:sz w:val="20"/>
          <w:lang w:val="es-ES"/>
        </w:rPr>
      </w:pPr>
    </w:p>
    <w:p w:rsidR="00B52CD7" w:rsidRPr="004B7A1D" w:rsidRDefault="00B52CD7" w:rsidP="00520786">
      <w:pPr>
        <w:spacing w:after="0"/>
        <w:jc w:val="both"/>
        <w:rPr>
          <w:rFonts w:ascii="Verdana" w:hAnsi="Verdana"/>
          <w:sz w:val="20"/>
          <w:lang w:val="es-ES"/>
        </w:rPr>
      </w:pPr>
      <w:r>
        <w:rPr>
          <w:rFonts w:ascii="Verdana" w:hAnsi="Verdana"/>
          <w:sz w:val="20"/>
          <w:lang w:val="es-ES"/>
        </w:rPr>
        <w:t>Eugenio Raúl Zaffaroni</w:t>
      </w:r>
      <w:r w:rsidRPr="004B7A1D">
        <w:rPr>
          <w:rFonts w:ascii="Verdana" w:hAnsi="Verdana"/>
          <w:sz w:val="20"/>
          <w:lang w:val="es-ES"/>
        </w:rPr>
        <w:t xml:space="preserve"> </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sidR="00520786">
        <w:rPr>
          <w:rFonts w:ascii="Verdana" w:hAnsi="Verdana"/>
          <w:sz w:val="20"/>
          <w:lang w:val="es-ES"/>
        </w:rPr>
        <w:tab/>
        <w:t xml:space="preserve">    </w:t>
      </w:r>
      <w:r>
        <w:rPr>
          <w:rFonts w:ascii="Verdana" w:hAnsi="Verdana"/>
          <w:sz w:val="20"/>
          <w:lang w:val="es-ES"/>
        </w:rPr>
        <w:t>L. Patricio Pazmiño Freire</w:t>
      </w:r>
    </w:p>
    <w:p w:rsidR="00B52CD7" w:rsidRPr="004B7A1D" w:rsidRDefault="00B52CD7" w:rsidP="00520786">
      <w:pPr>
        <w:spacing w:after="0"/>
        <w:jc w:val="both"/>
        <w:rPr>
          <w:rFonts w:ascii="Verdana" w:hAnsi="Verdana"/>
          <w:sz w:val="20"/>
          <w:lang w:val="es-ES"/>
        </w:rPr>
      </w:pPr>
    </w:p>
    <w:p w:rsidR="00B52CD7" w:rsidRPr="004B7A1D" w:rsidRDefault="00B52CD7" w:rsidP="00520786">
      <w:pPr>
        <w:spacing w:after="0"/>
        <w:jc w:val="both"/>
        <w:rPr>
          <w:rFonts w:ascii="Verdana" w:hAnsi="Verdana"/>
          <w:sz w:val="20"/>
          <w:lang w:val="es-ES"/>
        </w:rPr>
      </w:pPr>
    </w:p>
    <w:p w:rsidR="00B52CD7" w:rsidRPr="004B7A1D" w:rsidRDefault="00B52CD7" w:rsidP="00520786">
      <w:pPr>
        <w:spacing w:after="0"/>
        <w:jc w:val="both"/>
        <w:rPr>
          <w:rFonts w:ascii="Verdana" w:hAnsi="Verdana"/>
          <w:sz w:val="20"/>
          <w:lang w:val="es-ES"/>
        </w:rPr>
      </w:pPr>
      <w:r w:rsidRPr="004B7A1D">
        <w:rPr>
          <w:rFonts w:ascii="Verdana" w:hAnsi="Verdana"/>
          <w:sz w:val="20"/>
          <w:lang w:val="es-ES"/>
        </w:rPr>
        <w:t>Comuníquese y ejecútese,</w:t>
      </w:r>
    </w:p>
    <w:p w:rsidR="00B52CD7" w:rsidRPr="004B7A1D" w:rsidRDefault="00B52CD7" w:rsidP="00520786">
      <w:pPr>
        <w:spacing w:after="0"/>
        <w:jc w:val="both"/>
        <w:rPr>
          <w:rFonts w:ascii="Verdana" w:hAnsi="Verdana"/>
          <w:sz w:val="20"/>
          <w:lang w:val="es-ES"/>
        </w:rPr>
      </w:pPr>
    </w:p>
    <w:p w:rsidR="00B52CD7" w:rsidRPr="004B7A1D" w:rsidRDefault="00B52CD7" w:rsidP="00520786">
      <w:pPr>
        <w:spacing w:after="0"/>
        <w:jc w:val="both"/>
        <w:rPr>
          <w:rFonts w:ascii="Verdana" w:hAnsi="Verdana"/>
          <w:sz w:val="20"/>
          <w:lang w:val="es-ES"/>
        </w:rPr>
      </w:pPr>
    </w:p>
    <w:p w:rsidR="00B52CD7" w:rsidRPr="004B7A1D" w:rsidRDefault="00520786" w:rsidP="00520786">
      <w:pPr>
        <w:spacing w:after="0"/>
        <w:ind w:left="5760"/>
        <w:jc w:val="center"/>
        <w:rPr>
          <w:rFonts w:ascii="Verdana" w:hAnsi="Verdana"/>
          <w:sz w:val="20"/>
          <w:lang w:val="es-ES"/>
        </w:rPr>
      </w:pPr>
      <w:r>
        <w:rPr>
          <w:rFonts w:ascii="Verdana" w:hAnsi="Verdana"/>
          <w:sz w:val="20"/>
          <w:lang w:val="es-ES"/>
        </w:rPr>
        <w:t xml:space="preserve">  </w:t>
      </w:r>
      <w:r w:rsidR="00B52CD7">
        <w:rPr>
          <w:rFonts w:ascii="Verdana" w:hAnsi="Verdana"/>
          <w:sz w:val="20"/>
          <w:lang w:val="es-ES"/>
        </w:rPr>
        <w:t>Eduardo Ferrer Mac-Gregor Poisot</w:t>
      </w:r>
      <w:r w:rsidR="00B52CD7" w:rsidRPr="004B7A1D">
        <w:rPr>
          <w:rFonts w:ascii="Verdana" w:hAnsi="Verdana"/>
          <w:sz w:val="20"/>
          <w:lang w:val="es-ES"/>
        </w:rPr>
        <w:tab/>
      </w:r>
    </w:p>
    <w:p w:rsidR="00B52CD7" w:rsidRPr="004B7A1D" w:rsidRDefault="00B52CD7" w:rsidP="00520786">
      <w:pPr>
        <w:spacing w:after="0"/>
        <w:ind w:firstLine="708"/>
        <w:rPr>
          <w:rFonts w:ascii="Verdana" w:hAnsi="Verdana"/>
          <w:sz w:val="20"/>
          <w:lang w:val="es-ES"/>
        </w:rPr>
      </w:pPr>
      <w:r>
        <w:rPr>
          <w:rFonts w:ascii="Verdana" w:hAnsi="Verdana"/>
          <w:sz w:val="20"/>
          <w:lang w:val="es-ES"/>
        </w:rPr>
        <w:t xml:space="preserve">       </w:t>
      </w:r>
      <w:r w:rsidR="00520786">
        <w:rPr>
          <w:rFonts w:ascii="Verdana" w:hAnsi="Verdana"/>
          <w:sz w:val="20"/>
          <w:lang w:val="es-ES"/>
        </w:rPr>
        <w:tab/>
      </w:r>
      <w:r w:rsidR="00520786">
        <w:rPr>
          <w:rFonts w:ascii="Verdana" w:hAnsi="Verdana"/>
          <w:sz w:val="20"/>
          <w:lang w:val="es-ES"/>
        </w:rPr>
        <w:tab/>
      </w:r>
      <w:r w:rsidR="00520786">
        <w:rPr>
          <w:rFonts w:ascii="Verdana" w:hAnsi="Verdana"/>
          <w:sz w:val="20"/>
          <w:lang w:val="es-ES"/>
        </w:rPr>
        <w:tab/>
      </w:r>
      <w:r w:rsidR="00520786">
        <w:rPr>
          <w:rFonts w:ascii="Verdana" w:hAnsi="Verdana"/>
          <w:sz w:val="20"/>
          <w:lang w:val="es-ES"/>
        </w:rPr>
        <w:tab/>
      </w:r>
      <w:r w:rsidR="00520786">
        <w:rPr>
          <w:rFonts w:ascii="Verdana" w:hAnsi="Verdana"/>
          <w:sz w:val="20"/>
          <w:lang w:val="es-ES"/>
        </w:rPr>
        <w:tab/>
      </w:r>
      <w:r w:rsidR="00520786">
        <w:rPr>
          <w:rFonts w:ascii="Verdana" w:hAnsi="Verdana"/>
          <w:sz w:val="20"/>
          <w:lang w:val="es-ES"/>
        </w:rPr>
        <w:tab/>
      </w:r>
      <w:r w:rsidR="00520786">
        <w:rPr>
          <w:rFonts w:ascii="Verdana" w:hAnsi="Verdana"/>
          <w:sz w:val="20"/>
          <w:lang w:val="es-ES"/>
        </w:rPr>
        <w:tab/>
      </w:r>
      <w:r w:rsidR="00520786">
        <w:rPr>
          <w:rFonts w:ascii="Verdana" w:hAnsi="Verdana"/>
          <w:sz w:val="20"/>
          <w:lang w:val="es-ES"/>
        </w:rPr>
        <w:tab/>
      </w:r>
      <w:r w:rsidR="00520786">
        <w:rPr>
          <w:rFonts w:ascii="Verdana" w:hAnsi="Verdana"/>
          <w:sz w:val="20"/>
          <w:lang w:val="es-ES"/>
        </w:rPr>
        <w:tab/>
      </w:r>
      <w:r>
        <w:rPr>
          <w:rFonts w:ascii="Verdana" w:hAnsi="Verdana"/>
          <w:sz w:val="20"/>
          <w:lang w:val="es-ES"/>
        </w:rPr>
        <w:t xml:space="preserve"> </w:t>
      </w:r>
      <w:r w:rsidRPr="004B7A1D">
        <w:rPr>
          <w:rFonts w:ascii="Verdana" w:hAnsi="Verdana"/>
          <w:sz w:val="20"/>
          <w:lang w:val="es-ES"/>
        </w:rPr>
        <w:t xml:space="preserve">Presidente </w:t>
      </w:r>
    </w:p>
    <w:p w:rsidR="00B52CD7" w:rsidRPr="004B7A1D" w:rsidRDefault="00B52CD7" w:rsidP="00520786">
      <w:pPr>
        <w:spacing w:after="0"/>
        <w:jc w:val="both"/>
        <w:rPr>
          <w:rFonts w:ascii="Verdana" w:hAnsi="Verdana"/>
          <w:sz w:val="20"/>
          <w:lang w:val="es-ES"/>
        </w:rPr>
      </w:pPr>
      <w:bookmarkStart w:id="41" w:name="_GoBack"/>
      <w:bookmarkEnd w:id="41"/>
    </w:p>
    <w:p w:rsidR="00B52CD7" w:rsidRPr="004B7A1D" w:rsidRDefault="00B52CD7" w:rsidP="00520786">
      <w:pPr>
        <w:spacing w:after="0"/>
        <w:jc w:val="both"/>
        <w:rPr>
          <w:rFonts w:ascii="Verdana" w:hAnsi="Verdana"/>
          <w:sz w:val="20"/>
          <w:lang w:val="es-ES"/>
        </w:rPr>
      </w:pPr>
      <w:r w:rsidRPr="004B7A1D">
        <w:rPr>
          <w:rFonts w:ascii="Verdana" w:hAnsi="Verdana"/>
          <w:sz w:val="20"/>
          <w:lang w:val="es-ES"/>
        </w:rPr>
        <w:t>Pablo Saavedra Alessandri</w:t>
      </w:r>
    </w:p>
    <w:p w:rsidR="00B52CD7" w:rsidRPr="007C328B" w:rsidRDefault="00B52CD7" w:rsidP="00520786">
      <w:pPr>
        <w:spacing w:after="0"/>
        <w:rPr>
          <w:rFonts w:ascii="Verdana" w:hAnsi="Verdana"/>
          <w:sz w:val="20"/>
          <w:lang w:val="es-CR"/>
        </w:rPr>
      </w:pPr>
      <w:r w:rsidRPr="004B7A1D">
        <w:rPr>
          <w:rFonts w:ascii="Verdana" w:hAnsi="Verdana"/>
          <w:sz w:val="20"/>
          <w:lang w:val="es-ES"/>
        </w:rPr>
        <w:tab/>
      </w:r>
      <w:r w:rsidRPr="004B7A1D">
        <w:rPr>
          <w:rFonts w:ascii="Verdana" w:hAnsi="Verdana"/>
          <w:sz w:val="20"/>
          <w:lang w:val="es-CR"/>
        </w:rPr>
        <w:t>Secretario</w:t>
      </w:r>
    </w:p>
    <w:p w:rsidR="00B52CD7" w:rsidRPr="00711B91" w:rsidRDefault="00B52CD7" w:rsidP="00520786">
      <w:pPr>
        <w:spacing w:after="0" w:line="240" w:lineRule="auto"/>
        <w:jc w:val="both"/>
        <w:rPr>
          <w:rFonts w:ascii="Verdana" w:hAnsi="Verdana"/>
          <w:sz w:val="20"/>
          <w:szCs w:val="20"/>
          <w:lang w:val="es-ES_tradnl"/>
        </w:rPr>
      </w:pPr>
    </w:p>
    <w:sectPr w:rsidR="00B52CD7" w:rsidRPr="00711B91" w:rsidSect="003C4AAE">
      <w:headerReference w:type="default" r:id="rId9"/>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6BF" w:rsidRDefault="00C516BF" w:rsidP="005A1B3D">
      <w:pPr>
        <w:spacing w:after="0" w:line="240" w:lineRule="auto"/>
      </w:pPr>
      <w:r>
        <w:separator/>
      </w:r>
    </w:p>
  </w:endnote>
  <w:endnote w:type="continuationSeparator" w:id="0">
    <w:p w:rsidR="00C516BF" w:rsidRDefault="00C516BF"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CBB" w:rsidRDefault="00A70CBB" w:rsidP="0006620E">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6BF" w:rsidRDefault="00C516BF" w:rsidP="005A1B3D">
      <w:pPr>
        <w:spacing w:after="0" w:line="240" w:lineRule="auto"/>
      </w:pPr>
      <w:r>
        <w:separator/>
      </w:r>
    </w:p>
  </w:footnote>
  <w:footnote w:type="continuationSeparator" w:id="0">
    <w:p w:rsidR="00C516BF" w:rsidRDefault="00C516BF" w:rsidP="005A1B3D">
      <w:pPr>
        <w:spacing w:after="0" w:line="240" w:lineRule="auto"/>
      </w:pPr>
      <w:r>
        <w:continuationSeparator/>
      </w:r>
    </w:p>
  </w:footnote>
  <w:footnote w:id="1">
    <w:p w:rsidR="00A70CBB" w:rsidRPr="00933013" w:rsidRDefault="00A70CBB" w:rsidP="004121C6">
      <w:pPr>
        <w:pStyle w:val="Textonotapie"/>
        <w:tabs>
          <w:tab w:val="left" w:pos="426"/>
          <w:tab w:val="left" w:pos="567"/>
        </w:tabs>
        <w:jc w:val="both"/>
        <w:rPr>
          <w:rFonts w:ascii="Verdana" w:hAnsi="Verdana"/>
          <w:color w:val="000000"/>
          <w:sz w:val="16"/>
          <w:szCs w:val="16"/>
          <w:lang w:val="es-CR"/>
        </w:rPr>
      </w:pP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color w:val="000000"/>
          <w:sz w:val="16"/>
          <w:szCs w:val="16"/>
          <w:lang w:val="es-CR"/>
        </w:rPr>
        <w:t xml:space="preserve">El Juez Eduardo Vio Grossi, de nacionalidad chilena, no participó </w:t>
      </w:r>
      <w:r w:rsidRPr="00933013">
        <w:rPr>
          <w:rFonts w:ascii="Verdana" w:hAnsi="Verdana"/>
          <w:sz w:val="16"/>
          <w:szCs w:val="16"/>
          <w:lang w:val="es-CR"/>
        </w:rPr>
        <w:t xml:space="preserve">en la deliberación y firma de la Sentencia del presente caso, ni </w:t>
      </w:r>
      <w:r w:rsidRPr="00933013">
        <w:rPr>
          <w:rFonts w:ascii="Verdana" w:hAnsi="Verdana"/>
          <w:color w:val="000000"/>
          <w:sz w:val="16"/>
          <w:szCs w:val="16"/>
          <w:lang w:val="es-CR"/>
        </w:rPr>
        <w:t>en el conocimiento y deliberación de la presente Resolución, de conformidad con lo dispuesto en el artículo 19.1 del Reglamento de la Corte.</w:t>
      </w:r>
    </w:p>
    <w:p w:rsidR="00A70CBB" w:rsidRPr="00933013" w:rsidRDefault="00A70CBB" w:rsidP="004121C6">
      <w:pPr>
        <w:pStyle w:val="Textonotapie"/>
        <w:tabs>
          <w:tab w:val="left" w:pos="426"/>
          <w:tab w:val="left" w:pos="567"/>
        </w:tabs>
        <w:jc w:val="both"/>
        <w:rPr>
          <w:rFonts w:ascii="Verdana" w:hAnsi="Verdana"/>
          <w:color w:val="000000"/>
          <w:sz w:val="16"/>
          <w:szCs w:val="16"/>
          <w:lang w:val="es-CR"/>
        </w:rPr>
      </w:pPr>
      <w:r w:rsidRPr="00933013">
        <w:rPr>
          <w:rStyle w:val="Refdenotaalpie"/>
          <w:rFonts w:ascii="Verdana" w:hAnsi="Verdana"/>
          <w:color w:val="000000"/>
          <w:sz w:val="16"/>
          <w:szCs w:val="16"/>
        </w:rPr>
        <w:footnoteRef/>
      </w:r>
      <w:r w:rsidRPr="00933013">
        <w:rPr>
          <w:rFonts w:ascii="Verdana" w:hAnsi="Verdana"/>
          <w:color w:val="000000"/>
          <w:sz w:val="16"/>
          <w:szCs w:val="16"/>
          <w:lang w:val="es-CR"/>
        </w:rPr>
        <w:t xml:space="preserve"> </w:t>
      </w:r>
      <w:r w:rsidRPr="00933013">
        <w:rPr>
          <w:rFonts w:ascii="Verdana" w:hAnsi="Verdana"/>
          <w:color w:val="000000"/>
          <w:sz w:val="16"/>
          <w:szCs w:val="16"/>
          <w:lang w:val="es-CR"/>
        </w:rPr>
        <w:tab/>
        <w:t xml:space="preserve">La Sentencia fue notificada el 29 de julio de 2014. </w:t>
      </w:r>
      <w:r w:rsidRPr="00933013">
        <w:rPr>
          <w:rFonts w:ascii="Verdana" w:hAnsi="Verdana"/>
          <w:i/>
          <w:color w:val="000000"/>
          <w:sz w:val="16"/>
          <w:szCs w:val="16"/>
          <w:lang w:val="es-CR"/>
        </w:rPr>
        <w:t>Cfr.</w:t>
      </w:r>
      <w:r w:rsidRPr="00933013">
        <w:rPr>
          <w:rFonts w:ascii="Verdana" w:hAnsi="Verdana"/>
          <w:b/>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Caso Norín Catrimán y otros (Dirigentes, Miembros y Activista del Pueblo Indígena Mapuche) Vs. Chile. Fondo, Reparaciones y Costas.</w:t>
      </w:r>
      <w:r w:rsidRPr="00933013">
        <w:rPr>
          <w:rStyle w:val="Textoennegrita"/>
          <w:rFonts w:ascii="Verdana" w:hAnsi="Verdana"/>
          <w:b w:val="0"/>
          <w:color w:val="000000"/>
          <w:sz w:val="16"/>
          <w:szCs w:val="16"/>
          <w:shd w:val="clear" w:color="auto" w:fill="FFFFFF"/>
          <w:lang w:val="es-CR"/>
        </w:rPr>
        <w:t xml:space="preserve"> Sentencia de 29 de mayo de 2014. Serie C No. 279.</w:t>
      </w:r>
      <w:r w:rsidRPr="00933013">
        <w:rPr>
          <w:rStyle w:val="Textoennegrita"/>
          <w:rFonts w:ascii="Verdana" w:hAnsi="Verdana"/>
          <w:color w:val="000000"/>
          <w:sz w:val="16"/>
          <w:szCs w:val="16"/>
          <w:shd w:val="clear" w:color="auto" w:fill="FFFFFF"/>
          <w:lang w:val="es-CR"/>
        </w:rPr>
        <w:t xml:space="preserve"> </w:t>
      </w:r>
      <w:r w:rsidRPr="00933013">
        <w:rPr>
          <w:rFonts w:ascii="Verdana" w:hAnsi="Verdana"/>
          <w:color w:val="000000"/>
          <w:sz w:val="16"/>
          <w:szCs w:val="16"/>
          <w:lang w:val="es-CR"/>
        </w:rPr>
        <w:t xml:space="preserve">El texto íntegro se encuentra disponible en: </w:t>
      </w:r>
      <w:hyperlink r:id="rId1" w:history="1">
        <w:r w:rsidRPr="00933013">
          <w:rPr>
            <w:rStyle w:val="Hipervnculo"/>
            <w:rFonts w:ascii="Verdana" w:hAnsi="Verdana"/>
            <w:sz w:val="16"/>
            <w:szCs w:val="16"/>
            <w:lang w:val="es-CR"/>
          </w:rPr>
          <w:t>http://www.corteidh.or.cr/docs/casos/articulos/seriec_279_esp.pdf</w:t>
        </w:r>
      </w:hyperlink>
      <w:r w:rsidRPr="00933013">
        <w:rPr>
          <w:rFonts w:ascii="Verdana" w:hAnsi="Verdana"/>
          <w:sz w:val="16"/>
          <w:szCs w:val="16"/>
          <w:lang w:val="es-CR"/>
        </w:rPr>
        <w:t>.</w:t>
      </w:r>
      <w:r w:rsidRPr="00933013">
        <w:rPr>
          <w:rFonts w:ascii="Verdana" w:hAnsi="Verdana"/>
          <w:color w:val="000000"/>
          <w:sz w:val="16"/>
          <w:szCs w:val="16"/>
          <w:lang w:val="es-CR"/>
        </w:rPr>
        <w:t xml:space="preserve"> </w:t>
      </w:r>
    </w:p>
  </w:footnote>
  <w:footnote w:id="2">
    <w:p w:rsidR="00A70CBB" w:rsidRPr="00933013" w:rsidRDefault="00A70CBB" w:rsidP="004121C6">
      <w:pPr>
        <w:pStyle w:val="Textonotapie"/>
        <w:tabs>
          <w:tab w:val="left" w:pos="426"/>
          <w:tab w:val="left"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La dirigencia de las comunidades indígenas mapuche la ejercen los “</w:t>
      </w:r>
      <w:r w:rsidRPr="00933013">
        <w:rPr>
          <w:rFonts w:ascii="Verdana" w:hAnsi="Verdana"/>
          <w:i/>
          <w:sz w:val="16"/>
          <w:szCs w:val="16"/>
          <w:lang w:val="es-CR"/>
        </w:rPr>
        <w:t>Lonkos</w:t>
      </w:r>
      <w:r w:rsidRPr="00933013">
        <w:rPr>
          <w:rFonts w:ascii="Verdana" w:hAnsi="Verdana"/>
          <w:sz w:val="16"/>
          <w:szCs w:val="16"/>
          <w:lang w:val="es-CR"/>
        </w:rPr>
        <w:t>” y los “</w:t>
      </w:r>
      <w:r w:rsidRPr="00933013">
        <w:rPr>
          <w:rFonts w:ascii="Verdana" w:hAnsi="Verdana"/>
          <w:i/>
          <w:sz w:val="16"/>
          <w:szCs w:val="16"/>
          <w:lang w:val="es-CR"/>
        </w:rPr>
        <w:t>Werkén</w:t>
      </w:r>
      <w:r w:rsidRPr="00933013">
        <w:rPr>
          <w:rFonts w:ascii="Verdana" w:hAnsi="Verdana"/>
          <w:sz w:val="16"/>
          <w:szCs w:val="16"/>
          <w:lang w:val="es-CR"/>
        </w:rPr>
        <w:t xml:space="preserve">”. Las víctimas </w:t>
      </w:r>
      <w:r w:rsidRPr="00933013">
        <w:rPr>
          <w:rFonts w:ascii="Verdana" w:hAnsi="Verdana"/>
          <w:sz w:val="16"/>
          <w:szCs w:val="16"/>
          <w:lang w:val="es-ES_tradnl"/>
        </w:rPr>
        <w:t>Segundo Aniceto Norín Catrimán y Pascual Huentequeo Pichún Paillalao eran “</w:t>
      </w:r>
      <w:r w:rsidRPr="00933013">
        <w:rPr>
          <w:rFonts w:ascii="Verdana" w:hAnsi="Verdana"/>
          <w:i/>
          <w:sz w:val="16"/>
          <w:szCs w:val="16"/>
          <w:lang w:val="es-ES_tradnl"/>
        </w:rPr>
        <w:t>Lonkos</w:t>
      </w:r>
      <w:r w:rsidRPr="00933013">
        <w:rPr>
          <w:rFonts w:ascii="Verdana" w:hAnsi="Verdana"/>
          <w:sz w:val="16"/>
          <w:szCs w:val="16"/>
          <w:lang w:val="es-ES_tradnl"/>
        </w:rPr>
        <w:t>” y la víctima Víctor Ancalaf L</w:t>
      </w:r>
      <w:r>
        <w:rPr>
          <w:rFonts w:ascii="Verdana" w:hAnsi="Verdana"/>
          <w:sz w:val="16"/>
          <w:szCs w:val="16"/>
          <w:lang w:val="es-ES_tradnl"/>
        </w:rPr>
        <w:t>l</w:t>
      </w:r>
      <w:r w:rsidRPr="00933013">
        <w:rPr>
          <w:rFonts w:ascii="Verdana" w:hAnsi="Verdana"/>
          <w:sz w:val="16"/>
          <w:szCs w:val="16"/>
          <w:lang w:val="es-ES_tradnl"/>
        </w:rPr>
        <w:t>aupe era “</w:t>
      </w:r>
      <w:r w:rsidRPr="00933013">
        <w:rPr>
          <w:rFonts w:ascii="Verdana" w:hAnsi="Verdana"/>
          <w:i/>
          <w:sz w:val="16"/>
          <w:szCs w:val="16"/>
          <w:lang w:val="es-ES_tradnl"/>
        </w:rPr>
        <w:t>Wekén</w:t>
      </w:r>
      <w:r w:rsidRPr="00933013">
        <w:rPr>
          <w:rFonts w:ascii="Verdana" w:hAnsi="Verdana"/>
          <w:sz w:val="16"/>
          <w:szCs w:val="16"/>
          <w:lang w:val="es-ES_tradnl"/>
        </w:rPr>
        <w:t xml:space="preserve">”. </w:t>
      </w:r>
      <w:r w:rsidRPr="00933013">
        <w:rPr>
          <w:rFonts w:ascii="Verdana" w:hAnsi="Verdana"/>
          <w:i/>
          <w:color w:val="000000"/>
          <w:sz w:val="16"/>
          <w:szCs w:val="16"/>
          <w:lang w:val="es-CR"/>
        </w:rPr>
        <w:t>Cfr.</w:t>
      </w:r>
      <w:r w:rsidRPr="00933013">
        <w:rPr>
          <w:rFonts w:ascii="Verdana" w:hAnsi="Verdana"/>
          <w:b/>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 xml:space="preserve">Caso Norín Catrimán y otros, supra </w:t>
      </w:r>
      <w:r w:rsidRPr="00903DE2">
        <w:rPr>
          <w:rStyle w:val="Textoennegrita"/>
          <w:rFonts w:ascii="Verdana" w:hAnsi="Verdana"/>
          <w:b w:val="0"/>
          <w:color w:val="000000"/>
          <w:sz w:val="16"/>
          <w:szCs w:val="16"/>
          <w:shd w:val="clear" w:color="auto" w:fill="FFFFFF"/>
          <w:lang w:val="es-CR"/>
        </w:rPr>
        <w:t>nota 1</w:t>
      </w:r>
      <w:r w:rsidRPr="00933013">
        <w:rPr>
          <w:rStyle w:val="Textoennegrita"/>
          <w:rFonts w:ascii="Verdana" w:hAnsi="Verdana"/>
          <w:b w:val="0"/>
          <w:i/>
          <w:color w:val="000000"/>
          <w:sz w:val="16"/>
          <w:szCs w:val="16"/>
          <w:shd w:val="clear" w:color="auto" w:fill="FFFFFF"/>
          <w:lang w:val="es-CR"/>
        </w:rPr>
        <w:t xml:space="preserve">, </w:t>
      </w:r>
      <w:r w:rsidRPr="00933013">
        <w:rPr>
          <w:rStyle w:val="Textoennegrita"/>
          <w:rFonts w:ascii="Verdana" w:hAnsi="Verdana"/>
          <w:b w:val="0"/>
          <w:color w:val="000000"/>
          <w:sz w:val="16"/>
          <w:szCs w:val="16"/>
          <w:shd w:val="clear" w:color="auto" w:fill="FFFFFF"/>
          <w:lang w:val="es-CR"/>
        </w:rPr>
        <w:t>párr. 78</w:t>
      </w:r>
    </w:p>
  </w:footnote>
  <w:footnote w:id="3">
    <w:p w:rsidR="00A70CBB" w:rsidRPr="00933013" w:rsidRDefault="00A70CBB" w:rsidP="004121C6">
      <w:pPr>
        <w:pStyle w:val="Textonotapie"/>
        <w:tabs>
          <w:tab w:val="left" w:pos="426"/>
          <w:tab w:val="left"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Las víctimas </w:t>
      </w:r>
      <w:r w:rsidRPr="00933013">
        <w:rPr>
          <w:rFonts w:ascii="Verdana" w:hAnsi="Verdana"/>
          <w:sz w:val="16"/>
          <w:szCs w:val="16"/>
          <w:lang w:val="es-ES_tradnl"/>
        </w:rPr>
        <w:t xml:space="preserve">Juan Ciriaco Millacheo Licán, Florencio Jaime Marileo Saravia, José Benicio Huenchunao Mariñán, y Juan Patricio Marileo Saravia. </w:t>
      </w:r>
    </w:p>
  </w:footnote>
  <w:footnote w:id="4">
    <w:p w:rsidR="00A70CBB" w:rsidRPr="00933013" w:rsidRDefault="00A70CBB" w:rsidP="004121C6">
      <w:pPr>
        <w:pStyle w:val="Textonotapie"/>
        <w:tabs>
          <w:tab w:val="left" w:pos="426"/>
          <w:tab w:val="left" w:pos="567"/>
        </w:tabs>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La víctima </w:t>
      </w:r>
      <w:r w:rsidRPr="00933013">
        <w:rPr>
          <w:rFonts w:ascii="Verdana" w:hAnsi="Verdana"/>
          <w:sz w:val="16"/>
          <w:szCs w:val="16"/>
          <w:lang w:val="es-ES_tradnl"/>
        </w:rPr>
        <w:t>Patricia Roxana Troncoso Robles.</w:t>
      </w:r>
    </w:p>
  </w:footnote>
  <w:footnote w:id="5">
    <w:p w:rsidR="00A70CBB" w:rsidRPr="00933013" w:rsidRDefault="00A70CBB" w:rsidP="004121C6">
      <w:pPr>
        <w:pStyle w:val="Textonotapie"/>
        <w:tabs>
          <w:tab w:val="left" w:pos="426"/>
          <w:tab w:val="left" w:pos="567"/>
        </w:tabs>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color w:val="000000"/>
          <w:sz w:val="16"/>
          <w:szCs w:val="16"/>
          <w:lang w:val="es-CR"/>
        </w:rPr>
        <w:t>Cfr.</w:t>
      </w:r>
      <w:r w:rsidRPr="00903DE2">
        <w:rPr>
          <w:rFonts w:ascii="Verdana" w:hAnsi="Verdana"/>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 xml:space="preserve">Caso Norín Catrimán y otros, supra </w:t>
      </w:r>
      <w:r w:rsidRPr="00933013">
        <w:rPr>
          <w:rStyle w:val="Textoennegrita"/>
          <w:rFonts w:ascii="Verdana" w:hAnsi="Verdana"/>
          <w:b w:val="0"/>
          <w:color w:val="000000"/>
          <w:sz w:val="16"/>
          <w:szCs w:val="16"/>
          <w:shd w:val="clear" w:color="auto" w:fill="FFFFFF"/>
          <w:lang w:val="es-CR"/>
        </w:rPr>
        <w:t>nota</w:t>
      </w:r>
      <w:r w:rsidRPr="00933013">
        <w:rPr>
          <w:rStyle w:val="Textoennegrita"/>
          <w:rFonts w:ascii="Verdana" w:hAnsi="Verdana"/>
          <w:b w:val="0"/>
          <w:i/>
          <w:color w:val="000000"/>
          <w:sz w:val="16"/>
          <w:szCs w:val="16"/>
          <w:shd w:val="clear" w:color="auto" w:fill="FFFFFF"/>
          <w:lang w:val="es-CR"/>
        </w:rPr>
        <w:t xml:space="preserve"> </w:t>
      </w:r>
      <w:r w:rsidRPr="00933013">
        <w:rPr>
          <w:rStyle w:val="Textoennegrita"/>
          <w:rFonts w:ascii="Verdana" w:hAnsi="Verdana"/>
          <w:b w:val="0"/>
          <w:color w:val="000000"/>
          <w:sz w:val="16"/>
          <w:szCs w:val="16"/>
          <w:shd w:val="clear" w:color="auto" w:fill="FFFFFF"/>
          <w:lang w:val="es-CR"/>
        </w:rPr>
        <w:t>1</w:t>
      </w:r>
      <w:r w:rsidRPr="00933013">
        <w:rPr>
          <w:rStyle w:val="Textoennegrita"/>
          <w:rFonts w:ascii="Verdana" w:hAnsi="Verdana"/>
          <w:b w:val="0"/>
          <w:i/>
          <w:color w:val="000000"/>
          <w:sz w:val="16"/>
          <w:szCs w:val="16"/>
          <w:shd w:val="clear" w:color="auto" w:fill="FFFFFF"/>
          <w:lang w:val="es-CR"/>
        </w:rPr>
        <w:t xml:space="preserve">, </w:t>
      </w:r>
      <w:r w:rsidRPr="00933013">
        <w:rPr>
          <w:rStyle w:val="Textoennegrita"/>
          <w:rFonts w:ascii="Verdana" w:hAnsi="Verdana"/>
          <w:b w:val="0"/>
          <w:color w:val="000000"/>
          <w:sz w:val="16"/>
          <w:szCs w:val="16"/>
          <w:shd w:val="clear" w:color="auto" w:fill="FFFFFF"/>
          <w:lang w:val="es-CR"/>
        </w:rPr>
        <w:t>párrs. 74, 168 a 177, 223 a 228 y 230.</w:t>
      </w:r>
    </w:p>
  </w:footnote>
  <w:footnote w:id="6">
    <w:p w:rsidR="00A70CBB" w:rsidRPr="00933013" w:rsidRDefault="00A70CBB" w:rsidP="004121C6">
      <w:pPr>
        <w:pStyle w:val="Textonotapie"/>
        <w:tabs>
          <w:tab w:val="left" w:pos="426"/>
          <w:tab w:val="left" w:pos="567"/>
        </w:tabs>
        <w:jc w:val="both"/>
        <w:rPr>
          <w:rFonts w:ascii="Verdana" w:hAnsi="Verdana"/>
          <w:color w:val="000000"/>
          <w:sz w:val="16"/>
          <w:szCs w:val="16"/>
          <w:lang w:val="es-CR"/>
        </w:rPr>
      </w:pPr>
      <w:r w:rsidRPr="00933013">
        <w:rPr>
          <w:rStyle w:val="Refdenotaalpie"/>
          <w:rFonts w:ascii="Verdana" w:hAnsi="Verdana"/>
          <w:color w:val="000000"/>
          <w:sz w:val="16"/>
          <w:szCs w:val="16"/>
        </w:rPr>
        <w:footnoteRef/>
      </w:r>
      <w:r w:rsidRPr="00933013">
        <w:rPr>
          <w:rFonts w:ascii="Verdana" w:hAnsi="Verdana"/>
          <w:color w:val="000000"/>
          <w:sz w:val="16"/>
          <w:szCs w:val="16"/>
          <w:lang w:val="es-CR"/>
        </w:rPr>
        <w:t xml:space="preserve"> </w:t>
      </w:r>
      <w:r w:rsidRPr="00933013">
        <w:rPr>
          <w:rFonts w:ascii="Verdana" w:hAnsi="Verdana"/>
          <w:color w:val="000000"/>
          <w:sz w:val="16"/>
          <w:szCs w:val="16"/>
          <w:lang w:val="es-CR"/>
        </w:rPr>
        <w:tab/>
      </w:r>
      <w:r>
        <w:rPr>
          <w:rFonts w:ascii="Verdana" w:hAnsi="Verdana"/>
          <w:color w:val="000000"/>
          <w:sz w:val="16"/>
          <w:szCs w:val="16"/>
          <w:lang w:val="es-CR"/>
        </w:rPr>
        <w:t xml:space="preserve">Las víctimas </w:t>
      </w:r>
      <w:r w:rsidRPr="00933013">
        <w:rPr>
          <w:rFonts w:ascii="Verdana" w:hAnsi="Verdana"/>
          <w:color w:val="000000"/>
          <w:sz w:val="16"/>
          <w:szCs w:val="16"/>
          <w:lang w:val="es-CR"/>
        </w:rPr>
        <w:t xml:space="preserve">Pascual Huentequeo Pichún Paillalao y Víctor Manuel Ancalaf Llaupe. </w:t>
      </w:r>
      <w:r w:rsidRPr="00933013">
        <w:rPr>
          <w:rFonts w:ascii="Verdana" w:hAnsi="Verdana"/>
          <w:i/>
          <w:color w:val="000000"/>
          <w:sz w:val="16"/>
          <w:szCs w:val="16"/>
          <w:lang w:val="es-CR"/>
        </w:rPr>
        <w:t>Cfr.</w:t>
      </w:r>
      <w:r w:rsidRPr="00933013">
        <w:rPr>
          <w:rFonts w:ascii="Verdana" w:hAnsi="Verdana"/>
          <w:b/>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 xml:space="preserve">Caso Norín Catrimán y otros, supra </w:t>
      </w:r>
      <w:r w:rsidRPr="00903DE2">
        <w:rPr>
          <w:rStyle w:val="Textoennegrita"/>
          <w:rFonts w:ascii="Verdana" w:hAnsi="Verdana"/>
          <w:b w:val="0"/>
          <w:color w:val="000000"/>
          <w:sz w:val="16"/>
          <w:szCs w:val="16"/>
          <w:shd w:val="clear" w:color="auto" w:fill="FFFFFF"/>
          <w:lang w:val="es-CR"/>
        </w:rPr>
        <w:t>nota</w:t>
      </w:r>
      <w:r>
        <w:rPr>
          <w:rStyle w:val="Textoennegrita"/>
          <w:rFonts w:ascii="Verdana" w:hAnsi="Verdana"/>
          <w:b w:val="0"/>
          <w:color w:val="000000"/>
          <w:sz w:val="16"/>
          <w:szCs w:val="16"/>
          <w:shd w:val="clear" w:color="auto" w:fill="FFFFFF"/>
          <w:lang w:val="es-CR"/>
        </w:rPr>
        <w:t xml:space="preserve"> 1</w:t>
      </w:r>
      <w:r w:rsidRPr="00903DE2">
        <w:rPr>
          <w:rStyle w:val="Textoennegrita"/>
          <w:rFonts w:ascii="Verdana" w:hAnsi="Verdana"/>
          <w:b w:val="0"/>
          <w:color w:val="000000"/>
          <w:sz w:val="16"/>
          <w:szCs w:val="16"/>
          <w:shd w:val="clear" w:color="auto" w:fill="FFFFFF"/>
          <w:lang w:val="es-CR"/>
        </w:rPr>
        <w:t>,</w:t>
      </w:r>
      <w:r w:rsidRPr="00933013">
        <w:rPr>
          <w:rStyle w:val="Textoennegrita"/>
          <w:rFonts w:ascii="Verdana" w:hAnsi="Verdana"/>
          <w:b w:val="0"/>
          <w:i/>
          <w:color w:val="000000"/>
          <w:sz w:val="16"/>
          <w:szCs w:val="16"/>
          <w:shd w:val="clear" w:color="auto" w:fill="FFFFFF"/>
          <w:lang w:val="es-CR"/>
        </w:rPr>
        <w:t xml:space="preserve"> </w:t>
      </w:r>
      <w:r w:rsidRPr="00933013">
        <w:rPr>
          <w:rStyle w:val="Textoennegrita"/>
          <w:rFonts w:ascii="Verdana" w:hAnsi="Verdana"/>
          <w:b w:val="0"/>
          <w:color w:val="000000"/>
          <w:sz w:val="16"/>
          <w:szCs w:val="16"/>
          <w:shd w:val="clear" w:color="auto" w:fill="FFFFFF"/>
          <w:lang w:val="es-CR"/>
        </w:rPr>
        <w:t>párrs. 248 a 259.</w:t>
      </w:r>
    </w:p>
  </w:footnote>
  <w:footnote w:id="7">
    <w:p w:rsidR="00A70CBB" w:rsidRPr="00933013" w:rsidRDefault="00A70CBB" w:rsidP="004121C6">
      <w:pPr>
        <w:pStyle w:val="Textonotapie"/>
        <w:tabs>
          <w:tab w:val="left" w:pos="426"/>
          <w:tab w:val="left" w:pos="567"/>
        </w:tabs>
        <w:jc w:val="both"/>
        <w:rPr>
          <w:rFonts w:ascii="Verdana" w:hAnsi="Verdana"/>
          <w:color w:val="000000"/>
          <w:sz w:val="16"/>
          <w:szCs w:val="16"/>
          <w:lang w:val="es-CR"/>
        </w:rPr>
      </w:pPr>
      <w:r w:rsidRPr="00933013">
        <w:rPr>
          <w:rStyle w:val="Refdenotaalpie"/>
          <w:rFonts w:ascii="Verdana" w:hAnsi="Verdana"/>
          <w:color w:val="000000"/>
          <w:sz w:val="16"/>
          <w:szCs w:val="16"/>
        </w:rPr>
        <w:footnoteRef/>
      </w:r>
      <w:r w:rsidRPr="00933013">
        <w:rPr>
          <w:rFonts w:ascii="Verdana" w:hAnsi="Verdana"/>
          <w:color w:val="000000"/>
          <w:sz w:val="16"/>
          <w:szCs w:val="16"/>
          <w:lang w:val="es-CR"/>
        </w:rPr>
        <w:t xml:space="preserve"> </w:t>
      </w:r>
      <w:r w:rsidRPr="00933013">
        <w:rPr>
          <w:rFonts w:ascii="Verdana" w:hAnsi="Verdana"/>
          <w:color w:val="000000"/>
          <w:sz w:val="16"/>
          <w:szCs w:val="16"/>
          <w:lang w:val="es-CR"/>
        </w:rPr>
        <w:tab/>
      </w:r>
      <w:r>
        <w:rPr>
          <w:rFonts w:ascii="Verdana" w:hAnsi="Verdana"/>
          <w:color w:val="000000"/>
          <w:sz w:val="16"/>
          <w:szCs w:val="16"/>
          <w:lang w:val="es-CR"/>
        </w:rPr>
        <w:t xml:space="preserve">Las víctimas </w:t>
      </w:r>
      <w:r w:rsidRPr="00933013">
        <w:rPr>
          <w:rFonts w:ascii="Verdana" w:hAnsi="Verdana"/>
          <w:color w:val="000000"/>
          <w:sz w:val="16"/>
          <w:szCs w:val="16"/>
          <w:lang w:val="es-CR"/>
        </w:rPr>
        <w:t xml:space="preserve">Segundo Aniceto Norín Catrimán, Pascual Huentequeo Pichún Paillalao, Juan Patricio Marileo Saravia, Florencio Jaime Marileo Saravia, José Benicio Huenchunao Mariñán, Juan Ciriaco Millacheo Licán y la señora Patricia Roxana Troncoso Robles. </w:t>
      </w:r>
      <w:r w:rsidRPr="00933013">
        <w:rPr>
          <w:rFonts w:ascii="Verdana" w:hAnsi="Verdana"/>
          <w:i/>
          <w:color w:val="000000"/>
          <w:sz w:val="16"/>
          <w:szCs w:val="16"/>
          <w:lang w:val="es-CR"/>
        </w:rPr>
        <w:t>Cfr.</w:t>
      </w:r>
      <w:r w:rsidRPr="00903DE2">
        <w:rPr>
          <w:rFonts w:ascii="Verdana" w:hAnsi="Verdana"/>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 xml:space="preserve">Caso Norín Catrimán y otros, supra nota, </w:t>
      </w:r>
      <w:r w:rsidRPr="00933013">
        <w:rPr>
          <w:rStyle w:val="Textoennegrita"/>
          <w:rFonts w:ascii="Verdana" w:hAnsi="Verdana"/>
          <w:b w:val="0"/>
          <w:color w:val="000000"/>
          <w:sz w:val="16"/>
          <w:szCs w:val="16"/>
          <w:shd w:val="clear" w:color="auto" w:fill="FFFFFF"/>
          <w:lang w:val="es-CR"/>
        </w:rPr>
        <w:t>párrs. 274 a 291.</w:t>
      </w:r>
    </w:p>
  </w:footnote>
  <w:footnote w:id="8">
    <w:p w:rsidR="00A70CBB" w:rsidRPr="00933013" w:rsidRDefault="00A70CBB" w:rsidP="004121C6">
      <w:pPr>
        <w:pStyle w:val="Textonotapie"/>
        <w:tabs>
          <w:tab w:val="left" w:pos="426"/>
          <w:tab w:val="left" w:pos="567"/>
        </w:tabs>
        <w:jc w:val="both"/>
        <w:rPr>
          <w:rFonts w:ascii="Verdana" w:hAnsi="Verdana"/>
          <w:sz w:val="16"/>
          <w:szCs w:val="16"/>
          <w:lang w:val="es-CR"/>
        </w:rPr>
      </w:pPr>
      <w:r w:rsidRPr="00933013">
        <w:rPr>
          <w:rStyle w:val="Refdenotaalpie"/>
          <w:rFonts w:ascii="Verdana" w:hAnsi="Verdana"/>
          <w:color w:val="000000"/>
          <w:sz w:val="16"/>
          <w:szCs w:val="16"/>
        </w:rPr>
        <w:footnoteRef/>
      </w:r>
      <w:r w:rsidRPr="00933013">
        <w:rPr>
          <w:rFonts w:ascii="Verdana" w:hAnsi="Verdana"/>
          <w:color w:val="000000"/>
          <w:sz w:val="16"/>
          <w:szCs w:val="16"/>
          <w:lang w:val="es-CR"/>
        </w:rPr>
        <w:t xml:space="preserve"> </w:t>
      </w:r>
      <w:r w:rsidRPr="00933013">
        <w:rPr>
          <w:rFonts w:ascii="Verdana" w:hAnsi="Verdana"/>
          <w:color w:val="000000"/>
          <w:sz w:val="16"/>
          <w:szCs w:val="16"/>
          <w:lang w:val="es-CR"/>
        </w:rPr>
        <w:tab/>
      </w:r>
      <w:r>
        <w:rPr>
          <w:rFonts w:ascii="Verdana" w:hAnsi="Verdana"/>
          <w:color w:val="000000"/>
          <w:sz w:val="16"/>
          <w:szCs w:val="16"/>
          <w:lang w:val="es-CR"/>
        </w:rPr>
        <w:t xml:space="preserve">Las víctimas </w:t>
      </w:r>
      <w:r w:rsidRPr="00933013">
        <w:rPr>
          <w:rFonts w:ascii="Verdana" w:hAnsi="Verdana"/>
          <w:color w:val="000000"/>
          <w:sz w:val="16"/>
          <w:szCs w:val="16"/>
          <w:lang w:val="es-CR"/>
        </w:rPr>
        <w:t xml:space="preserve">Segundo Aniceto Norín Catrimán, Pascual Huentequeo Pichún Paillalao y Víctor Manuel Ancalaf Llaupe. </w:t>
      </w:r>
      <w:r w:rsidRPr="00933013">
        <w:rPr>
          <w:rFonts w:ascii="Verdana" w:hAnsi="Verdana"/>
          <w:i/>
          <w:color w:val="000000"/>
          <w:sz w:val="16"/>
          <w:szCs w:val="16"/>
          <w:lang w:val="es-CR"/>
        </w:rPr>
        <w:t>Cfr.</w:t>
      </w:r>
      <w:r w:rsidRPr="00903DE2">
        <w:rPr>
          <w:rFonts w:ascii="Verdana" w:hAnsi="Verdana"/>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 xml:space="preserve">Caso Norín Catrimán y otros, supra </w:t>
      </w:r>
      <w:r w:rsidRPr="00903DE2">
        <w:rPr>
          <w:rStyle w:val="Textoennegrita"/>
          <w:rFonts w:ascii="Verdana" w:hAnsi="Verdana"/>
          <w:b w:val="0"/>
          <w:color w:val="000000"/>
          <w:sz w:val="16"/>
          <w:szCs w:val="16"/>
          <w:shd w:val="clear" w:color="auto" w:fill="FFFFFF"/>
          <w:lang w:val="es-CR"/>
        </w:rPr>
        <w:t>nota</w:t>
      </w:r>
      <w:r>
        <w:rPr>
          <w:rStyle w:val="Textoennegrita"/>
          <w:rFonts w:ascii="Verdana" w:hAnsi="Verdana"/>
          <w:b w:val="0"/>
          <w:color w:val="000000"/>
          <w:sz w:val="16"/>
          <w:szCs w:val="16"/>
          <w:shd w:val="clear" w:color="auto" w:fill="FFFFFF"/>
          <w:lang w:val="es-CR"/>
        </w:rPr>
        <w:t xml:space="preserve"> 1</w:t>
      </w:r>
      <w:r w:rsidRPr="00903DE2">
        <w:rPr>
          <w:rStyle w:val="Textoennegrita"/>
          <w:rFonts w:ascii="Verdana" w:hAnsi="Verdana"/>
          <w:b w:val="0"/>
          <w:color w:val="000000"/>
          <w:sz w:val="16"/>
          <w:szCs w:val="16"/>
          <w:shd w:val="clear" w:color="auto" w:fill="FFFFFF"/>
          <w:lang w:val="es-CR"/>
        </w:rPr>
        <w:t>,</w:t>
      </w:r>
      <w:r w:rsidRPr="00933013">
        <w:rPr>
          <w:rStyle w:val="Textoennegrita"/>
          <w:rFonts w:ascii="Verdana" w:hAnsi="Verdana"/>
          <w:b w:val="0"/>
          <w:i/>
          <w:color w:val="000000"/>
          <w:sz w:val="16"/>
          <w:szCs w:val="16"/>
          <w:shd w:val="clear" w:color="auto" w:fill="FFFFFF"/>
          <w:lang w:val="es-CR"/>
        </w:rPr>
        <w:t xml:space="preserve"> </w:t>
      </w:r>
      <w:r w:rsidRPr="00933013">
        <w:rPr>
          <w:rStyle w:val="Textoennegrita"/>
          <w:rFonts w:ascii="Verdana" w:hAnsi="Verdana"/>
          <w:b w:val="0"/>
          <w:color w:val="000000"/>
          <w:sz w:val="16"/>
          <w:szCs w:val="16"/>
          <w:shd w:val="clear" w:color="auto" w:fill="FFFFFF"/>
          <w:lang w:val="es-CR"/>
        </w:rPr>
        <w:t>párr. 374.</w:t>
      </w:r>
    </w:p>
  </w:footnote>
  <w:footnote w:id="9">
    <w:p w:rsidR="00A70CBB" w:rsidRPr="00933013" w:rsidRDefault="00A70CBB" w:rsidP="004121C6">
      <w:pPr>
        <w:pStyle w:val="Textonotapie"/>
        <w:tabs>
          <w:tab w:val="left" w:pos="426"/>
          <w:tab w:val="left" w:pos="567"/>
        </w:tabs>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color w:val="000000"/>
          <w:sz w:val="16"/>
          <w:szCs w:val="16"/>
          <w:lang w:val="es-CR"/>
        </w:rPr>
        <w:t>Cfr.</w:t>
      </w:r>
      <w:r w:rsidRPr="00903DE2">
        <w:rPr>
          <w:rFonts w:ascii="Verdana" w:hAnsi="Verdana"/>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 xml:space="preserve">Caso Norín Catrimán y otros, supra </w:t>
      </w:r>
      <w:r w:rsidRPr="00903DE2">
        <w:rPr>
          <w:rStyle w:val="Textoennegrita"/>
          <w:rFonts w:ascii="Verdana" w:hAnsi="Verdana"/>
          <w:b w:val="0"/>
          <w:color w:val="000000"/>
          <w:sz w:val="16"/>
          <w:szCs w:val="16"/>
          <w:shd w:val="clear" w:color="auto" w:fill="FFFFFF"/>
          <w:lang w:val="es-CR"/>
        </w:rPr>
        <w:t>nota</w:t>
      </w:r>
      <w:r>
        <w:rPr>
          <w:rStyle w:val="Textoennegrita"/>
          <w:rFonts w:ascii="Verdana" w:hAnsi="Verdana"/>
          <w:b w:val="0"/>
          <w:color w:val="000000"/>
          <w:sz w:val="16"/>
          <w:szCs w:val="16"/>
          <w:shd w:val="clear" w:color="auto" w:fill="FFFFFF"/>
          <w:lang w:val="es-CR"/>
        </w:rPr>
        <w:t xml:space="preserve"> 1</w:t>
      </w:r>
      <w:r w:rsidRPr="00903DE2">
        <w:rPr>
          <w:rStyle w:val="Textoennegrita"/>
          <w:rFonts w:ascii="Verdana" w:hAnsi="Verdana"/>
          <w:b w:val="0"/>
          <w:color w:val="000000"/>
          <w:sz w:val="16"/>
          <w:szCs w:val="16"/>
          <w:shd w:val="clear" w:color="auto" w:fill="FFFFFF"/>
          <w:lang w:val="es-CR"/>
        </w:rPr>
        <w:t>,</w:t>
      </w:r>
      <w:r w:rsidRPr="00933013">
        <w:rPr>
          <w:rStyle w:val="Textoennegrita"/>
          <w:rFonts w:ascii="Verdana" w:hAnsi="Verdana"/>
          <w:b w:val="0"/>
          <w:i/>
          <w:color w:val="000000"/>
          <w:sz w:val="16"/>
          <w:szCs w:val="16"/>
          <w:shd w:val="clear" w:color="auto" w:fill="FFFFFF"/>
          <w:lang w:val="es-CR"/>
        </w:rPr>
        <w:t xml:space="preserve"> </w:t>
      </w:r>
      <w:r w:rsidRPr="00933013">
        <w:rPr>
          <w:rStyle w:val="Textoennegrita"/>
          <w:rFonts w:ascii="Verdana" w:hAnsi="Verdana"/>
          <w:b w:val="0"/>
          <w:color w:val="000000"/>
          <w:sz w:val="16"/>
          <w:szCs w:val="16"/>
          <w:shd w:val="clear" w:color="auto" w:fill="FFFFFF"/>
          <w:lang w:val="es-CR"/>
        </w:rPr>
        <w:t>párr. 383.</w:t>
      </w:r>
    </w:p>
  </w:footnote>
  <w:footnote w:id="10">
    <w:p w:rsidR="00A70CBB" w:rsidRPr="00933013" w:rsidRDefault="00A70CBB" w:rsidP="004121C6">
      <w:pPr>
        <w:pStyle w:val="Textonotapie"/>
        <w:tabs>
          <w:tab w:val="left" w:pos="426"/>
          <w:tab w:val="left" w:pos="567"/>
        </w:tabs>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La víctima Víctor Ancalaf LLaupe. </w:t>
      </w:r>
      <w:r w:rsidRPr="00933013">
        <w:rPr>
          <w:rFonts w:ascii="Verdana" w:hAnsi="Verdana"/>
          <w:i/>
          <w:color w:val="000000"/>
          <w:sz w:val="16"/>
          <w:szCs w:val="16"/>
          <w:lang w:val="es-CR"/>
        </w:rPr>
        <w:t>Cfr.</w:t>
      </w:r>
      <w:r w:rsidRPr="00933013">
        <w:rPr>
          <w:rFonts w:ascii="Verdana" w:hAnsi="Verdana"/>
          <w:b/>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 xml:space="preserve">Caso Norín Catrimán y otros, supra nota, </w:t>
      </w:r>
      <w:r w:rsidRPr="00933013">
        <w:rPr>
          <w:rStyle w:val="Textoennegrita"/>
          <w:rFonts w:ascii="Verdana" w:hAnsi="Verdana"/>
          <w:b w:val="0"/>
          <w:color w:val="000000"/>
          <w:sz w:val="16"/>
          <w:szCs w:val="16"/>
          <w:shd w:val="clear" w:color="auto" w:fill="FFFFFF"/>
          <w:lang w:val="es-CR"/>
        </w:rPr>
        <w:t>párrs. 403 a 411.</w:t>
      </w:r>
    </w:p>
  </w:footnote>
  <w:footnote w:id="11">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En ninguno de los hechos por los cuales fueron juzgados las víctimas resultó afectada la integridad física ni la vida de alguna persona. </w:t>
      </w:r>
      <w:r w:rsidRPr="00933013">
        <w:rPr>
          <w:rFonts w:ascii="Verdana" w:hAnsi="Verdana"/>
          <w:i/>
          <w:color w:val="000000"/>
          <w:sz w:val="16"/>
          <w:szCs w:val="16"/>
          <w:lang w:val="es-CR"/>
        </w:rPr>
        <w:t>Cfr.</w:t>
      </w:r>
      <w:r w:rsidRPr="00903DE2">
        <w:rPr>
          <w:rFonts w:ascii="Verdana" w:hAnsi="Verdana"/>
          <w:i/>
          <w:color w:val="000000"/>
          <w:sz w:val="16"/>
          <w:szCs w:val="16"/>
          <w:lang w:val="es-CR"/>
        </w:rPr>
        <w:t xml:space="preserve"> </w:t>
      </w:r>
      <w:r w:rsidRPr="00933013">
        <w:rPr>
          <w:rStyle w:val="Textoennegrita"/>
          <w:rFonts w:ascii="Verdana" w:hAnsi="Verdana"/>
          <w:b w:val="0"/>
          <w:i/>
          <w:color w:val="000000"/>
          <w:sz w:val="16"/>
          <w:szCs w:val="16"/>
          <w:shd w:val="clear" w:color="auto" w:fill="FFFFFF"/>
          <w:lang w:val="es-CR"/>
        </w:rPr>
        <w:t xml:space="preserve">Caso Norín Catrimán y otros, supra </w:t>
      </w:r>
      <w:r w:rsidRPr="00903DE2">
        <w:rPr>
          <w:rStyle w:val="Textoennegrita"/>
          <w:rFonts w:ascii="Verdana" w:hAnsi="Verdana"/>
          <w:b w:val="0"/>
          <w:color w:val="000000"/>
          <w:sz w:val="16"/>
          <w:szCs w:val="16"/>
          <w:shd w:val="clear" w:color="auto" w:fill="FFFFFF"/>
          <w:lang w:val="es-CR"/>
        </w:rPr>
        <w:t>nota</w:t>
      </w:r>
      <w:r>
        <w:rPr>
          <w:rStyle w:val="Textoennegrita"/>
          <w:rFonts w:ascii="Verdana" w:hAnsi="Verdana"/>
          <w:b w:val="0"/>
          <w:color w:val="000000"/>
          <w:sz w:val="16"/>
          <w:szCs w:val="16"/>
          <w:shd w:val="clear" w:color="auto" w:fill="FFFFFF"/>
          <w:lang w:val="es-CR"/>
        </w:rPr>
        <w:t xml:space="preserve"> 1</w:t>
      </w:r>
      <w:r w:rsidRPr="00903DE2">
        <w:rPr>
          <w:rStyle w:val="Textoennegrita"/>
          <w:rFonts w:ascii="Verdana" w:hAnsi="Verdana"/>
          <w:b w:val="0"/>
          <w:color w:val="000000"/>
          <w:sz w:val="16"/>
          <w:szCs w:val="16"/>
          <w:shd w:val="clear" w:color="auto" w:fill="FFFFFF"/>
          <w:lang w:val="es-CR"/>
        </w:rPr>
        <w:t>,</w:t>
      </w:r>
      <w:r w:rsidRPr="00933013">
        <w:rPr>
          <w:rStyle w:val="Textoennegrita"/>
          <w:rFonts w:ascii="Verdana" w:hAnsi="Verdana"/>
          <w:b w:val="0"/>
          <w:i/>
          <w:color w:val="000000"/>
          <w:sz w:val="16"/>
          <w:szCs w:val="16"/>
          <w:shd w:val="clear" w:color="auto" w:fill="FFFFFF"/>
          <w:lang w:val="es-CR"/>
        </w:rPr>
        <w:t xml:space="preserve"> </w:t>
      </w:r>
      <w:r w:rsidRPr="00933013">
        <w:rPr>
          <w:rStyle w:val="Textoennegrita"/>
          <w:rFonts w:ascii="Verdana" w:hAnsi="Verdana"/>
          <w:b w:val="0"/>
          <w:color w:val="000000"/>
          <w:sz w:val="16"/>
          <w:szCs w:val="16"/>
          <w:shd w:val="clear" w:color="auto" w:fill="FFFFFF"/>
          <w:lang w:val="es-CR"/>
        </w:rPr>
        <w:t>párrs. 74,</w:t>
      </w:r>
      <w:r w:rsidRPr="00933013">
        <w:rPr>
          <w:rFonts w:ascii="Verdana" w:hAnsi="Verdana"/>
          <w:sz w:val="16"/>
          <w:szCs w:val="16"/>
          <w:lang w:val="es-CR"/>
        </w:rPr>
        <w:t xml:space="preserve"> 81, 98 a 100, y 106 a 152. </w:t>
      </w:r>
    </w:p>
  </w:footnote>
  <w:footnote w:id="12">
    <w:p w:rsidR="00A70CBB" w:rsidRPr="00933013" w:rsidRDefault="00A70CBB" w:rsidP="004121C6">
      <w:pPr>
        <w:pStyle w:val="Textonotapie"/>
        <w:tabs>
          <w:tab w:val="left" w:pos="426"/>
          <w:tab w:val="left"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sz w:val="16"/>
          <w:szCs w:val="16"/>
          <w:lang w:val="es-CR"/>
        </w:rPr>
        <w:t>Cfr.</w:t>
      </w:r>
      <w:r w:rsidRPr="00933013">
        <w:rPr>
          <w:rFonts w:ascii="Verdana" w:hAnsi="Verdana"/>
          <w:sz w:val="16"/>
          <w:szCs w:val="16"/>
          <w:lang w:val="es-CR"/>
        </w:rPr>
        <w:t xml:space="preserve"> </w:t>
      </w:r>
      <w:r w:rsidRPr="00933013">
        <w:rPr>
          <w:rStyle w:val="Textoennegrita"/>
          <w:rFonts w:ascii="Verdana" w:hAnsi="Verdana"/>
          <w:b w:val="0"/>
          <w:i/>
          <w:sz w:val="16"/>
          <w:szCs w:val="16"/>
          <w:lang w:val="es-CR"/>
        </w:rPr>
        <w:t xml:space="preserve">Caso Norín Catrimán y otros </w:t>
      </w:r>
      <w:r w:rsidRPr="00933013">
        <w:rPr>
          <w:rStyle w:val="Textoennegrita"/>
          <w:rFonts w:ascii="Verdana" w:hAnsi="Verdana"/>
          <w:b w:val="0"/>
          <w:i/>
          <w:color w:val="000000"/>
          <w:sz w:val="16"/>
          <w:szCs w:val="16"/>
          <w:shd w:val="clear" w:color="auto" w:fill="FFFFFF"/>
          <w:lang w:val="es-CR"/>
        </w:rPr>
        <w:t xml:space="preserve">(Dirigentes, Miembros y Activista del Pueblo Indígena Mapuche) </w:t>
      </w:r>
      <w:r w:rsidRPr="00933013">
        <w:rPr>
          <w:rStyle w:val="Textoennegrita"/>
          <w:rFonts w:ascii="Verdana" w:hAnsi="Verdana"/>
          <w:b w:val="0"/>
          <w:i/>
          <w:sz w:val="16"/>
          <w:szCs w:val="16"/>
          <w:lang w:val="es-CR"/>
        </w:rPr>
        <w:t xml:space="preserve">Vs. Chile. </w:t>
      </w:r>
      <w:r w:rsidRPr="00933013">
        <w:rPr>
          <w:rStyle w:val="Textoennegrita"/>
          <w:rFonts w:ascii="Verdana" w:hAnsi="Verdana"/>
          <w:b w:val="0"/>
          <w:sz w:val="16"/>
          <w:szCs w:val="16"/>
          <w:lang w:val="es-CR"/>
        </w:rPr>
        <w:t>Reintegro al Fondo de Asistencia Legal de Víctimas de la Corte. Resolución de la Corte Interamericana de Derechos Humanos de 26 de enero de 2015,</w:t>
      </w:r>
      <w:r w:rsidRPr="00BA502F">
        <w:rPr>
          <w:rStyle w:val="Textoennegrita"/>
          <w:rFonts w:ascii="Verdana" w:hAnsi="Verdana"/>
          <w:b w:val="0"/>
          <w:sz w:val="16"/>
          <w:szCs w:val="16"/>
          <w:lang w:val="es-CR"/>
        </w:rPr>
        <w:t xml:space="preserve"> </w:t>
      </w:r>
      <w:r w:rsidRPr="00933013">
        <w:rPr>
          <w:rFonts w:ascii="Verdana" w:hAnsi="Verdana"/>
          <w:sz w:val="16"/>
          <w:szCs w:val="16"/>
          <w:lang w:val="es-CR"/>
        </w:rPr>
        <w:t>disponible en:</w:t>
      </w:r>
    </w:p>
    <w:p w:rsidR="00A70CBB" w:rsidRPr="00933013" w:rsidRDefault="00A70CBB" w:rsidP="004121C6">
      <w:pPr>
        <w:pStyle w:val="Textonotapie"/>
        <w:tabs>
          <w:tab w:val="left" w:pos="426"/>
          <w:tab w:val="left" w:pos="567"/>
        </w:tabs>
        <w:jc w:val="both"/>
        <w:rPr>
          <w:rFonts w:ascii="Verdana" w:hAnsi="Verdana"/>
          <w:sz w:val="16"/>
          <w:szCs w:val="16"/>
          <w:lang w:val="es-CR"/>
        </w:rPr>
      </w:pPr>
      <w:hyperlink r:id="rId2" w:history="1">
        <w:r w:rsidRPr="00933013">
          <w:rPr>
            <w:rStyle w:val="Hipervnculo"/>
            <w:rFonts w:ascii="Verdana" w:hAnsi="Verdana"/>
            <w:sz w:val="16"/>
            <w:szCs w:val="16"/>
            <w:lang w:val="es-CR"/>
          </w:rPr>
          <w:t>http://www.corteidh.or.cr/docs/supervisiones/norin_26_01_15.pdf</w:t>
        </w:r>
      </w:hyperlink>
      <w:r w:rsidRPr="00933013">
        <w:rPr>
          <w:rFonts w:ascii="Verdana" w:hAnsi="Verdana"/>
          <w:sz w:val="16"/>
          <w:szCs w:val="16"/>
          <w:lang w:val="es-CR"/>
        </w:rPr>
        <w:t xml:space="preserve"> </w:t>
      </w:r>
    </w:p>
  </w:footnote>
  <w:footnote w:id="13">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Escritos de </w:t>
      </w:r>
      <w:r w:rsidRPr="00933013">
        <w:rPr>
          <w:rFonts w:ascii="Verdana" w:hAnsi="Verdana"/>
          <w:sz w:val="16"/>
          <w:szCs w:val="16"/>
          <w:lang w:val="es-ES_tradnl"/>
        </w:rPr>
        <w:t xml:space="preserve">29 de julio y 13 de agosto de 2015, de 20 de octubre de 2016 y de 3 de julio de 2017. </w:t>
      </w:r>
    </w:p>
  </w:footnote>
  <w:footnote w:id="14">
    <w:p w:rsidR="00A70CBB" w:rsidRPr="00933013" w:rsidRDefault="00A70CBB" w:rsidP="004121C6">
      <w:pPr>
        <w:tabs>
          <w:tab w:val="left" w:pos="426"/>
          <w:tab w:val="left" w:pos="567"/>
        </w:tabs>
        <w:autoSpaceDE w:val="0"/>
        <w:autoSpaceDN w:val="0"/>
        <w:adjustRightInd w:val="0"/>
        <w:spacing w:after="0" w:line="240" w:lineRule="auto"/>
        <w:jc w:val="both"/>
        <w:rPr>
          <w:rFonts w:ascii="Verdana" w:hAnsi="Verdana"/>
          <w:b/>
          <w:sz w:val="16"/>
          <w:szCs w:val="16"/>
          <w:lang w:val="es-CR"/>
        </w:rPr>
      </w:pPr>
      <w:r w:rsidRPr="00903DE2">
        <w:rPr>
          <w:rStyle w:val="Refdenotaalpie"/>
          <w:rFonts w:ascii="Verdana" w:hAnsi="Verdana"/>
          <w:sz w:val="16"/>
          <w:szCs w:val="16"/>
        </w:rPr>
        <w:footnoteRef/>
      </w:r>
      <w:r w:rsidRPr="00903DE2">
        <w:rPr>
          <w:rFonts w:ascii="Verdana" w:hAnsi="Verdana"/>
          <w:sz w:val="16"/>
          <w:szCs w:val="16"/>
          <w:lang w:val="es-CR"/>
        </w:rPr>
        <w:t xml:space="preserve"> </w:t>
      </w:r>
      <w:r w:rsidRPr="00903DE2">
        <w:rPr>
          <w:rFonts w:ascii="Verdana" w:hAnsi="Verdana"/>
          <w:sz w:val="16"/>
          <w:szCs w:val="16"/>
          <w:lang w:val="es-CR"/>
        </w:rPr>
        <w:tab/>
      </w:r>
      <w:r w:rsidR="00B66232" w:rsidRPr="00903DE2">
        <w:rPr>
          <w:rFonts w:ascii="Verdana" w:hAnsi="Verdana"/>
          <w:sz w:val="16"/>
          <w:szCs w:val="16"/>
          <w:lang w:val="es-CR"/>
        </w:rPr>
        <w:t xml:space="preserve">Escritos de 30 de septiembre y 1 de diciembre de 2014, de 29 de enero, dos escritos de 8 de septiembre, 16 de </w:t>
      </w:r>
      <w:proofErr w:type="gramStart"/>
      <w:r w:rsidR="00B66232" w:rsidRPr="00903DE2">
        <w:rPr>
          <w:rFonts w:ascii="Verdana" w:hAnsi="Verdana"/>
          <w:sz w:val="16"/>
          <w:szCs w:val="16"/>
          <w:lang w:val="es-CR"/>
        </w:rPr>
        <w:t>septiembre,  dos</w:t>
      </w:r>
      <w:proofErr w:type="gramEnd"/>
      <w:r w:rsidR="00B66232" w:rsidRPr="00903DE2">
        <w:rPr>
          <w:rFonts w:ascii="Verdana" w:hAnsi="Verdana"/>
          <w:sz w:val="16"/>
          <w:szCs w:val="16"/>
          <w:lang w:val="es-CR"/>
        </w:rPr>
        <w:t xml:space="preserve"> escritos de 26 octubre y de 30 de octubre de 2015, de 14 de abril, 28 de noviembre, 6 de diciembre y tres escritos de 8 de diciembre de 2016, de 22 y 28 de marzo, 20 de abril, 17 y 18 de agosto y de 13 de noviembre de 2017, y de 22 de marzo y 11 de julio de 2018.</w:t>
      </w:r>
    </w:p>
  </w:footnote>
  <w:footnote w:id="15">
    <w:p w:rsidR="00A70CBB" w:rsidRPr="00933013" w:rsidRDefault="00A70CBB" w:rsidP="004121C6">
      <w:pPr>
        <w:pStyle w:val="Textonotapie"/>
        <w:tabs>
          <w:tab w:val="left" w:pos="426"/>
          <w:tab w:val="left"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En la etapa de fondo del caso los representantes de las ocho víctimas no llegaron a un acuerdo sobre la designación de un interviniente común, por lo cual</w:t>
      </w:r>
      <w:r>
        <w:rPr>
          <w:rFonts w:ascii="Verdana" w:hAnsi="Verdana"/>
          <w:sz w:val="16"/>
          <w:szCs w:val="16"/>
          <w:lang w:val="es-CR"/>
        </w:rPr>
        <w:t>,</w:t>
      </w:r>
      <w:r w:rsidRPr="00933013">
        <w:rPr>
          <w:rFonts w:ascii="Verdana" w:hAnsi="Verdana"/>
          <w:sz w:val="16"/>
          <w:szCs w:val="16"/>
          <w:lang w:val="es-CR"/>
        </w:rPr>
        <w:t xml:space="preserve"> la Corte autorizó la designación de más de un interviniente común, en aplicación del artículo 25.2 de su Reglamento. Los representantes comunicaron que CEJIL y la FIDH actuarían como intervinientes comunes en representación de todas las víctimas. Durante la etapa de supervisión de cumplimiento, CEJIL y la FIDH continúan siendo intervinientes comunes de los representantes de las víctimas, con lo cual les ha correspondido facilitar a los demás representantes de las víctimas la información sobre el estado del proceso ante la Corte</w:t>
      </w:r>
      <w:r>
        <w:rPr>
          <w:rFonts w:ascii="Verdana" w:hAnsi="Verdana"/>
          <w:sz w:val="16"/>
          <w:szCs w:val="16"/>
          <w:lang w:val="es-CR"/>
        </w:rPr>
        <w:t>, así como</w:t>
      </w:r>
      <w:r w:rsidRPr="00933013">
        <w:rPr>
          <w:rFonts w:ascii="Verdana" w:hAnsi="Verdana"/>
          <w:sz w:val="16"/>
          <w:szCs w:val="16"/>
          <w:lang w:val="es-CR"/>
        </w:rPr>
        <w:t xml:space="preserve"> recibir y canalizar las observaciones y solicitudes que quieran hacer llegar al Tribunal. Con base en la información recibida durante </w:t>
      </w:r>
      <w:r>
        <w:rPr>
          <w:rFonts w:ascii="Verdana" w:hAnsi="Verdana"/>
          <w:sz w:val="16"/>
          <w:szCs w:val="16"/>
          <w:lang w:val="es-CR"/>
        </w:rPr>
        <w:t>la</w:t>
      </w:r>
      <w:r w:rsidRPr="00933013">
        <w:rPr>
          <w:rFonts w:ascii="Verdana" w:hAnsi="Verdana"/>
          <w:sz w:val="16"/>
          <w:szCs w:val="16"/>
          <w:lang w:val="es-CR"/>
        </w:rPr>
        <w:t xml:space="preserve"> etapa de supervisión de cumplimiento</w:t>
      </w:r>
      <w:r>
        <w:rPr>
          <w:rFonts w:ascii="Verdana" w:hAnsi="Verdana"/>
          <w:sz w:val="16"/>
          <w:szCs w:val="16"/>
          <w:lang w:val="es-CR"/>
        </w:rPr>
        <w:t>,</w:t>
      </w:r>
      <w:r w:rsidRPr="00933013">
        <w:rPr>
          <w:rFonts w:ascii="Verdana" w:hAnsi="Verdana"/>
          <w:sz w:val="16"/>
          <w:szCs w:val="16"/>
          <w:lang w:val="es-CR"/>
        </w:rPr>
        <w:t xml:space="preserve"> se hace constar que la situación de representación legal de las víctimas es la siguiente: i) CEJIL representa a una víctima, el señor Víctor Ancalaf L</w:t>
      </w:r>
      <w:r>
        <w:rPr>
          <w:rFonts w:ascii="Verdana" w:hAnsi="Verdana"/>
          <w:sz w:val="16"/>
          <w:szCs w:val="16"/>
          <w:lang w:val="es-CR"/>
        </w:rPr>
        <w:t>l</w:t>
      </w:r>
      <w:r w:rsidRPr="00933013">
        <w:rPr>
          <w:rFonts w:ascii="Verdana" w:hAnsi="Verdana"/>
          <w:sz w:val="16"/>
          <w:szCs w:val="16"/>
          <w:lang w:val="es-CR"/>
        </w:rPr>
        <w:t>aupe, ii) la FIDH representa a</w:t>
      </w:r>
      <w:r>
        <w:rPr>
          <w:rFonts w:ascii="Verdana" w:hAnsi="Verdana"/>
          <w:sz w:val="16"/>
          <w:szCs w:val="16"/>
          <w:lang w:val="es-CR"/>
        </w:rPr>
        <w:t>l señor</w:t>
      </w:r>
      <w:r w:rsidRPr="00933013">
        <w:rPr>
          <w:rFonts w:ascii="Verdana" w:hAnsi="Verdana"/>
          <w:sz w:val="16"/>
          <w:szCs w:val="16"/>
          <w:lang w:val="es-CR"/>
        </w:rPr>
        <w:t xml:space="preserve"> Juan Segundo Pichún Collonao, hijo de la víctima fallecida Pascual Pichún Paillalao, según el poder de representación que fue aportado, y no consta que algún otro derechohabiente de la referida víctima haya aportado su consentimiento expreso de ser representado por la FIDH, iii) la señora Myriam Reyes García representa a cuatro víctimas: Juan Patricio Marileo Saravia, Jaime Marileo Saravia, Juan Ciriaco Millacheo Licán y José Benicio Huenchunao Mariñán, iv) los señores Natividad Llanquileo Pilquimán, Sergio Eduardo Millamán Manríquez y la señora Patricia Soraya Lienlaf Osses representan a una víctima</w:t>
      </w:r>
      <w:r>
        <w:rPr>
          <w:rFonts w:ascii="Verdana" w:hAnsi="Verdana"/>
          <w:sz w:val="16"/>
          <w:szCs w:val="16"/>
          <w:lang w:val="es-CR"/>
        </w:rPr>
        <w:t>, el señor</w:t>
      </w:r>
      <w:r w:rsidRPr="00933013">
        <w:rPr>
          <w:rFonts w:ascii="Verdana" w:hAnsi="Verdana"/>
          <w:sz w:val="16"/>
          <w:szCs w:val="16"/>
          <w:lang w:val="es-CR"/>
        </w:rPr>
        <w:t xml:space="preserve"> Segundo Aniceto Norín Catrimán y v) la víctima Patricia Troncoso indicó que “no tiene representante legal” por lo que se ha estado representando a sí misma. </w:t>
      </w:r>
    </w:p>
  </w:footnote>
  <w:footnote w:id="16">
    <w:p w:rsidR="00A70CBB" w:rsidRPr="00933013" w:rsidRDefault="00A70CBB" w:rsidP="004121C6">
      <w:pPr>
        <w:pStyle w:val="Listavistosa-nfasis1"/>
        <w:tabs>
          <w:tab w:val="left" w:pos="426"/>
        </w:tabs>
        <w:spacing w:after="0" w:line="240" w:lineRule="auto"/>
        <w:ind w:left="0"/>
        <w:contextualSpacing w:val="0"/>
        <w:jc w:val="both"/>
        <w:rPr>
          <w:rFonts w:ascii="Verdana" w:hAnsi="Verdana"/>
          <w:color w:val="000000"/>
          <w:sz w:val="16"/>
          <w:szCs w:val="16"/>
          <w:shd w:val="clear" w:color="auto" w:fill="FFFFFF"/>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Escritos de 6 de noviembre de 2015</w:t>
      </w:r>
      <w:r w:rsidRPr="00903DE2">
        <w:rPr>
          <w:rFonts w:ascii="Verdana" w:hAnsi="Verdana"/>
          <w:sz w:val="16"/>
          <w:szCs w:val="16"/>
          <w:lang w:val="es-CR"/>
        </w:rPr>
        <w:t>,</w:t>
      </w:r>
      <w:r w:rsidRPr="00933013">
        <w:rPr>
          <w:rFonts w:ascii="Verdana" w:hAnsi="Verdana"/>
          <w:sz w:val="16"/>
          <w:szCs w:val="16"/>
          <w:lang w:val="es-CR"/>
        </w:rPr>
        <w:t xml:space="preserve"> </w:t>
      </w:r>
      <w:r>
        <w:rPr>
          <w:rFonts w:ascii="Verdana" w:hAnsi="Verdana"/>
          <w:sz w:val="16"/>
          <w:szCs w:val="16"/>
          <w:lang w:val="es-CR"/>
        </w:rPr>
        <w:t>y de</w:t>
      </w:r>
      <w:r w:rsidRPr="00933013">
        <w:rPr>
          <w:rFonts w:ascii="Verdana" w:hAnsi="Verdana"/>
          <w:sz w:val="16"/>
          <w:szCs w:val="16"/>
          <w:lang w:val="es-CR"/>
        </w:rPr>
        <w:t xml:space="preserve"> 27 de enero y 26 de diciembre de 2017.</w:t>
      </w:r>
    </w:p>
  </w:footnote>
  <w:footnote w:id="17">
    <w:p w:rsidR="00A70CBB" w:rsidRPr="00933013" w:rsidRDefault="00A70CBB" w:rsidP="004121C6">
      <w:pPr>
        <w:pStyle w:val="Textonotapie"/>
        <w:tabs>
          <w:tab w:val="left" w:pos="426"/>
          <w:tab w:val="left"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Facultad que además </w:t>
      </w:r>
      <w:r w:rsidRPr="00933013">
        <w:rPr>
          <w:rFonts w:ascii="Verdana" w:hAnsi="Verdana"/>
          <w:sz w:val="16"/>
          <w:szCs w:val="16"/>
          <w:lang w:val="es-ES"/>
        </w:rPr>
        <w:t xml:space="preserve">se desprende de lo dispuesto en los artículos 33, 62.1, 62.3 y 65 de la Convención Americana y </w:t>
      </w:r>
      <w:r w:rsidRPr="00933013">
        <w:rPr>
          <w:rFonts w:ascii="Verdana" w:hAnsi="Verdana"/>
          <w:sz w:val="16"/>
          <w:szCs w:val="16"/>
          <w:lang w:val="es-CR"/>
        </w:rPr>
        <w:t>30 de su Estatuto y se encuentra regulada en el artículo 69 de su Reglamento.</w:t>
      </w:r>
    </w:p>
  </w:footnote>
  <w:footnote w:id="18">
    <w:p w:rsidR="00A70CBB" w:rsidRPr="00933013" w:rsidRDefault="00A70CBB" w:rsidP="004121C6">
      <w:pPr>
        <w:pStyle w:val="Textonotapie"/>
        <w:tabs>
          <w:tab w:val="left" w:pos="426"/>
          <w:tab w:val="left" w:pos="567"/>
          <w:tab w:val="left" w:pos="709"/>
          <w:tab w:val="left" w:pos="851"/>
        </w:tabs>
        <w:ind w:right="4"/>
        <w:jc w:val="both"/>
        <w:rPr>
          <w:rFonts w:ascii="Verdana" w:hAnsi="Verdana"/>
          <w:b/>
          <w:color w:val="000000"/>
          <w:sz w:val="16"/>
          <w:szCs w:val="16"/>
          <w:lang w:val="es-CR"/>
        </w:rPr>
      </w:pPr>
      <w:r w:rsidRPr="00933013">
        <w:rPr>
          <w:rStyle w:val="Refdenotaalpie"/>
          <w:rFonts w:ascii="Verdana" w:hAnsi="Verdana"/>
          <w:sz w:val="16"/>
          <w:szCs w:val="16"/>
        </w:rPr>
        <w:footnoteRef/>
      </w:r>
      <w:r w:rsidRPr="00933013">
        <w:rPr>
          <w:rFonts w:ascii="Verdana" w:hAnsi="Verdana"/>
          <w:i/>
          <w:color w:val="000000"/>
          <w:sz w:val="16"/>
          <w:szCs w:val="16"/>
          <w:lang w:val="es-AR"/>
        </w:rPr>
        <w:t xml:space="preserve"> </w:t>
      </w:r>
      <w:r w:rsidRPr="00933013">
        <w:rPr>
          <w:rFonts w:ascii="Verdana" w:hAnsi="Verdana"/>
          <w:i/>
          <w:color w:val="000000"/>
          <w:sz w:val="16"/>
          <w:szCs w:val="16"/>
          <w:lang w:val="es-AR"/>
        </w:rPr>
        <w:tab/>
        <w:t>Cfr. Caso Cinco Pensionistas Vs. Perú, Supervisión de Cumplimiento de Sentencia,</w:t>
      </w:r>
      <w:r w:rsidRPr="00933013">
        <w:rPr>
          <w:rFonts w:ascii="Verdana" w:hAnsi="Verdana"/>
          <w:color w:val="000000"/>
          <w:sz w:val="16"/>
          <w:szCs w:val="16"/>
          <w:lang w:val="es-AR"/>
        </w:rPr>
        <w:t xml:space="preserve"> Resolución de la Corte Interamericana de Derechos Humanos de 17 de noviembre de 2004, Considerando quinto, y </w:t>
      </w:r>
      <w:r w:rsidRPr="00933013">
        <w:rPr>
          <w:rStyle w:val="Textoennegrita"/>
          <w:rFonts w:ascii="Verdana" w:hAnsi="Verdana"/>
          <w:b w:val="0"/>
          <w:i/>
          <w:color w:val="000000"/>
          <w:sz w:val="16"/>
          <w:szCs w:val="16"/>
          <w:shd w:val="clear" w:color="auto" w:fill="FFFFFF"/>
          <w:lang w:val="es-CR"/>
        </w:rPr>
        <w:t xml:space="preserve">Caso </w:t>
      </w:r>
      <w:r w:rsidRPr="00903DE2">
        <w:rPr>
          <w:rStyle w:val="Textoennegrita"/>
          <w:rFonts w:ascii="Verdana" w:hAnsi="Verdana"/>
          <w:b w:val="0"/>
          <w:i/>
          <w:color w:val="000000"/>
          <w:sz w:val="16"/>
          <w:szCs w:val="16"/>
          <w:shd w:val="clear" w:color="auto" w:fill="FFFFFF"/>
          <w:lang w:val="es-CR"/>
        </w:rPr>
        <w:t>del Pueblo Saramaka Vs. Surinam.</w:t>
      </w:r>
      <w:r w:rsidRPr="00857630">
        <w:rPr>
          <w:rStyle w:val="Textoennegrita"/>
          <w:rFonts w:ascii="Verdana" w:hAnsi="Verdana"/>
          <w:b w:val="0"/>
          <w:i/>
          <w:color w:val="000000"/>
          <w:sz w:val="16"/>
          <w:szCs w:val="16"/>
          <w:shd w:val="clear" w:color="auto" w:fill="FFFFFF"/>
          <w:lang w:val="es-CR"/>
        </w:rPr>
        <w:t xml:space="preserve"> </w:t>
      </w:r>
      <w:r w:rsidRPr="00933013">
        <w:rPr>
          <w:rStyle w:val="Textoennegrita"/>
          <w:rFonts w:ascii="Verdana" w:hAnsi="Verdana"/>
          <w:b w:val="0"/>
          <w:i/>
          <w:color w:val="000000"/>
          <w:sz w:val="16"/>
          <w:szCs w:val="16"/>
          <w:shd w:val="clear" w:color="auto" w:fill="FFFFFF"/>
          <w:lang w:val="es-CR"/>
        </w:rPr>
        <w:t xml:space="preserve">Supervisión de Cumplimiento de Sentencia, </w:t>
      </w:r>
      <w:r w:rsidRPr="00933013">
        <w:rPr>
          <w:rStyle w:val="Textoennegrita"/>
          <w:rFonts w:ascii="Verdana" w:hAnsi="Verdana"/>
          <w:b w:val="0"/>
          <w:color w:val="000000"/>
          <w:sz w:val="16"/>
          <w:szCs w:val="16"/>
          <w:shd w:val="clear" w:color="auto" w:fill="FFFFFF"/>
          <w:lang w:val="es-CR"/>
        </w:rPr>
        <w:t xml:space="preserve">Resolución de la Corte Interamericana de Derechos Humanos de </w:t>
      </w:r>
      <w:r>
        <w:rPr>
          <w:rStyle w:val="Textoennegrita"/>
          <w:rFonts w:ascii="Verdana" w:hAnsi="Verdana"/>
          <w:b w:val="0"/>
          <w:color w:val="000000"/>
          <w:sz w:val="16"/>
          <w:szCs w:val="16"/>
          <w:shd w:val="clear" w:color="auto" w:fill="FFFFFF"/>
          <w:lang w:val="es-CR"/>
        </w:rPr>
        <w:t>26</w:t>
      </w:r>
      <w:r w:rsidRPr="00933013">
        <w:rPr>
          <w:rStyle w:val="Textoennegrita"/>
          <w:rFonts w:ascii="Verdana" w:hAnsi="Verdana"/>
          <w:b w:val="0"/>
          <w:color w:val="000000"/>
          <w:sz w:val="16"/>
          <w:szCs w:val="16"/>
          <w:shd w:val="clear" w:color="auto" w:fill="FFFFFF"/>
          <w:lang w:val="es-CR"/>
        </w:rPr>
        <w:t xml:space="preserve"> de </w:t>
      </w:r>
      <w:r>
        <w:rPr>
          <w:rStyle w:val="Textoennegrita"/>
          <w:rFonts w:ascii="Verdana" w:hAnsi="Verdana"/>
          <w:b w:val="0"/>
          <w:color w:val="000000"/>
          <w:sz w:val="16"/>
          <w:szCs w:val="16"/>
          <w:shd w:val="clear" w:color="auto" w:fill="FFFFFF"/>
          <w:lang w:val="es-CR"/>
        </w:rPr>
        <w:t>septiembre</w:t>
      </w:r>
      <w:r w:rsidRPr="00933013">
        <w:rPr>
          <w:rStyle w:val="Textoennegrita"/>
          <w:rFonts w:ascii="Verdana" w:hAnsi="Verdana"/>
          <w:b w:val="0"/>
          <w:color w:val="000000"/>
          <w:sz w:val="16"/>
          <w:szCs w:val="16"/>
          <w:shd w:val="clear" w:color="auto" w:fill="FFFFFF"/>
          <w:lang w:val="es-CR"/>
        </w:rPr>
        <w:t xml:space="preserve"> de 201</w:t>
      </w:r>
      <w:r>
        <w:rPr>
          <w:rStyle w:val="Textoennegrita"/>
          <w:rFonts w:ascii="Verdana" w:hAnsi="Verdana"/>
          <w:b w:val="0"/>
          <w:color w:val="000000"/>
          <w:sz w:val="16"/>
          <w:szCs w:val="16"/>
          <w:shd w:val="clear" w:color="auto" w:fill="FFFFFF"/>
          <w:lang w:val="es-CR"/>
        </w:rPr>
        <w:t>8</w:t>
      </w:r>
      <w:r w:rsidRPr="00933013">
        <w:rPr>
          <w:rStyle w:val="Textoennegrita"/>
          <w:rFonts w:ascii="Verdana" w:hAnsi="Verdana"/>
          <w:b w:val="0"/>
          <w:color w:val="000000"/>
          <w:sz w:val="16"/>
          <w:szCs w:val="16"/>
          <w:shd w:val="clear" w:color="auto" w:fill="FFFFFF"/>
          <w:lang w:val="es-CR"/>
        </w:rPr>
        <w:t>, Considerando segundo.</w:t>
      </w:r>
    </w:p>
  </w:footnote>
  <w:footnote w:id="19">
    <w:p w:rsidR="00A70CBB" w:rsidRPr="00933013" w:rsidRDefault="00A70CBB" w:rsidP="004121C6">
      <w:pPr>
        <w:tabs>
          <w:tab w:val="left" w:pos="426"/>
          <w:tab w:val="left" w:pos="567"/>
          <w:tab w:val="left" w:pos="709"/>
          <w:tab w:val="left" w:pos="851"/>
        </w:tabs>
        <w:autoSpaceDE w:val="0"/>
        <w:autoSpaceDN w:val="0"/>
        <w:adjustRightInd w:val="0"/>
        <w:spacing w:after="0" w:line="240" w:lineRule="auto"/>
        <w:jc w:val="both"/>
        <w:rPr>
          <w:rFonts w:ascii="Verdana" w:hAnsi="Verdana"/>
          <w:b/>
          <w:color w:val="000000"/>
          <w:sz w:val="16"/>
          <w:szCs w:val="16"/>
          <w:lang w:val="es-AR"/>
        </w:rPr>
      </w:pPr>
      <w:r w:rsidRPr="00933013">
        <w:rPr>
          <w:rStyle w:val="Refdenotaalpie"/>
          <w:rFonts w:ascii="Verdana" w:hAnsi="Verdana"/>
          <w:sz w:val="16"/>
          <w:szCs w:val="16"/>
        </w:rPr>
        <w:footnoteRef/>
      </w:r>
      <w:r w:rsidRPr="00933013">
        <w:rPr>
          <w:rFonts w:ascii="Verdana" w:hAnsi="Verdana"/>
          <w:sz w:val="16"/>
          <w:szCs w:val="16"/>
          <w:lang w:val="de-DE"/>
        </w:rPr>
        <w:t xml:space="preserve"> </w:t>
      </w:r>
      <w:r w:rsidRPr="00933013">
        <w:rPr>
          <w:rFonts w:ascii="Verdana" w:hAnsi="Verdana"/>
          <w:sz w:val="16"/>
          <w:szCs w:val="16"/>
          <w:lang w:val="de-DE"/>
        </w:rPr>
        <w:tab/>
      </w:r>
      <w:r w:rsidRPr="00933013">
        <w:rPr>
          <w:rFonts w:ascii="Verdana" w:hAnsi="Verdana"/>
          <w:i/>
          <w:noProof/>
          <w:sz w:val="16"/>
          <w:szCs w:val="16"/>
          <w:lang w:val="de-DE"/>
        </w:rPr>
        <w:t xml:space="preserve">Cfr. Caso Ivcher Bronstein Vs. </w:t>
      </w:r>
      <w:r w:rsidRPr="00933013">
        <w:rPr>
          <w:rFonts w:ascii="Verdana" w:hAnsi="Verdana"/>
          <w:i/>
          <w:noProof/>
          <w:sz w:val="16"/>
          <w:szCs w:val="16"/>
          <w:lang w:val="es-ES"/>
        </w:rPr>
        <w:t>Perú. Competencia.</w:t>
      </w:r>
      <w:r w:rsidRPr="00933013">
        <w:rPr>
          <w:rFonts w:ascii="Verdana" w:hAnsi="Verdana"/>
          <w:noProof/>
          <w:sz w:val="16"/>
          <w:szCs w:val="16"/>
          <w:lang w:val="es-ES"/>
        </w:rPr>
        <w:t xml:space="preserve"> Sentencia de de la Corte Interamericana de Derechos Humanos de 24 de septiembre de 1999.</w:t>
      </w:r>
      <w:r w:rsidRPr="00933013">
        <w:rPr>
          <w:rFonts w:ascii="Verdana" w:hAnsi="Verdana"/>
          <w:sz w:val="16"/>
          <w:szCs w:val="16"/>
          <w:lang w:val="es-ES"/>
        </w:rPr>
        <w:t xml:space="preserve"> </w:t>
      </w:r>
      <w:r w:rsidRPr="00933013">
        <w:rPr>
          <w:rFonts w:ascii="Verdana" w:hAnsi="Verdana"/>
          <w:noProof/>
          <w:sz w:val="16"/>
          <w:szCs w:val="16"/>
          <w:lang w:val="es-ES"/>
        </w:rPr>
        <w:t xml:space="preserve">Serie C No. 54, párr. 37, </w:t>
      </w:r>
      <w:r w:rsidRPr="00933013">
        <w:rPr>
          <w:rFonts w:ascii="Verdana" w:hAnsi="Verdana"/>
          <w:bCs/>
          <w:sz w:val="16"/>
          <w:szCs w:val="16"/>
          <w:lang w:val="es-CR" w:bidi="en-US"/>
        </w:rPr>
        <w:t xml:space="preserve">y </w:t>
      </w:r>
      <w:r w:rsidRPr="00933013">
        <w:rPr>
          <w:rStyle w:val="Textoennegrita"/>
          <w:rFonts w:ascii="Verdana" w:hAnsi="Verdana"/>
          <w:b w:val="0"/>
          <w:i/>
          <w:sz w:val="16"/>
          <w:szCs w:val="16"/>
          <w:shd w:val="clear" w:color="auto" w:fill="FFFFFF"/>
          <w:lang w:val="es-CR"/>
        </w:rPr>
        <w:t xml:space="preserve">Caso </w:t>
      </w:r>
      <w:r>
        <w:rPr>
          <w:rStyle w:val="Textoennegrita"/>
          <w:rFonts w:ascii="Verdana" w:hAnsi="Verdana"/>
          <w:b w:val="0"/>
          <w:i/>
          <w:color w:val="000000"/>
          <w:sz w:val="16"/>
          <w:szCs w:val="16"/>
          <w:shd w:val="clear" w:color="auto" w:fill="FFFFFF"/>
          <w:lang w:val="es-CR"/>
        </w:rPr>
        <w:t>del Pueblo Saramaka Vs. Surinam</w:t>
      </w:r>
      <w:r w:rsidRPr="00903DE2">
        <w:rPr>
          <w:rStyle w:val="Textoennegrita"/>
          <w:rFonts w:ascii="Verdana" w:hAnsi="Verdana"/>
          <w:b w:val="0"/>
          <w:i/>
          <w:sz w:val="16"/>
          <w:szCs w:val="16"/>
          <w:shd w:val="clear" w:color="auto" w:fill="FFFFFF"/>
          <w:lang w:val="es-CR"/>
        </w:rPr>
        <w:t>, supra</w:t>
      </w:r>
      <w:r>
        <w:rPr>
          <w:rStyle w:val="Textoennegrita"/>
          <w:rFonts w:ascii="Verdana" w:hAnsi="Verdana"/>
          <w:b w:val="0"/>
          <w:sz w:val="16"/>
          <w:szCs w:val="16"/>
          <w:shd w:val="clear" w:color="auto" w:fill="FFFFFF"/>
          <w:lang w:val="es-CR"/>
        </w:rPr>
        <w:t xml:space="preserve"> nota 18</w:t>
      </w:r>
      <w:r w:rsidRPr="00903DE2">
        <w:rPr>
          <w:rStyle w:val="Textoennegrita"/>
          <w:rFonts w:ascii="Verdana" w:hAnsi="Verdana"/>
          <w:b w:val="0"/>
          <w:i/>
          <w:sz w:val="16"/>
          <w:szCs w:val="16"/>
          <w:shd w:val="clear" w:color="auto" w:fill="FFFFFF"/>
          <w:lang w:val="es-CR"/>
        </w:rPr>
        <w:t>,</w:t>
      </w:r>
      <w:r w:rsidRPr="00903DE2">
        <w:rPr>
          <w:rStyle w:val="Textoennegrita"/>
          <w:rFonts w:ascii="Verdana" w:hAnsi="Verdana"/>
          <w:b w:val="0"/>
          <w:sz w:val="16"/>
          <w:szCs w:val="16"/>
          <w:shd w:val="clear" w:color="auto" w:fill="FFFFFF"/>
          <w:lang w:val="es-CR"/>
        </w:rPr>
        <w:t xml:space="preserve"> </w:t>
      </w:r>
      <w:r w:rsidRPr="00933013">
        <w:rPr>
          <w:rFonts w:ascii="Verdana" w:hAnsi="Verdana"/>
          <w:bCs/>
          <w:sz w:val="16"/>
          <w:szCs w:val="16"/>
          <w:lang w:val="es-AR"/>
        </w:rPr>
        <w:t>Considerando segundo.</w:t>
      </w:r>
    </w:p>
  </w:footnote>
  <w:footnote w:id="20">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sz w:val="16"/>
          <w:szCs w:val="16"/>
          <w:lang w:val="es-CR"/>
        </w:rPr>
        <w:t>Cfr</w:t>
      </w:r>
      <w:r w:rsidRPr="00933013">
        <w:rPr>
          <w:rFonts w:ascii="Verdana" w:hAnsi="Verdana"/>
          <w:sz w:val="16"/>
          <w:szCs w:val="16"/>
          <w:lang w:val="es-CR"/>
        </w:rPr>
        <w:t xml:space="preserve">. </w:t>
      </w:r>
      <w:r w:rsidRPr="00933013">
        <w:rPr>
          <w:rStyle w:val="Textoennegrita"/>
          <w:rFonts w:ascii="Verdana" w:hAnsi="Verdana"/>
          <w:b w:val="0"/>
          <w:i/>
          <w:sz w:val="16"/>
          <w:szCs w:val="16"/>
          <w:shd w:val="clear" w:color="auto" w:fill="FFFFFF"/>
          <w:lang w:val="es-CR"/>
        </w:rPr>
        <w:t xml:space="preserve">Caso Norín Catrimán y otros, supra </w:t>
      </w:r>
      <w:r w:rsidRPr="00933013">
        <w:rPr>
          <w:rStyle w:val="Textoennegrita"/>
          <w:rFonts w:ascii="Verdana" w:hAnsi="Verdana"/>
          <w:b w:val="0"/>
          <w:sz w:val="16"/>
          <w:szCs w:val="16"/>
          <w:shd w:val="clear" w:color="auto" w:fill="FFFFFF"/>
          <w:lang w:val="es-CR"/>
        </w:rPr>
        <w:t>nota 1, párrs. 168 a 177, 223 a 228 y 230, 248 a 259, 274 a 291, 374, 383 y 421.</w:t>
      </w:r>
    </w:p>
  </w:footnote>
  <w:footnote w:id="21">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Sostuvo que “[n]o ha recibido […] resolución alguna que señal[e] que la sentencia que declara a las víctimas como condenados por Ley 18.314, que determina las conductas terroristas y fija su penalidad, haya quedado sin efecto, mediante algún mecanismo que así lo explicite”.</w:t>
      </w:r>
    </w:p>
  </w:footnote>
  <w:footnote w:id="22">
    <w:p w:rsidR="00A70CBB" w:rsidRPr="00933013" w:rsidRDefault="00A70CBB" w:rsidP="00A00468">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Con respecto a su representado, el señor Norín Catrimán, afirmaron que “[e]n el sistema computacional del Poder Judicial chileno, sigue figurando en la causa RIT 2-2003 del TOP de Angol, [su] representado como denunciado, constando aún la sentencia condenatoria en estado de sentencia firme y ejecutoriada”, y consideraron que “dicho expediente judicial debiera ser eliminado, junto con toda referencia a la imputabilidad de las víctimas, constando solamente en ese expediente judicial la sentencia </w:t>
      </w:r>
      <w:r>
        <w:rPr>
          <w:rFonts w:ascii="Verdana" w:hAnsi="Verdana"/>
          <w:sz w:val="16"/>
          <w:szCs w:val="16"/>
          <w:lang w:val="es-CR"/>
        </w:rPr>
        <w:t xml:space="preserve">[…] </w:t>
      </w:r>
      <w:r w:rsidRPr="00933013">
        <w:rPr>
          <w:rFonts w:ascii="Verdana" w:hAnsi="Verdana"/>
          <w:sz w:val="16"/>
          <w:szCs w:val="16"/>
          <w:lang w:val="es-CR"/>
        </w:rPr>
        <w:t>emitida por la Corte Interamericana”.</w:t>
      </w:r>
    </w:p>
  </w:footnote>
  <w:footnote w:id="23">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noProof/>
          <w:sz w:val="16"/>
          <w:szCs w:val="16"/>
          <w:lang w:val="de-DE"/>
        </w:rPr>
        <w:t>Cfr.</w:t>
      </w:r>
      <w:r w:rsidRPr="00933013">
        <w:rPr>
          <w:rFonts w:ascii="Verdana" w:hAnsi="Verdana"/>
          <w:noProof/>
          <w:sz w:val="16"/>
          <w:szCs w:val="16"/>
          <w:lang w:val="de-DE"/>
        </w:rPr>
        <w:t xml:space="preserve"> Oficio Ordinario No. 1261 de 20 de mayo de 2016 suscrito por la Directora del Servicio ELectoral (anexo 4 al informe estatal de octubre de 2016).</w:t>
      </w:r>
    </w:p>
  </w:footnote>
  <w:footnote w:id="24">
    <w:p w:rsidR="00A70CBB" w:rsidRPr="00933013" w:rsidRDefault="00A70CBB" w:rsidP="004121C6">
      <w:pPr>
        <w:pStyle w:val="Textonotapie"/>
        <w:tabs>
          <w:tab w:val="left" w:pos="426"/>
          <w:tab w:val="left" w:pos="567"/>
        </w:tabs>
        <w:jc w:val="both"/>
        <w:rPr>
          <w:rFonts w:ascii="Verdana" w:eastAsia="Times New Roman" w:hAnsi="Verdana"/>
          <w:sz w:val="16"/>
          <w:szCs w:val="16"/>
          <w:lang w:val="es-CR" w:eastAsia="es-ES"/>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sz w:val="16"/>
          <w:szCs w:val="16"/>
          <w:lang w:val="es-CR"/>
        </w:rPr>
        <w:t>Cfr.</w:t>
      </w:r>
      <w:r w:rsidRPr="00933013">
        <w:rPr>
          <w:rFonts w:ascii="Verdana" w:hAnsi="Verdana"/>
          <w:sz w:val="16"/>
          <w:szCs w:val="16"/>
          <w:lang w:val="es-CR"/>
        </w:rPr>
        <w:t xml:space="preserve"> </w:t>
      </w:r>
      <w:r w:rsidRPr="00933013">
        <w:rPr>
          <w:rFonts w:ascii="Verdana" w:eastAsia="Times New Roman" w:hAnsi="Verdana"/>
          <w:noProof/>
          <w:sz w:val="16"/>
          <w:szCs w:val="16"/>
          <w:lang w:val="de-DE" w:eastAsia="es-ES"/>
        </w:rPr>
        <w:t>Resolución N° 0043 de 21 de enero de 2015 de la Directora Nacional (TP) del Registro Civil e Identificación (anexo 1 al informe estatal de julio de 2015).</w:t>
      </w:r>
    </w:p>
  </w:footnote>
  <w:footnote w:id="25">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sz w:val="16"/>
          <w:szCs w:val="16"/>
          <w:lang w:val="es-CR"/>
        </w:rPr>
        <w:t>Cfr</w:t>
      </w:r>
      <w:r w:rsidRPr="00933013">
        <w:rPr>
          <w:rFonts w:ascii="Verdana" w:hAnsi="Verdana"/>
          <w:sz w:val="16"/>
          <w:szCs w:val="16"/>
          <w:lang w:val="es-CR"/>
        </w:rPr>
        <w:t>.</w:t>
      </w:r>
      <w:r w:rsidRPr="00903DE2">
        <w:rPr>
          <w:rFonts w:ascii="Verdana" w:hAnsi="Verdana"/>
          <w:sz w:val="16"/>
          <w:szCs w:val="16"/>
          <w:lang w:val="es-CR"/>
        </w:rPr>
        <w:t xml:space="preserve"> </w:t>
      </w:r>
      <w:r w:rsidRPr="00933013">
        <w:rPr>
          <w:rFonts w:ascii="Verdana" w:hAnsi="Verdana"/>
          <w:sz w:val="16"/>
          <w:szCs w:val="16"/>
          <w:lang w:val="es-CR"/>
        </w:rPr>
        <w:t>Sentencia de la Corre de Apelaciones de Temuco de 22 de marzo de 2017</w:t>
      </w:r>
      <w:r>
        <w:rPr>
          <w:rFonts w:ascii="Verdana" w:hAnsi="Verdana"/>
          <w:sz w:val="16"/>
          <w:szCs w:val="16"/>
          <w:lang w:val="es-CR"/>
        </w:rPr>
        <w:t>,</w:t>
      </w:r>
      <w:r w:rsidRPr="00933013">
        <w:rPr>
          <w:rFonts w:ascii="Verdana" w:hAnsi="Verdana"/>
          <w:sz w:val="16"/>
          <w:szCs w:val="16"/>
          <w:lang w:val="es-CR"/>
        </w:rPr>
        <w:t xml:space="preserve"> que resuelve una acción de amparo constitucional interpuesta por el Instituto Nacional de Derechos Humanos en contra de la Zona Araucanía Control de Orden Público por la detención del señor </w:t>
      </w:r>
      <w:r>
        <w:rPr>
          <w:rFonts w:ascii="Verdana" w:hAnsi="Verdana"/>
          <w:sz w:val="16"/>
          <w:szCs w:val="16"/>
          <w:lang w:val="es-CR"/>
        </w:rPr>
        <w:t xml:space="preserve">José Benicio </w:t>
      </w:r>
      <w:r w:rsidRPr="00933013">
        <w:rPr>
          <w:rFonts w:ascii="Verdana" w:hAnsi="Verdana"/>
          <w:sz w:val="16"/>
          <w:szCs w:val="16"/>
          <w:lang w:val="es-CR"/>
        </w:rPr>
        <w:t>Huenchunao Mariñán (anexo al informe estatal de julio de 2017).</w:t>
      </w:r>
      <w:r w:rsidRPr="00933013">
        <w:rPr>
          <w:rFonts w:ascii="Verdana" w:hAnsi="Verdana"/>
          <w:b/>
          <w:sz w:val="16"/>
          <w:szCs w:val="16"/>
          <w:lang w:val="es-CR"/>
        </w:rPr>
        <w:t xml:space="preserve"> </w:t>
      </w:r>
    </w:p>
  </w:footnote>
  <w:footnote w:id="26">
    <w:p w:rsidR="00A70CBB" w:rsidRPr="00933013" w:rsidRDefault="00A70CBB" w:rsidP="004121C6">
      <w:pPr>
        <w:tabs>
          <w:tab w:val="left" w:pos="426"/>
        </w:tabs>
        <w:spacing w:after="0" w:line="240" w:lineRule="auto"/>
        <w:jc w:val="both"/>
        <w:rPr>
          <w:rFonts w:ascii="Verdana" w:hAnsi="Verdana"/>
          <w:color w:val="0070C0"/>
          <w:sz w:val="16"/>
          <w:szCs w:val="16"/>
          <w:highlight w:val="yellow"/>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Sostuvo que con estos hechos “se verific[ó] una flagrante infracción a la medida de restitución [pues] se ha mantenido respecto de la víctima José Huenchunao Mariñán los registros, tanto judiciales como policiales en la causa [penal denominada Poluco Pidenco, tramitada en el Tribunal Oral en lo Penal de Angol]”. Agregó que estos hechos “son de extrema gravedad, ya que dan cuenta de la falta a la verdad con que el Gobierno de Chile ha informado a la […] Corte de las medidas adoptadas para el cumplimiento de las obligaciones derivadas de la condena que le fue impuesta[, ya que</w:t>
      </w:r>
      <w:r>
        <w:rPr>
          <w:rFonts w:ascii="Verdana" w:hAnsi="Verdana"/>
          <w:sz w:val="16"/>
          <w:szCs w:val="16"/>
          <w:lang w:val="es-CR"/>
        </w:rPr>
        <w:t xml:space="preserve"> de]</w:t>
      </w:r>
      <w:r w:rsidRPr="00933013">
        <w:rPr>
          <w:rFonts w:ascii="Verdana" w:hAnsi="Verdana"/>
          <w:sz w:val="16"/>
          <w:szCs w:val="16"/>
          <w:lang w:val="es-CR"/>
        </w:rPr>
        <w:t xml:space="preserve"> lo ocurrido </w:t>
      </w:r>
      <w:r>
        <w:rPr>
          <w:rFonts w:ascii="Verdana" w:hAnsi="Verdana"/>
          <w:sz w:val="16"/>
          <w:szCs w:val="16"/>
          <w:lang w:val="es-CR"/>
        </w:rPr>
        <w:t xml:space="preserve">se </w:t>
      </w:r>
      <w:r w:rsidRPr="00933013">
        <w:rPr>
          <w:rFonts w:ascii="Verdana" w:hAnsi="Verdana"/>
          <w:sz w:val="16"/>
          <w:szCs w:val="16"/>
          <w:lang w:val="es-CR"/>
        </w:rPr>
        <w:t>advierte que dichos registros han seguido vigentes tanto en el Tribunal Oral en lo Penal de Angol</w:t>
      </w:r>
      <w:r>
        <w:rPr>
          <w:rFonts w:ascii="Verdana" w:hAnsi="Verdana"/>
          <w:sz w:val="16"/>
          <w:szCs w:val="16"/>
          <w:lang w:val="es-CR"/>
        </w:rPr>
        <w:t>,</w:t>
      </w:r>
      <w:r w:rsidRPr="00933013">
        <w:rPr>
          <w:rFonts w:ascii="Verdana" w:hAnsi="Verdana"/>
          <w:sz w:val="16"/>
          <w:szCs w:val="16"/>
          <w:lang w:val="es-CR"/>
        </w:rPr>
        <w:t xml:space="preserve"> como en Carabineros de Chile, afectando no s</w:t>
      </w:r>
      <w:r>
        <w:rPr>
          <w:rFonts w:ascii="Verdana" w:hAnsi="Verdana"/>
          <w:sz w:val="16"/>
          <w:szCs w:val="16"/>
          <w:lang w:val="es-CR"/>
        </w:rPr>
        <w:t>o</w:t>
      </w:r>
      <w:r w:rsidRPr="00933013">
        <w:rPr>
          <w:rFonts w:ascii="Verdana" w:hAnsi="Verdana"/>
          <w:sz w:val="16"/>
          <w:szCs w:val="16"/>
          <w:lang w:val="es-CR"/>
        </w:rPr>
        <w:t>lo el cumplimiento de la sentencia, incumpliendo aquella, sino que afectando una vez más, de manera arbitraria e injusta la libertad personal de la víctima José Benicio Huenchunao Mariñán”.</w:t>
      </w:r>
    </w:p>
  </w:footnote>
  <w:footnote w:id="27">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Expresó que “es evidente que pese a las solicitudes de los representantes y la documentación presentada por el Estado [respecto a la eliminación de antecedentes], la orden de la Corte […] no ha sido cumplida a cabalidad. De otro modo no se entiende que Huenchunao haya sido revictimizado y privado de su libertad al amparo de una ‘orden de detención’ que debió haber perdido todos sus efectos si el Estado –tal como pretendió hacer creer […]</w:t>
      </w:r>
      <w:r>
        <w:rPr>
          <w:rFonts w:ascii="Verdana" w:hAnsi="Verdana"/>
          <w:sz w:val="16"/>
          <w:szCs w:val="16"/>
          <w:lang w:val="es-CR"/>
        </w:rPr>
        <w:t>-</w:t>
      </w:r>
      <w:r w:rsidRPr="00933013">
        <w:rPr>
          <w:rFonts w:ascii="Verdana" w:hAnsi="Verdana"/>
          <w:sz w:val="16"/>
          <w:szCs w:val="16"/>
          <w:lang w:val="es-CR"/>
        </w:rPr>
        <w:t xml:space="preserve"> hubiera cumplido efectivamente lo ordenado por ella”.</w:t>
      </w:r>
    </w:p>
  </w:footnote>
  <w:footnote w:id="28">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sz w:val="16"/>
          <w:szCs w:val="16"/>
          <w:lang w:val="es-CR"/>
        </w:rPr>
        <w:t>Cfr.</w:t>
      </w:r>
      <w:r w:rsidRPr="00933013">
        <w:rPr>
          <w:rFonts w:ascii="Verdana" w:hAnsi="Verdana"/>
          <w:sz w:val="16"/>
          <w:szCs w:val="16"/>
          <w:lang w:val="es-CR"/>
        </w:rPr>
        <w:t xml:space="preserve"> Oficio N° 383 de la Corte Suprema de Justicia de 23 de junio de 2017 (anexo al informe estatal de julio de 2017). </w:t>
      </w:r>
    </w:p>
  </w:footnote>
  <w:footnote w:id="29">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sz w:val="16"/>
          <w:szCs w:val="16"/>
          <w:lang w:val="es-CR"/>
        </w:rPr>
        <w:t>Cfr.</w:t>
      </w:r>
      <w:r w:rsidRPr="00933013">
        <w:rPr>
          <w:rFonts w:ascii="Verdana" w:hAnsi="Verdana"/>
          <w:sz w:val="16"/>
          <w:szCs w:val="16"/>
          <w:lang w:val="es-CR"/>
        </w:rPr>
        <w:t xml:space="preserve"> Oficio N°</w:t>
      </w:r>
      <w:r>
        <w:rPr>
          <w:rFonts w:ascii="Verdana" w:hAnsi="Verdana"/>
          <w:sz w:val="16"/>
          <w:szCs w:val="16"/>
          <w:lang w:val="es-CR"/>
        </w:rPr>
        <w:t xml:space="preserve"> </w:t>
      </w:r>
      <w:r w:rsidRPr="00933013">
        <w:rPr>
          <w:rFonts w:ascii="Verdana" w:hAnsi="Verdana"/>
          <w:sz w:val="16"/>
          <w:szCs w:val="16"/>
          <w:lang w:val="es-CR"/>
        </w:rPr>
        <w:t>0477 del Director del Registro Civil e Identificación de 29 de junio de 2017 (anexo al informe estatal de julio de 2017).</w:t>
      </w:r>
    </w:p>
  </w:footnote>
  <w:footnote w:id="30">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Dicho tribunal interno sostuvo que </w:t>
      </w:r>
      <w:r w:rsidRPr="00933013">
        <w:rPr>
          <w:rFonts w:ascii="Verdana" w:hAnsi="Verdana"/>
          <w:sz w:val="16"/>
          <w:szCs w:val="16"/>
          <w:lang w:val="es-MX"/>
        </w:rPr>
        <w:t xml:space="preserve">“cualquier privación o amenaza a la libertad personal </w:t>
      </w:r>
      <w:proofErr w:type="gramStart"/>
      <w:r w:rsidRPr="00933013">
        <w:rPr>
          <w:rFonts w:ascii="Verdana" w:hAnsi="Verdana"/>
          <w:sz w:val="16"/>
          <w:szCs w:val="16"/>
          <w:lang w:val="es-MX"/>
        </w:rPr>
        <w:t>del recurrente practicada</w:t>
      </w:r>
      <w:proofErr w:type="gramEnd"/>
      <w:r w:rsidRPr="00933013">
        <w:rPr>
          <w:rFonts w:ascii="Verdana" w:hAnsi="Verdana"/>
          <w:sz w:val="16"/>
          <w:szCs w:val="16"/>
          <w:lang w:val="es-MX"/>
        </w:rPr>
        <w:t xml:space="preserve"> a consecuencia de la causa […] ‘Poluco Pidenco’ […] carece de fundamento legal y resulta arbitraria pues esta fue anulada en cumplimiento de la […] Sentencia de la Corte Interamericana”. </w:t>
      </w:r>
      <w:r w:rsidRPr="00933013">
        <w:rPr>
          <w:rFonts w:ascii="Verdana" w:hAnsi="Verdana"/>
          <w:i/>
          <w:sz w:val="16"/>
          <w:szCs w:val="16"/>
          <w:lang w:val="es-CR"/>
        </w:rPr>
        <w:t>Cfr</w:t>
      </w:r>
      <w:r w:rsidRPr="00933013">
        <w:rPr>
          <w:rFonts w:ascii="Verdana" w:hAnsi="Verdana"/>
          <w:sz w:val="16"/>
          <w:szCs w:val="16"/>
          <w:lang w:val="es-CR"/>
        </w:rPr>
        <w:t>.</w:t>
      </w:r>
      <w:r w:rsidRPr="00903DE2">
        <w:rPr>
          <w:rFonts w:ascii="Verdana" w:hAnsi="Verdana"/>
          <w:sz w:val="16"/>
          <w:szCs w:val="16"/>
          <w:lang w:val="es-CR"/>
        </w:rPr>
        <w:t xml:space="preserve"> </w:t>
      </w:r>
      <w:r w:rsidRPr="00933013">
        <w:rPr>
          <w:rFonts w:ascii="Verdana" w:hAnsi="Verdana"/>
          <w:sz w:val="16"/>
          <w:szCs w:val="16"/>
          <w:lang w:val="es-CR"/>
        </w:rPr>
        <w:t xml:space="preserve">Sentencia de la Corre de Apelaciones de Temuco de 22 de marzo de 2017, </w:t>
      </w:r>
      <w:r w:rsidRPr="00933013">
        <w:rPr>
          <w:rFonts w:ascii="Verdana" w:hAnsi="Verdana"/>
          <w:i/>
          <w:sz w:val="16"/>
          <w:szCs w:val="16"/>
          <w:lang w:val="es-CR"/>
        </w:rPr>
        <w:t>supra</w:t>
      </w:r>
      <w:r w:rsidRPr="00933013">
        <w:rPr>
          <w:rFonts w:ascii="Verdana" w:hAnsi="Verdana"/>
          <w:sz w:val="16"/>
          <w:szCs w:val="16"/>
          <w:lang w:val="es-CR"/>
        </w:rPr>
        <w:t xml:space="preserve"> nota </w:t>
      </w:r>
      <w:r>
        <w:rPr>
          <w:rFonts w:ascii="Verdana" w:hAnsi="Verdana"/>
          <w:sz w:val="16"/>
          <w:szCs w:val="16"/>
          <w:lang w:val="es-CR"/>
        </w:rPr>
        <w:t>25</w:t>
      </w:r>
      <w:r w:rsidRPr="00933013">
        <w:rPr>
          <w:rFonts w:ascii="Verdana" w:hAnsi="Verdana"/>
          <w:sz w:val="16"/>
          <w:szCs w:val="16"/>
          <w:lang w:val="es-CR"/>
        </w:rPr>
        <w:t xml:space="preserve">. </w:t>
      </w:r>
    </w:p>
  </w:footnote>
  <w:footnote w:id="31">
    <w:p w:rsidR="00A70CBB" w:rsidRPr="009B44ED" w:rsidRDefault="00A70CBB" w:rsidP="004121C6">
      <w:pPr>
        <w:pStyle w:val="Textonotapie"/>
        <w:tabs>
          <w:tab w:val="left" w:pos="426"/>
          <w:tab w:val="left" w:pos="567"/>
        </w:tabs>
        <w:jc w:val="both"/>
        <w:rPr>
          <w:rFonts w:ascii="Verdana" w:eastAsia="Times New Roman" w:hAnsi="Verdana"/>
          <w:sz w:val="16"/>
          <w:szCs w:val="16"/>
          <w:lang w:val="es-CR" w:eastAsia="es-ES"/>
        </w:rPr>
      </w:pPr>
      <w:r w:rsidRPr="009B44ED">
        <w:rPr>
          <w:rStyle w:val="Refdenotaalpie"/>
          <w:rFonts w:ascii="Verdana" w:hAnsi="Verdana"/>
          <w:sz w:val="16"/>
          <w:szCs w:val="16"/>
        </w:rPr>
        <w:footnoteRef/>
      </w:r>
      <w:r w:rsidRPr="009B44ED">
        <w:rPr>
          <w:rFonts w:ascii="Verdana" w:hAnsi="Verdana"/>
          <w:sz w:val="16"/>
          <w:szCs w:val="16"/>
          <w:lang w:val="es-CR"/>
        </w:rPr>
        <w:t xml:space="preserve"> </w:t>
      </w:r>
      <w:r w:rsidRPr="009B44ED">
        <w:rPr>
          <w:rFonts w:ascii="Verdana" w:hAnsi="Verdana"/>
          <w:sz w:val="16"/>
          <w:szCs w:val="16"/>
          <w:lang w:val="es-CR"/>
        </w:rPr>
        <w:tab/>
        <w:t xml:space="preserve">En Resolución del Registro Civil e Identificación se indicó que </w:t>
      </w:r>
      <w:r>
        <w:rPr>
          <w:rFonts w:ascii="Verdana" w:hAnsi="Verdana"/>
          <w:sz w:val="16"/>
          <w:szCs w:val="16"/>
          <w:lang w:val="es-CR"/>
        </w:rPr>
        <w:t>en</w:t>
      </w:r>
      <w:r w:rsidRPr="009B44ED">
        <w:rPr>
          <w:rFonts w:ascii="Verdana" w:hAnsi="Verdana"/>
          <w:sz w:val="16"/>
          <w:szCs w:val="16"/>
          <w:lang w:val="es-CR"/>
        </w:rPr>
        <w:t xml:space="preserve"> diciembre de 2014 </w:t>
      </w:r>
      <w:r>
        <w:rPr>
          <w:rFonts w:ascii="Verdana" w:hAnsi="Verdana"/>
          <w:sz w:val="16"/>
          <w:szCs w:val="16"/>
          <w:lang w:val="es-CR"/>
        </w:rPr>
        <w:t>“</w:t>
      </w:r>
      <w:r w:rsidRPr="009B44ED">
        <w:rPr>
          <w:rFonts w:ascii="Verdana" w:hAnsi="Verdana"/>
          <w:sz w:val="16"/>
          <w:szCs w:val="16"/>
          <w:lang w:val="es-CR"/>
        </w:rPr>
        <w:t xml:space="preserve">se procedió a eliminar </w:t>
      </w:r>
      <w:r w:rsidRPr="009B44ED">
        <w:rPr>
          <w:rFonts w:ascii="Verdana" w:hAnsi="Verdana"/>
          <w:sz w:val="16"/>
          <w:szCs w:val="16"/>
          <w:lang w:val="es-MX"/>
        </w:rPr>
        <w:t xml:space="preserve">las anotaciones penales por delitos terroristas” </w:t>
      </w:r>
      <w:proofErr w:type="gramStart"/>
      <w:r w:rsidRPr="009B44ED">
        <w:rPr>
          <w:rFonts w:ascii="Verdana" w:hAnsi="Verdana"/>
          <w:sz w:val="16"/>
          <w:szCs w:val="16"/>
          <w:lang w:val="es-MX"/>
        </w:rPr>
        <w:t xml:space="preserve">de </w:t>
      </w:r>
      <w:r>
        <w:rPr>
          <w:rFonts w:ascii="Verdana" w:hAnsi="Verdana"/>
          <w:sz w:val="16"/>
          <w:szCs w:val="16"/>
          <w:lang w:val="es-MX"/>
        </w:rPr>
        <w:t xml:space="preserve"> las</w:t>
      </w:r>
      <w:proofErr w:type="gramEnd"/>
      <w:r>
        <w:rPr>
          <w:rFonts w:ascii="Verdana" w:hAnsi="Verdana"/>
          <w:sz w:val="16"/>
          <w:szCs w:val="16"/>
          <w:lang w:val="es-MX"/>
        </w:rPr>
        <w:t xml:space="preserve"> ocho</w:t>
      </w:r>
      <w:r w:rsidRPr="009B44ED">
        <w:rPr>
          <w:rFonts w:ascii="Verdana" w:hAnsi="Verdana"/>
          <w:sz w:val="16"/>
          <w:szCs w:val="16"/>
          <w:lang w:val="es-MX"/>
        </w:rPr>
        <w:t xml:space="preserve"> víctimas del caso</w:t>
      </w:r>
      <w:r w:rsidRPr="009B44ED">
        <w:rPr>
          <w:rStyle w:val="Refdecomentario"/>
          <w:rFonts w:ascii="Verdana" w:hAnsi="Verdana"/>
          <w:lang w:val="es-CR"/>
        </w:rPr>
        <w:t xml:space="preserve">. </w:t>
      </w:r>
      <w:r w:rsidRPr="009B44ED">
        <w:rPr>
          <w:rFonts w:ascii="Verdana" w:hAnsi="Verdana"/>
          <w:sz w:val="16"/>
          <w:szCs w:val="16"/>
          <w:lang w:val="es-CR"/>
        </w:rPr>
        <w:t>Para Segundo Aniceto Norín Catrimán “se eliminó la anotación correspondiente a la causa RIT 2-2003 del Tribunal Oral en lo Penal de Angol”</w:t>
      </w:r>
      <w:r>
        <w:rPr>
          <w:rFonts w:ascii="Verdana" w:hAnsi="Verdana"/>
          <w:sz w:val="16"/>
          <w:szCs w:val="16"/>
          <w:lang w:val="es-CR"/>
        </w:rPr>
        <w:t>.</w:t>
      </w:r>
      <w:r w:rsidRPr="009B44ED">
        <w:rPr>
          <w:rFonts w:ascii="Verdana" w:hAnsi="Verdana"/>
          <w:sz w:val="16"/>
          <w:szCs w:val="16"/>
          <w:lang w:val="es-CR"/>
        </w:rPr>
        <w:t xml:space="preserve"> </w:t>
      </w:r>
      <w:r>
        <w:rPr>
          <w:rFonts w:ascii="Verdana" w:hAnsi="Verdana"/>
          <w:sz w:val="16"/>
          <w:szCs w:val="16"/>
          <w:lang w:val="es-CR"/>
        </w:rPr>
        <w:t>P</w:t>
      </w:r>
      <w:r w:rsidRPr="009B44ED">
        <w:rPr>
          <w:rFonts w:ascii="Verdana" w:hAnsi="Verdana"/>
          <w:sz w:val="16"/>
          <w:szCs w:val="16"/>
          <w:lang w:val="es-CR"/>
        </w:rPr>
        <w:t>ara Víctor Manuel Ancalaf L</w:t>
      </w:r>
      <w:r>
        <w:rPr>
          <w:rFonts w:ascii="Verdana" w:hAnsi="Verdana"/>
          <w:sz w:val="16"/>
          <w:szCs w:val="16"/>
          <w:lang w:val="es-CR"/>
        </w:rPr>
        <w:t>l</w:t>
      </w:r>
      <w:r w:rsidRPr="009B44ED">
        <w:rPr>
          <w:rFonts w:ascii="Verdana" w:hAnsi="Verdana"/>
          <w:sz w:val="16"/>
          <w:szCs w:val="16"/>
          <w:lang w:val="es-CR"/>
        </w:rPr>
        <w:t>aupe “se eliminó la anotación correspondiente a la causa ingresada a su prontuario penal con el Rol</w:t>
      </w:r>
      <w:r>
        <w:rPr>
          <w:rFonts w:ascii="Verdana" w:hAnsi="Verdana"/>
          <w:sz w:val="16"/>
          <w:szCs w:val="16"/>
          <w:lang w:val="es-CR"/>
        </w:rPr>
        <w:t xml:space="preserve"> </w:t>
      </w:r>
      <w:r w:rsidRPr="009B44ED">
        <w:rPr>
          <w:rFonts w:ascii="Verdana" w:hAnsi="Verdana"/>
          <w:sz w:val="16"/>
          <w:szCs w:val="16"/>
          <w:lang w:val="es-CR"/>
        </w:rPr>
        <w:t xml:space="preserve">1-2002 de la […] Corte de Apelaciones </w:t>
      </w:r>
      <w:r>
        <w:rPr>
          <w:rFonts w:ascii="Verdana" w:hAnsi="Verdana"/>
          <w:sz w:val="16"/>
          <w:szCs w:val="16"/>
          <w:lang w:val="es-CR"/>
        </w:rPr>
        <w:t>[</w:t>
      </w:r>
      <w:r w:rsidRPr="009B44ED">
        <w:rPr>
          <w:rFonts w:ascii="Verdana" w:hAnsi="Verdana"/>
          <w:sz w:val="16"/>
          <w:szCs w:val="16"/>
          <w:lang w:val="es-CR"/>
        </w:rPr>
        <w:t>de</w:t>
      </w:r>
      <w:r>
        <w:rPr>
          <w:rFonts w:ascii="Verdana" w:hAnsi="Verdana"/>
          <w:sz w:val="16"/>
          <w:szCs w:val="16"/>
          <w:lang w:val="es-CR"/>
        </w:rPr>
        <w:t>]</w:t>
      </w:r>
      <w:r w:rsidRPr="009B44ED">
        <w:rPr>
          <w:rFonts w:ascii="Verdana" w:hAnsi="Verdana"/>
          <w:sz w:val="16"/>
          <w:szCs w:val="16"/>
          <w:lang w:val="es-CR"/>
        </w:rPr>
        <w:t xml:space="preserve"> Concepción”</w:t>
      </w:r>
      <w:r>
        <w:rPr>
          <w:rFonts w:ascii="Verdana" w:hAnsi="Verdana"/>
          <w:sz w:val="16"/>
          <w:szCs w:val="16"/>
          <w:lang w:val="es-CR"/>
        </w:rPr>
        <w:t>.</w:t>
      </w:r>
      <w:r w:rsidRPr="009B44ED">
        <w:rPr>
          <w:rFonts w:ascii="Verdana" w:hAnsi="Verdana"/>
          <w:sz w:val="16"/>
          <w:szCs w:val="16"/>
          <w:lang w:val="es-CR"/>
        </w:rPr>
        <w:t xml:space="preserve"> </w:t>
      </w:r>
      <w:r>
        <w:rPr>
          <w:rFonts w:ascii="Verdana" w:hAnsi="Verdana"/>
          <w:sz w:val="16"/>
          <w:szCs w:val="16"/>
          <w:lang w:val="es-CR"/>
        </w:rPr>
        <w:t>P</w:t>
      </w:r>
      <w:r w:rsidRPr="009B44ED">
        <w:rPr>
          <w:rFonts w:ascii="Verdana" w:hAnsi="Verdana"/>
          <w:sz w:val="16"/>
          <w:szCs w:val="16"/>
          <w:lang w:val="es-CR"/>
        </w:rPr>
        <w:t>ara Florencio Jaime Marileo Saravia, Juan Ciriaco Millacheo Licán, José Benicio Huenchunao Mariñán, Juan Patricio Marileo Saravia y Patricia Roxana Troncoso Robles “se elimin[aron] la[s] anotaci</w:t>
      </w:r>
      <w:r>
        <w:rPr>
          <w:rFonts w:ascii="Verdana" w:hAnsi="Verdana"/>
          <w:sz w:val="16"/>
          <w:szCs w:val="16"/>
          <w:lang w:val="es-CR"/>
        </w:rPr>
        <w:t>o</w:t>
      </w:r>
      <w:r w:rsidRPr="009B44ED">
        <w:rPr>
          <w:rFonts w:ascii="Verdana" w:hAnsi="Verdana"/>
          <w:sz w:val="16"/>
          <w:szCs w:val="16"/>
          <w:lang w:val="es-CR"/>
        </w:rPr>
        <w:t xml:space="preserve">n[es] correspondiente[s] a la causa RIT 21-2004 del Tribunal Oral en lo Penal de Angol”. </w:t>
      </w:r>
      <w:r w:rsidRPr="009B44ED">
        <w:rPr>
          <w:rFonts w:ascii="Verdana" w:hAnsi="Verdana"/>
          <w:sz w:val="16"/>
          <w:szCs w:val="16"/>
          <w:lang w:val="es-MX"/>
        </w:rPr>
        <w:t>Agregó que en el caso de las anotaciones correspondientes a la víctima Pascual Pichún, “tuvo lugar la eliminación de antecedentes por [su] fallecimiento” en marzo de 2013 con la inscripción de su acta de defunción. Asimismo,</w:t>
      </w:r>
      <w:r>
        <w:rPr>
          <w:rFonts w:ascii="Verdana" w:hAnsi="Verdana"/>
          <w:sz w:val="16"/>
          <w:szCs w:val="16"/>
          <w:lang w:val="es-MX"/>
        </w:rPr>
        <w:t xml:space="preserve"> se</w:t>
      </w:r>
      <w:r w:rsidRPr="009B44ED">
        <w:rPr>
          <w:rFonts w:ascii="Verdana" w:hAnsi="Verdana"/>
          <w:sz w:val="16"/>
          <w:szCs w:val="16"/>
          <w:lang w:val="es-MX"/>
        </w:rPr>
        <w:t xml:space="preserve"> indica que </w:t>
      </w:r>
      <w:r>
        <w:rPr>
          <w:rFonts w:ascii="Verdana" w:hAnsi="Verdana"/>
          <w:sz w:val="16"/>
          <w:szCs w:val="16"/>
          <w:lang w:val="es-MX"/>
        </w:rPr>
        <w:t>en</w:t>
      </w:r>
      <w:r w:rsidRPr="009B44ED">
        <w:rPr>
          <w:rFonts w:ascii="Verdana" w:hAnsi="Verdana"/>
          <w:sz w:val="16"/>
          <w:szCs w:val="16"/>
          <w:lang w:val="es-MX"/>
        </w:rPr>
        <w:t xml:space="preserve"> enero de 2015 se “procedi</w:t>
      </w:r>
      <w:r>
        <w:rPr>
          <w:rFonts w:ascii="Verdana" w:hAnsi="Verdana"/>
          <w:sz w:val="16"/>
          <w:szCs w:val="16"/>
          <w:lang w:val="es-MX"/>
        </w:rPr>
        <w:t>[</w:t>
      </w:r>
      <w:r w:rsidRPr="009B44ED">
        <w:rPr>
          <w:rFonts w:ascii="Verdana" w:hAnsi="Verdana"/>
          <w:sz w:val="16"/>
          <w:szCs w:val="16"/>
          <w:lang w:val="es-MX"/>
        </w:rPr>
        <w:t>ó</w:t>
      </w:r>
      <w:r>
        <w:rPr>
          <w:rFonts w:ascii="Verdana" w:hAnsi="Verdana"/>
          <w:sz w:val="16"/>
          <w:szCs w:val="16"/>
          <w:lang w:val="es-MX"/>
        </w:rPr>
        <w:t>]</w:t>
      </w:r>
      <w:r w:rsidRPr="009B44ED">
        <w:rPr>
          <w:rFonts w:ascii="Verdana" w:hAnsi="Verdana"/>
          <w:sz w:val="16"/>
          <w:szCs w:val="16"/>
          <w:lang w:val="es-MX"/>
        </w:rPr>
        <w:t xml:space="preserve"> igualmente a eliminar […] la huella genética de los señores José Benicio Huenchunao Mariñán […], Juan Patricio Marileo Saravia […] y Florencio Jaime Marileo Saravia”. </w:t>
      </w:r>
      <w:r w:rsidRPr="009B44ED">
        <w:rPr>
          <w:rFonts w:ascii="Verdana" w:hAnsi="Verdana"/>
          <w:i/>
          <w:sz w:val="16"/>
          <w:szCs w:val="16"/>
          <w:lang w:val="es-CR"/>
        </w:rPr>
        <w:t>Cfr.</w:t>
      </w:r>
      <w:r w:rsidRPr="009B44ED">
        <w:rPr>
          <w:rFonts w:ascii="Verdana" w:hAnsi="Verdana"/>
          <w:sz w:val="16"/>
          <w:szCs w:val="16"/>
          <w:lang w:val="es-CR"/>
        </w:rPr>
        <w:t xml:space="preserve"> </w:t>
      </w:r>
      <w:r w:rsidRPr="009B44ED">
        <w:rPr>
          <w:rFonts w:ascii="Verdana" w:eastAsia="Times New Roman" w:hAnsi="Verdana"/>
          <w:noProof/>
          <w:sz w:val="16"/>
          <w:szCs w:val="16"/>
          <w:lang w:val="de-DE" w:eastAsia="es-ES"/>
        </w:rPr>
        <w:t>Resolución N° 0043 de 21 de enero de 2015</w:t>
      </w:r>
      <w:r>
        <w:rPr>
          <w:rFonts w:ascii="Verdana" w:eastAsia="Times New Roman" w:hAnsi="Verdana"/>
          <w:noProof/>
          <w:sz w:val="16"/>
          <w:szCs w:val="16"/>
          <w:lang w:val="de-DE" w:eastAsia="es-ES"/>
        </w:rPr>
        <w:t xml:space="preserve">, </w:t>
      </w:r>
      <w:r w:rsidRPr="00903DE2">
        <w:rPr>
          <w:rFonts w:ascii="Verdana" w:eastAsia="Times New Roman" w:hAnsi="Verdana"/>
          <w:i/>
          <w:noProof/>
          <w:sz w:val="16"/>
          <w:szCs w:val="16"/>
          <w:lang w:val="de-DE" w:eastAsia="es-ES"/>
        </w:rPr>
        <w:t>supra</w:t>
      </w:r>
      <w:r>
        <w:rPr>
          <w:rFonts w:ascii="Verdana" w:eastAsia="Times New Roman" w:hAnsi="Verdana"/>
          <w:noProof/>
          <w:sz w:val="16"/>
          <w:szCs w:val="16"/>
          <w:lang w:val="de-DE" w:eastAsia="es-ES"/>
        </w:rPr>
        <w:t xml:space="preserve"> nota 24</w:t>
      </w:r>
      <w:r w:rsidRPr="009B44ED">
        <w:rPr>
          <w:rFonts w:ascii="Verdana" w:eastAsia="Times New Roman" w:hAnsi="Verdana"/>
          <w:noProof/>
          <w:sz w:val="16"/>
          <w:szCs w:val="16"/>
          <w:lang w:val="de-DE" w:eastAsia="es-ES"/>
        </w:rPr>
        <w:t xml:space="preserve"> </w:t>
      </w:r>
      <w:r>
        <w:rPr>
          <w:rFonts w:ascii="Verdana" w:eastAsia="Times New Roman" w:hAnsi="Verdana"/>
          <w:noProof/>
          <w:sz w:val="16"/>
          <w:szCs w:val="16"/>
          <w:lang w:val="de-DE" w:eastAsia="es-ES"/>
        </w:rPr>
        <w:t>y Oficio No</w:t>
      </w:r>
      <w:r w:rsidRPr="009B44ED">
        <w:rPr>
          <w:rFonts w:ascii="Verdana" w:eastAsia="Times New Roman" w:hAnsi="Verdana"/>
          <w:noProof/>
          <w:sz w:val="16"/>
          <w:szCs w:val="16"/>
          <w:lang w:val="de-DE" w:eastAsia="es-ES"/>
        </w:rPr>
        <w:t>.</w:t>
      </w:r>
      <w:r>
        <w:rPr>
          <w:rFonts w:ascii="Verdana" w:eastAsia="Times New Roman" w:hAnsi="Verdana"/>
          <w:noProof/>
          <w:sz w:val="16"/>
          <w:szCs w:val="16"/>
          <w:lang w:val="de-DE" w:eastAsia="es-ES"/>
        </w:rPr>
        <w:t xml:space="preserve"> 0477 de 29 de junio de 2017, </w:t>
      </w:r>
      <w:r w:rsidRPr="00903DE2">
        <w:rPr>
          <w:rFonts w:ascii="Verdana" w:eastAsia="Times New Roman" w:hAnsi="Verdana"/>
          <w:i/>
          <w:noProof/>
          <w:sz w:val="16"/>
          <w:szCs w:val="16"/>
          <w:lang w:val="de-DE" w:eastAsia="es-ES"/>
        </w:rPr>
        <w:t>supra</w:t>
      </w:r>
      <w:r>
        <w:rPr>
          <w:rFonts w:ascii="Verdana" w:eastAsia="Times New Roman" w:hAnsi="Verdana"/>
          <w:noProof/>
          <w:sz w:val="16"/>
          <w:szCs w:val="16"/>
          <w:lang w:val="de-DE" w:eastAsia="es-ES"/>
        </w:rPr>
        <w:t xml:space="preserve"> nota 29.</w:t>
      </w:r>
    </w:p>
  </w:footnote>
  <w:footnote w:id="32">
    <w:p w:rsidR="00A70CBB" w:rsidRPr="009635D2" w:rsidRDefault="00A70CBB" w:rsidP="004121C6">
      <w:pPr>
        <w:pStyle w:val="Textonotapie"/>
        <w:tabs>
          <w:tab w:val="left" w:pos="426"/>
        </w:tabs>
        <w:jc w:val="both"/>
        <w:rPr>
          <w:rFonts w:ascii="Verdana" w:hAnsi="Verdana"/>
          <w:sz w:val="16"/>
          <w:szCs w:val="16"/>
          <w:lang w:val="de-DE"/>
        </w:rPr>
      </w:pPr>
      <w:r w:rsidRPr="009635D2">
        <w:rPr>
          <w:rStyle w:val="Refdenotaalpie"/>
          <w:rFonts w:ascii="Verdana" w:hAnsi="Verdana"/>
          <w:sz w:val="16"/>
          <w:szCs w:val="16"/>
        </w:rPr>
        <w:footnoteRef/>
      </w:r>
      <w:r w:rsidRPr="009635D2">
        <w:rPr>
          <w:rFonts w:ascii="Verdana" w:hAnsi="Verdana"/>
          <w:sz w:val="16"/>
          <w:szCs w:val="16"/>
          <w:lang w:val="es-CR"/>
        </w:rPr>
        <w:t xml:space="preserve"> </w:t>
      </w:r>
      <w:r w:rsidRPr="009635D2">
        <w:rPr>
          <w:rFonts w:ascii="Verdana" w:hAnsi="Verdana"/>
          <w:sz w:val="16"/>
          <w:szCs w:val="16"/>
          <w:lang w:val="es-CR"/>
        </w:rPr>
        <w:tab/>
      </w:r>
      <w:r w:rsidRPr="009635D2">
        <w:rPr>
          <w:rFonts w:ascii="Verdana" w:hAnsi="Verdana"/>
          <w:noProof/>
          <w:sz w:val="16"/>
          <w:szCs w:val="16"/>
          <w:lang w:val="de-DE"/>
        </w:rPr>
        <w:t xml:space="preserve">El Ministerio de Justicia informó que en total, se eliminaron tres muestras biológicas de sangre, tres actas de consentimiento informado, tres informes individuales de verificación de identidad, dos dactiloscopías del Servicio de Registro Civil e </w:t>
      </w:r>
      <w:r>
        <w:rPr>
          <w:rFonts w:ascii="Verdana" w:hAnsi="Verdana"/>
          <w:noProof/>
          <w:sz w:val="16"/>
          <w:szCs w:val="16"/>
          <w:lang w:val="de-DE"/>
        </w:rPr>
        <w:t>I</w:t>
      </w:r>
      <w:r w:rsidRPr="009635D2">
        <w:rPr>
          <w:rFonts w:ascii="Verdana" w:hAnsi="Verdana"/>
          <w:noProof/>
          <w:sz w:val="16"/>
          <w:szCs w:val="16"/>
          <w:lang w:val="de-DE"/>
        </w:rPr>
        <w:t xml:space="preserve">dentificación, tres rótulos de formularios únicos de cadena de custodia, tres informes de determinación de huella genética, tres respaldos digitales de la documentación de ingreso, además de eliminarse las anotaciones correspondientes a la causas RIT 2-2003, RIT 21-2004 y Rol 1-2002 respecto de </w:t>
      </w:r>
      <w:r w:rsidRPr="009635D2">
        <w:rPr>
          <w:rFonts w:ascii="Verdana" w:hAnsi="Verdana"/>
          <w:sz w:val="16"/>
          <w:szCs w:val="16"/>
          <w:lang w:val="es-CR"/>
        </w:rPr>
        <w:t>José Benicio Huenchunao Mariñán, Juan Patricio Marileo Saravia y Florencio Jaime Marileo Saravia</w:t>
      </w:r>
      <w:r w:rsidRPr="009635D2">
        <w:rPr>
          <w:rFonts w:ascii="Verdana" w:hAnsi="Verdana"/>
          <w:noProof/>
          <w:sz w:val="16"/>
          <w:szCs w:val="16"/>
          <w:lang w:val="de-DE"/>
        </w:rPr>
        <w:t xml:space="preserve">. </w:t>
      </w:r>
      <w:r w:rsidRPr="009635D2">
        <w:rPr>
          <w:rFonts w:ascii="Verdana" w:hAnsi="Verdana"/>
          <w:i/>
          <w:sz w:val="16"/>
          <w:szCs w:val="16"/>
          <w:lang w:val="de-DE"/>
        </w:rPr>
        <w:t>Cfr.</w:t>
      </w:r>
      <w:r w:rsidRPr="009635D2">
        <w:rPr>
          <w:rFonts w:ascii="Verdana" w:hAnsi="Verdana"/>
          <w:sz w:val="16"/>
          <w:szCs w:val="16"/>
          <w:lang w:val="de-DE"/>
        </w:rPr>
        <w:t xml:space="preserve"> Oficio ordinario No. 1383 de 17 de noviembre de 2015 suscrito por el Director Nacional del Servicio Médico Legal (anexo 1 al informe estatal de octubre de 2016). </w:t>
      </w:r>
    </w:p>
  </w:footnote>
  <w:footnote w:id="33">
    <w:p w:rsidR="00A70CBB" w:rsidRPr="0052729E" w:rsidRDefault="00A70CBB" w:rsidP="004121C6">
      <w:pPr>
        <w:pStyle w:val="Textonotapie"/>
        <w:tabs>
          <w:tab w:val="left" w:pos="426"/>
        </w:tabs>
        <w:jc w:val="both"/>
        <w:rPr>
          <w:rFonts w:ascii="Verdana" w:hAnsi="Verdana"/>
          <w:sz w:val="16"/>
          <w:szCs w:val="16"/>
          <w:lang w:val="es-CR"/>
        </w:rPr>
      </w:pPr>
      <w:r w:rsidRPr="0052729E">
        <w:rPr>
          <w:rStyle w:val="Refdenotaalpie"/>
          <w:rFonts w:ascii="Verdana" w:hAnsi="Verdana"/>
          <w:sz w:val="16"/>
          <w:szCs w:val="16"/>
        </w:rPr>
        <w:footnoteRef/>
      </w:r>
      <w:r w:rsidRPr="0052729E">
        <w:rPr>
          <w:rFonts w:ascii="Verdana" w:hAnsi="Verdana"/>
          <w:sz w:val="16"/>
          <w:szCs w:val="16"/>
          <w:lang w:val="de-DE"/>
        </w:rPr>
        <w:t xml:space="preserve"> </w:t>
      </w:r>
      <w:r w:rsidRPr="0052729E">
        <w:rPr>
          <w:rFonts w:ascii="Verdana" w:hAnsi="Verdana"/>
          <w:sz w:val="16"/>
          <w:szCs w:val="16"/>
          <w:lang w:val="de-DE"/>
        </w:rPr>
        <w:tab/>
      </w:r>
      <w:r w:rsidRPr="0052729E">
        <w:rPr>
          <w:rFonts w:ascii="Verdana" w:hAnsi="Verdana"/>
          <w:sz w:val="16"/>
          <w:szCs w:val="16"/>
          <w:lang w:val="es-MX"/>
        </w:rPr>
        <w:t>“[E]l Departamento de Control Penitenciario” ordenó “la eliminación de los registros informáticos [de las ocho víctimas] vigentes en Gendarmería de Chile”, lo cual abarca el “Sistema Interno del régimen cerrado y abierto de libertos condicionales, el Sistema Medio Libre y Sistema Informático de Reinserción Social”. Además, se “procedió a ordenar a los […] Directores Regionales del Bío Bío y la Araucanía, [que] se instruyera a sus respectivos establecimientos penitenciarios, [sobre] la prohibición de informar a terceros</w:t>
      </w:r>
      <w:r>
        <w:rPr>
          <w:rFonts w:ascii="Verdana" w:hAnsi="Verdana"/>
          <w:sz w:val="16"/>
          <w:szCs w:val="16"/>
          <w:lang w:val="es-MX"/>
        </w:rPr>
        <w:t>,</w:t>
      </w:r>
      <w:r w:rsidRPr="0052729E">
        <w:rPr>
          <w:rFonts w:ascii="Verdana" w:hAnsi="Verdana"/>
          <w:sz w:val="16"/>
          <w:szCs w:val="16"/>
          <w:lang w:val="es-MX"/>
        </w:rPr>
        <w:t xml:space="preserve"> respecto de las [víctimas] que se orden[ó] eliminar los registros informáticos”. </w:t>
      </w:r>
      <w:r w:rsidRPr="0052729E">
        <w:rPr>
          <w:rFonts w:ascii="Verdana" w:hAnsi="Verdana"/>
          <w:i/>
          <w:sz w:val="16"/>
          <w:szCs w:val="16"/>
          <w:lang w:val="de-DE"/>
        </w:rPr>
        <w:t>Cfr.</w:t>
      </w:r>
      <w:r w:rsidRPr="0052729E">
        <w:rPr>
          <w:rFonts w:ascii="Verdana" w:hAnsi="Verdana"/>
          <w:sz w:val="16"/>
          <w:szCs w:val="16"/>
          <w:lang w:val="de-DE"/>
        </w:rPr>
        <w:t xml:space="preserve"> Oficio Reservado N° 703 de 16 de octubre de 2015 suscrito por el Director Nacional de Gendarmería de Chile (anexo 2 al informe estatal de octubre de 2016).</w:t>
      </w:r>
    </w:p>
  </w:footnote>
  <w:footnote w:id="34">
    <w:p w:rsidR="00A70CBB" w:rsidRPr="007B31E2" w:rsidRDefault="00A70CBB" w:rsidP="004121C6">
      <w:pPr>
        <w:pStyle w:val="Textonotapie"/>
        <w:tabs>
          <w:tab w:val="left" w:pos="426"/>
        </w:tabs>
        <w:jc w:val="both"/>
        <w:rPr>
          <w:rFonts w:ascii="Verdana" w:hAnsi="Verdana"/>
          <w:sz w:val="16"/>
          <w:szCs w:val="16"/>
          <w:lang w:val="es-CR"/>
        </w:rPr>
      </w:pPr>
      <w:r w:rsidRPr="007B31E2">
        <w:rPr>
          <w:rStyle w:val="Refdenotaalpie"/>
          <w:rFonts w:ascii="Verdana" w:hAnsi="Verdana"/>
          <w:sz w:val="16"/>
          <w:szCs w:val="16"/>
        </w:rPr>
        <w:footnoteRef/>
      </w:r>
      <w:r w:rsidRPr="007B31E2">
        <w:rPr>
          <w:rFonts w:ascii="Verdana" w:hAnsi="Verdana"/>
          <w:sz w:val="16"/>
          <w:szCs w:val="16"/>
          <w:lang w:val="es-CR"/>
        </w:rPr>
        <w:t xml:space="preserve"> </w:t>
      </w:r>
      <w:r w:rsidRPr="007B31E2">
        <w:rPr>
          <w:rFonts w:ascii="Verdana" w:hAnsi="Verdana"/>
          <w:sz w:val="16"/>
          <w:szCs w:val="16"/>
          <w:lang w:val="es-CR"/>
        </w:rPr>
        <w:tab/>
        <w:t xml:space="preserve">El Jefe de División de Carabineros Subrogante indicó que </w:t>
      </w:r>
      <w:r w:rsidRPr="007B31E2">
        <w:rPr>
          <w:rFonts w:ascii="Verdana" w:hAnsi="Verdana"/>
          <w:sz w:val="16"/>
          <w:szCs w:val="16"/>
          <w:lang w:val="es-MX"/>
        </w:rPr>
        <w:t>Carabineros de Chile “no registra anotaciones que se refier[a]n a los hechos y las condenas impuestas a l[a]s [víctimas]</w:t>
      </w:r>
      <w:r>
        <w:rPr>
          <w:rFonts w:ascii="Verdana" w:hAnsi="Verdana"/>
          <w:sz w:val="16"/>
          <w:szCs w:val="16"/>
          <w:lang w:val="es-MX"/>
        </w:rPr>
        <w:t>”</w:t>
      </w:r>
      <w:r w:rsidRPr="007B31E2">
        <w:rPr>
          <w:rFonts w:ascii="Verdana" w:hAnsi="Verdana"/>
          <w:sz w:val="16"/>
          <w:szCs w:val="16"/>
          <w:lang w:val="es-MX"/>
        </w:rPr>
        <w:t xml:space="preserve">, que “no existe registro alguno que los vincule con actos de carácter terrorista” y que “no tiene datos policiales o administrativos que tengan incidencia en el cumplimiento de la [S]entencia de la Corte Interamericana”. </w:t>
      </w:r>
      <w:r w:rsidRPr="00903DE2">
        <w:rPr>
          <w:rFonts w:ascii="Verdana" w:hAnsi="Verdana"/>
          <w:sz w:val="16"/>
          <w:szCs w:val="16"/>
          <w:lang w:val="es-MX"/>
        </w:rPr>
        <w:t xml:space="preserve">Agregó que </w:t>
      </w:r>
      <w:r w:rsidRPr="007B31E2">
        <w:rPr>
          <w:rFonts w:ascii="Verdana" w:hAnsi="Verdana"/>
          <w:sz w:val="16"/>
          <w:szCs w:val="16"/>
          <w:lang w:val="es-CR"/>
        </w:rPr>
        <w:t xml:space="preserve">“Carabineros de Chile, solo dispone de datos almacenados sobre la base de los Registros del Sistema Aupol y Órdenes Judiciales, los cuales tienen el carácter de archivo y no constituyen </w:t>
      </w:r>
      <w:r>
        <w:rPr>
          <w:rFonts w:ascii="Verdana" w:hAnsi="Verdana"/>
          <w:sz w:val="16"/>
          <w:szCs w:val="16"/>
          <w:lang w:val="es-CR"/>
        </w:rPr>
        <w:t>[…]</w:t>
      </w:r>
      <w:r w:rsidRPr="007B31E2">
        <w:rPr>
          <w:rFonts w:ascii="Verdana" w:hAnsi="Verdana"/>
          <w:sz w:val="16"/>
          <w:szCs w:val="16"/>
          <w:lang w:val="es-CR"/>
        </w:rPr>
        <w:t xml:space="preserve"> una base de datos”. </w:t>
      </w:r>
      <w:r w:rsidRPr="007B31E2">
        <w:rPr>
          <w:rFonts w:ascii="Verdana" w:hAnsi="Verdana"/>
          <w:i/>
          <w:sz w:val="16"/>
          <w:szCs w:val="16"/>
          <w:lang w:val="es-CR"/>
        </w:rPr>
        <w:t>Cfr.</w:t>
      </w:r>
      <w:r w:rsidRPr="007B31E2">
        <w:rPr>
          <w:rFonts w:ascii="Verdana" w:hAnsi="Verdana"/>
          <w:sz w:val="16"/>
          <w:szCs w:val="16"/>
          <w:lang w:val="es-CR"/>
        </w:rPr>
        <w:t xml:space="preserve"> Memorándum No. 182 de 16 de septiembre de 2016 suscrito por el Jefe División de Carabineros Subrogante, Secretaría General del Interior, Ministerio del Interior y Seguridad Pública (anexo 3 al informe estatal de octubre de 2016).</w:t>
      </w:r>
    </w:p>
  </w:footnote>
  <w:footnote w:id="35">
    <w:p w:rsidR="00A70CBB" w:rsidRPr="005B2165" w:rsidRDefault="00A70CBB" w:rsidP="004121C6">
      <w:pPr>
        <w:pStyle w:val="Textonotapie"/>
        <w:tabs>
          <w:tab w:val="left" w:pos="426"/>
        </w:tabs>
        <w:jc w:val="both"/>
        <w:rPr>
          <w:rFonts w:ascii="Verdana" w:hAnsi="Verdana"/>
          <w:b/>
          <w:sz w:val="16"/>
          <w:szCs w:val="16"/>
          <w:lang w:val="es-CR"/>
        </w:rPr>
      </w:pPr>
      <w:r w:rsidRPr="005B2165">
        <w:rPr>
          <w:rStyle w:val="Refdenotaalpie"/>
          <w:rFonts w:ascii="Verdana" w:hAnsi="Verdana"/>
          <w:sz w:val="16"/>
          <w:szCs w:val="16"/>
        </w:rPr>
        <w:footnoteRef/>
      </w:r>
      <w:r w:rsidRPr="005B2165">
        <w:rPr>
          <w:rFonts w:ascii="Verdana" w:hAnsi="Verdana"/>
          <w:sz w:val="16"/>
          <w:szCs w:val="16"/>
          <w:lang w:val="es-CR"/>
        </w:rPr>
        <w:t xml:space="preserve"> </w:t>
      </w:r>
      <w:r w:rsidRPr="005B2165">
        <w:rPr>
          <w:rFonts w:ascii="Verdana" w:hAnsi="Verdana"/>
          <w:sz w:val="16"/>
          <w:szCs w:val="16"/>
          <w:lang w:val="es-CR"/>
        </w:rPr>
        <w:tab/>
        <w:t>E</w:t>
      </w:r>
      <w:r w:rsidRPr="005B2165">
        <w:rPr>
          <w:rFonts w:ascii="Verdana" w:hAnsi="Verdana"/>
          <w:sz w:val="16"/>
          <w:szCs w:val="16"/>
          <w:lang w:val="es-MX"/>
        </w:rPr>
        <w:t xml:space="preserve">l Ministerio Público de Chile informó que “se anuló en </w:t>
      </w:r>
      <w:r>
        <w:rPr>
          <w:rFonts w:ascii="Verdana" w:hAnsi="Verdana"/>
          <w:sz w:val="16"/>
          <w:szCs w:val="16"/>
          <w:lang w:val="es-MX"/>
        </w:rPr>
        <w:t>[</w:t>
      </w:r>
      <w:r w:rsidRPr="005B2165">
        <w:rPr>
          <w:rFonts w:ascii="Verdana" w:hAnsi="Verdana"/>
          <w:sz w:val="16"/>
          <w:szCs w:val="16"/>
          <w:lang w:val="es-MX"/>
        </w:rPr>
        <w:t>el</w:t>
      </w:r>
      <w:r>
        <w:rPr>
          <w:rFonts w:ascii="Verdana" w:hAnsi="Verdana"/>
          <w:sz w:val="16"/>
          <w:szCs w:val="16"/>
          <w:lang w:val="es-MX"/>
        </w:rPr>
        <w:t>]</w:t>
      </w:r>
      <w:r w:rsidRPr="005B2165">
        <w:rPr>
          <w:rFonts w:ascii="Verdana" w:hAnsi="Verdana"/>
          <w:sz w:val="16"/>
          <w:szCs w:val="16"/>
          <w:lang w:val="es-MX"/>
        </w:rPr>
        <w:t xml:space="preserve"> registro SAF (Sistema de Apoyo a Fiscales) las relaciones en que figur[aban] como imputados y/o condenados” las ocho víctimas del caso.</w:t>
      </w:r>
      <w:r w:rsidRPr="005B2165">
        <w:rPr>
          <w:rFonts w:ascii="Verdana" w:hAnsi="Verdana"/>
          <w:i/>
          <w:sz w:val="16"/>
          <w:szCs w:val="16"/>
          <w:lang w:val="es-CR"/>
        </w:rPr>
        <w:t xml:space="preserve"> Cfr.</w:t>
      </w:r>
      <w:r w:rsidRPr="005B2165">
        <w:rPr>
          <w:rFonts w:ascii="Verdana" w:hAnsi="Verdana"/>
          <w:sz w:val="16"/>
          <w:szCs w:val="16"/>
          <w:lang w:val="es-CR"/>
        </w:rPr>
        <w:t xml:space="preserve"> Oficio N° 705 de 23 de junio de 2017 suscrito por el Director de la Unidad de Cooperación Internacional y Extradiciones del Ministerio Público de Chile (anexo 2 al informe estatal de julio de 2017).</w:t>
      </w:r>
    </w:p>
  </w:footnote>
  <w:footnote w:id="36">
    <w:p w:rsidR="00A70CBB" w:rsidRPr="00105A04" w:rsidRDefault="00A70CBB" w:rsidP="004121C6">
      <w:pPr>
        <w:pStyle w:val="Textonotapie"/>
        <w:tabs>
          <w:tab w:val="left" w:pos="426"/>
        </w:tabs>
        <w:jc w:val="both"/>
        <w:rPr>
          <w:rFonts w:ascii="Verdana" w:hAnsi="Verdana"/>
          <w:sz w:val="16"/>
          <w:szCs w:val="16"/>
          <w:lang w:val="es-CR"/>
        </w:rPr>
      </w:pPr>
      <w:r w:rsidRPr="005B2165">
        <w:rPr>
          <w:rStyle w:val="Refdenotaalpie"/>
          <w:rFonts w:ascii="Verdana" w:hAnsi="Verdana"/>
          <w:sz w:val="16"/>
          <w:szCs w:val="16"/>
        </w:rPr>
        <w:footnoteRef/>
      </w:r>
      <w:r w:rsidRPr="005B2165">
        <w:rPr>
          <w:rFonts w:ascii="Verdana" w:hAnsi="Verdana"/>
          <w:sz w:val="16"/>
          <w:szCs w:val="16"/>
          <w:lang w:val="es-CR"/>
        </w:rPr>
        <w:t xml:space="preserve"> </w:t>
      </w:r>
      <w:r w:rsidRPr="005B2165">
        <w:rPr>
          <w:rFonts w:ascii="Verdana" w:hAnsi="Verdana"/>
          <w:sz w:val="16"/>
          <w:szCs w:val="16"/>
          <w:lang w:val="es-CR"/>
        </w:rPr>
        <w:tab/>
        <w:t>L</w:t>
      </w:r>
      <w:r w:rsidRPr="005B2165">
        <w:rPr>
          <w:rFonts w:ascii="Verdana" w:hAnsi="Verdana"/>
          <w:sz w:val="16"/>
          <w:szCs w:val="16"/>
          <w:lang w:val="es-MX"/>
        </w:rPr>
        <w:t xml:space="preserve">a Policía de Investigaciones emitió un oficio del cual se desprende que se eliminaron los antecedentes que </w:t>
      </w:r>
      <w:proofErr w:type="gramStart"/>
      <w:r w:rsidRPr="005B2165">
        <w:rPr>
          <w:rFonts w:ascii="Verdana" w:hAnsi="Verdana"/>
          <w:sz w:val="16"/>
          <w:szCs w:val="16"/>
          <w:lang w:val="es-MX"/>
        </w:rPr>
        <w:t>habían</w:t>
      </w:r>
      <w:proofErr w:type="gramEnd"/>
      <w:r w:rsidRPr="005B2165">
        <w:rPr>
          <w:rFonts w:ascii="Verdana" w:hAnsi="Verdana"/>
          <w:sz w:val="16"/>
          <w:szCs w:val="16"/>
          <w:lang w:val="es-MX"/>
        </w:rPr>
        <w:t xml:space="preserve"> en sus registros en relación con las víctimas del caso y las causas que generaron la responsabilidad internacional de Chile. </w:t>
      </w:r>
      <w:r w:rsidRPr="00903DE2">
        <w:rPr>
          <w:rFonts w:ascii="Verdana" w:hAnsi="Verdana"/>
          <w:i/>
          <w:sz w:val="16"/>
          <w:szCs w:val="16"/>
          <w:lang w:val="es-CR"/>
        </w:rPr>
        <w:t>Cfr.</w:t>
      </w:r>
      <w:r w:rsidRPr="005B2165">
        <w:rPr>
          <w:rFonts w:ascii="Verdana" w:hAnsi="Verdana"/>
          <w:sz w:val="16"/>
          <w:szCs w:val="16"/>
          <w:lang w:val="es-CR"/>
        </w:rPr>
        <w:t xml:space="preserve"> Oficio Reservado No. 113 de 5 de abril de 2016 suscrito por el Subprefecto del Departamento de Asesoría Técnica de la Policía de Investigaciones de Chile (anexo 3 al informe estatal de octubre de 2016).</w:t>
      </w:r>
    </w:p>
  </w:footnote>
  <w:footnote w:id="37">
    <w:p w:rsidR="00A70CBB" w:rsidRPr="00730E52" w:rsidRDefault="00A70CBB" w:rsidP="004121C6">
      <w:pPr>
        <w:pStyle w:val="Textonotapie"/>
        <w:tabs>
          <w:tab w:val="left" w:pos="426"/>
          <w:tab w:val="left" w:pos="851"/>
        </w:tabs>
        <w:jc w:val="both"/>
        <w:rPr>
          <w:rFonts w:ascii="Verdana" w:hAnsi="Verdana"/>
          <w:sz w:val="16"/>
          <w:szCs w:val="16"/>
          <w:lang w:val="es-CR"/>
        </w:rPr>
      </w:pPr>
      <w:r w:rsidRPr="00105A04">
        <w:rPr>
          <w:rStyle w:val="Refdenotaalpie"/>
          <w:rFonts w:ascii="Verdana" w:hAnsi="Verdana"/>
          <w:sz w:val="16"/>
          <w:szCs w:val="16"/>
        </w:rPr>
        <w:footnoteRef/>
      </w:r>
      <w:r w:rsidRPr="00105A04">
        <w:rPr>
          <w:rFonts w:ascii="Verdana" w:hAnsi="Verdana"/>
          <w:sz w:val="16"/>
          <w:szCs w:val="16"/>
          <w:lang w:val="es-CR"/>
        </w:rPr>
        <w:t xml:space="preserve"> </w:t>
      </w:r>
      <w:r w:rsidRPr="00105A04">
        <w:rPr>
          <w:rFonts w:ascii="Verdana" w:hAnsi="Verdana"/>
          <w:sz w:val="16"/>
          <w:szCs w:val="16"/>
          <w:lang w:val="es-CR"/>
        </w:rPr>
        <w:tab/>
        <w:t xml:space="preserve">A saber: i) </w:t>
      </w:r>
      <w:r>
        <w:rPr>
          <w:rFonts w:ascii="Verdana" w:hAnsi="Verdana"/>
          <w:sz w:val="16"/>
          <w:szCs w:val="16"/>
          <w:lang w:val="es-CR"/>
        </w:rPr>
        <w:t xml:space="preserve">el </w:t>
      </w:r>
      <w:r w:rsidRPr="00105A04">
        <w:rPr>
          <w:rFonts w:ascii="Verdana" w:hAnsi="Verdana"/>
          <w:sz w:val="16"/>
          <w:szCs w:val="16"/>
          <w:lang w:val="es-CR"/>
        </w:rPr>
        <w:t xml:space="preserve">Registro de Conductores, radicado en el Servicio del Registro Civil e Identificación, ii) </w:t>
      </w:r>
      <w:r>
        <w:rPr>
          <w:rFonts w:ascii="Verdana" w:hAnsi="Verdana"/>
          <w:sz w:val="16"/>
          <w:szCs w:val="16"/>
          <w:lang w:val="es-CR"/>
        </w:rPr>
        <w:t xml:space="preserve">el </w:t>
      </w:r>
      <w:r w:rsidRPr="00105A04">
        <w:rPr>
          <w:rFonts w:ascii="Verdana" w:hAnsi="Verdana"/>
          <w:sz w:val="16"/>
          <w:szCs w:val="16"/>
          <w:lang w:val="es-CR"/>
        </w:rPr>
        <w:t xml:space="preserve">Sistema de Gestión de la Defensa Penal, de la Defensoría Penal Pública, iii) </w:t>
      </w:r>
      <w:r>
        <w:rPr>
          <w:rFonts w:ascii="Verdana" w:hAnsi="Verdana"/>
          <w:sz w:val="16"/>
          <w:szCs w:val="16"/>
          <w:lang w:val="es-CR"/>
        </w:rPr>
        <w:t xml:space="preserve">el </w:t>
      </w:r>
      <w:r w:rsidRPr="00105A04">
        <w:rPr>
          <w:rFonts w:ascii="Verdana" w:hAnsi="Verdana"/>
          <w:sz w:val="16"/>
          <w:szCs w:val="16"/>
          <w:lang w:val="es-CR"/>
        </w:rPr>
        <w:t xml:space="preserve">Sistema de Apoyo a la Gestión Judicial, del Poder Judicial, iv) </w:t>
      </w:r>
      <w:r>
        <w:rPr>
          <w:rFonts w:ascii="Verdana" w:hAnsi="Verdana"/>
          <w:sz w:val="16"/>
          <w:szCs w:val="16"/>
          <w:lang w:val="es-CR"/>
        </w:rPr>
        <w:t>la p</w:t>
      </w:r>
      <w:r w:rsidRPr="00105A04">
        <w:rPr>
          <w:rFonts w:ascii="Verdana" w:hAnsi="Verdana"/>
          <w:sz w:val="16"/>
          <w:szCs w:val="16"/>
          <w:lang w:val="es-CR"/>
        </w:rPr>
        <w:t xml:space="preserve">ágina </w:t>
      </w:r>
      <w:r w:rsidRPr="00903DE2">
        <w:rPr>
          <w:rFonts w:ascii="Verdana" w:hAnsi="Verdana"/>
          <w:i/>
          <w:sz w:val="16"/>
          <w:szCs w:val="16"/>
          <w:lang w:val="es-CR"/>
        </w:rPr>
        <w:t>web</w:t>
      </w:r>
      <w:r w:rsidRPr="00105A04">
        <w:rPr>
          <w:rFonts w:ascii="Verdana" w:hAnsi="Verdana"/>
          <w:sz w:val="16"/>
          <w:szCs w:val="16"/>
          <w:lang w:val="es-CR"/>
        </w:rPr>
        <w:t xml:space="preserve"> del Poder Judicial Chileno: </w:t>
      </w:r>
      <w:hyperlink r:id="rId3" w:history="1">
        <w:r w:rsidRPr="00105A04">
          <w:rPr>
            <w:rStyle w:val="Hipervnculo"/>
            <w:rFonts w:ascii="Verdana" w:hAnsi="Verdana"/>
            <w:sz w:val="16"/>
            <w:szCs w:val="16"/>
            <w:lang w:val="es-CR"/>
          </w:rPr>
          <w:t>www.poderjudicial.cl</w:t>
        </w:r>
      </w:hyperlink>
      <w:r w:rsidRPr="00105A04">
        <w:rPr>
          <w:rFonts w:ascii="Verdana" w:hAnsi="Verdana"/>
          <w:sz w:val="16"/>
          <w:szCs w:val="16"/>
          <w:lang w:val="es-CR"/>
        </w:rPr>
        <w:t xml:space="preserve">, v) </w:t>
      </w:r>
      <w:r>
        <w:rPr>
          <w:rFonts w:ascii="Verdana" w:hAnsi="Verdana"/>
          <w:sz w:val="16"/>
          <w:szCs w:val="16"/>
          <w:lang w:val="es-CR"/>
        </w:rPr>
        <w:t xml:space="preserve">la </w:t>
      </w:r>
      <w:r w:rsidRPr="00105A04">
        <w:rPr>
          <w:rFonts w:ascii="Verdana" w:hAnsi="Verdana"/>
          <w:sz w:val="16"/>
          <w:szCs w:val="16"/>
          <w:lang w:val="es-CR"/>
        </w:rPr>
        <w:t xml:space="preserve">Contraloría General de la República, </w:t>
      </w:r>
      <w:r w:rsidRPr="00730E52">
        <w:rPr>
          <w:rFonts w:ascii="Verdana" w:hAnsi="Verdana"/>
          <w:sz w:val="16"/>
          <w:szCs w:val="16"/>
          <w:lang w:val="es-CR"/>
        </w:rPr>
        <w:t xml:space="preserve">vi) </w:t>
      </w:r>
      <w:r>
        <w:rPr>
          <w:rFonts w:ascii="Verdana" w:hAnsi="Verdana"/>
          <w:sz w:val="16"/>
          <w:szCs w:val="16"/>
          <w:lang w:val="es-CR"/>
        </w:rPr>
        <w:t xml:space="preserve">los </w:t>
      </w:r>
      <w:r w:rsidRPr="00730E52">
        <w:rPr>
          <w:rFonts w:ascii="Verdana" w:hAnsi="Verdana"/>
          <w:sz w:val="16"/>
          <w:szCs w:val="16"/>
          <w:lang w:val="es-CR"/>
        </w:rPr>
        <w:t xml:space="preserve">registros del Ministerio Público y la Agencia Nacional de Inteligencia, </w:t>
      </w:r>
      <w:r w:rsidRPr="00730E52">
        <w:rPr>
          <w:rFonts w:ascii="Verdana" w:hAnsi="Verdana"/>
          <w:noProof/>
          <w:sz w:val="16"/>
          <w:szCs w:val="16"/>
          <w:lang w:val="de-DE"/>
        </w:rPr>
        <w:t xml:space="preserve">vii) </w:t>
      </w:r>
      <w:r>
        <w:rPr>
          <w:rFonts w:ascii="Verdana" w:hAnsi="Verdana"/>
          <w:noProof/>
          <w:sz w:val="16"/>
          <w:szCs w:val="16"/>
          <w:lang w:val="de-DE"/>
        </w:rPr>
        <w:t xml:space="preserve">el </w:t>
      </w:r>
      <w:r w:rsidRPr="00730E52">
        <w:rPr>
          <w:rFonts w:ascii="Verdana" w:hAnsi="Verdana"/>
          <w:noProof/>
          <w:sz w:val="16"/>
          <w:szCs w:val="16"/>
          <w:lang w:val="de-DE"/>
        </w:rPr>
        <w:t xml:space="preserve">Departamento de Inteligencia Policial. </w:t>
      </w:r>
    </w:p>
  </w:footnote>
  <w:footnote w:id="38">
    <w:p w:rsidR="00A70CBB" w:rsidRPr="00730E52" w:rsidRDefault="00A70CBB" w:rsidP="004121C6">
      <w:pPr>
        <w:pStyle w:val="Textonotapie"/>
        <w:tabs>
          <w:tab w:val="left" w:pos="426"/>
        </w:tabs>
        <w:jc w:val="both"/>
        <w:rPr>
          <w:rFonts w:ascii="Verdana" w:hAnsi="Verdana"/>
          <w:sz w:val="16"/>
          <w:szCs w:val="16"/>
          <w:lang w:val="es-CR"/>
        </w:rPr>
      </w:pPr>
      <w:r w:rsidRPr="00730E52">
        <w:rPr>
          <w:rStyle w:val="Refdenotaalpie"/>
          <w:rFonts w:ascii="Verdana" w:hAnsi="Verdana"/>
          <w:sz w:val="16"/>
          <w:szCs w:val="16"/>
        </w:rPr>
        <w:footnoteRef/>
      </w:r>
      <w:r w:rsidRPr="00730E52">
        <w:rPr>
          <w:rFonts w:ascii="Verdana" w:hAnsi="Verdana"/>
          <w:sz w:val="16"/>
          <w:szCs w:val="16"/>
          <w:lang w:val="es-CR"/>
        </w:rPr>
        <w:t xml:space="preserve"> </w:t>
      </w:r>
      <w:r w:rsidRPr="00730E52">
        <w:rPr>
          <w:rFonts w:ascii="Verdana" w:hAnsi="Verdana"/>
          <w:sz w:val="16"/>
          <w:szCs w:val="16"/>
          <w:lang w:val="es-CR"/>
        </w:rPr>
        <w:tab/>
        <w:t>Advirtió que la información entregada por Carabineros “no es concluyente” ya que dicha institución</w:t>
      </w:r>
      <w:r w:rsidRPr="00903DE2">
        <w:rPr>
          <w:rFonts w:ascii="Verdana" w:hAnsi="Verdana"/>
          <w:sz w:val="16"/>
          <w:szCs w:val="16"/>
          <w:lang w:val="es-CR"/>
        </w:rPr>
        <w:t xml:space="preserve"> </w:t>
      </w:r>
      <w:r w:rsidRPr="00730E52">
        <w:rPr>
          <w:rFonts w:ascii="Verdana" w:hAnsi="Verdana"/>
          <w:sz w:val="16"/>
          <w:szCs w:val="16"/>
          <w:lang w:val="es-CR"/>
        </w:rPr>
        <w:t xml:space="preserve">“contaría con registros propios que se justifican en función de la naturaleza de sus funciones como fuerza de seguridad”. Al respecto, sugirió que “Carabineros entregue una certificación específica y personalizada en la que conste la ausencia de cualquier anotación y/o registro de cualquier especie en relación con [su] </w:t>
      </w:r>
      <w:proofErr w:type="gramStart"/>
      <w:r w:rsidRPr="00730E52">
        <w:rPr>
          <w:rFonts w:ascii="Verdana" w:hAnsi="Verdana"/>
          <w:sz w:val="16"/>
          <w:szCs w:val="16"/>
          <w:lang w:val="es-CR"/>
        </w:rPr>
        <w:t>representado[</w:t>
      </w:r>
      <w:proofErr w:type="gramEnd"/>
      <w:r w:rsidRPr="00730E52">
        <w:rPr>
          <w:rFonts w:ascii="Verdana" w:hAnsi="Verdana"/>
          <w:sz w:val="16"/>
          <w:szCs w:val="16"/>
          <w:lang w:val="es-CR"/>
        </w:rPr>
        <w:t>, el señor Víctor Ancalaf</w:t>
      </w:r>
      <w:r>
        <w:rPr>
          <w:rFonts w:ascii="Verdana" w:hAnsi="Verdana"/>
          <w:sz w:val="16"/>
          <w:szCs w:val="16"/>
          <w:lang w:val="es-CR"/>
        </w:rPr>
        <w:t xml:space="preserve"> Llaupe</w:t>
      </w:r>
      <w:r w:rsidRPr="00730E52">
        <w:rPr>
          <w:rFonts w:ascii="Verdana" w:hAnsi="Verdana"/>
          <w:sz w:val="16"/>
          <w:szCs w:val="16"/>
          <w:lang w:val="es-CR"/>
        </w:rPr>
        <w:t xml:space="preserve">], en particular en relación a cualquier calificación de terrorista”. </w:t>
      </w:r>
    </w:p>
  </w:footnote>
  <w:footnote w:id="39">
    <w:p w:rsidR="00A70CBB" w:rsidRPr="009B6451" w:rsidRDefault="00A70CBB" w:rsidP="004121C6">
      <w:pPr>
        <w:pStyle w:val="Textonotapie"/>
        <w:tabs>
          <w:tab w:val="left" w:pos="426"/>
        </w:tabs>
        <w:rPr>
          <w:rFonts w:ascii="Verdana" w:hAnsi="Verdana"/>
          <w:color w:val="000000"/>
          <w:sz w:val="16"/>
          <w:szCs w:val="16"/>
          <w:lang w:val="es-CR"/>
        </w:rPr>
      </w:pPr>
      <w:r w:rsidRPr="009B6451">
        <w:rPr>
          <w:rStyle w:val="Refdenotaalpie"/>
          <w:rFonts w:ascii="Verdana" w:hAnsi="Verdana"/>
          <w:color w:val="000000"/>
          <w:sz w:val="16"/>
          <w:szCs w:val="16"/>
        </w:rPr>
        <w:footnoteRef/>
      </w:r>
      <w:r w:rsidRPr="009B6451">
        <w:rPr>
          <w:rFonts w:ascii="Verdana" w:hAnsi="Verdana"/>
          <w:color w:val="000000"/>
          <w:sz w:val="16"/>
          <w:szCs w:val="16"/>
          <w:lang w:val="es-CR"/>
        </w:rPr>
        <w:t xml:space="preserve"> </w:t>
      </w:r>
      <w:r w:rsidRPr="009B6451">
        <w:rPr>
          <w:rFonts w:ascii="Verdana" w:hAnsi="Verdana"/>
          <w:color w:val="000000"/>
          <w:sz w:val="16"/>
          <w:szCs w:val="16"/>
          <w:lang w:val="es-CR"/>
        </w:rPr>
        <w:tab/>
        <w:t xml:space="preserve">Sostuvieron que “la respuesta de Carabineros […] </w:t>
      </w:r>
      <w:proofErr w:type="gramStart"/>
      <w:r w:rsidRPr="009B6451">
        <w:rPr>
          <w:rFonts w:ascii="Verdana" w:hAnsi="Verdana"/>
          <w:color w:val="000000"/>
          <w:sz w:val="16"/>
          <w:szCs w:val="16"/>
          <w:lang w:val="es-CR"/>
        </w:rPr>
        <w:t>desconoce[</w:t>
      </w:r>
      <w:proofErr w:type="gramEnd"/>
      <w:r w:rsidRPr="009B6451">
        <w:rPr>
          <w:rFonts w:ascii="Verdana" w:hAnsi="Verdana"/>
          <w:color w:val="000000"/>
          <w:sz w:val="16"/>
          <w:szCs w:val="16"/>
          <w:lang w:val="es-CR"/>
        </w:rPr>
        <w:t>…] lo ordenado por [la] Corte, al no eliminar los antecedentes que conserva en calidad de archivo”.</w:t>
      </w:r>
    </w:p>
  </w:footnote>
  <w:footnote w:id="40">
    <w:p w:rsidR="00A70CBB" w:rsidRPr="002E6E89" w:rsidRDefault="00A70CBB" w:rsidP="002E6E89">
      <w:pPr>
        <w:pStyle w:val="Textonotapie"/>
        <w:tabs>
          <w:tab w:val="left" w:pos="426"/>
        </w:tabs>
        <w:rPr>
          <w:rFonts w:ascii="Verdana" w:hAnsi="Verdana"/>
          <w:b/>
          <w:sz w:val="16"/>
          <w:szCs w:val="16"/>
          <w:lang w:val="es-CR"/>
        </w:rPr>
      </w:pPr>
      <w:r w:rsidRPr="002E6E89">
        <w:rPr>
          <w:rStyle w:val="Refdenotaalpie"/>
          <w:rFonts w:ascii="Verdana" w:hAnsi="Verdana"/>
          <w:sz w:val="16"/>
          <w:szCs w:val="16"/>
        </w:rPr>
        <w:footnoteRef/>
      </w:r>
      <w:r w:rsidRPr="00485F35">
        <w:rPr>
          <w:rFonts w:ascii="Verdana" w:hAnsi="Verdana"/>
          <w:sz w:val="16"/>
          <w:szCs w:val="16"/>
          <w:lang w:val="it-IT"/>
        </w:rPr>
        <w:t xml:space="preserve"> </w:t>
      </w:r>
      <w:r w:rsidRPr="00485F35">
        <w:rPr>
          <w:rFonts w:ascii="Verdana" w:hAnsi="Verdana"/>
          <w:sz w:val="16"/>
          <w:szCs w:val="16"/>
          <w:lang w:val="it-IT"/>
        </w:rPr>
        <w:tab/>
      </w:r>
      <w:r>
        <w:rPr>
          <w:rFonts w:ascii="Verdana" w:hAnsi="Verdana"/>
          <w:i/>
          <w:sz w:val="16"/>
          <w:szCs w:val="16"/>
          <w:lang w:val="it-IT"/>
        </w:rPr>
        <w:t>Cfr.</w:t>
      </w:r>
      <w:r w:rsidRPr="00485F35">
        <w:rPr>
          <w:rFonts w:ascii="Verdana" w:hAnsi="Verdana"/>
          <w:i/>
          <w:sz w:val="16"/>
          <w:szCs w:val="16"/>
          <w:lang w:val="it-IT"/>
        </w:rPr>
        <w:t xml:space="preserve"> </w:t>
      </w:r>
      <w:r>
        <w:rPr>
          <w:rStyle w:val="Textoennegrita"/>
          <w:rFonts w:ascii="Verdana" w:hAnsi="Verdana"/>
          <w:b w:val="0"/>
          <w:i/>
          <w:color w:val="000000"/>
          <w:sz w:val="16"/>
          <w:szCs w:val="16"/>
          <w:shd w:val="clear" w:color="auto" w:fill="FFFFFF"/>
          <w:lang w:val="it-IT"/>
        </w:rPr>
        <w:t xml:space="preserve">Caso Fontevecchia y D’Amico Vs. </w:t>
      </w:r>
      <w:r>
        <w:rPr>
          <w:rStyle w:val="Textoennegrita"/>
          <w:rFonts w:ascii="Verdana" w:hAnsi="Verdana"/>
          <w:b w:val="0"/>
          <w:i/>
          <w:color w:val="000000"/>
          <w:sz w:val="16"/>
          <w:szCs w:val="16"/>
          <w:shd w:val="clear" w:color="auto" w:fill="FFFFFF"/>
          <w:lang w:val="es-CR"/>
        </w:rPr>
        <w:t>Argentina. Supervisión de Cumplimiento de Sentencia.</w:t>
      </w:r>
      <w:r>
        <w:rPr>
          <w:rStyle w:val="Textoennegrita"/>
          <w:rFonts w:ascii="Verdana" w:hAnsi="Verdana"/>
          <w:b w:val="0"/>
          <w:color w:val="000000"/>
          <w:sz w:val="16"/>
          <w:szCs w:val="16"/>
          <w:shd w:val="clear" w:color="auto" w:fill="FFFFFF"/>
          <w:lang w:val="es-CR"/>
        </w:rPr>
        <w:t xml:space="preserve"> Resolución de la Corte Interamericana de Derechos Humanos de 18 de octubre de 2017, Considerando 20.</w:t>
      </w:r>
    </w:p>
  </w:footnote>
  <w:footnote w:id="41">
    <w:p w:rsidR="00A70CBB" w:rsidRPr="002E6E89" w:rsidRDefault="00A70CBB" w:rsidP="002E6E89">
      <w:pPr>
        <w:pStyle w:val="Textonotapie"/>
        <w:tabs>
          <w:tab w:val="left" w:pos="426"/>
        </w:tabs>
        <w:jc w:val="both"/>
        <w:rPr>
          <w:lang w:val="es-CR"/>
        </w:rPr>
      </w:pPr>
      <w:r w:rsidRPr="002E6E89">
        <w:rPr>
          <w:rStyle w:val="Refdenotaalpie"/>
          <w:rFonts w:ascii="Verdana" w:hAnsi="Verdana"/>
          <w:sz w:val="16"/>
          <w:szCs w:val="16"/>
        </w:rPr>
        <w:footnoteRef/>
      </w:r>
      <w:r w:rsidRPr="002E6E89">
        <w:rPr>
          <w:rFonts w:ascii="Verdana" w:hAnsi="Verdana"/>
          <w:sz w:val="16"/>
          <w:szCs w:val="16"/>
          <w:lang w:val="es-CR"/>
        </w:rPr>
        <w:t xml:space="preserve"> </w:t>
      </w:r>
      <w:r w:rsidRPr="002E6E89">
        <w:rPr>
          <w:rFonts w:ascii="Verdana" w:hAnsi="Verdana"/>
          <w:sz w:val="16"/>
          <w:szCs w:val="16"/>
          <w:lang w:val="es-CR"/>
        </w:rPr>
        <w:tab/>
        <w:t xml:space="preserve">La víctima Pascual Huentequeo Pichún Paillalao falleció el 20 de enero de 2013, antes de la emisión de la Sentencia, por lo cual no se ordenó esta medida de reparación a su favor. </w:t>
      </w:r>
      <w:r w:rsidRPr="002E6E89">
        <w:rPr>
          <w:rFonts w:ascii="Verdana" w:hAnsi="Verdana"/>
          <w:i/>
          <w:sz w:val="16"/>
          <w:szCs w:val="16"/>
          <w:lang w:val="es-CR"/>
        </w:rPr>
        <w:t>Cfr. Caso Norín Catrimán y otros, supra</w:t>
      </w:r>
      <w:r w:rsidRPr="002E6E89">
        <w:rPr>
          <w:rFonts w:ascii="Verdana" w:hAnsi="Verdana"/>
          <w:sz w:val="16"/>
          <w:szCs w:val="16"/>
          <w:lang w:val="es-CR"/>
        </w:rPr>
        <w:t xml:space="preserve"> nota</w:t>
      </w:r>
      <w:r>
        <w:rPr>
          <w:rFonts w:ascii="Verdana" w:hAnsi="Verdana"/>
          <w:sz w:val="16"/>
          <w:szCs w:val="16"/>
          <w:lang w:val="es-CR"/>
        </w:rPr>
        <w:t xml:space="preserve"> 1</w:t>
      </w:r>
      <w:r w:rsidRPr="002E6E89">
        <w:rPr>
          <w:rFonts w:ascii="Verdana" w:hAnsi="Verdana"/>
          <w:sz w:val="16"/>
          <w:szCs w:val="16"/>
          <w:lang w:val="es-CR"/>
        </w:rPr>
        <w:t>, párr. 12.</w:t>
      </w:r>
    </w:p>
  </w:footnote>
  <w:footnote w:id="42">
    <w:p w:rsidR="00A70CBB" w:rsidRPr="002314CC" w:rsidRDefault="00A70CBB" w:rsidP="005F57F5">
      <w:pPr>
        <w:pStyle w:val="Textonotapie"/>
        <w:tabs>
          <w:tab w:val="left" w:pos="426"/>
        </w:tabs>
        <w:jc w:val="both"/>
        <w:rPr>
          <w:rFonts w:ascii="Verdana" w:hAnsi="Verdana"/>
          <w:sz w:val="16"/>
          <w:szCs w:val="16"/>
          <w:lang w:val="es-CR"/>
        </w:rPr>
      </w:pPr>
      <w:r w:rsidRPr="002314CC">
        <w:rPr>
          <w:rStyle w:val="Refdenotaalpie"/>
          <w:rFonts w:ascii="Verdana" w:hAnsi="Verdana"/>
          <w:sz w:val="16"/>
          <w:szCs w:val="16"/>
        </w:rPr>
        <w:footnoteRef/>
      </w:r>
      <w:r w:rsidRPr="002314CC">
        <w:rPr>
          <w:rFonts w:ascii="Verdana" w:hAnsi="Verdana"/>
          <w:sz w:val="16"/>
          <w:szCs w:val="16"/>
          <w:lang w:val="es-CR"/>
        </w:rPr>
        <w:t xml:space="preserve"> </w:t>
      </w:r>
      <w:r w:rsidRPr="002314CC">
        <w:rPr>
          <w:rFonts w:ascii="Verdana" w:hAnsi="Verdana"/>
          <w:sz w:val="16"/>
          <w:szCs w:val="16"/>
          <w:lang w:val="es-CR"/>
        </w:rPr>
        <w:tab/>
      </w:r>
      <w:r w:rsidRPr="002314CC">
        <w:rPr>
          <w:rFonts w:ascii="Verdana" w:hAnsi="Verdana"/>
          <w:i/>
          <w:sz w:val="16"/>
          <w:szCs w:val="16"/>
          <w:lang w:val="es-CR"/>
        </w:rPr>
        <w:t xml:space="preserve">Cfr. </w:t>
      </w:r>
      <w:r w:rsidRPr="002314CC">
        <w:rPr>
          <w:rFonts w:ascii="Verdana" w:hAnsi="Verdana"/>
          <w:sz w:val="16"/>
          <w:szCs w:val="16"/>
          <w:lang w:val="es-CR"/>
        </w:rPr>
        <w:t xml:space="preserve">Oficio Ordinario N. 281 de 3 de </w:t>
      </w:r>
      <w:r>
        <w:rPr>
          <w:rFonts w:ascii="Verdana" w:hAnsi="Verdana"/>
          <w:sz w:val="16"/>
          <w:szCs w:val="16"/>
          <w:lang w:val="es-CR"/>
        </w:rPr>
        <w:t xml:space="preserve">febrero de 2015 suscrito por la Ministra </w:t>
      </w:r>
      <w:r w:rsidRPr="002314CC">
        <w:rPr>
          <w:rFonts w:ascii="Verdana" w:hAnsi="Verdana"/>
          <w:sz w:val="16"/>
          <w:szCs w:val="16"/>
          <w:lang w:val="es-CR"/>
        </w:rPr>
        <w:t>de Salud</w:t>
      </w:r>
      <w:r>
        <w:rPr>
          <w:rFonts w:ascii="Verdana" w:hAnsi="Verdana"/>
          <w:sz w:val="16"/>
          <w:szCs w:val="16"/>
          <w:lang w:val="es-CR"/>
        </w:rPr>
        <w:t xml:space="preserve"> de Chile</w:t>
      </w:r>
      <w:r w:rsidRPr="002314CC">
        <w:rPr>
          <w:rFonts w:ascii="Verdana" w:hAnsi="Verdana"/>
          <w:sz w:val="16"/>
          <w:szCs w:val="16"/>
          <w:lang w:val="es-CR"/>
        </w:rPr>
        <w:t>. (anexo 2 al informe estatal de julio de 2015).</w:t>
      </w:r>
    </w:p>
  </w:footnote>
  <w:footnote w:id="43">
    <w:p w:rsidR="00A70CBB" w:rsidRPr="002314CC" w:rsidRDefault="00A70CBB" w:rsidP="002314CC">
      <w:pPr>
        <w:pStyle w:val="Textonotapie"/>
        <w:tabs>
          <w:tab w:val="left" w:pos="426"/>
        </w:tabs>
        <w:jc w:val="both"/>
        <w:rPr>
          <w:rFonts w:ascii="Verdana" w:hAnsi="Verdana"/>
          <w:sz w:val="16"/>
          <w:szCs w:val="16"/>
          <w:lang w:val="es-CR"/>
        </w:rPr>
      </w:pPr>
      <w:r w:rsidRPr="006620D2">
        <w:rPr>
          <w:rStyle w:val="Refdenotaalpie"/>
          <w:rFonts w:ascii="Verdana" w:hAnsi="Verdana"/>
          <w:sz w:val="16"/>
          <w:szCs w:val="16"/>
        </w:rPr>
        <w:footnoteRef/>
      </w:r>
      <w:r w:rsidRPr="006620D2">
        <w:rPr>
          <w:rFonts w:ascii="Verdana" w:hAnsi="Verdana"/>
          <w:sz w:val="16"/>
          <w:szCs w:val="16"/>
          <w:lang w:val="es-CR"/>
        </w:rPr>
        <w:t xml:space="preserve"> </w:t>
      </w:r>
      <w:r w:rsidRPr="006620D2">
        <w:rPr>
          <w:rFonts w:ascii="Verdana" w:hAnsi="Verdana"/>
          <w:sz w:val="16"/>
          <w:szCs w:val="16"/>
          <w:lang w:val="es-CR"/>
        </w:rPr>
        <w:tab/>
      </w:r>
      <w:r w:rsidRPr="006620D2">
        <w:rPr>
          <w:rFonts w:ascii="Verdana" w:hAnsi="Verdana"/>
          <w:sz w:val="16"/>
          <w:szCs w:val="16"/>
          <w:lang w:val="es-ES_tradnl"/>
        </w:rPr>
        <w:t xml:space="preserve">Aunado a ello, indicó que, en el marco de la creación de este programa de reparación, se llevaron a cabo actividades de revisión documental, visitas domiciliarias, traslado de pacientes, atención médica en posta, atención enfermería y atención dental. </w:t>
      </w:r>
    </w:p>
  </w:footnote>
  <w:footnote w:id="44">
    <w:p w:rsidR="00A70CBB" w:rsidRPr="002314CC" w:rsidRDefault="00A70CBB" w:rsidP="005F57F5">
      <w:pPr>
        <w:pStyle w:val="Textonotapie"/>
        <w:tabs>
          <w:tab w:val="left" w:pos="426"/>
        </w:tabs>
        <w:jc w:val="both"/>
        <w:rPr>
          <w:rFonts w:ascii="Verdana" w:hAnsi="Verdana"/>
          <w:sz w:val="16"/>
          <w:szCs w:val="16"/>
          <w:lang w:val="es-CR"/>
        </w:rPr>
      </w:pPr>
      <w:r w:rsidRPr="002314CC">
        <w:rPr>
          <w:rStyle w:val="Refdenotaalpie"/>
          <w:rFonts w:ascii="Verdana" w:hAnsi="Verdana"/>
          <w:sz w:val="16"/>
          <w:szCs w:val="16"/>
        </w:rPr>
        <w:footnoteRef/>
      </w:r>
      <w:r w:rsidRPr="002314CC">
        <w:rPr>
          <w:rFonts w:ascii="Verdana" w:hAnsi="Verdana"/>
          <w:sz w:val="16"/>
          <w:szCs w:val="16"/>
          <w:lang w:val="es-CR"/>
        </w:rPr>
        <w:t xml:space="preserve"> </w:t>
      </w:r>
      <w:r w:rsidRPr="002314CC">
        <w:rPr>
          <w:rFonts w:ascii="Verdana" w:hAnsi="Verdana"/>
          <w:sz w:val="16"/>
          <w:szCs w:val="16"/>
          <w:lang w:val="es-CR"/>
        </w:rPr>
        <w:tab/>
      </w:r>
      <w:r w:rsidRPr="002314CC">
        <w:rPr>
          <w:rFonts w:ascii="Verdana" w:hAnsi="Verdana"/>
          <w:i/>
          <w:sz w:val="16"/>
          <w:szCs w:val="16"/>
          <w:lang w:val="es-CR"/>
        </w:rPr>
        <w:t>Cfr.</w:t>
      </w:r>
      <w:r w:rsidRPr="002314CC">
        <w:rPr>
          <w:rFonts w:ascii="Verdana" w:hAnsi="Verdana"/>
          <w:sz w:val="16"/>
          <w:szCs w:val="16"/>
          <w:lang w:val="es-CR"/>
        </w:rPr>
        <w:t xml:space="preserve"> Informe del Ministerio de Salud de 28 de julio de 2015, titulado “Atención </w:t>
      </w:r>
      <w:r>
        <w:rPr>
          <w:rFonts w:ascii="Verdana" w:hAnsi="Verdana"/>
          <w:sz w:val="16"/>
          <w:szCs w:val="16"/>
          <w:lang w:val="es-CR"/>
        </w:rPr>
        <w:t>de</w:t>
      </w:r>
      <w:r w:rsidRPr="002314CC">
        <w:rPr>
          <w:rFonts w:ascii="Verdana" w:hAnsi="Verdana"/>
          <w:sz w:val="16"/>
          <w:szCs w:val="16"/>
          <w:lang w:val="es-CR"/>
        </w:rPr>
        <w:t xml:space="preserve"> salud según </w:t>
      </w:r>
      <w:r>
        <w:rPr>
          <w:rFonts w:ascii="Verdana" w:hAnsi="Verdana"/>
          <w:sz w:val="16"/>
          <w:szCs w:val="16"/>
          <w:lang w:val="es-CR"/>
        </w:rPr>
        <w:t>[</w:t>
      </w:r>
      <w:r w:rsidRPr="002314CC">
        <w:rPr>
          <w:rFonts w:ascii="Verdana" w:hAnsi="Verdana"/>
          <w:sz w:val="16"/>
          <w:szCs w:val="16"/>
          <w:lang w:val="es-CR"/>
        </w:rPr>
        <w:t>el</w:t>
      </w:r>
      <w:r>
        <w:rPr>
          <w:rFonts w:ascii="Verdana" w:hAnsi="Verdana"/>
          <w:sz w:val="16"/>
          <w:szCs w:val="16"/>
          <w:lang w:val="es-CR"/>
        </w:rPr>
        <w:t>]</w:t>
      </w:r>
      <w:r w:rsidRPr="002314CC">
        <w:rPr>
          <w:rFonts w:ascii="Verdana" w:hAnsi="Verdana"/>
          <w:sz w:val="16"/>
          <w:szCs w:val="16"/>
          <w:lang w:val="es-CR"/>
        </w:rPr>
        <w:t xml:space="preserve"> Fallo Corte Interamericana: ‘Caso Norín Catrimán y otros’” (anexo 3 al informe estatal de julio de 2015), </w:t>
      </w:r>
      <w:r w:rsidRPr="002314CC">
        <w:rPr>
          <w:rFonts w:ascii="Verdana" w:hAnsi="Verdana"/>
          <w:b/>
          <w:sz w:val="16"/>
          <w:szCs w:val="16"/>
          <w:lang w:val="es-CR"/>
        </w:rPr>
        <w:t>[</w:t>
      </w:r>
      <w:r w:rsidRPr="002314CC">
        <w:rPr>
          <w:rFonts w:ascii="Verdana" w:hAnsi="Verdana"/>
          <w:sz w:val="16"/>
          <w:szCs w:val="16"/>
          <w:lang w:val="es-CR"/>
        </w:rPr>
        <w:t>Oficio No. 281 de 27 de enero de 2016 del Ministerio de Salud (anexo 5 al informe estatal de octubre de 2016)</w:t>
      </w:r>
      <w:r>
        <w:rPr>
          <w:rFonts w:ascii="Verdana" w:hAnsi="Verdana"/>
          <w:sz w:val="16"/>
          <w:szCs w:val="16"/>
          <w:lang w:val="es-CR"/>
        </w:rPr>
        <w:t>.</w:t>
      </w:r>
    </w:p>
  </w:footnote>
  <w:footnote w:id="45">
    <w:p w:rsidR="00A70CBB" w:rsidRPr="002314CC" w:rsidRDefault="00A70CBB" w:rsidP="002314CC">
      <w:pPr>
        <w:pStyle w:val="Textonotapie"/>
        <w:tabs>
          <w:tab w:val="left" w:pos="426"/>
        </w:tabs>
        <w:jc w:val="both"/>
        <w:rPr>
          <w:rFonts w:ascii="Verdana" w:hAnsi="Verdana"/>
          <w:sz w:val="16"/>
          <w:szCs w:val="16"/>
          <w:lang w:val="es-CR"/>
        </w:rPr>
      </w:pPr>
      <w:r w:rsidRPr="002314CC">
        <w:rPr>
          <w:rStyle w:val="Refdenotaalpie"/>
          <w:rFonts w:ascii="Verdana" w:hAnsi="Verdana"/>
          <w:sz w:val="16"/>
          <w:szCs w:val="16"/>
        </w:rPr>
        <w:footnoteRef/>
      </w:r>
      <w:r w:rsidRPr="002314CC">
        <w:rPr>
          <w:rFonts w:ascii="Verdana" w:hAnsi="Verdana"/>
          <w:sz w:val="16"/>
          <w:szCs w:val="16"/>
          <w:lang w:val="es-CR"/>
        </w:rPr>
        <w:t xml:space="preserve"> </w:t>
      </w:r>
      <w:r w:rsidRPr="002314CC">
        <w:rPr>
          <w:rFonts w:ascii="Verdana" w:hAnsi="Verdana"/>
          <w:sz w:val="16"/>
          <w:szCs w:val="16"/>
          <w:lang w:val="es-CR"/>
        </w:rPr>
        <w:tab/>
      </w:r>
      <w:r>
        <w:rPr>
          <w:rFonts w:ascii="Verdana" w:hAnsi="Verdana"/>
          <w:sz w:val="16"/>
          <w:szCs w:val="16"/>
          <w:lang w:val="es-CR"/>
        </w:rPr>
        <w:t>T</w:t>
      </w:r>
      <w:r w:rsidRPr="002314CC">
        <w:rPr>
          <w:rFonts w:ascii="Verdana" w:hAnsi="Verdana"/>
          <w:sz w:val="16"/>
          <w:szCs w:val="16"/>
          <w:lang w:val="es-CR"/>
        </w:rPr>
        <w:t>ales como “los tiempos de traslado de los médicos a las localidades y la falta de médicos especialistas”, e indicó que “[s]e espera dar solución a estos temas a través del presupuesto del año 2016 y mediante una mayor coordinación con los encargados de procurar este beneficio en las localidades”.</w:t>
      </w:r>
    </w:p>
  </w:footnote>
  <w:footnote w:id="46">
    <w:p w:rsidR="00A70CBB" w:rsidRPr="0005222A" w:rsidRDefault="00A70CBB" w:rsidP="0098769C">
      <w:pPr>
        <w:pStyle w:val="Textonotapie"/>
        <w:tabs>
          <w:tab w:val="left" w:pos="426"/>
        </w:tabs>
        <w:jc w:val="both"/>
        <w:rPr>
          <w:rFonts w:ascii="Verdana" w:hAnsi="Verdana"/>
          <w:b/>
          <w:sz w:val="16"/>
          <w:szCs w:val="16"/>
          <w:lang w:val="es-CR"/>
        </w:rPr>
      </w:pPr>
      <w:r w:rsidRPr="0098769C">
        <w:rPr>
          <w:rStyle w:val="Refdenotaalpie"/>
          <w:rFonts w:ascii="Verdana" w:hAnsi="Verdana"/>
          <w:sz w:val="16"/>
          <w:szCs w:val="16"/>
        </w:rPr>
        <w:footnoteRef/>
      </w:r>
      <w:r w:rsidRPr="0098769C">
        <w:rPr>
          <w:rFonts w:ascii="Verdana" w:hAnsi="Verdana"/>
          <w:sz w:val="16"/>
          <w:szCs w:val="16"/>
          <w:lang w:val="es-CR"/>
        </w:rPr>
        <w:t xml:space="preserve"> </w:t>
      </w:r>
      <w:r w:rsidRPr="0098769C">
        <w:rPr>
          <w:rFonts w:ascii="Verdana" w:hAnsi="Verdana"/>
          <w:sz w:val="16"/>
          <w:szCs w:val="16"/>
          <w:lang w:val="es-CR"/>
        </w:rPr>
        <w:tab/>
        <w:t xml:space="preserve">La </w:t>
      </w:r>
      <w:r w:rsidRPr="00E97FCA">
        <w:rPr>
          <w:rFonts w:ascii="Verdana" w:hAnsi="Verdana"/>
          <w:i/>
          <w:sz w:val="16"/>
          <w:szCs w:val="16"/>
          <w:lang w:val="es-CR"/>
        </w:rPr>
        <w:t>víctima Patricia Troncoso</w:t>
      </w:r>
      <w:r w:rsidRPr="0098769C">
        <w:rPr>
          <w:rFonts w:ascii="Verdana" w:hAnsi="Verdana"/>
          <w:sz w:val="16"/>
          <w:szCs w:val="16"/>
          <w:lang w:val="es-CR"/>
        </w:rPr>
        <w:t xml:space="preserve"> se refirió al desconocimiento por parte de los funcionarios de salud del Programa PRILONCOS, lo que conlleva a que tengan que dar explicaciones y esperar para los atiendan. Asimismo, señaló que este programa “no tiene ninguna garantía, ni prestaciones que vayan más allá de la atención de cualquier pobre en Chile”. </w:t>
      </w:r>
      <w:r w:rsidRPr="00605B08">
        <w:rPr>
          <w:rFonts w:ascii="Verdana" w:hAnsi="Verdana"/>
          <w:i/>
          <w:sz w:val="16"/>
          <w:szCs w:val="16"/>
          <w:lang w:val="es-CR"/>
        </w:rPr>
        <w:t>CEJI</w:t>
      </w:r>
      <w:r w:rsidRPr="0040320E">
        <w:rPr>
          <w:rFonts w:ascii="Verdana" w:hAnsi="Verdana"/>
          <w:sz w:val="16"/>
          <w:szCs w:val="16"/>
          <w:lang w:val="es-CR"/>
        </w:rPr>
        <w:t>L observó que el Estado “no indic[ó] cual es la asignación presupuestaria que se ha hecho” para el programa y para</w:t>
      </w:r>
      <w:r>
        <w:rPr>
          <w:rFonts w:ascii="Verdana" w:hAnsi="Verdana"/>
          <w:sz w:val="16"/>
          <w:szCs w:val="16"/>
          <w:lang w:val="es-CR"/>
        </w:rPr>
        <w:t xml:space="preserve"> solventar los desafíos que éste</w:t>
      </w:r>
      <w:r w:rsidRPr="0040320E">
        <w:rPr>
          <w:rFonts w:ascii="Verdana" w:hAnsi="Verdana"/>
          <w:sz w:val="16"/>
          <w:szCs w:val="16"/>
          <w:lang w:val="es-CR"/>
        </w:rPr>
        <w:t xml:space="preserve"> ha identificado (</w:t>
      </w:r>
      <w:r w:rsidRPr="0040320E">
        <w:rPr>
          <w:rFonts w:ascii="Verdana" w:hAnsi="Verdana"/>
          <w:i/>
          <w:sz w:val="16"/>
          <w:szCs w:val="16"/>
          <w:lang w:val="es-CR"/>
        </w:rPr>
        <w:t>supra</w:t>
      </w:r>
      <w:r w:rsidRPr="0040320E">
        <w:rPr>
          <w:rFonts w:ascii="Verdana" w:hAnsi="Verdana"/>
          <w:sz w:val="16"/>
          <w:szCs w:val="16"/>
          <w:lang w:val="es-CR"/>
        </w:rPr>
        <w:t xml:space="preserve"> nota al pie </w:t>
      </w:r>
      <w:r>
        <w:rPr>
          <w:rFonts w:ascii="Verdana" w:hAnsi="Verdana"/>
          <w:sz w:val="16"/>
          <w:szCs w:val="16"/>
          <w:lang w:val="es-CR"/>
        </w:rPr>
        <w:t>45</w:t>
      </w:r>
      <w:r w:rsidRPr="0040320E">
        <w:rPr>
          <w:rFonts w:ascii="Verdana" w:hAnsi="Verdana"/>
          <w:sz w:val="16"/>
          <w:szCs w:val="16"/>
          <w:lang w:val="es-CR"/>
        </w:rPr>
        <w:t>).</w:t>
      </w:r>
      <w:r w:rsidRPr="00903DE2">
        <w:rPr>
          <w:rFonts w:ascii="Verdana" w:hAnsi="Verdana"/>
          <w:sz w:val="16"/>
          <w:szCs w:val="16"/>
          <w:lang w:val="es-CR"/>
        </w:rPr>
        <w:t xml:space="preserve"> </w:t>
      </w:r>
      <w:r w:rsidRPr="00B94C70">
        <w:rPr>
          <w:rFonts w:ascii="Verdana" w:hAnsi="Verdana"/>
          <w:sz w:val="16"/>
          <w:szCs w:val="16"/>
          <w:lang w:val="es-CR"/>
        </w:rPr>
        <w:t>La re</w:t>
      </w:r>
      <w:r>
        <w:rPr>
          <w:rFonts w:ascii="Verdana" w:hAnsi="Verdana"/>
          <w:sz w:val="16"/>
          <w:szCs w:val="16"/>
          <w:lang w:val="es-CR"/>
        </w:rPr>
        <w:t xml:space="preserve">presentante </w:t>
      </w:r>
      <w:r w:rsidRPr="00B94C70">
        <w:rPr>
          <w:rFonts w:ascii="Verdana" w:hAnsi="Verdana"/>
          <w:i/>
          <w:sz w:val="16"/>
          <w:szCs w:val="16"/>
          <w:lang w:val="es-CR"/>
        </w:rPr>
        <w:t>Myriam Reyes</w:t>
      </w:r>
      <w:r>
        <w:rPr>
          <w:rFonts w:ascii="Verdana" w:hAnsi="Verdana"/>
          <w:sz w:val="16"/>
          <w:szCs w:val="16"/>
          <w:lang w:val="es-CR"/>
        </w:rPr>
        <w:t xml:space="preserve"> sostuvo que “el Programa PRILONCOS viene a ser [para sus representados] una suerte de PRAIS”, el cual “[s]e trata de un Programa que se verifica integralmente en el sistema de salud” y que “permite la atención gratuita de los beneficiarios [en el] sistema público de salud, cualquiera que sea su condición económica”, ya que “el sistema de salud pública en Chile tiene un costo para el usuario”. En ese sentido, consideró que el programa PRILONCOS “no tiene ninguna particularidad que lo dote del contenido que resolvió la […] Corte Interamericana”. </w:t>
      </w:r>
      <w:r w:rsidRPr="00766F8B">
        <w:rPr>
          <w:rFonts w:ascii="Verdana" w:hAnsi="Verdana"/>
          <w:sz w:val="16"/>
          <w:szCs w:val="16"/>
          <w:lang w:val="es-CR"/>
        </w:rPr>
        <w:t xml:space="preserve">Los representantes </w:t>
      </w:r>
      <w:r w:rsidRPr="00766F8B">
        <w:rPr>
          <w:rFonts w:ascii="Verdana" w:hAnsi="Verdana"/>
          <w:i/>
          <w:sz w:val="16"/>
          <w:szCs w:val="16"/>
          <w:lang w:val="es-CR"/>
        </w:rPr>
        <w:t xml:space="preserve">Llanquileo, Millamán y Lienlaf </w:t>
      </w:r>
      <w:r w:rsidRPr="00766F8B">
        <w:rPr>
          <w:rFonts w:ascii="Verdana" w:hAnsi="Verdana"/>
          <w:sz w:val="16"/>
          <w:szCs w:val="16"/>
          <w:lang w:val="es-CR"/>
        </w:rPr>
        <w:t xml:space="preserve">han </w:t>
      </w:r>
      <w:r>
        <w:rPr>
          <w:rFonts w:ascii="Verdana" w:hAnsi="Verdana"/>
          <w:sz w:val="16"/>
          <w:szCs w:val="16"/>
          <w:lang w:val="es-CR"/>
        </w:rPr>
        <w:t xml:space="preserve">expresado que “todo este proceso se ha caracterizado por ser altamente burocrático”, que “[n]o ha habido ningún levantamiento nuevo de información más completo para elaborar el programa de salud para cada beneficiario que señal[ó] el Estado”, así como que “[u]n grave problema no resuelto es la falta de definición respecto de quienes son los responsables de ejecutar este programa de reparación”. </w:t>
      </w:r>
      <w:r w:rsidRPr="00882FCA">
        <w:rPr>
          <w:rFonts w:ascii="Verdana" w:hAnsi="Verdana"/>
          <w:sz w:val="16"/>
          <w:szCs w:val="16"/>
          <w:lang w:val="es-CR"/>
        </w:rPr>
        <w:t xml:space="preserve">La </w:t>
      </w:r>
      <w:r w:rsidRPr="0024102A">
        <w:rPr>
          <w:rFonts w:ascii="Verdana" w:hAnsi="Verdana"/>
          <w:i/>
          <w:sz w:val="16"/>
          <w:szCs w:val="16"/>
          <w:lang w:val="es-CR"/>
        </w:rPr>
        <w:t>FIDH</w:t>
      </w:r>
      <w:r w:rsidRPr="00903DE2">
        <w:rPr>
          <w:rFonts w:ascii="Verdana" w:hAnsi="Verdana"/>
          <w:sz w:val="16"/>
          <w:szCs w:val="16"/>
          <w:lang w:val="es-CR"/>
        </w:rPr>
        <w:t xml:space="preserve"> </w:t>
      </w:r>
      <w:r>
        <w:rPr>
          <w:rFonts w:ascii="Verdana" w:hAnsi="Verdana"/>
          <w:sz w:val="16"/>
          <w:szCs w:val="16"/>
          <w:lang w:val="es-CR"/>
        </w:rPr>
        <w:t xml:space="preserve">sostuvo que “es preocupante que […] se sigan presentando muchas demoras en la prestación de los servicios de salud para las víctimas y </w:t>
      </w:r>
      <w:proofErr w:type="gramStart"/>
      <w:r>
        <w:rPr>
          <w:rFonts w:ascii="Verdana" w:hAnsi="Verdana"/>
          <w:sz w:val="16"/>
          <w:szCs w:val="16"/>
          <w:lang w:val="es-CR"/>
        </w:rPr>
        <w:t>comunidades[</w:t>
      </w:r>
      <w:proofErr w:type="gramEnd"/>
      <w:r>
        <w:rPr>
          <w:rFonts w:ascii="Verdana" w:hAnsi="Verdana"/>
          <w:sz w:val="16"/>
          <w:szCs w:val="16"/>
          <w:lang w:val="es-CR"/>
        </w:rPr>
        <w:t xml:space="preserve">, las cuales] se presentan por las dificultades en las diferentes etapas de aprobación administrativa que obstaculizan la celeridad del proceso”. Además, señaló que “la atención funciona sobre todo para los pequeños problemas de </w:t>
      </w:r>
      <w:proofErr w:type="gramStart"/>
      <w:r>
        <w:rPr>
          <w:rFonts w:ascii="Verdana" w:hAnsi="Verdana"/>
          <w:sz w:val="16"/>
          <w:szCs w:val="16"/>
          <w:lang w:val="es-CR"/>
        </w:rPr>
        <w:t>salud[</w:t>
      </w:r>
      <w:proofErr w:type="gramEnd"/>
      <w:r>
        <w:rPr>
          <w:rFonts w:ascii="Verdana" w:hAnsi="Verdana"/>
          <w:sz w:val="16"/>
          <w:szCs w:val="16"/>
          <w:lang w:val="es-CR"/>
        </w:rPr>
        <w:t>, p]ues para problemas más graves [las personas] no reciben un seguimiento adecuado”. También, se refirió a la “falta [de] recursos para que el programa de reparación incluya más elementos de pertenencia cultural” y a que habrían “familiares de las víctimas que no […] q[ue] no han sido evaluados ni diagnosticados”. Finalmente, apuntó que “[n]ada se ha hecho al respecto” del tratamiento psicológico para los miembros de las comunidades.</w:t>
      </w:r>
    </w:p>
  </w:footnote>
  <w:footnote w:id="47">
    <w:p w:rsidR="00A70CBB" w:rsidRPr="00284D32" w:rsidRDefault="00A70CBB" w:rsidP="007509A8">
      <w:pPr>
        <w:tabs>
          <w:tab w:val="left" w:pos="426"/>
        </w:tabs>
        <w:spacing w:after="0" w:line="240" w:lineRule="auto"/>
        <w:jc w:val="both"/>
        <w:rPr>
          <w:rFonts w:ascii="Verdana" w:hAnsi="Verdana" w:cs="Verdana"/>
          <w:bCs/>
          <w:sz w:val="16"/>
          <w:szCs w:val="16"/>
          <w:lang w:val="es-CR"/>
        </w:rPr>
      </w:pPr>
      <w:r w:rsidRPr="00903DE2">
        <w:rPr>
          <w:rStyle w:val="Refdenotaalpie"/>
          <w:rFonts w:ascii="Verdana" w:hAnsi="Verdana"/>
          <w:sz w:val="16"/>
          <w:szCs w:val="16"/>
        </w:rPr>
        <w:footnoteRef/>
      </w:r>
      <w:r w:rsidRPr="00284D32">
        <w:rPr>
          <w:rFonts w:ascii="Verdana" w:hAnsi="Verdana"/>
          <w:i/>
          <w:sz w:val="16"/>
          <w:szCs w:val="16"/>
          <w:lang w:val="it-IT"/>
        </w:rPr>
        <w:t xml:space="preserve"> </w:t>
      </w:r>
      <w:r w:rsidRPr="00284D32">
        <w:rPr>
          <w:rFonts w:ascii="Verdana" w:hAnsi="Verdana"/>
          <w:i/>
          <w:sz w:val="16"/>
          <w:szCs w:val="16"/>
          <w:lang w:val="it-IT"/>
        </w:rPr>
        <w:tab/>
      </w:r>
      <w:r w:rsidRPr="00284D32">
        <w:rPr>
          <w:rFonts w:ascii="Verdana" w:hAnsi="Verdana"/>
          <w:i/>
          <w:iCs/>
          <w:sz w:val="16"/>
          <w:szCs w:val="16"/>
          <w:lang w:val="it-IT"/>
        </w:rPr>
        <w:t xml:space="preserve">Cfr. </w:t>
      </w:r>
      <w:r w:rsidRPr="00284D32">
        <w:rPr>
          <w:rFonts w:ascii="Verdana" w:hAnsi="Verdana"/>
          <w:i/>
          <w:sz w:val="16"/>
          <w:szCs w:val="16"/>
          <w:lang w:val="it-IT"/>
        </w:rPr>
        <w:t xml:space="preserve">Caso La Cantuta Vs. </w:t>
      </w:r>
      <w:r w:rsidRPr="00284D32">
        <w:rPr>
          <w:rFonts w:ascii="Verdana" w:hAnsi="Verdana"/>
          <w:i/>
          <w:sz w:val="16"/>
          <w:szCs w:val="16"/>
          <w:lang w:val="es-CR"/>
        </w:rPr>
        <w:t>Perú. Supervisión de Cumplimiento de Sentencia.</w:t>
      </w:r>
      <w:r w:rsidRPr="00284D32">
        <w:rPr>
          <w:rFonts w:ascii="Verdana" w:hAnsi="Verdana"/>
          <w:sz w:val="16"/>
          <w:szCs w:val="16"/>
          <w:lang w:val="es-CR"/>
        </w:rPr>
        <w:t xml:space="preserve"> Resolución de la Corte Interamericana de Derechos Humanos de 20 de noviembre de 2009, Considerando 30, y </w:t>
      </w:r>
      <w:r w:rsidRPr="00284D32">
        <w:rPr>
          <w:rStyle w:val="Textoennegrita"/>
          <w:rFonts w:ascii="Verdana" w:hAnsi="Verdana"/>
          <w:b w:val="0"/>
          <w:i/>
          <w:color w:val="000000"/>
          <w:sz w:val="16"/>
          <w:szCs w:val="16"/>
          <w:shd w:val="clear" w:color="auto" w:fill="FFFFFF"/>
          <w:lang w:val="es-CR"/>
        </w:rPr>
        <w:t xml:space="preserve">Caso del Penal Miguel Castro Castro Vs. Perú. Supervisión de Cumplimiento de Sentencia. </w:t>
      </w:r>
      <w:r w:rsidRPr="00284D32">
        <w:rPr>
          <w:rStyle w:val="Textoennegrita"/>
          <w:rFonts w:ascii="Verdana" w:hAnsi="Verdana"/>
          <w:b w:val="0"/>
          <w:color w:val="000000"/>
          <w:sz w:val="16"/>
          <w:szCs w:val="16"/>
          <w:shd w:val="clear" w:color="auto" w:fill="FFFFFF"/>
          <w:lang w:val="es-CR"/>
        </w:rPr>
        <w:t xml:space="preserve">Resolución de la Corte Interamericana de Derechos Humanos de 31 de marzo de 2014, Considerando </w:t>
      </w:r>
      <w:r>
        <w:rPr>
          <w:rStyle w:val="Textoennegrita"/>
          <w:rFonts w:ascii="Verdana" w:hAnsi="Verdana"/>
          <w:b w:val="0"/>
          <w:color w:val="000000"/>
          <w:sz w:val="16"/>
          <w:szCs w:val="16"/>
          <w:shd w:val="clear" w:color="auto" w:fill="FFFFFF"/>
          <w:lang w:val="es-CR"/>
        </w:rPr>
        <w:t>cuadragésimo sexto</w:t>
      </w:r>
      <w:r w:rsidRPr="00284D32">
        <w:rPr>
          <w:rStyle w:val="Textoennegrita"/>
          <w:rFonts w:ascii="Verdana" w:hAnsi="Verdana"/>
          <w:b w:val="0"/>
          <w:color w:val="000000"/>
          <w:sz w:val="16"/>
          <w:szCs w:val="16"/>
          <w:shd w:val="clear" w:color="auto" w:fill="FFFFFF"/>
          <w:lang w:val="es-CR"/>
        </w:rPr>
        <w:t>.</w:t>
      </w:r>
    </w:p>
  </w:footnote>
  <w:footnote w:id="48">
    <w:p w:rsidR="00A70CBB" w:rsidRPr="00926ACE" w:rsidRDefault="00A70CBB" w:rsidP="007509A8">
      <w:pPr>
        <w:tabs>
          <w:tab w:val="left" w:pos="426"/>
        </w:tabs>
        <w:spacing w:after="0" w:line="240" w:lineRule="auto"/>
        <w:jc w:val="both"/>
        <w:rPr>
          <w:rFonts w:ascii="Verdana" w:hAnsi="Verdana" w:cs="Verdana"/>
          <w:bCs/>
          <w:sz w:val="16"/>
          <w:szCs w:val="16"/>
          <w:lang w:val="es-CR"/>
        </w:rPr>
      </w:pPr>
      <w:r w:rsidRPr="00251701">
        <w:rPr>
          <w:rStyle w:val="Refdenotaalpie"/>
          <w:rFonts w:ascii="Verdana" w:hAnsi="Verdana"/>
          <w:sz w:val="16"/>
          <w:szCs w:val="16"/>
        </w:rPr>
        <w:footnoteRef/>
      </w:r>
      <w:r w:rsidRPr="00926ACE">
        <w:rPr>
          <w:rFonts w:ascii="Verdana" w:hAnsi="Verdana"/>
          <w:sz w:val="16"/>
          <w:szCs w:val="16"/>
          <w:lang w:val="es-CR"/>
        </w:rPr>
        <w:t xml:space="preserve"> </w:t>
      </w:r>
      <w:r w:rsidRPr="00926ACE">
        <w:rPr>
          <w:rFonts w:ascii="Verdana" w:hAnsi="Verdana"/>
          <w:sz w:val="16"/>
          <w:szCs w:val="16"/>
          <w:lang w:val="es-CR"/>
        </w:rPr>
        <w:tab/>
      </w:r>
      <w:r w:rsidRPr="00926ACE">
        <w:rPr>
          <w:rFonts w:ascii="Verdana" w:hAnsi="Verdana"/>
          <w:i/>
          <w:iCs/>
          <w:sz w:val="16"/>
          <w:szCs w:val="16"/>
          <w:lang w:val="es-CR"/>
        </w:rPr>
        <w:t>Cfr. Caso González y otras (“Campo Algodonero”) Vs. México. Excepciones Preliminares, Fondo, Reparaciones y Costas.</w:t>
      </w:r>
      <w:r w:rsidRPr="00926ACE">
        <w:rPr>
          <w:rFonts w:ascii="Verdana" w:hAnsi="Verdana"/>
          <w:sz w:val="16"/>
          <w:szCs w:val="16"/>
          <w:lang w:val="es-CR"/>
        </w:rPr>
        <w:t xml:space="preserve"> Sentencia de 16 de noviembre de 2009. Serie C No. 205, párr. 529, y</w:t>
      </w:r>
      <w:r w:rsidRPr="00926ACE">
        <w:rPr>
          <w:rFonts w:ascii="Verdana" w:hAnsi="Verdana"/>
          <w:i/>
          <w:iCs/>
          <w:color w:val="000000"/>
          <w:sz w:val="16"/>
          <w:szCs w:val="16"/>
          <w:lang w:val="es-CR"/>
        </w:rPr>
        <w:t xml:space="preserve"> </w:t>
      </w:r>
      <w:r w:rsidRPr="00926ACE">
        <w:rPr>
          <w:rFonts w:ascii="Verdana" w:hAnsi="Verdana"/>
          <w:i/>
          <w:sz w:val="16"/>
          <w:szCs w:val="16"/>
          <w:lang w:val="es-CR"/>
        </w:rPr>
        <w:t xml:space="preserve">Caso Gómez Palomino. Resolución de Supervisión de Cumplimiento </w:t>
      </w:r>
      <w:r w:rsidRPr="00926ACE">
        <w:rPr>
          <w:rFonts w:ascii="Verdana" w:hAnsi="Verdana"/>
          <w:sz w:val="16"/>
          <w:szCs w:val="16"/>
          <w:lang w:val="es-CR"/>
        </w:rPr>
        <w:t>de</w:t>
      </w:r>
      <w:r w:rsidRPr="00926ACE">
        <w:rPr>
          <w:rFonts w:ascii="Verdana" w:hAnsi="Verdana"/>
          <w:i/>
          <w:sz w:val="16"/>
          <w:szCs w:val="16"/>
          <w:lang w:val="es-CR"/>
        </w:rPr>
        <w:t xml:space="preserve"> </w:t>
      </w:r>
      <w:r w:rsidRPr="00926ACE">
        <w:rPr>
          <w:rFonts w:ascii="Verdana" w:hAnsi="Verdana"/>
          <w:sz w:val="16"/>
          <w:szCs w:val="16"/>
          <w:lang w:val="es-CR"/>
        </w:rPr>
        <w:t>05 de julio de 2011</w:t>
      </w:r>
      <w:r w:rsidRPr="00926ACE">
        <w:rPr>
          <w:rFonts w:ascii="Verdana" w:hAnsi="Verdana" w:cs="Verdana"/>
          <w:bCs/>
          <w:sz w:val="16"/>
          <w:szCs w:val="16"/>
          <w:lang w:val="es-CR"/>
        </w:rPr>
        <w:t xml:space="preserve">, </w:t>
      </w:r>
      <w:r w:rsidRPr="00926ACE">
        <w:rPr>
          <w:rFonts w:ascii="Verdana" w:hAnsi="Verdana" w:cs="Verdana"/>
          <w:bCs/>
          <w:i/>
          <w:sz w:val="16"/>
          <w:szCs w:val="16"/>
          <w:lang w:val="es-CR"/>
        </w:rPr>
        <w:t>supra,</w:t>
      </w:r>
      <w:r w:rsidRPr="00926ACE">
        <w:rPr>
          <w:rFonts w:ascii="Verdana" w:hAnsi="Verdana" w:cs="Verdana"/>
          <w:bCs/>
          <w:sz w:val="16"/>
          <w:szCs w:val="16"/>
          <w:lang w:val="es-CR"/>
        </w:rPr>
        <w:t xml:space="preserve"> Considerando vigésimo quinto.</w:t>
      </w:r>
    </w:p>
  </w:footnote>
  <w:footnote w:id="49">
    <w:p w:rsidR="00A70CBB" w:rsidRPr="00251701" w:rsidRDefault="00A70CBB" w:rsidP="00903DE2">
      <w:pPr>
        <w:tabs>
          <w:tab w:val="left" w:pos="426"/>
        </w:tabs>
        <w:spacing w:after="0" w:line="240" w:lineRule="auto"/>
        <w:jc w:val="both"/>
        <w:rPr>
          <w:lang w:val="es-CR"/>
        </w:rPr>
      </w:pPr>
      <w:r w:rsidRPr="00251701">
        <w:rPr>
          <w:rStyle w:val="Refdenotaalpie"/>
          <w:rFonts w:ascii="Verdana" w:hAnsi="Verdana"/>
          <w:sz w:val="16"/>
          <w:szCs w:val="16"/>
        </w:rPr>
        <w:footnoteRef/>
      </w:r>
      <w:r w:rsidRPr="00926ACE">
        <w:rPr>
          <w:rFonts w:ascii="Verdana" w:hAnsi="Verdana"/>
          <w:sz w:val="16"/>
          <w:szCs w:val="16"/>
          <w:lang w:val="es-CR"/>
        </w:rPr>
        <w:t xml:space="preserve"> </w:t>
      </w:r>
      <w:r w:rsidRPr="00251701">
        <w:rPr>
          <w:rFonts w:ascii="Verdana" w:hAnsi="Verdana"/>
          <w:sz w:val="16"/>
          <w:szCs w:val="16"/>
          <w:lang w:val="es-CR"/>
        </w:rPr>
        <w:tab/>
      </w:r>
      <w:r w:rsidRPr="00926ACE">
        <w:rPr>
          <w:rFonts w:ascii="Verdana" w:hAnsi="Verdana"/>
          <w:i/>
          <w:iCs/>
          <w:sz w:val="16"/>
          <w:szCs w:val="16"/>
          <w:lang w:val="es-CR"/>
        </w:rPr>
        <w:t>Cfr.</w:t>
      </w:r>
      <w:r w:rsidRPr="00926ACE">
        <w:rPr>
          <w:rFonts w:ascii="Verdana" w:hAnsi="Verdana"/>
          <w:color w:val="000000"/>
          <w:sz w:val="16"/>
          <w:szCs w:val="16"/>
          <w:lang w:val="es-CR"/>
        </w:rPr>
        <w:t xml:space="preserve"> </w:t>
      </w:r>
      <w:r w:rsidRPr="00926ACE">
        <w:rPr>
          <w:rFonts w:ascii="Verdana" w:hAnsi="Verdana"/>
          <w:i/>
          <w:iCs/>
          <w:color w:val="000000"/>
          <w:sz w:val="16"/>
          <w:szCs w:val="16"/>
          <w:lang w:val="es-CR"/>
        </w:rPr>
        <w:t>Caso Heliodoro Portugal Vs. Panamá</w:t>
      </w:r>
      <w:r w:rsidRPr="00926ACE">
        <w:rPr>
          <w:rFonts w:ascii="Verdana" w:hAnsi="Verdana"/>
          <w:color w:val="000000"/>
          <w:sz w:val="16"/>
          <w:szCs w:val="16"/>
          <w:lang w:val="es-CR"/>
        </w:rPr>
        <w:t>.</w:t>
      </w:r>
      <w:r w:rsidRPr="00926ACE">
        <w:rPr>
          <w:rFonts w:ascii="Verdana" w:hAnsi="Verdana" w:cs="Verdana"/>
          <w:bCs/>
          <w:i/>
          <w:sz w:val="16"/>
          <w:szCs w:val="16"/>
          <w:lang w:val="es-CR"/>
        </w:rPr>
        <w:t xml:space="preserve"> Supervisión de Cumplimiento de Sentencia.</w:t>
      </w:r>
      <w:r w:rsidRPr="00926ACE">
        <w:rPr>
          <w:rFonts w:ascii="Verdana" w:hAnsi="Verdana" w:cs="Verdana"/>
          <w:bCs/>
          <w:sz w:val="16"/>
          <w:szCs w:val="16"/>
          <w:lang w:val="es-CR"/>
        </w:rPr>
        <w:t xml:space="preserve"> Resolución de la Corte Interamericana de Derechos Humanos de 28 de mayo de 2010, </w:t>
      </w:r>
      <w:r w:rsidRPr="00926ACE">
        <w:rPr>
          <w:rFonts w:ascii="Verdana" w:hAnsi="Verdana"/>
          <w:sz w:val="16"/>
          <w:szCs w:val="16"/>
          <w:lang w:val="es-CR"/>
        </w:rPr>
        <w:t xml:space="preserve">Considerando vigésimo octavo, y </w:t>
      </w:r>
      <w:r w:rsidRPr="00284D32">
        <w:rPr>
          <w:rStyle w:val="Textoennegrita"/>
          <w:rFonts w:ascii="Verdana" w:hAnsi="Verdana"/>
          <w:b w:val="0"/>
          <w:i/>
          <w:color w:val="000000"/>
          <w:sz w:val="16"/>
          <w:szCs w:val="16"/>
          <w:shd w:val="clear" w:color="auto" w:fill="FFFFFF"/>
          <w:lang w:val="es-CR"/>
        </w:rPr>
        <w:t>Caso del Penal Miguel Castro Castro Vs. Perú</w:t>
      </w:r>
      <w:r w:rsidRPr="00284D32">
        <w:rPr>
          <w:rStyle w:val="Textoennegrita"/>
          <w:rFonts w:ascii="Verdana" w:hAnsi="Verdana"/>
          <w:b w:val="0"/>
          <w:color w:val="000000"/>
          <w:sz w:val="16"/>
          <w:szCs w:val="16"/>
          <w:shd w:val="clear" w:color="auto" w:fill="FFFFFF"/>
          <w:lang w:val="es-CR"/>
        </w:rPr>
        <w:t xml:space="preserve">, </w:t>
      </w:r>
      <w:r w:rsidRPr="00903DE2">
        <w:rPr>
          <w:rStyle w:val="Textoennegrita"/>
          <w:rFonts w:ascii="Verdana" w:hAnsi="Verdana"/>
          <w:b w:val="0"/>
          <w:i/>
          <w:color w:val="000000"/>
          <w:sz w:val="16"/>
          <w:szCs w:val="16"/>
          <w:shd w:val="clear" w:color="auto" w:fill="FFFFFF"/>
          <w:lang w:val="es-CR"/>
        </w:rPr>
        <w:t>supra</w:t>
      </w:r>
      <w:r>
        <w:rPr>
          <w:rStyle w:val="Textoennegrita"/>
          <w:rFonts w:ascii="Verdana" w:hAnsi="Verdana"/>
          <w:b w:val="0"/>
          <w:color w:val="000000"/>
          <w:sz w:val="16"/>
          <w:szCs w:val="16"/>
          <w:shd w:val="clear" w:color="auto" w:fill="FFFFFF"/>
          <w:lang w:val="es-CR"/>
        </w:rPr>
        <w:t xml:space="preserve"> nota 47, </w:t>
      </w:r>
      <w:r w:rsidRPr="00284D32">
        <w:rPr>
          <w:rStyle w:val="Textoennegrita"/>
          <w:rFonts w:ascii="Verdana" w:hAnsi="Verdana"/>
          <w:b w:val="0"/>
          <w:color w:val="000000"/>
          <w:sz w:val="16"/>
          <w:szCs w:val="16"/>
          <w:shd w:val="clear" w:color="auto" w:fill="FFFFFF"/>
          <w:lang w:val="es-CR"/>
        </w:rPr>
        <w:t>Considerando 46.</w:t>
      </w:r>
    </w:p>
  </w:footnote>
  <w:footnote w:id="50">
    <w:p w:rsidR="00A70CBB" w:rsidRPr="000F5B4B" w:rsidRDefault="00A70CBB" w:rsidP="000F5B4B">
      <w:pPr>
        <w:pStyle w:val="Textonotapie"/>
        <w:tabs>
          <w:tab w:val="left" w:pos="426"/>
        </w:tabs>
        <w:rPr>
          <w:rFonts w:ascii="Verdana" w:hAnsi="Verdana"/>
          <w:sz w:val="16"/>
          <w:szCs w:val="16"/>
          <w:lang w:val="es-CR"/>
        </w:rPr>
      </w:pPr>
      <w:r w:rsidRPr="000F5B4B">
        <w:rPr>
          <w:rStyle w:val="Refdenotaalpie"/>
          <w:rFonts w:ascii="Verdana" w:hAnsi="Verdana"/>
          <w:sz w:val="16"/>
          <w:szCs w:val="16"/>
        </w:rPr>
        <w:footnoteRef/>
      </w:r>
      <w:r w:rsidRPr="000F5B4B">
        <w:rPr>
          <w:rFonts w:ascii="Verdana" w:hAnsi="Verdana"/>
          <w:sz w:val="16"/>
          <w:szCs w:val="16"/>
          <w:lang w:val="es-CR"/>
        </w:rPr>
        <w:t xml:space="preserve"> </w:t>
      </w:r>
      <w:r w:rsidRPr="000F5B4B">
        <w:rPr>
          <w:rFonts w:ascii="Verdana" w:hAnsi="Verdana"/>
          <w:sz w:val="16"/>
          <w:szCs w:val="16"/>
          <w:lang w:val="es-CR"/>
        </w:rPr>
        <w:tab/>
      </w:r>
      <w:r w:rsidRPr="00107FB2">
        <w:rPr>
          <w:rFonts w:ascii="Verdana" w:hAnsi="Verdana"/>
          <w:i/>
          <w:sz w:val="16"/>
          <w:szCs w:val="16"/>
          <w:lang w:val="es-CR"/>
        </w:rPr>
        <w:t>Cfr. Caso Norín Catrimán y otros, supra</w:t>
      </w:r>
      <w:r>
        <w:rPr>
          <w:rFonts w:ascii="Verdana" w:hAnsi="Verdana"/>
          <w:sz w:val="16"/>
          <w:szCs w:val="16"/>
          <w:lang w:val="es-CR"/>
        </w:rPr>
        <w:t xml:space="preserve"> nota 1, p</w:t>
      </w:r>
      <w:r w:rsidRPr="000F5B4B">
        <w:rPr>
          <w:rFonts w:ascii="Verdana" w:hAnsi="Verdana"/>
          <w:sz w:val="16"/>
          <w:szCs w:val="16"/>
          <w:lang w:val="es-CR"/>
        </w:rPr>
        <w:t>árr. 428</w:t>
      </w:r>
      <w:r>
        <w:rPr>
          <w:rFonts w:ascii="Verdana" w:hAnsi="Verdana"/>
          <w:sz w:val="16"/>
          <w:szCs w:val="16"/>
          <w:lang w:val="es-CR"/>
        </w:rPr>
        <w:t>.</w:t>
      </w:r>
    </w:p>
  </w:footnote>
  <w:footnote w:id="51">
    <w:p w:rsidR="00A70CBB" w:rsidRPr="000F5B4B" w:rsidRDefault="00A70CBB" w:rsidP="000F5B4B">
      <w:pPr>
        <w:pStyle w:val="Textonotapie"/>
        <w:tabs>
          <w:tab w:val="left" w:pos="426"/>
        </w:tabs>
        <w:rPr>
          <w:lang w:val="es-CR"/>
        </w:rPr>
      </w:pPr>
      <w:r w:rsidRPr="000F5B4B">
        <w:rPr>
          <w:rStyle w:val="Refdenotaalpie"/>
          <w:rFonts w:ascii="Verdana" w:hAnsi="Verdana"/>
          <w:sz w:val="16"/>
          <w:szCs w:val="16"/>
        </w:rPr>
        <w:footnoteRef/>
      </w:r>
      <w:r w:rsidRPr="000F5B4B">
        <w:rPr>
          <w:rFonts w:ascii="Verdana" w:hAnsi="Verdana"/>
          <w:sz w:val="16"/>
          <w:szCs w:val="16"/>
          <w:lang w:val="es-CR"/>
        </w:rPr>
        <w:t xml:space="preserve"> </w:t>
      </w:r>
      <w:r w:rsidRPr="000F5B4B">
        <w:rPr>
          <w:rFonts w:ascii="Verdana" w:hAnsi="Verdana"/>
          <w:sz w:val="16"/>
          <w:szCs w:val="16"/>
          <w:lang w:val="es-CR"/>
        </w:rPr>
        <w:tab/>
      </w:r>
      <w:r w:rsidRPr="00107FB2">
        <w:rPr>
          <w:rFonts w:ascii="Verdana" w:hAnsi="Verdana"/>
          <w:i/>
          <w:sz w:val="16"/>
          <w:szCs w:val="16"/>
          <w:lang w:val="es-CR"/>
        </w:rPr>
        <w:t>Cfr. Caso Norín Catrimán y otros, supra</w:t>
      </w:r>
      <w:r>
        <w:rPr>
          <w:rFonts w:ascii="Verdana" w:hAnsi="Verdana"/>
          <w:sz w:val="16"/>
          <w:szCs w:val="16"/>
          <w:lang w:val="es-CR"/>
        </w:rPr>
        <w:t xml:space="preserve"> nota 1, p</w:t>
      </w:r>
      <w:r w:rsidRPr="000F5B4B">
        <w:rPr>
          <w:rFonts w:ascii="Verdana" w:hAnsi="Verdana"/>
          <w:sz w:val="16"/>
          <w:szCs w:val="16"/>
          <w:lang w:val="es-CR"/>
        </w:rPr>
        <w:t>árr. 429</w:t>
      </w:r>
      <w:r>
        <w:rPr>
          <w:rFonts w:ascii="Verdana" w:hAnsi="Verdana"/>
          <w:sz w:val="16"/>
          <w:szCs w:val="16"/>
          <w:lang w:val="es-CR"/>
        </w:rPr>
        <w:t>.</w:t>
      </w:r>
    </w:p>
  </w:footnote>
  <w:footnote w:id="52">
    <w:p w:rsidR="00A70CBB" w:rsidRPr="00933013" w:rsidRDefault="00A70CBB" w:rsidP="00317565">
      <w:pPr>
        <w:pStyle w:val="Textonotapie"/>
        <w:tabs>
          <w:tab w:val="left" w:pos="426"/>
          <w:tab w:val="center"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sz w:val="16"/>
          <w:szCs w:val="16"/>
          <w:lang w:val="es-CR"/>
        </w:rPr>
        <w:t xml:space="preserve">Cfr. </w:t>
      </w:r>
      <w:r w:rsidRPr="00933013">
        <w:rPr>
          <w:rFonts w:ascii="Verdana" w:hAnsi="Verdana"/>
          <w:sz w:val="16"/>
          <w:szCs w:val="16"/>
          <w:lang w:val="es-CR"/>
        </w:rPr>
        <w:t>Copia de la publicación del resumen oficial de la Sentencia en el Diario Oficial de la República de Chile Número 40.958 Año CXXXVII- N°815.596(M.R.) de 13 de septiembre de 2014, cuerpo I-4 a cuerpo I-9 (anexo 4 al informe estatal de julio de 2015).</w:t>
      </w:r>
    </w:p>
  </w:footnote>
  <w:footnote w:id="53">
    <w:p w:rsidR="00A70CBB" w:rsidRPr="00933013" w:rsidRDefault="00A70CBB" w:rsidP="004121C6">
      <w:pPr>
        <w:pStyle w:val="Textonotapie"/>
        <w:tabs>
          <w:tab w:val="left" w:pos="426"/>
        </w:tabs>
        <w:jc w:val="both"/>
        <w:rPr>
          <w:rFonts w:ascii="Verdana" w:hAnsi="Verdana"/>
          <w:color w:val="0070C0"/>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La </w:t>
      </w:r>
      <w:r w:rsidRPr="005164F1">
        <w:rPr>
          <w:rFonts w:ascii="Verdana" w:hAnsi="Verdana"/>
          <w:i/>
          <w:sz w:val="16"/>
          <w:szCs w:val="16"/>
          <w:lang w:val="es-CR"/>
        </w:rPr>
        <w:t xml:space="preserve">representante </w:t>
      </w:r>
      <w:r w:rsidRPr="00933013">
        <w:rPr>
          <w:rFonts w:ascii="Verdana" w:hAnsi="Verdana"/>
          <w:i/>
          <w:sz w:val="16"/>
          <w:szCs w:val="16"/>
          <w:lang w:val="es-CR"/>
        </w:rPr>
        <w:t>Myriam Reyes</w:t>
      </w:r>
      <w:r w:rsidRPr="00933013">
        <w:rPr>
          <w:rFonts w:ascii="Verdana" w:hAnsi="Verdana"/>
          <w:sz w:val="16"/>
          <w:szCs w:val="16"/>
          <w:lang w:val="es-CR"/>
        </w:rPr>
        <w:t xml:space="preserve"> afirmó que “la publicación del resumen oficial de la Sentencia, en el Diario Oficial, se encuentra cumplida”.</w:t>
      </w:r>
      <w:r w:rsidRPr="00903DE2">
        <w:rPr>
          <w:rFonts w:ascii="Verdana" w:hAnsi="Verdana"/>
          <w:sz w:val="16"/>
          <w:szCs w:val="16"/>
          <w:lang w:val="es-CR"/>
        </w:rPr>
        <w:t xml:space="preserve"> </w:t>
      </w:r>
      <w:r w:rsidRPr="00933013">
        <w:rPr>
          <w:rFonts w:ascii="Verdana" w:hAnsi="Verdana"/>
          <w:sz w:val="16"/>
          <w:szCs w:val="16"/>
          <w:lang w:val="es-CR"/>
        </w:rPr>
        <w:t xml:space="preserve">Los demás representantes de las víctimas y la Comisión </w:t>
      </w:r>
      <w:r>
        <w:rPr>
          <w:rFonts w:ascii="Verdana" w:hAnsi="Verdana"/>
          <w:sz w:val="16"/>
          <w:szCs w:val="16"/>
          <w:lang w:val="es-CR"/>
        </w:rPr>
        <w:t>Interamericana</w:t>
      </w:r>
      <w:r w:rsidRPr="00933013">
        <w:rPr>
          <w:rFonts w:ascii="Verdana" w:hAnsi="Verdana"/>
          <w:sz w:val="16"/>
          <w:szCs w:val="16"/>
          <w:lang w:val="es-CR"/>
        </w:rPr>
        <w:t xml:space="preserve"> no formularon observaciones al respecto de esta publicación.</w:t>
      </w:r>
    </w:p>
  </w:footnote>
  <w:footnote w:id="54">
    <w:p w:rsidR="00A70CBB" w:rsidRPr="005B5AF3" w:rsidRDefault="00A70CBB" w:rsidP="004121C6">
      <w:pPr>
        <w:pStyle w:val="Textonotapie"/>
        <w:tabs>
          <w:tab w:val="left" w:pos="426"/>
          <w:tab w:val="center"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sz w:val="16"/>
          <w:szCs w:val="16"/>
          <w:lang w:val="es-CR"/>
        </w:rPr>
        <w:tab/>
      </w:r>
      <w:r w:rsidRPr="00933013">
        <w:rPr>
          <w:rFonts w:ascii="Verdana" w:hAnsi="Verdana"/>
          <w:i/>
          <w:sz w:val="16"/>
          <w:szCs w:val="16"/>
          <w:lang w:val="es-CR"/>
        </w:rPr>
        <w:t>Cfr.</w:t>
      </w:r>
      <w:r w:rsidRPr="00933013">
        <w:rPr>
          <w:rFonts w:ascii="Verdana" w:hAnsi="Verdana"/>
          <w:sz w:val="16"/>
          <w:szCs w:val="16"/>
          <w:lang w:val="es-CR"/>
        </w:rPr>
        <w:t xml:space="preserve"> Copia de la publicación del resumen oficial de la Sentencia en el Diario “La Tercera” de 8 de marzo de </w:t>
      </w:r>
      <w:r w:rsidRPr="005B5AF3">
        <w:rPr>
          <w:rFonts w:ascii="Verdana" w:hAnsi="Verdana"/>
          <w:sz w:val="16"/>
          <w:szCs w:val="16"/>
          <w:lang w:val="es-CR"/>
        </w:rPr>
        <w:t>2015 (anexo 5 al informe estatal de julio de 2015).</w:t>
      </w:r>
    </w:p>
  </w:footnote>
  <w:footnote w:id="55">
    <w:p w:rsidR="00A70CBB" w:rsidRPr="00933013" w:rsidRDefault="00A70CBB" w:rsidP="004121C6">
      <w:pPr>
        <w:pStyle w:val="Textonotapie"/>
        <w:tabs>
          <w:tab w:val="left" w:pos="426"/>
        </w:tabs>
        <w:jc w:val="both"/>
        <w:rPr>
          <w:rFonts w:ascii="Verdana" w:hAnsi="Verdana"/>
          <w:sz w:val="16"/>
          <w:szCs w:val="16"/>
          <w:lang w:val="es-CR"/>
        </w:rPr>
      </w:pPr>
      <w:r w:rsidRPr="005B5AF3">
        <w:rPr>
          <w:rStyle w:val="Refdenotaalpie"/>
          <w:rFonts w:ascii="Verdana" w:hAnsi="Verdana"/>
          <w:sz w:val="16"/>
          <w:szCs w:val="16"/>
        </w:rPr>
        <w:footnoteRef/>
      </w:r>
      <w:r w:rsidRPr="005B5AF3">
        <w:rPr>
          <w:rFonts w:ascii="Verdana" w:hAnsi="Verdana"/>
          <w:sz w:val="16"/>
          <w:szCs w:val="16"/>
          <w:lang w:val="es-CR"/>
        </w:rPr>
        <w:t xml:space="preserve"> </w:t>
      </w:r>
      <w:r w:rsidRPr="005B5AF3">
        <w:rPr>
          <w:rFonts w:ascii="Verdana" w:hAnsi="Verdana"/>
          <w:sz w:val="16"/>
          <w:szCs w:val="16"/>
          <w:lang w:val="es-CR"/>
        </w:rPr>
        <w:tab/>
        <w:t xml:space="preserve">Al respecto, sostuvo que </w:t>
      </w:r>
      <w:r>
        <w:rPr>
          <w:rFonts w:ascii="Verdana" w:hAnsi="Verdana"/>
          <w:sz w:val="16"/>
          <w:szCs w:val="16"/>
          <w:lang w:val="es-CR"/>
        </w:rPr>
        <w:t>esta</w:t>
      </w:r>
      <w:r w:rsidRPr="005B5AF3">
        <w:rPr>
          <w:rFonts w:ascii="Verdana" w:hAnsi="Verdana"/>
          <w:sz w:val="16"/>
          <w:szCs w:val="16"/>
          <w:lang w:val="es-CR"/>
        </w:rPr>
        <w:t xml:space="preserve"> publicación “no cumple con el objetivo material de hacer difusión del resumen oficial de la [S]entencia, toda vez que la publicación, […] se hizo con un tamaño de letra que la hace prácticamente ilegible”. Indicó que “[n]o es el tamaño del Anexo 5, [aportado por el Estado (</w:t>
      </w:r>
      <w:r w:rsidRPr="000F5B4B">
        <w:rPr>
          <w:rFonts w:ascii="Verdana" w:hAnsi="Verdana"/>
          <w:i/>
          <w:sz w:val="16"/>
          <w:szCs w:val="16"/>
          <w:lang w:val="es-CR"/>
        </w:rPr>
        <w:t xml:space="preserve">supra </w:t>
      </w:r>
      <w:r w:rsidRPr="005B5AF3">
        <w:rPr>
          <w:rFonts w:ascii="Verdana" w:hAnsi="Verdana"/>
          <w:sz w:val="16"/>
          <w:szCs w:val="16"/>
          <w:lang w:val="es-CR"/>
        </w:rPr>
        <w:t>nota</w:t>
      </w:r>
      <w:r>
        <w:rPr>
          <w:rFonts w:ascii="Verdana" w:hAnsi="Verdana"/>
          <w:sz w:val="16"/>
          <w:szCs w:val="16"/>
          <w:lang w:val="es-CR"/>
        </w:rPr>
        <w:t xml:space="preserve"> al pie</w:t>
      </w:r>
      <w:r w:rsidRPr="005B5AF3">
        <w:rPr>
          <w:rFonts w:ascii="Verdana" w:hAnsi="Verdana"/>
          <w:sz w:val="16"/>
          <w:szCs w:val="16"/>
          <w:lang w:val="es-CR"/>
        </w:rPr>
        <w:t xml:space="preserve"> </w:t>
      </w:r>
      <w:r>
        <w:rPr>
          <w:rFonts w:ascii="Verdana" w:hAnsi="Verdana"/>
          <w:sz w:val="16"/>
          <w:szCs w:val="16"/>
          <w:lang w:val="es-CR"/>
        </w:rPr>
        <w:t>54</w:t>
      </w:r>
      <w:r w:rsidRPr="005B5AF3">
        <w:rPr>
          <w:rFonts w:ascii="Verdana" w:hAnsi="Verdana"/>
          <w:sz w:val="16"/>
          <w:szCs w:val="16"/>
          <w:lang w:val="es-CR"/>
        </w:rPr>
        <w:t xml:space="preserve">),] el que aparece extremadamente pequeño, sino un tamaño un poco mayor, pero de igual forma, demasiado pequeño como para ser considerado que el Estado </w:t>
      </w:r>
      <w:r>
        <w:rPr>
          <w:rFonts w:ascii="Verdana" w:hAnsi="Verdana"/>
          <w:sz w:val="16"/>
          <w:szCs w:val="16"/>
          <w:lang w:val="es-CR"/>
        </w:rPr>
        <w:t xml:space="preserve">[ha] </w:t>
      </w:r>
      <w:r w:rsidRPr="005B5AF3">
        <w:rPr>
          <w:rFonts w:ascii="Verdana" w:hAnsi="Verdana"/>
          <w:sz w:val="16"/>
          <w:szCs w:val="16"/>
          <w:lang w:val="es-CR"/>
        </w:rPr>
        <w:t>cumpl</w:t>
      </w:r>
      <w:r>
        <w:rPr>
          <w:rFonts w:ascii="Verdana" w:hAnsi="Verdana"/>
          <w:sz w:val="16"/>
          <w:szCs w:val="16"/>
          <w:lang w:val="es-CR"/>
        </w:rPr>
        <w:t>[ido]</w:t>
      </w:r>
      <w:r w:rsidRPr="005B5AF3">
        <w:rPr>
          <w:rFonts w:ascii="Verdana" w:hAnsi="Verdana"/>
          <w:sz w:val="16"/>
          <w:szCs w:val="16"/>
          <w:lang w:val="es-CR"/>
        </w:rPr>
        <w:t xml:space="preserve"> de buena fe con el objetivo de hacer difusión de la Sentencia”. Al respecto, solicitó que “se reiter[ara] la publicación en el mismo diario La Tercera, en un tamaño no menor al Times New Roman 12”. </w:t>
      </w:r>
    </w:p>
  </w:footnote>
  <w:footnote w:id="56">
    <w:p w:rsidR="00A70CBB" w:rsidRPr="005B5AF3" w:rsidRDefault="00A70CBB" w:rsidP="005B5AF3">
      <w:pPr>
        <w:pStyle w:val="Textonotapie"/>
        <w:tabs>
          <w:tab w:val="left" w:pos="426"/>
        </w:tabs>
        <w:jc w:val="both"/>
        <w:rPr>
          <w:rFonts w:ascii="Verdana" w:hAnsi="Verdana"/>
          <w:b/>
          <w:sz w:val="16"/>
          <w:szCs w:val="16"/>
          <w:lang w:val="es-CR"/>
        </w:rPr>
      </w:pPr>
      <w:r w:rsidRPr="005B5AF3">
        <w:rPr>
          <w:rStyle w:val="Refdenotaalpie"/>
          <w:rFonts w:ascii="Verdana" w:hAnsi="Verdana"/>
          <w:sz w:val="16"/>
          <w:szCs w:val="16"/>
        </w:rPr>
        <w:footnoteRef/>
      </w:r>
      <w:r w:rsidRPr="005B5AF3">
        <w:rPr>
          <w:rFonts w:ascii="Verdana" w:hAnsi="Verdana"/>
          <w:sz w:val="16"/>
          <w:szCs w:val="16"/>
          <w:lang w:val="es-CR"/>
        </w:rPr>
        <w:t xml:space="preserve"> </w:t>
      </w:r>
      <w:r w:rsidRPr="005B5AF3">
        <w:rPr>
          <w:rFonts w:ascii="Verdana" w:hAnsi="Verdana"/>
          <w:sz w:val="16"/>
          <w:szCs w:val="16"/>
          <w:lang w:val="es-CR"/>
        </w:rPr>
        <w:tab/>
      </w:r>
      <w:r w:rsidRPr="005B5AF3">
        <w:rPr>
          <w:rFonts w:ascii="Verdana" w:hAnsi="Verdana"/>
          <w:i/>
          <w:sz w:val="16"/>
          <w:szCs w:val="16"/>
          <w:lang w:val="es-CR"/>
        </w:rPr>
        <w:t>Cfr.</w:t>
      </w:r>
      <w:r w:rsidRPr="00903DE2">
        <w:rPr>
          <w:rFonts w:ascii="Verdana" w:hAnsi="Verdana"/>
          <w:sz w:val="16"/>
          <w:szCs w:val="16"/>
          <w:lang w:val="es-CR"/>
        </w:rPr>
        <w:t xml:space="preserve"> </w:t>
      </w:r>
      <w:r w:rsidRPr="00805B75">
        <w:rPr>
          <w:rStyle w:val="Textoennegrita"/>
          <w:rFonts w:ascii="Verdana" w:hAnsi="Verdana"/>
          <w:b w:val="0"/>
          <w:i/>
          <w:color w:val="000000"/>
          <w:sz w:val="16"/>
          <w:szCs w:val="16"/>
          <w:shd w:val="clear" w:color="auto" w:fill="FFFFFF"/>
          <w:lang w:val="es-CR"/>
        </w:rPr>
        <w:t>Caso García Cruz y Sánchez Silvestre Vs. México. Supervisión de Cumplimiento de Sentencia.</w:t>
      </w:r>
      <w:r w:rsidRPr="005B5AF3">
        <w:rPr>
          <w:rStyle w:val="Textoennegrita"/>
          <w:rFonts w:ascii="Verdana" w:hAnsi="Verdana"/>
          <w:b w:val="0"/>
          <w:color w:val="000000"/>
          <w:sz w:val="16"/>
          <w:szCs w:val="16"/>
          <w:shd w:val="clear" w:color="auto" w:fill="FFFFFF"/>
          <w:lang w:val="es-CR"/>
        </w:rPr>
        <w:t xml:space="preserve"> Resolución de la Corte Interamericana de Derechos Humanos de 1 de septiembre de 2016, Considerando </w:t>
      </w:r>
      <w:r>
        <w:rPr>
          <w:rStyle w:val="Textoennegrita"/>
          <w:rFonts w:ascii="Verdana" w:hAnsi="Verdana"/>
          <w:b w:val="0"/>
          <w:color w:val="000000"/>
          <w:sz w:val="16"/>
          <w:szCs w:val="16"/>
          <w:shd w:val="clear" w:color="auto" w:fill="FFFFFF"/>
          <w:lang w:val="es-CR"/>
        </w:rPr>
        <w:t>octavo</w:t>
      </w:r>
      <w:r w:rsidRPr="005B5AF3">
        <w:rPr>
          <w:rStyle w:val="Textoennegrita"/>
          <w:rFonts w:ascii="Verdana" w:hAnsi="Verdana"/>
          <w:b w:val="0"/>
          <w:color w:val="000000"/>
          <w:sz w:val="16"/>
          <w:szCs w:val="16"/>
          <w:shd w:val="clear" w:color="auto" w:fill="FFFFFF"/>
          <w:lang w:val="es-CR"/>
        </w:rPr>
        <w:t xml:space="preserve">. </w:t>
      </w:r>
    </w:p>
  </w:footnote>
  <w:footnote w:id="57">
    <w:p w:rsidR="00A70CBB" w:rsidRPr="00933013" w:rsidRDefault="00A70CBB" w:rsidP="004121C6">
      <w:pPr>
        <w:pStyle w:val="Textonotapie"/>
        <w:tabs>
          <w:tab w:val="left" w:pos="426"/>
          <w:tab w:val="left" w:pos="567"/>
        </w:tabs>
        <w:ind w:right="4"/>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El </w:t>
      </w:r>
      <w:r w:rsidRPr="00933013">
        <w:rPr>
          <w:rFonts w:ascii="Verdana" w:hAnsi="Verdana"/>
          <w:i/>
          <w:sz w:val="16"/>
          <w:szCs w:val="16"/>
          <w:lang w:val="es-CR"/>
        </w:rPr>
        <w:t>Estado</w:t>
      </w:r>
      <w:r w:rsidRPr="00933013">
        <w:rPr>
          <w:rFonts w:ascii="Verdana" w:hAnsi="Verdana"/>
          <w:sz w:val="16"/>
          <w:szCs w:val="16"/>
          <w:lang w:val="es-CR"/>
        </w:rPr>
        <w:t xml:space="preserve"> sostuvo que además publicó el “resumen oficial [de la Sentencia] en español y en mapudungun” y que tanto la publicación de la Sentencia como la de los resúmenes “se encuentra</w:t>
      </w:r>
      <w:r>
        <w:rPr>
          <w:rFonts w:ascii="Verdana" w:hAnsi="Verdana"/>
          <w:sz w:val="16"/>
          <w:szCs w:val="16"/>
          <w:lang w:val="es-CR"/>
        </w:rPr>
        <w:t>[n]</w:t>
      </w:r>
      <w:r w:rsidRPr="00933013">
        <w:rPr>
          <w:rFonts w:ascii="Verdana" w:hAnsi="Verdana"/>
          <w:sz w:val="16"/>
          <w:szCs w:val="16"/>
          <w:lang w:val="es-CR"/>
        </w:rPr>
        <w:t xml:space="preserve"> disponible</w:t>
      </w:r>
      <w:r>
        <w:rPr>
          <w:rFonts w:ascii="Verdana" w:hAnsi="Verdana"/>
          <w:sz w:val="16"/>
          <w:szCs w:val="16"/>
          <w:lang w:val="es-CR"/>
        </w:rPr>
        <w:t>[s]</w:t>
      </w:r>
      <w:r w:rsidRPr="00933013">
        <w:rPr>
          <w:rFonts w:ascii="Verdana" w:hAnsi="Verdana"/>
          <w:sz w:val="16"/>
          <w:szCs w:val="16"/>
          <w:lang w:val="es-CR"/>
        </w:rPr>
        <w:t xml:space="preserve"> desde el 15 de enero de 2015” en el sitio </w:t>
      </w:r>
      <w:r w:rsidRPr="00933013">
        <w:rPr>
          <w:rFonts w:ascii="Verdana" w:hAnsi="Verdana"/>
          <w:i/>
          <w:sz w:val="16"/>
          <w:szCs w:val="16"/>
          <w:lang w:val="es-CR"/>
        </w:rPr>
        <w:t>web</w:t>
      </w:r>
      <w:r w:rsidRPr="00933013">
        <w:rPr>
          <w:rFonts w:ascii="Verdana" w:hAnsi="Verdana"/>
          <w:sz w:val="16"/>
          <w:szCs w:val="16"/>
          <w:lang w:val="es-CR"/>
        </w:rPr>
        <w:t xml:space="preserve"> oficial del Ministerio de Justicia. En sus informes de julio y agosto de 2015 indicó los enlaces electrónicos a través de los cuales se podía acceder a las publicaciones. </w:t>
      </w:r>
      <w:r>
        <w:rPr>
          <w:rFonts w:ascii="Verdana" w:hAnsi="Verdana"/>
          <w:sz w:val="16"/>
          <w:szCs w:val="16"/>
          <w:lang w:val="es-CR"/>
        </w:rPr>
        <w:t>L</w:t>
      </w:r>
      <w:r w:rsidRPr="00933013">
        <w:rPr>
          <w:rFonts w:ascii="Verdana" w:hAnsi="Verdana"/>
          <w:sz w:val="16"/>
          <w:szCs w:val="16"/>
          <w:lang w:val="es-CR"/>
        </w:rPr>
        <w:t xml:space="preserve">a publicación de la Sentencia aún se encuentra disponible a través de la página de inicio de los sitios </w:t>
      </w:r>
      <w:r w:rsidRPr="00933013">
        <w:rPr>
          <w:rFonts w:ascii="Verdana" w:hAnsi="Verdana"/>
          <w:i/>
          <w:sz w:val="16"/>
          <w:szCs w:val="16"/>
          <w:lang w:val="es-CR"/>
        </w:rPr>
        <w:t>web</w:t>
      </w:r>
      <w:r w:rsidRPr="00933013">
        <w:rPr>
          <w:rFonts w:ascii="Verdana" w:hAnsi="Verdana"/>
          <w:sz w:val="16"/>
          <w:szCs w:val="16"/>
          <w:lang w:val="es-CR"/>
        </w:rPr>
        <w:t xml:space="preserve"> oficiales del Ministerio de Justicia y del Ministerio de Relaciones Exteriores a través de los siguientes enlaces: </w:t>
      </w:r>
      <w:hyperlink r:id="rId4" w:history="1">
        <w:r w:rsidRPr="00933013">
          <w:rPr>
            <w:rStyle w:val="Hipervnculo"/>
            <w:rFonts w:ascii="Verdana" w:hAnsi="Verdana"/>
            <w:sz w:val="16"/>
            <w:szCs w:val="16"/>
            <w:lang w:val="es-CR"/>
          </w:rPr>
          <w:t>http://www.minjusticia.gob.cl/media/2015/06/sentencia-traduccion-final.pdf</w:t>
        </w:r>
      </w:hyperlink>
      <w:r w:rsidRPr="00933013">
        <w:rPr>
          <w:rFonts w:ascii="Verdana" w:hAnsi="Verdana"/>
          <w:sz w:val="16"/>
          <w:szCs w:val="16"/>
          <w:lang w:val="es-CR"/>
        </w:rPr>
        <w:t xml:space="preserve"> y </w:t>
      </w:r>
      <w:hyperlink r:id="rId5" w:history="1">
        <w:r w:rsidRPr="00933013">
          <w:rPr>
            <w:rStyle w:val="Hipervnculo"/>
            <w:rFonts w:ascii="Verdana" w:hAnsi="Verdana"/>
            <w:sz w:val="16"/>
            <w:szCs w:val="16"/>
            <w:lang w:val="es-CR"/>
          </w:rPr>
          <w:t>http://www.ministeriodesarrollosocial.gob.cl/pdf/upload/sentencia-traduccion-final.pdf</w:t>
        </w:r>
      </w:hyperlink>
      <w:r w:rsidRPr="00933013">
        <w:rPr>
          <w:rFonts w:ascii="Verdana" w:hAnsi="Verdana"/>
          <w:sz w:val="16"/>
          <w:szCs w:val="16"/>
          <w:lang w:val="es-CR"/>
        </w:rPr>
        <w:t xml:space="preserve">  (última consulta el </w:t>
      </w:r>
      <w:r>
        <w:rPr>
          <w:rFonts w:ascii="Verdana" w:hAnsi="Verdana"/>
          <w:sz w:val="16"/>
          <w:szCs w:val="16"/>
          <w:lang w:val="es-CR"/>
        </w:rPr>
        <w:t>28</w:t>
      </w:r>
      <w:r w:rsidRPr="00933013">
        <w:rPr>
          <w:rFonts w:ascii="Verdana" w:hAnsi="Verdana"/>
          <w:sz w:val="16"/>
          <w:szCs w:val="16"/>
          <w:lang w:val="es-CR"/>
        </w:rPr>
        <w:t xml:space="preserve"> de </w:t>
      </w:r>
      <w:r>
        <w:rPr>
          <w:rFonts w:ascii="Verdana" w:hAnsi="Verdana"/>
          <w:sz w:val="16"/>
          <w:szCs w:val="16"/>
          <w:lang w:val="es-CR"/>
        </w:rPr>
        <w:t>noviembre</w:t>
      </w:r>
      <w:r w:rsidRPr="00933013">
        <w:rPr>
          <w:rFonts w:ascii="Verdana" w:hAnsi="Verdana"/>
          <w:sz w:val="16"/>
          <w:szCs w:val="16"/>
          <w:lang w:val="es-CR"/>
        </w:rPr>
        <w:t xml:space="preserve"> de 201</w:t>
      </w:r>
      <w:r>
        <w:rPr>
          <w:rFonts w:ascii="Verdana" w:hAnsi="Verdana"/>
          <w:sz w:val="16"/>
          <w:szCs w:val="16"/>
          <w:lang w:val="es-CR"/>
        </w:rPr>
        <w:t>8</w:t>
      </w:r>
      <w:r w:rsidRPr="00933013">
        <w:rPr>
          <w:rFonts w:ascii="Verdana" w:hAnsi="Verdana"/>
          <w:sz w:val="16"/>
          <w:szCs w:val="16"/>
          <w:lang w:val="es-CR"/>
        </w:rPr>
        <w:t xml:space="preserve">). Los </w:t>
      </w:r>
      <w:r w:rsidRPr="00933013">
        <w:rPr>
          <w:rFonts w:ascii="Verdana" w:hAnsi="Verdana"/>
          <w:i/>
          <w:sz w:val="16"/>
          <w:szCs w:val="16"/>
          <w:lang w:val="es-CR"/>
        </w:rPr>
        <w:t>representantes</w:t>
      </w:r>
      <w:r>
        <w:rPr>
          <w:rFonts w:ascii="Verdana" w:hAnsi="Verdana"/>
          <w:i/>
          <w:sz w:val="16"/>
          <w:szCs w:val="16"/>
          <w:lang w:val="es-CR"/>
        </w:rPr>
        <w:t xml:space="preserve"> de las víctimas</w:t>
      </w:r>
      <w:r w:rsidRPr="00933013">
        <w:rPr>
          <w:rFonts w:ascii="Verdana" w:hAnsi="Verdana"/>
          <w:sz w:val="16"/>
          <w:szCs w:val="16"/>
          <w:lang w:val="es-CR"/>
        </w:rPr>
        <w:t xml:space="preserve"> y la </w:t>
      </w:r>
      <w:r w:rsidRPr="00933013">
        <w:rPr>
          <w:rFonts w:ascii="Verdana" w:hAnsi="Verdana"/>
          <w:i/>
          <w:sz w:val="16"/>
          <w:szCs w:val="16"/>
          <w:lang w:val="es-CR"/>
        </w:rPr>
        <w:t>Comisión IDH</w:t>
      </w:r>
      <w:r w:rsidRPr="00933013">
        <w:rPr>
          <w:rFonts w:ascii="Verdana" w:hAnsi="Verdana"/>
          <w:sz w:val="16"/>
          <w:szCs w:val="16"/>
          <w:lang w:val="es-CR"/>
        </w:rPr>
        <w:t xml:space="preserve"> no presentaron observaciones con respecto a esta</w:t>
      </w:r>
      <w:r>
        <w:rPr>
          <w:rFonts w:ascii="Verdana" w:hAnsi="Verdana"/>
          <w:sz w:val="16"/>
          <w:szCs w:val="16"/>
          <w:lang w:val="es-CR"/>
        </w:rPr>
        <w:t>s</w:t>
      </w:r>
      <w:r w:rsidRPr="00933013">
        <w:rPr>
          <w:rFonts w:ascii="Verdana" w:hAnsi="Verdana"/>
          <w:sz w:val="16"/>
          <w:szCs w:val="16"/>
          <w:lang w:val="es-CR"/>
        </w:rPr>
        <w:t xml:space="preserve"> publicaci</w:t>
      </w:r>
      <w:r>
        <w:rPr>
          <w:rFonts w:ascii="Verdana" w:hAnsi="Verdana"/>
          <w:sz w:val="16"/>
          <w:szCs w:val="16"/>
          <w:lang w:val="es-CR"/>
        </w:rPr>
        <w:t>o</w:t>
      </w:r>
      <w:r w:rsidRPr="00933013">
        <w:rPr>
          <w:rFonts w:ascii="Verdana" w:hAnsi="Verdana"/>
          <w:sz w:val="16"/>
          <w:szCs w:val="16"/>
          <w:lang w:val="es-CR"/>
        </w:rPr>
        <w:t>n</w:t>
      </w:r>
      <w:r>
        <w:rPr>
          <w:rFonts w:ascii="Verdana" w:hAnsi="Verdana"/>
          <w:sz w:val="16"/>
          <w:szCs w:val="16"/>
          <w:lang w:val="es-CR"/>
        </w:rPr>
        <w:t>es</w:t>
      </w:r>
      <w:r w:rsidRPr="00933013">
        <w:rPr>
          <w:rFonts w:ascii="Verdana" w:hAnsi="Verdana"/>
          <w:sz w:val="16"/>
          <w:szCs w:val="16"/>
          <w:lang w:val="es-CR"/>
        </w:rPr>
        <w:t xml:space="preserve">. </w:t>
      </w:r>
    </w:p>
  </w:footnote>
  <w:footnote w:id="58">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r>
      <w:r w:rsidRPr="00933013">
        <w:rPr>
          <w:rFonts w:ascii="Verdana" w:hAnsi="Verdana"/>
          <w:i/>
          <w:sz w:val="16"/>
          <w:szCs w:val="16"/>
          <w:lang w:val="es-CR"/>
        </w:rPr>
        <w:t xml:space="preserve">Cfr. </w:t>
      </w:r>
      <w:r w:rsidRPr="00933013">
        <w:rPr>
          <w:rFonts w:ascii="Verdana" w:hAnsi="Verdana"/>
          <w:sz w:val="16"/>
          <w:szCs w:val="16"/>
          <w:lang w:val="es-CR"/>
        </w:rPr>
        <w:t>Copia de Oficio Ordinario N</w:t>
      </w:r>
      <w:r w:rsidRPr="00933013">
        <w:rPr>
          <w:rFonts w:ascii="Verdana" w:hAnsi="Verdana"/>
          <w:sz w:val="16"/>
          <w:szCs w:val="16"/>
          <w:vertAlign w:val="superscript"/>
          <w:lang w:val="es-CR"/>
        </w:rPr>
        <w:t xml:space="preserve">o </w:t>
      </w:r>
      <w:r w:rsidRPr="00933013">
        <w:rPr>
          <w:rFonts w:ascii="Verdana" w:hAnsi="Verdana"/>
          <w:sz w:val="16"/>
          <w:szCs w:val="16"/>
          <w:lang w:val="es-CR"/>
        </w:rPr>
        <w:t>2006 de 27 de julio de 2015 enviado por el Subsecretario General de Gobierno al Subsecretario de Relaciones Exteriores (anexo 6 al informe estatal de julio de 2015).</w:t>
      </w:r>
    </w:p>
  </w:footnote>
  <w:footnote w:id="59">
    <w:p w:rsidR="00A70CBB" w:rsidRPr="00933013" w:rsidRDefault="00A70CBB" w:rsidP="004121C6">
      <w:pPr>
        <w:tabs>
          <w:tab w:val="left" w:pos="426"/>
        </w:tabs>
        <w:spacing w:after="0" w:line="240" w:lineRule="auto"/>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La </w:t>
      </w:r>
      <w:r w:rsidRPr="00933013">
        <w:rPr>
          <w:rFonts w:ascii="Verdana" w:hAnsi="Verdana"/>
          <w:i/>
          <w:sz w:val="16"/>
          <w:szCs w:val="16"/>
          <w:lang w:val="es-CR"/>
        </w:rPr>
        <w:t>representante Myriam Reyes</w:t>
      </w:r>
      <w:r w:rsidRPr="00933013">
        <w:rPr>
          <w:rFonts w:ascii="Verdana" w:hAnsi="Verdana"/>
          <w:sz w:val="16"/>
          <w:szCs w:val="16"/>
          <w:lang w:val="es-CR"/>
        </w:rPr>
        <w:t xml:space="preserve"> consideró que “no estaba cumplida la obligación” porque: “</w:t>
      </w:r>
      <w:r>
        <w:rPr>
          <w:rFonts w:ascii="Verdana" w:hAnsi="Verdana"/>
          <w:sz w:val="16"/>
          <w:szCs w:val="16"/>
          <w:lang w:val="es-CR"/>
        </w:rPr>
        <w:t>[</w:t>
      </w:r>
      <w:r w:rsidRPr="00933013">
        <w:rPr>
          <w:rFonts w:ascii="Verdana" w:hAnsi="Verdana"/>
          <w:sz w:val="16"/>
          <w:szCs w:val="16"/>
          <w:lang w:val="es-CR"/>
        </w:rPr>
        <w:t>n</w:t>
      </w:r>
      <w:r>
        <w:rPr>
          <w:rFonts w:ascii="Verdana" w:hAnsi="Verdana"/>
          <w:sz w:val="16"/>
          <w:szCs w:val="16"/>
          <w:lang w:val="es-CR"/>
        </w:rPr>
        <w:t>]</w:t>
      </w:r>
      <w:r w:rsidRPr="00933013">
        <w:rPr>
          <w:rFonts w:ascii="Verdana" w:hAnsi="Verdana"/>
          <w:sz w:val="16"/>
          <w:szCs w:val="16"/>
          <w:lang w:val="es-CR"/>
        </w:rPr>
        <w:t>o se [hizo] radiodifusión del resumen oficial de la sentencia, sino de una frase radial invitando a la comunidad a conocer, informarse y acceder a la sentencia y a [su] resumen</w:t>
      </w:r>
      <w:proofErr w:type="gramStart"/>
      <w:r w:rsidRPr="00933013">
        <w:rPr>
          <w:rFonts w:ascii="Verdana" w:hAnsi="Verdana"/>
          <w:sz w:val="16"/>
          <w:szCs w:val="16"/>
          <w:lang w:val="es-CR"/>
        </w:rPr>
        <w:t>”;“</w:t>
      </w:r>
      <w:proofErr w:type="gramEnd"/>
      <w:r w:rsidRPr="00933013">
        <w:rPr>
          <w:rFonts w:ascii="Verdana" w:hAnsi="Verdana"/>
          <w:sz w:val="16"/>
          <w:szCs w:val="16"/>
          <w:lang w:val="es-CR"/>
        </w:rPr>
        <w:t xml:space="preserve">[l]as radios en las que se emitió la frase son radios locales, de mínimo alcance”, y debido a que no se les “d[io] aviso [de la radiodifusión] con [dos] semanas de anticipación”. Al respecto, indicó que en las “reuniones con el Gobierno […] fue explícita en […] solicitar que la radiodifusión de la </w:t>
      </w:r>
      <w:r w:rsidRPr="004C4A5A">
        <w:rPr>
          <w:rFonts w:ascii="Verdana" w:hAnsi="Verdana"/>
          <w:sz w:val="16"/>
          <w:szCs w:val="16"/>
          <w:lang w:val="es-CR"/>
        </w:rPr>
        <w:t>sentencia lo fuera en la radio Bío Bío, primera [</w:t>
      </w:r>
      <w:r w:rsidRPr="00CD7692">
        <w:rPr>
          <w:rFonts w:ascii="Verdana" w:hAnsi="Verdana"/>
          <w:sz w:val="16"/>
          <w:szCs w:val="16"/>
          <w:lang w:val="es-CR"/>
        </w:rPr>
        <w:t xml:space="preserve">en] sintonía en el país, la radio con mayor cantidad de filiales [y l]a primera en sintonía en la Octava y Novena Regiones”. Solicitó a la Corte que “disponga […] que el Estado haga efectivamente la radiodifusión del Resumen Oficial de la Sentencia, en radio Bío Bío”. </w:t>
      </w:r>
      <w:r w:rsidRPr="00903DE2">
        <w:rPr>
          <w:rFonts w:ascii="Verdana" w:hAnsi="Verdana"/>
          <w:i/>
          <w:sz w:val="16"/>
          <w:szCs w:val="16"/>
          <w:lang w:val="es-CR"/>
        </w:rPr>
        <w:t xml:space="preserve">CEJIL </w:t>
      </w:r>
      <w:r w:rsidRPr="004C4A5A">
        <w:rPr>
          <w:rFonts w:ascii="Verdana" w:hAnsi="Verdana"/>
          <w:sz w:val="16"/>
          <w:szCs w:val="16"/>
          <w:lang w:val="es-CR"/>
        </w:rPr>
        <w:t>observó que “la radiodifusión no se ajustó estrictamente a la orden</w:t>
      </w:r>
      <w:r w:rsidRPr="00CD7692">
        <w:rPr>
          <w:rFonts w:ascii="Verdana" w:hAnsi="Verdana"/>
          <w:sz w:val="16"/>
          <w:szCs w:val="16"/>
          <w:lang w:val="es-CR"/>
        </w:rPr>
        <w:t xml:space="preserve"> de que se emitiera el resumen oficial de la sentencia tanto en español como en mapudungun” y no cumplió con haber sido comunicada a las víctimas con anticipación,</w:t>
      </w:r>
      <w:r w:rsidRPr="001843F3">
        <w:rPr>
          <w:rFonts w:ascii="Verdana" w:hAnsi="Verdana"/>
          <w:sz w:val="16"/>
          <w:szCs w:val="16"/>
          <w:lang w:val="es-CR"/>
        </w:rPr>
        <w:t xml:space="preserve"> ya que </w:t>
      </w:r>
      <w:r w:rsidRPr="000E3E2A">
        <w:rPr>
          <w:rFonts w:ascii="Verdana" w:hAnsi="Verdana"/>
          <w:sz w:val="16"/>
          <w:szCs w:val="16"/>
          <w:lang w:val="es-CR"/>
        </w:rPr>
        <w:t>“el Estado se limitó a informar un día antes de la primera emisión</w:t>
      </w:r>
      <w:r w:rsidRPr="008629F9">
        <w:rPr>
          <w:rFonts w:ascii="Verdana" w:hAnsi="Verdana"/>
          <w:sz w:val="16"/>
          <w:szCs w:val="16"/>
          <w:lang w:val="es-CR"/>
        </w:rPr>
        <w:t xml:space="preserve"> las fechas en que se realizarían las mismas”.</w:t>
      </w:r>
      <w:r w:rsidRPr="00FB4C77">
        <w:rPr>
          <w:rFonts w:ascii="Verdana" w:hAnsi="Verdana"/>
          <w:sz w:val="16"/>
          <w:szCs w:val="16"/>
          <w:lang w:val="es-CR"/>
        </w:rPr>
        <w:t xml:space="preserve"> Por ello, solicitó que “la Corte </w:t>
      </w:r>
      <w:r w:rsidRPr="0087453C">
        <w:rPr>
          <w:rFonts w:ascii="Verdana" w:hAnsi="Verdana"/>
          <w:sz w:val="16"/>
          <w:szCs w:val="16"/>
          <w:lang w:val="es-CR"/>
        </w:rPr>
        <w:t xml:space="preserve">[…] </w:t>
      </w:r>
      <w:r w:rsidRPr="00CD36D2">
        <w:rPr>
          <w:rFonts w:ascii="Verdana" w:hAnsi="Verdana"/>
          <w:sz w:val="16"/>
          <w:szCs w:val="16"/>
          <w:lang w:val="es-CR"/>
        </w:rPr>
        <w:t xml:space="preserve">inste al Estado que realice una transmisión radial con observancia de todas sus directrices”. Los </w:t>
      </w:r>
      <w:r w:rsidRPr="00EE57F7">
        <w:rPr>
          <w:rFonts w:ascii="Verdana" w:hAnsi="Verdana"/>
          <w:i/>
          <w:sz w:val="16"/>
          <w:szCs w:val="16"/>
          <w:lang w:val="es-CR"/>
        </w:rPr>
        <w:t>represe</w:t>
      </w:r>
      <w:r w:rsidRPr="008E0BA3">
        <w:rPr>
          <w:rFonts w:ascii="Verdana" w:hAnsi="Verdana"/>
          <w:i/>
          <w:sz w:val="16"/>
          <w:szCs w:val="16"/>
          <w:lang w:val="es-CR"/>
        </w:rPr>
        <w:t>ntantes Llanquileo, Millamán y Lienlaf</w:t>
      </w:r>
      <w:r w:rsidRPr="00651C4B">
        <w:rPr>
          <w:rFonts w:ascii="Verdana" w:hAnsi="Verdana"/>
          <w:sz w:val="16"/>
          <w:szCs w:val="16"/>
          <w:lang w:val="es-CR"/>
        </w:rPr>
        <w:t xml:space="preserve"> observaron que</w:t>
      </w:r>
      <w:r w:rsidRPr="00903DE2">
        <w:rPr>
          <w:rFonts w:ascii="Verdana" w:hAnsi="Verdana"/>
          <w:sz w:val="16"/>
          <w:szCs w:val="16"/>
          <w:lang w:val="es-CR"/>
        </w:rPr>
        <w:t xml:space="preserve"> </w:t>
      </w:r>
      <w:r w:rsidRPr="004C4A5A">
        <w:rPr>
          <w:rFonts w:ascii="Verdana" w:hAnsi="Verdana"/>
          <w:sz w:val="16"/>
          <w:szCs w:val="16"/>
          <w:lang w:val="es-CR"/>
        </w:rPr>
        <w:t xml:space="preserve">la primera difusión radial realizada el 15 de febrero de 2015 </w:t>
      </w:r>
      <w:r w:rsidRPr="00CD7692">
        <w:rPr>
          <w:rFonts w:ascii="Verdana" w:hAnsi="Verdana"/>
          <w:sz w:val="16"/>
          <w:szCs w:val="16"/>
          <w:lang w:val="es-CR"/>
        </w:rPr>
        <w:t>“se informó a los representantes de las víctimas mediante correo electrónico enviado el día 14 de febrero, sin precisar el horario y la emisora por la cual se realizaría, no cumpliéndose con el plazo y mandato de la Corte</w:t>
      </w:r>
      <w:r w:rsidRPr="000E3E2A">
        <w:rPr>
          <w:rFonts w:ascii="Verdana" w:hAnsi="Verdana"/>
          <w:sz w:val="16"/>
          <w:szCs w:val="16"/>
          <w:lang w:val="es-CR"/>
        </w:rPr>
        <w:t xml:space="preserve">”, y que “las radios seleccionadas en la localidad que vive la víctima[, el señor Norín Catrimán] tienen poc[o] alcance en la comunidad y no son escuchadas”. Además, señalaron que “en la lista </w:t>
      </w:r>
      <w:r w:rsidRPr="008629F9">
        <w:rPr>
          <w:rFonts w:ascii="Verdana" w:hAnsi="Verdana"/>
          <w:sz w:val="16"/>
          <w:szCs w:val="16"/>
          <w:lang w:val="es-CR"/>
        </w:rPr>
        <w:t>[</w:t>
      </w:r>
      <w:r w:rsidRPr="00FB4C77">
        <w:rPr>
          <w:rFonts w:ascii="Verdana" w:hAnsi="Verdana"/>
          <w:sz w:val="16"/>
          <w:szCs w:val="16"/>
          <w:lang w:val="es-CR"/>
        </w:rPr>
        <w:t>enviada por el Estado</w:t>
      </w:r>
      <w:r w:rsidRPr="0087453C">
        <w:rPr>
          <w:rFonts w:ascii="Verdana" w:hAnsi="Verdana"/>
          <w:sz w:val="16"/>
          <w:szCs w:val="16"/>
          <w:lang w:val="es-CR"/>
        </w:rPr>
        <w:t>]</w:t>
      </w:r>
      <w:r w:rsidRPr="00CD36D2">
        <w:rPr>
          <w:rFonts w:ascii="Verdana" w:hAnsi="Verdana"/>
          <w:sz w:val="16"/>
          <w:szCs w:val="16"/>
          <w:lang w:val="es-CR"/>
        </w:rPr>
        <w:t>, no figuran</w:t>
      </w:r>
      <w:r w:rsidRPr="00797B43">
        <w:rPr>
          <w:rFonts w:ascii="Verdana" w:hAnsi="Verdana"/>
          <w:sz w:val="16"/>
          <w:szCs w:val="16"/>
          <w:lang w:val="es-CR"/>
        </w:rPr>
        <w:t xml:space="preserve"> radios de la zona de Cañete, donde residen al menos dos de las víctimas”. Agregaron que “no le[s] consta que efectivamente se hayan realizado las difusiones radiales</w:t>
      </w:r>
      <w:r>
        <w:rPr>
          <w:rFonts w:ascii="Verdana" w:hAnsi="Verdana"/>
          <w:sz w:val="16"/>
          <w:szCs w:val="16"/>
          <w:lang w:val="es-CR"/>
        </w:rPr>
        <w:t>,</w:t>
      </w:r>
      <w:r w:rsidRPr="00797B43">
        <w:rPr>
          <w:rFonts w:ascii="Verdana" w:hAnsi="Verdana"/>
          <w:sz w:val="16"/>
          <w:szCs w:val="16"/>
          <w:lang w:val="es-CR"/>
        </w:rPr>
        <w:t xml:space="preserve"> dado que solo se acompaña un listado de radios y no un</w:t>
      </w:r>
      <w:r w:rsidRPr="00933013">
        <w:rPr>
          <w:rFonts w:ascii="Verdana" w:hAnsi="Verdana"/>
          <w:sz w:val="16"/>
          <w:szCs w:val="16"/>
          <w:lang w:val="es-CR"/>
        </w:rPr>
        <w:t xml:space="preserve"> respaldo que acredite que fueron realizadas”. Agregaron que “en las primeras reuniones realizadas con el Ministerio de Relaciones Exteriores, las víctimas […] indicar[ron] radios de escucha </w:t>
      </w:r>
      <w:proofErr w:type="gramStart"/>
      <w:r w:rsidRPr="00933013">
        <w:rPr>
          <w:rFonts w:ascii="Verdana" w:hAnsi="Verdana"/>
          <w:sz w:val="16"/>
          <w:szCs w:val="16"/>
          <w:lang w:val="es-CR"/>
        </w:rPr>
        <w:t>nacional[</w:t>
      </w:r>
      <w:proofErr w:type="gramEnd"/>
      <w:r>
        <w:rPr>
          <w:rFonts w:ascii="Verdana" w:hAnsi="Verdana"/>
          <w:sz w:val="16"/>
          <w:szCs w:val="16"/>
          <w:lang w:val="es-CR"/>
        </w:rPr>
        <w:t>,</w:t>
      </w:r>
      <w:r w:rsidRPr="00933013">
        <w:rPr>
          <w:rFonts w:ascii="Verdana" w:hAnsi="Verdana"/>
          <w:sz w:val="16"/>
          <w:szCs w:val="16"/>
          <w:lang w:val="es-CR"/>
        </w:rPr>
        <w:t xml:space="preserve">] que además tienen cobertura en las comunidades, pero </w:t>
      </w:r>
      <w:r>
        <w:rPr>
          <w:rFonts w:ascii="Verdana" w:hAnsi="Verdana"/>
          <w:sz w:val="16"/>
          <w:szCs w:val="16"/>
          <w:lang w:val="es-CR"/>
        </w:rPr>
        <w:t xml:space="preserve">[que] </w:t>
      </w:r>
      <w:r w:rsidRPr="00933013">
        <w:rPr>
          <w:rFonts w:ascii="Verdana" w:hAnsi="Verdana"/>
          <w:sz w:val="16"/>
          <w:szCs w:val="16"/>
          <w:lang w:val="es-CR"/>
        </w:rPr>
        <w:t xml:space="preserve">lamentablemente sus sugerencias no fueron escuchadas”. La </w:t>
      </w:r>
      <w:r w:rsidRPr="00903DE2">
        <w:rPr>
          <w:rFonts w:ascii="Verdana" w:hAnsi="Verdana"/>
          <w:i/>
          <w:sz w:val="16"/>
          <w:szCs w:val="16"/>
          <w:lang w:val="es-CR"/>
        </w:rPr>
        <w:t>FIDH</w:t>
      </w:r>
      <w:r w:rsidRPr="00933013">
        <w:rPr>
          <w:rFonts w:ascii="Verdana" w:hAnsi="Verdana"/>
          <w:sz w:val="16"/>
          <w:szCs w:val="16"/>
          <w:lang w:val="es-CR"/>
        </w:rPr>
        <w:t xml:space="preserve"> no se refirió a este extremo de la Sentencia.</w:t>
      </w:r>
    </w:p>
  </w:footnote>
  <w:footnote w:id="60">
    <w:p w:rsidR="00A70CBB" w:rsidRPr="00615A37" w:rsidRDefault="00A70CBB" w:rsidP="004121C6">
      <w:pPr>
        <w:pStyle w:val="Textonotapie"/>
        <w:tabs>
          <w:tab w:val="left" w:pos="426"/>
        </w:tabs>
        <w:rPr>
          <w:rFonts w:ascii="Verdana" w:hAnsi="Verdana"/>
          <w:sz w:val="16"/>
          <w:szCs w:val="16"/>
          <w:lang w:val="es-CR"/>
        </w:rPr>
      </w:pPr>
      <w:r w:rsidRPr="0088304E">
        <w:rPr>
          <w:rStyle w:val="Refdenotaalpie"/>
          <w:rFonts w:ascii="Verdana" w:hAnsi="Verdana"/>
          <w:sz w:val="16"/>
          <w:szCs w:val="16"/>
        </w:rPr>
        <w:footnoteRef/>
      </w:r>
      <w:r w:rsidRPr="0088304E">
        <w:rPr>
          <w:rFonts w:ascii="Verdana" w:hAnsi="Verdana"/>
          <w:sz w:val="16"/>
          <w:szCs w:val="16"/>
          <w:lang w:val="es-CR"/>
        </w:rPr>
        <w:t xml:space="preserve"> </w:t>
      </w:r>
      <w:r w:rsidRPr="0088304E">
        <w:rPr>
          <w:rFonts w:ascii="Verdana" w:hAnsi="Verdana"/>
          <w:sz w:val="16"/>
          <w:szCs w:val="16"/>
          <w:lang w:val="es-CR"/>
        </w:rPr>
        <w:tab/>
      </w:r>
      <w:r w:rsidRPr="0088304E">
        <w:rPr>
          <w:rFonts w:ascii="Verdana" w:hAnsi="Verdana"/>
          <w:i/>
          <w:sz w:val="16"/>
          <w:szCs w:val="16"/>
          <w:lang w:val="es-CR"/>
        </w:rPr>
        <w:t>Cfr.</w:t>
      </w:r>
      <w:r w:rsidRPr="00615A37">
        <w:rPr>
          <w:rFonts w:ascii="Verdana" w:hAnsi="Verdana"/>
          <w:sz w:val="16"/>
          <w:szCs w:val="16"/>
          <w:lang w:val="es-CR"/>
        </w:rPr>
        <w:t xml:space="preserve"> Nota de la Secretaría de la Corte Interamericana de 21 de junio de 2016.</w:t>
      </w:r>
    </w:p>
  </w:footnote>
  <w:footnote w:id="61">
    <w:p w:rsidR="00A70CBB" w:rsidRPr="00933013" w:rsidRDefault="00A70CBB" w:rsidP="009564AA">
      <w:pPr>
        <w:pStyle w:val="Textonotapie"/>
        <w:tabs>
          <w:tab w:val="left" w:pos="426"/>
        </w:tabs>
        <w:jc w:val="both"/>
        <w:rPr>
          <w:rFonts w:ascii="Verdana" w:hAnsi="Verdana"/>
          <w:sz w:val="16"/>
          <w:szCs w:val="16"/>
          <w:lang w:val="es-CR"/>
        </w:rPr>
      </w:pPr>
      <w:r w:rsidRPr="0088304E">
        <w:rPr>
          <w:rStyle w:val="Refdenotaalpie"/>
          <w:rFonts w:ascii="Verdana" w:hAnsi="Verdana"/>
          <w:sz w:val="16"/>
          <w:szCs w:val="16"/>
        </w:rPr>
        <w:footnoteRef/>
      </w:r>
      <w:r w:rsidRPr="0088304E">
        <w:rPr>
          <w:rFonts w:ascii="Verdana" w:hAnsi="Verdana"/>
          <w:sz w:val="16"/>
          <w:szCs w:val="16"/>
          <w:lang w:val="es-CR"/>
        </w:rPr>
        <w:t xml:space="preserve"> </w:t>
      </w:r>
      <w:r w:rsidRPr="0088304E">
        <w:rPr>
          <w:rFonts w:ascii="Verdana" w:hAnsi="Verdana"/>
          <w:sz w:val="16"/>
          <w:szCs w:val="16"/>
          <w:lang w:val="es-CR"/>
        </w:rPr>
        <w:tab/>
      </w:r>
      <w:r w:rsidRPr="0088304E">
        <w:rPr>
          <w:rFonts w:ascii="Verdana" w:hAnsi="Verdana"/>
          <w:i/>
          <w:sz w:val="16"/>
          <w:szCs w:val="16"/>
          <w:lang w:val="es-CR"/>
        </w:rPr>
        <w:t>Cfr.</w:t>
      </w:r>
      <w:r w:rsidRPr="00615A37">
        <w:rPr>
          <w:rFonts w:ascii="Verdana" w:hAnsi="Verdana"/>
          <w:sz w:val="16"/>
          <w:szCs w:val="16"/>
          <w:lang w:val="es-CR"/>
        </w:rPr>
        <w:t xml:space="preserve"> “Informe Registro de Radiodifusión” </w:t>
      </w:r>
      <w:r w:rsidRPr="00903DE2">
        <w:rPr>
          <w:rFonts w:ascii="Verdana" w:hAnsi="Verdana"/>
          <w:sz w:val="16"/>
          <w:szCs w:val="16"/>
          <w:lang w:val="es-CR"/>
        </w:rPr>
        <w:t>elaborado por la “Secretaría de Comunicaciones del Ministerio Secretaría General de Gobierno”</w:t>
      </w:r>
      <w:r w:rsidRPr="00933013">
        <w:rPr>
          <w:rFonts w:ascii="Verdana" w:hAnsi="Verdana"/>
          <w:sz w:val="16"/>
          <w:szCs w:val="16"/>
          <w:lang w:val="es-CR"/>
        </w:rPr>
        <w:t xml:space="preserve"> (anexo 6 al informe estatal de octubre de 2016) </w:t>
      </w:r>
    </w:p>
  </w:footnote>
  <w:footnote w:id="62">
    <w:p w:rsidR="00A70CBB" w:rsidRPr="00356699" w:rsidRDefault="00A70CBB" w:rsidP="00356699">
      <w:pPr>
        <w:pStyle w:val="Textonotapie"/>
        <w:tabs>
          <w:tab w:val="left" w:pos="426"/>
        </w:tabs>
        <w:jc w:val="both"/>
        <w:rPr>
          <w:rFonts w:ascii="Verdana" w:hAnsi="Verdana"/>
          <w:sz w:val="16"/>
          <w:szCs w:val="16"/>
          <w:lang w:val="es-CR"/>
        </w:rPr>
      </w:pPr>
      <w:r w:rsidRPr="004C4A5A">
        <w:rPr>
          <w:rStyle w:val="Refdenotaalpie"/>
          <w:rFonts w:ascii="Verdana" w:hAnsi="Verdana"/>
          <w:sz w:val="16"/>
          <w:szCs w:val="16"/>
        </w:rPr>
        <w:footnoteRef/>
      </w:r>
      <w:r w:rsidRPr="004C4A5A">
        <w:rPr>
          <w:rFonts w:ascii="Verdana" w:hAnsi="Verdana"/>
          <w:sz w:val="16"/>
          <w:szCs w:val="16"/>
          <w:lang w:val="es-CR"/>
        </w:rPr>
        <w:t xml:space="preserve"> </w:t>
      </w:r>
      <w:r w:rsidRPr="004C4A5A">
        <w:rPr>
          <w:rFonts w:ascii="Verdana" w:hAnsi="Verdana"/>
          <w:sz w:val="16"/>
          <w:szCs w:val="16"/>
          <w:lang w:val="es-CR"/>
        </w:rPr>
        <w:tab/>
      </w:r>
      <w:r w:rsidRPr="00903DE2">
        <w:rPr>
          <w:rFonts w:ascii="Verdana" w:hAnsi="Verdana"/>
          <w:i/>
          <w:sz w:val="16"/>
          <w:szCs w:val="16"/>
          <w:lang w:val="es-CR"/>
        </w:rPr>
        <w:t>CEJIL</w:t>
      </w:r>
      <w:r w:rsidRPr="004C4A5A">
        <w:rPr>
          <w:rFonts w:ascii="Verdana" w:hAnsi="Verdana"/>
          <w:sz w:val="16"/>
          <w:szCs w:val="16"/>
          <w:lang w:val="es-CR"/>
        </w:rPr>
        <w:t xml:space="preserve"> indic</w:t>
      </w:r>
      <w:r w:rsidRPr="00CD7692">
        <w:rPr>
          <w:rFonts w:ascii="Verdana" w:hAnsi="Verdana"/>
          <w:sz w:val="16"/>
          <w:szCs w:val="16"/>
          <w:lang w:val="es-CR"/>
        </w:rPr>
        <w:t xml:space="preserve">ó que </w:t>
      </w:r>
      <w:r w:rsidRPr="00903DE2">
        <w:rPr>
          <w:rFonts w:ascii="Verdana" w:hAnsi="Verdana"/>
          <w:sz w:val="16"/>
          <w:szCs w:val="16"/>
          <w:lang w:val="es-CR"/>
        </w:rPr>
        <w:t>“el Estado se limitó a informar un día antes de la primera emisión las fechas en que se realizarían las mismas”</w:t>
      </w:r>
      <w:r w:rsidRPr="004C4A5A">
        <w:rPr>
          <w:rFonts w:ascii="Verdana" w:hAnsi="Verdana"/>
          <w:sz w:val="16"/>
          <w:szCs w:val="16"/>
          <w:lang w:val="es-CR"/>
        </w:rPr>
        <w:t xml:space="preserve"> y </w:t>
      </w:r>
      <w:r w:rsidRPr="00CD7692">
        <w:rPr>
          <w:rFonts w:ascii="Verdana" w:hAnsi="Verdana"/>
          <w:color w:val="000000"/>
          <w:sz w:val="16"/>
          <w:szCs w:val="16"/>
          <w:lang w:val="es-CR"/>
        </w:rPr>
        <w:t xml:space="preserve">los </w:t>
      </w:r>
      <w:r w:rsidRPr="00903DE2">
        <w:rPr>
          <w:rFonts w:ascii="Verdana" w:hAnsi="Verdana"/>
          <w:i/>
          <w:color w:val="000000"/>
          <w:sz w:val="16"/>
          <w:szCs w:val="16"/>
          <w:lang w:val="es-CR"/>
        </w:rPr>
        <w:t>representantes</w:t>
      </w:r>
      <w:r w:rsidRPr="004C4A5A">
        <w:rPr>
          <w:rFonts w:ascii="Verdana" w:hAnsi="Verdana"/>
          <w:color w:val="000000"/>
          <w:sz w:val="16"/>
          <w:szCs w:val="16"/>
          <w:lang w:val="es-CR"/>
        </w:rPr>
        <w:t xml:space="preserve"> </w:t>
      </w:r>
      <w:r w:rsidRPr="00CD7692">
        <w:rPr>
          <w:rFonts w:ascii="Verdana" w:hAnsi="Verdana"/>
          <w:i/>
          <w:sz w:val="16"/>
          <w:szCs w:val="16"/>
          <w:lang w:val="es-CR"/>
        </w:rPr>
        <w:t xml:space="preserve">Llanquileo, Millamán y </w:t>
      </w:r>
      <w:proofErr w:type="gramStart"/>
      <w:r w:rsidRPr="00CD7692">
        <w:rPr>
          <w:rFonts w:ascii="Verdana" w:hAnsi="Verdana"/>
          <w:i/>
          <w:sz w:val="16"/>
          <w:szCs w:val="16"/>
          <w:lang w:val="es-CR"/>
        </w:rPr>
        <w:t xml:space="preserve">Lienlaf, </w:t>
      </w:r>
      <w:r w:rsidRPr="00CD7692">
        <w:rPr>
          <w:rFonts w:ascii="Verdana" w:hAnsi="Verdana"/>
          <w:sz w:val="16"/>
          <w:szCs w:val="16"/>
          <w:lang w:val="es-CR"/>
        </w:rPr>
        <w:t xml:space="preserve"> reconocieron</w:t>
      </w:r>
      <w:proofErr w:type="gramEnd"/>
      <w:r w:rsidRPr="00CD7692">
        <w:rPr>
          <w:rFonts w:ascii="Verdana" w:hAnsi="Verdana"/>
          <w:sz w:val="16"/>
          <w:szCs w:val="16"/>
          <w:lang w:val="es-CR"/>
        </w:rPr>
        <w:t xml:space="preserve"> que habían recibido un correo electrónico informándoles de la realización de la radiodifusión, aunque sin detalles sobre </w:t>
      </w:r>
      <w:r w:rsidRPr="00CD7692">
        <w:rPr>
          <w:rFonts w:ascii="Verdana" w:eastAsia="Times New Roman" w:hAnsi="Verdana"/>
          <w:sz w:val="16"/>
          <w:szCs w:val="16"/>
          <w:lang w:val="es-ES_tradnl" w:eastAsia="es-ES"/>
        </w:rPr>
        <w:t xml:space="preserve">la fecha, horario, emisora </w:t>
      </w:r>
      <w:r w:rsidRPr="001843F3">
        <w:rPr>
          <w:rFonts w:ascii="Verdana" w:eastAsia="Times New Roman" w:hAnsi="Verdana"/>
          <w:sz w:val="16"/>
          <w:szCs w:val="16"/>
          <w:lang w:val="es-ES_tradnl" w:eastAsia="es-ES"/>
        </w:rPr>
        <w:t xml:space="preserve">en que se efectuaría </w:t>
      </w:r>
      <w:r w:rsidRPr="000E3E2A">
        <w:rPr>
          <w:rFonts w:ascii="Verdana" w:hAnsi="Verdana"/>
          <w:sz w:val="16"/>
          <w:szCs w:val="16"/>
          <w:lang w:val="es-CR"/>
        </w:rPr>
        <w:t>(</w:t>
      </w:r>
      <w:r w:rsidRPr="008629F9">
        <w:rPr>
          <w:rFonts w:ascii="Verdana" w:hAnsi="Verdana"/>
          <w:i/>
          <w:sz w:val="16"/>
          <w:szCs w:val="16"/>
          <w:lang w:val="es-CR"/>
        </w:rPr>
        <w:t>supra</w:t>
      </w:r>
      <w:r w:rsidRPr="00FB4C77">
        <w:rPr>
          <w:rFonts w:ascii="Verdana" w:hAnsi="Verdana"/>
          <w:sz w:val="16"/>
          <w:szCs w:val="16"/>
          <w:lang w:val="es-CR"/>
        </w:rPr>
        <w:t xml:space="preserve"> nota al pie </w:t>
      </w:r>
      <w:r w:rsidRPr="00CD36D2">
        <w:rPr>
          <w:rFonts w:ascii="Verdana" w:hAnsi="Verdana"/>
          <w:sz w:val="16"/>
          <w:szCs w:val="16"/>
          <w:lang w:val="es-CR"/>
        </w:rPr>
        <w:t>59).</w:t>
      </w:r>
    </w:p>
  </w:footnote>
  <w:footnote w:id="63">
    <w:p w:rsidR="00A70CBB" w:rsidRPr="0096086B" w:rsidRDefault="00A70CBB" w:rsidP="0096086B">
      <w:pPr>
        <w:pStyle w:val="Textonotapie"/>
        <w:tabs>
          <w:tab w:val="left" w:pos="426"/>
        </w:tabs>
        <w:jc w:val="both"/>
        <w:rPr>
          <w:rFonts w:ascii="Verdana" w:hAnsi="Verdana"/>
          <w:sz w:val="16"/>
          <w:szCs w:val="16"/>
          <w:lang w:val="es-CR"/>
        </w:rPr>
      </w:pPr>
      <w:r w:rsidRPr="0096086B">
        <w:rPr>
          <w:rStyle w:val="Refdenotaalpie"/>
          <w:rFonts w:ascii="Verdana" w:hAnsi="Verdana"/>
          <w:sz w:val="16"/>
          <w:szCs w:val="16"/>
        </w:rPr>
        <w:footnoteRef/>
      </w:r>
      <w:r w:rsidRPr="0096086B">
        <w:rPr>
          <w:rFonts w:ascii="Verdana" w:hAnsi="Verdana"/>
          <w:sz w:val="16"/>
          <w:szCs w:val="16"/>
          <w:lang w:val="es-CR"/>
        </w:rPr>
        <w:t xml:space="preserve"> </w:t>
      </w:r>
      <w:r w:rsidRPr="0096086B">
        <w:rPr>
          <w:rFonts w:ascii="Verdana" w:hAnsi="Verdana"/>
          <w:sz w:val="16"/>
          <w:szCs w:val="16"/>
          <w:lang w:val="es-CR"/>
        </w:rPr>
        <w:tab/>
      </w:r>
      <w:r w:rsidRPr="0096086B">
        <w:rPr>
          <w:rFonts w:ascii="Verdana" w:hAnsi="Verdana"/>
          <w:i/>
          <w:sz w:val="16"/>
          <w:szCs w:val="16"/>
          <w:lang w:val="es-CR"/>
        </w:rPr>
        <w:t>Cfr</w:t>
      </w:r>
      <w:r w:rsidRPr="0096086B">
        <w:rPr>
          <w:rFonts w:ascii="Verdana" w:hAnsi="Verdana"/>
          <w:sz w:val="16"/>
          <w:szCs w:val="16"/>
          <w:lang w:val="es-CR"/>
        </w:rPr>
        <w:t xml:space="preserve">. </w:t>
      </w:r>
      <w:r>
        <w:rPr>
          <w:rFonts w:ascii="Verdana" w:hAnsi="Verdana"/>
          <w:sz w:val="16"/>
          <w:szCs w:val="16"/>
          <w:lang w:val="es-CR"/>
        </w:rPr>
        <w:t>Oficio Ordinario N° 07/00205 de 24 de febrero de 2015, suscrito por la Subsecretaria de Educación del Ministerio de Educación, dirigido al Ministerio de Relaciones Exteriores (anexo 7 al informe estatal de julio de 2015)</w:t>
      </w:r>
      <w:r w:rsidRPr="0096086B">
        <w:rPr>
          <w:rFonts w:ascii="Verdana" w:hAnsi="Verdana"/>
          <w:b/>
          <w:sz w:val="16"/>
          <w:szCs w:val="16"/>
          <w:lang w:val="es-CR"/>
        </w:rPr>
        <w:t xml:space="preserve"> </w:t>
      </w:r>
      <w:r w:rsidRPr="009B2106">
        <w:rPr>
          <w:rFonts w:ascii="Verdana" w:hAnsi="Verdana"/>
          <w:sz w:val="16"/>
          <w:szCs w:val="16"/>
          <w:lang w:val="es-CR"/>
        </w:rPr>
        <w:t>y Resolución Exenta N°</w:t>
      </w:r>
      <w:r w:rsidR="0087453C">
        <w:rPr>
          <w:rFonts w:ascii="Verdana" w:hAnsi="Verdana"/>
          <w:sz w:val="16"/>
          <w:szCs w:val="16"/>
          <w:lang w:val="es-CR"/>
        </w:rPr>
        <w:t xml:space="preserve"> </w:t>
      </w:r>
      <w:r w:rsidRPr="009B2106">
        <w:rPr>
          <w:rFonts w:ascii="Verdana" w:hAnsi="Verdana"/>
          <w:sz w:val="16"/>
          <w:szCs w:val="16"/>
          <w:lang w:val="es-CR"/>
        </w:rPr>
        <w:t>5249 de 21 de julio de 2015 del Ministerio de Educación (anexo 7 al informe estatal de octubre de 2016).</w:t>
      </w:r>
    </w:p>
  </w:footnote>
  <w:footnote w:id="64">
    <w:p w:rsidR="00CD36D2" w:rsidRPr="009B2106" w:rsidRDefault="00CD36D2" w:rsidP="00CD36D2">
      <w:pPr>
        <w:pStyle w:val="Textonotapie"/>
        <w:tabs>
          <w:tab w:val="left" w:pos="426"/>
        </w:tabs>
        <w:jc w:val="both"/>
        <w:rPr>
          <w:rFonts w:ascii="Verdana" w:hAnsi="Verdana"/>
          <w:sz w:val="16"/>
          <w:szCs w:val="16"/>
          <w:lang w:val="es-CR"/>
        </w:rPr>
      </w:pPr>
      <w:r w:rsidRPr="009B2106">
        <w:rPr>
          <w:rStyle w:val="Refdenotaalpie"/>
          <w:rFonts w:ascii="Verdana" w:hAnsi="Verdana"/>
          <w:sz w:val="16"/>
          <w:szCs w:val="16"/>
        </w:rPr>
        <w:footnoteRef/>
      </w:r>
      <w:r w:rsidRPr="009B2106">
        <w:rPr>
          <w:rFonts w:ascii="Verdana" w:hAnsi="Verdana"/>
          <w:sz w:val="16"/>
          <w:szCs w:val="16"/>
          <w:lang w:val="es-CR"/>
        </w:rPr>
        <w:t xml:space="preserve"> </w:t>
      </w:r>
      <w:r w:rsidRPr="009B2106">
        <w:rPr>
          <w:rFonts w:ascii="Verdana" w:hAnsi="Verdana"/>
          <w:sz w:val="16"/>
          <w:szCs w:val="16"/>
          <w:lang w:val="es-CR"/>
        </w:rPr>
        <w:tab/>
        <w:t>Según lo establecido en la Resolución Exenta N° 5249 de julio de 2015 del Ministerio de Educación (</w:t>
      </w:r>
      <w:r w:rsidRPr="00903DE2">
        <w:rPr>
          <w:rFonts w:ascii="Verdana" w:hAnsi="Verdana"/>
          <w:i/>
          <w:sz w:val="16"/>
          <w:szCs w:val="16"/>
          <w:lang w:val="es-CR"/>
        </w:rPr>
        <w:t>supra</w:t>
      </w:r>
      <w:r w:rsidRPr="009B2106">
        <w:rPr>
          <w:rFonts w:ascii="Verdana" w:hAnsi="Verdana"/>
          <w:sz w:val="16"/>
          <w:szCs w:val="16"/>
          <w:lang w:val="es-CR"/>
        </w:rPr>
        <w:t xml:space="preserve"> nota el pie </w:t>
      </w:r>
      <w:r>
        <w:rPr>
          <w:rFonts w:ascii="Verdana" w:hAnsi="Verdana"/>
          <w:sz w:val="16"/>
          <w:szCs w:val="16"/>
          <w:lang w:val="es-CR"/>
        </w:rPr>
        <w:t>63</w:t>
      </w:r>
      <w:r w:rsidRPr="009B2106">
        <w:rPr>
          <w:rFonts w:ascii="Verdana" w:hAnsi="Verdana"/>
          <w:sz w:val="16"/>
          <w:szCs w:val="16"/>
          <w:lang w:val="es-CR"/>
        </w:rPr>
        <w:t xml:space="preserve">), para “la determinación de [los] diversos criterios para la ejecución de la sentencia en materia </w:t>
      </w:r>
      <w:r>
        <w:rPr>
          <w:rFonts w:ascii="Verdana" w:hAnsi="Verdana"/>
          <w:sz w:val="16"/>
          <w:szCs w:val="16"/>
          <w:lang w:val="es-CR"/>
        </w:rPr>
        <w:t xml:space="preserve">de otorgamiento </w:t>
      </w:r>
      <w:r w:rsidRPr="009B2106">
        <w:rPr>
          <w:rFonts w:ascii="Verdana" w:hAnsi="Verdana"/>
          <w:sz w:val="16"/>
          <w:szCs w:val="16"/>
          <w:lang w:val="es-CR"/>
        </w:rPr>
        <w:t xml:space="preserve">de becas” se habría utilizado una “interpretación armónica de </w:t>
      </w:r>
      <w:r>
        <w:rPr>
          <w:rFonts w:ascii="Verdana" w:hAnsi="Verdana"/>
          <w:sz w:val="16"/>
          <w:szCs w:val="16"/>
          <w:lang w:val="es-CR"/>
        </w:rPr>
        <w:t xml:space="preserve">las </w:t>
      </w:r>
      <w:r w:rsidRPr="009B2106">
        <w:rPr>
          <w:rFonts w:ascii="Verdana" w:hAnsi="Verdana"/>
          <w:sz w:val="16"/>
          <w:szCs w:val="16"/>
          <w:lang w:val="es-CR"/>
        </w:rPr>
        <w:t xml:space="preserve">diversas fuentes de obligaciones internacionales que en materia de Derechos Humanos ha contraído [Chile], a las reparaciones dispuestas por la Corte Interamericana </w:t>
      </w:r>
      <w:r>
        <w:rPr>
          <w:rFonts w:ascii="Verdana" w:hAnsi="Verdana"/>
          <w:sz w:val="16"/>
          <w:szCs w:val="16"/>
          <w:lang w:val="es-CR"/>
        </w:rPr>
        <w:t xml:space="preserve">[…] </w:t>
      </w:r>
      <w:r w:rsidRPr="009B2106">
        <w:rPr>
          <w:rFonts w:ascii="Verdana" w:hAnsi="Verdana"/>
          <w:sz w:val="16"/>
          <w:szCs w:val="16"/>
          <w:lang w:val="es-CR"/>
        </w:rPr>
        <w:t>en sentencias de [otros] casos y a [su] supervisión de cumplimiento”.</w:t>
      </w:r>
    </w:p>
  </w:footnote>
  <w:footnote w:id="65">
    <w:p w:rsidR="00A70CBB" w:rsidRPr="00E8458F" w:rsidRDefault="00A70CBB" w:rsidP="00157366">
      <w:pPr>
        <w:pStyle w:val="Textonotapie"/>
        <w:tabs>
          <w:tab w:val="left" w:pos="426"/>
        </w:tabs>
        <w:jc w:val="both"/>
        <w:rPr>
          <w:rFonts w:ascii="Verdana" w:hAnsi="Verdana"/>
          <w:sz w:val="16"/>
          <w:szCs w:val="16"/>
          <w:lang w:val="es-CR"/>
        </w:rPr>
      </w:pPr>
      <w:r w:rsidRPr="00E8458F">
        <w:rPr>
          <w:rStyle w:val="Refdenotaalpie"/>
          <w:rFonts w:ascii="Verdana" w:hAnsi="Verdana"/>
          <w:sz w:val="16"/>
          <w:szCs w:val="16"/>
        </w:rPr>
        <w:footnoteRef/>
      </w:r>
      <w:r w:rsidRPr="00E8458F">
        <w:rPr>
          <w:rFonts w:ascii="Verdana" w:hAnsi="Verdana"/>
          <w:sz w:val="16"/>
          <w:szCs w:val="16"/>
          <w:lang w:val="es-CR"/>
        </w:rPr>
        <w:t xml:space="preserve"> </w:t>
      </w:r>
      <w:r w:rsidRPr="00E8458F">
        <w:rPr>
          <w:rFonts w:ascii="Verdana" w:hAnsi="Verdana"/>
          <w:sz w:val="16"/>
          <w:szCs w:val="16"/>
          <w:lang w:val="es-CR"/>
        </w:rPr>
        <w:tab/>
      </w:r>
      <w:r>
        <w:rPr>
          <w:rFonts w:ascii="Verdana" w:hAnsi="Verdana"/>
          <w:sz w:val="16"/>
          <w:szCs w:val="16"/>
          <w:lang w:val="es-CR"/>
        </w:rPr>
        <w:t xml:space="preserve">El </w:t>
      </w:r>
      <w:r w:rsidRPr="00505E07">
        <w:rPr>
          <w:rFonts w:ascii="Verdana" w:hAnsi="Verdana"/>
          <w:i/>
          <w:sz w:val="16"/>
          <w:szCs w:val="16"/>
          <w:lang w:val="es-CR"/>
        </w:rPr>
        <w:t>Estado</w:t>
      </w:r>
      <w:r w:rsidRPr="00E8458F">
        <w:rPr>
          <w:rFonts w:ascii="Verdana" w:hAnsi="Verdana"/>
          <w:sz w:val="16"/>
          <w:szCs w:val="16"/>
          <w:lang w:val="es-CR"/>
        </w:rPr>
        <w:t xml:space="preserve"> indicó que ello “obedece al deseo </w:t>
      </w:r>
      <w:r w:rsidR="00CD36D2">
        <w:rPr>
          <w:rFonts w:ascii="Verdana" w:hAnsi="Verdana"/>
          <w:sz w:val="16"/>
          <w:szCs w:val="16"/>
          <w:lang w:val="es-CR"/>
        </w:rPr>
        <w:t>[…]</w:t>
      </w:r>
      <w:r w:rsidRPr="00E8458F">
        <w:rPr>
          <w:rFonts w:ascii="Verdana" w:hAnsi="Verdana"/>
          <w:sz w:val="16"/>
          <w:szCs w:val="16"/>
          <w:lang w:val="es-CR"/>
        </w:rPr>
        <w:t xml:space="preserve"> de constituir el cumplimiento de esta Sentencia en un punto de inflexión en su relación con las víctimas del presente caso y con las comunidades mapuches de aquellos dirigentes que fueron más directamente afectadas”. </w:t>
      </w:r>
    </w:p>
  </w:footnote>
  <w:footnote w:id="66">
    <w:p w:rsidR="00A70CBB" w:rsidRPr="00560D3B" w:rsidRDefault="00A70CBB" w:rsidP="00157366">
      <w:pPr>
        <w:pStyle w:val="Textonotapie"/>
        <w:tabs>
          <w:tab w:val="left" w:pos="426"/>
        </w:tabs>
        <w:jc w:val="both"/>
        <w:rPr>
          <w:rFonts w:ascii="Verdana" w:hAnsi="Verdana"/>
          <w:sz w:val="16"/>
          <w:szCs w:val="16"/>
          <w:lang w:val="es-CR"/>
        </w:rPr>
      </w:pPr>
      <w:r w:rsidRPr="00D05476">
        <w:rPr>
          <w:rStyle w:val="Refdenotaalpie"/>
          <w:rFonts w:ascii="Verdana" w:hAnsi="Verdana"/>
          <w:sz w:val="16"/>
          <w:szCs w:val="16"/>
        </w:rPr>
        <w:footnoteRef/>
      </w:r>
      <w:r w:rsidRPr="00D05476">
        <w:rPr>
          <w:rFonts w:ascii="Verdana" w:hAnsi="Verdana"/>
          <w:sz w:val="16"/>
          <w:szCs w:val="16"/>
          <w:lang w:val="es-CR"/>
        </w:rPr>
        <w:t xml:space="preserve"> </w:t>
      </w:r>
      <w:r w:rsidRPr="00D05476">
        <w:rPr>
          <w:rFonts w:ascii="Verdana" w:hAnsi="Verdana"/>
          <w:sz w:val="16"/>
          <w:szCs w:val="16"/>
          <w:lang w:val="es-CR"/>
        </w:rPr>
        <w:tab/>
      </w:r>
      <w:r w:rsidRPr="00560D3B">
        <w:rPr>
          <w:rFonts w:ascii="Verdana" w:hAnsi="Verdana"/>
          <w:i/>
          <w:sz w:val="16"/>
          <w:szCs w:val="16"/>
          <w:lang w:val="es-CR"/>
        </w:rPr>
        <w:t>Cfr.</w:t>
      </w:r>
      <w:r w:rsidRPr="00560D3B">
        <w:rPr>
          <w:rFonts w:ascii="Verdana" w:hAnsi="Verdana"/>
          <w:sz w:val="16"/>
          <w:szCs w:val="16"/>
          <w:lang w:val="es-CR"/>
        </w:rPr>
        <w:t xml:space="preserve"> Informe Caso Norín Catrimán y otros de 22 de julio de 2015, elaborado por el Ministerio de Educación (anexo 7 al informe estatal de octubre de 2016). </w:t>
      </w:r>
    </w:p>
  </w:footnote>
  <w:footnote w:id="67">
    <w:p w:rsidR="00A70CBB" w:rsidRPr="00560D3B" w:rsidRDefault="00A70CBB" w:rsidP="00157366">
      <w:pPr>
        <w:pStyle w:val="Textonotapie"/>
        <w:tabs>
          <w:tab w:val="left" w:pos="426"/>
        </w:tabs>
        <w:jc w:val="both"/>
        <w:rPr>
          <w:rFonts w:ascii="Verdana" w:hAnsi="Verdana"/>
          <w:sz w:val="16"/>
          <w:szCs w:val="16"/>
          <w:lang w:val="es-CR"/>
        </w:rPr>
      </w:pPr>
      <w:r w:rsidRPr="00560D3B">
        <w:rPr>
          <w:rStyle w:val="Refdenotaalpie"/>
          <w:rFonts w:ascii="Verdana" w:hAnsi="Verdana"/>
          <w:sz w:val="16"/>
          <w:szCs w:val="16"/>
        </w:rPr>
        <w:footnoteRef/>
      </w:r>
      <w:r w:rsidRPr="00560D3B">
        <w:rPr>
          <w:rFonts w:ascii="Verdana" w:hAnsi="Verdana"/>
          <w:sz w:val="16"/>
          <w:szCs w:val="16"/>
          <w:lang w:val="es-CR"/>
        </w:rPr>
        <w:t xml:space="preserve"> </w:t>
      </w:r>
      <w:r w:rsidRPr="00560D3B">
        <w:rPr>
          <w:rFonts w:ascii="Verdana" w:hAnsi="Verdana"/>
          <w:sz w:val="16"/>
          <w:szCs w:val="16"/>
          <w:lang w:val="es-CR"/>
        </w:rPr>
        <w:tab/>
        <w:t xml:space="preserve">El “monto total anual por nivel educacional” definido por el Estado es el siguiente: $399.490 para la educación parvularia y la enseñanza pre-básica; $1.587.299 para la enseñanza básica, $1.722.447 para la enseñanza media y $2.492.400 para la educación superior, sin considerar el “arancel mensual”, el cual “se cancelará directamente en la casa de estudios”. </w:t>
      </w:r>
      <w:r w:rsidRPr="00157366">
        <w:rPr>
          <w:rFonts w:ascii="Verdana" w:hAnsi="Verdana"/>
          <w:i/>
          <w:sz w:val="16"/>
          <w:szCs w:val="16"/>
          <w:lang w:val="es-CR"/>
        </w:rPr>
        <w:t>Cfr.</w:t>
      </w:r>
      <w:r w:rsidRPr="00560D3B">
        <w:rPr>
          <w:rFonts w:ascii="Verdana" w:hAnsi="Verdana"/>
          <w:sz w:val="16"/>
          <w:szCs w:val="16"/>
          <w:lang w:val="es-CR"/>
        </w:rPr>
        <w:t xml:space="preserve"> Anexos 7 y 8 al informe estatal de octubre de 2016. </w:t>
      </w:r>
    </w:p>
  </w:footnote>
  <w:footnote w:id="68">
    <w:p w:rsidR="00A70CBB" w:rsidRPr="00560D3B" w:rsidRDefault="00A70CBB" w:rsidP="00F7013F">
      <w:pPr>
        <w:pStyle w:val="Textonotapie"/>
        <w:jc w:val="both"/>
        <w:rPr>
          <w:rFonts w:ascii="Verdana" w:hAnsi="Verdana"/>
          <w:sz w:val="16"/>
          <w:szCs w:val="16"/>
          <w:lang w:val="es-CR"/>
        </w:rPr>
      </w:pPr>
      <w:r w:rsidRPr="00560D3B">
        <w:rPr>
          <w:rStyle w:val="Refdenotaalpie"/>
          <w:rFonts w:ascii="Verdana" w:hAnsi="Verdana"/>
          <w:sz w:val="16"/>
          <w:szCs w:val="16"/>
        </w:rPr>
        <w:footnoteRef/>
      </w:r>
      <w:r w:rsidRPr="00560D3B">
        <w:rPr>
          <w:rFonts w:ascii="Verdana" w:hAnsi="Verdana"/>
          <w:sz w:val="16"/>
          <w:szCs w:val="16"/>
          <w:lang w:val="es-CR"/>
        </w:rPr>
        <w:t xml:space="preserve"> </w:t>
      </w:r>
      <w:r w:rsidRPr="00560D3B">
        <w:rPr>
          <w:rFonts w:ascii="Verdana" w:hAnsi="Verdana"/>
          <w:sz w:val="16"/>
          <w:szCs w:val="16"/>
          <w:lang w:val="es-CR"/>
        </w:rPr>
        <w:tab/>
        <w:t xml:space="preserve">Indicó que: i) “[e]l primer pago se </w:t>
      </w:r>
      <w:r w:rsidR="004801A8">
        <w:rPr>
          <w:rFonts w:ascii="Verdana" w:hAnsi="Verdana"/>
          <w:sz w:val="16"/>
          <w:szCs w:val="16"/>
          <w:lang w:val="es-CR"/>
        </w:rPr>
        <w:t>efectuó</w:t>
      </w:r>
      <w:r w:rsidR="004801A8" w:rsidRPr="00560D3B">
        <w:rPr>
          <w:rFonts w:ascii="Verdana" w:hAnsi="Verdana"/>
          <w:sz w:val="16"/>
          <w:szCs w:val="16"/>
          <w:lang w:val="es-CR"/>
        </w:rPr>
        <w:t xml:space="preserve"> </w:t>
      </w:r>
      <w:r w:rsidRPr="00560D3B">
        <w:rPr>
          <w:rFonts w:ascii="Verdana" w:hAnsi="Verdana"/>
          <w:sz w:val="16"/>
          <w:szCs w:val="16"/>
          <w:lang w:val="es-CR"/>
        </w:rPr>
        <w:t xml:space="preserve">mediante Resolución Exenta N° 5249 [del Ministerio de Educación] de 21 de julio de 2015, que disp[uso] el reembolso de los gastos educacionales desde el 29 de mayo de 2014 al 31 de mayo de 2015[, para] 16 personas correspondientes a los beneficiarios de </w:t>
      </w:r>
      <w:r w:rsidR="004801A8">
        <w:rPr>
          <w:rFonts w:ascii="Verdana" w:hAnsi="Verdana"/>
          <w:sz w:val="16"/>
          <w:szCs w:val="16"/>
          <w:lang w:val="es-CR"/>
        </w:rPr>
        <w:t>[seis]</w:t>
      </w:r>
      <w:r w:rsidR="004801A8" w:rsidRPr="00560D3B">
        <w:rPr>
          <w:rFonts w:ascii="Verdana" w:hAnsi="Verdana"/>
          <w:sz w:val="16"/>
          <w:szCs w:val="16"/>
          <w:lang w:val="es-CR"/>
        </w:rPr>
        <w:t xml:space="preserve"> </w:t>
      </w:r>
      <w:r w:rsidRPr="00560D3B">
        <w:rPr>
          <w:rFonts w:ascii="Verdana" w:hAnsi="Verdana"/>
          <w:sz w:val="16"/>
          <w:szCs w:val="16"/>
          <w:lang w:val="es-CR"/>
        </w:rPr>
        <w:t>de las víctimas del presente caso, a saber: Víctor Ancalaf L</w:t>
      </w:r>
      <w:r w:rsidR="004801A8">
        <w:rPr>
          <w:rFonts w:ascii="Verdana" w:hAnsi="Verdana"/>
          <w:sz w:val="16"/>
          <w:szCs w:val="16"/>
          <w:lang w:val="es-CR"/>
        </w:rPr>
        <w:t>l</w:t>
      </w:r>
      <w:r w:rsidRPr="00560D3B">
        <w:rPr>
          <w:rFonts w:ascii="Verdana" w:hAnsi="Verdana"/>
          <w:sz w:val="16"/>
          <w:szCs w:val="16"/>
          <w:lang w:val="es-CR"/>
        </w:rPr>
        <w:t>aupe, Florencio Jaime Marileo Saravia, Juan Patricio Marileo Saravia, José Huenchunao Mariñán, Juan Ciriaco Millacheo Licán y Patricia Troncoso Robles”; ii) “[e]l segundo pago retroactivo fue autorizado mediante Resolución Exenta N°</w:t>
      </w:r>
      <w:r w:rsidR="004801A8">
        <w:rPr>
          <w:rFonts w:ascii="Verdana" w:hAnsi="Verdana"/>
          <w:sz w:val="16"/>
          <w:szCs w:val="16"/>
          <w:lang w:val="es-CR"/>
        </w:rPr>
        <w:t xml:space="preserve"> </w:t>
      </w:r>
      <w:r w:rsidRPr="00560D3B">
        <w:rPr>
          <w:rFonts w:ascii="Verdana" w:hAnsi="Verdana"/>
          <w:sz w:val="16"/>
          <w:szCs w:val="16"/>
          <w:lang w:val="es-CR"/>
        </w:rPr>
        <w:t>346 [del Ministerio de Educación] de 22 de enero de 2016, la cual instruyó los pagos de beneficios por todo el per</w:t>
      </w:r>
      <w:r w:rsidR="004801A8">
        <w:rPr>
          <w:rFonts w:ascii="Verdana" w:hAnsi="Verdana"/>
          <w:sz w:val="16"/>
          <w:szCs w:val="16"/>
          <w:lang w:val="es-CR"/>
        </w:rPr>
        <w:t>i</w:t>
      </w:r>
      <w:r w:rsidRPr="00560D3B">
        <w:rPr>
          <w:rFonts w:ascii="Verdana" w:hAnsi="Verdana"/>
          <w:sz w:val="16"/>
          <w:szCs w:val="16"/>
          <w:lang w:val="es-CR"/>
        </w:rPr>
        <w:t>odo comprendido entre los años 2014 y 2015 a tres nóminas de beneficiarios de las seis víctimas mencionadas […] anterior[mente]”, y iii) que “[e]l tercer pago, instruido por Resolución Exenta N°</w:t>
      </w:r>
      <w:r w:rsidR="004801A8">
        <w:rPr>
          <w:rFonts w:ascii="Verdana" w:hAnsi="Verdana"/>
          <w:sz w:val="16"/>
          <w:szCs w:val="16"/>
          <w:lang w:val="es-CR"/>
        </w:rPr>
        <w:t xml:space="preserve"> </w:t>
      </w:r>
      <w:r w:rsidRPr="00560D3B">
        <w:rPr>
          <w:rFonts w:ascii="Verdana" w:hAnsi="Verdana"/>
          <w:sz w:val="16"/>
          <w:szCs w:val="16"/>
          <w:lang w:val="es-CR"/>
        </w:rPr>
        <w:t xml:space="preserve">645 del Ministerio de Justicia y Derechos Humanos, de 4 de marzo de 2016, corresponde al pago retroactivo de los gastos de educación que incluyen a las seis víctimas anteriores por los pagos de junio de 2015 hasta finales de [ese] mismo año” y que “inicia el pago retroactivo a las dos víctimas restantes, los </w:t>
      </w:r>
      <w:r w:rsidR="004801A8">
        <w:rPr>
          <w:rFonts w:ascii="Verdana" w:hAnsi="Verdana"/>
          <w:sz w:val="16"/>
          <w:szCs w:val="16"/>
          <w:lang w:val="es-CR"/>
        </w:rPr>
        <w:t>L</w:t>
      </w:r>
      <w:r w:rsidRPr="00560D3B">
        <w:rPr>
          <w:rFonts w:ascii="Verdana" w:hAnsi="Verdana"/>
          <w:sz w:val="16"/>
          <w:szCs w:val="16"/>
          <w:lang w:val="es-CR"/>
        </w:rPr>
        <w:t xml:space="preserve">onkos Segundo Norín y Pascual Pichún, correspondiente a todo el período de 2014-2015 en el caso de sus hijos y nietos”. </w:t>
      </w:r>
      <w:r w:rsidRPr="00560D3B">
        <w:rPr>
          <w:rFonts w:ascii="Verdana" w:hAnsi="Verdana"/>
          <w:i/>
          <w:sz w:val="16"/>
          <w:szCs w:val="16"/>
          <w:lang w:val="es-CR"/>
        </w:rPr>
        <w:t>Cfr.</w:t>
      </w:r>
      <w:r w:rsidRPr="00903DE2">
        <w:rPr>
          <w:rFonts w:ascii="Verdana" w:hAnsi="Verdana"/>
          <w:sz w:val="16"/>
          <w:szCs w:val="16"/>
          <w:lang w:val="es-CR"/>
        </w:rPr>
        <w:t xml:space="preserve"> </w:t>
      </w:r>
      <w:r w:rsidRPr="00560D3B">
        <w:rPr>
          <w:rFonts w:ascii="Verdana" w:hAnsi="Verdana"/>
          <w:sz w:val="16"/>
          <w:szCs w:val="16"/>
          <w:lang w:val="es-CR"/>
        </w:rPr>
        <w:t>Resolución Exenta N°. 5249 del Ministerio de Educación de 21 de julio de 2015</w:t>
      </w:r>
      <w:r w:rsidR="004801A8">
        <w:rPr>
          <w:rFonts w:ascii="Verdana" w:hAnsi="Verdana"/>
          <w:sz w:val="16"/>
          <w:szCs w:val="16"/>
          <w:lang w:val="es-CR"/>
        </w:rPr>
        <w:t xml:space="preserve">, </w:t>
      </w:r>
      <w:r w:rsidR="004801A8" w:rsidRPr="00903DE2">
        <w:rPr>
          <w:rFonts w:ascii="Verdana" w:hAnsi="Verdana"/>
          <w:i/>
          <w:sz w:val="16"/>
          <w:szCs w:val="16"/>
          <w:lang w:val="es-CR"/>
        </w:rPr>
        <w:t xml:space="preserve">supra </w:t>
      </w:r>
      <w:r w:rsidR="004801A8">
        <w:rPr>
          <w:rFonts w:ascii="Verdana" w:hAnsi="Verdana"/>
          <w:sz w:val="16"/>
          <w:szCs w:val="16"/>
          <w:lang w:val="es-CR"/>
        </w:rPr>
        <w:t>nota 63</w:t>
      </w:r>
      <w:r w:rsidRPr="00560D3B">
        <w:rPr>
          <w:rFonts w:ascii="Verdana" w:hAnsi="Verdana"/>
          <w:sz w:val="16"/>
          <w:szCs w:val="16"/>
          <w:lang w:val="es-CR"/>
        </w:rPr>
        <w:t>; Resolución Exenta N°346 del Ministerio de Educación de 22 de enero de 2016, y Resolución Exenta N°645 del Ministerio de Justicia y Derechos Humanos de 4 de marzo de 2016 (anexos 7 a 9 del informe estatal de octubre de 2016).</w:t>
      </w:r>
    </w:p>
  </w:footnote>
  <w:footnote w:id="69">
    <w:p w:rsidR="00A70CBB" w:rsidRPr="00157366" w:rsidRDefault="00A70CBB" w:rsidP="00157366">
      <w:pPr>
        <w:pStyle w:val="Textonotapie"/>
        <w:tabs>
          <w:tab w:val="left" w:pos="426"/>
        </w:tabs>
        <w:jc w:val="both"/>
        <w:rPr>
          <w:rFonts w:ascii="Verdana" w:hAnsi="Verdana"/>
          <w:b/>
          <w:sz w:val="16"/>
          <w:szCs w:val="16"/>
          <w:lang w:val="es-CR"/>
        </w:rPr>
      </w:pPr>
      <w:r w:rsidRPr="00EC66DE">
        <w:rPr>
          <w:rStyle w:val="Refdenotaalpie"/>
          <w:rFonts w:ascii="Verdana" w:hAnsi="Verdana"/>
          <w:sz w:val="16"/>
          <w:szCs w:val="16"/>
        </w:rPr>
        <w:footnoteRef/>
      </w:r>
      <w:r w:rsidRPr="00EC66DE">
        <w:rPr>
          <w:rFonts w:ascii="Verdana" w:hAnsi="Verdana"/>
          <w:sz w:val="16"/>
          <w:szCs w:val="16"/>
          <w:lang w:val="es-CR"/>
        </w:rPr>
        <w:t xml:space="preserve"> </w:t>
      </w:r>
      <w:r w:rsidRPr="00EC66DE">
        <w:rPr>
          <w:rFonts w:ascii="Verdana" w:hAnsi="Verdana"/>
          <w:sz w:val="16"/>
          <w:szCs w:val="16"/>
          <w:lang w:val="es-CR"/>
        </w:rPr>
        <w:tab/>
      </w:r>
      <w:r w:rsidRPr="006710FD">
        <w:rPr>
          <w:rFonts w:ascii="Verdana" w:hAnsi="Verdana"/>
          <w:i/>
          <w:sz w:val="16"/>
          <w:szCs w:val="16"/>
          <w:lang w:val="es-CR"/>
        </w:rPr>
        <w:t>CEJIL</w:t>
      </w:r>
      <w:r w:rsidRPr="006710FD">
        <w:rPr>
          <w:rFonts w:ascii="Verdana" w:hAnsi="Verdana"/>
          <w:sz w:val="16"/>
          <w:szCs w:val="16"/>
          <w:lang w:val="es-CR"/>
        </w:rPr>
        <w:t xml:space="preserve"> expresó </w:t>
      </w:r>
      <w:r>
        <w:rPr>
          <w:rFonts w:ascii="Verdana" w:hAnsi="Verdana"/>
          <w:sz w:val="16"/>
          <w:szCs w:val="16"/>
          <w:lang w:val="es-CR"/>
        </w:rPr>
        <w:t>que</w:t>
      </w:r>
      <w:r w:rsidRPr="006710FD">
        <w:rPr>
          <w:rFonts w:ascii="Verdana" w:hAnsi="Verdana"/>
          <w:sz w:val="16"/>
          <w:szCs w:val="16"/>
          <w:lang w:val="es-CR"/>
        </w:rPr>
        <w:t xml:space="preserve"> “si bien, el pago en dinero de los gastos en que incurrieron las víctimas es la única manera de garantizar el beneficio de la medida desde que la Corte emitió el fallo hasta la fecha, esa modalidad </w:t>
      </w:r>
      <w:r>
        <w:rPr>
          <w:rFonts w:ascii="Verdana" w:hAnsi="Verdana"/>
          <w:sz w:val="16"/>
          <w:szCs w:val="16"/>
          <w:lang w:val="es-CR"/>
        </w:rPr>
        <w:t xml:space="preserve">[de pago retroactivo] </w:t>
      </w:r>
      <w:r w:rsidRPr="006710FD">
        <w:rPr>
          <w:rFonts w:ascii="Verdana" w:hAnsi="Verdana"/>
          <w:sz w:val="16"/>
          <w:szCs w:val="16"/>
          <w:lang w:val="es-CR"/>
        </w:rPr>
        <w:t>no puede ser la regla, sino la excepción, pues dicho mecanismo no puede constituirse en la medida de reparación</w:t>
      </w:r>
      <w:r w:rsidR="009341C4">
        <w:rPr>
          <w:rFonts w:ascii="Verdana" w:hAnsi="Verdana"/>
          <w:sz w:val="16"/>
          <w:szCs w:val="16"/>
          <w:lang w:val="es-CR"/>
        </w:rPr>
        <w:t>,</w:t>
      </w:r>
      <w:r w:rsidRPr="006710FD">
        <w:rPr>
          <w:rFonts w:ascii="Verdana" w:hAnsi="Verdana"/>
          <w:sz w:val="16"/>
          <w:szCs w:val="16"/>
          <w:lang w:val="es-CR"/>
        </w:rPr>
        <w:t xml:space="preserve"> en tanto perdería el efecto de la misma”. También en su escrito de observaciones de marzo de 2018 hizo notar que “[e]n todos los casos, las becas de estudio no se pagan o se pagan de manera tardía, afectando completamente la posibilidad de los beneficiarios de sostener sus estudios y de tener la certeza de que podrán cubrir los gastos necesarios”. Agregó que “[e]sta forma de cubrir los gastos de educación ha traído consigo serios problemas y las más de las veces no sirven para dar respuesta a los planteos de las víctimas”.</w:t>
      </w:r>
      <w:r w:rsidRPr="006710FD">
        <w:rPr>
          <w:rFonts w:ascii="Verdana" w:hAnsi="Verdana"/>
          <w:b/>
          <w:sz w:val="16"/>
          <w:szCs w:val="16"/>
          <w:lang w:val="es-CR"/>
        </w:rPr>
        <w:t xml:space="preserve"> </w:t>
      </w:r>
      <w:r w:rsidRPr="006710FD">
        <w:rPr>
          <w:rFonts w:ascii="Verdana" w:hAnsi="Verdana"/>
          <w:sz w:val="16"/>
          <w:szCs w:val="16"/>
          <w:lang w:val="es-CR"/>
        </w:rPr>
        <w:t>La</w:t>
      </w:r>
      <w:r w:rsidRPr="006710FD">
        <w:rPr>
          <w:rFonts w:ascii="Verdana" w:hAnsi="Verdana"/>
          <w:i/>
          <w:sz w:val="16"/>
          <w:szCs w:val="16"/>
          <w:lang w:val="es-CR"/>
        </w:rPr>
        <w:t xml:space="preserve"> FIDH</w:t>
      </w:r>
      <w:r w:rsidRPr="006710FD">
        <w:rPr>
          <w:rFonts w:ascii="Verdana" w:hAnsi="Verdana"/>
          <w:sz w:val="16"/>
          <w:szCs w:val="16"/>
          <w:lang w:val="es-CR"/>
        </w:rPr>
        <w:t xml:space="preserve"> sostuvo que</w:t>
      </w:r>
      <w:r w:rsidRPr="00903DE2">
        <w:rPr>
          <w:rFonts w:ascii="Verdana" w:hAnsi="Verdana"/>
          <w:sz w:val="16"/>
          <w:szCs w:val="16"/>
          <w:lang w:val="es-CR"/>
        </w:rPr>
        <w:t xml:space="preserve"> </w:t>
      </w:r>
      <w:r w:rsidRPr="006710FD">
        <w:rPr>
          <w:rFonts w:ascii="Verdana" w:hAnsi="Verdana"/>
          <w:sz w:val="16"/>
          <w:szCs w:val="16"/>
          <w:lang w:val="es-CR"/>
        </w:rPr>
        <w:t>“</w:t>
      </w:r>
      <w:r>
        <w:rPr>
          <w:rFonts w:ascii="Verdana" w:hAnsi="Verdana"/>
          <w:sz w:val="16"/>
          <w:szCs w:val="16"/>
          <w:lang w:val="es-CR"/>
        </w:rPr>
        <w:t xml:space="preserve">[e]s una constante el retraso en la entrega efectiva de los cheques en materia de educación a los beneficiarios”. </w:t>
      </w:r>
      <w:r w:rsidRPr="008D06E2">
        <w:rPr>
          <w:rFonts w:ascii="Verdana" w:hAnsi="Verdana"/>
          <w:sz w:val="16"/>
          <w:szCs w:val="16"/>
          <w:lang w:val="es-CR"/>
        </w:rPr>
        <w:t>Indicó que “[e]sta situación [les] preocupa, pues constituye un factor de gran inestabilidad y de incertidumbre para los beneficiarios de dichas becas”</w:t>
      </w:r>
      <w:r>
        <w:rPr>
          <w:rFonts w:ascii="Verdana" w:hAnsi="Verdana"/>
          <w:sz w:val="16"/>
          <w:szCs w:val="16"/>
          <w:lang w:val="es-CR"/>
        </w:rPr>
        <w:t>,</w:t>
      </w:r>
      <w:r w:rsidRPr="008D06E2">
        <w:rPr>
          <w:rFonts w:ascii="Verdana" w:hAnsi="Verdana"/>
          <w:sz w:val="16"/>
          <w:szCs w:val="16"/>
          <w:lang w:val="es-CR"/>
        </w:rPr>
        <w:t xml:space="preserve"> </w:t>
      </w:r>
      <w:r w:rsidRPr="008D06E2">
        <w:rPr>
          <w:rFonts w:ascii="Verdana" w:hAnsi="Verdana"/>
          <w:i/>
          <w:sz w:val="16"/>
          <w:szCs w:val="16"/>
          <w:lang w:val="es-CR"/>
        </w:rPr>
        <w:t>“</w:t>
      </w:r>
      <w:r w:rsidRPr="008D06E2">
        <w:rPr>
          <w:rFonts w:ascii="Verdana" w:hAnsi="Verdana"/>
          <w:sz w:val="16"/>
          <w:szCs w:val="16"/>
          <w:lang w:val="es-CR"/>
        </w:rPr>
        <w:t>dada su situación de precariedad social, generándoles incertidumbre sobre los gastos que realmente están en condiciones de asumir o no, a causa de la espera de</w:t>
      </w:r>
      <w:r w:rsidR="009341C4">
        <w:rPr>
          <w:rFonts w:ascii="Verdana" w:hAnsi="Verdana"/>
          <w:sz w:val="16"/>
          <w:szCs w:val="16"/>
          <w:lang w:val="es-CR"/>
        </w:rPr>
        <w:t>l</w:t>
      </w:r>
      <w:r w:rsidRPr="008D06E2">
        <w:rPr>
          <w:rFonts w:ascii="Verdana" w:hAnsi="Verdana"/>
          <w:sz w:val="16"/>
          <w:szCs w:val="16"/>
          <w:lang w:val="es-CR"/>
        </w:rPr>
        <w:t xml:space="preserve"> pago por</w:t>
      </w:r>
      <w:r w:rsidR="009341C4">
        <w:rPr>
          <w:rFonts w:ascii="Verdana" w:hAnsi="Verdana"/>
          <w:sz w:val="16"/>
          <w:szCs w:val="16"/>
          <w:lang w:val="es-CR"/>
        </w:rPr>
        <w:t xml:space="preserve"> […]</w:t>
      </w:r>
      <w:r w:rsidRPr="008D06E2">
        <w:rPr>
          <w:rFonts w:ascii="Verdana" w:hAnsi="Verdana"/>
          <w:sz w:val="16"/>
          <w:szCs w:val="16"/>
          <w:lang w:val="es-CR"/>
        </w:rPr>
        <w:t xml:space="preserve"> el gobierno”. Agregó que “si bien el Estado chileno insiste </w:t>
      </w:r>
      <w:r w:rsidR="009341C4">
        <w:rPr>
          <w:rFonts w:ascii="Verdana" w:hAnsi="Verdana"/>
          <w:sz w:val="16"/>
          <w:szCs w:val="16"/>
          <w:lang w:val="es-CR"/>
        </w:rPr>
        <w:t xml:space="preserve">[…] </w:t>
      </w:r>
      <w:r w:rsidRPr="008D06E2">
        <w:rPr>
          <w:rFonts w:ascii="Verdana" w:hAnsi="Verdana"/>
          <w:sz w:val="16"/>
          <w:szCs w:val="16"/>
          <w:lang w:val="es-CR"/>
        </w:rPr>
        <w:t xml:space="preserve">en que los pagos serán de modo retroactivo, </w:t>
      </w:r>
      <w:r>
        <w:rPr>
          <w:rFonts w:ascii="Verdana" w:hAnsi="Verdana"/>
          <w:sz w:val="16"/>
          <w:szCs w:val="16"/>
          <w:lang w:val="es-CR"/>
        </w:rPr>
        <w:t>[…]</w:t>
      </w:r>
      <w:r w:rsidRPr="008D06E2">
        <w:rPr>
          <w:rFonts w:ascii="Verdana" w:hAnsi="Verdana"/>
          <w:sz w:val="16"/>
          <w:szCs w:val="16"/>
          <w:lang w:val="es-CR"/>
        </w:rPr>
        <w:t xml:space="preserve"> este modo de pago no es el más apto en este caso a causa de los continuos </w:t>
      </w:r>
      <w:proofErr w:type="gramStart"/>
      <w:r w:rsidRPr="008D06E2">
        <w:rPr>
          <w:rFonts w:ascii="Verdana" w:hAnsi="Verdana"/>
          <w:sz w:val="16"/>
          <w:szCs w:val="16"/>
          <w:lang w:val="es-CR"/>
        </w:rPr>
        <w:t>retrasos[</w:t>
      </w:r>
      <w:proofErr w:type="gramEnd"/>
      <w:r w:rsidRPr="008D06E2">
        <w:rPr>
          <w:rFonts w:ascii="Verdana" w:hAnsi="Verdana"/>
          <w:sz w:val="16"/>
          <w:szCs w:val="16"/>
          <w:lang w:val="es-CR"/>
        </w:rPr>
        <w:t xml:space="preserve">,] por ello insisti[eron] en poder contar con un mejor mecanismo […]y evitar así el endeudamiento incierto de las familias o la no escolarización de los niños por falta de recursos”. </w:t>
      </w:r>
      <w:r w:rsidRPr="006710FD">
        <w:rPr>
          <w:rFonts w:ascii="Verdana" w:hAnsi="Verdana"/>
          <w:sz w:val="16"/>
          <w:szCs w:val="16"/>
          <w:lang w:val="es-CR"/>
        </w:rPr>
        <w:t xml:space="preserve">La </w:t>
      </w:r>
      <w:r w:rsidRPr="00157366">
        <w:rPr>
          <w:rFonts w:ascii="Verdana" w:hAnsi="Verdana"/>
          <w:i/>
          <w:sz w:val="16"/>
          <w:szCs w:val="16"/>
          <w:lang w:val="es-CR"/>
        </w:rPr>
        <w:t>representante Myriam Reyes</w:t>
      </w:r>
      <w:r w:rsidRPr="006710FD">
        <w:rPr>
          <w:rFonts w:ascii="Verdana" w:hAnsi="Verdana"/>
          <w:sz w:val="16"/>
          <w:szCs w:val="16"/>
          <w:lang w:val="es-CR"/>
        </w:rPr>
        <w:t xml:space="preserve"> hizo notar que</w:t>
      </w:r>
      <w:r w:rsidRPr="00903DE2">
        <w:rPr>
          <w:rFonts w:ascii="Verdana" w:hAnsi="Verdana"/>
          <w:sz w:val="16"/>
          <w:szCs w:val="16"/>
          <w:lang w:val="es-CR"/>
        </w:rPr>
        <w:t xml:space="preserve"> </w:t>
      </w:r>
      <w:r w:rsidRPr="006710FD">
        <w:rPr>
          <w:rFonts w:ascii="Verdana" w:hAnsi="Verdana"/>
          <w:sz w:val="16"/>
          <w:szCs w:val="16"/>
          <w:lang w:val="es-CR"/>
        </w:rPr>
        <w:t xml:space="preserve">“no existe a la fecha un sistema de asignación de becas establecido por el Estado, </w:t>
      </w:r>
      <w:proofErr w:type="gramStart"/>
      <w:r w:rsidRPr="006710FD">
        <w:rPr>
          <w:rFonts w:ascii="Verdana" w:hAnsi="Verdana"/>
          <w:sz w:val="16"/>
          <w:szCs w:val="16"/>
          <w:lang w:val="es-CR"/>
        </w:rPr>
        <w:t>que</w:t>
      </w:r>
      <w:proofErr w:type="gramEnd"/>
      <w:r w:rsidRPr="006710FD">
        <w:rPr>
          <w:rFonts w:ascii="Verdana" w:hAnsi="Verdana"/>
          <w:sz w:val="16"/>
          <w:szCs w:val="16"/>
          <w:lang w:val="es-CR"/>
        </w:rPr>
        <w:t xml:space="preserve"> de seguridad a los destinatarios, de montos y fechas de pago. Tanto es así que las becas o pagos en los términos que el Estado ha definido, no se han pagado en caso alguno respecto al año 2016, y el año académico ya terminó, las familias han debido asumir todos los gastos asociados a la educación de sus niños, ya que los pagos que ha habido están asociados a años anteriores”. </w:t>
      </w:r>
      <w:r w:rsidRPr="005C2E4A">
        <w:rPr>
          <w:rFonts w:ascii="Verdana" w:hAnsi="Verdana"/>
          <w:sz w:val="16"/>
          <w:szCs w:val="16"/>
          <w:lang w:val="es-CR"/>
        </w:rPr>
        <w:t xml:space="preserve">Los </w:t>
      </w:r>
      <w:r w:rsidRPr="00157366">
        <w:rPr>
          <w:rFonts w:ascii="Verdana" w:hAnsi="Verdana"/>
          <w:i/>
          <w:sz w:val="16"/>
          <w:szCs w:val="16"/>
          <w:lang w:val="es-CR"/>
        </w:rPr>
        <w:t>representantes</w:t>
      </w:r>
      <w:r w:rsidRPr="00157366">
        <w:rPr>
          <w:rFonts w:ascii="Verdana" w:hAnsi="Verdana"/>
          <w:b/>
          <w:i/>
          <w:sz w:val="16"/>
          <w:szCs w:val="16"/>
          <w:lang w:val="es-CR"/>
        </w:rPr>
        <w:t xml:space="preserve"> </w:t>
      </w:r>
      <w:r w:rsidRPr="00157366">
        <w:rPr>
          <w:rFonts w:ascii="Verdana" w:hAnsi="Verdana"/>
          <w:i/>
          <w:sz w:val="16"/>
          <w:szCs w:val="16"/>
          <w:lang w:val="es-CR"/>
        </w:rPr>
        <w:t>Llanquileo, Millamán y Lienlaf</w:t>
      </w:r>
      <w:r>
        <w:rPr>
          <w:rFonts w:ascii="Verdana" w:hAnsi="Verdana"/>
          <w:i/>
          <w:sz w:val="16"/>
          <w:szCs w:val="16"/>
          <w:lang w:val="es-CR"/>
        </w:rPr>
        <w:t xml:space="preserve"> </w:t>
      </w:r>
      <w:r w:rsidRPr="005C2E4A">
        <w:rPr>
          <w:rFonts w:ascii="Verdana" w:hAnsi="Verdana"/>
          <w:sz w:val="16"/>
          <w:szCs w:val="16"/>
          <w:lang w:val="es-CR"/>
        </w:rPr>
        <w:t xml:space="preserve">se refirieron a la demora en los pagos a determinados beneficiarios, así como a que el Estado escogió un mecanismo de pago para las becas </w:t>
      </w:r>
      <w:r w:rsidR="009341C4">
        <w:rPr>
          <w:rFonts w:ascii="Verdana" w:hAnsi="Verdana"/>
          <w:sz w:val="16"/>
          <w:szCs w:val="16"/>
          <w:lang w:val="es-CR"/>
        </w:rPr>
        <w:t>“</w:t>
      </w:r>
      <w:r w:rsidRPr="005C2E4A">
        <w:rPr>
          <w:rFonts w:ascii="Verdana" w:hAnsi="Verdana"/>
          <w:sz w:val="16"/>
          <w:szCs w:val="16"/>
          <w:lang w:val="es-CR"/>
        </w:rPr>
        <w:t>que implica un pago o reembolso retroactivo de los gastos realizados en educación por los beneficiarios”.</w:t>
      </w:r>
    </w:p>
  </w:footnote>
  <w:footnote w:id="70">
    <w:p w:rsidR="00A70CBB" w:rsidRPr="00DD7FF8" w:rsidRDefault="00A70CBB" w:rsidP="00DD7FF8">
      <w:pPr>
        <w:pStyle w:val="Textonotapie"/>
        <w:tabs>
          <w:tab w:val="left" w:pos="426"/>
        </w:tabs>
        <w:jc w:val="both"/>
        <w:rPr>
          <w:rFonts w:ascii="Verdana" w:hAnsi="Verdana"/>
          <w:sz w:val="16"/>
          <w:szCs w:val="16"/>
          <w:lang w:val="es-CR"/>
        </w:rPr>
      </w:pPr>
      <w:r w:rsidRPr="00DD7FF8">
        <w:rPr>
          <w:rStyle w:val="Refdenotaalpie"/>
          <w:rFonts w:ascii="Verdana" w:hAnsi="Verdana"/>
          <w:sz w:val="16"/>
          <w:szCs w:val="16"/>
        </w:rPr>
        <w:footnoteRef/>
      </w:r>
      <w:r w:rsidRPr="00DD7FF8">
        <w:rPr>
          <w:rFonts w:ascii="Verdana" w:hAnsi="Verdana"/>
          <w:sz w:val="16"/>
          <w:szCs w:val="16"/>
          <w:lang w:val="es-CR"/>
        </w:rPr>
        <w:t xml:space="preserve"> </w:t>
      </w:r>
      <w:r w:rsidRPr="00DD7FF8">
        <w:rPr>
          <w:rFonts w:ascii="Verdana" w:hAnsi="Verdana"/>
          <w:sz w:val="16"/>
          <w:szCs w:val="16"/>
          <w:lang w:val="es-CR"/>
        </w:rPr>
        <w:tab/>
      </w:r>
      <w:r w:rsidRPr="00DD7FF8">
        <w:rPr>
          <w:rFonts w:ascii="Verdana" w:hAnsi="Verdana"/>
          <w:i/>
          <w:sz w:val="16"/>
          <w:szCs w:val="16"/>
          <w:lang w:val="es-CR"/>
        </w:rPr>
        <w:t xml:space="preserve">Cfr. </w:t>
      </w:r>
      <w:r w:rsidRPr="00DD7FF8">
        <w:rPr>
          <w:rStyle w:val="Textoennegrita"/>
          <w:rFonts w:ascii="Verdana" w:hAnsi="Verdana"/>
          <w:b w:val="0"/>
          <w:i/>
          <w:color w:val="000000"/>
          <w:sz w:val="16"/>
          <w:szCs w:val="16"/>
          <w:shd w:val="clear" w:color="auto" w:fill="FFFFFF"/>
          <w:lang w:val="es-CR"/>
        </w:rPr>
        <w:t>Casos Fernández Ortega y otros y Rosendo Cantú y otra Vs. México. Supervisión de Cumplimiento de Sentencia.</w:t>
      </w:r>
      <w:r w:rsidRPr="00DD7FF8">
        <w:rPr>
          <w:rStyle w:val="Textoennegrita"/>
          <w:rFonts w:ascii="Verdana" w:hAnsi="Verdana"/>
          <w:b w:val="0"/>
          <w:color w:val="000000"/>
          <w:sz w:val="16"/>
          <w:szCs w:val="16"/>
          <w:shd w:val="clear" w:color="auto" w:fill="FFFFFF"/>
          <w:lang w:val="es-CR"/>
        </w:rPr>
        <w:t xml:space="preserve"> Resolución de la Corte Interamericana de Derechos Humanos de 21 de noviembre de 2014, Considerando </w:t>
      </w:r>
      <w:r w:rsidR="00DD6F47">
        <w:rPr>
          <w:rStyle w:val="Textoennegrita"/>
          <w:rFonts w:ascii="Verdana" w:hAnsi="Verdana"/>
          <w:b w:val="0"/>
          <w:color w:val="000000"/>
          <w:sz w:val="16"/>
          <w:szCs w:val="16"/>
          <w:shd w:val="clear" w:color="auto" w:fill="FFFFFF"/>
          <w:lang w:val="es-CR"/>
        </w:rPr>
        <w:t>vigésimo séptimo</w:t>
      </w:r>
      <w:r w:rsidRPr="00DD7FF8">
        <w:rPr>
          <w:rStyle w:val="Textoennegrita"/>
          <w:rFonts w:ascii="Verdana" w:hAnsi="Verdana"/>
          <w:b w:val="0"/>
          <w:color w:val="000000"/>
          <w:sz w:val="16"/>
          <w:szCs w:val="16"/>
          <w:shd w:val="clear" w:color="auto" w:fill="FFFFFF"/>
          <w:lang w:val="es-CR"/>
        </w:rPr>
        <w:t>.</w:t>
      </w:r>
    </w:p>
  </w:footnote>
  <w:footnote w:id="71">
    <w:p w:rsidR="00A70CBB" w:rsidRPr="00EA199C" w:rsidRDefault="00A70CBB" w:rsidP="006F55BC">
      <w:pPr>
        <w:pStyle w:val="Textonotapie"/>
        <w:tabs>
          <w:tab w:val="left" w:pos="426"/>
        </w:tabs>
        <w:jc w:val="both"/>
        <w:rPr>
          <w:rFonts w:ascii="Verdana" w:hAnsi="Verdana"/>
          <w:sz w:val="16"/>
          <w:szCs w:val="16"/>
          <w:lang w:val="es-CR"/>
        </w:rPr>
      </w:pPr>
      <w:r w:rsidRPr="00EA199C">
        <w:rPr>
          <w:rStyle w:val="Refdenotaalpie"/>
          <w:rFonts w:ascii="Verdana" w:hAnsi="Verdana"/>
          <w:sz w:val="16"/>
          <w:szCs w:val="16"/>
        </w:rPr>
        <w:footnoteRef/>
      </w:r>
      <w:r w:rsidRPr="00EA199C">
        <w:rPr>
          <w:rFonts w:ascii="Verdana" w:hAnsi="Verdana"/>
          <w:sz w:val="16"/>
          <w:szCs w:val="16"/>
          <w:lang w:val="es-CR"/>
        </w:rPr>
        <w:t xml:space="preserve"> </w:t>
      </w:r>
      <w:r w:rsidRPr="00EA199C">
        <w:rPr>
          <w:rFonts w:ascii="Verdana" w:hAnsi="Verdana"/>
          <w:sz w:val="16"/>
          <w:szCs w:val="16"/>
          <w:lang w:val="es-CR"/>
        </w:rPr>
        <w:tab/>
        <w:t xml:space="preserve">Los representantes de las víctimas han planteado solicitudes en este sentido. </w:t>
      </w:r>
    </w:p>
  </w:footnote>
  <w:footnote w:id="72">
    <w:p w:rsidR="00A70CBB" w:rsidRPr="007A6A84" w:rsidRDefault="00A70CBB" w:rsidP="007A6A84">
      <w:pPr>
        <w:pStyle w:val="Textonotapie"/>
        <w:tabs>
          <w:tab w:val="left" w:pos="426"/>
        </w:tabs>
        <w:jc w:val="both"/>
        <w:rPr>
          <w:rFonts w:ascii="Verdana" w:hAnsi="Verdana"/>
          <w:b/>
          <w:sz w:val="16"/>
          <w:szCs w:val="16"/>
          <w:lang w:val="es-CR"/>
        </w:rPr>
      </w:pPr>
      <w:r w:rsidRPr="00377799">
        <w:rPr>
          <w:rStyle w:val="Refdenotaalpie"/>
          <w:rFonts w:ascii="Verdana" w:hAnsi="Verdana"/>
          <w:sz w:val="16"/>
          <w:szCs w:val="16"/>
        </w:rPr>
        <w:footnoteRef/>
      </w:r>
      <w:r w:rsidRPr="00377799">
        <w:rPr>
          <w:rFonts w:ascii="Verdana" w:hAnsi="Verdana"/>
          <w:sz w:val="16"/>
          <w:szCs w:val="16"/>
          <w:lang w:val="es-CR"/>
        </w:rPr>
        <w:t xml:space="preserve"> </w:t>
      </w:r>
      <w:r w:rsidRPr="00377799">
        <w:rPr>
          <w:rFonts w:ascii="Verdana" w:hAnsi="Verdana"/>
          <w:sz w:val="16"/>
          <w:szCs w:val="16"/>
          <w:lang w:val="es-CR"/>
        </w:rPr>
        <w:tab/>
        <w:t xml:space="preserve">La </w:t>
      </w:r>
      <w:r w:rsidRPr="00377799">
        <w:rPr>
          <w:rFonts w:ascii="Verdana" w:hAnsi="Verdana"/>
          <w:i/>
          <w:sz w:val="16"/>
          <w:szCs w:val="16"/>
          <w:lang w:val="es-CR"/>
        </w:rPr>
        <w:t>representante Myriam Reyes</w:t>
      </w:r>
      <w:r w:rsidRPr="00377799">
        <w:rPr>
          <w:rFonts w:ascii="Verdana" w:hAnsi="Verdana"/>
          <w:sz w:val="16"/>
          <w:szCs w:val="16"/>
          <w:lang w:val="es-CR"/>
        </w:rPr>
        <w:t xml:space="preserve"> expresó que “</w:t>
      </w:r>
      <w:r w:rsidR="00CB668E">
        <w:rPr>
          <w:rFonts w:ascii="Verdana" w:hAnsi="Verdana"/>
          <w:sz w:val="16"/>
          <w:szCs w:val="16"/>
          <w:lang w:val="es-CR"/>
        </w:rPr>
        <w:t>[</w:t>
      </w:r>
      <w:r w:rsidRPr="00377799">
        <w:rPr>
          <w:rFonts w:ascii="Verdana" w:hAnsi="Verdana"/>
          <w:sz w:val="16"/>
          <w:szCs w:val="16"/>
          <w:lang w:val="es-CR"/>
        </w:rPr>
        <w:t>n</w:t>
      </w:r>
      <w:r w:rsidR="00CB668E">
        <w:rPr>
          <w:rFonts w:ascii="Verdana" w:hAnsi="Verdana"/>
          <w:sz w:val="16"/>
          <w:szCs w:val="16"/>
          <w:lang w:val="es-CR"/>
        </w:rPr>
        <w:t>]</w:t>
      </w:r>
      <w:r w:rsidRPr="00377799">
        <w:rPr>
          <w:rFonts w:ascii="Verdana" w:hAnsi="Verdana"/>
          <w:sz w:val="16"/>
          <w:szCs w:val="16"/>
          <w:lang w:val="es-CR"/>
        </w:rPr>
        <w:t>o hay […]certeza en cuanto a qué ocurrirá en el futuro con las becas, su cuantía y su forma de pago</w:t>
      </w:r>
      <w:r>
        <w:rPr>
          <w:rFonts w:ascii="Verdana" w:hAnsi="Verdana"/>
          <w:sz w:val="16"/>
          <w:szCs w:val="16"/>
          <w:lang w:val="es-CR"/>
        </w:rPr>
        <w:t xml:space="preserve"> </w:t>
      </w:r>
      <w:r w:rsidRPr="00377799">
        <w:rPr>
          <w:rFonts w:ascii="Verdana" w:hAnsi="Verdana"/>
          <w:sz w:val="16"/>
          <w:szCs w:val="16"/>
          <w:lang w:val="es-CR"/>
        </w:rPr>
        <w:t xml:space="preserve">[…], ni menos, la forma en que el Estado se plantea asegurar las mismas en el futuro, de más de una década en algunos casos”. </w:t>
      </w:r>
      <w:r w:rsidRPr="00C7644B">
        <w:rPr>
          <w:rFonts w:ascii="Verdana" w:hAnsi="Verdana"/>
          <w:sz w:val="16"/>
          <w:szCs w:val="16"/>
          <w:lang w:val="es-CR"/>
        </w:rPr>
        <w:t>La</w:t>
      </w:r>
      <w:r w:rsidRPr="00C7644B">
        <w:rPr>
          <w:rFonts w:ascii="Verdana" w:hAnsi="Verdana"/>
          <w:i/>
          <w:sz w:val="16"/>
          <w:szCs w:val="16"/>
          <w:lang w:val="es-CR"/>
        </w:rPr>
        <w:t xml:space="preserve"> FIDH</w:t>
      </w:r>
      <w:r w:rsidRPr="00C7644B">
        <w:rPr>
          <w:rFonts w:ascii="Verdana" w:hAnsi="Verdana"/>
          <w:sz w:val="16"/>
          <w:szCs w:val="16"/>
          <w:lang w:val="es-CR"/>
        </w:rPr>
        <w:t xml:space="preserve"> indicó que</w:t>
      </w:r>
      <w:r w:rsidRPr="00903DE2">
        <w:rPr>
          <w:rFonts w:ascii="Verdana" w:hAnsi="Verdana"/>
          <w:sz w:val="16"/>
          <w:szCs w:val="16"/>
          <w:lang w:val="es-CR"/>
        </w:rPr>
        <w:t xml:space="preserve"> </w:t>
      </w:r>
      <w:r w:rsidRPr="00C7644B">
        <w:rPr>
          <w:rFonts w:ascii="Verdana" w:hAnsi="Verdana"/>
          <w:sz w:val="16"/>
          <w:szCs w:val="16"/>
          <w:lang w:val="es-CR"/>
        </w:rPr>
        <w:t xml:space="preserve">hay “[p]oca claridad respecto a cómo se implementará la cobertura de educación en el futuro”. </w:t>
      </w:r>
      <w:r w:rsidRPr="003206EC">
        <w:rPr>
          <w:rFonts w:ascii="Verdana" w:hAnsi="Verdana"/>
          <w:sz w:val="16"/>
          <w:szCs w:val="16"/>
          <w:lang w:val="es-CR"/>
        </w:rPr>
        <w:t>También se refirió a la necesidad de que el otorgamiento de becas</w:t>
      </w:r>
      <w:r w:rsidRPr="00903DE2">
        <w:rPr>
          <w:rFonts w:ascii="Verdana" w:hAnsi="Verdana"/>
          <w:sz w:val="16"/>
          <w:szCs w:val="16"/>
          <w:lang w:val="es-CR"/>
        </w:rPr>
        <w:t xml:space="preserve"> </w:t>
      </w:r>
      <w:r w:rsidRPr="003206EC">
        <w:rPr>
          <w:rFonts w:ascii="Verdana" w:hAnsi="Verdana"/>
          <w:sz w:val="16"/>
          <w:szCs w:val="16"/>
          <w:lang w:val="es-CR"/>
        </w:rPr>
        <w:t xml:space="preserve">“debe ser garantizado por una ley que no deje la situación al arbitrio de los gobiernos de turno, no siendo suficiente una resolución administrativa” que disponga los pagos. </w:t>
      </w:r>
      <w:r w:rsidRPr="00C7644B">
        <w:rPr>
          <w:rFonts w:ascii="Verdana" w:hAnsi="Verdana"/>
          <w:sz w:val="16"/>
          <w:szCs w:val="16"/>
          <w:lang w:val="es-CR"/>
        </w:rPr>
        <w:t xml:space="preserve">Los </w:t>
      </w:r>
      <w:r w:rsidRPr="00C7644B">
        <w:rPr>
          <w:rFonts w:ascii="Verdana" w:hAnsi="Verdana"/>
          <w:i/>
          <w:sz w:val="16"/>
          <w:szCs w:val="16"/>
          <w:lang w:val="es-CR"/>
        </w:rPr>
        <w:t>representantes</w:t>
      </w:r>
      <w:r w:rsidRPr="00903DE2">
        <w:rPr>
          <w:rFonts w:ascii="Verdana" w:hAnsi="Verdana"/>
          <w:sz w:val="16"/>
          <w:szCs w:val="16"/>
          <w:lang w:val="es-CR"/>
        </w:rPr>
        <w:t xml:space="preserve"> </w:t>
      </w:r>
      <w:r w:rsidRPr="00C7644B">
        <w:rPr>
          <w:rFonts w:ascii="Verdana" w:hAnsi="Verdana"/>
          <w:i/>
          <w:sz w:val="16"/>
          <w:szCs w:val="16"/>
          <w:lang w:val="es-CR"/>
        </w:rPr>
        <w:t>Llanquileo, Millamán y Lienlaf se refirieron a la “</w:t>
      </w:r>
      <w:r w:rsidRPr="00C7644B">
        <w:rPr>
          <w:rFonts w:ascii="Verdana" w:hAnsi="Verdana"/>
          <w:sz w:val="16"/>
          <w:szCs w:val="16"/>
          <w:lang w:val="es-CR"/>
        </w:rPr>
        <w:t xml:space="preserve">falta de información respecto de cómo se </w:t>
      </w:r>
      <w:r w:rsidRPr="0012264D">
        <w:rPr>
          <w:rFonts w:ascii="Verdana" w:hAnsi="Verdana"/>
          <w:sz w:val="16"/>
          <w:szCs w:val="16"/>
          <w:lang w:val="es-CR"/>
        </w:rPr>
        <w:t xml:space="preserve">seguirán realizando a futuro la entrega de estas becas”. </w:t>
      </w:r>
    </w:p>
  </w:footnote>
  <w:footnote w:id="73">
    <w:p w:rsidR="00A70CBB" w:rsidRPr="0012264D" w:rsidRDefault="00A70CBB" w:rsidP="0012264D">
      <w:pPr>
        <w:pStyle w:val="Textonotapie"/>
        <w:tabs>
          <w:tab w:val="left" w:pos="426"/>
        </w:tabs>
        <w:jc w:val="both"/>
        <w:rPr>
          <w:lang w:val="es-CR"/>
        </w:rPr>
      </w:pPr>
      <w:r w:rsidRPr="0012264D">
        <w:rPr>
          <w:rStyle w:val="Refdenotaalpie"/>
          <w:rFonts w:ascii="Verdana" w:hAnsi="Verdana"/>
          <w:sz w:val="16"/>
          <w:szCs w:val="16"/>
        </w:rPr>
        <w:footnoteRef/>
      </w:r>
      <w:r w:rsidRPr="0012264D">
        <w:rPr>
          <w:rFonts w:ascii="Verdana" w:hAnsi="Verdana"/>
          <w:sz w:val="16"/>
          <w:szCs w:val="16"/>
          <w:lang w:val="es-CR"/>
        </w:rPr>
        <w:t xml:space="preserve"> </w:t>
      </w:r>
      <w:r w:rsidRPr="0012264D">
        <w:rPr>
          <w:rFonts w:ascii="Verdana" w:hAnsi="Verdana"/>
          <w:sz w:val="16"/>
          <w:szCs w:val="16"/>
          <w:lang w:val="es-CR"/>
        </w:rPr>
        <w:tab/>
        <w:t xml:space="preserve">Al respecto ver: </w:t>
      </w:r>
      <w:r w:rsidRPr="0012264D">
        <w:rPr>
          <w:rStyle w:val="Textoennegrita"/>
          <w:rFonts w:ascii="Verdana" w:hAnsi="Verdana"/>
          <w:b w:val="0"/>
          <w:i/>
          <w:color w:val="000000"/>
          <w:sz w:val="16"/>
          <w:szCs w:val="16"/>
          <w:shd w:val="clear" w:color="auto" w:fill="FFFFFF"/>
          <w:lang w:val="es-CR"/>
        </w:rPr>
        <w:t>Casos Fernández Ortega y otros y Rosendo Cantú y otra Vs. México</w:t>
      </w:r>
      <w:r w:rsidRPr="0012264D">
        <w:rPr>
          <w:rStyle w:val="Textoennegrita"/>
          <w:rFonts w:ascii="Verdana" w:hAnsi="Verdana"/>
          <w:b w:val="0"/>
          <w:color w:val="000000"/>
          <w:sz w:val="16"/>
          <w:szCs w:val="16"/>
          <w:shd w:val="clear" w:color="auto" w:fill="FFFFFF"/>
          <w:lang w:val="es-CR"/>
        </w:rPr>
        <w:t>,</w:t>
      </w:r>
      <w:r w:rsidR="00CB668E">
        <w:rPr>
          <w:rStyle w:val="Textoennegrita"/>
          <w:rFonts w:ascii="Verdana" w:hAnsi="Verdana"/>
          <w:b w:val="0"/>
          <w:color w:val="000000"/>
          <w:sz w:val="16"/>
          <w:szCs w:val="16"/>
          <w:shd w:val="clear" w:color="auto" w:fill="FFFFFF"/>
          <w:lang w:val="es-CR"/>
        </w:rPr>
        <w:t xml:space="preserve"> </w:t>
      </w:r>
      <w:r w:rsidR="00CB668E" w:rsidRPr="00903DE2">
        <w:rPr>
          <w:rStyle w:val="Textoennegrita"/>
          <w:rFonts w:ascii="Verdana" w:hAnsi="Verdana"/>
          <w:b w:val="0"/>
          <w:i/>
          <w:color w:val="000000"/>
          <w:sz w:val="16"/>
          <w:szCs w:val="16"/>
          <w:shd w:val="clear" w:color="auto" w:fill="FFFFFF"/>
          <w:lang w:val="es-CR"/>
        </w:rPr>
        <w:t>supra</w:t>
      </w:r>
      <w:r w:rsidR="00CB668E">
        <w:rPr>
          <w:rStyle w:val="Textoennegrita"/>
          <w:rFonts w:ascii="Verdana" w:hAnsi="Verdana"/>
          <w:b w:val="0"/>
          <w:color w:val="000000"/>
          <w:sz w:val="16"/>
          <w:szCs w:val="16"/>
          <w:shd w:val="clear" w:color="auto" w:fill="FFFFFF"/>
          <w:lang w:val="es-CR"/>
        </w:rPr>
        <w:t xml:space="preserve"> nota 70</w:t>
      </w:r>
      <w:r w:rsidRPr="0012264D">
        <w:rPr>
          <w:rStyle w:val="Textoennegrita"/>
          <w:rFonts w:ascii="Verdana" w:hAnsi="Verdana"/>
          <w:b w:val="0"/>
          <w:color w:val="000000"/>
          <w:sz w:val="16"/>
          <w:szCs w:val="16"/>
          <w:shd w:val="clear" w:color="auto" w:fill="FFFFFF"/>
          <w:lang w:val="es-CR"/>
        </w:rPr>
        <w:t xml:space="preserve"> Considerandos </w:t>
      </w:r>
      <w:r w:rsidR="00CB668E">
        <w:rPr>
          <w:rStyle w:val="Textoennegrita"/>
          <w:rFonts w:ascii="Verdana" w:hAnsi="Verdana"/>
          <w:b w:val="0"/>
          <w:color w:val="000000"/>
          <w:sz w:val="16"/>
          <w:szCs w:val="16"/>
          <w:shd w:val="clear" w:color="auto" w:fill="FFFFFF"/>
          <w:lang w:val="es-CR"/>
        </w:rPr>
        <w:t>vigésimo primero</w:t>
      </w:r>
      <w:r w:rsidR="00CB668E" w:rsidRPr="0012264D">
        <w:rPr>
          <w:rStyle w:val="Textoennegrita"/>
          <w:rFonts w:ascii="Verdana" w:hAnsi="Verdana"/>
          <w:b w:val="0"/>
          <w:color w:val="000000"/>
          <w:sz w:val="16"/>
          <w:szCs w:val="16"/>
          <w:shd w:val="clear" w:color="auto" w:fill="FFFFFF"/>
          <w:lang w:val="es-CR"/>
        </w:rPr>
        <w:t xml:space="preserve"> </w:t>
      </w:r>
      <w:r w:rsidRPr="0012264D">
        <w:rPr>
          <w:rStyle w:val="Textoennegrita"/>
          <w:rFonts w:ascii="Verdana" w:hAnsi="Verdana"/>
          <w:b w:val="0"/>
          <w:color w:val="000000"/>
          <w:sz w:val="16"/>
          <w:szCs w:val="16"/>
          <w:shd w:val="clear" w:color="auto" w:fill="FFFFFF"/>
          <w:lang w:val="es-CR"/>
        </w:rPr>
        <w:t xml:space="preserve">a </w:t>
      </w:r>
      <w:r w:rsidR="00CB668E">
        <w:rPr>
          <w:rStyle w:val="Textoennegrita"/>
          <w:rFonts w:ascii="Verdana" w:hAnsi="Verdana"/>
          <w:b w:val="0"/>
          <w:color w:val="000000"/>
          <w:sz w:val="16"/>
          <w:szCs w:val="16"/>
          <w:shd w:val="clear" w:color="auto" w:fill="FFFFFF"/>
          <w:lang w:val="es-CR"/>
        </w:rPr>
        <w:t>vigésimo séptimo</w:t>
      </w:r>
      <w:r w:rsidRPr="0012264D">
        <w:rPr>
          <w:rStyle w:val="Textoennegrita"/>
          <w:rFonts w:ascii="Verdana" w:hAnsi="Verdana"/>
          <w:b w:val="0"/>
          <w:color w:val="000000"/>
          <w:sz w:val="16"/>
          <w:szCs w:val="16"/>
          <w:shd w:val="clear" w:color="auto" w:fill="FFFFFF"/>
          <w:lang w:val="es-CR"/>
        </w:rPr>
        <w:t>.</w:t>
      </w:r>
    </w:p>
  </w:footnote>
  <w:footnote w:id="74">
    <w:p w:rsidR="00A70CBB" w:rsidRPr="00560AE8" w:rsidRDefault="00A70CBB" w:rsidP="00560AE8">
      <w:pPr>
        <w:pStyle w:val="Textonotapie"/>
        <w:tabs>
          <w:tab w:val="left" w:pos="426"/>
        </w:tabs>
        <w:jc w:val="both"/>
        <w:rPr>
          <w:rFonts w:ascii="Verdana" w:hAnsi="Verdana"/>
          <w:sz w:val="16"/>
          <w:szCs w:val="16"/>
          <w:lang w:val="es-CR"/>
        </w:rPr>
      </w:pPr>
      <w:r w:rsidRPr="00560AE8">
        <w:rPr>
          <w:rStyle w:val="Refdenotaalpie"/>
          <w:rFonts w:ascii="Verdana" w:hAnsi="Verdana"/>
          <w:sz w:val="16"/>
          <w:szCs w:val="16"/>
        </w:rPr>
        <w:footnoteRef/>
      </w:r>
      <w:r w:rsidRPr="00560AE8">
        <w:rPr>
          <w:rFonts w:ascii="Verdana" w:hAnsi="Verdana"/>
          <w:sz w:val="16"/>
          <w:szCs w:val="16"/>
          <w:lang w:val="es-CR"/>
        </w:rPr>
        <w:t xml:space="preserve"> </w:t>
      </w:r>
      <w:r w:rsidRPr="00560AE8">
        <w:rPr>
          <w:rFonts w:ascii="Verdana" w:hAnsi="Verdana"/>
          <w:sz w:val="16"/>
          <w:szCs w:val="16"/>
          <w:lang w:val="es-CR"/>
        </w:rPr>
        <w:tab/>
        <w:t xml:space="preserve">Adicionalmente, “el Tribunal rec[ordó] </w:t>
      </w:r>
      <w:proofErr w:type="gramStart"/>
      <w:r w:rsidRPr="00560AE8">
        <w:rPr>
          <w:rFonts w:ascii="Verdana" w:hAnsi="Verdana"/>
          <w:sz w:val="16"/>
          <w:szCs w:val="16"/>
          <w:lang w:val="es-CR"/>
        </w:rPr>
        <w:t>que</w:t>
      </w:r>
      <w:proofErr w:type="gramEnd"/>
      <w:r w:rsidRPr="00560AE8">
        <w:rPr>
          <w:rFonts w:ascii="Verdana" w:hAnsi="Verdana"/>
          <w:sz w:val="16"/>
          <w:szCs w:val="16"/>
          <w:lang w:val="es-CR"/>
        </w:rPr>
        <w:t xml:space="preserve"> a fin de garantizar dicho derecho de la defensa a interrogar testigos, las autoridades judiciales deben aplicar [los] criterios o estándares establecidos por la Corte </w:t>
      </w:r>
      <w:r w:rsidR="00987D17">
        <w:rPr>
          <w:rFonts w:ascii="Verdana" w:hAnsi="Verdana"/>
          <w:sz w:val="16"/>
          <w:szCs w:val="16"/>
          <w:lang w:val="es-CR"/>
        </w:rPr>
        <w:t xml:space="preserve">[…] </w:t>
      </w:r>
      <w:r w:rsidRPr="00560AE8">
        <w:rPr>
          <w:rFonts w:ascii="Verdana" w:hAnsi="Verdana"/>
          <w:sz w:val="16"/>
          <w:szCs w:val="16"/>
          <w:lang w:val="es-CR"/>
        </w:rPr>
        <w:t>en ejercicio del control de convencionalidad”.</w:t>
      </w:r>
    </w:p>
  </w:footnote>
  <w:footnote w:id="75">
    <w:p w:rsidR="00A70CBB" w:rsidRPr="001B4EEB" w:rsidRDefault="00A70CBB" w:rsidP="007D1083">
      <w:pPr>
        <w:pStyle w:val="Textonotapie"/>
        <w:tabs>
          <w:tab w:val="left" w:pos="426"/>
        </w:tabs>
        <w:jc w:val="both"/>
        <w:rPr>
          <w:rFonts w:ascii="Verdana" w:hAnsi="Verdana"/>
          <w:sz w:val="16"/>
          <w:szCs w:val="16"/>
          <w:lang w:val="es-CR"/>
        </w:rPr>
      </w:pPr>
      <w:r w:rsidRPr="001B4EEB">
        <w:rPr>
          <w:rStyle w:val="Refdenotaalpie"/>
          <w:rFonts w:ascii="Verdana" w:hAnsi="Verdana"/>
          <w:sz w:val="16"/>
          <w:szCs w:val="16"/>
        </w:rPr>
        <w:footnoteRef/>
      </w:r>
      <w:r w:rsidRPr="001B4EEB">
        <w:rPr>
          <w:rFonts w:ascii="Verdana" w:hAnsi="Verdana"/>
          <w:sz w:val="16"/>
          <w:szCs w:val="16"/>
          <w:lang w:val="es-CR"/>
        </w:rPr>
        <w:t xml:space="preserve"> </w:t>
      </w:r>
      <w:r w:rsidRPr="001B4EEB">
        <w:rPr>
          <w:rFonts w:ascii="Verdana" w:hAnsi="Verdana"/>
          <w:sz w:val="16"/>
          <w:szCs w:val="16"/>
          <w:lang w:val="es-CR"/>
        </w:rPr>
        <w:tab/>
      </w:r>
      <w:r w:rsidRPr="001B4EEB">
        <w:rPr>
          <w:rFonts w:ascii="Verdana" w:hAnsi="Verdana"/>
          <w:i/>
          <w:sz w:val="16"/>
          <w:szCs w:val="16"/>
          <w:lang w:val="es-CR"/>
        </w:rPr>
        <w:t>Cfr</w:t>
      </w:r>
      <w:r w:rsidRPr="001B4EEB">
        <w:rPr>
          <w:rFonts w:ascii="Verdana" w:hAnsi="Verdana"/>
          <w:sz w:val="16"/>
          <w:szCs w:val="16"/>
          <w:lang w:val="es-CR"/>
        </w:rPr>
        <w:t>. Boletín N°9692-07 y Boletín N° 9669-07 (anexo 10 al informe estatal de julio de 2015).</w:t>
      </w:r>
    </w:p>
  </w:footnote>
  <w:footnote w:id="76">
    <w:p w:rsidR="00A70CBB" w:rsidRPr="001B4EEB" w:rsidRDefault="00A70CBB" w:rsidP="00C9229D">
      <w:pPr>
        <w:pStyle w:val="Textonotapie"/>
        <w:tabs>
          <w:tab w:val="left" w:pos="426"/>
        </w:tabs>
        <w:jc w:val="both"/>
        <w:rPr>
          <w:rFonts w:ascii="Verdana" w:hAnsi="Verdana"/>
          <w:sz w:val="16"/>
          <w:szCs w:val="16"/>
          <w:lang w:val="es-CR"/>
        </w:rPr>
      </w:pPr>
      <w:r w:rsidRPr="001B4EEB">
        <w:rPr>
          <w:rStyle w:val="Refdenotaalpie"/>
          <w:rFonts w:ascii="Verdana" w:hAnsi="Verdana"/>
          <w:sz w:val="16"/>
          <w:szCs w:val="16"/>
        </w:rPr>
        <w:footnoteRef/>
      </w:r>
      <w:r w:rsidRPr="001B4EEB">
        <w:rPr>
          <w:rFonts w:ascii="Verdana" w:hAnsi="Verdana"/>
          <w:sz w:val="16"/>
          <w:szCs w:val="16"/>
          <w:lang w:val="es-CR"/>
        </w:rPr>
        <w:t xml:space="preserve"> </w:t>
      </w:r>
      <w:r w:rsidRPr="001B4EEB">
        <w:rPr>
          <w:rFonts w:ascii="Verdana" w:hAnsi="Verdana"/>
          <w:sz w:val="16"/>
          <w:szCs w:val="16"/>
          <w:lang w:val="es-CR"/>
        </w:rPr>
        <w:tab/>
        <w:t xml:space="preserve">Indicó que este proyecto de ley “tiene por finalidad actualizar y perfeccionar la norma que tipifica las conductas terroristas, incorporando una definición que sea clara pero que contemple una adecuada sanción a los delitos terroristas”. </w:t>
      </w:r>
    </w:p>
  </w:footnote>
  <w:footnote w:id="77">
    <w:p w:rsidR="00A70CBB" w:rsidRPr="001B4EEB" w:rsidRDefault="00A70CBB" w:rsidP="007D1083">
      <w:pPr>
        <w:pStyle w:val="Textonotapie"/>
        <w:tabs>
          <w:tab w:val="left" w:pos="426"/>
        </w:tabs>
        <w:jc w:val="both"/>
        <w:rPr>
          <w:rFonts w:ascii="Verdana" w:hAnsi="Verdana"/>
          <w:sz w:val="16"/>
          <w:szCs w:val="16"/>
          <w:lang w:val="es-CR"/>
        </w:rPr>
      </w:pPr>
      <w:r w:rsidRPr="001B4EEB">
        <w:rPr>
          <w:rStyle w:val="Refdenotaalpie"/>
          <w:rFonts w:ascii="Verdana" w:hAnsi="Verdana"/>
          <w:sz w:val="16"/>
          <w:szCs w:val="16"/>
        </w:rPr>
        <w:footnoteRef/>
      </w:r>
      <w:r w:rsidRPr="001B4EEB">
        <w:rPr>
          <w:rFonts w:ascii="Verdana" w:hAnsi="Verdana"/>
          <w:sz w:val="16"/>
          <w:szCs w:val="16"/>
          <w:lang w:val="es-CR"/>
        </w:rPr>
        <w:t xml:space="preserve"> </w:t>
      </w:r>
      <w:r w:rsidRPr="001B4EEB">
        <w:rPr>
          <w:rFonts w:ascii="Verdana" w:hAnsi="Verdana"/>
          <w:sz w:val="16"/>
          <w:szCs w:val="16"/>
          <w:lang w:val="es-CR"/>
        </w:rPr>
        <w:tab/>
      </w:r>
      <w:r w:rsidRPr="002573C2">
        <w:rPr>
          <w:rFonts w:ascii="Verdana" w:hAnsi="Verdana"/>
          <w:sz w:val="16"/>
          <w:szCs w:val="16"/>
          <w:lang w:val="es-CR"/>
        </w:rPr>
        <w:t>Explicó que según el proyecto de ley, la medida de testigos protegidos “</w:t>
      </w:r>
      <w:r w:rsidR="003A3666" w:rsidRPr="00903DE2">
        <w:rPr>
          <w:rFonts w:ascii="Verdana" w:hAnsi="Verdana"/>
          <w:sz w:val="16"/>
          <w:szCs w:val="16"/>
          <w:lang w:val="es-CR"/>
        </w:rPr>
        <w:t>[</w:t>
      </w:r>
      <w:r w:rsidRPr="002573C2">
        <w:rPr>
          <w:rFonts w:ascii="Verdana" w:hAnsi="Verdana"/>
          <w:sz w:val="16"/>
          <w:szCs w:val="16"/>
          <w:lang w:val="es-CR"/>
        </w:rPr>
        <w:t>s</w:t>
      </w:r>
      <w:r w:rsidR="003A3666" w:rsidRPr="00903DE2">
        <w:rPr>
          <w:rFonts w:ascii="Verdana" w:hAnsi="Verdana"/>
          <w:sz w:val="16"/>
          <w:szCs w:val="16"/>
          <w:lang w:val="es-CR"/>
        </w:rPr>
        <w:t>]</w:t>
      </w:r>
      <w:r w:rsidRPr="002573C2">
        <w:rPr>
          <w:rFonts w:ascii="Verdana" w:hAnsi="Verdana"/>
          <w:sz w:val="16"/>
          <w:szCs w:val="16"/>
          <w:lang w:val="es-CR"/>
        </w:rPr>
        <w:t>e aplica s</w:t>
      </w:r>
      <w:r w:rsidR="003A3666" w:rsidRPr="00903DE2">
        <w:rPr>
          <w:rFonts w:ascii="Verdana" w:hAnsi="Verdana"/>
          <w:sz w:val="16"/>
          <w:szCs w:val="16"/>
          <w:lang w:val="es-CR"/>
        </w:rPr>
        <w:t>ó</w:t>
      </w:r>
      <w:r w:rsidRPr="002573C2">
        <w:rPr>
          <w:rFonts w:ascii="Verdana" w:hAnsi="Verdana"/>
          <w:sz w:val="16"/>
          <w:szCs w:val="16"/>
          <w:lang w:val="es-CR"/>
        </w:rPr>
        <w:t>lo en etapa de investigación</w:t>
      </w:r>
      <w:r w:rsidRPr="001B4EEB">
        <w:rPr>
          <w:rFonts w:ascii="Verdana" w:hAnsi="Verdana"/>
          <w:sz w:val="16"/>
          <w:szCs w:val="16"/>
          <w:lang w:val="es-CR"/>
        </w:rPr>
        <w:t xml:space="preserve">, para ciertos delitos, bajo determinadas causales y por razones fundadas, la que será empleada por un período limitado de tiempo y sometido a revisión judicial” y que “[p]ara resguardar la excepcionalidad de esta medida, su renovación dependerá de una resolución judicial que la considere necesaria para el éxito de la investigación”, por lo cual “cualquier interviniente puede solicitar la intervención del Juez de Garantía para que revise la pertinencia y necesidad de esta medida”. Añadió </w:t>
      </w:r>
      <w:proofErr w:type="gramStart"/>
      <w:r w:rsidRPr="001B4EEB">
        <w:rPr>
          <w:rFonts w:ascii="Verdana" w:hAnsi="Verdana"/>
          <w:sz w:val="16"/>
          <w:szCs w:val="16"/>
          <w:lang w:val="es-CR"/>
        </w:rPr>
        <w:t>que</w:t>
      </w:r>
      <w:proofErr w:type="gramEnd"/>
      <w:r w:rsidRPr="001B4EEB">
        <w:rPr>
          <w:rFonts w:ascii="Verdana" w:hAnsi="Verdana"/>
          <w:sz w:val="16"/>
          <w:szCs w:val="16"/>
          <w:lang w:val="es-CR"/>
        </w:rPr>
        <w:t xml:space="preserve"> según lo propuesto en el proyecto, la reserva “cesará […] una vez cerrada la investigación”. Además, indicó que se plantea que “la defensa tiene el derecho a conocer todos los medios de prueba presentados por el Ministerio Público en la acusación, esto es</w:t>
      </w:r>
      <w:r w:rsidR="003A3666">
        <w:rPr>
          <w:rFonts w:ascii="Verdana" w:hAnsi="Verdana"/>
          <w:sz w:val="16"/>
          <w:szCs w:val="16"/>
          <w:lang w:val="es-CR"/>
        </w:rPr>
        <w:t>,</w:t>
      </w:r>
      <w:r w:rsidRPr="001B4EEB">
        <w:rPr>
          <w:rFonts w:ascii="Verdana" w:hAnsi="Verdana"/>
          <w:sz w:val="16"/>
          <w:szCs w:val="16"/>
          <w:lang w:val="es-CR"/>
        </w:rPr>
        <w:t xml:space="preserve"> la identidad de los testigos o peritos protegidos, y los antecedentes, diligencias o actuaciones producidas durante el per</w:t>
      </w:r>
      <w:r w:rsidR="003A3666">
        <w:rPr>
          <w:rFonts w:ascii="Verdana" w:hAnsi="Verdana"/>
          <w:sz w:val="16"/>
          <w:szCs w:val="16"/>
          <w:lang w:val="es-CR"/>
        </w:rPr>
        <w:t>i</w:t>
      </w:r>
      <w:r w:rsidRPr="001B4EEB">
        <w:rPr>
          <w:rFonts w:ascii="Verdana" w:hAnsi="Verdana"/>
          <w:sz w:val="16"/>
          <w:szCs w:val="16"/>
          <w:lang w:val="es-CR"/>
        </w:rPr>
        <w:t>odo de reserva o secreto”. Finalmente, agregó que “[c]on las modificaciones propuestas en este proyecto de ley, los medios de prueba que en la etapa de investigación estuvieren sujetos a esta medida de protección, serán públicos en las distintas etapas de juicio”.</w:t>
      </w:r>
    </w:p>
  </w:footnote>
  <w:footnote w:id="78">
    <w:p w:rsidR="00A70CBB" w:rsidRPr="001B4EEB" w:rsidRDefault="00A70CBB" w:rsidP="005E3309">
      <w:pPr>
        <w:pStyle w:val="Textonotapie"/>
        <w:tabs>
          <w:tab w:val="left" w:pos="426"/>
        </w:tabs>
        <w:jc w:val="both"/>
        <w:rPr>
          <w:rFonts w:ascii="Verdana" w:hAnsi="Verdana"/>
          <w:sz w:val="16"/>
          <w:szCs w:val="16"/>
          <w:lang w:val="es-CR"/>
        </w:rPr>
      </w:pPr>
      <w:r w:rsidRPr="001B4EEB">
        <w:rPr>
          <w:rStyle w:val="Refdenotaalpie"/>
          <w:rFonts w:ascii="Verdana" w:hAnsi="Verdana"/>
          <w:sz w:val="16"/>
          <w:szCs w:val="16"/>
        </w:rPr>
        <w:footnoteRef/>
      </w:r>
      <w:r w:rsidRPr="001B4EEB">
        <w:rPr>
          <w:rFonts w:ascii="Verdana" w:hAnsi="Verdana"/>
          <w:sz w:val="16"/>
          <w:szCs w:val="16"/>
          <w:lang w:val="es-CR"/>
        </w:rPr>
        <w:t xml:space="preserve"> </w:t>
      </w:r>
      <w:r w:rsidRPr="001B4EEB">
        <w:rPr>
          <w:rFonts w:ascii="Verdana" w:hAnsi="Verdana"/>
          <w:sz w:val="16"/>
          <w:szCs w:val="16"/>
          <w:lang w:val="es-CR"/>
        </w:rPr>
        <w:tab/>
      </w:r>
      <w:r w:rsidRPr="00B310CC">
        <w:rPr>
          <w:rFonts w:ascii="Verdana" w:hAnsi="Verdana"/>
          <w:i/>
          <w:sz w:val="16"/>
          <w:szCs w:val="16"/>
          <w:lang w:val="es-CR"/>
        </w:rPr>
        <w:t>Cfr.</w:t>
      </w:r>
      <w:r>
        <w:rPr>
          <w:rFonts w:ascii="Verdana" w:hAnsi="Verdana"/>
          <w:sz w:val="16"/>
          <w:szCs w:val="16"/>
          <w:lang w:val="es-CR"/>
        </w:rPr>
        <w:t xml:space="preserve"> Oficio N°10653 del 17 de mayo de 2016 del Ministerio del Interior y Seguridad Pública (anexo 14 al informe estatal de octubre 2016).</w:t>
      </w:r>
    </w:p>
  </w:footnote>
  <w:footnote w:id="79">
    <w:p w:rsidR="00A70CBB" w:rsidRPr="00036B4B" w:rsidRDefault="00A70CBB" w:rsidP="00036B4B">
      <w:pPr>
        <w:pStyle w:val="Textonotapie"/>
        <w:tabs>
          <w:tab w:val="left" w:pos="426"/>
        </w:tabs>
        <w:jc w:val="both"/>
        <w:rPr>
          <w:rFonts w:ascii="Verdana" w:hAnsi="Verdana"/>
          <w:sz w:val="16"/>
          <w:szCs w:val="16"/>
          <w:lang w:val="es-CR"/>
        </w:rPr>
      </w:pPr>
      <w:r w:rsidRPr="00036B4B">
        <w:rPr>
          <w:rStyle w:val="Refdenotaalpie"/>
          <w:rFonts w:ascii="Verdana" w:hAnsi="Verdana"/>
          <w:sz w:val="16"/>
          <w:szCs w:val="16"/>
        </w:rPr>
        <w:footnoteRef/>
      </w:r>
      <w:r w:rsidRPr="00036B4B">
        <w:rPr>
          <w:rFonts w:ascii="Verdana" w:hAnsi="Verdana"/>
          <w:sz w:val="16"/>
          <w:szCs w:val="16"/>
          <w:lang w:val="es-CR"/>
        </w:rPr>
        <w:t xml:space="preserve"> </w:t>
      </w:r>
      <w:r w:rsidRPr="00036B4B">
        <w:rPr>
          <w:rFonts w:ascii="Verdana" w:hAnsi="Verdana"/>
          <w:sz w:val="16"/>
          <w:szCs w:val="16"/>
          <w:lang w:val="es-CR"/>
        </w:rPr>
        <w:tab/>
        <w:t xml:space="preserve">Adicionalmente, expuso que “h[a] insistido ante los representantes del Estado en la necesidad de </w:t>
      </w:r>
      <w:r w:rsidR="0084272C">
        <w:rPr>
          <w:rFonts w:ascii="Verdana" w:hAnsi="Verdana"/>
          <w:sz w:val="16"/>
          <w:szCs w:val="16"/>
          <w:lang w:val="es-CR"/>
        </w:rPr>
        <w:t>[participar]</w:t>
      </w:r>
      <w:r w:rsidRPr="00036B4B">
        <w:rPr>
          <w:rFonts w:ascii="Verdana" w:hAnsi="Verdana"/>
          <w:sz w:val="16"/>
          <w:szCs w:val="16"/>
          <w:lang w:val="es-CR"/>
        </w:rPr>
        <w:t xml:space="preserve"> en el debate legislativo” para que sea “considerado [su] parecer por las Comisiones Legislativas intervinientes”, </w:t>
      </w:r>
      <w:r w:rsidR="0084272C">
        <w:rPr>
          <w:rFonts w:ascii="Verdana" w:hAnsi="Verdana"/>
          <w:sz w:val="16"/>
          <w:szCs w:val="16"/>
          <w:lang w:val="es-CR"/>
        </w:rPr>
        <w:t>pero que ello “no ha ocurrido”.</w:t>
      </w:r>
    </w:p>
  </w:footnote>
  <w:footnote w:id="80">
    <w:p w:rsidR="00A70CBB" w:rsidRPr="00036B4B" w:rsidRDefault="00A70CBB" w:rsidP="00036B4B">
      <w:pPr>
        <w:pStyle w:val="Textonotapie"/>
        <w:tabs>
          <w:tab w:val="left" w:pos="426"/>
        </w:tabs>
        <w:jc w:val="both"/>
        <w:rPr>
          <w:rFonts w:ascii="Verdana" w:hAnsi="Verdana"/>
          <w:sz w:val="16"/>
          <w:szCs w:val="16"/>
          <w:lang w:val="es-CR"/>
        </w:rPr>
      </w:pPr>
      <w:r w:rsidRPr="00036B4B">
        <w:rPr>
          <w:rStyle w:val="Refdenotaalpie"/>
          <w:rFonts w:ascii="Verdana" w:hAnsi="Verdana"/>
          <w:sz w:val="16"/>
          <w:szCs w:val="16"/>
        </w:rPr>
        <w:footnoteRef/>
      </w:r>
      <w:r w:rsidRPr="00036B4B">
        <w:rPr>
          <w:rFonts w:ascii="Verdana" w:hAnsi="Verdana"/>
          <w:sz w:val="16"/>
          <w:szCs w:val="16"/>
          <w:lang w:val="es-CR"/>
        </w:rPr>
        <w:t xml:space="preserve"> </w:t>
      </w:r>
      <w:r w:rsidRPr="00036B4B">
        <w:rPr>
          <w:rFonts w:ascii="Verdana" w:hAnsi="Verdana"/>
          <w:sz w:val="16"/>
          <w:szCs w:val="16"/>
          <w:lang w:val="es-CR"/>
        </w:rPr>
        <w:tab/>
        <w:t>“Ley de Agenda Corta, Nro. 20.931, ‘Facilita la aplicación efectiva de las penas establecidas para los delitos de robo, hurto y receptación y mejora la persecución penal en dichos delitos’”.</w:t>
      </w:r>
    </w:p>
  </w:footnote>
  <w:footnote w:id="81">
    <w:p w:rsidR="00A70CBB" w:rsidRPr="004F0111" w:rsidRDefault="00A70CBB" w:rsidP="00903DE2">
      <w:pPr>
        <w:pStyle w:val="Cuerpodeltexto110"/>
        <w:shd w:val="clear" w:color="auto" w:fill="auto"/>
        <w:tabs>
          <w:tab w:val="left" w:pos="426"/>
        </w:tabs>
        <w:spacing w:before="0" w:after="0" w:line="240" w:lineRule="auto"/>
        <w:ind w:right="20"/>
        <w:rPr>
          <w:rFonts w:ascii="Verdana" w:hAnsi="Verdana"/>
          <w:b/>
          <w:sz w:val="16"/>
          <w:szCs w:val="16"/>
        </w:rPr>
      </w:pPr>
      <w:r w:rsidRPr="00B707C8">
        <w:rPr>
          <w:rStyle w:val="Refdenotaalpie"/>
          <w:rFonts w:ascii="Verdana" w:hAnsi="Verdana"/>
          <w:sz w:val="16"/>
          <w:szCs w:val="16"/>
        </w:rPr>
        <w:footnoteRef/>
      </w:r>
      <w:r w:rsidRPr="00B707C8">
        <w:rPr>
          <w:rFonts w:ascii="Verdana" w:hAnsi="Verdana"/>
          <w:sz w:val="16"/>
          <w:szCs w:val="16"/>
        </w:rPr>
        <w:t xml:space="preserve"> </w:t>
      </w:r>
      <w:r w:rsidRPr="00B707C8">
        <w:rPr>
          <w:rFonts w:ascii="Verdana" w:hAnsi="Verdana"/>
          <w:sz w:val="16"/>
          <w:szCs w:val="16"/>
        </w:rPr>
        <w:tab/>
      </w:r>
      <w:r w:rsidRPr="00B707C8">
        <w:rPr>
          <w:rFonts w:ascii="Verdana" w:hAnsi="Verdana"/>
          <w:i/>
          <w:sz w:val="16"/>
          <w:szCs w:val="16"/>
        </w:rPr>
        <w:t xml:space="preserve">CEJIL </w:t>
      </w:r>
      <w:r w:rsidRPr="00B707C8">
        <w:rPr>
          <w:rFonts w:ascii="Verdana" w:hAnsi="Verdana"/>
          <w:sz w:val="16"/>
          <w:szCs w:val="16"/>
        </w:rPr>
        <w:t xml:space="preserve">expuso algunas de las razones por las cuales considera que el proyecto de modificación a la ley antiterrorista (Ley N° 18.314), “no contribuye a superar […] la falta de precisión y determinación de la legislación antiterrorista chilena”, sino que las </w:t>
      </w:r>
      <w:r w:rsidR="00E502C7">
        <w:rPr>
          <w:rFonts w:ascii="Verdana" w:hAnsi="Verdana"/>
          <w:sz w:val="16"/>
          <w:szCs w:val="16"/>
        </w:rPr>
        <w:t>“</w:t>
      </w:r>
      <w:r w:rsidRPr="00B707C8">
        <w:rPr>
          <w:rFonts w:ascii="Verdana" w:hAnsi="Verdana"/>
          <w:sz w:val="16"/>
          <w:szCs w:val="16"/>
        </w:rPr>
        <w:t xml:space="preserve">acrecienta”. </w:t>
      </w:r>
      <w:r w:rsidRPr="00903DE2">
        <w:rPr>
          <w:rFonts w:ascii="Verdana" w:hAnsi="Verdana"/>
          <w:sz w:val="16"/>
          <w:szCs w:val="16"/>
        </w:rPr>
        <w:t>Además,</w:t>
      </w:r>
      <w:r w:rsidRPr="00B707C8">
        <w:rPr>
          <w:rFonts w:ascii="Verdana" w:hAnsi="Verdana"/>
          <w:b/>
          <w:sz w:val="16"/>
          <w:szCs w:val="16"/>
        </w:rPr>
        <w:t xml:space="preserve"> </w:t>
      </w:r>
      <w:r w:rsidRPr="00B707C8">
        <w:rPr>
          <w:rFonts w:ascii="Verdana" w:hAnsi="Verdana"/>
          <w:sz w:val="16"/>
          <w:szCs w:val="16"/>
        </w:rPr>
        <w:t>expresó “la enorme preocupación que persiste en torno al uso de la ley antiterrorista como medio para criminalizar la protesta y las actividades de la comunidad y los líderes mapuches en reivindicación de sus tierras”. Al respecto</w:t>
      </w:r>
      <w:r w:rsidR="00E502C7">
        <w:rPr>
          <w:rFonts w:ascii="Verdana" w:hAnsi="Verdana"/>
          <w:sz w:val="16"/>
          <w:szCs w:val="16"/>
        </w:rPr>
        <w:t>,</w:t>
      </w:r>
      <w:r w:rsidRPr="00B707C8">
        <w:rPr>
          <w:rFonts w:ascii="Verdana" w:hAnsi="Verdana"/>
          <w:sz w:val="16"/>
          <w:szCs w:val="16"/>
        </w:rPr>
        <w:t xml:space="preserve"> señaló que “expertos de Naciones Unidas” y los informes anuales de la Universidad Diego Portales </w:t>
      </w:r>
      <w:r w:rsidR="00E502C7">
        <w:rPr>
          <w:rFonts w:ascii="Verdana" w:hAnsi="Verdana"/>
          <w:sz w:val="16"/>
          <w:szCs w:val="16"/>
        </w:rPr>
        <w:t>y</w:t>
      </w:r>
      <w:r w:rsidR="00E502C7" w:rsidRPr="00B707C8">
        <w:rPr>
          <w:rFonts w:ascii="Verdana" w:hAnsi="Verdana"/>
          <w:sz w:val="16"/>
          <w:szCs w:val="16"/>
        </w:rPr>
        <w:t xml:space="preserve"> </w:t>
      </w:r>
      <w:r w:rsidRPr="00B707C8">
        <w:rPr>
          <w:rFonts w:ascii="Verdana" w:hAnsi="Verdana"/>
          <w:sz w:val="16"/>
          <w:szCs w:val="16"/>
        </w:rPr>
        <w:t xml:space="preserve">el Instituto Nacional de Derechos Humanos de Chile han advertido sobre la necesidad de adecuar dicha ley a los estándares internacionales. La </w:t>
      </w:r>
      <w:r w:rsidRPr="00B707C8">
        <w:rPr>
          <w:rFonts w:ascii="Verdana" w:hAnsi="Verdana"/>
          <w:i/>
          <w:sz w:val="16"/>
          <w:szCs w:val="16"/>
        </w:rPr>
        <w:t>FIDH</w:t>
      </w:r>
      <w:r w:rsidRPr="00B707C8">
        <w:rPr>
          <w:rFonts w:ascii="Verdana" w:hAnsi="Verdana"/>
          <w:sz w:val="16"/>
          <w:szCs w:val="16"/>
        </w:rPr>
        <w:t xml:space="preserve"> observó que “la reforma [informada por Chile] que se tramita en el congreso [a la ‘ley antiterrorista’] tiende a fortalecer las atribuciones de las policías y el Ministerio Público, en desmedro de los derechos fundamentales de las personas”. La </w:t>
      </w:r>
      <w:r w:rsidRPr="00903DE2">
        <w:rPr>
          <w:rFonts w:ascii="Verdana" w:hAnsi="Verdana"/>
          <w:i/>
          <w:sz w:val="16"/>
          <w:szCs w:val="16"/>
        </w:rPr>
        <w:t>representante</w:t>
      </w:r>
      <w:r w:rsidRPr="00B707C8">
        <w:rPr>
          <w:rFonts w:ascii="Verdana" w:hAnsi="Verdana"/>
          <w:sz w:val="16"/>
          <w:szCs w:val="16"/>
        </w:rPr>
        <w:t xml:space="preserve"> </w:t>
      </w:r>
      <w:r w:rsidRPr="00B707C8">
        <w:rPr>
          <w:rFonts w:ascii="Verdana" w:hAnsi="Verdana"/>
          <w:i/>
          <w:sz w:val="16"/>
          <w:szCs w:val="16"/>
        </w:rPr>
        <w:t>Myriam Reyes</w:t>
      </w:r>
      <w:r w:rsidRPr="00B707C8">
        <w:rPr>
          <w:rFonts w:ascii="Verdana" w:hAnsi="Verdana"/>
          <w:sz w:val="16"/>
          <w:szCs w:val="16"/>
        </w:rPr>
        <w:t xml:space="preserve"> observó que “continu[a] vigente la misma normativa [antiterrorista] aplicada a las víctimas”.Los </w:t>
      </w:r>
      <w:r w:rsidRPr="004F0111">
        <w:rPr>
          <w:rFonts w:ascii="Verdana" w:hAnsi="Verdana"/>
          <w:i/>
          <w:sz w:val="16"/>
          <w:szCs w:val="16"/>
        </w:rPr>
        <w:t>representantes</w:t>
      </w:r>
      <w:r w:rsidRPr="00B707C8">
        <w:rPr>
          <w:rFonts w:ascii="Verdana" w:hAnsi="Verdana"/>
          <w:sz w:val="16"/>
          <w:szCs w:val="16"/>
        </w:rPr>
        <w:t xml:space="preserve"> </w:t>
      </w:r>
      <w:r w:rsidRPr="00B707C8">
        <w:rPr>
          <w:rFonts w:ascii="Verdana" w:hAnsi="Verdana"/>
          <w:i/>
          <w:sz w:val="16"/>
          <w:szCs w:val="16"/>
        </w:rPr>
        <w:t xml:space="preserve">Llanquileo, Millamán y Lienlaf </w:t>
      </w:r>
      <w:r w:rsidRPr="00B707C8">
        <w:rPr>
          <w:rFonts w:ascii="Verdana" w:hAnsi="Verdana"/>
          <w:sz w:val="16"/>
          <w:szCs w:val="16"/>
        </w:rPr>
        <w:t xml:space="preserve">reafirmaron que “desde el principio” han sido “partidario[s] de derogar la ley 18.314” por aplicarse “de manera selectiva </w:t>
      </w:r>
      <w:r w:rsidR="004F0111">
        <w:rPr>
          <w:rFonts w:ascii="Verdana" w:hAnsi="Verdana"/>
          <w:sz w:val="16"/>
          <w:szCs w:val="16"/>
        </w:rPr>
        <w:t>[</w:t>
      </w:r>
      <w:r w:rsidRPr="00B707C8">
        <w:rPr>
          <w:rFonts w:ascii="Verdana" w:hAnsi="Verdana"/>
          <w:sz w:val="16"/>
          <w:szCs w:val="16"/>
        </w:rPr>
        <w:t>al</w:t>
      </w:r>
      <w:r w:rsidR="004F0111">
        <w:rPr>
          <w:rFonts w:ascii="Verdana" w:hAnsi="Verdana"/>
          <w:sz w:val="16"/>
          <w:szCs w:val="16"/>
        </w:rPr>
        <w:t>]</w:t>
      </w:r>
      <w:r w:rsidRPr="00B707C8">
        <w:rPr>
          <w:rFonts w:ascii="Verdana" w:hAnsi="Verdana"/>
          <w:sz w:val="16"/>
          <w:szCs w:val="16"/>
        </w:rPr>
        <w:t xml:space="preserve"> pueblo mapuche, además de adolecer de otros vicios que en su conjunto configuran violaciones a los derechos humanos”, y señalaron “la existencia de procesos de persecución penal en los que se sigue invocando y utilizando [dicha] ley”.</w:t>
      </w:r>
      <w:r w:rsidRPr="00B707C8">
        <w:rPr>
          <w:rStyle w:val="Refdecomentario"/>
          <w:rFonts w:ascii="Verdana" w:eastAsia="Calibri" w:hAnsi="Verdana" w:cs="Times New Roman"/>
          <w:lang w:val="en-US" w:eastAsia="en-US"/>
        </w:rPr>
        <w:t/>
      </w:r>
    </w:p>
  </w:footnote>
  <w:footnote w:id="82">
    <w:p w:rsidR="00A70CBB" w:rsidRPr="00397EC2" w:rsidRDefault="00A70CBB" w:rsidP="004F0111">
      <w:pPr>
        <w:pStyle w:val="Textonotapie"/>
        <w:tabs>
          <w:tab w:val="left" w:pos="426"/>
        </w:tabs>
        <w:jc w:val="both"/>
        <w:rPr>
          <w:rFonts w:ascii="Verdana" w:hAnsi="Verdana"/>
          <w:sz w:val="16"/>
          <w:szCs w:val="16"/>
          <w:lang w:val="es-CR"/>
        </w:rPr>
      </w:pPr>
      <w:r w:rsidRPr="001D61AE">
        <w:rPr>
          <w:rStyle w:val="Refdenotaalpie"/>
          <w:rFonts w:ascii="Verdana" w:hAnsi="Verdana"/>
          <w:sz w:val="16"/>
          <w:szCs w:val="16"/>
        </w:rPr>
        <w:footnoteRef/>
      </w:r>
      <w:r w:rsidRPr="001D61AE">
        <w:rPr>
          <w:rFonts w:ascii="Verdana" w:hAnsi="Verdana"/>
          <w:sz w:val="16"/>
          <w:szCs w:val="16"/>
          <w:lang w:val="es-CR"/>
        </w:rPr>
        <w:t xml:space="preserve"> </w:t>
      </w:r>
      <w:r w:rsidRPr="001D61AE">
        <w:rPr>
          <w:rFonts w:ascii="Verdana" w:hAnsi="Verdana"/>
          <w:sz w:val="16"/>
          <w:szCs w:val="16"/>
          <w:lang w:val="es-CR"/>
        </w:rPr>
        <w:tab/>
        <w:t>Reconoció que en el artículo 25 del Boletín N°</w:t>
      </w:r>
      <w:r w:rsidR="003A1F81">
        <w:rPr>
          <w:rFonts w:ascii="Verdana" w:hAnsi="Verdana"/>
          <w:sz w:val="16"/>
          <w:szCs w:val="16"/>
          <w:lang w:val="es-CR"/>
        </w:rPr>
        <w:t xml:space="preserve"> </w:t>
      </w:r>
      <w:r w:rsidRPr="001D61AE">
        <w:rPr>
          <w:rFonts w:ascii="Verdana" w:hAnsi="Verdana"/>
          <w:sz w:val="16"/>
          <w:szCs w:val="16"/>
          <w:lang w:val="es-CR"/>
        </w:rPr>
        <w:t>9669-07 y el artículo 226 del Boletín N°</w:t>
      </w:r>
      <w:r w:rsidR="003A1F81">
        <w:rPr>
          <w:rFonts w:ascii="Verdana" w:hAnsi="Verdana"/>
          <w:sz w:val="16"/>
          <w:szCs w:val="16"/>
          <w:lang w:val="es-CR"/>
        </w:rPr>
        <w:t xml:space="preserve"> </w:t>
      </w:r>
      <w:r w:rsidRPr="001D61AE">
        <w:rPr>
          <w:rFonts w:ascii="Verdana" w:hAnsi="Verdana"/>
          <w:sz w:val="16"/>
          <w:szCs w:val="16"/>
          <w:lang w:val="es-CR"/>
        </w:rPr>
        <w:t>9692-07 “se regula que se debe acreditar que quien declara en ningún caso se puede introducir la prueba sin que la defensa haya podido ejercer su derecho a contrainterrogarlo con resguardos que excluyan del debate referencias a su identidad” y que “[s]e indica además que el juez de garantía podrá determinar ‘el alzamiento o cancelación, el lapso de duración de la medida y el grado de afectación al derecho de defensa’ indicando que en ningún caso la duración de la reserva ‘podrá exceder de seis meses desde la primera declaración’ y que cesa ‘una ve</w:t>
      </w:r>
      <w:r>
        <w:rPr>
          <w:rFonts w:ascii="Verdana" w:hAnsi="Verdana"/>
          <w:sz w:val="16"/>
          <w:szCs w:val="16"/>
          <w:lang w:val="es-CR"/>
        </w:rPr>
        <w:t>z cerrada la investigación’</w:t>
      </w:r>
      <w:r w:rsidR="003A1F81">
        <w:rPr>
          <w:rFonts w:ascii="Verdana" w:hAnsi="Verdana"/>
          <w:sz w:val="16"/>
          <w:szCs w:val="16"/>
          <w:lang w:val="es-CR"/>
        </w:rPr>
        <w:t>”</w:t>
      </w:r>
      <w:r>
        <w:rPr>
          <w:rFonts w:ascii="Verdana" w:hAnsi="Verdana"/>
          <w:sz w:val="16"/>
          <w:szCs w:val="16"/>
          <w:lang w:val="es-CR"/>
        </w:rPr>
        <w:t xml:space="preserve">. </w:t>
      </w:r>
    </w:p>
  </w:footnote>
  <w:footnote w:id="83">
    <w:p w:rsidR="00A70CBB" w:rsidRPr="00BD3A53" w:rsidRDefault="00A70CBB" w:rsidP="002C0D1E">
      <w:pPr>
        <w:pStyle w:val="Textonotapie"/>
        <w:tabs>
          <w:tab w:val="left" w:pos="426"/>
        </w:tabs>
        <w:jc w:val="both"/>
        <w:rPr>
          <w:rFonts w:ascii="Verdana" w:hAnsi="Verdana"/>
          <w:sz w:val="16"/>
          <w:szCs w:val="16"/>
          <w:lang w:val="es-CR"/>
        </w:rPr>
      </w:pPr>
      <w:r w:rsidRPr="00BD3A53">
        <w:rPr>
          <w:rStyle w:val="Refdenotaalpie"/>
          <w:rFonts w:ascii="Verdana" w:hAnsi="Verdana"/>
          <w:sz w:val="16"/>
          <w:szCs w:val="16"/>
        </w:rPr>
        <w:footnoteRef/>
      </w:r>
      <w:r w:rsidRPr="00BD3A53">
        <w:rPr>
          <w:rFonts w:ascii="Verdana" w:hAnsi="Verdana"/>
          <w:sz w:val="16"/>
          <w:szCs w:val="16"/>
          <w:lang w:val="es-CR"/>
        </w:rPr>
        <w:t xml:space="preserve"> </w:t>
      </w:r>
      <w:r w:rsidRPr="00BD3A53">
        <w:rPr>
          <w:rFonts w:ascii="Verdana" w:hAnsi="Verdana"/>
          <w:sz w:val="16"/>
          <w:szCs w:val="16"/>
          <w:lang w:val="es-CR"/>
        </w:rPr>
        <w:tab/>
        <w:t xml:space="preserve">Los representantes </w:t>
      </w:r>
      <w:r w:rsidRPr="00BD3A53">
        <w:rPr>
          <w:rFonts w:ascii="Verdana" w:hAnsi="Verdana"/>
          <w:i/>
          <w:sz w:val="16"/>
          <w:szCs w:val="16"/>
          <w:lang w:val="es-CR"/>
        </w:rPr>
        <w:t xml:space="preserve">Llanquileo, Millamán y Lienlaf </w:t>
      </w:r>
      <w:r w:rsidRPr="00BD3A53">
        <w:rPr>
          <w:rFonts w:ascii="Verdana" w:hAnsi="Verdana"/>
          <w:sz w:val="16"/>
          <w:szCs w:val="16"/>
          <w:lang w:val="es-CR"/>
        </w:rPr>
        <w:t xml:space="preserve">indicaron en su escrito de diciembre de 2016 que “[a] pesar de que [el proyecto de ley] ha contado con urgencia para su discusión, esta </w:t>
      </w:r>
      <w:r w:rsidR="00167A71">
        <w:rPr>
          <w:rFonts w:ascii="Verdana" w:hAnsi="Verdana"/>
          <w:sz w:val="16"/>
          <w:szCs w:val="16"/>
          <w:lang w:val="es-CR"/>
        </w:rPr>
        <w:t>[habría sido]</w:t>
      </w:r>
      <w:r w:rsidR="00167A71" w:rsidRPr="00BD3A53">
        <w:rPr>
          <w:rFonts w:ascii="Verdana" w:hAnsi="Verdana"/>
          <w:sz w:val="16"/>
          <w:szCs w:val="16"/>
          <w:lang w:val="es-CR"/>
        </w:rPr>
        <w:t xml:space="preserve"> </w:t>
      </w:r>
      <w:r w:rsidRPr="00BD3A53">
        <w:rPr>
          <w:rFonts w:ascii="Verdana" w:hAnsi="Verdana"/>
          <w:sz w:val="16"/>
          <w:szCs w:val="16"/>
          <w:lang w:val="es-CR"/>
        </w:rPr>
        <w:t xml:space="preserve">retirada el 26 de septiembre de 2016”. </w:t>
      </w:r>
    </w:p>
  </w:footnote>
  <w:footnote w:id="84">
    <w:p w:rsidR="00A70CBB" w:rsidRPr="00A84E8A" w:rsidRDefault="00A70CBB" w:rsidP="00A84E8A">
      <w:pPr>
        <w:pStyle w:val="Textonotapie"/>
        <w:tabs>
          <w:tab w:val="left" w:pos="426"/>
        </w:tabs>
        <w:jc w:val="both"/>
        <w:rPr>
          <w:b/>
          <w:lang w:val="es-CR"/>
        </w:rPr>
      </w:pPr>
      <w:r w:rsidRPr="00A84E8A">
        <w:rPr>
          <w:rStyle w:val="Refdenotaalpie"/>
          <w:rFonts w:ascii="Verdana" w:hAnsi="Verdana"/>
          <w:sz w:val="16"/>
          <w:szCs w:val="16"/>
        </w:rPr>
        <w:footnoteRef/>
      </w:r>
      <w:r w:rsidRPr="00A84E8A">
        <w:rPr>
          <w:rFonts w:ascii="Verdana" w:hAnsi="Verdana"/>
          <w:sz w:val="16"/>
          <w:szCs w:val="16"/>
          <w:lang w:val="pt-BR"/>
        </w:rPr>
        <w:t xml:space="preserve"> </w:t>
      </w:r>
      <w:r w:rsidRPr="00A84E8A">
        <w:rPr>
          <w:rFonts w:ascii="Verdana" w:hAnsi="Verdana"/>
          <w:sz w:val="16"/>
          <w:szCs w:val="16"/>
          <w:lang w:val="pt-BR"/>
        </w:rPr>
        <w:tab/>
      </w:r>
      <w:r w:rsidRPr="00A84E8A">
        <w:rPr>
          <w:rFonts w:ascii="Verdana" w:hAnsi="Verdana"/>
          <w:i/>
          <w:sz w:val="16"/>
          <w:szCs w:val="16"/>
          <w:lang w:val="pt-BR"/>
        </w:rPr>
        <w:t>Cfr.</w:t>
      </w:r>
      <w:r w:rsidRPr="00A84E8A">
        <w:rPr>
          <w:i/>
          <w:sz w:val="16"/>
          <w:szCs w:val="16"/>
          <w:lang w:val="pt-BR"/>
        </w:rPr>
        <w:t xml:space="preserve"> </w:t>
      </w:r>
      <w:r w:rsidRPr="00A84E8A">
        <w:rPr>
          <w:rStyle w:val="Textoennegrita"/>
          <w:rFonts w:ascii="Verdana" w:hAnsi="Verdana"/>
          <w:b w:val="0"/>
          <w:i/>
          <w:color w:val="000000"/>
          <w:sz w:val="16"/>
          <w:szCs w:val="16"/>
          <w:shd w:val="clear" w:color="auto" w:fill="FFFFFF"/>
          <w:lang w:val="pt-BR"/>
        </w:rPr>
        <w:t xml:space="preserve">Caso Gomes Lund y otros ("Guerrilha do Araguaia") Vs. </w:t>
      </w:r>
      <w:r w:rsidRPr="00A84E8A">
        <w:rPr>
          <w:rStyle w:val="Textoennegrita"/>
          <w:rFonts w:ascii="Verdana" w:hAnsi="Verdana"/>
          <w:b w:val="0"/>
          <w:i/>
          <w:color w:val="000000"/>
          <w:sz w:val="16"/>
          <w:szCs w:val="16"/>
          <w:shd w:val="clear" w:color="auto" w:fill="FFFFFF"/>
          <w:lang w:val="es-CR"/>
        </w:rPr>
        <w:t>Brasil. Excepciones Preliminares, Fondo, Reparaciones y Costas.</w:t>
      </w:r>
      <w:r w:rsidRPr="00A84E8A">
        <w:rPr>
          <w:rStyle w:val="Textoennegrita"/>
          <w:rFonts w:ascii="Verdana" w:hAnsi="Verdana"/>
          <w:b w:val="0"/>
          <w:color w:val="000000"/>
          <w:sz w:val="16"/>
          <w:szCs w:val="16"/>
          <w:shd w:val="clear" w:color="auto" w:fill="FFFFFF"/>
          <w:lang w:val="es-CR"/>
        </w:rPr>
        <w:t xml:space="preserve"> Sentencia de 24 de noviembre de 2010. </w:t>
      </w:r>
      <w:r w:rsidRPr="00F67EFF">
        <w:rPr>
          <w:rStyle w:val="Textoennegrita"/>
          <w:rFonts w:ascii="Verdana" w:hAnsi="Verdana"/>
          <w:b w:val="0"/>
          <w:color w:val="000000"/>
          <w:sz w:val="16"/>
          <w:szCs w:val="16"/>
          <w:shd w:val="clear" w:color="auto" w:fill="FFFFFF"/>
          <w:lang w:val="es-CR"/>
        </w:rPr>
        <w:t>Serie C No. 219, párr. 173.</w:t>
      </w:r>
    </w:p>
  </w:footnote>
  <w:footnote w:id="85">
    <w:p w:rsidR="00A70CBB" w:rsidRPr="00E6687C" w:rsidRDefault="00A70CBB" w:rsidP="00F67EFF">
      <w:pPr>
        <w:pStyle w:val="Textonotapie"/>
        <w:tabs>
          <w:tab w:val="left" w:pos="426"/>
        </w:tabs>
        <w:rPr>
          <w:rFonts w:ascii="Verdana" w:hAnsi="Verdana"/>
          <w:sz w:val="16"/>
          <w:szCs w:val="16"/>
          <w:lang w:val="es-CR"/>
        </w:rPr>
      </w:pPr>
      <w:r w:rsidRPr="00991BB9">
        <w:rPr>
          <w:rStyle w:val="Refdenotaalpie"/>
          <w:rFonts w:ascii="Verdana" w:hAnsi="Verdana"/>
          <w:sz w:val="16"/>
          <w:szCs w:val="16"/>
        </w:rPr>
        <w:footnoteRef/>
      </w:r>
      <w:r w:rsidRPr="00991BB9">
        <w:rPr>
          <w:rFonts w:ascii="Verdana" w:hAnsi="Verdana"/>
          <w:sz w:val="16"/>
          <w:szCs w:val="16"/>
          <w:lang w:val="es-CR"/>
        </w:rPr>
        <w:t xml:space="preserve"> </w:t>
      </w:r>
      <w:r w:rsidRPr="00991BB9">
        <w:rPr>
          <w:rFonts w:ascii="Verdana" w:hAnsi="Verdana"/>
          <w:sz w:val="16"/>
          <w:szCs w:val="16"/>
          <w:lang w:val="es-CR"/>
        </w:rPr>
        <w:tab/>
      </w:r>
      <w:r w:rsidRPr="00991BB9">
        <w:rPr>
          <w:rFonts w:ascii="Verdana" w:hAnsi="Verdana"/>
          <w:i/>
          <w:sz w:val="16"/>
          <w:szCs w:val="16"/>
          <w:lang w:val="es-CR"/>
        </w:rPr>
        <w:t>Cfr</w:t>
      </w:r>
      <w:r w:rsidRPr="00991BB9">
        <w:rPr>
          <w:rFonts w:ascii="Verdana" w:hAnsi="Verdana"/>
          <w:sz w:val="16"/>
          <w:szCs w:val="16"/>
          <w:lang w:val="es-CR"/>
        </w:rPr>
        <w:t xml:space="preserve">. </w:t>
      </w:r>
      <w:r w:rsidRPr="00933013">
        <w:rPr>
          <w:rStyle w:val="Textoennegrita"/>
          <w:rFonts w:ascii="Verdana" w:hAnsi="Verdana"/>
          <w:b w:val="0"/>
          <w:i/>
          <w:color w:val="000000"/>
          <w:sz w:val="16"/>
          <w:szCs w:val="16"/>
          <w:shd w:val="clear" w:color="auto" w:fill="FFFFFF"/>
          <w:lang w:val="es-CR"/>
        </w:rPr>
        <w:t>Caso Norín Catrimán y otros</w:t>
      </w:r>
      <w:r>
        <w:rPr>
          <w:rStyle w:val="Textoennegrita"/>
          <w:rFonts w:ascii="Verdana" w:hAnsi="Verdana"/>
          <w:b w:val="0"/>
          <w:i/>
          <w:color w:val="000000"/>
          <w:sz w:val="16"/>
          <w:szCs w:val="16"/>
          <w:shd w:val="clear" w:color="auto" w:fill="FFFFFF"/>
          <w:lang w:val="es-CR"/>
        </w:rPr>
        <w:t xml:space="preserve">, supra </w:t>
      </w:r>
      <w:r w:rsidRPr="00903DE2">
        <w:rPr>
          <w:rStyle w:val="Textoennegrita"/>
          <w:rFonts w:ascii="Verdana" w:hAnsi="Verdana"/>
          <w:b w:val="0"/>
          <w:color w:val="000000"/>
          <w:sz w:val="16"/>
          <w:szCs w:val="16"/>
          <w:shd w:val="clear" w:color="auto" w:fill="FFFFFF"/>
          <w:lang w:val="es-CR"/>
        </w:rPr>
        <w:t>nota</w:t>
      </w:r>
      <w:r w:rsidR="00E6687C">
        <w:rPr>
          <w:rStyle w:val="Textoennegrita"/>
          <w:rFonts w:ascii="Verdana" w:hAnsi="Verdana"/>
          <w:b w:val="0"/>
          <w:color w:val="000000"/>
          <w:sz w:val="16"/>
          <w:szCs w:val="16"/>
          <w:shd w:val="clear" w:color="auto" w:fill="FFFFFF"/>
          <w:lang w:val="es-CR"/>
        </w:rPr>
        <w:t xml:space="preserve"> 1</w:t>
      </w:r>
      <w:r w:rsidRPr="00903DE2">
        <w:rPr>
          <w:rStyle w:val="Textoennegrita"/>
          <w:rFonts w:ascii="Verdana" w:hAnsi="Verdana"/>
          <w:b w:val="0"/>
          <w:color w:val="000000"/>
          <w:sz w:val="16"/>
          <w:szCs w:val="16"/>
          <w:shd w:val="clear" w:color="auto" w:fill="FFFFFF"/>
          <w:lang w:val="es-CR"/>
        </w:rPr>
        <w:t>, párr. 459.</w:t>
      </w:r>
    </w:p>
  </w:footnote>
  <w:footnote w:id="86">
    <w:p w:rsidR="00A70CBB" w:rsidRPr="00933013" w:rsidRDefault="00A70CBB" w:rsidP="004121C6">
      <w:pPr>
        <w:pStyle w:val="Textonotapie"/>
        <w:tabs>
          <w:tab w:val="left" w:pos="426"/>
          <w:tab w:val="center"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En dicho párrafo, la Corte “determin</w:t>
      </w:r>
      <w:r w:rsidR="002E1BFA">
        <w:rPr>
          <w:rFonts w:ascii="Verdana" w:hAnsi="Verdana"/>
          <w:sz w:val="16"/>
          <w:szCs w:val="16"/>
          <w:lang w:val="es-CR"/>
        </w:rPr>
        <w:t>[</w:t>
      </w:r>
      <w:r w:rsidRPr="00933013">
        <w:rPr>
          <w:rFonts w:ascii="Verdana" w:hAnsi="Verdana"/>
          <w:sz w:val="16"/>
          <w:szCs w:val="16"/>
          <w:lang w:val="es-CR"/>
        </w:rPr>
        <w:t>ó</w:t>
      </w:r>
      <w:r w:rsidR="002E1BFA">
        <w:rPr>
          <w:rFonts w:ascii="Verdana" w:hAnsi="Verdana"/>
          <w:sz w:val="16"/>
          <w:szCs w:val="16"/>
          <w:lang w:val="es-CR"/>
        </w:rPr>
        <w:t>]</w:t>
      </w:r>
      <w:r w:rsidRPr="00933013">
        <w:rPr>
          <w:rFonts w:ascii="Verdana" w:hAnsi="Verdana"/>
          <w:sz w:val="16"/>
          <w:szCs w:val="16"/>
          <w:lang w:val="es-CR"/>
        </w:rPr>
        <w:t xml:space="preserve"> en equidad la cantidad de USD$ 50,000.00 (cincuenta mil dólares de los Estados Unidos de América) […] para cada un[a] de [las ocho víctimas]”.</w:t>
      </w:r>
    </w:p>
  </w:footnote>
  <w:footnote w:id="87">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En los párrafos 471 a 477 </w:t>
      </w:r>
      <w:r w:rsidR="004242D8">
        <w:rPr>
          <w:rFonts w:ascii="Verdana" w:hAnsi="Verdana"/>
          <w:sz w:val="16"/>
          <w:szCs w:val="16"/>
          <w:lang w:val="es-CR"/>
        </w:rPr>
        <w:t xml:space="preserve">de la Sentencia </w:t>
      </w:r>
      <w:r w:rsidRPr="00933013">
        <w:rPr>
          <w:rFonts w:ascii="Verdana" w:hAnsi="Verdana"/>
          <w:sz w:val="16"/>
          <w:szCs w:val="16"/>
          <w:lang w:val="es-CR"/>
        </w:rPr>
        <w:t xml:space="preserve">la Corte estableció la modalidad de cumplimiento de los pagos. </w:t>
      </w:r>
    </w:p>
  </w:footnote>
  <w:footnote w:id="88">
    <w:p w:rsidR="00A70CBB" w:rsidRPr="00933013" w:rsidRDefault="00A70CBB" w:rsidP="004121C6">
      <w:pPr>
        <w:pStyle w:val="Textonotapie"/>
        <w:tabs>
          <w:tab w:val="left" w:pos="426"/>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En la documentación aportada por el Estado consta que en enero de 2015 se pagó mediante cheque a las víctimas o sus </w:t>
      </w:r>
      <w:r w:rsidR="000D2153">
        <w:rPr>
          <w:rFonts w:ascii="Verdana" w:hAnsi="Verdana"/>
          <w:sz w:val="16"/>
          <w:szCs w:val="16"/>
          <w:lang w:val="es-CR"/>
        </w:rPr>
        <w:t>derechohabientes</w:t>
      </w:r>
      <w:r w:rsidRPr="00933013">
        <w:rPr>
          <w:rFonts w:ascii="Verdana" w:hAnsi="Verdana"/>
          <w:sz w:val="16"/>
          <w:szCs w:val="16"/>
          <w:lang w:val="es-CR"/>
        </w:rPr>
        <w:t xml:space="preserve"> el monto dispuesto en la Sentencia por concepto de daños materiales e inmateriales. Los cheques fueron cobrados en enero y en marzo de 2015. </w:t>
      </w:r>
      <w:r w:rsidRPr="00933013">
        <w:rPr>
          <w:rFonts w:ascii="Verdana" w:hAnsi="Verdana"/>
          <w:i/>
          <w:sz w:val="16"/>
          <w:szCs w:val="16"/>
          <w:lang w:val="es-CR"/>
        </w:rPr>
        <w:t xml:space="preserve">Cfr. </w:t>
      </w:r>
      <w:r w:rsidRPr="00933013">
        <w:rPr>
          <w:rFonts w:ascii="Verdana" w:hAnsi="Verdana"/>
          <w:sz w:val="16"/>
          <w:szCs w:val="16"/>
          <w:lang w:val="es-CR"/>
        </w:rPr>
        <w:t>Resolución Exenta N</w:t>
      </w:r>
      <w:r w:rsidRPr="00933013">
        <w:rPr>
          <w:rFonts w:ascii="Verdana" w:hAnsi="Verdana"/>
          <w:sz w:val="16"/>
          <w:szCs w:val="16"/>
          <w:vertAlign w:val="superscript"/>
          <w:lang w:val="es-CR"/>
        </w:rPr>
        <w:t xml:space="preserve">o </w:t>
      </w:r>
      <w:r w:rsidRPr="00933013">
        <w:rPr>
          <w:rFonts w:ascii="Verdana" w:hAnsi="Verdana"/>
          <w:sz w:val="16"/>
          <w:szCs w:val="16"/>
          <w:lang w:val="es-CR"/>
        </w:rPr>
        <w:t>4870 de 17 de diciembre de 2014 del Ministerio de Justicia, mediante la cual se dispuso que “a través de la Tesorería General de la República se pagara a [las víctimas] o a quienes sus derechos representen […] la suma de US$50.000 […] por compensación por daño material e inmaterial, en cumplimiento de la Sentencia de la Corte Interamericana”</w:t>
      </w:r>
      <w:r w:rsidR="00473626">
        <w:rPr>
          <w:rFonts w:ascii="Verdana" w:hAnsi="Verdana"/>
          <w:sz w:val="16"/>
          <w:szCs w:val="16"/>
          <w:lang w:val="es-CR"/>
        </w:rPr>
        <w:t xml:space="preserve"> </w:t>
      </w:r>
      <w:r w:rsidRPr="00933013">
        <w:rPr>
          <w:rFonts w:ascii="Verdana" w:hAnsi="Verdana"/>
          <w:sz w:val="16"/>
          <w:szCs w:val="16"/>
          <w:lang w:val="es-CR"/>
        </w:rPr>
        <w:t>y Oficio Ordinario No. 56087 de 17 de junio de 2015 de la Tesorería General de la República, en el cual el Tesorero General de la República informó al Director de Derechos Humanos del Ministerio de Relaciones Exteriores, entre otros, sobre los pagos realizados a siete de las víctimas y a la representante de los herederos de la víctima Pascual Pichún, el “número de cheque” mediante el cual se pagó a cada uno, la “fecha de retiro” y la “fecha de cobro” (anexos 11 y 13 al informe estatal de julio de 2015).</w:t>
      </w:r>
    </w:p>
  </w:footnote>
  <w:footnote w:id="89">
    <w:p w:rsidR="00A70CBB" w:rsidRPr="00933013" w:rsidRDefault="00A70CBB" w:rsidP="004121C6">
      <w:pPr>
        <w:pStyle w:val="Textonotapie"/>
        <w:tabs>
          <w:tab w:val="left" w:pos="426"/>
          <w:tab w:val="center" w:pos="567"/>
        </w:tabs>
        <w:jc w:val="both"/>
        <w:rPr>
          <w:rFonts w:ascii="Verdana" w:hAnsi="Verdana"/>
          <w:b/>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La </w:t>
      </w:r>
      <w:r w:rsidRPr="00933013">
        <w:rPr>
          <w:rFonts w:ascii="Verdana" w:hAnsi="Verdana"/>
          <w:i/>
          <w:sz w:val="16"/>
          <w:szCs w:val="16"/>
          <w:lang w:val="es-CR"/>
        </w:rPr>
        <w:t>representante Myriam Reyes</w:t>
      </w:r>
      <w:r w:rsidRPr="00933013">
        <w:rPr>
          <w:rFonts w:ascii="Verdana" w:hAnsi="Verdana"/>
          <w:sz w:val="16"/>
          <w:szCs w:val="16"/>
          <w:lang w:val="es-CR"/>
        </w:rPr>
        <w:t xml:space="preserve"> </w:t>
      </w:r>
      <w:r w:rsidR="009672A0">
        <w:rPr>
          <w:rFonts w:ascii="Verdana" w:hAnsi="Verdana"/>
          <w:sz w:val="16"/>
          <w:szCs w:val="16"/>
          <w:lang w:val="es-CR"/>
        </w:rPr>
        <w:t>sostuvo</w:t>
      </w:r>
      <w:r w:rsidR="009672A0" w:rsidRPr="00933013">
        <w:rPr>
          <w:rFonts w:ascii="Verdana" w:hAnsi="Verdana"/>
          <w:sz w:val="16"/>
          <w:szCs w:val="16"/>
          <w:lang w:val="es-CR"/>
        </w:rPr>
        <w:t xml:space="preserve"> </w:t>
      </w:r>
      <w:r w:rsidRPr="00933013">
        <w:rPr>
          <w:rFonts w:ascii="Verdana" w:hAnsi="Verdana"/>
          <w:sz w:val="16"/>
          <w:szCs w:val="16"/>
          <w:lang w:val="es-CR"/>
        </w:rPr>
        <w:t>que “las indemnizaciones fueron debidamente pagadas”</w:t>
      </w:r>
      <w:r w:rsidR="009672A0">
        <w:rPr>
          <w:rFonts w:ascii="Verdana" w:hAnsi="Verdana"/>
          <w:sz w:val="16"/>
          <w:szCs w:val="16"/>
          <w:lang w:val="es-CR"/>
        </w:rPr>
        <w:t xml:space="preserve"> a sus representados</w:t>
      </w:r>
      <w:r w:rsidRPr="00933013">
        <w:rPr>
          <w:rFonts w:ascii="Verdana" w:hAnsi="Verdana"/>
          <w:sz w:val="16"/>
          <w:szCs w:val="16"/>
          <w:lang w:val="es-CR"/>
        </w:rPr>
        <w:t xml:space="preserve">. </w:t>
      </w:r>
      <w:r w:rsidRPr="00933013">
        <w:rPr>
          <w:rFonts w:ascii="Verdana" w:hAnsi="Verdana"/>
          <w:i/>
          <w:sz w:val="16"/>
          <w:szCs w:val="16"/>
          <w:lang w:val="es-CR"/>
        </w:rPr>
        <w:t xml:space="preserve">CEJIL </w:t>
      </w:r>
      <w:r w:rsidR="009672A0">
        <w:rPr>
          <w:rFonts w:ascii="Verdana" w:hAnsi="Verdana"/>
          <w:sz w:val="16"/>
          <w:szCs w:val="16"/>
          <w:lang w:val="es-CR"/>
        </w:rPr>
        <w:t>expresó</w:t>
      </w:r>
      <w:r w:rsidR="009672A0" w:rsidRPr="00933013">
        <w:rPr>
          <w:rFonts w:ascii="Verdana" w:hAnsi="Verdana"/>
          <w:sz w:val="16"/>
          <w:szCs w:val="16"/>
          <w:lang w:val="es-CR"/>
        </w:rPr>
        <w:t xml:space="preserve"> </w:t>
      </w:r>
      <w:r w:rsidRPr="00933013">
        <w:rPr>
          <w:rFonts w:ascii="Verdana" w:hAnsi="Verdana"/>
          <w:sz w:val="16"/>
          <w:szCs w:val="16"/>
          <w:lang w:val="es-CR"/>
        </w:rPr>
        <w:t>que “el Estado chileno cumplió con el pago de dinero por concepto de indemnización de los daños materiales e inmateriales”</w:t>
      </w:r>
      <w:r w:rsidR="009672A0">
        <w:rPr>
          <w:rFonts w:ascii="Verdana" w:hAnsi="Verdana"/>
          <w:sz w:val="16"/>
          <w:szCs w:val="16"/>
          <w:lang w:val="es-CR"/>
        </w:rPr>
        <w:t xml:space="preserve"> a la víctima Víctor Ancalaf Llaupe</w:t>
      </w:r>
      <w:r w:rsidRPr="00933013">
        <w:rPr>
          <w:rFonts w:ascii="Verdana" w:hAnsi="Verdana"/>
          <w:sz w:val="16"/>
          <w:szCs w:val="16"/>
          <w:lang w:val="es-CR"/>
        </w:rPr>
        <w:t>. Los</w:t>
      </w:r>
      <w:r w:rsidRPr="00933013">
        <w:rPr>
          <w:rFonts w:ascii="Verdana" w:hAnsi="Verdana"/>
          <w:i/>
          <w:sz w:val="16"/>
          <w:szCs w:val="16"/>
          <w:lang w:val="es-CR"/>
        </w:rPr>
        <w:t xml:space="preserve"> representantes Llanquileo, Millamán y Lienlaf </w:t>
      </w:r>
      <w:r w:rsidRPr="00933013">
        <w:rPr>
          <w:rFonts w:ascii="Verdana" w:hAnsi="Verdana"/>
          <w:sz w:val="16"/>
          <w:szCs w:val="16"/>
          <w:lang w:val="es-CR"/>
        </w:rPr>
        <w:t>sostuvieron que en la prueba aportada por el Estado consta el retiro del cheque por parte de la víctima Norín Catrimán</w:t>
      </w:r>
      <w:r w:rsidR="009672A0">
        <w:rPr>
          <w:rFonts w:ascii="Verdana" w:hAnsi="Verdana"/>
          <w:sz w:val="16"/>
          <w:szCs w:val="16"/>
          <w:lang w:val="es-CR"/>
        </w:rPr>
        <w:t>.</w:t>
      </w:r>
      <w:r w:rsidRPr="00933013">
        <w:rPr>
          <w:rFonts w:ascii="Verdana" w:hAnsi="Verdana"/>
          <w:sz w:val="16"/>
          <w:szCs w:val="16"/>
          <w:lang w:val="es-CR"/>
        </w:rPr>
        <w:t xml:space="preserve"> La </w:t>
      </w:r>
      <w:r w:rsidRPr="00933013">
        <w:rPr>
          <w:rFonts w:ascii="Verdana" w:hAnsi="Verdana"/>
          <w:i/>
          <w:sz w:val="16"/>
          <w:szCs w:val="16"/>
          <w:lang w:val="es-CR"/>
        </w:rPr>
        <w:t>FIDH</w:t>
      </w:r>
      <w:r w:rsidRPr="00933013">
        <w:rPr>
          <w:rFonts w:ascii="Verdana" w:hAnsi="Verdana"/>
          <w:sz w:val="16"/>
          <w:szCs w:val="16"/>
          <w:lang w:val="es-CR"/>
        </w:rPr>
        <w:t xml:space="preserve"> y la </w:t>
      </w:r>
      <w:r w:rsidRPr="00933013">
        <w:rPr>
          <w:rFonts w:ascii="Verdana" w:hAnsi="Verdana"/>
          <w:i/>
          <w:sz w:val="16"/>
          <w:szCs w:val="16"/>
          <w:lang w:val="es-CR"/>
        </w:rPr>
        <w:t>víctima Patricia Troncoso</w:t>
      </w:r>
      <w:r w:rsidRPr="00933013">
        <w:rPr>
          <w:rFonts w:ascii="Verdana" w:hAnsi="Verdana"/>
          <w:sz w:val="16"/>
          <w:szCs w:val="16"/>
          <w:lang w:val="es-CR"/>
        </w:rPr>
        <w:t xml:space="preserve"> no se refirieron al cumplimiento de esta reparación. La Comisión “valor</w:t>
      </w:r>
      <w:r w:rsidR="009672A0">
        <w:rPr>
          <w:rFonts w:ascii="Verdana" w:hAnsi="Verdana"/>
          <w:sz w:val="16"/>
          <w:szCs w:val="16"/>
          <w:lang w:val="es-CR"/>
        </w:rPr>
        <w:t>[</w:t>
      </w:r>
      <w:r w:rsidRPr="00933013">
        <w:rPr>
          <w:rFonts w:ascii="Verdana" w:hAnsi="Verdana"/>
          <w:sz w:val="16"/>
          <w:szCs w:val="16"/>
          <w:lang w:val="es-CR"/>
        </w:rPr>
        <w:t>ó</w:t>
      </w:r>
      <w:r w:rsidR="009672A0">
        <w:rPr>
          <w:rFonts w:ascii="Verdana" w:hAnsi="Verdana"/>
          <w:sz w:val="16"/>
          <w:szCs w:val="16"/>
          <w:lang w:val="es-CR"/>
        </w:rPr>
        <w:t>]</w:t>
      </w:r>
      <w:r w:rsidRPr="00933013">
        <w:rPr>
          <w:rFonts w:ascii="Verdana" w:hAnsi="Verdana"/>
          <w:sz w:val="16"/>
          <w:szCs w:val="16"/>
          <w:lang w:val="es-CR"/>
        </w:rPr>
        <w:t xml:space="preserve"> positivamente que según el Estado se pagaron las cantidades ordenadas a favor de cada una de las víctimas” </w:t>
      </w:r>
      <w:r w:rsidR="009672A0">
        <w:rPr>
          <w:rFonts w:ascii="Verdana" w:hAnsi="Verdana"/>
          <w:sz w:val="16"/>
          <w:szCs w:val="16"/>
          <w:lang w:val="es-CR"/>
        </w:rPr>
        <w:t>y</w:t>
      </w:r>
      <w:r w:rsidR="009672A0" w:rsidRPr="00933013">
        <w:rPr>
          <w:rFonts w:ascii="Verdana" w:hAnsi="Verdana"/>
          <w:sz w:val="16"/>
          <w:szCs w:val="16"/>
          <w:lang w:val="es-CR"/>
        </w:rPr>
        <w:t xml:space="preserve"> </w:t>
      </w:r>
      <w:r w:rsidRPr="00933013">
        <w:rPr>
          <w:rFonts w:ascii="Verdana" w:hAnsi="Verdana"/>
          <w:sz w:val="16"/>
          <w:szCs w:val="16"/>
          <w:lang w:val="es-CR"/>
        </w:rPr>
        <w:t>destacó que “los representantes indica[ron] que el Estado efectuó tales pagos”.</w:t>
      </w:r>
    </w:p>
  </w:footnote>
  <w:footnote w:id="90">
    <w:p w:rsidR="00473626" w:rsidRPr="00933013" w:rsidRDefault="00473626" w:rsidP="00473626">
      <w:pPr>
        <w:pStyle w:val="Textonotapie"/>
        <w:tabs>
          <w:tab w:val="left" w:pos="426"/>
          <w:tab w:val="center"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En el párrafo 452 de la Sentencia, “el Tribunal estim[ó] adecuado disponer […] a favor de la FIDH la cantidad solicitada de USD$ 32,000 (treinta y dos mil dólares de los Estados Unidos de América) […], y a favor de CEJIL la cantidad solicitada de USD$ 28,700 (veintiocho mil setecientos dólares de los Estados Unidos de América)</w:t>
      </w:r>
      <w:r>
        <w:rPr>
          <w:rFonts w:ascii="Verdana" w:hAnsi="Verdana"/>
          <w:sz w:val="16"/>
          <w:szCs w:val="16"/>
          <w:lang w:val="es-CR"/>
        </w:rPr>
        <w:t xml:space="preserve">”. </w:t>
      </w:r>
      <w:r w:rsidRPr="00933013">
        <w:rPr>
          <w:rFonts w:ascii="Verdana" w:hAnsi="Verdana"/>
          <w:sz w:val="16"/>
          <w:szCs w:val="16"/>
          <w:lang w:val="es-CR"/>
        </w:rPr>
        <w:t>En el párrafo 453 de la Sentencia, la Corte “decid</w:t>
      </w:r>
      <w:r>
        <w:rPr>
          <w:rFonts w:ascii="Verdana" w:hAnsi="Verdana"/>
          <w:sz w:val="16"/>
          <w:szCs w:val="16"/>
          <w:lang w:val="es-CR"/>
        </w:rPr>
        <w:t>[i</w:t>
      </w:r>
      <w:r w:rsidRPr="00933013">
        <w:rPr>
          <w:rFonts w:ascii="Verdana" w:hAnsi="Verdana"/>
          <w:sz w:val="16"/>
          <w:szCs w:val="16"/>
          <w:lang w:val="es-CR"/>
        </w:rPr>
        <w:t xml:space="preserve">ó] fijar a […] favor [Ylenia Hartog,] en </w:t>
      </w:r>
      <w:proofErr w:type="gramStart"/>
      <w:r w:rsidRPr="00933013">
        <w:rPr>
          <w:rFonts w:ascii="Verdana" w:hAnsi="Verdana"/>
          <w:sz w:val="16"/>
          <w:szCs w:val="16"/>
          <w:lang w:val="es-CR"/>
        </w:rPr>
        <w:t>equidad[</w:t>
      </w:r>
      <w:proofErr w:type="gramEnd"/>
      <w:r w:rsidRPr="00933013">
        <w:rPr>
          <w:rFonts w:ascii="Verdana" w:hAnsi="Verdana"/>
          <w:sz w:val="16"/>
          <w:szCs w:val="16"/>
          <w:lang w:val="es-CR"/>
        </w:rPr>
        <w:t>,] la cantidad de USD$5,000 (cinco mil dólares de los Estados Unidos de América)” y “fij[ó] en equidad a favor de [Jaime Madariaga y Myriam Reyes] USD$5,000 (cinco mil dólares de los Estados Unidos de América)”, para “cada uno de ellos”.</w:t>
      </w:r>
    </w:p>
  </w:footnote>
  <w:footnote w:id="91">
    <w:p w:rsidR="00A70CBB" w:rsidRPr="00933013" w:rsidRDefault="00A70CBB" w:rsidP="004121C6">
      <w:pPr>
        <w:pStyle w:val="Textonotapie"/>
        <w:tabs>
          <w:tab w:val="left" w:pos="426"/>
          <w:tab w:val="center"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El </w:t>
      </w:r>
      <w:r w:rsidRPr="00933013">
        <w:rPr>
          <w:rFonts w:ascii="Verdana" w:hAnsi="Verdana"/>
          <w:i/>
          <w:sz w:val="16"/>
          <w:szCs w:val="16"/>
          <w:lang w:val="es-CR"/>
        </w:rPr>
        <w:t>Estado</w:t>
      </w:r>
      <w:r w:rsidRPr="00933013">
        <w:rPr>
          <w:rFonts w:ascii="Verdana" w:hAnsi="Verdana"/>
          <w:sz w:val="16"/>
          <w:szCs w:val="16"/>
          <w:lang w:val="es-CR"/>
        </w:rPr>
        <w:t xml:space="preserve"> informó que el 17 de diciembre de 2014 se ordenó el pago en favor de los representantes de las víctimas, los cuales retiraron sus respetivos cheques, además, las Embajadas de Chile en Estados Unidos y Francia hicieron entrega de los cheques correspondientes al pago del reintegro de costas y gastos a la FIDH y a CEJIL. </w:t>
      </w:r>
      <w:r w:rsidRPr="00933013">
        <w:rPr>
          <w:rFonts w:ascii="Verdana" w:hAnsi="Verdana"/>
          <w:i/>
          <w:sz w:val="16"/>
          <w:szCs w:val="16"/>
          <w:lang w:val="es-CR"/>
        </w:rPr>
        <w:t>Cfr.</w:t>
      </w:r>
      <w:r w:rsidRPr="00933013">
        <w:rPr>
          <w:rFonts w:ascii="Verdana" w:hAnsi="Verdana"/>
          <w:sz w:val="16"/>
          <w:szCs w:val="16"/>
          <w:lang w:val="es-CR"/>
        </w:rPr>
        <w:t xml:space="preserve"> Resolución Exenta N</w:t>
      </w:r>
      <w:r w:rsidRPr="00933013">
        <w:rPr>
          <w:rFonts w:ascii="Verdana" w:hAnsi="Verdana"/>
          <w:sz w:val="16"/>
          <w:szCs w:val="16"/>
          <w:vertAlign w:val="superscript"/>
          <w:lang w:val="es-CR"/>
        </w:rPr>
        <w:t xml:space="preserve">o </w:t>
      </w:r>
      <w:r w:rsidRPr="00933013">
        <w:rPr>
          <w:rFonts w:ascii="Verdana" w:hAnsi="Verdana"/>
          <w:sz w:val="16"/>
          <w:szCs w:val="16"/>
          <w:lang w:val="es-CR"/>
        </w:rPr>
        <w:t>4870 de 17 de diciembre de 2014 del Ministerio de Justicia, mediante la cual se dispuso, entre otros, que a través de la Tesorería General de la República se pagara a CEJIL, la FIDH y a los señores Ylenia Hartog, Jaime Madariaga y Myriam Reyes los montos fijados en la Sentencia de la Corte Interamericana por concepto de reintegro de costas y gastos; Resolución Exenta N</w:t>
      </w:r>
      <w:r w:rsidRPr="00933013">
        <w:rPr>
          <w:rFonts w:ascii="Verdana" w:hAnsi="Verdana"/>
          <w:sz w:val="16"/>
          <w:szCs w:val="16"/>
          <w:vertAlign w:val="superscript"/>
          <w:lang w:val="es-CR"/>
        </w:rPr>
        <w:t xml:space="preserve">o </w:t>
      </w:r>
      <w:r w:rsidRPr="00933013">
        <w:rPr>
          <w:rFonts w:ascii="Verdana" w:hAnsi="Verdana"/>
          <w:sz w:val="16"/>
          <w:szCs w:val="16"/>
          <w:lang w:val="es-CR"/>
        </w:rPr>
        <w:t>410 de 19 de febrero de 2015 del Ministerio de Justicia</w:t>
      </w:r>
      <w:r w:rsidR="0010047D">
        <w:rPr>
          <w:rFonts w:ascii="Verdana" w:hAnsi="Verdana"/>
          <w:sz w:val="16"/>
          <w:szCs w:val="16"/>
          <w:lang w:val="es-CR"/>
        </w:rPr>
        <w:t>,</w:t>
      </w:r>
      <w:r w:rsidRPr="00933013">
        <w:rPr>
          <w:rFonts w:ascii="Verdana" w:hAnsi="Verdana"/>
          <w:sz w:val="16"/>
          <w:szCs w:val="16"/>
          <w:lang w:val="es-CR"/>
        </w:rPr>
        <w:t xml:space="preserve"> en relación con el reintegro de costas y gastos ordenado a favor de CEJIL; Oficio Ordinario N</w:t>
      </w:r>
      <w:r w:rsidRPr="00933013">
        <w:rPr>
          <w:rFonts w:ascii="Verdana" w:hAnsi="Verdana"/>
          <w:sz w:val="16"/>
          <w:szCs w:val="16"/>
          <w:vertAlign w:val="superscript"/>
          <w:lang w:val="es-CR"/>
        </w:rPr>
        <w:t xml:space="preserve">o </w:t>
      </w:r>
      <w:r w:rsidRPr="00933013">
        <w:rPr>
          <w:rFonts w:ascii="Verdana" w:hAnsi="Verdana"/>
          <w:sz w:val="16"/>
          <w:szCs w:val="16"/>
          <w:lang w:val="es-CR"/>
        </w:rPr>
        <w:t xml:space="preserve">56087 de 17 de junio de 2015 de la Tesorería General de la República, en el cual el Tesorero General de la República informó al Director de Derechos Humanos del Ministerio de Relaciones Exteriores, entre otros, sobre los pagos realizados por concepto de reintegro de costas y gastos, y Comprobantes de las transferencias bancarias realizadas a CEJIL y a la FIDH y </w:t>
      </w:r>
      <w:r w:rsidR="0010047D">
        <w:rPr>
          <w:rFonts w:ascii="Verdana" w:hAnsi="Verdana"/>
          <w:sz w:val="16"/>
          <w:szCs w:val="16"/>
          <w:lang w:val="es-CR"/>
        </w:rPr>
        <w:t>C</w:t>
      </w:r>
      <w:r w:rsidRPr="00933013">
        <w:rPr>
          <w:rFonts w:ascii="Verdana" w:hAnsi="Verdana"/>
          <w:sz w:val="16"/>
          <w:szCs w:val="16"/>
          <w:lang w:val="es-CR"/>
        </w:rPr>
        <w:t>onstancias de recibo del pago realizadas por dichas organizaciones (anexos 11, 12, 13, 14 y 15 al informe estatal de julio de 2015).</w:t>
      </w:r>
    </w:p>
  </w:footnote>
  <w:footnote w:id="92">
    <w:p w:rsidR="00A70CBB" w:rsidRPr="00933013" w:rsidRDefault="00A70CBB" w:rsidP="004121C6">
      <w:pPr>
        <w:pStyle w:val="Textonotapie"/>
        <w:tabs>
          <w:tab w:val="left" w:pos="426"/>
          <w:tab w:val="center" w:pos="567"/>
        </w:tabs>
        <w:jc w:val="both"/>
        <w:rPr>
          <w:rFonts w:ascii="Verdana" w:hAnsi="Verdana"/>
          <w:sz w:val="16"/>
          <w:szCs w:val="16"/>
          <w:lang w:val="es-CR"/>
        </w:rPr>
      </w:pPr>
      <w:r w:rsidRPr="00933013">
        <w:rPr>
          <w:rStyle w:val="Refdenotaalpie"/>
          <w:rFonts w:ascii="Verdana" w:hAnsi="Verdana"/>
          <w:sz w:val="16"/>
          <w:szCs w:val="16"/>
        </w:rPr>
        <w:footnoteRef/>
      </w:r>
      <w:r w:rsidRPr="00933013">
        <w:rPr>
          <w:rFonts w:ascii="Verdana" w:hAnsi="Verdana"/>
          <w:sz w:val="16"/>
          <w:szCs w:val="16"/>
          <w:lang w:val="es-CR"/>
        </w:rPr>
        <w:t xml:space="preserve"> </w:t>
      </w:r>
      <w:r w:rsidRPr="00933013">
        <w:rPr>
          <w:rFonts w:ascii="Verdana" w:hAnsi="Verdana"/>
          <w:sz w:val="16"/>
          <w:szCs w:val="16"/>
          <w:lang w:val="es-CR"/>
        </w:rPr>
        <w:tab/>
        <w:t xml:space="preserve">La </w:t>
      </w:r>
      <w:r w:rsidRPr="00933013">
        <w:rPr>
          <w:rFonts w:ascii="Verdana" w:hAnsi="Verdana"/>
          <w:i/>
          <w:sz w:val="16"/>
          <w:szCs w:val="16"/>
          <w:lang w:val="es-CR"/>
        </w:rPr>
        <w:t>representante Myriam Reyes</w:t>
      </w:r>
      <w:r w:rsidRPr="00933013">
        <w:rPr>
          <w:rFonts w:ascii="Verdana" w:hAnsi="Verdana"/>
          <w:sz w:val="16"/>
          <w:szCs w:val="16"/>
          <w:lang w:val="es-CR"/>
        </w:rPr>
        <w:t xml:space="preserve"> y </w:t>
      </w:r>
      <w:r w:rsidRPr="00933013">
        <w:rPr>
          <w:rFonts w:ascii="Verdana" w:hAnsi="Verdana"/>
          <w:i/>
          <w:sz w:val="16"/>
          <w:szCs w:val="16"/>
          <w:lang w:val="es-CR"/>
        </w:rPr>
        <w:t>CEJIL</w:t>
      </w:r>
      <w:r w:rsidRPr="00933013">
        <w:rPr>
          <w:rFonts w:ascii="Verdana" w:hAnsi="Verdana"/>
          <w:sz w:val="16"/>
          <w:szCs w:val="16"/>
          <w:lang w:val="es-CR"/>
        </w:rPr>
        <w:t xml:space="preserve"> manifestaron que el Estado cumplió con el pago del reintegro de costas y gastos.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DE2" w:rsidRPr="00903DE2" w:rsidRDefault="00903DE2">
    <w:pPr>
      <w:pStyle w:val="Encabezado"/>
      <w:jc w:val="center"/>
      <w:rPr>
        <w:rFonts w:ascii="Verdana" w:hAnsi="Verdana"/>
        <w:sz w:val="20"/>
        <w:szCs w:val="20"/>
      </w:rPr>
    </w:pPr>
    <w:r w:rsidRPr="00903DE2">
      <w:rPr>
        <w:rFonts w:ascii="Verdana" w:hAnsi="Verdana"/>
        <w:sz w:val="20"/>
        <w:szCs w:val="20"/>
      </w:rPr>
      <w:t>-</w:t>
    </w:r>
    <w:r w:rsidRPr="00903DE2">
      <w:rPr>
        <w:rFonts w:ascii="Verdana" w:hAnsi="Verdana"/>
        <w:sz w:val="20"/>
        <w:szCs w:val="20"/>
      </w:rPr>
      <w:fldChar w:fldCharType="begin"/>
    </w:r>
    <w:r w:rsidRPr="00903DE2">
      <w:rPr>
        <w:rFonts w:ascii="Verdana" w:hAnsi="Verdana"/>
        <w:sz w:val="20"/>
        <w:szCs w:val="20"/>
      </w:rPr>
      <w:instrText>PAGE   \* MERGEFORMAT</w:instrText>
    </w:r>
    <w:r w:rsidRPr="00903DE2">
      <w:rPr>
        <w:rFonts w:ascii="Verdana" w:hAnsi="Verdana"/>
        <w:sz w:val="20"/>
        <w:szCs w:val="20"/>
      </w:rPr>
      <w:fldChar w:fldCharType="separate"/>
    </w:r>
    <w:r w:rsidR="002617F0" w:rsidRPr="002617F0">
      <w:rPr>
        <w:rFonts w:ascii="Verdana" w:hAnsi="Verdana"/>
        <w:noProof/>
        <w:sz w:val="20"/>
        <w:szCs w:val="20"/>
        <w:lang w:val="es-ES"/>
      </w:rPr>
      <w:t>22</w:t>
    </w:r>
    <w:r w:rsidRPr="00903DE2">
      <w:rPr>
        <w:rFonts w:ascii="Verdana" w:hAnsi="Verdana"/>
        <w:sz w:val="20"/>
        <w:szCs w:val="20"/>
      </w:rPr>
      <w:fldChar w:fldCharType="end"/>
    </w:r>
    <w:r w:rsidRPr="00903DE2">
      <w:rPr>
        <w:rFonts w:ascii="Verdana" w:hAnsi="Verdana"/>
        <w:sz w:val="20"/>
        <w:szCs w:val="20"/>
      </w:rPr>
      <w:t>-</w:t>
    </w:r>
  </w:p>
  <w:p w:rsidR="00903DE2" w:rsidRDefault="00903DE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0CBB" w:rsidRPr="00C44CD6" w:rsidRDefault="00A70CBB" w:rsidP="004A3773">
    <w:pPr>
      <w:pStyle w:val="Encabezado"/>
      <w:jc w:val="right"/>
      <w:rPr>
        <w:i/>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748E"/>
    <w:multiLevelType w:val="hybridMultilevel"/>
    <w:tmpl w:val="8696C28E"/>
    <w:lvl w:ilvl="0" w:tplc="040A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6A2F8F"/>
    <w:multiLevelType w:val="hybridMultilevel"/>
    <w:tmpl w:val="7638BEF0"/>
    <w:lvl w:ilvl="0" w:tplc="BF4A1162">
      <w:start w:val="1"/>
      <w:numFmt w:val="lowerRoman"/>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BAE4BC8"/>
    <w:multiLevelType w:val="hybridMultilevel"/>
    <w:tmpl w:val="3F26EF14"/>
    <w:lvl w:ilvl="0" w:tplc="A1C8EB08">
      <w:start w:val="1"/>
      <w:numFmt w:val="bullet"/>
      <w:lvlText w:val="-"/>
      <w:lvlJc w:val="left"/>
      <w:pPr>
        <w:ind w:left="720" w:hanging="360"/>
      </w:pPr>
      <w:rPr>
        <w:rFonts w:ascii="Verdana" w:eastAsia="Calibri"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12087FF5"/>
    <w:multiLevelType w:val="hybridMultilevel"/>
    <w:tmpl w:val="5B043EE6"/>
    <w:lvl w:ilvl="0" w:tplc="8D30D7C4">
      <w:start w:val="3"/>
      <w:numFmt w:val="decimal"/>
      <w:lvlText w:val="%1."/>
      <w:lvlJc w:val="left"/>
      <w:pPr>
        <w:ind w:left="720" w:hanging="360"/>
      </w:pPr>
      <w:rPr>
        <w:b w:val="0"/>
        <w:i w:val="0"/>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 w15:restartNumberingAfterBreak="0">
    <w:nsid w:val="23F17A65"/>
    <w:multiLevelType w:val="hybridMultilevel"/>
    <w:tmpl w:val="498E5430"/>
    <w:lvl w:ilvl="0" w:tplc="4C7A51F6">
      <w:start w:val="1"/>
      <w:numFmt w:val="decimal"/>
      <w:lvlText w:val="%1."/>
      <w:lvlJc w:val="left"/>
      <w:pPr>
        <w:ind w:left="360" w:hanging="360"/>
      </w:pPr>
      <w:rPr>
        <w:b w:val="0"/>
        <w:strike w:val="0"/>
        <w:sz w:val="20"/>
        <w:lang w:val="es-MX"/>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15:restartNumberingAfterBreak="0">
    <w:nsid w:val="250732D6"/>
    <w:multiLevelType w:val="hybridMultilevel"/>
    <w:tmpl w:val="7638BEF0"/>
    <w:lvl w:ilvl="0" w:tplc="BF4A1162">
      <w:start w:val="1"/>
      <w:numFmt w:val="lowerRoman"/>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88E1155"/>
    <w:multiLevelType w:val="hybridMultilevel"/>
    <w:tmpl w:val="292E393E"/>
    <w:lvl w:ilvl="0" w:tplc="BF4A1162">
      <w:start w:val="1"/>
      <w:numFmt w:val="lowerRoman"/>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2BEA587C"/>
    <w:multiLevelType w:val="hybridMultilevel"/>
    <w:tmpl w:val="934C38E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D9C64D5"/>
    <w:multiLevelType w:val="hybridMultilevel"/>
    <w:tmpl w:val="292E393E"/>
    <w:lvl w:ilvl="0" w:tplc="BF4A1162">
      <w:start w:val="1"/>
      <w:numFmt w:val="lowerRoman"/>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393014FD"/>
    <w:multiLevelType w:val="hybridMultilevel"/>
    <w:tmpl w:val="7B561A5A"/>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AE858E9"/>
    <w:multiLevelType w:val="hybridMultilevel"/>
    <w:tmpl w:val="9B44F7C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ECA5F91"/>
    <w:multiLevelType w:val="hybridMultilevel"/>
    <w:tmpl w:val="35FE9C84"/>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4EF837F8"/>
    <w:multiLevelType w:val="hybridMultilevel"/>
    <w:tmpl w:val="AB86D4DA"/>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4F8B3EE4"/>
    <w:multiLevelType w:val="hybridMultilevel"/>
    <w:tmpl w:val="F6B04314"/>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6EC6456"/>
    <w:multiLevelType w:val="hybridMultilevel"/>
    <w:tmpl w:val="ED1046C0"/>
    <w:lvl w:ilvl="0" w:tplc="BF4A1162">
      <w:start w:val="1"/>
      <w:numFmt w:val="lowerRoman"/>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A9C51D2"/>
    <w:multiLevelType w:val="hybridMultilevel"/>
    <w:tmpl w:val="558EB75A"/>
    <w:lvl w:ilvl="0" w:tplc="140A0017">
      <w:start w:val="1"/>
      <w:numFmt w:val="lowerLetter"/>
      <w:lvlText w:val="%1)"/>
      <w:lvlJc w:val="left"/>
      <w:pPr>
        <w:ind w:left="788" w:hanging="360"/>
      </w:pPr>
    </w:lvl>
    <w:lvl w:ilvl="1" w:tplc="140A0019" w:tentative="1">
      <w:start w:val="1"/>
      <w:numFmt w:val="lowerLetter"/>
      <w:lvlText w:val="%2."/>
      <w:lvlJc w:val="left"/>
      <w:pPr>
        <w:ind w:left="1508" w:hanging="360"/>
      </w:pPr>
    </w:lvl>
    <w:lvl w:ilvl="2" w:tplc="140A001B" w:tentative="1">
      <w:start w:val="1"/>
      <w:numFmt w:val="lowerRoman"/>
      <w:lvlText w:val="%3."/>
      <w:lvlJc w:val="right"/>
      <w:pPr>
        <w:ind w:left="2228" w:hanging="180"/>
      </w:pPr>
    </w:lvl>
    <w:lvl w:ilvl="3" w:tplc="140A000F" w:tentative="1">
      <w:start w:val="1"/>
      <w:numFmt w:val="decimal"/>
      <w:lvlText w:val="%4."/>
      <w:lvlJc w:val="left"/>
      <w:pPr>
        <w:ind w:left="2948" w:hanging="360"/>
      </w:pPr>
    </w:lvl>
    <w:lvl w:ilvl="4" w:tplc="140A0019" w:tentative="1">
      <w:start w:val="1"/>
      <w:numFmt w:val="lowerLetter"/>
      <w:lvlText w:val="%5."/>
      <w:lvlJc w:val="left"/>
      <w:pPr>
        <w:ind w:left="3668" w:hanging="360"/>
      </w:pPr>
    </w:lvl>
    <w:lvl w:ilvl="5" w:tplc="140A001B" w:tentative="1">
      <w:start w:val="1"/>
      <w:numFmt w:val="lowerRoman"/>
      <w:lvlText w:val="%6."/>
      <w:lvlJc w:val="right"/>
      <w:pPr>
        <w:ind w:left="4388" w:hanging="180"/>
      </w:pPr>
    </w:lvl>
    <w:lvl w:ilvl="6" w:tplc="140A000F" w:tentative="1">
      <w:start w:val="1"/>
      <w:numFmt w:val="decimal"/>
      <w:lvlText w:val="%7."/>
      <w:lvlJc w:val="left"/>
      <w:pPr>
        <w:ind w:left="5108" w:hanging="360"/>
      </w:pPr>
    </w:lvl>
    <w:lvl w:ilvl="7" w:tplc="140A0019" w:tentative="1">
      <w:start w:val="1"/>
      <w:numFmt w:val="lowerLetter"/>
      <w:lvlText w:val="%8."/>
      <w:lvlJc w:val="left"/>
      <w:pPr>
        <w:ind w:left="5828" w:hanging="360"/>
      </w:pPr>
    </w:lvl>
    <w:lvl w:ilvl="8" w:tplc="140A001B" w:tentative="1">
      <w:start w:val="1"/>
      <w:numFmt w:val="lowerRoman"/>
      <w:lvlText w:val="%9."/>
      <w:lvlJc w:val="right"/>
      <w:pPr>
        <w:ind w:left="6548" w:hanging="180"/>
      </w:pPr>
    </w:lvl>
  </w:abstractNum>
  <w:abstractNum w:abstractNumId="18" w15:restartNumberingAfterBreak="0">
    <w:nsid w:val="5F1163CE"/>
    <w:multiLevelType w:val="hybridMultilevel"/>
    <w:tmpl w:val="CD667852"/>
    <w:lvl w:ilvl="0" w:tplc="D0E448A8">
      <w:start w:val="5"/>
      <w:numFmt w:val="decimal"/>
      <w:lvlText w:val="%1."/>
      <w:lvlJc w:val="left"/>
      <w:pPr>
        <w:ind w:left="146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09E6A83"/>
    <w:multiLevelType w:val="hybridMultilevel"/>
    <w:tmpl w:val="E7DECDF6"/>
    <w:lvl w:ilvl="0" w:tplc="0FC8ED1C">
      <w:start w:val="13"/>
      <w:numFmt w:val="decimal"/>
      <w:lvlText w:val="%1."/>
      <w:lvlJc w:val="left"/>
      <w:pPr>
        <w:ind w:left="1211"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145691D"/>
    <w:multiLevelType w:val="hybridMultilevel"/>
    <w:tmpl w:val="292E393E"/>
    <w:lvl w:ilvl="0" w:tplc="BF4A1162">
      <w:start w:val="1"/>
      <w:numFmt w:val="lowerRoman"/>
      <w:lvlText w:val="%1)"/>
      <w:lvlJc w:val="left"/>
      <w:pPr>
        <w:ind w:left="720" w:hanging="360"/>
      </w:pPr>
      <w:rPr>
        <w:rFonts w:hint="default"/>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14D1712"/>
    <w:multiLevelType w:val="hybridMultilevel"/>
    <w:tmpl w:val="DEEEE4F8"/>
    <w:lvl w:ilvl="0" w:tplc="C04CB29A">
      <w:start w:val="7"/>
      <w:numFmt w:val="decimal"/>
      <w:lvlText w:val="%1."/>
      <w:lvlJc w:val="left"/>
      <w:pPr>
        <w:ind w:left="502" w:hanging="360"/>
      </w:pPr>
      <w:rPr>
        <w:rFonts w:hint="default"/>
        <w:b w:val="0"/>
        <w:i w:val="0"/>
        <w:lang w:val="es-ES_tradnl"/>
      </w:rPr>
    </w:lvl>
    <w:lvl w:ilvl="1" w:tplc="140A0019" w:tentative="1">
      <w:start w:val="1"/>
      <w:numFmt w:val="lowerLetter"/>
      <w:lvlText w:val="%2."/>
      <w:lvlJc w:val="left"/>
      <w:pPr>
        <w:ind w:left="1460" w:hanging="360"/>
      </w:pPr>
    </w:lvl>
    <w:lvl w:ilvl="2" w:tplc="140A001B" w:tentative="1">
      <w:start w:val="1"/>
      <w:numFmt w:val="lowerRoman"/>
      <w:lvlText w:val="%3."/>
      <w:lvlJc w:val="right"/>
      <w:pPr>
        <w:ind w:left="2180" w:hanging="180"/>
      </w:pPr>
    </w:lvl>
    <w:lvl w:ilvl="3" w:tplc="140A000F" w:tentative="1">
      <w:start w:val="1"/>
      <w:numFmt w:val="decimal"/>
      <w:lvlText w:val="%4."/>
      <w:lvlJc w:val="left"/>
      <w:pPr>
        <w:ind w:left="2900" w:hanging="360"/>
      </w:pPr>
    </w:lvl>
    <w:lvl w:ilvl="4" w:tplc="140A0019" w:tentative="1">
      <w:start w:val="1"/>
      <w:numFmt w:val="lowerLetter"/>
      <w:lvlText w:val="%5."/>
      <w:lvlJc w:val="left"/>
      <w:pPr>
        <w:ind w:left="3620" w:hanging="360"/>
      </w:pPr>
    </w:lvl>
    <w:lvl w:ilvl="5" w:tplc="140A001B" w:tentative="1">
      <w:start w:val="1"/>
      <w:numFmt w:val="lowerRoman"/>
      <w:lvlText w:val="%6."/>
      <w:lvlJc w:val="right"/>
      <w:pPr>
        <w:ind w:left="4340" w:hanging="180"/>
      </w:pPr>
    </w:lvl>
    <w:lvl w:ilvl="6" w:tplc="140A000F" w:tentative="1">
      <w:start w:val="1"/>
      <w:numFmt w:val="decimal"/>
      <w:lvlText w:val="%7."/>
      <w:lvlJc w:val="left"/>
      <w:pPr>
        <w:ind w:left="5060" w:hanging="360"/>
      </w:pPr>
    </w:lvl>
    <w:lvl w:ilvl="7" w:tplc="140A0019" w:tentative="1">
      <w:start w:val="1"/>
      <w:numFmt w:val="lowerLetter"/>
      <w:lvlText w:val="%8."/>
      <w:lvlJc w:val="left"/>
      <w:pPr>
        <w:ind w:left="5780" w:hanging="360"/>
      </w:pPr>
    </w:lvl>
    <w:lvl w:ilvl="8" w:tplc="140A001B" w:tentative="1">
      <w:start w:val="1"/>
      <w:numFmt w:val="lowerRoman"/>
      <w:lvlText w:val="%9."/>
      <w:lvlJc w:val="right"/>
      <w:pPr>
        <w:ind w:left="6500" w:hanging="180"/>
      </w:pPr>
    </w:lvl>
  </w:abstractNum>
  <w:abstractNum w:abstractNumId="22" w15:restartNumberingAfterBreak="0">
    <w:nsid w:val="6A797088"/>
    <w:multiLevelType w:val="hybridMultilevel"/>
    <w:tmpl w:val="A904B28A"/>
    <w:lvl w:ilvl="0" w:tplc="5C00E048">
      <w:start w:val="2"/>
      <w:numFmt w:val="upperLetter"/>
      <w:lvlText w:val="%1."/>
      <w:lvlJc w:val="left"/>
      <w:pPr>
        <w:ind w:left="502"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6AAD3C9F"/>
    <w:multiLevelType w:val="hybridMultilevel"/>
    <w:tmpl w:val="7BB085BE"/>
    <w:lvl w:ilvl="0" w:tplc="294CAE26">
      <w:start w:val="3"/>
      <w:numFmt w:val="decimal"/>
      <w:lvlText w:val="%1."/>
      <w:lvlJc w:val="left"/>
      <w:pPr>
        <w:ind w:left="644" w:hanging="360"/>
      </w:pPr>
      <w:rPr>
        <w:rFonts w:hint="default"/>
        <w:b w:val="0"/>
        <w:i w:val="0"/>
        <w:color w:val="auto"/>
      </w:rPr>
    </w:lvl>
    <w:lvl w:ilvl="1" w:tplc="6EDA2B4C">
      <w:start w:val="1"/>
      <w:numFmt w:val="lowerRoman"/>
      <w:lvlText w:val="%2)"/>
      <w:lvlJc w:val="left"/>
      <w:pPr>
        <w:ind w:left="1800" w:hanging="72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AB45B1F"/>
    <w:multiLevelType w:val="hybridMultilevel"/>
    <w:tmpl w:val="099E3294"/>
    <w:lvl w:ilvl="0" w:tplc="BF4A1162">
      <w:start w:val="1"/>
      <w:numFmt w:val="lowerRoman"/>
      <w:lvlText w:val="%1)"/>
      <w:lvlJc w:val="left"/>
      <w:pPr>
        <w:ind w:left="789" w:hanging="360"/>
      </w:pPr>
      <w:rPr>
        <w:rFonts w:hint="default"/>
      </w:rPr>
    </w:lvl>
    <w:lvl w:ilvl="1" w:tplc="140A0019" w:tentative="1">
      <w:start w:val="1"/>
      <w:numFmt w:val="lowerLetter"/>
      <w:lvlText w:val="%2."/>
      <w:lvlJc w:val="left"/>
      <w:pPr>
        <w:ind w:left="1509" w:hanging="360"/>
      </w:pPr>
    </w:lvl>
    <w:lvl w:ilvl="2" w:tplc="140A001B" w:tentative="1">
      <w:start w:val="1"/>
      <w:numFmt w:val="lowerRoman"/>
      <w:lvlText w:val="%3."/>
      <w:lvlJc w:val="right"/>
      <w:pPr>
        <w:ind w:left="2229" w:hanging="180"/>
      </w:pPr>
    </w:lvl>
    <w:lvl w:ilvl="3" w:tplc="140A000F" w:tentative="1">
      <w:start w:val="1"/>
      <w:numFmt w:val="decimal"/>
      <w:lvlText w:val="%4."/>
      <w:lvlJc w:val="left"/>
      <w:pPr>
        <w:ind w:left="2949" w:hanging="360"/>
      </w:pPr>
    </w:lvl>
    <w:lvl w:ilvl="4" w:tplc="140A0019" w:tentative="1">
      <w:start w:val="1"/>
      <w:numFmt w:val="lowerLetter"/>
      <w:lvlText w:val="%5."/>
      <w:lvlJc w:val="left"/>
      <w:pPr>
        <w:ind w:left="3669" w:hanging="360"/>
      </w:pPr>
    </w:lvl>
    <w:lvl w:ilvl="5" w:tplc="140A001B" w:tentative="1">
      <w:start w:val="1"/>
      <w:numFmt w:val="lowerRoman"/>
      <w:lvlText w:val="%6."/>
      <w:lvlJc w:val="right"/>
      <w:pPr>
        <w:ind w:left="4389" w:hanging="180"/>
      </w:pPr>
    </w:lvl>
    <w:lvl w:ilvl="6" w:tplc="140A000F" w:tentative="1">
      <w:start w:val="1"/>
      <w:numFmt w:val="decimal"/>
      <w:lvlText w:val="%7."/>
      <w:lvlJc w:val="left"/>
      <w:pPr>
        <w:ind w:left="5109" w:hanging="360"/>
      </w:pPr>
    </w:lvl>
    <w:lvl w:ilvl="7" w:tplc="140A0019" w:tentative="1">
      <w:start w:val="1"/>
      <w:numFmt w:val="lowerLetter"/>
      <w:lvlText w:val="%8."/>
      <w:lvlJc w:val="left"/>
      <w:pPr>
        <w:ind w:left="5829" w:hanging="360"/>
      </w:pPr>
    </w:lvl>
    <w:lvl w:ilvl="8" w:tplc="140A001B" w:tentative="1">
      <w:start w:val="1"/>
      <w:numFmt w:val="lowerRoman"/>
      <w:lvlText w:val="%9."/>
      <w:lvlJc w:val="right"/>
      <w:pPr>
        <w:ind w:left="6549" w:hanging="180"/>
      </w:pPr>
    </w:lvl>
  </w:abstractNum>
  <w:abstractNum w:abstractNumId="25" w15:restartNumberingAfterBreak="0">
    <w:nsid w:val="75EB0B83"/>
    <w:multiLevelType w:val="hybridMultilevel"/>
    <w:tmpl w:val="4EA2F832"/>
    <w:lvl w:ilvl="0" w:tplc="E7D0B2C2">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3C3A00"/>
    <w:multiLevelType w:val="hybridMultilevel"/>
    <w:tmpl w:val="A4E4417E"/>
    <w:lvl w:ilvl="0" w:tplc="4006ABE4">
      <w:start w:val="16"/>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5"/>
  </w:num>
  <w:num w:numId="2">
    <w:abstractNumId w:val="11"/>
  </w:num>
  <w:num w:numId="3">
    <w:abstractNumId w:val="9"/>
  </w:num>
  <w:num w:numId="4">
    <w:abstractNumId w:val="23"/>
  </w:num>
  <w:num w:numId="5">
    <w:abstractNumId w:val="10"/>
  </w:num>
  <w:num w:numId="6">
    <w:abstractNumId w:val="18"/>
  </w:num>
  <w:num w:numId="7">
    <w:abstractNumId w:val="20"/>
  </w:num>
  <w:num w:numId="8">
    <w:abstractNumId w:val="21"/>
  </w:num>
  <w:num w:numId="9">
    <w:abstractNumId w:val="19"/>
  </w:num>
  <w:num w:numId="10">
    <w:abstractNumId w:val="17"/>
  </w:num>
  <w:num w:numId="11">
    <w:abstractNumId w:val="0"/>
  </w:num>
  <w:num w:numId="12">
    <w:abstractNumId w:val="8"/>
  </w:num>
  <w:num w:numId="1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2"/>
  </w:num>
  <w:num w:numId="17">
    <w:abstractNumId w:val="22"/>
  </w:num>
  <w:num w:numId="18">
    <w:abstractNumId w:val="13"/>
  </w:num>
  <w:num w:numId="19">
    <w:abstractNumId w:val="2"/>
  </w:num>
  <w:num w:numId="20">
    <w:abstractNumId w:val="6"/>
  </w:num>
  <w:num w:numId="21">
    <w:abstractNumId w:val="1"/>
  </w:num>
  <w:num w:numId="22">
    <w:abstractNumId w:val="5"/>
  </w:num>
  <w:num w:numId="23">
    <w:abstractNumId w:val="16"/>
  </w:num>
  <w:num w:numId="24">
    <w:abstractNumId w:val="25"/>
  </w:num>
  <w:num w:numId="25">
    <w:abstractNumId w:val="4"/>
  </w:num>
  <w:num w:numId="26">
    <w:abstractNumId w:val="24"/>
  </w:num>
  <w:num w:numId="27">
    <w:abstractNumId w:val="7"/>
  </w:num>
  <w:num w:numId="28">
    <w:abstractNumId w:val="2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D4F"/>
    <w:rsid w:val="00000252"/>
    <w:rsid w:val="000050B5"/>
    <w:rsid w:val="00005226"/>
    <w:rsid w:val="0000617D"/>
    <w:rsid w:val="00006DB9"/>
    <w:rsid w:val="000116F2"/>
    <w:rsid w:val="000121ED"/>
    <w:rsid w:val="000142A3"/>
    <w:rsid w:val="00014366"/>
    <w:rsid w:val="000150EA"/>
    <w:rsid w:val="0001594A"/>
    <w:rsid w:val="000159FF"/>
    <w:rsid w:val="00017E73"/>
    <w:rsid w:val="0002220E"/>
    <w:rsid w:val="00022366"/>
    <w:rsid w:val="00022402"/>
    <w:rsid w:val="00024A8B"/>
    <w:rsid w:val="00025E02"/>
    <w:rsid w:val="000264F8"/>
    <w:rsid w:val="00026EDB"/>
    <w:rsid w:val="000314A4"/>
    <w:rsid w:val="00032A4E"/>
    <w:rsid w:val="0003392F"/>
    <w:rsid w:val="0003507A"/>
    <w:rsid w:val="000368A4"/>
    <w:rsid w:val="00036946"/>
    <w:rsid w:val="00036B4B"/>
    <w:rsid w:val="00036F36"/>
    <w:rsid w:val="00037483"/>
    <w:rsid w:val="00040684"/>
    <w:rsid w:val="0004214A"/>
    <w:rsid w:val="00043B6F"/>
    <w:rsid w:val="000444EB"/>
    <w:rsid w:val="00044BCB"/>
    <w:rsid w:val="000457D4"/>
    <w:rsid w:val="00046F7E"/>
    <w:rsid w:val="00047288"/>
    <w:rsid w:val="000477CE"/>
    <w:rsid w:val="0005222A"/>
    <w:rsid w:val="00052FBA"/>
    <w:rsid w:val="000534CE"/>
    <w:rsid w:val="000541B6"/>
    <w:rsid w:val="00055FA5"/>
    <w:rsid w:val="00056E54"/>
    <w:rsid w:val="0006095B"/>
    <w:rsid w:val="00060D08"/>
    <w:rsid w:val="000619F6"/>
    <w:rsid w:val="00062496"/>
    <w:rsid w:val="00062679"/>
    <w:rsid w:val="000634CA"/>
    <w:rsid w:val="00063E83"/>
    <w:rsid w:val="00064748"/>
    <w:rsid w:val="00065B58"/>
    <w:rsid w:val="0006620E"/>
    <w:rsid w:val="000673D5"/>
    <w:rsid w:val="00070107"/>
    <w:rsid w:val="00070D5C"/>
    <w:rsid w:val="00071616"/>
    <w:rsid w:val="0007174C"/>
    <w:rsid w:val="00072210"/>
    <w:rsid w:val="000734F1"/>
    <w:rsid w:val="00074035"/>
    <w:rsid w:val="00075226"/>
    <w:rsid w:val="00076512"/>
    <w:rsid w:val="00077139"/>
    <w:rsid w:val="000840DC"/>
    <w:rsid w:val="0009166C"/>
    <w:rsid w:val="000930CA"/>
    <w:rsid w:val="00094FAD"/>
    <w:rsid w:val="00096816"/>
    <w:rsid w:val="00096B12"/>
    <w:rsid w:val="00096CE4"/>
    <w:rsid w:val="0009780A"/>
    <w:rsid w:val="000A086B"/>
    <w:rsid w:val="000A1800"/>
    <w:rsid w:val="000A1ED5"/>
    <w:rsid w:val="000A2B57"/>
    <w:rsid w:val="000A4162"/>
    <w:rsid w:val="000A435E"/>
    <w:rsid w:val="000A5297"/>
    <w:rsid w:val="000A530C"/>
    <w:rsid w:val="000A552E"/>
    <w:rsid w:val="000B01FF"/>
    <w:rsid w:val="000B1CB8"/>
    <w:rsid w:val="000B1EE6"/>
    <w:rsid w:val="000B3370"/>
    <w:rsid w:val="000B4B55"/>
    <w:rsid w:val="000B5118"/>
    <w:rsid w:val="000B61D8"/>
    <w:rsid w:val="000B765F"/>
    <w:rsid w:val="000C041C"/>
    <w:rsid w:val="000C042D"/>
    <w:rsid w:val="000C3AF6"/>
    <w:rsid w:val="000C609F"/>
    <w:rsid w:val="000C6F90"/>
    <w:rsid w:val="000C7825"/>
    <w:rsid w:val="000D0057"/>
    <w:rsid w:val="000D0AD0"/>
    <w:rsid w:val="000D1766"/>
    <w:rsid w:val="000D1BF0"/>
    <w:rsid w:val="000D2153"/>
    <w:rsid w:val="000D226B"/>
    <w:rsid w:val="000D23E2"/>
    <w:rsid w:val="000D2619"/>
    <w:rsid w:val="000D29ED"/>
    <w:rsid w:val="000D5673"/>
    <w:rsid w:val="000D5FAC"/>
    <w:rsid w:val="000D7C7F"/>
    <w:rsid w:val="000E0658"/>
    <w:rsid w:val="000E1063"/>
    <w:rsid w:val="000E1646"/>
    <w:rsid w:val="000E34AA"/>
    <w:rsid w:val="000E3998"/>
    <w:rsid w:val="000E3E2A"/>
    <w:rsid w:val="000E50D8"/>
    <w:rsid w:val="000E69BC"/>
    <w:rsid w:val="000E71A9"/>
    <w:rsid w:val="000E7572"/>
    <w:rsid w:val="000F074C"/>
    <w:rsid w:val="000F0C43"/>
    <w:rsid w:val="000F1241"/>
    <w:rsid w:val="000F1CF4"/>
    <w:rsid w:val="000F284A"/>
    <w:rsid w:val="000F29C9"/>
    <w:rsid w:val="000F5AA2"/>
    <w:rsid w:val="000F5B4B"/>
    <w:rsid w:val="0010047D"/>
    <w:rsid w:val="00102481"/>
    <w:rsid w:val="001033C3"/>
    <w:rsid w:val="00104788"/>
    <w:rsid w:val="00105A04"/>
    <w:rsid w:val="00106618"/>
    <w:rsid w:val="00106CFE"/>
    <w:rsid w:val="00107FB2"/>
    <w:rsid w:val="001134EC"/>
    <w:rsid w:val="0011390B"/>
    <w:rsid w:val="0011395D"/>
    <w:rsid w:val="001141EE"/>
    <w:rsid w:val="00120C2D"/>
    <w:rsid w:val="00121288"/>
    <w:rsid w:val="00121487"/>
    <w:rsid w:val="0012264D"/>
    <w:rsid w:val="0012265C"/>
    <w:rsid w:val="001226CA"/>
    <w:rsid w:val="001235EA"/>
    <w:rsid w:val="0013075E"/>
    <w:rsid w:val="00132974"/>
    <w:rsid w:val="00132D2E"/>
    <w:rsid w:val="00132F50"/>
    <w:rsid w:val="0013327D"/>
    <w:rsid w:val="00133C66"/>
    <w:rsid w:val="001340FE"/>
    <w:rsid w:val="00134809"/>
    <w:rsid w:val="00136053"/>
    <w:rsid w:val="00136725"/>
    <w:rsid w:val="00141C87"/>
    <w:rsid w:val="00142B14"/>
    <w:rsid w:val="00145EA9"/>
    <w:rsid w:val="00150C79"/>
    <w:rsid w:val="001540F7"/>
    <w:rsid w:val="001549D3"/>
    <w:rsid w:val="00156E17"/>
    <w:rsid w:val="00157366"/>
    <w:rsid w:val="00157974"/>
    <w:rsid w:val="00157A4C"/>
    <w:rsid w:val="001600FA"/>
    <w:rsid w:val="001633AC"/>
    <w:rsid w:val="00163C46"/>
    <w:rsid w:val="00164B8F"/>
    <w:rsid w:val="00164BCD"/>
    <w:rsid w:val="00167A71"/>
    <w:rsid w:val="0017186D"/>
    <w:rsid w:val="00172E77"/>
    <w:rsid w:val="001744BC"/>
    <w:rsid w:val="00174D9B"/>
    <w:rsid w:val="001759FF"/>
    <w:rsid w:val="00175F98"/>
    <w:rsid w:val="001843F3"/>
    <w:rsid w:val="001847F3"/>
    <w:rsid w:val="00184C35"/>
    <w:rsid w:val="00190230"/>
    <w:rsid w:val="00190301"/>
    <w:rsid w:val="001916B5"/>
    <w:rsid w:val="00191815"/>
    <w:rsid w:val="00191EFE"/>
    <w:rsid w:val="001930A4"/>
    <w:rsid w:val="00193CD3"/>
    <w:rsid w:val="00194BC7"/>
    <w:rsid w:val="001978EC"/>
    <w:rsid w:val="00197CD6"/>
    <w:rsid w:val="00197F8D"/>
    <w:rsid w:val="001A0C46"/>
    <w:rsid w:val="001A0FCF"/>
    <w:rsid w:val="001A1EE7"/>
    <w:rsid w:val="001A23A8"/>
    <w:rsid w:val="001A2B69"/>
    <w:rsid w:val="001A3510"/>
    <w:rsid w:val="001A3B04"/>
    <w:rsid w:val="001A526E"/>
    <w:rsid w:val="001A6685"/>
    <w:rsid w:val="001A7B68"/>
    <w:rsid w:val="001B0651"/>
    <w:rsid w:val="001B0BB6"/>
    <w:rsid w:val="001B37D0"/>
    <w:rsid w:val="001B4EEB"/>
    <w:rsid w:val="001B501F"/>
    <w:rsid w:val="001B5547"/>
    <w:rsid w:val="001B55CB"/>
    <w:rsid w:val="001B628C"/>
    <w:rsid w:val="001B7710"/>
    <w:rsid w:val="001B7DE8"/>
    <w:rsid w:val="001C048B"/>
    <w:rsid w:val="001C0DED"/>
    <w:rsid w:val="001C1572"/>
    <w:rsid w:val="001C24F3"/>
    <w:rsid w:val="001C2E9A"/>
    <w:rsid w:val="001C3AB5"/>
    <w:rsid w:val="001C45D8"/>
    <w:rsid w:val="001C483E"/>
    <w:rsid w:val="001C5E0F"/>
    <w:rsid w:val="001C6A45"/>
    <w:rsid w:val="001C70A4"/>
    <w:rsid w:val="001D275C"/>
    <w:rsid w:val="001D4F99"/>
    <w:rsid w:val="001D60AD"/>
    <w:rsid w:val="001D61AE"/>
    <w:rsid w:val="001D6689"/>
    <w:rsid w:val="001E12A7"/>
    <w:rsid w:val="001E12D1"/>
    <w:rsid w:val="001E16CB"/>
    <w:rsid w:val="001E19A3"/>
    <w:rsid w:val="001E23A6"/>
    <w:rsid w:val="001E3866"/>
    <w:rsid w:val="001E4180"/>
    <w:rsid w:val="001E4300"/>
    <w:rsid w:val="001E43A2"/>
    <w:rsid w:val="001E557C"/>
    <w:rsid w:val="001E64A7"/>
    <w:rsid w:val="001E77E8"/>
    <w:rsid w:val="001F019B"/>
    <w:rsid w:val="001F4328"/>
    <w:rsid w:val="001F56C5"/>
    <w:rsid w:val="001F62D3"/>
    <w:rsid w:val="002014BA"/>
    <w:rsid w:val="00201CA9"/>
    <w:rsid w:val="00202E30"/>
    <w:rsid w:val="00211B44"/>
    <w:rsid w:val="00215B6C"/>
    <w:rsid w:val="00216C31"/>
    <w:rsid w:val="002174A2"/>
    <w:rsid w:val="00221F18"/>
    <w:rsid w:val="00224B25"/>
    <w:rsid w:val="00224F1E"/>
    <w:rsid w:val="00225B0A"/>
    <w:rsid w:val="002303F9"/>
    <w:rsid w:val="002314CC"/>
    <w:rsid w:val="0023290D"/>
    <w:rsid w:val="00232B6B"/>
    <w:rsid w:val="00234058"/>
    <w:rsid w:val="002345AE"/>
    <w:rsid w:val="00234CC8"/>
    <w:rsid w:val="00235FA5"/>
    <w:rsid w:val="0023665D"/>
    <w:rsid w:val="00236C4D"/>
    <w:rsid w:val="0024102A"/>
    <w:rsid w:val="0024305D"/>
    <w:rsid w:val="0024357E"/>
    <w:rsid w:val="002439D0"/>
    <w:rsid w:val="00243B67"/>
    <w:rsid w:val="00244281"/>
    <w:rsid w:val="002446E6"/>
    <w:rsid w:val="0024545D"/>
    <w:rsid w:val="00246221"/>
    <w:rsid w:val="00247882"/>
    <w:rsid w:val="00247B4B"/>
    <w:rsid w:val="0025143F"/>
    <w:rsid w:val="00251DB6"/>
    <w:rsid w:val="00252E68"/>
    <w:rsid w:val="00252F30"/>
    <w:rsid w:val="00253240"/>
    <w:rsid w:val="00253374"/>
    <w:rsid w:val="00255B9F"/>
    <w:rsid w:val="00255F3B"/>
    <w:rsid w:val="002573C2"/>
    <w:rsid w:val="002577A5"/>
    <w:rsid w:val="002617F0"/>
    <w:rsid w:val="002621C4"/>
    <w:rsid w:val="00264887"/>
    <w:rsid w:val="00265EBD"/>
    <w:rsid w:val="0026690A"/>
    <w:rsid w:val="00267DF3"/>
    <w:rsid w:val="00271DC5"/>
    <w:rsid w:val="002733A0"/>
    <w:rsid w:val="002751B7"/>
    <w:rsid w:val="00276A9C"/>
    <w:rsid w:val="00276C30"/>
    <w:rsid w:val="00277293"/>
    <w:rsid w:val="00277370"/>
    <w:rsid w:val="002776A8"/>
    <w:rsid w:val="0028181B"/>
    <w:rsid w:val="00282B6A"/>
    <w:rsid w:val="002835BA"/>
    <w:rsid w:val="002846DD"/>
    <w:rsid w:val="00284D32"/>
    <w:rsid w:val="00290176"/>
    <w:rsid w:val="002911F3"/>
    <w:rsid w:val="0029456B"/>
    <w:rsid w:val="00295230"/>
    <w:rsid w:val="002963E9"/>
    <w:rsid w:val="00297847"/>
    <w:rsid w:val="00297AC7"/>
    <w:rsid w:val="002A04DF"/>
    <w:rsid w:val="002A4405"/>
    <w:rsid w:val="002A4433"/>
    <w:rsid w:val="002A4551"/>
    <w:rsid w:val="002A727E"/>
    <w:rsid w:val="002A7FD9"/>
    <w:rsid w:val="002B33AF"/>
    <w:rsid w:val="002B4690"/>
    <w:rsid w:val="002B604E"/>
    <w:rsid w:val="002B625E"/>
    <w:rsid w:val="002B7590"/>
    <w:rsid w:val="002C0D1E"/>
    <w:rsid w:val="002C33E5"/>
    <w:rsid w:val="002D018B"/>
    <w:rsid w:val="002D11C2"/>
    <w:rsid w:val="002D5490"/>
    <w:rsid w:val="002D7C72"/>
    <w:rsid w:val="002E0D41"/>
    <w:rsid w:val="002E1101"/>
    <w:rsid w:val="002E1BFA"/>
    <w:rsid w:val="002E1EEC"/>
    <w:rsid w:val="002E202E"/>
    <w:rsid w:val="002E2917"/>
    <w:rsid w:val="002E305D"/>
    <w:rsid w:val="002E3CF3"/>
    <w:rsid w:val="002E421A"/>
    <w:rsid w:val="002E484D"/>
    <w:rsid w:val="002E5B1E"/>
    <w:rsid w:val="002E6550"/>
    <w:rsid w:val="002E6B89"/>
    <w:rsid w:val="002E6E89"/>
    <w:rsid w:val="002F006C"/>
    <w:rsid w:val="002F0459"/>
    <w:rsid w:val="002F24D7"/>
    <w:rsid w:val="002F29BB"/>
    <w:rsid w:val="002F50F0"/>
    <w:rsid w:val="002F5ABD"/>
    <w:rsid w:val="002F623D"/>
    <w:rsid w:val="002F75F4"/>
    <w:rsid w:val="003004B4"/>
    <w:rsid w:val="00300D02"/>
    <w:rsid w:val="00301FC3"/>
    <w:rsid w:val="003020DC"/>
    <w:rsid w:val="00302DAA"/>
    <w:rsid w:val="0030486D"/>
    <w:rsid w:val="00306011"/>
    <w:rsid w:val="0030684B"/>
    <w:rsid w:val="00307A8B"/>
    <w:rsid w:val="003139CB"/>
    <w:rsid w:val="00314A94"/>
    <w:rsid w:val="003151C8"/>
    <w:rsid w:val="00316149"/>
    <w:rsid w:val="003162C6"/>
    <w:rsid w:val="0031749C"/>
    <w:rsid w:val="00317565"/>
    <w:rsid w:val="00317822"/>
    <w:rsid w:val="00317DB3"/>
    <w:rsid w:val="003202D8"/>
    <w:rsid w:val="00320335"/>
    <w:rsid w:val="003206EC"/>
    <w:rsid w:val="003207AD"/>
    <w:rsid w:val="00322612"/>
    <w:rsid w:val="00322AE3"/>
    <w:rsid w:val="0032570B"/>
    <w:rsid w:val="00326400"/>
    <w:rsid w:val="003302FE"/>
    <w:rsid w:val="003304D4"/>
    <w:rsid w:val="003320E3"/>
    <w:rsid w:val="00332ECF"/>
    <w:rsid w:val="00337FAA"/>
    <w:rsid w:val="0034239C"/>
    <w:rsid w:val="00342BD7"/>
    <w:rsid w:val="00342CE4"/>
    <w:rsid w:val="00343693"/>
    <w:rsid w:val="00343FC2"/>
    <w:rsid w:val="003453C7"/>
    <w:rsid w:val="003453F7"/>
    <w:rsid w:val="0034599A"/>
    <w:rsid w:val="003468A1"/>
    <w:rsid w:val="00351C84"/>
    <w:rsid w:val="00352D79"/>
    <w:rsid w:val="00353B1C"/>
    <w:rsid w:val="003563C4"/>
    <w:rsid w:val="00356699"/>
    <w:rsid w:val="00356DA3"/>
    <w:rsid w:val="0035761B"/>
    <w:rsid w:val="0035797F"/>
    <w:rsid w:val="00357F47"/>
    <w:rsid w:val="003621E2"/>
    <w:rsid w:val="0036260B"/>
    <w:rsid w:val="003631F8"/>
    <w:rsid w:val="003636C8"/>
    <w:rsid w:val="003666F8"/>
    <w:rsid w:val="0036764F"/>
    <w:rsid w:val="0036774A"/>
    <w:rsid w:val="00367E71"/>
    <w:rsid w:val="00372198"/>
    <w:rsid w:val="00372D02"/>
    <w:rsid w:val="00373956"/>
    <w:rsid w:val="00374AB2"/>
    <w:rsid w:val="00375E7C"/>
    <w:rsid w:val="00377799"/>
    <w:rsid w:val="00380604"/>
    <w:rsid w:val="00382381"/>
    <w:rsid w:val="00383078"/>
    <w:rsid w:val="00383376"/>
    <w:rsid w:val="0038360F"/>
    <w:rsid w:val="00383AF8"/>
    <w:rsid w:val="00383B1C"/>
    <w:rsid w:val="003840A3"/>
    <w:rsid w:val="00384AFC"/>
    <w:rsid w:val="00384D60"/>
    <w:rsid w:val="00384F4E"/>
    <w:rsid w:val="00385396"/>
    <w:rsid w:val="0038562F"/>
    <w:rsid w:val="00385D37"/>
    <w:rsid w:val="003878CA"/>
    <w:rsid w:val="0039085D"/>
    <w:rsid w:val="00390D23"/>
    <w:rsid w:val="003911CA"/>
    <w:rsid w:val="0039262F"/>
    <w:rsid w:val="00392B3F"/>
    <w:rsid w:val="00392FA8"/>
    <w:rsid w:val="00393991"/>
    <w:rsid w:val="00397EC2"/>
    <w:rsid w:val="003A023E"/>
    <w:rsid w:val="003A1F81"/>
    <w:rsid w:val="003A3666"/>
    <w:rsid w:val="003A5A21"/>
    <w:rsid w:val="003A7D88"/>
    <w:rsid w:val="003B2A92"/>
    <w:rsid w:val="003B4C03"/>
    <w:rsid w:val="003B4E24"/>
    <w:rsid w:val="003B4EBF"/>
    <w:rsid w:val="003B59F5"/>
    <w:rsid w:val="003C10BD"/>
    <w:rsid w:val="003C11A2"/>
    <w:rsid w:val="003C1505"/>
    <w:rsid w:val="003C253C"/>
    <w:rsid w:val="003C3A9F"/>
    <w:rsid w:val="003C4AAE"/>
    <w:rsid w:val="003C4FAD"/>
    <w:rsid w:val="003D01D5"/>
    <w:rsid w:val="003D2021"/>
    <w:rsid w:val="003D2F12"/>
    <w:rsid w:val="003D30E0"/>
    <w:rsid w:val="003D438E"/>
    <w:rsid w:val="003D4B93"/>
    <w:rsid w:val="003D5F64"/>
    <w:rsid w:val="003D67CA"/>
    <w:rsid w:val="003D743B"/>
    <w:rsid w:val="003D7D9C"/>
    <w:rsid w:val="003E00DA"/>
    <w:rsid w:val="003E027B"/>
    <w:rsid w:val="003E0BB8"/>
    <w:rsid w:val="003E14B8"/>
    <w:rsid w:val="003E14D1"/>
    <w:rsid w:val="003E1742"/>
    <w:rsid w:val="003E31DE"/>
    <w:rsid w:val="003E3216"/>
    <w:rsid w:val="003E423E"/>
    <w:rsid w:val="003E4608"/>
    <w:rsid w:val="003E4CF5"/>
    <w:rsid w:val="003E6461"/>
    <w:rsid w:val="003E6BFC"/>
    <w:rsid w:val="003E70D1"/>
    <w:rsid w:val="003F02CF"/>
    <w:rsid w:val="003F2118"/>
    <w:rsid w:val="003F2BB2"/>
    <w:rsid w:val="003F3848"/>
    <w:rsid w:val="003F447C"/>
    <w:rsid w:val="003F5288"/>
    <w:rsid w:val="003F5F46"/>
    <w:rsid w:val="003F73B7"/>
    <w:rsid w:val="003F7D37"/>
    <w:rsid w:val="00401A4F"/>
    <w:rsid w:val="0040320E"/>
    <w:rsid w:val="00404382"/>
    <w:rsid w:val="00405E77"/>
    <w:rsid w:val="0040608A"/>
    <w:rsid w:val="004063E0"/>
    <w:rsid w:val="00406DD4"/>
    <w:rsid w:val="0041013A"/>
    <w:rsid w:val="004121C6"/>
    <w:rsid w:val="00417478"/>
    <w:rsid w:val="00417D08"/>
    <w:rsid w:val="004203C4"/>
    <w:rsid w:val="004204DC"/>
    <w:rsid w:val="00422556"/>
    <w:rsid w:val="00422EFD"/>
    <w:rsid w:val="004242D8"/>
    <w:rsid w:val="00425DC8"/>
    <w:rsid w:val="004267A7"/>
    <w:rsid w:val="004272A4"/>
    <w:rsid w:val="00427378"/>
    <w:rsid w:val="004319FF"/>
    <w:rsid w:val="00431C87"/>
    <w:rsid w:val="00434C22"/>
    <w:rsid w:val="00435F8E"/>
    <w:rsid w:val="004372CF"/>
    <w:rsid w:val="004377BC"/>
    <w:rsid w:val="00440489"/>
    <w:rsid w:val="00441DB4"/>
    <w:rsid w:val="00444BC9"/>
    <w:rsid w:val="00446B8D"/>
    <w:rsid w:val="0044706F"/>
    <w:rsid w:val="0045044D"/>
    <w:rsid w:val="00450D75"/>
    <w:rsid w:val="0045134D"/>
    <w:rsid w:val="004517B4"/>
    <w:rsid w:val="00451DDE"/>
    <w:rsid w:val="00452C6A"/>
    <w:rsid w:val="00453865"/>
    <w:rsid w:val="0045586D"/>
    <w:rsid w:val="00456387"/>
    <w:rsid w:val="00456633"/>
    <w:rsid w:val="0045756A"/>
    <w:rsid w:val="0046029A"/>
    <w:rsid w:val="00460F5D"/>
    <w:rsid w:val="0046230E"/>
    <w:rsid w:val="0046323E"/>
    <w:rsid w:val="004633A4"/>
    <w:rsid w:val="00463F99"/>
    <w:rsid w:val="0046434D"/>
    <w:rsid w:val="00465C31"/>
    <w:rsid w:val="004668C3"/>
    <w:rsid w:val="00467AED"/>
    <w:rsid w:val="00467D35"/>
    <w:rsid w:val="00470C1C"/>
    <w:rsid w:val="00471329"/>
    <w:rsid w:val="00471923"/>
    <w:rsid w:val="0047217D"/>
    <w:rsid w:val="0047228E"/>
    <w:rsid w:val="0047263E"/>
    <w:rsid w:val="0047275A"/>
    <w:rsid w:val="00473626"/>
    <w:rsid w:val="004749CD"/>
    <w:rsid w:val="00474CFF"/>
    <w:rsid w:val="004752EC"/>
    <w:rsid w:val="00475416"/>
    <w:rsid w:val="0047675B"/>
    <w:rsid w:val="004778B0"/>
    <w:rsid w:val="004801A8"/>
    <w:rsid w:val="00480B28"/>
    <w:rsid w:val="00482CD2"/>
    <w:rsid w:val="00484BD0"/>
    <w:rsid w:val="00485674"/>
    <w:rsid w:val="00485F35"/>
    <w:rsid w:val="00486275"/>
    <w:rsid w:val="00492983"/>
    <w:rsid w:val="0049714C"/>
    <w:rsid w:val="00497190"/>
    <w:rsid w:val="004971B8"/>
    <w:rsid w:val="0049735A"/>
    <w:rsid w:val="00497D62"/>
    <w:rsid w:val="004A0832"/>
    <w:rsid w:val="004A2D87"/>
    <w:rsid w:val="004A31B5"/>
    <w:rsid w:val="004A3773"/>
    <w:rsid w:val="004A5CCD"/>
    <w:rsid w:val="004A6627"/>
    <w:rsid w:val="004A680A"/>
    <w:rsid w:val="004A6A22"/>
    <w:rsid w:val="004B57E9"/>
    <w:rsid w:val="004C04C4"/>
    <w:rsid w:val="004C1435"/>
    <w:rsid w:val="004C2E15"/>
    <w:rsid w:val="004C41A4"/>
    <w:rsid w:val="004C430A"/>
    <w:rsid w:val="004C4A5A"/>
    <w:rsid w:val="004C5AF8"/>
    <w:rsid w:val="004C7B35"/>
    <w:rsid w:val="004C7E5C"/>
    <w:rsid w:val="004D1CF8"/>
    <w:rsid w:val="004D2E5D"/>
    <w:rsid w:val="004D3129"/>
    <w:rsid w:val="004D3929"/>
    <w:rsid w:val="004D40FA"/>
    <w:rsid w:val="004D47B7"/>
    <w:rsid w:val="004D4C34"/>
    <w:rsid w:val="004D50B3"/>
    <w:rsid w:val="004D6330"/>
    <w:rsid w:val="004D764E"/>
    <w:rsid w:val="004E2D06"/>
    <w:rsid w:val="004E3998"/>
    <w:rsid w:val="004E3C9B"/>
    <w:rsid w:val="004E41CC"/>
    <w:rsid w:val="004E630F"/>
    <w:rsid w:val="004E6320"/>
    <w:rsid w:val="004E74BF"/>
    <w:rsid w:val="004E7702"/>
    <w:rsid w:val="004F0111"/>
    <w:rsid w:val="004F356F"/>
    <w:rsid w:val="004F4B79"/>
    <w:rsid w:val="004F5CE1"/>
    <w:rsid w:val="005012E3"/>
    <w:rsid w:val="00501D32"/>
    <w:rsid w:val="005034A8"/>
    <w:rsid w:val="005034CA"/>
    <w:rsid w:val="00505829"/>
    <w:rsid w:val="00505E07"/>
    <w:rsid w:val="00505F0A"/>
    <w:rsid w:val="00512E51"/>
    <w:rsid w:val="00512E79"/>
    <w:rsid w:val="00514370"/>
    <w:rsid w:val="00514DFA"/>
    <w:rsid w:val="00515C58"/>
    <w:rsid w:val="0051635A"/>
    <w:rsid w:val="005164F1"/>
    <w:rsid w:val="00517424"/>
    <w:rsid w:val="00520034"/>
    <w:rsid w:val="00520786"/>
    <w:rsid w:val="00520868"/>
    <w:rsid w:val="00521176"/>
    <w:rsid w:val="00523004"/>
    <w:rsid w:val="005237EB"/>
    <w:rsid w:val="00523EB7"/>
    <w:rsid w:val="005255FB"/>
    <w:rsid w:val="00525C4C"/>
    <w:rsid w:val="0052729E"/>
    <w:rsid w:val="00530289"/>
    <w:rsid w:val="005304AA"/>
    <w:rsid w:val="005319CC"/>
    <w:rsid w:val="005326B7"/>
    <w:rsid w:val="00533307"/>
    <w:rsid w:val="00533C14"/>
    <w:rsid w:val="00533F0D"/>
    <w:rsid w:val="00536BD6"/>
    <w:rsid w:val="005371EE"/>
    <w:rsid w:val="00540471"/>
    <w:rsid w:val="00541115"/>
    <w:rsid w:val="00541208"/>
    <w:rsid w:val="005439B2"/>
    <w:rsid w:val="00543A0C"/>
    <w:rsid w:val="005450D3"/>
    <w:rsid w:val="005460D3"/>
    <w:rsid w:val="00546784"/>
    <w:rsid w:val="0055341B"/>
    <w:rsid w:val="005545A1"/>
    <w:rsid w:val="00555371"/>
    <w:rsid w:val="00560316"/>
    <w:rsid w:val="00560AE8"/>
    <w:rsid w:val="00560D3B"/>
    <w:rsid w:val="00563E3A"/>
    <w:rsid w:val="00564118"/>
    <w:rsid w:val="00564155"/>
    <w:rsid w:val="00565F2A"/>
    <w:rsid w:val="00567043"/>
    <w:rsid w:val="0057002B"/>
    <w:rsid w:val="0057068D"/>
    <w:rsid w:val="0057155D"/>
    <w:rsid w:val="00571888"/>
    <w:rsid w:val="00572267"/>
    <w:rsid w:val="00574A09"/>
    <w:rsid w:val="0057609C"/>
    <w:rsid w:val="00576156"/>
    <w:rsid w:val="00576DC9"/>
    <w:rsid w:val="005806AA"/>
    <w:rsid w:val="005809F6"/>
    <w:rsid w:val="00580A6A"/>
    <w:rsid w:val="0058133B"/>
    <w:rsid w:val="005819C6"/>
    <w:rsid w:val="00582FFB"/>
    <w:rsid w:val="0058301D"/>
    <w:rsid w:val="00585163"/>
    <w:rsid w:val="00585FB4"/>
    <w:rsid w:val="005921C0"/>
    <w:rsid w:val="005923F4"/>
    <w:rsid w:val="005931EF"/>
    <w:rsid w:val="00593569"/>
    <w:rsid w:val="0059487B"/>
    <w:rsid w:val="00594B89"/>
    <w:rsid w:val="00595160"/>
    <w:rsid w:val="005952CF"/>
    <w:rsid w:val="0059605C"/>
    <w:rsid w:val="005966A2"/>
    <w:rsid w:val="00596D5E"/>
    <w:rsid w:val="00597DF2"/>
    <w:rsid w:val="005A1B3D"/>
    <w:rsid w:val="005A25A4"/>
    <w:rsid w:val="005A29F3"/>
    <w:rsid w:val="005A2E32"/>
    <w:rsid w:val="005A3E9D"/>
    <w:rsid w:val="005A5A48"/>
    <w:rsid w:val="005A5F0E"/>
    <w:rsid w:val="005B2154"/>
    <w:rsid w:val="005B2165"/>
    <w:rsid w:val="005B3B1C"/>
    <w:rsid w:val="005B3C2A"/>
    <w:rsid w:val="005B4A61"/>
    <w:rsid w:val="005B5A76"/>
    <w:rsid w:val="005B5AF3"/>
    <w:rsid w:val="005B5CF2"/>
    <w:rsid w:val="005C025D"/>
    <w:rsid w:val="005C0708"/>
    <w:rsid w:val="005C0DF5"/>
    <w:rsid w:val="005C1434"/>
    <w:rsid w:val="005C1824"/>
    <w:rsid w:val="005C2E4A"/>
    <w:rsid w:val="005C32D6"/>
    <w:rsid w:val="005C3529"/>
    <w:rsid w:val="005C3B7D"/>
    <w:rsid w:val="005C6019"/>
    <w:rsid w:val="005C6942"/>
    <w:rsid w:val="005C6D06"/>
    <w:rsid w:val="005D02B3"/>
    <w:rsid w:val="005D26C7"/>
    <w:rsid w:val="005D3981"/>
    <w:rsid w:val="005D3CA3"/>
    <w:rsid w:val="005D4C62"/>
    <w:rsid w:val="005D642E"/>
    <w:rsid w:val="005D68FE"/>
    <w:rsid w:val="005D6A03"/>
    <w:rsid w:val="005D783D"/>
    <w:rsid w:val="005E1062"/>
    <w:rsid w:val="005E3309"/>
    <w:rsid w:val="005E3AA2"/>
    <w:rsid w:val="005E70C6"/>
    <w:rsid w:val="005E7A79"/>
    <w:rsid w:val="005F07E1"/>
    <w:rsid w:val="005F096D"/>
    <w:rsid w:val="005F0E01"/>
    <w:rsid w:val="005F24F1"/>
    <w:rsid w:val="005F2775"/>
    <w:rsid w:val="005F2BAD"/>
    <w:rsid w:val="005F336B"/>
    <w:rsid w:val="005F35FE"/>
    <w:rsid w:val="005F3C0D"/>
    <w:rsid w:val="005F3CEF"/>
    <w:rsid w:val="005F402B"/>
    <w:rsid w:val="005F496C"/>
    <w:rsid w:val="005F57F5"/>
    <w:rsid w:val="005F5FCA"/>
    <w:rsid w:val="005F7784"/>
    <w:rsid w:val="005F7A0F"/>
    <w:rsid w:val="005F7C9B"/>
    <w:rsid w:val="0060189A"/>
    <w:rsid w:val="00601ADB"/>
    <w:rsid w:val="00605B08"/>
    <w:rsid w:val="00605FC0"/>
    <w:rsid w:val="006063C0"/>
    <w:rsid w:val="006063D6"/>
    <w:rsid w:val="00606B24"/>
    <w:rsid w:val="00606C37"/>
    <w:rsid w:val="00607BEE"/>
    <w:rsid w:val="00611911"/>
    <w:rsid w:val="00611D18"/>
    <w:rsid w:val="00612458"/>
    <w:rsid w:val="00612BF9"/>
    <w:rsid w:val="00613151"/>
    <w:rsid w:val="00613B0B"/>
    <w:rsid w:val="00615471"/>
    <w:rsid w:val="00615A37"/>
    <w:rsid w:val="00617A05"/>
    <w:rsid w:val="006208D0"/>
    <w:rsid w:val="00622D6C"/>
    <w:rsid w:val="006230A5"/>
    <w:rsid w:val="006232CA"/>
    <w:rsid w:val="0062389D"/>
    <w:rsid w:val="00624BAD"/>
    <w:rsid w:val="00625A4C"/>
    <w:rsid w:val="00630263"/>
    <w:rsid w:val="00633F7C"/>
    <w:rsid w:val="00634041"/>
    <w:rsid w:val="00634351"/>
    <w:rsid w:val="006347AA"/>
    <w:rsid w:val="00634B44"/>
    <w:rsid w:val="00636076"/>
    <w:rsid w:val="00637414"/>
    <w:rsid w:val="006379D1"/>
    <w:rsid w:val="00637E9D"/>
    <w:rsid w:val="006402BF"/>
    <w:rsid w:val="00643491"/>
    <w:rsid w:val="00644DAC"/>
    <w:rsid w:val="00645862"/>
    <w:rsid w:val="00651101"/>
    <w:rsid w:val="00651322"/>
    <w:rsid w:val="00651C4B"/>
    <w:rsid w:val="00656B92"/>
    <w:rsid w:val="00657109"/>
    <w:rsid w:val="0065716A"/>
    <w:rsid w:val="00657427"/>
    <w:rsid w:val="006620D2"/>
    <w:rsid w:val="00662384"/>
    <w:rsid w:val="00663D39"/>
    <w:rsid w:val="0066670D"/>
    <w:rsid w:val="0066798E"/>
    <w:rsid w:val="00667C93"/>
    <w:rsid w:val="006710FD"/>
    <w:rsid w:val="00671120"/>
    <w:rsid w:val="006728B6"/>
    <w:rsid w:val="006743B6"/>
    <w:rsid w:val="006744E5"/>
    <w:rsid w:val="00675265"/>
    <w:rsid w:val="0067528E"/>
    <w:rsid w:val="006753CE"/>
    <w:rsid w:val="00677344"/>
    <w:rsid w:val="0067736B"/>
    <w:rsid w:val="00680283"/>
    <w:rsid w:val="00681861"/>
    <w:rsid w:val="006818D3"/>
    <w:rsid w:val="00684C4D"/>
    <w:rsid w:val="0068531C"/>
    <w:rsid w:val="006909A8"/>
    <w:rsid w:val="006911FD"/>
    <w:rsid w:val="00691A77"/>
    <w:rsid w:val="006921EA"/>
    <w:rsid w:val="0069265B"/>
    <w:rsid w:val="00694DB3"/>
    <w:rsid w:val="00694EF7"/>
    <w:rsid w:val="00697B83"/>
    <w:rsid w:val="006A08FC"/>
    <w:rsid w:val="006A2768"/>
    <w:rsid w:val="006A2A64"/>
    <w:rsid w:val="006A44E3"/>
    <w:rsid w:val="006A5696"/>
    <w:rsid w:val="006A7AD2"/>
    <w:rsid w:val="006B09D7"/>
    <w:rsid w:val="006B291F"/>
    <w:rsid w:val="006B54E6"/>
    <w:rsid w:val="006B6526"/>
    <w:rsid w:val="006B6721"/>
    <w:rsid w:val="006C1393"/>
    <w:rsid w:val="006C23FE"/>
    <w:rsid w:val="006C42FF"/>
    <w:rsid w:val="006C6B44"/>
    <w:rsid w:val="006C752D"/>
    <w:rsid w:val="006C7763"/>
    <w:rsid w:val="006D0232"/>
    <w:rsid w:val="006D19D6"/>
    <w:rsid w:val="006D4C74"/>
    <w:rsid w:val="006D52AB"/>
    <w:rsid w:val="006D597E"/>
    <w:rsid w:val="006D5A7B"/>
    <w:rsid w:val="006D7F72"/>
    <w:rsid w:val="006E0459"/>
    <w:rsid w:val="006E457B"/>
    <w:rsid w:val="006E45D3"/>
    <w:rsid w:val="006E46F7"/>
    <w:rsid w:val="006E6635"/>
    <w:rsid w:val="006F0AF8"/>
    <w:rsid w:val="006F1BA3"/>
    <w:rsid w:val="006F2517"/>
    <w:rsid w:val="006F2F58"/>
    <w:rsid w:val="006F4AF1"/>
    <w:rsid w:val="006F4DDF"/>
    <w:rsid w:val="006F4E0F"/>
    <w:rsid w:val="006F55BC"/>
    <w:rsid w:val="006F6910"/>
    <w:rsid w:val="006F6E3B"/>
    <w:rsid w:val="007020DC"/>
    <w:rsid w:val="007022E5"/>
    <w:rsid w:val="007024DB"/>
    <w:rsid w:val="00702C4E"/>
    <w:rsid w:val="00702E18"/>
    <w:rsid w:val="00703C74"/>
    <w:rsid w:val="00704DDA"/>
    <w:rsid w:val="00705A10"/>
    <w:rsid w:val="00705D08"/>
    <w:rsid w:val="007068AB"/>
    <w:rsid w:val="00707F54"/>
    <w:rsid w:val="00711B91"/>
    <w:rsid w:val="007146AF"/>
    <w:rsid w:val="00715182"/>
    <w:rsid w:val="00715C62"/>
    <w:rsid w:val="00715F7C"/>
    <w:rsid w:val="00716423"/>
    <w:rsid w:val="00720785"/>
    <w:rsid w:val="007231F2"/>
    <w:rsid w:val="007249FC"/>
    <w:rsid w:val="0072546D"/>
    <w:rsid w:val="00725A52"/>
    <w:rsid w:val="007277CE"/>
    <w:rsid w:val="00730ADD"/>
    <w:rsid w:val="00730E52"/>
    <w:rsid w:val="00732926"/>
    <w:rsid w:val="00733960"/>
    <w:rsid w:val="007343CD"/>
    <w:rsid w:val="00735647"/>
    <w:rsid w:val="00740F3F"/>
    <w:rsid w:val="007424D6"/>
    <w:rsid w:val="00742EBF"/>
    <w:rsid w:val="00743E84"/>
    <w:rsid w:val="00743FCB"/>
    <w:rsid w:val="007454AB"/>
    <w:rsid w:val="00745AE4"/>
    <w:rsid w:val="00747CC1"/>
    <w:rsid w:val="007509A8"/>
    <w:rsid w:val="007525C1"/>
    <w:rsid w:val="0075297C"/>
    <w:rsid w:val="00752BFD"/>
    <w:rsid w:val="00753A39"/>
    <w:rsid w:val="00753DB4"/>
    <w:rsid w:val="00754442"/>
    <w:rsid w:val="007557F1"/>
    <w:rsid w:val="00756639"/>
    <w:rsid w:val="00757F87"/>
    <w:rsid w:val="00760F6D"/>
    <w:rsid w:val="00761B43"/>
    <w:rsid w:val="007636AF"/>
    <w:rsid w:val="00763F58"/>
    <w:rsid w:val="00766423"/>
    <w:rsid w:val="00766755"/>
    <w:rsid w:val="00766F8B"/>
    <w:rsid w:val="007703C8"/>
    <w:rsid w:val="00770737"/>
    <w:rsid w:val="00771D24"/>
    <w:rsid w:val="007747E9"/>
    <w:rsid w:val="00774C04"/>
    <w:rsid w:val="00774DE1"/>
    <w:rsid w:val="0077519C"/>
    <w:rsid w:val="00775CC7"/>
    <w:rsid w:val="00776A05"/>
    <w:rsid w:val="00777B0C"/>
    <w:rsid w:val="00781C7B"/>
    <w:rsid w:val="00782730"/>
    <w:rsid w:val="00783B44"/>
    <w:rsid w:val="00783C57"/>
    <w:rsid w:val="007843D2"/>
    <w:rsid w:val="00786C2C"/>
    <w:rsid w:val="007874D5"/>
    <w:rsid w:val="00790114"/>
    <w:rsid w:val="00790361"/>
    <w:rsid w:val="0079100F"/>
    <w:rsid w:val="00792A88"/>
    <w:rsid w:val="007962F8"/>
    <w:rsid w:val="00797B43"/>
    <w:rsid w:val="007A0BE5"/>
    <w:rsid w:val="007A1771"/>
    <w:rsid w:val="007A25F1"/>
    <w:rsid w:val="007A284E"/>
    <w:rsid w:val="007A3149"/>
    <w:rsid w:val="007A4EC7"/>
    <w:rsid w:val="007A6A84"/>
    <w:rsid w:val="007A7514"/>
    <w:rsid w:val="007A753C"/>
    <w:rsid w:val="007A7BA6"/>
    <w:rsid w:val="007B1643"/>
    <w:rsid w:val="007B1C51"/>
    <w:rsid w:val="007B1D29"/>
    <w:rsid w:val="007B1ECB"/>
    <w:rsid w:val="007B31E2"/>
    <w:rsid w:val="007B4B74"/>
    <w:rsid w:val="007B5310"/>
    <w:rsid w:val="007B56AE"/>
    <w:rsid w:val="007B5BF8"/>
    <w:rsid w:val="007C084B"/>
    <w:rsid w:val="007C3EF0"/>
    <w:rsid w:val="007C727C"/>
    <w:rsid w:val="007D03BF"/>
    <w:rsid w:val="007D0C27"/>
    <w:rsid w:val="007D1083"/>
    <w:rsid w:val="007D29FD"/>
    <w:rsid w:val="007D61F1"/>
    <w:rsid w:val="007E0B9F"/>
    <w:rsid w:val="007E3D6E"/>
    <w:rsid w:val="007E520D"/>
    <w:rsid w:val="007E562F"/>
    <w:rsid w:val="007E5A95"/>
    <w:rsid w:val="007F0BB2"/>
    <w:rsid w:val="007F0BDA"/>
    <w:rsid w:val="007F192F"/>
    <w:rsid w:val="007F28AB"/>
    <w:rsid w:val="007F3106"/>
    <w:rsid w:val="007F3AD8"/>
    <w:rsid w:val="007F3C4A"/>
    <w:rsid w:val="007F4BC5"/>
    <w:rsid w:val="007F5915"/>
    <w:rsid w:val="007F6753"/>
    <w:rsid w:val="007F6D4A"/>
    <w:rsid w:val="007F7008"/>
    <w:rsid w:val="007F766D"/>
    <w:rsid w:val="007F7A02"/>
    <w:rsid w:val="0080036B"/>
    <w:rsid w:val="0080157F"/>
    <w:rsid w:val="00801F0E"/>
    <w:rsid w:val="00805052"/>
    <w:rsid w:val="00805B75"/>
    <w:rsid w:val="00807889"/>
    <w:rsid w:val="00814445"/>
    <w:rsid w:val="00814805"/>
    <w:rsid w:val="00817967"/>
    <w:rsid w:val="0082643B"/>
    <w:rsid w:val="0082668D"/>
    <w:rsid w:val="00831353"/>
    <w:rsid w:val="00831C45"/>
    <w:rsid w:val="00832CD2"/>
    <w:rsid w:val="00833E30"/>
    <w:rsid w:val="00834D5C"/>
    <w:rsid w:val="00836022"/>
    <w:rsid w:val="00840BA3"/>
    <w:rsid w:val="00842242"/>
    <w:rsid w:val="0084272C"/>
    <w:rsid w:val="00844436"/>
    <w:rsid w:val="00844F2D"/>
    <w:rsid w:val="00845DF9"/>
    <w:rsid w:val="00846413"/>
    <w:rsid w:val="008500F9"/>
    <w:rsid w:val="0085029B"/>
    <w:rsid w:val="00850A3B"/>
    <w:rsid w:val="0085654B"/>
    <w:rsid w:val="00857630"/>
    <w:rsid w:val="00857B7C"/>
    <w:rsid w:val="00860901"/>
    <w:rsid w:val="00861D6F"/>
    <w:rsid w:val="008629F9"/>
    <w:rsid w:val="00862D86"/>
    <w:rsid w:val="00863257"/>
    <w:rsid w:val="00863C90"/>
    <w:rsid w:val="008648F7"/>
    <w:rsid w:val="00865839"/>
    <w:rsid w:val="008729E6"/>
    <w:rsid w:val="00872A34"/>
    <w:rsid w:val="00872D3D"/>
    <w:rsid w:val="0087453C"/>
    <w:rsid w:val="00875DCD"/>
    <w:rsid w:val="00882FCA"/>
    <w:rsid w:val="0088304E"/>
    <w:rsid w:val="00884DDA"/>
    <w:rsid w:val="0088611C"/>
    <w:rsid w:val="00886837"/>
    <w:rsid w:val="00890D68"/>
    <w:rsid w:val="008918D1"/>
    <w:rsid w:val="00892483"/>
    <w:rsid w:val="008924C8"/>
    <w:rsid w:val="00893BCB"/>
    <w:rsid w:val="00894883"/>
    <w:rsid w:val="00896AA2"/>
    <w:rsid w:val="008A4374"/>
    <w:rsid w:val="008A625C"/>
    <w:rsid w:val="008B00A7"/>
    <w:rsid w:val="008B5244"/>
    <w:rsid w:val="008B69C6"/>
    <w:rsid w:val="008C0E58"/>
    <w:rsid w:val="008C11AD"/>
    <w:rsid w:val="008C2089"/>
    <w:rsid w:val="008C249D"/>
    <w:rsid w:val="008C4663"/>
    <w:rsid w:val="008C4B67"/>
    <w:rsid w:val="008C50D7"/>
    <w:rsid w:val="008C5F98"/>
    <w:rsid w:val="008C72DC"/>
    <w:rsid w:val="008D0655"/>
    <w:rsid w:val="008D06E2"/>
    <w:rsid w:val="008D16DB"/>
    <w:rsid w:val="008D1D36"/>
    <w:rsid w:val="008D2300"/>
    <w:rsid w:val="008D3B7B"/>
    <w:rsid w:val="008D4116"/>
    <w:rsid w:val="008D512C"/>
    <w:rsid w:val="008D5265"/>
    <w:rsid w:val="008D7702"/>
    <w:rsid w:val="008E0BA3"/>
    <w:rsid w:val="008E283B"/>
    <w:rsid w:val="008E3388"/>
    <w:rsid w:val="008F150F"/>
    <w:rsid w:val="008F1ADF"/>
    <w:rsid w:val="008F2187"/>
    <w:rsid w:val="008F2F7B"/>
    <w:rsid w:val="008F3B2B"/>
    <w:rsid w:val="008F3BFF"/>
    <w:rsid w:val="008F47E2"/>
    <w:rsid w:val="008F5FD0"/>
    <w:rsid w:val="008F7933"/>
    <w:rsid w:val="008F7EEA"/>
    <w:rsid w:val="00901048"/>
    <w:rsid w:val="00901C7A"/>
    <w:rsid w:val="00903113"/>
    <w:rsid w:val="00903910"/>
    <w:rsid w:val="00903DE2"/>
    <w:rsid w:val="009044CD"/>
    <w:rsid w:val="00913E5A"/>
    <w:rsid w:val="00914764"/>
    <w:rsid w:val="00914B6B"/>
    <w:rsid w:val="00915158"/>
    <w:rsid w:val="00915A0B"/>
    <w:rsid w:val="00920CBA"/>
    <w:rsid w:val="00926ACE"/>
    <w:rsid w:val="00926CE7"/>
    <w:rsid w:val="00927DA8"/>
    <w:rsid w:val="0093233E"/>
    <w:rsid w:val="009323FF"/>
    <w:rsid w:val="0093294F"/>
    <w:rsid w:val="00933013"/>
    <w:rsid w:val="009341C4"/>
    <w:rsid w:val="009350E3"/>
    <w:rsid w:val="0093543D"/>
    <w:rsid w:val="00935E0A"/>
    <w:rsid w:val="009363A3"/>
    <w:rsid w:val="00937CBE"/>
    <w:rsid w:val="009400E5"/>
    <w:rsid w:val="00940C1C"/>
    <w:rsid w:val="00941769"/>
    <w:rsid w:val="00942E6C"/>
    <w:rsid w:val="00943840"/>
    <w:rsid w:val="00944CEE"/>
    <w:rsid w:val="009455D3"/>
    <w:rsid w:val="00946527"/>
    <w:rsid w:val="0094671B"/>
    <w:rsid w:val="009468E5"/>
    <w:rsid w:val="009476A8"/>
    <w:rsid w:val="00950098"/>
    <w:rsid w:val="00950263"/>
    <w:rsid w:val="00952769"/>
    <w:rsid w:val="009534EC"/>
    <w:rsid w:val="00953AE3"/>
    <w:rsid w:val="0095489F"/>
    <w:rsid w:val="0095556E"/>
    <w:rsid w:val="00956100"/>
    <w:rsid w:val="009564AA"/>
    <w:rsid w:val="00956E08"/>
    <w:rsid w:val="009576E4"/>
    <w:rsid w:val="009603D6"/>
    <w:rsid w:val="0096086B"/>
    <w:rsid w:val="0096164F"/>
    <w:rsid w:val="009635D2"/>
    <w:rsid w:val="00963B98"/>
    <w:rsid w:val="00965335"/>
    <w:rsid w:val="00967037"/>
    <w:rsid w:val="009672A0"/>
    <w:rsid w:val="0097275F"/>
    <w:rsid w:val="00972FAF"/>
    <w:rsid w:val="0097585A"/>
    <w:rsid w:val="00975B02"/>
    <w:rsid w:val="009769CA"/>
    <w:rsid w:val="009770BC"/>
    <w:rsid w:val="00977F0D"/>
    <w:rsid w:val="009806B4"/>
    <w:rsid w:val="00981C93"/>
    <w:rsid w:val="009821AF"/>
    <w:rsid w:val="00983347"/>
    <w:rsid w:val="00984195"/>
    <w:rsid w:val="00984B5C"/>
    <w:rsid w:val="0098769C"/>
    <w:rsid w:val="00987D17"/>
    <w:rsid w:val="00987E8F"/>
    <w:rsid w:val="009919DB"/>
    <w:rsid w:val="00991BB9"/>
    <w:rsid w:val="009929D5"/>
    <w:rsid w:val="00993038"/>
    <w:rsid w:val="00993FE3"/>
    <w:rsid w:val="0099578D"/>
    <w:rsid w:val="009978CF"/>
    <w:rsid w:val="009A04EC"/>
    <w:rsid w:val="009A47C6"/>
    <w:rsid w:val="009A59D0"/>
    <w:rsid w:val="009A7871"/>
    <w:rsid w:val="009B1703"/>
    <w:rsid w:val="009B2106"/>
    <w:rsid w:val="009B2AEB"/>
    <w:rsid w:val="009B3C2B"/>
    <w:rsid w:val="009B41D2"/>
    <w:rsid w:val="009B44ED"/>
    <w:rsid w:val="009B4B9D"/>
    <w:rsid w:val="009B591D"/>
    <w:rsid w:val="009B6451"/>
    <w:rsid w:val="009B66C6"/>
    <w:rsid w:val="009B701C"/>
    <w:rsid w:val="009B726D"/>
    <w:rsid w:val="009C1694"/>
    <w:rsid w:val="009C33EA"/>
    <w:rsid w:val="009C36DE"/>
    <w:rsid w:val="009C5D40"/>
    <w:rsid w:val="009C7A15"/>
    <w:rsid w:val="009D0674"/>
    <w:rsid w:val="009D4381"/>
    <w:rsid w:val="009D47E2"/>
    <w:rsid w:val="009D5421"/>
    <w:rsid w:val="009D5A20"/>
    <w:rsid w:val="009E007E"/>
    <w:rsid w:val="009E258A"/>
    <w:rsid w:val="009E2A1A"/>
    <w:rsid w:val="009E3502"/>
    <w:rsid w:val="009E41CE"/>
    <w:rsid w:val="009E439D"/>
    <w:rsid w:val="009E77B5"/>
    <w:rsid w:val="009F0325"/>
    <w:rsid w:val="009F0616"/>
    <w:rsid w:val="009F0DFD"/>
    <w:rsid w:val="009F1666"/>
    <w:rsid w:val="009F18AA"/>
    <w:rsid w:val="009F18F7"/>
    <w:rsid w:val="009F215D"/>
    <w:rsid w:val="009F2D15"/>
    <w:rsid w:val="009F6389"/>
    <w:rsid w:val="009F78E3"/>
    <w:rsid w:val="00A00468"/>
    <w:rsid w:val="00A01B41"/>
    <w:rsid w:val="00A0422D"/>
    <w:rsid w:val="00A0685F"/>
    <w:rsid w:val="00A12DF2"/>
    <w:rsid w:val="00A13EF4"/>
    <w:rsid w:val="00A168C5"/>
    <w:rsid w:val="00A17306"/>
    <w:rsid w:val="00A1762F"/>
    <w:rsid w:val="00A203FC"/>
    <w:rsid w:val="00A218B1"/>
    <w:rsid w:val="00A22859"/>
    <w:rsid w:val="00A23C67"/>
    <w:rsid w:val="00A23F9B"/>
    <w:rsid w:val="00A23FDB"/>
    <w:rsid w:val="00A244D1"/>
    <w:rsid w:val="00A2546A"/>
    <w:rsid w:val="00A26EE9"/>
    <w:rsid w:val="00A30032"/>
    <w:rsid w:val="00A31FEA"/>
    <w:rsid w:val="00A32C77"/>
    <w:rsid w:val="00A34AD6"/>
    <w:rsid w:val="00A36CB4"/>
    <w:rsid w:val="00A3724C"/>
    <w:rsid w:val="00A37F61"/>
    <w:rsid w:val="00A43BA7"/>
    <w:rsid w:val="00A44D41"/>
    <w:rsid w:val="00A44DA6"/>
    <w:rsid w:val="00A453CD"/>
    <w:rsid w:val="00A47337"/>
    <w:rsid w:val="00A4796F"/>
    <w:rsid w:val="00A47A4B"/>
    <w:rsid w:val="00A5166A"/>
    <w:rsid w:val="00A51C48"/>
    <w:rsid w:val="00A52C44"/>
    <w:rsid w:val="00A52F18"/>
    <w:rsid w:val="00A55D03"/>
    <w:rsid w:val="00A56C6B"/>
    <w:rsid w:val="00A60A22"/>
    <w:rsid w:val="00A6200F"/>
    <w:rsid w:val="00A63ABA"/>
    <w:rsid w:val="00A6439D"/>
    <w:rsid w:val="00A65348"/>
    <w:rsid w:val="00A66616"/>
    <w:rsid w:val="00A67CFD"/>
    <w:rsid w:val="00A7090A"/>
    <w:rsid w:val="00A70CBB"/>
    <w:rsid w:val="00A7334B"/>
    <w:rsid w:val="00A75055"/>
    <w:rsid w:val="00A750EE"/>
    <w:rsid w:val="00A75FA4"/>
    <w:rsid w:val="00A7610D"/>
    <w:rsid w:val="00A76391"/>
    <w:rsid w:val="00A76D70"/>
    <w:rsid w:val="00A7765B"/>
    <w:rsid w:val="00A77F1D"/>
    <w:rsid w:val="00A803BE"/>
    <w:rsid w:val="00A80782"/>
    <w:rsid w:val="00A812DC"/>
    <w:rsid w:val="00A828F9"/>
    <w:rsid w:val="00A82CF5"/>
    <w:rsid w:val="00A84E8A"/>
    <w:rsid w:val="00A870DF"/>
    <w:rsid w:val="00A87644"/>
    <w:rsid w:val="00A93081"/>
    <w:rsid w:val="00A93D4F"/>
    <w:rsid w:val="00A94984"/>
    <w:rsid w:val="00A954CB"/>
    <w:rsid w:val="00A959D1"/>
    <w:rsid w:val="00A95EF8"/>
    <w:rsid w:val="00A96784"/>
    <w:rsid w:val="00A96B72"/>
    <w:rsid w:val="00A970D6"/>
    <w:rsid w:val="00A97B6F"/>
    <w:rsid w:val="00AA3081"/>
    <w:rsid w:val="00AA535D"/>
    <w:rsid w:val="00AA6956"/>
    <w:rsid w:val="00AB0AC4"/>
    <w:rsid w:val="00AB0B52"/>
    <w:rsid w:val="00AB4AD5"/>
    <w:rsid w:val="00AB5CB9"/>
    <w:rsid w:val="00AB76CC"/>
    <w:rsid w:val="00AB775E"/>
    <w:rsid w:val="00AC2872"/>
    <w:rsid w:val="00AC5F1D"/>
    <w:rsid w:val="00AC72B9"/>
    <w:rsid w:val="00AD00FC"/>
    <w:rsid w:val="00AD1100"/>
    <w:rsid w:val="00AD186A"/>
    <w:rsid w:val="00AD277C"/>
    <w:rsid w:val="00AD38E8"/>
    <w:rsid w:val="00AD4184"/>
    <w:rsid w:val="00AD4554"/>
    <w:rsid w:val="00AD4583"/>
    <w:rsid w:val="00AD49D3"/>
    <w:rsid w:val="00AD4EB7"/>
    <w:rsid w:val="00AE115F"/>
    <w:rsid w:val="00AE1AAA"/>
    <w:rsid w:val="00AE1F8B"/>
    <w:rsid w:val="00AE2694"/>
    <w:rsid w:val="00AE3129"/>
    <w:rsid w:val="00AE338B"/>
    <w:rsid w:val="00AE36A3"/>
    <w:rsid w:val="00AE53F5"/>
    <w:rsid w:val="00AE5E44"/>
    <w:rsid w:val="00AE69AE"/>
    <w:rsid w:val="00AE72B1"/>
    <w:rsid w:val="00AF0669"/>
    <w:rsid w:val="00AF100B"/>
    <w:rsid w:val="00AF1D4D"/>
    <w:rsid w:val="00AF20F7"/>
    <w:rsid w:val="00AF216A"/>
    <w:rsid w:val="00AF33ED"/>
    <w:rsid w:val="00AF556E"/>
    <w:rsid w:val="00B0015E"/>
    <w:rsid w:val="00B00248"/>
    <w:rsid w:val="00B01B39"/>
    <w:rsid w:val="00B0257E"/>
    <w:rsid w:val="00B02D14"/>
    <w:rsid w:val="00B045AF"/>
    <w:rsid w:val="00B06335"/>
    <w:rsid w:val="00B065D7"/>
    <w:rsid w:val="00B078F0"/>
    <w:rsid w:val="00B12851"/>
    <w:rsid w:val="00B12AED"/>
    <w:rsid w:val="00B22D8D"/>
    <w:rsid w:val="00B243BE"/>
    <w:rsid w:val="00B24AAE"/>
    <w:rsid w:val="00B25E92"/>
    <w:rsid w:val="00B26EB9"/>
    <w:rsid w:val="00B2714A"/>
    <w:rsid w:val="00B27C16"/>
    <w:rsid w:val="00B310CC"/>
    <w:rsid w:val="00B32467"/>
    <w:rsid w:val="00B33ABF"/>
    <w:rsid w:val="00B352E6"/>
    <w:rsid w:val="00B36822"/>
    <w:rsid w:val="00B4033F"/>
    <w:rsid w:val="00B40C8F"/>
    <w:rsid w:val="00B440CD"/>
    <w:rsid w:val="00B4505D"/>
    <w:rsid w:val="00B453BC"/>
    <w:rsid w:val="00B45B46"/>
    <w:rsid w:val="00B45B6A"/>
    <w:rsid w:val="00B52C7F"/>
    <w:rsid w:val="00B52CD7"/>
    <w:rsid w:val="00B56D98"/>
    <w:rsid w:val="00B56E6E"/>
    <w:rsid w:val="00B575E2"/>
    <w:rsid w:val="00B62A84"/>
    <w:rsid w:val="00B66232"/>
    <w:rsid w:val="00B7005E"/>
    <w:rsid w:val="00B707C8"/>
    <w:rsid w:val="00B71BB4"/>
    <w:rsid w:val="00B72232"/>
    <w:rsid w:val="00B72976"/>
    <w:rsid w:val="00B72BAF"/>
    <w:rsid w:val="00B758B2"/>
    <w:rsid w:val="00B75CD4"/>
    <w:rsid w:val="00B76500"/>
    <w:rsid w:val="00B770B6"/>
    <w:rsid w:val="00B7728E"/>
    <w:rsid w:val="00B80E3F"/>
    <w:rsid w:val="00B825AB"/>
    <w:rsid w:val="00B82998"/>
    <w:rsid w:val="00B8306D"/>
    <w:rsid w:val="00B837AF"/>
    <w:rsid w:val="00B858DF"/>
    <w:rsid w:val="00B86026"/>
    <w:rsid w:val="00B90714"/>
    <w:rsid w:val="00B90BB3"/>
    <w:rsid w:val="00B94831"/>
    <w:rsid w:val="00B94C70"/>
    <w:rsid w:val="00B94ED3"/>
    <w:rsid w:val="00B971F9"/>
    <w:rsid w:val="00BA0CAD"/>
    <w:rsid w:val="00BA19AE"/>
    <w:rsid w:val="00BA2511"/>
    <w:rsid w:val="00BA2EEF"/>
    <w:rsid w:val="00BA4FF4"/>
    <w:rsid w:val="00BA502F"/>
    <w:rsid w:val="00BA618E"/>
    <w:rsid w:val="00BA6A3C"/>
    <w:rsid w:val="00BA6D2A"/>
    <w:rsid w:val="00BA7C80"/>
    <w:rsid w:val="00BB0467"/>
    <w:rsid w:val="00BB25CB"/>
    <w:rsid w:val="00BB3A65"/>
    <w:rsid w:val="00BB3F38"/>
    <w:rsid w:val="00BB7671"/>
    <w:rsid w:val="00BC126B"/>
    <w:rsid w:val="00BC17FD"/>
    <w:rsid w:val="00BC25E9"/>
    <w:rsid w:val="00BC4B37"/>
    <w:rsid w:val="00BC6974"/>
    <w:rsid w:val="00BD30F1"/>
    <w:rsid w:val="00BD3694"/>
    <w:rsid w:val="00BD3A53"/>
    <w:rsid w:val="00BD5C7E"/>
    <w:rsid w:val="00BD5D06"/>
    <w:rsid w:val="00BD66D0"/>
    <w:rsid w:val="00BD6F58"/>
    <w:rsid w:val="00BE0A71"/>
    <w:rsid w:val="00BE4880"/>
    <w:rsid w:val="00BE51A8"/>
    <w:rsid w:val="00BE52D8"/>
    <w:rsid w:val="00BF065E"/>
    <w:rsid w:val="00BF0E49"/>
    <w:rsid w:val="00BF4FBD"/>
    <w:rsid w:val="00BF562C"/>
    <w:rsid w:val="00BF6F58"/>
    <w:rsid w:val="00C02F3A"/>
    <w:rsid w:val="00C03332"/>
    <w:rsid w:val="00C05DD2"/>
    <w:rsid w:val="00C062F5"/>
    <w:rsid w:val="00C064CE"/>
    <w:rsid w:val="00C07B11"/>
    <w:rsid w:val="00C10923"/>
    <w:rsid w:val="00C11FA9"/>
    <w:rsid w:val="00C1243A"/>
    <w:rsid w:val="00C12457"/>
    <w:rsid w:val="00C13905"/>
    <w:rsid w:val="00C15BE4"/>
    <w:rsid w:val="00C1710D"/>
    <w:rsid w:val="00C17D1D"/>
    <w:rsid w:val="00C233E8"/>
    <w:rsid w:val="00C234DD"/>
    <w:rsid w:val="00C23779"/>
    <w:rsid w:val="00C24DA8"/>
    <w:rsid w:val="00C27A78"/>
    <w:rsid w:val="00C35E1A"/>
    <w:rsid w:val="00C36C69"/>
    <w:rsid w:val="00C40404"/>
    <w:rsid w:val="00C41135"/>
    <w:rsid w:val="00C42B83"/>
    <w:rsid w:val="00C44A53"/>
    <w:rsid w:val="00C44CD6"/>
    <w:rsid w:val="00C45FF8"/>
    <w:rsid w:val="00C4792B"/>
    <w:rsid w:val="00C516BF"/>
    <w:rsid w:val="00C517D6"/>
    <w:rsid w:val="00C52368"/>
    <w:rsid w:val="00C52796"/>
    <w:rsid w:val="00C530F8"/>
    <w:rsid w:val="00C54645"/>
    <w:rsid w:val="00C578E8"/>
    <w:rsid w:val="00C619EC"/>
    <w:rsid w:val="00C62877"/>
    <w:rsid w:val="00C6463C"/>
    <w:rsid w:val="00C64C26"/>
    <w:rsid w:val="00C673D6"/>
    <w:rsid w:val="00C70927"/>
    <w:rsid w:val="00C71288"/>
    <w:rsid w:val="00C7213E"/>
    <w:rsid w:val="00C72E11"/>
    <w:rsid w:val="00C737DB"/>
    <w:rsid w:val="00C744E6"/>
    <w:rsid w:val="00C75AAA"/>
    <w:rsid w:val="00C75D67"/>
    <w:rsid w:val="00C7644B"/>
    <w:rsid w:val="00C77CCE"/>
    <w:rsid w:val="00C800A7"/>
    <w:rsid w:val="00C81C4C"/>
    <w:rsid w:val="00C82A1C"/>
    <w:rsid w:val="00C82BA3"/>
    <w:rsid w:val="00C8434A"/>
    <w:rsid w:val="00C848CB"/>
    <w:rsid w:val="00C869E0"/>
    <w:rsid w:val="00C87427"/>
    <w:rsid w:val="00C87777"/>
    <w:rsid w:val="00C878BB"/>
    <w:rsid w:val="00C87F6B"/>
    <w:rsid w:val="00C9024B"/>
    <w:rsid w:val="00C9103A"/>
    <w:rsid w:val="00C91439"/>
    <w:rsid w:val="00C91444"/>
    <w:rsid w:val="00C9229D"/>
    <w:rsid w:val="00C92A05"/>
    <w:rsid w:val="00C93475"/>
    <w:rsid w:val="00C95520"/>
    <w:rsid w:val="00C95A90"/>
    <w:rsid w:val="00C95DC8"/>
    <w:rsid w:val="00CA03F2"/>
    <w:rsid w:val="00CA22C8"/>
    <w:rsid w:val="00CA2AFC"/>
    <w:rsid w:val="00CA695B"/>
    <w:rsid w:val="00CB2EF3"/>
    <w:rsid w:val="00CB51F2"/>
    <w:rsid w:val="00CB5365"/>
    <w:rsid w:val="00CB668E"/>
    <w:rsid w:val="00CB6FDA"/>
    <w:rsid w:val="00CB78CB"/>
    <w:rsid w:val="00CC08CC"/>
    <w:rsid w:val="00CC1A9F"/>
    <w:rsid w:val="00CC1D2C"/>
    <w:rsid w:val="00CC43A0"/>
    <w:rsid w:val="00CD12C2"/>
    <w:rsid w:val="00CD131C"/>
    <w:rsid w:val="00CD15B9"/>
    <w:rsid w:val="00CD1E28"/>
    <w:rsid w:val="00CD2BD7"/>
    <w:rsid w:val="00CD36D2"/>
    <w:rsid w:val="00CD44FE"/>
    <w:rsid w:val="00CD4637"/>
    <w:rsid w:val="00CD4DDE"/>
    <w:rsid w:val="00CD5A1A"/>
    <w:rsid w:val="00CD5CB8"/>
    <w:rsid w:val="00CD60EF"/>
    <w:rsid w:val="00CD7692"/>
    <w:rsid w:val="00CD79C6"/>
    <w:rsid w:val="00CD7DE3"/>
    <w:rsid w:val="00CE0533"/>
    <w:rsid w:val="00CE15B3"/>
    <w:rsid w:val="00CE1D20"/>
    <w:rsid w:val="00CE269E"/>
    <w:rsid w:val="00CE2C33"/>
    <w:rsid w:val="00CE37FA"/>
    <w:rsid w:val="00CE4D26"/>
    <w:rsid w:val="00CE5CA9"/>
    <w:rsid w:val="00CF0138"/>
    <w:rsid w:val="00CF0524"/>
    <w:rsid w:val="00CF0ADE"/>
    <w:rsid w:val="00CF39F7"/>
    <w:rsid w:val="00CF4215"/>
    <w:rsid w:val="00CF46A3"/>
    <w:rsid w:val="00CF4882"/>
    <w:rsid w:val="00CF5044"/>
    <w:rsid w:val="00CF5288"/>
    <w:rsid w:val="00CF5990"/>
    <w:rsid w:val="00CF7181"/>
    <w:rsid w:val="00CF7632"/>
    <w:rsid w:val="00CF7B40"/>
    <w:rsid w:val="00CF7F8A"/>
    <w:rsid w:val="00D009BD"/>
    <w:rsid w:val="00D00BB1"/>
    <w:rsid w:val="00D01897"/>
    <w:rsid w:val="00D03604"/>
    <w:rsid w:val="00D03615"/>
    <w:rsid w:val="00D03EF5"/>
    <w:rsid w:val="00D05476"/>
    <w:rsid w:val="00D15807"/>
    <w:rsid w:val="00D16A1A"/>
    <w:rsid w:val="00D2269D"/>
    <w:rsid w:val="00D22D3E"/>
    <w:rsid w:val="00D2349A"/>
    <w:rsid w:val="00D24E80"/>
    <w:rsid w:val="00D251BB"/>
    <w:rsid w:val="00D2578C"/>
    <w:rsid w:val="00D25A1A"/>
    <w:rsid w:val="00D2775B"/>
    <w:rsid w:val="00D3056B"/>
    <w:rsid w:val="00D30607"/>
    <w:rsid w:val="00D31FA2"/>
    <w:rsid w:val="00D329B7"/>
    <w:rsid w:val="00D33BB6"/>
    <w:rsid w:val="00D34B63"/>
    <w:rsid w:val="00D35609"/>
    <w:rsid w:val="00D35DF8"/>
    <w:rsid w:val="00D3610C"/>
    <w:rsid w:val="00D368A7"/>
    <w:rsid w:val="00D36F3B"/>
    <w:rsid w:val="00D372FE"/>
    <w:rsid w:val="00D37730"/>
    <w:rsid w:val="00D4082A"/>
    <w:rsid w:val="00D42487"/>
    <w:rsid w:val="00D42842"/>
    <w:rsid w:val="00D438FE"/>
    <w:rsid w:val="00D440CB"/>
    <w:rsid w:val="00D44B53"/>
    <w:rsid w:val="00D457F4"/>
    <w:rsid w:val="00D45D07"/>
    <w:rsid w:val="00D47D28"/>
    <w:rsid w:val="00D50462"/>
    <w:rsid w:val="00D529B7"/>
    <w:rsid w:val="00D52D53"/>
    <w:rsid w:val="00D546AB"/>
    <w:rsid w:val="00D55D92"/>
    <w:rsid w:val="00D55FAA"/>
    <w:rsid w:val="00D56236"/>
    <w:rsid w:val="00D56924"/>
    <w:rsid w:val="00D56A93"/>
    <w:rsid w:val="00D5711D"/>
    <w:rsid w:val="00D57B97"/>
    <w:rsid w:val="00D60AB6"/>
    <w:rsid w:val="00D61283"/>
    <w:rsid w:val="00D615F3"/>
    <w:rsid w:val="00D62038"/>
    <w:rsid w:val="00D6218C"/>
    <w:rsid w:val="00D63121"/>
    <w:rsid w:val="00D635CD"/>
    <w:rsid w:val="00D63FED"/>
    <w:rsid w:val="00D64F41"/>
    <w:rsid w:val="00D65D71"/>
    <w:rsid w:val="00D665C7"/>
    <w:rsid w:val="00D668CF"/>
    <w:rsid w:val="00D67524"/>
    <w:rsid w:val="00D7068B"/>
    <w:rsid w:val="00D708F2"/>
    <w:rsid w:val="00D70F1E"/>
    <w:rsid w:val="00D72CFA"/>
    <w:rsid w:val="00D7381F"/>
    <w:rsid w:val="00D73B08"/>
    <w:rsid w:val="00D75300"/>
    <w:rsid w:val="00D8057A"/>
    <w:rsid w:val="00D815D3"/>
    <w:rsid w:val="00D82689"/>
    <w:rsid w:val="00D8432E"/>
    <w:rsid w:val="00D84638"/>
    <w:rsid w:val="00D85299"/>
    <w:rsid w:val="00D85CA3"/>
    <w:rsid w:val="00D85E81"/>
    <w:rsid w:val="00D861E4"/>
    <w:rsid w:val="00D87BE1"/>
    <w:rsid w:val="00D91E1F"/>
    <w:rsid w:val="00D9544D"/>
    <w:rsid w:val="00D95658"/>
    <w:rsid w:val="00D95889"/>
    <w:rsid w:val="00D95916"/>
    <w:rsid w:val="00D97626"/>
    <w:rsid w:val="00D97866"/>
    <w:rsid w:val="00D97F5B"/>
    <w:rsid w:val="00DA416D"/>
    <w:rsid w:val="00DA4AE4"/>
    <w:rsid w:val="00DA5823"/>
    <w:rsid w:val="00DA6C50"/>
    <w:rsid w:val="00DB0F56"/>
    <w:rsid w:val="00DB158B"/>
    <w:rsid w:val="00DB18EA"/>
    <w:rsid w:val="00DB36D7"/>
    <w:rsid w:val="00DB3D5C"/>
    <w:rsid w:val="00DB48C4"/>
    <w:rsid w:val="00DB4AC3"/>
    <w:rsid w:val="00DB5D76"/>
    <w:rsid w:val="00DC04F3"/>
    <w:rsid w:val="00DC0C82"/>
    <w:rsid w:val="00DC2361"/>
    <w:rsid w:val="00DC5CE7"/>
    <w:rsid w:val="00DC5D85"/>
    <w:rsid w:val="00DC6AC6"/>
    <w:rsid w:val="00DC6EC0"/>
    <w:rsid w:val="00DC700C"/>
    <w:rsid w:val="00DD08A1"/>
    <w:rsid w:val="00DD2F02"/>
    <w:rsid w:val="00DD37FC"/>
    <w:rsid w:val="00DD3C1B"/>
    <w:rsid w:val="00DD5F49"/>
    <w:rsid w:val="00DD6F47"/>
    <w:rsid w:val="00DD7AC7"/>
    <w:rsid w:val="00DD7FF8"/>
    <w:rsid w:val="00DE04A2"/>
    <w:rsid w:val="00DE247E"/>
    <w:rsid w:val="00DE2CC4"/>
    <w:rsid w:val="00DE3750"/>
    <w:rsid w:val="00DE45A9"/>
    <w:rsid w:val="00DE523A"/>
    <w:rsid w:val="00DE6539"/>
    <w:rsid w:val="00DE7BD4"/>
    <w:rsid w:val="00DE7FC6"/>
    <w:rsid w:val="00DF16B1"/>
    <w:rsid w:val="00DF359F"/>
    <w:rsid w:val="00DF37D4"/>
    <w:rsid w:val="00DF468E"/>
    <w:rsid w:val="00E00F25"/>
    <w:rsid w:val="00E023B3"/>
    <w:rsid w:val="00E02468"/>
    <w:rsid w:val="00E03626"/>
    <w:rsid w:val="00E03813"/>
    <w:rsid w:val="00E03A34"/>
    <w:rsid w:val="00E04112"/>
    <w:rsid w:val="00E04B82"/>
    <w:rsid w:val="00E06EB0"/>
    <w:rsid w:val="00E07A61"/>
    <w:rsid w:val="00E13954"/>
    <w:rsid w:val="00E14749"/>
    <w:rsid w:val="00E16C3E"/>
    <w:rsid w:val="00E17C35"/>
    <w:rsid w:val="00E17DFD"/>
    <w:rsid w:val="00E206AB"/>
    <w:rsid w:val="00E25A6B"/>
    <w:rsid w:val="00E262FC"/>
    <w:rsid w:val="00E267FB"/>
    <w:rsid w:val="00E26C67"/>
    <w:rsid w:val="00E30719"/>
    <w:rsid w:val="00E30B3D"/>
    <w:rsid w:val="00E330C1"/>
    <w:rsid w:val="00E344B8"/>
    <w:rsid w:val="00E349D1"/>
    <w:rsid w:val="00E34E7D"/>
    <w:rsid w:val="00E35192"/>
    <w:rsid w:val="00E37A65"/>
    <w:rsid w:val="00E40645"/>
    <w:rsid w:val="00E408EC"/>
    <w:rsid w:val="00E40D2C"/>
    <w:rsid w:val="00E410FD"/>
    <w:rsid w:val="00E43B62"/>
    <w:rsid w:val="00E442DA"/>
    <w:rsid w:val="00E4588A"/>
    <w:rsid w:val="00E46CC1"/>
    <w:rsid w:val="00E46DE8"/>
    <w:rsid w:val="00E47A2E"/>
    <w:rsid w:val="00E47FEA"/>
    <w:rsid w:val="00E50208"/>
    <w:rsid w:val="00E502C7"/>
    <w:rsid w:val="00E51EDD"/>
    <w:rsid w:val="00E521E3"/>
    <w:rsid w:val="00E54404"/>
    <w:rsid w:val="00E54B4F"/>
    <w:rsid w:val="00E55934"/>
    <w:rsid w:val="00E56D8F"/>
    <w:rsid w:val="00E578B9"/>
    <w:rsid w:val="00E6023C"/>
    <w:rsid w:val="00E6032B"/>
    <w:rsid w:val="00E62B7F"/>
    <w:rsid w:val="00E65C87"/>
    <w:rsid w:val="00E65D57"/>
    <w:rsid w:val="00E6687C"/>
    <w:rsid w:val="00E715BF"/>
    <w:rsid w:val="00E71DB0"/>
    <w:rsid w:val="00E74F37"/>
    <w:rsid w:val="00E76634"/>
    <w:rsid w:val="00E80779"/>
    <w:rsid w:val="00E80EA6"/>
    <w:rsid w:val="00E830B6"/>
    <w:rsid w:val="00E83EB7"/>
    <w:rsid w:val="00E8458F"/>
    <w:rsid w:val="00E85F85"/>
    <w:rsid w:val="00E915CF"/>
    <w:rsid w:val="00E916BB"/>
    <w:rsid w:val="00E91C98"/>
    <w:rsid w:val="00E9254F"/>
    <w:rsid w:val="00E936A1"/>
    <w:rsid w:val="00E94A75"/>
    <w:rsid w:val="00E95107"/>
    <w:rsid w:val="00E95989"/>
    <w:rsid w:val="00E96133"/>
    <w:rsid w:val="00E96F7A"/>
    <w:rsid w:val="00E97291"/>
    <w:rsid w:val="00E97FCA"/>
    <w:rsid w:val="00EA0254"/>
    <w:rsid w:val="00EA0670"/>
    <w:rsid w:val="00EA0CEF"/>
    <w:rsid w:val="00EA0D9F"/>
    <w:rsid w:val="00EA199C"/>
    <w:rsid w:val="00EA1A3B"/>
    <w:rsid w:val="00EA3445"/>
    <w:rsid w:val="00EA4609"/>
    <w:rsid w:val="00EA58AE"/>
    <w:rsid w:val="00EA6CFF"/>
    <w:rsid w:val="00EA72E9"/>
    <w:rsid w:val="00EB091F"/>
    <w:rsid w:val="00EB0F87"/>
    <w:rsid w:val="00EB2584"/>
    <w:rsid w:val="00EB40B8"/>
    <w:rsid w:val="00EB5230"/>
    <w:rsid w:val="00EB55F6"/>
    <w:rsid w:val="00EB58E9"/>
    <w:rsid w:val="00EB687C"/>
    <w:rsid w:val="00EB78B2"/>
    <w:rsid w:val="00EC06A7"/>
    <w:rsid w:val="00EC0F95"/>
    <w:rsid w:val="00EC2E5D"/>
    <w:rsid w:val="00EC31A9"/>
    <w:rsid w:val="00EC50DE"/>
    <w:rsid w:val="00EC6433"/>
    <w:rsid w:val="00EC66DE"/>
    <w:rsid w:val="00EC700D"/>
    <w:rsid w:val="00ED1799"/>
    <w:rsid w:val="00ED1C8B"/>
    <w:rsid w:val="00ED1DDD"/>
    <w:rsid w:val="00ED39A1"/>
    <w:rsid w:val="00ED5072"/>
    <w:rsid w:val="00ED5F3C"/>
    <w:rsid w:val="00ED6D6F"/>
    <w:rsid w:val="00ED6FEE"/>
    <w:rsid w:val="00ED794D"/>
    <w:rsid w:val="00ED7CDB"/>
    <w:rsid w:val="00EE037A"/>
    <w:rsid w:val="00EE0ADB"/>
    <w:rsid w:val="00EE16B6"/>
    <w:rsid w:val="00EE2598"/>
    <w:rsid w:val="00EE5573"/>
    <w:rsid w:val="00EE57F7"/>
    <w:rsid w:val="00EF0D7F"/>
    <w:rsid w:val="00EF12A8"/>
    <w:rsid w:val="00EF41D5"/>
    <w:rsid w:val="00EF420E"/>
    <w:rsid w:val="00EF749A"/>
    <w:rsid w:val="00EF7930"/>
    <w:rsid w:val="00EF7996"/>
    <w:rsid w:val="00F02594"/>
    <w:rsid w:val="00F0336F"/>
    <w:rsid w:val="00F03843"/>
    <w:rsid w:val="00F05A17"/>
    <w:rsid w:val="00F066FB"/>
    <w:rsid w:val="00F10923"/>
    <w:rsid w:val="00F127A9"/>
    <w:rsid w:val="00F12A45"/>
    <w:rsid w:val="00F1487A"/>
    <w:rsid w:val="00F16A34"/>
    <w:rsid w:val="00F17DBB"/>
    <w:rsid w:val="00F2050C"/>
    <w:rsid w:val="00F222BF"/>
    <w:rsid w:val="00F22567"/>
    <w:rsid w:val="00F22E32"/>
    <w:rsid w:val="00F2384C"/>
    <w:rsid w:val="00F252A6"/>
    <w:rsid w:val="00F2619C"/>
    <w:rsid w:val="00F3097D"/>
    <w:rsid w:val="00F325C2"/>
    <w:rsid w:val="00F32DAC"/>
    <w:rsid w:val="00F32DFC"/>
    <w:rsid w:val="00F341B0"/>
    <w:rsid w:val="00F34DAA"/>
    <w:rsid w:val="00F35D06"/>
    <w:rsid w:val="00F37F62"/>
    <w:rsid w:val="00F4091A"/>
    <w:rsid w:val="00F40A48"/>
    <w:rsid w:val="00F4512C"/>
    <w:rsid w:val="00F47AE3"/>
    <w:rsid w:val="00F514BF"/>
    <w:rsid w:val="00F53A9A"/>
    <w:rsid w:val="00F54B3B"/>
    <w:rsid w:val="00F553C8"/>
    <w:rsid w:val="00F55F82"/>
    <w:rsid w:val="00F56ACD"/>
    <w:rsid w:val="00F57856"/>
    <w:rsid w:val="00F62612"/>
    <w:rsid w:val="00F62754"/>
    <w:rsid w:val="00F64D3C"/>
    <w:rsid w:val="00F67486"/>
    <w:rsid w:val="00F67EFF"/>
    <w:rsid w:val="00F7013F"/>
    <w:rsid w:val="00F70B39"/>
    <w:rsid w:val="00F713F6"/>
    <w:rsid w:val="00F71436"/>
    <w:rsid w:val="00F7180F"/>
    <w:rsid w:val="00F7406C"/>
    <w:rsid w:val="00F74588"/>
    <w:rsid w:val="00F749C0"/>
    <w:rsid w:val="00F76BFB"/>
    <w:rsid w:val="00F812F8"/>
    <w:rsid w:val="00F81399"/>
    <w:rsid w:val="00F83AFD"/>
    <w:rsid w:val="00F84F35"/>
    <w:rsid w:val="00F85D78"/>
    <w:rsid w:val="00F86484"/>
    <w:rsid w:val="00F87B36"/>
    <w:rsid w:val="00F87D11"/>
    <w:rsid w:val="00F87D5C"/>
    <w:rsid w:val="00F90AD1"/>
    <w:rsid w:val="00F9143D"/>
    <w:rsid w:val="00F97981"/>
    <w:rsid w:val="00FA010E"/>
    <w:rsid w:val="00FA0FF2"/>
    <w:rsid w:val="00FA1BD6"/>
    <w:rsid w:val="00FA28D8"/>
    <w:rsid w:val="00FA4FDB"/>
    <w:rsid w:val="00FA5F62"/>
    <w:rsid w:val="00FA6D08"/>
    <w:rsid w:val="00FA7305"/>
    <w:rsid w:val="00FA78BA"/>
    <w:rsid w:val="00FB101F"/>
    <w:rsid w:val="00FB23CF"/>
    <w:rsid w:val="00FB2607"/>
    <w:rsid w:val="00FB28A5"/>
    <w:rsid w:val="00FB377C"/>
    <w:rsid w:val="00FB3834"/>
    <w:rsid w:val="00FB4C77"/>
    <w:rsid w:val="00FB4D85"/>
    <w:rsid w:val="00FB53E6"/>
    <w:rsid w:val="00FB5D9E"/>
    <w:rsid w:val="00FB77CC"/>
    <w:rsid w:val="00FC04BE"/>
    <w:rsid w:val="00FC1EF2"/>
    <w:rsid w:val="00FC302E"/>
    <w:rsid w:val="00FC38D1"/>
    <w:rsid w:val="00FC3A50"/>
    <w:rsid w:val="00FC4512"/>
    <w:rsid w:val="00FC5CBC"/>
    <w:rsid w:val="00FD0ECB"/>
    <w:rsid w:val="00FD1879"/>
    <w:rsid w:val="00FD25B1"/>
    <w:rsid w:val="00FD5005"/>
    <w:rsid w:val="00FD6F25"/>
    <w:rsid w:val="00FE0BB1"/>
    <w:rsid w:val="00FE2AC2"/>
    <w:rsid w:val="00FE3F6C"/>
    <w:rsid w:val="00FE4EC0"/>
    <w:rsid w:val="00FE6451"/>
    <w:rsid w:val="00FF038E"/>
    <w:rsid w:val="00FF04A0"/>
    <w:rsid w:val="00FF219B"/>
    <w:rsid w:val="00FF482C"/>
    <w:rsid w:val="00FF57B2"/>
    <w:rsid w:val="00FF6308"/>
    <w:rsid w:val="00FF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65ED9933-6916-4CC8-95A9-E7D556A4B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paragraph" w:styleId="Ttulo3">
    <w:name w:val="heading 3"/>
    <w:basedOn w:val="Normal"/>
    <w:next w:val="Normal"/>
    <w:link w:val="Ttulo3Car"/>
    <w:uiPriority w:val="9"/>
    <w:semiHidden/>
    <w:unhideWhenUsed/>
    <w:qFormat/>
    <w:rsid w:val="00EE2598"/>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Listavistosa-nfasis1">
    <w:name w:val="Colorful List Accent 1"/>
    <w:aliases w:val="Footnote,Párrafo de lista1,List Paragraph1,Colorful List - Accent 11"/>
    <w:basedOn w:val="Normal"/>
    <w:link w:val="Listavistosa-nfasis1Car"/>
    <w:qFormat/>
    <w:rsid w:val="00D665C7"/>
    <w:pPr>
      <w:ind w:left="720"/>
      <w:contextualSpacing/>
    </w:pPr>
  </w:style>
  <w:style w:type="character" w:customStyle="1" w:styleId="Listavistosa-nfasis1Car">
    <w:name w:val="Lista vistosa - Énfasis 1 Car"/>
    <w:aliases w:val="Footnote Car,Párrafo de lista1 Car,List Paragraph1 Car,Colorful List - Accent 11 Car"/>
    <w:link w:val="Listavistosa-nfasis1"/>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Sombreadovistoso-nfasis1">
    <w:name w:val="Colorful Shading Accent 1"/>
    <w:hidden/>
    <w:uiPriority w:val="99"/>
    <w:semiHidden/>
    <w:rsid w:val="00790114"/>
    <w:rPr>
      <w:sz w:val="22"/>
      <w:szCs w:val="22"/>
    </w:rPr>
  </w:style>
  <w:style w:type="paragraph" w:styleId="TDC1">
    <w:name w:val="toc 1"/>
    <w:basedOn w:val="Normal"/>
    <w:next w:val="Normal"/>
    <w:autoRedefine/>
    <w:uiPriority w:val="39"/>
    <w:unhideWhenUsed/>
    <w:qFormat/>
    <w:rsid w:val="000673D5"/>
    <w:pPr>
      <w:spacing w:before="120" w:after="120"/>
    </w:pPr>
    <w:rPr>
      <w:b/>
      <w:bCs/>
      <w:caps/>
      <w:sz w:val="20"/>
      <w:szCs w:val="20"/>
    </w:r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tulodeTDC1">
    <w:name w:val="Título de TDC1"/>
    <w:basedOn w:val="Ttulo1"/>
    <w:next w:val="Normal"/>
    <w:uiPriority w:val="39"/>
    <w:unhideWhenUsed/>
    <w:qFormat/>
    <w:rsid w:val="00D82689"/>
    <w:pPr>
      <w:outlineLvl w:val="9"/>
    </w:pPr>
    <w:rPr>
      <w:lang w:val="es-CR" w:eastAsia="es-CR"/>
    </w:rPr>
  </w:style>
  <w:style w:type="paragraph" w:styleId="TDC2">
    <w:name w:val="toc 2"/>
    <w:basedOn w:val="Normal"/>
    <w:next w:val="Normal"/>
    <w:autoRedefine/>
    <w:uiPriority w:val="39"/>
    <w:unhideWhenUsed/>
    <w:qFormat/>
    <w:rsid w:val="00D82689"/>
    <w:pPr>
      <w:spacing w:after="0"/>
      <w:ind w:left="220"/>
    </w:pPr>
    <w:rPr>
      <w:smallCaps/>
      <w:sz w:val="20"/>
      <w:szCs w:val="20"/>
    </w:rPr>
  </w:style>
  <w:style w:type="paragraph" w:styleId="TDC3">
    <w:name w:val="toc 3"/>
    <w:basedOn w:val="Normal"/>
    <w:next w:val="Normal"/>
    <w:autoRedefine/>
    <w:uiPriority w:val="39"/>
    <w:unhideWhenUsed/>
    <w:qFormat/>
    <w:rsid w:val="00D82689"/>
    <w:pPr>
      <w:spacing w:after="0"/>
      <w:ind w:left="440"/>
    </w:pPr>
    <w:rPr>
      <w:i/>
      <w:iCs/>
      <w:sz w:val="20"/>
      <w:szCs w:val="20"/>
    </w:rPr>
  </w:style>
  <w:style w:type="character" w:customStyle="1" w:styleId="Cuerpodeltexto2">
    <w:name w:val="Cuerpo del texto (2)_"/>
    <w:link w:val="Cuerpodeltexto20"/>
    <w:rsid w:val="003636C8"/>
    <w:rPr>
      <w:rFonts w:ascii="Arial Narrow" w:eastAsia="Arial Narrow" w:hAnsi="Arial Narrow" w:cs="Arial Narrow"/>
      <w:sz w:val="15"/>
      <w:szCs w:val="15"/>
      <w:shd w:val="clear" w:color="auto" w:fill="FFFFFF"/>
    </w:rPr>
  </w:style>
  <w:style w:type="paragraph" w:customStyle="1" w:styleId="Cuerpodeltexto20">
    <w:name w:val="Cuerpo del texto (2)"/>
    <w:basedOn w:val="Normal"/>
    <w:link w:val="Cuerpodeltexto2"/>
    <w:rsid w:val="003636C8"/>
    <w:pPr>
      <w:widowControl w:val="0"/>
      <w:shd w:val="clear" w:color="auto" w:fill="FFFFFF"/>
      <w:spacing w:after="300" w:line="0" w:lineRule="atLeast"/>
      <w:jc w:val="both"/>
    </w:pPr>
    <w:rPr>
      <w:rFonts w:ascii="Arial Narrow" w:eastAsia="Arial Narrow" w:hAnsi="Arial Narrow" w:cs="Arial Narrow"/>
      <w:sz w:val="15"/>
      <w:szCs w:val="15"/>
      <w:lang w:val="es-CR" w:eastAsia="es-CR"/>
    </w:rPr>
  </w:style>
  <w:style w:type="character" w:customStyle="1" w:styleId="Cuerpodeltexto7">
    <w:name w:val="Cuerpo del texto (7)_"/>
    <w:link w:val="Cuerpodeltexto70"/>
    <w:rsid w:val="00CF5044"/>
    <w:rPr>
      <w:rFonts w:cs="Calibri"/>
      <w:shd w:val="clear" w:color="auto" w:fill="FFFFFF"/>
    </w:rPr>
  </w:style>
  <w:style w:type="paragraph" w:customStyle="1" w:styleId="Cuerpodeltexto70">
    <w:name w:val="Cuerpo del texto (7)"/>
    <w:basedOn w:val="Normal"/>
    <w:link w:val="Cuerpodeltexto7"/>
    <w:rsid w:val="00CF5044"/>
    <w:pPr>
      <w:widowControl w:val="0"/>
      <w:shd w:val="clear" w:color="auto" w:fill="FFFFFF"/>
      <w:spacing w:before="1020" w:after="13140" w:line="307" w:lineRule="exact"/>
      <w:ind w:hanging="360"/>
    </w:pPr>
    <w:rPr>
      <w:rFonts w:cs="Calibri"/>
      <w:sz w:val="20"/>
      <w:szCs w:val="20"/>
      <w:lang w:val="es-CR" w:eastAsia="es-CR"/>
    </w:rPr>
  </w:style>
  <w:style w:type="character" w:customStyle="1" w:styleId="Cuerpodeltexto19">
    <w:name w:val="Cuerpo del texto (19)_"/>
    <w:link w:val="Cuerpodeltexto190"/>
    <w:rsid w:val="007A1771"/>
    <w:rPr>
      <w:rFonts w:ascii="Arial Narrow" w:eastAsia="Arial Narrow" w:hAnsi="Arial Narrow" w:cs="Arial Narrow"/>
      <w:sz w:val="23"/>
      <w:szCs w:val="23"/>
      <w:shd w:val="clear" w:color="auto" w:fill="FFFFFF"/>
    </w:rPr>
  </w:style>
  <w:style w:type="paragraph" w:customStyle="1" w:styleId="Cuerpodeltexto190">
    <w:name w:val="Cuerpo del texto (19)"/>
    <w:basedOn w:val="Normal"/>
    <w:link w:val="Cuerpodeltexto19"/>
    <w:rsid w:val="007A1771"/>
    <w:pPr>
      <w:widowControl w:val="0"/>
      <w:shd w:val="clear" w:color="auto" w:fill="FFFFFF"/>
      <w:spacing w:after="60" w:line="331" w:lineRule="exact"/>
      <w:ind w:hanging="360"/>
      <w:jc w:val="both"/>
    </w:pPr>
    <w:rPr>
      <w:rFonts w:ascii="Arial Narrow" w:eastAsia="Arial Narrow" w:hAnsi="Arial Narrow" w:cs="Arial Narrow"/>
      <w:sz w:val="23"/>
      <w:szCs w:val="23"/>
      <w:lang w:val="es-CR" w:eastAsia="es-CR"/>
    </w:rPr>
  </w:style>
  <w:style w:type="character" w:customStyle="1" w:styleId="Cuerpodeltexto11">
    <w:name w:val="Cuerpo del texto (11)_"/>
    <w:link w:val="Cuerpodeltexto110"/>
    <w:rsid w:val="007A1771"/>
    <w:rPr>
      <w:rFonts w:ascii="Palatino Linotype" w:eastAsia="Palatino Linotype" w:hAnsi="Palatino Linotype" w:cs="Palatino Linotype"/>
      <w:sz w:val="17"/>
      <w:szCs w:val="17"/>
      <w:shd w:val="clear" w:color="auto" w:fill="FFFFFF"/>
    </w:rPr>
  </w:style>
  <w:style w:type="paragraph" w:customStyle="1" w:styleId="Cuerpodeltexto110">
    <w:name w:val="Cuerpo del texto (11)"/>
    <w:basedOn w:val="Normal"/>
    <w:link w:val="Cuerpodeltexto11"/>
    <w:rsid w:val="007A1771"/>
    <w:pPr>
      <w:widowControl w:val="0"/>
      <w:shd w:val="clear" w:color="auto" w:fill="FFFFFF"/>
      <w:spacing w:before="300" w:after="180" w:line="269" w:lineRule="exact"/>
      <w:jc w:val="both"/>
    </w:pPr>
    <w:rPr>
      <w:rFonts w:ascii="Palatino Linotype" w:eastAsia="Palatino Linotype" w:hAnsi="Palatino Linotype" w:cs="Palatino Linotype"/>
      <w:sz w:val="17"/>
      <w:szCs w:val="17"/>
      <w:lang w:val="es-CR" w:eastAsia="es-CR"/>
    </w:rPr>
  </w:style>
  <w:style w:type="paragraph" w:styleId="Prrafodelista">
    <w:name w:val="List Paragraph"/>
    <w:basedOn w:val="Normal"/>
    <w:uiPriority w:val="34"/>
    <w:qFormat/>
    <w:rsid w:val="00D44B53"/>
    <w:pPr>
      <w:widowControl w:val="0"/>
      <w:spacing w:after="0" w:line="240" w:lineRule="auto"/>
      <w:ind w:left="720"/>
      <w:contextualSpacing/>
    </w:pPr>
    <w:rPr>
      <w:rFonts w:ascii="Times New Roman" w:eastAsia="Times New Roman" w:hAnsi="Times New Roman"/>
      <w:sz w:val="20"/>
      <w:szCs w:val="20"/>
      <w:lang w:val="es-ES_tradnl" w:eastAsia="es-ES"/>
    </w:rPr>
  </w:style>
  <w:style w:type="paragraph" w:styleId="TtuloTDC">
    <w:name w:val="TOC Heading"/>
    <w:basedOn w:val="Ttulo1"/>
    <w:next w:val="Normal"/>
    <w:uiPriority w:val="39"/>
    <w:semiHidden/>
    <w:unhideWhenUsed/>
    <w:qFormat/>
    <w:rsid w:val="000673D5"/>
    <w:pPr>
      <w:outlineLvl w:val="9"/>
    </w:pPr>
    <w:rPr>
      <w:rFonts w:eastAsia="Times New Roman"/>
      <w:lang w:val="es-CR" w:eastAsia="es-CR"/>
    </w:rPr>
  </w:style>
  <w:style w:type="paragraph" w:styleId="TDC4">
    <w:name w:val="toc 4"/>
    <w:basedOn w:val="Normal"/>
    <w:next w:val="Normal"/>
    <w:autoRedefine/>
    <w:uiPriority w:val="39"/>
    <w:unhideWhenUsed/>
    <w:rsid w:val="00546784"/>
    <w:pPr>
      <w:spacing w:after="0"/>
      <w:ind w:left="660"/>
    </w:pPr>
    <w:rPr>
      <w:sz w:val="18"/>
      <w:szCs w:val="18"/>
    </w:rPr>
  </w:style>
  <w:style w:type="paragraph" w:styleId="TDC5">
    <w:name w:val="toc 5"/>
    <w:basedOn w:val="Normal"/>
    <w:next w:val="Normal"/>
    <w:autoRedefine/>
    <w:uiPriority w:val="39"/>
    <w:unhideWhenUsed/>
    <w:rsid w:val="00546784"/>
    <w:pPr>
      <w:spacing w:after="0"/>
      <w:ind w:left="880"/>
    </w:pPr>
    <w:rPr>
      <w:sz w:val="18"/>
      <w:szCs w:val="18"/>
    </w:rPr>
  </w:style>
  <w:style w:type="paragraph" w:styleId="TDC6">
    <w:name w:val="toc 6"/>
    <w:basedOn w:val="Normal"/>
    <w:next w:val="Normal"/>
    <w:autoRedefine/>
    <w:uiPriority w:val="39"/>
    <w:unhideWhenUsed/>
    <w:rsid w:val="00546784"/>
    <w:pPr>
      <w:spacing w:after="0"/>
      <w:ind w:left="1100"/>
    </w:pPr>
    <w:rPr>
      <w:sz w:val="18"/>
      <w:szCs w:val="18"/>
    </w:rPr>
  </w:style>
  <w:style w:type="paragraph" w:styleId="TDC7">
    <w:name w:val="toc 7"/>
    <w:basedOn w:val="Normal"/>
    <w:next w:val="Normal"/>
    <w:autoRedefine/>
    <w:uiPriority w:val="39"/>
    <w:unhideWhenUsed/>
    <w:rsid w:val="00546784"/>
    <w:pPr>
      <w:spacing w:after="0"/>
      <w:ind w:left="1320"/>
    </w:pPr>
    <w:rPr>
      <w:sz w:val="18"/>
      <w:szCs w:val="18"/>
    </w:rPr>
  </w:style>
  <w:style w:type="paragraph" w:styleId="TDC8">
    <w:name w:val="toc 8"/>
    <w:basedOn w:val="Normal"/>
    <w:next w:val="Normal"/>
    <w:autoRedefine/>
    <w:uiPriority w:val="39"/>
    <w:unhideWhenUsed/>
    <w:rsid w:val="00546784"/>
    <w:pPr>
      <w:spacing w:after="0"/>
      <w:ind w:left="1540"/>
    </w:pPr>
    <w:rPr>
      <w:sz w:val="18"/>
      <w:szCs w:val="18"/>
    </w:rPr>
  </w:style>
  <w:style w:type="paragraph" w:styleId="TDC9">
    <w:name w:val="toc 9"/>
    <w:basedOn w:val="Normal"/>
    <w:next w:val="Normal"/>
    <w:autoRedefine/>
    <w:uiPriority w:val="39"/>
    <w:unhideWhenUsed/>
    <w:rsid w:val="00546784"/>
    <w:pPr>
      <w:spacing w:after="0"/>
      <w:ind w:left="1760"/>
    </w:pPr>
    <w:rPr>
      <w:sz w:val="18"/>
      <w:szCs w:val="18"/>
    </w:rPr>
  </w:style>
  <w:style w:type="character" w:customStyle="1" w:styleId="FootnoteTextChar">
    <w:name w:val="Footnote Text Char"/>
    <w:aliases w:val="Footnote Text Char Char Char Char Char Char,Footnote Text Char Char Char Char Char1,Footnote reference Char,FA Fu Char,Footnote Text Char Char Char Char1,Footnote Text Cha Char,FA Fußnotentext Char,FA Fuﬂnotentext Char,Ca Char,C Char"/>
    <w:locked/>
    <w:rsid w:val="009978CF"/>
  </w:style>
  <w:style w:type="character" w:customStyle="1" w:styleId="Ttulo3Car">
    <w:name w:val="Título 3 Car"/>
    <w:link w:val="Ttulo3"/>
    <w:uiPriority w:val="9"/>
    <w:semiHidden/>
    <w:rsid w:val="00EE2598"/>
    <w:rPr>
      <w:rFonts w:ascii="Cambria" w:eastAsia="Times New Roman" w:hAnsi="Cambria" w:cs="Times New Roman"/>
      <w:b/>
      <w:bCs/>
      <w:sz w:val="26"/>
      <w:szCs w:val="26"/>
      <w:lang w:val="en-US" w:eastAsia="en-US"/>
    </w:rPr>
  </w:style>
  <w:style w:type="character" w:styleId="Hipervnculovisitado">
    <w:name w:val="FollowedHyperlink"/>
    <w:uiPriority w:val="99"/>
    <w:semiHidden/>
    <w:unhideWhenUsed/>
    <w:rsid w:val="00284D3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6936">
      <w:bodyDiv w:val="1"/>
      <w:marLeft w:val="0"/>
      <w:marRight w:val="0"/>
      <w:marTop w:val="0"/>
      <w:marBottom w:val="0"/>
      <w:divBdr>
        <w:top w:val="none" w:sz="0" w:space="0" w:color="auto"/>
        <w:left w:val="none" w:sz="0" w:space="0" w:color="auto"/>
        <w:bottom w:val="none" w:sz="0" w:space="0" w:color="auto"/>
        <w:right w:val="none" w:sz="0" w:space="0" w:color="auto"/>
      </w:divBdr>
    </w:div>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97683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naeb.cl/?lang=e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poderjudicial.cl" TargetMode="External"/><Relationship Id="rId2" Type="http://schemas.openxmlformats.org/officeDocument/2006/relationships/hyperlink" Target="http://www.corteidh.or.cr/docs/supervisiones/norin_26_01_15.pdf" TargetMode="External"/><Relationship Id="rId1" Type="http://schemas.openxmlformats.org/officeDocument/2006/relationships/hyperlink" Target="http://www.corteidh.or.cr/docs/casos/articulos/seriec_279_esp.pdf" TargetMode="External"/><Relationship Id="rId5" Type="http://schemas.openxmlformats.org/officeDocument/2006/relationships/hyperlink" Target="http://www.ministeriodesarrollosocial.gob.cl/pdf/upload/sentencia-traduccion-final.pdf" TargetMode="External"/><Relationship Id="rId4" Type="http://schemas.openxmlformats.org/officeDocument/2006/relationships/hyperlink" Target="http://www.minjusticia.gob.cl/media/2015/06/sentencia-traduccion-final.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62F53-F8BD-4640-9F38-9C97DC82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11223</Words>
  <Characters>63974</Characters>
  <Application>Microsoft Office Word</Application>
  <DocSecurity>0</DocSecurity>
  <Lines>533</Lines>
  <Paragraphs>150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75047</CharactersWithSpaces>
  <SharedDoc>false</SharedDoc>
  <HLinks>
    <vt:vector size="78" baseType="variant">
      <vt:variant>
        <vt:i4>2293823</vt:i4>
      </vt:variant>
      <vt:variant>
        <vt:i4>45</vt:i4>
      </vt:variant>
      <vt:variant>
        <vt:i4>0</vt:i4>
      </vt:variant>
      <vt:variant>
        <vt:i4>5</vt:i4>
      </vt:variant>
      <vt:variant>
        <vt:lpwstr>https://www.junaeb.cl/?lang=en</vt:lpwstr>
      </vt:variant>
      <vt:variant>
        <vt:lpwstr/>
      </vt:variant>
      <vt:variant>
        <vt:i4>1572927</vt:i4>
      </vt:variant>
      <vt:variant>
        <vt:i4>38</vt:i4>
      </vt:variant>
      <vt:variant>
        <vt:i4>0</vt:i4>
      </vt:variant>
      <vt:variant>
        <vt:i4>5</vt:i4>
      </vt:variant>
      <vt:variant>
        <vt:lpwstr/>
      </vt:variant>
      <vt:variant>
        <vt:lpwstr>_Toc523309977</vt:lpwstr>
      </vt:variant>
      <vt:variant>
        <vt:i4>1572927</vt:i4>
      </vt:variant>
      <vt:variant>
        <vt:i4>32</vt:i4>
      </vt:variant>
      <vt:variant>
        <vt:i4>0</vt:i4>
      </vt:variant>
      <vt:variant>
        <vt:i4>5</vt:i4>
      </vt:variant>
      <vt:variant>
        <vt:lpwstr/>
      </vt:variant>
      <vt:variant>
        <vt:lpwstr>_Toc523309975</vt:lpwstr>
      </vt:variant>
      <vt:variant>
        <vt:i4>1572927</vt:i4>
      </vt:variant>
      <vt:variant>
        <vt:i4>26</vt:i4>
      </vt:variant>
      <vt:variant>
        <vt:i4>0</vt:i4>
      </vt:variant>
      <vt:variant>
        <vt:i4>5</vt:i4>
      </vt:variant>
      <vt:variant>
        <vt:lpwstr/>
      </vt:variant>
      <vt:variant>
        <vt:lpwstr>_Toc523309972</vt:lpwstr>
      </vt:variant>
      <vt:variant>
        <vt:i4>1638463</vt:i4>
      </vt:variant>
      <vt:variant>
        <vt:i4>20</vt:i4>
      </vt:variant>
      <vt:variant>
        <vt:i4>0</vt:i4>
      </vt:variant>
      <vt:variant>
        <vt:i4>5</vt:i4>
      </vt:variant>
      <vt:variant>
        <vt:lpwstr/>
      </vt:variant>
      <vt:variant>
        <vt:lpwstr>_Toc523309969</vt:lpwstr>
      </vt:variant>
      <vt:variant>
        <vt:i4>1638463</vt:i4>
      </vt:variant>
      <vt:variant>
        <vt:i4>14</vt:i4>
      </vt:variant>
      <vt:variant>
        <vt:i4>0</vt:i4>
      </vt:variant>
      <vt:variant>
        <vt:i4>5</vt:i4>
      </vt:variant>
      <vt:variant>
        <vt:lpwstr/>
      </vt:variant>
      <vt:variant>
        <vt:lpwstr>_Toc523309968</vt:lpwstr>
      </vt:variant>
      <vt:variant>
        <vt:i4>1638463</vt:i4>
      </vt:variant>
      <vt:variant>
        <vt:i4>8</vt:i4>
      </vt:variant>
      <vt:variant>
        <vt:i4>0</vt:i4>
      </vt:variant>
      <vt:variant>
        <vt:i4>5</vt:i4>
      </vt:variant>
      <vt:variant>
        <vt:lpwstr/>
      </vt:variant>
      <vt:variant>
        <vt:lpwstr>_Toc523309967</vt:lpwstr>
      </vt:variant>
      <vt:variant>
        <vt:i4>1638463</vt:i4>
      </vt:variant>
      <vt:variant>
        <vt:i4>2</vt:i4>
      </vt:variant>
      <vt:variant>
        <vt:i4>0</vt:i4>
      </vt:variant>
      <vt:variant>
        <vt:i4>5</vt:i4>
      </vt:variant>
      <vt:variant>
        <vt:lpwstr/>
      </vt:variant>
      <vt:variant>
        <vt:lpwstr>_Toc523309966</vt:lpwstr>
      </vt:variant>
      <vt:variant>
        <vt:i4>3735590</vt:i4>
      </vt:variant>
      <vt:variant>
        <vt:i4>12</vt:i4>
      </vt:variant>
      <vt:variant>
        <vt:i4>0</vt:i4>
      </vt:variant>
      <vt:variant>
        <vt:i4>5</vt:i4>
      </vt:variant>
      <vt:variant>
        <vt:lpwstr>http://www.ministeriodesarrollosocial.gob.cl/pdf/upload/sentencia-traduccion-final.pdf</vt:lpwstr>
      </vt:variant>
      <vt:variant>
        <vt:lpwstr/>
      </vt:variant>
      <vt:variant>
        <vt:i4>6291496</vt:i4>
      </vt:variant>
      <vt:variant>
        <vt:i4>9</vt:i4>
      </vt:variant>
      <vt:variant>
        <vt:i4>0</vt:i4>
      </vt:variant>
      <vt:variant>
        <vt:i4>5</vt:i4>
      </vt:variant>
      <vt:variant>
        <vt:lpwstr>http://www.minjusticia.gob.cl/media/2015/06/sentencia-traduccion-final.pdf</vt:lpwstr>
      </vt:variant>
      <vt:variant>
        <vt:lpwstr/>
      </vt:variant>
      <vt:variant>
        <vt:i4>1572884</vt:i4>
      </vt:variant>
      <vt:variant>
        <vt:i4>6</vt:i4>
      </vt:variant>
      <vt:variant>
        <vt:i4>0</vt:i4>
      </vt:variant>
      <vt:variant>
        <vt:i4>5</vt:i4>
      </vt:variant>
      <vt:variant>
        <vt:lpwstr>http://www.poderjudicial.cl/</vt:lpwstr>
      </vt:variant>
      <vt:variant>
        <vt:lpwstr/>
      </vt:variant>
      <vt:variant>
        <vt:i4>917540</vt:i4>
      </vt:variant>
      <vt:variant>
        <vt:i4>3</vt:i4>
      </vt:variant>
      <vt:variant>
        <vt:i4>0</vt:i4>
      </vt:variant>
      <vt:variant>
        <vt:i4>5</vt:i4>
      </vt:variant>
      <vt:variant>
        <vt:lpwstr>http://www.corteidh.or.cr/docs/supervisiones/norin_26_01_15.pdf</vt:lpwstr>
      </vt:variant>
      <vt:variant>
        <vt:lpwstr/>
      </vt:variant>
      <vt:variant>
        <vt:i4>5701727</vt:i4>
      </vt:variant>
      <vt:variant>
        <vt:i4>0</vt:i4>
      </vt:variant>
      <vt:variant>
        <vt:i4>0</vt:i4>
      </vt:variant>
      <vt:variant>
        <vt:i4>5</vt:i4>
      </vt:variant>
      <vt:variant>
        <vt:lpwstr>http://www.corteidh.or.cr/docs/casos/articulos/seriec_279_esp.pdf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4</cp:revision>
  <cp:lastPrinted>2018-12-28T19:47:00Z</cp:lastPrinted>
  <dcterms:created xsi:type="dcterms:W3CDTF">2018-12-28T19:46:00Z</dcterms:created>
  <dcterms:modified xsi:type="dcterms:W3CDTF">2018-12-28T19:47:00Z</dcterms:modified>
</cp:coreProperties>
</file>