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57F" w:rsidRPr="00BB0A5D" w:rsidRDefault="00644041" w:rsidP="009A657F">
      <w:pPr>
        <w:ind w:right="18"/>
        <w:jc w:val="center"/>
        <w:rPr>
          <w:rFonts w:ascii="Verdana" w:hAnsi="Verdana"/>
          <w:b/>
          <w:smallCaps/>
          <w:sz w:val="20"/>
        </w:rPr>
      </w:pPr>
      <w:r w:rsidRPr="00BB0A5D">
        <w:rPr>
          <w:rFonts w:ascii="Verdana" w:hAnsi="Verdana"/>
          <w:b/>
          <w:smallCaps/>
          <w:sz w:val="20"/>
        </w:rPr>
        <w:t xml:space="preserve">RESOLUCIÓN </w:t>
      </w:r>
    </w:p>
    <w:p w:rsidR="009A657F" w:rsidRPr="00BB0A5D" w:rsidRDefault="00E46C69" w:rsidP="00BB0A5D">
      <w:pPr>
        <w:pStyle w:val="Ttulo1"/>
        <w:ind w:right="18"/>
      </w:pPr>
      <w:r w:rsidRPr="00BB0A5D">
        <w:t>DE</w:t>
      </w:r>
      <w:r w:rsidR="00644041" w:rsidRPr="00BB0A5D">
        <w:t xml:space="preserve"> LA</w:t>
      </w:r>
      <w:r w:rsidR="002777F0" w:rsidRPr="00BB0A5D">
        <w:t xml:space="preserve"> CORTE</w:t>
      </w:r>
      <w:r w:rsidR="009A657F" w:rsidRPr="00BB0A5D">
        <w:t xml:space="preserve"> INTERAMERICANA</w:t>
      </w:r>
      <w:r w:rsidR="009A657F">
        <w:t xml:space="preserve"> DE DERECHOS HUMANOS</w:t>
      </w:r>
      <w:r w:rsidR="002B3320" w:rsidRPr="002B3320">
        <w:rPr>
          <w:rStyle w:val="Refdenotaalpie"/>
          <w:b w:val="0"/>
          <w:smallCaps/>
        </w:rPr>
        <w:footnoteReference w:id="1"/>
        <w:sym w:font="Symbol" w:char="F02A"/>
      </w:r>
    </w:p>
    <w:p w:rsidR="002B3320" w:rsidRPr="002B3320" w:rsidRDefault="002B3320" w:rsidP="002B3320">
      <w:pPr>
        <w:ind w:hanging="11"/>
        <w:jc w:val="center"/>
        <w:rPr>
          <w:rFonts w:ascii="Verdana" w:eastAsia="Calibri" w:hAnsi="Verdana"/>
          <w:sz w:val="20"/>
          <w:szCs w:val="20"/>
          <w:lang w:val="es-CR"/>
        </w:rPr>
      </w:pPr>
      <w:r>
        <w:rPr>
          <w:rFonts w:ascii="Verdana" w:hAnsi="Verdana"/>
          <w:b/>
          <w:smallCaps/>
          <w:sz w:val="20"/>
        </w:rPr>
        <w:t>DE 22</w:t>
      </w:r>
      <w:r w:rsidR="00284789">
        <w:rPr>
          <w:rFonts w:ascii="Verdana" w:hAnsi="Verdana"/>
          <w:b/>
          <w:smallCaps/>
          <w:sz w:val="20"/>
        </w:rPr>
        <w:t xml:space="preserve"> DE </w:t>
      </w:r>
      <w:r w:rsidR="00BB0A5D">
        <w:rPr>
          <w:rFonts w:ascii="Verdana" w:hAnsi="Verdana"/>
          <w:b/>
          <w:smallCaps/>
          <w:sz w:val="20"/>
        </w:rPr>
        <w:t>NOVIEMBRE</w:t>
      </w:r>
      <w:r w:rsidR="00E46C69">
        <w:rPr>
          <w:rFonts w:ascii="Verdana" w:hAnsi="Verdana"/>
          <w:b/>
          <w:smallCaps/>
          <w:sz w:val="20"/>
        </w:rPr>
        <w:t xml:space="preserve"> </w:t>
      </w:r>
      <w:r w:rsidR="00F65B50">
        <w:rPr>
          <w:rFonts w:ascii="Verdana" w:hAnsi="Verdana"/>
          <w:b/>
          <w:smallCaps/>
          <w:sz w:val="20"/>
        </w:rPr>
        <w:t>DE 2018</w:t>
      </w:r>
    </w:p>
    <w:p w:rsidR="009A657F" w:rsidRDefault="009A657F" w:rsidP="009A657F">
      <w:pPr>
        <w:ind w:right="18"/>
        <w:jc w:val="center"/>
        <w:rPr>
          <w:rFonts w:ascii="Verdana" w:hAnsi="Verdana"/>
          <w:b/>
          <w:smallCaps/>
          <w:sz w:val="20"/>
        </w:rPr>
      </w:pPr>
    </w:p>
    <w:p w:rsidR="009A657F" w:rsidRDefault="009A657F" w:rsidP="009A657F">
      <w:pPr>
        <w:ind w:right="18"/>
        <w:jc w:val="both"/>
        <w:rPr>
          <w:rFonts w:ascii="Verdana" w:hAnsi="Verdana"/>
          <w:b/>
          <w:smallCaps/>
          <w:sz w:val="20"/>
        </w:rPr>
      </w:pPr>
    </w:p>
    <w:p w:rsidR="009A657F" w:rsidRDefault="009A657F" w:rsidP="009A657F">
      <w:pPr>
        <w:ind w:right="18"/>
        <w:jc w:val="both"/>
        <w:rPr>
          <w:rFonts w:ascii="Verdana" w:hAnsi="Verdana"/>
          <w:b/>
          <w:smallCaps/>
          <w:sz w:val="20"/>
        </w:rPr>
      </w:pPr>
    </w:p>
    <w:p w:rsidR="009A657F" w:rsidRDefault="009A657F" w:rsidP="009A657F">
      <w:pPr>
        <w:ind w:right="18"/>
        <w:jc w:val="center"/>
        <w:rPr>
          <w:rFonts w:ascii="Verdana" w:hAnsi="Verdana"/>
          <w:b/>
          <w:smallCaps/>
          <w:sz w:val="20"/>
        </w:rPr>
      </w:pPr>
      <w:r>
        <w:rPr>
          <w:rFonts w:ascii="Verdana" w:hAnsi="Verdana"/>
          <w:b/>
          <w:sz w:val="20"/>
          <w:lang w:val="es-ES_tradnl"/>
        </w:rPr>
        <w:t>SOLICITUD DE MEDIDAS PROVISIONALES</w:t>
      </w:r>
    </w:p>
    <w:p w:rsidR="009A657F" w:rsidRDefault="009A657F" w:rsidP="009A657F">
      <w:pPr>
        <w:ind w:right="18"/>
        <w:jc w:val="center"/>
        <w:rPr>
          <w:rFonts w:ascii="Verdana" w:hAnsi="Verdana"/>
          <w:b/>
          <w:smallCaps/>
          <w:sz w:val="20"/>
        </w:rPr>
      </w:pPr>
      <w:r>
        <w:rPr>
          <w:rFonts w:ascii="Verdana" w:hAnsi="Verdana"/>
          <w:b/>
          <w:smallCaps/>
          <w:sz w:val="20"/>
        </w:rPr>
        <w:t xml:space="preserve"> RESPECTO DE LA REPÚBLICA DEL PERÚ</w:t>
      </w:r>
    </w:p>
    <w:p w:rsidR="009A657F" w:rsidRDefault="009A657F" w:rsidP="009A657F">
      <w:pPr>
        <w:ind w:right="18"/>
        <w:jc w:val="center"/>
        <w:rPr>
          <w:rFonts w:ascii="Verdana" w:hAnsi="Verdana"/>
          <w:b/>
          <w:smallCaps/>
          <w:sz w:val="20"/>
        </w:rPr>
      </w:pPr>
    </w:p>
    <w:p w:rsidR="009A657F" w:rsidRDefault="00325140" w:rsidP="009A657F">
      <w:pPr>
        <w:ind w:right="18"/>
        <w:jc w:val="center"/>
        <w:rPr>
          <w:rFonts w:ascii="Verdana" w:hAnsi="Verdana"/>
          <w:b/>
          <w:smallCaps/>
          <w:sz w:val="20"/>
        </w:rPr>
      </w:pPr>
      <w:r>
        <w:rPr>
          <w:rFonts w:ascii="Verdana" w:hAnsi="Verdana"/>
          <w:b/>
          <w:smallCaps/>
          <w:sz w:val="20"/>
        </w:rPr>
        <w:t>CASO G</w:t>
      </w:r>
      <w:r w:rsidR="004B550E">
        <w:rPr>
          <w:rFonts w:ascii="Verdana" w:hAnsi="Verdana"/>
          <w:b/>
          <w:smallCaps/>
          <w:sz w:val="20"/>
        </w:rPr>
        <w:t>A</w:t>
      </w:r>
      <w:r w:rsidR="009A657F">
        <w:rPr>
          <w:rFonts w:ascii="Verdana" w:hAnsi="Verdana"/>
          <w:b/>
          <w:smallCaps/>
          <w:sz w:val="20"/>
        </w:rPr>
        <w:t xml:space="preserve">LINDO </w:t>
      </w:r>
      <w:r w:rsidR="004B550E">
        <w:rPr>
          <w:rFonts w:ascii="Verdana" w:hAnsi="Verdana"/>
          <w:b/>
          <w:smallCaps/>
          <w:sz w:val="20"/>
        </w:rPr>
        <w:t xml:space="preserve">CÁRDENAS </w:t>
      </w:r>
    </w:p>
    <w:p w:rsidR="009A657F" w:rsidRDefault="009A657F" w:rsidP="009A657F">
      <w:pPr>
        <w:ind w:right="18"/>
        <w:jc w:val="center"/>
        <w:rPr>
          <w:rFonts w:ascii="Verdana" w:hAnsi="Verdana"/>
          <w:b/>
          <w:smallCaps/>
          <w:sz w:val="20"/>
        </w:rPr>
      </w:pPr>
    </w:p>
    <w:p w:rsidR="009A657F" w:rsidRDefault="009A657F" w:rsidP="009A657F">
      <w:pPr>
        <w:ind w:right="18"/>
        <w:jc w:val="both"/>
        <w:rPr>
          <w:rFonts w:ascii="Verdana" w:hAnsi="Verdana"/>
          <w:b/>
          <w:sz w:val="20"/>
        </w:rPr>
      </w:pPr>
    </w:p>
    <w:p w:rsidR="009A657F" w:rsidRDefault="009A657F" w:rsidP="009A657F">
      <w:pPr>
        <w:ind w:right="18"/>
        <w:jc w:val="both"/>
        <w:rPr>
          <w:rFonts w:ascii="Verdana" w:hAnsi="Verdana"/>
          <w:b/>
          <w:sz w:val="20"/>
        </w:rPr>
      </w:pPr>
    </w:p>
    <w:p w:rsidR="009A657F" w:rsidRDefault="009A657F" w:rsidP="009A657F">
      <w:pPr>
        <w:ind w:right="18"/>
        <w:jc w:val="both"/>
        <w:rPr>
          <w:rFonts w:ascii="Verdana" w:hAnsi="Verdana"/>
          <w:b/>
          <w:sz w:val="20"/>
        </w:rPr>
      </w:pPr>
      <w:r>
        <w:rPr>
          <w:rFonts w:ascii="Verdana" w:hAnsi="Verdana"/>
          <w:b/>
          <w:sz w:val="20"/>
        </w:rPr>
        <w:t>VISTOS:</w:t>
      </w:r>
    </w:p>
    <w:p w:rsidR="009A657F" w:rsidRDefault="009A657F" w:rsidP="009A657F">
      <w:pPr>
        <w:pStyle w:val="Textonotapie"/>
        <w:ind w:right="18"/>
        <w:rPr>
          <w:rFonts w:ascii="Verdana" w:hAnsi="Verdana"/>
        </w:rPr>
      </w:pPr>
    </w:p>
    <w:p w:rsidR="00644041" w:rsidRPr="009479C1" w:rsidRDefault="00644041" w:rsidP="00015FB4">
      <w:pPr>
        <w:pStyle w:val="Sangra3detindependiente"/>
        <w:widowControl w:val="0"/>
        <w:numPr>
          <w:ilvl w:val="0"/>
          <w:numId w:val="3"/>
        </w:numPr>
        <w:ind w:left="0" w:right="18" w:firstLine="0"/>
        <w:rPr>
          <w:rFonts w:ascii="Verdana" w:eastAsia="Times" w:hAnsi="Verdana"/>
          <w:b w:val="0"/>
          <w:sz w:val="20"/>
        </w:rPr>
      </w:pPr>
      <w:r>
        <w:rPr>
          <w:rFonts w:ascii="Verdana" w:eastAsia="Times" w:hAnsi="Verdana"/>
          <w:b w:val="0"/>
          <w:sz w:val="20"/>
        </w:rPr>
        <w:t>L</w:t>
      </w:r>
      <w:r w:rsidR="00254129">
        <w:rPr>
          <w:rFonts w:ascii="Verdana" w:eastAsia="Times" w:hAnsi="Verdana"/>
          <w:b w:val="0"/>
          <w:sz w:val="20"/>
        </w:rPr>
        <w:t xml:space="preserve">a </w:t>
      </w:r>
      <w:r w:rsidR="009479C1">
        <w:rPr>
          <w:rFonts w:ascii="Verdana" w:eastAsia="Times" w:hAnsi="Verdana"/>
          <w:b w:val="0"/>
          <w:sz w:val="20"/>
        </w:rPr>
        <w:t>S</w:t>
      </w:r>
      <w:r w:rsidR="00254129">
        <w:rPr>
          <w:rFonts w:ascii="Verdana" w:eastAsia="Times" w:hAnsi="Verdana"/>
          <w:b w:val="0"/>
          <w:sz w:val="20"/>
        </w:rPr>
        <w:t>entencia</w:t>
      </w:r>
      <w:r w:rsidR="00015FB4">
        <w:rPr>
          <w:rFonts w:ascii="Verdana" w:eastAsia="Times" w:hAnsi="Verdana"/>
          <w:b w:val="0"/>
          <w:sz w:val="20"/>
        </w:rPr>
        <w:t xml:space="preserve"> del </w:t>
      </w:r>
      <w:r w:rsidR="00015FB4" w:rsidRPr="009479C1">
        <w:rPr>
          <w:rFonts w:ascii="Verdana" w:eastAsia="Times" w:hAnsi="Verdana"/>
          <w:b w:val="0"/>
          <w:bCs/>
          <w:i/>
          <w:sz w:val="20"/>
          <w:lang w:val="es-ES"/>
        </w:rPr>
        <w:t>Caso Galindo Cárdenas y otros Vs. Perú</w:t>
      </w:r>
      <w:r w:rsidR="00254129">
        <w:rPr>
          <w:rFonts w:ascii="Verdana" w:eastAsia="Times" w:hAnsi="Verdana"/>
          <w:b w:val="0"/>
          <w:sz w:val="20"/>
        </w:rPr>
        <w:t xml:space="preserve"> </w:t>
      </w:r>
      <w:r w:rsidR="00015FB4">
        <w:rPr>
          <w:rFonts w:ascii="Verdana" w:eastAsia="Times" w:hAnsi="Verdana"/>
          <w:b w:val="0"/>
          <w:sz w:val="20"/>
        </w:rPr>
        <w:t xml:space="preserve">de </w:t>
      </w:r>
      <w:r w:rsidR="00254129">
        <w:rPr>
          <w:rFonts w:ascii="Verdana" w:eastAsia="Times" w:hAnsi="Verdana"/>
          <w:b w:val="0"/>
          <w:sz w:val="20"/>
        </w:rPr>
        <w:t>2 de octubre de 2015</w:t>
      </w:r>
      <w:r>
        <w:rPr>
          <w:rFonts w:ascii="Verdana" w:eastAsia="Times" w:hAnsi="Verdana"/>
          <w:b w:val="0"/>
          <w:sz w:val="20"/>
        </w:rPr>
        <w:t xml:space="preserve"> dictada por la Corte Interamericana de Derechos Humanos (en adelante</w:t>
      </w:r>
      <w:r w:rsidR="009479C1">
        <w:rPr>
          <w:rFonts w:ascii="Verdana" w:eastAsia="Times" w:hAnsi="Verdana"/>
          <w:b w:val="0"/>
          <w:sz w:val="20"/>
        </w:rPr>
        <w:t xml:space="preserve"> también </w:t>
      </w:r>
      <w:r>
        <w:rPr>
          <w:rFonts w:ascii="Verdana" w:eastAsia="Times" w:hAnsi="Verdana"/>
          <w:b w:val="0"/>
          <w:sz w:val="20"/>
        </w:rPr>
        <w:t xml:space="preserve">“la Corte” o “este Tribunal”) </w:t>
      </w:r>
      <w:r w:rsidRPr="00ED0B48">
        <w:rPr>
          <w:rFonts w:ascii="Verdana" w:eastAsia="Times" w:hAnsi="Verdana"/>
          <w:b w:val="0"/>
          <w:sz w:val="20"/>
        </w:rPr>
        <w:t>sobre excepciones preliminare</w:t>
      </w:r>
      <w:r w:rsidR="004670BB" w:rsidRPr="00ED0B48">
        <w:rPr>
          <w:rFonts w:ascii="Verdana" w:eastAsia="Times" w:hAnsi="Verdana"/>
          <w:b w:val="0"/>
          <w:sz w:val="20"/>
        </w:rPr>
        <w:t xml:space="preserve">s, fondo, reparaciones y costas, </w:t>
      </w:r>
      <w:r w:rsidR="004670BB" w:rsidRPr="00A1107C">
        <w:rPr>
          <w:rFonts w:ascii="Verdana" w:eastAsia="Times" w:hAnsi="Verdana"/>
          <w:b w:val="0"/>
          <w:sz w:val="20"/>
        </w:rPr>
        <w:t xml:space="preserve">y </w:t>
      </w:r>
      <w:r w:rsidR="004670BB" w:rsidRPr="0056734C">
        <w:rPr>
          <w:rFonts w:ascii="Verdana" w:eastAsia="Times" w:hAnsi="Verdana"/>
          <w:b w:val="0"/>
          <w:sz w:val="20"/>
        </w:rPr>
        <w:t xml:space="preserve">la Sentencia de Interpretación del referido Fallo </w:t>
      </w:r>
      <w:r w:rsidR="00F53E2A" w:rsidRPr="0056734C">
        <w:rPr>
          <w:rFonts w:ascii="Verdana" w:eastAsia="Times" w:hAnsi="Verdana"/>
          <w:b w:val="0"/>
          <w:sz w:val="20"/>
        </w:rPr>
        <w:t>dictada el</w:t>
      </w:r>
      <w:r w:rsidR="004670BB" w:rsidRPr="0056734C">
        <w:rPr>
          <w:rFonts w:ascii="Verdana" w:eastAsia="Times" w:hAnsi="Verdana"/>
          <w:b w:val="0"/>
          <w:sz w:val="20"/>
        </w:rPr>
        <w:t xml:space="preserve"> 21 de noviembre de 2016 por este Tribunal.</w:t>
      </w:r>
    </w:p>
    <w:p w:rsidR="00644041" w:rsidRDefault="00644041" w:rsidP="00644041">
      <w:pPr>
        <w:pStyle w:val="Sangra3detindependiente"/>
        <w:widowControl w:val="0"/>
        <w:ind w:left="0" w:right="18"/>
        <w:rPr>
          <w:rFonts w:ascii="Verdana" w:eastAsia="Times" w:hAnsi="Verdana"/>
          <w:b w:val="0"/>
          <w:sz w:val="20"/>
        </w:rPr>
      </w:pPr>
    </w:p>
    <w:p w:rsidR="00E46C69" w:rsidRPr="00CA0878" w:rsidRDefault="009A657F" w:rsidP="00120976">
      <w:pPr>
        <w:pStyle w:val="Sangra3detindependiente"/>
        <w:widowControl w:val="0"/>
        <w:numPr>
          <w:ilvl w:val="0"/>
          <w:numId w:val="3"/>
        </w:numPr>
        <w:ind w:left="0" w:right="18" w:firstLine="0"/>
        <w:rPr>
          <w:rFonts w:ascii="Verdana" w:eastAsia="Times" w:hAnsi="Verdana"/>
          <w:b w:val="0"/>
          <w:sz w:val="20"/>
        </w:rPr>
      </w:pPr>
      <w:r w:rsidRPr="003B2387">
        <w:rPr>
          <w:rFonts w:ascii="Verdana" w:eastAsia="Times" w:hAnsi="Verdana"/>
          <w:b w:val="0"/>
          <w:sz w:val="20"/>
        </w:rPr>
        <w:t xml:space="preserve">El escrito de </w:t>
      </w:r>
      <w:r w:rsidR="00E46C69">
        <w:rPr>
          <w:rFonts w:ascii="Verdana" w:eastAsia="Times" w:hAnsi="Verdana"/>
          <w:b w:val="0"/>
          <w:sz w:val="20"/>
        </w:rPr>
        <w:t>3</w:t>
      </w:r>
      <w:r w:rsidR="00644041">
        <w:rPr>
          <w:rFonts w:ascii="Verdana" w:eastAsia="Times" w:hAnsi="Verdana"/>
          <w:b w:val="0"/>
          <w:sz w:val="20"/>
        </w:rPr>
        <w:t xml:space="preserve"> de </w:t>
      </w:r>
      <w:r w:rsidR="00E46C69">
        <w:rPr>
          <w:rFonts w:ascii="Verdana" w:eastAsia="Times" w:hAnsi="Verdana"/>
          <w:b w:val="0"/>
          <w:sz w:val="20"/>
        </w:rPr>
        <w:t>octubre de 2018 y sus anexos</w:t>
      </w:r>
      <w:r w:rsidRPr="001235DD">
        <w:rPr>
          <w:rFonts w:ascii="Verdana" w:eastAsia="Times" w:hAnsi="Verdana"/>
          <w:b w:val="0"/>
          <w:sz w:val="20"/>
        </w:rPr>
        <w:t>,</w:t>
      </w:r>
      <w:r w:rsidR="00E46C69">
        <w:rPr>
          <w:rFonts w:ascii="Verdana" w:eastAsia="Times" w:hAnsi="Verdana"/>
          <w:b w:val="0"/>
          <w:sz w:val="20"/>
        </w:rPr>
        <w:t xml:space="preserve"> mediante los</w:t>
      </w:r>
      <w:r w:rsidRPr="003B2387">
        <w:rPr>
          <w:rFonts w:ascii="Verdana" w:eastAsia="Times" w:hAnsi="Verdana"/>
          <w:b w:val="0"/>
          <w:sz w:val="20"/>
        </w:rPr>
        <w:t xml:space="preserve"> cual</w:t>
      </w:r>
      <w:r w:rsidR="00E46C69">
        <w:rPr>
          <w:rFonts w:ascii="Verdana" w:eastAsia="Times" w:hAnsi="Verdana"/>
          <w:b w:val="0"/>
          <w:sz w:val="20"/>
        </w:rPr>
        <w:t>es</w:t>
      </w:r>
      <w:r w:rsidRPr="003B2387">
        <w:rPr>
          <w:rFonts w:ascii="Verdana" w:eastAsia="Times" w:hAnsi="Verdana"/>
          <w:b w:val="0"/>
          <w:sz w:val="20"/>
        </w:rPr>
        <w:t xml:space="preserve"> </w:t>
      </w:r>
      <w:r w:rsidR="00254129">
        <w:rPr>
          <w:rFonts w:ascii="Verdana" w:eastAsia="Times" w:hAnsi="Verdana"/>
          <w:b w:val="0"/>
          <w:sz w:val="20"/>
        </w:rPr>
        <w:t xml:space="preserve">el </w:t>
      </w:r>
      <w:r w:rsidR="00325140">
        <w:rPr>
          <w:rFonts w:ascii="Verdana" w:eastAsia="Times" w:hAnsi="Verdana"/>
          <w:b w:val="0"/>
          <w:sz w:val="20"/>
        </w:rPr>
        <w:t>señor Luis Antonio Galindo Cárdenas</w:t>
      </w:r>
      <w:r w:rsidRPr="003B2387">
        <w:rPr>
          <w:rFonts w:ascii="Verdana" w:eastAsia="Times" w:hAnsi="Verdana"/>
          <w:b w:val="0"/>
          <w:sz w:val="20"/>
        </w:rPr>
        <w:t xml:space="preserve"> </w:t>
      </w:r>
      <w:r w:rsidR="00254129">
        <w:rPr>
          <w:rFonts w:ascii="Verdana" w:eastAsia="Times" w:hAnsi="Verdana"/>
          <w:b w:val="0"/>
          <w:sz w:val="20"/>
        </w:rPr>
        <w:t>(en adelante también “el señor Galindo Cárdenas” o “el señor Galindo”)</w:t>
      </w:r>
      <w:r w:rsidR="00254129" w:rsidRPr="003B2387" w:rsidDel="00254129">
        <w:rPr>
          <w:rFonts w:ascii="Verdana" w:eastAsia="Times" w:hAnsi="Verdana"/>
          <w:b w:val="0"/>
          <w:sz w:val="20"/>
        </w:rPr>
        <w:t xml:space="preserve"> </w:t>
      </w:r>
      <w:r w:rsidR="000E6360">
        <w:rPr>
          <w:rFonts w:ascii="Verdana" w:eastAsia="Times" w:hAnsi="Verdana"/>
          <w:b w:val="0"/>
          <w:sz w:val="20"/>
        </w:rPr>
        <w:t xml:space="preserve">solicitó la </w:t>
      </w:r>
      <w:r w:rsidRPr="003B2387">
        <w:rPr>
          <w:rFonts w:ascii="Verdana" w:eastAsia="Times" w:hAnsi="Verdana"/>
          <w:b w:val="0"/>
          <w:sz w:val="20"/>
        </w:rPr>
        <w:t>adopción de medidas provisionales a</w:t>
      </w:r>
      <w:r w:rsidR="00254129">
        <w:rPr>
          <w:rFonts w:ascii="Verdana" w:eastAsia="Times" w:hAnsi="Verdana"/>
          <w:b w:val="0"/>
          <w:sz w:val="20"/>
        </w:rPr>
        <w:t xml:space="preserve"> su</w:t>
      </w:r>
      <w:r w:rsidRPr="003B2387">
        <w:rPr>
          <w:rFonts w:ascii="Verdana" w:eastAsia="Times" w:hAnsi="Verdana"/>
          <w:b w:val="0"/>
          <w:sz w:val="20"/>
        </w:rPr>
        <w:t xml:space="preserve"> favor. </w:t>
      </w:r>
      <w:r w:rsidR="00E46C69">
        <w:rPr>
          <w:rFonts w:ascii="Verdana" w:eastAsia="Times" w:hAnsi="Verdana"/>
          <w:b w:val="0"/>
          <w:sz w:val="20"/>
        </w:rPr>
        <w:t xml:space="preserve">En dicha solicitud </w:t>
      </w:r>
      <w:r w:rsidR="00E46C69" w:rsidRPr="00E46C69">
        <w:rPr>
          <w:rFonts w:ascii="Verdana" w:hAnsi="Verdana"/>
          <w:b w:val="0"/>
          <w:sz w:val="20"/>
        </w:rPr>
        <w:t xml:space="preserve">de medidas provisionales </w:t>
      </w:r>
      <w:r w:rsidR="00F65B50" w:rsidRPr="00E46C69">
        <w:rPr>
          <w:rFonts w:ascii="Verdana" w:eastAsia="Times" w:hAnsi="Verdana"/>
          <w:b w:val="0"/>
          <w:sz w:val="20"/>
        </w:rPr>
        <w:t xml:space="preserve">el </w:t>
      </w:r>
      <w:r w:rsidR="00E46C69">
        <w:rPr>
          <w:rFonts w:ascii="Verdana" w:hAnsi="Verdana"/>
          <w:b w:val="0"/>
          <w:sz w:val="20"/>
        </w:rPr>
        <w:t>señor Galindo Cárdenas señaló que en su “condición de víctima y agraviado por [v]iolación a los [d]erechos [h]umanos</w:t>
      </w:r>
      <w:r w:rsidR="00120976">
        <w:rPr>
          <w:rFonts w:ascii="Verdana" w:hAnsi="Verdana"/>
          <w:b w:val="0"/>
          <w:sz w:val="20"/>
        </w:rPr>
        <w:t xml:space="preserve">”, conforme </w:t>
      </w:r>
      <w:r w:rsidR="00120976">
        <w:rPr>
          <w:rFonts w:ascii="Verdana" w:eastAsia="Times" w:hAnsi="Verdana"/>
          <w:b w:val="0"/>
          <w:sz w:val="20"/>
        </w:rPr>
        <w:t>a la</w:t>
      </w:r>
      <w:r w:rsidR="006D1DDD">
        <w:rPr>
          <w:rFonts w:ascii="Verdana" w:eastAsia="Times" w:hAnsi="Verdana"/>
          <w:b w:val="0"/>
          <w:sz w:val="20"/>
        </w:rPr>
        <w:t>s</w:t>
      </w:r>
      <w:r w:rsidR="00120976">
        <w:rPr>
          <w:rFonts w:ascii="Verdana" w:eastAsia="Times" w:hAnsi="Verdana"/>
          <w:b w:val="0"/>
          <w:sz w:val="20"/>
        </w:rPr>
        <w:t xml:space="preserve"> </w:t>
      </w:r>
      <w:r w:rsidR="00F65B50" w:rsidRPr="00120976">
        <w:rPr>
          <w:rFonts w:ascii="Verdana" w:hAnsi="Verdana"/>
          <w:b w:val="0"/>
          <w:sz w:val="20"/>
        </w:rPr>
        <w:t>Sentencia</w:t>
      </w:r>
      <w:r w:rsidR="006D1DDD">
        <w:rPr>
          <w:rFonts w:ascii="Verdana" w:hAnsi="Verdana"/>
          <w:b w:val="0"/>
          <w:sz w:val="20"/>
        </w:rPr>
        <w:t>s</w:t>
      </w:r>
      <w:r w:rsidR="00F65B50" w:rsidRPr="00120976">
        <w:rPr>
          <w:rFonts w:ascii="Verdana" w:hAnsi="Verdana"/>
          <w:b w:val="0"/>
          <w:sz w:val="20"/>
        </w:rPr>
        <w:t xml:space="preserve"> dictada</w:t>
      </w:r>
      <w:r w:rsidR="006D1DDD">
        <w:rPr>
          <w:rFonts w:ascii="Verdana" w:hAnsi="Verdana"/>
          <w:b w:val="0"/>
          <w:sz w:val="20"/>
        </w:rPr>
        <w:t xml:space="preserve">s </w:t>
      </w:r>
      <w:r w:rsidR="00120976" w:rsidRPr="00120976">
        <w:rPr>
          <w:rFonts w:ascii="Verdana" w:hAnsi="Verdana"/>
          <w:b w:val="0"/>
          <w:sz w:val="20"/>
        </w:rPr>
        <w:t xml:space="preserve">por la Corte </w:t>
      </w:r>
      <w:r w:rsidR="00120976">
        <w:rPr>
          <w:rFonts w:ascii="Verdana" w:hAnsi="Verdana"/>
          <w:b w:val="0"/>
          <w:sz w:val="20"/>
        </w:rPr>
        <w:t>y de acuerdo a las obligaciones contenidas en la Convención Americana sobre Derechos Humanos, “por las cuales, los Estados-Partes, en este caso</w:t>
      </w:r>
      <w:r w:rsidR="000464C8">
        <w:rPr>
          <w:rFonts w:ascii="Verdana" w:hAnsi="Verdana"/>
          <w:b w:val="0"/>
          <w:sz w:val="20"/>
        </w:rPr>
        <w:t xml:space="preserve"> la </w:t>
      </w:r>
      <w:r w:rsidR="000464C8" w:rsidRPr="000464C8">
        <w:rPr>
          <w:rFonts w:ascii="Verdana" w:hAnsi="Verdana"/>
          <w:b w:val="0"/>
          <w:sz w:val="20"/>
          <w:lang w:val="es-ES"/>
        </w:rPr>
        <w:t xml:space="preserve">República del Perú </w:t>
      </w:r>
      <w:r w:rsidR="009E5338">
        <w:rPr>
          <w:rFonts w:ascii="Verdana" w:hAnsi="Verdana"/>
          <w:b w:val="0"/>
          <w:sz w:val="20"/>
          <w:lang w:val="es-ES"/>
        </w:rPr>
        <w:t>[</w:t>
      </w:r>
      <w:r w:rsidR="000464C8" w:rsidRPr="000464C8">
        <w:rPr>
          <w:rFonts w:ascii="Verdana" w:hAnsi="Verdana"/>
          <w:b w:val="0"/>
          <w:sz w:val="20"/>
          <w:lang w:val="es-ES"/>
        </w:rPr>
        <w:t xml:space="preserve">(en adelante </w:t>
      </w:r>
      <w:r w:rsidR="009479C1">
        <w:rPr>
          <w:rFonts w:ascii="Verdana" w:hAnsi="Verdana"/>
          <w:b w:val="0"/>
          <w:sz w:val="20"/>
          <w:lang w:val="es-ES"/>
        </w:rPr>
        <w:t xml:space="preserve">también </w:t>
      </w:r>
      <w:r w:rsidR="000464C8" w:rsidRPr="000464C8">
        <w:rPr>
          <w:rFonts w:ascii="Verdana" w:hAnsi="Verdana"/>
          <w:b w:val="0"/>
          <w:sz w:val="20"/>
          <w:lang w:val="es-ES"/>
        </w:rPr>
        <w:t>“el Estado</w:t>
      </w:r>
      <w:r w:rsidR="0056734C">
        <w:rPr>
          <w:rFonts w:ascii="Verdana" w:hAnsi="Verdana"/>
          <w:b w:val="0"/>
          <w:sz w:val="20"/>
          <w:lang w:val="es-ES"/>
        </w:rPr>
        <w:t>” o “Perú</w:t>
      </w:r>
      <w:r w:rsidR="000464C8" w:rsidRPr="000464C8">
        <w:rPr>
          <w:rFonts w:ascii="Verdana" w:hAnsi="Verdana"/>
          <w:b w:val="0"/>
          <w:sz w:val="20"/>
          <w:lang w:val="es-ES"/>
        </w:rPr>
        <w:t>”)</w:t>
      </w:r>
      <w:r w:rsidR="009E5338">
        <w:rPr>
          <w:rFonts w:ascii="Verdana" w:hAnsi="Verdana"/>
          <w:b w:val="0"/>
          <w:sz w:val="20"/>
          <w:lang w:val="es-ES"/>
        </w:rPr>
        <w:t>]</w:t>
      </w:r>
      <w:r w:rsidR="00120976">
        <w:rPr>
          <w:rFonts w:ascii="Verdana" w:hAnsi="Verdana"/>
          <w:b w:val="0"/>
          <w:sz w:val="20"/>
        </w:rPr>
        <w:t xml:space="preserve">, deben respetar los derechos consagrados en ese instrumento internacional, y </w:t>
      </w:r>
      <w:r w:rsidR="00E46C69" w:rsidRPr="00120976">
        <w:rPr>
          <w:rFonts w:ascii="Verdana" w:hAnsi="Verdana"/>
          <w:b w:val="0"/>
          <w:sz w:val="20"/>
          <w:lang w:val="es-CR"/>
        </w:rPr>
        <w:t>garantizar el libre y pleno ejercicio</w:t>
      </w:r>
      <w:r w:rsidR="00077433">
        <w:rPr>
          <w:rFonts w:ascii="Verdana" w:hAnsi="Verdana"/>
          <w:b w:val="0"/>
          <w:sz w:val="20"/>
          <w:lang w:val="es-CR"/>
        </w:rPr>
        <w:t>,</w:t>
      </w:r>
      <w:r w:rsidR="00E46C69" w:rsidRPr="00120976">
        <w:rPr>
          <w:rFonts w:ascii="Verdana" w:hAnsi="Verdana"/>
          <w:b w:val="0"/>
          <w:sz w:val="20"/>
          <w:lang w:val="es-CR"/>
        </w:rPr>
        <w:t xml:space="preserve"> a toda persona dentro de su jurisdicción, </w:t>
      </w:r>
      <w:r w:rsidR="006D1DDD">
        <w:rPr>
          <w:rFonts w:ascii="Verdana" w:hAnsi="Verdana"/>
          <w:b w:val="0"/>
          <w:sz w:val="20"/>
          <w:lang w:val="es-CR"/>
        </w:rPr>
        <w:t xml:space="preserve">de </w:t>
      </w:r>
      <w:r w:rsidR="00E46C69" w:rsidRPr="00120976">
        <w:rPr>
          <w:rFonts w:ascii="Verdana" w:hAnsi="Verdana"/>
          <w:b w:val="0"/>
          <w:sz w:val="20"/>
          <w:lang w:val="es-CR"/>
        </w:rPr>
        <w:t xml:space="preserve">derechos y garantías que obligan no solo al Estado, sino que además alcanzan a terceros privados; en ese sentido, ante actos arbitrarios que violentan DD.HH., como son el irrestricto ejercicio de [su] profesión de </w:t>
      </w:r>
      <w:r w:rsidR="00015FB4">
        <w:rPr>
          <w:rFonts w:ascii="Verdana" w:hAnsi="Verdana"/>
          <w:b w:val="0"/>
          <w:sz w:val="20"/>
          <w:lang w:val="es-CR"/>
        </w:rPr>
        <w:t>a</w:t>
      </w:r>
      <w:r w:rsidR="00E46C69" w:rsidRPr="00120976">
        <w:rPr>
          <w:rFonts w:ascii="Verdana" w:hAnsi="Verdana"/>
          <w:b w:val="0"/>
          <w:sz w:val="20"/>
          <w:lang w:val="es-CR"/>
        </w:rPr>
        <w:t>bogado, y el de la defensa de [su] patrimonio, los que se vienen dando en el marco de una investigación preliminar a cargo de la Fiscal Provincial Penal […], titular de la 21 Fis</w:t>
      </w:r>
      <w:r w:rsidR="00E17230">
        <w:rPr>
          <w:rFonts w:ascii="Verdana" w:hAnsi="Verdana"/>
          <w:b w:val="0"/>
          <w:sz w:val="20"/>
          <w:lang w:val="es-CR"/>
        </w:rPr>
        <w:t>calía Provincial Penal de Lima-</w:t>
      </w:r>
      <w:r w:rsidR="00E46C69" w:rsidRPr="00120976">
        <w:rPr>
          <w:rFonts w:ascii="Verdana" w:hAnsi="Verdana"/>
          <w:b w:val="0"/>
          <w:sz w:val="20"/>
          <w:lang w:val="es-CR"/>
        </w:rPr>
        <w:t>Perú, en el cual interviene un influyente Estudio Jurídico […], solicitó se [le] concedan u otorguen medidas provisionales”.</w:t>
      </w:r>
      <w:r w:rsidR="00E46C69" w:rsidRPr="009E5338">
        <w:rPr>
          <w:rFonts w:ascii="Verdana" w:hAnsi="Verdana"/>
          <w:b w:val="0"/>
          <w:sz w:val="20"/>
          <w:lang w:val="es-CR"/>
        </w:rPr>
        <w:t xml:space="preserve"> </w:t>
      </w:r>
      <w:r w:rsidR="00120976" w:rsidRPr="00120976">
        <w:rPr>
          <w:rFonts w:ascii="Verdana" w:hAnsi="Verdana"/>
          <w:b w:val="0"/>
          <w:sz w:val="20"/>
          <w:lang w:val="es-CR"/>
        </w:rPr>
        <w:t>(sin marcar mayúsculas y negrita del original)</w:t>
      </w:r>
    </w:p>
    <w:p w:rsidR="00CA0878" w:rsidRPr="00120976" w:rsidRDefault="00CA0878" w:rsidP="00CA0878">
      <w:pPr>
        <w:pStyle w:val="Sangra3detindependiente"/>
        <w:widowControl w:val="0"/>
        <w:ind w:left="0" w:right="18"/>
        <w:rPr>
          <w:rFonts w:ascii="Verdana" w:eastAsia="Times" w:hAnsi="Verdana"/>
          <w:b w:val="0"/>
          <w:sz w:val="20"/>
        </w:rPr>
      </w:pPr>
    </w:p>
    <w:p w:rsidR="00120976" w:rsidRPr="00120976" w:rsidRDefault="00120976" w:rsidP="00120976">
      <w:pPr>
        <w:pStyle w:val="Sangra3detindependiente"/>
        <w:widowControl w:val="0"/>
        <w:numPr>
          <w:ilvl w:val="0"/>
          <w:numId w:val="3"/>
        </w:numPr>
        <w:ind w:left="0" w:right="18" w:firstLine="0"/>
        <w:rPr>
          <w:rFonts w:ascii="Verdana" w:eastAsia="Times" w:hAnsi="Verdana"/>
          <w:b w:val="0"/>
          <w:sz w:val="20"/>
        </w:rPr>
      </w:pPr>
      <w:r>
        <w:rPr>
          <w:rFonts w:ascii="Verdana" w:hAnsi="Verdana"/>
          <w:b w:val="0"/>
          <w:sz w:val="20"/>
          <w:lang w:val="es-CR"/>
        </w:rPr>
        <w:t>Los hechos en que fundamenta la solicitud</w:t>
      </w:r>
      <w:r w:rsidR="00E17230">
        <w:rPr>
          <w:rFonts w:ascii="Verdana" w:hAnsi="Verdana"/>
          <w:b w:val="0"/>
          <w:sz w:val="20"/>
          <w:lang w:val="es-CR"/>
        </w:rPr>
        <w:t>, entre otros,</w:t>
      </w:r>
      <w:r>
        <w:rPr>
          <w:rFonts w:ascii="Verdana" w:hAnsi="Verdana"/>
          <w:b w:val="0"/>
          <w:sz w:val="20"/>
          <w:lang w:val="es-CR"/>
        </w:rPr>
        <w:t xml:space="preserve"> son los siguientes:</w:t>
      </w:r>
    </w:p>
    <w:p w:rsidR="009A657F" w:rsidRPr="009150B2" w:rsidRDefault="009A657F" w:rsidP="00E46C69">
      <w:pPr>
        <w:pStyle w:val="Sangra3detindependiente"/>
        <w:widowControl w:val="0"/>
        <w:ind w:right="18"/>
        <w:rPr>
          <w:rFonts w:ascii="Verdana" w:eastAsia="Times" w:hAnsi="Verdana"/>
          <w:b w:val="0"/>
          <w:sz w:val="20"/>
        </w:rPr>
      </w:pPr>
      <w:r w:rsidRPr="009150B2">
        <w:rPr>
          <w:rFonts w:ascii="Verdana" w:hAnsi="Verdana"/>
          <w:b w:val="0"/>
          <w:sz w:val="20"/>
        </w:rPr>
        <w:t xml:space="preserve"> </w:t>
      </w:r>
    </w:p>
    <w:p w:rsidR="00120976" w:rsidRPr="00120976" w:rsidRDefault="00120976" w:rsidP="00CA0878">
      <w:pPr>
        <w:pStyle w:val="Prrafodelista"/>
        <w:numPr>
          <w:ilvl w:val="0"/>
          <w:numId w:val="6"/>
        </w:numPr>
        <w:spacing w:after="200" w:line="276" w:lineRule="auto"/>
        <w:ind w:left="720" w:firstLine="0"/>
        <w:contextualSpacing/>
        <w:jc w:val="both"/>
        <w:rPr>
          <w:rFonts w:ascii="Verdana" w:hAnsi="Verdana"/>
          <w:sz w:val="20"/>
          <w:szCs w:val="20"/>
          <w:lang w:val="es-CR"/>
        </w:rPr>
      </w:pPr>
      <w:r w:rsidRPr="00120976">
        <w:rPr>
          <w:rFonts w:ascii="Verdana" w:hAnsi="Verdana"/>
          <w:sz w:val="18"/>
          <w:szCs w:val="18"/>
          <w:lang w:val="es-CR"/>
        </w:rPr>
        <w:t xml:space="preserve">en su condición de socio y representante legal de la empresa viajes Trotamundo S.A.C, el 27 de mayo de 2017 formuló denuncia penal contra dos personas, </w:t>
      </w:r>
      <w:r w:rsidR="008E0312">
        <w:rPr>
          <w:rFonts w:ascii="Verdana" w:hAnsi="Verdana"/>
          <w:sz w:val="18"/>
          <w:szCs w:val="18"/>
          <w:lang w:val="es-CR"/>
        </w:rPr>
        <w:t xml:space="preserve">siendo </w:t>
      </w:r>
      <w:r w:rsidRPr="00120976">
        <w:rPr>
          <w:rFonts w:ascii="Verdana" w:hAnsi="Verdana"/>
          <w:sz w:val="18"/>
          <w:szCs w:val="18"/>
          <w:lang w:val="es-CR"/>
        </w:rPr>
        <w:t xml:space="preserve">una de ellas abogado y socio del Estudio </w:t>
      </w:r>
      <w:r w:rsidR="000464C8" w:rsidRPr="00120976">
        <w:rPr>
          <w:rFonts w:ascii="Verdana" w:hAnsi="Verdana"/>
          <w:sz w:val="18"/>
          <w:szCs w:val="18"/>
          <w:lang w:val="es-CR"/>
        </w:rPr>
        <w:t>Ben</w:t>
      </w:r>
      <w:r w:rsidR="000464C8">
        <w:rPr>
          <w:rFonts w:ascii="Verdana" w:hAnsi="Verdana"/>
          <w:sz w:val="18"/>
          <w:szCs w:val="18"/>
          <w:lang w:val="es-CR"/>
        </w:rPr>
        <w:t>í</w:t>
      </w:r>
      <w:r w:rsidR="000464C8" w:rsidRPr="00120976">
        <w:rPr>
          <w:rFonts w:ascii="Verdana" w:hAnsi="Verdana"/>
          <w:sz w:val="18"/>
          <w:szCs w:val="18"/>
          <w:lang w:val="es-CR"/>
        </w:rPr>
        <w:t>tez</w:t>
      </w:r>
      <w:r w:rsidRPr="00120976">
        <w:rPr>
          <w:rFonts w:ascii="Verdana" w:hAnsi="Verdana"/>
          <w:sz w:val="18"/>
          <w:szCs w:val="18"/>
          <w:lang w:val="es-CR"/>
        </w:rPr>
        <w:t>, Vargas &amp; Ugaz Abogados</w:t>
      </w:r>
      <w:r w:rsidR="00156C80">
        <w:rPr>
          <w:rFonts w:ascii="Verdana" w:hAnsi="Verdana"/>
          <w:sz w:val="18"/>
          <w:szCs w:val="18"/>
          <w:lang w:val="es-CR"/>
        </w:rPr>
        <w:t>;</w:t>
      </w:r>
      <w:r w:rsidRPr="00120976">
        <w:rPr>
          <w:rFonts w:ascii="Verdana" w:hAnsi="Verdana"/>
          <w:sz w:val="18"/>
          <w:szCs w:val="18"/>
          <w:lang w:val="es-CR"/>
        </w:rPr>
        <w:t xml:space="preserve"> por los delitos de Usurpación Agravada y otros, en su agravio y de la referida empresa, la cual </w:t>
      </w:r>
      <w:r w:rsidR="00156C80">
        <w:rPr>
          <w:rFonts w:ascii="Verdana" w:hAnsi="Verdana"/>
          <w:sz w:val="18"/>
          <w:szCs w:val="18"/>
          <w:lang w:val="es-CR"/>
        </w:rPr>
        <w:t xml:space="preserve">fue remitida por </w:t>
      </w:r>
      <w:r w:rsidRPr="00120976">
        <w:rPr>
          <w:rFonts w:ascii="Verdana" w:hAnsi="Verdana"/>
          <w:sz w:val="18"/>
          <w:szCs w:val="18"/>
          <w:lang w:val="es-CR"/>
        </w:rPr>
        <w:t xml:space="preserve">la Policía de la DIRINCRI a la 21 Fiscalía </w:t>
      </w:r>
      <w:r w:rsidRPr="00120976">
        <w:rPr>
          <w:rFonts w:ascii="Verdana" w:hAnsi="Verdana"/>
          <w:sz w:val="18"/>
          <w:szCs w:val="18"/>
          <w:lang w:val="es-CR"/>
        </w:rPr>
        <w:lastRenderedPageBreak/>
        <w:t xml:space="preserve">Provincial Penal de Lima. La Fiscalía ordenó el inicio de la investigación preliminar a la policía especializada, </w:t>
      </w:r>
      <w:r w:rsidR="00156C80">
        <w:rPr>
          <w:rFonts w:ascii="Verdana" w:hAnsi="Verdana"/>
          <w:sz w:val="18"/>
          <w:szCs w:val="18"/>
          <w:lang w:val="es-CR"/>
        </w:rPr>
        <w:t xml:space="preserve">que </w:t>
      </w:r>
      <w:r w:rsidRPr="00120976">
        <w:rPr>
          <w:rFonts w:ascii="Verdana" w:hAnsi="Verdana"/>
          <w:sz w:val="18"/>
          <w:szCs w:val="18"/>
          <w:lang w:val="es-CR"/>
        </w:rPr>
        <w:t xml:space="preserve">elaboró el Atestado Policial No. 847-2017-DIRICRI-PNP/DIVIEOD-D2 “concluyendo por la responsabilidad penal de los referidos denunciados e investigados, así como de otras tres personas más, por la comisión de los delitos de Usurpación Agravada y el de Apropiación Ilícita”. La policía devolvió los actuados a la Fiscalía, la </w:t>
      </w:r>
      <w:proofErr w:type="gramStart"/>
      <w:r w:rsidRPr="00120976">
        <w:rPr>
          <w:rFonts w:ascii="Verdana" w:hAnsi="Verdana"/>
          <w:sz w:val="18"/>
          <w:szCs w:val="18"/>
          <w:lang w:val="es-CR"/>
        </w:rPr>
        <w:t>cual</w:t>
      </w:r>
      <w:proofErr w:type="gramEnd"/>
      <w:r w:rsidRPr="00120976">
        <w:rPr>
          <w:rFonts w:ascii="Verdana" w:hAnsi="Verdana"/>
          <w:sz w:val="18"/>
          <w:szCs w:val="18"/>
          <w:lang w:val="es-CR"/>
        </w:rPr>
        <w:t xml:space="preserve"> en </w:t>
      </w:r>
      <w:r w:rsidR="00156C80">
        <w:rPr>
          <w:rFonts w:ascii="Verdana" w:hAnsi="Verdana"/>
          <w:sz w:val="18"/>
          <w:szCs w:val="18"/>
          <w:lang w:val="es-CR"/>
        </w:rPr>
        <w:t xml:space="preserve">lugar </w:t>
      </w:r>
      <w:r w:rsidRPr="00120976">
        <w:rPr>
          <w:rFonts w:ascii="Verdana" w:hAnsi="Verdana"/>
          <w:sz w:val="18"/>
          <w:szCs w:val="18"/>
          <w:lang w:val="es-CR"/>
        </w:rPr>
        <w:t xml:space="preserve">de formular denuncia penal, ante una solicitud del abogado </w:t>
      </w:r>
      <w:r w:rsidR="00E17230">
        <w:rPr>
          <w:rFonts w:ascii="Verdana" w:hAnsi="Verdana"/>
          <w:sz w:val="18"/>
          <w:szCs w:val="18"/>
          <w:lang w:val="es-CR"/>
        </w:rPr>
        <w:t xml:space="preserve">denunciado y con una “celeridad </w:t>
      </w:r>
      <w:r w:rsidRPr="00120976">
        <w:rPr>
          <w:rFonts w:ascii="Verdana" w:hAnsi="Verdana"/>
          <w:sz w:val="18"/>
          <w:szCs w:val="18"/>
          <w:lang w:val="es-CR"/>
        </w:rPr>
        <w:t>inusual”, dispuso la ampliación de la investigación.</w:t>
      </w:r>
      <w:r>
        <w:rPr>
          <w:rFonts w:ascii="Verdana" w:hAnsi="Verdana"/>
          <w:sz w:val="18"/>
          <w:szCs w:val="18"/>
          <w:lang w:val="es-CR"/>
        </w:rPr>
        <w:t xml:space="preserve"> (sin marcar negritas del original)</w:t>
      </w:r>
    </w:p>
    <w:p w:rsidR="000F1DEC" w:rsidRPr="00120976" w:rsidRDefault="00120976" w:rsidP="00CA0878">
      <w:pPr>
        <w:pStyle w:val="Prrafodelista"/>
        <w:numPr>
          <w:ilvl w:val="0"/>
          <w:numId w:val="6"/>
        </w:numPr>
        <w:spacing w:after="200" w:line="276" w:lineRule="auto"/>
        <w:ind w:left="720" w:firstLine="0"/>
        <w:contextualSpacing/>
        <w:jc w:val="both"/>
        <w:rPr>
          <w:rFonts w:ascii="Verdana" w:hAnsi="Verdana"/>
          <w:sz w:val="20"/>
          <w:szCs w:val="20"/>
          <w:lang w:val="es-CR"/>
        </w:rPr>
      </w:pPr>
      <w:r>
        <w:rPr>
          <w:rFonts w:ascii="Verdana" w:hAnsi="Verdana"/>
          <w:sz w:val="18"/>
          <w:szCs w:val="18"/>
          <w:lang w:val="es-CR"/>
        </w:rPr>
        <w:t>e</w:t>
      </w:r>
      <w:r w:rsidRPr="00120976">
        <w:rPr>
          <w:rFonts w:ascii="Verdana" w:hAnsi="Verdana"/>
          <w:sz w:val="18"/>
          <w:szCs w:val="18"/>
          <w:lang w:val="es-CR"/>
        </w:rPr>
        <w:t xml:space="preserve">n el marco de dicha ampliación es que el señor Galindo Cárdenas alega que tanto el abogado denunciado “en </w:t>
      </w:r>
      <w:r w:rsidR="009E5338">
        <w:rPr>
          <w:rFonts w:ascii="Verdana" w:hAnsi="Verdana"/>
          <w:sz w:val="18"/>
          <w:szCs w:val="18"/>
          <w:lang w:val="es-CR"/>
        </w:rPr>
        <w:t>concierto” con los abogados del</w:t>
      </w:r>
      <w:r w:rsidRPr="00120976">
        <w:rPr>
          <w:rFonts w:ascii="Verdana" w:hAnsi="Verdana"/>
          <w:sz w:val="18"/>
          <w:szCs w:val="18"/>
          <w:lang w:val="es-CR"/>
        </w:rPr>
        <w:t xml:space="preserve"> referido Estudio y los otros investigados, “empiezan a desarrollar continuos y agraviantes actos […] con el deliberado propósito de desacreditar[lo] como profesional y persona” y solicitaron que “se proceda a denunciar[lo] por el delito de Falsa Denuncia”. Agregó que “con absoluta temeridad y mala fe, le exigieron y pretendieron CRIMINALIZAR [SU] EJERCICIO PROFESIONAL DE ABOGADO POR EL SOLO HECHO DE DEFENDER DE MANERA FORMAL Y CON LAS PRUEBAS PERTINENTES [SUS] LEGITIMOS DERECHOS FUNDAMENTALES QUE SE VENIAN VIOLANDO, YA CONSUMADOS, ASI COMO LOS DE LA EMPRESA VIAJES TROTAMUNDO. COMS.A.C. DE LA QUE [ES] S</w:t>
      </w:r>
      <w:r>
        <w:rPr>
          <w:rFonts w:ascii="Verdana" w:hAnsi="Verdana"/>
          <w:sz w:val="18"/>
          <w:szCs w:val="18"/>
          <w:lang w:val="es-CR"/>
        </w:rPr>
        <w:t>OCIO Y SU REPRESENTANTE LEGAL”.</w:t>
      </w:r>
      <w:r w:rsidRPr="00120976">
        <w:rPr>
          <w:rFonts w:ascii="Verdana" w:hAnsi="Verdana"/>
          <w:sz w:val="18"/>
          <w:szCs w:val="18"/>
          <w:lang w:val="es-CR"/>
        </w:rPr>
        <w:t xml:space="preserve"> </w:t>
      </w:r>
      <w:r w:rsidR="009E5338">
        <w:rPr>
          <w:rFonts w:ascii="Verdana" w:hAnsi="Verdana"/>
          <w:sz w:val="18"/>
          <w:szCs w:val="18"/>
          <w:lang w:val="es-CR"/>
        </w:rPr>
        <w:t xml:space="preserve">(mayúsculas de original) </w:t>
      </w:r>
      <w:r w:rsidRPr="00120976">
        <w:rPr>
          <w:rFonts w:ascii="Verdana" w:hAnsi="Verdana"/>
          <w:sz w:val="18"/>
          <w:szCs w:val="18"/>
          <w:lang w:val="es-CR"/>
        </w:rPr>
        <w:t>Agregó que “los agraviantes y temerarios actos procesales desarrollados por los investigado</w:t>
      </w:r>
      <w:r w:rsidR="00E17230">
        <w:rPr>
          <w:rFonts w:ascii="Verdana" w:hAnsi="Verdana"/>
          <w:sz w:val="18"/>
          <w:szCs w:val="18"/>
          <w:lang w:val="es-CR"/>
        </w:rPr>
        <w:t>s</w:t>
      </w:r>
      <w:r w:rsidRPr="00120976">
        <w:rPr>
          <w:rFonts w:ascii="Verdana" w:hAnsi="Verdana"/>
          <w:sz w:val="18"/>
          <w:szCs w:val="18"/>
          <w:lang w:val="es-CR"/>
        </w:rPr>
        <w:t>, patrocinados por el influyente Estudio Jurídico […], y como también, el irregular y sospechoso ejercicio Fiscal de la magistrada [a cargo] tuvieron como propósitos, primero, el de causar[le] agra</w:t>
      </w:r>
      <w:r w:rsidR="00E17230">
        <w:rPr>
          <w:rFonts w:ascii="Verdana" w:hAnsi="Verdana"/>
          <w:sz w:val="18"/>
          <w:szCs w:val="18"/>
          <w:lang w:val="es-CR"/>
        </w:rPr>
        <w:t>vios profesionales y personales</w:t>
      </w:r>
      <w:r w:rsidRPr="00120976">
        <w:rPr>
          <w:rFonts w:ascii="Verdana" w:hAnsi="Verdana"/>
          <w:sz w:val="18"/>
          <w:szCs w:val="18"/>
          <w:lang w:val="es-CR"/>
        </w:rPr>
        <w:t>, al solicitar temerariamente criminalizar [su] ejercicio profesional de Abogado, y segundo, la prevaricado</w:t>
      </w:r>
      <w:r>
        <w:rPr>
          <w:rFonts w:ascii="Verdana" w:hAnsi="Verdana"/>
          <w:sz w:val="18"/>
          <w:szCs w:val="18"/>
          <w:lang w:val="es-CR"/>
        </w:rPr>
        <w:t>ra</w:t>
      </w:r>
      <w:r w:rsidR="00CA0878">
        <w:rPr>
          <w:rFonts w:ascii="Verdana" w:hAnsi="Verdana"/>
          <w:sz w:val="18"/>
          <w:szCs w:val="18"/>
          <w:lang w:val="es-CR"/>
        </w:rPr>
        <w:t xml:space="preserve"> Resolución de</w:t>
      </w:r>
      <w:r w:rsidRPr="00120976">
        <w:rPr>
          <w:rFonts w:ascii="Verdana" w:hAnsi="Verdana"/>
          <w:sz w:val="18"/>
          <w:szCs w:val="18"/>
          <w:lang w:val="es-CR"/>
        </w:rPr>
        <w:t xml:space="preserve"> Archivamiento Definitivo de la investigación expedida por dicha Fiscal, con la que se </w:t>
      </w:r>
      <w:r w:rsidR="00E17230">
        <w:rPr>
          <w:rFonts w:ascii="Verdana" w:hAnsi="Verdana"/>
          <w:sz w:val="18"/>
          <w:szCs w:val="18"/>
          <w:lang w:val="es-CR"/>
        </w:rPr>
        <w:t>[le]</w:t>
      </w:r>
      <w:r w:rsidRPr="00120976">
        <w:rPr>
          <w:rFonts w:ascii="Verdana" w:hAnsi="Verdana"/>
          <w:sz w:val="18"/>
          <w:szCs w:val="18"/>
          <w:lang w:val="es-CR"/>
        </w:rPr>
        <w:t xml:space="preserve"> viene causando evidentes daños y perjuicios, contraviniendo abiertamente el marco Constitucional y Legal interno”.</w:t>
      </w:r>
      <w:r w:rsidR="00CA0878">
        <w:rPr>
          <w:rFonts w:ascii="Verdana" w:hAnsi="Verdana"/>
          <w:sz w:val="18"/>
          <w:szCs w:val="18"/>
          <w:lang w:val="es-CR"/>
        </w:rPr>
        <w:t xml:space="preserve"> (sin marcar negritas del original)</w:t>
      </w:r>
    </w:p>
    <w:p w:rsidR="00120976" w:rsidRDefault="00120976" w:rsidP="000323DD">
      <w:pPr>
        <w:pStyle w:val="Prrafodelista"/>
        <w:numPr>
          <w:ilvl w:val="0"/>
          <w:numId w:val="6"/>
        </w:numPr>
        <w:spacing w:line="276" w:lineRule="auto"/>
        <w:ind w:left="720" w:firstLine="0"/>
        <w:contextualSpacing/>
        <w:jc w:val="both"/>
        <w:rPr>
          <w:rFonts w:ascii="Verdana" w:hAnsi="Verdana"/>
          <w:sz w:val="18"/>
          <w:szCs w:val="18"/>
          <w:lang w:val="es-CR"/>
        </w:rPr>
      </w:pPr>
      <w:r w:rsidRPr="00805A6A">
        <w:rPr>
          <w:rFonts w:ascii="Verdana" w:hAnsi="Verdana"/>
          <w:sz w:val="18"/>
          <w:szCs w:val="18"/>
          <w:lang w:val="es-CR"/>
        </w:rPr>
        <w:t>Concluyó que</w:t>
      </w:r>
      <w:r w:rsidR="00ED0B48">
        <w:rPr>
          <w:rFonts w:ascii="Verdana" w:hAnsi="Verdana"/>
          <w:sz w:val="18"/>
          <w:szCs w:val="18"/>
          <w:lang w:val="es-CR"/>
        </w:rPr>
        <w:t xml:space="preserve"> </w:t>
      </w:r>
      <w:r w:rsidRPr="00805A6A">
        <w:rPr>
          <w:rFonts w:ascii="Verdana" w:hAnsi="Verdana"/>
          <w:sz w:val="18"/>
          <w:szCs w:val="18"/>
          <w:lang w:val="es-CR"/>
        </w:rPr>
        <w:t>“ante la arbitraria e ilegal resolución de archivamiento expedido por la Fiscal […], pende sobre [su] persona una eventual denuncia penal, por supuestamente haber efectuado una denuncia falsa contra los denunciados, conforme así se lo solicitaron a la Fiscal, y simultáneamente también las copias certificadas que la aparejan, los abogados del Estudio que patrocinan a los investigados; singular y controvertida situación legal, que pone en inminente riesgo [su] integridad física y psíquica, siendo unas de las razones para que de manera oportuna y de acuerdo a la ley, se [le] otorguen garantías de protección judicial, y de esa manera se ampare [su] solicitud de medidas provisionales”.</w:t>
      </w:r>
    </w:p>
    <w:p w:rsidR="009479C1" w:rsidRPr="00805A6A" w:rsidRDefault="009479C1" w:rsidP="000323DD">
      <w:pPr>
        <w:pStyle w:val="Prrafodelista"/>
        <w:spacing w:line="276" w:lineRule="auto"/>
        <w:ind w:left="0"/>
        <w:contextualSpacing/>
        <w:jc w:val="both"/>
        <w:rPr>
          <w:rFonts w:ascii="Verdana" w:hAnsi="Verdana"/>
          <w:sz w:val="18"/>
          <w:szCs w:val="18"/>
          <w:lang w:val="es-CR"/>
        </w:rPr>
      </w:pPr>
    </w:p>
    <w:p w:rsidR="009A657F" w:rsidRDefault="009A657F" w:rsidP="000323DD">
      <w:pPr>
        <w:tabs>
          <w:tab w:val="left" w:pos="680"/>
        </w:tabs>
        <w:ind w:right="18"/>
        <w:jc w:val="both"/>
        <w:rPr>
          <w:rFonts w:ascii="Verdana" w:hAnsi="Verdana"/>
          <w:b/>
          <w:sz w:val="20"/>
        </w:rPr>
      </w:pPr>
      <w:r>
        <w:rPr>
          <w:rFonts w:ascii="Verdana" w:hAnsi="Verdana"/>
          <w:b/>
          <w:sz w:val="20"/>
        </w:rPr>
        <w:t>CONSIDERANDO:</w:t>
      </w:r>
    </w:p>
    <w:p w:rsidR="009A657F" w:rsidRDefault="009A657F" w:rsidP="009A657F">
      <w:pPr>
        <w:tabs>
          <w:tab w:val="left" w:pos="680"/>
        </w:tabs>
        <w:ind w:right="18"/>
        <w:jc w:val="both"/>
        <w:rPr>
          <w:rFonts w:ascii="Verdana" w:hAnsi="Verdana"/>
          <w:b/>
          <w:sz w:val="20"/>
        </w:rPr>
      </w:pPr>
    </w:p>
    <w:p w:rsidR="009A657F" w:rsidRDefault="009A657F" w:rsidP="0056734C">
      <w:pPr>
        <w:pStyle w:val="Prrafodelista1"/>
        <w:numPr>
          <w:ilvl w:val="0"/>
          <w:numId w:val="1"/>
        </w:numPr>
        <w:tabs>
          <w:tab w:val="clear" w:pos="360"/>
        </w:tabs>
        <w:ind w:left="0" w:firstLine="0"/>
        <w:jc w:val="both"/>
        <w:rPr>
          <w:sz w:val="20"/>
          <w:szCs w:val="20"/>
        </w:rPr>
      </w:pPr>
      <w:r w:rsidRPr="00F21821">
        <w:rPr>
          <w:sz w:val="20"/>
          <w:szCs w:val="20"/>
        </w:rPr>
        <w:t xml:space="preserve">El Perú ratificó la Convención Americana sobre Derechos Humanos </w:t>
      </w:r>
      <w:r w:rsidR="00C1623C" w:rsidRPr="00F43042">
        <w:rPr>
          <w:sz w:val="20"/>
          <w:lang w:val="es-ES_tradnl"/>
        </w:rPr>
        <w:t xml:space="preserve">(en adelante </w:t>
      </w:r>
      <w:r w:rsidR="00A4088D">
        <w:rPr>
          <w:sz w:val="20"/>
          <w:lang w:val="es-ES_tradnl"/>
        </w:rPr>
        <w:t xml:space="preserve">también “la Convención Americana” o </w:t>
      </w:r>
      <w:r w:rsidR="00C1623C" w:rsidRPr="00F43042">
        <w:rPr>
          <w:sz w:val="20"/>
          <w:lang w:val="es-ES_tradnl"/>
        </w:rPr>
        <w:t>“la Convención”)</w:t>
      </w:r>
      <w:r w:rsidR="00C1623C">
        <w:rPr>
          <w:sz w:val="20"/>
          <w:lang w:val="es-ES_tradnl"/>
        </w:rPr>
        <w:t xml:space="preserve"> </w:t>
      </w:r>
      <w:r w:rsidRPr="00F21821">
        <w:rPr>
          <w:sz w:val="20"/>
          <w:szCs w:val="20"/>
        </w:rPr>
        <w:t>el 28 de julio de 1978 y, de acuerdo con su artículo 62, reconoció la competencia contenciosa de la Corte el 21 de enero de 1981.</w:t>
      </w:r>
    </w:p>
    <w:p w:rsidR="009A657F" w:rsidRDefault="009A657F" w:rsidP="0056734C">
      <w:pPr>
        <w:pStyle w:val="Prrafodelista"/>
        <w:ind w:left="0"/>
        <w:rPr>
          <w:sz w:val="20"/>
          <w:szCs w:val="20"/>
        </w:rPr>
      </w:pPr>
    </w:p>
    <w:p w:rsidR="009A657F" w:rsidRPr="002777F0" w:rsidRDefault="009A657F" w:rsidP="009A657F">
      <w:pPr>
        <w:pStyle w:val="Prrafodelista1"/>
        <w:numPr>
          <w:ilvl w:val="0"/>
          <w:numId w:val="1"/>
        </w:numPr>
        <w:tabs>
          <w:tab w:val="clear" w:pos="360"/>
          <w:tab w:val="num" w:pos="0"/>
        </w:tabs>
        <w:ind w:left="0" w:firstLine="0"/>
        <w:jc w:val="both"/>
        <w:rPr>
          <w:sz w:val="20"/>
          <w:szCs w:val="20"/>
        </w:rPr>
      </w:pPr>
      <w:r w:rsidRPr="002777F0">
        <w:rPr>
          <w:rFonts w:cs="Arial"/>
          <w:sz w:val="20"/>
          <w:szCs w:val="20"/>
        </w:rPr>
        <w:t xml:space="preserve">En los términos del artículo 27.3 del Reglamento de la Corte, </w:t>
      </w:r>
      <w:r w:rsidRPr="002777F0">
        <w:rPr>
          <w:sz w:val="20"/>
          <w:szCs w:val="20"/>
        </w:rPr>
        <w:t xml:space="preserve">“[e]n los casos contenciosos que ya se encuentren en conocimiento de la Corte, las víctimas o las presuntas víctimas, o sus representantes, podrán presentar directamente a ésta una solicitud de medidas provisionales, las </w:t>
      </w:r>
      <w:r w:rsidR="00145C83" w:rsidRPr="002777F0">
        <w:rPr>
          <w:sz w:val="20"/>
          <w:szCs w:val="20"/>
        </w:rPr>
        <w:t xml:space="preserve">que </w:t>
      </w:r>
      <w:r w:rsidRPr="002777F0">
        <w:rPr>
          <w:sz w:val="20"/>
          <w:szCs w:val="20"/>
        </w:rPr>
        <w:t>deberán tener relación con el objeto del caso”.</w:t>
      </w:r>
    </w:p>
    <w:p w:rsidR="009A657F" w:rsidRPr="008E582B" w:rsidRDefault="009A657F" w:rsidP="009A657F">
      <w:pPr>
        <w:jc w:val="both"/>
      </w:pPr>
    </w:p>
    <w:p w:rsidR="009A657F" w:rsidRPr="00B743CC" w:rsidRDefault="009A657F" w:rsidP="009A657F">
      <w:pPr>
        <w:numPr>
          <w:ilvl w:val="0"/>
          <w:numId w:val="1"/>
        </w:numPr>
        <w:tabs>
          <w:tab w:val="clear" w:pos="360"/>
          <w:tab w:val="num" w:pos="720"/>
        </w:tabs>
        <w:ind w:left="0" w:firstLine="0"/>
        <w:jc w:val="both"/>
        <w:rPr>
          <w:rFonts w:ascii="Verdana" w:hAnsi="Verdana"/>
          <w:b/>
          <w:sz w:val="20"/>
          <w:szCs w:val="20"/>
        </w:rPr>
      </w:pPr>
      <w:r w:rsidRPr="00111C62">
        <w:rPr>
          <w:rFonts w:ascii="Verdana" w:hAnsi="Verdana"/>
          <w:sz w:val="20"/>
          <w:szCs w:val="20"/>
        </w:rPr>
        <w:t>En el Derecho Internacional de los Derechos Humanos las medidas provisionales tienen un carácter no sólo cautelar, en el sentido de que preservan una situación jurídica, sino fundamentalmente tutelar por cuanto protegen derechos humanos y en la medida que buscan evitar daños irreparables a las personas. De esta manera, las medidas provisionales se transforman en una verdadera garantía jurisdiccional de carácter preventivo</w:t>
      </w:r>
      <w:r w:rsidRPr="00111C62">
        <w:rPr>
          <w:rStyle w:val="Refdenotaalpie"/>
          <w:rFonts w:ascii="Verdana" w:hAnsi="Verdana"/>
          <w:sz w:val="20"/>
        </w:rPr>
        <w:footnoteReference w:id="2"/>
      </w:r>
      <w:r w:rsidRPr="00111C62">
        <w:rPr>
          <w:rFonts w:ascii="Verdana" w:hAnsi="Verdana"/>
          <w:sz w:val="20"/>
          <w:szCs w:val="20"/>
        </w:rPr>
        <w:t>.</w:t>
      </w:r>
    </w:p>
    <w:p w:rsidR="009A657F" w:rsidRPr="00B8641D" w:rsidRDefault="009A657F" w:rsidP="009A657F">
      <w:pPr>
        <w:ind w:right="18"/>
        <w:jc w:val="both"/>
        <w:rPr>
          <w:rFonts w:ascii="Verdana" w:hAnsi="Verdana"/>
          <w:sz w:val="20"/>
        </w:rPr>
      </w:pPr>
    </w:p>
    <w:p w:rsidR="009A657F" w:rsidRPr="002C1267" w:rsidRDefault="009A657F" w:rsidP="009A657F">
      <w:pPr>
        <w:pStyle w:val="Textoindependiente"/>
        <w:numPr>
          <w:ilvl w:val="0"/>
          <w:numId w:val="1"/>
        </w:numPr>
        <w:tabs>
          <w:tab w:val="clear" w:pos="360"/>
        </w:tabs>
        <w:ind w:left="0" w:right="18" w:firstLine="0"/>
        <w:rPr>
          <w:rFonts w:ascii="Verdana" w:hAnsi="Verdana"/>
          <w:sz w:val="20"/>
        </w:rPr>
      </w:pPr>
      <w:r>
        <w:rPr>
          <w:rFonts w:ascii="Verdana" w:hAnsi="Verdana"/>
          <w:sz w:val="20"/>
        </w:rPr>
        <w:t>L</w:t>
      </w:r>
      <w:r w:rsidRPr="00B8641D">
        <w:rPr>
          <w:rFonts w:ascii="Verdana" w:hAnsi="Verdana"/>
          <w:sz w:val="20"/>
        </w:rPr>
        <w:t xml:space="preserve">as medidas provisionales pueden ordenarse siempre que en los antecedentes presentados a la Corte se demuestre </w:t>
      </w:r>
      <w:r w:rsidRPr="00B8641D">
        <w:rPr>
          <w:rFonts w:ascii="Verdana" w:hAnsi="Verdana"/>
          <w:i/>
          <w:sz w:val="20"/>
        </w:rPr>
        <w:t>prima facie</w:t>
      </w:r>
      <w:r w:rsidRPr="00B8641D">
        <w:rPr>
          <w:rFonts w:ascii="Verdana" w:hAnsi="Verdana"/>
          <w:sz w:val="20"/>
        </w:rPr>
        <w:t xml:space="preserve"> la configuración de una situación de extrema gravedad y urgencia y la inminencia de daño irreparable </w:t>
      </w:r>
      <w:r w:rsidRPr="00145C83">
        <w:rPr>
          <w:rFonts w:ascii="Verdana" w:hAnsi="Verdana"/>
          <w:sz w:val="20"/>
        </w:rPr>
        <w:t>a las personas</w:t>
      </w:r>
      <w:r w:rsidR="00005772" w:rsidRPr="00005772">
        <w:rPr>
          <w:rStyle w:val="Refdenotaalpie"/>
          <w:rFonts w:ascii="Verdana" w:hAnsi="Verdana"/>
          <w:sz w:val="20"/>
        </w:rPr>
        <w:footnoteReference w:id="3"/>
      </w:r>
      <w:r w:rsidRPr="00145C83">
        <w:rPr>
          <w:rFonts w:ascii="Verdana" w:hAnsi="Verdana"/>
          <w:sz w:val="20"/>
        </w:rPr>
        <w:t>.</w:t>
      </w:r>
      <w:r w:rsidRPr="00B8641D">
        <w:rPr>
          <w:rFonts w:ascii="Verdana" w:hAnsi="Verdana"/>
          <w:sz w:val="20"/>
        </w:rPr>
        <w:t xml:space="preserve"> </w:t>
      </w:r>
    </w:p>
    <w:p w:rsidR="009A657F" w:rsidRPr="00A84E4C" w:rsidRDefault="009A657F" w:rsidP="009A657F">
      <w:pPr>
        <w:spacing w:before="20" w:after="20"/>
        <w:ind w:right="14"/>
        <w:jc w:val="both"/>
        <w:rPr>
          <w:rFonts w:ascii="Verdana" w:hAnsi="Verdana"/>
          <w:sz w:val="20"/>
        </w:rPr>
      </w:pPr>
    </w:p>
    <w:p w:rsidR="003047DF" w:rsidRDefault="003047DF" w:rsidP="003047DF">
      <w:pPr>
        <w:numPr>
          <w:ilvl w:val="0"/>
          <w:numId w:val="1"/>
        </w:numPr>
        <w:tabs>
          <w:tab w:val="clear" w:pos="360"/>
        </w:tabs>
        <w:spacing w:before="20" w:after="20"/>
        <w:ind w:left="0" w:right="14" w:firstLine="0"/>
        <w:jc w:val="both"/>
        <w:rPr>
          <w:rFonts w:ascii="Verdana" w:hAnsi="Verdana"/>
          <w:sz w:val="20"/>
          <w:szCs w:val="20"/>
        </w:rPr>
      </w:pPr>
      <w:r>
        <w:rPr>
          <w:rFonts w:ascii="Verdana" w:hAnsi="Verdana"/>
          <w:sz w:val="20"/>
          <w:szCs w:val="20"/>
        </w:rPr>
        <w:t xml:space="preserve">El señor Galindo </w:t>
      </w:r>
      <w:r w:rsidRPr="00644041">
        <w:rPr>
          <w:rFonts w:ascii="Verdana" w:hAnsi="Verdana"/>
          <w:sz w:val="20"/>
          <w:szCs w:val="20"/>
        </w:rPr>
        <w:t xml:space="preserve">no ha explicado las razones suficientes por las cuales los hechos en que sustenta el pedido de medidas provisionales tienen relación </w:t>
      </w:r>
      <w:r>
        <w:rPr>
          <w:rFonts w:ascii="Verdana" w:hAnsi="Verdana"/>
          <w:sz w:val="20"/>
          <w:szCs w:val="20"/>
        </w:rPr>
        <w:t xml:space="preserve">con </w:t>
      </w:r>
      <w:proofErr w:type="gramStart"/>
      <w:r>
        <w:rPr>
          <w:rFonts w:ascii="Verdana" w:hAnsi="Verdana"/>
          <w:sz w:val="20"/>
          <w:szCs w:val="20"/>
        </w:rPr>
        <w:t>la violaciones declaradas</w:t>
      </w:r>
      <w:proofErr w:type="gramEnd"/>
      <w:r>
        <w:rPr>
          <w:rFonts w:ascii="Verdana" w:hAnsi="Verdana"/>
          <w:sz w:val="20"/>
          <w:szCs w:val="20"/>
        </w:rPr>
        <w:t xml:space="preserve"> en la </w:t>
      </w:r>
      <w:r w:rsidR="00114B18">
        <w:rPr>
          <w:rFonts w:ascii="Verdana" w:hAnsi="Verdana"/>
          <w:sz w:val="20"/>
          <w:szCs w:val="20"/>
        </w:rPr>
        <w:t>S</w:t>
      </w:r>
      <w:r>
        <w:rPr>
          <w:rFonts w:ascii="Verdana" w:hAnsi="Verdana"/>
          <w:sz w:val="20"/>
          <w:szCs w:val="20"/>
        </w:rPr>
        <w:t>entencia de la Corte de 2 de octubre de 2015, la cual tuvo como fundamento los hechos acaecidos a partir de su</w:t>
      </w:r>
      <w:r w:rsidRPr="00644041">
        <w:rPr>
          <w:rFonts w:ascii="Verdana" w:hAnsi="Verdana"/>
          <w:sz w:val="20"/>
          <w:szCs w:val="20"/>
        </w:rPr>
        <w:t xml:space="preserve"> privación de libertad, en octubre de 1994, p</w:t>
      </w:r>
      <w:r>
        <w:rPr>
          <w:rFonts w:ascii="Verdana" w:hAnsi="Verdana"/>
          <w:sz w:val="20"/>
          <w:szCs w:val="20"/>
        </w:rPr>
        <w:t>or la aplicación de legislación</w:t>
      </w:r>
      <w:r w:rsidRPr="00644041">
        <w:rPr>
          <w:rFonts w:ascii="Verdana" w:hAnsi="Verdana"/>
          <w:sz w:val="20"/>
          <w:szCs w:val="20"/>
        </w:rPr>
        <w:t xml:space="preserve"> atinente a delitos de terrorismo. </w:t>
      </w:r>
    </w:p>
    <w:p w:rsidR="003047DF" w:rsidRDefault="003047DF" w:rsidP="003047DF">
      <w:pPr>
        <w:spacing w:before="20" w:after="20"/>
        <w:ind w:right="14"/>
        <w:jc w:val="both"/>
        <w:rPr>
          <w:rFonts w:ascii="Verdana" w:hAnsi="Verdana"/>
          <w:sz w:val="20"/>
          <w:szCs w:val="20"/>
        </w:rPr>
      </w:pPr>
    </w:p>
    <w:p w:rsidR="00AA092E" w:rsidRDefault="009A657F" w:rsidP="009A657F">
      <w:pPr>
        <w:numPr>
          <w:ilvl w:val="0"/>
          <w:numId w:val="1"/>
        </w:numPr>
        <w:tabs>
          <w:tab w:val="clear" w:pos="360"/>
        </w:tabs>
        <w:spacing w:before="20" w:after="20"/>
        <w:ind w:left="0" w:right="14" w:firstLine="0"/>
        <w:jc w:val="both"/>
        <w:rPr>
          <w:rFonts w:ascii="Verdana" w:hAnsi="Verdana"/>
          <w:sz w:val="20"/>
          <w:szCs w:val="20"/>
        </w:rPr>
      </w:pPr>
      <w:r w:rsidRPr="00037537">
        <w:rPr>
          <w:rFonts w:ascii="Verdana" w:hAnsi="Verdana"/>
          <w:sz w:val="20"/>
          <w:szCs w:val="20"/>
        </w:rPr>
        <w:t>Después de haber examinado los hechos y c</w:t>
      </w:r>
      <w:r w:rsidR="003047DF">
        <w:rPr>
          <w:rFonts w:ascii="Verdana" w:hAnsi="Verdana"/>
          <w:sz w:val="20"/>
          <w:szCs w:val="20"/>
        </w:rPr>
        <w:t xml:space="preserve">ircunstancias que fundamentan </w:t>
      </w:r>
      <w:r w:rsidR="00ED0B48">
        <w:rPr>
          <w:rFonts w:ascii="Verdana" w:hAnsi="Verdana"/>
          <w:sz w:val="20"/>
          <w:szCs w:val="20"/>
        </w:rPr>
        <w:t>l</w:t>
      </w:r>
      <w:r w:rsidRPr="00037537">
        <w:rPr>
          <w:rFonts w:ascii="Verdana" w:hAnsi="Verdana"/>
          <w:sz w:val="20"/>
          <w:szCs w:val="20"/>
        </w:rPr>
        <w:t xml:space="preserve">a presente solicitud, este Tribunal estima que no resulta posible en este caso apreciar </w:t>
      </w:r>
      <w:r w:rsidRPr="00037537">
        <w:rPr>
          <w:rFonts w:ascii="Verdana" w:hAnsi="Verdana"/>
          <w:i/>
          <w:sz w:val="20"/>
          <w:szCs w:val="20"/>
        </w:rPr>
        <w:t>prima facie</w:t>
      </w:r>
      <w:r w:rsidRPr="00037537">
        <w:rPr>
          <w:rFonts w:ascii="Verdana" w:hAnsi="Verdana"/>
          <w:sz w:val="20"/>
          <w:szCs w:val="20"/>
        </w:rPr>
        <w:t xml:space="preserve"> que </w:t>
      </w:r>
      <w:r w:rsidR="00DF2F8A">
        <w:rPr>
          <w:rFonts w:ascii="Verdana" w:hAnsi="Verdana"/>
          <w:sz w:val="20"/>
          <w:szCs w:val="20"/>
        </w:rPr>
        <w:t>el señor Galindo Cárdenas</w:t>
      </w:r>
      <w:r w:rsidRPr="00037537">
        <w:rPr>
          <w:rFonts w:ascii="Verdana" w:hAnsi="Verdana"/>
          <w:sz w:val="20"/>
          <w:szCs w:val="20"/>
        </w:rPr>
        <w:t xml:space="preserve"> (</w:t>
      </w:r>
      <w:r w:rsidRPr="00037537">
        <w:rPr>
          <w:rFonts w:ascii="Verdana" w:hAnsi="Verdana"/>
          <w:i/>
          <w:sz w:val="20"/>
          <w:szCs w:val="20"/>
        </w:rPr>
        <w:t xml:space="preserve">supra </w:t>
      </w:r>
      <w:r w:rsidRPr="00037537">
        <w:rPr>
          <w:rFonts w:ascii="Verdana" w:hAnsi="Verdana"/>
          <w:sz w:val="20"/>
          <w:szCs w:val="20"/>
        </w:rPr>
        <w:t>Visto</w:t>
      </w:r>
      <w:r w:rsidR="00945521">
        <w:rPr>
          <w:rFonts w:ascii="Verdana" w:hAnsi="Verdana"/>
          <w:sz w:val="20"/>
          <w:szCs w:val="20"/>
        </w:rPr>
        <w:t>s</w:t>
      </w:r>
      <w:r w:rsidRPr="00037537">
        <w:rPr>
          <w:rFonts w:ascii="Verdana" w:hAnsi="Verdana"/>
          <w:sz w:val="20"/>
          <w:szCs w:val="20"/>
        </w:rPr>
        <w:t xml:space="preserve"> </w:t>
      </w:r>
      <w:r w:rsidR="00644041">
        <w:rPr>
          <w:rFonts w:ascii="Verdana" w:hAnsi="Verdana"/>
          <w:sz w:val="20"/>
          <w:szCs w:val="20"/>
        </w:rPr>
        <w:t>2 y 3</w:t>
      </w:r>
      <w:r w:rsidRPr="00037537">
        <w:rPr>
          <w:rFonts w:ascii="Verdana" w:hAnsi="Verdana"/>
          <w:sz w:val="20"/>
          <w:szCs w:val="20"/>
        </w:rPr>
        <w:t>) se encuentre</w:t>
      </w:r>
      <w:r w:rsidR="00D957DF">
        <w:rPr>
          <w:rFonts w:ascii="Verdana" w:hAnsi="Verdana"/>
          <w:sz w:val="20"/>
          <w:szCs w:val="20"/>
        </w:rPr>
        <w:t>, en los términos exigidos por el artículo 63.2 de la Convención Americana,</w:t>
      </w:r>
      <w:r w:rsidRPr="00037537">
        <w:rPr>
          <w:rFonts w:ascii="Verdana" w:hAnsi="Verdana"/>
          <w:sz w:val="20"/>
          <w:szCs w:val="20"/>
        </w:rPr>
        <w:t xml:space="preserve"> en una situación de </w:t>
      </w:r>
      <w:r w:rsidR="00D957DF">
        <w:rPr>
          <w:rFonts w:ascii="Verdana" w:hAnsi="Verdana"/>
          <w:sz w:val="20"/>
          <w:szCs w:val="20"/>
        </w:rPr>
        <w:t>“</w:t>
      </w:r>
      <w:r w:rsidRPr="00037537">
        <w:rPr>
          <w:rFonts w:ascii="Verdana" w:hAnsi="Verdana"/>
          <w:sz w:val="20"/>
          <w:szCs w:val="20"/>
        </w:rPr>
        <w:t>extrema grav</w:t>
      </w:r>
      <w:r>
        <w:rPr>
          <w:rFonts w:ascii="Verdana" w:hAnsi="Verdana"/>
          <w:sz w:val="20"/>
          <w:szCs w:val="20"/>
        </w:rPr>
        <w:t>edad y urgencia</w:t>
      </w:r>
      <w:r w:rsidR="003047DF">
        <w:rPr>
          <w:rFonts w:ascii="Verdana" w:hAnsi="Verdana"/>
          <w:sz w:val="20"/>
          <w:szCs w:val="20"/>
        </w:rPr>
        <w:t>” relacionada con</w:t>
      </w:r>
      <w:r w:rsidR="00D957DF">
        <w:rPr>
          <w:rFonts w:ascii="Verdana" w:hAnsi="Verdana"/>
          <w:sz w:val="20"/>
          <w:szCs w:val="20"/>
        </w:rPr>
        <w:t xml:space="preserve"> la posibilidad de “daños </w:t>
      </w:r>
      <w:r w:rsidR="00D957DF" w:rsidRPr="00644041">
        <w:rPr>
          <w:rFonts w:ascii="Verdana" w:hAnsi="Verdana"/>
          <w:sz w:val="20"/>
          <w:szCs w:val="20"/>
        </w:rPr>
        <w:t>irreparables”</w:t>
      </w:r>
      <w:r w:rsidRPr="00644041">
        <w:rPr>
          <w:rFonts w:ascii="Verdana" w:hAnsi="Verdana"/>
          <w:sz w:val="20"/>
          <w:szCs w:val="20"/>
        </w:rPr>
        <w:t>.</w:t>
      </w:r>
      <w:r w:rsidR="00D957DF" w:rsidRPr="00644041">
        <w:rPr>
          <w:rFonts w:ascii="Verdana" w:hAnsi="Verdana"/>
          <w:sz w:val="20"/>
          <w:szCs w:val="20"/>
        </w:rPr>
        <w:t xml:space="preserve"> </w:t>
      </w:r>
    </w:p>
    <w:p w:rsidR="009A657F" w:rsidRDefault="009A657F" w:rsidP="003047DF">
      <w:pPr>
        <w:pStyle w:val="Prrafodelista"/>
        <w:ind w:left="0"/>
        <w:rPr>
          <w:rFonts w:ascii="Verdana" w:hAnsi="Verdana"/>
          <w:sz w:val="20"/>
          <w:szCs w:val="20"/>
        </w:rPr>
      </w:pPr>
    </w:p>
    <w:p w:rsidR="00BB0A5D" w:rsidRPr="00BB0A5D" w:rsidRDefault="00BF2223" w:rsidP="00BB0A5D">
      <w:pPr>
        <w:numPr>
          <w:ilvl w:val="0"/>
          <w:numId w:val="1"/>
        </w:numPr>
        <w:tabs>
          <w:tab w:val="clear" w:pos="360"/>
        </w:tabs>
        <w:spacing w:before="20" w:after="20"/>
        <w:ind w:left="0" w:right="14" w:firstLine="0"/>
        <w:jc w:val="both"/>
        <w:rPr>
          <w:rFonts w:ascii="Verdana" w:hAnsi="Verdana"/>
          <w:b/>
          <w:sz w:val="20"/>
        </w:rPr>
      </w:pPr>
      <w:r>
        <w:rPr>
          <w:rFonts w:ascii="Verdana" w:hAnsi="Verdana"/>
          <w:sz w:val="20"/>
          <w:szCs w:val="20"/>
        </w:rPr>
        <w:t>Sin perjuicio de lo anterior, s</w:t>
      </w:r>
      <w:r w:rsidR="009A657F">
        <w:rPr>
          <w:rFonts w:ascii="Verdana" w:hAnsi="Verdana"/>
          <w:sz w:val="20"/>
          <w:szCs w:val="20"/>
        </w:rPr>
        <w:t>e</w:t>
      </w:r>
      <w:r w:rsidR="009A657F">
        <w:rPr>
          <w:rFonts w:ascii="Verdana" w:hAnsi="Verdana"/>
          <w:sz w:val="20"/>
          <w:szCs w:val="20"/>
          <w:lang w:val="es-CR"/>
        </w:rPr>
        <w:t xml:space="preserve"> recuerda </w:t>
      </w:r>
      <w:r w:rsidR="009A657F" w:rsidRPr="002C1267">
        <w:rPr>
          <w:rFonts w:ascii="Verdana" w:hAnsi="Verdana"/>
          <w:sz w:val="20"/>
          <w:szCs w:val="20"/>
          <w:lang w:val="es-CR"/>
        </w:rPr>
        <w:t>al Estado que el artículo 1.1 de la Convención Americana establece las obligaciones generales que tienen los Estados Parte de respetar los derechos y libertades en ella consagrados y de garantizar su libre y pleno ejercicio a toda persona que esté sujeta a su jurisdicción, las cuales se imponen no sólo en relación con el poder del Estado sino también en relación con actuaciones de terceros particulares. Por ello, el Estado se e</w:t>
      </w:r>
      <w:r w:rsidR="009A657F">
        <w:rPr>
          <w:rFonts w:ascii="Verdana" w:hAnsi="Verdana"/>
          <w:sz w:val="20"/>
          <w:szCs w:val="20"/>
          <w:lang w:val="es-CR"/>
        </w:rPr>
        <w:t>ncuentra obligado a garantizar el derecho</w:t>
      </w:r>
      <w:r w:rsidR="009A657F" w:rsidRPr="002C1267">
        <w:rPr>
          <w:rFonts w:ascii="Verdana" w:hAnsi="Verdana"/>
          <w:sz w:val="20"/>
          <w:szCs w:val="20"/>
          <w:lang w:val="es-CR"/>
        </w:rPr>
        <w:t xml:space="preserve"> </w:t>
      </w:r>
      <w:r w:rsidR="009A657F">
        <w:rPr>
          <w:rFonts w:ascii="Verdana" w:hAnsi="Verdana"/>
          <w:sz w:val="20"/>
          <w:szCs w:val="20"/>
          <w:lang w:val="es-CR"/>
        </w:rPr>
        <w:t>de la persona mencionada</w:t>
      </w:r>
      <w:r w:rsidR="009A657F" w:rsidRPr="002C1267">
        <w:rPr>
          <w:rFonts w:ascii="Verdana" w:hAnsi="Verdana"/>
          <w:sz w:val="20"/>
          <w:szCs w:val="20"/>
          <w:lang w:val="es-CR"/>
        </w:rPr>
        <w:t xml:space="preserve"> a través de los mecanismos internos existentes para ello.</w:t>
      </w:r>
    </w:p>
    <w:p w:rsidR="00BB0A5D" w:rsidRDefault="00BB0A5D" w:rsidP="00BB0A5D">
      <w:pPr>
        <w:spacing w:before="20" w:after="20"/>
        <w:ind w:right="14"/>
        <w:jc w:val="both"/>
        <w:rPr>
          <w:rFonts w:ascii="Verdana" w:hAnsi="Verdana"/>
          <w:b/>
          <w:sz w:val="20"/>
        </w:rPr>
      </w:pPr>
    </w:p>
    <w:p w:rsidR="009A657F" w:rsidRDefault="009A657F" w:rsidP="00BB0A5D">
      <w:pPr>
        <w:spacing w:before="20" w:after="20"/>
        <w:ind w:right="14"/>
        <w:jc w:val="both"/>
        <w:rPr>
          <w:rFonts w:ascii="Verdana" w:hAnsi="Verdana"/>
          <w:b/>
          <w:sz w:val="20"/>
        </w:rPr>
      </w:pPr>
      <w:r>
        <w:rPr>
          <w:rFonts w:ascii="Verdana" w:hAnsi="Verdana"/>
          <w:b/>
          <w:sz w:val="20"/>
        </w:rPr>
        <w:t>POR TANTO:</w:t>
      </w:r>
    </w:p>
    <w:p w:rsidR="009A657F" w:rsidRDefault="009A657F" w:rsidP="009A657F">
      <w:pPr>
        <w:tabs>
          <w:tab w:val="left" w:pos="680"/>
        </w:tabs>
        <w:spacing w:before="20" w:after="20"/>
        <w:ind w:right="18"/>
        <w:jc w:val="both"/>
        <w:rPr>
          <w:rFonts w:ascii="Verdana" w:hAnsi="Verdana"/>
          <w:b/>
          <w:sz w:val="20"/>
        </w:rPr>
      </w:pPr>
    </w:p>
    <w:p w:rsidR="009A657F" w:rsidRDefault="009A657F" w:rsidP="009A657F">
      <w:pPr>
        <w:spacing w:before="20" w:after="20"/>
        <w:ind w:right="18"/>
        <w:jc w:val="both"/>
        <w:rPr>
          <w:rFonts w:ascii="Verdana" w:hAnsi="Verdana"/>
          <w:b/>
          <w:sz w:val="20"/>
        </w:rPr>
      </w:pPr>
      <w:r>
        <w:rPr>
          <w:rFonts w:ascii="Verdana" w:hAnsi="Verdana"/>
          <w:b/>
          <w:sz w:val="20"/>
        </w:rPr>
        <w:t>LA CORTE INTERAMERICANA DE DERECHOS HUMANOS,</w:t>
      </w:r>
    </w:p>
    <w:p w:rsidR="009A657F" w:rsidRDefault="009A657F" w:rsidP="009A657F">
      <w:pPr>
        <w:spacing w:before="20" w:after="20"/>
        <w:ind w:right="18"/>
        <w:jc w:val="both"/>
        <w:rPr>
          <w:rFonts w:ascii="Verdana" w:hAnsi="Verdana"/>
          <w:sz w:val="20"/>
        </w:rPr>
      </w:pPr>
    </w:p>
    <w:p w:rsidR="009A657F" w:rsidRDefault="009A657F" w:rsidP="009A657F">
      <w:pPr>
        <w:jc w:val="both"/>
        <w:rPr>
          <w:rFonts w:ascii="Verdana" w:hAnsi="Verdana"/>
          <w:sz w:val="20"/>
          <w:lang w:val="es-MX"/>
        </w:rPr>
      </w:pPr>
      <w:r>
        <w:rPr>
          <w:rFonts w:ascii="Verdana" w:hAnsi="Verdana"/>
          <w:sz w:val="20"/>
          <w:lang w:val="es-MX"/>
        </w:rPr>
        <w:t>en uso de las atribuciones que le confieren el artículo 63.2 de</w:t>
      </w:r>
      <w:r w:rsidR="00ED0B48">
        <w:rPr>
          <w:rFonts w:ascii="Verdana" w:hAnsi="Verdana"/>
          <w:sz w:val="20"/>
          <w:lang w:val="es-MX"/>
        </w:rPr>
        <w:t xml:space="preserve"> </w:t>
      </w:r>
      <w:r>
        <w:rPr>
          <w:rFonts w:ascii="Verdana" w:hAnsi="Verdana"/>
          <w:sz w:val="20"/>
          <w:lang w:val="es-MX"/>
        </w:rPr>
        <w:t xml:space="preserve">la Convención Americana y los artículos </w:t>
      </w:r>
      <w:r w:rsidRPr="003405EC">
        <w:rPr>
          <w:rFonts w:ascii="Verdana" w:hAnsi="Verdana"/>
          <w:sz w:val="20"/>
          <w:lang w:val="es-MX"/>
        </w:rPr>
        <w:t>27</w:t>
      </w:r>
      <w:r>
        <w:rPr>
          <w:rFonts w:ascii="Verdana" w:hAnsi="Verdana"/>
          <w:sz w:val="20"/>
          <w:lang w:val="es-MX"/>
        </w:rPr>
        <w:t xml:space="preserve"> y</w:t>
      </w:r>
      <w:r w:rsidRPr="003405EC">
        <w:rPr>
          <w:rFonts w:ascii="Verdana" w:hAnsi="Verdana"/>
          <w:color w:val="00B050"/>
          <w:sz w:val="20"/>
          <w:lang w:val="es-MX"/>
        </w:rPr>
        <w:t xml:space="preserve"> </w:t>
      </w:r>
      <w:r>
        <w:rPr>
          <w:rFonts w:ascii="Verdana" w:hAnsi="Verdana"/>
          <w:sz w:val="20"/>
          <w:lang w:val="es-MX"/>
        </w:rPr>
        <w:t>31.2 del Reglamento,</w:t>
      </w:r>
    </w:p>
    <w:p w:rsidR="009A657F" w:rsidRDefault="009A657F" w:rsidP="009A657F">
      <w:pPr>
        <w:tabs>
          <w:tab w:val="left" w:pos="680"/>
        </w:tabs>
        <w:spacing w:before="20" w:after="20"/>
        <w:ind w:right="18"/>
        <w:jc w:val="both"/>
        <w:rPr>
          <w:rFonts w:ascii="Verdana" w:hAnsi="Verdana"/>
          <w:b/>
          <w:sz w:val="20"/>
        </w:rPr>
      </w:pPr>
    </w:p>
    <w:p w:rsidR="009A657F" w:rsidRDefault="009A657F" w:rsidP="009A657F">
      <w:pPr>
        <w:tabs>
          <w:tab w:val="left" w:pos="680"/>
        </w:tabs>
        <w:spacing w:before="20" w:after="20"/>
        <w:ind w:right="18"/>
        <w:jc w:val="both"/>
        <w:rPr>
          <w:rFonts w:ascii="Verdana" w:hAnsi="Verdana"/>
          <w:b/>
          <w:sz w:val="20"/>
        </w:rPr>
      </w:pPr>
      <w:r>
        <w:rPr>
          <w:rFonts w:ascii="Verdana" w:hAnsi="Verdana"/>
          <w:b/>
          <w:sz w:val="20"/>
        </w:rPr>
        <w:lastRenderedPageBreak/>
        <w:t>RESUELVE:</w:t>
      </w:r>
    </w:p>
    <w:p w:rsidR="009A657F" w:rsidRDefault="009A657F" w:rsidP="009A657F">
      <w:pPr>
        <w:spacing w:before="20" w:after="20"/>
        <w:ind w:left="720" w:right="18"/>
        <w:jc w:val="both"/>
        <w:rPr>
          <w:rFonts w:ascii="Verdana" w:hAnsi="Verdana"/>
          <w:sz w:val="20"/>
        </w:rPr>
      </w:pPr>
    </w:p>
    <w:p w:rsidR="00005772" w:rsidRDefault="009A657F" w:rsidP="00BB087B">
      <w:pPr>
        <w:numPr>
          <w:ilvl w:val="0"/>
          <w:numId w:val="2"/>
        </w:numPr>
        <w:spacing w:before="20" w:after="20"/>
        <w:ind w:left="0" w:right="18" w:firstLine="0"/>
        <w:jc w:val="both"/>
        <w:rPr>
          <w:rFonts w:ascii="Verdana" w:hAnsi="Verdana"/>
          <w:sz w:val="20"/>
          <w:lang w:val="es-MX"/>
        </w:rPr>
      </w:pPr>
      <w:r w:rsidRPr="003405EC">
        <w:rPr>
          <w:rFonts w:ascii="Verdana" w:hAnsi="Verdana"/>
          <w:sz w:val="20"/>
          <w:lang w:val="es-MX"/>
        </w:rPr>
        <w:t>Desestimar</w:t>
      </w:r>
      <w:r>
        <w:rPr>
          <w:rFonts w:ascii="Verdana" w:hAnsi="Verdana"/>
          <w:sz w:val="20"/>
          <w:lang w:val="es-MX"/>
        </w:rPr>
        <w:t xml:space="preserve"> </w:t>
      </w:r>
      <w:r w:rsidRPr="003405EC">
        <w:rPr>
          <w:rFonts w:ascii="Verdana" w:hAnsi="Verdana"/>
          <w:sz w:val="20"/>
          <w:lang w:val="es-MX"/>
        </w:rPr>
        <w:t xml:space="preserve">la solicitud de medidas provisionales </w:t>
      </w:r>
      <w:r>
        <w:rPr>
          <w:rFonts w:ascii="Verdana" w:hAnsi="Verdana"/>
          <w:sz w:val="20"/>
          <w:lang w:val="es-MX"/>
        </w:rPr>
        <w:t>a favor de Luis Antonio Galindo Cárdenas</w:t>
      </w:r>
      <w:r w:rsidR="004B550E">
        <w:rPr>
          <w:rFonts w:ascii="Verdana" w:hAnsi="Verdana"/>
          <w:sz w:val="20"/>
          <w:lang w:val="es-MX"/>
        </w:rPr>
        <w:t>.</w:t>
      </w:r>
    </w:p>
    <w:p w:rsidR="00BB087B" w:rsidRPr="00005772" w:rsidRDefault="00BB087B" w:rsidP="00BB087B">
      <w:pPr>
        <w:spacing w:before="20" w:after="20"/>
        <w:ind w:left="360" w:right="18"/>
        <w:jc w:val="both"/>
        <w:rPr>
          <w:rFonts w:ascii="Verdana" w:hAnsi="Verdana"/>
          <w:sz w:val="20"/>
          <w:lang w:val="es-MX"/>
        </w:rPr>
      </w:pPr>
    </w:p>
    <w:p w:rsidR="00CC7D1D" w:rsidRPr="00751306" w:rsidRDefault="00005772" w:rsidP="00751306">
      <w:pPr>
        <w:spacing w:before="20" w:after="20"/>
        <w:ind w:right="18"/>
        <w:jc w:val="both"/>
        <w:rPr>
          <w:rFonts w:ascii="Verdana" w:hAnsi="Verdana"/>
          <w:sz w:val="20"/>
        </w:rPr>
      </w:pPr>
      <w:r w:rsidRPr="00005772">
        <w:rPr>
          <w:rFonts w:ascii="Verdana" w:hAnsi="Verdana"/>
          <w:sz w:val="20"/>
          <w:lang w:val="es-MX"/>
        </w:rPr>
        <w:t>2.</w:t>
      </w:r>
      <w:r w:rsidRPr="00005772">
        <w:rPr>
          <w:rFonts w:ascii="Verdana" w:hAnsi="Verdana"/>
          <w:sz w:val="20"/>
          <w:lang w:val="es-MX"/>
        </w:rPr>
        <w:tab/>
        <w:t xml:space="preserve">Requerir a la Secretaría de la Corte que notifique la presente Resolución al Estado del Perú, a la Comisión Interamericana Derechos Humanos y al </w:t>
      </w:r>
      <w:r w:rsidR="00B30997">
        <w:rPr>
          <w:rFonts w:ascii="Verdana" w:hAnsi="Verdana"/>
          <w:sz w:val="20"/>
        </w:rPr>
        <w:t xml:space="preserve">señor </w:t>
      </w:r>
      <w:r w:rsidR="008A6E50">
        <w:rPr>
          <w:rFonts w:ascii="Verdana" w:hAnsi="Verdana"/>
          <w:sz w:val="20"/>
        </w:rPr>
        <w:t xml:space="preserve">Luis Antonio </w:t>
      </w:r>
      <w:r w:rsidR="00DF2F8A">
        <w:rPr>
          <w:rFonts w:ascii="Verdana" w:hAnsi="Verdana"/>
          <w:sz w:val="20"/>
        </w:rPr>
        <w:t>Galindo Cárdenas</w:t>
      </w:r>
      <w:r w:rsidR="00AA092E">
        <w:rPr>
          <w:rFonts w:ascii="Verdana" w:hAnsi="Verdana"/>
          <w:sz w:val="20"/>
        </w:rPr>
        <w:t>.</w:t>
      </w:r>
    </w:p>
    <w:p w:rsidR="00CC7D1D" w:rsidRDefault="00CC7D1D" w:rsidP="00751306">
      <w:pPr>
        <w:rPr>
          <w:rFonts w:ascii="Verdana" w:hAnsi="Verdana"/>
          <w:sz w:val="20"/>
        </w:rPr>
      </w:pPr>
    </w:p>
    <w:p w:rsidR="00DE6EC5" w:rsidRDefault="00DE6EC5" w:rsidP="00DE6EC5">
      <w:pPr>
        <w:jc w:val="both"/>
        <w:rPr>
          <w:rFonts w:ascii="Verdana" w:hAnsi="Verdana"/>
          <w:sz w:val="20"/>
        </w:rPr>
      </w:pPr>
      <w:r>
        <w:rPr>
          <w:rFonts w:ascii="Verdana" w:hAnsi="Verdana"/>
          <w:sz w:val="20"/>
        </w:rPr>
        <w:t xml:space="preserve">Corte IDH. </w:t>
      </w:r>
      <w:r w:rsidRPr="005C3205">
        <w:rPr>
          <w:rFonts w:ascii="Verdana" w:hAnsi="Verdana"/>
          <w:i/>
          <w:sz w:val="20"/>
        </w:rPr>
        <w:t xml:space="preserve">Caso </w:t>
      </w:r>
      <w:r>
        <w:rPr>
          <w:rFonts w:ascii="Verdana" w:hAnsi="Verdana"/>
          <w:i/>
          <w:sz w:val="20"/>
        </w:rPr>
        <w:t>Galindo Cárdenas</w:t>
      </w:r>
      <w:r w:rsidRPr="005C3205">
        <w:rPr>
          <w:rFonts w:ascii="Verdana" w:hAnsi="Verdana"/>
          <w:i/>
          <w:sz w:val="20"/>
        </w:rPr>
        <w:t xml:space="preserve"> Vs. </w:t>
      </w:r>
      <w:r>
        <w:rPr>
          <w:rFonts w:ascii="Verdana" w:hAnsi="Verdana"/>
          <w:i/>
          <w:sz w:val="20"/>
        </w:rPr>
        <w:t>Perú</w:t>
      </w:r>
      <w:r>
        <w:rPr>
          <w:rFonts w:ascii="Verdana" w:hAnsi="Verdana"/>
          <w:sz w:val="20"/>
        </w:rPr>
        <w:t>. Rechazo de la Solicitud de Medidas Provisionales. Resolución de la Corte Interamericana de Derechos Humanos de 22 de noviembre de 2018.</w:t>
      </w:r>
    </w:p>
    <w:p w:rsidR="00DE6EC5" w:rsidRPr="00DA00D0" w:rsidRDefault="00DE6EC5" w:rsidP="00DE6EC5">
      <w:pPr>
        <w:rPr>
          <w:rFonts w:ascii="Verdana" w:hAnsi="Verdana"/>
          <w:strike/>
          <w:sz w:val="20"/>
          <w:lang w:val="pt-BR"/>
        </w:rPr>
      </w:pPr>
    </w:p>
    <w:p w:rsidR="00DE6EC5" w:rsidRDefault="00DE6EC5" w:rsidP="00DE6EC5">
      <w:pPr>
        <w:rPr>
          <w:rFonts w:ascii="Verdana" w:hAnsi="Verdana"/>
          <w:sz w:val="20"/>
          <w:lang w:val="pt-BR"/>
        </w:rPr>
      </w:pPr>
    </w:p>
    <w:p w:rsidR="00DE6EC5" w:rsidRDefault="00DE6EC5" w:rsidP="00DE6EC5">
      <w:pPr>
        <w:rPr>
          <w:rFonts w:ascii="Verdana" w:hAnsi="Verdana"/>
          <w:sz w:val="20"/>
          <w:lang w:val="pt-BR"/>
        </w:rPr>
      </w:pPr>
    </w:p>
    <w:p w:rsidR="00DE6EC5" w:rsidRDefault="00DE6EC5" w:rsidP="00DE6EC5">
      <w:pPr>
        <w:rPr>
          <w:rFonts w:ascii="Verdana" w:hAnsi="Verdana"/>
          <w:sz w:val="20"/>
          <w:lang w:val="pt-BR"/>
        </w:rPr>
      </w:pPr>
    </w:p>
    <w:p w:rsidR="00DE6EC5" w:rsidRPr="00DA00D0" w:rsidRDefault="00DE6EC5" w:rsidP="00DE6EC5">
      <w:pPr>
        <w:rPr>
          <w:rFonts w:ascii="Verdana" w:hAnsi="Verdana"/>
          <w:sz w:val="20"/>
          <w:lang w:val="pt-BR"/>
        </w:rPr>
      </w:pPr>
    </w:p>
    <w:p w:rsidR="00DE6EC5" w:rsidRPr="00DA00D0" w:rsidRDefault="00DE6EC5" w:rsidP="00DE6EC5">
      <w:pPr>
        <w:jc w:val="center"/>
        <w:rPr>
          <w:rFonts w:ascii="Verdana" w:hAnsi="Verdana"/>
          <w:sz w:val="20"/>
          <w:lang w:val="pt-BR"/>
        </w:rPr>
      </w:pPr>
      <w:r w:rsidRPr="00DA00D0">
        <w:rPr>
          <w:rFonts w:ascii="Verdana" w:hAnsi="Verdana"/>
          <w:sz w:val="20"/>
          <w:lang w:val="pt-BR"/>
        </w:rPr>
        <w:t>Eduardo Ferrer Mac-Gregor Poisot</w:t>
      </w:r>
    </w:p>
    <w:p w:rsidR="00DE6EC5" w:rsidRPr="00DA00D0" w:rsidRDefault="00DE6EC5" w:rsidP="00DE6EC5">
      <w:pPr>
        <w:jc w:val="center"/>
        <w:rPr>
          <w:rFonts w:ascii="Verdana" w:hAnsi="Verdana"/>
          <w:sz w:val="20"/>
          <w:lang w:val="pt-BR"/>
        </w:rPr>
      </w:pPr>
      <w:r>
        <w:rPr>
          <w:rFonts w:ascii="Verdana" w:hAnsi="Verdana"/>
          <w:sz w:val="20"/>
          <w:lang w:val="pt-BR"/>
        </w:rPr>
        <w:t xml:space="preserve">Presidente </w:t>
      </w:r>
    </w:p>
    <w:p w:rsidR="00DE6EC5" w:rsidRPr="00DA00D0" w:rsidRDefault="00DE6EC5" w:rsidP="00DE6EC5">
      <w:pPr>
        <w:rPr>
          <w:rFonts w:ascii="Verdana" w:hAnsi="Verdana"/>
          <w:sz w:val="20"/>
          <w:lang w:val="pt-BR"/>
        </w:rPr>
      </w:pPr>
    </w:p>
    <w:p w:rsidR="00DE6EC5" w:rsidRDefault="00DE6EC5" w:rsidP="00DE6EC5">
      <w:pPr>
        <w:rPr>
          <w:rFonts w:ascii="Verdana" w:hAnsi="Verdana"/>
          <w:sz w:val="20"/>
          <w:lang w:val="pt-BR"/>
        </w:rPr>
      </w:pPr>
    </w:p>
    <w:p w:rsidR="00DE6EC5" w:rsidRDefault="00DE6EC5" w:rsidP="00DE6EC5">
      <w:pPr>
        <w:rPr>
          <w:rFonts w:ascii="Verdana" w:hAnsi="Verdana"/>
          <w:sz w:val="20"/>
          <w:lang w:val="pt-BR"/>
        </w:rPr>
      </w:pPr>
      <w:r w:rsidRPr="00DA00D0">
        <w:rPr>
          <w:rFonts w:ascii="Verdana" w:hAnsi="Verdana"/>
          <w:sz w:val="20"/>
          <w:lang w:val="pt-BR"/>
        </w:rPr>
        <w:t>E</w:t>
      </w:r>
      <w:r>
        <w:rPr>
          <w:rFonts w:ascii="Verdana" w:hAnsi="Verdana"/>
          <w:sz w:val="20"/>
          <w:lang w:val="pt-BR"/>
        </w:rPr>
        <w:t>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Elizabeth Odio Benito</w:t>
      </w:r>
    </w:p>
    <w:p w:rsidR="00DE6EC5" w:rsidRDefault="00DE6EC5" w:rsidP="00DE6EC5">
      <w:pPr>
        <w:rPr>
          <w:rFonts w:ascii="Verdana" w:hAnsi="Verdana"/>
          <w:sz w:val="20"/>
          <w:lang w:val="pt-BR"/>
        </w:rPr>
      </w:pPr>
    </w:p>
    <w:p w:rsidR="00DE6EC5" w:rsidRDefault="00DE6EC5" w:rsidP="00DE6EC5">
      <w:pPr>
        <w:rPr>
          <w:rFonts w:ascii="Verdana" w:hAnsi="Verdana"/>
          <w:sz w:val="20"/>
          <w:lang w:val="pt-BR"/>
        </w:rPr>
      </w:pPr>
    </w:p>
    <w:p w:rsidR="00DE6EC5" w:rsidRPr="00DA00D0" w:rsidRDefault="00DE6EC5" w:rsidP="00DE6EC5">
      <w:pPr>
        <w:rPr>
          <w:rFonts w:ascii="Verdana" w:hAnsi="Verdana"/>
          <w:sz w:val="20"/>
          <w:lang w:val="pt-BR"/>
        </w:rPr>
      </w:pPr>
      <w:r w:rsidRPr="00DA00D0">
        <w:rPr>
          <w:rFonts w:ascii="Verdana" w:hAnsi="Verdana"/>
          <w:sz w:val="20"/>
          <w:lang w:val="pt-BR"/>
        </w:rPr>
        <w:t>Eugenio Raúl Zaffaroni</w:t>
      </w:r>
      <w:r w:rsidRPr="00C67360">
        <w:rPr>
          <w:rFonts w:ascii="Verdana" w:hAnsi="Verdana"/>
          <w:sz w:val="20"/>
          <w:lang w:val="pt-BR"/>
        </w:rPr>
        <w:t xml:space="preserve"> </w:t>
      </w:r>
      <w:r w:rsidRPr="00DA00D0">
        <w:rPr>
          <w:rFonts w:ascii="Verdana" w:hAnsi="Verdana"/>
          <w:sz w:val="20"/>
          <w:lang w:val="pt-BR"/>
        </w:rPr>
        <w:t xml:space="preserve"> </w:t>
      </w:r>
      <w:r>
        <w:rPr>
          <w:rFonts w:ascii="Verdana" w:hAnsi="Verdana"/>
          <w:sz w:val="20"/>
          <w:lang w:val="pt-BR"/>
        </w:rPr>
        <w:t xml:space="preserve">                                                 L. </w:t>
      </w:r>
      <w:r w:rsidRPr="00DA00D0">
        <w:rPr>
          <w:rFonts w:ascii="Verdana" w:hAnsi="Verdana"/>
          <w:sz w:val="20"/>
          <w:lang w:val="pt-BR"/>
        </w:rPr>
        <w:t>Patricio Pazmiño Fre</w:t>
      </w:r>
      <w:r>
        <w:rPr>
          <w:rFonts w:ascii="Verdana" w:hAnsi="Verdana"/>
          <w:sz w:val="20"/>
          <w:lang w:val="pt-BR"/>
        </w:rPr>
        <w:t>i</w:t>
      </w:r>
      <w:r w:rsidRPr="00DA00D0">
        <w:rPr>
          <w:rFonts w:ascii="Verdana" w:hAnsi="Verdana"/>
          <w:sz w:val="20"/>
          <w:lang w:val="pt-BR"/>
        </w:rPr>
        <w:t>re</w:t>
      </w:r>
    </w:p>
    <w:p w:rsidR="00DE6EC5" w:rsidRDefault="00DE6EC5" w:rsidP="00DE6EC5">
      <w:pPr>
        <w:rPr>
          <w:rFonts w:ascii="Verdana" w:hAnsi="Verdana"/>
          <w:sz w:val="20"/>
          <w:lang w:val="pt-BR"/>
        </w:rPr>
      </w:pPr>
    </w:p>
    <w:p w:rsidR="00DE6EC5" w:rsidRPr="00DA00D0" w:rsidRDefault="00DE6EC5" w:rsidP="00DE6EC5">
      <w:pPr>
        <w:rPr>
          <w:rFonts w:ascii="Verdana" w:hAnsi="Verdana"/>
          <w:sz w:val="20"/>
          <w:lang w:val="pt-BR"/>
        </w:rPr>
      </w:pPr>
    </w:p>
    <w:p w:rsidR="00DE6EC5" w:rsidRPr="00DA00D0" w:rsidRDefault="00DE6EC5" w:rsidP="00DE6EC5">
      <w:pPr>
        <w:rPr>
          <w:rFonts w:ascii="Verdana" w:hAnsi="Verdana"/>
          <w:sz w:val="20"/>
          <w:lang w:val="pt-BR"/>
        </w:rPr>
      </w:pPr>
    </w:p>
    <w:p w:rsidR="00DE6EC5" w:rsidRDefault="00DE6EC5" w:rsidP="00DE6EC5">
      <w:pPr>
        <w:rPr>
          <w:rFonts w:ascii="Verdana" w:hAnsi="Verdana"/>
          <w:sz w:val="20"/>
          <w:lang w:val="pt-BR"/>
        </w:rPr>
      </w:pPr>
    </w:p>
    <w:p w:rsidR="00DE6EC5" w:rsidRPr="00FC4051" w:rsidRDefault="00DE6EC5" w:rsidP="00DE6EC5">
      <w:pPr>
        <w:jc w:val="center"/>
        <w:rPr>
          <w:rFonts w:ascii="Verdana" w:hAnsi="Verdana"/>
          <w:sz w:val="20"/>
          <w:lang w:val="pt-BR"/>
        </w:rPr>
      </w:pPr>
      <w:bookmarkStart w:id="0" w:name="_GoBack"/>
      <w:bookmarkEnd w:id="0"/>
      <w:r w:rsidRPr="00FC4051">
        <w:rPr>
          <w:rFonts w:ascii="Verdana" w:hAnsi="Verdana"/>
          <w:sz w:val="20"/>
          <w:lang w:val="pt-BR"/>
        </w:rPr>
        <w:t>Pablo Saavedra Alessandri</w:t>
      </w:r>
    </w:p>
    <w:p w:rsidR="00DE6EC5" w:rsidRPr="00FC4051" w:rsidRDefault="00DE6EC5" w:rsidP="00DE6EC5">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rsidR="00DE6EC5" w:rsidRDefault="00DE6EC5" w:rsidP="00DE6EC5">
      <w:pPr>
        <w:pStyle w:val="Textonotapie"/>
        <w:rPr>
          <w:rFonts w:ascii="Verdana" w:hAnsi="Verdana"/>
          <w:lang w:val="pt-BR"/>
        </w:rPr>
      </w:pPr>
    </w:p>
    <w:p w:rsidR="00DE6EC5" w:rsidRDefault="00DE6EC5" w:rsidP="00DE6EC5">
      <w:pPr>
        <w:pStyle w:val="Textonotapie"/>
        <w:rPr>
          <w:rFonts w:ascii="Verdana" w:hAnsi="Verdana"/>
          <w:lang w:val="pt-BR"/>
        </w:rPr>
      </w:pPr>
    </w:p>
    <w:p w:rsidR="00DE6EC5" w:rsidRDefault="00DE6EC5" w:rsidP="00DE6EC5">
      <w:pPr>
        <w:pStyle w:val="Textonotapie"/>
        <w:rPr>
          <w:rFonts w:ascii="Verdana" w:hAnsi="Verdana"/>
          <w:lang w:val="pt-BR"/>
        </w:rPr>
      </w:pPr>
    </w:p>
    <w:p w:rsidR="00DE6EC5" w:rsidRPr="00FC4051" w:rsidRDefault="00DE6EC5" w:rsidP="00DE6EC5">
      <w:pPr>
        <w:pStyle w:val="Textonotapie"/>
        <w:rPr>
          <w:rFonts w:ascii="Verdana" w:hAnsi="Verdana"/>
          <w:lang w:val="pt-BR"/>
        </w:rPr>
      </w:pPr>
    </w:p>
    <w:p w:rsidR="00DE6EC5" w:rsidRPr="00FC4051" w:rsidRDefault="00DE6EC5" w:rsidP="00DE6EC5">
      <w:pPr>
        <w:pStyle w:val="Textonotapie"/>
        <w:rPr>
          <w:rFonts w:ascii="Verdana" w:hAnsi="Verdana"/>
          <w:lang w:val="pt-BR"/>
        </w:rPr>
      </w:pPr>
    </w:p>
    <w:p w:rsidR="00DE6EC5" w:rsidRPr="00FC4051" w:rsidRDefault="00DE6EC5" w:rsidP="00DE6EC5">
      <w:pPr>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rsidR="00DE6EC5" w:rsidRPr="00FC4051" w:rsidRDefault="00DE6EC5" w:rsidP="00DE6EC5">
      <w:pPr>
        <w:rPr>
          <w:rFonts w:ascii="Verdana" w:hAnsi="Verdana"/>
          <w:sz w:val="20"/>
          <w:lang w:val="pt-BR"/>
        </w:rPr>
      </w:pPr>
    </w:p>
    <w:p w:rsidR="00DE6EC5" w:rsidRDefault="00DE6EC5" w:rsidP="00DE6EC5">
      <w:pPr>
        <w:jc w:val="right"/>
        <w:rPr>
          <w:rFonts w:ascii="Verdana" w:hAnsi="Verdana"/>
          <w:sz w:val="20"/>
          <w:lang w:val="pt-BR"/>
        </w:rPr>
      </w:pPr>
    </w:p>
    <w:p w:rsidR="00DE6EC5" w:rsidRPr="00FC4051" w:rsidRDefault="00DE6EC5" w:rsidP="00DE6EC5">
      <w:pPr>
        <w:jc w:val="right"/>
        <w:rPr>
          <w:rFonts w:ascii="Verdana" w:hAnsi="Verdana"/>
          <w:sz w:val="20"/>
          <w:lang w:val="pt-BR"/>
        </w:rPr>
      </w:pPr>
    </w:p>
    <w:p w:rsidR="00DE6EC5" w:rsidRPr="00FC4051" w:rsidRDefault="00DE6EC5" w:rsidP="00DE6EC5">
      <w:pPr>
        <w:jc w:val="right"/>
        <w:rPr>
          <w:rFonts w:ascii="Verdana" w:hAnsi="Verdana"/>
          <w:sz w:val="20"/>
          <w:lang w:val="pt-BR"/>
        </w:rPr>
      </w:pPr>
    </w:p>
    <w:p w:rsidR="00DE6EC5" w:rsidRPr="00FC4051" w:rsidRDefault="00DE6EC5" w:rsidP="00DE6EC5">
      <w:pPr>
        <w:jc w:val="center"/>
        <w:rPr>
          <w:rFonts w:ascii="Verdana" w:hAnsi="Verdana"/>
          <w:sz w:val="20"/>
          <w:lang w:val="pt-BR"/>
        </w:rPr>
      </w:pPr>
      <w:r>
        <w:rPr>
          <w:rFonts w:ascii="Verdana" w:hAnsi="Verdana"/>
          <w:sz w:val="20"/>
          <w:lang w:val="pt-BR"/>
        </w:rPr>
        <w:t xml:space="preserve">                                                                        </w:t>
      </w:r>
      <w:r w:rsidRPr="00DA00D0">
        <w:rPr>
          <w:rFonts w:ascii="Verdana" w:hAnsi="Verdana"/>
          <w:sz w:val="20"/>
          <w:lang w:val="pt-BR"/>
        </w:rPr>
        <w:t>Eduardo Ferrer Mac-Gregor Poisot</w:t>
      </w:r>
    </w:p>
    <w:p w:rsidR="00DE6EC5" w:rsidRDefault="00DE6EC5" w:rsidP="00DE6EC5">
      <w:pPr>
        <w:ind w:left="5664" w:firstLine="708"/>
        <w:rPr>
          <w:rFonts w:ascii="Verdana" w:hAnsi="Verdana"/>
          <w:sz w:val="20"/>
          <w:lang w:val="pt-BR"/>
        </w:rPr>
      </w:pPr>
      <w:r>
        <w:rPr>
          <w:rFonts w:ascii="Verdana" w:hAnsi="Verdana"/>
          <w:sz w:val="20"/>
          <w:lang w:val="pt-BR"/>
        </w:rPr>
        <w:t xml:space="preserve">Presidente </w:t>
      </w:r>
    </w:p>
    <w:p w:rsidR="00DE6EC5" w:rsidRPr="00DA00D0" w:rsidRDefault="00DE6EC5" w:rsidP="00DE6EC5">
      <w:pPr>
        <w:ind w:left="6480"/>
        <w:rPr>
          <w:rFonts w:ascii="Verdana" w:hAnsi="Verdana"/>
          <w:sz w:val="20"/>
          <w:lang w:val="pt-BR"/>
        </w:rPr>
      </w:pPr>
    </w:p>
    <w:p w:rsidR="00DE6EC5" w:rsidRPr="00FC4051" w:rsidRDefault="00DE6EC5" w:rsidP="00DE6EC5">
      <w:pPr>
        <w:ind w:left="5040" w:firstLine="720"/>
        <w:jc w:val="center"/>
        <w:rPr>
          <w:rFonts w:ascii="Verdana" w:hAnsi="Verdana"/>
          <w:sz w:val="20"/>
          <w:lang w:val="pt-BR"/>
        </w:rPr>
      </w:pPr>
    </w:p>
    <w:p w:rsidR="00DE6EC5" w:rsidRPr="00FC4051" w:rsidRDefault="00DE6EC5" w:rsidP="00DE6EC5">
      <w:pPr>
        <w:jc w:val="both"/>
        <w:rPr>
          <w:rFonts w:ascii="Verdana" w:hAnsi="Verdana"/>
          <w:sz w:val="20"/>
          <w:lang w:val="pt-BR"/>
        </w:rPr>
      </w:pPr>
    </w:p>
    <w:p w:rsidR="00DE6EC5" w:rsidRPr="00FC4051" w:rsidRDefault="00DE6EC5" w:rsidP="00DE6EC5">
      <w:pPr>
        <w:jc w:val="both"/>
        <w:rPr>
          <w:rFonts w:ascii="Verdana" w:hAnsi="Verdana"/>
          <w:sz w:val="20"/>
          <w:lang w:val="pt-BR"/>
        </w:rPr>
      </w:pPr>
      <w:r w:rsidRPr="00FC4051">
        <w:rPr>
          <w:rFonts w:ascii="Verdana" w:hAnsi="Verdana"/>
          <w:sz w:val="20"/>
          <w:lang w:val="pt-BR"/>
        </w:rPr>
        <w:t>Pablo Saavedra Alessandri</w:t>
      </w:r>
    </w:p>
    <w:p w:rsidR="00DE6EC5" w:rsidRPr="000323DD" w:rsidRDefault="00DE6EC5" w:rsidP="00DE6EC5">
      <w:pPr>
        <w:rPr>
          <w:rFonts w:ascii="Verdana" w:hAnsi="Verdana"/>
          <w:sz w:val="20"/>
        </w:rPr>
      </w:pPr>
      <w:r w:rsidRPr="00FC4051">
        <w:rPr>
          <w:rFonts w:ascii="Verdana" w:hAnsi="Verdana"/>
          <w:sz w:val="20"/>
          <w:lang w:val="pt-BR"/>
        </w:rPr>
        <w:tab/>
      </w:r>
      <w:r w:rsidRPr="00DA00D0">
        <w:rPr>
          <w:rFonts w:ascii="Verdana" w:hAnsi="Verdana"/>
          <w:sz w:val="20"/>
        </w:rPr>
        <w:t>Secret</w:t>
      </w:r>
      <w:r>
        <w:rPr>
          <w:rFonts w:ascii="Verdana" w:hAnsi="Verdana"/>
          <w:sz w:val="20"/>
        </w:rPr>
        <w:t>a</w:t>
      </w:r>
      <w:r w:rsidRPr="00DA00D0">
        <w:rPr>
          <w:rFonts w:ascii="Verdana" w:hAnsi="Verdana"/>
          <w:sz w:val="20"/>
        </w:rPr>
        <w:t>rio</w:t>
      </w:r>
    </w:p>
    <w:sectPr w:rsidR="00DE6EC5" w:rsidRPr="000323DD" w:rsidSect="00DD3148">
      <w:headerReference w:type="even" r:id="rId8"/>
      <w:headerReference w:type="default" r:id="rId9"/>
      <w:footerReference w:type="even" r:id="rId10"/>
      <w:footerReference w:type="default" r:id="rId11"/>
      <w:pgSz w:w="12240" w:h="15840"/>
      <w:pgMar w:top="1872" w:right="1872" w:bottom="1584" w:left="1872"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F30" w:rsidRDefault="00272F30" w:rsidP="009A657F">
      <w:r>
        <w:separator/>
      </w:r>
    </w:p>
  </w:endnote>
  <w:endnote w:type="continuationSeparator" w:id="0">
    <w:p w:rsidR="00272F30" w:rsidRDefault="00272F30" w:rsidP="009A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262" w:rsidRDefault="0009700C">
    <w:pPr>
      <w:pStyle w:val="Piedepgina"/>
      <w:framePr w:wrap="around" w:vAnchor="text" w:hAnchor="margin" w:xAlign="right" w:y="1"/>
      <w:rPr>
        <w:rStyle w:val="Nmerodepgina"/>
      </w:rPr>
    </w:pPr>
    <w:r>
      <w:rPr>
        <w:rStyle w:val="Nmerodepgina"/>
      </w:rPr>
      <w:fldChar w:fldCharType="begin"/>
    </w:r>
    <w:r w:rsidR="00236262">
      <w:rPr>
        <w:rStyle w:val="Nmerodepgina"/>
      </w:rPr>
      <w:instrText xml:space="preserve">PAGE  </w:instrText>
    </w:r>
    <w:r>
      <w:rPr>
        <w:rStyle w:val="Nmerodepgina"/>
      </w:rPr>
      <w:fldChar w:fldCharType="end"/>
    </w:r>
  </w:p>
  <w:p w:rsidR="00236262" w:rsidRDefault="00236262">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262" w:rsidRDefault="00236262">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F30" w:rsidRDefault="00272F30" w:rsidP="009A657F">
      <w:r>
        <w:separator/>
      </w:r>
    </w:p>
  </w:footnote>
  <w:footnote w:type="continuationSeparator" w:id="0">
    <w:p w:rsidR="00272F30" w:rsidRDefault="00272F30" w:rsidP="009A657F">
      <w:r>
        <w:continuationSeparator/>
      </w:r>
    </w:p>
  </w:footnote>
  <w:footnote w:id="1">
    <w:p w:rsidR="002B3320" w:rsidRPr="002B3320" w:rsidRDefault="002B3320" w:rsidP="002B3320">
      <w:pPr>
        <w:pStyle w:val="Textonotapie"/>
        <w:rPr>
          <w:rFonts w:ascii="Verdana" w:hAnsi="Verdana"/>
          <w:sz w:val="16"/>
          <w:szCs w:val="16"/>
          <w:lang w:val="es-CR"/>
        </w:rPr>
      </w:pPr>
      <w:r w:rsidRPr="002B3320">
        <w:rPr>
          <w:rStyle w:val="Refdenotaalpie"/>
          <w:rFonts w:ascii="Verdana" w:hAnsi="Verdana"/>
          <w:sz w:val="16"/>
          <w:szCs w:val="16"/>
        </w:rPr>
        <w:sym w:font="Symbol" w:char="F02A"/>
      </w:r>
      <w:r w:rsidRPr="002B3320">
        <w:rPr>
          <w:rFonts w:ascii="Verdana" w:hAnsi="Verdana"/>
          <w:sz w:val="16"/>
          <w:szCs w:val="16"/>
        </w:rPr>
        <w:tab/>
      </w:r>
      <w:r w:rsidRPr="002B3320">
        <w:rPr>
          <w:rFonts w:ascii="Verdana" w:hAnsi="Verdana" w:cs="Arial"/>
          <w:spacing w:val="-4"/>
          <w:sz w:val="16"/>
          <w:szCs w:val="16"/>
        </w:rPr>
        <w:t>El</w:t>
      </w:r>
      <w:r w:rsidRPr="002B3320">
        <w:rPr>
          <w:rFonts w:ascii="Verdana" w:hAnsi="Verdana" w:cs="Arial"/>
          <w:spacing w:val="-4"/>
          <w:sz w:val="16"/>
          <w:szCs w:val="16"/>
          <w:lang w:val="es-CR"/>
        </w:rPr>
        <w:t xml:space="preserve"> </w:t>
      </w:r>
      <w:r w:rsidRPr="002B3320">
        <w:rPr>
          <w:rFonts w:ascii="Verdana" w:hAnsi="Verdana"/>
          <w:sz w:val="16"/>
          <w:szCs w:val="16"/>
        </w:rPr>
        <w:t>Juez</w:t>
      </w:r>
      <w:r w:rsidRPr="002B3320">
        <w:rPr>
          <w:rFonts w:ascii="Verdana" w:hAnsi="Verdana" w:cs="Verdana"/>
          <w:spacing w:val="-4"/>
          <w:sz w:val="16"/>
          <w:szCs w:val="16"/>
          <w:lang w:val="es-CR"/>
        </w:rPr>
        <w:t xml:space="preserve"> Humberto </w:t>
      </w:r>
      <w:r>
        <w:rPr>
          <w:rFonts w:ascii="Verdana" w:hAnsi="Verdana" w:cs="Verdana"/>
          <w:spacing w:val="-4"/>
          <w:sz w:val="16"/>
          <w:szCs w:val="16"/>
          <w:lang w:val="es-CR"/>
        </w:rPr>
        <w:t xml:space="preserve">Antonio </w:t>
      </w:r>
      <w:r w:rsidRPr="002B3320">
        <w:rPr>
          <w:rFonts w:ascii="Verdana" w:hAnsi="Verdana" w:cs="Verdana"/>
          <w:spacing w:val="-4"/>
          <w:sz w:val="16"/>
          <w:szCs w:val="16"/>
          <w:lang w:val="es-CR"/>
        </w:rPr>
        <w:t>Sierra Porto</w:t>
      </w:r>
      <w:r w:rsidRPr="002B3320">
        <w:rPr>
          <w:rFonts w:ascii="Verdana" w:hAnsi="Verdana"/>
          <w:sz w:val="16"/>
          <w:szCs w:val="16"/>
        </w:rPr>
        <w:t>, por razones de fuerza mayor aceptadas por el Pleno del Tribunal, no participó en la deliberación y firma de la presente Resolución.</w:t>
      </w:r>
    </w:p>
  </w:footnote>
  <w:footnote w:id="2">
    <w:p w:rsidR="00236262" w:rsidRPr="00145C83" w:rsidRDefault="00236262" w:rsidP="009A657F">
      <w:pPr>
        <w:pStyle w:val="Textonotapie"/>
        <w:spacing w:before="120" w:after="120"/>
        <w:jc w:val="both"/>
        <w:rPr>
          <w:rFonts w:ascii="Verdana" w:hAnsi="Verdana"/>
          <w:sz w:val="16"/>
          <w:szCs w:val="16"/>
        </w:rPr>
      </w:pPr>
      <w:r w:rsidRPr="00B743CC">
        <w:rPr>
          <w:rStyle w:val="Refdenotaalpie"/>
          <w:rFonts w:ascii="Verdana" w:hAnsi="Verdana"/>
          <w:sz w:val="16"/>
          <w:szCs w:val="16"/>
        </w:rPr>
        <w:footnoteRef/>
      </w:r>
      <w:r w:rsidR="00945521">
        <w:rPr>
          <w:rFonts w:ascii="Verdana" w:hAnsi="Verdana" w:cs="Helvetica"/>
          <w:i/>
          <w:sz w:val="16"/>
          <w:szCs w:val="16"/>
          <w:lang w:bidi="en-US"/>
        </w:rPr>
        <w:t xml:space="preserve"> </w:t>
      </w:r>
      <w:r w:rsidR="0060192D">
        <w:rPr>
          <w:rFonts w:ascii="Verdana" w:hAnsi="Verdana" w:cs="Helvetica"/>
          <w:i/>
          <w:sz w:val="16"/>
          <w:szCs w:val="16"/>
          <w:lang w:bidi="en-US"/>
        </w:rPr>
        <w:tab/>
      </w:r>
      <w:r w:rsidRPr="00B743CC">
        <w:rPr>
          <w:rFonts w:ascii="Verdana" w:hAnsi="Verdana" w:cs="Helvetica"/>
          <w:i/>
          <w:sz w:val="16"/>
          <w:szCs w:val="16"/>
          <w:lang w:bidi="en-US"/>
        </w:rPr>
        <w:t xml:space="preserve">Cfr. Caso del Periódico “La Nación”. </w:t>
      </w:r>
      <w:r w:rsidRPr="00B743CC">
        <w:rPr>
          <w:rFonts w:ascii="Verdana" w:hAnsi="Verdana" w:cs="Helvetica"/>
          <w:sz w:val="16"/>
          <w:szCs w:val="16"/>
          <w:lang w:bidi="en-US"/>
        </w:rPr>
        <w:t xml:space="preserve">Medidas Provisionales respecto de Costa Rica. Resolución de la Corte de 7 de septiembre de 2001, Considerando </w:t>
      </w:r>
      <w:r w:rsidR="00462545">
        <w:rPr>
          <w:rFonts w:ascii="Verdana" w:hAnsi="Verdana" w:cs="Helvetica"/>
          <w:sz w:val="16"/>
          <w:szCs w:val="16"/>
          <w:lang w:bidi="en-US"/>
        </w:rPr>
        <w:t>4</w:t>
      </w:r>
      <w:r w:rsidR="00945521">
        <w:rPr>
          <w:rFonts w:ascii="Verdana" w:hAnsi="Verdana" w:cs="Helvetica"/>
          <w:sz w:val="16"/>
          <w:szCs w:val="16"/>
          <w:lang w:bidi="en-US"/>
        </w:rPr>
        <w:t>, y</w:t>
      </w:r>
      <w:r w:rsidRPr="00B743CC">
        <w:rPr>
          <w:rFonts w:ascii="Verdana" w:hAnsi="Verdana" w:cs="Helvetica"/>
          <w:sz w:val="16"/>
          <w:szCs w:val="16"/>
          <w:lang w:bidi="en-US"/>
        </w:rPr>
        <w:t xml:space="preserve"> </w:t>
      </w:r>
      <w:r w:rsidR="00E72E55">
        <w:rPr>
          <w:rStyle w:val="Textoennegrita"/>
          <w:rFonts w:ascii="Verdana" w:hAnsi="Verdana"/>
          <w:b w:val="0"/>
          <w:i/>
          <w:color w:val="000000"/>
          <w:sz w:val="16"/>
          <w:szCs w:val="16"/>
          <w:shd w:val="clear" w:color="auto" w:fill="FFFFFF"/>
        </w:rPr>
        <w:t xml:space="preserve">Asunto Pobladores de las Comunidades del Pueblo </w:t>
      </w:r>
      <w:r w:rsidR="000464C8">
        <w:rPr>
          <w:rStyle w:val="Textoennegrita"/>
          <w:rFonts w:ascii="Verdana" w:hAnsi="Verdana"/>
          <w:b w:val="0"/>
          <w:i/>
          <w:color w:val="000000"/>
          <w:sz w:val="16"/>
          <w:szCs w:val="16"/>
          <w:shd w:val="clear" w:color="auto" w:fill="FFFFFF"/>
        </w:rPr>
        <w:t>Indígena</w:t>
      </w:r>
      <w:r w:rsidR="00E72E55">
        <w:rPr>
          <w:rStyle w:val="Textoennegrita"/>
          <w:rFonts w:ascii="Verdana" w:hAnsi="Verdana"/>
          <w:b w:val="0"/>
          <w:i/>
          <w:color w:val="000000"/>
          <w:sz w:val="16"/>
          <w:szCs w:val="16"/>
          <w:shd w:val="clear" w:color="auto" w:fill="FFFFFF"/>
        </w:rPr>
        <w:t xml:space="preserve"> Miskitu de la </w:t>
      </w:r>
      <w:r w:rsidR="000464C8">
        <w:rPr>
          <w:rStyle w:val="Textoennegrita"/>
          <w:rFonts w:ascii="Verdana" w:hAnsi="Verdana"/>
          <w:b w:val="0"/>
          <w:i/>
          <w:color w:val="000000"/>
          <w:sz w:val="16"/>
          <w:szCs w:val="16"/>
          <w:shd w:val="clear" w:color="auto" w:fill="FFFFFF"/>
        </w:rPr>
        <w:t>Región</w:t>
      </w:r>
      <w:r w:rsidR="00E72E55">
        <w:rPr>
          <w:rStyle w:val="Textoennegrita"/>
          <w:rFonts w:ascii="Verdana" w:hAnsi="Verdana"/>
          <w:b w:val="0"/>
          <w:i/>
          <w:color w:val="000000"/>
          <w:sz w:val="16"/>
          <w:szCs w:val="16"/>
          <w:shd w:val="clear" w:color="auto" w:fill="FFFFFF"/>
        </w:rPr>
        <w:t xml:space="preserve"> Costa Caribe Norte. </w:t>
      </w:r>
      <w:r w:rsidR="00E72E55" w:rsidRPr="00B743CC">
        <w:rPr>
          <w:rFonts w:ascii="Verdana" w:hAnsi="Verdana" w:cs="Helvetica"/>
          <w:sz w:val="16"/>
          <w:szCs w:val="16"/>
          <w:lang w:bidi="en-US"/>
        </w:rPr>
        <w:t>Medidas Prov</w:t>
      </w:r>
      <w:r w:rsidR="00E72E55">
        <w:rPr>
          <w:rFonts w:ascii="Verdana" w:hAnsi="Verdana" w:cs="Helvetica"/>
          <w:sz w:val="16"/>
          <w:szCs w:val="16"/>
          <w:lang w:bidi="en-US"/>
        </w:rPr>
        <w:t>isionales respecto de Nicaragua. Resolución de la Corte de 23 de agosto de 2018</w:t>
      </w:r>
      <w:r w:rsidR="00E72E55" w:rsidRPr="00B743CC">
        <w:rPr>
          <w:rFonts w:ascii="Verdana" w:hAnsi="Verdana" w:cs="Helvetica"/>
          <w:sz w:val="16"/>
          <w:szCs w:val="16"/>
          <w:lang w:bidi="en-US"/>
        </w:rPr>
        <w:t xml:space="preserve">, Considerando </w:t>
      </w:r>
      <w:r w:rsidR="00E72E55">
        <w:rPr>
          <w:rFonts w:ascii="Verdana" w:hAnsi="Verdana" w:cs="Helvetica"/>
          <w:sz w:val="16"/>
          <w:szCs w:val="16"/>
          <w:lang w:bidi="en-US"/>
        </w:rPr>
        <w:t>3.</w:t>
      </w:r>
    </w:p>
  </w:footnote>
  <w:footnote w:id="3">
    <w:p w:rsidR="00236262" w:rsidRPr="00B743CC" w:rsidRDefault="00236262" w:rsidP="009A657F">
      <w:pPr>
        <w:jc w:val="both"/>
        <w:rPr>
          <w:rFonts w:ascii="Verdana" w:hAnsi="Verdana"/>
          <w:sz w:val="16"/>
          <w:szCs w:val="16"/>
        </w:rPr>
      </w:pPr>
      <w:r w:rsidRPr="00B743CC">
        <w:rPr>
          <w:rStyle w:val="Refdenotaalpie"/>
          <w:rFonts w:ascii="Verdana" w:hAnsi="Verdana"/>
          <w:sz w:val="16"/>
          <w:szCs w:val="16"/>
        </w:rPr>
        <w:footnoteRef/>
      </w:r>
      <w:r w:rsidR="00945521">
        <w:rPr>
          <w:rFonts w:ascii="Verdana" w:hAnsi="Verdana"/>
          <w:sz w:val="16"/>
          <w:szCs w:val="16"/>
        </w:rPr>
        <w:t xml:space="preserve"> </w:t>
      </w:r>
      <w:r w:rsidR="0060192D">
        <w:rPr>
          <w:rFonts w:ascii="Verdana" w:hAnsi="Verdana"/>
          <w:sz w:val="16"/>
          <w:szCs w:val="16"/>
        </w:rPr>
        <w:tab/>
      </w:r>
      <w:r w:rsidRPr="00B743CC">
        <w:rPr>
          <w:rFonts w:ascii="Verdana" w:hAnsi="Verdana"/>
          <w:i/>
          <w:sz w:val="16"/>
          <w:szCs w:val="16"/>
        </w:rPr>
        <w:t xml:space="preserve">Cfr. </w:t>
      </w:r>
      <w:r w:rsidRPr="00B743CC">
        <w:rPr>
          <w:rStyle w:val="nfasis"/>
          <w:rFonts w:ascii="Verdana" w:hAnsi="Verdana" w:cs="Arial"/>
          <w:sz w:val="16"/>
          <w:szCs w:val="16"/>
        </w:rPr>
        <w:t xml:space="preserve">Caso Bámaca Velásquez. </w:t>
      </w:r>
      <w:r w:rsidRPr="00B743CC">
        <w:rPr>
          <w:rFonts w:ascii="Verdana" w:hAnsi="Verdana" w:cs="Arial"/>
          <w:sz w:val="16"/>
          <w:szCs w:val="16"/>
        </w:rPr>
        <w:t>Medidas Provisionales</w:t>
      </w:r>
      <w:r w:rsidR="003B6ACE" w:rsidRPr="003B6ACE">
        <w:rPr>
          <w:rStyle w:val="nfasis"/>
          <w:rFonts w:ascii="Verdana" w:hAnsi="Verdana" w:cs="Arial"/>
          <w:sz w:val="16"/>
          <w:szCs w:val="16"/>
        </w:rPr>
        <w:t xml:space="preserve"> </w:t>
      </w:r>
      <w:r w:rsidR="003B6ACE">
        <w:rPr>
          <w:rStyle w:val="nfasis"/>
          <w:rFonts w:ascii="Verdana" w:hAnsi="Verdana" w:cs="Arial"/>
          <w:sz w:val="16"/>
          <w:szCs w:val="16"/>
        </w:rPr>
        <w:t>respecto Guatemala</w:t>
      </w:r>
      <w:r w:rsidRPr="00B743CC">
        <w:rPr>
          <w:rFonts w:ascii="Verdana" w:hAnsi="Verdana" w:cs="Arial"/>
          <w:sz w:val="16"/>
          <w:szCs w:val="16"/>
        </w:rPr>
        <w:t>. Resolución de la Corte</w:t>
      </w:r>
      <w:r w:rsidR="003B6ACE">
        <w:rPr>
          <w:rFonts w:ascii="Verdana" w:hAnsi="Verdana" w:cs="Arial"/>
          <w:sz w:val="16"/>
          <w:szCs w:val="16"/>
        </w:rPr>
        <w:t xml:space="preserve"> de </w:t>
      </w:r>
      <w:r w:rsidRPr="00B743CC">
        <w:rPr>
          <w:rFonts w:ascii="Verdana" w:hAnsi="Verdana" w:cs="Arial"/>
          <w:sz w:val="16"/>
          <w:szCs w:val="16"/>
        </w:rPr>
        <w:t xml:space="preserve">20 de noviembre de 2003, Considerando </w:t>
      </w:r>
      <w:r w:rsidR="00462545">
        <w:rPr>
          <w:rFonts w:ascii="Verdana" w:hAnsi="Verdana" w:cs="Arial"/>
          <w:sz w:val="16"/>
          <w:szCs w:val="16"/>
        </w:rPr>
        <w:t>10</w:t>
      </w:r>
      <w:r w:rsidR="00945521">
        <w:rPr>
          <w:rFonts w:ascii="Verdana" w:hAnsi="Verdana" w:cs="Arial"/>
          <w:sz w:val="16"/>
          <w:szCs w:val="16"/>
        </w:rPr>
        <w:t>, y</w:t>
      </w:r>
      <w:r w:rsidR="00114B18">
        <w:rPr>
          <w:rFonts w:ascii="Verdana" w:hAnsi="Verdana" w:cs="Arial"/>
          <w:sz w:val="16"/>
          <w:szCs w:val="16"/>
        </w:rPr>
        <w:t xml:space="preserve"> </w:t>
      </w:r>
      <w:r w:rsidR="00114B18" w:rsidRPr="0056734C">
        <w:rPr>
          <w:rFonts w:ascii="Verdana" w:hAnsi="Verdana" w:cs="Arial"/>
          <w:i/>
          <w:sz w:val="16"/>
          <w:szCs w:val="16"/>
        </w:rPr>
        <w:t>Asunto Meléndez Quijano y otros</w:t>
      </w:r>
      <w:r w:rsidR="00114B18" w:rsidRPr="00ED0B48">
        <w:rPr>
          <w:rFonts w:ascii="Verdana" w:hAnsi="Verdana" w:cs="Arial"/>
          <w:i/>
          <w:sz w:val="16"/>
          <w:szCs w:val="16"/>
        </w:rPr>
        <w:t xml:space="preserve">. </w:t>
      </w:r>
      <w:r w:rsidR="00114B18" w:rsidRPr="00114B18">
        <w:rPr>
          <w:rFonts w:ascii="Verdana" w:hAnsi="Verdana" w:cs="Arial"/>
          <w:sz w:val="16"/>
          <w:szCs w:val="16"/>
        </w:rPr>
        <w:t>Medidas Provisionales</w:t>
      </w:r>
      <w:r w:rsidR="00114B18">
        <w:rPr>
          <w:rFonts w:ascii="Verdana" w:hAnsi="Verdana" w:cs="Arial"/>
          <w:sz w:val="16"/>
          <w:szCs w:val="16"/>
        </w:rPr>
        <w:t xml:space="preserve"> con </w:t>
      </w:r>
      <w:r w:rsidR="00114B18" w:rsidRPr="0056734C">
        <w:rPr>
          <w:rFonts w:ascii="Verdana" w:hAnsi="Verdana" w:cs="Arial"/>
          <w:sz w:val="16"/>
          <w:szCs w:val="16"/>
        </w:rPr>
        <w:t>respecto de El Salvad</w:t>
      </w:r>
      <w:r w:rsidR="00114B18" w:rsidRPr="00ED0B48">
        <w:rPr>
          <w:rFonts w:ascii="Verdana" w:hAnsi="Verdana" w:cs="Arial"/>
          <w:sz w:val="16"/>
          <w:szCs w:val="16"/>
        </w:rPr>
        <w:t>or.</w:t>
      </w:r>
      <w:r w:rsidR="00114B18" w:rsidRPr="00114B18">
        <w:rPr>
          <w:rFonts w:ascii="Verdana" w:hAnsi="Verdana" w:cs="Arial"/>
          <w:sz w:val="16"/>
          <w:szCs w:val="16"/>
        </w:rPr>
        <w:t xml:space="preserve"> Resolución de la Corte </w:t>
      </w:r>
      <w:r w:rsidR="00114B18">
        <w:rPr>
          <w:rFonts w:ascii="Verdana" w:hAnsi="Verdana" w:cs="Arial"/>
          <w:sz w:val="16"/>
          <w:szCs w:val="16"/>
        </w:rPr>
        <w:t>de 26 de septiembre de 2018</w:t>
      </w:r>
      <w:r w:rsidR="00145C83">
        <w:rPr>
          <w:rFonts w:ascii="Verdana" w:hAnsi="Verdana" w:cs="Arial"/>
          <w:sz w:val="16"/>
          <w:szCs w:val="16"/>
        </w:rPr>
        <w:t xml:space="preserve">, Considerando </w:t>
      </w:r>
      <w:r w:rsidR="00114B18">
        <w:rPr>
          <w:rFonts w:ascii="Verdana" w:hAnsi="Verdana" w:cs="Arial"/>
          <w:sz w:val="16"/>
          <w:szCs w:val="16"/>
        </w:rPr>
        <w:t>4</w:t>
      </w:r>
      <w:r w:rsidR="00145C83">
        <w:rPr>
          <w:rFonts w:ascii="Verdana" w:hAnsi="Verdana" w:cs="Arial"/>
          <w:sz w:val="16"/>
          <w:szCs w:val="16"/>
        </w:rPr>
        <w:t>.</w:t>
      </w:r>
    </w:p>
    <w:p w:rsidR="00236262" w:rsidRPr="00190A56" w:rsidRDefault="00236262" w:rsidP="009A657F">
      <w:pPr>
        <w:pStyle w:val="Textonotapie"/>
        <w:jc w:val="both"/>
        <w:rPr>
          <w:rFonts w:ascii="Verdana" w:hAnsi="Verdana"/>
          <w:sz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262" w:rsidRDefault="0009700C">
    <w:pPr>
      <w:pStyle w:val="Encabezado"/>
      <w:framePr w:wrap="around" w:vAnchor="text" w:hAnchor="margin" w:xAlign="center" w:y="1"/>
      <w:rPr>
        <w:rStyle w:val="Nmerodepgina"/>
      </w:rPr>
    </w:pPr>
    <w:r>
      <w:rPr>
        <w:rStyle w:val="Nmerodepgina"/>
      </w:rPr>
      <w:fldChar w:fldCharType="begin"/>
    </w:r>
    <w:r w:rsidR="00236262">
      <w:rPr>
        <w:rStyle w:val="Nmerodepgina"/>
      </w:rPr>
      <w:instrText xml:space="preserve">PAGE  </w:instrText>
    </w:r>
    <w:r>
      <w:rPr>
        <w:rStyle w:val="Nmerodepgina"/>
      </w:rPr>
      <w:fldChar w:fldCharType="end"/>
    </w:r>
  </w:p>
  <w:p w:rsidR="00236262" w:rsidRDefault="00236262">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6262" w:rsidRPr="00B6639D" w:rsidRDefault="00236262" w:rsidP="00D957DF">
    <w:pPr>
      <w:pStyle w:val="Encabezado"/>
      <w:framePr w:wrap="around" w:vAnchor="text" w:hAnchor="page" w:x="6022" w:y="-14"/>
      <w:rPr>
        <w:rStyle w:val="Nmerodepgina"/>
        <w:rFonts w:ascii="Verdana" w:hAnsi="Verdana"/>
        <w:sz w:val="20"/>
      </w:rPr>
    </w:pPr>
    <w:r w:rsidRPr="00B6639D">
      <w:rPr>
        <w:rStyle w:val="Nmerodepgina"/>
        <w:rFonts w:ascii="Verdana" w:hAnsi="Verdana"/>
        <w:sz w:val="20"/>
      </w:rPr>
      <w:t>-</w:t>
    </w:r>
    <w:r w:rsidR="0009700C" w:rsidRPr="00B6639D">
      <w:rPr>
        <w:rStyle w:val="Nmerodepgina"/>
        <w:sz w:val="20"/>
      </w:rPr>
      <w:fldChar w:fldCharType="begin"/>
    </w:r>
    <w:r w:rsidRPr="00B6639D">
      <w:rPr>
        <w:rStyle w:val="Nmerodepgina"/>
        <w:rFonts w:ascii="Verdana" w:hAnsi="Verdana"/>
        <w:sz w:val="20"/>
      </w:rPr>
      <w:instrText xml:space="preserve">PAGE  </w:instrText>
    </w:r>
    <w:r w:rsidR="0009700C" w:rsidRPr="00B6639D">
      <w:rPr>
        <w:rStyle w:val="Nmerodepgina"/>
        <w:sz w:val="20"/>
      </w:rPr>
      <w:fldChar w:fldCharType="separate"/>
    </w:r>
    <w:r w:rsidR="008E3CF8">
      <w:rPr>
        <w:rStyle w:val="Nmerodepgina"/>
        <w:rFonts w:ascii="Verdana" w:hAnsi="Verdana"/>
        <w:noProof/>
        <w:sz w:val="20"/>
      </w:rPr>
      <w:t>4</w:t>
    </w:r>
    <w:r w:rsidR="0009700C" w:rsidRPr="00B6639D">
      <w:rPr>
        <w:rStyle w:val="Nmerodepgina"/>
        <w:sz w:val="20"/>
      </w:rPr>
      <w:fldChar w:fldCharType="end"/>
    </w:r>
    <w:r w:rsidRPr="00B6639D">
      <w:rPr>
        <w:rStyle w:val="Nmerodepgina"/>
        <w:rFonts w:ascii="Verdana" w:hAnsi="Verdana"/>
        <w:sz w:val="20"/>
      </w:rPr>
      <w:t>-</w:t>
    </w:r>
  </w:p>
  <w:p w:rsidR="00236262" w:rsidRDefault="0023626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2078B"/>
    <w:multiLevelType w:val="hybridMultilevel"/>
    <w:tmpl w:val="880A4D4C"/>
    <w:lvl w:ilvl="0" w:tplc="849CD9DC">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4C4934"/>
    <w:multiLevelType w:val="hybridMultilevel"/>
    <w:tmpl w:val="58C632EE"/>
    <w:lvl w:ilvl="0" w:tplc="EDA20A02">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163566A"/>
    <w:multiLevelType w:val="hybridMultilevel"/>
    <w:tmpl w:val="86DACBBC"/>
    <w:lvl w:ilvl="0" w:tplc="EE109E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CA25950"/>
    <w:multiLevelType w:val="hybridMultilevel"/>
    <w:tmpl w:val="43D0FC48"/>
    <w:lvl w:ilvl="0" w:tplc="2214BF8C">
      <w:start w:val="1"/>
      <w:numFmt w:val="lowerRoman"/>
      <w:lvlText w:val="%1."/>
      <w:lvlJc w:val="left"/>
      <w:pPr>
        <w:ind w:left="720" w:hanging="360"/>
      </w:pPr>
      <w:rPr>
        <w:rFonts w:ascii="Verdana" w:eastAsia="Calibri" w:hAnsi="Verdan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528AE"/>
    <w:multiLevelType w:val="hybridMultilevel"/>
    <w:tmpl w:val="CD62A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4010E1"/>
    <w:multiLevelType w:val="hybridMultilevel"/>
    <w:tmpl w:val="FAECE968"/>
    <w:lvl w:ilvl="0" w:tplc="F172E020">
      <w:start w:val="1"/>
      <w:numFmt w:val="decimal"/>
      <w:lvlText w:val="%1."/>
      <w:lvlJc w:val="left"/>
      <w:pPr>
        <w:tabs>
          <w:tab w:val="num" w:pos="360"/>
        </w:tabs>
        <w:ind w:left="360" w:hanging="360"/>
      </w:pPr>
      <w:rPr>
        <w:rFonts w:ascii="Verdana" w:hAnsi="Verdana" w:hint="default"/>
        <w:b w:val="0"/>
        <w:sz w:val="20"/>
      </w:rPr>
    </w:lvl>
    <w:lvl w:ilvl="1" w:tplc="0409000F">
      <w:start w:val="1"/>
      <w:numFmt w:val="decimal"/>
      <w:lvlText w:val="%2."/>
      <w:lvlJc w:val="left"/>
      <w:pPr>
        <w:tabs>
          <w:tab w:val="num" w:pos="1440"/>
        </w:tabs>
        <w:ind w:left="1440" w:hanging="360"/>
      </w:pPr>
      <w:rPr>
        <w:rFonts w:hint="default"/>
        <w:b w:val="0"/>
      </w:rPr>
    </w:lvl>
    <w:lvl w:ilvl="2" w:tplc="92DEE256">
      <w:start w:val="1"/>
      <w:numFmt w:val="lowerLetter"/>
      <w:lvlText w:val="%3."/>
      <w:lvlJc w:val="left"/>
      <w:pPr>
        <w:tabs>
          <w:tab w:val="num" w:pos="2340"/>
        </w:tabs>
        <w:ind w:left="2340" w:hanging="360"/>
      </w:pPr>
      <w:rPr>
        <w:rFonts w:hint="default"/>
      </w:rPr>
    </w:lvl>
    <w:lvl w:ilvl="3" w:tplc="A9E0C762">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57F"/>
    <w:rsid w:val="00005772"/>
    <w:rsid w:val="00015FB4"/>
    <w:rsid w:val="00017E15"/>
    <w:rsid w:val="000323DD"/>
    <w:rsid w:val="00035FDE"/>
    <w:rsid w:val="000464C8"/>
    <w:rsid w:val="00077433"/>
    <w:rsid w:val="0009700C"/>
    <w:rsid w:val="000A1233"/>
    <w:rsid w:val="000A6189"/>
    <w:rsid w:val="000B2944"/>
    <w:rsid w:val="000D2DA0"/>
    <w:rsid w:val="000E6360"/>
    <w:rsid w:val="000F1DEC"/>
    <w:rsid w:val="000F799C"/>
    <w:rsid w:val="00100470"/>
    <w:rsid w:val="00106FE9"/>
    <w:rsid w:val="00114B18"/>
    <w:rsid w:val="001173EE"/>
    <w:rsid w:val="00120976"/>
    <w:rsid w:val="001372AE"/>
    <w:rsid w:val="00145C83"/>
    <w:rsid w:val="00146FA1"/>
    <w:rsid w:val="00156C80"/>
    <w:rsid w:val="001A188F"/>
    <w:rsid w:val="001A5257"/>
    <w:rsid w:val="001B3DA5"/>
    <w:rsid w:val="001C02FA"/>
    <w:rsid w:val="001E6C17"/>
    <w:rsid w:val="0020772D"/>
    <w:rsid w:val="00236262"/>
    <w:rsid w:val="00254129"/>
    <w:rsid w:val="00272F30"/>
    <w:rsid w:val="002777F0"/>
    <w:rsid w:val="00284789"/>
    <w:rsid w:val="002A06D8"/>
    <w:rsid w:val="002B3320"/>
    <w:rsid w:val="002F1D39"/>
    <w:rsid w:val="003047DF"/>
    <w:rsid w:val="0031502F"/>
    <w:rsid w:val="00325140"/>
    <w:rsid w:val="00332F3D"/>
    <w:rsid w:val="00336A87"/>
    <w:rsid w:val="00384963"/>
    <w:rsid w:val="003A579D"/>
    <w:rsid w:val="003A5F24"/>
    <w:rsid w:val="003B6ACE"/>
    <w:rsid w:val="003D5176"/>
    <w:rsid w:val="0040400C"/>
    <w:rsid w:val="00462545"/>
    <w:rsid w:val="004670BB"/>
    <w:rsid w:val="00477F95"/>
    <w:rsid w:val="00480451"/>
    <w:rsid w:val="004A1637"/>
    <w:rsid w:val="004B4368"/>
    <w:rsid w:val="004B550E"/>
    <w:rsid w:val="004D7B21"/>
    <w:rsid w:val="004E6E85"/>
    <w:rsid w:val="004F542B"/>
    <w:rsid w:val="00516368"/>
    <w:rsid w:val="005205C4"/>
    <w:rsid w:val="0053760B"/>
    <w:rsid w:val="0056734C"/>
    <w:rsid w:val="00570755"/>
    <w:rsid w:val="00597A93"/>
    <w:rsid w:val="005B463D"/>
    <w:rsid w:val="005C1628"/>
    <w:rsid w:val="0060192D"/>
    <w:rsid w:val="00605DAC"/>
    <w:rsid w:val="0062203B"/>
    <w:rsid w:val="00644041"/>
    <w:rsid w:val="00671F9C"/>
    <w:rsid w:val="00672D3A"/>
    <w:rsid w:val="0068241A"/>
    <w:rsid w:val="006D1DDD"/>
    <w:rsid w:val="006E0AE8"/>
    <w:rsid w:val="00721E3A"/>
    <w:rsid w:val="007469EA"/>
    <w:rsid w:val="00751306"/>
    <w:rsid w:val="007743EC"/>
    <w:rsid w:val="007C2409"/>
    <w:rsid w:val="00831A91"/>
    <w:rsid w:val="0083636F"/>
    <w:rsid w:val="00845F5F"/>
    <w:rsid w:val="00851E58"/>
    <w:rsid w:val="008A6E50"/>
    <w:rsid w:val="008B0439"/>
    <w:rsid w:val="008E0312"/>
    <w:rsid w:val="008E3CF8"/>
    <w:rsid w:val="00901296"/>
    <w:rsid w:val="009150B2"/>
    <w:rsid w:val="00945521"/>
    <w:rsid w:val="009479C1"/>
    <w:rsid w:val="009517E5"/>
    <w:rsid w:val="00956436"/>
    <w:rsid w:val="00990B45"/>
    <w:rsid w:val="009A3FDC"/>
    <w:rsid w:val="009A657F"/>
    <w:rsid w:val="009B1823"/>
    <w:rsid w:val="009B33C0"/>
    <w:rsid w:val="009E5338"/>
    <w:rsid w:val="00A1107C"/>
    <w:rsid w:val="00A21440"/>
    <w:rsid w:val="00A279EF"/>
    <w:rsid w:val="00A36294"/>
    <w:rsid w:val="00A4088D"/>
    <w:rsid w:val="00A451CC"/>
    <w:rsid w:val="00A54A93"/>
    <w:rsid w:val="00A70952"/>
    <w:rsid w:val="00A73D13"/>
    <w:rsid w:val="00A76B1D"/>
    <w:rsid w:val="00A87301"/>
    <w:rsid w:val="00A92ABF"/>
    <w:rsid w:val="00AA092E"/>
    <w:rsid w:val="00AA38B9"/>
    <w:rsid w:val="00AC51CA"/>
    <w:rsid w:val="00AD0A3B"/>
    <w:rsid w:val="00B03AAD"/>
    <w:rsid w:val="00B20C7F"/>
    <w:rsid w:val="00B30997"/>
    <w:rsid w:val="00BB087B"/>
    <w:rsid w:val="00BB0A5D"/>
    <w:rsid w:val="00BB75B6"/>
    <w:rsid w:val="00BF2223"/>
    <w:rsid w:val="00C14CCE"/>
    <w:rsid w:val="00C1623C"/>
    <w:rsid w:val="00C45778"/>
    <w:rsid w:val="00C51126"/>
    <w:rsid w:val="00C87EAF"/>
    <w:rsid w:val="00C921B7"/>
    <w:rsid w:val="00CA0878"/>
    <w:rsid w:val="00CC6797"/>
    <w:rsid w:val="00CC7D1D"/>
    <w:rsid w:val="00D301C6"/>
    <w:rsid w:val="00D3299C"/>
    <w:rsid w:val="00D36A2C"/>
    <w:rsid w:val="00D40D8B"/>
    <w:rsid w:val="00D957DF"/>
    <w:rsid w:val="00DC7B99"/>
    <w:rsid w:val="00DD3148"/>
    <w:rsid w:val="00DD7FEA"/>
    <w:rsid w:val="00DE538D"/>
    <w:rsid w:val="00DE6EC5"/>
    <w:rsid w:val="00DF0311"/>
    <w:rsid w:val="00DF2F8A"/>
    <w:rsid w:val="00E0242F"/>
    <w:rsid w:val="00E17230"/>
    <w:rsid w:val="00E314A2"/>
    <w:rsid w:val="00E46C69"/>
    <w:rsid w:val="00E512B3"/>
    <w:rsid w:val="00E520C3"/>
    <w:rsid w:val="00E60747"/>
    <w:rsid w:val="00E7036A"/>
    <w:rsid w:val="00E72E55"/>
    <w:rsid w:val="00E84E15"/>
    <w:rsid w:val="00E8562C"/>
    <w:rsid w:val="00EC2982"/>
    <w:rsid w:val="00ED0B48"/>
    <w:rsid w:val="00ED4560"/>
    <w:rsid w:val="00F14AE3"/>
    <w:rsid w:val="00F225C5"/>
    <w:rsid w:val="00F407A4"/>
    <w:rsid w:val="00F5151D"/>
    <w:rsid w:val="00F53E2A"/>
    <w:rsid w:val="00F65B50"/>
    <w:rsid w:val="00F74BF4"/>
    <w:rsid w:val="00F829DB"/>
    <w:rsid w:val="00FB42D3"/>
    <w:rsid w:val="00FC7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D45DB7-AF2B-4601-A5F4-F95A3554E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657F"/>
    <w:rPr>
      <w:rFonts w:ascii="Times New Roman" w:eastAsia="Times New Roman" w:hAnsi="Times New Roman"/>
      <w:sz w:val="24"/>
      <w:szCs w:val="24"/>
      <w:lang w:val="es-ES" w:eastAsia="es-ES"/>
    </w:rPr>
  </w:style>
  <w:style w:type="paragraph" w:styleId="Ttulo1">
    <w:name w:val="heading 1"/>
    <w:basedOn w:val="Normal"/>
    <w:next w:val="Normal"/>
    <w:link w:val="Ttulo1Car"/>
    <w:qFormat/>
    <w:rsid w:val="009A657F"/>
    <w:pPr>
      <w:keepNext/>
      <w:jc w:val="center"/>
      <w:outlineLvl w:val="0"/>
    </w:pPr>
    <w:rPr>
      <w:rFonts w:ascii="Verdana" w:hAnsi="Verdana"/>
      <w:b/>
      <w:bCs/>
      <w:sz w:val="20"/>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9A657F"/>
    <w:rPr>
      <w:rFonts w:ascii="Verdana" w:eastAsia="Times New Roman" w:hAnsi="Verdana" w:cs="Times New Roman"/>
      <w:b/>
      <w:bCs/>
      <w:sz w:val="20"/>
      <w:szCs w:val="24"/>
      <w:lang w:val="es-ES" w:eastAsia="es-ES"/>
    </w:rPr>
  </w:style>
  <w:style w:type="paragraph" w:styleId="Encabezado">
    <w:name w:val="header"/>
    <w:basedOn w:val="Normal"/>
    <w:link w:val="EncabezadoCar"/>
    <w:rsid w:val="009A657F"/>
    <w:pPr>
      <w:tabs>
        <w:tab w:val="center" w:pos="4320"/>
        <w:tab w:val="right" w:pos="8640"/>
      </w:tabs>
    </w:pPr>
    <w:rPr>
      <w:rFonts w:ascii="Garamond" w:hAnsi="Garamond"/>
      <w:szCs w:val="20"/>
      <w:lang w:val="es-ES_tradnl" w:eastAsia="en-US"/>
    </w:rPr>
  </w:style>
  <w:style w:type="character" w:customStyle="1" w:styleId="EncabezadoCar">
    <w:name w:val="Encabezado Car"/>
    <w:link w:val="Encabezado"/>
    <w:rsid w:val="009A657F"/>
    <w:rPr>
      <w:rFonts w:ascii="Garamond" w:eastAsia="Times New Roman" w:hAnsi="Garamond" w:cs="Times New Roman"/>
      <w:sz w:val="24"/>
      <w:szCs w:val="20"/>
      <w:lang w:val="es-ES_tradnl"/>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qFormat/>
    <w:rsid w:val="009A657F"/>
    <w:rPr>
      <w:rFonts w:ascii="Times" w:hAnsi="Times"/>
      <w:sz w:val="20"/>
      <w:szCs w:val="20"/>
      <w:lang w:val="es-ES_tradnl" w:eastAsia="en-US"/>
    </w:rPr>
  </w:style>
  <w:style w:type="character" w:customStyle="1" w:styleId="TextonotapieCar">
    <w:name w:val="Texto nota pie Car"/>
    <w:aliases w:val="Footnote reference Car,FA Fu Car,Footnote Text Char Char Char Char Char Car,Footnote Text Char Char Char Char Car,Footnote Text Char Char Char Car,Footnote Text Cha Car,FA Fußnotentext Car,FA Fuﬂnotentext Car,FA Fu?notentext Car,C Car"/>
    <w:link w:val="Textonotapie"/>
    <w:qFormat/>
    <w:rsid w:val="009A657F"/>
    <w:rPr>
      <w:rFonts w:ascii="Times" w:eastAsia="Times New Roman" w:hAnsi="Times" w:cs="Times New Roman"/>
      <w:sz w:val="20"/>
      <w:szCs w:val="20"/>
      <w:lang w:val="es-ES_tradnl"/>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
    <w:link w:val="4GChar"/>
    <w:uiPriority w:val="99"/>
    <w:qFormat/>
    <w:rsid w:val="009A657F"/>
    <w:rPr>
      <w:vertAlign w:val="superscript"/>
    </w:rPr>
  </w:style>
  <w:style w:type="paragraph" w:styleId="Textoindependiente">
    <w:name w:val="Body Text"/>
    <w:basedOn w:val="Normal"/>
    <w:link w:val="TextoindependienteCar"/>
    <w:rsid w:val="009A657F"/>
    <w:pPr>
      <w:widowControl w:val="0"/>
      <w:tabs>
        <w:tab w:val="left" w:pos="360"/>
      </w:tabs>
      <w:ind w:right="720"/>
      <w:jc w:val="both"/>
    </w:pPr>
    <w:rPr>
      <w:rFonts w:ascii="Garamond" w:hAnsi="Garamond"/>
      <w:szCs w:val="20"/>
      <w:lang w:val="es-ES_tradnl" w:eastAsia="en-US"/>
    </w:rPr>
  </w:style>
  <w:style w:type="character" w:customStyle="1" w:styleId="TextoindependienteCar">
    <w:name w:val="Texto independiente Car"/>
    <w:link w:val="Textoindependiente"/>
    <w:rsid w:val="009A657F"/>
    <w:rPr>
      <w:rFonts w:ascii="Garamond" w:eastAsia="Times New Roman" w:hAnsi="Garamond" w:cs="Times New Roman"/>
      <w:sz w:val="24"/>
      <w:szCs w:val="20"/>
      <w:lang w:val="es-ES_tradnl"/>
    </w:rPr>
  </w:style>
  <w:style w:type="paragraph" w:customStyle="1" w:styleId="Lneadereferencia">
    <w:name w:val="Línea de referencia"/>
    <w:basedOn w:val="Sangradetextonormal"/>
    <w:rsid w:val="009A657F"/>
    <w:pPr>
      <w:spacing w:after="0"/>
      <w:ind w:left="0"/>
      <w:jc w:val="both"/>
    </w:pPr>
    <w:rPr>
      <w:rFonts w:ascii="Garamond" w:hAnsi="Garamond"/>
      <w:szCs w:val="20"/>
      <w:lang w:val="es-ES_tradnl" w:eastAsia="en-US"/>
    </w:rPr>
  </w:style>
  <w:style w:type="paragraph" w:styleId="Sangra3detindependiente">
    <w:name w:val="Body Text Indent 3"/>
    <w:basedOn w:val="Normal"/>
    <w:link w:val="Sangra3detindependienteCar"/>
    <w:rsid w:val="009A657F"/>
    <w:pPr>
      <w:ind w:left="1440"/>
      <w:jc w:val="both"/>
    </w:pPr>
    <w:rPr>
      <w:rFonts w:ascii="Garamond" w:hAnsi="Garamond"/>
      <w:b/>
      <w:szCs w:val="20"/>
      <w:lang w:val="es-ES_tradnl" w:eastAsia="en-US"/>
    </w:rPr>
  </w:style>
  <w:style w:type="character" w:customStyle="1" w:styleId="Sangra3detindependienteCar">
    <w:name w:val="Sangría 3 de t. independiente Car"/>
    <w:link w:val="Sangra3detindependiente"/>
    <w:rsid w:val="009A657F"/>
    <w:rPr>
      <w:rFonts w:ascii="Garamond" w:eastAsia="Times New Roman" w:hAnsi="Garamond" w:cs="Times New Roman"/>
      <w:b/>
      <w:sz w:val="24"/>
      <w:szCs w:val="20"/>
      <w:lang w:val="es-ES_tradnl"/>
    </w:rPr>
  </w:style>
  <w:style w:type="character" w:styleId="nfasis">
    <w:name w:val="Emphasis"/>
    <w:qFormat/>
    <w:rsid w:val="009A657F"/>
    <w:rPr>
      <w:i/>
      <w:iCs/>
    </w:rPr>
  </w:style>
  <w:style w:type="paragraph" w:styleId="Piedepgina">
    <w:name w:val="footer"/>
    <w:basedOn w:val="Normal"/>
    <w:link w:val="PiedepginaCar"/>
    <w:semiHidden/>
    <w:rsid w:val="009A657F"/>
    <w:pPr>
      <w:tabs>
        <w:tab w:val="center" w:pos="4320"/>
        <w:tab w:val="right" w:pos="8640"/>
      </w:tabs>
    </w:pPr>
  </w:style>
  <w:style w:type="character" w:customStyle="1" w:styleId="PiedepginaCar">
    <w:name w:val="Pie de página Car"/>
    <w:link w:val="Piedepgina"/>
    <w:semiHidden/>
    <w:rsid w:val="009A657F"/>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A657F"/>
  </w:style>
  <w:style w:type="paragraph" w:customStyle="1" w:styleId="Prrafodelista1">
    <w:name w:val="Párrafo de lista1"/>
    <w:aliases w:val="Footnote"/>
    <w:basedOn w:val="Normal"/>
    <w:qFormat/>
    <w:rsid w:val="009A657F"/>
    <w:pPr>
      <w:contextualSpacing/>
    </w:pPr>
    <w:rPr>
      <w:rFonts w:ascii="Verdana" w:eastAsia="Batang" w:hAnsi="Verdana"/>
      <w:sz w:val="16"/>
      <w:szCs w:val="22"/>
      <w:lang w:eastAsia="en-US"/>
    </w:rPr>
  </w:style>
  <w:style w:type="paragraph" w:styleId="Prrafodelista">
    <w:name w:val="List Paragraph"/>
    <w:aliases w:val="Colorful List - Accent 11"/>
    <w:basedOn w:val="Normal"/>
    <w:link w:val="PrrafodelistaCar"/>
    <w:uiPriority w:val="34"/>
    <w:qFormat/>
    <w:rsid w:val="009A657F"/>
    <w:pPr>
      <w:ind w:left="720"/>
    </w:pPr>
  </w:style>
  <w:style w:type="character" w:customStyle="1" w:styleId="PrrafodelistaCar">
    <w:name w:val="Párrafo de lista Car"/>
    <w:aliases w:val="Colorful List - Accent 11 Car"/>
    <w:link w:val="Prrafodelista"/>
    <w:locked/>
    <w:rsid w:val="009A657F"/>
    <w:rPr>
      <w:rFonts w:ascii="Times New Roman" w:eastAsia="Times New Roman" w:hAnsi="Times New Roman" w:cs="Times New Roman"/>
      <w:sz w:val="24"/>
      <w:szCs w:val="24"/>
      <w:lang w:val="es-ES" w:eastAsia="es-ES"/>
    </w:rPr>
  </w:style>
  <w:style w:type="paragraph" w:styleId="Sangradetextonormal">
    <w:name w:val="Body Text Indent"/>
    <w:basedOn w:val="Normal"/>
    <w:link w:val="SangradetextonormalCar"/>
    <w:uiPriority w:val="99"/>
    <w:semiHidden/>
    <w:unhideWhenUsed/>
    <w:rsid w:val="009A657F"/>
    <w:pPr>
      <w:spacing w:after="120"/>
      <w:ind w:left="283"/>
    </w:pPr>
  </w:style>
  <w:style w:type="character" w:customStyle="1" w:styleId="SangradetextonormalCar">
    <w:name w:val="Sangría de texto normal Car"/>
    <w:link w:val="Sangradetextonormal"/>
    <w:uiPriority w:val="99"/>
    <w:semiHidden/>
    <w:rsid w:val="009A657F"/>
    <w:rPr>
      <w:rFonts w:ascii="Times New Roman" w:eastAsia="Times New Roman" w:hAnsi="Times New Roman" w:cs="Times New Roman"/>
      <w:sz w:val="24"/>
      <w:szCs w:val="24"/>
      <w:lang w:val="es-ES" w:eastAsia="es-ES"/>
    </w:rPr>
  </w:style>
  <w:style w:type="character" w:styleId="Refdecomentario">
    <w:name w:val="annotation reference"/>
    <w:uiPriority w:val="99"/>
    <w:semiHidden/>
    <w:unhideWhenUsed/>
    <w:rsid w:val="00D957DF"/>
    <w:rPr>
      <w:sz w:val="16"/>
      <w:szCs w:val="16"/>
    </w:rPr>
  </w:style>
  <w:style w:type="paragraph" w:styleId="Textocomentario">
    <w:name w:val="annotation text"/>
    <w:basedOn w:val="Normal"/>
    <w:link w:val="TextocomentarioCar"/>
    <w:uiPriority w:val="99"/>
    <w:semiHidden/>
    <w:unhideWhenUsed/>
    <w:rsid w:val="00D957DF"/>
    <w:rPr>
      <w:sz w:val="20"/>
      <w:szCs w:val="20"/>
    </w:rPr>
  </w:style>
  <w:style w:type="character" w:customStyle="1" w:styleId="TextocomentarioCar">
    <w:name w:val="Texto comentario Car"/>
    <w:link w:val="Textocomentario"/>
    <w:uiPriority w:val="99"/>
    <w:semiHidden/>
    <w:rsid w:val="00D957DF"/>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957DF"/>
    <w:rPr>
      <w:b/>
      <w:bCs/>
    </w:rPr>
  </w:style>
  <w:style w:type="character" w:customStyle="1" w:styleId="AsuntodelcomentarioCar">
    <w:name w:val="Asunto del comentario Car"/>
    <w:link w:val="Asuntodelcomentario"/>
    <w:uiPriority w:val="99"/>
    <w:semiHidden/>
    <w:rsid w:val="00D957DF"/>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957DF"/>
    <w:rPr>
      <w:rFonts w:ascii="Tahoma" w:hAnsi="Tahoma" w:cs="Tahoma"/>
      <w:sz w:val="16"/>
      <w:szCs w:val="16"/>
    </w:rPr>
  </w:style>
  <w:style w:type="character" w:customStyle="1" w:styleId="TextodegloboCar">
    <w:name w:val="Texto de globo Car"/>
    <w:link w:val="Textodeglobo"/>
    <w:uiPriority w:val="99"/>
    <w:semiHidden/>
    <w:rsid w:val="00D957DF"/>
    <w:rPr>
      <w:rFonts w:ascii="Tahoma" w:eastAsia="Times New Roman" w:hAnsi="Tahoma" w:cs="Tahoma"/>
      <w:sz w:val="16"/>
      <w:szCs w:val="16"/>
      <w:lang w:val="es-ES" w:eastAsia="es-ES"/>
    </w:rPr>
  </w:style>
  <w:style w:type="character" w:styleId="Textoennegrita">
    <w:name w:val="Strong"/>
    <w:uiPriority w:val="22"/>
    <w:qFormat/>
    <w:rsid w:val="00462545"/>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2B3320"/>
    <w:pPr>
      <w:jc w:val="both"/>
    </w:pPr>
    <w:rPr>
      <w:rFonts w:ascii="Calibri" w:eastAsia="Calibri" w:hAnsi="Calibri"/>
      <w:sz w:val="20"/>
      <w:szCs w:val="20"/>
      <w:vertAlign w:val="superscript"/>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A49EDD-2618-4E2C-A9AB-9E65EC597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1355</Words>
  <Characters>7724</Characters>
  <Application>Microsoft Office Word</Application>
  <DocSecurity>0</DocSecurity>
  <Lines>64</Lines>
  <Paragraphs>18</Paragraphs>
  <ScaleCrop>false</ScaleCrop>
  <HeadingPairs>
    <vt:vector size="6" baseType="variant">
      <vt:variant>
        <vt:lpstr>Título</vt:lpstr>
      </vt:variant>
      <vt:variant>
        <vt:i4>1</vt:i4>
      </vt:variant>
      <vt:variant>
        <vt:lpstr>Title</vt:lpstr>
      </vt:variant>
      <vt:variant>
        <vt:i4>1</vt:i4>
      </vt:variant>
      <vt:variant>
        <vt:lpstr>Headings</vt:lpstr>
      </vt:variant>
      <vt:variant>
        <vt:i4>1</vt:i4>
      </vt:variant>
    </vt:vector>
  </HeadingPairs>
  <TitlesOfParts>
    <vt:vector size="3" baseType="lpstr">
      <vt:lpstr/>
      <vt:lpstr/>
      <vt:lpstr>DE LA CORTE INTERAMERICANA DE DERECHOS HUMANOS(</vt:lpstr>
    </vt:vector>
  </TitlesOfParts>
  <Company>Hewlett-Packard Company</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2018-12-28T20:05:00Z</cp:lastPrinted>
  <dcterms:created xsi:type="dcterms:W3CDTF">2018-12-28T20:05:00Z</dcterms:created>
  <dcterms:modified xsi:type="dcterms:W3CDTF">2018-12-28T20:05:00Z</dcterms:modified>
</cp:coreProperties>
</file>