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057E" w:rsidRPr="001C03D0" w:rsidRDefault="0094533B" w:rsidP="000C3A59">
      <w:pPr>
        <w:widowControl/>
        <w:ind w:right="12"/>
        <w:jc w:val="center"/>
        <w:rPr>
          <w:rFonts w:ascii="Verdana" w:hAnsi="Verdana"/>
          <w:b/>
          <w:smallCaps/>
          <w:lang w:val="es-CR"/>
        </w:rPr>
      </w:pPr>
      <w:r>
        <w:rPr>
          <w:rFonts w:ascii="Verdana" w:hAnsi="Verdana"/>
          <w:b/>
          <w:smallCaps/>
          <w:lang w:val="es-CR"/>
        </w:rPr>
        <w:t xml:space="preserve">   </w:t>
      </w:r>
    </w:p>
    <w:p w:rsidR="00C61947" w:rsidRDefault="00C61947" w:rsidP="000C3A59">
      <w:pPr>
        <w:widowControl/>
        <w:ind w:right="12"/>
        <w:jc w:val="center"/>
        <w:rPr>
          <w:rFonts w:ascii="Verdana" w:hAnsi="Verdana"/>
          <w:b/>
          <w:smallCaps/>
        </w:rPr>
      </w:pPr>
    </w:p>
    <w:p w:rsidR="00C61947" w:rsidRDefault="00C61947" w:rsidP="000C3A59">
      <w:pPr>
        <w:widowControl/>
        <w:ind w:right="12"/>
        <w:jc w:val="center"/>
        <w:rPr>
          <w:rFonts w:ascii="Verdana" w:hAnsi="Verdana"/>
          <w:b/>
          <w:smallCaps/>
        </w:rPr>
      </w:pPr>
    </w:p>
    <w:p w:rsidR="00C61947" w:rsidRDefault="00C61947" w:rsidP="000C3A59">
      <w:pPr>
        <w:widowControl/>
        <w:ind w:right="12"/>
        <w:jc w:val="center"/>
        <w:rPr>
          <w:rFonts w:ascii="Verdana" w:hAnsi="Verdana"/>
          <w:b/>
          <w:smallCaps/>
        </w:rPr>
      </w:pPr>
    </w:p>
    <w:p w:rsidR="00C61947" w:rsidRDefault="00C61947" w:rsidP="000C3A59">
      <w:pPr>
        <w:widowControl/>
        <w:ind w:right="12"/>
        <w:jc w:val="center"/>
        <w:rPr>
          <w:rFonts w:ascii="Verdana" w:hAnsi="Verdana"/>
          <w:b/>
          <w:smallCaps/>
        </w:rPr>
      </w:pPr>
    </w:p>
    <w:p w:rsidR="00C61947" w:rsidRDefault="00C61947" w:rsidP="000C3A59">
      <w:pPr>
        <w:widowControl/>
        <w:ind w:right="12"/>
        <w:jc w:val="center"/>
        <w:rPr>
          <w:rFonts w:ascii="Verdana" w:hAnsi="Verdana"/>
          <w:b/>
          <w:smallCaps/>
        </w:rPr>
      </w:pPr>
    </w:p>
    <w:p w:rsidR="00C61947" w:rsidRDefault="00C61947" w:rsidP="000C3A59">
      <w:pPr>
        <w:widowControl/>
        <w:ind w:right="12"/>
        <w:jc w:val="center"/>
        <w:rPr>
          <w:rFonts w:ascii="Verdana" w:hAnsi="Verdana"/>
          <w:b/>
          <w:smallCaps/>
        </w:rPr>
      </w:pPr>
    </w:p>
    <w:p w:rsidR="000C3A59" w:rsidRPr="001F49EF" w:rsidRDefault="000C3A59" w:rsidP="000C3A59">
      <w:pPr>
        <w:widowControl/>
        <w:ind w:right="12"/>
        <w:jc w:val="center"/>
        <w:rPr>
          <w:rFonts w:ascii="Verdana" w:hAnsi="Verdana"/>
          <w:b/>
          <w:smallCaps/>
        </w:rPr>
      </w:pPr>
      <w:r w:rsidRPr="001F49EF">
        <w:rPr>
          <w:rFonts w:ascii="Verdana" w:hAnsi="Verdana"/>
          <w:b/>
          <w:smallCaps/>
        </w:rPr>
        <w:t>RESOLUCIÓN DE LA</w:t>
      </w:r>
    </w:p>
    <w:p w:rsidR="000C3A59" w:rsidRPr="001F49EF" w:rsidRDefault="000C3A59" w:rsidP="000C3A59">
      <w:pPr>
        <w:widowControl/>
        <w:ind w:right="14"/>
        <w:jc w:val="center"/>
        <w:rPr>
          <w:rFonts w:ascii="Verdana" w:hAnsi="Verdana"/>
          <w:b/>
          <w:smallCaps/>
        </w:rPr>
      </w:pPr>
      <w:r w:rsidRPr="001F49EF">
        <w:rPr>
          <w:rFonts w:ascii="Verdana" w:hAnsi="Verdana"/>
          <w:b/>
          <w:smallCaps/>
        </w:rPr>
        <w:t>CORTE INTERAMERICANA DE DERECHOS HUMANOS</w:t>
      </w:r>
    </w:p>
    <w:p w:rsidR="000C3A59" w:rsidRPr="001F49EF" w:rsidRDefault="000C3A59" w:rsidP="000C3A59">
      <w:pPr>
        <w:widowControl/>
        <w:ind w:right="14"/>
        <w:jc w:val="center"/>
        <w:rPr>
          <w:rFonts w:ascii="Verdana" w:hAnsi="Verdana"/>
          <w:b/>
          <w:smallCaps/>
        </w:rPr>
      </w:pPr>
    </w:p>
    <w:p w:rsidR="000C3A59" w:rsidRPr="001F49EF" w:rsidRDefault="00E203BD" w:rsidP="000C3A59">
      <w:pPr>
        <w:widowControl/>
        <w:ind w:right="14"/>
        <w:jc w:val="center"/>
        <w:rPr>
          <w:rFonts w:ascii="Verdana" w:hAnsi="Verdana"/>
          <w:b/>
          <w:caps/>
        </w:rPr>
      </w:pPr>
      <w:r w:rsidRPr="001F49EF">
        <w:rPr>
          <w:rFonts w:ascii="Verdana" w:hAnsi="Verdana"/>
          <w:b/>
          <w:caps/>
        </w:rPr>
        <w:t xml:space="preserve">DE </w:t>
      </w:r>
      <w:r w:rsidR="00206587">
        <w:rPr>
          <w:rFonts w:ascii="Verdana" w:hAnsi="Verdana"/>
          <w:b/>
          <w:caps/>
        </w:rPr>
        <w:t>30</w:t>
      </w:r>
      <w:r w:rsidR="000E1376" w:rsidRPr="001F49EF">
        <w:rPr>
          <w:rFonts w:ascii="Verdana" w:hAnsi="Verdana"/>
          <w:b/>
          <w:caps/>
        </w:rPr>
        <w:t xml:space="preserve"> </w:t>
      </w:r>
      <w:r w:rsidR="000C3A59" w:rsidRPr="001F49EF">
        <w:rPr>
          <w:rFonts w:ascii="Verdana" w:hAnsi="Verdana"/>
          <w:b/>
          <w:caps/>
        </w:rPr>
        <w:t>DE</w:t>
      </w:r>
      <w:r w:rsidR="000C3A59" w:rsidRPr="00206587">
        <w:rPr>
          <w:rFonts w:ascii="Verdana" w:hAnsi="Verdana"/>
          <w:b/>
          <w:caps/>
        </w:rPr>
        <w:t xml:space="preserve"> </w:t>
      </w:r>
      <w:r w:rsidR="007B4490" w:rsidRPr="00206587">
        <w:rPr>
          <w:rFonts w:ascii="Verdana" w:hAnsi="Verdana"/>
          <w:b/>
          <w:caps/>
        </w:rPr>
        <w:t>ENERO</w:t>
      </w:r>
      <w:r w:rsidR="00142647">
        <w:rPr>
          <w:rFonts w:ascii="Verdana" w:hAnsi="Verdana"/>
          <w:b/>
          <w:caps/>
        </w:rPr>
        <w:t xml:space="preserve"> </w:t>
      </w:r>
      <w:r w:rsidR="003E5DBD" w:rsidRPr="001F49EF">
        <w:rPr>
          <w:rFonts w:ascii="Verdana" w:hAnsi="Verdana"/>
          <w:b/>
          <w:caps/>
        </w:rPr>
        <w:t>DE 201</w:t>
      </w:r>
      <w:r w:rsidR="007B4490">
        <w:rPr>
          <w:rFonts w:ascii="Verdana" w:hAnsi="Verdana"/>
          <w:b/>
          <w:caps/>
        </w:rPr>
        <w:t>9</w:t>
      </w:r>
    </w:p>
    <w:p w:rsidR="000C3A59" w:rsidRPr="001F49EF" w:rsidRDefault="000C3A59" w:rsidP="000C3A59">
      <w:pPr>
        <w:widowControl/>
        <w:ind w:right="14"/>
        <w:rPr>
          <w:rFonts w:ascii="Verdana" w:hAnsi="Verdana"/>
          <w:b/>
          <w:smallCaps/>
        </w:rPr>
      </w:pPr>
    </w:p>
    <w:p w:rsidR="00AF5A64" w:rsidRPr="001F49EF" w:rsidRDefault="000C3A59" w:rsidP="000C3A59">
      <w:pPr>
        <w:widowControl/>
        <w:ind w:right="14"/>
        <w:jc w:val="center"/>
        <w:rPr>
          <w:rFonts w:ascii="Verdana" w:hAnsi="Verdana"/>
          <w:b/>
          <w:i/>
          <w:smallCaps/>
        </w:rPr>
      </w:pPr>
      <w:r w:rsidRPr="001F49EF">
        <w:rPr>
          <w:rFonts w:ascii="Verdana" w:hAnsi="Verdana"/>
          <w:b/>
          <w:i/>
          <w:smallCaps/>
        </w:rPr>
        <w:t xml:space="preserve">CASO </w:t>
      </w:r>
      <w:r w:rsidR="003E5DBD" w:rsidRPr="001F49EF">
        <w:rPr>
          <w:rFonts w:ascii="Verdana" w:hAnsi="Verdana"/>
          <w:b/>
          <w:i/>
          <w:smallCaps/>
        </w:rPr>
        <w:t xml:space="preserve">DE LA CORTE SUPREMA DE JUSTICIA (QUINTANA COELLO Y OTROS) </w:t>
      </w:r>
    </w:p>
    <w:p w:rsidR="000C3A59" w:rsidRPr="001F49EF" w:rsidRDefault="003E5DBD" w:rsidP="000C3A59">
      <w:pPr>
        <w:widowControl/>
        <w:ind w:right="14"/>
        <w:jc w:val="center"/>
        <w:rPr>
          <w:rFonts w:ascii="Verdana" w:hAnsi="Verdana"/>
          <w:b/>
          <w:i/>
          <w:smallCaps/>
        </w:rPr>
      </w:pPr>
      <w:r w:rsidRPr="001F49EF">
        <w:rPr>
          <w:rFonts w:ascii="Verdana" w:hAnsi="Verdana"/>
          <w:b/>
          <w:i/>
          <w:smallCaps/>
        </w:rPr>
        <w:t>Vs. E</w:t>
      </w:r>
      <w:r w:rsidR="009E4F46" w:rsidRPr="001F49EF">
        <w:rPr>
          <w:rFonts w:ascii="Verdana" w:hAnsi="Verdana"/>
          <w:b/>
          <w:i/>
          <w:smallCaps/>
        </w:rPr>
        <w:t>CUADOR</w:t>
      </w:r>
      <w:r w:rsidR="004849F1" w:rsidRPr="001F49EF">
        <w:rPr>
          <w:rStyle w:val="Refdenotaalpie"/>
          <w:rFonts w:ascii="Verdana" w:hAnsi="Verdana"/>
          <w:smallCaps/>
        </w:rPr>
        <w:footnoteReference w:customMarkFollows="1" w:id="1"/>
        <w:sym w:font="Symbol" w:char="F02A"/>
      </w:r>
    </w:p>
    <w:p w:rsidR="000C3A59" w:rsidRPr="001F49EF" w:rsidRDefault="000C3A59" w:rsidP="000C3A59">
      <w:pPr>
        <w:widowControl/>
        <w:ind w:right="14"/>
        <w:rPr>
          <w:rFonts w:ascii="Verdana" w:hAnsi="Verdana"/>
          <w:b/>
          <w:smallCaps/>
        </w:rPr>
      </w:pPr>
    </w:p>
    <w:p w:rsidR="000C3A59" w:rsidRPr="001F49EF" w:rsidRDefault="000C3A59" w:rsidP="000C3A59">
      <w:pPr>
        <w:widowControl/>
        <w:ind w:right="14"/>
        <w:jc w:val="center"/>
        <w:rPr>
          <w:rFonts w:ascii="Verdana" w:hAnsi="Verdana"/>
          <w:b/>
          <w:smallCaps/>
        </w:rPr>
      </w:pPr>
      <w:r w:rsidRPr="001F49EF">
        <w:rPr>
          <w:rFonts w:ascii="Verdana" w:hAnsi="Verdana"/>
          <w:b/>
          <w:smallCaps/>
        </w:rPr>
        <w:t>SUPERVISIÓN DE CUMPLIMIENTO DE SENTENCIA</w:t>
      </w:r>
    </w:p>
    <w:p w:rsidR="000C3A59" w:rsidRPr="001F49EF" w:rsidRDefault="000C3A59" w:rsidP="000C3A59">
      <w:pPr>
        <w:widowControl/>
        <w:ind w:right="12"/>
        <w:jc w:val="both"/>
        <w:rPr>
          <w:rFonts w:ascii="Verdana" w:hAnsi="Verdana"/>
          <w:b/>
          <w:smallCaps/>
        </w:rPr>
      </w:pPr>
    </w:p>
    <w:p w:rsidR="000C3A59" w:rsidRPr="001F49EF" w:rsidRDefault="000C3A59" w:rsidP="007C0500">
      <w:pPr>
        <w:widowControl/>
        <w:spacing w:before="120" w:after="120"/>
        <w:ind w:right="12"/>
        <w:jc w:val="both"/>
        <w:rPr>
          <w:rFonts w:ascii="Verdana" w:hAnsi="Verdana"/>
          <w:b/>
          <w:caps/>
        </w:rPr>
      </w:pPr>
      <w:r w:rsidRPr="001F49EF">
        <w:rPr>
          <w:rFonts w:ascii="Verdana" w:hAnsi="Verdana"/>
          <w:b/>
          <w:caps/>
        </w:rPr>
        <w:t>Vistos:</w:t>
      </w:r>
    </w:p>
    <w:p w:rsidR="0032237F" w:rsidRPr="0032237F" w:rsidRDefault="000C3A59" w:rsidP="0032237F">
      <w:pPr>
        <w:pStyle w:val="Textonotapie"/>
        <w:numPr>
          <w:ilvl w:val="0"/>
          <w:numId w:val="31"/>
        </w:numPr>
        <w:spacing w:before="120" w:after="120"/>
        <w:ind w:left="0" w:firstLine="0"/>
        <w:jc w:val="both"/>
        <w:rPr>
          <w:rFonts w:ascii="Verdana" w:hAnsi="Verdana"/>
          <w:sz w:val="16"/>
          <w:szCs w:val="16"/>
        </w:rPr>
      </w:pPr>
      <w:r w:rsidRPr="001F49EF">
        <w:rPr>
          <w:rFonts w:ascii="Verdana" w:hAnsi="Verdana"/>
        </w:rPr>
        <w:t xml:space="preserve">La Sentencia de </w:t>
      </w:r>
      <w:r w:rsidR="00491685" w:rsidRPr="001F49EF">
        <w:rPr>
          <w:rFonts w:ascii="Verdana" w:hAnsi="Verdana"/>
        </w:rPr>
        <w:t xml:space="preserve">excepción preliminar, fondo, reparaciones y costas </w:t>
      </w:r>
      <w:r w:rsidRPr="001F49EF">
        <w:rPr>
          <w:rFonts w:ascii="Verdana" w:hAnsi="Verdana"/>
        </w:rPr>
        <w:t>(en adelante “la Sentencia”</w:t>
      </w:r>
      <w:r w:rsidR="00CA13CB" w:rsidRPr="001F49EF">
        <w:rPr>
          <w:rFonts w:ascii="Verdana" w:hAnsi="Verdana"/>
        </w:rPr>
        <w:t xml:space="preserve"> o “el Fallo”</w:t>
      </w:r>
      <w:r w:rsidRPr="001F49EF">
        <w:rPr>
          <w:rFonts w:ascii="Verdana" w:hAnsi="Verdana"/>
        </w:rPr>
        <w:t>) dictada por la Corte Interamericana de Derechos Humanos (en adelante “la Corte”, “la Corte Interamericana” o “el Tribunal”)</w:t>
      </w:r>
      <w:r w:rsidR="00F00C0E" w:rsidRPr="001F49EF">
        <w:rPr>
          <w:rFonts w:ascii="Verdana" w:hAnsi="Verdana"/>
        </w:rPr>
        <w:t xml:space="preserve"> </w:t>
      </w:r>
      <w:r w:rsidRPr="001F49EF">
        <w:rPr>
          <w:rFonts w:ascii="Verdana" w:hAnsi="Verdana"/>
        </w:rPr>
        <w:t xml:space="preserve">el </w:t>
      </w:r>
      <w:r w:rsidR="00491685" w:rsidRPr="001F49EF">
        <w:rPr>
          <w:rFonts w:ascii="Verdana" w:hAnsi="Verdana"/>
        </w:rPr>
        <w:t>23</w:t>
      </w:r>
      <w:r w:rsidRPr="001F49EF">
        <w:rPr>
          <w:rFonts w:ascii="Verdana" w:hAnsi="Verdana"/>
        </w:rPr>
        <w:t xml:space="preserve"> de </w:t>
      </w:r>
      <w:r w:rsidR="009E4F46" w:rsidRPr="001F49EF">
        <w:rPr>
          <w:rFonts w:ascii="Verdana" w:hAnsi="Verdana"/>
        </w:rPr>
        <w:t>agosto</w:t>
      </w:r>
      <w:r w:rsidR="00491685" w:rsidRPr="001F49EF">
        <w:rPr>
          <w:rFonts w:ascii="Verdana" w:hAnsi="Verdana"/>
        </w:rPr>
        <w:t xml:space="preserve"> de </w:t>
      </w:r>
      <w:r w:rsidR="009E4F46" w:rsidRPr="001F49EF">
        <w:rPr>
          <w:rFonts w:ascii="Verdana" w:hAnsi="Verdana"/>
        </w:rPr>
        <w:t>2013</w:t>
      </w:r>
      <w:r w:rsidR="004233CD" w:rsidRPr="001F49EF">
        <w:rPr>
          <w:rStyle w:val="Refdenotaalpie"/>
          <w:rFonts w:ascii="Verdana" w:hAnsi="Verdana"/>
        </w:rPr>
        <w:footnoteReference w:id="2"/>
      </w:r>
      <w:r w:rsidRPr="001F49EF">
        <w:rPr>
          <w:rFonts w:ascii="Verdana" w:hAnsi="Verdana"/>
        </w:rPr>
        <w:t xml:space="preserve">. </w:t>
      </w:r>
      <w:r w:rsidR="000E1376">
        <w:rPr>
          <w:rFonts w:ascii="Verdana" w:hAnsi="Verdana"/>
        </w:rPr>
        <w:t>L</w:t>
      </w:r>
      <w:r w:rsidR="00E13275">
        <w:rPr>
          <w:rFonts w:ascii="Verdana" w:hAnsi="Verdana"/>
        </w:rPr>
        <w:t xml:space="preserve">a Corte, </w:t>
      </w:r>
      <w:r w:rsidR="00F00C0E" w:rsidRPr="001F49EF">
        <w:rPr>
          <w:rFonts w:ascii="Verdana" w:hAnsi="Verdana"/>
        </w:rPr>
        <w:t xml:space="preserve">tomando en cuenta el reconocimiento parcial de </w:t>
      </w:r>
      <w:r w:rsidR="00491685" w:rsidRPr="001F49EF">
        <w:rPr>
          <w:rFonts w:ascii="Verdana" w:hAnsi="Verdana"/>
        </w:rPr>
        <w:t>responsabilidad</w:t>
      </w:r>
      <w:r w:rsidR="00F00C0E" w:rsidRPr="001F49EF">
        <w:rPr>
          <w:rStyle w:val="Refdenotaalpie"/>
          <w:rFonts w:ascii="Verdana" w:hAnsi="Verdana"/>
        </w:rPr>
        <w:footnoteReference w:id="3"/>
      </w:r>
      <w:r w:rsidR="00491685" w:rsidRPr="001F49EF">
        <w:rPr>
          <w:rFonts w:ascii="Verdana" w:hAnsi="Verdana"/>
        </w:rPr>
        <w:t xml:space="preserve"> </w:t>
      </w:r>
      <w:r w:rsidR="00F00C0E" w:rsidRPr="001F49EF">
        <w:rPr>
          <w:rFonts w:ascii="Verdana" w:hAnsi="Verdana"/>
        </w:rPr>
        <w:t>efectuado por</w:t>
      </w:r>
      <w:r w:rsidR="00491685" w:rsidRPr="001F49EF">
        <w:rPr>
          <w:rFonts w:ascii="Verdana" w:hAnsi="Verdana"/>
        </w:rPr>
        <w:t xml:space="preserve"> la República </w:t>
      </w:r>
      <w:r w:rsidR="0057747C" w:rsidRPr="001F49EF">
        <w:rPr>
          <w:rFonts w:ascii="Verdana" w:hAnsi="Verdana"/>
        </w:rPr>
        <w:t>del Ecuador</w:t>
      </w:r>
      <w:r w:rsidR="00491685" w:rsidRPr="001F49EF">
        <w:rPr>
          <w:rFonts w:ascii="Verdana" w:hAnsi="Verdana"/>
        </w:rPr>
        <w:t xml:space="preserve"> (en a</w:t>
      </w:r>
      <w:r w:rsidR="0057747C" w:rsidRPr="001F49EF">
        <w:rPr>
          <w:rFonts w:ascii="Verdana" w:hAnsi="Verdana"/>
        </w:rPr>
        <w:t>delante “el Estado” o “Ecuador</w:t>
      </w:r>
      <w:r w:rsidR="00491685" w:rsidRPr="001F49EF">
        <w:rPr>
          <w:rFonts w:ascii="Verdana" w:hAnsi="Verdana"/>
        </w:rPr>
        <w:t>”)</w:t>
      </w:r>
      <w:r w:rsidR="009907CD">
        <w:rPr>
          <w:rFonts w:ascii="Verdana" w:hAnsi="Verdana"/>
        </w:rPr>
        <w:t>,</w:t>
      </w:r>
      <w:r w:rsidR="00491685" w:rsidRPr="001F49EF">
        <w:rPr>
          <w:rFonts w:ascii="Verdana" w:hAnsi="Verdana"/>
        </w:rPr>
        <w:t xml:space="preserve"> </w:t>
      </w:r>
      <w:r w:rsidR="00E13275">
        <w:rPr>
          <w:rFonts w:ascii="Verdana" w:hAnsi="Verdana"/>
        </w:rPr>
        <w:t xml:space="preserve">declaró que </w:t>
      </w:r>
      <w:r w:rsidR="00F00C0E" w:rsidRPr="001F49EF">
        <w:rPr>
          <w:rFonts w:ascii="Verdana" w:hAnsi="Verdana"/>
        </w:rPr>
        <w:t xml:space="preserve">es internacionalmente responsable </w:t>
      </w:r>
      <w:r w:rsidR="0057747C" w:rsidRPr="001F49EF">
        <w:rPr>
          <w:rFonts w:ascii="Verdana" w:hAnsi="Verdana"/>
        </w:rPr>
        <w:t xml:space="preserve">por </w:t>
      </w:r>
      <w:r w:rsidR="00AF5A64" w:rsidRPr="001F49EF">
        <w:rPr>
          <w:rFonts w:ascii="Verdana" w:hAnsi="Verdana"/>
        </w:rPr>
        <w:t>la violación</w:t>
      </w:r>
      <w:r w:rsidR="0057747C" w:rsidRPr="001F49EF">
        <w:rPr>
          <w:rFonts w:ascii="Verdana" w:hAnsi="Verdana"/>
        </w:rPr>
        <w:t xml:space="preserve"> </w:t>
      </w:r>
      <w:r w:rsidR="00AF5A64" w:rsidRPr="001F49EF">
        <w:rPr>
          <w:rFonts w:ascii="Verdana" w:hAnsi="Verdana"/>
        </w:rPr>
        <w:t>d</w:t>
      </w:r>
      <w:r w:rsidR="0057747C" w:rsidRPr="001F49EF">
        <w:rPr>
          <w:rFonts w:ascii="Verdana" w:hAnsi="Verdana"/>
        </w:rPr>
        <w:t xml:space="preserve">el derecho a </w:t>
      </w:r>
      <w:r w:rsidR="0057747C" w:rsidRPr="001F49EF">
        <w:rPr>
          <w:rFonts w:ascii="Verdana" w:hAnsi="Verdana"/>
          <w:lang w:val="es-CO"/>
        </w:rPr>
        <w:t>las garantías judiciales</w:t>
      </w:r>
      <w:r w:rsidR="00AF5A64" w:rsidRPr="001F49EF">
        <w:rPr>
          <w:rFonts w:ascii="Verdana" w:hAnsi="Verdana"/>
          <w:snapToGrid w:val="0"/>
          <w:kern w:val="32"/>
        </w:rPr>
        <w:t xml:space="preserve"> en perjuicio de las 27 víctimas</w:t>
      </w:r>
      <w:r w:rsidR="00AF5A64" w:rsidRPr="001F49EF">
        <w:rPr>
          <w:rStyle w:val="Refdenotaalpie"/>
          <w:rFonts w:ascii="Verdana" w:hAnsi="Verdana"/>
          <w:snapToGrid w:val="0"/>
          <w:kern w:val="32"/>
        </w:rPr>
        <w:footnoteReference w:id="4"/>
      </w:r>
      <w:r w:rsidR="00AF5A64" w:rsidRPr="001F49EF">
        <w:rPr>
          <w:rFonts w:ascii="Verdana" w:hAnsi="Verdana"/>
          <w:snapToGrid w:val="0"/>
          <w:kern w:val="32"/>
        </w:rPr>
        <w:t>, quienes eran magistrados de la Corte Suprema de Justicia</w:t>
      </w:r>
      <w:r w:rsidR="0057747C" w:rsidRPr="001F49EF">
        <w:rPr>
          <w:rFonts w:ascii="Verdana" w:hAnsi="Verdana" w:cs="Arial"/>
        </w:rPr>
        <w:t xml:space="preserve">. </w:t>
      </w:r>
      <w:r w:rsidR="000E1376">
        <w:rPr>
          <w:rFonts w:ascii="Verdana" w:hAnsi="Verdana" w:cs="Arial"/>
        </w:rPr>
        <w:t>Este Tribunal</w:t>
      </w:r>
      <w:r w:rsidR="00AF5A64" w:rsidRPr="001F49EF">
        <w:rPr>
          <w:rFonts w:ascii="Verdana" w:hAnsi="Verdana" w:cs="Arial"/>
        </w:rPr>
        <w:t xml:space="preserve"> declaró dichas violaciones en razón del cese arbitrario que realizó el Congreso </w:t>
      </w:r>
      <w:r w:rsidR="00AF5A64" w:rsidRPr="00E13275">
        <w:rPr>
          <w:rFonts w:ascii="Verdana" w:hAnsi="Verdana" w:cs="Arial"/>
        </w:rPr>
        <w:t>Nacional a todos los magistrados de dicha corte en diciembre de 2004</w:t>
      </w:r>
      <w:r w:rsidR="00E13275" w:rsidRPr="00E13275">
        <w:rPr>
          <w:rFonts w:ascii="Verdana" w:hAnsi="Verdana" w:cs="Arial"/>
        </w:rPr>
        <w:t xml:space="preserve">. </w:t>
      </w:r>
      <w:r w:rsidR="000E1376">
        <w:rPr>
          <w:rFonts w:ascii="Verdana" w:hAnsi="Verdana" w:cs="Arial"/>
        </w:rPr>
        <w:t>T</w:t>
      </w:r>
      <w:r w:rsidR="00E13275" w:rsidRPr="00E13275">
        <w:rPr>
          <w:rFonts w:ascii="Verdana" w:hAnsi="Verdana" w:cs="Arial"/>
        </w:rPr>
        <w:t xml:space="preserve">ambién determinó que Ecuador incurrió en </w:t>
      </w:r>
      <w:r w:rsidR="00E13275" w:rsidRPr="00E13275">
        <w:rPr>
          <w:rFonts w:ascii="Verdana" w:hAnsi="Verdana"/>
          <w:lang w:val="es-CO"/>
        </w:rPr>
        <w:t>una afectación arbitraria a la permanencia en el ejercicio de la función judicial y la consecuente afectación a la independencia judicial</w:t>
      </w:r>
      <w:r w:rsidR="00E13275" w:rsidRPr="00E13275">
        <w:rPr>
          <w:rStyle w:val="Refdenotaalpie"/>
          <w:rFonts w:ascii="Verdana" w:hAnsi="Verdana"/>
          <w:snapToGrid w:val="0"/>
          <w:kern w:val="32"/>
        </w:rPr>
        <w:footnoteReference w:id="5"/>
      </w:r>
      <w:r w:rsidR="00E13275" w:rsidRPr="00E13275">
        <w:rPr>
          <w:rFonts w:ascii="Verdana" w:hAnsi="Verdana"/>
          <w:lang w:val="es-CO"/>
        </w:rPr>
        <w:t xml:space="preserve">. Asimismo, </w:t>
      </w:r>
      <w:r w:rsidR="000E1376">
        <w:rPr>
          <w:rFonts w:ascii="Verdana" w:hAnsi="Verdana"/>
          <w:lang w:val="es-CO"/>
        </w:rPr>
        <w:t>se</w:t>
      </w:r>
      <w:r w:rsidR="000E1376" w:rsidRPr="00E13275">
        <w:rPr>
          <w:rFonts w:ascii="Verdana" w:hAnsi="Verdana"/>
          <w:lang w:val="es-CO"/>
        </w:rPr>
        <w:t xml:space="preserve"> </w:t>
      </w:r>
      <w:r w:rsidR="00E13275" w:rsidRPr="00E13275">
        <w:rPr>
          <w:rFonts w:ascii="Verdana" w:hAnsi="Verdana"/>
          <w:lang w:val="es-CO"/>
        </w:rPr>
        <w:t>declaró l</w:t>
      </w:r>
      <w:r w:rsidR="000E1376">
        <w:rPr>
          <w:rFonts w:ascii="Verdana" w:hAnsi="Verdana"/>
          <w:lang w:val="es-CO"/>
        </w:rPr>
        <w:t>a</w:t>
      </w:r>
      <w:r w:rsidR="00E13275" w:rsidRPr="00E13275">
        <w:rPr>
          <w:rFonts w:ascii="Verdana" w:hAnsi="Verdana"/>
          <w:lang w:val="es-CO"/>
        </w:rPr>
        <w:t xml:space="preserve"> responsab</w:t>
      </w:r>
      <w:r w:rsidR="000E1376">
        <w:rPr>
          <w:rFonts w:ascii="Verdana" w:hAnsi="Verdana"/>
          <w:lang w:val="es-CO"/>
        </w:rPr>
        <w:t>ilidad</w:t>
      </w:r>
      <w:r w:rsidR="00E13275" w:rsidRPr="00E13275">
        <w:rPr>
          <w:rFonts w:ascii="Verdana" w:hAnsi="Verdana"/>
          <w:lang w:val="es-CO"/>
        </w:rPr>
        <w:t xml:space="preserve"> </w:t>
      </w:r>
      <w:r w:rsidR="000E1376">
        <w:rPr>
          <w:rFonts w:ascii="Verdana" w:hAnsi="Verdana"/>
          <w:lang w:val="es-CO"/>
        </w:rPr>
        <w:t xml:space="preserve">estatal </w:t>
      </w:r>
      <w:r w:rsidR="00E13275" w:rsidRPr="00E13275">
        <w:rPr>
          <w:rFonts w:ascii="Verdana" w:hAnsi="Verdana"/>
          <w:lang w:val="es-CO"/>
        </w:rPr>
        <w:t xml:space="preserve">por la violación </w:t>
      </w:r>
      <w:r w:rsidR="00E13275" w:rsidRPr="00E13275">
        <w:rPr>
          <w:rFonts w:ascii="Verdana" w:hAnsi="Verdana"/>
          <w:lang w:val="es-CO"/>
        </w:rPr>
        <w:lastRenderedPageBreak/>
        <w:t xml:space="preserve">del derecho a la protección judicial por la </w:t>
      </w:r>
      <w:r w:rsidR="00E13275" w:rsidRPr="00E13275">
        <w:rPr>
          <w:rFonts w:ascii="Verdana" w:hAnsi="Verdana" w:cs="Arial"/>
          <w:bCs/>
          <w:lang w:val="es-CL"/>
        </w:rPr>
        <w:t xml:space="preserve">imposibilidad de las víctimas de acceder a un recurso judicial efectivo </w:t>
      </w:r>
      <w:r w:rsidR="00E13275">
        <w:rPr>
          <w:rFonts w:ascii="Verdana" w:hAnsi="Verdana" w:cs="Arial"/>
          <w:bCs/>
          <w:lang w:val="es-CL"/>
        </w:rPr>
        <w:t xml:space="preserve">contra la decisión del Congreso Nacional por la cual fueron cesados y </w:t>
      </w:r>
      <w:r w:rsidR="009907CD">
        <w:rPr>
          <w:rFonts w:ascii="Verdana" w:hAnsi="Verdana" w:cs="Arial"/>
          <w:bCs/>
          <w:lang w:val="es-CL"/>
        </w:rPr>
        <w:t xml:space="preserve">de </w:t>
      </w:r>
      <w:r w:rsidR="00E13275">
        <w:rPr>
          <w:rFonts w:ascii="Verdana" w:hAnsi="Verdana" w:cs="Arial"/>
          <w:bCs/>
          <w:lang w:val="es-CL"/>
        </w:rPr>
        <w:t>proteger los derechos que les estaban siendo vulnerados</w:t>
      </w:r>
      <w:r w:rsidR="00654312">
        <w:rPr>
          <w:rStyle w:val="Refdenotaalpie"/>
          <w:rFonts w:ascii="Verdana" w:hAnsi="Verdana" w:cs="Arial"/>
          <w:bCs/>
          <w:lang w:val="es-CL"/>
        </w:rPr>
        <w:footnoteReference w:id="6"/>
      </w:r>
      <w:r w:rsidR="00E13275" w:rsidRPr="00E13275">
        <w:rPr>
          <w:rFonts w:ascii="Verdana" w:hAnsi="Verdana" w:cs="Arial"/>
          <w:bCs/>
          <w:lang w:val="es-CL"/>
        </w:rPr>
        <w:t xml:space="preserve">. </w:t>
      </w:r>
      <w:r w:rsidR="00DD3DA7" w:rsidRPr="00E13275">
        <w:rPr>
          <w:rFonts w:ascii="Verdana" w:hAnsi="Verdana"/>
        </w:rPr>
        <w:t>La</w:t>
      </w:r>
      <w:r w:rsidR="00DD3DA7" w:rsidRPr="001F49EF">
        <w:rPr>
          <w:rFonts w:ascii="Verdana" w:hAnsi="Verdana"/>
        </w:rPr>
        <w:t xml:space="preserve"> Corte estableció que </w:t>
      </w:r>
      <w:r w:rsidR="00347E50" w:rsidRPr="001F49EF">
        <w:rPr>
          <w:rFonts w:ascii="Verdana" w:hAnsi="Verdana"/>
        </w:rPr>
        <w:t>su</w:t>
      </w:r>
      <w:r w:rsidR="00DD3DA7" w:rsidRPr="001F49EF">
        <w:rPr>
          <w:rFonts w:ascii="Verdana" w:hAnsi="Verdana"/>
        </w:rPr>
        <w:t xml:space="preserve"> Sentencia constituye </w:t>
      </w:r>
      <w:r w:rsidR="00472D50">
        <w:rPr>
          <w:rFonts w:ascii="Verdana" w:hAnsi="Verdana"/>
        </w:rPr>
        <w:t xml:space="preserve">por sí misma </w:t>
      </w:r>
      <w:r w:rsidR="00DD3DA7" w:rsidRPr="001F49EF">
        <w:rPr>
          <w:rFonts w:ascii="Verdana" w:hAnsi="Verdana"/>
        </w:rPr>
        <w:t>una forma de reparación</w:t>
      </w:r>
      <w:r w:rsidR="00347E50" w:rsidRPr="001F49EF">
        <w:rPr>
          <w:rFonts w:ascii="Verdana" w:hAnsi="Verdana"/>
        </w:rPr>
        <w:t xml:space="preserve"> y, </w:t>
      </w:r>
      <w:r w:rsidR="00AF5A64" w:rsidRPr="001F49EF">
        <w:rPr>
          <w:rFonts w:ascii="Verdana" w:hAnsi="Verdana"/>
        </w:rPr>
        <w:t>adicionalmente</w:t>
      </w:r>
      <w:r w:rsidR="00843553" w:rsidRPr="001F49EF">
        <w:rPr>
          <w:rFonts w:ascii="Verdana" w:hAnsi="Verdana"/>
        </w:rPr>
        <w:t xml:space="preserve">, </w:t>
      </w:r>
      <w:r w:rsidR="00DD3DA7" w:rsidRPr="001F49EF">
        <w:rPr>
          <w:rFonts w:ascii="Verdana" w:hAnsi="Verdana"/>
        </w:rPr>
        <w:t xml:space="preserve">ordenó al </w:t>
      </w:r>
      <w:r w:rsidR="00C7575D" w:rsidRPr="001F49EF">
        <w:rPr>
          <w:rFonts w:ascii="Verdana" w:hAnsi="Verdana"/>
        </w:rPr>
        <w:t>E</w:t>
      </w:r>
      <w:r w:rsidR="00DD3DA7" w:rsidRPr="001F49EF">
        <w:rPr>
          <w:rFonts w:ascii="Verdana" w:hAnsi="Verdana"/>
        </w:rPr>
        <w:t>stado determinadas medidas de reparación (</w:t>
      </w:r>
      <w:r w:rsidR="00DD3DA7" w:rsidRPr="001F49EF">
        <w:rPr>
          <w:rFonts w:ascii="Verdana" w:hAnsi="Verdana"/>
          <w:i/>
        </w:rPr>
        <w:t>infra</w:t>
      </w:r>
      <w:r w:rsidR="00DD3DA7" w:rsidRPr="001F49EF">
        <w:rPr>
          <w:rFonts w:ascii="Verdana" w:hAnsi="Verdana"/>
        </w:rPr>
        <w:t xml:space="preserve"> Considerando 1)</w:t>
      </w:r>
      <w:r w:rsidR="003814DC" w:rsidRPr="001F49EF">
        <w:rPr>
          <w:rFonts w:ascii="Verdana" w:hAnsi="Verdana"/>
        </w:rPr>
        <w:t>.</w:t>
      </w:r>
    </w:p>
    <w:p w:rsidR="0032237F" w:rsidRPr="00ED2218" w:rsidRDefault="004233CD" w:rsidP="0032237F">
      <w:pPr>
        <w:pStyle w:val="Textonotapie"/>
        <w:numPr>
          <w:ilvl w:val="0"/>
          <w:numId w:val="31"/>
        </w:numPr>
        <w:spacing w:before="120" w:after="120"/>
        <w:ind w:left="0" w:firstLine="0"/>
        <w:jc w:val="both"/>
        <w:rPr>
          <w:rFonts w:ascii="Verdana" w:hAnsi="Verdana"/>
          <w:sz w:val="16"/>
          <w:szCs w:val="16"/>
        </w:rPr>
      </w:pPr>
      <w:r w:rsidRPr="0032237F">
        <w:rPr>
          <w:rFonts w:ascii="Verdana" w:hAnsi="Verdana"/>
        </w:rPr>
        <w:t>La</w:t>
      </w:r>
      <w:r w:rsidR="007B4490">
        <w:rPr>
          <w:rFonts w:ascii="Verdana" w:hAnsi="Verdana"/>
        </w:rPr>
        <w:t>s Resolucio</w:t>
      </w:r>
      <w:r w:rsidRPr="0032237F">
        <w:rPr>
          <w:rFonts w:ascii="Verdana" w:hAnsi="Verdana"/>
        </w:rPr>
        <w:t>n</w:t>
      </w:r>
      <w:r w:rsidR="007B4490">
        <w:rPr>
          <w:rFonts w:ascii="Verdana" w:hAnsi="Verdana"/>
        </w:rPr>
        <w:t>es</w:t>
      </w:r>
      <w:r w:rsidRPr="0032237F">
        <w:rPr>
          <w:rFonts w:ascii="Verdana" w:hAnsi="Verdana"/>
        </w:rPr>
        <w:t xml:space="preserve"> de supervisión de cumplimiento de </w:t>
      </w:r>
      <w:r w:rsidR="00472D50">
        <w:rPr>
          <w:rFonts w:ascii="Verdana" w:hAnsi="Verdana"/>
        </w:rPr>
        <w:t>s</w:t>
      </w:r>
      <w:r w:rsidRPr="0032237F">
        <w:rPr>
          <w:rFonts w:ascii="Verdana" w:hAnsi="Verdana"/>
        </w:rPr>
        <w:t>entencia emitida</w:t>
      </w:r>
      <w:r w:rsidR="007B4490">
        <w:rPr>
          <w:rFonts w:ascii="Verdana" w:hAnsi="Verdana"/>
        </w:rPr>
        <w:t>s</w:t>
      </w:r>
      <w:r w:rsidRPr="0032237F">
        <w:rPr>
          <w:rFonts w:ascii="Verdana" w:hAnsi="Verdana"/>
        </w:rPr>
        <w:t xml:space="preserve"> el 21 de agosto de </w:t>
      </w:r>
      <w:r w:rsidRPr="00ED2218">
        <w:rPr>
          <w:rFonts w:ascii="Verdana" w:hAnsi="Verdana"/>
        </w:rPr>
        <w:t>2014</w:t>
      </w:r>
      <w:r w:rsidRPr="00ED2218">
        <w:rPr>
          <w:rStyle w:val="Refdenotaalpie"/>
          <w:rFonts w:ascii="Verdana" w:hAnsi="Verdana"/>
        </w:rPr>
        <w:footnoteReference w:id="7"/>
      </w:r>
      <w:r w:rsidR="007B4490" w:rsidRPr="00ED2218">
        <w:rPr>
          <w:rFonts w:ascii="Verdana" w:hAnsi="Verdana"/>
        </w:rPr>
        <w:t xml:space="preserve"> y el 20 de octubre de 2016</w:t>
      </w:r>
      <w:r w:rsidR="007B4490" w:rsidRPr="00ED2218">
        <w:rPr>
          <w:rStyle w:val="Refdenotaalpie"/>
          <w:rFonts w:ascii="Verdana" w:hAnsi="Verdana"/>
        </w:rPr>
        <w:footnoteReference w:id="8"/>
      </w:r>
      <w:r w:rsidRPr="00ED2218">
        <w:rPr>
          <w:rFonts w:ascii="Verdana" w:hAnsi="Verdana"/>
        </w:rPr>
        <w:t xml:space="preserve">. </w:t>
      </w:r>
    </w:p>
    <w:p w:rsidR="0032237F" w:rsidRPr="00ED2218" w:rsidRDefault="007B4490" w:rsidP="00C45535">
      <w:pPr>
        <w:pStyle w:val="Textonotapie"/>
        <w:numPr>
          <w:ilvl w:val="0"/>
          <w:numId w:val="31"/>
        </w:numPr>
        <w:spacing w:before="120" w:after="120"/>
        <w:ind w:left="0" w:firstLine="0"/>
        <w:jc w:val="both"/>
        <w:rPr>
          <w:rFonts w:ascii="Verdana" w:hAnsi="Verdana"/>
          <w:sz w:val="16"/>
          <w:szCs w:val="16"/>
        </w:rPr>
      </w:pPr>
      <w:r w:rsidRPr="00ED2218">
        <w:rPr>
          <w:rFonts w:ascii="Verdana" w:hAnsi="Verdana"/>
        </w:rPr>
        <w:t xml:space="preserve">Los </w:t>
      </w:r>
      <w:r w:rsidR="00FF1AC9" w:rsidRPr="00ED2218">
        <w:rPr>
          <w:rFonts w:ascii="Verdana" w:hAnsi="Verdana"/>
        </w:rPr>
        <w:t>tres</w:t>
      </w:r>
      <w:r w:rsidR="00C45535" w:rsidRPr="00ED2218">
        <w:rPr>
          <w:rFonts w:ascii="Verdana" w:hAnsi="Verdana"/>
          <w:sz w:val="16"/>
          <w:szCs w:val="16"/>
        </w:rPr>
        <w:t xml:space="preserve"> </w:t>
      </w:r>
      <w:r w:rsidR="00BA454B" w:rsidRPr="00ED2218">
        <w:rPr>
          <w:rFonts w:ascii="Verdana" w:hAnsi="Verdana"/>
        </w:rPr>
        <w:t xml:space="preserve">informes presentados por el Estado entre </w:t>
      </w:r>
      <w:r w:rsidR="00FF1AC9" w:rsidRPr="00ED2218">
        <w:rPr>
          <w:rFonts w:ascii="Verdana" w:hAnsi="Verdana"/>
        </w:rPr>
        <w:t>marzo</w:t>
      </w:r>
      <w:r w:rsidR="00BA454B" w:rsidRPr="00ED2218">
        <w:rPr>
          <w:rFonts w:ascii="Verdana" w:hAnsi="Verdana"/>
        </w:rPr>
        <w:t xml:space="preserve"> de </w:t>
      </w:r>
      <w:r w:rsidR="00FF1AC9" w:rsidRPr="00ED2218">
        <w:rPr>
          <w:rFonts w:ascii="Verdana" w:hAnsi="Verdana"/>
        </w:rPr>
        <w:t>2017</w:t>
      </w:r>
      <w:r w:rsidR="00BA454B" w:rsidRPr="00ED2218">
        <w:rPr>
          <w:rFonts w:ascii="Verdana" w:hAnsi="Verdana"/>
        </w:rPr>
        <w:t xml:space="preserve"> y </w:t>
      </w:r>
      <w:r w:rsidR="00FF1AC9" w:rsidRPr="00ED2218">
        <w:rPr>
          <w:rFonts w:ascii="Verdana" w:hAnsi="Verdana"/>
        </w:rPr>
        <w:t>noviembre</w:t>
      </w:r>
      <w:r w:rsidR="000716FB" w:rsidRPr="00ED2218">
        <w:rPr>
          <w:rFonts w:ascii="Verdana" w:hAnsi="Verdana"/>
        </w:rPr>
        <w:t xml:space="preserve"> </w:t>
      </w:r>
      <w:r w:rsidR="00BA454B" w:rsidRPr="00ED2218">
        <w:rPr>
          <w:rFonts w:ascii="Verdana" w:hAnsi="Verdana"/>
        </w:rPr>
        <w:t xml:space="preserve">de </w:t>
      </w:r>
      <w:r w:rsidR="00FF1AC9" w:rsidRPr="00ED2218">
        <w:rPr>
          <w:rFonts w:ascii="Verdana" w:hAnsi="Verdana"/>
        </w:rPr>
        <w:t>2018</w:t>
      </w:r>
      <w:r w:rsidR="00BA454B" w:rsidRPr="00ED2218">
        <w:rPr>
          <w:rStyle w:val="Refdenotaalpie"/>
          <w:rFonts w:ascii="Verdana" w:hAnsi="Verdana"/>
        </w:rPr>
        <w:footnoteReference w:id="9"/>
      </w:r>
      <w:r w:rsidR="00BA14A9" w:rsidRPr="00ED2218">
        <w:rPr>
          <w:rFonts w:ascii="Verdana" w:hAnsi="Verdana"/>
        </w:rPr>
        <w:t xml:space="preserve">, </w:t>
      </w:r>
      <w:r w:rsidR="00BA14A9" w:rsidRPr="00ED2218">
        <w:rPr>
          <w:rFonts w:ascii="Verdana" w:hAnsi="Verdana"/>
          <w:color w:val="000000"/>
          <w:shd w:val="clear" w:color="auto" w:fill="FFFFFF"/>
        </w:rPr>
        <w:t>en respuesta a solicitudes efectuadas por la Corte o su Presidente mediante notas de la Secretaría de</w:t>
      </w:r>
      <w:r w:rsidR="009907CD">
        <w:rPr>
          <w:rFonts w:ascii="Verdana" w:hAnsi="Verdana"/>
          <w:color w:val="000000"/>
          <w:shd w:val="clear" w:color="auto" w:fill="FFFFFF"/>
        </w:rPr>
        <w:t>l Tribunal</w:t>
      </w:r>
      <w:r w:rsidR="00BA454B" w:rsidRPr="00ED2218">
        <w:rPr>
          <w:rFonts w:ascii="Verdana" w:hAnsi="Verdana"/>
        </w:rPr>
        <w:t xml:space="preserve">. </w:t>
      </w:r>
    </w:p>
    <w:p w:rsidR="0032237F" w:rsidRPr="00ED2218" w:rsidRDefault="00BA454B" w:rsidP="0032237F">
      <w:pPr>
        <w:pStyle w:val="Textonotapie"/>
        <w:numPr>
          <w:ilvl w:val="0"/>
          <w:numId w:val="31"/>
        </w:numPr>
        <w:spacing w:before="120" w:after="120"/>
        <w:ind w:left="0" w:firstLine="0"/>
        <w:jc w:val="both"/>
        <w:rPr>
          <w:rFonts w:ascii="Verdana" w:hAnsi="Verdana"/>
          <w:sz w:val="16"/>
          <w:szCs w:val="16"/>
        </w:rPr>
      </w:pPr>
      <w:r w:rsidRPr="00ED2218">
        <w:rPr>
          <w:rFonts w:ascii="Verdana" w:hAnsi="Verdana"/>
        </w:rPr>
        <w:t>Los escritos de observaciones presentados por los representantes de las víctimas (en adelante “los representantes”)</w:t>
      </w:r>
      <w:r w:rsidRPr="00ED2218">
        <w:rPr>
          <w:rStyle w:val="Refdenotaalpie"/>
          <w:rFonts w:ascii="Verdana" w:hAnsi="Verdana"/>
        </w:rPr>
        <w:footnoteReference w:id="10"/>
      </w:r>
      <w:r w:rsidRPr="00ED2218">
        <w:rPr>
          <w:rFonts w:ascii="Verdana" w:hAnsi="Verdana"/>
        </w:rPr>
        <w:t xml:space="preserve"> </w:t>
      </w:r>
      <w:r w:rsidR="00FF1AC9" w:rsidRPr="00ED2218">
        <w:rPr>
          <w:rFonts w:ascii="Verdana" w:hAnsi="Verdana"/>
        </w:rPr>
        <w:t>el 13 de julio de 2017 y el 27 de diciembre de 2018</w:t>
      </w:r>
      <w:r w:rsidRPr="00ED2218">
        <w:rPr>
          <w:rFonts w:ascii="Verdana" w:hAnsi="Verdana"/>
        </w:rPr>
        <w:t>.</w:t>
      </w:r>
    </w:p>
    <w:p w:rsidR="0032237F" w:rsidRPr="00ED2218" w:rsidRDefault="00FF1AC9" w:rsidP="0032237F">
      <w:pPr>
        <w:pStyle w:val="Textonotapie"/>
        <w:numPr>
          <w:ilvl w:val="0"/>
          <w:numId w:val="31"/>
        </w:numPr>
        <w:spacing w:before="120" w:after="120"/>
        <w:ind w:left="0" w:firstLine="0"/>
        <w:jc w:val="both"/>
        <w:rPr>
          <w:rFonts w:ascii="Verdana" w:hAnsi="Verdana"/>
          <w:sz w:val="16"/>
          <w:szCs w:val="16"/>
        </w:rPr>
      </w:pPr>
      <w:r w:rsidRPr="00ED2218">
        <w:rPr>
          <w:rFonts w:ascii="Verdana" w:hAnsi="Verdana"/>
        </w:rPr>
        <w:t>Los escritos</w:t>
      </w:r>
      <w:r w:rsidR="009075A1" w:rsidRPr="00ED2218">
        <w:rPr>
          <w:rFonts w:ascii="Verdana" w:hAnsi="Verdana"/>
        </w:rPr>
        <w:t xml:space="preserve"> de observaciones presentado</w:t>
      </w:r>
      <w:r w:rsidRPr="00ED2218">
        <w:rPr>
          <w:rFonts w:ascii="Verdana" w:hAnsi="Verdana"/>
        </w:rPr>
        <w:t>s</w:t>
      </w:r>
      <w:r w:rsidR="009075A1" w:rsidRPr="00ED2218">
        <w:rPr>
          <w:rFonts w:ascii="Verdana" w:hAnsi="Verdana"/>
        </w:rPr>
        <w:t xml:space="preserve"> por la Comisión Interamericana</w:t>
      </w:r>
      <w:r w:rsidR="009E625C" w:rsidRPr="00ED2218">
        <w:rPr>
          <w:rFonts w:ascii="Verdana" w:hAnsi="Verdana"/>
        </w:rPr>
        <w:t xml:space="preserve"> de Derechos Humanos</w:t>
      </w:r>
      <w:r w:rsidR="009075A1" w:rsidRPr="00ED2218">
        <w:rPr>
          <w:rFonts w:ascii="Verdana" w:hAnsi="Verdana"/>
        </w:rPr>
        <w:t xml:space="preserve"> </w:t>
      </w:r>
      <w:r w:rsidR="009E625C" w:rsidRPr="00ED2218">
        <w:rPr>
          <w:rFonts w:ascii="Verdana" w:hAnsi="Verdana"/>
        </w:rPr>
        <w:t>(en adelante “la Comisión Interamericana” o “la Comisión”)</w:t>
      </w:r>
      <w:r w:rsidR="008A0396" w:rsidRPr="00ED2218">
        <w:rPr>
          <w:rFonts w:ascii="Verdana" w:hAnsi="Verdana"/>
        </w:rPr>
        <w:t xml:space="preserve"> </w:t>
      </w:r>
      <w:r w:rsidRPr="00ED2218">
        <w:rPr>
          <w:rFonts w:ascii="Verdana" w:hAnsi="Verdana"/>
        </w:rPr>
        <w:t>el 17 de junio y 26 de diciembre de 2017</w:t>
      </w:r>
      <w:r w:rsidR="00A623AA" w:rsidRPr="00ED2218">
        <w:rPr>
          <w:rFonts w:ascii="Verdana" w:hAnsi="Verdana"/>
        </w:rPr>
        <w:t>.</w:t>
      </w:r>
    </w:p>
    <w:p w:rsidR="00DA0F25" w:rsidRPr="008966E0" w:rsidRDefault="00DA0F25" w:rsidP="009228F3">
      <w:pPr>
        <w:widowControl/>
        <w:autoSpaceDE w:val="0"/>
        <w:autoSpaceDN w:val="0"/>
        <w:adjustRightInd w:val="0"/>
        <w:jc w:val="both"/>
        <w:rPr>
          <w:rFonts w:ascii="Verdana" w:hAnsi="Verdana"/>
          <w:b/>
        </w:rPr>
      </w:pPr>
    </w:p>
    <w:p w:rsidR="00DA0F25" w:rsidRPr="00300A86" w:rsidRDefault="00DA0F25" w:rsidP="00DA0F25">
      <w:pPr>
        <w:spacing w:before="120" w:after="120"/>
        <w:jc w:val="both"/>
        <w:rPr>
          <w:rFonts w:ascii="Verdana" w:hAnsi="Verdana"/>
          <w:b/>
          <w:caps/>
        </w:rPr>
      </w:pPr>
      <w:r w:rsidRPr="00300A86">
        <w:rPr>
          <w:rFonts w:ascii="Verdana" w:hAnsi="Verdana"/>
          <w:b/>
          <w:caps/>
        </w:rPr>
        <w:t>Considerando</w:t>
      </w:r>
      <w:r>
        <w:rPr>
          <w:rFonts w:ascii="Verdana" w:hAnsi="Verdana"/>
          <w:b/>
          <w:caps/>
        </w:rPr>
        <w:t xml:space="preserve"> QUE:</w:t>
      </w:r>
    </w:p>
    <w:p w:rsidR="00AB79F6" w:rsidRPr="002C3294" w:rsidRDefault="00DA0F25" w:rsidP="00EB5741">
      <w:pPr>
        <w:widowControl/>
        <w:numPr>
          <w:ilvl w:val="0"/>
          <w:numId w:val="2"/>
        </w:numPr>
        <w:spacing w:before="120" w:after="120"/>
        <w:ind w:left="0" w:right="9" w:hanging="11"/>
        <w:jc w:val="both"/>
        <w:rPr>
          <w:rFonts w:ascii="Verdana" w:hAnsi="Verdana"/>
        </w:rPr>
      </w:pPr>
      <w:r w:rsidRPr="004629C1">
        <w:rPr>
          <w:rFonts w:ascii="Verdana" w:hAnsi="Verdana"/>
        </w:rPr>
        <w:t xml:space="preserve">En el ejercicio de </w:t>
      </w:r>
      <w:r w:rsidRPr="004629C1">
        <w:rPr>
          <w:rFonts w:ascii="Verdana" w:hAnsi="Verdana"/>
          <w:lang w:val="es-ES"/>
        </w:rPr>
        <w:t xml:space="preserve">su función jurisdiccional de </w:t>
      </w:r>
      <w:r w:rsidRPr="004629C1">
        <w:rPr>
          <w:rFonts w:ascii="Verdana" w:hAnsi="Verdana"/>
        </w:rPr>
        <w:t>supervisar el cumplimiento de sus decisiones</w:t>
      </w:r>
      <w:r w:rsidRPr="004629C1">
        <w:rPr>
          <w:rStyle w:val="Refdenotaalpie"/>
          <w:rFonts w:ascii="Verdana" w:hAnsi="Verdana"/>
        </w:rPr>
        <w:footnoteReference w:id="11"/>
      </w:r>
      <w:r w:rsidRPr="004629C1">
        <w:rPr>
          <w:rFonts w:ascii="Verdana" w:hAnsi="Verdana"/>
        </w:rPr>
        <w:t xml:space="preserve">, la Corte ha venido supervisando la ejecución de </w:t>
      </w:r>
      <w:r w:rsidR="00D43E12" w:rsidRPr="004629C1">
        <w:rPr>
          <w:rFonts w:ascii="Verdana" w:hAnsi="Verdana"/>
        </w:rPr>
        <w:t>la Sentencia</w:t>
      </w:r>
      <w:r w:rsidRPr="004629C1">
        <w:rPr>
          <w:rFonts w:ascii="Verdana" w:hAnsi="Verdana"/>
        </w:rPr>
        <w:t xml:space="preserve"> emitida </w:t>
      </w:r>
      <w:r w:rsidR="005D216A" w:rsidRPr="004629C1">
        <w:rPr>
          <w:rFonts w:ascii="Verdana" w:hAnsi="Verdana"/>
          <w:lang w:val="es-MX"/>
        </w:rPr>
        <w:t xml:space="preserve">en </w:t>
      </w:r>
      <w:r w:rsidR="005D216A" w:rsidRPr="002C3294">
        <w:rPr>
          <w:rFonts w:ascii="Verdana" w:hAnsi="Verdana"/>
          <w:lang w:val="es-MX"/>
        </w:rPr>
        <w:t>el presente caso en el año 201</w:t>
      </w:r>
      <w:r w:rsidR="00F5064A" w:rsidRPr="002C3294">
        <w:rPr>
          <w:rFonts w:ascii="Verdana" w:hAnsi="Verdana"/>
          <w:lang w:val="es-MX"/>
        </w:rPr>
        <w:t>3</w:t>
      </w:r>
      <w:r w:rsidRPr="002C3294">
        <w:rPr>
          <w:rFonts w:ascii="Verdana" w:hAnsi="Verdana"/>
          <w:lang w:val="es-MX"/>
        </w:rPr>
        <w:t xml:space="preserve"> (</w:t>
      </w:r>
      <w:r w:rsidRPr="002C3294">
        <w:rPr>
          <w:rFonts w:ascii="Verdana" w:hAnsi="Verdana"/>
          <w:i/>
          <w:lang w:val="es-MX"/>
        </w:rPr>
        <w:t>supra</w:t>
      </w:r>
      <w:r w:rsidRPr="002C3294">
        <w:rPr>
          <w:rFonts w:ascii="Verdana" w:hAnsi="Verdana"/>
          <w:lang w:val="es-MX"/>
        </w:rPr>
        <w:t xml:space="preserve"> Visto 1). </w:t>
      </w:r>
      <w:r w:rsidR="00F0778F">
        <w:rPr>
          <w:rFonts w:ascii="Verdana" w:hAnsi="Verdana"/>
          <w:lang w:val="es-MX"/>
        </w:rPr>
        <w:t>L</w:t>
      </w:r>
      <w:r w:rsidR="00EB5741" w:rsidRPr="002C3294">
        <w:rPr>
          <w:rFonts w:ascii="Verdana" w:hAnsi="Verdana"/>
          <w:lang w:val="es-MX"/>
        </w:rPr>
        <w:t xml:space="preserve">a Corte ha emitido dos resoluciones de supervisión de cumplimiento </w:t>
      </w:r>
      <w:r w:rsidR="00704A92">
        <w:rPr>
          <w:rFonts w:ascii="Verdana" w:hAnsi="Verdana"/>
          <w:lang w:val="es-MX"/>
        </w:rPr>
        <w:t xml:space="preserve">de Sentencia </w:t>
      </w:r>
      <w:r w:rsidR="00EB5741" w:rsidRPr="002C3294">
        <w:rPr>
          <w:rFonts w:ascii="Verdana" w:hAnsi="Verdana"/>
          <w:lang w:val="es-MX"/>
        </w:rPr>
        <w:t>(</w:t>
      </w:r>
      <w:r w:rsidR="00EB5741" w:rsidRPr="002C3294">
        <w:rPr>
          <w:rFonts w:ascii="Verdana" w:hAnsi="Verdana"/>
          <w:i/>
          <w:lang w:val="es-MX"/>
        </w:rPr>
        <w:t>supra</w:t>
      </w:r>
      <w:r w:rsidR="00EB5741" w:rsidRPr="002C3294">
        <w:rPr>
          <w:rFonts w:ascii="Verdana" w:hAnsi="Verdana"/>
          <w:lang w:val="es-MX"/>
        </w:rPr>
        <w:t xml:space="preserve"> Visto 2)</w:t>
      </w:r>
      <w:r w:rsidR="00EB5741" w:rsidRPr="002C3294">
        <w:rPr>
          <w:rStyle w:val="Refdenotaalpie"/>
          <w:rFonts w:ascii="Verdana" w:hAnsi="Verdana"/>
          <w:lang w:val="es-MX"/>
        </w:rPr>
        <w:footnoteReference w:id="12"/>
      </w:r>
      <w:r w:rsidR="00EB5741" w:rsidRPr="002C3294">
        <w:rPr>
          <w:rFonts w:ascii="Verdana" w:hAnsi="Verdana"/>
          <w:lang w:val="es-MX"/>
        </w:rPr>
        <w:t xml:space="preserve">. </w:t>
      </w:r>
      <w:r w:rsidR="00AB79F6" w:rsidRPr="002C3294">
        <w:rPr>
          <w:rFonts w:ascii="Verdana" w:hAnsi="Verdana"/>
          <w:lang w:val="es-MX"/>
        </w:rPr>
        <w:t xml:space="preserve">En la Resolución de octubre de 2016 declaró que el Estado dio cumplimiento total </w:t>
      </w:r>
      <w:r w:rsidR="00F0778F">
        <w:rPr>
          <w:rFonts w:ascii="Verdana" w:hAnsi="Verdana"/>
          <w:lang w:val="es-MX"/>
        </w:rPr>
        <w:t xml:space="preserve">a </w:t>
      </w:r>
      <w:r w:rsidR="00EB5741" w:rsidRPr="002C3294">
        <w:rPr>
          <w:rFonts w:ascii="Verdana" w:hAnsi="Verdana"/>
          <w:lang w:val="es-MX"/>
        </w:rPr>
        <w:t>las</w:t>
      </w:r>
      <w:r w:rsidR="00AB79F6" w:rsidRPr="002C3294">
        <w:rPr>
          <w:rFonts w:ascii="Verdana" w:hAnsi="Verdana"/>
          <w:lang w:val="es-MX"/>
        </w:rPr>
        <w:t xml:space="preserve"> medidas de reparación</w:t>
      </w:r>
      <w:r w:rsidR="00EB5741" w:rsidRPr="002C3294">
        <w:rPr>
          <w:rFonts w:ascii="Verdana" w:hAnsi="Verdana"/>
          <w:lang w:val="es-MX"/>
        </w:rPr>
        <w:t xml:space="preserve"> relativas a</w:t>
      </w:r>
      <w:r w:rsidR="00704A92">
        <w:rPr>
          <w:rFonts w:ascii="Verdana" w:hAnsi="Verdana"/>
          <w:lang w:val="es-MX"/>
        </w:rPr>
        <w:t>:</w:t>
      </w:r>
      <w:r w:rsidR="00EB5741" w:rsidRPr="002C3294">
        <w:rPr>
          <w:rFonts w:ascii="Verdana" w:hAnsi="Verdana"/>
          <w:lang w:val="es-MX"/>
        </w:rPr>
        <w:t xml:space="preserve"> la publicación y difusión de la Sentencia y </w:t>
      </w:r>
      <w:r w:rsidR="00704A92">
        <w:rPr>
          <w:rFonts w:ascii="Verdana" w:hAnsi="Verdana"/>
          <w:lang w:val="es-MX"/>
        </w:rPr>
        <w:t xml:space="preserve">de </w:t>
      </w:r>
      <w:r w:rsidR="00EB5741" w:rsidRPr="002C3294">
        <w:rPr>
          <w:rFonts w:ascii="Verdana" w:hAnsi="Verdana"/>
          <w:lang w:val="es-MX"/>
        </w:rPr>
        <w:t>su resumen oficial</w:t>
      </w:r>
      <w:r w:rsidR="00AB79F6" w:rsidRPr="002C3294">
        <w:rPr>
          <w:rStyle w:val="Refdenotaalpie"/>
          <w:rFonts w:ascii="Verdana" w:hAnsi="Verdana"/>
          <w:lang w:val="es-MX"/>
        </w:rPr>
        <w:footnoteReference w:id="13"/>
      </w:r>
      <w:r w:rsidR="00B93F1F" w:rsidRPr="002C3294">
        <w:rPr>
          <w:rFonts w:ascii="Verdana" w:hAnsi="Verdana"/>
          <w:lang w:val="es-MX"/>
        </w:rPr>
        <w:t xml:space="preserve">; pagar a las 27 víctimas </w:t>
      </w:r>
      <w:r w:rsidR="00704A92">
        <w:rPr>
          <w:rFonts w:ascii="Verdana" w:hAnsi="Verdana"/>
          <w:lang w:val="es-MX"/>
        </w:rPr>
        <w:t xml:space="preserve">del caso </w:t>
      </w:r>
      <w:r w:rsidR="00B93F1F" w:rsidRPr="002C3294">
        <w:rPr>
          <w:rFonts w:ascii="Verdana" w:hAnsi="Verdana"/>
          <w:lang w:val="es-MX"/>
        </w:rPr>
        <w:t>una indemnización como</w:t>
      </w:r>
      <w:r w:rsidR="00AB79F6" w:rsidRPr="002C3294">
        <w:rPr>
          <w:rFonts w:ascii="Verdana" w:hAnsi="Verdana"/>
          <w:lang w:val="es-MX"/>
        </w:rPr>
        <w:t xml:space="preserve"> </w:t>
      </w:r>
      <w:r w:rsidR="00B93F1F" w:rsidRPr="002C3294">
        <w:rPr>
          <w:rFonts w:ascii="Verdana" w:hAnsi="Verdana"/>
        </w:rPr>
        <w:t>compensación por la imposibilidad de retornar a sus funciones como magistrados</w:t>
      </w:r>
      <w:r w:rsidR="00B93F1F" w:rsidRPr="002C3294">
        <w:rPr>
          <w:rStyle w:val="Refdenotaalpie"/>
          <w:rFonts w:ascii="Verdana" w:hAnsi="Verdana"/>
        </w:rPr>
        <w:footnoteReference w:id="14"/>
      </w:r>
      <w:r w:rsidR="00B93F1F" w:rsidRPr="002C3294">
        <w:rPr>
          <w:rFonts w:ascii="Verdana" w:hAnsi="Verdana"/>
        </w:rPr>
        <w:t>; pagar a las víctimas la indemnización por daño inmaterial y realizar el reintegro de costas y gastos</w:t>
      </w:r>
      <w:r w:rsidR="00B93F1F" w:rsidRPr="002C3294">
        <w:rPr>
          <w:rStyle w:val="Refdenotaalpie"/>
          <w:rFonts w:ascii="Verdana" w:hAnsi="Verdana"/>
        </w:rPr>
        <w:footnoteReference w:id="15"/>
      </w:r>
      <w:r w:rsidR="00B93F1F" w:rsidRPr="002C3294">
        <w:rPr>
          <w:rFonts w:ascii="Verdana" w:hAnsi="Verdana"/>
        </w:rPr>
        <w:t xml:space="preserve">. Además, declaró que Ecuador </w:t>
      </w:r>
      <w:r w:rsidR="00AB79F6" w:rsidRPr="002C3294">
        <w:rPr>
          <w:rFonts w:ascii="Verdana" w:hAnsi="Verdana"/>
          <w:lang w:val="es-MX"/>
        </w:rPr>
        <w:t xml:space="preserve">cumplió parcialmente con la reparación relativa a </w:t>
      </w:r>
      <w:r w:rsidR="00E661F4" w:rsidRPr="002C3294">
        <w:rPr>
          <w:rFonts w:ascii="Verdana" w:hAnsi="Verdana"/>
        </w:rPr>
        <w:t>pagar</w:t>
      </w:r>
      <w:r w:rsidR="006C44C7" w:rsidRPr="002C3294">
        <w:rPr>
          <w:rFonts w:ascii="Verdana" w:hAnsi="Verdana"/>
        </w:rPr>
        <w:t xml:space="preserve"> a las víctimas o sus derechohabientes</w:t>
      </w:r>
      <w:r w:rsidR="00E661F4" w:rsidRPr="002C3294">
        <w:rPr>
          <w:rFonts w:ascii="Verdana" w:hAnsi="Verdana"/>
        </w:rPr>
        <w:t xml:space="preserve"> </w:t>
      </w:r>
      <w:r w:rsidR="002C3294" w:rsidRPr="002C3294">
        <w:rPr>
          <w:rFonts w:ascii="Verdana" w:hAnsi="Verdana"/>
        </w:rPr>
        <w:t>la</w:t>
      </w:r>
      <w:r w:rsidR="00E661F4" w:rsidRPr="002C3294">
        <w:rPr>
          <w:rFonts w:ascii="Verdana" w:hAnsi="Verdana"/>
        </w:rPr>
        <w:t xml:space="preserve"> indemnización por daño material, ya que estaba pendiente el pago de intereses moratorios </w:t>
      </w:r>
      <w:r w:rsidR="002C3294" w:rsidRPr="002C3294">
        <w:rPr>
          <w:rFonts w:ascii="Verdana" w:hAnsi="Verdana"/>
        </w:rPr>
        <w:t>(</w:t>
      </w:r>
      <w:r w:rsidR="002C3294" w:rsidRPr="002C3294">
        <w:rPr>
          <w:rFonts w:ascii="Verdana" w:hAnsi="Verdana"/>
          <w:i/>
        </w:rPr>
        <w:t>infra</w:t>
      </w:r>
      <w:r w:rsidR="002C3294" w:rsidRPr="002C3294">
        <w:rPr>
          <w:rFonts w:ascii="Verdana" w:hAnsi="Verdana"/>
        </w:rPr>
        <w:t xml:space="preserve"> Considerando </w:t>
      </w:r>
      <w:r w:rsidR="00704A92">
        <w:rPr>
          <w:rFonts w:ascii="Verdana" w:hAnsi="Verdana"/>
        </w:rPr>
        <w:t>6</w:t>
      </w:r>
      <w:r w:rsidR="002C3294" w:rsidRPr="002C3294">
        <w:rPr>
          <w:rFonts w:ascii="Verdana" w:hAnsi="Verdana"/>
        </w:rPr>
        <w:t xml:space="preserve">). </w:t>
      </w:r>
      <w:r w:rsidR="006C44C7" w:rsidRPr="002C3294">
        <w:rPr>
          <w:rFonts w:ascii="Verdana" w:hAnsi="Verdana"/>
        </w:rPr>
        <w:t xml:space="preserve">La Corte mantuvo abierto el procedimiento de supervisión de cumplimiento únicamente respecto </w:t>
      </w:r>
      <w:r w:rsidR="002C3294" w:rsidRPr="002C3294">
        <w:rPr>
          <w:rFonts w:ascii="Verdana" w:hAnsi="Verdana"/>
        </w:rPr>
        <w:t>a ese extremo de la reparación.</w:t>
      </w:r>
    </w:p>
    <w:p w:rsidR="000B6141" w:rsidRPr="00472D50" w:rsidRDefault="000B6141" w:rsidP="000B6141">
      <w:pPr>
        <w:widowControl/>
        <w:numPr>
          <w:ilvl w:val="0"/>
          <w:numId w:val="2"/>
        </w:numPr>
        <w:spacing w:before="120" w:after="120"/>
        <w:ind w:left="0" w:right="9" w:hanging="11"/>
        <w:jc w:val="both"/>
        <w:rPr>
          <w:rFonts w:ascii="Verdana" w:hAnsi="Verdana"/>
        </w:rPr>
      </w:pPr>
      <w:r w:rsidRPr="008F19A9">
        <w:rPr>
          <w:rFonts w:ascii="Verdana" w:hAnsi="Verdana"/>
        </w:rPr>
        <w:t xml:space="preserve">De conformidad con </w:t>
      </w:r>
      <w:r w:rsidRPr="00D44BD9">
        <w:rPr>
          <w:rFonts w:ascii="Verdana" w:hAnsi="Verdana"/>
          <w:lang w:val="es-ES"/>
        </w:rPr>
        <w:t>lo establecido en el artículo</w:t>
      </w:r>
      <w:r w:rsidRPr="008F19A9">
        <w:rPr>
          <w:rFonts w:ascii="Verdana" w:hAnsi="Verdana"/>
        </w:rPr>
        <w:t xml:space="preserve"> </w:t>
      </w:r>
      <w:r w:rsidRPr="008F19A9">
        <w:rPr>
          <w:rFonts w:ascii="Verdana" w:hAnsi="Verdana"/>
          <w:color w:val="000000"/>
          <w:lang w:val="es-CO"/>
        </w:rPr>
        <w:t>68.1 de la Convención Americana, “[l]os Est</w:t>
      </w:r>
      <w:r w:rsidRPr="00FE71A0">
        <w:rPr>
          <w:rFonts w:ascii="Verdana" w:hAnsi="Verdana"/>
          <w:color w:val="000000"/>
          <w:lang w:val="es-CO"/>
        </w:rPr>
        <w:t>a</w:t>
      </w:r>
      <w:r w:rsidRPr="008F19A9">
        <w:rPr>
          <w:rFonts w:ascii="Verdana" w:hAnsi="Verdana"/>
          <w:color w:val="000000"/>
          <w:lang w:val="es-CO"/>
        </w:rPr>
        <w:t xml:space="preserve">dos Partes en la Convención se comprometen a cumplir la decisión de la </w:t>
      </w:r>
      <w:r w:rsidRPr="008F19A9">
        <w:rPr>
          <w:rFonts w:ascii="Verdana" w:hAnsi="Verdana"/>
          <w:color w:val="000000"/>
          <w:lang w:val="es-MX"/>
        </w:rPr>
        <w:t>Corte en todo caso en que sean parte</w:t>
      </w:r>
      <w:r w:rsidRPr="008F19A9">
        <w:rPr>
          <w:rFonts w:ascii="Verdana" w:hAnsi="Verdana"/>
          <w:i/>
          <w:color w:val="000000"/>
          <w:lang w:val="es-MX"/>
        </w:rPr>
        <w:t>s”</w:t>
      </w:r>
      <w:r w:rsidRPr="008F19A9">
        <w:rPr>
          <w:rFonts w:ascii="Verdana" w:hAnsi="Verdana" w:cs="Verdana"/>
          <w:i/>
          <w:lang w:val="es-MX"/>
        </w:rPr>
        <w:t>.</w:t>
      </w:r>
      <w:r w:rsidRPr="008F19A9">
        <w:rPr>
          <w:rFonts w:ascii="Verdana" w:hAnsi="Verdana" w:cs="Verdana"/>
          <w:lang w:val="es-MX"/>
        </w:rPr>
        <w:t xml:space="preserve"> </w:t>
      </w:r>
      <w:r w:rsidRPr="008F19A9">
        <w:rPr>
          <w:rFonts w:ascii="Verdana" w:hAnsi="Verdana"/>
          <w:lang w:val="es-MX"/>
        </w:rPr>
        <w:t xml:space="preserve">Esta obligación incluye el deber del Estado de informar a la Corte sobre las medidas </w:t>
      </w:r>
      <w:r w:rsidRPr="00D44BD9">
        <w:rPr>
          <w:rFonts w:ascii="Verdana" w:hAnsi="Verdana"/>
          <w:lang w:val="es-MX"/>
        </w:rPr>
        <w:t>ado</w:t>
      </w:r>
      <w:proofErr w:type="spellStart"/>
      <w:r w:rsidRPr="00D44BD9">
        <w:rPr>
          <w:rFonts w:ascii="Verdana" w:hAnsi="Verdana"/>
        </w:rPr>
        <w:t>ptadas</w:t>
      </w:r>
      <w:proofErr w:type="spellEnd"/>
      <w:r w:rsidRPr="00D44BD9">
        <w:rPr>
          <w:rFonts w:ascii="Verdana" w:hAnsi="Verdana"/>
        </w:rPr>
        <w:t xml:space="preserve"> para cumplir cada uno de los puntos ordenados por ésta, lo cual es funda</w:t>
      </w:r>
      <w:r w:rsidRPr="00D44BD9">
        <w:rPr>
          <w:rFonts w:ascii="Verdana" w:hAnsi="Verdana"/>
          <w:lang w:val="es-MX"/>
        </w:rPr>
        <w:t>mental para evalua</w:t>
      </w:r>
      <w:r w:rsidRPr="008F19A9">
        <w:rPr>
          <w:rFonts w:ascii="Verdana" w:hAnsi="Verdana"/>
        </w:rPr>
        <w:t>r el estado de cumplimiento de la Sentencia en su conjunto</w:t>
      </w:r>
      <w:r>
        <w:rPr>
          <w:rStyle w:val="Refdenotaalpie"/>
          <w:rFonts w:ascii="Verdana" w:hAnsi="Verdana"/>
        </w:rPr>
        <w:footnoteReference w:id="16"/>
      </w:r>
      <w:r w:rsidRPr="008F19A9">
        <w:rPr>
          <w:rFonts w:ascii="Verdana" w:hAnsi="Verdana"/>
        </w:rPr>
        <w:t>.</w:t>
      </w:r>
      <w:r>
        <w:rPr>
          <w:rFonts w:ascii="Verdana" w:hAnsi="Verdana"/>
        </w:rPr>
        <w:t xml:space="preserve"> </w:t>
      </w:r>
      <w:r w:rsidRPr="00472D50">
        <w:rPr>
          <w:rFonts w:ascii="Verdana" w:hAnsi="Verdana" w:cs="Verdana"/>
          <w:lang w:val="es-ES"/>
        </w:rPr>
        <w:t>Los Estados Parte en la Convención deben garantizar el cumplimiento de las disposiciones convencionales y sus efectos propios (</w:t>
      </w:r>
      <w:proofErr w:type="spellStart"/>
      <w:r w:rsidRPr="00472D50">
        <w:rPr>
          <w:rFonts w:ascii="Verdana" w:hAnsi="Verdana" w:cs="Verdana-Italic"/>
          <w:i/>
          <w:iCs/>
          <w:lang w:val="es-ES"/>
        </w:rPr>
        <w:t>effet</w:t>
      </w:r>
      <w:proofErr w:type="spellEnd"/>
      <w:r w:rsidRPr="00472D50">
        <w:rPr>
          <w:rFonts w:ascii="Verdana" w:hAnsi="Verdana" w:cs="Verdana-Italic"/>
          <w:i/>
          <w:iCs/>
          <w:lang w:val="es-ES"/>
        </w:rPr>
        <w:t xml:space="preserve"> </w:t>
      </w:r>
      <w:proofErr w:type="spellStart"/>
      <w:r w:rsidRPr="00472D50">
        <w:rPr>
          <w:rFonts w:ascii="Verdana" w:hAnsi="Verdana" w:cs="Verdana-Italic"/>
          <w:i/>
          <w:iCs/>
          <w:lang w:val="es-ES"/>
        </w:rPr>
        <w:t>utile</w:t>
      </w:r>
      <w:proofErr w:type="spellEnd"/>
      <w:r w:rsidRPr="00472D50">
        <w:rPr>
          <w:rFonts w:ascii="Verdana" w:hAnsi="Verdana" w:cs="Verdana"/>
          <w:lang w:val="es-ES"/>
        </w:rPr>
        <w:t>) en el plano de sus respectivos derechos internos. Estas obligaciones deben ser interpretadas y aplicadas de manera que la garantía protegida sea verdaderamente práctica y eficaz, teniendo presente la naturaleza especial de los tratados de derechos humanos</w:t>
      </w:r>
      <w:r w:rsidRPr="00D71564">
        <w:rPr>
          <w:rStyle w:val="Refdenotaalpie"/>
          <w:rFonts w:ascii="Verdana" w:hAnsi="Verdana" w:cs="Verdana"/>
        </w:rPr>
        <w:footnoteReference w:id="17"/>
      </w:r>
      <w:r w:rsidRPr="00472D50">
        <w:rPr>
          <w:rFonts w:ascii="Verdana" w:hAnsi="Verdana" w:cs="Verdana"/>
          <w:lang w:val="es-ES"/>
        </w:rPr>
        <w:t>.</w:t>
      </w:r>
    </w:p>
    <w:p w:rsidR="006C44C7" w:rsidRPr="006C44C7" w:rsidRDefault="007B0E9F" w:rsidP="006C44C7">
      <w:pPr>
        <w:widowControl/>
        <w:numPr>
          <w:ilvl w:val="0"/>
          <w:numId w:val="2"/>
        </w:numPr>
        <w:spacing w:before="120" w:after="120"/>
        <w:ind w:left="0" w:right="9" w:hanging="11"/>
        <w:jc w:val="both"/>
        <w:rPr>
          <w:rFonts w:ascii="Verdana" w:hAnsi="Verdana"/>
          <w:b/>
          <w:i/>
        </w:rPr>
      </w:pPr>
      <w:r w:rsidRPr="00BA1918">
        <w:rPr>
          <w:rFonts w:ascii="Verdana" w:hAnsi="Verdana"/>
        </w:rPr>
        <w:t>Seguidamente, la Corte valorará la información presen</w:t>
      </w:r>
      <w:r w:rsidR="006C44C7">
        <w:rPr>
          <w:rFonts w:ascii="Verdana" w:hAnsi="Verdana"/>
        </w:rPr>
        <w:t xml:space="preserve">tada por las partes respecto del extremo de la reparación que se encuentra pendiente </w:t>
      </w:r>
      <w:r w:rsidRPr="00BA1918">
        <w:rPr>
          <w:rFonts w:ascii="Verdana" w:hAnsi="Verdana"/>
        </w:rPr>
        <w:t>(</w:t>
      </w:r>
      <w:r w:rsidRPr="00BA1918">
        <w:rPr>
          <w:rFonts w:ascii="Verdana" w:hAnsi="Verdana"/>
          <w:i/>
        </w:rPr>
        <w:t>supra</w:t>
      </w:r>
      <w:r w:rsidRPr="00BA1918">
        <w:rPr>
          <w:rFonts w:ascii="Verdana" w:hAnsi="Verdana"/>
        </w:rPr>
        <w:t xml:space="preserve"> Considerando 1), y determinará el grado de cumplimiento por parte del Estado</w:t>
      </w:r>
      <w:r w:rsidR="00F112FC">
        <w:rPr>
          <w:rFonts w:ascii="Verdana" w:hAnsi="Verdana"/>
        </w:rPr>
        <w:t xml:space="preserve">. </w:t>
      </w:r>
      <w:bookmarkStart w:id="0" w:name="_Toc463857754"/>
    </w:p>
    <w:p w:rsidR="006C44C7" w:rsidRPr="006C44C7" w:rsidRDefault="006C44C7" w:rsidP="006C44C7">
      <w:pPr>
        <w:widowControl/>
        <w:spacing w:before="120" w:after="120"/>
        <w:ind w:right="9"/>
        <w:jc w:val="both"/>
        <w:rPr>
          <w:rFonts w:ascii="Verdana" w:hAnsi="Verdana"/>
          <w:b/>
          <w:i/>
        </w:rPr>
      </w:pPr>
    </w:p>
    <w:bookmarkEnd w:id="0"/>
    <w:p w:rsidR="00D41C5A" w:rsidRPr="00C30815" w:rsidRDefault="00D41C5A" w:rsidP="006C44C7">
      <w:pPr>
        <w:widowControl/>
        <w:numPr>
          <w:ilvl w:val="0"/>
          <w:numId w:val="32"/>
        </w:numPr>
        <w:spacing w:after="120"/>
        <w:jc w:val="both"/>
        <w:rPr>
          <w:rFonts w:ascii="Verdana" w:hAnsi="Verdana"/>
          <w:b/>
          <w:i/>
        </w:rPr>
      </w:pPr>
      <w:r w:rsidRPr="00C30815">
        <w:rPr>
          <w:rFonts w:ascii="Verdana" w:hAnsi="Verdana"/>
          <w:b/>
          <w:i/>
        </w:rPr>
        <w:t xml:space="preserve">Medida ordenada por la Corte </w:t>
      </w:r>
      <w:r w:rsidR="004A31A8" w:rsidRPr="00C30815">
        <w:rPr>
          <w:rFonts w:ascii="Verdana" w:hAnsi="Verdana"/>
          <w:b/>
          <w:i/>
        </w:rPr>
        <w:t>y supervisión realizada en la resolución anterior</w:t>
      </w:r>
    </w:p>
    <w:p w:rsidR="003F3CC1" w:rsidRPr="00EC6B5F" w:rsidRDefault="00D41C5A" w:rsidP="00EC6B5F">
      <w:pPr>
        <w:widowControl/>
        <w:numPr>
          <w:ilvl w:val="0"/>
          <w:numId w:val="2"/>
        </w:numPr>
        <w:spacing w:before="120" w:after="120"/>
        <w:ind w:left="0" w:right="9" w:hanging="11"/>
        <w:jc w:val="both"/>
        <w:rPr>
          <w:rFonts w:ascii="Verdana" w:hAnsi="Verdana"/>
        </w:rPr>
      </w:pPr>
      <w:r w:rsidRPr="00EC6B5F">
        <w:rPr>
          <w:rFonts w:ascii="Verdana" w:hAnsi="Verdana"/>
        </w:rPr>
        <w:t xml:space="preserve">En el punto dispositivo </w:t>
      </w:r>
      <w:r w:rsidR="00655FE5" w:rsidRPr="00EC6B5F">
        <w:rPr>
          <w:rFonts w:ascii="Verdana" w:hAnsi="Verdana"/>
        </w:rPr>
        <w:t>décimo</w:t>
      </w:r>
      <w:r w:rsidR="003E37C9" w:rsidRPr="00EC6B5F">
        <w:rPr>
          <w:rFonts w:ascii="Verdana" w:hAnsi="Verdana"/>
        </w:rPr>
        <w:t xml:space="preserve"> primero</w:t>
      </w:r>
      <w:r w:rsidR="00655FE5" w:rsidRPr="00EC6B5F">
        <w:rPr>
          <w:rFonts w:ascii="Verdana" w:hAnsi="Verdana"/>
        </w:rPr>
        <w:t xml:space="preserve"> de la Se</w:t>
      </w:r>
      <w:r w:rsidR="000125C3" w:rsidRPr="00EC6B5F">
        <w:rPr>
          <w:rFonts w:ascii="Verdana" w:hAnsi="Verdana"/>
        </w:rPr>
        <w:t>ntencia, la Corte dispuso</w:t>
      </w:r>
      <w:r w:rsidR="00EC6B5F" w:rsidRPr="00EC6B5F">
        <w:rPr>
          <w:rFonts w:ascii="Verdana" w:hAnsi="Verdana"/>
        </w:rPr>
        <w:t xml:space="preserve"> </w:t>
      </w:r>
      <w:r w:rsidR="000125C3" w:rsidRPr="00EC6B5F">
        <w:rPr>
          <w:rFonts w:ascii="Verdana" w:hAnsi="Verdana"/>
        </w:rPr>
        <w:t>que</w:t>
      </w:r>
      <w:r w:rsidR="00382D1C" w:rsidRPr="00EC6B5F">
        <w:rPr>
          <w:rFonts w:ascii="Verdana" w:hAnsi="Verdana"/>
        </w:rPr>
        <w:t xml:space="preserve"> </w:t>
      </w:r>
      <w:r w:rsidR="000125C3" w:rsidRPr="00EC6B5F">
        <w:rPr>
          <w:rFonts w:ascii="Verdana" w:hAnsi="Verdana"/>
        </w:rPr>
        <w:t>e</w:t>
      </w:r>
      <w:r w:rsidR="006C44C7" w:rsidRPr="00EC6B5F">
        <w:rPr>
          <w:rFonts w:ascii="Verdana" w:hAnsi="Verdana"/>
        </w:rPr>
        <w:t>l Estado debía</w:t>
      </w:r>
      <w:r w:rsidR="00655FE5" w:rsidRPr="00EC6B5F">
        <w:rPr>
          <w:rFonts w:ascii="Verdana" w:hAnsi="Verdana"/>
        </w:rPr>
        <w:t xml:space="preserve"> </w:t>
      </w:r>
      <w:r w:rsidR="00EC6B5F" w:rsidRPr="00EC6B5F">
        <w:rPr>
          <w:rFonts w:ascii="Verdana" w:hAnsi="Verdana"/>
        </w:rPr>
        <w:t>“pagar [a cada una de las 27 víctimas] las cantidades fijadas en los párrafos 248 a 252 y 261 de la […] Sentencia, por concepto de indemnizaciones por daños materiales e inmateriales, y [a los representantes de las víctimas] por el reintegro de costas y gastos”.</w:t>
      </w:r>
      <w:r w:rsidR="003F3CC1" w:rsidRPr="00EC6B5F">
        <w:rPr>
          <w:rFonts w:ascii="Verdana" w:hAnsi="Verdana"/>
        </w:rPr>
        <w:t xml:space="preserve"> </w:t>
      </w:r>
    </w:p>
    <w:p w:rsidR="000125C3" w:rsidRPr="003F3CC1" w:rsidRDefault="003F3CC1" w:rsidP="00C25115">
      <w:pPr>
        <w:widowControl/>
        <w:numPr>
          <w:ilvl w:val="0"/>
          <w:numId w:val="2"/>
        </w:numPr>
        <w:spacing w:before="120" w:after="120"/>
        <w:ind w:left="0" w:right="9" w:hanging="11"/>
        <w:jc w:val="both"/>
        <w:rPr>
          <w:rFonts w:ascii="Verdana" w:hAnsi="Verdana"/>
        </w:rPr>
      </w:pPr>
      <w:r w:rsidRPr="003F3CC1">
        <w:rPr>
          <w:rFonts w:ascii="Verdana" w:hAnsi="Verdana"/>
        </w:rPr>
        <w:t>En particular, la Corte dispuso que se debía pagar a las víctimas las cantidades fijadas en</w:t>
      </w:r>
      <w:r w:rsidR="000125C3" w:rsidRPr="003F3CC1">
        <w:rPr>
          <w:rFonts w:ascii="Verdana" w:hAnsi="Verdana"/>
        </w:rPr>
        <w:t xml:space="preserve"> los párrafos 248 a 252 de la Sentencia </w:t>
      </w:r>
      <w:r w:rsidR="006F507C" w:rsidRPr="003F3CC1">
        <w:rPr>
          <w:rFonts w:ascii="Verdana" w:hAnsi="Verdana"/>
        </w:rPr>
        <w:t>por concepto de daño material por las remuneraciones y</w:t>
      </w:r>
      <w:r w:rsidR="00FF1306" w:rsidRPr="003F3CC1">
        <w:rPr>
          <w:rFonts w:ascii="Verdana" w:hAnsi="Verdana"/>
        </w:rPr>
        <w:t xml:space="preserve"> beneficios dejados de percibir</w:t>
      </w:r>
      <w:r w:rsidR="000F0E5A" w:rsidRPr="003F3CC1">
        <w:rPr>
          <w:rFonts w:ascii="Verdana" w:hAnsi="Verdana"/>
        </w:rPr>
        <w:t xml:space="preserve"> hasta el 2008</w:t>
      </w:r>
      <w:r w:rsidR="006F507C" w:rsidRPr="003F3CC1">
        <w:rPr>
          <w:rFonts w:ascii="Verdana" w:hAnsi="Verdana"/>
        </w:rPr>
        <w:t>, a favor de las 27 víctimas</w:t>
      </w:r>
      <w:r w:rsidR="00D66673" w:rsidRPr="003F3CC1">
        <w:rPr>
          <w:rFonts w:ascii="Verdana" w:hAnsi="Verdana"/>
        </w:rPr>
        <w:t>, las cuales debían ser pagadas “en tres tractos equivalentes, estableciendo los días 30 de marzo de cada año como fecha de pago, a saber: el primer pago, el 30 de marzo de 2014, el segundo pago el 30 de marzo de 2015, y el tercer pago el 30 de marzo de 2016”</w:t>
      </w:r>
      <w:r w:rsidR="00D66673" w:rsidRPr="00FE0D3B">
        <w:rPr>
          <w:rStyle w:val="Refdenotaalpie"/>
          <w:rFonts w:ascii="Verdana" w:hAnsi="Verdana"/>
        </w:rPr>
        <w:footnoteReference w:id="18"/>
      </w:r>
      <w:r w:rsidR="00F74457" w:rsidRPr="003F3CC1">
        <w:rPr>
          <w:rFonts w:ascii="Verdana" w:hAnsi="Verdana"/>
        </w:rPr>
        <w:t>.</w:t>
      </w:r>
    </w:p>
    <w:p w:rsidR="00FE0D3B" w:rsidRPr="0095184D" w:rsidRDefault="00F74457" w:rsidP="0095184D">
      <w:pPr>
        <w:widowControl/>
        <w:numPr>
          <w:ilvl w:val="0"/>
          <w:numId w:val="2"/>
        </w:numPr>
        <w:spacing w:before="120" w:after="120"/>
        <w:ind w:left="0" w:right="9" w:hanging="11"/>
        <w:jc w:val="both"/>
        <w:rPr>
          <w:rFonts w:ascii="Verdana" w:hAnsi="Verdana"/>
        </w:rPr>
      </w:pPr>
      <w:r w:rsidRPr="0095184D">
        <w:rPr>
          <w:rFonts w:ascii="Verdana" w:hAnsi="Verdana"/>
        </w:rPr>
        <w:t xml:space="preserve">En la Resolución de </w:t>
      </w:r>
      <w:r w:rsidR="00753E80" w:rsidRPr="0095184D">
        <w:rPr>
          <w:rFonts w:ascii="Verdana" w:hAnsi="Verdana"/>
        </w:rPr>
        <w:t>octubre de 2016 la Corte constató que el Estado cumplió</w:t>
      </w:r>
      <w:r w:rsidR="00FE0D3B" w:rsidRPr="0095184D">
        <w:rPr>
          <w:rFonts w:ascii="Verdana" w:hAnsi="Verdana"/>
        </w:rPr>
        <w:t xml:space="preserve"> parcialmente</w:t>
      </w:r>
      <w:r w:rsidR="00753E80" w:rsidRPr="0095184D">
        <w:rPr>
          <w:rFonts w:ascii="Verdana" w:hAnsi="Verdana"/>
        </w:rPr>
        <w:t xml:space="preserve"> </w:t>
      </w:r>
      <w:r w:rsidR="00EC6B5F" w:rsidRPr="0095184D">
        <w:rPr>
          <w:rFonts w:ascii="Verdana" w:hAnsi="Verdana"/>
        </w:rPr>
        <w:t>con las reparaciones ordenadas en el punto dispositivo décimo primero de la Sentencia</w:t>
      </w:r>
      <w:r w:rsidR="00D77849">
        <w:rPr>
          <w:rFonts w:ascii="Verdana" w:hAnsi="Verdana"/>
        </w:rPr>
        <w:t>,</w:t>
      </w:r>
      <w:r w:rsidR="00EC6B5F" w:rsidRPr="0095184D">
        <w:rPr>
          <w:rFonts w:ascii="Verdana" w:hAnsi="Verdana"/>
        </w:rPr>
        <w:t xml:space="preserve"> </w:t>
      </w:r>
      <w:r w:rsidR="0095184D" w:rsidRPr="0095184D">
        <w:rPr>
          <w:rFonts w:ascii="Verdana" w:hAnsi="Verdana"/>
        </w:rPr>
        <w:t>ya que pagó las cantidades fijadas por concepto de indemnizaciones por daños materiales e inmateriales y por el reintegro de costas y gastos</w:t>
      </w:r>
      <w:r w:rsidR="0095184D">
        <w:rPr>
          <w:rStyle w:val="Refdenotaalpie"/>
          <w:rFonts w:ascii="Verdana" w:hAnsi="Verdana"/>
        </w:rPr>
        <w:footnoteReference w:id="19"/>
      </w:r>
      <w:r w:rsidR="0095184D" w:rsidRPr="0095184D">
        <w:rPr>
          <w:rFonts w:ascii="Verdana" w:hAnsi="Verdana"/>
        </w:rPr>
        <w:t>, quedando pendiente únicamente el cumplimiento del pago a las 27 víctimas o sus derechohabientes de los intereses moratorios adeudados por el pago tardío del tercer tracto de la indemnización por daño material</w:t>
      </w:r>
      <w:r w:rsidR="0095184D" w:rsidRPr="0095184D">
        <w:rPr>
          <w:rStyle w:val="Refdenotaalpie"/>
          <w:rFonts w:ascii="Verdana" w:hAnsi="Verdana"/>
        </w:rPr>
        <w:footnoteReference w:id="20"/>
      </w:r>
      <w:r w:rsidR="0095184D" w:rsidRPr="0095184D">
        <w:rPr>
          <w:rFonts w:ascii="Verdana" w:hAnsi="Verdana"/>
        </w:rPr>
        <w:t>. Al respecto</w:t>
      </w:r>
      <w:r w:rsidR="00FE0D3B" w:rsidRPr="0095184D">
        <w:rPr>
          <w:rFonts w:ascii="Verdana" w:hAnsi="Verdana"/>
        </w:rPr>
        <w:t xml:space="preserve">, </w:t>
      </w:r>
      <w:r w:rsidR="0095184D" w:rsidRPr="0095184D">
        <w:rPr>
          <w:rFonts w:ascii="Verdana" w:hAnsi="Verdana"/>
        </w:rPr>
        <w:t>se</w:t>
      </w:r>
      <w:r w:rsidR="00FE0D3B" w:rsidRPr="0095184D">
        <w:rPr>
          <w:rFonts w:ascii="Verdana" w:hAnsi="Verdana"/>
        </w:rPr>
        <w:t xml:space="preserve"> recordó al Estado que debía</w:t>
      </w:r>
      <w:r w:rsidR="00B43377" w:rsidRPr="0095184D">
        <w:rPr>
          <w:rFonts w:ascii="Verdana" w:hAnsi="Verdana"/>
        </w:rPr>
        <w:t xml:space="preserve"> continuar implementando las acciones necesarias para cumplir, a la mayor brevedad posible, con </w:t>
      </w:r>
      <w:r w:rsidR="007F6A24" w:rsidRPr="0095184D">
        <w:rPr>
          <w:rFonts w:ascii="Verdana" w:hAnsi="Verdana"/>
        </w:rPr>
        <w:t>el pago de los referidos intereses moratorios</w:t>
      </w:r>
      <w:r w:rsidR="00B43377" w:rsidRPr="0095184D">
        <w:rPr>
          <w:rFonts w:ascii="Verdana" w:hAnsi="Verdana"/>
        </w:rPr>
        <w:t xml:space="preserve">, y remitir información actualizada </w:t>
      </w:r>
      <w:r w:rsidR="007F6A24" w:rsidRPr="0095184D">
        <w:rPr>
          <w:rFonts w:ascii="Verdana" w:hAnsi="Verdana"/>
        </w:rPr>
        <w:t>y los comprobantes que acredit</w:t>
      </w:r>
      <w:r w:rsidR="00F7592A">
        <w:rPr>
          <w:rFonts w:ascii="Verdana" w:hAnsi="Verdana"/>
        </w:rPr>
        <w:t>aran</w:t>
      </w:r>
      <w:r w:rsidR="007F6A24" w:rsidRPr="0095184D">
        <w:rPr>
          <w:rFonts w:ascii="Verdana" w:hAnsi="Verdana"/>
        </w:rPr>
        <w:t xml:space="preserve"> el cumplimiento del referido aspecto de esta reparación</w:t>
      </w:r>
      <w:r w:rsidR="00FE0D3B" w:rsidRPr="0095184D">
        <w:rPr>
          <w:rFonts w:ascii="Verdana" w:hAnsi="Verdana"/>
        </w:rPr>
        <w:t>,</w:t>
      </w:r>
      <w:r w:rsidR="007F6A24" w:rsidRPr="0095184D">
        <w:rPr>
          <w:rFonts w:ascii="Verdana" w:hAnsi="Verdana"/>
        </w:rPr>
        <w:t xml:space="preserve"> que </w:t>
      </w:r>
      <w:r w:rsidR="00FE0D3B" w:rsidRPr="0095184D">
        <w:rPr>
          <w:rFonts w:ascii="Verdana" w:hAnsi="Verdana"/>
        </w:rPr>
        <w:t xml:space="preserve">es el único que se </w:t>
      </w:r>
      <w:r w:rsidR="007F6A24" w:rsidRPr="0095184D">
        <w:rPr>
          <w:rFonts w:ascii="Verdana" w:hAnsi="Verdana"/>
        </w:rPr>
        <w:t>encuentra pendiente</w:t>
      </w:r>
      <w:r w:rsidR="00B43377" w:rsidRPr="0095184D">
        <w:rPr>
          <w:rFonts w:ascii="Verdana" w:hAnsi="Verdana"/>
        </w:rPr>
        <w:t xml:space="preserve"> de cumplimiento</w:t>
      </w:r>
      <w:r w:rsidR="0095184D">
        <w:rPr>
          <w:rStyle w:val="Refdenotaalpie"/>
          <w:rFonts w:ascii="Verdana" w:hAnsi="Verdana"/>
        </w:rPr>
        <w:footnoteReference w:id="21"/>
      </w:r>
      <w:r w:rsidR="007F6A24" w:rsidRPr="0095184D">
        <w:rPr>
          <w:rFonts w:ascii="Verdana" w:hAnsi="Verdana"/>
        </w:rPr>
        <w:t>.</w:t>
      </w:r>
      <w:r w:rsidR="00B54C19" w:rsidRPr="0095184D">
        <w:rPr>
          <w:rFonts w:ascii="Verdana" w:hAnsi="Verdana"/>
        </w:rPr>
        <w:t xml:space="preserve"> </w:t>
      </w:r>
    </w:p>
    <w:p w:rsidR="00D12D05" w:rsidRDefault="00D12D05" w:rsidP="00D12D05">
      <w:pPr>
        <w:widowControl/>
        <w:spacing w:before="120" w:after="120"/>
        <w:ind w:right="9"/>
        <w:jc w:val="both"/>
        <w:rPr>
          <w:rFonts w:ascii="Verdana" w:hAnsi="Verdana"/>
        </w:rPr>
      </w:pPr>
    </w:p>
    <w:p w:rsidR="00D12D05" w:rsidRPr="00C30815" w:rsidRDefault="00D12D05" w:rsidP="00D12D05">
      <w:pPr>
        <w:widowControl/>
        <w:numPr>
          <w:ilvl w:val="0"/>
          <w:numId w:val="32"/>
        </w:numPr>
        <w:spacing w:after="120"/>
        <w:jc w:val="both"/>
        <w:rPr>
          <w:rFonts w:ascii="Verdana" w:hAnsi="Verdana"/>
          <w:b/>
          <w:i/>
        </w:rPr>
      </w:pPr>
      <w:r w:rsidRPr="00C30815">
        <w:rPr>
          <w:rFonts w:ascii="Verdana" w:hAnsi="Verdana"/>
          <w:b/>
          <w:i/>
        </w:rPr>
        <w:t>Consideraciones de la Corte</w:t>
      </w:r>
    </w:p>
    <w:p w:rsidR="00FC1462" w:rsidRDefault="007437FF" w:rsidP="000D078F">
      <w:pPr>
        <w:widowControl/>
        <w:numPr>
          <w:ilvl w:val="0"/>
          <w:numId w:val="2"/>
        </w:numPr>
        <w:spacing w:before="120" w:after="120"/>
        <w:ind w:left="0" w:right="9" w:firstLine="0"/>
        <w:jc w:val="both"/>
        <w:rPr>
          <w:rFonts w:ascii="Verdana" w:hAnsi="Verdana"/>
        </w:rPr>
      </w:pPr>
      <w:r>
        <w:rPr>
          <w:rFonts w:ascii="Verdana" w:hAnsi="Verdana"/>
        </w:rPr>
        <w:t>Con base en la información aportada por el Estado en marzo</w:t>
      </w:r>
      <w:r w:rsidR="001B648B">
        <w:rPr>
          <w:rFonts w:ascii="Verdana" w:hAnsi="Verdana"/>
        </w:rPr>
        <w:t xml:space="preserve"> y julio</w:t>
      </w:r>
      <w:r>
        <w:rPr>
          <w:rFonts w:ascii="Verdana" w:hAnsi="Verdana"/>
        </w:rPr>
        <w:t xml:space="preserve"> de 2017</w:t>
      </w:r>
      <w:r w:rsidR="001B648B">
        <w:rPr>
          <w:rStyle w:val="Refdenotaalpie"/>
          <w:rFonts w:ascii="Verdana" w:hAnsi="Verdana"/>
        </w:rPr>
        <w:footnoteReference w:id="22"/>
      </w:r>
      <w:r>
        <w:rPr>
          <w:rFonts w:ascii="Verdana" w:hAnsi="Verdana"/>
        </w:rPr>
        <w:t xml:space="preserve"> y los comprobantes de pago pr</w:t>
      </w:r>
      <w:r w:rsidR="001B648B">
        <w:rPr>
          <w:rFonts w:ascii="Verdana" w:hAnsi="Verdana"/>
        </w:rPr>
        <w:t>esentados en noviembre de 2018</w:t>
      </w:r>
      <w:r w:rsidR="004D23CF">
        <w:rPr>
          <w:rStyle w:val="Refdenotaalpie"/>
          <w:rFonts w:ascii="Verdana" w:hAnsi="Verdana"/>
        </w:rPr>
        <w:footnoteReference w:id="23"/>
      </w:r>
      <w:r w:rsidR="001B648B">
        <w:rPr>
          <w:rFonts w:ascii="Verdana" w:hAnsi="Verdana"/>
        </w:rPr>
        <w:t xml:space="preserve">, así como lo observado </w:t>
      </w:r>
      <w:r w:rsidR="001B648B" w:rsidRPr="00682C61">
        <w:rPr>
          <w:rFonts w:ascii="Verdana" w:hAnsi="Verdana"/>
        </w:rPr>
        <w:t xml:space="preserve">por los representantes de las víctimas en el sentido de que </w:t>
      </w:r>
      <w:r w:rsidR="006B47E7" w:rsidRPr="00682C61">
        <w:rPr>
          <w:rFonts w:ascii="Verdana" w:hAnsi="Verdana"/>
        </w:rPr>
        <w:t>sus</w:t>
      </w:r>
      <w:r w:rsidR="00682C61">
        <w:rPr>
          <w:rFonts w:ascii="Verdana" w:hAnsi="Verdana"/>
        </w:rPr>
        <w:t xml:space="preserve"> </w:t>
      </w:r>
      <w:r w:rsidR="001B648B" w:rsidRPr="00682C61">
        <w:rPr>
          <w:rFonts w:ascii="Verdana" w:hAnsi="Verdana"/>
        </w:rPr>
        <w:t>“</w:t>
      </w:r>
      <w:r w:rsidR="006B47E7" w:rsidRPr="00682C61">
        <w:rPr>
          <w:rFonts w:ascii="Verdana" w:hAnsi="Verdana"/>
        </w:rPr>
        <w:t xml:space="preserve">representados </w:t>
      </w:r>
      <w:r w:rsidR="004D23CF" w:rsidRPr="00682C61">
        <w:rPr>
          <w:rFonts w:ascii="Verdana" w:hAnsi="Verdana"/>
        </w:rPr>
        <w:t>recibieron en sus cuentas bancarias los montos adeudados por interese</w:t>
      </w:r>
      <w:r w:rsidR="0069431C">
        <w:rPr>
          <w:rFonts w:ascii="Verdana" w:hAnsi="Verdana"/>
        </w:rPr>
        <w:t>s</w:t>
      </w:r>
      <w:r w:rsidR="004D23CF" w:rsidRPr="00682C61">
        <w:rPr>
          <w:rFonts w:ascii="Verdana" w:hAnsi="Verdana"/>
        </w:rPr>
        <w:t xml:space="preserve"> moratorios</w:t>
      </w:r>
      <w:r w:rsidR="001B648B" w:rsidRPr="00682C61">
        <w:rPr>
          <w:rFonts w:ascii="Verdana" w:hAnsi="Verdana"/>
        </w:rPr>
        <w:t xml:space="preserve">”, </w:t>
      </w:r>
      <w:r w:rsidRPr="00682C61">
        <w:rPr>
          <w:rFonts w:ascii="Verdana" w:hAnsi="Verdana"/>
        </w:rPr>
        <w:t>el Tribunal constata</w:t>
      </w:r>
      <w:r>
        <w:rPr>
          <w:rFonts w:ascii="Verdana" w:hAnsi="Verdana"/>
        </w:rPr>
        <w:t xml:space="preserve"> que </w:t>
      </w:r>
      <w:r w:rsidR="006B47E7">
        <w:rPr>
          <w:rFonts w:ascii="Verdana" w:hAnsi="Verdana"/>
        </w:rPr>
        <w:t xml:space="preserve">Ecuador pagó a las 27 víctimas del presente caso o sus derechohabientes los </w:t>
      </w:r>
      <w:r w:rsidR="006B47E7" w:rsidRPr="00E661F4">
        <w:rPr>
          <w:rFonts w:ascii="Verdana" w:hAnsi="Verdana"/>
        </w:rPr>
        <w:t xml:space="preserve">intereses moratorios </w:t>
      </w:r>
      <w:r w:rsidR="004D5566">
        <w:rPr>
          <w:rFonts w:ascii="Verdana" w:hAnsi="Verdana"/>
        </w:rPr>
        <w:t>correspondientes al</w:t>
      </w:r>
      <w:r w:rsidR="006B47E7" w:rsidRPr="00E661F4">
        <w:rPr>
          <w:rFonts w:ascii="Verdana" w:hAnsi="Verdana"/>
        </w:rPr>
        <w:t xml:space="preserve"> pago tardío del tercer tracto de la indemnización por daño material.</w:t>
      </w:r>
    </w:p>
    <w:p w:rsidR="006B47E7" w:rsidRPr="00FC1462" w:rsidRDefault="006B47E7" w:rsidP="000D078F">
      <w:pPr>
        <w:widowControl/>
        <w:numPr>
          <w:ilvl w:val="0"/>
          <w:numId w:val="2"/>
        </w:numPr>
        <w:spacing w:before="120" w:after="120"/>
        <w:ind w:left="0" w:right="9" w:hanging="11"/>
        <w:jc w:val="both"/>
        <w:rPr>
          <w:rFonts w:ascii="Verdana" w:hAnsi="Verdana"/>
        </w:rPr>
      </w:pPr>
      <w:r>
        <w:rPr>
          <w:rFonts w:ascii="Verdana" w:hAnsi="Verdana"/>
        </w:rPr>
        <w:t xml:space="preserve">En consecuencia, el Estado </w:t>
      </w:r>
      <w:r w:rsidR="00176315" w:rsidRPr="006B47E7">
        <w:rPr>
          <w:rFonts w:ascii="Verdana" w:hAnsi="Verdana"/>
        </w:rPr>
        <w:t>ha dado cumplimiento total a la medida de reparación relativa a pagar las cantidades fijadas en los párrafos 248 a 252 de la Sentencia, por concepto de indemnización por daño material</w:t>
      </w:r>
      <w:r w:rsidR="00176315">
        <w:rPr>
          <w:rFonts w:ascii="Verdana" w:hAnsi="Verdana"/>
        </w:rPr>
        <w:t>, ordenada en</w:t>
      </w:r>
      <w:r w:rsidR="00176315" w:rsidRPr="006B47E7">
        <w:rPr>
          <w:rFonts w:ascii="Verdana" w:hAnsi="Verdana"/>
        </w:rPr>
        <w:t xml:space="preserve"> </w:t>
      </w:r>
      <w:r>
        <w:rPr>
          <w:rFonts w:ascii="Verdana" w:hAnsi="Verdana"/>
        </w:rPr>
        <w:t>el punto dispositivo décimo primero de la Sentencia.</w:t>
      </w:r>
    </w:p>
    <w:p w:rsidR="000F0E5A" w:rsidRDefault="000F0E5A" w:rsidP="003730E7">
      <w:pPr>
        <w:widowControl/>
        <w:autoSpaceDE w:val="0"/>
        <w:autoSpaceDN w:val="0"/>
        <w:adjustRightInd w:val="0"/>
        <w:spacing w:before="120" w:after="120"/>
        <w:jc w:val="both"/>
        <w:rPr>
          <w:rFonts w:ascii="Verdana" w:hAnsi="Verdana"/>
          <w:b/>
        </w:rPr>
      </w:pPr>
    </w:p>
    <w:p w:rsidR="007F0C22" w:rsidRPr="00877B3A" w:rsidRDefault="007F0C22" w:rsidP="003730E7">
      <w:pPr>
        <w:widowControl/>
        <w:autoSpaceDE w:val="0"/>
        <w:autoSpaceDN w:val="0"/>
        <w:adjustRightInd w:val="0"/>
        <w:spacing w:before="120" w:after="120"/>
        <w:jc w:val="both"/>
        <w:rPr>
          <w:rFonts w:ascii="Verdana" w:hAnsi="Verdana"/>
          <w:b/>
        </w:rPr>
      </w:pPr>
      <w:r w:rsidRPr="00877B3A">
        <w:rPr>
          <w:rFonts w:ascii="Verdana" w:hAnsi="Verdana"/>
          <w:b/>
        </w:rPr>
        <w:t xml:space="preserve">POR TANTO: </w:t>
      </w:r>
    </w:p>
    <w:p w:rsidR="007F0C22" w:rsidRPr="00877B3A" w:rsidRDefault="007F0C22" w:rsidP="003730E7">
      <w:pPr>
        <w:widowControl/>
        <w:autoSpaceDE w:val="0"/>
        <w:autoSpaceDN w:val="0"/>
        <w:adjustRightInd w:val="0"/>
        <w:spacing w:before="120" w:after="120"/>
        <w:jc w:val="both"/>
        <w:rPr>
          <w:rFonts w:ascii="Verdana" w:hAnsi="Verdana"/>
        </w:rPr>
      </w:pPr>
      <w:r w:rsidRPr="00877B3A">
        <w:rPr>
          <w:rFonts w:ascii="Verdana" w:hAnsi="Verdana"/>
          <w:b/>
        </w:rPr>
        <w:t>LA CORTE INTERAMERICANA DE DERECHOS HUMANOS,</w:t>
      </w:r>
      <w:r w:rsidRPr="00877B3A">
        <w:rPr>
          <w:rFonts w:ascii="Verdana" w:hAnsi="Verdana"/>
        </w:rPr>
        <w:t xml:space="preserve"> </w:t>
      </w:r>
    </w:p>
    <w:p w:rsidR="000B3D22" w:rsidRDefault="000851AB" w:rsidP="003730E7">
      <w:pPr>
        <w:widowControl/>
        <w:autoSpaceDE w:val="0"/>
        <w:autoSpaceDN w:val="0"/>
        <w:adjustRightInd w:val="0"/>
        <w:spacing w:before="120" w:after="120"/>
        <w:jc w:val="both"/>
        <w:rPr>
          <w:rFonts w:ascii="Verdana" w:hAnsi="Verdana"/>
        </w:rPr>
      </w:pPr>
      <w:r>
        <w:rPr>
          <w:rFonts w:ascii="Verdana" w:hAnsi="Verdana"/>
        </w:rPr>
        <w:t>e</w:t>
      </w:r>
      <w:r w:rsidR="00C056AD" w:rsidRPr="00877B3A">
        <w:rPr>
          <w:rFonts w:ascii="Verdana" w:hAnsi="Verdana"/>
        </w:rPr>
        <w:t>n el ejercicio de sus atribuciones de supervisión del cumplimiento de sus decisiones, de conformidad con los artículos 33, 62.1, 62.3, 65, 67 y 68.1 de la Convención Americana sobre Derechos Humanos, 24, 25 y 30 del Estatuto,</w:t>
      </w:r>
      <w:r w:rsidR="00C056AD" w:rsidRPr="00C056AD">
        <w:rPr>
          <w:rFonts w:ascii="Verdana" w:hAnsi="Verdana"/>
        </w:rPr>
        <w:t xml:space="preserve"> y 31.2 y 69 de su Reglamento, </w:t>
      </w:r>
    </w:p>
    <w:p w:rsidR="00E23EE3" w:rsidRDefault="00E23EE3" w:rsidP="003730E7">
      <w:pPr>
        <w:widowControl/>
        <w:autoSpaceDE w:val="0"/>
        <w:autoSpaceDN w:val="0"/>
        <w:adjustRightInd w:val="0"/>
        <w:spacing w:before="120" w:after="120"/>
        <w:jc w:val="both"/>
        <w:rPr>
          <w:rFonts w:ascii="Verdana" w:hAnsi="Verdana"/>
          <w:b/>
        </w:rPr>
      </w:pPr>
    </w:p>
    <w:p w:rsidR="007F0C22" w:rsidRDefault="007F0C22" w:rsidP="003730E7">
      <w:pPr>
        <w:widowControl/>
        <w:autoSpaceDE w:val="0"/>
        <w:autoSpaceDN w:val="0"/>
        <w:adjustRightInd w:val="0"/>
        <w:spacing w:before="120" w:after="120"/>
        <w:jc w:val="both"/>
        <w:rPr>
          <w:rFonts w:ascii="Verdana" w:hAnsi="Verdana"/>
          <w:b/>
        </w:rPr>
      </w:pPr>
      <w:r>
        <w:rPr>
          <w:rFonts w:ascii="Verdana" w:hAnsi="Verdana"/>
          <w:b/>
        </w:rPr>
        <w:t>RESUELVE:</w:t>
      </w:r>
    </w:p>
    <w:p w:rsidR="0046251D" w:rsidRPr="0046251D" w:rsidRDefault="00C61DD5" w:rsidP="0046251D">
      <w:pPr>
        <w:widowControl/>
        <w:numPr>
          <w:ilvl w:val="0"/>
          <w:numId w:val="35"/>
        </w:numPr>
        <w:spacing w:before="120" w:after="120"/>
        <w:ind w:left="0" w:right="9" w:firstLine="0"/>
        <w:jc w:val="both"/>
        <w:rPr>
          <w:rFonts w:ascii="Verdana" w:hAnsi="Verdana"/>
        </w:rPr>
      </w:pPr>
      <w:r w:rsidRPr="006B47E7">
        <w:rPr>
          <w:rFonts w:ascii="Verdana" w:hAnsi="Verdana"/>
        </w:rPr>
        <w:t xml:space="preserve">Declarar, de conformidad con lo señalado en </w:t>
      </w:r>
      <w:r w:rsidR="006B47E7" w:rsidRPr="006B47E7">
        <w:rPr>
          <w:rFonts w:ascii="Verdana" w:hAnsi="Verdana"/>
        </w:rPr>
        <w:t>los</w:t>
      </w:r>
      <w:r w:rsidRPr="006B47E7">
        <w:rPr>
          <w:rFonts w:ascii="Verdana" w:hAnsi="Verdana"/>
        </w:rPr>
        <w:t xml:space="preserve"> Considerandos </w:t>
      </w:r>
      <w:r w:rsidR="000D078F">
        <w:rPr>
          <w:rFonts w:ascii="Verdana" w:hAnsi="Verdana"/>
        </w:rPr>
        <w:t>7 y 8</w:t>
      </w:r>
      <w:r w:rsidRPr="006B47E7">
        <w:rPr>
          <w:rFonts w:ascii="Verdana" w:hAnsi="Verdana"/>
        </w:rPr>
        <w:t xml:space="preserve"> de la presente </w:t>
      </w:r>
      <w:r w:rsidR="000851AB">
        <w:rPr>
          <w:rFonts w:ascii="Verdana" w:hAnsi="Verdana"/>
        </w:rPr>
        <w:t>R</w:t>
      </w:r>
      <w:r w:rsidRPr="006B47E7">
        <w:rPr>
          <w:rFonts w:ascii="Verdana" w:hAnsi="Verdana"/>
        </w:rPr>
        <w:t>esolución, que el Estado</w:t>
      </w:r>
      <w:r w:rsidR="0080460C">
        <w:rPr>
          <w:rFonts w:ascii="Verdana" w:hAnsi="Verdana"/>
        </w:rPr>
        <w:t xml:space="preserve"> ha dado cumplimiento total a</w:t>
      </w:r>
      <w:r w:rsidRPr="006B47E7">
        <w:rPr>
          <w:rFonts w:ascii="Verdana" w:hAnsi="Verdana"/>
        </w:rPr>
        <w:t xml:space="preserve"> </w:t>
      </w:r>
      <w:r w:rsidR="0080460C" w:rsidRPr="006B47E7">
        <w:rPr>
          <w:rFonts w:ascii="Verdana" w:hAnsi="Verdana"/>
        </w:rPr>
        <w:t>la medida de reparación relativa a pagar las cantidades fijadas en los párrafos 248 a 252 de la Sentencia, por concepto de indemnización por daño material</w:t>
      </w:r>
      <w:r w:rsidR="0080460C">
        <w:rPr>
          <w:rFonts w:ascii="Verdana" w:hAnsi="Verdana"/>
        </w:rPr>
        <w:t xml:space="preserve"> </w:t>
      </w:r>
      <w:r w:rsidR="00C056AD" w:rsidRPr="0080460C">
        <w:rPr>
          <w:rFonts w:ascii="Verdana" w:hAnsi="Verdana"/>
          <w:i/>
        </w:rPr>
        <w:t>(punto dispositivo décimo primero</w:t>
      </w:r>
      <w:r w:rsidR="00A10C9E" w:rsidRPr="0080460C">
        <w:rPr>
          <w:rFonts w:ascii="Verdana" w:hAnsi="Verdana"/>
          <w:i/>
        </w:rPr>
        <w:t xml:space="preserve"> de la Sentencia</w:t>
      </w:r>
      <w:r w:rsidR="00C056AD" w:rsidRPr="0080460C">
        <w:rPr>
          <w:rFonts w:ascii="Verdana" w:hAnsi="Verdana"/>
          <w:i/>
        </w:rPr>
        <w:t>)</w:t>
      </w:r>
      <w:r w:rsidR="006B47E7" w:rsidRPr="0080460C">
        <w:rPr>
          <w:rFonts w:ascii="Verdana" w:hAnsi="Verdana"/>
          <w:i/>
        </w:rPr>
        <w:t>.</w:t>
      </w:r>
    </w:p>
    <w:p w:rsidR="0046251D" w:rsidRDefault="006B47E7" w:rsidP="0046251D">
      <w:pPr>
        <w:widowControl/>
        <w:numPr>
          <w:ilvl w:val="0"/>
          <w:numId w:val="35"/>
        </w:numPr>
        <w:spacing w:before="120" w:after="120"/>
        <w:ind w:left="0" w:right="9" w:firstLine="0"/>
        <w:jc w:val="both"/>
        <w:rPr>
          <w:rFonts w:ascii="Verdana" w:hAnsi="Verdana"/>
        </w:rPr>
      </w:pPr>
      <w:r w:rsidRPr="0046251D">
        <w:rPr>
          <w:rFonts w:ascii="Verdana" w:hAnsi="Verdana"/>
        </w:rPr>
        <w:t xml:space="preserve">Dar por concluido el caso </w:t>
      </w:r>
      <w:r w:rsidRPr="0046251D">
        <w:rPr>
          <w:rFonts w:ascii="Verdana" w:hAnsi="Verdana"/>
          <w:i/>
        </w:rPr>
        <w:t>de la Corte Suprema de Justicia (Quintana Coello y otros)</w:t>
      </w:r>
      <w:r w:rsidRPr="0046251D">
        <w:rPr>
          <w:rFonts w:ascii="Verdana" w:hAnsi="Verdana"/>
        </w:rPr>
        <w:t xml:space="preserve">, dado que la República del Ecuador ha dado cumplimiento a lo dispuesto en la Sentencia </w:t>
      </w:r>
      <w:r w:rsidR="0046251D">
        <w:rPr>
          <w:rFonts w:ascii="Verdana" w:hAnsi="Verdana"/>
        </w:rPr>
        <w:t xml:space="preserve">de excepción preliminar, fondo, reparaciones y costas </w:t>
      </w:r>
      <w:r w:rsidRPr="0046251D">
        <w:rPr>
          <w:rFonts w:ascii="Verdana" w:hAnsi="Verdana"/>
        </w:rPr>
        <w:t>emitida por la Corte el 23 de agosto de 2013.</w:t>
      </w:r>
    </w:p>
    <w:p w:rsidR="0046251D" w:rsidRDefault="006B47E7" w:rsidP="0046251D">
      <w:pPr>
        <w:widowControl/>
        <w:numPr>
          <w:ilvl w:val="0"/>
          <w:numId w:val="35"/>
        </w:numPr>
        <w:spacing w:before="120" w:after="120"/>
        <w:ind w:left="0" w:right="9" w:firstLine="0"/>
        <w:jc w:val="both"/>
        <w:rPr>
          <w:rFonts w:ascii="Verdana" w:hAnsi="Verdana"/>
        </w:rPr>
      </w:pPr>
      <w:r w:rsidRPr="0046251D">
        <w:rPr>
          <w:rFonts w:ascii="Verdana" w:hAnsi="Verdana"/>
        </w:rPr>
        <w:t>Comunicar esta Resolución a la Asamblea General de la Organización de los Estados Americanos por conducto del Informe Anual de la Corte Interamericana de Derechos Humanos del año 2019.</w:t>
      </w:r>
    </w:p>
    <w:p w:rsidR="0046251D" w:rsidRDefault="000963B2" w:rsidP="0046251D">
      <w:pPr>
        <w:widowControl/>
        <w:numPr>
          <w:ilvl w:val="0"/>
          <w:numId w:val="35"/>
        </w:numPr>
        <w:spacing w:before="120" w:after="120"/>
        <w:ind w:left="0" w:right="9" w:firstLine="0"/>
        <w:jc w:val="both"/>
        <w:rPr>
          <w:rFonts w:ascii="Verdana" w:hAnsi="Verdana"/>
        </w:rPr>
      </w:pPr>
      <w:r w:rsidRPr="0046251D">
        <w:rPr>
          <w:rFonts w:ascii="Verdana" w:hAnsi="Verdana"/>
        </w:rPr>
        <w:t>Disponer que la Secretaría de la Corte notifique la presente Resolución al Estado, a</w:t>
      </w:r>
      <w:r w:rsidR="00F67910" w:rsidRPr="0046251D">
        <w:rPr>
          <w:rFonts w:ascii="Verdana" w:hAnsi="Verdana"/>
        </w:rPr>
        <w:t xml:space="preserve"> </w:t>
      </w:r>
      <w:r w:rsidRPr="0046251D">
        <w:rPr>
          <w:rFonts w:ascii="Verdana" w:hAnsi="Verdana"/>
        </w:rPr>
        <w:t>l</w:t>
      </w:r>
      <w:r w:rsidR="00F67910" w:rsidRPr="0046251D">
        <w:rPr>
          <w:rFonts w:ascii="Verdana" w:hAnsi="Verdana"/>
        </w:rPr>
        <w:t>os</w:t>
      </w:r>
      <w:r w:rsidRPr="0046251D">
        <w:rPr>
          <w:rFonts w:ascii="Verdana" w:hAnsi="Verdana"/>
        </w:rPr>
        <w:t xml:space="preserve"> representante</w:t>
      </w:r>
      <w:r w:rsidR="00F67910" w:rsidRPr="0046251D">
        <w:rPr>
          <w:rFonts w:ascii="Verdana" w:hAnsi="Verdana"/>
        </w:rPr>
        <w:t>s</w:t>
      </w:r>
      <w:r w:rsidRPr="0046251D">
        <w:rPr>
          <w:rFonts w:ascii="Verdana" w:hAnsi="Verdana"/>
        </w:rPr>
        <w:t xml:space="preserve"> de la</w:t>
      </w:r>
      <w:r w:rsidR="00F67910" w:rsidRPr="0046251D">
        <w:rPr>
          <w:rFonts w:ascii="Verdana" w:hAnsi="Verdana"/>
        </w:rPr>
        <w:t>s</w:t>
      </w:r>
      <w:r w:rsidRPr="0046251D">
        <w:rPr>
          <w:rFonts w:ascii="Verdana" w:hAnsi="Verdana"/>
        </w:rPr>
        <w:t xml:space="preserve"> víctima</w:t>
      </w:r>
      <w:r w:rsidR="00F67910" w:rsidRPr="0046251D">
        <w:rPr>
          <w:rFonts w:ascii="Verdana" w:hAnsi="Verdana"/>
        </w:rPr>
        <w:t>s</w:t>
      </w:r>
      <w:r w:rsidRPr="0046251D">
        <w:rPr>
          <w:rFonts w:ascii="Verdana" w:hAnsi="Verdana"/>
        </w:rPr>
        <w:t xml:space="preserve"> y a la Comisión Interamericana de Derechos Humanos. </w:t>
      </w:r>
    </w:p>
    <w:p w:rsidR="007A23F0" w:rsidRDefault="006B47E7" w:rsidP="0046251D">
      <w:pPr>
        <w:widowControl/>
        <w:numPr>
          <w:ilvl w:val="0"/>
          <w:numId w:val="35"/>
        </w:numPr>
        <w:spacing w:before="120" w:after="120"/>
        <w:ind w:left="0" w:right="9" w:firstLine="0"/>
        <w:jc w:val="both"/>
        <w:rPr>
          <w:rFonts w:ascii="Verdana" w:hAnsi="Verdana"/>
        </w:rPr>
      </w:pPr>
      <w:r w:rsidRPr="0046251D">
        <w:rPr>
          <w:rFonts w:ascii="Verdana" w:hAnsi="Verdana"/>
        </w:rPr>
        <w:t>Archivar el expediente del presente caso.</w:t>
      </w:r>
    </w:p>
    <w:p w:rsidR="00EB1B40" w:rsidRPr="00847B73" w:rsidRDefault="00EB1B40" w:rsidP="00EB1B40">
      <w:pPr>
        <w:keepNext/>
        <w:jc w:val="both"/>
        <w:outlineLvl w:val="0"/>
        <w:rPr>
          <w:rFonts w:ascii="Verdana" w:hAnsi="Verdana" w:cs="Verdana"/>
          <w:b/>
          <w:bCs/>
          <w:lang w:val="es-ES"/>
        </w:rPr>
      </w:pPr>
      <w:r w:rsidRPr="00847B73">
        <w:rPr>
          <w:rFonts w:ascii="Verdana" w:hAnsi="Verdana" w:cs="Courier New"/>
          <w:noProof/>
          <w:lang w:val="es-AR"/>
        </w:rPr>
        <w:t xml:space="preserve">Corte IDH. </w:t>
      </w:r>
      <w:r w:rsidRPr="00847B73">
        <w:rPr>
          <w:rFonts w:ascii="Verdana" w:hAnsi="Verdana"/>
          <w:bCs/>
          <w:i/>
          <w:lang w:val="es-CR"/>
        </w:rPr>
        <w:t xml:space="preserve">Caso </w:t>
      </w:r>
      <w:r>
        <w:rPr>
          <w:rFonts w:ascii="Verdana" w:hAnsi="Verdana"/>
          <w:bCs/>
          <w:i/>
          <w:lang w:val="es-CR"/>
        </w:rPr>
        <w:t>de la Corte Suprema de Justicia (Quintana Coello y otros)</w:t>
      </w:r>
      <w:r w:rsidRPr="00847B73">
        <w:rPr>
          <w:rFonts w:ascii="Verdana" w:hAnsi="Verdana"/>
          <w:bCs/>
          <w:i/>
          <w:lang w:val="es-CR"/>
        </w:rPr>
        <w:t xml:space="preserve"> Vs. </w:t>
      </w:r>
      <w:r>
        <w:rPr>
          <w:rFonts w:ascii="Verdana" w:hAnsi="Verdana"/>
          <w:bCs/>
          <w:i/>
          <w:lang w:val="es-CR"/>
        </w:rPr>
        <w:t>Ecuador</w:t>
      </w:r>
      <w:r w:rsidRPr="00847B73">
        <w:rPr>
          <w:rFonts w:ascii="Verdana" w:hAnsi="Verdana"/>
          <w:i/>
          <w:lang w:val="es-ES"/>
        </w:rPr>
        <w:t>.</w:t>
      </w:r>
      <w:r w:rsidRPr="00847B73">
        <w:rPr>
          <w:rFonts w:ascii="Verdana" w:hAnsi="Verdana" w:cs="Arial"/>
          <w:i/>
          <w:lang w:val="es-CR"/>
        </w:rPr>
        <w:t xml:space="preserve"> </w:t>
      </w:r>
      <w:r>
        <w:rPr>
          <w:rFonts w:ascii="Verdana" w:hAnsi="Verdana" w:cs="Arial"/>
          <w:lang w:val="es-CR"/>
        </w:rPr>
        <w:t>Supervisión de Cumplimiento de Sentencia</w:t>
      </w:r>
      <w:r w:rsidRPr="00847B73">
        <w:rPr>
          <w:rFonts w:ascii="Verdana" w:hAnsi="Verdana" w:cs="Arial"/>
          <w:i/>
          <w:lang w:val="es-CR"/>
        </w:rPr>
        <w:t xml:space="preserve">. </w:t>
      </w:r>
      <w:r w:rsidRPr="00847B73">
        <w:rPr>
          <w:rFonts w:ascii="Verdana" w:hAnsi="Verdana"/>
          <w:lang w:val="es-ES"/>
        </w:rPr>
        <w:t>Resolución de la Corte Interamericana de Derechos Humanos de 30</w:t>
      </w:r>
      <w:r w:rsidRPr="00847B73">
        <w:rPr>
          <w:rFonts w:ascii="Verdana" w:hAnsi="Verdana"/>
          <w:lang w:val="es-CR"/>
        </w:rPr>
        <w:t xml:space="preserve"> de enero de 2019</w:t>
      </w:r>
      <w:r w:rsidRPr="00847B73">
        <w:rPr>
          <w:rFonts w:ascii="Verdana" w:hAnsi="Verdana"/>
          <w:lang w:val="es-ES"/>
        </w:rPr>
        <w:t xml:space="preserve">. </w:t>
      </w:r>
    </w:p>
    <w:p w:rsidR="00EB1B40" w:rsidRPr="00847B73" w:rsidRDefault="00EB1B40" w:rsidP="00EB1B40">
      <w:pPr>
        <w:jc w:val="center"/>
        <w:rPr>
          <w:rFonts w:ascii="Verdana" w:hAnsi="Verdana"/>
          <w:lang w:val="es-ES"/>
        </w:rPr>
      </w:pPr>
    </w:p>
    <w:p w:rsidR="00EB1B40" w:rsidRPr="00847B73" w:rsidRDefault="00EB1B40" w:rsidP="00EB1B40">
      <w:pPr>
        <w:jc w:val="center"/>
        <w:rPr>
          <w:rFonts w:ascii="Verdana" w:hAnsi="Verdana"/>
          <w:lang w:val="es-ES"/>
        </w:rPr>
      </w:pPr>
    </w:p>
    <w:p w:rsidR="00EB1B40" w:rsidRPr="00847B73" w:rsidRDefault="00EB1B40" w:rsidP="00EB1B40">
      <w:pPr>
        <w:jc w:val="center"/>
        <w:rPr>
          <w:rFonts w:ascii="Verdana" w:hAnsi="Verdana"/>
          <w:lang w:val="pt-BR"/>
        </w:rPr>
      </w:pPr>
      <w:r w:rsidRPr="00847B73">
        <w:rPr>
          <w:rFonts w:ascii="Verdana" w:hAnsi="Verdana"/>
          <w:lang w:val="pt-BR"/>
        </w:rPr>
        <w:t xml:space="preserve">Eduardo Ferrer Mac-Gregor Poisot </w:t>
      </w:r>
    </w:p>
    <w:p w:rsidR="00EB1B40" w:rsidRPr="00847B73" w:rsidRDefault="00EB1B40" w:rsidP="00EB1B40">
      <w:pPr>
        <w:jc w:val="center"/>
        <w:rPr>
          <w:rFonts w:ascii="Verdana" w:hAnsi="Verdana"/>
          <w:lang w:val="pt-BR"/>
        </w:rPr>
      </w:pPr>
      <w:r w:rsidRPr="00847B73">
        <w:rPr>
          <w:rFonts w:ascii="Verdana" w:hAnsi="Verdana"/>
          <w:lang w:val="pt-BR"/>
        </w:rPr>
        <w:t>Presidente</w:t>
      </w:r>
    </w:p>
    <w:p w:rsidR="00EB1B40" w:rsidRPr="00847B73" w:rsidRDefault="00EB1B40" w:rsidP="00EB1B40">
      <w:pPr>
        <w:jc w:val="both"/>
        <w:rPr>
          <w:rFonts w:ascii="Verdana" w:hAnsi="Verdana"/>
          <w:lang w:val="pt-BR"/>
        </w:rPr>
      </w:pPr>
    </w:p>
    <w:p w:rsidR="00EB1B40" w:rsidRPr="00847B73" w:rsidRDefault="00EB1B40" w:rsidP="00EB1B40">
      <w:pPr>
        <w:jc w:val="both"/>
        <w:rPr>
          <w:rFonts w:ascii="Verdana" w:hAnsi="Verdana"/>
          <w:lang w:val="pt-BR"/>
        </w:rPr>
      </w:pPr>
    </w:p>
    <w:p w:rsidR="00EB1B40" w:rsidRDefault="00EB1B40" w:rsidP="00EB1B40">
      <w:pPr>
        <w:rPr>
          <w:rFonts w:ascii="Verdana" w:hAnsi="Verdana"/>
          <w:lang w:val="pt-BR"/>
        </w:rPr>
      </w:pPr>
      <w:r w:rsidRPr="00847B73">
        <w:rPr>
          <w:rFonts w:ascii="Verdana" w:hAnsi="Verdana"/>
          <w:lang w:val="pt-BR"/>
        </w:rPr>
        <w:t>Eduardo Vio Grossi</w:t>
      </w:r>
      <w:r w:rsidRPr="00847B73">
        <w:rPr>
          <w:rFonts w:ascii="Verdana" w:hAnsi="Verdana"/>
          <w:lang w:val="pt-BR"/>
        </w:rPr>
        <w:tab/>
      </w:r>
      <w:r w:rsidRPr="00847B73">
        <w:rPr>
          <w:rFonts w:ascii="Verdana" w:hAnsi="Verdana"/>
          <w:lang w:val="pt-BR"/>
        </w:rPr>
        <w:tab/>
      </w:r>
      <w:r w:rsidRPr="00847B73">
        <w:rPr>
          <w:rFonts w:ascii="Verdana" w:hAnsi="Verdana"/>
          <w:lang w:val="pt-BR"/>
        </w:rPr>
        <w:tab/>
      </w:r>
      <w:r w:rsidRPr="00847B73">
        <w:rPr>
          <w:rFonts w:ascii="Verdana" w:hAnsi="Verdana"/>
          <w:lang w:val="pt-BR"/>
        </w:rPr>
        <w:tab/>
      </w:r>
      <w:r w:rsidRPr="00847B73">
        <w:rPr>
          <w:rFonts w:ascii="Verdana" w:hAnsi="Verdana"/>
          <w:lang w:val="pt-BR"/>
        </w:rPr>
        <w:tab/>
      </w:r>
      <w:r w:rsidRPr="00847B73">
        <w:rPr>
          <w:rFonts w:ascii="Verdana" w:hAnsi="Verdana"/>
          <w:lang w:val="pt-BR"/>
        </w:rPr>
        <w:tab/>
        <w:t>H</w:t>
      </w:r>
      <w:r>
        <w:rPr>
          <w:rFonts w:ascii="Verdana" w:hAnsi="Verdana"/>
          <w:lang w:val="pt-BR"/>
        </w:rPr>
        <w:t>umberto Antonio Sierra Porto</w:t>
      </w:r>
    </w:p>
    <w:p w:rsidR="00EB1B40" w:rsidRDefault="00EB1B40" w:rsidP="00EB1B40">
      <w:pPr>
        <w:rPr>
          <w:rFonts w:ascii="Verdana" w:hAnsi="Verdana"/>
          <w:lang w:val="pt-BR"/>
        </w:rPr>
      </w:pPr>
    </w:p>
    <w:p w:rsidR="00EB1B40" w:rsidRPr="00847B73" w:rsidRDefault="00EB1B40" w:rsidP="00EB1B40">
      <w:pPr>
        <w:jc w:val="both"/>
        <w:rPr>
          <w:rFonts w:ascii="Verdana" w:hAnsi="Verdana"/>
          <w:lang w:val="pt-BR"/>
        </w:rPr>
      </w:pPr>
    </w:p>
    <w:p w:rsidR="00EB1B40" w:rsidRPr="00847B73" w:rsidRDefault="00EB1B40" w:rsidP="00EB1B40">
      <w:pPr>
        <w:rPr>
          <w:rFonts w:ascii="Verdana" w:hAnsi="Verdana"/>
          <w:lang w:val="pt-BR"/>
        </w:rPr>
      </w:pPr>
      <w:r w:rsidRPr="00847B73">
        <w:rPr>
          <w:rFonts w:ascii="Verdana" w:hAnsi="Verdana"/>
          <w:lang w:val="pt-BR"/>
        </w:rPr>
        <w:t xml:space="preserve">Elizabeth Odio Benito </w:t>
      </w:r>
      <w:r w:rsidRPr="00847B73">
        <w:rPr>
          <w:rFonts w:ascii="Verdana" w:hAnsi="Verdana"/>
          <w:lang w:val="pt-BR"/>
        </w:rPr>
        <w:tab/>
      </w:r>
      <w:r w:rsidRPr="00847B73">
        <w:rPr>
          <w:rFonts w:ascii="Verdana" w:hAnsi="Verdana"/>
          <w:lang w:val="pt-BR"/>
        </w:rPr>
        <w:tab/>
      </w:r>
      <w:r w:rsidRPr="00847B73">
        <w:rPr>
          <w:rFonts w:ascii="Verdana" w:hAnsi="Verdana"/>
          <w:lang w:val="pt-BR"/>
        </w:rPr>
        <w:tab/>
      </w:r>
      <w:r w:rsidRPr="00847B73">
        <w:rPr>
          <w:rFonts w:ascii="Verdana" w:hAnsi="Verdana"/>
          <w:lang w:val="pt-BR"/>
        </w:rPr>
        <w:tab/>
      </w:r>
      <w:proofErr w:type="gramStart"/>
      <w:r w:rsidRPr="00847B73">
        <w:rPr>
          <w:rFonts w:ascii="Verdana" w:hAnsi="Verdana"/>
          <w:lang w:val="pt-BR"/>
        </w:rPr>
        <w:tab/>
        <w:t xml:space="preserve">  Eugenio</w:t>
      </w:r>
      <w:proofErr w:type="gramEnd"/>
      <w:r w:rsidRPr="00847B73">
        <w:rPr>
          <w:rFonts w:ascii="Verdana" w:hAnsi="Verdana"/>
          <w:lang w:val="pt-BR"/>
        </w:rPr>
        <w:t xml:space="preserve"> Raúl Zaffaroni </w:t>
      </w:r>
    </w:p>
    <w:p w:rsidR="00EB1B40" w:rsidRDefault="00EB1B40" w:rsidP="00EB1B40">
      <w:pPr>
        <w:rPr>
          <w:rFonts w:ascii="Verdana" w:hAnsi="Verdana"/>
          <w:lang w:val="pt-BR"/>
        </w:rPr>
      </w:pPr>
    </w:p>
    <w:p w:rsidR="00EB1B40" w:rsidRPr="00847B73" w:rsidRDefault="00EB1B40" w:rsidP="00EB1B40">
      <w:pPr>
        <w:rPr>
          <w:rFonts w:ascii="Verdana" w:hAnsi="Verdana"/>
          <w:lang w:val="pt-BR"/>
        </w:rPr>
      </w:pPr>
    </w:p>
    <w:p w:rsidR="00EB1B40" w:rsidRPr="00847B73" w:rsidRDefault="00EB1B40" w:rsidP="00EB1B40">
      <w:pPr>
        <w:jc w:val="center"/>
        <w:rPr>
          <w:rFonts w:ascii="Verdana" w:hAnsi="Verdana"/>
          <w:lang w:val="es-CR"/>
        </w:rPr>
      </w:pPr>
      <w:r w:rsidRPr="00847B73">
        <w:rPr>
          <w:rFonts w:ascii="Verdana" w:hAnsi="Verdana"/>
          <w:lang w:val="es-CR"/>
        </w:rPr>
        <w:t>Ricardo C. Pérez Manrique</w:t>
      </w:r>
    </w:p>
    <w:p w:rsidR="00EB1B40" w:rsidRDefault="00EB1B40" w:rsidP="00EB1B40">
      <w:pPr>
        <w:jc w:val="both"/>
        <w:rPr>
          <w:rFonts w:ascii="Verdana" w:hAnsi="Verdana"/>
          <w:lang w:val="es-CR"/>
        </w:rPr>
      </w:pPr>
    </w:p>
    <w:p w:rsidR="001E5D73" w:rsidRPr="00847B73" w:rsidRDefault="001E5D73" w:rsidP="00EB1B40">
      <w:pPr>
        <w:jc w:val="both"/>
        <w:rPr>
          <w:rFonts w:ascii="Verdana" w:hAnsi="Verdana"/>
          <w:lang w:val="es-CR"/>
        </w:rPr>
      </w:pPr>
    </w:p>
    <w:p w:rsidR="00EB1B40" w:rsidRDefault="00EB1B40" w:rsidP="00EB1B40">
      <w:pPr>
        <w:jc w:val="both"/>
        <w:rPr>
          <w:rFonts w:ascii="Verdana" w:hAnsi="Verdana"/>
          <w:lang w:val="pt-BR"/>
        </w:rPr>
      </w:pPr>
    </w:p>
    <w:p w:rsidR="00EB1B40" w:rsidRPr="00847B73" w:rsidRDefault="00EB1B40" w:rsidP="00EB1B40">
      <w:pPr>
        <w:jc w:val="center"/>
        <w:rPr>
          <w:rFonts w:ascii="Verdana" w:hAnsi="Verdana"/>
          <w:lang w:val="pt-BR"/>
        </w:rPr>
      </w:pPr>
      <w:r w:rsidRPr="00847B73">
        <w:rPr>
          <w:rFonts w:ascii="Verdana" w:hAnsi="Verdana"/>
          <w:lang w:val="pt-BR"/>
        </w:rPr>
        <w:t>Pablo Saavedra Alessandri</w:t>
      </w:r>
    </w:p>
    <w:p w:rsidR="00EB1B40" w:rsidRPr="00847B73" w:rsidRDefault="00EB1B40" w:rsidP="00EB1B40">
      <w:pPr>
        <w:jc w:val="center"/>
        <w:rPr>
          <w:rFonts w:ascii="Verdana" w:hAnsi="Verdana"/>
          <w:lang w:val="pt-BR"/>
        </w:rPr>
      </w:pPr>
      <w:r w:rsidRPr="00847B73">
        <w:rPr>
          <w:rFonts w:ascii="Verdana" w:hAnsi="Verdana"/>
          <w:lang w:val="pt-BR"/>
        </w:rPr>
        <w:t>Secretario</w:t>
      </w:r>
    </w:p>
    <w:p w:rsidR="00EB1B40" w:rsidRPr="00847B73" w:rsidRDefault="00EB1B40" w:rsidP="00EB1B40">
      <w:pPr>
        <w:pStyle w:val="Textonotapie"/>
        <w:rPr>
          <w:rFonts w:ascii="Verdana" w:hAnsi="Verdana"/>
          <w:lang w:val="pt-BR"/>
        </w:rPr>
      </w:pPr>
    </w:p>
    <w:p w:rsidR="00EB1B40" w:rsidRPr="00847B73" w:rsidRDefault="00EB1B40" w:rsidP="00EB1B40">
      <w:pPr>
        <w:jc w:val="both"/>
        <w:rPr>
          <w:rFonts w:ascii="Verdana" w:hAnsi="Verdana"/>
          <w:lang w:val="pt-BR"/>
        </w:rPr>
      </w:pPr>
      <w:r w:rsidRPr="00847B73">
        <w:rPr>
          <w:rFonts w:ascii="Verdana" w:hAnsi="Verdana"/>
          <w:lang w:val="pt-BR"/>
        </w:rPr>
        <w:t>Comuníquese y ejecútese,</w:t>
      </w:r>
    </w:p>
    <w:p w:rsidR="00EB1B40" w:rsidRPr="00847B73" w:rsidRDefault="00EB1B40" w:rsidP="00EB1B40">
      <w:pPr>
        <w:jc w:val="both"/>
        <w:rPr>
          <w:rFonts w:ascii="Verdana" w:hAnsi="Verdana"/>
          <w:lang w:val="pt-BR"/>
        </w:rPr>
      </w:pPr>
    </w:p>
    <w:p w:rsidR="00EB1B40" w:rsidRPr="00847B73" w:rsidRDefault="00EB1B40" w:rsidP="00EB1B40">
      <w:pPr>
        <w:jc w:val="both"/>
        <w:rPr>
          <w:rFonts w:ascii="Verdana" w:hAnsi="Verdana"/>
          <w:lang w:val="pt-BR"/>
        </w:rPr>
      </w:pPr>
    </w:p>
    <w:p w:rsidR="00EB1B40" w:rsidRPr="00847B73" w:rsidRDefault="00EB1B40" w:rsidP="00EB1B40">
      <w:pPr>
        <w:ind w:left="4956"/>
        <w:jc w:val="center"/>
        <w:rPr>
          <w:rFonts w:ascii="Verdana" w:hAnsi="Verdana"/>
          <w:lang w:val="pt-BR"/>
        </w:rPr>
      </w:pPr>
      <w:r w:rsidRPr="00847B73">
        <w:rPr>
          <w:rFonts w:ascii="Verdana" w:hAnsi="Verdana"/>
          <w:lang w:val="pt-BR"/>
        </w:rPr>
        <w:t xml:space="preserve">Eduardo Ferrer </w:t>
      </w:r>
      <w:proofErr w:type="spellStart"/>
      <w:r w:rsidRPr="00847B73">
        <w:rPr>
          <w:rFonts w:ascii="Verdana" w:hAnsi="Verdana"/>
          <w:lang w:val="pt-BR"/>
        </w:rPr>
        <w:t>Mac-Gregor</w:t>
      </w:r>
      <w:proofErr w:type="spellEnd"/>
      <w:r w:rsidRPr="00847B73">
        <w:rPr>
          <w:rFonts w:ascii="Verdana" w:hAnsi="Verdana"/>
          <w:lang w:val="pt-BR"/>
        </w:rPr>
        <w:t xml:space="preserve"> </w:t>
      </w:r>
      <w:proofErr w:type="spellStart"/>
      <w:r w:rsidRPr="00847B73">
        <w:rPr>
          <w:rFonts w:ascii="Verdana" w:hAnsi="Verdana"/>
          <w:lang w:val="pt-BR"/>
        </w:rPr>
        <w:t>Poisot</w:t>
      </w:r>
      <w:proofErr w:type="spellEnd"/>
      <w:r w:rsidRPr="00847B73">
        <w:rPr>
          <w:rFonts w:ascii="Verdana" w:hAnsi="Verdana"/>
          <w:lang w:val="pt-BR"/>
        </w:rPr>
        <w:t xml:space="preserve"> </w:t>
      </w:r>
    </w:p>
    <w:p w:rsidR="00EB1B40" w:rsidRPr="00847B73" w:rsidRDefault="00EB1B40" w:rsidP="00EB1B40">
      <w:pPr>
        <w:ind w:left="4956"/>
        <w:jc w:val="center"/>
        <w:rPr>
          <w:rFonts w:ascii="Verdana" w:hAnsi="Verdana"/>
          <w:lang w:val="pt-BR"/>
        </w:rPr>
      </w:pPr>
      <w:r w:rsidRPr="00847B73">
        <w:rPr>
          <w:rFonts w:ascii="Verdana" w:hAnsi="Verdana"/>
          <w:lang w:val="pt-BR"/>
        </w:rPr>
        <w:t>Presidente</w:t>
      </w:r>
    </w:p>
    <w:p w:rsidR="00EB1B40" w:rsidRPr="00847B73" w:rsidRDefault="00EB1B40" w:rsidP="00EB1B40">
      <w:pPr>
        <w:jc w:val="both"/>
        <w:rPr>
          <w:rFonts w:ascii="Verdana" w:hAnsi="Verdana"/>
          <w:lang w:val="pt-BR"/>
        </w:rPr>
      </w:pPr>
    </w:p>
    <w:p w:rsidR="00EB1B40" w:rsidRPr="00847B73" w:rsidRDefault="00EB1B40" w:rsidP="00EB1B40">
      <w:pPr>
        <w:jc w:val="both"/>
        <w:rPr>
          <w:rFonts w:ascii="Verdana" w:hAnsi="Verdana"/>
          <w:lang w:val="pt-BR"/>
        </w:rPr>
      </w:pPr>
    </w:p>
    <w:p w:rsidR="00EB1B40" w:rsidRPr="00847B73" w:rsidRDefault="00EB1B40" w:rsidP="00EB1B40">
      <w:pPr>
        <w:jc w:val="both"/>
        <w:rPr>
          <w:rFonts w:ascii="Verdana" w:hAnsi="Verdana"/>
          <w:lang w:val="es-ES"/>
        </w:rPr>
      </w:pPr>
      <w:r w:rsidRPr="00847B73">
        <w:rPr>
          <w:rFonts w:ascii="Verdana" w:hAnsi="Verdana"/>
          <w:lang w:val="es-ES"/>
        </w:rPr>
        <w:t>Pablo Saavedra Alessandri</w:t>
      </w:r>
    </w:p>
    <w:p w:rsidR="00EB1B40" w:rsidRPr="00847B73" w:rsidRDefault="00EB1B40" w:rsidP="00EB1B40">
      <w:pPr>
        <w:rPr>
          <w:rFonts w:ascii="Verdana" w:hAnsi="Verdana"/>
          <w:lang w:val="es-CR"/>
        </w:rPr>
      </w:pPr>
      <w:r w:rsidRPr="00847B73">
        <w:rPr>
          <w:rFonts w:ascii="Verdana" w:hAnsi="Verdana"/>
          <w:lang w:val="es-ES"/>
        </w:rPr>
        <w:tab/>
      </w:r>
      <w:r w:rsidRPr="00847B73">
        <w:rPr>
          <w:rFonts w:ascii="Verdana" w:hAnsi="Verdana"/>
          <w:lang w:val="es-CR"/>
        </w:rPr>
        <w:t>Secretario</w:t>
      </w:r>
      <w:bookmarkStart w:id="1" w:name="_GoBack"/>
      <w:bookmarkEnd w:id="1"/>
    </w:p>
    <w:sectPr w:rsidR="00EB1B40" w:rsidRPr="00847B73" w:rsidSect="00C30815">
      <w:headerReference w:type="even" r:id="rId8"/>
      <w:headerReference w:type="default" r:id="rId9"/>
      <w:footerReference w:type="even" r:id="rId10"/>
      <w:footerReference w:type="default" r:id="rId11"/>
      <w:headerReference w:type="first" r:id="rId12"/>
      <w:footerReference w:type="first" r:id="rId13"/>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3142" w:rsidRDefault="001B3142" w:rsidP="000C3A59">
      <w:r>
        <w:separator/>
      </w:r>
    </w:p>
  </w:endnote>
  <w:endnote w:type="continuationSeparator" w:id="0">
    <w:p w:rsidR="001B3142" w:rsidRDefault="001B3142" w:rsidP="000C3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Italic">
    <w:altName w:val="Arial"/>
    <w:charset w:val="00"/>
    <w:family w:val="swiss"/>
    <w:pitch w:val="variable"/>
    <w:sig w:usb0="00000003"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0815" w:rsidRDefault="00C30815">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096A" w:rsidRPr="0035096A" w:rsidRDefault="0035096A">
    <w:pPr>
      <w:pStyle w:val="Piedepgina"/>
      <w:jc w:val="center"/>
      <w:rPr>
        <w:rFonts w:ascii="Verdana" w:hAnsi="Verdana"/>
      </w:rPr>
    </w:pPr>
  </w:p>
  <w:p w:rsidR="0035096A" w:rsidRDefault="0035096A">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4931" w:rsidRPr="009C057E" w:rsidRDefault="00AC4931">
    <w:pPr>
      <w:pStyle w:val="Piedepgina"/>
      <w:jc w:val="center"/>
      <w:rPr>
        <w:rFonts w:ascii="Verdana" w:hAnsi="Verdana"/>
      </w:rPr>
    </w:pPr>
  </w:p>
  <w:p w:rsidR="00AC4931" w:rsidRDefault="00AC4931">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3142" w:rsidRDefault="001B3142" w:rsidP="000C3A59">
      <w:r>
        <w:separator/>
      </w:r>
    </w:p>
  </w:footnote>
  <w:footnote w:type="continuationSeparator" w:id="0">
    <w:p w:rsidR="001B3142" w:rsidRDefault="001B3142" w:rsidP="000C3A59">
      <w:r>
        <w:continuationSeparator/>
      </w:r>
    </w:p>
  </w:footnote>
  <w:footnote w:id="1">
    <w:p w:rsidR="00AC4931" w:rsidRPr="00577323" w:rsidRDefault="00AC4931" w:rsidP="00142647">
      <w:pPr>
        <w:pStyle w:val="Textonotapie"/>
        <w:suppressLineNumbers/>
        <w:tabs>
          <w:tab w:val="left" w:pos="426"/>
        </w:tabs>
        <w:jc w:val="both"/>
        <w:rPr>
          <w:rFonts w:ascii="Verdana" w:hAnsi="Verdana"/>
          <w:sz w:val="16"/>
          <w:szCs w:val="16"/>
        </w:rPr>
      </w:pPr>
      <w:r w:rsidRPr="00577323">
        <w:rPr>
          <w:rFonts w:ascii="Verdana" w:hAnsi="Verdana"/>
          <w:sz w:val="16"/>
          <w:szCs w:val="16"/>
        </w:rPr>
        <w:t>*</w:t>
      </w:r>
      <w:r w:rsidRPr="00577323">
        <w:rPr>
          <w:rFonts w:ascii="Verdana" w:hAnsi="Verdana"/>
          <w:sz w:val="16"/>
          <w:szCs w:val="16"/>
        </w:rPr>
        <w:tab/>
        <w:t xml:space="preserve">El Juez L. Patricio Pazmiño Freire, de nacionalidad ecuatoriana, no participó en el conocimiento y deliberación de la presente </w:t>
      </w:r>
      <w:r w:rsidR="009907CD">
        <w:rPr>
          <w:rFonts w:ascii="Verdana" w:hAnsi="Verdana"/>
          <w:sz w:val="16"/>
          <w:szCs w:val="16"/>
        </w:rPr>
        <w:t>r</w:t>
      </w:r>
      <w:r w:rsidRPr="00577323">
        <w:rPr>
          <w:rFonts w:ascii="Verdana" w:hAnsi="Verdana"/>
          <w:sz w:val="16"/>
          <w:szCs w:val="16"/>
        </w:rPr>
        <w:t>esolución, de conformidad con lo dispuesto en el artículo 19.1 del Reglamento de la Corte.</w:t>
      </w:r>
    </w:p>
  </w:footnote>
  <w:footnote w:id="2">
    <w:p w:rsidR="00AC4931" w:rsidRPr="00577323" w:rsidRDefault="00AC4931" w:rsidP="00142647">
      <w:pPr>
        <w:pStyle w:val="Textonotapie"/>
        <w:tabs>
          <w:tab w:val="left" w:pos="426"/>
        </w:tabs>
        <w:jc w:val="both"/>
        <w:rPr>
          <w:rFonts w:ascii="Verdana" w:hAnsi="Verdana"/>
          <w:sz w:val="16"/>
          <w:szCs w:val="16"/>
        </w:rPr>
      </w:pPr>
      <w:r w:rsidRPr="00577323">
        <w:rPr>
          <w:rStyle w:val="Refdenotaalpie"/>
          <w:rFonts w:ascii="Verdana" w:hAnsi="Verdana"/>
          <w:sz w:val="16"/>
          <w:szCs w:val="16"/>
        </w:rPr>
        <w:footnoteRef/>
      </w:r>
      <w:r w:rsidRPr="00577323">
        <w:rPr>
          <w:rFonts w:ascii="Verdana" w:hAnsi="Verdana"/>
          <w:sz w:val="16"/>
          <w:szCs w:val="16"/>
        </w:rPr>
        <w:t xml:space="preserve"> </w:t>
      </w:r>
      <w:r w:rsidRPr="00577323">
        <w:rPr>
          <w:rFonts w:ascii="Verdana" w:hAnsi="Verdana"/>
          <w:sz w:val="16"/>
          <w:szCs w:val="16"/>
        </w:rPr>
        <w:tab/>
        <w:t xml:space="preserve">La Sentencia fue notificada el 4 de noviembre de 2013. </w:t>
      </w:r>
      <w:r w:rsidRPr="00577323">
        <w:rPr>
          <w:rFonts w:ascii="Verdana" w:hAnsi="Verdana"/>
          <w:i/>
          <w:sz w:val="16"/>
          <w:szCs w:val="16"/>
        </w:rPr>
        <w:t xml:space="preserve">Cfr. </w:t>
      </w:r>
      <w:r w:rsidRPr="00577323">
        <w:rPr>
          <w:rStyle w:val="Textoennegrita"/>
          <w:rFonts w:ascii="Verdana" w:hAnsi="Verdana"/>
          <w:b w:val="0"/>
          <w:i/>
          <w:color w:val="000000"/>
          <w:sz w:val="16"/>
          <w:szCs w:val="16"/>
          <w:shd w:val="clear" w:color="auto" w:fill="FFFFFF"/>
        </w:rPr>
        <w:t>Caso de la Corte Suprema de Justicia (Quintana Coello y otros) Vs. Ecuador. Excepción Preliminar, Fondo, Reparaciones y Costas.</w:t>
      </w:r>
      <w:r w:rsidRPr="00577323">
        <w:rPr>
          <w:rStyle w:val="Textoennegrita"/>
          <w:rFonts w:ascii="Verdana" w:hAnsi="Verdana"/>
          <w:b w:val="0"/>
          <w:color w:val="000000"/>
          <w:sz w:val="16"/>
          <w:szCs w:val="16"/>
          <w:shd w:val="clear" w:color="auto" w:fill="FFFFFF"/>
        </w:rPr>
        <w:t xml:space="preserve"> Sentencia de 23 de agosto de 2013. Serie C No. 266.</w:t>
      </w:r>
      <w:r w:rsidRPr="00577323">
        <w:rPr>
          <w:rStyle w:val="Textoennegrita"/>
          <w:rFonts w:ascii="Verdana" w:hAnsi="Verdana"/>
          <w:color w:val="000000"/>
          <w:sz w:val="16"/>
          <w:szCs w:val="16"/>
          <w:shd w:val="clear" w:color="auto" w:fill="FFFFFF"/>
        </w:rPr>
        <w:t xml:space="preserve"> </w:t>
      </w:r>
      <w:r w:rsidRPr="00577323">
        <w:rPr>
          <w:rFonts w:ascii="Verdana" w:hAnsi="Verdana"/>
          <w:sz w:val="16"/>
          <w:szCs w:val="16"/>
        </w:rPr>
        <w:t xml:space="preserve">El texto íntegro se encuentra disponible en: </w:t>
      </w:r>
      <w:hyperlink r:id="rId1" w:history="1">
        <w:r w:rsidRPr="00577323">
          <w:rPr>
            <w:rStyle w:val="Hipervnculo"/>
            <w:rFonts w:ascii="Verdana" w:hAnsi="Verdana"/>
            <w:sz w:val="16"/>
            <w:szCs w:val="16"/>
          </w:rPr>
          <w:t>http://www.corteidh.or.cr/docs/casos/articulos/seriec_266_esp.pdf</w:t>
        </w:r>
      </w:hyperlink>
      <w:r w:rsidRPr="00577323">
        <w:rPr>
          <w:rFonts w:ascii="Verdana" w:hAnsi="Verdana"/>
          <w:sz w:val="16"/>
          <w:szCs w:val="16"/>
        </w:rPr>
        <w:t xml:space="preserve">. </w:t>
      </w:r>
    </w:p>
    <w:p w:rsidR="003D5200" w:rsidRPr="00577323" w:rsidRDefault="003D5200" w:rsidP="00142647">
      <w:pPr>
        <w:pStyle w:val="Textonotapie"/>
        <w:tabs>
          <w:tab w:val="left" w:pos="426"/>
        </w:tabs>
        <w:jc w:val="both"/>
        <w:rPr>
          <w:rFonts w:ascii="Verdana" w:hAnsi="Verdana"/>
          <w:sz w:val="16"/>
          <w:szCs w:val="16"/>
        </w:rPr>
      </w:pPr>
      <w:r w:rsidRPr="00577323">
        <w:rPr>
          <w:rFonts w:ascii="Verdana" w:hAnsi="Verdana"/>
          <w:sz w:val="16"/>
          <w:szCs w:val="16"/>
        </w:rPr>
        <w:t>Mediante Sentencia de 21 de agosto de 2014 la Corte “</w:t>
      </w:r>
      <w:proofErr w:type="spellStart"/>
      <w:r w:rsidRPr="00577323">
        <w:rPr>
          <w:rFonts w:ascii="Verdana" w:hAnsi="Verdana"/>
          <w:sz w:val="16"/>
          <w:szCs w:val="16"/>
        </w:rPr>
        <w:t>rechaz</w:t>
      </w:r>
      <w:proofErr w:type="spellEnd"/>
      <w:r w:rsidRPr="00577323">
        <w:rPr>
          <w:rFonts w:ascii="Verdana" w:hAnsi="Verdana"/>
          <w:sz w:val="16"/>
          <w:szCs w:val="16"/>
        </w:rPr>
        <w:t xml:space="preserve">[ó] por improcedente la solicitud de interpretación de la Sentencia de excepción preliminar, fondo y reparaciones dictada en [este] caso, interpuesta por los representantes de las víctimas”. </w:t>
      </w:r>
      <w:r w:rsidRPr="00577323">
        <w:rPr>
          <w:rFonts w:ascii="Verdana" w:hAnsi="Verdana"/>
          <w:i/>
          <w:sz w:val="16"/>
          <w:szCs w:val="16"/>
        </w:rPr>
        <w:t>Cfr.</w:t>
      </w:r>
      <w:r w:rsidRPr="00577323">
        <w:rPr>
          <w:rFonts w:ascii="Verdana" w:hAnsi="Verdana"/>
          <w:sz w:val="16"/>
          <w:szCs w:val="16"/>
        </w:rPr>
        <w:t xml:space="preserve"> </w:t>
      </w:r>
      <w:r w:rsidRPr="00577323">
        <w:rPr>
          <w:rStyle w:val="Textoennegrita"/>
          <w:rFonts w:ascii="Verdana" w:hAnsi="Verdana"/>
          <w:b w:val="0"/>
          <w:i/>
          <w:color w:val="000000"/>
          <w:sz w:val="16"/>
          <w:szCs w:val="16"/>
          <w:shd w:val="clear" w:color="auto" w:fill="FFFFFF"/>
        </w:rPr>
        <w:t xml:space="preserve">Caso de la Corte Suprema de Justicia (Quintana Coello y otros) Vs. Ecuador. </w:t>
      </w:r>
      <w:r w:rsidR="000851AB">
        <w:rPr>
          <w:rStyle w:val="Textoennegrita"/>
          <w:rFonts w:ascii="Verdana" w:hAnsi="Verdana"/>
          <w:b w:val="0"/>
          <w:i/>
          <w:color w:val="000000"/>
          <w:sz w:val="16"/>
          <w:szCs w:val="16"/>
          <w:shd w:val="clear" w:color="auto" w:fill="FFFFFF"/>
        </w:rPr>
        <w:t>Solicitud de I</w:t>
      </w:r>
      <w:r w:rsidRPr="00577323">
        <w:rPr>
          <w:rStyle w:val="Textoennegrita"/>
          <w:rFonts w:ascii="Verdana" w:hAnsi="Verdana"/>
          <w:b w:val="0"/>
          <w:i/>
          <w:color w:val="000000"/>
          <w:sz w:val="16"/>
          <w:szCs w:val="16"/>
          <w:shd w:val="clear" w:color="auto" w:fill="FFFFFF"/>
        </w:rPr>
        <w:t>nterpretación de la Sentencia de Excepción Preliminar, Fondo, Reparaciones y Costas.</w:t>
      </w:r>
      <w:r w:rsidRPr="00577323">
        <w:rPr>
          <w:rStyle w:val="Textoennegrita"/>
          <w:rFonts w:ascii="Verdana" w:hAnsi="Verdana"/>
          <w:b w:val="0"/>
          <w:color w:val="000000"/>
          <w:sz w:val="16"/>
          <w:szCs w:val="16"/>
          <w:shd w:val="clear" w:color="auto" w:fill="FFFFFF"/>
        </w:rPr>
        <w:t xml:space="preserve"> Sentencia de 21 de agosto de 2014. Serie C No. 280.</w:t>
      </w:r>
      <w:r w:rsidRPr="00577323">
        <w:rPr>
          <w:rFonts w:ascii="Verdana" w:hAnsi="Verdana"/>
          <w:sz w:val="16"/>
          <w:szCs w:val="16"/>
        </w:rPr>
        <w:t xml:space="preserve"> El texto íntegro se encuentra disponible en: </w:t>
      </w:r>
      <w:hyperlink r:id="rId2" w:history="1">
        <w:r w:rsidRPr="00577323">
          <w:rPr>
            <w:rStyle w:val="Hipervnculo"/>
            <w:rFonts w:ascii="Verdana" w:hAnsi="Verdana"/>
            <w:sz w:val="16"/>
            <w:szCs w:val="16"/>
          </w:rPr>
          <w:t>http://corteidh.or.cr/docs/casos/articulos/seriec_280_esp.pdf</w:t>
        </w:r>
      </w:hyperlink>
      <w:r w:rsidRPr="00577323">
        <w:rPr>
          <w:rFonts w:ascii="Verdana" w:hAnsi="Verdana"/>
          <w:sz w:val="16"/>
          <w:szCs w:val="16"/>
        </w:rPr>
        <w:t xml:space="preserve">. </w:t>
      </w:r>
    </w:p>
  </w:footnote>
  <w:footnote w:id="3">
    <w:p w:rsidR="00AC4931" w:rsidRPr="00577323" w:rsidRDefault="00AC4931" w:rsidP="00142647">
      <w:pPr>
        <w:pStyle w:val="Textonotapie"/>
        <w:tabs>
          <w:tab w:val="left" w:pos="426"/>
        </w:tabs>
        <w:jc w:val="both"/>
        <w:rPr>
          <w:rFonts w:ascii="Verdana" w:hAnsi="Verdana"/>
          <w:b/>
          <w:sz w:val="16"/>
          <w:szCs w:val="16"/>
        </w:rPr>
      </w:pPr>
      <w:r w:rsidRPr="00577323">
        <w:rPr>
          <w:rStyle w:val="Refdenotaalpie"/>
          <w:rFonts w:ascii="Verdana" w:hAnsi="Verdana"/>
          <w:sz w:val="16"/>
          <w:szCs w:val="16"/>
        </w:rPr>
        <w:footnoteRef/>
      </w:r>
      <w:r w:rsidRPr="00577323">
        <w:rPr>
          <w:rFonts w:ascii="Verdana" w:hAnsi="Verdana"/>
          <w:sz w:val="16"/>
          <w:szCs w:val="16"/>
        </w:rPr>
        <w:t xml:space="preserve"> </w:t>
      </w:r>
      <w:r w:rsidRPr="00577323">
        <w:rPr>
          <w:rFonts w:ascii="Verdana" w:hAnsi="Verdana"/>
          <w:sz w:val="16"/>
          <w:szCs w:val="16"/>
        </w:rPr>
        <w:tab/>
        <w:t xml:space="preserve">El reconocimiento parcial de responsabilidad del Estado se tradujo en el allanamiento respecto a algunos hechos y algunas pretensiones de derecho. En particular, la Corte constató que el Estado “reconoció su responsabilidad frente a los artículos 8.1, 8.2, 9, 24 y 25 de la Convención Americana sobre Derechos Humanos”. </w:t>
      </w:r>
    </w:p>
  </w:footnote>
  <w:footnote w:id="4">
    <w:p w:rsidR="00AC4931" w:rsidRPr="00577323" w:rsidRDefault="00AC4931" w:rsidP="00142647">
      <w:pPr>
        <w:pStyle w:val="Textonotapie"/>
        <w:tabs>
          <w:tab w:val="left" w:pos="426"/>
        </w:tabs>
        <w:jc w:val="both"/>
        <w:rPr>
          <w:rFonts w:ascii="Verdana" w:hAnsi="Verdana"/>
          <w:sz w:val="16"/>
          <w:szCs w:val="16"/>
        </w:rPr>
      </w:pPr>
      <w:r w:rsidRPr="00577323">
        <w:rPr>
          <w:rStyle w:val="Refdenotaalpie"/>
          <w:rFonts w:ascii="Verdana" w:hAnsi="Verdana"/>
          <w:sz w:val="16"/>
          <w:szCs w:val="16"/>
        </w:rPr>
        <w:footnoteRef/>
      </w:r>
      <w:r w:rsidRPr="00577323">
        <w:rPr>
          <w:rFonts w:ascii="Verdana" w:hAnsi="Verdana"/>
          <w:sz w:val="16"/>
          <w:szCs w:val="16"/>
        </w:rPr>
        <w:t xml:space="preserve"> </w:t>
      </w:r>
      <w:r w:rsidRPr="00577323">
        <w:rPr>
          <w:rFonts w:ascii="Verdana" w:hAnsi="Verdana"/>
          <w:sz w:val="16"/>
          <w:szCs w:val="16"/>
        </w:rPr>
        <w:tab/>
        <w:t xml:space="preserve">Alfonso Ernesto Albán Gómez, Jorge Aurelio Andrade Lara, José Santiago Andrade </w:t>
      </w:r>
      <w:proofErr w:type="spellStart"/>
      <w:r w:rsidRPr="00577323">
        <w:rPr>
          <w:rFonts w:ascii="Verdana" w:hAnsi="Verdana"/>
          <w:sz w:val="16"/>
          <w:szCs w:val="16"/>
        </w:rPr>
        <w:t>Ubidia</w:t>
      </w:r>
      <w:proofErr w:type="spellEnd"/>
      <w:r w:rsidRPr="00577323">
        <w:rPr>
          <w:rFonts w:ascii="Verdana" w:hAnsi="Verdana"/>
          <w:sz w:val="16"/>
          <w:szCs w:val="16"/>
        </w:rPr>
        <w:t xml:space="preserve">, José Julio Benítez Astudillo, Armando Bermeo Castillo, Eduardo Enrique Brito Mieles, Nicolás Castro Patiño, Lucio Teodoro Coello Vázquez, Alfredo Roberto Contreras Villavicencio, Arturo Javier Donoso Castellón, Galo Miguel Galarza Paz, Luis Alberto Heredia Moreno, Estuardo Agustín Hurtado Larrea, Ángel Ignacio </w:t>
      </w:r>
      <w:proofErr w:type="spellStart"/>
      <w:r w:rsidRPr="00577323">
        <w:rPr>
          <w:rFonts w:ascii="Verdana" w:hAnsi="Verdana"/>
          <w:sz w:val="16"/>
          <w:szCs w:val="16"/>
        </w:rPr>
        <w:t>Lescano</w:t>
      </w:r>
      <w:proofErr w:type="spellEnd"/>
      <w:r w:rsidRPr="00577323">
        <w:rPr>
          <w:rFonts w:ascii="Verdana" w:hAnsi="Verdana"/>
          <w:sz w:val="16"/>
          <w:szCs w:val="16"/>
        </w:rPr>
        <w:t xml:space="preserve"> Fiallo, Teófilo Milton Moreno Aguirre, Galo Alonso Pico Mantilla, Hernán Gonzalo Quevedo Terán, Hugo Eduardo Quintana Coello, Jorge Enrique Ramírez Álvarez, Carlos Javier Riofrío Corral, Naum Clotario Salinas Montaño, Armando José Ramón Serrano Puig, Ignacio José Vicente Troya Jaramillo, Alberto Rodrigo Varea Avilés, Jaime Gonzalo Velasco Dávila, Miguel Elías Villacís Gómez y Gonzalo Augusto Zambrano Palacios.</w:t>
      </w:r>
    </w:p>
  </w:footnote>
  <w:footnote w:id="5">
    <w:p w:rsidR="00E13275" w:rsidRPr="00EB5741" w:rsidRDefault="00E13275" w:rsidP="00EB5741">
      <w:pPr>
        <w:pStyle w:val="Textonotapie"/>
        <w:tabs>
          <w:tab w:val="left" w:pos="426"/>
        </w:tabs>
        <w:jc w:val="both"/>
        <w:rPr>
          <w:rFonts w:ascii="Verdana" w:hAnsi="Verdana"/>
          <w:sz w:val="16"/>
          <w:szCs w:val="16"/>
        </w:rPr>
      </w:pPr>
      <w:r w:rsidRPr="00577323">
        <w:rPr>
          <w:rStyle w:val="Refdenotaalpie"/>
          <w:rFonts w:ascii="Verdana" w:hAnsi="Verdana"/>
          <w:sz w:val="16"/>
          <w:szCs w:val="16"/>
        </w:rPr>
        <w:footnoteRef/>
      </w:r>
      <w:r w:rsidRPr="00577323">
        <w:rPr>
          <w:rFonts w:ascii="Verdana" w:hAnsi="Verdana"/>
          <w:sz w:val="16"/>
          <w:szCs w:val="16"/>
        </w:rPr>
        <w:t xml:space="preserve"> </w:t>
      </w:r>
      <w:r w:rsidRPr="00577323">
        <w:rPr>
          <w:rFonts w:ascii="Verdana" w:hAnsi="Verdana"/>
          <w:sz w:val="16"/>
          <w:szCs w:val="16"/>
        </w:rPr>
        <w:tab/>
        <w:t xml:space="preserve">La Corte declaró: </w:t>
      </w:r>
      <w:r w:rsidRPr="00577323">
        <w:rPr>
          <w:rFonts w:ascii="Verdana" w:hAnsi="Verdana" w:cs="Arial"/>
          <w:sz w:val="16"/>
          <w:szCs w:val="16"/>
        </w:rPr>
        <w:t xml:space="preserve">i) </w:t>
      </w:r>
      <w:r w:rsidRPr="00577323">
        <w:rPr>
          <w:rFonts w:ascii="Verdana" w:hAnsi="Verdana"/>
          <w:sz w:val="16"/>
          <w:szCs w:val="16"/>
          <w:lang w:val="es-CO"/>
        </w:rPr>
        <w:t>la violación del artículo 8.1</w:t>
      </w:r>
      <w:r w:rsidR="009907CD">
        <w:rPr>
          <w:rFonts w:ascii="Verdana" w:hAnsi="Verdana"/>
          <w:sz w:val="16"/>
          <w:szCs w:val="16"/>
          <w:lang w:val="es-CO"/>
        </w:rPr>
        <w:t>,</w:t>
      </w:r>
      <w:r w:rsidRPr="00577323">
        <w:rPr>
          <w:rFonts w:ascii="Verdana" w:hAnsi="Verdana"/>
          <w:sz w:val="16"/>
          <w:szCs w:val="16"/>
          <w:lang w:val="es-CO"/>
        </w:rPr>
        <w:t xml:space="preserve"> en relación con el  artículo 1.1 de la Convención Americana sobre Derechos Humanos (en adelante “la Convención Americana” o “la Convención”), en </w:t>
      </w:r>
      <w:r w:rsidRPr="00EB5741">
        <w:rPr>
          <w:rFonts w:ascii="Verdana" w:hAnsi="Verdana"/>
          <w:sz w:val="16"/>
          <w:szCs w:val="16"/>
          <w:lang w:val="es-CO"/>
        </w:rPr>
        <w:t>perjuicio de las 27 víctimas</w:t>
      </w:r>
      <w:r w:rsidRPr="00EB5741">
        <w:rPr>
          <w:rFonts w:ascii="Verdana" w:hAnsi="Verdana"/>
          <w:sz w:val="16"/>
          <w:szCs w:val="16"/>
          <w:lang w:val="es-CR"/>
        </w:rPr>
        <w:t xml:space="preserve">, </w:t>
      </w:r>
      <w:r w:rsidRPr="00EB5741">
        <w:rPr>
          <w:rFonts w:ascii="Verdana" w:hAnsi="Verdana"/>
          <w:sz w:val="16"/>
          <w:szCs w:val="16"/>
          <w:lang w:val="es-CO"/>
        </w:rPr>
        <w:t>por haber sido cesadas en sus funciones por un órgano incompetente que no les dio la oportunidad de ser oídos</w:t>
      </w:r>
      <w:r w:rsidRPr="00EB5741">
        <w:rPr>
          <w:rFonts w:ascii="Verdana" w:hAnsi="Verdana" w:cs="Arial"/>
          <w:sz w:val="16"/>
          <w:szCs w:val="16"/>
        </w:rPr>
        <w:t xml:space="preserve">; ii) </w:t>
      </w:r>
      <w:r w:rsidRPr="00EB5741">
        <w:rPr>
          <w:rFonts w:ascii="Verdana" w:hAnsi="Verdana"/>
          <w:sz w:val="16"/>
          <w:szCs w:val="16"/>
          <w:lang w:val="es-CO"/>
        </w:rPr>
        <w:t>la violación del artículo 8.1</w:t>
      </w:r>
      <w:r w:rsidR="009907CD">
        <w:rPr>
          <w:rFonts w:ascii="Verdana" w:hAnsi="Verdana"/>
          <w:sz w:val="16"/>
          <w:szCs w:val="16"/>
          <w:lang w:val="es-CO"/>
        </w:rPr>
        <w:t>,</w:t>
      </w:r>
      <w:r w:rsidRPr="00EB5741">
        <w:rPr>
          <w:rFonts w:ascii="Verdana" w:hAnsi="Verdana"/>
          <w:sz w:val="16"/>
          <w:szCs w:val="16"/>
          <w:lang w:val="es-CO"/>
        </w:rPr>
        <w:t xml:space="preserve"> en relación con el artículo 23.1.c y el artículo 1.1 de la Convención, por la afectación arbitraria a la permanencia en el ejercicio de la función judicial y la consecuente afectación a la independencia judicial, en perjuicio de las 27 víctimas del presente caso</w:t>
      </w:r>
      <w:r w:rsidRPr="00EB5741">
        <w:rPr>
          <w:rFonts w:ascii="Verdana" w:hAnsi="Verdana" w:cs="Arial"/>
          <w:sz w:val="16"/>
          <w:szCs w:val="16"/>
        </w:rPr>
        <w:t xml:space="preserve">, y iii) </w:t>
      </w:r>
      <w:r w:rsidRPr="00EB5741">
        <w:rPr>
          <w:rFonts w:ascii="Verdana" w:hAnsi="Verdana"/>
          <w:sz w:val="16"/>
          <w:szCs w:val="16"/>
        </w:rPr>
        <w:t>la violación del artículo 25.1</w:t>
      </w:r>
      <w:r w:rsidR="009907CD">
        <w:rPr>
          <w:rFonts w:ascii="Verdana" w:hAnsi="Verdana"/>
          <w:sz w:val="16"/>
          <w:szCs w:val="16"/>
        </w:rPr>
        <w:t>,</w:t>
      </w:r>
      <w:r w:rsidRPr="00EB5741">
        <w:rPr>
          <w:rFonts w:ascii="Verdana" w:hAnsi="Verdana"/>
          <w:sz w:val="16"/>
          <w:szCs w:val="16"/>
        </w:rPr>
        <w:t xml:space="preserve"> </w:t>
      </w:r>
      <w:r w:rsidRPr="00EB5741">
        <w:rPr>
          <w:rFonts w:ascii="Verdana" w:hAnsi="Verdana" w:cs="Arial"/>
          <w:bCs/>
          <w:sz w:val="16"/>
          <w:szCs w:val="16"/>
          <w:lang w:val="es-CL"/>
        </w:rPr>
        <w:t>en relación con el artículo 1.1 de la Convención, por la imposibilidad de</w:t>
      </w:r>
      <w:r w:rsidR="009907CD">
        <w:rPr>
          <w:rFonts w:ascii="Verdana" w:hAnsi="Verdana" w:cs="Arial"/>
          <w:bCs/>
          <w:sz w:val="16"/>
          <w:szCs w:val="16"/>
          <w:lang w:val="es-CL"/>
        </w:rPr>
        <w:t xml:space="preserve"> las víctimas de</w:t>
      </w:r>
      <w:r w:rsidRPr="00EB5741">
        <w:rPr>
          <w:rFonts w:ascii="Verdana" w:hAnsi="Verdana" w:cs="Arial"/>
          <w:bCs/>
          <w:sz w:val="16"/>
          <w:szCs w:val="16"/>
          <w:lang w:val="es-CL"/>
        </w:rPr>
        <w:t xml:space="preserve"> acceder a un recurso judicial efectivo.</w:t>
      </w:r>
    </w:p>
  </w:footnote>
  <w:footnote w:id="6">
    <w:p w:rsidR="00654312" w:rsidRPr="00EB5741" w:rsidRDefault="00654312" w:rsidP="00EB5741">
      <w:pPr>
        <w:pStyle w:val="Textonotapie"/>
        <w:tabs>
          <w:tab w:val="left" w:pos="426"/>
        </w:tabs>
        <w:jc w:val="both"/>
        <w:rPr>
          <w:rFonts w:ascii="Verdana" w:hAnsi="Verdana"/>
          <w:sz w:val="16"/>
          <w:szCs w:val="16"/>
        </w:rPr>
      </w:pPr>
      <w:r w:rsidRPr="00EB5741">
        <w:rPr>
          <w:rStyle w:val="Refdenotaalpie"/>
          <w:rFonts w:ascii="Verdana" w:hAnsi="Verdana"/>
          <w:sz w:val="16"/>
          <w:szCs w:val="16"/>
        </w:rPr>
        <w:footnoteRef/>
      </w:r>
      <w:r w:rsidRPr="00EB5741">
        <w:rPr>
          <w:rFonts w:ascii="Verdana" w:hAnsi="Verdana"/>
          <w:sz w:val="16"/>
          <w:szCs w:val="16"/>
        </w:rPr>
        <w:t xml:space="preserve"> </w:t>
      </w:r>
      <w:r w:rsidRPr="00EB5741">
        <w:rPr>
          <w:rFonts w:ascii="Verdana" w:hAnsi="Verdana"/>
          <w:sz w:val="16"/>
          <w:szCs w:val="16"/>
        </w:rPr>
        <w:tab/>
        <w:t>En el párrafo 194 de la Sentencia</w:t>
      </w:r>
      <w:r w:rsidR="009907CD">
        <w:rPr>
          <w:rFonts w:ascii="Verdana" w:hAnsi="Verdana"/>
          <w:sz w:val="16"/>
          <w:szCs w:val="16"/>
        </w:rPr>
        <w:t>,</w:t>
      </w:r>
      <w:r w:rsidRPr="00EB5741">
        <w:rPr>
          <w:rFonts w:ascii="Verdana" w:hAnsi="Verdana"/>
          <w:sz w:val="16"/>
          <w:szCs w:val="16"/>
        </w:rPr>
        <w:t xml:space="preserve"> la Corte consideró que </w:t>
      </w:r>
      <w:r w:rsidR="008A0396" w:rsidRPr="00EB5741">
        <w:rPr>
          <w:rFonts w:ascii="Verdana" w:hAnsi="Verdana"/>
          <w:sz w:val="16"/>
          <w:szCs w:val="16"/>
        </w:rPr>
        <w:t>“bajo los supuestos específicos d</w:t>
      </w:r>
      <w:r w:rsidRPr="00EB5741">
        <w:rPr>
          <w:rFonts w:ascii="Verdana" w:hAnsi="Verdana"/>
          <w:sz w:val="16"/>
          <w:szCs w:val="16"/>
        </w:rPr>
        <w:t>el presente caso esta[</w:t>
      </w:r>
      <w:proofErr w:type="spellStart"/>
      <w:r w:rsidRPr="00EB5741">
        <w:rPr>
          <w:rFonts w:ascii="Verdana" w:hAnsi="Verdana"/>
          <w:sz w:val="16"/>
          <w:szCs w:val="16"/>
        </w:rPr>
        <w:t>ba</w:t>
      </w:r>
      <w:proofErr w:type="spellEnd"/>
      <w:r w:rsidRPr="00EB5741">
        <w:rPr>
          <w:rFonts w:ascii="Verdana" w:hAnsi="Verdana"/>
          <w:sz w:val="16"/>
          <w:szCs w:val="16"/>
        </w:rPr>
        <w:t xml:space="preserve">] demostrado que los magistrados </w:t>
      </w:r>
      <w:r w:rsidR="008A0396" w:rsidRPr="00EB5741">
        <w:rPr>
          <w:rFonts w:ascii="Verdana" w:hAnsi="Verdana"/>
          <w:sz w:val="16"/>
          <w:szCs w:val="16"/>
        </w:rPr>
        <w:t xml:space="preserve">se encontraban </w:t>
      </w:r>
      <w:r w:rsidRPr="00EB5741">
        <w:rPr>
          <w:rFonts w:ascii="Verdana" w:hAnsi="Verdana"/>
          <w:sz w:val="16"/>
          <w:szCs w:val="16"/>
        </w:rPr>
        <w:t xml:space="preserve">impedidos para hacer uso del recurso de amparo y que el recurso de inconstitucionalidad no resultaba idóneo </w:t>
      </w:r>
      <w:r w:rsidR="008A0396" w:rsidRPr="00EB5741">
        <w:rPr>
          <w:rFonts w:ascii="Verdana" w:hAnsi="Verdana"/>
          <w:sz w:val="16"/>
          <w:szCs w:val="16"/>
        </w:rPr>
        <w:t xml:space="preserve">y efectivo </w:t>
      </w:r>
      <w:r w:rsidRPr="00EB5741">
        <w:rPr>
          <w:rFonts w:ascii="Verdana" w:hAnsi="Verdana"/>
          <w:sz w:val="16"/>
          <w:szCs w:val="16"/>
        </w:rPr>
        <w:t xml:space="preserve">para proteger los derechos vulnerados a los magistrados de la Corte Suprema”. </w:t>
      </w:r>
    </w:p>
  </w:footnote>
  <w:footnote w:id="7">
    <w:p w:rsidR="00AC4931" w:rsidRPr="00EB5741" w:rsidRDefault="00AC4931" w:rsidP="00EB5741">
      <w:pPr>
        <w:pStyle w:val="Textonotapie"/>
        <w:tabs>
          <w:tab w:val="left" w:pos="426"/>
        </w:tabs>
        <w:jc w:val="both"/>
        <w:rPr>
          <w:rFonts w:ascii="Verdana" w:hAnsi="Verdana"/>
          <w:sz w:val="16"/>
          <w:szCs w:val="16"/>
        </w:rPr>
      </w:pPr>
      <w:r w:rsidRPr="00EB5741">
        <w:rPr>
          <w:rStyle w:val="Refdenotaalpie"/>
          <w:rFonts w:ascii="Verdana" w:hAnsi="Verdana"/>
          <w:sz w:val="16"/>
          <w:szCs w:val="16"/>
        </w:rPr>
        <w:footnoteRef/>
      </w:r>
      <w:r w:rsidRPr="00EB5741">
        <w:rPr>
          <w:rFonts w:ascii="Verdana" w:hAnsi="Verdana"/>
          <w:sz w:val="16"/>
          <w:szCs w:val="16"/>
        </w:rPr>
        <w:t xml:space="preserve"> </w:t>
      </w:r>
      <w:r w:rsidRPr="00EB5741">
        <w:rPr>
          <w:rFonts w:ascii="Verdana" w:hAnsi="Verdana"/>
          <w:sz w:val="16"/>
          <w:szCs w:val="16"/>
        </w:rPr>
        <w:tab/>
      </w:r>
      <w:r w:rsidRPr="00EB5741">
        <w:rPr>
          <w:rFonts w:ascii="Verdana" w:hAnsi="Verdana"/>
          <w:i/>
          <w:sz w:val="16"/>
          <w:szCs w:val="16"/>
        </w:rPr>
        <w:t>Cfr.</w:t>
      </w:r>
      <w:r w:rsidRPr="00EB5741">
        <w:rPr>
          <w:rFonts w:ascii="Verdana" w:hAnsi="Verdana"/>
          <w:sz w:val="16"/>
          <w:szCs w:val="16"/>
        </w:rPr>
        <w:t xml:space="preserve"> </w:t>
      </w:r>
      <w:r w:rsidRPr="00EB5741">
        <w:rPr>
          <w:rStyle w:val="Textoennegrita"/>
          <w:rFonts w:ascii="Verdana" w:hAnsi="Verdana"/>
          <w:b w:val="0"/>
          <w:i/>
          <w:color w:val="000000"/>
          <w:sz w:val="16"/>
          <w:szCs w:val="16"/>
          <w:shd w:val="clear" w:color="auto" w:fill="FFFFFF"/>
        </w:rPr>
        <w:t xml:space="preserve">Caso de la Corte Suprema de Justicia (Quintana Coello y otros) Vs. Ecuador. Supervisión de Cumplimiento de Sentencia. </w:t>
      </w:r>
      <w:r w:rsidRPr="00EB5741">
        <w:rPr>
          <w:rStyle w:val="Textoennegrita"/>
          <w:rFonts w:ascii="Verdana" w:hAnsi="Verdana"/>
          <w:b w:val="0"/>
          <w:color w:val="000000"/>
          <w:sz w:val="16"/>
          <w:szCs w:val="16"/>
          <w:shd w:val="clear" w:color="auto" w:fill="FFFFFF"/>
        </w:rPr>
        <w:t xml:space="preserve">Resolución de la Corte Interamericana de Derechos </w:t>
      </w:r>
      <w:r w:rsidR="007B4490" w:rsidRPr="00EB5741">
        <w:rPr>
          <w:rStyle w:val="Textoennegrita"/>
          <w:rFonts w:ascii="Verdana" w:hAnsi="Verdana"/>
          <w:b w:val="0"/>
          <w:color w:val="000000"/>
          <w:sz w:val="16"/>
          <w:szCs w:val="16"/>
          <w:shd w:val="clear" w:color="auto" w:fill="FFFFFF"/>
        </w:rPr>
        <w:t xml:space="preserve">Humanos de 21 de agosto de 2014, </w:t>
      </w:r>
      <w:r w:rsidRPr="00EB5741">
        <w:rPr>
          <w:rFonts w:ascii="Verdana" w:hAnsi="Verdana"/>
          <w:sz w:val="16"/>
          <w:szCs w:val="16"/>
        </w:rPr>
        <w:t xml:space="preserve">disponible en: </w:t>
      </w:r>
      <w:hyperlink r:id="rId3" w:history="1">
        <w:r w:rsidRPr="00EB5741">
          <w:rPr>
            <w:rStyle w:val="Hipervnculo"/>
            <w:rFonts w:ascii="Verdana" w:hAnsi="Verdana"/>
            <w:sz w:val="16"/>
            <w:szCs w:val="16"/>
          </w:rPr>
          <w:t>http://www.corteidh.or.cr/docs/supervisiones/quintana_21_08_14.pdf</w:t>
        </w:r>
      </w:hyperlink>
      <w:r w:rsidRPr="00EB5741">
        <w:rPr>
          <w:rFonts w:ascii="Verdana" w:hAnsi="Verdana"/>
          <w:sz w:val="16"/>
          <w:szCs w:val="16"/>
        </w:rPr>
        <w:t xml:space="preserve">. </w:t>
      </w:r>
    </w:p>
  </w:footnote>
  <w:footnote w:id="8">
    <w:p w:rsidR="007B4490" w:rsidRPr="00EB5741" w:rsidRDefault="007B4490" w:rsidP="00EB5741">
      <w:pPr>
        <w:pStyle w:val="Textonotapie"/>
        <w:tabs>
          <w:tab w:val="left" w:pos="426"/>
        </w:tabs>
        <w:jc w:val="both"/>
        <w:rPr>
          <w:rFonts w:ascii="Verdana" w:hAnsi="Verdana"/>
          <w:b/>
          <w:sz w:val="16"/>
          <w:szCs w:val="16"/>
        </w:rPr>
      </w:pPr>
      <w:r w:rsidRPr="00EB5741">
        <w:rPr>
          <w:rStyle w:val="Refdenotaalpie"/>
          <w:rFonts w:ascii="Verdana" w:hAnsi="Verdana"/>
          <w:sz w:val="16"/>
          <w:szCs w:val="16"/>
        </w:rPr>
        <w:footnoteRef/>
      </w:r>
      <w:r w:rsidRPr="00EB5741">
        <w:rPr>
          <w:rFonts w:ascii="Verdana" w:hAnsi="Verdana"/>
          <w:sz w:val="16"/>
          <w:szCs w:val="16"/>
        </w:rPr>
        <w:t xml:space="preserve"> </w:t>
      </w:r>
      <w:r w:rsidRPr="00EB5741">
        <w:rPr>
          <w:rFonts w:ascii="Verdana" w:hAnsi="Verdana"/>
          <w:sz w:val="16"/>
          <w:szCs w:val="16"/>
        </w:rPr>
        <w:tab/>
      </w:r>
      <w:r w:rsidRPr="00EB5741">
        <w:rPr>
          <w:rFonts w:ascii="Verdana" w:hAnsi="Verdana"/>
          <w:i/>
          <w:sz w:val="16"/>
          <w:szCs w:val="16"/>
        </w:rPr>
        <w:t>Cfr.</w:t>
      </w:r>
      <w:r w:rsidRPr="00EB5741">
        <w:rPr>
          <w:rFonts w:ascii="Verdana" w:hAnsi="Verdana"/>
          <w:sz w:val="16"/>
          <w:szCs w:val="16"/>
        </w:rPr>
        <w:t xml:space="preserve"> </w:t>
      </w:r>
      <w:r w:rsidRPr="00EB5741">
        <w:rPr>
          <w:rStyle w:val="Textoennegrita"/>
          <w:rFonts w:ascii="Verdana" w:hAnsi="Verdana"/>
          <w:b w:val="0"/>
          <w:i/>
          <w:color w:val="000000"/>
          <w:sz w:val="16"/>
          <w:szCs w:val="16"/>
          <w:shd w:val="clear" w:color="auto" w:fill="FFFFFF"/>
        </w:rPr>
        <w:t xml:space="preserve">Caso de la Corte Suprema de Justicia (Quintana Coello y otros) Vs. Ecuador. Supervisión de Cumplimiento de Sentencia. </w:t>
      </w:r>
      <w:r w:rsidRPr="00EB5741">
        <w:rPr>
          <w:rStyle w:val="Textoennegrita"/>
          <w:rFonts w:ascii="Verdana" w:hAnsi="Verdana"/>
          <w:b w:val="0"/>
          <w:color w:val="000000"/>
          <w:sz w:val="16"/>
          <w:szCs w:val="16"/>
          <w:shd w:val="clear" w:color="auto" w:fill="FFFFFF"/>
        </w:rPr>
        <w:t xml:space="preserve">Resolución de la Corte Interamericana de Derechos Humanos de 20 de octubre de 2016, </w:t>
      </w:r>
      <w:r w:rsidRPr="00EB5741">
        <w:rPr>
          <w:rFonts w:ascii="Verdana" w:hAnsi="Verdana"/>
          <w:sz w:val="16"/>
          <w:szCs w:val="16"/>
        </w:rPr>
        <w:t xml:space="preserve">disponible en: </w:t>
      </w:r>
      <w:hyperlink r:id="rId4" w:history="1">
        <w:r w:rsidRPr="00EB5741">
          <w:rPr>
            <w:rStyle w:val="Hipervnculo"/>
            <w:rFonts w:ascii="Verdana" w:hAnsi="Verdana"/>
            <w:sz w:val="16"/>
            <w:szCs w:val="16"/>
          </w:rPr>
          <w:t>http://www.corteidh.or.cr/docs/supervisiones/quintana_coello_20_10_16.pdf</w:t>
        </w:r>
      </w:hyperlink>
      <w:r w:rsidRPr="00EB5741">
        <w:rPr>
          <w:rFonts w:ascii="Verdana" w:hAnsi="Verdana"/>
          <w:sz w:val="16"/>
          <w:szCs w:val="16"/>
        </w:rPr>
        <w:t xml:space="preserve">. </w:t>
      </w:r>
    </w:p>
  </w:footnote>
  <w:footnote w:id="9">
    <w:p w:rsidR="00AC4931" w:rsidRPr="00EB5741" w:rsidRDefault="00AC4931" w:rsidP="00EB5741">
      <w:pPr>
        <w:pStyle w:val="Textonotapie"/>
        <w:tabs>
          <w:tab w:val="left" w:pos="426"/>
        </w:tabs>
        <w:jc w:val="both"/>
        <w:rPr>
          <w:rFonts w:ascii="Verdana" w:hAnsi="Verdana"/>
          <w:b/>
          <w:color w:val="00B050"/>
          <w:sz w:val="16"/>
          <w:szCs w:val="16"/>
          <w:lang w:val="es-CR"/>
        </w:rPr>
      </w:pPr>
      <w:r w:rsidRPr="00EB5741">
        <w:rPr>
          <w:rStyle w:val="Refdenotaalpie"/>
          <w:rFonts w:ascii="Verdana" w:hAnsi="Verdana"/>
          <w:sz w:val="16"/>
          <w:szCs w:val="16"/>
        </w:rPr>
        <w:footnoteRef/>
      </w:r>
      <w:r w:rsidRPr="00EB5741">
        <w:rPr>
          <w:rFonts w:ascii="Verdana" w:hAnsi="Verdana"/>
          <w:sz w:val="16"/>
          <w:szCs w:val="16"/>
        </w:rPr>
        <w:t xml:space="preserve"> </w:t>
      </w:r>
      <w:r w:rsidRPr="00EB5741">
        <w:rPr>
          <w:rFonts w:ascii="Verdana" w:hAnsi="Verdana"/>
          <w:sz w:val="16"/>
          <w:szCs w:val="16"/>
        </w:rPr>
        <w:tab/>
        <w:t xml:space="preserve">Escritos de </w:t>
      </w:r>
      <w:r w:rsidR="00FF1AC9" w:rsidRPr="00EB5741">
        <w:rPr>
          <w:rFonts w:ascii="Verdana" w:hAnsi="Verdana"/>
          <w:sz w:val="16"/>
          <w:szCs w:val="16"/>
        </w:rPr>
        <w:t>24 de marzo y 1</w:t>
      </w:r>
      <w:r w:rsidR="00704A92">
        <w:rPr>
          <w:rFonts w:ascii="Verdana" w:hAnsi="Verdana"/>
          <w:sz w:val="16"/>
          <w:szCs w:val="16"/>
        </w:rPr>
        <w:t>0</w:t>
      </w:r>
      <w:r w:rsidR="00FF1AC9" w:rsidRPr="00EB5741">
        <w:rPr>
          <w:rFonts w:ascii="Verdana" w:hAnsi="Verdana"/>
          <w:sz w:val="16"/>
          <w:szCs w:val="16"/>
        </w:rPr>
        <w:t xml:space="preserve"> de julio de 2017 y de 26 de noviembre de 201</w:t>
      </w:r>
      <w:r w:rsidR="00704A92">
        <w:rPr>
          <w:rFonts w:ascii="Verdana" w:hAnsi="Verdana"/>
          <w:sz w:val="16"/>
          <w:szCs w:val="16"/>
        </w:rPr>
        <w:t>8</w:t>
      </w:r>
      <w:r w:rsidR="00C45535" w:rsidRPr="00EB5741">
        <w:rPr>
          <w:rFonts w:ascii="Verdana" w:hAnsi="Verdana"/>
          <w:sz w:val="16"/>
          <w:szCs w:val="16"/>
        </w:rPr>
        <w:t>.</w:t>
      </w:r>
    </w:p>
  </w:footnote>
  <w:footnote w:id="10">
    <w:p w:rsidR="00AC4931" w:rsidRPr="00EB5741" w:rsidRDefault="00AC4931" w:rsidP="00EB5741">
      <w:pPr>
        <w:pStyle w:val="Textonotapie"/>
        <w:tabs>
          <w:tab w:val="left" w:pos="426"/>
        </w:tabs>
        <w:jc w:val="both"/>
        <w:rPr>
          <w:rFonts w:ascii="Verdana" w:hAnsi="Verdana"/>
          <w:sz w:val="16"/>
          <w:szCs w:val="16"/>
        </w:rPr>
      </w:pPr>
      <w:r w:rsidRPr="00EB5741">
        <w:rPr>
          <w:rStyle w:val="Refdenotaalpie"/>
          <w:rFonts w:ascii="Verdana" w:hAnsi="Verdana"/>
          <w:sz w:val="16"/>
          <w:szCs w:val="16"/>
        </w:rPr>
        <w:footnoteRef/>
      </w:r>
      <w:r w:rsidRPr="00EB5741">
        <w:rPr>
          <w:rFonts w:ascii="Verdana" w:hAnsi="Verdana"/>
          <w:sz w:val="16"/>
          <w:szCs w:val="16"/>
        </w:rPr>
        <w:t xml:space="preserve"> </w:t>
      </w:r>
      <w:r w:rsidRPr="00EB5741">
        <w:rPr>
          <w:rFonts w:ascii="Verdana" w:hAnsi="Verdana"/>
          <w:sz w:val="16"/>
          <w:szCs w:val="16"/>
        </w:rPr>
        <w:tab/>
        <w:t xml:space="preserve">Los señores Ramiro Ávila Santamaría y David Cordero Heredia. </w:t>
      </w:r>
    </w:p>
  </w:footnote>
  <w:footnote w:id="11">
    <w:p w:rsidR="00AC4931" w:rsidRPr="00EB5741" w:rsidRDefault="00AC4931" w:rsidP="00EB5741">
      <w:pPr>
        <w:pStyle w:val="Textonotapie"/>
        <w:tabs>
          <w:tab w:val="left" w:pos="426"/>
        </w:tabs>
        <w:jc w:val="both"/>
        <w:rPr>
          <w:rFonts w:ascii="Verdana" w:hAnsi="Verdana"/>
          <w:sz w:val="16"/>
          <w:szCs w:val="16"/>
          <w:lang w:val="es-CR"/>
        </w:rPr>
      </w:pPr>
      <w:r w:rsidRPr="00EB5741">
        <w:rPr>
          <w:rStyle w:val="Refdenotaalpie"/>
          <w:rFonts w:ascii="Verdana" w:hAnsi="Verdana"/>
          <w:sz w:val="16"/>
          <w:szCs w:val="16"/>
        </w:rPr>
        <w:footnoteRef/>
      </w:r>
      <w:r w:rsidRPr="00EB5741">
        <w:rPr>
          <w:rFonts w:ascii="Verdana" w:hAnsi="Verdana"/>
          <w:sz w:val="16"/>
          <w:szCs w:val="16"/>
          <w:lang w:val="es-CR"/>
        </w:rPr>
        <w:t xml:space="preserve"> </w:t>
      </w:r>
      <w:r w:rsidRPr="00EB5741">
        <w:rPr>
          <w:rFonts w:ascii="Verdana" w:hAnsi="Verdana"/>
          <w:sz w:val="16"/>
          <w:szCs w:val="16"/>
          <w:lang w:val="es-CR"/>
        </w:rPr>
        <w:tab/>
        <w:t xml:space="preserve">Facultad que además </w:t>
      </w:r>
      <w:r w:rsidRPr="00EB5741">
        <w:rPr>
          <w:rFonts w:ascii="Verdana" w:hAnsi="Verdana"/>
          <w:sz w:val="16"/>
          <w:szCs w:val="16"/>
          <w:lang w:val="es-ES"/>
        </w:rPr>
        <w:t xml:space="preserve">se desprende de lo dispuesto en los artículos 33, 62.1, 62.3 y 65 de la Convención Americana y </w:t>
      </w:r>
      <w:r w:rsidRPr="00EB5741">
        <w:rPr>
          <w:rFonts w:ascii="Verdana" w:hAnsi="Verdana"/>
          <w:sz w:val="16"/>
          <w:szCs w:val="16"/>
          <w:lang w:val="es-CR"/>
        </w:rPr>
        <w:t>30 de su Estatuto y se encuentra regulada en el artículo 69 de su Reglamento.</w:t>
      </w:r>
    </w:p>
  </w:footnote>
  <w:footnote w:id="12">
    <w:p w:rsidR="00EB5741" w:rsidRPr="00EB5741" w:rsidRDefault="00EB5741" w:rsidP="00EB5741">
      <w:pPr>
        <w:pStyle w:val="Textonotapie"/>
        <w:tabs>
          <w:tab w:val="left" w:pos="426"/>
        </w:tabs>
        <w:jc w:val="both"/>
      </w:pPr>
      <w:r w:rsidRPr="00EB5741">
        <w:rPr>
          <w:rStyle w:val="Refdenotaalpie"/>
          <w:rFonts w:ascii="Verdana" w:hAnsi="Verdana"/>
          <w:sz w:val="16"/>
          <w:szCs w:val="16"/>
        </w:rPr>
        <w:footnoteRef/>
      </w:r>
      <w:r w:rsidRPr="00EB5741">
        <w:rPr>
          <w:rFonts w:ascii="Verdana" w:hAnsi="Verdana"/>
          <w:sz w:val="16"/>
          <w:szCs w:val="16"/>
        </w:rPr>
        <w:t xml:space="preserve"> </w:t>
      </w:r>
      <w:r w:rsidRPr="00EB5741">
        <w:rPr>
          <w:rFonts w:ascii="Verdana" w:hAnsi="Verdana"/>
          <w:sz w:val="16"/>
          <w:szCs w:val="16"/>
        </w:rPr>
        <w:tab/>
        <w:t xml:space="preserve">La Resolución de agosto de 2014 “se </w:t>
      </w:r>
      <w:proofErr w:type="spellStart"/>
      <w:r w:rsidRPr="00EB5741">
        <w:rPr>
          <w:rFonts w:ascii="Verdana" w:hAnsi="Verdana"/>
          <w:sz w:val="16"/>
          <w:szCs w:val="16"/>
        </w:rPr>
        <w:t>concentr</w:t>
      </w:r>
      <w:proofErr w:type="spellEnd"/>
      <w:r w:rsidRPr="00EB5741">
        <w:rPr>
          <w:rFonts w:ascii="Verdana" w:hAnsi="Verdana"/>
          <w:sz w:val="16"/>
          <w:szCs w:val="16"/>
        </w:rPr>
        <w:t>[ó] exclusivamente en examinar lo dispuesto […] en el párrafo 240 de la Sentencia, con relación a la reparación del daño material ordenada a favor de los señores Donoso, Troya y Velasco”.</w:t>
      </w:r>
    </w:p>
  </w:footnote>
  <w:footnote w:id="13">
    <w:p w:rsidR="00AB79F6" w:rsidRPr="00B93F1F" w:rsidRDefault="00AB79F6" w:rsidP="00B93F1F">
      <w:pPr>
        <w:pStyle w:val="Textonotapie"/>
        <w:tabs>
          <w:tab w:val="left" w:pos="426"/>
        </w:tabs>
        <w:jc w:val="both"/>
        <w:rPr>
          <w:rFonts w:ascii="Verdana" w:hAnsi="Verdana"/>
          <w:sz w:val="16"/>
          <w:szCs w:val="16"/>
          <w:lang w:val="es-CR"/>
        </w:rPr>
      </w:pPr>
      <w:r w:rsidRPr="00B93F1F">
        <w:rPr>
          <w:rStyle w:val="Refdenotaalpie"/>
          <w:rFonts w:ascii="Verdana" w:hAnsi="Verdana"/>
          <w:sz w:val="16"/>
          <w:szCs w:val="16"/>
        </w:rPr>
        <w:footnoteRef/>
      </w:r>
      <w:r w:rsidRPr="00B93F1F">
        <w:rPr>
          <w:rFonts w:ascii="Verdana" w:hAnsi="Verdana"/>
          <w:sz w:val="16"/>
          <w:szCs w:val="16"/>
        </w:rPr>
        <w:t xml:space="preserve"> </w:t>
      </w:r>
      <w:r w:rsidRPr="00B93F1F">
        <w:rPr>
          <w:rFonts w:ascii="Verdana" w:hAnsi="Verdana"/>
          <w:sz w:val="16"/>
          <w:szCs w:val="16"/>
        </w:rPr>
        <w:tab/>
      </w:r>
      <w:r w:rsidR="00B93F1F" w:rsidRPr="00B93F1F">
        <w:rPr>
          <w:rFonts w:ascii="Verdana" w:hAnsi="Verdana"/>
          <w:sz w:val="16"/>
          <w:szCs w:val="16"/>
        </w:rPr>
        <w:t>P</w:t>
      </w:r>
      <w:r w:rsidRPr="00B93F1F">
        <w:rPr>
          <w:rFonts w:ascii="Verdana" w:hAnsi="Verdana"/>
          <w:sz w:val="16"/>
          <w:szCs w:val="16"/>
        </w:rPr>
        <w:t>unto dispositivo noveno de la Sentencia</w:t>
      </w:r>
      <w:r w:rsidR="00B93F1F" w:rsidRPr="00B93F1F">
        <w:rPr>
          <w:rFonts w:ascii="Verdana" w:hAnsi="Verdana"/>
          <w:sz w:val="16"/>
          <w:szCs w:val="16"/>
        </w:rPr>
        <w:t>.</w:t>
      </w:r>
    </w:p>
  </w:footnote>
  <w:footnote w:id="14">
    <w:p w:rsidR="00B93F1F" w:rsidRPr="00B93F1F" w:rsidRDefault="00B93F1F" w:rsidP="00B93F1F">
      <w:pPr>
        <w:pStyle w:val="Textonotapie"/>
        <w:tabs>
          <w:tab w:val="left" w:pos="426"/>
        </w:tabs>
        <w:rPr>
          <w:rFonts w:ascii="Verdana" w:hAnsi="Verdana"/>
          <w:sz w:val="16"/>
          <w:szCs w:val="16"/>
          <w:lang w:val="es-CR"/>
        </w:rPr>
      </w:pPr>
      <w:r w:rsidRPr="00B93F1F">
        <w:rPr>
          <w:rStyle w:val="Refdenotaalpie"/>
          <w:rFonts w:ascii="Verdana" w:hAnsi="Verdana"/>
          <w:sz w:val="16"/>
          <w:szCs w:val="16"/>
        </w:rPr>
        <w:footnoteRef/>
      </w:r>
      <w:r w:rsidRPr="00B93F1F">
        <w:rPr>
          <w:rFonts w:ascii="Verdana" w:hAnsi="Verdana"/>
          <w:sz w:val="16"/>
          <w:szCs w:val="16"/>
        </w:rPr>
        <w:t xml:space="preserve"> </w:t>
      </w:r>
      <w:r w:rsidRPr="00B93F1F">
        <w:rPr>
          <w:rFonts w:ascii="Verdana" w:hAnsi="Verdana"/>
          <w:sz w:val="16"/>
          <w:szCs w:val="16"/>
        </w:rPr>
        <w:tab/>
        <w:t>Punto dispositivo décimo de la Sentencia.</w:t>
      </w:r>
    </w:p>
  </w:footnote>
  <w:footnote w:id="15">
    <w:p w:rsidR="00B93F1F" w:rsidRPr="00B93F1F" w:rsidRDefault="00B93F1F" w:rsidP="00B93F1F">
      <w:pPr>
        <w:pStyle w:val="Textonotapie"/>
        <w:tabs>
          <w:tab w:val="left" w:pos="426"/>
        </w:tabs>
        <w:rPr>
          <w:rFonts w:ascii="Verdana" w:hAnsi="Verdana"/>
          <w:sz w:val="16"/>
          <w:szCs w:val="16"/>
          <w:lang w:val="es-CR"/>
        </w:rPr>
      </w:pPr>
      <w:r w:rsidRPr="00B93F1F">
        <w:rPr>
          <w:rStyle w:val="Refdenotaalpie"/>
          <w:rFonts w:ascii="Verdana" w:hAnsi="Verdana"/>
          <w:sz w:val="16"/>
          <w:szCs w:val="16"/>
        </w:rPr>
        <w:footnoteRef/>
      </w:r>
      <w:r w:rsidRPr="00B93F1F">
        <w:rPr>
          <w:rFonts w:ascii="Verdana" w:hAnsi="Verdana"/>
          <w:sz w:val="16"/>
          <w:szCs w:val="16"/>
        </w:rPr>
        <w:t xml:space="preserve"> </w:t>
      </w:r>
      <w:r w:rsidRPr="00B93F1F">
        <w:rPr>
          <w:rFonts w:ascii="Verdana" w:hAnsi="Verdana"/>
          <w:sz w:val="16"/>
          <w:szCs w:val="16"/>
        </w:rPr>
        <w:tab/>
        <w:t>Punto dispositivo décimo primero de la Sentencia.</w:t>
      </w:r>
    </w:p>
  </w:footnote>
  <w:footnote w:id="16">
    <w:p w:rsidR="000B6141" w:rsidRPr="000C7CDF" w:rsidRDefault="000B6141" w:rsidP="000B6141">
      <w:pPr>
        <w:pStyle w:val="Textonotapie"/>
        <w:tabs>
          <w:tab w:val="left" w:pos="426"/>
        </w:tabs>
        <w:jc w:val="both"/>
        <w:rPr>
          <w:rFonts w:ascii="Verdana" w:hAnsi="Verdana"/>
          <w:sz w:val="16"/>
          <w:szCs w:val="16"/>
          <w:lang w:val="es-CR"/>
        </w:rPr>
      </w:pPr>
      <w:r w:rsidRPr="000C7CDF">
        <w:rPr>
          <w:rStyle w:val="Refdenotaalpie"/>
          <w:rFonts w:ascii="Verdana" w:hAnsi="Verdana"/>
          <w:sz w:val="16"/>
          <w:szCs w:val="16"/>
        </w:rPr>
        <w:footnoteRef/>
      </w:r>
      <w:r w:rsidRPr="000C7CDF">
        <w:rPr>
          <w:rFonts w:ascii="Verdana" w:hAnsi="Verdana"/>
          <w:sz w:val="16"/>
          <w:szCs w:val="16"/>
        </w:rPr>
        <w:t xml:space="preserve"> </w:t>
      </w:r>
      <w:r w:rsidRPr="000C7CDF">
        <w:rPr>
          <w:rFonts w:ascii="Verdana" w:hAnsi="Verdana"/>
          <w:sz w:val="16"/>
          <w:szCs w:val="16"/>
          <w:lang w:val="es-CR"/>
        </w:rPr>
        <w:tab/>
      </w:r>
      <w:r w:rsidRPr="000C7CDF">
        <w:rPr>
          <w:rFonts w:ascii="Verdana" w:hAnsi="Verdana"/>
          <w:i/>
          <w:sz w:val="16"/>
          <w:szCs w:val="16"/>
        </w:rPr>
        <w:t>Cfr. Caso Cinco Pensionistas Vs. Perú</w:t>
      </w:r>
      <w:r>
        <w:rPr>
          <w:rFonts w:ascii="Verdana" w:hAnsi="Verdana"/>
          <w:i/>
          <w:sz w:val="16"/>
          <w:szCs w:val="16"/>
        </w:rPr>
        <w:t>.</w:t>
      </w:r>
      <w:r w:rsidRPr="000C7CDF">
        <w:rPr>
          <w:rFonts w:ascii="Verdana" w:hAnsi="Verdana"/>
          <w:i/>
          <w:sz w:val="16"/>
          <w:szCs w:val="16"/>
        </w:rPr>
        <w:t xml:space="preserve"> Supervisión de Cumplimiento de Sentencia.</w:t>
      </w:r>
      <w:r>
        <w:rPr>
          <w:rFonts w:ascii="Verdana" w:hAnsi="Verdana"/>
          <w:sz w:val="16"/>
          <w:szCs w:val="16"/>
        </w:rPr>
        <w:t xml:space="preserve"> </w:t>
      </w:r>
      <w:r w:rsidRPr="000C7CDF">
        <w:rPr>
          <w:rFonts w:ascii="Verdana" w:hAnsi="Verdana"/>
          <w:sz w:val="16"/>
          <w:szCs w:val="16"/>
        </w:rPr>
        <w:t xml:space="preserve">Resolución de la Corte </w:t>
      </w:r>
      <w:r w:rsidR="00D77849">
        <w:rPr>
          <w:rFonts w:ascii="Verdana" w:hAnsi="Verdana"/>
          <w:sz w:val="16"/>
          <w:szCs w:val="16"/>
        </w:rPr>
        <w:t xml:space="preserve">Interamericana de Derechos Humanos </w:t>
      </w:r>
      <w:r w:rsidRPr="000C7CDF">
        <w:rPr>
          <w:rFonts w:ascii="Verdana" w:hAnsi="Verdana"/>
          <w:sz w:val="16"/>
          <w:szCs w:val="16"/>
        </w:rPr>
        <w:t xml:space="preserve">de 17 de noviembre de 2004, Considerando quinto, y </w:t>
      </w:r>
      <w:r w:rsidR="00C25115" w:rsidRPr="00C25115">
        <w:rPr>
          <w:rStyle w:val="Textoennegrita"/>
          <w:rFonts w:ascii="Verdana" w:hAnsi="Verdana"/>
          <w:b w:val="0"/>
          <w:i/>
          <w:color w:val="000000"/>
          <w:sz w:val="16"/>
          <w:szCs w:val="16"/>
          <w:shd w:val="clear" w:color="auto" w:fill="FFFFFF"/>
        </w:rPr>
        <w:t>Caso Fornerón e hija Vs. Argentina. Supervisión de Cumplimiento de Sentencia.</w:t>
      </w:r>
      <w:r w:rsidR="00C25115" w:rsidRPr="00C25115">
        <w:rPr>
          <w:rStyle w:val="Textoennegrita"/>
          <w:rFonts w:ascii="Verdana" w:hAnsi="Verdana"/>
          <w:b w:val="0"/>
          <w:color w:val="000000"/>
          <w:sz w:val="16"/>
          <w:szCs w:val="16"/>
          <w:shd w:val="clear" w:color="auto" w:fill="FFFFFF"/>
        </w:rPr>
        <w:t xml:space="preserve"> Resolución de la Corte Interamericana de Derechos Humanos de 28 de noviembre de 2018</w:t>
      </w:r>
      <w:r w:rsidRPr="00C25115">
        <w:rPr>
          <w:rStyle w:val="Textoennegrita"/>
          <w:rFonts w:ascii="Verdana" w:hAnsi="Verdana"/>
          <w:b w:val="0"/>
          <w:color w:val="000000"/>
          <w:sz w:val="16"/>
          <w:szCs w:val="16"/>
          <w:shd w:val="clear" w:color="auto" w:fill="FFFFFF"/>
        </w:rPr>
        <w:t xml:space="preserve">, </w:t>
      </w:r>
      <w:r w:rsidRPr="000C7CDF">
        <w:rPr>
          <w:rStyle w:val="Textoennegrita"/>
          <w:rFonts w:ascii="Verdana" w:hAnsi="Verdana"/>
          <w:b w:val="0"/>
          <w:color w:val="000000"/>
          <w:sz w:val="16"/>
          <w:szCs w:val="16"/>
          <w:shd w:val="clear" w:color="auto" w:fill="FFFFFF"/>
        </w:rPr>
        <w:t>Considerando segundo</w:t>
      </w:r>
      <w:r>
        <w:rPr>
          <w:rStyle w:val="Textoennegrita"/>
          <w:rFonts w:ascii="Verdana" w:hAnsi="Verdana"/>
          <w:b w:val="0"/>
          <w:color w:val="000000"/>
          <w:sz w:val="16"/>
          <w:szCs w:val="16"/>
          <w:shd w:val="clear" w:color="auto" w:fill="FFFFFF"/>
        </w:rPr>
        <w:t>.</w:t>
      </w:r>
    </w:p>
  </w:footnote>
  <w:footnote w:id="17">
    <w:p w:rsidR="000B6141" w:rsidRPr="000B6141" w:rsidRDefault="000B6141" w:rsidP="000B6141">
      <w:pPr>
        <w:pStyle w:val="Textonotapie"/>
        <w:tabs>
          <w:tab w:val="left" w:pos="426"/>
        </w:tabs>
        <w:jc w:val="both"/>
        <w:rPr>
          <w:rFonts w:ascii="Verdana" w:hAnsi="Verdana"/>
          <w:sz w:val="16"/>
          <w:szCs w:val="16"/>
          <w:lang w:val="es-CR"/>
        </w:rPr>
      </w:pPr>
      <w:r w:rsidRPr="00577323">
        <w:rPr>
          <w:rStyle w:val="Refdenotaalpie"/>
          <w:rFonts w:ascii="Verdana" w:hAnsi="Verdana"/>
          <w:sz w:val="16"/>
          <w:szCs w:val="16"/>
        </w:rPr>
        <w:footnoteRef/>
      </w:r>
      <w:r w:rsidRPr="00577323">
        <w:rPr>
          <w:rFonts w:ascii="Verdana" w:hAnsi="Verdana"/>
          <w:sz w:val="16"/>
          <w:szCs w:val="16"/>
          <w:lang w:val="de-DE"/>
        </w:rPr>
        <w:t xml:space="preserve"> </w:t>
      </w:r>
      <w:r w:rsidRPr="00577323">
        <w:rPr>
          <w:rFonts w:ascii="Verdana" w:hAnsi="Verdana"/>
          <w:sz w:val="16"/>
          <w:szCs w:val="16"/>
          <w:lang w:val="de-DE"/>
        </w:rPr>
        <w:tab/>
      </w:r>
      <w:r w:rsidRPr="00577323">
        <w:rPr>
          <w:rFonts w:ascii="Verdana" w:hAnsi="Verdana"/>
          <w:i/>
          <w:noProof/>
          <w:color w:val="000000"/>
          <w:sz w:val="16"/>
          <w:szCs w:val="16"/>
          <w:lang w:val="de-DE"/>
        </w:rPr>
        <w:t xml:space="preserve">Cfr. Caso Ivcher Bronstein Vs. </w:t>
      </w:r>
      <w:r w:rsidRPr="00577323">
        <w:rPr>
          <w:rFonts w:ascii="Verdana" w:hAnsi="Verdana"/>
          <w:i/>
          <w:noProof/>
          <w:color w:val="000000"/>
          <w:sz w:val="16"/>
          <w:szCs w:val="16"/>
          <w:lang w:val="es-ES"/>
        </w:rPr>
        <w:t>Perú. Competencia.</w:t>
      </w:r>
      <w:r w:rsidRPr="00577323">
        <w:rPr>
          <w:rFonts w:ascii="Verdana" w:hAnsi="Verdana"/>
          <w:noProof/>
          <w:color w:val="000000"/>
          <w:sz w:val="16"/>
          <w:szCs w:val="16"/>
          <w:lang w:val="es-ES"/>
        </w:rPr>
        <w:t xml:space="preserve"> Sentencia de de la Corte Interamericana de Derechos Humanos de 24 de septiembre de 1999.</w:t>
      </w:r>
      <w:r w:rsidRPr="00577323">
        <w:rPr>
          <w:rFonts w:ascii="Verdana" w:hAnsi="Verdana"/>
          <w:color w:val="000000"/>
          <w:sz w:val="16"/>
          <w:szCs w:val="16"/>
          <w:lang w:val="es-ES"/>
        </w:rPr>
        <w:t xml:space="preserve"> </w:t>
      </w:r>
      <w:r w:rsidRPr="00577323">
        <w:rPr>
          <w:rFonts w:ascii="Verdana" w:hAnsi="Verdana"/>
          <w:noProof/>
          <w:color w:val="000000"/>
          <w:sz w:val="16"/>
          <w:szCs w:val="16"/>
          <w:lang w:val="es-ES"/>
        </w:rPr>
        <w:t xml:space="preserve">Serie C No. 54, párr. 37, </w:t>
      </w:r>
      <w:r w:rsidRPr="00577323">
        <w:rPr>
          <w:rFonts w:ascii="Verdana" w:hAnsi="Verdana"/>
          <w:bCs/>
          <w:color w:val="000000"/>
          <w:sz w:val="16"/>
          <w:szCs w:val="16"/>
          <w:lang w:bidi="en-US"/>
        </w:rPr>
        <w:t xml:space="preserve">y </w:t>
      </w:r>
      <w:r w:rsidRPr="0043134D">
        <w:rPr>
          <w:rStyle w:val="Textoennegrita"/>
          <w:rFonts w:ascii="Verdana" w:hAnsi="Verdana"/>
          <w:b w:val="0"/>
          <w:i/>
          <w:color w:val="000000"/>
          <w:sz w:val="16"/>
          <w:szCs w:val="16"/>
          <w:shd w:val="clear" w:color="auto" w:fill="FFFFFF"/>
        </w:rPr>
        <w:t xml:space="preserve">Caso </w:t>
      </w:r>
      <w:r w:rsidR="00C25115">
        <w:rPr>
          <w:rStyle w:val="Textoennegrita"/>
          <w:rFonts w:ascii="Verdana" w:hAnsi="Verdana"/>
          <w:b w:val="0"/>
          <w:i/>
          <w:color w:val="000000"/>
          <w:sz w:val="16"/>
          <w:szCs w:val="16"/>
          <w:shd w:val="clear" w:color="auto" w:fill="FFFFFF"/>
        </w:rPr>
        <w:t>Fornerón e hija</w:t>
      </w:r>
      <w:r w:rsidRPr="0043134D">
        <w:rPr>
          <w:rStyle w:val="Textoennegrita"/>
          <w:rFonts w:ascii="Verdana" w:hAnsi="Verdana"/>
          <w:b w:val="0"/>
          <w:i/>
          <w:color w:val="000000"/>
          <w:sz w:val="16"/>
          <w:szCs w:val="16"/>
          <w:shd w:val="clear" w:color="auto" w:fill="FFFFFF"/>
        </w:rPr>
        <w:t xml:space="preserve"> Vs. </w:t>
      </w:r>
      <w:r w:rsidR="00C25115">
        <w:rPr>
          <w:rStyle w:val="Textoennegrita"/>
          <w:rFonts w:ascii="Verdana" w:hAnsi="Verdana"/>
          <w:b w:val="0"/>
          <w:i/>
          <w:color w:val="000000"/>
          <w:sz w:val="16"/>
          <w:szCs w:val="16"/>
          <w:shd w:val="clear" w:color="auto" w:fill="FFFFFF"/>
        </w:rPr>
        <w:t>Argentina</w:t>
      </w:r>
      <w:r w:rsidR="0087250D">
        <w:rPr>
          <w:rStyle w:val="Textoennegrita"/>
          <w:rFonts w:ascii="Verdana" w:hAnsi="Verdana"/>
          <w:b w:val="0"/>
          <w:color w:val="000000"/>
          <w:sz w:val="16"/>
          <w:szCs w:val="16"/>
          <w:shd w:val="clear" w:color="auto" w:fill="FFFFFF"/>
        </w:rPr>
        <w:t xml:space="preserve">, </w:t>
      </w:r>
      <w:r w:rsidR="0087250D" w:rsidRPr="00265A1D">
        <w:rPr>
          <w:rStyle w:val="Textoennegrita"/>
          <w:rFonts w:ascii="Verdana" w:hAnsi="Verdana"/>
          <w:b w:val="0"/>
          <w:i/>
          <w:color w:val="000000"/>
          <w:sz w:val="16"/>
          <w:szCs w:val="16"/>
          <w:shd w:val="clear" w:color="auto" w:fill="FFFFFF"/>
        </w:rPr>
        <w:t>supra</w:t>
      </w:r>
      <w:r w:rsidR="0087250D">
        <w:rPr>
          <w:rStyle w:val="Textoennegrita"/>
          <w:rFonts w:ascii="Verdana" w:hAnsi="Verdana"/>
          <w:b w:val="0"/>
          <w:color w:val="000000"/>
          <w:sz w:val="16"/>
          <w:szCs w:val="16"/>
          <w:shd w:val="clear" w:color="auto" w:fill="FFFFFF"/>
        </w:rPr>
        <w:t xml:space="preserve"> nota </w:t>
      </w:r>
      <w:r w:rsidR="00C25115">
        <w:rPr>
          <w:rStyle w:val="Textoennegrita"/>
          <w:rFonts w:ascii="Verdana" w:hAnsi="Verdana"/>
          <w:b w:val="0"/>
          <w:color w:val="000000"/>
          <w:sz w:val="16"/>
          <w:szCs w:val="16"/>
          <w:shd w:val="clear" w:color="auto" w:fill="FFFFFF"/>
        </w:rPr>
        <w:t>15</w:t>
      </w:r>
      <w:r w:rsidRPr="0043134D">
        <w:rPr>
          <w:rStyle w:val="Textoennegrita"/>
          <w:rFonts w:ascii="Verdana" w:hAnsi="Verdana"/>
          <w:b w:val="0"/>
          <w:color w:val="000000"/>
          <w:sz w:val="16"/>
          <w:szCs w:val="16"/>
          <w:shd w:val="clear" w:color="auto" w:fill="FFFFFF"/>
        </w:rPr>
        <w:t xml:space="preserve">, Considerando </w:t>
      </w:r>
      <w:r w:rsidR="00C25115">
        <w:rPr>
          <w:rStyle w:val="Textoennegrita"/>
          <w:rFonts w:ascii="Verdana" w:hAnsi="Verdana"/>
          <w:b w:val="0"/>
          <w:color w:val="000000"/>
          <w:sz w:val="16"/>
          <w:szCs w:val="16"/>
          <w:shd w:val="clear" w:color="auto" w:fill="FFFFFF"/>
        </w:rPr>
        <w:t>segundo</w:t>
      </w:r>
      <w:r>
        <w:rPr>
          <w:rStyle w:val="Textoennegrita"/>
          <w:rFonts w:ascii="Verdana" w:hAnsi="Verdana"/>
          <w:b w:val="0"/>
          <w:color w:val="000000"/>
          <w:sz w:val="16"/>
          <w:szCs w:val="16"/>
          <w:shd w:val="clear" w:color="auto" w:fill="FFFFFF"/>
        </w:rPr>
        <w:t>.</w:t>
      </w:r>
    </w:p>
  </w:footnote>
  <w:footnote w:id="18">
    <w:p w:rsidR="00D66673" w:rsidRPr="0095184D" w:rsidRDefault="00D66673" w:rsidP="0095184D">
      <w:pPr>
        <w:pStyle w:val="Textonotapie"/>
        <w:tabs>
          <w:tab w:val="left" w:pos="426"/>
        </w:tabs>
        <w:jc w:val="both"/>
        <w:rPr>
          <w:rFonts w:ascii="Verdana" w:hAnsi="Verdana"/>
          <w:sz w:val="16"/>
          <w:szCs w:val="16"/>
        </w:rPr>
      </w:pPr>
      <w:r w:rsidRPr="0095184D">
        <w:rPr>
          <w:rStyle w:val="Refdenotaalpie"/>
          <w:rFonts w:ascii="Verdana" w:hAnsi="Verdana"/>
          <w:sz w:val="16"/>
          <w:szCs w:val="16"/>
        </w:rPr>
        <w:footnoteRef/>
      </w:r>
      <w:r w:rsidRPr="0095184D">
        <w:rPr>
          <w:rFonts w:ascii="Verdana" w:hAnsi="Verdana"/>
          <w:sz w:val="16"/>
          <w:szCs w:val="16"/>
        </w:rPr>
        <w:t xml:space="preserve"> </w:t>
      </w:r>
      <w:r w:rsidRPr="0095184D">
        <w:rPr>
          <w:rFonts w:ascii="Verdana" w:hAnsi="Verdana"/>
          <w:sz w:val="16"/>
          <w:szCs w:val="16"/>
        </w:rPr>
        <w:tab/>
      </w:r>
      <w:r w:rsidRPr="0095184D">
        <w:rPr>
          <w:rFonts w:ascii="Verdana" w:hAnsi="Verdana"/>
          <w:i/>
          <w:sz w:val="16"/>
          <w:szCs w:val="16"/>
        </w:rPr>
        <w:t xml:space="preserve">Cfr. </w:t>
      </w:r>
      <w:r w:rsidRPr="0095184D">
        <w:rPr>
          <w:rStyle w:val="Textoennegrita"/>
          <w:rFonts w:ascii="Verdana" w:hAnsi="Verdana"/>
          <w:b w:val="0"/>
          <w:i/>
          <w:color w:val="000000"/>
          <w:sz w:val="16"/>
          <w:szCs w:val="16"/>
          <w:shd w:val="clear" w:color="auto" w:fill="FFFFFF"/>
        </w:rPr>
        <w:t>Caso de la Corte Suprema de Justicia (Quintana Coello y otros), supra</w:t>
      </w:r>
      <w:r w:rsidR="0095184D" w:rsidRPr="0095184D">
        <w:rPr>
          <w:rStyle w:val="Textoennegrita"/>
          <w:rFonts w:ascii="Verdana" w:hAnsi="Verdana"/>
          <w:b w:val="0"/>
          <w:color w:val="000000"/>
          <w:sz w:val="16"/>
          <w:szCs w:val="16"/>
          <w:shd w:val="clear" w:color="auto" w:fill="FFFFFF"/>
        </w:rPr>
        <w:t xml:space="preserve"> nota 1</w:t>
      </w:r>
      <w:r w:rsidRPr="0095184D">
        <w:rPr>
          <w:rStyle w:val="Textoennegrita"/>
          <w:rFonts w:ascii="Verdana" w:hAnsi="Verdana"/>
          <w:b w:val="0"/>
          <w:i/>
          <w:color w:val="000000"/>
          <w:sz w:val="16"/>
          <w:szCs w:val="16"/>
          <w:shd w:val="clear" w:color="auto" w:fill="FFFFFF"/>
        </w:rPr>
        <w:t xml:space="preserve">, </w:t>
      </w:r>
      <w:r w:rsidRPr="0095184D">
        <w:rPr>
          <w:rStyle w:val="Textoennegrita"/>
          <w:rFonts w:ascii="Verdana" w:hAnsi="Verdana"/>
          <w:b w:val="0"/>
          <w:color w:val="000000"/>
          <w:sz w:val="16"/>
          <w:szCs w:val="16"/>
          <w:shd w:val="clear" w:color="auto" w:fill="FFFFFF"/>
        </w:rPr>
        <w:t>párr. 252.</w:t>
      </w:r>
    </w:p>
  </w:footnote>
  <w:footnote w:id="19">
    <w:p w:rsidR="0095184D" w:rsidRPr="0095184D" w:rsidRDefault="0095184D" w:rsidP="0095184D">
      <w:pPr>
        <w:pStyle w:val="Textonotapie"/>
        <w:tabs>
          <w:tab w:val="left" w:pos="426"/>
        </w:tabs>
        <w:jc w:val="both"/>
        <w:rPr>
          <w:rFonts w:ascii="Verdana" w:hAnsi="Verdana"/>
          <w:sz w:val="16"/>
          <w:szCs w:val="16"/>
        </w:rPr>
      </w:pPr>
      <w:r w:rsidRPr="0095184D">
        <w:rPr>
          <w:rStyle w:val="Refdenotaalpie"/>
          <w:rFonts w:ascii="Verdana" w:hAnsi="Verdana"/>
          <w:sz w:val="16"/>
          <w:szCs w:val="16"/>
        </w:rPr>
        <w:footnoteRef/>
      </w:r>
      <w:r w:rsidRPr="0095184D">
        <w:rPr>
          <w:rFonts w:ascii="Verdana" w:hAnsi="Verdana"/>
          <w:sz w:val="16"/>
          <w:szCs w:val="16"/>
        </w:rPr>
        <w:t xml:space="preserve"> </w:t>
      </w:r>
      <w:r w:rsidRPr="0095184D">
        <w:rPr>
          <w:rFonts w:ascii="Verdana" w:hAnsi="Verdana"/>
          <w:sz w:val="16"/>
          <w:szCs w:val="16"/>
        </w:rPr>
        <w:tab/>
      </w:r>
      <w:r w:rsidRPr="0095184D">
        <w:rPr>
          <w:rFonts w:ascii="Verdana" w:hAnsi="Verdana"/>
          <w:i/>
          <w:sz w:val="16"/>
          <w:szCs w:val="16"/>
        </w:rPr>
        <w:t xml:space="preserve">Cfr. </w:t>
      </w:r>
      <w:r w:rsidRPr="0095184D">
        <w:rPr>
          <w:rStyle w:val="Textoennegrita"/>
          <w:rFonts w:ascii="Verdana" w:hAnsi="Verdana"/>
          <w:b w:val="0"/>
          <w:i/>
          <w:color w:val="000000"/>
          <w:sz w:val="16"/>
          <w:szCs w:val="16"/>
          <w:shd w:val="clear" w:color="auto" w:fill="FFFFFF"/>
        </w:rPr>
        <w:t>Caso de la Corte Suprema de Justicia (Quintana Coello y otros), supra</w:t>
      </w:r>
      <w:r w:rsidRPr="0095184D">
        <w:rPr>
          <w:rStyle w:val="Textoennegrita"/>
          <w:rFonts w:ascii="Verdana" w:hAnsi="Verdana"/>
          <w:b w:val="0"/>
          <w:color w:val="000000"/>
          <w:sz w:val="16"/>
          <w:szCs w:val="16"/>
          <w:shd w:val="clear" w:color="auto" w:fill="FFFFFF"/>
        </w:rPr>
        <w:t xml:space="preserve"> nota 7, Considerandos 15, 25 y 26.</w:t>
      </w:r>
    </w:p>
  </w:footnote>
  <w:footnote w:id="20">
    <w:p w:rsidR="0095184D" w:rsidRPr="0095184D" w:rsidRDefault="0095184D" w:rsidP="0095184D">
      <w:pPr>
        <w:pStyle w:val="Textonotapie"/>
        <w:tabs>
          <w:tab w:val="left" w:pos="426"/>
        </w:tabs>
        <w:jc w:val="both"/>
        <w:rPr>
          <w:rFonts w:ascii="Verdana" w:hAnsi="Verdana"/>
          <w:sz w:val="16"/>
          <w:szCs w:val="16"/>
        </w:rPr>
      </w:pPr>
      <w:r w:rsidRPr="0095184D">
        <w:rPr>
          <w:rStyle w:val="Refdenotaalpie"/>
          <w:rFonts w:ascii="Verdana" w:hAnsi="Verdana"/>
          <w:sz w:val="16"/>
          <w:szCs w:val="16"/>
        </w:rPr>
        <w:footnoteRef/>
      </w:r>
      <w:r w:rsidRPr="0095184D">
        <w:rPr>
          <w:rFonts w:ascii="Verdana" w:hAnsi="Verdana"/>
          <w:sz w:val="16"/>
          <w:szCs w:val="16"/>
        </w:rPr>
        <w:t xml:space="preserve"> </w:t>
      </w:r>
      <w:r w:rsidRPr="0095184D">
        <w:rPr>
          <w:rFonts w:ascii="Verdana" w:hAnsi="Verdana"/>
          <w:sz w:val="16"/>
          <w:szCs w:val="16"/>
        </w:rPr>
        <w:tab/>
        <w:t xml:space="preserve">Respecto del pago de la indemnización por concepto de daño material la Corte verificó que el pago del primer y segundo fueron realizados por Ecuador dentro de los plazos otorgados en la Sentencia, mientras que el pago del tercer tracto fue realizado en agosto de 2016, es decir, con aproximadamente cuatro meses de atraso, por lo cual el Estado incurrió en mora. Con base en lo dispuesto en el párrafo 281 de la Sentencia, el cual establece que si el Estado incurría en mora en el cumplimiento de los pagos ordenados en la Sentencia, debía pagar el interés moratorio correspondiente, la Corte dispuso que Ecuador debía pagar a las 27 víctimas o sus derechohabientes los intereses moratorios que les correspondieran por el retraso generado entre la fecha dispuesta para el cumplimiento del pago del tercer tracto, el 30 de marzo de 2016 y las fechas de pago efectivo en agosto de 2016. </w:t>
      </w:r>
      <w:r w:rsidRPr="0095184D">
        <w:rPr>
          <w:rFonts w:ascii="Verdana" w:hAnsi="Verdana"/>
          <w:i/>
          <w:sz w:val="16"/>
          <w:szCs w:val="16"/>
        </w:rPr>
        <w:t xml:space="preserve">Cfr. </w:t>
      </w:r>
      <w:r w:rsidRPr="0095184D">
        <w:rPr>
          <w:rStyle w:val="Textoennegrita"/>
          <w:rFonts w:ascii="Verdana" w:hAnsi="Verdana"/>
          <w:b w:val="0"/>
          <w:i/>
          <w:color w:val="000000"/>
          <w:sz w:val="16"/>
          <w:szCs w:val="16"/>
          <w:shd w:val="clear" w:color="auto" w:fill="FFFFFF"/>
        </w:rPr>
        <w:t>Caso de la Corte Suprema de Justicia (Quintana Coello y otros), supra</w:t>
      </w:r>
      <w:r w:rsidRPr="0095184D">
        <w:rPr>
          <w:rStyle w:val="Textoennegrita"/>
          <w:rFonts w:ascii="Verdana" w:hAnsi="Verdana"/>
          <w:b w:val="0"/>
          <w:color w:val="000000"/>
          <w:sz w:val="16"/>
          <w:szCs w:val="16"/>
          <w:shd w:val="clear" w:color="auto" w:fill="FFFFFF"/>
        </w:rPr>
        <w:t xml:space="preserve"> nota 7, Considerandos 15 y 17.</w:t>
      </w:r>
    </w:p>
  </w:footnote>
  <w:footnote w:id="21">
    <w:p w:rsidR="0095184D" w:rsidRPr="0095184D" w:rsidRDefault="0095184D" w:rsidP="0095184D">
      <w:pPr>
        <w:pStyle w:val="Textonotapie"/>
        <w:tabs>
          <w:tab w:val="left" w:pos="426"/>
        </w:tabs>
        <w:jc w:val="both"/>
        <w:rPr>
          <w:rFonts w:ascii="Verdana" w:hAnsi="Verdana"/>
          <w:sz w:val="16"/>
          <w:szCs w:val="16"/>
        </w:rPr>
      </w:pPr>
      <w:r w:rsidRPr="0095184D">
        <w:rPr>
          <w:rStyle w:val="Refdenotaalpie"/>
          <w:rFonts w:ascii="Verdana" w:hAnsi="Verdana"/>
          <w:sz w:val="16"/>
          <w:szCs w:val="16"/>
        </w:rPr>
        <w:footnoteRef/>
      </w:r>
      <w:r w:rsidRPr="0095184D">
        <w:rPr>
          <w:rFonts w:ascii="Verdana" w:hAnsi="Verdana"/>
          <w:sz w:val="16"/>
          <w:szCs w:val="16"/>
        </w:rPr>
        <w:t xml:space="preserve"> </w:t>
      </w:r>
      <w:r w:rsidRPr="0095184D">
        <w:rPr>
          <w:rFonts w:ascii="Verdana" w:hAnsi="Verdana"/>
          <w:sz w:val="16"/>
          <w:szCs w:val="16"/>
        </w:rPr>
        <w:tab/>
      </w:r>
      <w:r w:rsidRPr="0095184D">
        <w:rPr>
          <w:rFonts w:ascii="Verdana" w:hAnsi="Verdana"/>
          <w:i/>
          <w:sz w:val="16"/>
          <w:szCs w:val="16"/>
        </w:rPr>
        <w:t xml:space="preserve">Cfr. </w:t>
      </w:r>
      <w:r w:rsidRPr="0095184D">
        <w:rPr>
          <w:rStyle w:val="Textoennegrita"/>
          <w:rFonts w:ascii="Verdana" w:hAnsi="Verdana"/>
          <w:b w:val="0"/>
          <w:i/>
          <w:color w:val="000000"/>
          <w:sz w:val="16"/>
          <w:szCs w:val="16"/>
          <w:shd w:val="clear" w:color="auto" w:fill="FFFFFF"/>
        </w:rPr>
        <w:t>Caso de la Corte Suprema de Justicia (Quintana Coello y otros), supra</w:t>
      </w:r>
      <w:r w:rsidRPr="0095184D">
        <w:rPr>
          <w:rStyle w:val="Textoennegrita"/>
          <w:rFonts w:ascii="Verdana" w:hAnsi="Verdana"/>
          <w:b w:val="0"/>
          <w:color w:val="000000"/>
          <w:sz w:val="16"/>
          <w:szCs w:val="16"/>
          <w:shd w:val="clear" w:color="auto" w:fill="FFFFFF"/>
        </w:rPr>
        <w:t xml:space="preserve"> nota 7, Considerando 26.</w:t>
      </w:r>
    </w:p>
  </w:footnote>
  <w:footnote w:id="22">
    <w:p w:rsidR="001B648B" w:rsidRPr="00D112B5" w:rsidRDefault="001B648B" w:rsidP="00D112B5">
      <w:pPr>
        <w:pStyle w:val="Textonotapie"/>
        <w:tabs>
          <w:tab w:val="left" w:pos="426"/>
        </w:tabs>
        <w:jc w:val="both"/>
        <w:rPr>
          <w:rFonts w:ascii="Verdana" w:hAnsi="Verdana"/>
          <w:sz w:val="16"/>
          <w:szCs w:val="16"/>
          <w:lang w:val="es-CR"/>
        </w:rPr>
      </w:pPr>
      <w:r w:rsidRPr="0095184D">
        <w:rPr>
          <w:rStyle w:val="Refdenotaalpie"/>
          <w:rFonts w:ascii="Verdana" w:hAnsi="Verdana"/>
          <w:sz w:val="16"/>
          <w:szCs w:val="16"/>
        </w:rPr>
        <w:footnoteRef/>
      </w:r>
      <w:r w:rsidRPr="0095184D">
        <w:rPr>
          <w:rFonts w:ascii="Verdana" w:hAnsi="Verdana"/>
          <w:sz w:val="16"/>
          <w:szCs w:val="16"/>
        </w:rPr>
        <w:t xml:space="preserve"> </w:t>
      </w:r>
      <w:r w:rsidRPr="0095184D">
        <w:rPr>
          <w:rFonts w:ascii="Verdana" w:hAnsi="Verdana"/>
          <w:sz w:val="16"/>
          <w:szCs w:val="16"/>
        </w:rPr>
        <w:tab/>
      </w:r>
      <w:r w:rsidR="00D112B5" w:rsidRPr="0095184D">
        <w:rPr>
          <w:rFonts w:ascii="Verdana" w:hAnsi="Verdana"/>
          <w:sz w:val="16"/>
          <w:szCs w:val="16"/>
        </w:rPr>
        <w:t>Informó sobre el pago de los interese</w:t>
      </w:r>
      <w:r w:rsidR="00151438">
        <w:rPr>
          <w:rFonts w:ascii="Verdana" w:hAnsi="Verdana"/>
          <w:sz w:val="16"/>
          <w:szCs w:val="16"/>
        </w:rPr>
        <w:t>s</w:t>
      </w:r>
      <w:r w:rsidR="00D112B5" w:rsidRPr="0095184D">
        <w:rPr>
          <w:rFonts w:ascii="Verdana" w:hAnsi="Verdana"/>
          <w:sz w:val="16"/>
          <w:szCs w:val="16"/>
        </w:rPr>
        <w:t xml:space="preserve"> moratorios a 23 víctimas del caso y señaló que estaba pendiente efectivizar los pagos a cuatro de las víctimas cuyas cuentas bancarias estaban cerradas. Al respecto, se refirió a las comunicaciones</w:t>
      </w:r>
      <w:r w:rsidR="00D112B5" w:rsidRPr="00D112B5">
        <w:rPr>
          <w:rFonts w:ascii="Verdana" w:hAnsi="Verdana"/>
          <w:sz w:val="16"/>
          <w:szCs w:val="16"/>
        </w:rPr>
        <w:t xml:space="preserve"> que </w:t>
      </w:r>
      <w:r w:rsidR="00C97062">
        <w:rPr>
          <w:rFonts w:ascii="Verdana" w:hAnsi="Verdana"/>
          <w:sz w:val="16"/>
          <w:szCs w:val="16"/>
        </w:rPr>
        <w:t>sostuvo</w:t>
      </w:r>
      <w:r w:rsidR="00D112B5" w:rsidRPr="00D112B5">
        <w:rPr>
          <w:rFonts w:ascii="Verdana" w:hAnsi="Verdana"/>
          <w:sz w:val="16"/>
          <w:szCs w:val="16"/>
        </w:rPr>
        <w:t xml:space="preserve"> con los representantes de las víctimas para efectivizar el pago a estas cuatro víctimas. También indicó que “realizó el cálculo correspondiente a los intereses moratorios tomando como referencia el interés bancario vigente en los meses de abril, mayo, junio y julio de</w:t>
      </w:r>
      <w:r w:rsidR="00C97062">
        <w:rPr>
          <w:rFonts w:ascii="Verdana" w:hAnsi="Verdana"/>
          <w:sz w:val="16"/>
          <w:szCs w:val="16"/>
        </w:rPr>
        <w:t>l año</w:t>
      </w:r>
      <w:r w:rsidR="00D112B5" w:rsidRPr="00D112B5">
        <w:rPr>
          <w:rFonts w:ascii="Verdana" w:hAnsi="Verdana"/>
          <w:sz w:val="16"/>
          <w:szCs w:val="16"/>
        </w:rPr>
        <w:t xml:space="preserve"> 2016”.</w:t>
      </w:r>
    </w:p>
  </w:footnote>
  <w:footnote w:id="23">
    <w:p w:rsidR="005E625B" w:rsidRPr="00682C61" w:rsidRDefault="004D23CF" w:rsidP="004D23CF">
      <w:pPr>
        <w:pStyle w:val="Textonotapie"/>
        <w:tabs>
          <w:tab w:val="left" w:pos="426"/>
        </w:tabs>
        <w:jc w:val="both"/>
        <w:rPr>
          <w:rFonts w:ascii="Verdana" w:hAnsi="Verdana"/>
          <w:sz w:val="16"/>
          <w:szCs w:val="16"/>
        </w:rPr>
      </w:pPr>
      <w:r w:rsidRPr="00682C61">
        <w:rPr>
          <w:rStyle w:val="Refdenotaalpie"/>
          <w:rFonts w:ascii="Verdana" w:hAnsi="Verdana"/>
          <w:sz w:val="16"/>
          <w:szCs w:val="16"/>
        </w:rPr>
        <w:footnoteRef/>
      </w:r>
      <w:r w:rsidRPr="00682C61">
        <w:rPr>
          <w:rFonts w:ascii="Verdana" w:hAnsi="Verdana"/>
          <w:sz w:val="16"/>
          <w:szCs w:val="16"/>
        </w:rPr>
        <w:t xml:space="preserve"> </w:t>
      </w:r>
      <w:r w:rsidRPr="00682C61">
        <w:rPr>
          <w:rFonts w:ascii="Verdana" w:hAnsi="Verdana"/>
          <w:sz w:val="16"/>
          <w:szCs w:val="16"/>
          <w:lang w:val="es-CR"/>
        </w:rPr>
        <w:tab/>
        <w:t xml:space="preserve">Aportó los comprobantes de pago de los </w:t>
      </w:r>
      <w:r w:rsidRPr="00682C61">
        <w:rPr>
          <w:rFonts w:ascii="Verdana" w:hAnsi="Verdana"/>
          <w:sz w:val="16"/>
          <w:szCs w:val="16"/>
          <w:lang w:val="es-CR"/>
        </w:rPr>
        <w:t>interese</w:t>
      </w:r>
      <w:r w:rsidR="00151438">
        <w:rPr>
          <w:rFonts w:ascii="Verdana" w:hAnsi="Verdana"/>
          <w:sz w:val="16"/>
          <w:szCs w:val="16"/>
          <w:lang w:val="es-CR"/>
        </w:rPr>
        <w:t>s</w:t>
      </w:r>
      <w:r w:rsidRPr="00682C61">
        <w:rPr>
          <w:rFonts w:ascii="Verdana" w:hAnsi="Verdana"/>
          <w:sz w:val="16"/>
          <w:szCs w:val="16"/>
          <w:lang w:val="es-CR"/>
        </w:rPr>
        <w:t xml:space="preserve"> moratorios realizados a las 27 víctimas del caso o sus derechohabientes. De ellos se desprende que el 13 de marzo de 2017 se confirmó el pago correspondiente a 23 de las víctimas y</w:t>
      </w:r>
      <w:r w:rsidR="00C97062">
        <w:rPr>
          <w:rFonts w:ascii="Verdana" w:hAnsi="Verdana"/>
          <w:sz w:val="16"/>
          <w:szCs w:val="16"/>
          <w:lang w:val="es-CR"/>
        </w:rPr>
        <w:t>,</w:t>
      </w:r>
      <w:r w:rsidRPr="00682C61">
        <w:rPr>
          <w:rFonts w:ascii="Verdana" w:hAnsi="Verdana"/>
          <w:sz w:val="16"/>
          <w:szCs w:val="16"/>
          <w:lang w:val="es-CR"/>
        </w:rPr>
        <w:t xml:space="preserve"> respecto de las cuatro víctimas restantes, cuyo</w:t>
      </w:r>
      <w:r w:rsidR="00C97062">
        <w:rPr>
          <w:rFonts w:ascii="Verdana" w:hAnsi="Verdana"/>
          <w:sz w:val="16"/>
          <w:szCs w:val="16"/>
          <w:lang w:val="es-CR"/>
        </w:rPr>
        <w:t>s</w:t>
      </w:r>
      <w:r w:rsidRPr="00682C61">
        <w:rPr>
          <w:rFonts w:ascii="Verdana" w:hAnsi="Verdana"/>
          <w:sz w:val="16"/>
          <w:szCs w:val="16"/>
          <w:lang w:val="es-CR"/>
        </w:rPr>
        <w:t xml:space="preserve"> pago</w:t>
      </w:r>
      <w:r w:rsidR="00C97062">
        <w:rPr>
          <w:rFonts w:ascii="Verdana" w:hAnsi="Verdana"/>
          <w:sz w:val="16"/>
          <w:szCs w:val="16"/>
          <w:lang w:val="es-CR"/>
        </w:rPr>
        <w:t>s</w:t>
      </w:r>
      <w:r w:rsidRPr="00682C61">
        <w:rPr>
          <w:rFonts w:ascii="Verdana" w:hAnsi="Verdana"/>
          <w:sz w:val="16"/>
          <w:szCs w:val="16"/>
          <w:lang w:val="es-CR"/>
        </w:rPr>
        <w:t xml:space="preserve"> no fue posible realizar</w:t>
      </w:r>
      <w:r w:rsidR="00C97062">
        <w:rPr>
          <w:rFonts w:ascii="Verdana" w:hAnsi="Verdana"/>
          <w:sz w:val="16"/>
          <w:szCs w:val="16"/>
          <w:lang w:val="es-CR"/>
        </w:rPr>
        <w:t>los</w:t>
      </w:r>
      <w:r w:rsidRPr="00682C61">
        <w:rPr>
          <w:rFonts w:ascii="Verdana" w:hAnsi="Verdana"/>
          <w:sz w:val="16"/>
          <w:szCs w:val="16"/>
          <w:lang w:val="es-CR"/>
        </w:rPr>
        <w:t xml:space="preserve"> en marzo de 2017 por estar cerrada su cuenta bancaria, se desprende que</w:t>
      </w:r>
      <w:r w:rsidR="00C97062">
        <w:rPr>
          <w:rFonts w:ascii="Verdana" w:hAnsi="Verdana"/>
          <w:sz w:val="16"/>
          <w:szCs w:val="16"/>
          <w:lang w:val="es-CR"/>
        </w:rPr>
        <w:t>:</w:t>
      </w:r>
      <w:r w:rsidRPr="00682C61">
        <w:rPr>
          <w:rFonts w:ascii="Verdana" w:hAnsi="Verdana"/>
          <w:sz w:val="16"/>
          <w:szCs w:val="16"/>
          <w:lang w:val="es-CR"/>
        </w:rPr>
        <w:t xml:space="preserve"> </w:t>
      </w:r>
      <w:r w:rsidR="00C97062">
        <w:rPr>
          <w:rFonts w:ascii="Verdana" w:hAnsi="Verdana"/>
          <w:sz w:val="16"/>
          <w:szCs w:val="16"/>
          <w:lang w:val="es-CR"/>
        </w:rPr>
        <w:t>el</w:t>
      </w:r>
      <w:r w:rsidRPr="00682C61">
        <w:rPr>
          <w:rFonts w:ascii="Verdana" w:hAnsi="Verdana"/>
          <w:sz w:val="16"/>
          <w:szCs w:val="16"/>
          <w:lang w:val="es-CR"/>
        </w:rPr>
        <w:t xml:space="preserve"> pago a una de las víctimas</w:t>
      </w:r>
      <w:r w:rsidR="00DD3BC8">
        <w:rPr>
          <w:rFonts w:ascii="Verdana" w:hAnsi="Verdana"/>
          <w:sz w:val="16"/>
          <w:szCs w:val="16"/>
          <w:lang w:val="es-CR"/>
        </w:rPr>
        <w:t xml:space="preserve"> fue realizado</w:t>
      </w:r>
      <w:r w:rsidR="005E625B" w:rsidRPr="00682C61">
        <w:rPr>
          <w:rFonts w:ascii="Verdana" w:hAnsi="Verdana"/>
          <w:sz w:val="16"/>
          <w:szCs w:val="16"/>
          <w:lang w:val="es-CR"/>
        </w:rPr>
        <w:t xml:space="preserve"> </w:t>
      </w:r>
      <w:r w:rsidRPr="00682C61">
        <w:rPr>
          <w:rFonts w:ascii="Verdana" w:hAnsi="Verdana"/>
          <w:sz w:val="16"/>
          <w:szCs w:val="16"/>
          <w:lang w:val="es-CR"/>
        </w:rPr>
        <w:t xml:space="preserve">en junio de 2017, a dos </w:t>
      </w:r>
      <w:r w:rsidR="005E625B" w:rsidRPr="00682C61">
        <w:rPr>
          <w:rFonts w:ascii="Verdana" w:hAnsi="Verdana"/>
          <w:sz w:val="16"/>
          <w:szCs w:val="16"/>
          <w:lang w:val="es-CR"/>
        </w:rPr>
        <w:t xml:space="preserve">víctimas </w:t>
      </w:r>
      <w:r w:rsidRPr="00682C61">
        <w:rPr>
          <w:rFonts w:ascii="Verdana" w:hAnsi="Verdana"/>
          <w:sz w:val="16"/>
          <w:szCs w:val="16"/>
          <w:lang w:val="es-CR"/>
        </w:rPr>
        <w:t xml:space="preserve">en diciembre de 2017 y a la restante en enero de 2018. </w:t>
      </w:r>
      <w:r w:rsidRPr="00682C61">
        <w:rPr>
          <w:rFonts w:ascii="Verdana" w:hAnsi="Verdana"/>
          <w:i/>
          <w:sz w:val="16"/>
          <w:szCs w:val="16"/>
          <w:lang w:val="es-CR"/>
        </w:rPr>
        <w:t>Cfr</w:t>
      </w:r>
      <w:r w:rsidRPr="00682C61">
        <w:rPr>
          <w:rFonts w:ascii="Verdana" w:hAnsi="Verdana"/>
          <w:sz w:val="16"/>
          <w:szCs w:val="16"/>
          <w:lang w:val="es-CR"/>
        </w:rPr>
        <w:t xml:space="preserve">. </w:t>
      </w:r>
      <w:r w:rsidR="005E625B" w:rsidRPr="00682C61">
        <w:rPr>
          <w:rFonts w:ascii="Verdana" w:hAnsi="Verdana"/>
          <w:sz w:val="16"/>
          <w:szCs w:val="16"/>
        </w:rPr>
        <w:t xml:space="preserve">Comprobantes de pago Nos. </w:t>
      </w:r>
      <w:proofErr w:type="spellStart"/>
      <w:r w:rsidR="005E625B" w:rsidRPr="00682C61">
        <w:rPr>
          <w:rFonts w:ascii="Verdana" w:hAnsi="Verdana"/>
          <w:sz w:val="16"/>
          <w:szCs w:val="16"/>
        </w:rPr>
        <w:t>Cur</w:t>
      </w:r>
      <w:proofErr w:type="spellEnd"/>
      <w:r w:rsidR="005E625B" w:rsidRPr="00682C61">
        <w:rPr>
          <w:rFonts w:ascii="Verdana" w:hAnsi="Verdana"/>
          <w:sz w:val="16"/>
          <w:szCs w:val="16"/>
        </w:rPr>
        <w:t xml:space="preserve"> </w:t>
      </w:r>
      <w:r w:rsidR="00920FC0">
        <w:rPr>
          <w:rFonts w:ascii="Verdana" w:hAnsi="Verdana"/>
          <w:sz w:val="16"/>
          <w:szCs w:val="16"/>
        </w:rPr>
        <w:t xml:space="preserve">1346, </w:t>
      </w:r>
      <w:r w:rsidR="005E625B" w:rsidRPr="00682C61">
        <w:rPr>
          <w:rFonts w:ascii="Verdana" w:hAnsi="Verdana"/>
          <w:sz w:val="16"/>
          <w:szCs w:val="16"/>
        </w:rPr>
        <w:t xml:space="preserve">1350, </w:t>
      </w:r>
      <w:r w:rsidR="00940E4F" w:rsidRPr="00682C61">
        <w:rPr>
          <w:rFonts w:ascii="Verdana" w:hAnsi="Verdana"/>
          <w:sz w:val="16"/>
          <w:szCs w:val="16"/>
        </w:rPr>
        <w:t>1354,</w:t>
      </w:r>
      <w:r w:rsidR="00940E4F">
        <w:rPr>
          <w:rFonts w:ascii="Verdana" w:hAnsi="Verdana"/>
          <w:sz w:val="16"/>
          <w:szCs w:val="16"/>
        </w:rPr>
        <w:t xml:space="preserve"> </w:t>
      </w:r>
      <w:r w:rsidR="00940E4F" w:rsidRPr="00682C61">
        <w:rPr>
          <w:rFonts w:ascii="Verdana" w:hAnsi="Verdana"/>
          <w:sz w:val="16"/>
          <w:szCs w:val="16"/>
        </w:rPr>
        <w:t>1359,</w:t>
      </w:r>
      <w:r w:rsidR="00940E4F">
        <w:rPr>
          <w:rFonts w:ascii="Verdana" w:hAnsi="Verdana"/>
          <w:sz w:val="16"/>
          <w:szCs w:val="16"/>
        </w:rPr>
        <w:t xml:space="preserve"> </w:t>
      </w:r>
      <w:r w:rsidR="00940E4F" w:rsidRPr="00682C61">
        <w:rPr>
          <w:rFonts w:ascii="Verdana" w:hAnsi="Verdana"/>
          <w:sz w:val="16"/>
          <w:szCs w:val="16"/>
        </w:rPr>
        <w:t>1363,</w:t>
      </w:r>
      <w:r w:rsidR="00940E4F">
        <w:rPr>
          <w:rFonts w:ascii="Verdana" w:hAnsi="Verdana"/>
          <w:sz w:val="16"/>
          <w:szCs w:val="16"/>
        </w:rPr>
        <w:t xml:space="preserve"> </w:t>
      </w:r>
      <w:r w:rsidR="00920FC0">
        <w:rPr>
          <w:rFonts w:ascii="Verdana" w:hAnsi="Verdana"/>
          <w:sz w:val="16"/>
          <w:szCs w:val="16"/>
        </w:rPr>
        <w:t xml:space="preserve">1365, </w:t>
      </w:r>
      <w:r w:rsidR="00940E4F" w:rsidRPr="00682C61">
        <w:rPr>
          <w:rFonts w:ascii="Verdana" w:hAnsi="Verdana"/>
          <w:sz w:val="16"/>
          <w:szCs w:val="16"/>
        </w:rPr>
        <w:t>1367,</w:t>
      </w:r>
      <w:r w:rsidR="00940E4F">
        <w:rPr>
          <w:rFonts w:ascii="Verdana" w:hAnsi="Verdana"/>
          <w:sz w:val="16"/>
          <w:szCs w:val="16"/>
        </w:rPr>
        <w:t xml:space="preserve"> </w:t>
      </w:r>
      <w:r w:rsidR="00940E4F" w:rsidRPr="00682C61">
        <w:rPr>
          <w:rFonts w:ascii="Verdana" w:hAnsi="Verdana"/>
          <w:sz w:val="16"/>
          <w:szCs w:val="16"/>
        </w:rPr>
        <w:t>1368,</w:t>
      </w:r>
      <w:r w:rsidR="00940E4F">
        <w:rPr>
          <w:rFonts w:ascii="Verdana" w:hAnsi="Verdana"/>
          <w:sz w:val="16"/>
          <w:szCs w:val="16"/>
        </w:rPr>
        <w:t xml:space="preserve"> </w:t>
      </w:r>
      <w:r w:rsidR="00682C61" w:rsidRPr="00682C61">
        <w:rPr>
          <w:rFonts w:ascii="Verdana" w:hAnsi="Verdana"/>
          <w:sz w:val="16"/>
          <w:szCs w:val="16"/>
        </w:rPr>
        <w:t xml:space="preserve">1369, </w:t>
      </w:r>
      <w:r w:rsidR="00940E4F" w:rsidRPr="00682C61">
        <w:rPr>
          <w:rFonts w:ascii="Verdana" w:hAnsi="Verdana"/>
          <w:sz w:val="16"/>
          <w:szCs w:val="16"/>
        </w:rPr>
        <w:t>1370</w:t>
      </w:r>
      <w:r w:rsidR="00940E4F">
        <w:rPr>
          <w:rFonts w:ascii="Verdana" w:hAnsi="Verdana"/>
          <w:sz w:val="16"/>
          <w:szCs w:val="16"/>
        </w:rPr>
        <w:t xml:space="preserve">, </w:t>
      </w:r>
      <w:r w:rsidR="00940E4F" w:rsidRPr="00682C61">
        <w:rPr>
          <w:rFonts w:ascii="Verdana" w:hAnsi="Verdana"/>
          <w:sz w:val="16"/>
          <w:szCs w:val="16"/>
        </w:rPr>
        <w:t>1371,</w:t>
      </w:r>
      <w:r w:rsidR="00940E4F">
        <w:rPr>
          <w:rFonts w:ascii="Verdana" w:hAnsi="Verdana"/>
          <w:sz w:val="16"/>
          <w:szCs w:val="16"/>
        </w:rPr>
        <w:t xml:space="preserve"> </w:t>
      </w:r>
      <w:r w:rsidR="00920FC0">
        <w:rPr>
          <w:rFonts w:ascii="Verdana" w:hAnsi="Verdana"/>
          <w:sz w:val="16"/>
          <w:szCs w:val="16"/>
        </w:rPr>
        <w:t xml:space="preserve">1373, </w:t>
      </w:r>
      <w:r w:rsidR="00940E4F" w:rsidRPr="00682C61">
        <w:rPr>
          <w:rFonts w:ascii="Verdana" w:hAnsi="Verdana"/>
          <w:sz w:val="16"/>
          <w:szCs w:val="16"/>
        </w:rPr>
        <w:t>1374,</w:t>
      </w:r>
      <w:r w:rsidR="00940E4F">
        <w:rPr>
          <w:rFonts w:ascii="Verdana" w:hAnsi="Verdana"/>
          <w:sz w:val="16"/>
          <w:szCs w:val="16"/>
        </w:rPr>
        <w:t xml:space="preserve"> </w:t>
      </w:r>
      <w:r w:rsidR="00940E4F" w:rsidRPr="00682C61">
        <w:rPr>
          <w:rFonts w:ascii="Verdana" w:hAnsi="Verdana"/>
          <w:sz w:val="16"/>
          <w:szCs w:val="16"/>
        </w:rPr>
        <w:t>1375,</w:t>
      </w:r>
      <w:r w:rsidR="00940E4F">
        <w:rPr>
          <w:rFonts w:ascii="Verdana" w:hAnsi="Verdana"/>
          <w:sz w:val="16"/>
          <w:szCs w:val="16"/>
        </w:rPr>
        <w:t xml:space="preserve"> </w:t>
      </w:r>
      <w:r w:rsidR="00940E4F" w:rsidRPr="00682C61">
        <w:rPr>
          <w:rFonts w:ascii="Verdana" w:hAnsi="Verdana"/>
          <w:sz w:val="16"/>
          <w:szCs w:val="16"/>
        </w:rPr>
        <w:t>1376,</w:t>
      </w:r>
      <w:r w:rsidR="00940E4F">
        <w:rPr>
          <w:rFonts w:ascii="Verdana" w:hAnsi="Verdana"/>
          <w:sz w:val="16"/>
          <w:szCs w:val="16"/>
        </w:rPr>
        <w:t xml:space="preserve"> </w:t>
      </w:r>
      <w:r w:rsidR="00682C61" w:rsidRPr="00682C61">
        <w:rPr>
          <w:rFonts w:ascii="Verdana" w:hAnsi="Verdana"/>
          <w:sz w:val="16"/>
          <w:szCs w:val="16"/>
        </w:rPr>
        <w:t xml:space="preserve">1377, </w:t>
      </w:r>
      <w:r w:rsidR="00940E4F" w:rsidRPr="00682C61">
        <w:rPr>
          <w:rFonts w:ascii="Verdana" w:hAnsi="Verdana"/>
          <w:sz w:val="16"/>
          <w:szCs w:val="16"/>
        </w:rPr>
        <w:t>1378, 1379,</w:t>
      </w:r>
      <w:r w:rsidR="00940E4F">
        <w:rPr>
          <w:rFonts w:ascii="Verdana" w:hAnsi="Verdana"/>
          <w:sz w:val="16"/>
          <w:szCs w:val="16"/>
        </w:rPr>
        <w:t xml:space="preserve"> </w:t>
      </w:r>
      <w:r w:rsidR="00940E4F" w:rsidRPr="00682C61">
        <w:rPr>
          <w:rFonts w:ascii="Verdana" w:hAnsi="Verdana"/>
          <w:sz w:val="16"/>
          <w:szCs w:val="16"/>
        </w:rPr>
        <w:t>1380,</w:t>
      </w:r>
      <w:r w:rsidR="00940E4F">
        <w:rPr>
          <w:rFonts w:ascii="Verdana" w:hAnsi="Verdana"/>
          <w:sz w:val="16"/>
          <w:szCs w:val="16"/>
        </w:rPr>
        <w:t xml:space="preserve"> </w:t>
      </w:r>
      <w:r w:rsidR="00682C61" w:rsidRPr="00682C61">
        <w:rPr>
          <w:rFonts w:ascii="Verdana" w:hAnsi="Verdana"/>
          <w:sz w:val="16"/>
          <w:szCs w:val="16"/>
        </w:rPr>
        <w:t xml:space="preserve">1381, </w:t>
      </w:r>
      <w:r w:rsidR="00940E4F">
        <w:rPr>
          <w:rFonts w:ascii="Verdana" w:hAnsi="Verdana"/>
          <w:sz w:val="16"/>
          <w:szCs w:val="16"/>
        </w:rPr>
        <w:t>1</w:t>
      </w:r>
      <w:r w:rsidR="00940E4F" w:rsidRPr="00682C61">
        <w:rPr>
          <w:rFonts w:ascii="Verdana" w:hAnsi="Verdana"/>
          <w:sz w:val="16"/>
          <w:szCs w:val="16"/>
        </w:rPr>
        <w:t>382, 1383,</w:t>
      </w:r>
      <w:r w:rsidR="00940E4F">
        <w:rPr>
          <w:rFonts w:ascii="Verdana" w:hAnsi="Verdana"/>
          <w:sz w:val="16"/>
          <w:szCs w:val="16"/>
        </w:rPr>
        <w:t xml:space="preserve"> </w:t>
      </w:r>
      <w:r w:rsidR="00940E4F" w:rsidRPr="00682C61">
        <w:rPr>
          <w:rFonts w:ascii="Verdana" w:hAnsi="Verdana"/>
          <w:sz w:val="16"/>
          <w:szCs w:val="16"/>
        </w:rPr>
        <w:t>1384,</w:t>
      </w:r>
      <w:r w:rsidR="00940E4F">
        <w:rPr>
          <w:rFonts w:ascii="Verdana" w:hAnsi="Verdana"/>
          <w:sz w:val="16"/>
          <w:szCs w:val="16"/>
        </w:rPr>
        <w:t xml:space="preserve"> </w:t>
      </w:r>
      <w:r w:rsidR="00940E4F" w:rsidRPr="00682C61">
        <w:rPr>
          <w:rFonts w:ascii="Verdana" w:hAnsi="Verdana"/>
          <w:sz w:val="16"/>
          <w:szCs w:val="16"/>
        </w:rPr>
        <w:t>1385,</w:t>
      </w:r>
      <w:r w:rsidR="00940E4F">
        <w:rPr>
          <w:rFonts w:ascii="Verdana" w:hAnsi="Verdana"/>
          <w:sz w:val="16"/>
          <w:szCs w:val="16"/>
        </w:rPr>
        <w:t xml:space="preserve"> </w:t>
      </w:r>
      <w:r w:rsidR="00920FC0">
        <w:rPr>
          <w:rFonts w:ascii="Verdana" w:hAnsi="Verdana"/>
          <w:sz w:val="16"/>
          <w:szCs w:val="16"/>
        </w:rPr>
        <w:t xml:space="preserve">1385, </w:t>
      </w:r>
      <w:r w:rsidR="00940E4F" w:rsidRPr="00682C61">
        <w:rPr>
          <w:rFonts w:ascii="Verdana" w:hAnsi="Verdana"/>
          <w:sz w:val="16"/>
          <w:szCs w:val="16"/>
        </w:rPr>
        <w:t>1387,</w:t>
      </w:r>
      <w:r w:rsidR="00940E4F">
        <w:rPr>
          <w:rFonts w:ascii="Verdana" w:hAnsi="Verdana"/>
          <w:sz w:val="16"/>
          <w:szCs w:val="16"/>
        </w:rPr>
        <w:t xml:space="preserve"> </w:t>
      </w:r>
      <w:r w:rsidR="00940E4F" w:rsidRPr="00682C61">
        <w:rPr>
          <w:rFonts w:ascii="Verdana" w:hAnsi="Verdana"/>
          <w:sz w:val="16"/>
          <w:szCs w:val="16"/>
        </w:rPr>
        <w:t xml:space="preserve">1388, </w:t>
      </w:r>
      <w:r w:rsidR="005E625B" w:rsidRPr="00682C61">
        <w:rPr>
          <w:rFonts w:ascii="Verdana" w:hAnsi="Verdana"/>
          <w:sz w:val="16"/>
          <w:szCs w:val="16"/>
        </w:rPr>
        <w:t>76305059, 79667849, 79</w:t>
      </w:r>
      <w:r w:rsidR="00920FC0">
        <w:rPr>
          <w:rFonts w:ascii="Verdana" w:hAnsi="Verdana"/>
          <w:sz w:val="16"/>
          <w:szCs w:val="16"/>
        </w:rPr>
        <w:t>6</w:t>
      </w:r>
      <w:r w:rsidR="005E625B" w:rsidRPr="00682C61">
        <w:rPr>
          <w:rFonts w:ascii="Verdana" w:hAnsi="Verdana"/>
          <w:sz w:val="16"/>
          <w:szCs w:val="16"/>
        </w:rPr>
        <w:t>68129</w:t>
      </w:r>
      <w:r w:rsidR="00920FC0">
        <w:rPr>
          <w:rFonts w:ascii="Verdana" w:hAnsi="Verdana"/>
          <w:sz w:val="16"/>
          <w:szCs w:val="16"/>
        </w:rPr>
        <w:t>,</w:t>
      </w:r>
      <w:r w:rsidR="00682C61" w:rsidRPr="00682C61">
        <w:rPr>
          <w:rFonts w:ascii="Verdana" w:hAnsi="Verdana"/>
          <w:sz w:val="16"/>
          <w:szCs w:val="16"/>
        </w:rPr>
        <w:t xml:space="preserve"> y</w:t>
      </w:r>
      <w:r w:rsidR="005E625B" w:rsidRPr="00682C61">
        <w:rPr>
          <w:rFonts w:ascii="Verdana" w:hAnsi="Verdana"/>
          <w:sz w:val="16"/>
          <w:szCs w:val="16"/>
        </w:rPr>
        <w:t xml:space="preserve"> 8025</w:t>
      </w:r>
      <w:r w:rsidR="00920FC0">
        <w:rPr>
          <w:rFonts w:ascii="Verdana" w:hAnsi="Verdana"/>
          <w:sz w:val="16"/>
          <w:szCs w:val="16"/>
        </w:rPr>
        <w:t>6</w:t>
      </w:r>
      <w:r w:rsidR="005E625B" w:rsidRPr="00682C61">
        <w:rPr>
          <w:rFonts w:ascii="Verdana" w:hAnsi="Verdana"/>
          <w:sz w:val="16"/>
          <w:szCs w:val="16"/>
        </w:rPr>
        <w:t>035</w:t>
      </w:r>
      <w:r w:rsidR="00682C61" w:rsidRPr="00682C61">
        <w:rPr>
          <w:rFonts w:ascii="Verdana" w:hAnsi="Verdana"/>
          <w:sz w:val="16"/>
          <w:szCs w:val="16"/>
        </w:rPr>
        <w:t xml:space="preserve"> emitidos por el Ministerio de Finanzas del Ecuador (anexos al informe estatal de noviembre de 2018).</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5297" w:rsidRDefault="003B5297">
    <w:pPr>
      <w:pStyle w:val="Encabezado"/>
      <w:jc w:val="center"/>
    </w:pPr>
    <w:r w:rsidRPr="003B5297">
      <w:rPr>
        <w:rFonts w:ascii="Verdana" w:hAnsi="Verdana"/>
        <w:sz w:val="20"/>
      </w:rPr>
      <w:t>-</w:t>
    </w:r>
    <w:r w:rsidRPr="003B5297">
      <w:rPr>
        <w:rFonts w:ascii="Verdana" w:hAnsi="Verdana"/>
        <w:sz w:val="20"/>
      </w:rPr>
      <w:fldChar w:fldCharType="begin"/>
    </w:r>
    <w:r w:rsidRPr="003B5297">
      <w:rPr>
        <w:rFonts w:ascii="Verdana" w:hAnsi="Verdana"/>
        <w:sz w:val="20"/>
      </w:rPr>
      <w:instrText>PAGE   \* MERGEFORMAT</w:instrText>
    </w:r>
    <w:r w:rsidRPr="003B5297">
      <w:rPr>
        <w:rFonts w:ascii="Verdana" w:hAnsi="Verdana"/>
        <w:sz w:val="20"/>
      </w:rPr>
      <w:fldChar w:fldCharType="separate"/>
    </w:r>
    <w:r w:rsidRPr="003B5297">
      <w:rPr>
        <w:rFonts w:ascii="Verdana" w:hAnsi="Verdana"/>
        <w:noProof/>
        <w:sz w:val="20"/>
        <w:lang w:val="es-ES"/>
      </w:rPr>
      <w:t>12</w:t>
    </w:r>
    <w:r w:rsidRPr="003B5297">
      <w:rPr>
        <w:rFonts w:ascii="Verdana" w:hAnsi="Verdana"/>
        <w:sz w:val="20"/>
      </w:rPr>
      <w:fldChar w:fldCharType="end"/>
    </w:r>
    <w:r w:rsidRPr="003B5297">
      <w:rPr>
        <w:rFonts w:ascii="Verdana" w:hAnsi="Verdana"/>
        <w:sz w:val="20"/>
      </w:rPr>
      <w:t>-</w:t>
    </w:r>
  </w:p>
  <w:p w:rsidR="003B5297" w:rsidRDefault="003B5297">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0815" w:rsidRPr="00C30815" w:rsidRDefault="00C30815">
    <w:pPr>
      <w:pStyle w:val="Encabezado"/>
      <w:jc w:val="center"/>
      <w:rPr>
        <w:rFonts w:ascii="Verdana" w:hAnsi="Verdana"/>
        <w:sz w:val="20"/>
      </w:rPr>
    </w:pPr>
    <w:r w:rsidRPr="00C30815">
      <w:rPr>
        <w:rFonts w:ascii="Verdana" w:hAnsi="Verdana"/>
        <w:sz w:val="20"/>
      </w:rPr>
      <w:t>-</w:t>
    </w:r>
    <w:r w:rsidRPr="00C30815">
      <w:rPr>
        <w:rFonts w:ascii="Verdana" w:hAnsi="Verdana"/>
        <w:sz w:val="20"/>
      </w:rPr>
      <w:fldChar w:fldCharType="begin"/>
    </w:r>
    <w:r w:rsidRPr="00C30815">
      <w:rPr>
        <w:rFonts w:ascii="Verdana" w:hAnsi="Verdana"/>
        <w:sz w:val="20"/>
      </w:rPr>
      <w:instrText>PAGE   \* MERGEFORMAT</w:instrText>
    </w:r>
    <w:r w:rsidRPr="00C30815">
      <w:rPr>
        <w:rFonts w:ascii="Verdana" w:hAnsi="Verdana"/>
        <w:sz w:val="20"/>
      </w:rPr>
      <w:fldChar w:fldCharType="separate"/>
    </w:r>
    <w:r w:rsidR="002C6878" w:rsidRPr="002C6878">
      <w:rPr>
        <w:rFonts w:ascii="Verdana" w:hAnsi="Verdana"/>
        <w:noProof/>
        <w:sz w:val="20"/>
        <w:lang w:val="es-ES"/>
      </w:rPr>
      <w:t>5</w:t>
    </w:r>
    <w:r w:rsidRPr="00C30815">
      <w:rPr>
        <w:rFonts w:ascii="Verdana" w:hAnsi="Verdana"/>
        <w:sz w:val="20"/>
      </w:rPr>
      <w:fldChar w:fldCharType="end"/>
    </w:r>
    <w:r w:rsidRPr="00C30815">
      <w:rPr>
        <w:rFonts w:ascii="Verdana" w:hAnsi="Verdana"/>
        <w:sz w:val="20"/>
      </w:rPr>
      <w:t>-</w:t>
    </w:r>
  </w:p>
  <w:p w:rsidR="00AC4931" w:rsidRPr="00C30815" w:rsidRDefault="00AC4931" w:rsidP="00C30815">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0815" w:rsidRDefault="00C30815">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AF2E26B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305DD0"/>
    <w:multiLevelType w:val="hybridMultilevel"/>
    <w:tmpl w:val="71B4A38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071A267F"/>
    <w:multiLevelType w:val="hybridMultilevel"/>
    <w:tmpl w:val="5516840E"/>
    <w:lvl w:ilvl="0" w:tplc="C6C4D11A">
      <w:start w:val="1"/>
      <w:numFmt w:val="lowerLetter"/>
      <w:lvlText w:val="%1)"/>
      <w:lvlJc w:val="lef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3" w15:restartNumberingAfterBreak="0">
    <w:nsid w:val="077C5086"/>
    <w:multiLevelType w:val="hybridMultilevel"/>
    <w:tmpl w:val="5B5428D4"/>
    <w:lvl w:ilvl="0" w:tplc="95BE3B6E">
      <w:start w:val="1"/>
      <w:numFmt w:val="lowerLetter"/>
      <w:lvlText w:val="%1)"/>
      <w:lvlJc w:val="left"/>
      <w:pPr>
        <w:ind w:left="3192" w:hanging="360"/>
      </w:pPr>
      <w:rPr>
        <w:rFonts w:hint="default"/>
      </w:rPr>
    </w:lvl>
    <w:lvl w:ilvl="1" w:tplc="140A0019" w:tentative="1">
      <w:start w:val="1"/>
      <w:numFmt w:val="lowerLetter"/>
      <w:lvlText w:val="%2."/>
      <w:lvlJc w:val="left"/>
      <w:pPr>
        <w:ind w:left="3912" w:hanging="360"/>
      </w:pPr>
    </w:lvl>
    <w:lvl w:ilvl="2" w:tplc="140A001B" w:tentative="1">
      <w:start w:val="1"/>
      <w:numFmt w:val="lowerRoman"/>
      <w:lvlText w:val="%3."/>
      <w:lvlJc w:val="right"/>
      <w:pPr>
        <w:ind w:left="4632" w:hanging="180"/>
      </w:pPr>
    </w:lvl>
    <w:lvl w:ilvl="3" w:tplc="140A000F" w:tentative="1">
      <w:start w:val="1"/>
      <w:numFmt w:val="decimal"/>
      <w:lvlText w:val="%4."/>
      <w:lvlJc w:val="left"/>
      <w:pPr>
        <w:ind w:left="5352" w:hanging="360"/>
      </w:pPr>
    </w:lvl>
    <w:lvl w:ilvl="4" w:tplc="140A0019" w:tentative="1">
      <w:start w:val="1"/>
      <w:numFmt w:val="lowerLetter"/>
      <w:lvlText w:val="%5."/>
      <w:lvlJc w:val="left"/>
      <w:pPr>
        <w:ind w:left="6072" w:hanging="360"/>
      </w:pPr>
    </w:lvl>
    <w:lvl w:ilvl="5" w:tplc="140A001B" w:tentative="1">
      <w:start w:val="1"/>
      <w:numFmt w:val="lowerRoman"/>
      <w:lvlText w:val="%6."/>
      <w:lvlJc w:val="right"/>
      <w:pPr>
        <w:ind w:left="6792" w:hanging="180"/>
      </w:pPr>
    </w:lvl>
    <w:lvl w:ilvl="6" w:tplc="140A000F" w:tentative="1">
      <w:start w:val="1"/>
      <w:numFmt w:val="decimal"/>
      <w:lvlText w:val="%7."/>
      <w:lvlJc w:val="left"/>
      <w:pPr>
        <w:ind w:left="7512" w:hanging="360"/>
      </w:pPr>
    </w:lvl>
    <w:lvl w:ilvl="7" w:tplc="140A0019" w:tentative="1">
      <w:start w:val="1"/>
      <w:numFmt w:val="lowerLetter"/>
      <w:lvlText w:val="%8."/>
      <w:lvlJc w:val="left"/>
      <w:pPr>
        <w:ind w:left="8232" w:hanging="360"/>
      </w:pPr>
    </w:lvl>
    <w:lvl w:ilvl="8" w:tplc="140A001B" w:tentative="1">
      <w:start w:val="1"/>
      <w:numFmt w:val="lowerRoman"/>
      <w:lvlText w:val="%9."/>
      <w:lvlJc w:val="right"/>
      <w:pPr>
        <w:ind w:left="8952" w:hanging="180"/>
      </w:pPr>
    </w:lvl>
  </w:abstractNum>
  <w:abstractNum w:abstractNumId="4" w15:restartNumberingAfterBreak="0">
    <w:nsid w:val="089162FD"/>
    <w:multiLevelType w:val="hybridMultilevel"/>
    <w:tmpl w:val="669A88B0"/>
    <w:lvl w:ilvl="0" w:tplc="C96CE35E">
      <w:start w:val="1"/>
      <w:numFmt w:val="upperLetter"/>
      <w:lvlText w:val="%1."/>
      <w:lvlJc w:val="left"/>
      <w:pPr>
        <w:ind w:left="720" w:hanging="360"/>
      </w:pPr>
      <w:rPr>
        <w:rFonts w:hint="default"/>
        <w:b/>
        <w:i/>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08D056DA"/>
    <w:multiLevelType w:val="hybridMultilevel"/>
    <w:tmpl w:val="8B34C6B4"/>
    <w:lvl w:ilvl="0" w:tplc="140A0015">
      <w:start w:val="1"/>
      <w:numFmt w:val="upperLetter"/>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6" w15:restartNumberingAfterBreak="0">
    <w:nsid w:val="0B7B1CD3"/>
    <w:multiLevelType w:val="hybridMultilevel"/>
    <w:tmpl w:val="CBFC2FF0"/>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0EA50BCB"/>
    <w:multiLevelType w:val="hybridMultilevel"/>
    <w:tmpl w:val="1D5809E6"/>
    <w:lvl w:ilvl="0" w:tplc="F88EEED6">
      <w:start w:val="1"/>
      <w:numFmt w:val="decimal"/>
      <w:lvlText w:val="%1."/>
      <w:lvlJc w:val="left"/>
      <w:pPr>
        <w:ind w:left="360" w:hanging="360"/>
      </w:pPr>
      <w:rPr>
        <w:color w:val="auto"/>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8" w15:restartNumberingAfterBreak="0">
    <w:nsid w:val="162A6BC5"/>
    <w:multiLevelType w:val="hybridMultilevel"/>
    <w:tmpl w:val="8B8603A8"/>
    <w:lvl w:ilvl="0" w:tplc="9FCAA576">
      <w:start w:val="1"/>
      <w:numFmt w:val="decimal"/>
      <w:lvlText w:val="%1."/>
      <w:lvlJc w:val="left"/>
      <w:pPr>
        <w:ind w:left="927" w:hanging="360"/>
      </w:pPr>
      <w:rPr>
        <w:b w:val="0"/>
        <w:i w:val="0"/>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17CA5FD6"/>
    <w:multiLevelType w:val="hybridMultilevel"/>
    <w:tmpl w:val="E7DC9F3A"/>
    <w:lvl w:ilvl="0" w:tplc="393E702C">
      <w:start w:val="1"/>
      <w:numFmt w:val="lowerLetter"/>
      <w:lvlText w:val="%1)"/>
      <w:lvlJc w:val="left"/>
      <w:pPr>
        <w:ind w:left="1428" w:hanging="72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0" w15:restartNumberingAfterBreak="0">
    <w:nsid w:val="17D57002"/>
    <w:multiLevelType w:val="hybridMultilevel"/>
    <w:tmpl w:val="07DA9504"/>
    <w:lvl w:ilvl="0" w:tplc="22A43524">
      <w:start w:val="14"/>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1B001780"/>
    <w:multiLevelType w:val="hybridMultilevel"/>
    <w:tmpl w:val="CB3E9AC8"/>
    <w:lvl w:ilvl="0" w:tplc="8CA29766">
      <w:start w:val="1"/>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1EF14180"/>
    <w:multiLevelType w:val="hybridMultilevel"/>
    <w:tmpl w:val="DAD8450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22AB3E94"/>
    <w:multiLevelType w:val="hybridMultilevel"/>
    <w:tmpl w:val="4F76CFFE"/>
    <w:lvl w:ilvl="0" w:tplc="CC5EC06C">
      <w:start w:val="1"/>
      <w:numFmt w:val="decimal"/>
      <w:lvlText w:val="%1."/>
      <w:lvlJc w:val="left"/>
      <w:pPr>
        <w:ind w:left="927" w:hanging="360"/>
      </w:pPr>
      <w:rPr>
        <w:b w:val="0"/>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231F166F"/>
    <w:multiLevelType w:val="hybridMultilevel"/>
    <w:tmpl w:val="26AE4732"/>
    <w:lvl w:ilvl="0" w:tplc="CBDC4E08">
      <w:start w:val="1"/>
      <w:numFmt w:val="decimal"/>
      <w:lvlText w:val="%1."/>
      <w:lvlJc w:val="left"/>
      <w:pPr>
        <w:ind w:left="720" w:hanging="360"/>
      </w:pPr>
      <w:rPr>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23A11441"/>
    <w:multiLevelType w:val="hybridMultilevel"/>
    <w:tmpl w:val="A406ECF0"/>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267801E9"/>
    <w:multiLevelType w:val="hybridMultilevel"/>
    <w:tmpl w:val="6D56E808"/>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267A49B0"/>
    <w:multiLevelType w:val="hybridMultilevel"/>
    <w:tmpl w:val="981CE284"/>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29903177"/>
    <w:multiLevelType w:val="hybridMultilevel"/>
    <w:tmpl w:val="1392222A"/>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38362CB3"/>
    <w:multiLevelType w:val="hybridMultilevel"/>
    <w:tmpl w:val="31E8FA4C"/>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3E1C6E91"/>
    <w:multiLevelType w:val="hybridMultilevel"/>
    <w:tmpl w:val="1E261050"/>
    <w:lvl w:ilvl="0" w:tplc="140A001B">
      <w:start w:val="1"/>
      <w:numFmt w:val="low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3F862DC3"/>
    <w:multiLevelType w:val="hybridMultilevel"/>
    <w:tmpl w:val="C7B28A3A"/>
    <w:lvl w:ilvl="0" w:tplc="140A0015">
      <w:start w:val="1"/>
      <w:numFmt w:val="upperLetter"/>
      <w:lvlText w:val="%1."/>
      <w:lvlJc w:val="left"/>
      <w:pPr>
        <w:ind w:left="720" w:hanging="360"/>
      </w:pPr>
      <w:rPr>
        <w:rFonts w:hint="default"/>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42AC15C4"/>
    <w:multiLevelType w:val="hybridMultilevel"/>
    <w:tmpl w:val="861EA8CA"/>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4E35047E"/>
    <w:multiLevelType w:val="hybridMultilevel"/>
    <w:tmpl w:val="0D04D0C0"/>
    <w:lvl w:ilvl="0" w:tplc="E2CA038E">
      <w:start w:val="3"/>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50A87930"/>
    <w:multiLevelType w:val="hybridMultilevel"/>
    <w:tmpl w:val="78E68602"/>
    <w:lvl w:ilvl="0" w:tplc="6B7277AC">
      <w:start w:val="1"/>
      <w:numFmt w:val="upperLetter"/>
      <w:lvlText w:val="%1)"/>
      <w:lvlJc w:val="left"/>
      <w:pPr>
        <w:ind w:left="1776" w:hanging="360"/>
      </w:pPr>
      <w:rPr>
        <w:rFonts w:hint="default"/>
      </w:rPr>
    </w:lvl>
    <w:lvl w:ilvl="1" w:tplc="140A0019" w:tentative="1">
      <w:start w:val="1"/>
      <w:numFmt w:val="lowerLetter"/>
      <w:lvlText w:val="%2."/>
      <w:lvlJc w:val="left"/>
      <w:pPr>
        <w:ind w:left="2496" w:hanging="360"/>
      </w:pPr>
    </w:lvl>
    <w:lvl w:ilvl="2" w:tplc="140A001B" w:tentative="1">
      <w:start w:val="1"/>
      <w:numFmt w:val="lowerRoman"/>
      <w:lvlText w:val="%3."/>
      <w:lvlJc w:val="right"/>
      <w:pPr>
        <w:ind w:left="3216" w:hanging="180"/>
      </w:pPr>
    </w:lvl>
    <w:lvl w:ilvl="3" w:tplc="140A000F" w:tentative="1">
      <w:start w:val="1"/>
      <w:numFmt w:val="decimal"/>
      <w:lvlText w:val="%4."/>
      <w:lvlJc w:val="left"/>
      <w:pPr>
        <w:ind w:left="3936" w:hanging="360"/>
      </w:pPr>
    </w:lvl>
    <w:lvl w:ilvl="4" w:tplc="140A0019" w:tentative="1">
      <w:start w:val="1"/>
      <w:numFmt w:val="lowerLetter"/>
      <w:lvlText w:val="%5."/>
      <w:lvlJc w:val="left"/>
      <w:pPr>
        <w:ind w:left="4656" w:hanging="360"/>
      </w:pPr>
    </w:lvl>
    <w:lvl w:ilvl="5" w:tplc="140A001B" w:tentative="1">
      <w:start w:val="1"/>
      <w:numFmt w:val="lowerRoman"/>
      <w:lvlText w:val="%6."/>
      <w:lvlJc w:val="right"/>
      <w:pPr>
        <w:ind w:left="5376" w:hanging="180"/>
      </w:pPr>
    </w:lvl>
    <w:lvl w:ilvl="6" w:tplc="140A000F" w:tentative="1">
      <w:start w:val="1"/>
      <w:numFmt w:val="decimal"/>
      <w:lvlText w:val="%7."/>
      <w:lvlJc w:val="left"/>
      <w:pPr>
        <w:ind w:left="6096" w:hanging="360"/>
      </w:pPr>
    </w:lvl>
    <w:lvl w:ilvl="7" w:tplc="140A0019" w:tentative="1">
      <w:start w:val="1"/>
      <w:numFmt w:val="lowerLetter"/>
      <w:lvlText w:val="%8."/>
      <w:lvlJc w:val="left"/>
      <w:pPr>
        <w:ind w:left="6816" w:hanging="360"/>
      </w:pPr>
    </w:lvl>
    <w:lvl w:ilvl="8" w:tplc="140A001B" w:tentative="1">
      <w:start w:val="1"/>
      <w:numFmt w:val="lowerRoman"/>
      <w:lvlText w:val="%9."/>
      <w:lvlJc w:val="right"/>
      <w:pPr>
        <w:ind w:left="7536" w:hanging="180"/>
      </w:pPr>
    </w:lvl>
  </w:abstractNum>
  <w:abstractNum w:abstractNumId="25" w15:restartNumberingAfterBreak="0">
    <w:nsid w:val="529B54ED"/>
    <w:multiLevelType w:val="hybridMultilevel"/>
    <w:tmpl w:val="102CE9C6"/>
    <w:lvl w:ilvl="0" w:tplc="2AE2807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57DE384C"/>
    <w:multiLevelType w:val="hybridMultilevel"/>
    <w:tmpl w:val="0250018E"/>
    <w:lvl w:ilvl="0" w:tplc="B34E2E48">
      <w:start w:val="1"/>
      <w:numFmt w:val="decimal"/>
      <w:lvlText w:val="%1)"/>
      <w:lvlJc w:val="left"/>
      <w:pPr>
        <w:ind w:left="2484" w:hanging="360"/>
      </w:pPr>
      <w:rPr>
        <w:rFonts w:hint="default"/>
      </w:rPr>
    </w:lvl>
    <w:lvl w:ilvl="1" w:tplc="140A0019" w:tentative="1">
      <w:start w:val="1"/>
      <w:numFmt w:val="lowerLetter"/>
      <w:lvlText w:val="%2."/>
      <w:lvlJc w:val="left"/>
      <w:pPr>
        <w:ind w:left="3204" w:hanging="360"/>
      </w:pPr>
    </w:lvl>
    <w:lvl w:ilvl="2" w:tplc="140A001B" w:tentative="1">
      <w:start w:val="1"/>
      <w:numFmt w:val="lowerRoman"/>
      <w:lvlText w:val="%3."/>
      <w:lvlJc w:val="right"/>
      <w:pPr>
        <w:ind w:left="3924" w:hanging="180"/>
      </w:pPr>
    </w:lvl>
    <w:lvl w:ilvl="3" w:tplc="140A000F" w:tentative="1">
      <w:start w:val="1"/>
      <w:numFmt w:val="decimal"/>
      <w:lvlText w:val="%4."/>
      <w:lvlJc w:val="left"/>
      <w:pPr>
        <w:ind w:left="4644" w:hanging="360"/>
      </w:pPr>
    </w:lvl>
    <w:lvl w:ilvl="4" w:tplc="140A0019" w:tentative="1">
      <w:start w:val="1"/>
      <w:numFmt w:val="lowerLetter"/>
      <w:lvlText w:val="%5."/>
      <w:lvlJc w:val="left"/>
      <w:pPr>
        <w:ind w:left="5364" w:hanging="360"/>
      </w:pPr>
    </w:lvl>
    <w:lvl w:ilvl="5" w:tplc="140A001B" w:tentative="1">
      <w:start w:val="1"/>
      <w:numFmt w:val="lowerRoman"/>
      <w:lvlText w:val="%6."/>
      <w:lvlJc w:val="right"/>
      <w:pPr>
        <w:ind w:left="6084" w:hanging="180"/>
      </w:pPr>
    </w:lvl>
    <w:lvl w:ilvl="6" w:tplc="140A000F" w:tentative="1">
      <w:start w:val="1"/>
      <w:numFmt w:val="decimal"/>
      <w:lvlText w:val="%7."/>
      <w:lvlJc w:val="left"/>
      <w:pPr>
        <w:ind w:left="6804" w:hanging="360"/>
      </w:pPr>
    </w:lvl>
    <w:lvl w:ilvl="7" w:tplc="140A0019" w:tentative="1">
      <w:start w:val="1"/>
      <w:numFmt w:val="lowerLetter"/>
      <w:lvlText w:val="%8."/>
      <w:lvlJc w:val="left"/>
      <w:pPr>
        <w:ind w:left="7524" w:hanging="360"/>
      </w:pPr>
    </w:lvl>
    <w:lvl w:ilvl="8" w:tplc="140A001B" w:tentative="1">
      <w:start w:val="1"/>
      <w:numFmt w:val="lowerRoman"/>
      <w:lvlText w:val="%9."/>
      <w:lvlJc w:val="right"/>
      <w:pPr>
        <w:ind w:left="8244" w:hanging="180"/>
      </w:pPr>
    </w:lvl>
  </w:abstractNum>
  <w:abstractNum w:abstractNumId="27" w15:restartNumberingAfterBreak="0">
    <w:nsid w:val="60DC284E"/>
    <w:multiLevelType w:val="hybridMultilevel"/>
    <w:tmpl w:val="56ECFDBC"/>
    <w:lvl w:ilvl="0" w:tplc="C0806D4C">
      <w:start w:val="1"/>
      <w:numFmt w:val="decimal"/>
      <w:lvlText w:val="%1."/>
      <w:lvlJc w:val="left"/>
      <w:pPr>
        <w:ind w:left="1065" w:hanging="705"/>
      </w:pPr>
      <w:rPr>
        <w:b w:val="0"/>
        <w:i w:val="0"/>
        <w:color w:val="auto"/>
      </w:rPr>
    </w:lvl>
    <w:lvl w:ilvl="1" w:tplc="04090019">
      <w:start w:val="1"/>
      <w:numFmt w:val="lowerLetter"/>
      <w:lvlText w:val="%2."/>
      <w:lvlJc w:val="left"/>
      <w:pPr>
        <w:ind w:left="1440" w:hanging="360"/>
      </w:pPr>
    </w:lvl>
    <w:lvl w:ilvl="2" w:tplc="BAB893C8">
      <w:start w:val="1"/>
      <w:numFmt w:val="upperLetter"/>
      <w:lvlText w:val="%3."/>
      <w:lvlJc w:val="lef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63C6780A"/>
    <w:multiLevelType w:val="hybridMultilevel"/>
    <w:tmpl w:val="C2D05DBE"/>
    <w:lvl w:ilvl="0" w:tplc="E2461194">
      <w:start w:val="1"/>
      <w:numFmt w:val="lowerRoman"/>
      <w:lvlText w:val="%1)"/>
      <w:lvlJc w:val="left"/>
      <w:pPr>
        <w:ind w:left="4260" w:hanging="720"/>
      </w:pPr>
      <w:rPr>
        <w:rFonts w:hint="default"/>
      </w:rPr>
    </w:lvl>
    <w:lvl w:ilvl="1" w:tplc="140A0019" w:tentative="1">
      <w:start w:val="1"/>
      <w:numFmt w:val="lowerLetter"/>
      <w:lvlText w:val="%2."/>
      <w:lvlJc w:val="left"/>
      <w:pPr>
        <w:ind w:left="4620" w:hanging="360"/>
      </w:pPr>
    </w:lvl>
    <w:lvl w:ilvl="2" w:tplc="140A001B" w:tentative="1">
      <w:start w:val="1"/>
      <w:numFmt w:val="lowerRoman"/>
      <w:lvlText w:val="%3."/>
      <w:lvlJc w:val="right"/>
      <w:pPr>
        <w:ind w:left="5340" w:hanging="180"/>
      </w:pPr>
    </w:lvl>
    <w:lvl w:ilvl="3" w:tplc="140A000F" w:tentative="1">
      <w:start w:val="1"/>
      <w:numFmt w:val="decimal"/>
      <w:lvlText w:val="%4."/>
      <w:lvlJc w:val="left"/>
      <w:pPr>
        <w:ind w:left="6060" w:hanging="360"/>
      </w:pPr>
    </w:lvl>
    <w:lvl w:ilvl="4" w:tplc="140A0019" w:tentative="1">
      <w:start w:val="1"/>
      <w:numFmt w:val="lowerLetter"/>
      <w:lvlText w:val="%5."/>
      <w:lvlJc w:val="left"/>
      <w:pPr>
        <w:ind w:left="6780" w:hanging="360"/>
      </w:pPr>
    </w:lvl>
    <w:lvl w:ilvl="5" w:tplc="140A001B" w:tentative="1">
      <w:start w:val="1"/>
      <w:numFmt w:val="lowerRoman"/>
      <w:lvlText w:val="%6."/>
      <w:lvlJc w:val="right"/>
      <w:pPr>
        <w:ind w:left="7500" w:hanging="180"/>
      </w:pPr>
    </w:lvl>
    <w:lvl w:ilvl="6" w:tplc="140A000F" w:tentative="1">
      <w:start w:val="1"/>
      <w:numFmt w:val="decimal"/>
      <w:lvlText w:val="%7."/>
      <w:lvlJc w:val="left"/>
      <w:pPr>
        <w:ind w:left="8220" w:hanging="360"/>
      </w:pPr>
    </w:lvl>
    <w:lvl w:ilvl="7" w:tplc="140A0019" w:tentative="1">
      <w:start w:val="1"/>
      <w:numFmt w:val="lowerLetter"/>
      <w:lvlText w:val="%8."/>
      <w:lvlJc w:val="left"/>
      <w:pPr>
        <w:ind w:left="8940" w:hanging="360"/>
      </w:pPr>
    </w:lvl>
    <w:lvl w:ilvl="8" w:tplc="140A001B" w:tentative="1">
      <w:start w:val="1"/>
      <w:numFmt w:val="lowerRoman"/>
      <w:lvlText w:val="%9."/>
      <w:lvlJc w:val="right"/>
      <w:pPr>
        <w:ind w:left="9660" w:hanging="180"/>
      </w:pPr>
    </w:lvl>
  </w:abstractNum>
  <w:abstractNum w:abstractNumId="29" w15:restartNumberingAfterBreak="0">
    <w:nsid w:val="6DFD56E2"/>
    <w:multiLevelType w:val="hybridMultilevel"/>
    <w:tmpl w:val="D74AD51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0" w15:restartNumberingAfterBreak="0">
    <w:nsid w:val="757A12A2"/>
    <w:multiLevelType w:val="hybridMultilevel"/>
    <w:tmpl w:val="E5126FEE"/>
    <w:lvl w:ilvl="0" w:tplc="016831AC">
      <w:start w:val="1"/>
      <w:numFmt w:val="decimal"/>
      <w:lvlText w:val="%1."/>
      <w:lvlJc w:val="left"/>
      <w:pPr>
        <w:ind w:left="1065" w:hanging="705"/>
      </w:pPr>
      <w:rPr>
        <w:rFonts w:hint="default"/>
        <w:b w:val="0"/>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7570A4C"/>
    <w:multiLevelType w:val="hybridMultilevel"/>
    <w:tmpl w:val="219240B4"/>
    <w:lvl w:ilvl="0" w:tplc="C63EB832">
      <w:start w:val="1"/>
      <w:numFmt w:val="decimal"/>
      <w:lvlText w:val="%1."/>
      <w:lvlJc w:val="left"/>
      <w:pPr>
        <w:ind w:left="720" w:hanging="360"/>
      </w:pPr>
      <w:rPr>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2" w15:restartNumberingAfterBreak="0">
    <w:nsid w:val="7983635B"/>
    <w:multiLevelType w:val="hybridMultilevel"/>
    <w:tmpl w:val="056A2518"/>
    <w:lvl w:ilvl="0" w:tplc="6DB053AE">
      <w:start w:val="1"/>
      <w:numFmt w:val="decimal"/>
      <w:lvlText w:val="%1."/>
      <w:lvlJc w:val="left"/>
      <w:pPr>
        <w:ind w:left="360" w:hanging="360"/>
      </w:pPr>
      <w:rPr>
        <w:rFonts w:ascii="Verdana" w:hAnsi="Verdana" w:hint="default"/>
        <w:b w:val="0"/>
        <w:i w:val="0"/>
        <w:strike w:val="0"/>
        <w:dstrike w:val="0"/>
        <w:color w:val="auto"/>
        <w:sz w:val="20"/>
        <w:szCs w:val="20"/>
        <w:u w:val="none"/>
        <w:effect w:val="none"/>
      </w:rPr>
    </w:lvl>
    <w:lvl w:ilvl="1" w:tplc="140A0019">
      <w:start w:val="1"/>
      <w:numFmt w:val="lowerLetter"/>
      <w:lvlText w:val="%2."/>
      <w:lvlJc w:val="left"/>
      <w:pPr>
        <w:ind w:left="-7916" w:hanging="360"/>
      </w:pPr>
    </w:lvl>
    <w:lvl w:ilvl="2" w:tplc="140A001B">
      <w:start w:val="1"/>
      <w:numFmt w:val="lowerRoman"/>
      <w:lvlText w:val="%3."/>
      <w:lvlJc w:val="right"/>
      <w:pPr>
        <w:ind w:left="-7196" w:hanging="180"/>
      </w:pPr>
    </w:lvl>
    <w:lvl w:ilvl="3" w:tplc="140A000F">
      <w:start w:val="1"/>
      <w:numFmt w:val="decimal"/>
      <w:lvlText w:val="%4."/>
      <w:lvlJc w:val="left"/>
      <w:pPr>
        <w:ind w:left="-6476" w:hanging="360"/>
      </w:pPr>
    </w:lvl>
    <w:lvl w:ilvl="4" w:tplc="140A0019">
      <w:start w:val="1"/>
      <w:numFmt w:val="lowerLetter"/>
      <w:lvlText w:val="%5."/>
      <w:lvlJc w:val="left"/>
      <w:pPr>
        <w:ind w:left="-5756" w:hanging="360"/>
      </w:pPr>
    </w:lvl>
    <w:lvl w:ilvl="5" w:tplc="140A001B">
      <w:start w:val="1"/>
      <w:numFmt w:val="lowerRoman"/>
      <w:lvlText w:val="%6."/>
      <w:lvlJc w:val="right"/>
      <w:pPr>
        <w:ind w:left="-5036" w:hanging="180"/>
      </w:pPr>
    </w:lvl>
    <w:lvl w:ilvl="6" w:tplc="140A000F">
      <w:start w:val="1"/>
      <w:numFmt w:val="decimal"/>
      <w:lvlText w:val="%7."/>
      <w:lvlJc w:val="left"/>
      <w:pPr>
        <w:ind w:left="-4316" w:hanging="360"/>
      </w:pPr>
    </w:lvl>
    <w:lvl w:ilvl="7" w:tplc="140A0019">
      <w:start w:val="1"/>
      <w:numFmt w:val="lowerLetter"/>
      <w:lvlText w:val="%8."/>
      <w:lvlJc w:val="left"/>
      <w:pPr>
        <w:ind w:left="-3596" w:hanging="360"/>
      </w:pPr>
    </w:lvl>
    <w:lvl w:ilvl="8" w:tplc="140A001B">
      <w:start w:val="1"/>
      <w:numFmt w:val="lowerRoman"/>
      <w:lvlText w:val="%9."/>
      <w:lvlJc w:val="right"/>
      <w:pPr>
        <w:ind w:left="-2876" w:hanging="180"/>
      </w:pPr>
    </w:lvl>
  </w:abstractNum>
  <w:abstractNum w:abstractNumId="33" w15:restartNumberingAfterBreak="0">
    <w:nsid w:val="7C7275DC"/>
    <w:multiLevelType w:val="hybridMultilevel"/>
    <w:tmpl w:val="C9F8ACD6"/>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17"/>
  </w:num>
  <w:num w:numId="2">
    <w:abstractNumId w:val="8"/>
  </w:num>
  <w:num w:numId="3">
    <w:abstractNumId w:val="14"/>
  </w:num>
  <w:num w:numId="4">
    <w:abstractNumId w:val="23"/>
  </w:num>
  <w:num w:numId="5">
    <w:abstractNumId w:val="9"/>
  </w:num>
  <w:num w:numId="6">
    <w:abstractNumId w:val="5"/>
  </w:num>
  <w:num w:numId="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num>
  <w:num w:numId="9">
    <w:abstractNumId w:val="25"/>
  </w:num>
  <w:num w:numId="10">
    <w:abstractNumId w:val="18"/>
  </w:num>
  <w:num w:numId="11">
    <w:abstractNumId w:val="6"/>
  </w:num>
  <w:num w:numId="12">
    <w:abstractNumId w:val="2"/>
  </w:num>
  <w:num w:numId="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22"/>
  </w:num>
  <w:num w:numId="16">
    <w:abstractNumId w:val="10"/>
  </w:num>
  <w:num w:numId="17">
    <w:abstractNumId w:val="33"/>
  </w:num>
  <w:num w:numId="18">
    <w:abstractNumId w:val="19"/>
  </w:num>
  <w:num w:numId="19">
    <w:abstractNumId w:val="7"/>
  </w:num>
  <w:num w:numId="20">
    <w:abstractNumId w:val="11"/>
  </w:num>
  <w:num w:numId="21">
    <w:abstractNumId w:val="24"/>
  </w:num>
  <w:num w:numId="22">
    <w:abstractNumId w:val="26"/>
  </w:num>
  <w:num w:numId="23">
    <w:abstractNumId w:val="3"/>
  </w:num>
  <w:num w:numId="24">
    <w:abstractNumId w:val="28"/>
  </w:num>
  <w:num w:numId="25">
    <w:abstractNumId w:val="21"/>
  </w:num>
  <w:num w:numId="26">
    <w:abstractNumId w:val="30"/>
  </w:num>
  <w:num w:numId="27">
    <w:abstractNumId w:val="27"/>
  </w:num>
  <w:num w:numId="28">
    <w:abstractNumId w:val="16"/>
  </w:num>
  <w:num w:numId="29">
    <w:abstractNumId w:val="29"/>
  </w:num>
  <w:num w:numId="30">
    <w:abstractNumId w:val="4"/>
  </w:num>
  <w:num w:numId="31">
    <w:abstractNumId w:val="31"/>
  </w:num>
  <w:num w:numId="32">
    <w:abstractNumId w:val="15"/>
  </w:num>
  <w:num w:numId="33">
    <w:abstractNumId w:val="0"/>
  </w:num>
  <w:num w:numId="34">
    <w:abstractNumId w:val="13"/>
  </w:num>
  <w:num w:numId="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A59"/>
    <w:rsid w:val="00001C9A"/>
    <w:rsid w:val="000066D1"/>
    <w:rsid w:val="00010D25"/>
    <w:rsid w:val="000125C3"/>
    <w:rsid w:val="00015B6B"/>
    <w:rsid w:val="000255A7"/>
    <w:rsid w:val="00026315"/>
    <w:rsid w:val="00026CF1"/>
    <w:rsid w:val="00027E92"/>
    <w:rsid w:val="00030606"/>
    <w:rsid w:val="00030D05"/>
    <w:rsid w:val="00031629"/>
    <w:rsid w:val="0003259E"/>
    <w:rsid w:val="00033CAA"/>
    <w:rsid w:val="00033E1C"/>
    <w:rsid w:val="00035A71"/>
    <w:rsid w:val="00037237"/>
    <w:rsid w:val="0004568D"/>
    <w:rsid w:val="00046702"/>
    <w:rsid w:val="00050171"/>
    <w:rsid w:val="000503DB"/>
    <w:rsid w:val="00050A1D"/>
    <w:rsid w:val="00050B6B"/>
    <w:rsid w:val="00053354"/>
    <w:rsid w:val="00063284"/>
    <w:rsid w:val="0006367A"/>
    <w:rsid w:val="000655F9"/>
    <w:rsid w:val="000665D3"/>
    <w:rsid w:val="00067E68"/>
    <w:rsid w:val="000716FB"/>
    <w:rsid w:val="000754A1"/>
    <w:rsid w:val="000760B6"/>
    <w:rsid w:val="00077C31"/>
    <w:rsid w:val="00077CC7"/>
    <w:rsid w:val="00081B6C"/>
    <w:rsid w:val="00081B96"/>
    <w:rsid w:val="00084023"/>
    <w:rsid w:val="000851AB"/>
    <w:rsid w:val="000945F0"/>
    <w:rsid w:val="00094B27"/>
    <w:rsid w:val="000963B2"/>
    <w:rsid w:val="000971C6"/>
    <w:rsid w:val="000A0CD3"/>
    <w:rsid w:val="000A1DCB"/>
    <w:rsid w:val="000A4492"/>
    <w:rsid w:val="000A5079"/>
    <w:rsid w:val="000A7842"/>
    <w:rsid w:val="000B1588"/>
    <w:rsid w:val="000B169E"/>
    <w:rsid w:val="000B1F7E"/>
    <w:rsid w:val="000B3D22"/>
    <w:rsid w:val="000B558C"/>
    <w:rsid w:val="000B6141"/>
    <w:rsid w:val="000C0CBF"/>
    <w:rsid w:val="000C1C37"/>
    <w:rsid w:val="000C2FD4"/>
    <w:rsid w:val="000C3455"/>
    <w:rsid w:val="000C3A59"/>
    <w:rsid w:val="000C585E"/>
    <w:rsid w:val="000C5F1B"/>
    <w:rsid w:val="000C6877"/>
    <w:rsid w:val="000C7CDF"/>
    <w:rsid w:val="000D078F"/>
    <w:rsid w:val="000D48FB"/>
    <w:rsid w:val="000D60E1"/>
    <w:rsid w:val="000D76C7"/>
    <w:rsid w:val="000E1376"/>
    <w:rsid w:val="000E291A"/>
    <w:rsid w:val="000E2CE6"/>
    <w:rsid w:val="000E2FEC"/>
    <w:rsid w:val="000E5791"/>
    <w:rsid w:val="000E6539"/>
    <w:rsid w:val="000E7C3E"/>
    <w:rsid w:val="000F0E5A"/>
    <w:rsid w:val="000F1007"/>
    <w:rsid w:val="000F192F"/>
    <w:rsid w:val="000F4240"/>
    <w:rsid w:val="000F4961"/>
    <w:rsid w:val="000F55B1"/>
    <w:rsid w:val="00101A74"/>
    <w:rsid w:val="0010575A"/>
    <w:rsid w:val="001060AD"/>
    <w:rsid w:val="0010631A"/>
    <w:rsid w:val="001103CD"/>
    <w:rsid w:val="001108B6"/>
    <w:rsid w:val="00110C4C"/>
    <w:rsid w:val="00111A0B"/>
    <w:rsid w:val="001136C5"/>
    <w:rsid w:val="00114D6E"/>
    <w:rsid w:val="001166A7"/>
    <w:rsid w:val="00117DA0"/>
    <w:rsid w:val="001225D8"/>
    <w:rsid w:val="00124E62"/>
    <w:rsid w:val="0012625A"/>
    <w:rsid w:val="001270B6"/>
    <w:rsid w:val="0013655F"/>
    <w:rsid w:val="00136D65"/>
    <w:rsid w:val="00140AC7"/>
    <w:rsid w:val="00142647"/>
    <w:rsid w:val="00143285"/>
    <w:rsid w:val="00144555"/>
    <w:rsid w:val="00144CA4"/>
    <w:rsid w:val="00147FCA"/>
    <w:rsid w:val="00150083"/>
    <w:rsid w:val="00151438"/>
    <w:rsid w:val="00160004"/>
    <w:rsid w:val="00165928"/>
    <w:rsid w:val="001712EC"/>
    <w:rsid w:val="00173866"/>
    <w:rsid w:val="0017543D"/>
    <w:rsid w:val="00175DDC"/>
    <w:rsid w:val="00175E91"/>
    <w:rsid w:val="00176211"/>
    <w:rsid w:val="00176315"/>
    <w:rsid w:val="001815B9"/>
    <w:rsid w:val="00183DD2"/>
    <w:rsid w:val="001850F6"/>
    <w:rsid w:val="00192966"/>
    <w:rsid w:val="00194358"/>
    <w:rsid w:val="0019477E"/>
    <w:rsid w:val="00197ABC"/>
    <w:rsid w:val="00197C26"/>
    <w:rsid w:val="00197F18"/>
    <w:rsid w:val="001A07E7"/>
    <w:rsid w:val="001A0A89"/>
    <w:rsid w:val="001A1151"/>
    <w:rsid w:val="001A445A"/>
    <w:rsid w:val="001A4C43"/>
    <w:rsid w:val="001A6473"/>
    <w:rsid w:val="001A7042"/>
    <w:rsid w:val="001B135D"/>
    <w:rsid w:val="001B2878"/>
    <w:rsid w:val="001B2AF9"/>
    <w:rsid w:val="001B3142"/>
    <w:rsid w:val="001B648B"/>
    <w:rsid w:val="001C03D0"/>
    <w:rsid w:val="001C10EB"/>
    <w:rsid w:val="001C18C7"/>
    <w:rsid w:val="001C33AF"/>
    <w:rsid w:val="001C3C82"/>
    <w:rsid w:val="001C4F91"/>
    <w:rsid w:val="001C5228"/>
    <w:rsid w:val="001C7D3D"/>
    <w:rsid w:val="001D03EF"/>
    <w:rsid w:val="001D1C78"/>
    <w:rsid w:val="001D3EE2"/>
    <w:rsid w:val="001E1C58"/>
    <w:rsid w:val="001E306A"/>
    <w:rsid w:val="001E5D73"/>
    <w:rsid w:val="001F212A"/>
    <w:rsid w:val="001F49EF"/>
    <w:rsid w:val="001F70D3"/>
    <w:rsid w:val="00200A02"/>
    <w:rsid w:val="00206587"/>
    <w:rsid w:val="00206E0F"/>
    <w:rsid w:val="00211D90"/>
    <w:rsid w:val="00215F71"/>
    <w:rsid w:val="00221180"/>
    <w:rsid w:val="00223C50"/>
    <w:rsid w:val="00223DE8"/>
    <w:rsid w:val="00225689"/>
    <w:rsid w:val="00230A9B"/>
    <w:rsid w:val="00231E3B"/>
    <w:rsid w:val="00231E44"/>
    <w:rsid w:val="00231F84"/>
    <w:rsid w:val="00231FCF"/>
    <w:rsid w:val="002327CB"/>
    <w:rsid w:val="0023339E"/>
    <w:rsid w:val="00233BDD"/>
    <w:rsid w:val="00234901"/>
    <w:rsid w:val="002359CC"/>
    <w:rsid w:val="00237A95"/>
    <w:rsid w:val="00240C59"/>
    <w:rsid w:val="00242E97"/>
    <w:rsid w:val="002451E6"/>
    <w:rsid w:val="00250DA0"/>
    <w:rsid w:val="002574B5"/>
    <w:rsid w:val="00260D4B"/>
    <w:rsid w:val="002628C8"/>
    <w:rsid w:val="00262C4F"/>
    <w:rsid w:val="0026333B"/>
    <w:rsid w:val="00265078"/>
    <w:rsid w:val="00265A1D"/>
    <w:rsid w:val="00265C38"/>
    <w:rsid w:val="00272A37"/>
    <w:rsid w:val="00276FAD"/>
    <w:rsid w:val="0027725C"/>
    <w:rsid w:val="00281B70"/>
    <w:rsid w:val="002832F4"/>
    <w:rsid w:val="00287F0C"/>
    <w:rsid w:val="00292C4E"/>
    <w:rsid w:val="00294763"/>
    <w:rsid w:val="00294D20"/>
    <w:rsid w:val="002A1A70"/>
    <w:rsid w:val="002A390D"/>
    <w:rsid w:val="002A70AD"/>
    <w:rsid w:val="002A7F74"/>
    <w:rsid w:val="002B1F45"/>
    <w:rsid w:val="002B37FE"/>
    <w:rsid w:val="002B39DC"/>
    <w:rsid w:val="002B521A"/>
    <w:rsid w:val="002B5EBE"/>
    <w:rsid w:val="002B6DD4"/>
    <w:rsid w:val="002C2779"/>
    <w:rsid w:val="002C279D"/>
    <w:rsid w:val="002C3294"/>
    <w:rsid w:val="002C6878"/>
    <w:rsid w:val="002D0782"/>
    <w:rsid w:val="002D27F2"/>
    <w:rsid w:val="002D38D9"/>
    <w:rsid w:val="002D5500"/>
    <w:rsid w:val="002E098F"/>
    <w:rsid w:val="002E319D"/>
    <w:rsid w:val="002E4B98"/>
    <w:rsid w:val="002E5607"/>
    <w:rsid w:val="002E57E3"/>
    <w:rsid w:val="002E595A"/>
    <w:rsid w:val="002E68C5"/>
    <w:rsid w:val="002F0E83"/>
    <w:rsid w:val="002F1CF3"/>
    <w:rsid w:val="002F2724"/>
    <w:rsid w:val="002F3577"/>
    <w:rsid w:val="002F65EF"/>
    <w:rsid w:val="003009E3"/>
    <w:rsid w:val="00301A4B"/>
    <w:rsid w:val="00303B1B"/>
    <w:rsid w:val="00306AA8"/>
    <w:rsid w:val="0031106A"/>
    <w:rsid w:val="00314B3D"/>
    <w:rsid w:val="00315383"/>
    <w:rsid w:val="00315F7A"/>
    <w:rsid w:val="00315F87"/>
    <w:rsid w:val="0032051F"/>
    <w:rsid w:val="0032237F"/>
    <w:rsid w:val="00330B68"/>
    <w:rsid w:val="00330F82"/>
    <w:rsid w:val="00332D99"/>
    <w:rsid w:val="00333367"/>
    <w:rsid w:val="00342174"/>
    <w:rsid w:val="003426CA"/>
    <w:rsid w:val="003450E7"/>
    <w:rsid w:val="00345E2C"/>
    <w:rsid w:val="00347E50"/>
    <w:rsid w:val="0035096A"/>
    <w:rsid w:val="0036032B"/>
    <w:rsid w:val="0036124C"/>
    <w:rsid w:val="00370811"/>
    <w:rsid w:val="00371A4E"/>
    <w:rsid w:val="003730E7"/>
    <w:rsid w:val="003735DE"/>
    <w:rsid w:val="0037514F"/>
    <w:rsid w:val="003807B7"/>
    <w:rsid w:val="00380881"/>
    <w:rsid w:val="00380A16"/>
    <w:rsid w:val="00381458"/>
    <w:rsid w:val="003814DC"/>
    <w:rsid w:val="00381964"/>
    <w:rsid w:val="00382D1C"/>
    <w:rsid w:val="003856ED"/>
    <w:rsid w:val="0039043E"/>
    <w:rsid w:val="003908B2"/>
    <w:rsid w:val="00390E8C"/>
    <w:rsid w:val="003A0FA8"/>
    <w:rsid w:val="003A1C40"/>
    <w:rsid w:val="003A623D"/>
    <w:rsid w:val="003B042D"/>
    <w:rsid w:val="003B255D"/>
    <w:rsid w:val="003B26FD"/>
    <w:rsid w:val="003B3868"/>
    <w:rsid w:val="003B5297"/>
    <w:rsid w:val="003C2468"/>
    <w:rsid w:val="003C4127"/>
    <w:rsid w:val="003D42E3"/>
    <w:rsid w:val="003D5200"/>
    <w:rsid w:val="003D5747"/>
    <w:rsid w:val="003D7AAE"/>
    <w:rsid w:val="003E0002"/>
    <w:rsid w:val="003E1F5A"/>
    <w:rsid w:val="003E37C9"/>
    <w:rsid w:val="003E3B0F"/>
    <w:rsid w:val="003E5DBD"/>
    <w:rsid w:val="003E5FDC"/>
    <w:rsid w:val="003F0924"/>
    <w:rsid w:val="003F1E29"/>
    <w:rsid w:val="003F2017"/>
    <w:rsid w:val="003F3CC1"/>
    <w:rsid w:val="003F6D82"/>
    <w:rsid w:val="003F7079"/>
    <w:rsid w:val="003F76BB"/>
    <w:rsid w:val="0040026B"/>
    <w:rsid w:val="004003C6"/>
    <w:rsid w:val="004020FB"/>
    <w:rsid w:val="00402834"/>
    <w:rsid w:val="00403CB0"/>
    <w:rsid w:val="00405339"/>
    <w:rsid w:val="00407462"/>
    <w:rsid w:val="00411AE2"/>
    <w:rsid w:val="00412264"/>
    <w:rsid w:val="004136FF"/>
    <w:rsid w:val="00416A2A"/>
    <w:rsid w:val="004170D4"/>
    <w:rsid w:val="00420118"/>
    <w:rsid w:val="00420C82"/>
    <w:rsid w:val="00422B0E"/>
    <w:rsid w:val="004233CD"/>
    <w:rsid w:val="0042644B"/>
    <w:rsid w:val="00430D7F"/>
    <w:rsid w:val="00430FBD"/>
    <w:rsid w:val="00432361"/>
    <w:rsid w:val="004326B6"/>
    <w:rsid w:val="0043326F"/>
    <w:rsid w:val="00433782"/>
    <w:rsid w:val="004412CB"/>
    <w:rsid w:val="0044597B"/>
    <w:rsid w:val="0044640F"/>
    <w:rsid w:val="004470F2"/>
    <w:rsid w:val="00447E78"/>
    <w:rsid w:val="004513A0"/>
    <w:rsid w:val="00453806"/>
    <w:rsid w:val="004579DA"/>
    <w:rsid w:val="00460508"/>
    <w:rsid w:val="0046081B"/>
    <w:rsid w:val="0046223E"/>
    <w:rsid w:val="004624DD"/>
    <w:rsid w:val="0046251D"/>
    <w:rsid w:val="004629C1"/>
    <w:rsid w:val="00465C9D"/>
    <w:rsid w:val="0046613C"/>
    <w:rsid w:val="00472D50"/>
    <w:rsid w:val="00473D9D"/>
    <w:rsid w:val="004742D3"/>
    <w:rsid w:val="00476902"/>
    <w:rsid w:val="00481E77"/>
    <w:rsid w:val="00484310"/>
    <w:rsid w:val="004849F1"/>
    <w:rsid w:val="0049029F"/>
    <w:rsid w:val="00490C8C"/>
    <w:rsid w:val="00491685"/>
    <w:rsid w:val="00493947"/>
    <w:rsid w:val="00493AED"/>
    <w:rsid w:val="004940E8"/>
    <w:rsid w:val="00497B8F"/>
    <w:rsid w:val="004A2818"/>
    <w:rsid w:val="004A31A8"/>
    <w:rsid w:val="004A6CD9"/>
    <w:rsid w:val="004B057D"/>
    <w:rsid w:val="004B11D5"/>
    <w:rsid w:val="004B2200"/>
    <w:rsid w:val="004B3CDC"/>
    <w:rsid w:val="004C1696"/>
    <w:rsid w:val="004C1D91"/>
    <w:rsid w:val="004C2015"/>
    <w:rsid w:val="004C25D0"/>
    <w:rsid w:val="004C2D80"/>
    <w:rsid w:val="004D182A"/>
    <w:rsid w:val="004D23CF"/>
    <w:rsid w:val="004D5566"/>
    <w:rsid w:val="004E311E"/>
    <w:rsid w:val="004E3CB4"/>
    <w:rsid w:val="004E5F7C"/>
    <w:rsid w:val="004E5FEC"/>
    <w:rsid w:val="004F23CE"/>
    <w:rsid w:val="004F31F6"/>
    <w:rsid w:val="004F53FE"/>
    <w:rsid w:val="004F5630"/>
    <w:rsid w:val="005018AF"/>
    <w:rsid w:val="00506241"/>
    <w:rsid w:val="00507C2D"/>
    <w:rsid w:val="00514E3B"/>
    <w:rsid w:val="005171A6"/>
    <w:rsid w:val="00517B0C"/>
    <w:rsid w:val="00520619"/>
    <w:rsid w:val="00521FCD"/>
    <w:rsid w:val="005238A7"/>
    <w:rsid w:val="005251C0"/>
    <w:rsid w:val="00526D83"/>
    <w:rsid w:val="00531274"/>
    <w:rsid w:val="00533C0F"/>
    <w:rsid w:val="005366C0"/>
    <w:rsid w:val="00537B47"/>
    <w:rsid w:val="0054266E"/>
    <w:rsid w:val="005434A6"/>
    <w:rsid w:val="00545EB6"/>
    <w:rsid w:val="00547253"/>
    <w:rsid w:val="00547944"/>
    <w:rsid w:val="0055126E"/>
    <w:rsid w:val="00552A8E"/>
    <w:rsid w:val="005536F0"/>
    <w:rsid w:val="00553C0C"/>
    <w:rsid w:val="00553E80"/>
    <w:rsid w:val="00556899"/>
    <w:rsid w:val="00561771"/>
    <w:rsid w:val="00564F43"/>
    <w:rsid w:val="00565969"/>
    <w:rsid w:val="00567429"/>
    <w:rsid w:val="0057243F"/>
    <w:rsid w:val="00576A4C"/>
    <w:rsid w:val="00577323"/>
    <w:rsid w:val="0057747C"/>
    <w:rsid w:val="00580F1F"/>
    <w:rsid w:val="0058164F"/>
    <w:rsid w:val="00582FE3"/>
    <w:rsid w:val="005913DD"/>
    <w:rsid w:val="00592807"/>
    <w:rsid w:val="00593162"/>
    <w:rsid w:val="00597C28"/>
    <w:rsid w:val="005A237A"/>
    <w:rsid w:val="005A6096"/>
    <w:rsid w:val="005A6C24"/>
    <w:rsid w:val="005B1678"/>
    <w:rsid w:val="005B1CA2"/>
    <w:rsid w:val="005B27F6"/>
    <w:rsid w:val="005B520E"/>
    <w:rsid w:val="005B5CBE"/>
    <w:rsid w:val="005C0601"/>
    <w:rsid w:val="005C09D4"/>
    <w:rsid w:val="005C3D49"/>
    <w:rsid w:val="005D179C"/>
    <w:rsid w:val="005D216A"/>
    <w:rsid w:val="005D5EFE"/>
    <w:rsid w:val="005D75A8"/>
    <w:rsid w:val="005E1893"/>
    <w:rsid w:val="005E32E3"/>
    <w:rsid w:val="005E4C55"/>
    <w:rsid w:val="005E625B"/>
    <w:rsid w:val="005E792F"/>
    <w:rsid w:val="005E7D7F"/>
    <w:rsid w:val="005E7E78"/>
    <w:rsid w:val="005F073B"/>
    <w:rsid w:val="005F3092"/>
    <w:rsid w:val="005F3BFE"/>
    <w:rsid w:val="005F4179"/>
    <w:rsid w:val="005F4D50"/>
    <w:rsid w:val="006031D7"/>
    <w:rsid w:val="00603947"/>
    <w:rsid w:val="006105E2"/>
    <w:rsid w:val="00610E9B"/>
    <w:rsid w:val="00611852"/>
    <w:rsid w:val="00611932"/>
    <w:rsid w:val="006134F5"/>
    <w:rsid w:val="00614010"/>
    <w:rsid w:val="00614D16"/>
    <w:rsid w:val="00614E63"/>
    <w:rsid w:val="00615603"/>
    <w:rsid w:val="006173E1"/>
    <w:rsid w:val="00620BFF"/>
    <w:rsid w:val="00621C14"/>
    <w:rsid w:val="0063207F"/>
    <w:rsid w:val="006366ED"/>
    <w:rsid w:val="0064019A"/>
    <w:rsid w:val="0064102B"/>
    <w:rsid w:val="00644D64"/>
    <w:rsid w:val="006508E4"/>
    <w:rsid w:val="0065095C"/>
    <w:rsid w:val="00651EF0"/>
    <w:rsid w:val="006528E8"/>
    <w:rsid w:val="00653DCB"/>
    <w:rsid w:val="00654312"/>
    <w:rsid w:val="00655FE5"/>
    <w:rsid w:val="006569F8"/>
    <w:rsid w:val="00657D1A"/>
    <w:rsid w:val="00661360"/>
    <w:rsid w:val="00664D2B"/>
    <w:rsid w:val="006701AC"/>
    <w:rsid w:val="00670614"/>
    <w:rsid w:val="006707AF"/>
    <w:rsid w:val="0067262F"/>
    <w:rsid w:val="006762EF"/>
    <w:rsid w:val="00677697"/>
    <w:rsid w:val="00682C61"/>
    <w:rsid w:val="006840BF"/>
    <w:rsid w:val="0068640A"/>
    <w:rsid w:val="0069431C"/>
    <w:rsid w:val="006946A7"/>
    <w:rsid w:val="00697EAE"/>
    <w:rsid w:val="006A0FC3"/>
    <w:rsid w:val="006A1D21"/>
    <w:rsid w:val="006A2DAF"/>
    <w:rsid w:val="006A4277"/>
    <w:rsid w:val="006A4959"/>
    <w:rsid w:val="006A5144"/>
    <w:rsid w:val="006B3341"/>
    <w:rsid w:val="006B47E7"/>
    <w:rsid w:val="006B6405"/>
    <w:rsid w:val="006C147D"/>
    <w:rsid w:val="006C44C7"/>
    <w:rsid w:val="006C523F"/>
    <w:rsid w:val="006D36E5"/>
    <w:rsid w:val="006D3753"/>
    <w:rsid w:val="006D3D23"/>
    <w:rsid w:val="006E0502"/>
    <w:rsid w:val="006E1AFA"/>
    <w:rsid w:val="006E6211"/>
    <w:rsid w:val="006F1618"/>
    <w:rsid w:val="006F1C5D"/>
    <w:rsid w:val="006F507C"/>
    <w:rsid w:val="006F5F1E"/>
    <w:rsid w:val="0070022E"/>
    <w:rsid w:val="007002F2"/>
    <w:rsid w:val="00701A3F"/>
    <w:rsid w:val="00704A92"/>
    <w:rsid w:val="00705076"/>
    <w:rsid w:val="00705C88"/>
    <w:rsid w:val="007075CD"/>
    <w:rsid w:val="00710E11"/>
    <w:rsid w:val="007119BE"/>
    <w:rsid w:val="00714A2A"/>
    <w:rsid w:val="00716CE1"/>
    <w:rsid w:val="00721C51"/>
    <w:rsid w:val="00721D61"/>
    <w:rsid w:val="00721F2E"/>
    <w:rsid w:val="00723155"/>
    <w:rsid w:val="007232F8"/>
    <w:rsid w:val="00725B31"/>
    <w:rsid w:val="00727670"/>
    <w:rsid w:val="00737CC0"/>
    <w:rsid w:val="007423BA"/>
    <w:rsid w:val="007437FF"/>
    <w:rsid w:val="00750ECC"/>
    <w:rsid w:val="00751222"/>
    <w:rsid w:val="00753E80"/>
    <w:rsid w:val="007551B8"/>
    <w:rsid w:val="007552CA"/>
    <w:rsid w:val="007563D4"/>
    <w:rsid w:val="00762C54"/>
    <w:rsid w:val="00763520"/>
    <w:rsid w:val="00764298"/>
    <w:rsid w:val="00764A02"/>
    <w:rsid w:val="007652F9"/>
    <w:rsid w:val="007662C5"/>
    <w:rsid w:val="00767891"/>
    <w:rsid w:val="00770287"/>
    <w:rsid w:val="00772EEF"/>
    <w:rsid w:val="00773CB7"/>
    <w:rsid w:val="00780FA2"/>
    <w:rsid w:val="007928AF"/>
    <w:rsid w:val="00793F2B"/>
    <w:rsid w:val="00794D2E"/>
    <w:rsid w:val="00794D58"/>
    <w:rsid w:val="007A082F"/>
    <w:rsid w:val="007A23F0"/>
    <w:rsid w:val="007B07A5"/>
    <w:rsid w:val="007B0E9F"/>
    <w:rsid w:val="007B18D0"/>
    <w:rsid w:val="007B4490"/>
    <w:rsid w:val="007C0500"/>
    <w:rsid w:val="007C1A42"/>
    <w:rsid w:val="007C25EE"/>
    <w:rsid w:val="007C2F62"/>
    <w:rsid w:val="007C4165"/>
    <w:rsid w:val="007C64BF"/>
    <w:rsid w:val="007C7906"/>
    <w:rsid w:val="007D0AAC"/>
    <w:rsid w:val="007D0D14"/>
    <w:rsid w:val="007D4876"/>
    <w:rsid w:val="007D5AF9"/>
    <w:rsid w:val="007D689B"/>
    <w:rsid w:val="007E0A2A"/>
    <w:rsid w:val="007E155D"/>
    <w:rsid w:val="007E1E5D"/>
    <w:rsid w:val="007E2C69"/>
    <w:rsid w:val="007E4629"/>
    <w:rsid w:val="007E626F"/>
    <w:rsid w:val="007E65C6"/>
    <w:rsid w:val="007E709A"/>
    <w:rsid w:val="007F0C22"/>
    <w:rsid w:val="007F626A"/>
    <w:rsid w:val="007F6A24"/>
    <w:rsid w:val="007F7702"/>
    <w:rsid w:val="0080251F"/>
    <w:rsid w:val="0080460C"/>
    <w:rsid w:val="00805775"/>
    <w:rsid w:val="008058E1"/>
    <w:rsid w:val="008104E8"/>
    <w:rsid w:val="00810DE3"/>
    <w:rsid w:val="008142DA"/>
    <w:rsid w:val="008156A9"/>
    <w:rsid w:val="008201C3"/>
    <w:rsid w:val="00821E40"/>
    <w:rsid w:val="00822E60"/>
    <w:rsid w:val="008254E1"/>
    <w:rsid w:val="0082643A"/>
    <w:rsid w:val="00827174"/>
    <w:rsid w:val="00834D2A"/>
    <w:rsid w:val="00840436"/>
    <w:rsid w:val="008410F2"/>
    <w:rsid w:val="0084181F"/>
    <w:rsid w:val="00843553"/>
    <w:rsid w:val="008449C3"/>
    <w:rsid w:val="00845BF0"/>
    <w:rsid w:val="008505F3"/>
    <w:rsid w:val="008506F3"/>
    <w:rsid w:val="00853E6E"/>
    <w:rsid w:val="00855228"/>
    <w:rsid w:val="00857F87"/>
    <w:rsid w:val="008637FC"/>
    <w:rsid w:val="0086774D"/>
    <w:rsid w:val="00871313"/>
    <w:rsid w:val="0087250D"/>
    <w:rsid w:val="00873530"/>
    <w:rsid w:val="00876582"/>
    <w:rsid w:val="00877709"/>
    <w:rsid w:val="00877B3A"/>
    <w:rsid w:val="008850ED"/>
    <w:rsid w:val="0089000A"/>
    <w:rsid w:val="008949BE"/>
    <w:rsid w:val="00895179"/>
    <w:rsid w:val="008953CB"/>
    <w:rsid w:val="008966E0"/>
    <w:rsid w:val="00896930"/>
    <w:rsid w:val="008A0396"/>
    <w:rsid w:val="008A2037"/>
    <w:rsid w:val="008A2301"/>
    <w:rsid w:val="008A3082"/>
    <w:rsid w:val="008A3B8A"/>
    <w:rsid w:val="008A4EE0"/>
    <w:rsid w:val="008A6384"/>
    <w:rsid w:val="008A6441"/>
    <w:rsid w:val="008A6C8B"/>
    <w:rsid w:val="008B0710"/>
    <w:rsid w:val="008B0DB5"/>
    <w:rsid w:val="008B283F"/>
    <w:rsid w:val="008B3FE4"/>
    <w:rsid w:val="008B424B"/>
    <w:rsid w:val="008B556E"/>
    <w:rsid w:val="008B6F43"/>
    <w:rsid w:val="008C0080"/>
    <w:rsid w:val="008C5B7E"/>
    <w:rsid w:val="008D0E70"/>
    <w:rsid w:val="008D111A"/>
    <w:rsid w:val="008D1B80"/>
    <w:rsid w:val="008D418A"/>
    <w:rsid w:val="008D5753"/>
    <w:rsid w:val="008D7ACC"/>
    <w:rsid w:val="008E4A63"/>
    <w:rsid w:val="008E4BDA"/>
    <w:rsid w:val="008E534F"/>
    <w:rsid w:val="008F1832"/>
    <w:rsid w:val="008F19A9"/>
    <w:rsid w:val="008F3006"/>
    <w:rsid w:val="008F3932"/>
    <w:rsid w:val="008F4CD8"/>
    <w:rsid w:val="008F74B7"/>
    <w:rsid w:val="008F75EC"/>
    <w:rsid w:val="00901D2E"/>
    <w:rsid w:val="00903828"/>
    <w:rsid w:val="00904806"/>
    <w:rsid w:val="00904FC5"/>
    <w:rsid w:val="009052C2"/>
    <w:rsid w:val="009075A1"/>
    <w:rsid w:val="00910B34"/>
    <w:rsid w:val="0091611C"/>
    <w:rsid w:val="00917A43"/>
    <w:rsid w:val="00920FC0"/>
    <w:rsid w:val="009228F3"/>
    <w:rsid w:val="00924439"/>
    <w:rsid w:val="009276FD"/>
    <w:rsid w:val="00940E4F"/>
    <w:rsid w:val="009414DB"/>
    <w:rsid w:val="00942630"/>
    <w:rsid w:val="00944EEE"/>
    <w:rsid w:val="0094533B"/>
    <w:rsid w:val="00945D09"/>
    <w:rsid w:val="009508F1"/>
    <w:rsid w:val="0095184D"/>
    <w:rsid w:val="009519E0"/>
    <w:rsid w:val="009524B1"/>
    <w:rsid w:val="009579FF"/>
    <w:rsid w:val="0096244C"/>
    <w:rsid w:val="0096573D"/>
    <w:rsid w:val="00966ABA"/>
    <w:rsid w:val="0096702D"/>
    <w:rsid w:val="0097022F"/>
    <w:rsid w:val="009706BA"/>
    <w:rsid w:val="00973C76"/>
    <w:rsid w:val="00976D34"/>
    <w:rsid w:val="0098570B"/>
    <w:rsid w:val="00986306"/>
    <w:rsid w:val="009868BB"/>
    <w:rsid w:val="009907CD"/>
    <w:rsid w:val="00993025"/>
    <w:rsid w:val="00994AA6"/>
    <w:rsid w:val="00994CA5"/>
    <w:rsid w:val="00995CAB"/>
    <w:rsid w:val="009A1417"/>
    <w:rsid w:val="009A148C"/>
    <w:rsid w:val="009A3BAF"/>
    <w:rsid w:val="009A45D4"/>
    <w:rsid w:val="009A4926"/>
    <w:rsid w:val="009B3521"/>
    <w:rsid w:val="009B5004"/>
    <w:rsid w:val="009B559B"/>
    <w:rsid w:val="009B6849"/>
    <w:rsid w:val="009B7184"/>
    <w:rsid w:val="009C057E"/>
    <w:rsid w:val="009C29AA"/>
    <w:rsid w:val="009C2D4C"/>
    <w:rsid w:val="009C39F4"/>
    <w:rsid w:val="009C6384"/>
    <w:rsid w:val="009D3ABE"/>
    <w:rsid w:val="009D4562"/>
    <w:rsid w:val="009D4CEB"/>
    <w:rsid w:val="009D61F5"/>
    <w:rsid w:val="009E3C79"/>
    <w:rsid w:val="009E4F46"/>
    <w:rsid w:val="009E574E"/>
    <w:rsid w:val="009E5E40"/>
    <w:rsid w:val="009E625C"/>
    <w:rsid w:val="009E63FC"/>
    <w:rsid w:val="009F07BD"/>
    <w:rsid w:val="009F1DD5"/>
    <w:rsid w:val="009F46D4"/>
    <w:rsid w:val="009F47B1"/>
    <w:rsid w:val="009F6267"/>
    <w:rsid w:val="009F7628"/>
    <w:rsid w:val="00A004C9"/>
    <w:rsid w:val="00A03214"/>
    <w:rsid w:val="00A05CE5"/>
    <w:rsid w:val="00A071CD"/>
    <w:rsid w:val="00A07649"/>
    <w:rsid w:val="00A10872"/>
    <w:rsid w:val="00A10C9E"/>
    <w:rsid w:val="00A130BF"/>
    <w:rsid w:val="00A1396C"/>
    <w:rsid w:val="00A13983"/>
    <w:rsid w:val="00A15E93"/>
    <w:rsid w:val="00A17F76"/>
    <w:rsid w:val="00A205AF"/>
    <w:rsid w:val="00A31067"/>
    <w:rsid w:val="00A31F30"/>
    <w:rsid w:val="00A325C0"/>
    <w:rsid w:val="00A325C1"/>
    <w:rsid w:val="00A34E89"/>
    <w:rsid w:val="00A4084E"/>
    <w:rsid w:val="00A432D0"/>
    <w:rsid w:val="00A44992"/>
    <w:rsid w:val="00A46068"/>
    <w:rsid w:val="00A46F2B"/>
    <w:rsid w:val="00A52CF1"/>
    <w:rsid w:val="00A53F3F"/>
    <w:rsid w:val="00A562F4"/>
    <w:rsid w:val="00A61286"/>
    <w:rsid w:val="00A623AA"/>
    <w:rsid w:val="00A661D9"/>
    <w:rsid w:val="00A66DBF"/>
    <w:rsid w:val="00A70F21"/>
    <w:rsid w:val="00A71478"/>
    <w:rsid w:val="00A74884"/>
    <w:rsid w:val="00A822EE"/>
    <w:rsid w:val="00A82B65"/>
    <w:rsid w:val="00A82F09"/>
    <w:rsid w:val="00A90081"/>
    <w:rsid w:val="00A96460"/>
    <w:rsid w:val="00AA02BF"/>
    <w:rsid w:val="00AA1307"/>
    <w:rsid w:val="00AA44BD"/>
    <w:rsid w:val="00AA5860"/>
    <w:rsid w:val="00AA58D1"/>
    <w:rsid w:val="00AA7BFA"/>
    <w:rsid w:val="00AA7C94"/>
    <w:rsid w:val="00AB055D"/>
    <w:rsid w:val="00AB178F"/>
    <w:rsid w:val="00AB3588"/>
    <w:rsid w:val="00AB4382"/>
    <w:rsid w:val="00AB79F6"/>
    <w:rsid w:val="00AC20E6"/>
    <w:rsid w:val="00AC44F7"/>
    <w:rsid w:val="00AC4931"/>
    <w:rsid w:val="00AC4DAD"/>
    <w:rsid w:val="00AC515B"/>
    <w:rsid w:val="00AC62E6"/>
    <w:rsid w:val="00AC7636"/>
    <w:rsid w:val="00AD28F8"/>
    <w:rsid w:val="00AD5800"/>
    <w:rsid w:val="00AD5E76"/>
    <w:rsid w:val="00AD7EBC"/>
    <w:rsid w:val="00AE248C"/>
    <w:rsid w:val="00AE401A"/>
    <w:rsid w:val="00AE4394"/>
    <w:rsid w:val="00AE4566"/>
    <w:rsid w:val="00AF1DE4"/>
    <w:rsid w:val="00AF1FC1"/>
    <w:rsid w:val="00AF215D"/>
    <w:rsid w:val="00AF4B4B"/>
    <w:rsid w:val="00AF5A64"/>
    <w:rsid w:val="00AF6300"/>
    <w:rsid w:val="00B00918"/>
    <w:rsid w:val="00B01550"/>
    <w:rsid w:val="00B044C4"/>
    <w:rsid w:val="00B0451C"/>
    <w:rsid w:val="00B05E90"/>
    <w:rsid w:val="00B06314"/>
    <w:rsid w:val="00B0785F"/>
    <w:rsid w:val="00B10F26"/>
    <w:rsid w:val="00B13189"/>
    <w:rsid w:val="00B143D1"/>
    <w:rsid w:val="00B17786"/>
    <w:rsid w:val="00B17B12"/>
    <w:rsid w:val="00B22414"/>
    <w:rsid w:val="00B2425B"/>
    <w:rsid w:val="00B268FF"/>
    <w:rsid w:val="00B27C31"/>
    <w:rsid w:val="00B31947"/>
    <w:rsid w:val="00B343A2"/>
    <w:rsid w:val="00B34B25"/>
    <w:rsid w:val="00B34E4E"/>
    <w:rsid w:val="00B3657E"/>
    <w:rsid w:val="00B4199B"/>
    <w:rsid w:val="00B429E5"/>
    <w:rsid w:val="00B43377"/>
    <w:rsid w:val="00B44AC9"/>
    <w:rsid w:val="00B45241"/>
    <w:rsid w:val="00B45681"/>
    <w:rsid w:val="00B458C1"/>
    <w:rsid w:val="00B46399"/>
    <w:rsid w:val="00B46CB7"/>
    <w:rsid w:val="00B471A8"/>
    <w:rsid w:val="00B50B39"/>
    <w:rsid w:val="00B54C19"/>
    <w:rsid w:val="00B54F74"/>
    <w:rsid w:val="00B576F8"/>
    <w:rsid w:val="00B57FF1"/>
    <w:rsid w:val="00B60B16"/>
    <w:rsid w:val="00B61294"/>
    <w:rsid w:val="00B61BE7"/>
    <w:rsid w:val="00B628A1"/>
    <w:rsid w:val="00B63225"/>
    <w:rsid w:val="00B65AAE"/>
    <w:rsid w:val="00B65B15"/>
    <w:rsid w:val="00B67CAC"/>
    <w:rsid w:val="00B67E4F"/>
    <w:rsid w:val="00B71268"/>
    <w:rsid w:val="00B75072"/>
    <w:rsid w:val="00B772F9"/>
    <w:rsid w:val="00B81447"/>
    <w:rsid w:val="00B81F5C"/>
    <w:rsid w:val="00B824B0"/>
    <w:rsid w:val="00B82B51"/>
    <w:rsid w:val="00B82D96"/>
    <w:rsid w:val="00B83743"/>
    <w:rsid w:val="00B92164"/>
    <w:rsid w:val="00B93F1F"/>
    <w:rsid w:val="00B958DD"/>
    <w:rsid w:val="00B978A1"/>
    <w:rsid w:val="00BA14A9"/>
    <w:rsid w:val="00BA1918"/>
    <w:rsid w:val="00BA454B"/>
    <w:rsid w:val="00BA5638"/>
    <w:rsid w:val="00BA5C09"/>
    <w:rsid w:val="00BA5FAA"/>
    <w:rsid w:val="00BB076F"/>
    <w:rsid w:val="00BB58CD"/>
    <w:rsid w:val="00BC2D2F"/>
    <w:rsid w:val="00BD0EA4"/>
    <w:rsid w:val="00BD1E51"/>
    <w:rsid w:val="00BD64C2"/>
    <w:rsid w:val="00BD7BE5"/>
    <w:rsid w:val="00BE2A33"/>
    <w:rsid w:val="00BE5003"/>
    <w:rsid w:val="00BE6A31"/>
    <w:rsid w:val="00BE6F2C"/>
    <w:rsid w:val="00BE76BF"/>
    <w:rsid w:val="00BE7A2A"/>
    <w:rsid w:val="00BE7C18"/>
    <w:rsid w:val="00BF622F"/>
    <w:rsid w:val="00C01FF4"/>
    <w:rsid w:val="00C03368"/>
    <w:rsid w:val="00C0454D"/>
    <w:rsid w:val="00C056AD"/>
    <w:rsid w:val="00C128A0"/>
    <w:rsid w:val="00C12B88"/>
    <w:rsid w:val="00C2162F"/>
    <w:rsid w:val="00C22C68"/>
    <w:rsid w:val="00C2359F"/>
    <w:rsid w:val="00C24073"/>
    <w:rsid w:val="00C24A5B"/>
    <w:rsid w:val="00C25115"/>
    <w:rsid w:val="00C30815"/>
    <w:rsid w:val="00C3096C"/>
    <w:rsid w:val="00C31A8C"/>
    <w:rsid w:val="00C337C7"/>
    <w:rsid w:val="00C357D5"/>
    <w:rsid w:val="00C364E6"/>
    <w:rsid w:val="00C401B8"/>
    <w:rsid w:val="00C41ADC"/>
    <w:rsid w:val="00C41AE0"/>
    <w:rsid w:val="00C44628"/>
    <w:rsid w:val="00C45535"/>
    <w:rsid w:val="00C5252D"/>
    <w:rsid w:val="00C54AB5"/>
    <w:rsid w:val="00C54B24"/>
    <w:rsid w:val="00C54CED"/>
    <w:rsid w:val="00C573E2"/>
    <w:rsid w:val="00C57A6C"/>
    <w:rsid w:val="00C61947"/>
    <w:rsid w:val="00C61DD5"/>
    <w:rsid w:val="00C63489"/>
    <w:rsid w:val="00C672DF"/>
    <w:rsid w:val="00C7575D"/>
    <w:rsid w:val="00C858FE"/>
    <w:rsid w:val="00C91599"/>
    <w:rsid w:val="00C920AB"/>
    <w:rsid w:val="00C9462C"/>
    <w:rsid w:val="00C96E39"/>
    <w:rsid w:val="00C97062"/>
    <w:rsid w:val="00C97DD9"/>
    <w:rsid w:val="00CA1296"/>
    <w:rsid w:val="00CA13CB"/>
    <w:rsid w:val="00CA1877"/>
    <w:rsid w:val="00CA3403"/>
    <w:rsid w:val="00CA386F"/>
    <w:rsid w:val="00CA3ED5"/>
    <w:rsid w:val="00CA4C04"/>
    <w:rsid w:val="00CA5229"/>
    <w:rsid w:val="00CA6271"/>
    <w:rsid w:val="00CA711F"/>
    <w:rsid w:val="00CB25C9"/>
    <w:rsid w:val="00CB56BA"/>
    <w:rsid w:val="00CB5BD6"/>
    <w:rsid w:val="00CB77C8"/>
    <w:rsid w:val="00CB78DA"/>
    <w:rsid w:val="00CC22B2"/>
    <w:rsid w:val="00CC4916"/>
    <w:rsid w:val="00CC57F0"/>
    <w:rsid w:val="00CC5E43"/>
    <w:rsid w:val="00CC734A"/>
    <w:rsid w:val="00CC7CC8"/>
    <w:rsid w:val="00CD2B51"/>
    <w:rsid w:val="00CD3C99"/>
    <w:rsid w:val="00CD771B"/>
    <w:rsid w:val="00CE198E"/>
    <w:rsid w:val="00CE5657"/>
    <w:rsid w:val="00CF0231"/>
    <w:rsid w:val="00CF0E9B"/>
    <w:rsid w:val="00CF1820"/>
    <w:rsid w:val="00CF419C"/>
    <w:rsid w:val="00D04047"/>
    <w:rsid w:val="00D04A18"/>
    <w:rsid w:val="00D06360"/>
    <w:rsid w:val="00D07BA5"/>
    <w:rsid w:val="00D112B5"/>
    <w:rsid w:val="00D11328"/>
    <w:rsid w:val="00D12161"/>
    <w:rsid w:val="00D123DE"/>
    <w:rsid w:val="00D12D05"/>
    <w:rsid w:val="00D1399C"/>
    <w:rsid w:val="00D13DB6"/>
    <w:rsid w:val="00D1554D"/>
    <w:rsid w:val="00D165B0"/>
    <w:rsid w:val="00D24C8C"/>
    <w:rsid w:val="00D27CA0"/>
    <w:rsid w:val="00D30FD3"/>
    <w:rsid w:val="00D313FF"/>
    <w:rsid w:val="00D37218"/>
    <w:rsid w:val="00D4121D"/>
    <w:rsid w:val="00D41C5A"/>
    <w:rsid w:val="00D43E12"/>
    <w:rsid w:val="00D44BD9"/>
    <w:rsid w:val="00D46199"/>
    <w:rsid w:val="00D512D8"/>
    <w:rsid w:val="00D5479E"/>
    <w:rsid w:val="00D55F19"/>
    <w:rsid w:val="00D5658C"/>
    <w:rsid w:val="00D57DB0"/>
    <w:rsid w:val="00D60097"/>
    <w:rsid w:val="00D61E34"/>
    <w:rsid w:val="00D65EE9"/>
    <w:rsid w:val="00D66673"/>
    <w:rsid w:val="00D67CA1"/>
    <w:rsid w:val="00D71564"/>
    <w:rsid w:val="00D723F4"/>
    <w:rsid w:val="00D73F02"/>
    <w:rsid w:val="00D77849"/>
    <w:rsid w:val="00D77AC3"/>
    <w:rsid w:val="00D8179C"/>
    <w:rsid w:val="00D82506"/>
    <w:rsid w:val="00D82674"/>
    <w:rsid w:val="00D8426F"/>
    <w:rsid w:val="00D84692"/>
    <w:rsid w:val="00D848EB"/>
    <w:rsid w:val="00D85017"/>
    <w:rsid w:val="00D8639D"/>
    <w:rsid w:val="00D919FE"/>
    <w:rsid w:val="00D91AB0"/>
    <w:rsid w:val="00D92968"/>
    <w:rsid w:val="00DA0F25"/>
    <w:rsid w:val="00DA4BE5"/>
    <w:rsid w:val="00DA5159"/>
    <w:rsid w:val="00DA5814"/>
    <w:rsid w:val="00DB2953"/>
    <w:rsid w:val="00DB6B9F"/>
    <w:rsid w:val="00DD043A"/>
    <w:rsid w:val="00DD05E0"/>
    <w:rsid w:val="00DD0B24"/>
    <w:rsid w:val="00DD2867"/>
    <w:rsid w:val="00DD3BC8"/>
    <w:rsid w:val="00DD3C74"/>
    <w:rsid w:val="00DD3DA7"/>
    <w:rsid w:val="00DD407F"/>
    <w:rsid w:val="00DD5C8C"/>
    <w:rsid w:val="00DD5E63"/>
    <w:rsid w:val="00DD636A"/>
    <w:rsid w:val="00DD7D86"/>
    <w:rsid w:val="00DE369A"/>
    <w:rsid w:val="00DE3AC5"/>
    <w:rsid w:val="00DE42D6"/>
    <w:rsid w:val="00DE63FA"/>
    <w:rsid w:val="00DE640A"/>
    <w:rsid w:val="00DE7184"/>
    <w:rsid w:val="00DF1AFF"/>
    <w:rsid w:val="00DF34F4"/>
    <w:rsid w:val="00DF57DF"/>
    <w:rsid w:val="00DF6D8F"/>
    <w:rsid w:val="00E048CC"/>
    <w:rsid w:val="00E10397"/>
    <w:rsid w:val="00E12601"/>
    <w:rsid w:val="00E13275"/>
    <w:rsid w:val="00E13E66"/>
    <w:rsid w:val="00E13FEE"/>
    <w:rsid w:val="00E1518D"/>
    <w:rsid w:val="00E15B6A"/>
    <w:rsid w:val="00E1621F"/>
    <w:rsid w:val="00E1770A"/>
    <w:rsid w:val="00E20077"/>
    <w:rsid w:val="00E203BD"/>
    <w:rsid w:val="00E21CE9"/>
    <w:rsid w:val="00E22C32"/>
    <w:rsid w:val="00E235A9"/>
    <w:rsid w:val="00E23EE3"/>
    <w:rsid w:val="00E24478"/>
    <w:rsid w:val="00E2610B"/>
    <w:rsid w:val="00E2636A"/>
    <w:rsid w:val="00E26611"/>
    <w:rsid w:val="00E268F9"/>
    <w:rsid w:val="00E305B2"/>
    <w:rsid w:val="00E37A3B"/>
    <w:rsid w:val="00E37B02"/>
    <w:rsid w:val="00E4178A"/>
    <w:rsid w:val="00E42868"/>
    <w:rsid w:val="00E470F2"/>
    <w:rsid w:val="00E54DE8"/>
    <w:rsid w:val="00E64638"/>
    <w:rsid w:val="00E651AC"/>
    <w:rsid w:val="00E661F4"/>
    <w:rsid w:val="00E676B0"/>
    <w:rsid w:val="00E7077B"/>
    <w:rsid w:val="00E717E0"/>
    <w:rsid w:val="00E71D43"/>
    <w:rsid w:val="00E73A9F"/>
    <w:rsid w:val="00E76106"/>
    <w:rsid w:val="00E77E88"/>
    <w:rsid w:val="00E815EF"/>
    <w:rsid w:val="00E91379"/>
    <w:rsid w:val="00E926AF"/>
    <w:rsid w:val="00E92F2A"/>
    <w:rsid w:val="00E93AC6"/>
    <w:rsid w:val="00E94A30"/>
    <w:rsid w:val="00E96334"/>
    <w:rsid w:val="00E96F7C"/>
    <w:rsid w:val="00EA14BE"/>
    <w:rsid w:val="00EA6315"/>
    <w:rsid w:val="00EB1934"/>
    <w:rsid w:val="00EB1B40"/>
    <w:rsid w:val="00EB3A45"/>
    <w:rsid w:val="00EB3C9B"/>
    <w:rsid w:val="00EB4BDE"/>
    <w:rsid w:val="00EB5741"/>
    <w:rsid w:val="00EB5D84"/>
    <w:rsid w:val="00EB6F2A"/>
    <w:rsid w:val="00EB747B"/>
    <w:rsid w:val="00EC366E"/>
    <w:rsid w:val="00EC3C0C"/>
    <w:rsid w:val="00EC6B5F"/>
    <w:rsid w:val="00EC6C36"/>
    <w:rsid w:val="00ED1D78"/>
    <w:rsid w:val="00ED2218"/>
    <w:rsid w:val="00ED4B7F"/>
    <w:rsid w:val="00ED5364"/>
    <w:rsid w:val="00EE057C"/>
    <w:rsid w:val="00EE2769"/>
    <w:rsid w:val="00EE748E"/>
    <w:rsid w:val="00EF3A02"/>
    <w:rsid w:val="00EF4192"/>
    <w:rsid w:val="00EF6571"/>
    <w:rsid w:val="00EF6D34"/>
    <w:rsid w:val="00F0006D"/>
    <w:rsid w:val="00F001C5"/>
    <w:rsid w:val="00F00C0E"/>
    <w:rsid w:val="00F015EE"/>
    <w:rsid w:val="00F02753"/>
    <w:rsid w:val="00F04201"/>
    <w:rsid w:val="00F076B6"/>
    <w:rsid w:val="00F0778F"/>
    <w:rsid w:val="00F100F9"/>
    <w:rsid w:val="00F10522"/>
    <w:rsid w:val="00F10EB2"/>
    <w:rsid w:val="00F10F88"/>
    <w:rsid w:val="00F112FC"/>
    <w:rsid w:val="00F127C8"/>
    <w:rsid w:val="00F171BA"/>
    <w:rsid w:val="00F17A1A"/>
    <w:rsid w:val="00F20372"/>
    <w:rsid w:val="00F20869"/>
    <w:rsid w:val="00F20D50"/>
    <w:rsid w:val="00F27D35"/>
    <w:rsid w:val="00F30CEB"/>
    <w:rsid w:val="00F30E09"/>
    <w:rsid w:val="00F3200E"/>
    <w:rsid w:val="00F34E31"/>
    <w:rsid w:val="00F374A8"/>
    <w:rsid w:val="00F4007F"/>
    <w:rsid w:val="00F40D4F"/>
    <w:rsid w:val="00F42B25"/>
    <w:rsid w:val="00F446FF"/>
    <w:rsid w:val="00F5064A"/>
    <w:rsid w:val="00F51558"/>
    <w:rsid w:val="00F53D28"/>
    <w:rsid w:val="00F54224"/>
    <w:rsid w:val="00F55E5B"/>
    <w:rsid w:val="00F60306"/>
    <w:rsid w:val="00F607CA"/>
    <w:rsid w:val="00F61748"/>
    <w:rsid w:val="00F6278F"/>
    <w:rsid w:val="00F64AD1"/>
    <w:rsid w:val="00F666DB"/>
    <w:rsid w:val="00F67910"/>
    <w:rsid w:val="00F67ED2"/>
    <w:rsid w:val="00F71693"/>
    <w:rsid w:val="00F74457"/>
    <w:rsid w:val="00F74860"/>
    <w:rsid w:val="00F74F59"/>
    <w:rsid w:val="00F7592A"/>
    <w:rsid w:val="00F8595F"/>
    <w:rsid w:val="00F910BF"/>
    <w:rsid w:val="00F91E2C"/>
    <w:rsid w:val="00F93A77"/>
    <w:rsid w:val="00F97F89"/>
    <w:rsid w:val="00FA0497"/>
    <w:rsid w:val="00FA079E"/>
    <w:rsid w:val="00FA0F82"/>
    <w:rsid w:val="00FA364B"/>
    <w:rsid w:val="00FA43A4"/>
    <w:rsid w:val="00FA5116"/>
    <w:rsid w:val="00FA7395"/>
    <w:rsid w:val="00FB1BB5"/>
    <w:rsid w:val="00FB2D4F"/>
    <w:rsid w:val="00FB35C1"/>
    <w:rsid w:val="00FB35EE"/>
    <w:rsid w:val="00FB4B66"/>
    <w:rsid w:val="00FB5100"/>
    <w:rsid w:val="00FB55A4"/>
    <w:rsid w:val="00FB6B56"/>
    <w:rsid w:val="00FB75E5"/>
    <w:rsid w:val="00FC0F12"/>
    <w:rsid w:val="00FC1462"/>
    <w:rsid w:val="00FC2658"/>
    <w:rsid w:val="00FC5060"/>
    <w:rsid w:val="00FC56B6"/>
    <w:rsid w:val="00FC5F0F"/>
    <w:rsid w:val="00FC7088"/>
    <w:rsid w:val="00FC757C"/>
    <w:rsid w:val="00FD048F"/>
    <w:rsid w:val="00FD1BFE"/>
    <w:rsid w:val="00FD5C56"/>
    <w:rsid w:val="00FD7BCB"/>
    <w:rsid w:val="00FE0D3B"/>
    <w:rsid w:val="00FE71A0"/>
    <w:rsid w:val="00FF1306"/>
    <w:rsid w:val="00FF141C"/>
    <w:rsid w:val="00FF1AC9"/>
    <w:rsid w:val="00FF2E84"/>
    <w:rsid w:val="00FF2EAE"/>
    <w:rsid w:val="00FF36C1"/>
    <w:rsid w:val="00FF51C1"/>
    <w:rsid w:val="00FF5387"/>
    <w:rsid w:val="00FF56F6"/>
    <w:rsid w:val="00FF710D"/>
    <w:rsid w:val="00FF73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0D1EC62"/>
  <w15:chartTrackingRefBased/>
  <w15:docId w15:val="{69545266-9CA9-4AFE-89DF-242423B00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3A59"/>
    <w:pPr>
      <w:widowControl w:val="0"/>
    </w:pPr>
    <w:rPr>
      <w:rFonts w:ascii="Times New Roman" w:eastAsia="Times New Roman" w:hAnsi="Times New Roman"/>
      <w:lang w:val="es-ES_tradnl" w:eastAsia="es-ES"/>
    </w:rPr>
  </w:style>
  <w:style w:type="paragraph" w:styleId="Ttulo1">
    <w:name w:val="heading 1"/>
    <w:basedOn w:val="Normal"/>
    <w:next w:val="Normal"/>
    <w:link w:val="Ttulo1Car"/>
    <w:uiPriority w:val="9"/>
    <w:qFormat/>
    <w:rsid w:val="0058164F"/>
    <w:pPr>
      <w:keepNext/>
      <w:keepLines/>
      <w:spacing w:before="480"/>
      <w:outlineLvl w:val="0"/>
    </w:pPr>
    <w:rPr>
      <w:rFonts w:ascii="Cambria" w:eastAsia="MS Gothic" w:hAnsi="Cambria"/>
      <w:b/>
      <w:bCs/>
      <w:color w:val="365F91"/>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0C3A59"/>
    <w:pPr>
      <w:tabs>
        <w:tab w:val="center" w:pos="4320"/>
        <w:tab w:val="right" w:pos="8640"/>
      </w:tabs>
    </w:pPr>
    <w:rPr>
      <w:rFonts w:ascii="Garamond" w:hAnsi="Garamond"/>
      <w:sz w:val="24"/>
    </w:rPr>
  </w:style>
  <w:style w:type="character" w:customStyle="1" w:styleId="EncabezadoCar">
    <w:name w:val="Encabezado Car"/>
    <w:link w:val="Encabezado"/>
    <w:uiPriority w:val="99"/>
    <w:rsid w:val="000C3A59"/>
    <w:rPr>
      <w:rFonts w:ascii="Garamond" w:eastAsia="Times New Roman" w:hAnsi="Garamond" w:cs="Times New Roman"/>
      <w:sz w:val="24"/>
      <w:szCs w:val="20"/>
      <w:lang w:val="es-ES_tradnl" w:eastAsia="es-ES"/>
    </w:rPr>
  </w:style>
  <w:style w:type="paragraph" w:styleId="Textoindependiente3">
    <w:name w:val="Body Text 3"/>
    <w:basedOn w:val="Normal"/>
    <w:link w:val="Textoindependiente3Car"/>
    <w:rsid w:val="000C3A59"/>
    <w:pPr>
      <w:tabs>
        <w:tab w:val="left" w:pos="680"/>
      </w:tabs>
      <w:jc w:val="both"/>
    </w:pPr>
    <w:rPr>
      <w:rFonts w:ascii="Garamond" w:hAnsi="Garamond"/>
      <w:b/>
      <w:sz w:val="24"/>
    </w:rPr>
  </w:style>
  <w:style w:type="character" w:customStyle="1" w:styleId="Textoindependiente3Car">
    <w:name w:val="Texto independiente 3 Car"/>
    <w:link w:val="Textoindependiente3"/>
    <w:rsid w:val="000C3A59"/>
    <w:rPr>
      <w:rFonts w:ascii="Garamond" w:eastAsia="Times New Roman" w:hAnsi="Garamond" w:cs="Times New Roman"/>
      <w:b/>
      <w:sz w:val="24"/>
      <w:szCs w:val="20"/>
      <w:lang w:val="es-ES_tradnl" w:eastAsia="es-ES"/>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uiPriority w:val="99"/>
    <w:qFormat/>
    <w:rsid w:val="000C3A59"/>
    <w:rPr>
      <w:sz w:val="20"/>
      <w:vertAlign w:val="superscript"/>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
    <w:qFormat/>
    <w:rsid w:val="000C3A59"/>
    <w:rPr>
      <w:rFonts w:ascii="Times" w:hAnsi="Tim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link w:val="Textonotapie"/>
    <w:rsid w:val="000C3A59"/>
    <w:rPr>
      <w:rFonts w:ascii="Times" w:eastAsia="Times New Roman" w:hAnsi="Times" w:cs="Times New Roman"/>
      <w:sz w:val="20"/>
      <w:szCs w:val="20"/>
      <w:lang w:val="es-ES_tradnl" w:eastAsia="es-ES"/>
    </w:rPr>
  </w:style>
  <w:style w:type="paragraph" w:styleId="Piedepgina">
    <w:name w:val="footer"/>
    <w:basedOn w:val="Normal"/>
    <w:link w:val="PiedepginaCar"/>
    <w:uiPriority w:val="99"/>
    <w:rsid w:val="000C3A59"/>
    <w:pPr>
      <w:tabs>
        <w:tab w:val="center" w:pos="4320"/>
        <w:tab w:val="right" w:pos="8640"/>
      </w:tabs>
    </w:pPr>
  </w:style>
  <w:style w:type="character" w:customStyle="1" w:styleId="PiedepginaCar">
    <w:name w:val="Pie de página Car"/>
    <w:link w:val="Piedepgina"/>
    <w:uiPriority w:val="99"/>
    <w:rsid w:val="000C3A59"/>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0C3A59"/>
  </w:style>
  <w:style w:type="character" w:styleId="Refdecomentario">
    <w:name w:val="annotation reference"/>
    <w:rsid w:val="000C3A59"/>
    <w:rPr>
      <w:sz w:val="18"/>
      <w:szCs w:val="18"/>
    </w:rPr>
  </w:style>
  <w:style w:type="character" w:styleId="Hipervnculo">
    <w:name w:val="Hyperlink"/>
    <w:uiPriority w:val="99"/>
    <w:rsid w:val="000C3A59"/>
    <w:rPr>
      <w:color w:val="0000FF"/>
      <w:u w:val="single"/>
    </w:rPr>
  </w:style>
  <w:style w:type="character" w:styleId="Textoennegrita">
    <w:name w:val="Strong"/>
    <w:uiPriority w:val="22"/>
    <w:qFormat/>
    <w:rsid w:val="000C3A59"/>
    <w:rPr>
      <w:b/>
      <w:bCs/>
    </w:rPr>
  </w:style>
  <w:style w:type="character" w:styleId="Nmerodelnea">
    <w:name w:val="line number"/>
    <w:basedOn w:val="Fuentedeprrafopredeter"/>
    <w:uiPriority w:val="99"/>
    <w:semiHidden/>
    <w:unhideWhenUsed/>
    <w:rsid w:val="000C3A59"/>
  </w:style>
  <w:style w:type="character" w:customStyle="1" w:styleId="ColorfulList-Accent1Char">
    <w:name w:val="Colorful List - Accent 1 Char"/>
    <w:aliases w:val="Footnote Char,Párrafo de lista1 Char"/>
    <w:link w:val="Cuadrculamedia1-nfasis2"/>
    <w:uiPriority w:val="34"/>
    <w:rsid w:val="007B0E9F"/>
  </w:style>
  <w:style w:type="table" w:styleId="Cuadrculamedia1-nfasis2">
    <w:name w:val="Medium Grid 1 Accent 2"/>
    <w:basedOn w:val="Tablanormal"/>
    <w:link w:val="ColorfulList-Accent1Char"/>
    <w:uiPriority w:val="34"/>
    <w:rsid w:val="007B0E9F"/>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styleId="Textodeglobo">
    <w:name w:val="Balloon Text"/>
    <w:basedOn w:val="Normal"/>
    <w:link w:val="TextodegloboCar"/>
    <w:uiPriority w:val="99"/>
    <w:semiHidden/>
    <w:unhideWhenUsed/>
    <w:rsid w:val="00CA13CB"/>
    <w:rPr>
      <w:rFonts w:ascii="Tahoma" w:hAnsi="Tahoma" w:cs="Tahoma"/>
      <w:sz w:val="16"/>
      <w:szCs w:val="16"/>
    </w:rPr>
  </w:style>
  <w:style w:type="character" w:customStyle="1" w:styleId="TextodegloboCar">
    <w:name w:val="Texto de globo Car"/>
    <w:link w:val="Textodeglobo"/>
    <w:uiPriority w:val="99"/>
    <w:semiHidden/>
    <w:rsid w:val="00CA13CB"/>
    <w:rPr>
      <w:rFonts w:ascii="Tahoma" w:eastAsia="Times New Roman" w:hAnsi="Tahoma" w:cs="Tahoma"/>
      <w:sz w:val="16"/>
      <w:szCs w:val="16"/>
      <w:lang w:val="es-ES_tradnl" w:eastAsia="es-ES"/>
    </w:rPr>
  </w:style>
  <w:style w:type="paragraph" w:styleId="Textocomentario">
    <w:name w:val="annotation text"/>
    <w:basedOn w:val="Normal"/>
    <w:link w:val="TextocomentarioCar"/>
    <w:uiPriority w:val="99"/>
    <w:semiHidden/>
    <w:unhideWhenUsed/>
    <w:rsid w:val="00CC734A"/>
  </w:style>
  <w:style w:type="character" w:customStyle="1" w:styleId="TextocomentarioCar">
    <w:name w:val="Texto comentario Car"/>
    <w:link w:val="Textocomentario"/>
    <w:uiPriority w:val="99"/>
    <w:semiHidden/>
    <w:rsid w:val="00CC734A"/>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CC734A"/>
    <w:rPr>
      <w:b/>
      <w:bCs/>
    </w:rPr>
  </w:style>
  <w:style w:type="character" w:customStyle="1" w:styleId="AsuntodelcomentarioCar">
    <w:name w:val="Asunto del comentario Car"/>
    <w:link w:val="Asuntodelcomentario"/>
    <w:uiPriority w:val="99"/>
    <w:semiHidden/>
    <w:rsid w:val="00CC734A"/>
    <w:rPr>
      <w:rFonts w:ascii="Times New Roman" w:eastAsia="Times New Roman" w:hAnsi="Times New Roman" w:cs="Times New Roman"/>
      <w:b/>
      <w:bCs/>
      <w:sz w:val="20"/>
      <w:szCs w:val="20"/>
      <w:lang w:val="es-ES_tradnl" w:eastAsia="es-ES"/>
    </w:rPr>
  </w:style>
  <w:style w:type="paragraph" w:styleId="Listavistosa-nfasis1">
    <w:name w:val="Colorful List Accent 1"/>
    <w:aliases w:val="Footnote"/>
    <w:basedOn w:val="Normal"/>
    <w:link w:val="Listavistosa-nfasis1Car"/>
    <w:uiPriority w:val="34"/>
    <w:qFormat/>
    <w:rsid w:val="005536F0"/>
    <w:pPr>
      <w:ind w:left="720"/>
      <w:contextualSpacing/>
    </w:pPr>
  </w:style>
  <w:style w:type="character" w:styleId="Hipervnculovisitado">
    <w:name w:val="FollowedHyperlink"/>
    <w:uiPriority w:val="99"/>
    <w:semiHidden/>
    <w:unhideWhenUsed/>
    <w:rsid w:val="00347E50"/>
    <w:rPr>
      <w:color w:val="800080"/>
      <w:u w:val="single"/>
    </w:rPr>
  </w:style>
  <w:style w:type="character" w:customStyle="1" w:styleId="Listavistosa-nfasis1Car">
    <w:name w:val="Lista vistosa - Énfasis 1 Car"/>
    <w:aliases w:val="Footnote Car"/>
    <w:link w:val="Listavistosa-nfasis1"/>
    <w:uiPriority w:val="34"/>
    <w:rsid w:val="00994AA6"/>
    <w:rPr>
      <w:rFonts w:ascii="Times New Roman" w:eastAsia="Times New Roman" w:hAnsi="Times New Roman" w:cs="Times New Roman"/>
      <w:sz w:val="20"/>
      <w:szCs w:val="20"/>
      <w:lang w:val="es-ES_tradnl" w:eastAsia="es-ES"/>
    </w:rPr>
  </w:style>
  <w:style w:type="character" w:customStyle="1" w:styleId="Ttulo1Car">
    <w:name w:val="Título 1 Car"/>
    <w:link w:val="Ttulo1"/>
    <w:uiPriority w:val="9"/>
    <w:rsid w:val="0058164F"/>
    <w:rPr>
      <w:rFonts w:ascii="Cambria" w:eastAsia="MS Gothic" w:hAnsi="Cambria" w:cs="Times New Roman"/>
      <w:b/>
      <w:bCs/>
      <w:color w:val="365F91"/>
      <w:sz w:val="28"/>
      <w:szCs w:val="28"/>
      <w:lang w:val="es-ES_tradnl" w:eastAsia="es-ES"/>
    </w:rPr>
  </w:style>
  <w:style w:type="paragraph" w:customStyle="1" w:styleId="TOCHeading1">
    <w:name w:val="TOC Heading1"/>
    <w:basedOn w:val="Ttulo1"/>
    <w:next w:val="Normal"/>
    <w:uiPriority w:val="39"/>
    <w:semiHidden/>
    <w:unhideWhenUsed/>
    <w:qFormat/>
    <w:rsid w:val="0058164F"/>
    <w:pPr>
      <w:widowControl/>
      <w:spacing w:line="276" w:lineRule="auto"/>
      <w:outlineLvl w:val="9"/>
    </w:pPr>
    <w:rPr>
      <w:lang w:val="es-CR" w:eastAsia="es-CR"/>
    </w:rPr>
  </w:style>
  <w:style w:type="paragraph" w:styleId="TDC1">
    <w:name w:val="toc 1"/>
    <w:basedOn w:val="Normal"/>
    <w:next w:val="Normal"/>
    <w:autoRedefine/>
    <w:uiPriority w:val="39"/>
    <w:unhideWhenUsed/>
    <w:rsid w:val="0058164F"/>
    <w:pPr>
      <w:spacing w:before="120"/>
    </w:pPr>
    <w:rPr>
      <w:rFonts w:ascii="Calibri" w:hAnsi="Calibri"/>
      <w:b/>
      <w:bCs/>
      <w:i/>
      <w:iCs/>
      <w:sz w:val="24"/>
      <w:szCs w:val="24"/>
    </w:rPr>
  </w:style>
  <w:style w:type="paragraph" w:styleId="TDC2">
    <w:name w:val="toc 2"/>
    <w:basedOn w:val="Normal"/>
    <w:next w:val="Normal"/>
    <w:autoRedefine/>
    <w:uiPriority w:val="39"/>
    <w:unhideWhenUsed/>
    <w:rsid w:val="0058164F"/>
    <w:pPr>
      <w:spacing w:before="120"/>
      <w:ind w:left="200"/>
    </w:pPr>
    <w:rPr>
      <w:rFonts w:ascii="Calibri" w:hAnsi="Calibri"/>
      <w:b/>
      <w:bCs/>
      <w:sz w:val="22"/>
      <w:szCs w:val="22"/>
    </w:rPr>
  </w:style>
  <w:style w:type="paragraph" w:styleId="TDC3">
    <w:name w:val="toc 3"/>
    <w:basedOn w:val="Normal"/>
    <w:next w:val="Normal"/>
    <w:autoRedefine/>
    <w:uiPriority w:val="39"/>
    <w:unhideWhenUsed/>
    <w:rsid w:val="0058164F"/>
    <w:pPr>
      <w:ind w:left="400"/>
    </w:pPr>
    <w:rPr>
      <w:rFonts w:ascii="Calibri" w:hAnsi="Calibri"/>
    </w:rPr>
  </w:style>
  <w:style w:type="paragraph" w:styleId="TDC4">
    <w:name w:val="toc 4"/>
    <w:basedOn w:val="Normal"/>
    <w:next w:val="Normal"/>
    <w:autoRedefine/>
    <w:uiPriority w:val="39"/>
    <w:unhideWhenUsed/>
    <w:rsid w:val="0058164F"/>
    <w:pPr>
      <w:ind w:left="600"/>
    </w:pPr>
    <w:rPr>
      <w:rFonts w:ascii="Calibri" w:hAnsi="Calibri"/>
    </w:rPr>
  </w:style>
  <w:style w:type="paragraph" w:styleId="TDC5">
    <w:name w:val="toc 5"/>
    <w:basedOn w:val="Normal"/>
    <w:next w:val="Normal"/>
    <w:autoRedefine/>
    <w:uiPriority w:val="39"/>
    <w:unhideWhenUsed/>
    <w:rsid w:val="0058164F"/>
    <w:pPr>
      <w:ind w:left="800"/>
    </w:pPr>
    <w:rPr>
      <w:rFonts w:ascii="Calibri" w:hAnsi="Calibri"/>
    </w:rPr>
  </w:style>
  <w:style w:type="paragraph" w:styleId="TDC6">
    <w:name w:val="toc 6"/>
    <w:basedOn w:val="Normal"/>
    <w:next w:val="Normal"/>
    <w:autoRedefine/>
    <w:uiPriority w:val="39"/>
    <w:unhideWhenUsed/>
    <w:rsid w:val="0058164F"/>
    <w:pPr>
      <w:ind w:left="1000"/>
    </w:pPr>
    <w:rPr>
      <w:rFonts w:ascii="Calibri" w:hAnsi="Calibri"/>
    </w:rPr>
  </w:style>
  <w:style w:type="paragraph" w:styleId="TDC7">
    <w:name w:val="toc 7"/>
    <w:basedOn w:val="Normal"/>
    <w:next w:val="Normal"/>
    <w:autoRedefine/>
    <w:uiPriority w:val="39"/>
    <w:unhideWhenUsed/>
    <w:rsid w:val="0058164F"/>
    <w:pPr>
      <w:ind w:left="1200"/>
    </w:pPr>
    <w:rPr>
      <w:rFonts w:ascii="Calibri" w:hAnsi="Calibri"/>
    </w:rPr>
  </w:style>
  <w:style w:type="paragraph" w:styleId="TDC8">
    <w:name w:val="toc 8"/>
    <w:basedOn w:val="Normal"/>
    <w:next w:val="Normal"/>
    <w:autoRedefine/>
    <w:uiPriority w:val="39"/>
    <w:unhideWhenUsed/>
    <w:rsid w:val="0058164F"/>
    <w:pPr>
      <w:ind w:left="1400"/>
    </w:pPr>
    <w:rPr>
      <w:rFonts w:ascii="Calibri" w:hAnsi="Calibri"/>
    </w:rPr>
  </w:style>
  <w:style w:type="paragraph" w:styleId="TDC9">
    <w:name w:val="toc 9"/>
    <w:basedOn w:val="Normal"/>
    <w:next w:val="Normal"/>
    <w:autoRedefine/>
    <w:uiPriority w:val="39"/>
    <w:unhideWhenUsed/>
    <w:rsid w:val="0058164F"/>
    <w:pPr>
      <w:ind w:left="1600"/>
    </w:pPr>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387775">
      <w:bodyDiv w:val="1"/>
      <w:marLeft w:val="0"/>
      <w:marRight w:val="0"/>
      <w:marTop w:val="0"/>
      <w:marBottom w:val="0"/>
      <w:divBdr>
        <w:top w:val="none" w:sz="0" w:space="0" w:color="auto"/>
        <w:left w:val="none" w:sz="0" w:space="0" w:color="auto"/>
        <w:bottom w:val="none" w:sz="0" w:space="0" w:color="auto"/>
        <w:right w:val="none" w:sz="0" w:space="0" w:color="auto"/>
      </w:divBdr>
    </w:div>
    <w:div w:id="393628850">
      <w:bodyDiv w:val="1"/>
      <w:marLeft w:val="0"/>
      <w:marRight w:val="0"/>
      <w:marTop w:val="0"/>
      <w:marBottom w:val="0"/>
      <w:divBdr>
        <w:top w:val="none" w:sz="0" w:space="0" w:color="auto"/>
        <w:left w:val="none" w:sz="0" w:space="0" w:color="auto"/>
        <w:bottom w:val="none" w:sz="0" w:space="0" w:color="auto"/>
        <w:right w:val="none" w:sz="0" w:space="0" w:color="auto"/>
      </w:divBdr>
    </w:div>
    <w:div w:id="551624699">
      <w:bodyDiv w:val="1"/>
      <w:marLeft w:val="0"/>
      <w:marRight w:val="0"/>
      <w:marTop w:val="0"/>
      <w:marBottom w:val="0"/>
      <w:divBdr>
        <w:top w:val="none" w:sz="0" w:space="0" w:color="auto"/>
        <w:left w:val="none" w:sz="0" w:space="0" w:color="auto"/>
        <w:bottom w:val="none" w:sz="0" w:space="0" w:color="auto"/>
        <w:right w:val="none" w:sz="0" w:space="0" w:color="auto"/>
      </w:divBdr>
    </w:div>
    <w:div w:id="798645823">
      <w:bodyDiv w:val="1"/>
      <w:marLeft w:val="0"/>
      <w:marRight w:val="0"/>
      <w:marTop w:val="0"/>
      <w:marBottom w:val="0"/>
      <w:divBdr>
        <w:top w:val="none" w:sz="0" w:space="0" w:color="auto"/>
        <w:left w:val="none" w:sz="0" w:space="0" w:color="auto"/>
        <w:bottom w:val="none" w:sz="0" w:space="0" w:color="auto"/>
        <w:right w:val="none" w:sz="0" w:space="0" w:color="auto"/>
      </w:divBdr>
    </w:div>
    <w:div w:id="1230968058">
      <w:bodyDiv w:val="1"/>
      <w:marLeft w:val="0"/>
      <w:marRight w:val="0"/>
      <w:marTop w:val="0"/>
      <w:marBottom w:val="0"/>
      <w:divBdr>
        <w:top w:val="none" w:sz="0" w:space="0" w:color="auto"/>
        <w:left w:val="none" w:sz="0" w:space="0" w:color="auto"/>
        <w:bottom w:val="none" w:sz="0" w:space="0" w:color="auto"/>
        <w:right w:val="none" w:sz="0" w:space="0" w:color="auto"/>
      </w:divBdr>
    </w:div>
    <w:div w:id="1401830434">
      <w:bodyDiv w:val="1"/>
      <w:marLeft w:val="0"/>
      <w:marRight w:val="0"/>
      <w:marTop w:val="0"/>
      <w:marBottom w:val="0"/>
      <w:divBdr>
        <w:top w:val="none" w:sz="0" w:space="0" w:color="auto"/>
        <w:left w:val="none" w:sz="0" w:space="0" w:color="auto"/>
        <w:bottom w:val="none" w:sz="0" w:space="0" w:color="auto"/>
        <w:right w:val="none" w:sz="0" w:space="0" w:color="auto"/>
      </w:divBdr>
    </w:div>
    <w:div w:id="1644432179">
      <w:bodyDiv w:val="1"/>
      <w:marLeft w:val="0"/>
      <w:marRight w:val="0"/>
      <w:marTop w:val="0"/>
      <w:marBottom w:val="0"/>
      <w:divBdr>
        <w:top w:val="none" w:sz="0" w:space="0" w:color="auto"/>
        <w:left w:val="none" w:sz="0" w:space="0" w:color="auto"/>
        <w:bottom w:val="none" w:sz="0" w:space="0" w:color="auto"/>
        <w:right w:val="none" w:sz="0" w:space="0" w:color="auto"/>
      </w:divBdr>
    </w:div>
    <w:div w:id="1815759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corteidh.or.cr/docs/supervisiones/quintana_21_08_14.pdf" TargetMode="External"/><Relationship Id="rId2" Type="http://schemas.openxmlformats.org/officeDocument/2006/relationships/hyperlink" Target="http://corteidh.or.cr/docs/casos/articulos/seriec_280_esp.pdf" TargetMode="External"/><Relationship Id="rId1" Type="http://schemas.openxmlformats.org/officeDocument/2006/relationships/hyperlink" Target="http://www.corteidh.or.cr/docs/casos/articulos/seriec_266_esp.pdf" TargetMode="External"/><Relationship Id="rId4" Type="http://schemas.openxmlformats.org/officeDocument/2006/relationships/hyperlink" Target="http://www.corteidh.or.cr/docs/supervisiones/quintana_coello_20_10_16.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A0ABFE-BCA4-4C95-B14F-052CFBAA4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1365</Words>
  <Characters>7783</Characters>
  <Application>Microsoft Office Word</Application>
  <DocSecurity>0</DocSecurity>
  <Lines>64</Lines>
  <Paragraphs>18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9130</CharactersWithSpaces>
  <SharedDoc>false</SharedDoc>
  <HLinks>
    <vt:vector size="24" baseType="variant">
      <vt:variant>
        <vt:i4>4980823</vt:i4>
      </vt:variant>
      <vt:variant>
        <vt:i4>9</vt:i4>
      </vt:variant>
      <vt:variant>
        <vt:i4>0</vt:i4>
      </vt:variant>
      <vt:variant>
        <vt:i4>5</vt:i4>
      </vt:variant>
      <vt:variant>
        <vt:lpwstr>http://www.corteidh.or.cr/docs/supervisiones/quintana_coello_20_10_16.pdf</vt:lpwstr>
      </vt:variant>
      <vt:variant>
        <vt:lpwstr/>
      </vt:variant>
      <vt:variant>
        <vt:i4>7995476</vt:i4>
      </vt:variant>
      <vt:variant>
        <vt:i4>6</vt:i4>
      </vt:variant>
      <vt:variant>
        <vt:i4>0</vt:i4>
      </vt:variant>
      <vt:variant>
        <vt:i4>5</vt:i4>
      </vt:variant>
      <vt:variant>
        <vt:lpwstr>http://www.corteidh.or.cr/docs/supervisiones/quintana_21_08_14.pdf</vt:lpwstr>
      </vt:variant>
      <vt:variant>
        <vt:lpwstr/>
      </vt:variant>
      <vt:variant>
        <vt:i4>5767183</vt:i4>
      </vt:variant>
      <vt:variant>
        <vt:i4>3</vt:i4>
      </vt:variant>
      <vt:variant>
        <vt:i4>0</vt:i4>
      </vt:variant>
      <vt:variant>
        <vt:i4>5</vt:i4>
      </vt:variant>
      <vt:variant>
        <vt:lpwstr>http://corteidh.or.cr/docs/casos/articulos/seriec_280_esp.pdf</vt:lpwstr>
      </vt:variant>
      <vt:variant>
        <vt:lpwstr/>
      </vt:variant>
      <vt:variant>
        <vt:i4>5636176</vt:i4>
      </vt:variant>
      <vt:variant>
        <vt:i4>0</vt:i4>
      </vt:variant>
      <vt:variant>
        <vt:i4>0</vt:i4>
      </vt:variant>
      <vt:variant>
        <vt:i4>5</vt:i4>
      </vt:variant>
      <vt:variant>
        <vt:lpwstr>http://www.corteidh.or.cr/docs/casos/articulos/seriec_266_esp.pdf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dc:creator>
  <cp:keywords/>
  <cp:lastModifiedBy>Liliana Tojo</cp:lastModifiedBy>
  <cp:revision>3</cp:revision>
  <cp:lastPrinted>2019-03-15T15:57:00Z</cp:lastPrinted>
  <dcterms:created xsi:type="dcterms:W3CDTF">2019-03-15T15:57:00Z</dcterms:created>
  <dcterms:modified xsi:type="dcterms:W3CDTF">2019-03-15T16:07:00Z</dcterms:modified>
</cp:coreProperties>
</file>