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2C1D" w:rsidRPr="00F101F3" w:rsidRDefault="00192C1D" w:rsidP="00192C1D">
      <w:pPr>
        <w:suppressAutoHyphens/>
        <w:spacing w:after="0" w:line="240" w:lineRule="auto"/>
        <w:rPr>
          <w:rFonts w:cs="Arial"/>
          <w:sz w:val="21"/>
          <w:szCs w:val="21"/>
          <w:lang w:val="es-CO"/>
        </w:rPr>
      </w:pPr>
      <w:bookmarkStart w:id="0" w:name="_GoBack"/>
      <w:bookmarkEnd w:id="0"/>
    </w:p>
    <w:p w:rsidR="002D20E1" w:rsidRPr="00F101F3" w:rsidRDefault="002D20E1" w:rsidP="00311BD2">
      <w:pPr>
        <w:suppressAutoHyphens/>
        <w:spacing w:after="0" w:line="240" w:lineRule="auto"/>
        <w:ind w:left="5760" w:firstLine="720"/>
        <w:rPr>
          <w:rFonts w:cs="Arial"/>
          <w:b/>
          <w:sz w:val="21"/>
          <w:szCs w:val="21"/>
          <w:lang w:val="es-ES"/>
        </w:rPr>
      </w:pPr>
      <w:r w:rsidRPr="00F101F3">
        <w:rPr>
          <w:rFonts w:cs="Arial"/>
          <w:sz w:val="21"/>
          <w:szCs w:val="21"/>
          <w:lang w:val="es-CO"/>
        </w:rPr>
        <w:tab/>
      </w:r>
      <w:r w:rsidR="00563B8A" w:rsidRPr="00F101F3">
        <w:rPr>
          <w:rFonts w:cs="Arial"/>
          <w:sz w:val="21"/>
          <w:szCs w:val="21"/>
          <w:lang w:val="es-CO"/>
        </w:rPr>
        <w:t xml:space="preserve"> </w:t>
      </w:r>
      <w:r w:rsidR="009D3A5A">
        <w:rPr>
          <w:rFonts w:cs="Arial"/>
          <w:sz w:val="21"/>
          <w:szCs w:val="21"/>
          <w:lang w:val="es-CO"/>
        </w:rPr>
        <w:t xml:space="preserve">       </w:t>
      </w:r>
      <w:r w:rsidR="00081E0B">
        <w:rPr>
          <w:rFonts w:cs="Arial"/>
          <w:sz w:val="21"/>
          <w:szCs w:val="21"/>
          <w:lang w:val="es-CO"/>
        </w:rPr>
        <w:t>7</w:t>
      </w:r>
      <w:r w:rsidRPr="00F101F3">
        <w:rPr>
          <w:rFonts w:cs="Arial"/>
          <w:sz w:val="21"/>
          <w:szCs w:val="21"/>
          <w:lang w:val="es-CO"/>
        </w:rPr>
        <w:t xml:space="preserve"> de</w:t>
      </w:r>
      <w:r w:rsidR="00DB14E2" w:rsidRPr="00F101F3">
        <w:rPr>
          <w:rFonts w:cs="Arial"/>
          <w:sz w:val="21"/>
          <w:szCs w:val="21"/>
          <w:lang w:val="es-CO"/>
        </w:rPr>
        <w:t xml:space="preserve"> </w:t>
      </w:r>
      <w:r w:rsidR="00FA1626">
        <w:rPr>
          <w:rFonts w:cs="Arial"/>
          <w:sz w:val="21"/>
          <w:szCs w:val="21"/>
          <w:lang w:val="es-CO"/>
        </w:rPr>
        <w:t xml:space="preserve">febrero </w:t>
      </w:r>
      <w:r w:rsidRPr="00F101F3">
        <w:rPr>
          <w:rFonts w:cs="Arial"/>
          <w:sz w:val="21"/>
          <w:szCs w:val="21"/>
          <w:lang w:val="es-ES"/>
        </w:rPr>
        <w:t>de 201</w:t>
      </w:r>
      <w:r w:rsidR="00081E0B">
        <w:rPr>
          <w:rFonts w:cs="Arial"/>
          <w:sz w:val="21"/>
          <w:szCs w:val="21"/>
          <w:lang w:val="es-ES"/>
        </w:rPr>
        <w:t>9</w:t>
      </w:r>
    </w:p>
    <w:p w:rsidR="00081E0B" w:rsidRDefault="00081E0B" w:rsidP="00311BD2">
      <w:pPr>
        <w:widowControl w:val="0"/>
        <w:autoSpaceDE w:val="0"/>
        <w:autoSpaceDN w:val="0"/>
        <w:adjustRightInd w:val="0"/>
        <w:spacing w:after="0" w:line="240" w:lineRule="auto"/>
        <w:jc w:val="both"/>
        <w:rPr>
          <w:rFonts w:cs="Arial"/>
          <w:b/>
          <w:sz w:val="21"/>
          <w:szCs w:val="21"/>
          <w:lang w:val="es-ES"/>
        </w:rPr>
      </w:pPr>
    </w:p>
    <w:p w:rsidR="002D20E1" w:rsidRPr="00F101F3" w:rsidRDefault="002D20E1" w:rsidP="00311BD2">
      <w:pPr>
        <w:widowControl w:val="0"/>
        <w:autoSpaceDE w:val="0"/>
        <w:autoSpaceDN w:val="0"/>
        <w:adjustRightInd w:val="0"/>
        <w:spacing w:after="0" w:line="240" w:lineRule="auto"/>
        <w:jc w:val="both"/>
        <w:rPr>
          <w:rFonts w:cs="Arial"/>
          <w:b/>
          <w:sz w:val="21"/>
          <w:szCs w:val="21"/>
          <w:lang w:val="es-ES"/>
        </w:rPr>
      </w:pPr>
      <w:r w:rsidRPr="00F101F3">
        <w:rPr>
          <w:rFonts w:cs="Arial"/>
          <w:b/>
          <w:sz w:val="21"/>
          <w:szCs w:val="21"/>
          <w:lang w:val="es-ES"/>
        </w:rPr>
        <w:t>R</w:t>
      </w:r>
      <w:r w:rsidR="00192C1D" w:rsidRPr="00F101F3">
        <w:rPr>
          <w:rFonts w:cs="Arial"/>
          <w:b/>
          <w:sz w:val="21"/>
          <w:szCs w:val="21"/>
          <w:lang w:val="es-ES"/>
        </w:rPr>
        <w:t>EF</w:t>
      </w:r>
      <w:r w:rsidRPr="00F101F3">
        <w:rPr>
          <w:rFonts w:cs="Arial"/>
          <w:b/>
          <w:sz w:val="21"/>
          <w:szCs w:val="21"/>
          <w:lang w:val="es-ES"/>
        </w:rPr>
        <w:t>.:</w:t>
      </w:r>
      <w:bookmarkStart w:id="1" w:name="Peticion_n"/>
      <w:bookmarkEnd w:id="1"/>
      <w:r w:rsidRPr="00F101F3">
        <w:rPr>
          <w:rFonts w:cs="Arial"/>
          <w:b/>
          <w:sz w:val="21"/>
          <w:szCs w:val="21"/>
          <w:lang w:val="es-ES"/>
        </w:rPr>
        <w:tab/>
        <w:t xml:space="preserve">Caso No. </w:t>
      </w:r>
      <w:r w:rsidRPr="00F101F3">
        <w:rPr>
          <w:b/>
          <w:sz w:val="21"/>
          <w:szCs w:val="21"/>
          <w:lang w:val="es-ES"/>
        </w:rPr>
        <w:t>12.</w:t>
      </w:r>
      <w:r w:rsidR="00FA1626">
        <w:rPr>
          <w:b/>
          <w:sz w:val="21"/>
          <w:szCs w:val="21"/>
          <w:lang w:val="es-ES"/>
        </w:rPr>
        <w:t>678</w:t>
      </w:r>
    </w:p>
    <w:p w:rsidR="002D20E1" w:rsidRPr="00F101F3" w:rsidRDefault="00FA1626" w:rsidP="00311BD2">
      <w:pPr>
        <w:widowControl w:val="0"/>
        <w:autoSpaceDE w:val="0"/>
        <w:autoSpaceDN w:val="0"/>
        <w:adjustRightInd w:val="0"/>
        <w:spacing w:after="0" w:line="240" w:lineRule="auto"/>
        <w:ind w:firstLine="720"/>
        <w:jc w:val="both"/>
        <w:rPr>
          <w:rFonts w:cs="Arial"/>
          <w:b/>
          <w:sz w:val="21"/>
          <w:szCs w:val="21"/>
          <w:lang w:val="es-CO"/>
        </w:rPr>
      </w:pPr>
      <w:r>
        <w:rPr>
          <w:rFonts w:cs="Arial"/>
          <w:b/>
          <w:sz w:val="21"/>
          <w:szCs w:val="21"/>
          <w:lang w:val="es-CO"/>
        </w:rPr>
        <w:t>Paola del Rosario Guzmán Albarracín y familiares</w:t>
      </w:r>
      <w:r w:rsidR="002D20E1" w:rsidRPr="00F101F3">
        <w:rPr>
          <w:rFonts w:cs="Arial"/>
          <w:b/>
          <w:sz w:val="21"/>
          <w:szCs w:val="21"/>
          <w:lang w:val="es-CO"/>
        </w:rPr>
        <w:t xml:space="preserve"> </w:t>
      </w:r>
    </w:p>
    <w:p w:rsidR="002D20E1" w:rsidRPr="00F101F3" w:rsidRDefault="00FA1626" w:rsidP="00311BD2">
      <w:pPr>
        <w:tabs>
          <w:tab w:val="left" w:pos="720"/>
          <w:tab w:val="center" w:pos="6480"/>
        </w:tabs>
        <w:spacing w:after="0" w:line="240" w:lineRule="auto"/>
        <w:ind w:left="720"/>
        <w:jc w:val="both"/>
        <w:rPr>
          <w:rFonts w:cs="Arial"/>
          <w:b/>
          <w:sz w:val="21"/>
          <w:szCs w:val="21"/>
          <w:lang w:val="es-ES_tradnl"/>
        </w:rPr>
      </w:pPr>
      <w:r>
        <w:rPr>
          <w:rFonts w:cs="Arial"/>
          <w:b/>
          <w:sz w:val="21"/>
          <w:szCs w:val="21"/>
          <w:lang w:val="es-CR"/>
        </w:rPr>
        <w:t>Ecuador</w:t>
      </w:r>
    </w:p>
    <w:p w:rsidR="00192C1D" w:rsidRPr="00F101F3" w:rsidRDefault="00192C1D" w:rsidP="00311BD2">
      <w:pPr>
        <w:tabs>
          <w:tab w:val="left" w:pos="720"/>
          <w:tab w:val="center" w:pos="6480"/>
        </w:tabs>
        <w:spacing w:after="0" w:line="240" w:lineRule="auto"/>
        <w:jc w:val="both"/>
        <w:rPr>
          <w:rFonts w:cs="Arial"/>
          <w:sz w:val="21"/>
          <w:szCs w:val="21"/>
          <w:lang w:val="es-PE"/>
        </w:rPr>
      </w:pPr>
    </w:p>
    <w:p w:rsidR="002D20E1" w:rsidRPr="00F101F3" w:rsidRDefault="002D20E1" w:rsidP="00311BD2">
      <w:pPr>
        <w:tabs>
          <w:tab w:val="left" w:pos="720"/>
          <w:tab w:val="center" w:pos="6480"/>
        </w:tabs>
        <w:spacing w:after="0" w:line="240" w:lineRule="auto"/>
        <w:jc w:val="both"/>
        <w:rPr>
          <w:rFonts w:cs="Arial"/>
          <w:sz w:val="21"/>
          <w:szCs w:val="21"/>
          <w:lang w:val="es-PE"/>
        </w:rPr>
      </w:pPr>
      <w:r w:rsidRPr="00F101F3">
        <w:rPr>
          <w:rFonts w:cs="Arial"/>
          <w:sz w:val="21"/>
          <w:szCs w:val="21"/>
          <w:lang w:val="es-PE"/>
        </w:rPr>
        <w:t>Señor Secretario:</w:t>
      </w:r>
    </w:p>
    <w:p w:rsidR="002D20E1" w:rsidRPr="00F101F3" w:rsidRDefault="002D20E1" w:rsidP="00311BD2">
      <w:pPr>
        <w:spacing w:after="0" w:line="240" w:lineRule="auto"/>
        <w:rPr>
          <w:rFonts w:cs="Arial"/>
          <w:sz w:val="21"/>
          <w:szCs w:val="21"/>
          <w:lang w:val="es-CO"/>
        </w:rPr>
      </w:pPr>
    </w:p>
    <w:p w:rsidR="002D20E1" w:rsidRPr="00F101F3" w:rsidRDefault="002D20E1" w:rsidP="00311BD2">
      <w:pPr>
        <w:widowControl w:val="0"/>
        <w:autoSpaceDE w:val="0"/>
        <w:autoSpaceDN w:val="0"/>
        <w:adjustRightInd w:val="0"/>
        <w:spacing w:after="0" w:line="240" w:lineRule="auto"/>
        <w:ind w:firstLine="720"/>
        <w:jc w:val="both"/>
        <w:rPr>
          <w:rFonts w:cs="Arial"/>
          <w:sz w:val="21"/>
          <w:szCs w:val="21"/>
          <w:lang w:val="es-CO"/>
        </w:rPr>
      </w:pPr>
      <w:r w:rsidRPr="00F101F3">
        <w:rPr>
          <w:sz w:val="21"/>
          <w:szCs w:val="21"/>
          <w:lang w:val="es-CO"/>
        </w:rPr>
        <w:t>Tengo el agrado de dirigirme a usted en nombre de la Comisión Interamericana de Derechos Humanos con el objeto</w:t>
      </w:r>
      <w:r w:rsidRPr="00F101F3">
        <w:rPr>
          <w:rFonts w:cs="Arial"/>
          <w:sz w:val="21"/>
          <w:szCs w:val="21"/>
          <w:lang w:val="es-CO"/>
        </w:rPr>
        <w:t xml:space="preserve"> de someter a la jurisdicción de la Honorable Corte Interamericana de Derechos Humanos, el caso 12.</w:t>
      </w:r>
      <w:r w:rsidR="00FA1626">
        <w:rPr>
          <w:rFonts w:cs="Arial"/>
          <w:sz w:val="21"/>
          <w:szCs w:val="21"/>
          <w:lang w:val="es-CO"/>
        </w:rPr>
        <w:t>678</w:t>
      </w:r>
      <w:r w:rsidRPr="00F101F3">
        <w:rPr>
          <w:rFonts w:cs="Arial"/>
          <w:sz w:val="21"/>
          <w:szCs w:val="21"/>
          <w:lang w:val="es-CO"/>
        </w:rPr>
        <w:t xml:space="preserve"> – </w:t>
      </w:r>
      <w:r w:rsidR="00FA1626">
        <w:rPr>
          <w:rFonts w:cs="Arial"/>
          <w:sz w:val="21"/>
          <w:szCs w:val="21"/>
          <w:lang w:val="es-CO"/>
        </w:rPr>
        <w:t xml:space="preserve">Paola del Rosario Guzmán Albarracín </w:t>
      </w:r>
      <w:r w:rsidR="00DD5613" w:rsidRPr="00F101F3">
        <w:rPr>
          <w:rFonts w:cs="Arial"/>
          <w:sz w:val="21"/>
          <w:szCs w:val="21"/>
          <w:lang w:val="es-CO"/>
        </w:rPr>
        <w:t>y familiares</w:t>
      </w:r>
      <w:r w:rsidR="009D3A5A">
        <w:rPr>
          <w:rFonts w:cs="Arial"/>
          <w:sz w:val="21"/>
          <w:szCs w:val="21"/>
          <w:lang w:val="es-CO"/>
        </w:rPr>
        <w:t>,</w:t>
      </w:r>
      <w:r w:rsidR="00DD5613" w:rsidRPr="00F101F3">
        <w:rPr>
          <w:rFonts w:cs="Arial"/>
          <w:sz w:val="21"/>
          <w:szCs w:val="21"/>
          <w:lang w:val="es-CO"/>
        </w:rPr>
        <w:t xml:space="preserve"> </w:t>
      </w:r>
      <w:r w:rsidRPr="00F101F3">
        <w:rPr>
          <w:rFonts w:cs="Arial"/>
          <w:sz w:val="21"/>
          <w:szCs w:val="21"/>
          <w:lang w:val="es-CO"/>
        </w:rPr>
        <w:t>respecto del</w:t>
      </w:r>
      <w:r w:rsidR="00FA1626">
        <w:rPr>
          <w:rFonts w:cs="Arial"/>
          <w:sz w:val="21"/>
          <w:szCs w:val="21"/>
          <w:lang w:val="es-CO"/>
        </w:rPr>
        <w:t xml:space="preserve"> Estado de Ecuador</w:t>
      </w:r>
      <w:r w:rsidRPr="00F101F3">
        <w:rPr>
          <w:rFonts w:cs="Arial"/>
          <w:sz w:val="21"/>
          <w:szCs w:val="21"/>
          <w:lang w:val="es-CO"/>
        </w:rPr>
        <w:t xml:space="preserve"> (en adelante “el Estado”, “el Estado </w:t>
      </w:r>
      <w:r w:rsidR="00FA1626">
        <w:rPr>
          <w:rFonts w:cs="Arial"/>
          <w:sz w:val="21"/>
          <w:szCs w:val="21"/>
          <w:lang w:val="es-CO"/>
        </w:rPr>
        <w:t>ecuatoriano</w:t>
      </w:r>
      <w:r w:rsidRPr="00F101F3">
        <w:rPr>
          <w:rFonts w:cs="Arial"/>
          <w:sz w:val="21"/>
          <w:szCs w:val="21"/>
          <w:lang w:val="es-CO"/>
        </w:rPr>
        <w:t>” o “</w:t>
      </w:r>
      <w:r w:rsidR="00FA1626">
        <w:rPr>
          <w:rFonts w:cs="Arial"/>
          <w:sz w:val="21"/>
          <w:szCs w:val="21"/>
          <w:lang w:val="es-CO"/>
        </w:rPr>
        <w:t>Ecuador</w:t>
      </w:r>
      <w:r w:rsidRPr="00F101F3">
        <w:rPr>
          <w:rFonts w:cs="Arial"/>
          <w:sz w:val="21"/>
          <w:szCs w:val="21"/>
          <w:lang w:val="es-CO"/>
        </w:rPr>
        <w:t xml:space="preserve">”). </w:t>
      </w:r>
    </w:p>
    <w:p w:rsidR="002D20E1" w:rsidRPr="00F101F3" w:rsidRDefault="002D20E1" w:rsidP="00311BD2">
      <w:pPr>
        <w:spacing w:after="0" w:line="240" w:lineRule="auto"/>
        <w:jc w:val="both"/>
        <w:rPr>
          <w:rFonts w:cs="Arial"/>
          <w:sz w:val="21"/>
          <w:szCs w:val="21"/>
          <w:lang w:val="es-CO"/>
        </w:rPr>
      </w:pPr>
    </w:p>
    <w:p w:rsidR="009D3A5A" w:rsidRDefault="002D20E1" w:rsidP="00FA1626">
      <w:pPr>
        <w:spacing w:after="0" w:line="240" w:lineRule="auto"/>
        <w:ind w:firstLine="720"/>
        <w:jc w:val="both"/>
        <w:rPr>
          <w:sz w:val="21"/>
          <w:szCs w:val="21"/>
          <w:lang w:val="es-ES"/>
        </w:rPr>
      </w:pPr>
      <w:r w:rsidRPr="00F101F3">
        <w:rPr>
          <w:sz w:val="21"/>
          <w:szCs w:val="21"/>
          <w:lang w:val="es-ES"/>
        </w:rPr>
        <w:t xml:space="preserve">El caso se relaciona con </w:t>
      </w:r>
      <w:r w:rsidR="00563B8A" w:rsidRPr="00F101F3">
        <w:rPr>
          <w:sz w:val="21"/>
          <w:szCs w:val="21"/>
          <w:lang w:val="es-ES"/>
        </w:rPr>
        <w:t xml:space="preserve">la responsabilidad internacional del Estado de </w:t>
      </w:r>
      <w:r w:rsidR="00FA1626">
        <w:rPr>
          <w:sz w:val="21"/>
          <w:szCs w:val="21"/>
          <w:lang w:val="es-ES"/>
        </w:rPr>
        <w:t>Ecuador por</w:t>
      </w:r>
      <w:r w:rsidR="00FA1626" w:rsidRPr="00FA1626">
        <w:rPr>
          <w:sz w:val="21"/>
          <w:szCs w:val="21"/>
          <w:lang w:val="es-ES"/>
        </w:rPr>
        <w:t xml:space="preserve"> la violencia sexual sufrida por Paola del Rosario Guzmán Albarracin, entre los 14 y los 16 años de edad y su posterior suicidio a la edad de 16 años. La Comisión concluyó que la niña Paola del Rosario Guzmán Albarracín fue víctima de violencia en su condición de mujer y niña, incluyendo violencia sexual, por parte </w:t>
      </w:r>
      <w:r w:rsidR="00C25790">
        <w:rPr>
          <w:sz w:val="21"/>
          <w:szCs w:val="21"/>
          <w:lang w:val="es-ES"/>
        </w:rPr>
        <w:t>de</w:t>
      </w:r>
      <w:r w:rsidR="00FA1626" w:rsidRPr="00FA1626">
        <w:rPr>
          <w:sz w:val="21"/>
          <w:szCs w:val="21"/>
          <w:lang w:val="es-ES"/>
        </w:rPr>
        <w:t xml:space="preserve"> Bolívar Espín</w:t>
      </w:r>
      <w:r w:rsidR="00C25790">
        <w:rPr>
          <w:sz w:val="21"/>
          <w:szCs w:val="21"/>
          <w:lang w:val="es-ES"/>
        </w:rPr>
        <w:t>, vicerrector de su colegio,</w:t>
      </w:r>
      <w:r w:rsidR="00FA1626" w:rsidRPr="00FA1626">
        <w:rPr>
          <w:sz w:val="21"/>
          <w:szCs w:val="21"/>
          <w:lang w:val="es-ES"/>
        </w:rPr>
        <w:t xml:space="preserve"> y por el médico del colegio, Raúl Ortega, ambos funcionarios públicos, y que existió un nexo causal directo entre la situación que Paola vivía en el colegio y su decisión de quitarse la vida. La Comisión consideró que la responsabilidad del Estado, además de la derivada por el incumplimiento del deber de respeto, se extiende también al incumplimiento del deber de garantía en su componente de prevención, toda vez que ni el colegio, ni el Estado</w:t>
      </w:r>
      <w:r w:rsidR="001C4EE0">
        <w:rPr>
          <w:sz w:val="21"/>
          <w:szCs w:val="21"/>
          <w:lang w:val="es-ES"/>
        </w:rPr>
        <w:t xml:space="preserve"> en general</w:t>
      </w:r>
      <w:r w:rsidR="00FA1626" w:rsidRPr="00FA1626">
        <w:rPr>
          <w:sz w:val="21"/>
          <w:szCs w:val="21"/>
          <w:lang w:val="es-ES"/>
        </w:rPr>
        <w:t xml:space="preserve"> contaban con herramientas preventivas y de detección temprana, ni con mecanismos de rendición de cuentas frente a situaciones como las vividas por Paola</w:t>
      </w:r>
      <w:r w:rsidR="00976F21">
        <w:rPr>
          <w:sz w:val="21"/>
          <w:szCs w:val="21"/>
          <w:lang w:val="es-ES"/>
        </w:rPr>
        <w:t xml:space="preserve"> que no fue de carácter aislado en el referido colegio.</w:t>
      </w:r>
      <w:r w:rsidR="00FA1626" w:rsidRPr="00FA1626">
        <w:rPr>
          <w:sz w:val="21"/>
          <w:szCs w:val="21"/>
          <w:lang w:val="es-ES"/>
        </w:rPr>
        <w:t xml:space="preserve"> </w:t>
      </w:r>
    </w:p>
    <w:p w:rsidR="009D3A5A" w:rsidRDefault="009D3A5A" w:rsidP="00FA1626">
      <w:pPr>
        <w:spacing w:after="0" w:line="240" w:lineRule="auto"/>
        <w:ind w:firstLine="720"/>
        <w:jc w:val="both"/>
        <w:rPr>
          <w:sz w:val="21"/>
          <w:szCs w:val="21"/>
          <w:lang w:val="es-ES"/>
        </w:rPr>
      </w:pPr>
    </w:p>
    <w:p w:rsidR="00FA1626" w:rsidRPr="00FA1626" w:rsidRDefault="00FA1626" w:rsidP="00FA1626">
      <w:pPr>
        <w:spacing w:after="0" w:line="240" w:lineRule="auto"/>
        <w:ind w:firstLine="720"/>
        <w:jc w:val="both"/>
        <w:rPr>
          <w:sz w:val="21"/>
          <w:szCs w:val="21"/>
          <w:lang w:val="es-ES"/>
        </w:rPr>
      </w:pPr>
      <w:r w:rsidRPr="00FA1626">
        <w:rPr>
          <w:sz w:val="21"/>
          <w:szCs w:val="21"/>
          <w:lang w:val="es-ES"/>
        </w:rPr>
        <w:t xml:space="preserve"> Asimismo, la Comisión concluyó que el vicerrector, el médico y la inspectora del colegio, no tomaron las medidas necesarias para atender la situación de gravedad y urgencia en que se encontraba Paola el 12 de diciembre de 2002 después de ingerir los diablillos que ocasionaron su muerte. En ese sentido, las acciones y omisiones de estos funcionarios públicos que tenían un deber reforzado de cuidado de Paola en el ámbito educativo contribuyeron al desenlace fatal de la víctima, comprometiendo así la responsabilidad internacional del Estado también por lo sucedido ese día. Así, la Comisión concluyó que el Estado ecuatoriano es responsable por la violación de los derechos a la vida, a la integridad personal, a la </w:t>
      </w:r>
      <w:r w:rsidR="00826988">
        <w:rPr>
          <w:sz w:val="21"/>
          <w:szCs w:val="21"/>
          <w:lang w:val="es-ES"/>
        </w:rPr>
        <w:t>autonomía, vida privada y dignidad,</w:t>
      </w:r>
      <w:r w:rsidRPr="00FA1626">
        <w:rPr>
          <w:sz w:val="21"/>
          <w:szCs w:val="21"/>
          <w:lang w:val="es-ES"/>
        </w:rPr>
        <w:t xml:space="preserve"> al derecho a la especial protección del Estado en su condición de niña, a la igualdad y no discriminación, a la educación, a la salud y a vivir libre de violencia, </w:t>
      </w:r>
      <w:r w:rsidR="00485155">
        <w:rPr>
          <w:sz w:val="21"/>
          <w:szCs w:val="21"/>
          <w:lang w:val="es-ES"/>
        </w:rPr>
        <w:t xml:space="preserve">en </w:t>
      </w:r>
      <w:r w:rsidRPr="00FA1626">
        <w:rPr>
          <w:sz w:val="21"/>
          <w:szCs w:val="21"/>
          <w:lang w:val="es-ES"/>
        </w:rPr>
        <w:t>perjuicio de Paola del Rosario Guzmán Albarracín.</w:t>
      </w:r>
    </w:p>
    <w:p w:rsidR="00FA1626" w:rsidRPr="00FA1626" w:rsidRDefault="00FA1626" w:rsidP="00FA1626">
      <w:pPr>
        <w:spacing w:after="0" w:line="240" w:lineRule="auto"/>
        <w:ind w:firstLine="720"/>
        <w:jc w:val="both"/>
        <w:rPr>
          <w:sz w:val="21"/>
          <w:szCs w:val="21"/>
          <w:lang w:val="es-ES"/>
        </w:rPr>
      </w:pPr>
    </w:p>
    <w:p w:rsidR="00FA1626" w:rsidRDefault="00FA1626" w:rsidP="00FA1626">
      <w:pPr>
        <w:spacing w:after="0" w:line="240" w:lineRule="auto"/>
        <w:ind w:firstLine="720"/>
        <w:jc w:val="both"/>
        <w:rPr>
          <w:sz w:val="21"/>
          <w:szCs w:val="21"/>
          <w:lang w:val="es-ES"/>
        </w:rPr>
      </w:pPr>
      <w:r w:rsidRPr="00FA1626">
        <w:rPr>
          <w:sz w:val="21"/>
          <w:szCs w:val="21"/>
          <w:lang w:val="es-ES"/>
        </w:rPr>
        <w:t>Por otra parte, la Comisión consideró que la situación de impunidad en que se encuentra el presente caso obedeció a la falta de debida diligencia de las autoridades. Asimismo, concluyó que los procesos seguidos por la muerte de Paola no fueron conducidos con una perspectiva de género y que tanto en la acción penal, como en la</w:t>
      </w:r>
      <w:r w:rsidR="00F97EB0">
        <w:rPr>
          <w:sz w:val="21"/>
          <w:szCs w:val="21"/>
          <w:lang w:val="es-ES"/>
        </w:rPr>
        <w:t>s vías</w:t>
      </w:r>
      <w:r w:rsidRPr="00FA1626">
        <w:rPr>
          <w:sz w:val="21"/>
          <w:szCs w:val="21"/>
          <w:lang w:val="es-ES"/>
        </w:rPr>
        <w:t xml:space="preserve"> civil y la administrativa, estuvieron presentes estereotipos sobre el rol y comportamiento social de las mujeres, situación que constituyó una violación del principio de igualdad y no discriminación en el acceso a la justicia. En consecuencia, la CIDH concluyó que el Estado violó los derechos a las garantías judiciales y protección judicial, así como </w:t>
      </w:r>
      <w:r w:rsidR="00485155">
        <w:rPr>
          <w:sz w:val="21"/>
          <w:szCs w:val="21"/>
          <w:lang w:val="es-ES"/>
        </w:rPr>
        <w:t>a</w:t>
      </w:r>
      <w:r w:rsidR="00800763">
        <w:rPr>
          <w:sz w:val="21"/>
          <w:szCs w:val="21"/>
          <w:lang w:val="es-ES"/>
        </w:rPr>
        <w:t xml:space="preserve"> </w:t>
      </w:r>
      <w:r w:rsidR="00485155">
        <w:rPr>
          <w:sz w:val="21"/>
          <w:szCs w:val="21"/>
          <w:lang w:val="es-ES"/>
        </w:rPr>
        <w:t>l</w:t>
      </w:r>
      <w:r w:rsidR="00800763">
        <w:rPr>
          <w:sz w:val="21"/>
          <w:szCs w:val="21"/>
          <w:lang w:val="es-ES"/>
        </w:rPr>
        <w:t>a igualdad y no discrimi</w:t>
      </w:r>
      <w:r w:rsidR="0081050D">
        <w:rPr>
          <w:sz w:val="21"/>
          <w:szCs w:val="21"/>
          <w:lang w:val="es-ES"/>
        </w:rPr>
        <w:t>na</w:t>
      </w:r>
      <w:r w:rsidR="00800763">
        <w:rPr>
          <w:sz w:val="21"/>
          <w:szCs w:val="21"/>
          <w:lang w:val="es-ES"/>
        </w:rPr>
        <w:t>ción</w:t>
      </w:r>
      <w:r w:rsidRPr="00FA1626">
        <w:rPr>
          <w:sz w:val="21"/>
          <w:szCs w:val="21"/>
          <w:lang w:val="es-ES"/>
        </w:rPr>
        <w:t xml:space="preserve"> en perjuicio de los familiares de Paola.</w:t>
      </w:r>
      <w:r w:rsidR="00485155">
        <w:rPr>
          <w:sz w:val="21"/>
          <w:szCs w:val="21"/>
          <w:lang w:val="es-ES"/>
        </w:rPr>
        <w:t xml:space="preserve"> </w:t>
      </w:r>
      <w:r w:rsidRPr="00FA1626">
        <w:rPr>
          <w:sz w:val="21"/>
          <w:szCs w:val="21"/>
          <w:lang w:val="es-ES"/>
        </w:rPr>
        <w:t>Por último, la Comisión consideró que la pérdida de su ser querido y la ausencia de justicia han ocasionado sufrimiento y angustia a los padres y hermana de Paola, en violación a su derecho a la integridad psíquica y moral.</w:t>
      </w:r>
    </w:p>
    <w:p w:rsidR="002D20E1" w:rsidRDefault="002D20E1" w:rsidP="00311BD2">
      <w:pPr>
        <w:pStyle w:val="Prrafodelista"/>
        <w:rPr>
          <w:rFonts w:ascii="Calibri" w:hAnsi="Calibri"/>
          <w:color w:val="auto"/>
          <w:sz w:val="21"/>
          <w:szCs w:val="21"/>
          <w:lang w:val="es-VE"/>
        </w:rPr>
      </w:pPr>
    </w:p>
    <w:p w:rsidR="00FA1626" w:rsidRDefault="002D20E1" w:rsidP="00311BD2">
      <w:pPr>
        <w:suppressAutoHyphens/>
        <w:spacing w:after="0" w:line="240" w:lineRule="auto"/>
        <w:ind w:firstLine="720"/>
        <w:jc w:val="both"/>
        <w:rPr>
          <w:rFonts w:cs="Arial"/>
          <w:sz w:val="21"/>
          <w:szCs w:val="21"/>
          <w:lang w:val="es-CO"/>
        </w:rPr>
      </w:pPr>
      <w:r w:rsidRPr="00F101F3">
        <w:rPr>
          <w:rFonts w:cs="Arial"/>
          <w:sz w:val="21"/>
          <w:szCs w:val="21"/>
          <w:lang w:val="es-CO"/>
        </w:rPr>
        <w:lastRenderedPageBreak/>
        <w:t xml:space="preserve">El Estado </w:t>
      </w:r>
      <w:r w:rsidRPr="00F101F3">
        <w:rPr>
          <w:sz w:val="21"/>
          <w:szCs w:val="21"/>
          <w:lang w:val="es-AR"/>
        </w:rPr>
        <w:t>ratificó</w:t>
      </w:r>
      <w:r w:rsidRPr="00F101F3">
        <w:rPr>
          <w:rFonts w:cs="Arial"/>
          <w:sz w:val="21"/>
          <w:szCs w:val="21"/>
          <w:lang w:val="es-CO"/>
        </w:rPr>
        <w:t xml:space="preserve"> la Convención Americana sobre Derechos Humanos </w:t>
      </w:r>
      <w:r w:rsidR="00FA1626" w:rsidRPr="00FA1626">
        <w:rPr>
          <w:rFonts w:cs="Arial"/>
          <w:sz w:val="21"/>
          <w:szCs w:val="21"/>
          <w:lang w:val="es-CO"/>
        </w:rPr>
        <w:t>el 28 de diciembre de 1977 y aceptó la competencia contenciosa de la Corte el 24 de julio de 1984.</w:t>
      </w:r>
      <w:r w:rsidR="005A2F4B">
        <w:rPr>
          <w:rFonts w:cs="Arial"/>
          <w:sz w:val="21"/>
          <w:szCs w:val="21"/>
          <w:lang w:val="es-CO"/>
        </w:rPr>
        <w:t xml:space="preserve"> </w:t>
      </w:r>
      <w:r w:rsidR="0013498E">
        <w:rPr>
          <w:rFonts w:cs="Arial"/>
          <w:sz w:val="21"/>
          <w:szCs w:val="21"/>
          <w:lang w:val="es-CO"/>
        </w:rPr>
        <w:t xml:space="preserve">Asimismo, depositó la ratificación del </w:t>
      </w:r>
      <w:r w:rsidR="0013498E" w:rsidRPr="001362B0">
        <w:rPr>
          <w:sz w:val="21"/>
          <w:szCs w:val="21"/>
          <w:lang w:val="es-ES"/>
        </w:rPr>
        <w:t xml:space="preserve">Protocolo de San Salvador </w:t>
      </w:r>
      <w:r w:rsidR="0013498E">
        <w:rPr>
          <w:sz w:val="21"/>
          <w:szCs w:val="21"/>
          <w:lang w:val="es-ES"/>
        </w:rPr>
        <w:t xml:space="preserve">el 25 de marzo de 1993 y </w:t>
      </w:r>
      <w:r w:rsidR="0013498E" w:rsidRPr="001362B0">
        <w:rPr>
          <w:sz w:val="21"/>
          <w:szCs w:val="21"/>
          <w:lang w:val="es-ES"/>
        </w:rPr>
        <w:t>de la Convención de Belém do Pará</w:t>
      </w:r>
      <w:r w:rsidR="0013498E">
        <w:rPr>
          <w:sz w:val="21"/>
          <w:szCs w:val="21"/>
          <w:lang w:val="es-ES"/>
        </w:rPr>
        <w:t xml:space="preserve"> el 15 de septiembre de 1995. </w:t>
      </w:r>
    </w:p>
    <w:p w:rsidR="00FA1626" w:rsidRDefault="00FA1626" w:rsidP="00311BD2">
      <w:pPr>
        <w:suppressAutoHyphens/>
        <w:spacing w:after="0" w:line="240" w:lineRule="auto"/>
        <w:ind w:firstLine="720"/>
        <w:jc w:val="both"/>
        <w:rPr>
          <w:rFonts w:cs="Arial"/>
          <w:sz w:val="21"/>
          <w:szCs w:val="21"/>
          <w:lang w:val="es-CO"/>
        </w:rPr>
      </w:pPr>
    </w:p>
    <w:p w:rsidR="002D20E1" w:rsidRPr="00F101F3" w:rsidRDefault="002D20E1" w:rsidP="00311BD2">
      <w:pPr>
        <w:suppressAutoHyphens/>
        <w:spacing w:after="0" w:line="240" w:lineRule="auto"/>
        <w:ind w:firstLine="720"/>
        <w:jc w:val="both"/>
        <w:rPr>
          <w:rFonts w:cs="Arial"/>
          <w:sz w:val="21"/>
          <w:szCs w:val="21"/>
          <w:lang w:val="es-CO"/>
        </w:rPr>
      </w:pPr>
      <w:r w:rsidRPr="00F101F3">
        <w:rPr>
          <w:sz w:val="21"/>
          <w:szCs w:val="21"/>
          <w:lang w:val="es-CO"/>
        </w:rPr>
        <w:t>La Comisión ha designado a</w:t>
      </w:r>
      <w:r w:rsidR="00FC3C50">
        <w:rPr>
          <w:sz w:val="21"/>
          <w:szCs w:val="21"/>
          <w:lang w:val="es-CO"/>
        </w:rPr>
        <w:t xml:space="preserve"> </w:t>
      </w:r>
      <w:r w:rsidRPr="00F101F3">
        <w:rPr>
          <w:sz w:val="21"/>
          <w:szCs w:val="21"/>
          <w:lang w:val="es-CO"/>
        </w:rPr>
        <w:t>l</w:t>
      </w:r>
      <w:r w:rsidR="00FC3C50">
        <w:rPr>
          <w:sz w:val="21"/>
          <w:szCs w:val="21"/>
          <w:lang w:val="es-CO"/>
        </w:rPr>
        <w:t>a</w:t>
      </w:r>
      <w:r w:rsidRPr="00F101F3">
        <w:rPr>
          <w:sz w:val="21"/>
          <w:szCs w:val="21"/>
          <w:lang w:val="es-CO"/>
        </w:rPr>
        <w:t xml:space="preserve"> </w:t>
      </w:r>
      <w:r w:rsidR="00FC3C50">
        <w:rPr>
          <w:sz w:val="21"/>
          <w:szCs w:val="21"/>
          <w:lang w:val="es-CO"/>
        </w:rPr>
        <w:t>C</w:t>
      </w:r>
      <w:r w:rsidRPr="00F101F3">
        <w:rPr>
          <w:sz w:val="21"/>
          <w:szCs w:val="21"/>
          <w:lang w:val="es-CO"/>
        </w:rPr>
        <w:t>omisionad</w:t>
      </w:r>
      <w:r w:rsidR="00FC3C50">
        <w:rPr>
          <w:sz w:val="21"/>
          <w:szCs w:val="21"/>
          <w:lang w:val="es-CO"/>
        </w:rPr>
        <w:t>a</w:t>
      </w:r>
      <w:r w:rsidRPr="00F101F3">
        <w:rPr>
          <w:sz w:val="21"/>
          <w:szCs w:val="21"/>
          <w:lang w:val="es-CO"/>
        </w:rPr>
        <w:t xml:space="preserve"> </w:t>
      </w:r>
      <w:r w:rsidR="00FC3C50">
        <w:rPr>
          <w:sz w:val="21"/>
          <w:szCs w:val="21"/>
          <w:lang w:val="es-CO"/>
        </w:rPr>
        <w:t>Esmeralda Arosemena de Troitiño</w:t>
      </w:r>
      <w:r w:rsidR="006C71DF">
        <w:rPr>
          <w:sz w:val="21"/>
          <w:szCs w:val="21"/>
          <w:lang w:val="es-CO"/>
        </w:rPr>
        <w:t xml:space="preserve">, </w:t>
      </w:r>
      <w:r w:rsidRPr="00F101F3">
        <w:rPr>
          <w:sz w:val="21"/>
          <w:szCs w:val="21"/>
          <w:lang w:val="es-CO"/>
        </w:rPr>
        <w:t xml:space="preserve">al Secretario Ejecutivo </w:t>
      </w:r>
      <w:r w:rsidR="00562D0A" w:rsidRPr="00F101F3">
        <w:rPr>
          <w:sz w:val="21"/>
          <w:szCs w:val="21"/>
          <w:lang w:val="es-CO"/>
        </w:rPr>
        <w:t>Paulo Abr</w:t>
      </w:r>
      <w:r w:rsidR="00562D0A" w:rsidRPr="00F101F3">
        <w:rPr>
          <w:rStyle w:val="Textoennegrita"/>
          <w:rFonts w:cs="Tahoma"/>
          <w:b w:val="0"/>
          <w:sz w:val="21"/>
          <w:szCs w:val="21"/>
          <w:lang w:val="es-CO"/>
        </w:rPr>
        <w:t>ão</w:t>
      </w:r>
      <w:r w:rsidR="006C71DF" w:rsidRPr="006C71DF">
        <w:rPr>
          <w:lang w:val="es-MX"/>
        </w:rPr>
        <w:t xml:space="preserve"> </w:t>
      </w:r>
      <w:r w:rsidR="006C71DF" w:rsidRPr="006C71DF">
        <w:rPr>
          <w:rStyle w:val="Textoennegrita"/>
          <w:rFonts w:cs="Tahoma"/>
          <w:b w:val="0"/>
          <w:sz w:val="21"/>
          <w:szCs w:val="21"/>
          <w:lang w:val="es-CO"/>
        </w:rPr>
        <w:t>y a la Relatora Especial sobre los Derechos Económicos, Sociales, Culturales y Ambientales, Soledad García Muñoz</w:t>
      </w:r>
      <w:r w:rsidRPr="00F101F3">
        <w:rPr>
          <w:sz w:val="21"/>
          <w:szCs w:val="21"/>
          <w:lang w:val="es-CO"/>
        </w:rPr>
        <w:t>, como sus delegad</w:t>
      </w:r>
      <w:r w:rsidR="006C71DF">
        <w:rPr>
          <w:sz w:val="21"/>
          <w:szCs w:val="21"/>
          <w:lang w:val="es-CO"/>
        </w:rPr>
        <w:t>a</w:t>
      </w:r>
      <w:r w:rsidRPr="00F101F3">
        <w:rPr>
          <w:sz w:val="21"/>
          <w:szCs w:val="21"/>
          <w:lang w:val="es-CO"/>
        </w:rPr>
        <w:t>s</w:t>
      </w:r>
      <w:r w:rsidR="006C71DF">
        <w:rPr>
          <w:sz w:val="21"/>
          <w:szCs w:val="21"/>
          <w:lang w:val="es-CO"/>
        </w:rPr>
        <w:t xml:space="preserve"> y delegado</w:t>
      </w:r>
      <w:r w:rsidRPr="00F101F3">
        <w:rPr>
          <w:sz w:val="21"/>
          <w:szCs w:val="21"/>
          <w:lang w:val="es-CO"/>
        </w:rPr>
        <w:t>. Asimismo, Silvia Serrano Guzmán</w:t>
      </w:r>
      <w:r w:rsidR="006C71DF">
        <w:rPr>
          <w:sz w:val="21"/>
          <w:szCs w:val="21"/>
          <w:lang w:val="es-CO"/>
        </w:rPr>
        <w:t xml:space="preserve">, </w:t>
      </w:r>
      <w:r w:rsidR="00FC3C50">
        <w:rPr>
          <w:sz w:val="21"/>
          <w:szCs w:val="21"/>
          <w:lang w:val="es-CO"/>
        </w:rPr>
        <w:t>Paulina Corominas Etchegaray</w:t>
      </w:r>
      <w:r w:rsidR="006C71DF">
        <w:rPr>
          <w:sz w:val="21"/>
          <w:szCs w:val="21"/>
          <w:lang w:val="es-CO"/>
        </w:rPr>
        <w:t xml:space="preserve"> y </w:t>
      </w:r>
      <w:r w:rsidR="006C71DF" w:rsidRPr="006C71DF">
        <w:rPr>
          <w:sz w:val="21"/>
          <w:szCs w:val="21"/>
          <w:lang w:val="es-CO"/>
        </w:rPr>
        <w:t>Luis Carlos Buob Concha</w:t>
      </w:r>
      <w:r w:rsidRPr="00F101F3">
        <w:rPr>
          <w:sz w:val="21"/>
          <w:szCs w:val="21"/>
          <w:lang w:val="es-CO"/>
        </w:rPr>
        <w:t>, abogada</w:t>
      </w:r>
      <w:r w:rsidR="00562D0A" w:rsidRPr="00F101F3">
        <w:rPr>
          <w:sz w:val="21"/>
          <w:szCs w:val="21"/>
          <w:lang w:val="es-CO"/>
        </w:rPr>
        <w:t>s</w:t>
      </w:r>
      <w:r w:rsidR="006C71DF">
        <w:rPr>
          <w:sz w:val="21"/>
          <w:szCs w:val="21"/>
          <w:lang w:val="es-CO"/>
        </w:rPr>
        <w:t xml:space="preserve"> y abogado</w:t>
      </w:r>
      <w:r w:rsidRPr="00F101F3">
        <w:rPr>
          <w:sz w:val="21"/>
          <w:szCs w:val="21"/>
          <w:lang w:val="es-CO"/>
        </w:rPr>
        <w:t xml:space="preserve"> de la Secretaría Ejecutiva de la CIDH, actuarán como asesora</w:t>
      </w:r>
      <w:r w:rsidR="00562D0A" w:rsidRPr="00F101F3">
        <w:rPr>
          <w:sz w:val="21"/>
          <w:szCs w:val="21"/>
          <w:lang w:val="es-CO"/>
        </w:rPr>
        <w:t>s</w:t>
      </w:r>
      <w:r w:rsidRPr="00F101F3">
        <w:rPr>
          <w:sz w:val="21"/>
          <w:szCs w:val="21"/>
          <w:lang w:val="es-CO"/>
        </w:rPr>
        <w:t xml:space="preserve"> </w:t>
      </w:r>
      <w:r w:rsidR="006C71DF">
        <w:rPr>
          <w:sz w:val="21"/>
          <w:szCs w:val="21"/>
          <w:lang w:val="es-CO"/>
        </w:rPr>
        <w:t xml:space="preserve">y asesor </w:t>
      </w:r>
      <w:r w:rsidRPr="00F101F3">
        <w:rPr>
          <w:sz w:val="21"/>
          <w:szCs w:val="21"/>
          <w:lang w:val="es-CO"/>
        </w:rPr>
        <w:t>legales.</w:t>
      </w:r>
    </w:p>
    <w:p w:rsidR="002D20E1" w:rsidRPr="00F101F3" w:rsidRDefault="002D20E1" w:rsidP="00311BD2">
      <w:pPr>
        <w:suppressAutoHyphens/>
        <w:spacing w:after="0" w:line="240" w:lineRule="auto"/>
        <w:ind w:firstLine="720"/>
        <w:jc w:val="both"/>
        <w:rPr>
          <w:rFonts w:cs="Arial"/>
          <w:sz w:val="21"/>
          <w:szCs w:val="21"/>
          <w:lang w:val="es-CR"/>
        </w:rPr>
      </w:pPr>
    </w:p>
    <w:p w:rsidR="006323FF" w:rsidRDefault="002D20E1" w:rsidP="00311BD2">
      <w:pPr>
        <w:suppressAutoHyphens/>
        <w:spacing w:after="0" w:line="240" w:lineRule="auto"/>
        <w:ind w:firstLine="720"/>
        <w:jc w:val="both"/>
        <w:rPr>
          <w:sz w:val="21"/>
          <w:szCs w:val="21"/>
          <w:lang w:val="es-AR"/>
        </w:rPr>
      </w:pPr>
      <w:r w:rsidRPr="00F101F3">
        <w:rPr>
          <w:rFonts w:cs="Arial"/>
          <w:sz w:val="21"/>
          <w:szCs w:val="21"/>
          <w:lang w:val="es-CO"/>
        </w:rPr>
        <w:t xml:space="preserve">De conformidad con el artículo 35 del Reglamento de la Corte Interamericana, la Comisión adjunta </w:t>
      </w:r>
      <w:r w:rsidRPr="00F101F3">
        <w:rPr>
          <w:sz w:val="21"/>
          <w:szCs w:val="21"/>
          <w:lang w:val="es-CO"/>
        </w:rPr>
        <w:t xml:space="preserve">copia del </w:t>
      </w:r>
      <w:r w:rsidR="00CF78E2">
        <w:rPr>
          <w:sz w:val="21"/>
          <w:szCs w:val="21"/>
          <w:lang w:val="es-CO"/>
        </w:rPr>
        <w:t>I</w:t>
      </w:r>
      <w:r w:rsidRPr="00F101F3">
        <w:rPr>
          <w:sz w:val="21"/>
          <w:szCs w:val="21"/>
          <w:lang w:val="es-CO"/>
        </w:rPr>
        <w:t xml:space="preserve">nforme de </w:t>
      </w:r>
      <w:r w:rsidR="00CF78E2">
        <w:rPr>
          <w:sz w:val="21"/>
          <w:szCs w:val="21"/>
          <w:lang w:val="es-CO"/>
        </w:rPr>
        <w:t>F</w:t>
      </w:r>
      <w:r w:rsidRPr="00F101F3">
        <w:rPr>
          <w:sz w:val="21"/>
          <w:szCs w:val="21"/>
          <w:lang w:val="es-CO"/>
        </w:rPr>
        <w:t>ondo</w:t>
      </w:r>
      <w:r w:rsidR="00CF78E2">
        <w:rPr>
          <w:sz w:val="21"/>
          <w:szCs w:val="21"/>
          <w:lang w:val="es-CO"/>
        </w:rPr>
        <w:t xml:space="preserve"> N°</w:t>
      </w:r>
      <w:r w:rsidRPr="00F101F3">
        <w:rPr>
          <w:sz w:val="21"/>
          <w:szCs w:val="21"/>
          <w:lang w:val="es-CO"/>
        </w:rPr>
        <w:t xml:space="preserve"> </w:t>
      </w:r>
      <w:r w:rsidR="00CF78E2">
        <w:rPr>
          <w:sz w:val="21"/>
          <w:szCs w:val="21"/>
          <w:lang w:val="es-CO"/>
        </w:rPr>
        <w:t>110</w:t>
      </w:r>
      <w:r w:rsidRPr="00F101F3">
        <w:rPr>
          <w:sz w:val="21"/>
          <w:szCs w:val="21"/>
          <w:lang w:val="es-CO"/>
        </w:rPr>
        <w:t>/1</w:t>
      </w:r>
      <w:r w:rsidR="00CF78E2">
        <w:rPr>
          <w:sz w:val="21"/>
          <w:szCs w:val="21"/>
          <w:lang w:val="es-CO"/>
        </w:rPr>
        <w:t>8</w:t>
      </w:r>
      <w:r w:rsidRPr="00F101F3">
        <w:rPr>
          <w:sz w:val="21"/>
          <w:szCs w:val="21"/>
          <w:lang w:val="es-CO"/>
        </w:rPr>
        <w:t xml:space="preserve"> elaborado en observancia del artículo 50 de la Convención, así como copia de la totalidad del expediente ante la Comisión Interamericana (Apéndice I) y los anexos utilizados en la e</w:t>
      </w:r>
      <w:r w:rsidR="00CF78E2">
        <w:rPr>
          <w:sz w:val="21"/>
          <w:szCs w:val="21"/>
          <w:lang w:val="es-CO"/>
        </w:rPr>
        <w:t>laboración del informe N° 110</w:t>
      </w:r>
      <w:r w:rsidRPr="00F101F3">
        <w:rPr>
          <w:sz w:val="21"/>
          <w:szCs w:val="21"/>
          <w:lang w:val="es-CO"/>
        </w:rPr>
        <w:t>/1</w:t>
      </w:r>
      <w:r w:rsidR="00CF78E2">
        <w:rPr>
          <w:sz w:val="21"/>
          <w:szCs w:val="21"/>
          <w:lang w:val="es-CO"/>
        </w:rPr>
        <w:t>8</w:t>
      </w:r>
      <w:r w:rsidRPr="00F101F3">
        <w:rPr>
          <w:sz w:val="21"/>
          <w:szCs w:val="21"/>
          <w:lang w:val="es-CO"/>
        </w:rPr>
        <w:t xml:space="preserve"> (Anexos). Dicho informe de fondo </w:t>
      </w:r>
      <w:r w:rsidRPr="00F101F3">
        <w:rPr>
          <w:sz w:val="21"/>
          <w:szCs w:val="21"/>
          <w:lang w:val="es-AR"/>
        </w:rPr>
        <w:t>fue n</w:t>
      </w:r>
      <w:r w:rsidR="00CF78E2">
        <w:rPr>
          <w:sz w:val="21"/>
          <w:szCs w:val="21"/>
          <w:lang w:val="es-AR"/>
        </w:rPr>
        <w:t>otificado al Estado</w:t>
      </w:r>
      <w:r w:rsidRPr="00F101F3">
        <w:rPr>
          <w:sz w:val="21"/>
          <w:szCs w:val="21"/>
          <w:lang w:val="es-AR"/>
        </w:rPr>
        <w:t xml:space="preserve"> mediante comunicación de </w:t>
      </w:r>
      <w:r w:rsidR="00CF78E2">
        <w:rPr>
          <w:sz w:val="21"/>
          <w:szCs w:val="21"/>
          <w:lang w:val="es-AR"/>
        </w:rPr>
        <w:t xml:space="preserve">7 </w:t>
      </w:r>
      <w:r w:rsidRPr="00CF78E2">
        <w:rPr>
          <w:sz w:val="21"/>
          <w:szCs w:val="21"/>
          <w:lang w:val="es-AR"/>
        </w:rPr>
        <w:t xml:space="preserve">de </w:t>
      </w:r>
      <w:r w:rsidR="00CF78E2">
        <w:rPr>
          <w:sz w:val="21"/>
          <w:szCs w:val="21"/>
          <w:lang w:val="es-AR"/>
        </w:rPr>
        <w:t>noviembre</w:t>
      </w:r>
      <w:r w:rsidRPr="00CF78E2">
        <w:rPr>
          <w:sz w:val="21"/>
          <w:szCs w:val="21"/>
          <w:lang w:val="es-AR"/>
        </w:rPr>
        <w:t xml:space="preserve"> de 201</w:t>
      </w:r>
      <w:r w:rsidR="00CF78E2">
        <w:rPr>
          <w:sz w:val="21"/>
          <w:szCs w:val="21"/>
          <w:lang w:val="es-AR"/>
        </w:rPr>
        <w:t>8</w:t>
      </w:r>
      <w:r w:rsidR="006323FF">
        <w:rPr>
          <w:sz w:val="21"/>
          <w:szCs w:val="21"/>
          <w:lang w:val="es-AR"/>
        </w:rPr>
        <w:t>,</w:t>
      </w:r>
      <w:r w:rsidRPr="00F101F3">
        <w:rPr>
          <w:sz w:val="21"/>
          <w:szCs w:val="21"/>
          <w:lang w:val="es-AR"/>
        </w:rPr>
        <w:t xml:space="preserve"> otorgándole un plazo de dos meses para informar sobre el cumplimiento de las </w:t>
      </w:r>
      <w:r w:rsidRPr="006323FF">
        <w:rPr>
          <w:sz w:val="21"/>
          <w:szCs w:val="21"/>
          <w:lang w:val="es-AR"/>
        </w:rPr>
        <w:t>recomendaciones.</w:t>
      </w:r>
    </w:p>
    <w:p w:rsidR="006323FF" w:rsidRDefault="006323FF" w:rsidP="00311BD2">
      <w:pPr>
        <w:suppressAutoHyphens/>
        <w:spacing w:after="0" w:line="240" w:lineRule="auto"/>
        <w:ind w:firstLine="720"/>
        <w:jc w:val="both"/>
        <w:rPr>
          <w:sz w:val="21"/>
          <w:szCs w:val="21"/>
          <w:lang w:val="es-AR"/>
        </w:rPr>
      </w:pPr>
    </w:p>
    <w:p w:rsidR="002D20E1" w:rsidRPr="00F101F3" w:rsidRDefault="002D20E1" w:rsidP="00311BD2">
      <w:pPr>
        <w:suppressAutoHyphens/>
        <w:spacing w:after="0" w:line="240" w:lineRule="auto"/>
        <w:ind w:firstLine="720"/>
        <w:jc w:val="both"/>
        <w:rPr>
          <w:sz w:val="21"/>
          <w:szCs w:val="21"/>
          <w:lang w:val="es-AR"/>
        </w:rPr>
      </w:pPr>
      <w:r w:rsidRPr="006323FF">
        <w:rPr>
          <w:sz w:val="21"/>
          <w:szCs w:val="21"/>
          <w:lang w:val="es-AR"/>
        </w:rPr>
        <w:t xml:space="preserve"> El</w:t>
      </w:r>
      <w:r w:rsidR="00CF78E2" w:rsidRPr="006323FF">
        <w:rPr>
          <w:sz w:val="21"/>
          <w:szCs w:val="21"/>
          <w:lang w:val="es-AR"/>
        </w:rPr>
        <w:t xml:space="preserve"> </w:t>
      </w:r>
      <w:r w:rsidR="00485155" w:rsidRPr="006323FF">
        <w:rPr>
          <w:sz w:val="21"/>
          <w:szCs w:val="21"/>
          <w:lang w:val="es-AR"/>
        </w:rPr>
        <w:t>9</w:t>
      </w:r>
      <w:r w:rsidR="00CF78E2" w:rsidRPr="006323FF">
        <w:rPr>
          <w:sz w:val="21"/>
          <w:szCs w:val="21"/>
          <w:lang w:val="es-AR"/>
        </w:rPr>
        <w:t xml:space="preserve"> de enero de 2019, el</w:t>
      </w:r>
      <w:r w:rsidRPr="006323FF">
        <w:rPr>
          <w:sz w:val="21"/>
          <w:szCs w:val="21"/>
          <w:lang w:val="es-AR"/>
        </w:rPr>
        <w:t xml:space="preserve"> Estado </w:t>
      </w:r>
      <w:r w:rsidR="00CF78E2" w:rsidRPr="006323FF">
        <w:rPr>
          <w:sz w:val="21"/>
          <w:szCs w:val="21"/>
          <w:lang w:val="es-AR"/>
        </w:rPr>
        <w:t xml:space="preserve">presentó un informe de cumplimiento de las recomendaciones; sin embargo, no solicitó </w:t>
      </w:r>
      <w:r w:rsidR="006323FF">
        <w:rPr>
          <w:sz w:val="21"/>
          <w:szCs w:val="21"/>
          <w:lang w:val="es-AR"/>
        </w:rPr>
        <w:t>la suspensión del plazo previsto en el artículo 51.1 de la Convención Americana para el sometimiento del caso a</w:t>
      </w:r>
      <w:r w:rsidR="00485155" w:rsidRPr="006323FF">
        <w:rPr>
          <w:sz w:val="21"/>
          <w:szCs w:val="21"/>
          <w:lang w:val="es-AR"/>
        </w:rPr>
        <w:t>nte la Corte</w:t>
      </w:r>
      <w:r w:rsidR="006323FF">
        <w:rPr>
          <w:sz w:val="21"/>
          <w:szCs w:val="21"/>
          <w:lang w:val="es-AR"/>
        </w:rPr>
        <w:t>, con la correspondiente renuncia a interponer excepciones preliminares respecto del cumplimiento de dicho plazo</w:t>
      </w:r>
      <w:r w:rsidR="00CF78E2" w:rsidRPr="006323FF">
        <w:rPr>
          <w:sz w:val="21"/>
          <w:szCs w:val="21"/>
          <w:lang w:val="es-AR"/>
        </w:rPr>
        <w:t>.</w:t>
      </w:r>
      <w:r w:rsidR="00CF78E2">
        <w:rPr>
          <w:sz w:val="21"/>
          <w:szCs w:val="21"/>
          <w:lang w:val="es-AR"/>
        </w:rPr>
        <w:t xml:space="preserve"> </w:t>
      </w:r>
      <w:r w:rsidRPr="00F101F3">
        <w:rPr>
          <w:sz w:val="21"/>
          <w:szCs w:val="21"/>
          <w:lang w:val="es-AR"/>
        </w:rPr>
        <w:t>En virtud de lo anterior, l</w:t>
      </w:r>
      <w:r w:rsidRPr="00F101F3">
        <w:rPr>
          <w:sz w:val="21"/>
          <w:szCs w:val="21"/>
          <w:lang w:val="es-CO"/>
        </w:rPr>
        <w:t xml:space="preserve">a Comisión Interamericana somete a la jurisdicción de la Corte la totalidad de los hechos y violaciones de derechos humanos descritos en el </w:t>
      </w:r>
      <w:r w:rsidR="00CF78E2">
        <w:rPr>
          <w:sz w:val="21"/>
          <w:szCs w:val="21"/>
          <w:lang w:val="es-CO"/>
        </w:rPr>
        <w:t>Informe de F</w:t>
      </w:r>
      <w:r w:rsidRPr="00F101F3">
        <w:rPr>
          <w:sz w:val="21"/>
          <w:szCs w:val="21"/>
          <w:lang w:val="es-CO"/>
        </w:rPr>
        <w:t xml:space="preserve">ondo </w:t>
      </w:r>
      <w:r w:rsidR="00CF78E2">
        <w:rPr>
          <w:sz w:val="21"/>
          <w:szCs w:val="21"/>
          <w:lang w:val="es-CO"/>
        </w:rPr>
        <w:t>N° 110</w:t>
      </w:r>
      <w:r w:rsidRPr="00F101F3">
        <w:rPr>
          <w:sz w:val="21"/>
          <w:szCs w:val="21"/>
          <w:lang w:val="es-CO"/>
        </w:rPr>
        <w:t>/1</w:t>
      </w:r>
      <w:r w:rsidR="00CF78E2">
        <w:rPr>
          <w:sz w:val="21"/>
          <w:szCs w:val="21"/>
          <w:lang w:val="es-CO"/>
        </w:rPr>
        <w:t>8</w:t>
      </w:r>
      <w:r w:rsidRPr="00F101F3">
        <w:rPr>
          <w:sz w:val="21"/>
          <w:szCs w:val="21"/>
          <w:lang w:val="es-CO"/>
        </w:rPr>
        <w:t xml:space="preserve">, por la necesidad de obtención </w:t>
      </w:r>
      <w:r w:rsidR="00661CFB" w:rsidRPr="00F101F3">
        <w:rPr>
          <w:sz w:val="21"/>
          <w:szCs w:val="21"/>
          <w:lang w:val="es-CO"/>
        </w:rPr>
        <w:t xml:space="preserve">de justicia </w:t>
      </w:r>
      <w:r w:rsidR="005A2F4B">
        <w:rPr>
          <w:sz w:val="21"/>
          <w:szCs w:val="21"/>
          <w:lang w:val="es-CO"/>
        </w:rPr>
        <w:t>y reparación</w:t>
      </w:r>
      <w:r w:rsidR="009654C9" w:rsidRPr="00F101F3">
        <w:rPr>
          <w:sz w:val="21"/>
          <w:szCs w:val="21"/>
          <w:lang w:val="es-CO"/>
        </w:rPr>
        <w:t>.</w:t>
      </w:r>
      <w:r w:rsidRPr="00F101F3">
        <w:rPr>
          <w:sz w:val="21"/>
          <w:szCs w:val="21"/>
          <w:lang w:val="es-CO"/>
        </w:rPr>
        <w:t xml:space="preserve"> </w:t>
      </w:r>
    </w:p>
    <w:p w:rsidR="002D20E1" w:rsidRPr="00833E74" w:rsidRDefault="002D20E1" w:rsidP="00311BD2">
      <w:pPr>
        <w:suppressAutoHyphens/>
        <w:spacing w:after="0" w:line="240" w:lineRule="auto"/>
        <w:ind w:firstLine="720"/>
        <w:jc w:val="both"/>
        <w:rPr>
          <w:sz w:val="21"/>
          <w:szCs w:val="21"/>
          <w:lang w:val="es-AR"/>
        </w:rPr>
      </w:pPr>
    </w:p>
    <w:p w:rsidR="00311BD2" w:rsidRPr="00F101F3" w:rsidRDefault="002D20E1" w:rsidP="00311BD2">
      <w:pPr>
        <w:suppressAutoHyphens/>
        <w:spacing w:after="0" w:line="240" w:lineRule="auto"/>
        <w:ind w:firstLine="720"/>
        <w:jc w:val="both"/>
        <w:rPr>
          <w:sz w:val="21"/>
          <w:szCs w:val="21"/>
          <w:lang w:val="es-ES"/>
        </w:rPr>
      </w:pPr>
      <w:r w:rsidRPr="00F101F3">
        <w:rPr>
          <w:sz w:val="21"/>
          <w:szCs w:val="21"/>
          <w:lang w:val="es-CO"/>
        </w:rPr>
        <w:t xml:space="preserve">En ese sentido, la Comisión solicita a la Corte que concluya y declare </w:t>
      </w:r>
      <w:r w:rsidR="001362B0">
        <w:rPr>
          <w:sz w:val="21"/>
          <w:szCs w:val="21"/>
          <w:lang w:val="es-CO"/>
        </w:rPr>
        <w:t xml:space="preserve">la responsabilidad internacional del </w:t>
      </w:r>
      <w:r w:rsidRPr="00F101F3">
        <w:rPr>
          <w:sz w:val="21"/>
          <w:szCs w:val="21"/>
          <w:lang w:val="es-CO"/>
        </w:rPr>
        <w:t xml:space="preserve">Estado de </w:t>
      </w:r>
      <w:r w:rsidR="001362B0">
        <w:rPr>
          <w:sz w:val="21"/>
          <w:szCs w:val="21"/>
          <w:lang w:val="es-CO"/>
        </w:rPr>
        <w:t xml:space="preserve">Ecuador </w:t>
      </w:r>
      <w:r w:rsidRPr="00F101F3">
        <w:rPr>
          <w:sz w:val="21"/>
          <w:szCs w:val="21"/>
          <w:lang w:val="es-ES"/>
        </w:rPr>
        <w:t>por</w:t>
      </w:r>
      <w:r w:rsidR="001362B0">
        <w:rPr>
          <w:sz w:val="21"/>
          <w:szCs w:val="21"/>
          <w:lang w:val="es-ES"/>
        </w:rPr>
        <w:t xml:space="preserve"> la violación a los derechos a la vida, a </w:t>
      </w:r>
      <w:r w:rsidR="001362B0" w:rsidRPr="001362B0">
        <w:rPr>
          <w:sz w:val="21"/>
          <w:szCs w:val="21"/>
          <w:lang w:val="es-ES"/>
        </w:rPr>
        <w:t>la integridad personal, a la</w:t>
      </w:r>
      <w:r w:rsidR="00D0479A">
        <w:rPr>
          <w:sz w:val="21"/>
          <w:szCs w:val="21"/>
          <w:lang w:val="es-ES"/>
        </w:rPr>
        <w:t xml:space="preserve"> vida privada, autonomía y </w:t>
      </w:r>
      <w:r w:rsidR="001362B0" w:rsidRPr="001362B0">
        <w:rPr>
          <w:sz w:val="21"/>
          <w:szCs w:val="21"/>
          <w:lang w:val="es-ES"/>
        </w:rPr>
        <w:t>dignidad, al derecho a la especial protección del Estado en su condición de niña, a la igualdad y no discriminación, a la educación, a la salud y a vivir libre de violencia, establecidos en los artículos 4.1, 5.1, 11, 19, 24 y 26 de la Convención Americana</w:t>
      </w:r>
      <w:r w:rsidR="006323FF">
        <w:rPr>
          <w:sz w:val="21"/>
          <w:szCs w:val="21"/>
          <w:lang w:val="es-ES"/>
        </w:rPr>
        <w:t>,</w:t>
      </w:r>
      <w:r w:rsidR="001362B0" w:rsidRPr="001362B0">
        <w:rPr>
          <w:sz w:val="21"/>
          <w:szCs w:val="21"/>
          <w:lang w:val="es-ES"/>
        </w:rPr>
        <w:t xml:space="preserve"> en relación con las obligaciones tanto de respeto como de garantía establecidas en el artículo 1.1 del mismo instrumento; en el artículo 13 del Protocolo de San Salvador y en los artículos 7 a) y 7 b) de la Convención de Belém do Pará, todos en perjuicio de Paola del Rosario Guzmán Albarracín</w:t>
      </w:r>
      <w:r w:rsidR="001734AA">
        <w:rPr>
          <w:sz w:val="21"/>
          <w:szCs w:val="21"/>
          <w:lang w:val="es-ES"/>
        </w:rPr>
        <w:t xml:space="preserve">. De igual manera, que concluya y declare la responsabilidad internacional de Ecuador por </w:t>
      </w:r>
      <w:r w:rsidR="00CD3D14">
        <w:rPr>
          <w:sz w:val="21"/>
          <w:szCs w:val="21"/>
          <w:lang w:val="es-ES"/>
        </w:rPr>
        <w:t xml:space="preserve">la violación a la integridad personal, </w:t>
      </w:r>
      <w:r w:rsidR="001734AA" w:rsidRPr="001734AA">
        <w:rPr>
          <w:sz w:val="21"/>
          <w:szCs w:val="21"/>
          <w:lang w:val="es-ES"/>
        </w:rPr>
        <w:t xml:space="preserve">a las garantías judiciales y protección judicial, establecidos en los artículos </w:t>
      </w:r>
      <w:r w:rsidR="00CD3D14">
        <w:rPr>
          <w:sz w:val="21"/>
          <w:szCs w:val="21"/>
          <w:lang w:val="es-ES"/>
        </w:rPr>
        <w:t xml:space="preserve">5.1, </w:t>
      </w:r>
      <w:r w:rsidR="001734AA" w:rsidRPr="001734AA">
        <w:rPr>
          <w:sz w:val="21"/>
          <w:szCs w:val="21"/>
          <w:lang w:val="es-ES"/>
        </w:rPr>
        <w:t xml:space="preserve">8.1 y 25.1, así como el derecho </w:t>
      </w:r>
      <w:r w:rsidR="00AF4BC0">
        <w:rPr>
          <w:sz w:val="21"/>
          <w:szCs w:val="21"/>
          <w:lang w:val="es-ES"/>
        </w:rPr>
        <w:t xml:space="preserve">a la igualdad y no discriminación </w:t>
      </w:r>
      <w:r w:rsidR="001734AA" w:rsidRPr="001734AA">
        <w:rPr>
          <w:sz w:val="21"/>
          <w:szCs w:val="21"/>
          <w:lang w:val="es-ES"/>
        </w:rPr>
        <w:t>establecido en el artículo 24 de la Convención Americana, en relación con el artículo 1.1 del mismo instrumento y el artículo 7.b de la Convención de Belém de Pará, en perjuicio de los familiares de Paola</w:t>
      </w:r>
      <w:r w:rsidR="00CD3D14">
        <w:rPr>
          <w:sz w:val="21"/>
          <w:szCs w:val="21"/>
          <w:lang w:val="es-ES"/>
        </w:rPr>
        <w:t xml:space="preserve">, </w:t>
      </w:r>
      <w:r w:rsidR="001362B0">
        <w:rPr>
          <w:sz w:val="21"/>
          <w:szCs w:val="21"/>
          <w:lang w:val="es-ES"/>
        </w:rPr>
        <w:t>individualizados en el Informe de Fondo N° 110/18.</w:t>
      </w:r>
    </w:p>
    <w:p w:rsidR="00311BD2" w:rsidRPr="00F101F3" w:rsidRDefault="00311BD2" w:rsidP="00311BD2">
      <w:pPr>
        <w:suppressAutoHyphens/>
        <w:spacing w:after="0" w:line="240" w:lineRule="auto"/>
        <w:ind w:firstLine="720"/>
        <w:jc w:val="both"/>
        <w:rPr>
          <w:sz w:val="21"/>
          <w:szCs w:val="21"/>
          <w:lang w:val="es-ES"/>
        </w:rPr>
      </w:pPr>
    </w:p>
    <w:p w:rsidR="002D20E1" w:rsidRPr="00F101F3" w:rsidRDefault="002D20E1" w:rsidP="00311BD2">
      <w:pPr>
        <w:autoSpaceDE w:val="0"/>
        <w:autoSpaceDN w:val="0"/>
        <w:adjustRightInd w:val="0"/>
        <w:spacing w:after="0" w:line="240" w:lineRule="auto"/>
        <w:ind w:firstLine="720"/>
        <w:jc w:val="both"/>
        <w:rPr>
          <w:sz w:val="21"/>
          <w:szCs w:val="21"/>
          <w:lang w:val="es-CO"/>
        </w:rPr>
      </w:pPr>
      <w:r w:rsidRPr="00F101F3">
        <w:rPr>
          <w:sz w:val="21"/>
          <w:szCs w:val="21"/>
          <w:lang w:val="es-CO"/>
        </w:rPr>
        <w:t>En consecuencia, la Comisión solicita a la Corte que establezca las siguientes medidas de reparación:</w:t>
      </w:r>
    </w:p>
    <w:p w:rsidR="002D20E1" w:rsidRPr="00F101F3" w:rsidRDefault="002D20E1" w:rsidP="00311BD2">
      <w:pPr>
        <w:tabs>
          <w:tab w:val="left" w:pos="720"/>
        </w:tabs>
        <w:autoSpaceDE w:val="0"/>
        <w:autoSpaceDN w:val="0"/>
        <w:adjustRightInd w:val="0"/>
        <w:spacing w:after="0" w:line="240" w:lineRule="auto"/>
        <w:ind w:left="720" w:right="720"/>
        <w:jc w:val="both"/>
        <w:rPr>
          <w:sz w:val="21"/>
          <w:szCs w:val="21"/>
          <w:lang w:val="es-CO"/>
        </w:rPr>
      </w:pPr>
    </w:p>
    <w:p w:rsidR="00160349" w:rsidRPr="00160349" w:rsidRDefault="00160349" w:rsidP="00160349">
      <w:pPr>
        <w:numPr>
          <w:ilvl w:val="0"/>
          <w:numId w:val="3"/>
        </w:numPr>
        <w:tabs>
          <w:tab w:val="left" w:pos="1080"/>
        </w:tabs>
        <w:spacing w:after="0" w:line="240" w:lineRule="auto"/>
        <w:ind w:right="720" w:firstLine="0"/>
        <w:jc w:val="both"/>
        <w:rPr>
          <w:sz w:val="21"/>
          <w:szCs w:val="21"/>
          <w:lang w:val="es-US"/>
        </w:rPr>
      </w:pPr>
      <w:r w:rsidRPr="00160349">
        <w:rPr>
          <w:sz w:val="21"/>
          <w:szCs w:val="21"/>
          <w:lang w:val="es-US"/>
        </w:rPr>
        <w:t xml:space="preserve">Reparar integralmente las violaciones de derechos humanos declaradas en el </w:t>
      </w:r>
      <w:r w:rsidR="006323FF">
        <w:rPr>
          <w:sz w:val="21"/>
          <w:szCs w:val="21"/>
          <w:lang w:val="es-US"/>
        </w:rPr>
        <w:t>I</w:t>
      </w:r>
      <w:r w:rsidRPr="00160349">
        <w:rPr>
          <w:sz w:val="21"/>
          <w:szCs w:val="21"/>
          <w:lang w:val="es-US"/>
        </w:rPr>
        <w:t>nforme</w:t>
      </w:r>
      <w:r w:rsidR="006323FF">
        <w:rPr>
          <w:sz w:val="21"/>
          <w:szCs w:val="21"/>
          <w:lang w:val="es-US"/>
        </w:rPr>
        <w:t xml:space="preserve"> de fondo N°110/18</w:t>
      </w:r>
      <w:r w:rsidR="00A938D3">
        <w:rPr>
          <w:sz w:val="21"/>
          <w:szCs w:val="21"/>
          <w:lang w:val="es-US"/>
        </w:rPr>
        <w:t>,</w:t>
      </w:r>
      <w:r w:rsidRPr="00160349">
        <w:rPr>
          <w:sz w:val="21"/>
          <w:szCs w:val="21"/>
          <w:lang w:val="es-US"/>
        </w:rPr>
        <w:t xml:space="preserve"> tanto en el aspecto material como moral. El Estado deberá adoptar las medidas de compensación económica y satisfacción.</w:t>
      </w:r>
    </w:p>
    <w:p w:rsidR="000D437A" w:rsidRPr="00F101F3" w:rsidRDefault="000D437A" w:rsidP="00005BA6">
      <w:pPr>
        <w:tabs>
          <w:tab w:val="left" w:pos="1080"/>
        </w:tabs>
        <w:spacing w:after="0" w:line="240" w:lineRule="auto"/>
        <w:ind w:left="720" w:right="720"/>
        <w:jc w:val="both"/>
        <w:rPr>
          <w:sz w:val="21"/>
          <w:szCs w:val="21"/>
          <w:lang w:val="es-US"/>
        </w:rPr>
      </w:pPr>
    </w:p>
    <w:p w:rsidR="00DE05C2" w:rsidRDefault="00160349" w:rsidP="00DE05C2">
      <w:pPr>
        <w:numPr>
          <w:ilvl w:val="0"/>
          <w:numId w:val="3"/>
        </w:numPr>
        <w:tabs>
          <w:tab w:val="left" w:pos="1080"/>
        </w:tabs>
        <w:spacing w:after="0" w:line="240" w:lineRule="auto"/>
        <w:ind w:right="720" w:firstLine="0"/>
        <w:jc w:val="both"/>
        <w:rPr>
          <w:sz w:val="21"/>
          <w:szCs w:val="21"/>
          <w:lang w:val="es-US"/>
        </w:rPr>
      </w:pPr>
      <w:r w:rsidRPr="00160349">
        <w:rPr>
          <w:sz w:val="21"/>
          <w:szCs w:val="21"/>
          <w:lang w:val="es-US"/>
        </w:rPr>
        <w:t>Brindar de forma gratuita e inmediata, el tratamiento médico psicológico, psicosocial o psiquiátrico, según corresponda, a los familiares de Paola del Rosario Guzmán Albarracín, de ser su voluntad y de manera concertada.</w:t>
      </w:r>
    </w:p>
    <w:p w:rsidR="00DE05C2" w:rsidRDefault="00DE05C2" w:rsidP="00DE05C2">
      <w:pPr>
        <w:pStyle w:val="Prrafodelista"/>
        <w:rPr>
          <w:sz w:val="21"/>
          <w:szCs w:val="21"/>
          <w:lang w:val="es-US"/>
        </w:rPr>
      </w:pPr>
    </w:p>
    <w:p w:rsidR="00DE05C2" w:rsidRPr="00DE05C2" w:rsidRDefault="00DE05C2" w:rsidP="00DE05C2">
      <w:pPr>
        <w:numPr>
          <w:ilvl w:val="0"/>
          <w:numId w:val="3"/>
        </w:numPr>
        <w:tabs>
          <w:tab w:val="left" w:pos="1080"/>
        </w:tabs>
        <w:spacing w:after="0" w:line="240" w:lineRule="auto"/>
        <w:ind w:right="720" w:firstLine="0"/>
        <w:jc w:val="both"/>
        <w:rPr>
          <w:sz w:val="21"/>
          <w:szCs w:val="21"/>
          <w:lang w:val="es-US"/>
        </w:rPr>
      </w:pPr>
      <w:r w:rsidRPr="00DE05C2">
        <w:rPr>
          <w:sz w:val="21"/>
          <w:szCs w:val="21"/>
          <w:lang w:val="es-US"/>
        </w:rPr>
        <w:t xml:space="preserve">Llevar a cabo con la debida diligencia y en un plazo razonable, las investigaciones y procesos penales correspondientes, con el fin de individualizar, identificar, juzgar y, en su caso, sancionar a los responsables. </w:t>
      </w:r>
    </w:p>
    <w:p w:rsidR="00DE05C2" w:rsidRDefault="00DE05C2" w:rsidP="00DE05C2">
      <w:pPr>
        <w:tabs>
          <w:tab w:val="left" w:pos="1080"/>
        </w:tabs>
        <w:spacing w:after="0" w:line="240" w:lineRule="auto"/>
        <w:ind w:left="720" w:right="720"/>
        <w:jc w:val="both"/>
        <w:rPr>
          <w:sz w:val="21"/>
          <w:szCs w:val="21"/>
          <w:lang w:val="es-US"/>
        </w:rPr>
      </w:pPr>
    </w:p>
    <w:p w:rsidR="00DE05C2" w:rsidRPr="00DE05C2" w:rsidRDefault="00DE05C2" w:rsidP="00DE05C2">
      <w:pPr>
        <w:tabs>
          <w:tab w:val="left" w:pos="1080"/>
        </w:tabs>
        <w:spacing w:after="0" w:line="240" w:lineRule="auto"/>
        <w:ind w:left="720" w:right="720"/>
        <w:jc w:val="both"/>
        <w:rPr>
          <w:sz w:val="21"/>
          <w:szCs w:val="21"/>
          <w:lang w:val="es-US"/>
        </w:rPr>
      </w:pPr>
      <w:r w:rsidRPr="00DE05C2">
        <w:rPr>
          <w:sz w:val="21"/>
          <w:szCs w:val="21"/>
          <w:lang w:val="es-US"/>
        </w:rPr>
        <w:t xml:space="preserve">La Comisión toma nota de que el proceso penal seguido al señor Bolívar Espín concluyó el 18 de septiembre de 2008  por prescripción de la acción penal. La Comisión recuerda el concepto de “cosa juzgada fraudulenta” y su relación con el principio de </w:t>
      </w:r>
      <w:r w:rsidRPr="000A0AE8">
        <w:rPr>
          <w:i/>
          <w:sz w:val="21"/>
          <w:szCs w:val="21"/>
          <w:lang w:val="es-US"/>
        </w:rPr>
        <w:t>ne bis in ídem</w:t>
      </w:r>
      <w:r w:rsidRPr="00DE05C2">
        <w:rPr>
          <w:sz w:val="21"/>
          <w:szCs w:val="21"/>
          <w:lang w:val="es-US"/>
        </w:rPr>
        <w:t xml:space="preserve">. Tal como </w:t>
      </w:r>
      <w:r w:rsidR="00A938D3">
        <w:rPr>
          <w:sz w:val="21"/>
          <w:szCs w:val="21"/>
          <w:lang w:val="es-US"/>
        </w:rPr>
        <w:t>esa</w:t>
      </w:r>
      <w:r w:rsidRPr="00DE05C2">
        <w:rPr>
          <w:sz w:val="21"/>
          <w:szCs w:val="21"/>
          <w:lang w:val="es-US"/>
        </w:rPr>
        <w:t xml:space="preserve"> Corte señaló en el Caso Gutiérrez y familia Vs. Argentina, suponer que lo dispuesto en el artículo 8.4 de la Convención Americana se aplicaría en toda circunstancia implicaría que lo resuelto por un juez nacional tendría preeminencia frente a lo que pueda decidir uno de los órganos interamericanos de conformidad a la Convención Americana. También implicaría, consecuentemente, que la aplicación, en toda circunstancia, del referido artículo 8.4 de dicho tratado, podría conducir, en definitiva, a la impunidad e inaplicabilidad de las correspondientes normas internacionales, lo que no se condice con el objeto y fin de la Convención.</w:t>
      </w:r>
    </w:p>
    <w:p w:rsidR="00DE05C2" w:rsidRPr="00DE05C2" w:rsidRDefault="00DE05C2" w:rsidP="00DE05C2">
      <w:pPr>
        <w:tabs>
          <w:tab w:val="left" w:pos="1080"/>
        </w:tabs>
        <w:spacing w:after="0" w:line="240" w:lineRule="auto"/>
        <w:ind w:right="720"/>
        <w:jc w:val="both"/>
        <w:rPr>
          <w:sz w:val="21"/>
          <w:szCs w:val="21"/>
          <w:lang w:val="es-US"/>
        </w:rPr>
      </w:pPr>
    </w:p>
    <w:p w:rsidR="000D437A" w:rsidRPr="00DE05C2" w:rsidRDefault="00DE05C2" w:rsidP="00DE05C2">
      <w:pPr>
        <w:tabs>
          <w:tab w:val="left" w:pos="1080"/>
        </w:tabs>
        <w:spacing w:after="0" w:line="240" w:lineRule="auto"/>
        <w:ind w:left="720" w:right="720"/>
        <w:jc w:val="both"/>
        <w:rPr>
          <w:rFonts w:eastAsia="Times New Roman"/>
          <w:sz w:val="21"/>
          <w:szCs w:val="21"/>
          <w:lang w:val="es-ES" w:eastAsia="es-ES"/>
        </w:rPr>
      </w:pPr>
      <w:r w:rsidRPr="00DE05C2">
        <w:rPr>
          <w:sz w:val="21"/>
          <w:szCs w:val="21"/>
          <w:lang w:val="es-US"/>
        </w:rPr>
        <w:t xml:space="preserve">Tomando en cuenta que la prescripción del proceso penal fue resultado de una investigación y proceso penal incompatibles con la Convención Americana, la CIDH considera que en el presente caso, la garantía de </w:t>
      </w:r>
      <w:r w:rsidRPr="000A0AE8">
        <w:rPr>
          <w:i/>
          <w:sz w:val="21"/>
          <w:szCs w:val="21"/>
          <w:lang w:val="es-US"/>
        </w:rPr>
        <w:t>ne bis in ídem</w:t>
      </w:r>
      <w:r w:rsidRPr="00DE05C2">
        <w:rPr>
          <w:sz w:val="21"/>
          <w:szCs w:val="21"/>
          <w:lang w:val="es-US"/>
        </w:rPr>
        <w:t xml:space="preserve"> no resulta oponible por el Estado</w:t>
      </w:r>
      <w:r w:rsidR="00A938D3">
        <w:rPr>
          <w:sz w:val="21"/>
          <w:szCs w:val="21"/>
          <w:lang w:val="es-US"/>
        </w:rPr>
        <w:t>, para el cumplimiento de esta medida de reparación</w:t>
      </w:r>
      <w:r w:rsidRPr="00DE05C2">
        <w:rPr>
          <w:sz w:val="21"/>
          <w:szCs w:val="21"/>
          <w:lang w:val="es-US"/>
        </w:rPr>
        <w:t>.</w:t>
      </w:r>
    </w:p>
    <w:p w:rsidR="00DE05C2" w:rsidRDefault="00DE05C2" w:rsidP="00DE05C2">
      <w:pPr>
        <w:pStyle w:val="Prrafodelista"/>
        <w:rPr>
          <w:rFonts w:eastAsia="Times New Roman"/>
          <w:sz w:val="21"/>
          <w:szCs w:val="21"/>
          <w:lang w:val="es-ES"/>
        </w:rPr>
      </w:pPr>
    </w:p>
    <w:p w:rsidR="00DE05C2" w:rsidRDefault="00FB1F75" w:rsidP="00005BA6">
      <w:pPr>
        <w:numPr>
          <w:ilvl w:val="0"/>
          <w:numId w:val="3"/>
        </w:numPr>
        <w:tabs>
          <w:tab w:val="left" w:pos="1080"/>
        </w:tabs>
        <w:spacing w:after="0" w:line="240" w:lineRule="auto"/>
        <w:ind w:right="720" w:firstLine="0"/>
        <w:jc w:val="both"/>
        <w:rPr>
          <w:rFonts w:eastAsia="Times New Roman"/>
          <w:sz w:val="21"/>
          <w:szCs w:val="21"/>
          <w:lang w:val="es-ES" w:eastAsia="es-ES"/>
        </w:rPr>
      </w:pPr>
      <w:r>
        <w:rPr>
          <w:rFonts w:eastAsia="Times New Roman"/>
          <w:sz w:val="21"/>
          <w:szCs w:val="21"/>
          <w:lang w:val="es-ES" w:eastAsia="es-ES"/>
        </w:rPr>
        <w:t>Disponer las medidas administrativas, disciplinarias o penales correspondientes, frente a las acciones u omisiones de los funcionarios estatales que contribuyeron a la denegación de justicia e impunidad en la que se encuentran los hechos del caso.</w:t>
      </w:r>
    </w:p>
    <w:p w:rsidR="00FB1F75" w:rsidRPr="00DE05C2" w:rsidRDefault="00FB1F75" w:rsidP="00FB1F75">
      <w:pPr>
        <w:tabs>
          <w:tab w:val="left" w:pos="1080"/>
        </w:tabs>
        <w:spacing w:after="0" w:line="240" w:lineRule="auto"/>
        <w:ind w:left="720" w:right="720"/>
        <w:jc w:val="both"/>
        <w:rPr>
          <w:rFonts w:eastAsia="Times New Roman"/>
          <w:sz w:val="21"/>
          <w:szCs w:val="21"/>
          <w:lang w:val="es-ES" w:eastAsia="es-ES"/>
        </w:rPr>
      </w:pPr>
    </w:p>
    <w:p w:rsidR="00FB1F75" w:rsidRPr="00FB1F75" w:rsidRDefault="00FB1F75" w:rsidP="00FB1F75">
      <w:pPr>
        <w:numPr>
          <w:ilvl w:val="0"/>
          <w:numId w:val="3"/>
        </w:numPr>
        <w:tabs>
          <w:tab w:val="left" w:pos="1080"/>
        </w:tabs>
        <w:spacing w:after="0" w:line="240" w:lineRule="auto"/>
        <w:ind w:right="720" w:firstLine="0"/>
        <w:jc w:val="both"/>
        <w:rPr>
          <w:rFonts w:eastAsia="Times New Roman"/>
          <w:sz w:val="21"/>
          <w:szCs w:val="21"/>
          <w:lang w:val="es-ES" w:eastAsia="es-ES"/>
        </w:rPr>
      </w:pPr>
      <w:r w:rsidRPr="00FB1F75">
        <w:rPr>
          <w:rFonts w:eastAsia="Times New Roman"/>
          <w:sz w:val="21"/>
          <w:szCs w:val="21"/>
          <w:lang w:val="es-ES" w:eastAsia="es-ES"/>
        </w:rPr>
        <w:t>Adoptar medidas de no repetición que incluyan: i) Disponer una regulación y mecanismos adecuados de capacitación, detección temprana, fiscalización, supervisión y rendición de cuentas de las entidades educativas públicas y privadas, a fin de prevenir y responder debidamente a situaciones de acoso sexual al interior de dichas instituciones, incluyendo la violencia ejercida mediante los servicios de salud que se presten en las escuelas, ii) Diseñar protocolos en los sectores de educación y salud que faciliten la denuncia, confidencialidad y atención de estudiantes víctimas o testigos de actos de violencia sexual teniendo en cuenta su interés superior, en particular se deberá poner especial atención al trato médico ético y a los efectos en la salud emocional y mental de las niñas y adolescentes; iii) Incorporar en los materiales de enseñanza obligatoria escolar información adecuada, oportuna y según el nivel de madurez de las niñas y niños orientada a dotarles de herramientas para prevenir y denunciar situaciones de violencia sexual; iv) Asegurar que las autoridades del Poder Judicial, Ministerio Público y Policía Nacional a cargo de llevar a cabo investigaciones y procesos penales sobre violencia contra mujeres y niñas, incluyendo violencia sexual en el ámbito educativo y en los servicios de salud que se prestan en dichas instituciones cuenten con la debida capacitación y fortaleza institucional para investigar con perspectiva de género y con la debida diligencia, en los términos desarrollados en el presente informe; v) Adoptar campañas educativas y de sensibilización en escuelas públicas y privadas orientadas a enfrentar los esquemas socioculturales que normalizan o trivializan la violencia sexual en este ámbito.</w:t>
      </w:r>
    </w:p>
    <w:p w:rsidR="00AF740E" w:rsidRPr="00F101F3" w:rsidRDefault="00AF740E" w:rsidP="00005BA6">
      <w:pPr>
        <w:tabs>
          <w:tab w:val="left" w:pos="1080"/>
        </w:tabs>
        <w:spacing w:after="0" w:line="240" w:lineRule="auto"/>
        <w:ind w:left="720" w:right="720"/>
        <w:jc w:val="both"/>
        <w:rPr>
          <w:rFonts w:eastAsia="Times New Roman"/>
          <w:sz w:val="21"/>
          <w:szCs w:val="21"/>
          <w:lang w:val="es-ES" w:eastAsia="es-ES"/>
        </w:rPr>
      </w:pPr>
    </w:p>
    <w:p w:rsidR="005F6A8A" w:rsidRDefault="002D20E1" w:rsidP="00BD4F56">
      <w:pPr>
        <w:spacing w:after="0" w:line="240" w:lineRule="auto"/>
        <w:ind w:firstLine="720"/>
        <w:jc w:val="both"/>
        <w:rPr>
          <w:rFonts w:eastAsia="Times New Roman" w:cs="Cambria"/>
          <w:sz w:val="21"/>
          <w:szCs w:val="21"/>
          <w:lang w:val="es-CO"/>
        </w:rPr>
      </w:pPr>
      <w:r w:rsidRPr="00F101F3">
        <w:rPr>
          <w:rFonts w:cs="Arial"/>
          <w:sz w:val="21"/>
          <w:szCs w:val="21"/>
          <w:lang w:val="es-CL"/>
        </w:rPr>
        <w:t xml:space="preserve">Además de la necesidad de obtención de justicia, la Comisión </w:t>
      </w:r>
      <w:r w:rsidRPr="00F101F3">
        <w:rPr>
          <w:rFonts w:cs="Arial"/>
          <w:sz w:val="21"/>
          <w:szCs w:val="21"/>
          <w:lang w:val="es-AR"/>
        </w:rPr>
        <w:t xml:space="preserve">destaca que el presente caso </w:t>
      </w:r>
      <w:r w:rsidR="00EC1E04" w:rsidRPr="00F101F3">
        <w:rPr>
          <w:rFonts w:cs="Arial"/>
          <w:sz w:val="21"/>
          <w:szCs w:val="21"/>
          <w:lang w:val="es-AR"/>
        </w:rPr>
        <w:t xml:space="preserve">plantea cuestiones de orden público interamericano. Específicamente, </w:t>
      </w:r>
      <w:r w:rsidR="005D4D7C">
        <w:rPr>
          <w:rFonts w:cs="Arial"/>
          <w:sz w:val="21"/>
          <w:szCs w:val="21"/>
          <w:lang w:val="es-AR"/>
        </w:rPr>
        <w:t xml:space="preserve">se trata del primer caso que se somete a la Honorable Corte sobre violencia sexual, incluyendo acoso sexual, en el </w:t>
      </w:r>
      <w:r w:rsidR="005D4D7C">
        <w:rPr>
          <w:rFonts w:cs="Arial"/>
          <w:sz w:val="21"/>
          <w:szCs w:val="21"/>
          <w:lang w:val="es-CO"/>
        </w:rPr>
        <w:t>ámbito educativo. En ese sentido, la Corte Interamericana podrá pronunciarse sobre las implicaciones de sus deberes de respeto y garantía en esta temática. En particular, el alcance y contenido del deber de prevención, tanto en lo relativo a l</w:t>
      </w:r>
      <w:r w:rsidR="007A6EA1">
        <w:rPr>
          <w:rFonts w:cs="Arial"/>
          <w:sz w:val="21"/>
          <w:szCs w:val="21"/>
          <w:lang w:val="es-CO"/>
        </w:rPr>
        <w:t>a regulación y fiscalización</w:t>
      </w:r>
      <w:r w:rsidR="001851E5">
        <w:rPr>
          <w:rFonts w:cs="Arial"/>
          <w:sz w:val="21"/>
          <w:szCs w:val="21"/>
          <w:lang w:val="es-CO"/>
        </w:rPr>
        <w:t xml:space="preserve">. En esta línea, además de otras disposiciones de la Convención Americana, </w:t>
      </w:r>
      <w:r w:rsidR="00EC1E04" w:rsidRPr="00F101F3">
        <w:rPr>
          <w:rFonts w:cs="Arial"/>
          <w:sz w:val="21"/>
          <w:szCs w:val="21"/>
          <w:lang w:val="es-AR"/>
        </w:rPr>
        <w:t xml:space="preserve">el caso le </w:t>
      </w:r>
      <w:r w:rsidRPr="00F101F3">
        <w:rPr>
          <w:rFonts w:cs="Arial"/>
          <w:sz w:val="21"/>
          <w:szCs w:val="21"/>
          <w:lang w:val="es-AR"/>
        </w:rPr>
        <w:t xml:space="preserve">permitirá a la Corte </w:t>
      </w:r>
      <w:r w:rsidR="00A120E4" w:rsidRPr="00F101F3">
        <w:rPr>
          <w:rFonts w:cs="Arial"/>
          <w:sz w:val="21"/>
          <w:szCs w:val="21"/>
          <w:lang w:val="es-AR"/>
        </w:rPr>
        <w:t xml:space="preserve">Interamericana </w:t>
      </w:r>
      <w:r w:rsidR="00D21E2F" w:rsidRPr="00D21E2F">
        <w:rPr>
          <w:rFonts w:cs="Arial"/>
          <w:sz w:val="21"/>
          <w:szCs w:val="21"/>
          <w:lang w:val="es-AR"/>
        </w:rPr>
        <w:t>ampliar su jurisprudencia respecto a los derechos a la educación y a la salud, en cuanto a los contenidos del artículo 26 de la Convención Americana</w:t>
      </w:r>
      <w:r w:rsidR="001851E5">
        <w:rPr>
          <w:rFonts w:cs="Arial"/>
          <w:sz w:val="21"/>
          <w:szCs w:val="21"/>
          <w:lang w:val="es-AR"/>
        </w:rPr>
        <w:t xml:space="preserve"> y 13 del Protocolo de San Salvador, todo con </w:t>
      </w:r>
      <w:r w:rsidR="00C34878">
        <w:rPr>
          <w:rFonts w:cs="Arial"/>
          <w:sz w:val="21"/>
          <w:szCs w:val="21"/>
          <w:lang w:val="es-AR"/>
        </w:rPr>
        <w:t>a la luz del principio de igualdad y no discriminación y con un</w:t>
      </w:r>
      <w:r w:rsidR="00D21E2F" w:rsidRPr="00D21E2F">
        <w:rPr>
          <w:rFonts w:cs="Arial"/>
          <w:sz w:val="21"/>
          <w:szCs w:val="21"/>
          <w:lang w:val="es-AR"/>
        </w:rPr>
        <w:t xml:space="preserve"> enfoque de género.</w:t>
      </w:r>
      <w:r w:rsidR="00D21E2F" w:rsidRPr="00D21E2F">
        <w:rPr>
          <w:lang w:val="es-MX"/>
        </w:rPr>
        <w:t xml:space="preserve"> </w:t>
      </w:r>
      <w:r w:rsidR="00D21E2F" w:rsidRPr="00D21E2F">
        <w:rPr>
          <w:rFonts w:cs="Arial"/>
          <w:sz w:val="21"/>
          <w:szCs w:val="21"/>
          <w:lang w:val="es-AR"/>
        </w:rPr>
        <w:t>Asimismo, el presente caso permitiría a la Corte</w:t>
      </w:r>
      <w:r w:rsidR="00D21E2F">
        <w:rPr>
          <w:rFonts w:cs="Arial"/>
          <w:sz w:val="21"/>
          <w:szCs w:val="21"/>
          <w:lang w:val="es-AR"/>
        </w:rPr>
        <w:t xml:space="preserve"> </w:t>
      </w:r>
      <w:r w:rsidR="005F6A8A">
        <w:rPr>
          <w:rFonts w:cs="Arial"/>
          <w:sz w:val="21"/>
          <w:szCs w:val="21"/>
          <w:lang w:val="es-AR"/>
        </w:rPr>
        <w:t xml:space="preserve">desarrollar </w:t>
      </w:r>
      <w:r w:rsidR="00A120E4" w:rsidRPr="00F101F3">
        <w:rPr>
          <w:rFonts w:eastAsia="Times New Roman" w:cs="Cambria"/>
          <w:sz w:val="21"/>
          <w:szCs w:val="21"/>
          <w:lang w:val="es-CO"/>
        </w:rPr>
        <w:t xml:space="preserve">su jurisprudencia sobre </w:t>
      </w:r>
      <w:r w:rsidR="00234720">
        <w:rPr>
          <w:rFonts w:eastAsia="Times New Roman" w:cs="Cambria"/>
          <w:sz w:val="21"/>
          <w:szCs w:val="21"/>
          <w:lang w:val="es-CO"/>
        </w:rPr>
        <w:t xml:space="preserve">el deber de investigar actos como los ocurridos en el presente caso, incluyendo </w:t>
      </w:r>
      <w:r w:rsidR="00405CA7">
        <w:rPr>
          <w:rFonts w:eastAsia="Times New Roman" w:cs="Cambria"/>
          <w:sz w:val="21"/>
          <w:szCs w:val="21"/>
          <w:lang w:val="es-CO"/>
        </w:rPr>
        <w:t>violencia</w:t>
      </w:r>
      <w:r w:rsidR="00234720">
        <w:rPr>
          <w:rFonts w:eastAsia="Times New Roman" w:cs="Cambria"/>
          <w:sz w:val="21"/>
          <w:szCs w:val="21"/>
          <w:lang w:val="es-CO"/>
        </w:rPr>
        <w:t xml:space="preserve"> y acoso</w:t>
      </w:r>
      <w:r w:rsidR="00405CA7">
        <w:rPr>
          <w:rFonts w:eastAsia="Times New Roman" w:cs="Cambria"/>
          <w:sz w:val="21"/>
          <w:szCs w:val="21"/>
          <w:lang w:val="es-CO"/>
        </w:rPr>
        <w:t xml:space="preserve"> sexual en el ámbito escolar y </w:t>
      </w:r>
      <w:r w:rsidR="00405CA7" w:rsidRPr="00405CA7">
        <w:rPr>
          <w:rFonts w:eastAsia="Times New Roman" w:cs="Cambria"/>
          <w:sz w:val="21"/>
          <w:szCs w:val="21"/>
          <w:lang w:val="es-CO"/>
        </w:rPr>
        <w:t>podrá fortalecer su jurisprudencia respecto a estereotipos de género</w:t>
      </w:r>
      <w:r w:rsidR="00234720">
        <w:rPr>
          <w:rFonts w:eastAsia="Times New Roman" w:cs="Cambria"/>
          <w:sz w:val="21"/>
          <w:szCs w:val="21"/>
          <w:lang w:val="es-CO"/>
        </w:rPr>
        <w:t xml:space="preserve"> y sus implicaciones en el ámbito judicial. </w:t>
      </w:r>
    </w:p>
    <w:p w:rsidR="00D21E2F" w:rsidRDefault="00D21E2F" w:rsidP="00BD4F56">
      <w:pPr>
        <w:spacing w:after="0" w:line="240" w:lineRule="auto"/>
        <w:ind w:firstLine="720"/>
        <w:jc w:val="both"/>
        <w:rPr>
          <w:rFonts w:eastAsia="Times New Roman" w:cs="Cambria"/>
          <w:sz w:val="21"/>
          <w:szCs w:val="21"/>
          <w:lang w:val="es-CO"/>
        </w:rPr>
      </w:pPr>
    </w:p>
    <w:p w:rsidR="002D20E1" w:rsidRPr="00F101F3" w:rsidRDefault="002D20E1" w:rsidP="00311BD2">
      <w:pPr>
        <w:suppressAutoHyphens/>
        <w:spacing w:after="0" w:line="240" w:lineRule="auto"/>
        <w:ind w:firstLine="720"/>
        <w:jc w:val="both"/>
        <w:rPr>
          <w:rFonts w:cs="Arial"/>
          <w:sz w:val="21"/>
          <w:szCs w:val="21"/>
          <w:lang w:val="es-CL"/>
        </w:rPr>
      </w:pPr>
      <w:r w:rsidRPr="00F101F3">
        <w:rPr>
          <w:rFonts w:cs="Arial"/>
          <w:sz w:val="21"/>
          <w:szCs w:val="21"/>
          <w:lang w:val="es-CL"/>
        </w:rPr>
        <w:t xml:space="preserve">En virtud de que estas cuestiones afectan de manera relevante el orden público interamericano, de conformidad con el </w:t>
      </w:r>
      <w:r w:rsidRPr="00F101F3">
        <w:rPr>
          <w:rFonts w:cs="Arial"/>
          <w:sz w:val="21"/>
          <w:szCs w:val="21"/>
          <w:lang w:val="es-AR"/>
        </w:rPr>
        <w:t>artículo</w:t>
      </w:r>
      <w:r w:rsidRPr="00F101F3">
        <w:rPr>
          <w:rFonts w:cs="Arial"/>
          <w:sz w:val="21"/>
          <w:szCs w:val="21"/>
          <w:lang w:val="es-CL"/>
        </w:rPr>
        <w:t xml:space="preserve"> 35.1 f) del Reglamento de la Corte Interamericana, la Comisión se permite ofrecer las siguientes declaraciones periciales:</w:t>
      </w:r>
    </w:p>
    <w:p w:rsidR="002D20E1" w:rsidRPr="00F101F3" w:rsidRDefault="002D20E1" w:rsidP="00311BD2">
      <w:pPr>
        <w:autoSpaceDE w:val="0"/>
        <w:autoSpaceDN w:val="0"/>
        <w:adjustRightInd w:val="0"/>
        <w:spacing w:after="0" w:line="240" w:lineRule="auto"/>
        <w:ind w:right="480"/>
        <w:jc w:val="both"/>
        <w:rPr>
          <w:rFonts w:cs="Arial"/>
          <w:sz w:val="21"/>
          <w:szCs w:val="21"/>
          <w:lang w:val="es-CL"/>
        </w:rPr>
      </w:pPr>
    </w:p>
    <w:p w:rsidR="002D20E1" w:rsidRPr="00F101F3" w:rsidRDefault="002D20E1" w:rsidP="00311BD2">
      <w:pPr>
        <w:pStyle w:val="Textosinformato"/>
        <w:tabs>
          <w:tab w:val="left" w:pos="9540"/>
        </w:tabs>
        <w:ind w:firstLine="720"/>
        <w:jc w:val="both"/>
        <w:rPr>
          <w:rFonts w:eastAsia="Calibri"/>
          <w:sz w:val="21"/>
          <w:lang w:val="es-ES" w:eastAsia="ko-KR"/>
        </w:rPr>
      </w:pPr>
      <w:r w:rsidRPr="00F101F3">
        <w:rPr>
          <w:rFonts w:cs="Courier New"/>
          <w:b/>
          <w:sz w:val="21"/>
          <w:lang w:val="es-ES_tradnl"/>
        </w:rPr>
        <w:t>Perito/a cuyo nombre será informado a la brevedad</w:t>
      </w:r>
      <w:r w:rsidRPr="00F101F3">
        <w:rPr>
          <w:iCs/>
          <w:sz w:val="21"/>
          <w:lang w:val="es-ES_tradnl"/>
        </w:rPr>
        <w:t xml:space="preserve">, </w:t>
      </w:r>
      <w:r w:rsidR="0096475B" w:rsidRPr="00F101F3">
        <w:rPr>
          <w:sz w:val="21"/>
          <w:lang w:val="es-ES"/>
        </w:rPr>
        <w:t xml:space="preserve">quien declarará sobre </w:t>
      </w:r>
      <w:r w:rsidR="00405CA7">
        <w:rPr>
          <w:sz w:val="21"/>
          <w:lang w:val="es-ES"/>
        </w:rPr>
        <w:t xml:space="preserve">los estándares </w:t>
      </w:r>
      <w:r w:rsidR="00F31598">
        <w:rPr>
          <w:sz w:val="21"/>
          <w:lang w:val="es-ES"/>
        </w:rPr>
        <w:t xml:space="preserve">de </w:t>
      </w:r>
      <w:r w:rsidR="00256167">
        <w:rPr>
          <w:sz w:val="21"/>
          <w:lang w:val="es-ES"/>
        </w:rPr>
        <w:t xml:space="preserve">regulación y </w:t>
      </w:r>
      <w:r w:rsidR="00F31598">
        <w:rPr>
          <w:sz w:val="21"/>
          <w:lang w:val="es-ES"/>
        </w:rPr>
        <w:t xml:space="preserve">fiscalización de los planteles escolares por parte del Estado y los estándares </w:t>
      </w:r>
      <w:r w:rsidR="00405CA7">
        <w:rPr>
          <w:sz w:val="21"/>
          <w:lang w:val="es-ES"/>
        </w:rPr>
        <w:t>para prevenir, erradicar y sancionar la violencia sexual</w:t>
      </w:r>
      <w:r w:rsidR="00256167">
        <w:rPr>
          <w:sz w:val="21"/>
          <w:lang w:val="es-ES"/>
        </w:rPr>
        <w:t>, incluyendo el acoso sexual,</w:t>
      </w:r>
      <w:r w:rsidR="00405CA7">
        <w:rPr>
          <w:sz w:val="21"/>
          <w:lang w:val="es-ES"/>
        </w:rPr>
        <w:t xml:space="preserve"> en el ámbito escolar. </w:t>
      </w:r>
      <w:r w:rsidR="00A50BEB">
        <w:rPr>
          <w:sz w:val="21"/>
          <w:lang w:val="es-ES"/>
        </w:rPr>
        <w:t xml:space="preserve">El/la perito/a se referirá a estos estándares, tomando en cuenta </w:t>
      </w:r>
      <w:r w:rsidR="00867521">
        <w:rPr>
          <w:sz w:val="21"/>
          <w:lang w:val="es-ES"/>
        </w:rPr>
        <w:t>los</w:t>
      </w:r>
      <w:r w:rsidR="00A50BEB">
        <w:rPr>
          <w:sz w:val="21"/>
          <w:lang w:val="es-ES"/>
        </w:rPr>
        <w:t xml:space="preserve"> contenido</w:t>
      </w:r>
      <w:r w:rsidR="00867521">
        <w:rPr>
          <w:sz w:val="21"/>
          <w:lang w:val="es-ES"/>
        </w:rPr>
        <w:t>s</w:t>
      </w:r>
      <w:r w:rsidR="00A50BEB">
        <w:rPr>
          <w:sz w:val="21"/>
          <w:lang w:val="es-ES"/>
        </w:rPr>
        <w:t xml:space="preserve"> del derecho a la educación</w:t>
      </w:r>
      <w:r w:rsidR="00F31598">
        <w:rPr>
          <w:sz w:val="21"/>
          <w:lang w:val="es-ES"/>
        </w:rPr>
        <w:t xml:space="preserve"> y </w:t>
      </w:r>
      <w:r w:rsidR="00867521">
        <w:rPr>
          <w:sz w:val="21"/>
          <w:lang w:val="es-ES"/>
        </w:rPr>
        <w:t>los</w:t>
      </w:r>
      <w:r w:rsidR="00F31598">
        <w:rPr>
          <w:sz w:val="21"/>
          <w:lang w:val="es-ES"/>
        </w:rPr>
        <w:t xml:space="preserve"> contenido del derecho a la salud</w:t>
      </w:r>
      <w:r w:rsidR="001961EB">
        <w:rPr>
          <w:sz w:val="21"/>
          <w:lang w:val="es-ES"/>
        </w:rPr>
        <w:t>, así como otras disposiciones relevantes de la Convención Americana. De manera transversal se analizarán las obligaciones estatales de especial protección de la niñez y sus implicaciones en el deber de prevención referido.</w:t>
      </w:r>
      <w:r w:rsidR="00A50BEB">
        <w:rPr>
          <w:sz w:val="21"/>
          <w:lang w:val="es-ES"/>
        </w:rPr>
        <w:t xml:space="preserve"> </w:t>
      </w:r>
      <w:r w:rsidR="000D44E6" w:rsidRPr="00F101F3">
        <w:rPr>
          <w:sz w:val="21"/>
          <w:lang w:val="es-ES"/>
        </w:rPr>
        <w:t xml:space="preserve">El/la perito/a analizará los hechos del caso a la luz de los contenidos de su peritaje. </w:t>
      </w:r>
    </w:p>
    <w:p w:rsidR="002D20E1" w:rsidRPr="00F101F3" w:rsidRDefault="002D20E1" w:rsidP="00311BD2">
      <w:pPr>
        <w:pStyle w:val="Textosinformato"/>
        <w:tabs>
          <w:tab w:val="left" w:pos="8910"/>
        </w:tabs>
        <w:ind w:left="720" w:right="630"/>
        <w:jc w:val="both"/>
        <w:rPr>
          <w:sz w:val="21"/>
          <w:lang w:val="es-ES"/>
        </w:rPr>
      </w:pPr>
    </w:p>
    <w:p w:rsidR="002D20E1" w:rsidRPr="00F101F3" w:rsidRDefault="002D20E1" w:rsidP="00311BD2">
      <w:pPr>
        <w:spacing w:after="0" w:line="240" w:lineRule="auto"/>
        <w:ind w:firstLine="720"/>
        <w:jc w:val="both"/>
        <w:rPr>
          <w:sz w:val="21"/>
          <w:szCs w:val="21"/>
          <w:lang w:val="es-ES"/>
        </w:rPr>
      </w:pPr>
      <w:r w:rsidRPr="00F101F3">
        <w:rPr>
          <w:rFonts w:cs="Courier New"/>
          <w:b/>
          <w:sz w:val="21"/>
          <w:szCs w:val="21"/>
          <w:lang w:val="es-ES_tradnl"/>
        </w:rPr>
        <w:t>Perito/a cuyo nombre será informado a la brevedad</w:t>
      </w:r>
      <w:r w:rsidRPr="00F101F3">
        <w:rPr>
          <w:iCs/>
          <w:sz w:val="21"/>
          <w:szCs w:val="21"/>
          <w:lang w:val="es-ES_tradnl"/>
        </w:rPr>
        <w:t xml:space="preserve">, </w:t>
      </w:r>
      <w:r w:rsidRPr="00F101F3">
        <w:rPr>
          <w:sz w:val="21"/>
          <w:szCs w:val="21"/>
          <w:lang w:val="es-ES"/>
        </w:rPr>
        <w:t xml:space="preserve">quien declarará sobre </w:t>
      </w:r>
      <w:r w:rsidR="000D44E6" w:rsidRPr="00F101F3">
        <w:rPr>
          <w:sz w:val="21"/>
          <w:szCs w:val="21"/>
          <w:lang w:val="es-ES"/>
        </w:rPr>
        <w:t xml:space="preserve">el deber de investigar con la debida diligencia casos de violencia contra la mujer, incluyendo casos de violencia </w:t>
      </w:r>
      <w:r w:rsidR="00433C6B" w:rsidRPr="00F101F3">
        <w:rPr>
          <w:sz w:val="21"/>
          <w:szCs w:val="21"/>
          <w:lang w:val="es-ES"/>
        </w:rPr>
        <w:t>sexual</w:t>
      </w:r>
      <w:r w:rsidR="00F31598">
        <w:rPr>
          <w:sz w:val="21"/>
          <w:szCs w:val="21"/>
          <w:lang w:val="es-ES"/>
        </w:rPr>
        <w:t>, teniendo en cuenta la situación particular de las niñas</w:t>
      </w:r>
      <w:r w:rsidR="00433C6B" w:rsidRPr="00F101F3">
        <w:rPr>
          <w:sz w:val="21"/>
          <w:szCs w:val="21"/>
          <w:lang w:val="es-ES"/>
        </w:rPr>
        <w:t xml:space="preserve">. </w:t>
      </w:r>
      <w:r w:rsidR="00507BCB" w:rsidRPr="00F101F3">
        <w:rPr>
          <w:sz w:val="21"/>
          <w:szCs w:val="21"/>
          <w:lang w:val="es-ES"/>
        </w:rPr>
        <w:t xml:space="preserve">Además, el/la perito/a </w:t>
      </w:r>
      <w:r w:rsidR="008125D2" w:rsidRPr="00F101F3">
        <w:rPr>
          <w:sz w:val="21"/>
          <w:szCs w:val="21"/>
          <w:lang w:val="es-ES"/>
        </w:rPr>
        <w:t>analizará la man</w:t>
      </w:r>
      <w:r w:rsidR="00F31598">
        <w:rPr>
          <w:sz w:val="21"/>
          <w:szCs w:val="21"/>
          <w:lang w:val="es-ES"/>
        </w:rPr>
        <w:t xml:space="preserve">era en que la vigencia de </w:t>
      </w:r>
      <w:r w:rsidR="002C3745">
        <w:rPr>
          <w:sz w:val="21"/>
          <w:szCs w:val="21"/>
          <w:lang w:val="es-ES"/>
        </w:rPr>
        <w:t>prácticas</w:t>
      </w:r>
      <w:r w:rsidR="008125D2" w:rsidRPr="00F101F3">
        <w:rPr>
          <w:sz w:val="21"/>
          <w:szCs w:val="21"/>
          <w:lang w:val="es-ES"/>
        </w:rPr>
        <w:t xml:space="preserve"> discriminatorias y estereotipadas pueden incidir en el </w:t>
      </w:r>
      <w:r w:rsidR="003E0B6B" w:rsidRPr="00F101F3">
        <w:rPr>
          <w:sz w:val="21"/>
          <w:szCs w:val="21"/>
          <w:lang w:val="es-ES"/>
        </w:rPr>
        <w:t>incumplimiento del deber de investigar con la debida diligencia.</w:t>
      </w:r>
      <w:r w:rsidR="001961EB">
        <w:rPr>
          <w:sz w:val="21"/>
          <w:szCs w:val="21"/>
          <w:lang w:val="es-ES"/>
        </w:rPr>
        <w:t xml:space="preserve"> El/la perito</w:t>
      </w:r>
      <w:r w:rsidR="00A65E08">
        <w:rPr>
          <w:sz w:val="21"/>
          <w:szCs w:val="21"/>
          <w:lang w:val="es-ES"/>
        </w:rPr>
        <w:t>/</w:t>
      </w:r>
      <w:r w:rsidR="00582317">
        <w:rPr>
          <w:sz w:val="21"/>
          <w:szCs w:val="21"/>
          <w:lang w:val="es-ES"/>
        </w:rPr>
        <w:t xml:space="preserve">a analizará los procesos penales, civiles y administrativos iniciados en el caso a la luz de los estándares desarrollados en el peritaje. </w:t>
      </w:r>
    </w:p>
    <w:p w:rsidR="002D20E1" w:rsidRPr="00F101F3" w:rsidRDefault="002D20E1" w:rsidP="00311BD2">
      <w:pPr>
        <w:pStyle w:val="Textosinformato"/>
        <w:tabs>
          <w:tab w:val="left" w:pos="8910"/>
        </w:tabs>
        <w:ind w:left="720" w:right="630"/>
        <w:jc w:val="both"/>
        <w:rPr>
          <w:sz w:val="21"/>
          <w:lang w:val="es-ES"/>
        </w:rPr>
      </w:pPr>
    </w:p>
    <w:p w:rsidR="002D20E1" w:rsidRPr="00F101F3" w:rsidRDefault="002D20E1" w:rsidP="00311BD2">
      <w:pPr>
        <w:tabs>
          <w:tab w:val="left" w:pos="0"/>
        </w:tabs>
        <w:spacing w:after="0" w:line="240" w:lineRule="auto"/>
        <w:ind w:firstLine="720"/>
        <w:jc w:val="both"/>
        <w:rPr>
          <w:sz w:val="21"/>
          <w:szCs w:val="21"/>
          <w:lang w:val="es-CO"/>
        </w:rPr>
      </w:pPr>
      <w:r w:rsidRPr="00F101F3">
        <w:rPr>
          <w:rFonts w:cs="Courier New"/>
          <w:sz w:val="21"/>
          <w:szCs w:val="21"/>
          <w:lang w:val="es-ES_tradnl"/>
        </w:rPr>
        <w:t xml:space="preserve">Los CVs </w:t>
      </w:r>
      <w:r w:rsidRPr="00F101F3">
        <w:rPr>
          <w:sz w:val="21"/>
          <w:szCs w:val="21"/>
          <w:lang w:val="es-AR"/>
        </w:rPr>
        <w:t xml:space="preserve">de los/as peritos/as </w:t>
      </w:r>
      <w:r w:rsidRPr="00F101F3">
        <w:rPr>
          <w:sz w:val="21"/>
          <w:szCs w:val="21"/>
          <w:lang w:val="es-CO"/>
        </w:rPr>
        <w:t>serán incluido en los anexos al</w:t>
      </w:r>
      <w:r w:rsidR="00405CA7">
        <w:rPr>
          <w:sz w:val="21"/>
          <w:szCs w:val="21"/>
          <w:lang w:val="es-CO"/>
        </w:rPr>
        <w:t xml:space="preserve"> I</w:t>
      </w:r>
      <w:r w:rsidRPr="00F101F3">
        <w:rPr>
          <w:sz w:val="21"/>
          <w:szCs w:val="21"/>
          <w:lang w:val="es-CO"/>
        </w:rPr>
        <w:t xml:space="preserve">nforme de </w:t>
      </w:r>
      <w:r w:rsidR="00405CA7">
        <w:rPr>
          <w:sz w:val="21"/>
          <w:szCs w:val="21"/>
          <w:lang w:val="es-CO"/>
        </w:rPr>
        <w:t>F</w:t>
      </w:r>
      <w:r w:rsidRPr="00F101F3">
        <w:rPr>
          <w:sz w:val="21"/>
          <w:szCs w:val="21"/>
          <w:lang w:val="es-CO"/>
        </w:rPr>
        <w:t xml:space="preserve">ondo </w:t>
      </w:r>
      <w:r w:rsidR="00405CA7">
        <w:rPr>
          <w:sz w:val="21"/>
          <w:szCs w:val="21"/>
          <w:lang w:val="es-CO"/>
        </w:rPr>
        <w:t>N° 110</w:t>
      </w:r>
      <w:r w:rsidRPr="00F101F3">
        <w:rPr>
          <w:sz w:val="21"/>
          <w:szCs w:val="21"/>
          <w:lang w:val="es-CO"/>
        </w:rPr>
        <w:t>/1</w:t>
      </w:r>
      <w:r w:rsidR="00405CA7">
        <w:rPr>
          <w:sz w:val="21"/>
          <w:szCs w:val="21"/>
          <w:lang w:val="es-CO"/>
        </w:rPr>
        <w:t>8</w:t>
      </w:r>
      <w:r w:rsidRPr="00F101F3">
        <w:rPr>
          <w:sz w:val="21"/>
          <w:szCs w:val="21"/>
          <w:lang w:val="es-CO"/>
        </w:rPr>
        <w:t xml:space="preserve">. </w:t>
      </w:r>
    </w:p>
    <w:p w:rsidR="002D20E1" w:rsidRPr="00F101F3" w:rsidRDefault="002D20E1" w:rsidP="00311BD2">
      <w:pPr>
        <w:tabs>
          <w:tab w:val="left" w:pos="0"/>
        </w:tabs>
        <w:spacing w:after="0" w:line="240" w:lineRule="auto"/>
        <w:jc w:val="both"/>
        <w:rPr>
          <w:sz w:val="21"/>
          <w:szCs w:val="21"/>
          <w:lang w:val="es-CO"/>
        </w:rPr>
      </w:pPr>
    </w:p>
    <w:p w:rsidR="002D20E1" w:rsidRPr="00F101F3" w:rsidRDefault="002D20E1" w:rsidP="00311BD2">
      <w:pPr>
        <w:suppressAutoHyphens/>
        <w:spacing w:after="0" w:line="240" w:lineRule="auto"/>
        <w:ind w:firstLine="720"/>
        <w:jc w:val="both"/>
        <w:rPr>
          <w:sz w:val="21"/>
          <w:szCs w:val="21"/>
          <w:lang w:val="es-ES_tradnl"/>
        </w:rPr>
      </w:pPr>
      <w:r w:rsidRPr="00F101F3">
        <w:rPr>
          <w:sz w:val="21"/>
          <w:szCs w:val="21"/>
          <w:lang w:val="es-ES_tradnl"/>
        </w:rPr>
        <w:t xml:space="preserve">La Comisión pone en conocimiento de la Corte la siguiente información sobre quienes actuaron </w:t>
      </w:r>
      <w:r w:rsidRPr="00F101F3">
        <w:rPr>
          <w:iCs/>
          <w:sz w:val="21"/>
          <w:szCs w:val="21"/>
          <w:lang w:val="es-ES_tradnl"/>
        </w:rPr>
        <w:t>como</w:t>
      </w:r>
      <w:r w:rsidRPr="00F101F3">
        <w:rPr>
          <w:sz w:val="21"/>
          <w:szCs w:val="21"/>
          <w:lang w:val="es-ES_tradnl"/>
        </w:rPr>
        <w:t xml:space="preserve"> peticionarios a lo largo del trámite del caso: </w:t>
      </w:r>
    </w:p>
    <w:p w:rsidR="002D20E1" w:rsidRPr="00F101F3" w:rsidRDefault="002D20E1" w:rsidP="00F101F3">
      <w:pPr>
        <w:suppressAutoHyphens/>
        <w:spacing w:after="0" w:line="240" w:lineRule="auto"/>
        <w:jc w:val="center"/>
        <w:rPr>
          <w:sz w:val="21"/>
          <w:szCs w:val="21"/>
          <w:lang w:val="es-ES_tradnl"/>
        </w:rPr>
      </w:pPr>
    </w:p>
    <w:p w:rsidR="009D3A5A" w:rsidRDefault="009D3A5A" w:rsidP="00F101F3">
      <w:pPr>
        <w:spacing w:after="0" w:line="240" w:lineRule="auto"/>
        <w:jc w:val="center"/>
        <w:rPr>
          <w:sz w:val="21"/>
          <w:szCs w:val="21"/>
          <w:lang w:val="es-PE"/>
        </w:rPr>
      </w:pPr>
      <w:r>
        <w:rPr>
          <w:sz w:val="21"/>
          <w:szCs w:val="21"/>
          <w:lang w:val="es-PE"/>
        </w:rPr>
        <w:t>Centro Ecuatoriano para la Promoción y Acción de la Mujer – CEPAM</w:t>
      </w:r>
    </w:p>
    <w:p w:rsidR="009D3A5A" w:rsidRDefault="0031431E" w:rsidP="00F101F3">
      <w:pPr>
        <w:spacing w:after="0" w:line="240" w:lineRule="auto"/>
        <w:jc w:val="center"/>
        <w:rPr>
          <w:sz w:val="21"/>
          <w:szCs w:val="21"/>
          <w:lang w:val="es-PE"/>
        </w:rPr>
      </w:pPr>
      <w:r w:rsidRPr="0031431E">
        <w:rPr>
          <w:sz w:val="21"/>
          <w:szCs w:val="21"/>
          <w:highlight w:val="black"/>
          <w:lang w:val="es-PE"/>
        </w:rPr>
        <w:t>xxxxxxxxxxxxxxxxxxxxxxxx</w:t>
      </w:r>
    </w:p>
    <w:p w:rsidR="009D3A5A" w:rsidRDefault="0031431E" w:rsidP="00F101F3">
      <w:pPr>
        <w:spacing w:after="0" w:line="240" w:lineRule="auto"/>
        <w:jc w:val="center"/>
        <w:rPr>
          <w:sz w:val="21"/>
          <w:szCs w:val="21"/>
          <w:lang w:val="es-PE"/>
        </w:rPr>
      </w:pPr>
      <w:r w:rsidRPr="0031431E">
        <w:rPr>
          <w:sz w:val="21"/>
          <w:szCs w:val="21"/>
          <w:highlight w:val="black"/>
          <w:lang w:val="es-PE"/>
        </w:rPr>
        <w:t>xxxxxxxxxxxxxxxxxxxxxxxxxxxx</w:t>
      </w:r>
    </w:p>
    <w:p w:rsidR="00192C1D" w:rsidRPr="00F101F3" w:rsidRDefault="00192C1D" w:rsidP="00F101F3">
      <w:pPr>
        <w:spacing w:after="0" w:line="240" w:lineRule="auto"/>
        <w:jc w:val="center"/>
        <w:rPr>
          <w:sz w:val="21"/>
          <w:szCs w:val="21"/>
          <w:lang w:val="es-PE"/>
        </w:rPr>
      </w:pPr>
    </w:p>
    <w:p w:rsidR="009D3A5A" w:rsidRDefault="009D3A5A" w:rsidP="00F101F3">
      <w:pPr>
        <w:spacing w:after="0" w:line="240" w:lineRule="auto"/>
        <w:jc w:val="center"/>
        <w:rPr>
          <w:sz w:val="21"/>
          <w:szCs w:val="21"/>
          <w:lang w:val="es-PE"/>
        </w:rPr>
      </w:pPr>
      <w:r>
        <w:rPr>
          <w:sz w:val="21"/>
          <w:szCs w:val="21"/>
          <w:lang w:val="es-PE"/>
        </w:rPr>
        <w:t>Centro de Derechos Reproductivos</w:t>
      </w:r>
    </w:p>
    <w:p w:rsidR="00192C1D" w:rsidRPr="00F101F3" w:rsidRDefault="0031431E" w:rsidP="009D3A5A">
      <w:pPr>
        <w:spacing w:after="0" w:line="240" w:lineRule="auto"/>
        <w:jc w:val="center"/>
        <w:rPr>
          <w:sz w:val="21"/>
          <w:szCs w:val="21"/>
          <w:lang w:val="es-PE"/>
        </w:rPr>
      </w:pPr>
      <w:r w:rsidRPr="0031431E">
        <w:rPr>
          <w:sz w:val="21"/>
          <w:szCs w:val="21"/>
          <w:highlight w:val="black"/>
          <w:lang w:val="es-PE"/>
        </w:rPr>
        <w:t>xxxxxxxxxxxxxxxxxxxxxxxxxxxxxxxxx</w:t>
      </w:r>
    </w:p>
    <w:p w:rsidR="002D20E1" w:rsidRPr="00F101F3" w:rsidRDefault="002D20E1" w:rsidP="00F101F3">
      <w:pPr>
        <w:autoSpaceDE w:val="0"/>
        <w:autoSpaceDN w:val="0"/>
        <w:adjustRightInd w:val="0"/>
        <w:spacing w:after="0" w:line="240" w:lineRule="auto"/>
        <w:jc w:val="center"/>
        <w:rPr>
          <w:rFonts w:cs="Arial"/>
          <w:sz w:val="21"/>
          <w:szCs w:val="21"/>
          <w:lang w:val="es-ES_tradnl"/>
        </w:rPr>
      </w:pPr>
    </w:p>
    <w:p w:rsidR="002D20E1" w:rsidRPr="00F101F3" w:rsidRDefault="002D20E1" w:rsidP="00311BD2">
      <w:pPr>
        <w:tabs>
          <w:tab w:val="left" w:pos="0"/>
        </w:tabs>
        <w:spacing w:after="0" w:line="240" w:lineRule="auto"/>
        <w:ind w:firstLine="720"/>
        <w:jc w:val="both"/>
        <w:rPr>
          <w:rFonts w:cs="Arial"/>
          <w:sz w:val="21"/>
          <w:szCs w:val="21"/>
          <w:lang w:val="es-CO"/>
        </w:rPr>
      </w:pPr>
      <w:r w:rsidRPr="00F101F3">
        <w:rPr>
          <w:rFonts w:cs="Arial"/>
          <w:sz w:val="21"/>
          <w:szCs w:val="21"/>
          <w:lang w:val="es-CO"/>
        </w:rPr>
        <w:t>Aprovecho la oportunidad para saludar a usted muy atentamente,</w:t>
      </w:r>
    </w:p>
    <w:p w:rsidR="002D20E1" w:rsidRPr="00F101F3" w:rsidRDefault="002D20E1" w:rsidP="00311BD2">
      <w:pPr>
        <w:suppressAutoHyphens/>
        <w:spacing w:after="0" w:line="240" w:lineRule="auto"/>
        <w:ind w:left="5040"/>
        <w:rPr>
          <w:rFonts w:cs="Arial"/>
          <w:snapToGrid w:val="0"/>
          <w:sz w:val="21"/>
          <w:szCs w:val="21"/>
          <w:lang w:val="es-CO"/>
        </w:rPr>
      </w:pPr>
    </w:p>
    <w:p w:rsidR="005A4D71" w:rsidRPr="00790494" w:rsidRDefault="0031431E" w:rsidP="0031431E">
      <w:pPr>
        <w:suppressAutoHyphens/>
        <w:spacing w:after="0" w:line="240" w:lineRule="auto"/>
        <w:ind w:left="3600" w:firstLine="720"/>
        <w:rPr>
          <w:rFonts w:cs="Arial"/>
          <w:snapToGrid w:val="0"/>
          <w:color w:val="808080"/>
          <w:sz w:val="18"/>
          <w:szCs w:val="21"/>
          <w:lang w:val="es-CO"/>
        </w:rPr>
      </w:pPr>
      <w:r w:rsidRPr="00790494">
        <w:rPr>
          <w:rFonts w:cs="Arial"/>
          <w:snapToGrid w:val="0"/>
          <w:color w:val="808080"/>
          <w:sz w:val="18"/>
          <w:szCs w:val="21"/>
          <w:lang w:val="es-CO"/>
        </w:rPr>
        <w:t xml:space="preserve">         Firmado en el original</w:t>
      </w:r>
    </w:p>
    <w:p w:rsidR="00192C1D" w:rsidRPr="00F101F3" w:rsidRDefault="00192C1D" w:rsidP="00F101F3">
      <w:pPr>
        <w:tabs>
          <w:tab w:val="left" w:pos="810"/>
        </w:tabs>
        <w:suppressAutoHyphens/>
        <w:spacing w:after="0" w:line="240" w:lineRule="auto"/>
        <w:rPr>
          <w:rFonts w:cs="Arial"/>
          <w:sz w:val="21"/>
          <w:szCs w:val="21"/>
          <w:lang w:val="es-CO"/>
        </w:rPr>
      </w:pPr>
    </w:p>
    <w:p w:rsidR="00192C1D" w:rsidRPr="00F101F3" w:rsidRDefault="00192C1D" w:rsidP="00F101F3">
      <w:pPr>
        <w:tabs>
          <w:tab w:val="left" w:pos="810"/>
        </w:tabs>
        <w:suppressAutoHyphens/>
        <w:spacing w:after="0" w:line="240" w:lineRule="auto"/>
        <w:ind w:left="3600" w:firstLine="720"/>
        <w:rPr>
          <w:rFonts w:cs="Arial"/>
          <w:i/>
          <w:sz w:val="21"/>
          <w:szCs w:val="21"/>
          <w:lang w:val="es-CO"/>
        </w:rPr>
      </w:pPr>
      <w:r w:rsidRPr="00F101F3">
        <w:rPr>
          <w:rFonts w:cs="Arial"/>
          <w:sz w:val="21"/>
          <w:szCs w:val="21"/>
          <w:lang w:val="es-CO"/>
        </w:rPr>
        <w:tab/>
        <w:t>Paulo Abr</w:t>
      </w:r>
      <w:r w:rsidRPr="0031431E">
        <w:rPr>
          <w:rFonts w:cs="Arial"/>
          <w:sz w:val="21"/>
          <w:szCs w:val="21"/>
          <w:lang w:val="es-UY"/>
        </w:rPr>
        <w:t xml:space="preserve">ão </w:t>
      </w:r>
    </w:p>
    <w:p w:rsidR="00AF740E" w:rsidRPr="00F101F3" w:rsidRDefault="00192C1D" w:rsidP="00F101F3">
      <w:pPr>
        <w:spacing w:after="0" w:line="240" w:lineRule="auto"/>
        <w:rPr>
          <w:rFonts w:cs="Arial"/>
          <w:sz w:val="21"/>
          <w:szCs w:val="21"/>
          <w:lang w:val="es-CO"/>
        </w:rPr>
      </w:pPr>
      <w:r w:rsidRPr="00F101F3">
        <w:rPr>
          <w:rFonts w:cs="Arial"/>
          <w:sz w:val="21"/>
          <w:szCs w:val="21"/>
          <w:lang w:val="es-CO"/>
        </w:rPr>
        <w:t xml:space="preserve"> </w:t>
      </w:r>
      <w:r w:rsidRPr="00F101F3">
        <w:rPr>
          <w:rFonts w:cs="Arial"/>
          <w:sz w:val="21"/>
          <w:szCs w:val="21"/>
          <w:lang w:val="es-CO"/>
        </w:rPr>
        <w:tab/>
      </w:r>
      <w:r w:rsidRPr="00F101F3">
        <w:rPr>
          <w:rFonts w:cs="Arial"/>
          <w:sz w:val="21"/>
          <w:szCs w:val="21"/>
          <w:lang w:val="es-CO"/>
        </w:rPr>
        <w:tab/>
      </w:r>
      <w:r w:rsidRPr="00F101F3">
        <w:rPr>
          <w:rFonts w:cs="Arial"/>
          <w:sz w:val="21"/>
          <w:szCs w:val="21"/>
          <w:lang w:val="es-CO"/>
        </w:rPr>
        <w:tab/>
      </w:r>
      <w:r w:rsidRPr="00F101F3">
        <w:rPr>
          <w:rFonts w:cs="Arial"/>
          <w:sz w:val="21"/>
          <w:szCs w:val="21"/>
          <w:lang w:val="es-CO"/>
        </w:rPr>
        <w:tab/>
      </w:r>
      <w:r w:rsidRPr="00F101F3">
        <w:rPr>
          <w:rFonts w:cs="Arial"/>
          <w:sz w:val="21"/>
          <w:szCs w:val="21"/>
          <w:lang w:val="es-CO"/>
        </w:rPr>
        <w:tab/>
        <w:t xml:space="preserve">        </w:t>
      </w:r>
      <w:r w:rsidRPr="00F101F3">
        <w:rPr>
          <w:rFonts w:cs="Arial"/>
          <w:sz w:val="21"/>
          <w:szCs w:val="21"/>
          <w:lang w:val="es-CO"/>
        </w:rPr>
        <w:tab/>
        <w:t xml:space="preserve">        Secretario Ejecutivo</w:t>
      </w:r>
    </w:p>
    <w:p w:rsidR="00AF740E" w:rsidRPr="00F101F3" w:rsidRDefault="00AF740E" w:rsidP="00F101F3">
      <w:pPr>
        <w:spacing w:after="0" w:line="240" w:lineRule="auto"/>
        <w:rPr>
          <w:rFonts w:cs="Arial"/>
          <w:sz w:val="21"/>
          <w:szCs w:val="21"/>
          <w:lang w:val="es-CO"/>
        </w:rPr>
      </w:pPr>
    </w:p>
    <w:p w:rsidR="00AF740E" w:rsidRPr="00F101F3" w:rsidRDefault="00AF740E" w:rsidP="00F101F3">
      <w:pPr>
        <w:spacing w:after="0" w:line="240" w:lineRule="auto"/>
        <w:rPr>
          <w:rFonts w:cs="Arial"/>
          <w:sz w:val="21"/>
          <w:szCs w:val="21"/>
          <w:lang w:val="es-CO"/>
        </w:rPr>
      </w:pPr>
    </w:p>
    <w:p w:rsidR="008E774F" w:rsidRPr="0031431E" w:rsidRDefault="00AF740E" w:rsidP="00F101F3">
      <w:pPr>
        <w:spacing w:after="0" w:line="240" w:lineRule="auto"/>
        <w:rPr>
          <w:sz w:val="21"/>
          <w:szCs w:val="21"/>
          <w:lang w:val="es-UY"/>
        </w:rPr>
      </w:pPr>
      <w:r w:rsidRPr="00F101F3">
        <w:rPr>
          <w:rFonts w:cs="Arial"/>
          <w:snapToGrid w:val="0"/>
          <w:sz w:val="21"/>
          <w:szCs w:val="21"/>
          <w:lang w:val="es-CO"/>
        </w:rPr>
        <w:t>Anexo</w:t>
      </w:r>
    </w:p>
    <w:sectPr w:rsidR="008E774F" w:rsidRPr="0031431E" w:rsidSect="00135C54">
      <w:headerReference w:type="default" r:id="rId8"/>
      <w:footerReference w:type="default" r:id="rId9"/>
      <w:headerReference w:type="first" r:id="rId10"/>
      <w:footerReference w:type="first" r:id="rId11"/>
      <w:pgSz w:w="12240" w:h="15840"/>
      <w:pgMar w:top="1440" w:right="1440" w:bottom="810" w:left="126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467E" w:rsidRDefault="0004467E">
      <w:pPr>
        <w:spacing w:after="0" w:line="240" w:lineRule="auto"/>
      </w:pPr>
      <w:r>
        <w:separator/>
      </w:r>
    </w:p>
  </w:endnote>
  <w:endnote w:type="continuationSeparator" w:id="0">
    <w:p w:rsidR="0004467E" w:rsidRDefault="000446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80"/>
    <w:family w:val="roman"/>
    <w:pitch w:val="fixed"/>
    <w:sig w:usb0="00000001" w:usb1="08070000" w:usb2="00000010" w:usb3="00000000" w:csb0="00020000" w:csb1="00000000"/>
  </w:font>
  <w:font w:name="Batang">
    <w:altName w:val="바탕"/>
    <w:panose1 w:val="02030600000101010101"/>
    <w:charset w:val="81"/>
    <w:family w:val="auto"/>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5C54" w:rsidRPr="00A72869" w:rsidRDefault="00135C54">
    <w:pPr>
      <w:pStyle w:val="Piedepgina"/>
      <w:jc w:val="center"/>
      <w:rPr>
        <w:color w:val="7F7F7F"/>
        <w:sz w:val="16"/>
      </w:rPr>
    </w:pPr>
    <w:r w:rsidRPr="00A72869">
      <w:rPr>
        <w:color w:val="7F7F7F"/>
        <w:sz w:val="16"/>
      </w:rPr>
      <w:fldChar w:fldCharType="begin"/>
    </w:r>
    <w:r w:rsidRPr="00A72869">
      <w:rPr>
        <w:color w:val="7F7F7F"/>
        <w:sz w:val="16"/>
      </w:rPr>
      <w:instrText xml:space="preserve"> PAGE   \* MERGEFORMAT </w:instrText>
    </w:r>
    <w:r w:rsidRPr="00A72869">
      <w:rPr>
        <w:color w:val="7F7F7F"/>
        <w:sz w:val="16"/>
      </w:rPr>
      <w:fldChar w:fldCharType="separate"/>
    </w:r>
    <w:r w:rsidR="003F650B">
      <w:rPr>
        <w:noProof/>
        <w:color w:val="7F7F7F"/>
        <w:sz w:val="16"/>
      </w:rPr>
      <w:t>2</w:t>
    </w:r>
    <w:r w:rsidRPr="00A72869">
      <w:rPr>
        <w:noProof/>
        <w:color w:val="7F7F7F"/>
        <w:sz w:val="16"/>
      </w:rPr>
      <w:fldChar w:fldCharType="end"/>
    </w:r>
  </w:p>
  <w:p w:rsidR="00135C54" w:rsidRDefault="00135C54">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5C54" w:rsidRDefault="00135C54" w:rsidP="00135C54">
    <w:pPr>
      <w:pStyle w:val="Piedepgina"/>
      <w:spacing w:line="360" w:lineRule="auto"/>
    </w:pPr>
    <w:r>
      <w:pict>
        <v:rect id="_x0000_i1026" style="width:0;height:1.5pt" o:hralign="center" o:hrstd="t" o:hr="t" fillcolor="#a0a0a0" stroked="f"/>
      </w:pict>
    </w:r>
  </w:p>
  <w:p w:rsidR="00135C54" w:rsidRDefault="003F650B" w:rsidP="00135C54">
    <w:pPr>
      <w:pStyle w:val="Piedepgina"/>
      <w:jc w:val="center"/>
    </w:pPr>
    <w:r w:rsidRPr="008A5CB5">
      <w:rPr>
        <w:noProof/>
      </w:rPr>
      <w:drawing>
        <wp:inline distT="0" distB="0" distL="0" distR="0">
          <wp:extent cx="5113020" cy="321945"/>
          <wp:effectExtent l="0" t="0" r="0" b="0"/>
          <wp:docPr id="7" name="Picture 35" descr="C:\Users\mfontana\Documents\Eva Fontana\GRAFICA CIDH\cartas\logos\foote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mfontana\Documents\Eva Fontana\GRAFICA CIDH\cartas\logos\footer-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13020" cy="32194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467E" w:rsidRDefault="0004467E">
      <w:pPr>
        <w:spacing w:after="0" w:line="240" w:lineRule="auto"/>
      </w:pPr>
      <w:r>
        <w:separator/>
      </w:r>
    </w:p>
  </w:footnote>
  <w:footnote w:type="continuationSeparator" w:id="0">
    <w:p w:rsidR="0004467E" w:rsidRDefault="000446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5C54" w:rsidRPr="0058688A" w:rsidRDefault="003F650B" w:rsidP="00135C54">
    <w:pPr>
      <w:pStyle w:val="Encabezado"/>
      <w:jc w:val="center"/>
      <w:rPr>
        <w:lang w:val="es-ES_tradnl"/>
      </w:rPr>
    </w:pPr>
    <w:r>
      <w:rPr>
        <w:noProof/>
      </w:rPr>
      <w:drawing>
        <wp:inline distT="0" distB="0" distL="0" distR="0">
          <wp:extent cx="2292350" cy="116205"/>
          <wp:effectExtent l="0" t="0" r="0" b="0"/>
          <wp:docPr id="4" name="Imagen 4" descr="cidh-p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h-peq"/>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2350" cy="116205"/>
                  </a:xfrm>
                  <a:prstGeom prst="rect">
                    <a:avLst/>
                  </a:prstGeom>
                  <a:noFill/>
                  <a:ln>
                    <a:noFill/>
                  </a:ln>
                </pic:spPr>
              </pic:pic>
            </a:graphicData>
          </a:graphic>
        </wp:inline>
      </w:drawing>
    </w:r>
  </w:p>
  <w:p w:rsidR="00135C54" w:rsidRDefault="00135C54">
    <w:pPr>
      <w:pStyle w:val="Encabezado"/>
    </w:pPr>
    <w:r>
      <w:pict>
        <v:rect id="_x0000_i1027" style="width:0;height:1.5pt" o:hralign="center" o:hrstd="t" o:hr="t" fillcolor="#a0a0a0" stroked="f"/>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5C54" w:rsidRDefault="003F650B" w:rsidP="00135C54">
    <w:pPr>
      <w:pStyle w:val="Encabezado"/>
    </w:pPr>
    <w:r w:rsidRPr="008A5CB5">
      <w:rPr>
        <w:noProof/>
      </w:rPr>
      <w:drawing>
        <wp:inline distT="0" distB="0" distL="0" distR="0">
          <wp:extent cx="2357120" cy="450850"/>
          <wp:effectExtent l="0" t="0" r="0" b="0"/>
          <wp:docPr id="5" name="Picture 1" descr="C:\Users\mfontana\Documents\Eva Fontana\GRAFICA CIDH\cartas\logos\cidh-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fontana\Documents\Eva Fontana\GRAFICA CIDH\cartas\logos\cidh-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7120" cy="450850"/>
                  </a:xfrm>
                  <a:prstGeom prst="rect">
                    <a:avLst/>
                  </a:prstGeom>
                  <a:noFill/>
                  <a:ln>
                    <a:noFill/>
                  </a:ln>
                </pic:spPr>
              </pic:pic>
            </a:graphicData>
          </a:graphic>
        </wp:inline>
      </w:drawing>
    </w:r>
    <w:r w:rsidR="00135C54">
      <w:tab/>
    </w:r>
    <w:r w:rsidR="00135C54">
      <w:tab/>
    </w:r>
    <w:r w:rsidRPr="008A5CB5">
      <w:rPr>
        <w:noProof/>
      </w:rPr>
      <w:drawing>
        <wp:inline distT="0" distB="0" distL="0" distR="0">
          <wp:extent cx="1648460" cy="476250"/>
          <wp:effectExtent l="0" t="0" r="0" b="0"/>
          <wp:docPr id="6" name="Picture 2" descr="C:\Users\mfontana\Documents\Eva Fontana\GRAFICA CIDH\cartas\logos\oea-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fontana\Documents\Eva Fontana\GRAFICA CIDH\cartas\logos\oea-es.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48460" cy="476250"/>
                  </a:xfrm>
                  <a:prstGeom prst="rect">
                    <a:avLst/>
                  </a:prstGeom>
                  <a:noFill/>
                  <a:ln>
                    <a:noFill/>
                  </a:ln>
                </pic:spPr>
              </pic:pic>
            </a:graphicData>
          </a:graphic>
        </wp:inline>
      </w:drawing>
    </w:r>
  </w:p>
  <w:p w:rsidR="00135C54" w:rsidRDefault="00135C54" w:rsidP="00135C54">
    <w:pPr>
      <w:pStyle w:val="Encabezado"/>
    </w:pPr>
  </w:p>
  <w:p w:rsidR="00135C54" w:rsidRDefault="00135C54" w:rsidP="00135C54">
    <w:pPr>
      <w:pStyle w:val="Encabezado"/>
    </w:pPr>
    <w:r>
      <w:pict>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BE5E6A"/>
    <w:multiLevelType w:val="hybridMultilevel"/>
    <w:tmpl w:val="99A4964C"/>
    <w:lvl w:ilvl="0" w:tplc="B95E0210">
      <w:start w:val="1"/>
      <w:numFmt w:val="decimal"/>
      <w:lvlText w:val="%1."/>
      <w:lvlJc w:val="left"/>
      <w:pPr>
        <w:tabs>
          <w:tab w:val="num" w:pos="72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77DB617F"/>
    <w:multiLevelType w:val="hybridMultilevel"/>
    <w:tmpl w:val="BD76D710"/>
    <w:lvl w:ilvl="0" w:tplc="540A000F">
      <w:start w:val="1"/>
      <w:numFmt w:val="decimal"/>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2" w15:restartNumberingAfterBreak="0">
    <w:nsid w:val="7C86020B"/>
    <w:multiLevelType w:val="hybridMultilevel"/>
    <w:tmpl w:val="02ACE750"/>
    <w:lvl w:ilvl="0" w:tplc="828CAA02">
      <w:start w:val="1"/>
      <w:numFmt w:val="upperRoman"/>
      <w:pStyle w:val="Ttulo1"/>
      <w:lvlText w:val="%1."/>
      <w:lvlJc w:val="left"/>
      <w:pPr>
        <w:tabs>
          <w:tab w:val="num" w:pos="1440"/>
        </w:tabs>
        <w:ind w:left="1440" w:hanging="720"/>
      </w:pPr>
      <w:rPr>
        <w:rFonts w:hint="default"/>
      </w:rPr>
    </w:lvl>
    <w:lvl w:ilvl="1" w:tplc="8FDA2CF2">
      <w:start w:val="25"/>
      <w:numFmt w:val="decimal"/>
      <w:lvlText w:val="%2."/>
      <w:lvlJc w:val="left"/>
      <w:pPr>
        <w:tabs>
          <w:tab w:val="num" w:pos="2130"/>
        </w:tabs>
        <w:ind w:left="2130" w:hanging="690"/>
      </w:pPr>
      <w:rPr>
        <w:rFonts w:hint="default"/>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0E1"/>
    <w:rsid w:val="00005BA6"/>
    <w:rsid w:val="00006CFA"/>
    <w:rsid w:val="000205B0"/>
    <w:rsid w:val="0004467E"/>
    <w:rsid w:val="00077148"/>
    <w:rsid w:val="00081E0B"/>
    <w:rsid w:val="0009739D"/>
    <w:rsid w:val="000A0AE8"/>
    <w:rsid w:val="000D437A"/>
    <w:rsid w:val="000D44E6"/>
    <w:rsid w:val="00130CCC"/>
    <w:rsid w:val="0013250A"/>
    <w:rsid w:val="0013498E"/>
    <w:rsid w:val="00135C54"/>
    <w:rsid w:val="001362B0"/>
    <w:rsid w:val="00160349"/>
    <w:rsid w:val="001734AA"/>
    <w:rsid w:val="001851E5"/>
    <w:rsid w:val="00192C1D"/>
    <w:rsid w:val="001961EB"/>
    <w:rsid w:val="001A384B"/>
    <w:rsid w:val="001C3DC4"/>
    <w:rsid w:val="001C4EE0"/>
    <w:rsid w:val="001D7F66"/>
    <w:rsid w:val="00215FDA"/>
    <w:rsid w:val="00230AB1"/>
    <w:rsid w:val="00234720"/>
    <w:rsid w:val="00244B23"/>
    <w:rsid w:val="00256167"/>
    <w:rsid w:val="0028580F"/>
    <w:rsid w:val="00296138"/>
    <w:rsid w:val="002B4DDE"/>
    <w:rsid w:val="002C3745"/>
    <w:rsid w:val="002D20E1"/>
    <w:rsid w:val="002D710E"/>
    <w:rsid w:val="002E15FF"/>
    <w:rsid w:val="00311BD2"/>
    <w:rsid w:val="0031431E"/>
    <w:rsid w:val="00371F5E"/>
    <w:rsid w:val="00384D08"/>
    <w:rsid w:val="00396854"/>
    <w:rsid w:val="003C113D"/>
    <w:rsid w:val="003E0B6B"/>
    <w:rsid w:val="003E29A9"/>
    <w:rsid w:val="003F4BF3"/>
    <w:rsid w:val="003F650B"/>
    <w:rsid w:val="00405CA7"/>
    <w:rsid w:val="00422478"/>
    <w:rsid w:val="00433C6B"/>
    <w:rsid w:val="0044220A"/>
    <w:rsid w:val="00470AC3"/>
    <w:rsid w:val="00485155"/>
    <w:rsid w:val="004A18C7"/>
    <w:rsid w:val="004B5185"/>
    <w:rsid w:val="004D5A14"/>
    <w:rsid w:val="00501C21"/>
    <w:rsid w:val="00503C37"/>
    <w:rsid w:val="00507BCB"/>
    <w:rsid w:val="00562D0A"/>
    <w:rsid w:val="0056397C"/>
    <w:rsid w:val="00563B8A"/>
    <w:rsid w:val="0056669B"/>
    <w:rsid w:val="00582317"/>
    <w:rsid w:val="005A24F2"/>
    <w:rsid w:val="005A2F4B"/>
    <w:rsid w:val="005A4D71"/>
    <w:rsid w:val="005C46A0"/>
    <w:rsid w:val="005D4D7C"/>
    <w:rsid w:val="005F6A8A"/>
    <w:rsid w:val="006269FE"/>
    <w:rsid w:val="006323FF"/>
    <w:rsid w:val="00661CFB"/>
    <w:rsid w:val="006C71DF"/>
    <w:rsid w:val="00721384"/>
    <w:rsid w:val="00790494"/>
    <w:rsid w:val="00795249"/>
    <w:rsid w:val="007A3BAE"/>
    <w:rsid w:val="007A6EA1"/>
    <w:rsid w:val="007A6F70"/>
    <w:rsid w:val="007B354D"/>
    <w:rsid w:val="007B4498"/>
    <w:rsid w:val="007E07C7"/>
    <w:rsid w:val="00800763"/>
    <w:rsid w:val="0080724B"/>
    <w:rsid w:val="0081050D"/>
    <w:rsid w:val="008125D2"/>
    <w:rsid w:val="00815992"/>
    <w:rsid w:val="008222CA"/>
    <w:rsid w:val="00826988"/>
    <w:rsid w:val="00833E74"/>
    <w:rsid w:val="00867521"/>
    <w:rsid w:val="0087050F"/>
    <w:rsid w:val="0087051E"/>
    <w:rsid w:val="0088791B"/>
    <w:rsid w:val="008954AE"/>
    <w:rsid w:val="008A227E"/>
    <w:rsid w:val="008B30C5"/>
    <w:rsid w:val="008E774F"/>
    <w:rsid w:val="00903A5A"/>
    <w:rsid w:val="009334C8"/>
    <w:rsid w:val="009338DD"/>
    <w:rsid w:val="00936DF6"/>
    <w:rsid w:val="0096475B"/>
    <w:rsid w:val="009654C9"/>
    <w:rsid w:val="00976F21"/>
    <w:rsid w:val="009A4B48"/>
    <w:rsid w:val="009A731C"/>
    <w:rsid w:val="009D3A5A"/>
    <w:rsid w:val="00A120E4"/>
    <w:rsid w:val="00A314B6"/>
    <w:rsid w:val="00A50069"/>
    <w:rsid w:val="00A50BEB"/>
    <w:rsid w:val="00A65E08"/>
    <w:rsid w:val="00A70B90"/>
    <w:rsid w:val="00A938D3"/>
    <w:rsid w:val="00AB47E2"/>
    <w:rsid w:val="00AD248D"/>
    <w:rsid w:val="00AF1C2B"/>
    <w:rsid w:val="00AF324E"/>
    <w:rsid w:val="00AF4BC0"/>
    <w:rsid w:val="00AF740E"/>
    <w:rsid w:val="00B01D9A"/>
    <w:rsid w:val="00B1360D"/>
    <w:rsid w:val="00B142F9"/>
    <w:rsid w:val="00B2613B"/>
    <w:rsid w:val="00BA36A1"/>
    <w:rsid w:val="00BD4F56"/>
    <w:rsid w:val="00C25790"/>
    <w:rsid w:val="00C34878"/>
    <w:rsid w:val="00C41A03"/>
    <w:rsid w:val="00CD2828"/>
    <w:rsid w:val="00CD3D14"/>
    <w:rsid w:val="00CF78E2"/>
    <w:rsid w:val="00D0479A"/>
    <w:rsid w:val="00D1460E"/>
    <w:rsid w:val="00D21E2F"/>
    <w:rsid w:val="00D56A66"/>
    <w:rsid w:val="00D83C15"/>
    <w:rsid w:val="00DA062D"/>
    <w:rsid w:val="00DB14E2"/>
    <w:rsid w:val="00DD5613"/>
    <w:rsid w:val="00DE05C2"/>
    <w:rsid w:val="00E23400"/>
    <w:rsid w:val="00EC1E04"/>
    <w:rsid w:val="00EE415F"/>
    <w:rsid w:val="00F04EC3"/>
    <w:rsid w:val="00F101F3"/>
    <w:rsid w:val="00F31598"/>
    <w:rsid w:val="00F87175"/>
    <w:rsid w:val="00F97EB0"/>
    <w:rsid w:val="00FA1626"/>
    <w:rsid w:val="00FB1F75"/>
    <w:rsid w:val="00FC027F"/>
    <w:rsid w:val="00FC3C50"/>
    <w:rsid w:val="00FE0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B3B7164-CE3C-428A-A405-AD3954F8F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paragraph" w:styleId="Ttulo1">
    <w:name w:val="heading 1"/>
    <w:basedOn w:val="Normal"/>
    <w:next w:val="Normal"/>
    <w:link w:val="Ttulo1Car"/>
    <w:qFormat/>
    <w:rsid w:val="002D20E1"/>
    <w:pPr>
      <w:keepNext/>
      <w:numPr>
        <w:numId w:val="1"/>
      </w:numPr>
      <w:spacing w:after="0" w:line="240" w:lineRule="auto"/>
      <w:outlineLvl w:val="0"/>
    </w:pPr>
    <w:rPr>
      <w:rFonts w:ascii="Cambria" w:eastAsia="Times New Roman" w:hAnsi="Cambria"/>
      <w:b/>
      <w:bCs/>
      <w:color w:val="365F91"/>
      <w:sz w:val="20"/>
      <w:szCs w:val="28"/>
      <w:bdr w:val="ni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2D20E1"/>
    <w:rPr>
      <w:rFonts w:ascii="Cambria" w:eastAsia="Times New Roman" w:hAnsi="Cambria"/>
      <w:b/>
      <w:bCs/>
      <w:color w:val="365F91"/>
      <w:szCs w:val="28"/>
      <w:bdr w:val="nil"/>
    </w:rPr>
  </w:style>
  <w:style w:type="paragraph" w:styleId="Encabezado">
    <w:name w:val="header"/>
    <w:basedOn w:val="Normal"/>
    <w:link w:val="EncabezadoCar"/>
    <w:unhideWhenUsed/>
    <w:rsid w:val="002D20E1"/>
    <w:pPr>
      <w:tabs>
        <w:tab w:val="center" w:pos="4680"/>
        <w:tab w:val="right" w:pos="9360"/>
      </w:tabs>
      <w:spacing w:after="0" w:line="240" w:lineRule="auto"/>
    </w:pPr>
    <w:rPr>
      <w:rFonts w:eastAsia="MS Mincho"/>
    </w:rPr>
  </w:style>
  <w:style w:type="character" w:customStyle="1" w:styleId="EncabezadoCar">
    <w:name w:val="Encabezado Car"/>
    <w:link w:val="Encabezado"/>
    <w:rsid w:val="002D20E1"/>
    <w:rPr>
      <w:rFonts w:eastAsia="MS Mincho"/>
      <w:sz w:val="22"/>
      <w:szCs w:val="22"/>
    </w:rPr>
  </w:style>
  <w:style w:type="paragraph" w:styleId="Piedepgina">
    <w:name w:val="footer"/>
    <w:basedOn w:val="Normal"/>
    <w:link w:val="PiedepginaCar"/>
    <w:unhideWhenUsed/>
    <w:rsid w:val="002D20E1"/>
    <w:pPr>
      <w:tabs>
        <w:tab w:val="center" w:pos="4680"/>
        <w:tab w:val="right" w:pos="9360"/>
      </w:tabs>
      <w:spacing w:after="0" w:line="240" w:lineRule="auto"/>
    </w:pPr>
    <w:rPr>
      <w:rFonts w:eastAsia="MS Mincho"/>
    </w:rPr>
  </w:style>
  <w:style w:type="character" w:customStyle="1" w:styleId="PiedepginaCar">
    <w:name w:val="Pie de página Car"/>
    <w:link w:val="Piedepgina"/>
    <w:rsid w:val="002D20E1"/>
    <w:rPr>
      <w:rFonts w:eastAsia="MS Mincho"/>
      <w:sz w:val="22"/>
      <w:szCs w:val="22"/>
    </w:rPr>
  </w:style>
  <w:style w:type="paragraph" w:styleId="Prrafodelista">
    <w:name w:val="List Paragraph"/>
    <w:link w:val="PrrafodelistaCar"/>
    <w:uiPriority w:val="34"/>
    <w:qFormat/>
    <w:rsid w:val="002D20E1"/>
    <w:pPr>
      <w:pBdr>
        <w:top w:val="nil"/>
        <w:left w:val="nil"/>
        <w:bottom w:val="nil"/>
        <w:right w:val="nil"/>
        <w:between w:val="nil"/>
        <w:bar w:val="nil"/>
      </w:pBdr>
      <w:ind w:left="720"/>
    </w:pPr>
    <w:rPr>
      <w:rFonts w:ascii="Cambria" w:eastAsia="Cambria" w:hAnsi="Cambria" w:cs="Cambria"/>
      <w:color w:val="000000"/>
      <w:sz w:val="24"/>
      <w:szCs w:val="24"/>
      <w:u w:color="000000"/>
      <w:bdr w:val="nil"/>
      <w:lang w:eastAsia="es-ES"/>
    </w:rPr>
  </w:style>
  <w:style w:type="paragraph" w:styleId="Textosinformato">
    <w:name w:val="Plain Text"/>
    <w:basedOn w:val="Normal"/>
    <w:link w:val="TextosinformatoCar"/>
    <w:uiPriority w:val="99"/>
    <w:semiHidden/>
    <w:unhideWhenUsed/>
    <w:rsid w:val="002D20E1"/>
    <w:pPr>
      <w:spacing w:after="0" w:line="240" w:lineRule="auto"/>
    </w:pPr>
    <w:rPr>
      <w:rFonts w:eastAsia="Batang"/>
      <w:szCs w:val="21"/>
    </w:rPr>
  </w:style>
  <w:style w:type="character" w:customStyle="1" w:styleId="TextosinformatoCar">
    <w:name w:val="Texto sin formato Car"/>
    <w:link w:val="Textosinformato"/>
    <w:uiPriority w:val="99"/>
    <w:semiHidden/>
    <w:rsid w:val="002D20E1"/>
    <w:rPr>
      <w:rFonts w:eastAsia="Batang"/>
      <w:sz w:val="22"/>
      <w:szCs w:val="21"/>
    </w:rPr>
  </w:style>
  <w:style w:type="character" w:customStyle="1" w:styleId="PrrafodelistaCar">
    <w:name w:val="Párrafo de lista Car"/>
    <w:link w:val="Prrafodelista"/>
    <w:uiPriority w:val="34"/>
    <w:locked/>
    <w:rsid w:val="002D20E1"/>
    <w:rPr>
      <w:rFonts w:ascii="Cambria" w:eastAsia="Cambria" w:hAnsi="Cambria" w:cs="Cambria"/>
      <w:color w:val="000000"/>
      <w:sz w:val="24"/>
      <w:szCs w:val="24"/>
      <w:u w:color="000000"/>
      <w:bdr w:val="nil"/>
      <w:lang w:eastAsia="es-ES"/>
    </w:rPr>
  </w:style>
  <w:style w:type="character" w:styleId="Hipervnculo">
    <w:name w:val="Hyperlink"/>
    <w:uiPriority w:val="99"/>
    <w:unhideWhenUsed/>
    <w:rsid w:val="002D20E1"/>
    <w:rPr>
      <w:color w:val="0000FF"/>
      <w:u w:val="single"/>
    </w:rPr>
  </w:style>
  <w:style w:type="character" w:styleId="Textoennegrita">
    <w:name w:val="Strong"/>
    <w:uiPriority w:val="22"/>
    <w:qFormat/>
    <w:rsid w:val="00562D0A"/>
    <w:rPr>
      <w:b/>
      <w:bCs/>
    </w:rPr>
  </w:style>
  <w:style w:type="paragraph" w:styleId="Textodeglobo">
    <w:name w:val="Balloon Text"/>
    <w:basedOn w:val="Normal"/>
    <w:link w:val="TextodegloboCar"/>
    <w:uiPriority w:val="99"/>
    <w:semiHidden/>
    <w:unhideWhenUsed/>
    <w:rsid w:val="00192C1D"/>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192C1D"/>
    <w:rPr>
      <w:rFonts w:ascii="Tahoma" w:hAnsi="Tahoma" w:cs="Tahoma"/>
      <w:sz w:val="16"/>
      <w:szCs w:val="16"/>
    </w:rPr>
  </w:style>
  <w:style w:type="character" w:styleId="Refdecomentario">
    <w:name w:val="annotation reference"/>
    <w:uiPriority w:val="99"/>
    <w:semiHidden/>
    <w:unhideWhenUsed/>
    <w:rsid w:val="005A2F4B"/>
    <w:rPr>
      <w:sz w:val="16"/>
      <w:szCs w:val="16"/>
    </w:rPr>
  </w:style>
  <w:style w:type="paragraph" w:styleId="Textocomentario">
    <w:name w:val="annotation text"/>
    <w:basedOn w:val="Normal"/>
    <w:link w:val="TextocomentarioCar"/>
    <w:uiPriority w:val="99"/>
    <w:semiHidden/>
    <w:unhideWhenUsed/>
    <w:rsid w:val="005A2F4B"/>
    <w:rPr>
      <w:sz w:val="20"/>
      <w:szCs w:val="20"/>
    </w:rPr>
  </w:style>
  <w:style w:type="character" w:customStyle="1" w:styleId="TextocomentarioCar">
    <w:name w:val="Texto comentario Car"/>
    <w:basedOn w:val="Fuentedeprrafopredeter"/>
    <w:link w:val="Textocomentario"/>
    <w:uiPriority w:val="99"/>
    <w:semiHidden/>
    <w:rsid w:val="005A2F4B"/>
  </w:style>
  <w:style w:type="paragraph" w:styleId="Asuntodelcomentario">
    <w:name w:val="annotation subject"/>
    <w:basedOn w:val="Textocomentario"/>
    <w:next w:val="Textocomentario"/>
    <w:link w:val="AsuntodelcomentarioCar"/>
    <w:uiPriority w:val="99"/>
    <w:semiHidden/>
    <w:unhideWhenUsed/>
    <w:rsid w:val="005A2F4B"/>
    <w:rPr>
      <w:b/>
      <w:bCs/>
    </w:rPr>
  </w:style>
  <w:style w:type="character" w:customStyle="1" w:styleId="AsuntodelcomentarioCar">
    <w:name w:val="Asunto del comentario Car"/>
    <w:link w:val="Asuntodelcomentario"/>
    <w:uiPriority w:val="99"/>
    <w:semiHidden/>
    <w:rsid w:val="005A2F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094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0FE46B-08E0-426D-A73E-131FCF436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2127</Words>
  <Characters>12126</Characters>
  <Application>Microsoft Office Word</Application>
  <DocSecurity>0</DocSecurity>
  <Lines>101</Lines>
  <Paragraphs>28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dc:creator>
  <cp:keywords/>
  <cp:lastModifiedBy>Liliana Tojo</cp:lastModifiedBy>
  <cp:revision>2</cp:revision>
  <cp:lastPrinted>2016-11-02T16:38:00Z</cp:lastPrinted>
  <dcterms:created xsi:type="dcterms:W3CDTF">2019-05-16T21:42:00Z</dcterms:created>
  <dcterms:modified xsi:type="dcterms:W3CDTF">2019-05-16T21:42:00Z</dcterms:modified>
</cp:coreProperties>
</file>