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9C2" w:rsidRPr="00B44D5A" w:rsidRDefault="007049C2" w:rsidP="002A6179">
      <w:pPr>
        <w:tabs>
          <w:tab w:val="left" w:pos="720"/>
        </w:tabs>
        <w:jc w:val="center"/>
        <w:rPr>
          <w:rFonts w:ascii="Verdana" w:hAnsi="Verdana"/>
          <w:b/>
          <w:sz w:val="20"/>
          <w:szCs w:val="20"/>
          <w:lang w:val="es-ES"/>
        </w:rPr>
      </w:pPr>
    </w:p>
    <w:p w:rsidR="009E6E54" w:rsidRPr="00B44D5A" w:rsidRDefault="009E6E54" w:rsidP="002A6179">
      <w:pPr>
        <w:tabs>
          <w:tab w:val="left" w:pos="720"/>
        </w:tabs>
        <w:jc w:val="center"/>
        <w:rPr>
          <w:rFonts w:ascii="Verdana" w:hAnsi="Verdana"/>
          <w:b/>
          <w:sz w:val="20"/>
          <w:szCs w:val="20"/>
          <w:lang w:val="es-ES"/>
        </w:rPr>
      </w:pPr>
    </w:p>
    <w:p w:rsidR="007049C2" w:rsidRPr="00B44D5A" w:rsidRDefault="007049C2" w:rsidP="002A6179">
      <w:pPr>
        <w:tabs>
          <w:tab w:val="left" w:pos="720"/>
        </w:tabs>
        <w:jc w:val="center"/>
        <w:rPr>
          <w:rFonts w:ascii="Verdana" w:hAnsi="Verdana"/>
          <w:b/>
          <w:sz w:val="20"/>
          <w:szCs w:val="20"/>
          <w:lang w:val="es-ES"/>
        </w:rPr>
      </w:pPr>
    </w:p>
    <w:p w:rsidR="007049C2" w:rsidRPr="00B44D5A" w:rsidRDefault="007049C2" w:rsidP="002A6179">
      <w:pPr>
        <w:tabs>
          <w:tab w:val="left" w:pos="720"/>
        </w:tabs>
        <w:jc w:val="center"/>
        <w:rPr>
          <w:rFonts w:ascii="Verdana" w:hAnsi="Verdana"/>
          <w:b/>
          <w:sz w:val="20"/>
          <w:szCs w:val="20"/>
          <w:lang w:val="es-ES"/>
        </w:rPr>
      </w:pPr>
    </w:p>
    <w:p w:rsidR="007049C2" w:rsidRPr="00B44D5A" w:rsidRDefault="007049C2" w:rsidP="002A6179">
      <w:pPr>
        <w:tabs>
          <w:tab w:val="left" w:pos="720"/>
        </w:tabs>
        <w:jc w:val="center"/>
        <w:rPr>
          <w:rFonts w:ascii="Verdana" w:hAnsi="Verdana"/>
          <w:b/>
          <w:sz w:val="20"/>
          <w:szCs w:val="20"/>
          <w:lang w:val="es-ES"/>
        </w:rPr>
      </w:pPr>
    </w:p>
    <w:p w:rsidR="007049C2" w:rsidRPr="00B44D5A" w:rsidRDefault="007049C2" w:rsidP="002A6179">
      <w:pPr>
        <w:tabs>
          <w:tab w:val="left" w:pos="720"/>
        </w:tabs>
        <w:jc w:val="center"/>
        <w:rPr>
          <w:rFonts w:ascii="Verdana" w:hAnsi="Verdana"/>
          <w:b/>
          <w:sz w:val="20"/>
          <w:szCs w:val="20"/>
          <w:lang w:val="es-ES"/>
        </w:rPr>
      </w:pPr>
    </w:p>
    <w:p w:rsidR="00C5655F" w:rsidRPr="00B44D5A" w:rsidRDefault="00C5655F" w:rsidP="002A6179">
      <w:pPr>
        <w:tabs>
          <w:tab w:val="left" w:pos="720"/>
        </w:tabs>
        <w:jc w:val="center"/>
        <w:rPr>
          <w:rFonts w:ascii="Verdana" w:hAnsi="Verdana"/>
          <w:b/>
          <w:sz w:val="20"/>
          <w:szCs w:val="20"/>
          <w:lang w:val="es-ES"/>
        </w:rPr>
      </w:pPr>
    </w:p>
    <w:p w:rsidR="00C5655F" w:rsidRPr="00B44D5A" w:rsidRDefault="00C5655F" w:rsidP="002A6179">
      <w:pPr>
        <w:tabs>
          <w:tab w:val="left" w:pos="720"/>
        </w:tabs>
        <w:jc w:val="center"/>
        <w:rPr>
          <w:rFonts w:ascii="Verdana" w:hAnsi="Verdana"/>
          <w:b/>
          <w:sz w:val="20"/>
          <w:szCs w:val="20"/>
          <w:lang w:val="es-ES"/>
        </w:rPr>
      </w:pPr>
    </w:p>
    <w:p w:rsidR="009E6E54" w:rsidRPr="00B44D5A" w:rsidRDefault="009E6E54" w:rsidP="002A6179">
      <w:pPr>
        <w:tabs>
          <w:tab w:val="left" w:pos="720"/>
        </w:tabs>
        <w:jc w:val="center"/>
        <w:rPr>
          <w:rFonts w:ascii="Verdana" w:hAnsi="Verdana"/>
          <w:b/>
          <w:sz w:val="20"/>
          <w:szCs w:val="20"/>
          <w:lang w:val="es-ES"/>
        </w:rPr>
      </w:pPr>
    </w:p>
    <w:p w:rsidR="00ED58A7" w:rsidRPr="00B44D5A" w:rsidRDefault="00ED58A7" w:rsidP="002A6179">
      <w:pPr>
        <w:tabs>
          <w:tab w:val="left" w:pos="720"/>
        </w:tabs>
        <w:jc w:val="center"/>
        <w:rPr>
          <w:rFonts w:ascii="Verdana" w:hAnsi="Verdana"/>
          <w:b/>
          <w:sz w:val="20"/>
          <w:szCs w:val="20"/>
          <w:lang w:val="es-ES"/>
        </w:rPr>
      </w:pPr>
    </w:p>
    <w:p w:rsidR="00976819" w:rsidRPr="00B44D5A" w:rsidRDefault="00E22542" w:rsidP="002A6179">
      <w:pPr>
        <w:tabs>
          <w:tab w:val="left" w:pos="720"/>
        </w:tabs>
        <w:jc w:val="center"/>
        <w:rPr>
          <w:rFonts w:ascii="Verdana" w:hAnsi="Verdana"/>
          <w:b/>
          <w:sz w:val="20"/>
          <w:szCs w:val="20"/>
          <w:lang w:val="es-ES"/>
        </w:rPr>
      </w:pPr>
      <w:r w:rsidRPr="00B44D5A">
        <w:rPr>
          <w:rFonts w:ascii="Verdana" w:hAnsi="Verdana"/>
          <w:b/>
          <w:sz w:val="20"/>
          <w:szCs w:val="20"/>
          <w:lang w:val="es-ES"/>
        </w:rPr>
        <w:t>RESOLUCIÓN DEL PRESIDENTE DE LA</w:t>
      </w:r>
    </w:p>
    <w:p w:rsidR="007049C2" w:rsidRPr="00B44D5A" w:rsidRDefault="007049C2" w:rsidP="002A6179">
      <w:pPr>
        <w:tabs>
          <w:tab w:val="left" w:pos="720"/>
        </w:tabs>
        <w:jc w:val="center"/>
        <w:rPr>
          <w:rFonts w:ascii="Verdana" w:hAnsi="Verdana"/>
          <w:b/>
          <w:sz w:val="20"/>
          <w:szCs w:val="20"/>
          <w:lang w:val="es-ES"/>
        </w:rPr>
      </w:pPr>
      <w:r w:rsidRPr="00B44D5A">
        <w:rPr>
          <w:rFonts w:ascii="Verdana" w:hAnsi="Verdana"/>
          <w:b/>
          <w:sz w:val="20"/>
          <w:szCs w:val="20"/>
          <w:lang w:val="es-ES"/>
        </w:rPr>
        <w:t>CORTE INTERAMERICANA DE DERECHOS HUMANOS</w:t>
      </w:r>
    </w:p>
    <w:p w:rsidR="00976819" w:rsidRPr="00B44D5A" w:rsidRDefault="00976819" w:rsidP="002A6179">
      <w:pPr>
        <w:tabs>
          <w:tab w:val="left" w:pos="720"/>
        </w:tabs>
        <w:jc w:val="center"/>
        <w:rPr>
          <w:rFonts w:ascii="Verdana" w:hAnsi="Verdana"/>
          <w:b/>
          <w:sz w:val="20"/>
          <w:szCs w:val="20"/>
          <w:lang w:val="es-ES"/>
        </w:rPr>
      </w:pPr>
    </w:p>
    <w:p w:rsidR="007049C2" w:rsidRPr="006978BA" w:rsidRDefault="007049C2" w:rsidP="002A6179">
      <w:pPr>
        <w:tabs>
          <w:tab w:val="left" w:pos="720"/>
        </w:tabs>
        <w:jc w:val="center"/>
        <w:rPr>
          <w:rFonts w:ascii="Verdana" w:hAnsi="Verdana"/>
          <w:b/>
          <w:sz w:val="20"/>
          <w:szCs w:val="20"/>
          <w:lang w:val="es-ES"/>
        </w:rPr>
      </w:pPr>
      <w:r w:rsidRPr="00387903">
        <w:rPr>
          <w:rFonts w:ascii="Verdana" w:hAnsi="Verdana"/>
          <w:b/>
          <w:sz w:val="20"/>
          <w:szCs w:val="20"/>
          <w:lang w:val="es-ES"/>
        </w:rPr>
        <w:t xml:space="preserve">DE </w:t>
      </w:r>
      <w:r w:rsidR="002E5E20" w:rsidRPr="00387903">
        <w:rPr>
          <w:rFonts w:ascii="Verdana" w:hAnsi="Verdana"/>
          <w:b/>
          <w:sz w:val="20"/>
          <w:szCs w:val="20"/>
          <w:lang w:val="es-ES"/>
        </w:rPr>
        <w:t>2</w:t>
      </w:r>
      <w:r w:rsidR="00D53C37" w:rsidRPr="00387903">
        <w:rPr>
          <w:rFonts w:ascii="Verdana" w:hAnsi="Verdana"/>
          <w:b/>
          <w:sz w:val="20"/>
          <w:szCs w:val="20"/>
          <w:lang w:val="es-ES"/>
        </w:rPr>
        <w:t>1</w:t>
      </w:r>
      <w:r w:rsidR="00A13BE0" w:rsidRPr="00387903">
        <w:rPr>
          <w:rFonts w:ascii="Verdana" w:hAnsi="Verdana"/>
          <w:b/>
          <w:color w:val="C00000"/>
          <w:sz w:val="20"/>
          <w:szCs w:val="20"/>
          <w:lang w:val="es-ES"/>
        </w:rPr>
        <w:t xml:space="preserve"> </w:t>
      </w:r>
      <w:r w:rsidR="00A13BE0" w:rsidRPr="00387903">
        <w:rPr>
          <w:rFonts w:ascii="Verdana" w:hAnsi="Verdana"/>
          <w:b/>
          <w:sz w:val="20"/>
          <w:szCs w:val="20"/>
          <w:lang w:val="es-ES"/>
        </w:rPr>
        <w:t xml:space="preserve">DE </w:t>
      </w:r>
      <w:r w:rsidR="002E5E20" w:rsidRPr="00387903">
        <w:rPr>
          <w:rFonts w:ascii="Verdana" w:hAnsi="Verdana"/>
          <w:b/>
          <w:sz w:val="20"/>
          <w:szCs w:val="20"/>
          <w:lang w:val="es-ES"/>
        </w:rPr>
        <w:t>MAYO</w:t>
      </w:r>
      <w:r w:rsidR="0011210A" w:rsidRPr="00387903">
        <w:rPr>
          <w:rFonts w:ascii="Verdana" w:hAnsi="Verdana"/>
          <w:b/>
          <w:sz w:val="20"/>
          <w:szCs w:val="20"/>
          <w:lang w:val="es-ES"/>
        </w:rPr>
        <w:t xml:space="preserve"> DE 2019</w:t>
      </w:r>
    </w:p>
    <w:p w:rsidR="007049C2" w:rsidRPr="00B44D5A" w:rsidRDefault="007049C2" w:rsidP="002A6179">
      <w:pPr>
        <w:tabs>
          <w:tab w:val="left" w:pos="720"/>
        </w:tabs>
        <w:jc w:val="center"/>
        <w:rPr>
          <w:rFonts w:ascii="Verdana" w:hAnsi="Verdana"/>
          <w:b/>
          <w:sz w:val="20"/>
          <w:szCs w:val="20"/>
          <w:lang w:val="es-ES"/>
        </w:rPr>
      </w:pPr>
    </w:p>
    <w:p w:rsidR="007049C2" w:rsidRPr="00B44D5A" w:rsidRDefault="00E22542" w:rsidP="002A6179">
      <w:pPr>
        <w:tabs>
          <w:tab w:val="left" w:pos="720"/>
        </w:tabs>
        <w:jc w:val="center"/>
        <w:rPr>
          <w:rFonts w:ascii="Verdana" w:hAnsi="Verdana"/>
          <w:b/>
          <w:sz w:val="20"/>
          <w:szCs w:val="20"/>
          <w:u w:val="single"/>
          <w:lang w:val="es-ES"/>
        </w:rPr>
      </w:pPr>
      <w:r w:rsidRPr="00B44D5A">
        <w:rPr>
          <w:rFonts w:ascii="Verdana" w:hAnsi="Verdana"/>
          <w:b/>
          <w:sz w:val="20"/>
          <w:szCs w:val="20"/>
          <w:lang w:val="es-ES"/>
        </w:rPr>
        <w:t>ADOPCIÓN DE MEDIDAS URGENTES</w:t>
      </w:r>
    </w:p>
    <w:p w:rsidR="007049C2" w:rsidRPr="00B44D5A" w:rsidRDefault="007049C2" w:rsidP="002A6179">
      <w:pPr>
        <w:tabs>
          <w:tab w:val="left" w:pos="720"/>
        </w:tabs>
        <w:jc w:val="center"/>
        <w:rPr>
          <w:rFonts w:ascii="Verdana" w:hAnsi="Verdana"/>
          <w:b/>
          <w:sz w:val="20"/>
          <w:szCs w:val="20"/>
          <w:lang w:val="es-ES"/>
        </w:rPr>
      </w:pPr>
    </w:p>
    <w:p w:rsidR="00E22542" w:rsidRPr="00B44D5A" w:rsidRDefault="007049C2" w:rsidP="002A6179">
      <w:pPr>
        <w:tabs>
          <w:tab w:val="left" w:pos="720"/>
        </w:tabs>
        <w:jc w:val="center"/>
        <w:rPr>
          <w:rFonts w:ascii="Verdana" w:hAnsi="Verdana"/>
          <w:b/>
          <w:sz w:val="20"/>
          <w:szCs w:val="20"/>
          <w:lang w:val="pt-BR"/>
        </w:rPr>
      </w:pPr>
      <w:r w:rsidRPr="00B44D5A">
        <w:rPr>
          <w:rFonts w:ascii="Verdana" w:hAnsi="Verdana"/>
          <w:b/>
          <w:sz w:val="20"/>
          <w:szCs w:val="20"/>
          <w:lang w:val="pt-BR"/>
        </w:rPr>
        <w:t xml:space="preserve">ASUNTO </w:t>
      </w:r>
      <w:r w:rsidR="0011210A" w:rsidRPr="00B44D5A">
        <w:rPr>
          <w:rFonts w:ascii="Verdana" w:hAnsi="Verdana"/>
          <w:b/>
          <w:sz w:val="20"/>
          <w:szCs w:val="20"/>
          <w:lang w:val="pt-BR"/>
        </w:rPr>
        <w:t>DE DIECISIETE PERSONAS PRIVADAS DE LIBERTAD</w:t>
      </w:r>
      <w:r w:rsidR="00E22542" w:rsidRPr="00B44D5A">
        <w:rPr>
          <w:rFonts w:ascii="Verdana" w:hAnsi="Verdana"/>
          <w:b/>
          <w:sz w:val="20"/>
          <w:szCs w:val="20"/>
          <w:lang w:val="pt-BR"/>
        </w:rPr>
        <w:t xml:space="preserve"> </w:t>
      </w:r>
    </w:p>
    <w:p w:rsidR="007049C2" w:rsidRPr="00B44D5A" w:rsidRDefault="00E22542" w:rsidP="002A6179">
      <w:pPr>
        <w:tabs>
          <w:tab w:val="left" w:pos="720"/>
        </w:tabs>
        <w:jc w:val="center"/>
        <w:rPr>
          <w:rFonts w:ascii="Verdana" w:hAnsi="Verdana"/>
          <w:b/>
          <w:sz w:val="20"/>
          <w:szCs w:val="20"/>
          <w:lang w:val="pt-BR"/>
        </w:rPr>
      </w:pPr>
      <w:r w:rsidRPr="00B44D5A">
        <w:rPr>
          <w:rFonts w:ascii="Verdana" w:hAnsi="Verdana"/>
          <w:b/>
          <w:sz w:val="20"/>
          <w:szCs w:val="20"/>
          <w:lang w:val="pt-BR"/>
        </w:rPr>
        <w:t>RESPECTO DE NICARAGUA</w:t>
      </w:r>
    </w:p>
    <w:p w:rsidR="007049C2" w:rsidRPr="00B44D5A" w:rsidRDefault="007049C2" w:rsidP="002A6179">
      <w:pPr>
        <w:tabs>
          <w:tab w:val="left" w:pos="720"/>
        </w:tabs>
        <w:jc w:val="both"/>
        <w:rPr>
          <w:rFonts w:ascii="Verdana" w:hAnsi="Verdana"/>
          <w:b/>
          <w:sz w:val="20"/>
          <w:szCs w:val="20"/>
          <w:lang w:val="pt-BR"/>
        </w:rPr>
      </w:pPr>
    </w:p>
    <w:p w:rsidR="007049C2" w:rsidRPr="00B44D5A" w:rsidRDefault="007049C2" w:rsidP="002A6179">
      <w:pPr>
        <w:jc w:val="both"/>
        <w:rPr>
          <w:rFonts w:ascii="Verdana" w:hAnsi="Verdana"/>
          <w:b/>
          <w:caps/>
          <w:sz w:val="20"/>
          <w:szCs w:val="20"/>
          <w:lang w:val="pt-BR"/>
        </w:rPr>
      </w:pPr>
    </w:p>
    <w:p w:rsidR="007049C2" w:rsidRPr="00B44D5A" w:rsidRDefault="007049C2" w:rsidP="002A6179">
      <w:pPr>
        <w:jc w:val="both"/>
        <w:rPr>
          <w:rFonts w:ascii="Verdana" w:hAnsi="Verdana"/>
          <w:b/>
          <w:smallCaps/>
          <w:sz w:val="20"/>
          <w:szCs w:val="20"/>
          <w:lang w:val="es-ES"/>
        </w:rPr>
      </w:pPr>
      <w:r w:rsidRPr="00B44D5A">
        <w:rPr>
          <w:rFonts w:ascii="Verdana" w:hAnsi="Verdana"/>
          <w:b/>
          <w:caps/>
          <w:sz w:val="20"/>
          <w:szCs w:val="20"/>
          <w:lang w:val="es-ES"/>
        </w:rPr>
        <w:t>Visto</w:t>
      </w:r>
      <w:r w:rsidRPr="00B44D5A">
        <w:rPr>
          <w:rFonts w:ascii="Verdana" w:hAnsi="Verdana"/>
          <w:b/>
          <w:smallCaps/>
          <w:sz w:val="20"/>
          <w:szCs w:val="20"/>
          <w:lang w:val="es-ES"/>
        </w:rPr>
        <w:t>:</w:t>
      </w:r>
      <w:r w:rsidR="00A13BE0" w:rsidRPr="00B44D5A">
        <w:rPr>
          <w:rFonts w:ascii="Verdana" w:hAnsi="Verdana"/>
          <w:b/>
          <w:smallCaps/>
          <w:sz w:val="20"/>
          <w:szCs w:val="20"/>
          <w:lang w:val="es-ES"/>
        </w:rPr>
        <w:t xml:space="preserve"> </w:t>
      </w:r>
    </w:p>
    <w:p w:rsidR="007049C2" w:rsidRPr="00B44D5A" w:rsidRDefault="007049C2" w:rsidP="002A6179">
      <w:pPr>
        <w:jc w:val="both"/>
        <w:rPr>
          <w:rFonts w:ascii="Verdana" w:hAnsi="Verdana"/>
          <w:b/>
          <w:smallCaps/>
          <w:sz w:val="20"/>
          <w:szCs w:val="20"/>
          <w:lang w:val="es-ES"/>
        </w:rPr>
      </w:pPr>
    </w:p>
    <w:p w:rsidR="002E5E20" w:rsidRPr="00B44D5A" w:rsidRDefault="007049C2" w:rsidP="002E5E20">
      <w:pPr>
        <w:numPr>
          <w:ilvl w:val="0"/>
          <w:numId w:val="26"/>
        </w:numPr>
        <w:ind w:left="0" w:firstLine="0"/>
        <w:jc w:val="both"/>
        <w:rPr>
          <w:rFonts w:ascii="Verdana" w:hAnsi="Verdana"/>
          <w:sz w:val="20"/>
          <w:szCs w:val="20"/>
          <w:lang w:val="es-ES"/>
        </w:rPr>
      </w:pPr>
      <w:r w:rsidRPr="00B44D5A">
        <w:rPr>
          <w:rFonts w:ascii="Verdana" w:hAnsi="Verdana"/>
          <w:sz w:val="20"/>
          <w:szCs w:val="20"/>
          <w:lang w:val="es-ES"/>
        </w:rPr>
        <w:t>El escrito de la Comisión Interamericana de Derechos Humanos (en adelante “la Comisión Interamericana”</w:t>
      </w:r>
      <w:r w:rsidR="00C511D5" w:rsidRPr="00B44D5A">
        <w:rPr>
          <w:rFonts w:ascii="Verdana" w:hAnsi="Verdana"/>
          <w:sz w:val="20"/>
          <w:szCs w:val="20"/>
          <w:lang w:val="es-ES"/>
        </w:rPr>
        <w:t xml:space="preserve"> </w:t>
      </w:r>
      <w:r w:rsidR="00032C95" w:rsidRPr="00B44D5A">
        <w:rPr>
          <w:rFonts w:ascii="Verdana" w:hAnsi="Verdana"/>
          <w:sz w:val="20"/>
          <w:szCs w:val="20"/>
          <w:lang w:val="es-ES"/>
        </w:rPr>
        <w:t>o</w:t>
      </w:r>
      <w:r w:rsidR="00C511D5" w:rsidRPr="00B44D5A">
        <w:rPr>
          <w:rFonts w:ascii="Verdana" w:hAnsi="Verdana"/>
          <w:sz w:val="20"/>
          <w:szCs w:val="20"/>
          <w:lang w:val="es-ES"/>
        </w:rPr>
        <w:t xml:space="preserve"> </w:t>
      </w:r>
      <w:r w:rsidRPr="00B44D5A">
        <w:rPr>
          <w:rFonts w:ascii="Verdana" w:hAnsi="Verdana"/>
          <w:sz w:val="20"/>
          <w:szCs w:val="20"/>
          <w:lang w:val="es-ES"/>
        </w:rPr>
        <w:t xml:space="preserve">“la Comisión”) de </w:t>
      </w:r>
      <w:r w:rsidR="0011210A" w:rsidRPr="00B44D5A">
        <w:rPr>
          <w:rFonts w:ascii="Verdana" w:hAnsi="Verdana"/>
          <w:sz w:val="20"/>
          <w:szCs w:val="20"/>
          <w:lang w:val="es-ES"/>
        </w:rPr>
        <w:t>15</w:t>
      </w:r>
      <w:r w:rsidR="00BF5009" w:rsidRPr="00B44D5A">
        <w:rPr>
          <w:rFonts w:ascii="Verdana" w:hAnsi="Verdana"/>
          <w:sz w:val="20"/>
          <w:szCs w:val="20"/>
          <w:lang w:val="es-ES"/>
        </w:rPr>
        <w:t xml:space="preserve"> de </w:t>
      </w:r>
      <w:r w:rsidR="0011210A" w:rsidRPr="00B44D5A">
        <w:rPr>
          <w:rFonts w:ascii="Verdana" w:hAnsi="Verdana"/>
          <w:sz w:val="20"/>
          <w:szCs w:val="20"/>
          <w:lang w:val="es-ES"/>
        </w:rPr>
        <w:t>mayo de 2019</w:t>
      </w:r>
      <w:r w:rsidRPr="00B44D5A">
        <w:rPr>
          <w:rFonts w:ascii="Verdana" w:hAnsi="Verdana"/>
          <w:sz w:val="20"/>
          <w:szCs w:val="20"/>
          <w:lang w:val="es-ES"/>
        </w:rPr>
        <w:t xml:space="preserve"> y sus anexos, mediante los cuales sometió a la Corte Interamericana de Derechos Humanos (en adelante “la Corte Interamericana”, “la Corte”</w:t>
      </w:r>
      <w:r w:rsidR="006F1ED6" w:rsidRPr="00B44D5A">
        <w:rPr>
          <w:rFonts w:ascii="Verdana" w:hAnsi="Verdana"/>
          <w:sz w:val="20"/>
          <w:szCs w:val="20"/>
          <w:lang w:val="es-ES"/>
        </w:rPr>
        <w:t xml:space="preserve"> o</w:t>
      </w:r>
      <w:r w:rsidR="00C511D5" w:rsidRPr="00B44D5A">
        <w:rPr>
          <w:rFonts w:ascii="Verdana" w:hAnsi="Verdana"/>
          <w:sz w:val="20"/>
          <w:szCs w:val="20"/>
          <w:lang w:val="es-ES"/>
        </w:rPr>
        <w:t xml:space="preserve"> </w:t>
      </w:r>
      <w:r w:rsidRPr="00B44D5A">
        <w:rPr>
          <w:rFonts w:ascii="Verdana" w:hAnsi="Verdana"/>
          <w:sz w:val="20"/>
          <w:szCs w:val="20"/>
          <w:lang w:val="es-ES"/>
        </w:rPr>
        <w:t>“el Tribunal”) una solicitud de medidas provisionales, de conformidad con los artículos 63.2 de la Convención Americana sobre Derechos Humanos (en adelante “la Convención Americana”</w:t>
      </w:r>
      <w:r w:rsidR="00C511D5" w:rsidRPr="00B44D5A">
        <w:rPr>
          <w:rFonts w:ascii="Verdana" w:hAnsi="Verdana"/>
          <w:sz w:val="20"/>
          <w:szCs w:val="20"/>
          <w:lang w:val="es-ES"/>
        </w:rPr>
        <w:t xml:space="preserve"> </w:t>
      </w:r>
      <w:r w:rsidR="00D8731E" w:rsidRPr="00B44D5A">
        <w:rPr>
          <w:rFonts w:ascii="Verdana" w:hAnsi="Verdana"/>
          <w:sz w:val="20"/>
          <w:szCs w:val="20"/>
          <w:lang w:val="es-ES"/>
        </w:rPr>
        <w:t xml:space="preserve">o “la Convención”) y 27 del Reglamento de la Corte (en adelante “el Reglamento”), con el propósito de que el Tribunal requiera </w:t>
      </w:r>
      <w:r w:rsidR="000A5F1C">
        <w:rPr>
          <w:rFonts w:ascii="Verdana" w:hAnsi="Verdana"/>
          <w:sz w:val="20"/>
          <w:szCs w:val="20"/>
          <w:lang w:val="es-ES"/>
        </w:rPr>
        <w:t>a la República</w:t>
      </w:r>
      <w:r w:rsidR="0011210A" w:rsidRPr="00B44D5A">
        <w:rPr>
          <w:rFonts w:ascii="Verdana" w:hAnsi="Verdana"/>
          <w:sz w:val="20"/>
          <w:szCs w:val="20"/>
          <w:lang w:val="es-ES"/>
        </w:rPr>
        <w:t xml:space="preserve"> de Nicaragua</w:t>
      </w:r>
      <w:r w:rsidR="00D8731E" w:rsidRPr="00B44D5A">
        <w:rPr>
          <w:rFonts w:ascii="Verdana" w:hAnsi="Verdana"/>
          <w:sz w:val="20"/>
          <w:szCs w:val="20"/>
          <w:lang w:val="es-ES"/>
        </w:rPr>
        <w:t xml:space="preserve"> (en adelante</w:t>
      </w:r>
      <w:r w:rsidRPr="00B44D5A">
        <w:rPr>
          <w:rFonts w:ascii="Verdana" w:hAnsi="Verdana"/>
          <w:sz w:val="20"/>
          <w:szCs w:val="20"/>
          <w:lang w:val="es-ES"/>
        </w:rPr>
        <w:t xml:space="preserve"> “</w:t>
      </w:r>
      <w:r w:rsidR="0011210A" w:rsidRPr="00B44D5A">
        <w:rPr>
          <w:rFonts w:ascii="Verdana" w:hAnsi="Verdana"/>
          <w:sz w:val="20"/>
          <w:szCs w:val="20"/>
          <w:lang w:val="es-ES"/>
        </w:rPr>
        <w:t>Nicaragua</w:t>
      </w:r>
      <w:r w:rsidRPr="00B44D5A">
        <w:rPr>
          <w:rFonts w:ascii="Verdana" w:hAnsi="Verdana"/>
          <w:sz w:val="20"/>
          <w:szCs w:val="20"/>
          <w:lang w:val="es-ES"/>
        </w:rPr>
        <w:t>”</w:t>
      </w:r>
      <w:r w:rsidR="00C511D5" w:rsidRPr="00B44D5A">
        <w:rPr>
          <w:rFonts w:ascii="Verdana" w:hAnsi="Verdana"/>
          <w:sz w:val="20"/>
          <w:szCs w:val="20"/>
          <w:lang w:val="es-ES"/>
        </w:rPr>
        <w:t xml:space="preserve"> </w:t>
      </w:r>
      <w:r w:rsidR="00EA3602" w:rsidRPr="00B44D5A">
        <w:rPr>
          <w:rFonts w:ascii="Verdana" w:hAnsi="Verdana"/>
          <w:sz w:val="20"/>
          <w:szCs w:val="20"/>
          <w:lang w:val="es-ES"/>
        </w:rPr>
        <w:t>o</w:t>
      </w:r>
      <w:r w:rsidR="00C511D5" w:rsidRPr="00B44D5A">
        <w:rPr>
          <w:rFonts w:ascii="Verdana" w:hAnsi="Verdana"/>
          <w:sz w:val="20"/>
          <w:szCs w:val="20"/>
          <w:lang w:val="es-ES"/>
        </w:rPr>
        <w:t xml:space="preserve"> </w:t>
      </w:r>
      <w:r w:rsidRPr="00B44D5A">
        <w:rPr>
          <w:rFonts w:ascii="Verdana" w:hAnsi="Verdana"/>
          <w:sz w:val="20"/>
          <w:szCs w:val="20"/>
          <w:lang w:val="es-ES"/>
        </w:rPr>
        <w:t xml:space="preserve">“el Estado”) que adopte sin dilación las medidas necesarias para </w:t>
      </w:r>
      <w:r w:rsidR="000A5F1C">
        <w:rPr>
          <w:rFonts w:ascii="Verdana" w:hAnsi="Verdana"/>
          <w:sz w:val="20"/>
          <w:szCs w:val="20"/>
          <w:lang w:val="es-ES"/>
        </w:rPr>
        <w:t>proteger</w:t>
      </w:r>
      <w:r w:rsidRPr="00B44D5A">
        <w:rPr>
          <w:rFonts w:ascii="Verdana" w:hAnsi="Verdana"/>
          <w:sz w:val="20"/>
          <w:szCs w:val="20"/>
          <w:lang w:val="es-ES"/>
        </w:rPr>
        <w:t xml:space="preserve"> la</w:t>
      </w:r>
      <w:r w:rsidR="0011210A" w:rsidRPr="00B44D5A">
        <w:rPr>
          <w:rFonts w:ascii="Verdana" w:hAnsi="Verdana"/>
          <w:sz w:val="20"/>
          <w:szCs w:val="20"/>
          <w:lang w:val="es-ES"/>
        </w:rPr>
        <w:t xml:space="preserve"> salud,</w:t>
      </w:r>
      <w:r w:rsidRPr="00B44D5A">
        <w:rPr>
          <w:rFonts w:ascii="Verdana" w:hAnsi="Verdana"/>
          <w:sz w:val="20"/>
          <w:szCs w:val="20"/>
          <w:lang w:val="es-ES"/>
        </w:rPr>
        <w:t xml:space="preserve"> vida </w:t>
      </w:r>
      <w:r w:rsidR="0011210A" w:rsidRPr="00B44D5A">
        <w:rPr>
          <w:rFonts w:ascii="Verdana" w:hAnsi="Verdana"/>
          <w:sz w:val="20"/>
          <w:szCs w:val="20"/>
          <w:lang w:val="es-ES"/>
        </w:rPr>
        <w:t xml:space="preserve">e </w:t>
      </w:r>
      <w:r w:rsidRPr="00B44D5A">
        <w:rPr>
          <w:rFonts w:ascii="Verdana" w:hAnsi="Verdana"/>
          <w:sz w:val="20"/>
          <w:szCs w:val="20"/>
          <w:lang w:val="es-ES"/>
        </w:rPr>
        <w:t>integridad personal de</w:t>
      </w:r>
      <w:r w:rsidR="000A5F1C">
        <w:rPr>
          <w:rFonts w:ascii="Verdana" w:hAnsi="Verdana"/>
          <w:sz w:val="20"/>
          <w:szCs w:val="20"/>
          <w:lang w:val="es-ES"/>
        </w:rPr>
        <w:t>:</w:t>
      </w:r>
      <w:r w:rsidRPr="00B44D5A">
        <w:rPr>
          <w:rFonts w:ascii="Verdana" w:hAnsi="Verdana"/>
          <w:sz w:val="20"/>
          <w:szCs w:val="20"/>
          <w:lang w:val="es-ES"/>
        </w:rPr>
        <w:t xml:space="preserve"> </w:t>
      </w:r>
      <w:r w:rsidR="0011210A" w:rsidRPr="00B44D5A">
        <w:rPr>
          <w:rFonts w:ascii="Verdana" w:eastAsia="Times New Roman" w:hAnsi="Verdana" w:cs="Calibri"/>
          <w:sz w:val="20"/>
          <w:szCs w:val="20"/>
          <w:lang w:val="es-CR" w:eastAsia="es-CR"/>
        </w:rPr>
        <w:t>1) Kevin Rodrigo Espinoza Gutiérrez, 2) Cristhian Rodrigo Fajardo Caballero, 3) Yubrank Miguel Suazo Herrera, 4) Edwin José Carcache Dávila, 5) Medardo Mairena Sequeira, 6) Mario Lener Fonseca Díaz, 7) Ricardo Baltodano, 8) Jaime Ramon Ampie Toledo, 9) Julio José Ampie Machado, 10) Reynaldo Lira Luquez, 11) Miguel Mora Barberena, 12) Lucia Pineda Ubau, 13) Amaya Eva Coppens Zamora, 14) Olesia Auxiliadora Muñoz Pavón, 15) Tania Verónica Muñoz Pavón, 16) María Adilia Peralta Serrato, e 17) Irlanda Undina Jeréz Barrera</w:t>
      </w:r>
      <w:r w:rsidR="00762F0F" w:rsidRPr="00B44D5A">
        <w:rPr>
          <w:rFonts w:ascii="Verdana" w:eastAsia="Times New Roman" w:hAnsi="Verdana" w:cs="Calibri"/>
          <w:sz w:val="20"/>
          <w:szCs w:val="20"/>
          <w:lang w:val="es-CR" w:eastAsia="es-CR"/>
        </w:rPr>
        <w:t xml:space="preserve"> (en adelante “los solicitantes”)</w:t>
      </w:r>
      <w:r w:rsidR="0011210A" w:rsidRPr="00B44D5A">
        <w:rPr>
          <w:rFonts w:ascii="Verdana" w:eastAsia="Times New Roman" w:hAnsi="Verdana" w:cs="Calibri"/>
          <w:sz w:val="20"/>
          <w:szCs w:val="20"/>
          <w:lang w:val="es-CR" w:eastAsia="es-CR"/>
        </w:rPr>
        <w:t>.</w:t>
      </w:r>
    </w:p>
    <w:p w:rsidR="00E8502D" w:rsidRPr="00B44D5A" w:rsidRDefault="00E8502D" w:rsidP="00E8502D">
      <w:pPr>
        <w:jc w:val="both"/>
        <w:rPr>
          <w:rFonts w:ascii="Verdana" w:hAnsi="Verdana"/>
          <w:sz w:val="20"/>
          <w:szCs w:val="20"/>
          <w:lang w:val="es-ES"/>
        </w:rPr>
      </w:pPr>
    </w:p>
    <w:p w:rsidR="002E5E20" w:rsidRPr="00B44D5A" w:rsidRDefault="00E8502D" w:rsidP="002E5E20">
      <w:pPr>
        <w:numPr>
          <w:ilvl w:val="0"/>
          <w:numId w:val="26"/>
        </w:numPr>
        <w:ind w:left="0" w:firstLine="0"/>
        <w:jc w:val="both"/>
        <w:rPr>
          <w:rFonts w:ascii="Verdana" w:hAnsi="Verdana"/>
          <w:sz w:val="20"/>
          <w:szCs w:val="20"/>
          <w:lang w:val="es-ES"/>
        </w:rPr>
      </w:pPr>
      <w:r w:rsidRPr="00B44D5A">
        <w:rPr>
          <w:rFonts w:ascii="Verdana" w:hAnsi="Verdana"/>
          <w:sz w:val="20"/>
          <w:szCs w:val="20"/>
          <w:lang w:val="es-ES"/>
        </w:rPr>
        <w:t>La nota de la Secretaría de la Corte (en adelante “la Secretaría”) de 15 de mayo de 2019, mediante la cual el Pleno de la Corte (en adelante “el Pleno”) solicitó al Estado que remitiera información y observaciones sobre la solicitud de medidas provisionales planteadas por la Comisión. El Pleno estableció que dicha información debía ser remitida a más tardar el 20 de mayo de 2019</w:t>
      </w:r>
      <w:r w:rsidR="0054207C" w:rsidRPr="00B44D5A">
        <w:rPr>
          <w:rFonts w:ascii="Verdana" w:hAnsi="Verdana"/>
          <w:sz w:val="20"/>
          <w:szCs w:val="20"/>
          <w:lang w:val="es-ES"/>
        </w:rPr>
        <w:t>,</w:t>
      </w:r>
      <w:r w:rsidRPr="00B44D5A">
        <w:rPr>
          <w:rFonts w:ascii="Verdana" w:hAnsi="Verdana"/>
          <w:sz w:val="20"/>
          <w:szCs w:val="20"/>
          <w:lang w:val="es-ES"/>
        </w:rPr>
        <w:t xml:space="preserve"> y que dicho plazo era improrrogable. </w:t>
      </w:r>
    </w:p>
    <w:p w:rsidR="003A2A6C" w:rsidRPr="00B44D5A" w:rsidRDefault="003A2A6C" w:rsidP="003A2A6C">
      <w:pPr>
        <w:autoSpaceDE w:val="0"/>
        <w:autoSpaceDN w:val="0"/>
        <w:adjustRightInd w:val="0"/>
        <w:jc w:val="both"/>
        <w:rPr>
          <w:rFonts w:ascii="Verdana" w:hAnsi="Verdana"/>
          <w:sz w:val="20"/>
          <w:szCs w:val="20"/>
          <w:lang w:val="es-ES"/>
        </w:rPr>
      </w:pPr>
    </w:p>
    <w:p w:rsidR="002E5E20" w:rsidRPr="00B44D5A" w:rsidRDefault="002E5E20" w:rsidP="00B07752">
      <w:pPr>
        <w:numPr>
          <w:ilvl w:val="0"/>
          <w:numId w:val="26"/>
        </w:numPr>
        <w:ind w:left="0" w:firstLine="0"/>
        <w:jc w:val="both"/>
        <w:rPr>
          <w:rFonts w:ascii="Verdana" w:hAnsi="Verdana"/>
          <w:sz w:val="20"/>
          <w:szCs w:val="20"/>
          <w:lang w:val="es-ES"/>
        </w:rPr>
      </w:pPr>
      <w:r w:rsidRPr="00B44D5A">
        <w:rPr>
          <w:rFonts w:ascii="Verdana" w:hAnsi="Verdana"/>
          <w:sz w:val="20"/>
          <w:szCs w:val="20"/>
          <w:lang w:val="es-ES"/>
        </w:rPr>
        <w:t>El escrito de 16 de mayo de 2019, mediante el cual el Estado solicitó una prórroga para presentar sus observaciones a la solicitud de medidas provisionales. Asimismo, la nota de la Secretaría mediante la cual</w:t>
      </w:r>
      <w:r w:rsidR="000A5F1C">
        <w:rPr>
          <w:rFonts w:ascii="Verdana" w:hAnsi="Verdana"/>
          <w:sz w:val="20"/>
          <w:szCs w:val="20"/>
          <w:lang w:val="es-ES"/>
        </w:rPr>
        <w:t>, siguiendo instrucciones del Presidente,</w:t>
      </w:r>
      <w:r w:rsidRPr="00B44D5A">
        <w:rPr>
          <w:rFonts w:ascii="Verdana" w:hAnsi="Verdana"/>
          <w:sz w:val="20"/>
          <w:szCs w:val="20"/>
          <w:lang w:val="es-ES"/>
        </w:rPr>
        <w:t xml:space="preserve"> se le informó al Estado que el plazo </w:t>
      </w:r>
      <w:r w:rsidRPr="00B44D5A">
        <w:rPr>
          <w:rFonts w:ascii="Verdana" w:hAnsi="Verdana"/>
          <w:sz w:val="20"/>
          <w:szCs w:val="20"/>
        </w:rPr>
        <w:t xml:space="preserve">otorgado para presentar sus observaciones fue dispuesto por el Pleno del Tribunal con carácter “improrrogable”, </w:t>
      </w:r>
      <w:r w:rsidR="0054207C" w:rsidRPr="00B44D5A">
        <w:rPr>
          <w:rFonts w:ascii="Verdana" w:hAnsi="Verdana"/>
          <w:sz w:val="20"/>
          <w:szCs w:val="20"/>
        </w:rPr>
        <w:t>por lo que</w:t>
      </w:r>
      <w:r w:rsidRPr="00B44D5A">
        <w:rPr>
          <w:rFonts w:ascii="Verdana" w:hAnsi="Verdana"/>
          <w:sz w:val="20"/>
          <w:szCs w:val="20"/>
        </w:rPr>
        <w:t xml:space="preserve"> la solicitud fue denegada.</w:t>
      </w:r>
    </w:p>
    <w:p w:rsidR="002E5E20" w:rsidRPr="00B44D5A" w:rsidRDefault="002E5E20" w:rsidP="002E5E20">
      <w:pPr>
        <w:pStyle w:val="Prrafodelista"/>
        <w:rPr>
          <w:rFonts w:ascii="Verdana" w:hAnsi="Verdana"/>
          <w:sz w:val="20"/>
          <w:szCs w:val="20"/>
        </w:rPr>
      </w:pPr>
    </w:p>
    <w:p w:rsidR="003A2A6C" w:rsidRPr="00B44D5A" w:rsidRDefault="003A2A6C" w:rsidP="00B07752">
      <w:pPr>
        <w:numPr>
          <w:ilvl w:val="0"/>
          <w:numId w:val="26"/>
        </w:numPr>
        <w:ind w:left="0" w:firstLine="0"/>
        <w:jc w:val="both"/>
        <w:rPr>
          <w:rFonts w:ascii="Verdana" w:hAnsi="Verdana"/>
          <w:sz w:val="20"/>
          <w:szCs w:val="20"/>
          <w:lang w:val="es-ES"/>
        </w:rPr>
      </w:pPr>
      <w:r w:rsidRPr="00B44D5A">
        <w:rPr>
          <w:rFonts w:ascii="Verdana" w:hAnsi="Verdana"/>
          <w:sz w:val="20"/>
          <w:szCs w:val="20"/>
        </w:rPr>
        <w:t>El escrito de 17 de mayo de 2019</w:t>
      </w:r>
      <w:r w:rsidR="000A5F1C">
        <w:rPr>
          <w:rFonts w:ascii="Verdana" w:hAnsi="Verdana"/>
          <w:sz w:val="20"/>
          <w:szCs w:val="20"/>
        </w:rPr>
        <w:t>,</w:t>
      </w:r>
      <w:r w:rsidRPr="00B44D5A">
        <w:rPr>
          <w:rFonts w:ascii="Verdana" w:hAnsi="Verdana"/>
          <w:sz w:val="20"/>
          <w:szCs w:val="20"/>
        </w:rPr>
        <w:t xml:space="preserve"> mediante el cual la Comisión informó sobre “una serie de hechos supervinientes de violencia ocurridos en el interior de la cárcel “La Modelo”, </w:t>
      </w:r>
      <w:r w:rsidRPr="00B44D5A">
        <w:rPr>
          <w:rFonts w:ascii="Verdana" w:hAnsi="Verdana"/>
          <w:sz w:val="20"/>
          <w:szCs w:val="20"/>
        </w:rPr>
        <w:lastRenderedPageBreak/>
        <w:t>en la que se encuentran 11 personas propuestas</w:t>
      </w:r>
      <w:r w:rsidR="006F7F1F">
        <w:rPr>
          <w:rFonts w:ascii="Verdana" w:hAnsi="Verdana"/>
          <w:sz w:val="20"/>
          <w:szCs w:val="20"/>
        </w:rPr>
        <w:t xml:space="preserve"> como</w:t>
      </w:r>
      <w:r w:rsidRPr="00B44D5A">
        <w:rPr>
          <w:rFonts w:ascii="Verdana" w:hAnsi="Verdana"/>
          <w:sz w:val="20"/>
          <w:szCs w:val="20"/>
        </w:rPr>
        <w:t xml:space="preserve"> beneficiarias de la solicitud de medidas provisionales</w:t>
      </w:r>
      <w:r w:rsidR="00D53C37" w:rsidRPr="00B44D5A">
        <w:rPr>
          <w:rFonts w:ascii="Verdana" w:hAnsi="Verdana"/>
          <w:sz w:val="20"/>
          <w:szCs w:val="20"/>
        </w:rPr>
        <w:t xml:space="preserve"> presentada ante la Honorable Corte, los cuales confirman la extrema situación de gravedad y urgencia de riesgo de daño irreparable en que se encuentran sus derechos”.</w:t>
      </w:r>
      <w:r w:rsidRPr="00B44D5A">
        <w:rPr>
          <w:rFonts w:ascii="Verdana" w:hAnsi="Verdana"/>
          <w:sz w:val="20"/>
          <w:szCs w:val="20"/>
        </w:rPr>
        <w:t xml:space="preserve"> </w:t>
      </w:r>
      <w:r w:rsidR="009F5A2F" w:rsidRPr="00B44D5A">
        <w:rPr>
          <w:rFonts w:ascii="Verdana" w:hAnsi="Verdana"/>
          <w:sz w:val="20"/>
          <w:szCs w:val="20"/>
        </w:rPr>
        <w:t>La nota de la Secretaría de 17 de mayo de 2019, mediante la cual se informó al Estado que podría realizar las observaciones que considerara pertinentes a los alegados hechos supervinientes junto con la información y observaciones sobre la solicitud de medidas provisionales planteadas por la Comisión.</w:t>
      </w:r>
    </w:p>
    <w:p w:rsidR="00FD5954" w:rsidRPr="00B44D5A" w:rsidRDefault="00FD5954" w:rsidP="00FD5954">
      <w:pPr>
        <w:autoSpaceDE w:val="0"/>
        <w:autoSpaceDN w:val="0"/>
        <w:adjustRightInd w:val="0"/>
        <w:jc w:val="both"/>
        <w:rPr>
          <w:rFonts w:ascii="Verdana" w:hAnsi="Verdana"/>
          <w:sz w:val="20"/>
          <w:szCs w:val="20"/>
          <w:lang w:val="es-ES"/>
        </w:rPr>
      </w:pPr>
    </w:p>
    <w:p w:rsidR="002E5E20" w:rsidRPr="00B44D5A" w:rsidRDefault="00FD5954" w:rsidP="00B07752">
      <w:pPr>
        <w:numPr>
          <w:ilvl w:val="0"/>
          <w:numId w:val="26"/>
        </w:numPr>
        <w:ind w:left="0" w:firstLine="0"/>
        <w:jc w:val="both"/>
        <w:rPr>
          <w:rFonts w:ascii="Verdana" w:hAnsi="Verdana"/>
          <w:sz w:val="20"/>
          <w:szCs w:val="20"/>
          <w:lang w:val="es-ES"/>
        </w:rPr>
      </w:pPr>
      <w:r w:rsidRPr="00B44D5A">
        <w:rPr>
          <w:rFonts w:ascii="Verdana" w:hAnsi="Verdana"/>
          <w:sz w:val="20"/>
          <w:szCs w:val="20"/>
          <w:lang w:val="es-ES"/>
        </w:rPr>
        <w:t>El</w:t>
      </w:r>
      <w:r w:rsidR="003A2A6C" w:rsidRPr="00B44D5A">
        <w:rPr>
          <w:rFonts w:ascii="Verdana" w:hAnsi="Verdana"/>
          <w:sz w:val="20"/>
          <w:szCs w:val="20"/>
          <w:lang w:val="es-ES"/>
        </w:rPr>
        <w:t xml:space="preserve"> escrito de</w:t>
      </w:r>
      <w:r w:rsidRPr="00B44D5A">
        <w:rPr>
          <w:rFonts w:ascii="Verdana" w:hAnsi="Verdana"/>
          <w:sz w:val="20"/>
          <w:szCs w:val="20"/>
          <w:lang w:val="es-ES"/>
        </w:rPr>
        <w:t xml:space="preserve"> </w:t>
      </w:r>
      <w:r w:rsidR="002E5E20" w:rsidRPr="00B44D5A">
        <w:rPr>
          <w:rFonts w:ascii="Verdana" w:hAnsi="Verdana"/>
          <w:sz w:val="20"/>
          <w:szCs w:val="20"/>
          <w:lang w:val="es-ES"/>
        </w:rPr>
        <w:t>20</w:t>
      </w:r>
      <w:r w:rsidRPr="00B44D5A">
        <w:rPr>
          <w:rFonts w:ascii="Verdana" w:hAnsi="Verdana"/>
          <w:sz w:val="20"/>
          <w:szCs w:val="20"/>
          <w:lang w:val="es-ES"/>
        </w:rPr>
        <w:t xml:space="preserve"> de mayo de 2019</w:t>
      </w:r>
      <w:r w:rsidR="003A2A6C" w:rsidRPr="00B44D5A">
        <w:rPr>
          <w:rFonts w:ascii="Verdana" w:hAnsi="Verdana"/>
          <w:sz w:val="20"/>
          <w:szCs w:val="20"/>
          <w:lang w:val="es-ES"/>
        </w:rPr>
        <w:t xml:space="preserve"> </w:t>
      </w:r>
      <w:r w:rsidR="00D07CAE" w:rsidRPr="00B44D5A">
        <w:rPr>
          <w:rFonts w:ascii="Verdana" w:hAnsi="Verdana"/>
          <w:sz w:val="20"/>
          <w:szCs w:val="20"/>
          <w:lang w:val="es-ES"/>
        </w:rPr>
        <w:t xml:space="preserve">y sus anexos </w:t>
      </w:r>
      <w:r w:rsidR="003A2A6C" w:rsidRPr="00B44D5A">
        <w:rPr>
          <w:rFonts w:ascii="Verdana" w:hAnsi="Verdana"/>
          <w:sz w:val="20"/>
          <w:szCs w:val="20"/>
          <w:lang w:val="es-ES"/>
        </w:rPr>
        <w:t>mediante</w:t>
      </w:r>
      <w:r w:rsidRPr="00B44D5A">
        <w:rPr>
          <w:rFonts w:ascii="Verdana" w:hAnsi="Verdana"/>
          <w:sz w:val="20"/>
          <w:szCs w:val="20"/>
          <w:lang w:val="es-ES"/>
        </w:rPr>
        <w:t xml:space="preserve"> </w:t>
      </w:r>
      <w:r w:rsidR="000A5F1C">
        <w:rPr>
          <w:rFonts w:ascii="Verdana" w:hAnsi="Verdana"/>
          <w:sz w:val="20"/>
          <w:szCs w:val="20"/>
          <w:lang w:val="es-ES"/>
        </w:rPr>
        <w:t>los</w:t>
      </w:r>
      <w:r w:rsidR="003A2A6C" w:rsidRPr="00B44D5A">
        <w:rPr>
          <w:rFonts w:ascii="Verdana" w:hAnsi="Verdana"/>
          <w:sz w:val="20"/>
          <w:szCs w:val="20"/>
          <w:lang w:val="es-ES"/>
        </w:rPr>
        <w:t xml:space="preserve"> cual</w:t>
      </w:r>
      <w:r w:rsidR="000A5F1C">
        <w:rPr>
          <w:rFonts w:ascii="Verdana" w:hAnsi="Verdana"/>
          <w:sz w:val="20"/>
          <w:szCs w:val="20"/>
          <w:lang w:val="es-ES"/>
        </w:rPr>
        <w:t>es el</w:t>
      </w:r>
      <w:r w:rsidRPr="00B44D5A">
        <w:rPr>
          <w:rFonts w:ascii="Verdana" w:hAnsi="Verdana"/>
          <w:sz w:val="20"/>
          <w:szCs w:val="20"/>
          <w:lang w:val="es-ES"/>
        </w:rPr>
        <w:t xml:space="preserve"> Estado presentó a la Corte </w:t>
      </w:r>
      <w:r w:rsidR="00D07CAE" w:rsidRPr="00B44D5A">
        <w:rPr>
          <w:rFonts w:ascii="Verdana" w:hAnsi="Verdana"/>
          <w:sz w:val="20"/>
          <w:szCs w:val="20"/>
          <w:lang w:val="es-ES"/>
        </w:rPr>
        <w:t>el “Informe del Estado de la República de Nicaragua Respecto a la Solicitud de la Comisión Interamericana de Derechos Humanos ante la Corte Interamericana de Derechos Humanos para que Adopte Medidas Provisionales para Proteger la Salud, Vida e Integridad Personal (17) Personas Privadas de Libertad”</w:t>
      </w:r>
      <w:r w:rsidRPr="00B44D5A">
        <w:rPr>
          <w:rFonts w:ascii="Verdana" w:hAnsi="Verdana"/>
          <w:sz w:val="20"/>
          <w:szCs w:val="20"/>
          <w:lang w:val="es-ES"/>
        </w:rPr>
        <w:t xml:space="preserve">. </w:t>
      </w:r>
    </w:p>
    <w:p w:rsidR="00192BA2" w:rsidRPr="006978BA" w:rsidRDefault="00192BA2" w:rsidP="00E8502D">
      <w:pPr>
        <w:pStyle w:val="Prrafodelista"/>
        <w:ind w:left="0"/>
        <w:contextualSpacing/>
        <w:jc w:val="both"/>
        <w:rPr>
          <w:rFonts w:ascii="Verdana" w:hAnsi="Verdana"/>
          <w:sz w:val="20"/>
          <w:szCs w:val="20"/>
          <w:lang w:val="pt-BR"/>
        </w:rPr>
      </w:pPr>
    </w:p>
    <w:p w:rsidR="00ED0334" w:rsidRPr="00B44D5A" w:rsidRDefault="00ED0334" w:rsidP="002A6179">
      <w:pPr>
        <w:jc w:val="both"/>
        <w:rPr>
          <w:rFonts w:ascii="Verdana" w:eastAsia="Verdana" w:hAnsi="Verdana" w:cs="Verdana"/>
          <w:sz w:val="20"/>
          <w:szCs w:val="20"/>
          <w:lang w:val="es-ES"/>
        </w:rPr>
      </w:pPr>
      <w:r w:rsidRPr="00B44D5A">
        <w:rPr>
          <w:rFonts w:ascii="Verdana" w:eastAsia="Verdana" w:hAnsi="Verdana" w:cs="Verdana"/>
          <w:b/>
          <w:bCs/>
          <w:sz w:val="20"/>
          <w:szCs w:val="20"/>
          <w:lang w:val="es-ES"/>
        </w:rPr>
        <w:t>CONSIDERANDO QUE:</w:t>
      </w:r>
    </w:p>
    <w:p w:rsidR="00ED0334" w:rsidRPr="00B44D5A" w:rsidRDefault="00ED0334" w:rsidP="002A6179">
      <w:pPr>
        <w:spacing w:before="12" w:line="240" w:lineRule="exact"/>
        <w:rPr>
          <w:rFonts w:ascii="Verdana" w:hAnsi="Verdana"/>
          <w:sz w:val="20"/>
          <w:szCs w:val="20"/>
          <w:lang w:val="es-ES"/>
        </w:rPr>
      </w:pPr>
    </w:p>
    <w:p w:rsidR="00B07752" w:rsidRPr="00B44D5A" w:rsidRDefault="00B07752" w:rsidP="00B07752">
      <w:pPr>
        <w:pStyle w:val="Prrafodelista1"/>
        <w:jc w:val="both"/>
        <w:rPr>
          <w:sz w:val="20"/>
          <w:szCs w:val="20"/>
        </w:rPr>
      </w:pPr>
      <w:r w:rsidRPr="00B44D5A">
        <w:rPr>
          <w:sz w:val="20"/>
          <w:szCs w:val="20"/>
        </w:rPr>
        <w:t>1.</w:t>
      </w:r>
      <w:r w:rsidRPr="00B44D5A">
        <w:rPr>
          <w:sz w:val="20"/>
          <w:szCs w:val="20"/>
        </w:rPr>
        <w:tab/>
      </w:r>
      <w:r w:rsidR="00B7123B" w:rsidRPr="00B44D5A">
        <w:rPr>
          <w:sz w:val="20"/>
          <w:szCs w:val="20"/>
        </w:rPr>
        <w:t xml:space="preserve">Nicaragua ratificó la Convención Americana sobre Derechos Humanos </w:t>
      </w:r>
      <w:r w:rsidR="00B7123B" w:rsidRPr="00B44D5A">
        <w:rPr>
          <w:sz w:val="20"/>
          <w:szCs w:val="20"/>
          <w:lang w:val="es-ES_tradnl"/>
        </w:rPr>
        <w:t xml:space="preserve">(en adelante también “la Convención Americana” o “la Convención”) </w:t>
      </w:r>
      <w:r w:rsidR="00B7123B" w:rsidRPr="00B44D5A">
        <w:rPr>
          <w:sz w:val="20"/>
          <w:szCs w:val="20"/>
        </w:rPr>
        <w:t>el 25 de septiembre de 1979 y, de acuerdo con su artículo 62, reconoció la competencia contenciosa de la Corte el 12 de febrero de 1991.</w:t>
      </w:r>
    </w:p>
    <w:p w:rsidR="00B07752" w:rsidRPr="00B44D5A" w:rsidRDefault="00B07752" w:rsidP="00B07752">
      <w:pPr>
        <w:pStyle w:val="Prrafodelista1"/>
        <w:jc w:val="both"/>
        <w:rPr>
          <w:sz w:val="20"/>
          <w:szCs w:val="20"/>
        </w:rPr>
      </w:pPr>
    </w:p>
    <w:p w:rsidR="00B7123B" w:rsidRPr="00B44D5A" w:rsidRDefault="00B07752" w:rsidP="00B07752">
      <w:pPr>
        <w:pStyle w:val="Prrafodelista1"/>
        <w:jc w:val="both"/>
        <w:rPr>
          <w:sz w:val="20"/>
          <w:szCs w:val="20"/>
        </w:rPr>
      </w:pPr>
      <w:r w:rsidRPr="00B44D5A">
        <w:rPr>
          <w:sz w:val="20"/>
          <w:szCs w:val="20"/>
        </w:rPr>
        <w:t>2.</w:t>
      </w:r>
      <w:r w:rsidRPr="00B44D5A">
        <w:rPr>
          <w:sz w:val="20"/>
          <w:szCs w:val="20"/>
        </w:rPr>
        <w:tab/>
      </w:r>
      <w:r w:rsidR="00ED0334" w:rsidRPr="00B44D5A">
        <w:rPr>
          <w:rFonts w:eastAsia="Verdana" w:cs="Verdana"/>
          <w:sz w:val="20"/>
          <w:szCs w:val="20"/>
          <w:lang w:val="es-CR"/>
        </w:rPr>
        <w:t>El artículo 63.2 de la Convención Americana dispone que, en “casos de extrema gravedad y urgencia, y cuando se haga necesario evitar daños irreparables a las personas”, la Corte podrá, en los asuntos que aún no estén sometidos a su conocimiento, a solicitud de la Comisión, ordenar las medidas provisionales que considere pertinentes. Esta disposición está a su vez regulada en el artículo 27 del Reglamento de la Corte.</w:t>
      </w:r>
    </w:p>
    <w:p w:rsidR="00B7123B" w:rsidRPr="00B44D5A" w:rsidRDefault="00B7123B" w:rsidP="00B7123B">
      <w:pPr>
        <w:pStyle w:val="Prrafodelista"/>
        <w:rPr>
          <w:rFonts w:ascii="Verdana" w:eastAsia="Verdana" w:hAnsi="Verdana" w:cs="Verdana"/>
          <w:sz w:val="20"/>
          <w:szCs w:val="20"/>
          <w:lang w:val="es-CR"/>
        </w:rPr>
      </w:pPr>
    </w:p>
    <w:p w:rsidR="00B7123B" w:rsidRPr="00B44D5A" w:rsidRDefault="00B07752" w:rsidP="00B07752">
      <w:pPr>
        <w:pStyle w:val="Prrafodelista1"/>
        <w:jc w:val="both"/>
        <w:rPr>
          <w:sz w:val="20"/>
          <w:szCs w:val="20"/>
        </w:rPr>
      </w:pPr>
      <w:r w:rsidRPr="00B44D5A">
        <w:rPr>
          <w:rFonts w:eastAsia="Verdana" w:cs="Verdana"/>
          <w:sz w:val="20"/>
          <w:szCs w:val="20"/>
          <w:lang w:val="es-CR"/>
        </w:rPr>
        <w:t>3.</w:t>
      </w:r>
      <w:r w:rsidRPr="00B44D5A">
        <w:rPr>
          <w:rFonts w:eastAsia="Verdana" w:cs="Verdana"/>
          <w:sz w:val="20"/>
          <w:szCs w:val="20"/>
          <w:lang w:val="es-CR"/>
        </w:rPr>
        <w:tab/>
      </w:r>
      <w:r w:rsidR="00ED0334" w:rsidRPr="00B44D5A">
        <w:rPr>
          <w:rFonts w:eastAsia="Verdana" w:cs="Verdana"/>
          <w:sz w:val="20"/>
          <w:szCs w:val="20"/>
          <w:lang w:val="es-CR"/>
        </w:rPr>
        <w:t>La presente solicitud de medidas provisionales no se origina en un caso en conocimiento de la Corte, sino en el marco de</w:t>
      </w:r>
      <w:r w:rsidR="007C6F1D" w:rsidRPr="00B44D5A">
        <w:rPr>
          <w:rFonts w:eastAsia="Verdana" w:cs="Verdana"/>
          <w:sz w:val="20"/>
          <w:szCs w:val="20"/>
          <w:lang w:val="es-CR"/>
        </w:rPr>
        <w:t xml:space="preserve"> diversas</w:t>
      </w:r>
      <w:r w:rsidR="00ED0334" w:rsidRPr="00B44D5A">
        <w:rPr>
          <w:rFonts w:eastAsia="Verdana" w:cs="Verdana"/>
          <w:sz w:val="20"/>
          <w:szCs w:val="20"/>
          <w:lang w:val="es-CR"/>
        </w:rPr>
        <w:t xml:space="preserve"> medidas cautelares </w:t>
      </w:r>
      <w:r w:rsidR="00065511" w:rsidRPr="00B44D5A">
        <w:rPr>
          <w:rFonts w:eastAsia="Verdana" w:cs="Verdana"/>
          <w:sz w:val="20"/>
          <w:szCs w:val="20"/>
          <w:lang w:val="es-CR"/>
        </w:rPr>
        <w:t xml:space="preserve">adoptadas por la Comisión </w:t>
      </w:r>
      <w:r w:rsidR="00ED0334" w:rsidRPr="00B44D5A">
        <w:rPr>
          <w:rFonts w:eastAsia="Verdana" w:cs="Verdana"/>
          <w:sz w:val="20"/>
          <w:szCs w:val="20"/>
          <w:lang w:val="es-CR"/>
        </w:rPr>
        <w:t xml:space="preserve">Interamericana </w:t>
      </w:r>
      <w:r w:rsidR="007C6F1D" w:rsidRPr="00B44D5A">
        <w:rPr>
          <w:rFonts w:eastAsia="Verdana" w:cs="Verdana"/>
          <w:sz w:val="20"/>
          <w:szCs w:val="20"/>
          <w:lang w:val="es-CR"/>
        </w:rPr>
        <w:t>entre el 21 de mayo de 2018 y el 11 de febrero de 2019</w:t>
      </w:r>
      <w:r w:rsidR="002B679E" w:rsidRPr="00B44D5A">
        <w:rPr>
          <w:rStyle w:val="Refdenotaalpie"/>
          <w:rFonts w:eastAsia="Verdana" w:cs="Verdana"/>
          <w:sz w:val="20"/>
          <w:szCs w:val="20"/>
          <w:lang w:val="es-CR"/>
        </w:rPr>
        <w:footnoteReference w:id="1"/>
      </w:r>
      <w:r w:rsidR="00ED0334" w:rsidRPr="00B44D5A">
        <w:rPr>
          <w:rFonts w:eastAsia="Verdana" w:cs="Verdana"/>
          <w:sz w:val="20"/>
          <w:szCs w:val="20"/>
          <w:lang w:val="es-CR"/>
        </w:rPr>
        <w:t>.</w:t>
      </w:r>
    </w:p>
    <w:p w:rsidR="009B2CB2" w:rsidRPr="00B44D5A" w:rsidRDefault="009B2CB2" w:rsidP="009B2CB2">
      <w:pPr>
        <w:pStyle w:val="Prrafodelista"/>
        <w:rPr>
          <w:rFonts w:ascii="Verdana" w:hAnsi="Verdana"/>
          <w:sz w:val="20"/>
          <w:szCs w:val="20"/>
        </w:rPr>
      </w:pPr>
    </w:p>
    <w:p w:rsidR="00B7123B" w:rsidRPr="00B44D5A" w:rsidRDefault="00B07752" w:rsidP="00B07752">
      <w:pPr>
        <w:pStyle w:val="Prrafodelista1"/>
        <w:jc w:val="both"/>
        <w:rPr>
          <w:sz w:val="20"/>
          <w:szCs w:val="20"/>
        </w:rPr>
      </w:pPr>
      <w:r w:rsidRPr="00B44D5A">
        <w:rPr>
          <w:rFonts w:eastAsia="Verdana" w:cs="Verdana"/>
          <w:sz w:val="20"/>
          <w:szCs w:val="20"/>
          <w:lang w:val="es-CR"/>
        </w:rPr>
        <w:t>4.</w:t>
      </w:r>
      <w:r w:rsidRPr="00B44D5A">
        <w:rPr>
          <w:rFonts w:eastAsia="Verdana" w:cs="Verdana"/>
          <w:sz w:val="20"/>
          <w:szCs w:val="20"/>
          <w:lang w:val="es-CR"/>
        </w:rPr>
        <w:tab/>
      </w:r>
      <w:r w:rsidR="00ED0334" w:rsidRPr="00B44D5A">
        <w:rPr>
          <w:rFonts w:eastAsia="Verdana" w:cs="Verdana"/>
          <w:sz w:val="20"/>
          <w:szCs w:val="20"/>
          <w:lang w:val="es-CR"/>
        </w:rPr>
        <w:t>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La orden de adoptar medidas es aplicable siempre y cuando se reúnan los requisitos básicos de extrema gravedad y urgencia y de la prevención de daños irreparables a las personas. De esta manera, las medidas provisionales se transforman en una verdadera garantía jurisdiccional de carácter preventivo</w:t>
      </w:r>
      <w:r w:rsidR="00EE3911" w:rsidRPr="00B44D5A">
        <w:rPr>
          <w:rStyle w:val="Refdenotaalpie"/>
          <w:rFonts w:eastAsia="Verdana" w:cs="Verdana"/>
          <w:sz w:val="20"/>
          <w:szCs w:val="20"/>
          <w:lang w:val="es-CR"/>
        </w:rPr>
        <w:footnoteReference w:id="2"/>
      </w:r>
      <w:r w:rsidR="00ED0334" w:rsidRPr="00B44D5A">
        <w:rPr>
          <w:rFonts w:eastAsia="Verdana" w:cs="Verdana"/>
          <w:sz w:val="20"/>
          <w:szCs w:val="20"/>
          <w:lang w:val="es-CR"/>
        </w:rPr>
        <w:t>.</w:t>
      </w:r>
    </w:p>
    <w:p w:rsidR="00B7123B" w:rsidRPr="00B44D5A" w:rsidRDefault="00B7123B" w:rsidP="00B7123B">
      <w:pPr>
        <w:pStyle w:val="Prrafodelista"/>
        <w:rPr>
          <w:rFonts w:ascii="Verdana" w:eastAsia="Verdana" w:hAnsi="Verdana" w:cs="Verdana"/>
          <w:sz w:val="20"/>
          <w:szCs w:val="20"/>
          <w:lang w:val="es-CR"/>
        </w:rPr>
      </w:pPr>
    </w:p>
    <w:p w:rsidR="00D07398" w:rsidRPr="00B44D5A" w:rsidRDefault="000879AA" w:rsidP="000879AA">
      <w:pPr>
        <w:pStyle w:val="Prrafodelista1"/>
        <w:jc w:val="both"/>
        <w:rPr>
          <w:sz w:val="20"/>
          <w:szCs w:val="20"/>
        </w:rPr>
      </w:pPr>
      <w:r w:rsidRPr="00B44D5A">
        <w:rPr>
          <w:rFonts w:eastAsia="Verdana" w:cs="Verdana"/>
          <w:sz w:val="20"/>
          <w:szCs w:val="20"/>
          <w:lang w:val="es-CR"/>
        </w:rPr>
        <w:t>5.</w:t>
      </w:r>
      <w:r w:rsidRPr="00B44D5A">
        <w:rPr>
          <w:rFonts w:eastAsia="Verdana" w:cs="Verdana"/>
          <w:sz w:val="20"/>
          <w:szCs w:val="20"/>
          <w:lang w:val="es-CR"/>
        </w:rPr>
        <w:tab/>
      </w:r>
      <w:r w:rsidR="000019CA" w:rsidRPr="00B44D5A">
        <w:rPr>
          <w:rFonts w:eastAsia="Verdana" w:cs="Verdana"/>
          <w:sz w:val="20"/>
          <w:szCs w:val="20"/>
          <w:lang w:val="es-CR"/>
        </w:rPr>
        <w:t xml:space="preserve">El estándar de apreciación </w:t>
      </w:r>
      <w:r w:rsidR="000019CA" w:rsidRPr="00B44D5A">
        <w:rPr>
          <w:rFonts w:eastAsia="Verdana" w:cs="Verdana"/>
          <w:i/>
          <w:sz w:val="20"/>
          <w:szCs w:val="20"/>
          <w:lang w:val="es-CR"/>
        </w:rPr>
        <w:t xml:space="preserve">prima facie </w:t>
      </w:r>
      <w:r w:rsidR="000019CA" w:rsidRPr="00B44D5A">
        <w:rPr>
          <w:rFonts w:eastAsia="Verdana" w:cs="Verdana"/>
          <w:sz w:val="20"/>
          <w:szCs w:val="20"/>
          <w:lang w:val="es-CR"/>
        </w:rPr>
        <w:t>en un asunto y la aplicación de presunciones ante las necesidades de protección han llevado a la Corte a ordenar medidas en distintas ocasiones</w:t>
      </w:r>
      <w:r w:rsidR="00B76A94" w:rsidRPr="00B44D5A">
        <w:rPr>
          <w:rFonts w:eastAsia="Verdana" w:cs="Verdana"/>
          <w:sz w:val="20"/>
          <w:szCs w:val="20"/>
          <w:lang w:val="es-CR"/>
        </w:rPr>
        <w:t xml:space="preserve"> tratándose de situaciones carcelarias</w:t>
      </w:r>
      <w:r w:rsidR="000019CA" w:rsidRPr="00B44D5A">
        <w:rPr>
          <w:rStyle w:val="Refdenotaalpie"/>
          <w:rFonts w:eastAsia="Verdana" w:cs="Verdana"/>
          <w:sz w:val="20"/>
          <w:szCs w:val="20"/>
          <w:lang w:val="es-CR"/>
        </w:rPr>
        <w:footnoteReference w:id="3"/>
      </w:r>
      <w:r w:rsidR="00E8502D" w:rsidRPr="00B44D5A">
        <w:rPr>
          <w:rFonts w:eastAsia="Verdana" w:cs="Verdana"/>
          <w:sz w:val="20"/>
          <w:szCs w:val="20"/>
          <w:lang w:val="es-CR"/>
        </w:rPr>
        <w:t xml:space="preserve"> y de personas </w:t>
      </w:r>
      <w:r w:rsidR="000019CA" w:rsidRPr="00B44D5A">
        <w:rPr>
          <w:rFonts w:eastAsia="Verdana" w:cs="Verdana"/>
          <w:sz w:val="20"/>
          <w:szCs w:val="20"/>
          <w:lang w:val="es-CR"/>
        </w:rPr>
        <w:t>privadas de libertad en un centro de detención</w:t>
      </w:r>
      <w:r w:rsidR="000019CA" w:rsidRPr="00B44D5A">
        <w:rPr>
          <w:rStyle w:val="Refdenotaalpie"/>
          <w:rFonts w:eastAsia="Verdana" w:cs="Verdana"/>
          <w:sz w:val="20"/>
          <w:szCs w:val="20"/>
          <w:lang w:val="es-CR"/>
        </w:rPr>
        <w:footnoteReference w:id="4"/>
      </w:r>
      <w:r w:rsidR="000019CA" w:rsidRPr="00B44D5A">
        <w:rPr>
          <w:rFonts w:eastAsia="Verdana" w:cs="Verdana"/>
          <w:sz w:val="20"/>
          <w:szCs w:val="20"/>
          <w:lang w:val="es-CR"/>
        </w:rPr>
        <w:t xml:space="preserve">. En el presente asunto, la Comisión Interamericana solicitó </w:t>
      </w:r>
      <w:r w:rsidR="0054207C" w:rsidRPr="00B44D5A">
        <w:rPr>
          <w:rFonts w:eastAsia="Verdana" w:cs="Verdana"/>
          <w:sz w:val="20"/>
          <w:szCs w:val="20"/>
          <w:lang w:val="es-CR"/>
        </w:rPr>
        <w:t>al</w:t>
      </w:r>
      <w:r w:rsidR="000019CA" w:rsidRPr="00B44D5A">
        <w:rPr>
          <w:rFonts w:eastAsia="Verdana" w:cs="Verdana"/>
          <w:sz w:val="20"/>
          <w:szCs w:val="20"/>
          <w:lang w:val="es-CR"/>
        </w:rPr>
        <w:t xml:space="preserve"> Tribunal que ordene la protección de </w:t>
      </w:r>
      <w:r w:rsidR="009659E8" w:rsidRPr="00B44D5A">
        <w:rPr>
          <w:rFonts w:eastAsia="Verdana" w:cs="Verdana"/>
          <w:sz w:val="20"/>
          <w:szCs w:val="20"/>
          <w:lang w:val="es-CR"/>
        </w:rPr>
        <w:t>diecisiete</w:t>
      </w:r>
      <w:r w:rsidR="00B7123B" w:rsidRPr="00B44D5A">
        <w:rPr>
          <w:rFonts w:eastAsia="Verdana" w:cs="Verdana"/>
          <w:sz w:val="20"/>
          <w:szCs w:val="20"/>
          <w:lang w:val="es-CR"/>
        </w:rPr>
        <w:t xml:space="preserve"> personas</w:t>
      </w:r>
      <w:r w:rsidR="000019CA" w:rsidRPr="00B44D5A">
        <w:rPr>
          <w:rFonts w:eastAsia="Verdana" w:cs="Verdana"/>
          <w:sz w:val="20"/>
          <w:szCs w:val="20"/>
          <w:lang w:val="es-CR"/>
        </w:rPr>
        <w:t xml:space="preserve"> que se encuentren </w:t>
      </w:r>
      <w:r w:rsidR="007C51FB" w:rsidRPr="00B44D5A">
        <w:rPr>
          <w:rFonts w:eastAsia="Verdana" w:cs="Verdana"/>
          <w:sz w:val="20"/>
          <w:szCs w:val="20"/>
          <w:lang w:val="es-CR"/>
        </w:rPr>
        <w:t xml:space="preserve">privadas de libertad </w:t>
      </w:r>
      <w:r w:rsidR="000019CA" w:rsidRPr="00B44D5A">
        <w:rPr>
          <w:rFonts w:eastAsia="Verdana" w:cs="Verdana"/>
          <w:sz w:val="20"/>
          <w:szCs w:val="20"/>
          <w:lang w:val="es-CR"/>
        </w:rPr>
        <w:t xml:space="preserve">en </w:t>
      </w:r>
      <w:r w:rsidR="00D07398" w:rsidRPr="00B44D5A">
        <w:rPr>
          <w:rFonts w:eastAsia="Verdana" w:cs="Verdana"/>
          <w:sz w:val="20"/>
          <w:szCs w:val="20"/>
          <w:lang w:val="es-CR"/>
        </w:rPr>
        <w:t>los centros penitenciarios de “La Modelo” en el caso de los hombres y “La Esperanza” en el caso de las mujeres</w:t>
      </w:r>
      <w:r w:rsidR="007C6F1D" w:rsidRPr="00B44D5A">
        <w:rPr>
          <w:rFonts w:eastAsia="Verdana" w:cs="Verdana"/>
          <w:sz w:val="20"/>
          <w:szCs w:val="20"/>
          <w:lang w:val="es-CR"/>
        </w:rPr>
        <w:t>, en Nicaragua</w:t>
      </w:r>
      <w:r w:rsidR="000019CA" w:rsidRPr="00B44D5A">
        <w:rPr>
          <w:rFonts w:eastAsia="Verdana" w:cs="Verdana"/>
          <w:sz w:val="20"/>
          <w:szCs w:val="20"/>
          <w:lang w:val="es-CR"/>
        </w:rPr>
        <w:t>.</w:t>
      </w:r>
    </w:p>
    <w:p w:rsidR="00D07398" w:rsidRPr="00B44D5A" w:rsidRDefault="00D07398" w:rsidP="00D07398">
      <w:pPr>
        <w:pStyle w:val="Prrafodelista"/>
        <w:rPr>
          <w:rFonts w:ascii="Verdana" w:eastAsia="Verdana" w:hAnsi="Verdana" w:cs="Verdana"/>
          <w:sz w:val="20"/>
          <w:szCs w:val="20"/>
          <w:lang w:val="es-CR"/>
        </w:rPr>
      </w:pPr>
    </w:p>
    <w:p w:rsidR="00D07398" w:rsidRPr="00B44D5A" w:rsidRDefault="000879AA" w:rsidP="000879AA">
      <w:pPr>
        <w:pStyle w:val="Prrafodelista1"/>
        <w:jc w:val="both"/>
        <w:rPr>
          <w:sz w:val="20"/>
          <w:szCs w:val="20"/>
        </w:rPr>
      </w:pPr>
      <w:r w:rsidRPr="00B44D5A">
        <w:rPr>
          <w:rFonts w:eastAsia="Verdana" w:cs="Verdana"/>
          <w:sz w:val="20"/>
          <w:szCs w:val="20"/>
          <w:lang w:val="es-CR"/>
        </w:rPr>
        <w:t>6.</w:t>
      </w:r>
      <w:r w:rsidRPr="00B44D5A">
        <w:rPr>
          <w:rFonts w:eastAsia="Verdana" w:cs="Verdana"/>
          <w:sz w:val="20"/>
          <w:szCs w:val="20"/>
          <w:lang w:val="es-CR"/>
        </w:rPr>
        <w:tab/>
      </w:r>
      <w:r w:rsidR="00ED0334" w:rsidRPr="00B44D5A">
        <w:rPr>
          <w:rFonts w:eastAsia="Verdana" w:cs="Verdana"/>
          <w:sz w:val="20"/>
          <w:szCs w:val="20"/>
          <w:lang w:val="es-CR"/>
        </w:rPr>
        <w:t xml:space="preserve">La Corte ha considerado necesario aclarar que, en vista del carácter tutelar de las medidas provisionales, excepcionalmente, es posible que las ordene, </w:t>
      </w:r>
      <w:r w:rsidR="00097E28" w:rsidRPr="00B44D5A">
        <w:rPr>
          <w:rFonts w:eastAsia="Verdana" w:cs="Verdana"/>
          <w:sz w:val="20"/>
          <w:szCs w:val="20"/>
          <w:lang w:val="es-CR"/>
        </w:rPr>
        <w:t>aun</w:t>
      </w:r>
      <w:r w:rsidR="00ED0334" w:rsidRPr="00B44D5A">
        <w:rPr>
          <w:rFonts w:eastAsia="Verdana" w:cs="Verdana"/>
          <w:sz w:val="20"/>
          <w:szCs w:val="20"/>
          <w:lang w:val="es-CR"/>
        </w:rPr>
        <w:t xml:space="preserve"> cuando no exista propiamente un caso contencioso en el Sistema Interamericano, en situaciones que, </w:t>
      </w:r>
      <w:r w:rsidR="00ED0334" w:rsidRPr="00B44D5A">
        <w:rPr>
          <w:rFonts w:eastAsia="Verdana" w:cs="Verdana"/>
          <w:i/>
          <w:sz w:val="20"/>
          <w:szCs w:val="20"/>
          <w:lang w:val="es-CR"/>
        </w:rPr>
        <w:t>prima facie</w:t>
      </w:r>
      <w:r w:rsidR="00ED0334" w:rsidRPr="00B44D5A">
        <w:rPr>
          <w:rFonts w:eastAsia="Verdana" w:cs="Verdana"/>
          <w:sz w:val="20"/>
          <w:szCs w:val="20"/>
          <w:lang w:val="es-CR"/>
        </w:rPr>
        <w:t xml:space="preserve">, puedan tener como resultado una afectación grave </w:t>
      </w:r>
      <w:r w:rsidR="00097E28" w:rsidRPr="00B44D5A">
        <w:rPr>
          <w:rFonts w:eastAsia="Verdana" w:cs="Verdana"/>
          <w:sz w:val="20"/>
          <w:szCs w:val="20"/>
          <w:lang w:val="es-CR"/>
        </w:rPr>
        <w:t>e</w:t>
      </w:r>
      <w:r w:rsidR="00ED0334" w:rsidRPr="00B44D5A">
        <w:rPr>
          <w:rFonts w:eastAsia="Verdana" w:cs="Verdana"/>
          <w:sz w:val="20"/>
          <w:szCs w:val="20"/>
          <w:lang w:val="es-CR"/>
        </w:rPr>
        <w:t xml:space="preserve"> inminente de derechos humanos. Para ello, se debe hacer una valoración del problema planteado, la efectividad de las acciones estatales frente a la situación descrita</w:t>
      </w:r>
      <w:r w:rsidR="0054207C" w:rsidRPr="00B44D5A">
        <w:rPr>
          <w:rFonts w:eastAsia="Verdana" w:cs="Verdana"/>
          <w:sz w:val="20"/>
          <w:szCs w:val="20"/>
          <w:lang w:val="es-CR"/>
        </w:rPr>
        <w:t>,</w:t>
      </w:r>
      <w:r w:rsidR="00ED0334" w:rsidRPr="00B44D5A">
        <w:rPr>
          <w:rFonts w:eastAsia="Verdana" w:cs="Verdana"/>
          <w:sz w:val="20"/>
          <w:szCs w:val="20"/>
          <w:lang w:val="es-CR"/>
        </w:rPr>
        <w:t xml:space="preserve"> y el grado de desprotección en que quedarían las personas sobre quienes se solicitan medidas en caso de que éstas no sean adoptadas. Para lograr este objetivo es necesario que la Comisión Interamericana presente una motivación suficiente que abarque los criterios señalados y que el Estado no demuestre en forma clara y suficiente la efectividad de determinadas medidas que haya adoptado en el fuero interno</w:t>
      </w:r>
      <w:r w:rsidR="00EE3911" w:rsidRPr="00B44D5A">
        <w:rPr>
          <w:rStyle w:val="Refdenotaalpie"/>
          <w:rFonts w:eastAsia="Verdana" w:cs="Verdana"/>
          <w:sz w:val="20"/>
          <w:szCs w:val="20"/>
          <w:lang w:val="es-CR"/>
        </w:rPr>
        <w:footnoteReference w:id="5"/>
      </w:r>
      <w:r w:rsidR="00ED0334" w:rsidRPr="00B44D5A">
        <w:rPr>
          <w:rFonts w:eastAsia="Verdana" w:cs="Verdana"/>
          <w:sz w:val="20"/>
          <w:szCs w:val="20"/>
          <w:lang w:val="es-CR"/>
        </w:rPr>
        <w:t>.</w:t>
      </w:r>
      <w:r w:rsidR="005F5A67" w:rsidRPr="00B44D5A">
        <w:rPr>
          <w:rFonts w:eastAsia="Verdana" w:cs="Verdana"/>
          <w:sz w:val="20"/>
          <w:szCs w:val="20"/>
          <w:lang w:val="es-CR"/>
        </w:rPr>
        <w:t xml:space="preserve"> Además, </w:t>
      </w:r>
      <w:r w:rsidR="00986B91" w:rsidRPr="00B44D5A">
        <w:rPr>
          <w:rFonts w:eastAsia="Verdana" w:cs="Verdana"/>
          <w:sz w:val="20"/>
          <w:szCs w:val="20"/>
          <w:lang w:val="es-CR"/>
        </w:rPr>
        <w:t>es</w:t>
      </w:r>
      <w:r w:rsidR="005F5A67" w:rsidRPr="00B44D5A">
        <w:rPr>
          <w:rFonts w:eastAsia="Verdana" w:cs="Verdana"/>
          <w:sz w:val="20"/>
          <w:szCs w:val="20"/>
          <w:lang w:val="es-CR"/>
        </w:rPr>
        <w:t xml:space="preserve"> importante tener presente el contexto dentro del cual se solicita la adopción de medidas provisionales.</w:t>
      </w:r>
    </w:p>
    <w:p w:rsidR="00E8502D" w:rsidRPr="00B44D5A" w:rsidRDefault="00E8502D" w:rsidP="00E8502D">
      <w:pPr>
        <w:pStyle w:val="Prrafodelista"/>
        <w:rPr>
          <w:rFonts w:ascii="Verdana" w:hAnsi="Verdana"/>
          <w:sz w:val="20"/>
          <w:szCs w:val="20"/>
        </w:rPr>
      </w:pPr>
    </w:p>
    <w:p w:rsidR="00E8502D" w:rsidRPr="00B44D5A" w:rsidRDefault="0037721F" w:rsidP="0037721F">
      <w:pPr>
        <w:pStyle w:val="Prrafodelista1"/>
        <w:jc w:val="both"/>
        <w:rPr>
          <w:sz w:val="20"/>
          <w:szCs w:val="20"/>
        </w:rPr>
      </w:pPr>
      <w:r w:rsidRPr="00B44D5A">
        <w:rPr>
          <w:sz w:val="20"/>
          <w:szCs w:val="20"/>
        </w:rPr>
        <w:t>7.</w:t>
      </w:r>
      <w:r w:rsidRPr="00B44D5A">
        <w:rPr>
          <w:sz w:val="20"/>
          <w:szCs w:val="20"/>
        </w:rPr>
        <w:tab/>
      </w:r>
      <w:r w:rsidR="00E8502D" w:rsidRPr="00B44D5A">
        <w:rPr>
          <w:sz w:val="20"/>
          <w:szCs w:val="20"/>
        </w:rPr>
        <w:t xml:space="preserve">A efectos de analizar la solicitud de medidas provisionales presentadas por la Comisión, </w:t>
      </w:r>
      <w:r w:rsidR="0054207C" w:rsidRPr="00B44D5A">
        <w:rPr>
          <w:sz w:val="20"/>
          <w:szCs w:val="20"/>
        </w:rPr>
        <w:t>el Presidente</w:t>
      </w:r>
      <w:r w:rsidR="00E8502D" w:rsidRPr="00B44D5A">
        <w:rPr>
          <w:sz w:val="20"/>
          <w:szCs w:val="20"/>
        </w:rPr>
        <w:t xml:space="preserve"> examinará (a) los argumentos de la Comisión y el Estado, para luego (b) realizar las consideraciones que correspondan.</w:t>
      </w:r>
    </w:p>
    <w:p w:rsidR="00E8502D" w:rsidRPr="00B44D5A" w:rsidRDefault="00E8502D" w:rsidP="00E8502D">
      <w:pPr>
        <w:pStyle w:val="Prrafodelista1"/>
        <w:jc w:val="both"/>
        <w:rPr>
          <w:rFonts w:eastAsia="MS Mincho"/>
          <w:sz w:val="20"/>
          <w:szCs w:val="20"/>
          <w:lang w:val="es-ES_tradnl"/>
        </w:rPr>
      </w:pPr>
    </w:p>
    <w:p w:rsidR="00E8502D" w:rsidRPr="00B44D5A" w:rsidRDefault="00E8502D" w:rsidP="00E8502D">
      <w:pPr>
        <w:pStyle w:val="Prrafodelista1"/>
        <w:numPr>
          <w:ilvl w:val="2"/>
          <w:numId w:val="27"/>
        </w:numPr>
        <w:tabs>
          <w:tab w:val="clear" w:pos="2340"/>
          <w:tab w:val="num" w:pos="1418"/>
        </w:tabs>
        <w:ind w:left="1418" w:hanging="425"/>
        <w:jc w:val="both"/>
        <w:rPr>
          <w:b/>
          <w:i/>
          <w:sz w:val="20"/>
          <w:szCs w:val="20"/>
        </w:rPr>
      </w:pPr>
      <w:r w:rsidRPr="00B44D5A">
        <w:rPr>
          <w:b/>
          <w:i/>
          <w:sz w:val="20"/>
          <w:szCs w:val="20"/>
        </w:rPr>
        <w:t>Solicitud presentada por la Comisión y observaciones del Estado</w:t>
      </w:r>
    </w:p>
    <w:p w:rsidR="00D07398" w:rsidRPr="00B44D5A" w:rsidRDefault="00D07398" w:rsidP="00E8502D">
      <w:pPr>
        <w:pStyle w:val="Prrafodelista"/>
        <w:ind w:left="0"/>
        <w:rPr>
          <w:rFonts w:ascii="Verdana" w:eastAsia="Verdana" w:hAnsi="Verdana" w:cs="Verdana"/>
          <w:sz w:val="20"/>
          <w:szCs w:val="20"/>
          <w:lang w:val="es-CR"/>
        </w:rPr>
      </w:pPr>
    </w:p>
    <w:p w:rsidR="00E8502D" w:rsidRPr="00B44D5A" w:rsidRDefault="0037721F" w:rsidP="0037721F">
      <w:pPr>
        <w:jc w:val="both"/>
        <w:rPr>
          <w:rFonts w:ascii="Verdana" w:hAnsi="Verdana"/>
          <w:sz w:val="20"/>
          <w:szCs w:val="20"/>
          <w:lang w:val="es-ES"/>
        </w:rPr>
      </w:pPr>
      <w:r w:rsidRPr="00B44D5A">
        <w:rPr>
          <w:rFonts w:ascii="Verdana" w:hAnsi="Verdana"/>
          <w:sz w:val="20"/>
          <w:szCs w:val="20"/>
          <w:lang w:val="es-CR"/>
        </w:rPr>
        <w:t>8.</w:t>
      </w:r>
      <w:r w:rsidRPr="00B44D5A">
        <w:rPr>
          <w:rFonts w:ascii="Verdana" w:hAnsi="Verdana"/>
          <w:sz w:val="20"/>
          <w:szCs w:val="20"/>
          <w:lang w:val="es-CR"/>
        </w:rPr>
        <w:tab/>
      </w:r>
      <w:r w:rsidR="00E8502D" w:rsidRPr="00B44D5A">
        <w:rPr>
          <w:rFonts w:ascii="Verdana" w:hAnsi="Verdana"/>
          <w:sz w:val="20"/>
          <w:szCs w:val="20"/>
          <w:lang w:val="es-ES"/>
        </w:rPr>
        <w:t xml:space="preserve">Los argumentos de la </w:t>
      </w:r>
      <w:r w:rsidR="00E8502D" w:rsidRPr="00B44D5A">
        <w:rPr>
          <w:rFonts w:ascii="Verdana" w:hAnsi="Verdana"/>
          <w:b/>
          <w:i/>
          <w:sz w:val="20"/>
          <w:szCs w:val="20"/>
          <w:lang w:val="es-ES"/>
        </w:rPr>
        <w:t>Comisión</w:t>
      </w:r>
      <w:r w:rsidR="00E8502D" w:rsidRPr="00B44D5A">
        <w:rPr>
          <w:rFonts w:ascii="Verdana" w:hAnsi="Verdana"/>
          <w:sz w:val="20"/>
          <w:szCs w:val="20"/>
          <w:lang w:val="es-ES"/>
        </w:rPr>
        <w:t xml:space="preserve"> para fundamentar su solicitud de medidas provisionales son los siguientes: </w:t>
      </w:r>
    </w:p>
    <w:p w:rsidR="00E8502D" w:rsidRPr="00B44D5A" w:rsidRDefault="00E8502D" w:rsidP="00E8502D">
      <w:pPr>
        <w:tabs>
          <w:tab w:val="num" w:pos="709"/>
        </w:tabs>
        <w:jc w:val="both"/>
        <w:rPr>
          <w:rFonts w:ascii="Verdana" w:hAnsi="Verdana"/>
          <w:color w:val="C00000"/>
          <w:sz w:val="20"/>
          <w:szCs w:val="20"/>
          <w:lang w:val="es-ES"/>
        </w:rPr>
      </w:pPr>
    </w:p>
    <w:p w:rsidR="00E8502D" w:rsidRPr="00B44D5A" w:rsidRDefault="00E8502D" w:rsidP="00E8502D">
      <w:pPr>
        <w:numPr>
          <w:ilvl w:val="1"/>
          <w:numId w:val="1"/>
        </w:numPr>
        <w:tabs>
          <w:tab w:val="clear" w:pos="990"/>
          <w:tab w:val="num" w:pos="0"/>
        </w:tabs>
        <w:ind w:left="709" w:firstLine="0"/>
        <w:jc w:val="both"/>
        <w:rPr>
          <w:rFonts w:ascii="Verdana" w:hAnsi="Verdana"/>
          <w:i/>
          <w:sz w:val="20"/>
          <w:szCs w:val="20"/>
          <w:lang w:val="es-ES"/>
        </w:rPr>
      </w:pPr>
      <w:r w:rsidRPr="00B44D5A">
        <w:rPr>
          <w:rFonts w:ascii="Verdana" w:hAnsi="Verdana"/>
          <w:i/>
          <w:sz w:val="20"/>
          <w:szCs w:val="20"/>
          <w:lang w:val="es-ES"/>
        </w:rPr>
        <w:t xml:space="preserve"> Las circunstancias específicas que rodearon la privación de la libertad de los solicitantes </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 xml:space="preserve">Que la privación de la libertad de los solicitantes está estrechamente ligada a su participación en diversas manifestaciones en contra del actual gobierno de Nicaragua desde el 18 de abril de 2018 o la difusión a través de medios de comunicación de manifestaciones y de represalias de actores estatales y no estatales. Los solicitantes ostentaban diversos roles de liderazgo o dirección en los movimientos estudiantiles, universitarios, campesinos, defensores o periodísticos, lo cual además generaba que tuvieran un alto perfil público y una alta visibilidad durante sus manifestaciones, participaciones e intervenciones en contra de determinadas políticas y actuaciones emprendidas por el gobierno de Nicaragua y los sectores que representa. </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Que valoró diversos factores de riesgo ocurridos antes de la privación de la libertad de los solicitantes. Estos factores incluyeron amenazas de muerte hacia los solicitantes y sus familiares, seguimiento de motorizados o camionetas con personas no identificadas, agresiones dentro y fuera de las manifestaciones por agentes estatales o grupos presuntamente ajenos al gobierno, agresiones a familiares cercanos, ingresos no autorizados a domicilios de las personas o sus familiares, campañas de estigmatización o difamación con miras a crear un clima de hostilidad contra las personas tildándolas de “terroristas” o “golpistas” a través de diversos medios de difusión, entre otros. Estos factores de riesgo tenían características específicas en relación con periodistas y líderes campesinos.</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 xml:space="preserve">Que en sus labores de monitoreo realizadas por el </w:t>
      </w:r>
      <w:r w:rsidR="006A1BCE" w:rsidRPr="00B44D5A">
        <w:rPr>
          <w:rFonts w:ascii="Verdana" w:hAnsi="Verdana"/>
          <w:sz w:val="20"/>
          <w:szCs w:val="20"/>
          <w:lang w:val="es-ES"/>
        </w:rPr>
        <w:t>Mecanismo de Seguimiento para Nicaragua (</w:t>
      </w:r>
      <w:r w:rsidRPr="00B44D5A">
        <w:rPr>
          <w:rFonts w:ascii="Verdana" w:hAnsi="Verdana"/>
          <w:sz w:val="20"/>
          <w:szCs w:val="20"/>
          <w:lang w:val="es-ES"/>
        </w:rPr>
        <w:t>MESENI</w:t>
      </w:r>
      <w:r w:rsidR="006A1BCE" w:rsidRPr="00B44D5A">
        <w:rPr>
          <w:rFonts w:ascii="Verdana" w:hAnsi="Verdana"/>
          <w:sz w:val="20"/>
          <w:szCs w:val="20"/>
          <w:lang w:val="es-ES"/>
        </w:rPr>
        <w:t>)</w:t>
      </w:r>
      <w:r w:rsidRPr="00B44D5A">
        <w:rPr>
          <w:rFonts w:ascii="Verdana" w:hAnsi="Verdana"/>
          <w:sz w:val="20"/>
          <w:szCs w:val="20"/>
          <w:lang w:val="es-ES"/>
        </w:rPr>
        <w:t>, recibió información consistente según la cual</w:t>
      </w:r>
      <w:r w:rsidR="000A5F1C">
        <w:rPr>
          <w:rFonts w:ascii="Verdana" w:hAnsi="Verdana"/>
          <w:sz w:val="20"/>
          <w:szCs w:val="20"/>
          <w:lang w:val="es-ES"/>
        </w:rPr>
        <w:t xml:space="preserve"> el Estado</w:t>
      </w:r>
      <w:r w:rsidRPr="00B44D5A">
        <w:rPr>
          <w:rFonts w:ascii="Verdana" w:hAnsi="Verdana"/>
          <w:sz w:val="20"/>
          <w:szCs w:val="20"/>
          <w:lang w:val="es-ES"/>
        </w:rPr>
        <w:t xml:space="preserve"> desplegó una actividad dirigida a reprimir la protesta social, en la cual se produjeron los principales eventos de violencia en contra de la población nicaragüense. Posteriormente, se identificó una segunda etapa que consistió en una estrategia de persecución judicial y criminalización contra las personas percibidas como opositoras al régimen, manifes</w:t>
      </w:r>
      <w:r w:rsidR="00B80C0B" w:rsidRPr="00B44D5A">
        <w:rPr>
          <w:rFonts w:ascii="Verdana" w:hAnsi="Verdana"/>
          <w:sz w:val="20"/>
          <w:szCs w:val="20"/>
          <w:lang w:val="es-ES"/>
        </w:rPr>
        <w:t>tantes, estudiantes, activistas,</w:t>
      </w:r>
      <w:r w:rsidRPr="00B44D5A">
        <w:rPr>
          <w:rFonts w:ascii="Verdana" w:hAnsi="Verdana"/>
          <w:sz w:val="20"/>
          <w:szCs w:val="20"/>
          <w:lang w:val="es-ES"/>
        </w:rPr>
        <w:t xml:space="preserve"> defensores de derechos humanos</w:t>
      </w:r>
      <w:r w:rsidR="00B80C0B" w:rsidRPr="00B44D5A">
        <w:rPr>
          <w:rFonts w:ascii="Verdana" w:hAnsi="Verdana"/>
          <w:sz w:val="20"/>
          <w:szCs w:val="20"/>
          <w:lang w:val="es-ES"/>
        </w:rPr>
        <w:t xml:space="preserve"> y periodistas</w:t>
      </w:r>
      <w:r w:rsidRPr="00B44D5A">
        <w:rPr>
          <w:rFonts w:ascii="Verdana" w:hAnsi="Verdana"/>
          <w:sz w:val="20"/>
          <w:szCs w:val="20"/>
          <w:lang w:val="es-ES"/>
        </w:rPr>
        <w:t>. Las personas detenidas fueron llevadas inicialmente a la Dirección de Auxilio Judicial en M</w:t>
      </w:r>
      <w:r w:rsidR="00C577B9">
        <w:rPr>
          <w:rFonts w:ascii="Verdana" w:hAnsi="Verdana"/>
          <w:sz w:val="20"/>
          <w:szCs w:val="20"/>
          <w:lang w:val="es-ES"/>
        </w:rPr>
        <w:t>anagua conocido como “El Chipot</w:t>
      </w:r>
      <w:r w:rsidRPr="00B44D5A">
        <w:rPr>
          <w:rFonts w:ascii="Verdana" w:hAnsi="Verdana"/>
          <w:sz w:val="20"/>
          <w:szCs w:val="20"/>
          <w:lang w:val="es-ES"/>
        </w:rPr>
        <w:t xml:space="preserve">e” y, finalmente, a las cárceles de “La Esperanza” y “La Modelo”. </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 xml:space="preserve">Que existió una instauración generalizada de procesos penales por los delitos de terrorismo, crimen organizado y entorpecimiento de servicios públicos, que existió una práctica generalizada de dictar prisión preventiva de forma automática en estos casos, y que se reportó la reforma del tipo penal de terrorismo y la creación de otros delitos mediante la Ley No 977 contra el lavado de activos, el financiamiento al terrorismo y el financiamiento a la proliferación de armas de destrucción masiva, cuya redacción permitiría una aplicación subjetiva de los mismos. En este contexto de criminalización fue que se identificaron las detenciones de los diecisiete solicitantes. </w:t>
      </w:r>
    </w:p>
    <w:p w:rsidR="00E8502D" w:rsidRPr="00B44D5A" w:rsidRDefault="00E8502D" w:rsidP="00E8502D">
      <w:pPr>
        <w:tabs>
          <w:tab w:val="num" w:pos="0"/>
        </w:tabs>
        <w:ind w:left="709"/>
        <w:jc w:val="both"/>
        <w:rPr>
          <w:rFonts w:ascii="Verdana" w:hAnsi="Verdana"/>
          <w:b/>
          <w:sz w:val="20"/>
          <w:szCs w:val="20"/>
          <w:lang w:val="es-ES"/>
        </w:rPr>
      </w:pPr>
    </w:p>
    <w:p w:rsidR="00E8502D" w:rsidRPr="00B44D5A" w:rsidRDefault="00E8502D" w:rsidP="00E8502D">
      <w:pPr>
        <w:numPr>
          <w:ilvl w:val="1"/>
          <w:numId w:val="1"/>
        </w:numPr>
        <w:tabs>
          <w:tab w:val="clear" w:pos="990"/>
          <w:tab w:val="num" w:pos="0"/>
        </w:tabs>
        <w:ind w:left="709" w:firstLine="0"/>
        <w:jc w:val="both"/>
        <w:rPr>
          <w:rFonts w:ascii="Verdana" w:hAnsi="Verdana"/>
          <w:i/>
          <w:sz w:val="20"/>
          <w:szCs w:val="20"/>
          <w:lang w:val="es-ES"/>
        </w:rPr>
      </w:pPr>
      <w:r w:rsidRPr="00B44D5A">
        <w:rPr>
          <w:rFonts w:ascii="Verdana" w:hAnsi="Verdana"/>
          <w:i/>
          <w:sz w:val="20"/>
          <w:szCs w:val="20"/>
          <w:lang w:val="es-ES"/>
        </w:rPr>
        <w:t>Las precarias condiciones de detención y restricciones que encuentran los solicitantes</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Que las condiciones de detención son precarias y reflejan una serie de restricciones para el acceso a alimentos, tratamiento médico y visitas de parte de familiares y representantes legales. Los 11 solicitantes varones privados de libertad en la cárcel “La Modelo” se encuentran en condiciones de “máxima seguridad” o con severas limitaciones: celdas pequeñas, temperaturas severamente altas que causan sofocación y afecciones en la piel, condiciones de higiene altamente precarias, existencia de ambientes totalmente oscuros sin corriente de aire, ausencia de energía eléctrica y acceso continuo a agua potable. En tales espacios existiría presencia de mosquitos, cucarachas y alacranes, que en algunos casos habrían picado a algunos solicitantes.</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Que en términos generales no se les permitiría a los solicitantes varones salir a tomar la luz del día o a respirar aire en espacios abiertos, por lo que permanecen prácticamente todo el tiempo en sus celdas. Algunas celdas son tan calurosas que son conocidas como “El Infiernillo” o “Infiernito”, y en muchos de los casos de las personas identificadas, los agentes del Estado los tendrían en celdas de castigo por tiempos prolongados e, incluso, hasta totalmente aislados. Esta situación ha tenido un impacto severo en la salud mental de las personas. Que las condiciones en que se encuentran las 6 mujeres solicitantes en “La Esperanza” son igualmente restrictivas.</w:t>
      </w:r>
      <w:r w:rsidRPr="00B44D5A">
        <w:rPr>
          <w:rFonts w:ascii="Verdana" w:hAnsi="Verdana"/>
          <w:b/>
          <w:sz w:val="20"/>
          <w:szCs w:val="20"/>
          <w:lang w:val="es-ES"/>
        </w:rPr>
        <w:t xml:space="preserve"> </w:t>
      </w:r>
      <w:r w:rsidRPr="00B44D5A">
        <w:rPr>
          <w:rFonts w:ascii="Verdana" w:hAnsi="Verdana"/>
          <w:sz w:val="20"/>
          <w:szCs w:val="20"/>
          <w:lang w:val="es-ES"/>
        </w:rPr>
        <w:t>Algunas de ellas serían sacadas a tomar el sol por</w:t>
      </w:r>
      <w:r w:rsidR="000A5F1C">
        <w:rPr>
          <w:rFonts w:ascii="Verdana" w:hAnsi="Verdana"/>
          <w:sz w:val="20"/>
          <w:szCs w:val="20"/>
          <w:lang w:val="es-ES"/>
        </w:rPr>
        <w:t xml:space="preserve"> 20 o</w:t>
      </w:r>
      <w:r w:rsidRPr="00B44D5A">
        <w:rPr>
          <w:rFonts w:ascii="Verdana" w:hAnsi="Verdana"/>
          <w:sz w:val="20"/>
          <w:szCs w:val="20"/>
          <w:lang w:val="es-ES"/>
        </w:rPr>
        <w:t xml:space="preserve"> 30 minutos, donde se les tomarían fotografías y videos. Las</w:t>
      </w:r>
      <w:r w:rsidR="00326699">
        <w:rPr>
          <w:rFonts w:ascii="Verdana" w:hAnsi="Verdana"/>
          <w:sz w:val="20"/>
          <w:szCs w:val="20"/>
          <w:lang w:val="es-ES"/>
        </w:rPr>
        <w:t xml:space="preserve"> detenidas serían</w:t>
      </w:r>
      <w:r w:rsidRPr="00B44D5A">
        <w:rPr>
          <w:rFonts w:ascii="Verdana" w:hAnsi="Verdana"/>
          <w:sz w:val="20"/>
          <w:szCs w:val="20"/>
          <w:lang w:val="es-ES"/>
        </w:rPr>
        <w:t xml:space="preserve"> vigiladas de forma permanente a través de cámaras y sistemas de sonido, lo que comprometería su intimidad en las celdas. </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Que las comidas que reciben los detenidos en “La Modelo” contienen vidrio, metales e incluso insectos molidos. Los familiares solo pueden ingresar “lo mínimo” de comida. Se indicó que quienes comen los alimentos entregados en el centro de detención padecen dolor de estómago, y que se expresó que de manera recurrente los alimentos entregados están muy cercanos a estar en estado de putrefacción. Las detenidas en “La Esperanza” no reciben una adecuada alimentación, existiendo restricciones a los familiares para que entreguen alimentos.</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Que pese a las reiteradas solicitudes de familiares y representantes legales no se ofrecerían los diagnósticos y análisis realizados por médicos calificados que se requerirían atendiendo a la condición de salud de los solicitantes. De esta forma</w:t>
      </w:r>
      <w:r w:rsidR="00FE7AAB">
        <w:rPr>
          <w:rFonts w:ascii="Verdana" w:hAnsi="Verdana"/>
          <w:sz w:val="20"/>
          <w:szCs w:val="20"/>
          <w:lang w:val="es-ES"/>
        </w:rPr>
        <w:t>,</w:t>
      </w:r>
      <w:r w:rsidRPr="00B44D5A">
        <w:rPr>
          <w:rFonts w:ascii="Verdana" w:hAnsi="Verdana"/>
          <w:sz w:val="20"/>
          <w:szCs w:val="20"/>
          <w:lang w:val="es-ES"/>
        </w:rPr>
        <w:t xml:space="preserve"> se les dejaría sufriendo de determinados padecimientos, o sin una certeza respecto a su situación médica. Algunas de las enfermedades o padecimientos serían producto de las condiciones de detención o mala alimentación. No se habrían realizado valoraciones médicas </w:t>
      </w:r>
      <w:r w:rsidR="00375F6F">
        <w:rPr>
          <w:rFonts w:ascii="Verdana" w:hAnsi="Verdana"/>
          <w:sz w:val="20"/>
          <w:szCs w:val="20"/>
          <w:lang w:val="es-ES"/>
        </w:rPr>
        <w:t>a</w:t>
      </w:r>
      <w:r w:rsidRPr="00B44D5A">
        <w:rPr>
          <w:rFonts w:ascii="Verdana" w:hAnsi="Verdana"/>
          <w:sz w:val="20"/>
          <w:szCs w:val="20"/>
          <w:lang w:val="es-ES"/>
        </w:rPr>
        <w:t xml:space="preserve"> 10 solicitantes. </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b/>
          <w:sz w:val="20"/>
          <w:szCs w:val="20"/>
          <w:lang w:val="es-ES"/>
        </w:rPr>
      </w:pPr>
      <w:r w:rsidRPr="00B44D5A">
        <w:rPr>
          <w:rFonts w:ascii="Verdana" w:hAnsi="Verdana"/>
          <w:sz w:val="20"/>
          <w:szCs w:val="20"/>
          <w:lang w:val="es-ES"/>
        </w:rPr>
        <w:t>Que se identifican severas restricciones de los 17 solicitantes para tener acceso a familiares y abogados, lo cual resulta especialmente serio teniendo en cuenta el impacto que tiene en poder conocer la situación que guardan sus derechos y en las posibilidades de ejercer una debida defensa. Se habrían instalado micrófonos y cámaras que los mantienen en un permanente régimen de vigilancia y control, y en general los familiares no pudieron visitar a los solicitantes durante los primeros días o meses a partir de la detención. Las visitas se podrían realizar de forma mensual y por espacios menores a una hora, y se verificarían a través de un vidrio y mediante un teléfono, lo que presuntamente permitiría a los funcionarios que escucharan sus conversaciones.</w:t>
      </w:r>
    </w:p>
    <w:p w:rsidR="00E8502D" w:rsidRPr="00B44D5A" w:rsidRDefault="00E8502D" w:rsidP="00E8502D">
      <w:pPr>
        <w:tabs>
          <w:tab w:val="num" w:pos="0"/>
        </w:tabs>
        <w:ind w:left="709"/>
        <w:jc w:val="both"/>
        <w:rPr>
          <w:rFonts w:ascii="Verdana" w:hAnsi="Verdana"/>
          <w:i/>
          <w:sz w:val="20"/>
          <w:szCs w:val="20"/>
          <w:lang w:val="es-ES"/>
        </w:rPr>
      </w:pPr>
    </w:p>
    <w:p w:rsidR="00E8502D" w:rsidRPr="00B44D5A" w:rsidRDefault="00E8502D" w:rsidP="00E8502D">
      <w:pPr>
        <w:numPr>
          <w:ilvl w:val="1"/>
          <w:numId w:val="1"/>
        </w:numPr>
        <w:tabs>
          <w:tab w:val="clear" w:pos="990"/>
          <w:tab w:val="num" w:pos="0"/>
        </w:tabs>
        <w:ind w:left="709" w:firstLine="0"/>
        <w:jc w:val="both"/>
        <w:rPr>
          <w:rFonts w:ascii="Verdana" w:hAnsi="Verdana"/>
          <w:i/>
          <w:sz w:val="20"/>
          <w:szCs w:val="20"/>
          <w:lang w:val="es-ES"/>
        </w:rPr>
      </w:pPr>
      <w:r w:rsidRPr="00B44D5A">
        <w:rPr>
          <w:rFonts w:ascii="Verdana" w:hAnsi="Verdana"/>
          <w:i/>
          <w:sz w:val="20"/>
          <w:szCs w:val="20"/>
          <w:lang w:val="es-ES"/>
        </w:rPr>
        <w:t>La persistencia de actos de violencia y agresiones en el contexto de la privación de la libertad</w:t>
      </w:r>
    </w:p>
    <w:p w:rsidR="00E8502D" w:rsidRPr="00B44D5A" w:rsidRDefault="00E8502D" w:rsidP="00E8502D">
      <w:pPr>
        <w:tabs>
          <w:tab w:val="num" w:pos="0"/>
        </w:tabs>
        <w:ind w:left="709"/>
        <w:jc w:val="both"/>
        <w:rPr>
          <w:rFonts w:ascii="Verdana" w:hAnsi="Verdana"/>
          <w:sz w:val="20"/>
          <w:szCs w:val="20"/>
          <w:lang w:val="es-ES"/>
        </w:rPr>
      </w:pPr>
    </w:p>
    <w:p w:rsidR="00E8502D" w:rsidRPr="00B44D5A" w:rsidRDefault="00E8502D" w:rsidP="00E8502D">
      <w:pPr>
        <w:tabs>
          <w:tab w:val="num" w:pos="0"/>
        </w:tabs>
        <w:ind w:left="709"/>
        <w:jc w:val="both"/>
        <w:rPr>
          <w:rFonts w:ascii="Verdana" w:hAnsi="Verdana"/>
          <w:sz w:val="20"/>
          <w:szCs w:val="20"/>
          <w:lang w:val="es-ES"/>
        </w:rPr>
      </w:pPr>
      <w:r w:rsidRPr="00B44D5A">
        <w:rPr>
          <w:rFonts w:ascii="Verdana" w:hAnsi="Verdana"/>
          <w:sz w:val="20"/>
          <w:szCs w:val="20"/>
          <w:lang w:val="es-ES"/>
        </w:rPr>
        <w:t>Que a pesar de que el contexto de libertad dificulta acceder a la información sobre las posibles agresiones que ocurren dentro de los centros de detención, algunos de ellos han sido conocidos. Estos hechos han sido calificados por los familiares de los solicitantes como “abuso físico” y hasta “tortura física y psicológica”. Según se informó, los solicitantes viven bajo amenaza y temor de ser objeto de represalias por parte de los funcionarios en el área de máxima seguridad.</w:t>
      </w:r>
      <w:r w:rsidRPr="00B44D5A">
        <w:rPr>
          <w:rFonts w:ascii="Verdana" w:hAnsi="Verdana"/>
          <w:b/>
          <w:sz w:val="20"/>
          <w:szCs w:val="20"/>
          <w:lang w:val="es-ES"/>
        </w:rPr>
        <w:t xml:space="preserve"> </w:t>
      </w:r>
      <w:r w:rsidRPr="00B44D5A">
        <w:rPr>
          <w:rFonts w:ascii="Verdana" w:hAnsi="Verdana"/>
          <w:sz w:val="20"/>
          <w:szCs w:val="20"/>
          <w:lang w:val="es-ES"/>
        </w:rPr>
        <w:t xml:space="preserve">En el caso de las mujeres en “La Esperanza”, el 26 de octubre de 2018 fueron víctimas de agresiones físicas y psicológicas por parte de 25 custodios presuntamente a raíz de las protestas que realizaron en la cárcel. Esto incluyó una “golpiza” por más de una hora a </w:t>
      </w:r>
      <w:r w:rsidR="00514D1B">
        <w:rPr>
          <w:rFonts w:ascii="Verdana" w:hAnsi="Verdana"/>
          <w:sz w:val="20"/>
          <w:szCs w:val="20"/>
          <w:lang w:val="es-ES"/>
        </w:rPr>
        <w:t>varias</w:t>
      </w:r>
      <w:r w:rsidRPr="00B44D5A">
        <w:rPr>
          <w:rFonts w:ascii="Verdana" w:hAnsi="Verdana"/>
          <w:sz w:val="20"/>
          <w:szCs w:val="20"/>
          <w:lang w:val="es-ES"/>
        </w:rPr>
        <w:t xml:space="preserve"> de ellas. </w:t>
      </w:r>
    </w:p>
    <w:p w:rsidR="00E8502D" w:rsidRPr="00B44D5A" w:rsidRDefault="00E8502D" w:rsidP="00E8502D">
      <w:pPr>
        <w:tabs>
          <w:tab w:val="num" w:pos="0"/>
        </w:tabs>
        <w:ind w:left="709"/>
        <w:jc w:val="both"/>
        <w:rPr>
          <w:rFonts w:ascii="Verdana" w:hAnsi="Verdana"/>
          <w:sz w:val="20"/>
          <w:szCs w:val="20"/>
          <w:lang w:val="es-ES"/>
        </w:rPr>
      </w:pPr>
    </w:p>
    <w:p w:rsidR="00C8518A" w:rsidRPr="00B44D5A" w:rsidRDefault="00E8502D" w:rsidP="00C8518A">
      <w:pPr>
        <w:tabs>
          <w:tab w:val="num" w:pos="0"/>
        </w:tabs>
        <w:ind w:left="709"/>
        <w:jc w:val="both"/>
        <w:rPr>
          <w:rFonts w:ascii="Verdana" w:hAnsi="Verdana"/>
          <w:sz w:val="20"/>
          <w:szCs w:val="20"/>
          <w:lang w:val="es-ES"/>
        </w:rPr>
      </w:pPr>
      <w:r w:rsidRPr="00B44D5A">
        <w:rPr>
          <w:rFonts w:ascii="Verdana" w:hAnsi="Verdana"/>
          <w:sz w:val="20"/>
          <w:szCs w:val="20"/>
          <w:lang w:val="es-ES"/>
        </w:rPr>
        <w:t>Que a otros se les quitó absolutamente toda la alimentación hasta el día en que sus familiares les habrían llevado sus alimentos semanales. La información también indica que existieron tocamientos indebidos y golpes a algunos de los solicitantes. Asimismo, se informó que a algunos de ellos se les habría visto públicamente con las manos encadenadas y portando grilletes en los pies. En el caso d</w:t>
      </w:r>
      <w:r w:rsidR="002E51EE">
        <w:rPr>
          <w:rFonts w:ascii="Verdana" w:hAnsi="Verdana"/>
          <w:sz w:val="20"/>
          <w:szCs w:val="20"/>
          <w:lang w:val="es-ES"/>
        </w:rPr>
        <w:t>e uno de los solicitantes se le</w:t>
      </w:r>
      <w:r w:rsidRPr="00B44D5A">
        <w:rPr>
          <w:rFonts w:ascii="Verdana" w:hAnsi="Verdana"/>
          <w:sz w:val="20"/>
          <w:szCs w:val="20"/>
          <w:lang w:val="es-ES"/>
        </w:rPr>
        <w:t xml:space="preserve"> obligaría a realizar 50 sentadillas con los grilletes puestos cada vez que abandonara su celda y también al momento de ingresar a ella. En marzo de 2019, cuando un grupo de presos habrían subido al techo de la cárcel para protestar, se desplegó un operativo que reprimió a tales personas. Una de ellas habría sido violentamente golpead</w:t>
      </w:r>
      <w:r w:rsidR="002E51EE">
        <w:rPr>
          <w:rFonts w:ascii="Verdana" w:hAnsi="Verdana"/>
          <w:sz w:val="20"/>
          <w:szCs w:val="20"/>
          <w:lang w:val="es-ES"/>
        </w:rPr>
        <w:t>a y rociada</w:t>
      </w:r>
      <w:r w:rsidRPr="00B44D5A">
        <w:rPr>
          <w:rFonts w:ascii="Verdana" w:hAnsi="Verdana"/>
          <w:sz w:val="20"/>
          <w:szCs w:val="20"/>
          <w:lang w:val="es-ES"/>
        </w:rPr>
        <w:t xml:space="preserve"> directamente con gas pimienta en los ojos.</w:t>
      </w:r>
    </w:p>
    <w:p w:rsidR="00C8518A" w:rsidRPr="00B44D5A" w:rsidRDefault="00C8518A" w:rsidP="00C8518A">
      <w:pPr>
        <w:tabs>
          <w:tab w:val="num" w:pos="0"/>
        </w:tabs>
        <w:jc w:val="both"/>
        <w:rPr>
          <w:rFonts w:ascii="Verdana" w:hAnsi="Verdana"/>
          <w:sz w:val="20"/>
          <w:szCs w:val="20"/>
          <w:lang w:val="es-ES"/>
        </w:rPr>
      </w:pPr>
    </w:p>
    <w:p w:rsidR="00E8502D" w:rsidRPr="00B44D5A" w:rsidRDefault="009B1039" w:rsidP="009B1039">
      <w:pPr>
        <w:jc w:val="both"/>
        <w:rPr>
          <w:rFonts w:ascii="Verdana" w:hAnsi="Verdana"/>
          <w:b/>
          <w:sz w:val="20"/>
          <w:szCs w:val="20"/>
          <w:lang w:val="es-ES"/>
        </w:rPr>
      </w:pPr>
      <w:r>
        <w:rPr>
          <w:rFonts w:ascii="Verdana" w:hAnsi="Verdana"/>
          <w:sz w:val="20"/>
          <w:szCs w:val="20"/>
        </w:rPr>
        <w:t>9.</w:t>
      </w:r>
      <w:r>
        <w:rPr>
          <w:rFonts w:ascii="Verdana" w:hAnsi="Verdana"/>
          <w:sz w:val="20"/>
          <w:szCs w:val="20"/>
        </w:rPr>
        <w:tab/>
      </w:r>
      <w:r w:rsidR="00E8502D" w:rsidRPr="00B44D5A">
        <w:rPr>
          <w:rFonts w:ascii="Verdana" w:hAnsi="Verdana"/>
          <w:sz w:val="20"/>
          <w:szCs w:val="20"/>
        </w:rPr>
        <w:t xml:space="preserve">La Comisión solicitó a la Corte que requiera al Estado que adopte las medidas necesarias para garantizar la salud, vida e integridad personal de los solicitantes; adopte </w:t>
      </w:r>
      <w:r w:rsidR="00E8502D" w:rsidRPr="00B44D5A">
        <w:rPr>
          <w:rFonts w:ascii="Verdana" w:eastAsia="Times New Roman" w:hAnsi="Verdana" w:cs="Calibri"/>
          <w:sz w:val="20"/>
          <w:szCs w:val="20"/>
          <w:lang w:val="es-CR" w:eastAsia="es-CR"/>
        </w:rPr>
        <w:t xml:space="preserve">las medidas necesarias para que las personas beneficiarias puedan acceder de manera inmediata a las valoraciones especializadas en salud que sean necesarias para determinar las condiciones médicas en las que actualmente se encuentran, y determinar las atenciones médicas que sean necesarias, así como asegurar que efectivamente sean recibidas. </w:t>
      </w:r>
      <w:r w:rsidR="00E8502D" w:rsidRPr="00B44D5A">
        <w:rPr>
          <w:rFonts w:ascii="Verdana" w:eastAsia="Times New Roman" w:hAnsi="Verdana" w:cs="Cambria"/>
          <w:sz w:val="20"/>
          <w:szCs w:val="20"/>
          <w:lang w:val="es-CR" w:eastAsia="es-CR"/>
        </w:rPr>
        <w:t>Además, la Comisión solicitó que, tomando en cuenta el agravamiento de la situación riesgo a la vida e integridad personal como resultado de las circunstancias que rodean la privación de libertad de las personas identificadas, así como la necesidad de salvaguardar tales derechos, se le solicite a las autoridades competentes que adopten, a la luz de los estándares aplicables, medidas alternativas a la privación de la libertad como medio para salvaguardar sus derechos. Finalmente, la Comisión solicitó que la Corte ordene a Nicaragua que concierte las medidas a adoptarse con las personas beneficiarias y sus representantes.</w:t>
      </w:r>
    </w:p>
    <w:p w:rsidR="00E8502D" w:rsidRPr="00B44D5A" w:rsidRDefault="00E8502D" w:rsidP="00E8502D">
      <w:pPr>
        <w:pStyle w:val="Prrafodelista1"/>
        <w:jc w:val="both"/>
        <w:rPr>
          <w:sz w:val="20"/>
          <w:szCs w:val="20"/>
        </w:rPr>
      </w:pPr>
    </w:p>
    <w:p w:rsidR="00E91B82" w:rsidRPr="00B44D5A" w:rsidRDefault="009B1039" w:rsidP="00AA47BD">
      <w:pPr>
        <w:jc w:val="both"/>
        <w:rPr>
          <w:rFonts w:ascii="Verdana" w:hAnsi="Verdana"/>
          <w:sz w:val="20"/>
          <w:szCs w:val="20"/>
          <w:lang w:val="es-ES"/>
        </w:rPr>
      </w:pPr>
      <w:r>
        <w:rPr>
          <w:rFonts w:ascii="Verdana" w:hAnsi="Verdana"/>
          <w:sz w:val="20"/>
          <w:szCs w:val="20"/>
          <w:lang w:val="es-ES"/>
        </w:rPr>
        <w:t>10.</w:t>
      </w:r>
      <w:r>
        <w:rPr>
          <w:rFonts w:ascii="Verdana" w:hAnsi="Verdana"/>
          <w:sz w:val="20"/>
          <w:szCs w:val="20"/>
          <w:lang w:val="es-ES"/>
        </w:rPr>
        <w:tab/>
      </w:r>
      <w:r w:rsidR="00E8502D" w:rsidRPr="00B44D5A">
        <w:rPr>
          <w:rFonts w:ascii="Verdana" w:hAnsi="Verdana"/>
          <w:sz w:val="20"/>
          <w:szCs w:val="20"/>
          <w:lang w:val="es-ES"/>
        </w:rPr>
        <w:t xml:space="preserve">Las observaciones del </w:t>
      </w:r>
      <w:r w:rsidR="00E8502D" w:rsidRPr="00B44D5A">
        <w:rPr>
          <w:rFonts w:ascii="Verdana" w:hAnsi="Verdana"/>
          <w:b/>
          <w:i/>
          <w:sz w:val="20"/>
          <w:szCs w:val="20"/>
          <w:lang w:val="es-ES"/>
        </w:rPr>
        <w:t xml:space="preserve">Estado </w:t>
      </w:r>
      <w:r w:rsidR="00E8502D" w:rsidRPr="00B44D5A">
        <w:rPr>
          <w:rFonts w:ascii="Verdana" w:hAnsi="Verdana"/>
          <w:sz w:val="20"/>
          <w:szCs w:val="20"/>
          <w:lang w:val="es-ES"/>
        </w:rPr>
        <w:t>respecto a la solicitud de medidas provisionales</w:t>
      </w:r>
      <w:r w:rsidR="00C8518A" w:rsidRPr="00B44D5A">
        <w:rPr>
          <w:rFonts w:ascii="Verdana" w:hAnsi="Verdana"/>
          <w:sz w:val="20"/>
          <w:szCs w:val="20"/>
          <w:lang w:val="es-ES"/>
        </w:rPr>
        <w:t xml:space="preserve"> son la</w:t>
      </w:r>
      <w:r w:rsidR="00E8502D" w:rsidRPr="00B44D5A">
        <w:rPr>
          <w:rFonts w:ascii="Verdana" w:hAnsi="Verdana"/>
          <w:sz w:val="20"/>
          <w:szCs w:val="20"/>
          <w:lang w:val="es-ES"/>
        </w:rPr>
        <w:t xml:space="preserve">s siguientes: </w:t>
      </w:r>
    </w:p>
    <w:p w:rsidR="00E91B82" w:rsidRPr="00B44D5A" w:rsidRDefault="00E91B82" w:rsidP="00E91B82">
      <w:pPr>
        <w:ind w:left="1440"/>
        <w:jc w:val="both"/>
        <w:rPr>
          <w:rFonts w:ascii="Verdana" w:hAnsi="Verdana"/>
          <w:sz w:val="20"/>
          <w:szCs w:val="20"/>
          <w:highlight w:val="yellow"/>
          <w:lang w:val="es-ES"/>
        </w:rPr>
      </w:pPr>
    </w:p>
    <w:p w:rsidR="00E91B82" w:rsidRPr="00B44D5A" w:rsidRDefault="00E91B82" w:rsidP="00E91B82">
      <w:pPr>
        <w:ind w:left="709"/>
        <w:jc w:val="both"/>
        <w:rPr>
          <w:rFonts w:ascii="Verdana" w:hAnsi="Verdana"/>
          <w:sz w:val="20"/>
          <w:szCs w:val="20"/>
          <w:lang w:val="es-NI"/>
        </w:rPr>
      </w:pPr>
      <w:r w:rsidRPr="00B44D5A">
        <w:rPr>
          <w:rFonts w:ascii="Verdana" w:hAnsi="Verdana"/>
          <w:sz w:val="20"/>
          <w:szCs w:val="20"/>
          <w:lang w:val="es-NI"/>
        </w:rPr>
        <w:t>Que reconoce los derechos a la salud, a la vida y a la integridad personal como</w:t>
      </w:r>
      <w:r w:rsidRPr="00B44D5A">
        <w:rPr>
          <w:rFonts w:ascii="Verdana" w:hAnsi="Verdana"/>
          <w:bCs/>
          <w:sz w:val="20"/>
          <w:szCs w:val="20"/>
          <w:lang w:val="es-NI"/>
        </w:rPr>
        <w:t xml:space="preserve"> inherentes a todas las personas</w:t>
      </w:r>
      <w:r w:rsidR="006A1BCE" w:rsidRPr="00B44D5A">
        <w:rPr>
          <w:rFonts w:ascii="Verdana" w:hAnsi="Verdana"/>
          <w:bCs/>
          <w:sz w:val="20"/>
          <w:szCs w:val="20"/>
          <w:lang w:val="es-NI"/>
        </w:rPr>
        <w:t>,</w:t>
      </w:r>
      <w:r w:rsidRPr="00B44D5A">
        <w:rPr>
          <w:rFonts w:ascii="Verdana" w:hAnsi="Verdana"/>
          <w:bCs/>
          <w:sz w:val="20"/>
          <w:szCs w:val="20"/>
          <w:lang w:val="es-NI"/>
        </w:rPr>
        <w:t xml:space="preserve"> e indicó que en los artículos 23, 36 y 59 de la Constitución Política se establece, respectivamente, que el derecho a la vida es inviolable e inherente a la persona humana, </w:t>
      </w:r>
      <w:r w:rsidRPr="00B44D5A">
        <w:rPr>
          <w:rFonts w:ascii="Verdana" w:hAnsi="Verdana"/>
          <w:sz w:val="20"/>
          <w:szCs w:val="20"/>
          <w:lang w:val="es-NI"/>
        </w:rPr>
        <w:t>el derecho al respeto de la integridad física, psíquica y moral y el derecho a la salud como un derecho fundamental plenamente reconocido</w:t>
      </w:r>
      <w:r w:rsidRPr="00B44D5A">
        <w:rPr>
          <w:rFonts w:ascii="Verdana" w:hAnsi="Verdana"/>
          <w:sz w:val="20"/>
          <w:szCs w:val="20"/>
          <w:lang w:val="es-ES"/>
        </w:rPr>
        <w:t>.</w:t>
      </w:r>
    </w:p>
    <w:p w:rsidR="00E91B82" w:rsidRPr="00B44D5A" w:rsidRDefault="00E91B82" w:rsidP="00E91B82">
      <w:pPr>
        <w:ind w:left="709"/>
        <w:jc w:val="both"/>
        <w:rPr>
          <w:rFonts w:ascii="Verdana" w:hAnsi="Verdana"/>
          <w:sz w:val="20"/>
          <w:szCs w:val="20"/>
          <w:lang w:val="es-NI"/>
        </w:rPr>
      </w:pPr>
    </w:p>
    <w:p w:rsidR="00E91B82" w:rsidRPr="00B44D5A" w:rsidRDefault="00E91B82" w:rsidP="00E91B82">
      <w:pPr>
        <w:ind w:left="709"/>
        <w:jc w:val="both"/>
        <w:rPr>
          <w:rFonts w:ascii="Verdana" w:hAnsi="Verdana"/>
          <w:b/>
          <w:sz w:val="20"/>
          <w:szCs w:val="20"/>
          <w:lang w:val="es-ES"/>
        </w:rPr>
      </w:pPr>
      <w:r w:rsidRPr="00B44D5A">
        <w:rPr>
          <w:rFonts w:ascii="Verdana" w:hAnsi="Verdana"/>
          <w:sz w:val="20"/>
          <w:szCs w:val="20"/>
          <w:lang w:val="es-NI"/>
        </w:rPr>
        <w:t>Que</w:t>
      </w:r>
      <w:r w:rsidR="004F0B30">
        <w:rPr>
          <w:rFonts w:ascii="Verdana" w:hAnsi="Verdana"/>
          <w:sz w:val="20"/>
          <w:szCs w:val="20"/>
          <w:lang w:val="es-NI"/>
        </w:rPr>
        <w:t>:</w:t>
      </w:r>
      <w:r w:rsidRPr="00B44D5A">
        <w:rPr>
          <w:rFonts w:ascii="Verdana" w:hAnsi="Verdana"/>
          <w:sz w:val="20"/>
          <w:szCs w:val="20"/>
          <w:lang w:val="es-NI"/>
        </w:rPr>
        <w:t xml:space="preserve"> i) ha venido realizando las acciones necesarias para garantizar la vida, la integridad física y la salud de las personas privadas de libertad en particular; ii) </w:t>
      </w:r>
      <w:r w:rsidR="006A1BCE" w:rsidRPr="00B44D5A">
        <w:rPr>
          <w:rFonts w:ascii="Verdana" w:hAnsi="Verdana"/>
          <w:sz w:val="20"/>
          <w:szCs w:val="20"/>
          <w:lang w:val="es-CR"/>
        </w:rPr>
        <w:t xml:space="preserve">por mandato Constitucional </w:t>
      </w:r>
      <w:r w:rsidRPr="00B44D5A">
        <w:rPr>
          <w:rFonts w:ascii="Verdana" w:hAnsi="Verdana"/>
          <w:sz w:val="20"/>
          <w:szCs w:val="20"/>
          <w:lang w:val="es-NI"/>
        </w:rPr>
        <w:t>la pena tiene un carácter reeducativo</w:t>
      </w:r>
      <w:r w:rsidR="006A1BCE" w:rsidRPr="00B44D5A">
        <w:rPr>
          <w:rFonts w:ascii="Verdana" w:hAnsi="Verdana"/>
          <w:sz w:val="20"/>
          <w:szCs w:val="20"/>
          <w:lang w:val="es-NI"/>
        </w:rPr>
        <w:t>,</w:t>
      </w:r>
      <w:r w:rsidRPr="00B44D5A">
        <w:rPr>
          <w:rFonts w:ascii="Verdana" w:hAnsi="Verdana"/>
          <w:sz w:val="20"/>
          <w:szCs w:val="20"/>
          <w:lang w:val="es-NI"/>
        </w:rPr>
        <w:t xml:space="preserve"> y que de acuerdo a la Constitución Política </w:t>
      </w:r>
      <w:r w:rsidRPr="00B44D5A">
        <w:rPr>
          <w:rFonts w:ascii="Verdana" w:hAnsi="Verdana"/>
          <w:sz w:val="20"/>
          <w:szCs w:val="20"/>
          <w:lang w:val="es-ES"/>
        </w:rPr>
        <w:t xml:space="preserve">el “Sistema Penitenciario es humanitario y tiene como objetivo fundamental la transformación del interno para reintegrarlo a la sociedad”; iii) </w:t>
      </w:r>
      <w:r w:rsidRPr="00B44D5A">
        <w:rPr>
          <w:rFonts w:ascii="Verdana" w:hAnsi="Verdana"/>
          <w:sz w:val="20"/>
          <w:szCs w:val="20"/>
          <w:lang w:val="es-NI"/>
        </w:rPr>
        <w:t>el artículo 36 de l</w:t>
      </w:r>
      <w:r w:rsidR="006A1BCE" w:rsidRPr="00B44D5A">
        <w:rPr>
          <w:rFonts w:ascii="Verdana" w:hAnsi="Verdana"/>
          <w:sz w:val="20"/>
          <w:szCs w:val="20"/>
          <w:lang w:val="es-NI"/>
        </w:rPr>
        <w:t>a Constitución establece que “n</w:t>
      </w:r>
      <w:r w:rsidRPr="00B44D5A">
        <w:rPr>
          <w:rFonts w:ascii="Verdana" w:hAnsi="Verdana"/>
          <w:sz w:val="20"/>
          <w:szCs w:val="20"/>
          <w:lang w:val="es-NI"/>
        </w:rPr>
        <w:t>adie será sometido a torturas, procedimientos, penas ni a tratos crueles, inhumanos o degradantes. La violación de este derecho constituye delito y será penado por la ley”.</w:t>
      </w:r>
      <w:r w:rsidRPr="00B44D5A">
        <w:rPr>
          <w:rFonts w:ascii="Verdana" w:hAnsi="Verdana"/>
          <w:b/>
          <w:sz w:val="20"/>
          <w:szCs w:val="20"/>
          <w:lang w:val="es-ES"/>
        </w:rPr>
        <w:t xml:space="preserve"> </w:t>
      </w:r>
    </w:p>
    <w:p w:rsidR="00E91B82" w:rsidRPr="00B44D5A" w:rsidRDefault="00E91B82" w:rsidP="00E91B82">
      <w:pPr>
        <w:ind w:left="709"/>
        <w:jc w:val="both"/>
        <w:rPr>
          <w:rFonts w:ascii="Verdana" w:hAnsi="Verdana"/>
          <w:b/>
          <w:sz w:val="20"/>
          <w:szCs w:val="20"/>
          <w:lang w:val="es-ES"/>
        </w:rPr>
      </w:pPr>
    </w:p>
    <w:p w:rsidR="00E91B82" w:rsidRPr="00B44D5A" w:rsidRDefault="00E91B82" w:rsidP="00E91B82">
      <w:pPr>
        <w:ind w:left="709"/>
        <w:jc w:val="both"/>
        <w:rPr>
          <w:rFonts w:ascii="Verdana" w:hAnsi="Verdana"/>
          <w:b/>
          <w:sz w:val="20"/>
          <w:szCs w:val="20"/>
          <w:lang w:val="es-ES"/>
        </w:rPr>
      </w:pPr>
      <w:r w:rsidRPr="00B44D5A">
        <w:rPr>
          <w:rFonts w:ascii="Verdana" w:hAnsi="Verdana"/>
          <w:sz w:val="20"/>
          <w:szCs w:val="20"/>
          <w:lang w:val="es-ES"/>
        </w:rPr>
        <w:t xml:space="preserve">En relación con las </w:t>
      </w:r>
      <w:r w:rsidRPr="00B44D5A">
        <w:rPr>
          <w:rFonts w:ascii="Verdana" w:hAnsi="Verdana"/>
          <w:sz w:val="20"/>
          <w:szCs w:val="20"/>
          <w:lang w:val="es-NI"/>
        </w:rPr>
        <w:t xml:space="preserve">las medidas cautelares otorgadas por la </w:t>
      </w:r>
      <w:r w:rsidR="006A1BCE" w:rsidRPr="00B44D5A">
        <w:rPr>
          <w:rFonts w:ascii="Verdana" w:hAnsi="Verdana"/>
          <w:sz w:val="20"/>
          <w:szCs w:val="20"/>
          <w:lang w:val="es-NI"/>
        </w:rPr>
        <w:t>Comisión</w:t>
      </w:r>
      <w:r w:rsidRPr="00B44D5A">
        <w:rPr>
          <w:rFonts w:ascii="Verdana" w:hAnsi="Verdana"/>
          <w:sz w:val="20"/>
          <w:szCs w:val="20"/>
          <w:lang w:val="es-NI"/>
        </w:rPr>
        <w:t xml:space="preserve">, que tiene la voluntad de cumplimiento con esas medidas, y que adoptó el “Protocolo de medidas especiales de protección y seguridad” mediante el cual se implementaron diversas medidas de seguridad y protección. </w:t>
      </w:r>
      <w:r w:rsidR="00DA4615" w:rsidRPr="00B44D5A">
        <w:rPr>
          <w:rFonts w:ascii="Verdana" w:hAnsi="Verdana"/>
          <w:sz w:val="20"/>
          <w:szCs w:val="20"/>
          <w:lang w:val="es-NI"/>
        </w:rPr>
        <w:t>Q</w:t>
      </w:r>
      <w:r w:rsidRPr="00B44D5A">
        <w:rPr>
          <w:rFonts w:ascii="Verdana" w:hAnsi="Verdana"/>
          <w:sz w:val="20"/>
          <w:szCs w:val="20"/>
          <w:lang w:val="es-NI"/>
        </w:rPr>
        <w:t xml:space="preserve">ue informó en su momento a la Comisión que el Procurador General de la República (PGR) invitó a los beneficiarios de las medidas cautelares que se pudo localizar, a presentarse </w:t>
      </w:r>
      <w:r w:rsidR="00DA4615" w:rsidRPr="00B44D5A">
        <w:rPr>
          <w:rFonts w:ascii="Verdana" w:hAnsi="Verdana"/>
          <w:sz w:val="20"/>
          <w:szCs w:val="20"/>
          <w:lang w:val="es-NI"/>
        </w:rPr>
        <w:t xml:space="preserve">a las instalaciones de la PGR, </w:t>
      </w:r>
      <w:r w:rsidRPr="00B44D5A">
        <w:rPr>
          <w:rFonts w:ascii="Verdana" w:hAnsi="Verdana"/>
          <w:sz w:val="20"/>
          <w:szCs w:val="20"/>
          <w:lang w:val="es-NI"/>
        </w:rPr>
        <w:t>para concertar tales medidas partiendo del protocolo de actuación propuesto por la Policía, o de cualquier otra medida que ellos considerasen procedente.</w:t>
      </w:r>
    </w:p>
    <w:p w:rsidR="00E91B82" w:rsidRPr="00B44D5A" w:rsidRDefault="00E91B82" w:rsidP="00E91B82">
      <w:pPr>
        <w:ind w:left="709"/>
        <w:jc w:val="both"/>
        <w:rPr>
          <w:rFonts w:ascii="Verdana" w:hAnsi="Verdana"/>
          <w:sz w:val="20"/>
          <w:szCs w:val="20"/>
          <w:lang w:val="es-NI"/>
        </w:rPr>
      </w:pPr>
    </w:p>
    <w:p w:rsidR="00E91B82" w:rsidRPr="00B44D5A" w:rsidRDefault="00DA4615" w:rsidP="00E91B82">
      <w:pPr>
        <w:ind w:left="709"/>
        <w:jc w:val="both"/>
        <w:rPr>
          <w:rFonts w:ascii="Verdana" w:hAnsi="Verdana"/>
          <w:sz w:val="20"/>
          <w:szCs w:val="20"/>
        </w:rPr>
      </w:pPr>
      <w:r w:rsidRPr="00B44D5A">
        <w:rPr>
          <w:rFonts w:ascii="Verdana" w:hAnsi="Verdana"/>
          <w:sz w:val="20"/>
          <w:szCs w:val="20"/>
          <w:lang w:val="es-NI"/>
        </w:rPr>
        <w:t>Q</w:t>
      </w:r>
      <w:r w:rsidR="00E91B82" w:rsidRPr="00B44D5A">
        <w:rPr>
          <w:rFonts w:ascii="Verdana" w:hAnsi="Verdana"/>
          <w:sz w:val="20"/>
          <w:szCs w:val="20"/>
          <w:lang w:val="es-NI"/>
        </w:rPr>
        <w:t xml:space="preserve">ue es inaceptable el planteamiento de la Comisión, según el cual las medidas debían procurarse a través de un cuerpo de protección civil, no gubernamental, pues esto contradice la Constitución Política y el ordenamiento jurídico. Adicionalmente, que ni la misma </w:t>
      </w:r>
      <w:r w:rsidRPr="00B44D5A">
        <w:rPr>
          <w:rFonts w:ascii="Verdana" w:hAnsi="Verdana"/>
          <w:sz w:val="20"/>
          <w:szCs w:val="20"/>
          <w:lang w:val="es-NI"/>
        </w:rPr>
        <w:t>Comisión</w:t>
      </w:r>
      <w:r w:rsidR="00E91B82" w:rsidRPr="00B44D5A">
        <w:rPr>
          <w:rFonts w:ascii="Verdana" w:hAnsi="Verdana"/>
          <w:sz w:val="20"/>
          <w:szCs w:val="20"/>
          <w:lang w:val="es-NI"/>
        </w:rPr>
        <w:t xml:space="preserve"> tenía la información detallada de las personas a quien le estaba otorgando medidas cautelares, y que nunca proporcionó datos que facilitaran al Estado la localización de las mismas para acordar e implementar dichas medidas.</w:t>
      </w:r>
      <w:r w:rsidRPr="00B44D5A">
        <w:rPr>
          <w:rFonts w:ascii="Verdana" w:hAnsi="Verdana"/>
          <w:sz w:val="20"/>
          <w:szCs w:val="20"/>
        </w:rPr>
        <w:t xml:space="preserve"> </w:t>
      </w:r>
      <w:r w:rsidR="00E91B82" w:rsidRPr="00B44D5A">
        <w:rPr>
          <w:rFonts w:ascii="Verdana" w:hAnsi="Verdana"/>
          <w:sz w:val="20"/>
          <w:szCs w:val="20"/>
          <w:lang w:val="es-NI"/>
        </w:rPr>
        <w:t xml:space="preserve">Finalmente, que muchos beneficiarios y representantes, consideraron suficiente la adopción de tales Medidas por la </w:t>
      </w:r>
      <w:r w:rsidRPr="00B44D5A">
        <w:rPr>
          <w:rFonts w:ascii="Verdana" w:hAnsi="Verdana"/>
          <w:sz w:val="20"/>
          <w:szCs w:val="20"/>
          <w:lang w:val="es-NI"/>
        </w:rPr>
        <w:t>Comisión</w:t>
      </w:r>
      <w:r w:rsidR="00E91B82" w:rsidRPr="00B44D5A">
        <w:rPr>
          <w:rFonts w:ascii="Verdana" w:hAnsi="Verdana"/>
          <w:sz w:val="20"/>
          <w:szCs w:val="20"/>
          <w:lang w:val="es-NI"/>
        </w:rPr>
        <w:t xml:space="preserve"> y no atendieron a la invitación de la Procuraduría General de la República para concretar las referidas Medidas.</w:t>
      </w:r>
    </w:p>
    <w:p w:rsidR="00E91B82" w:rsidRPr="00B44D5A" w:rsidRDefault="00E91B82" w:rsidP="00E91B82">
      <w:pPr>
        <w:ind w:left="709"/>
        <w:jc w:val="both"/>
        <w:rPr>
          <w:rFonts w:ascii="Verdana" w:hAnsi="Verdana"/>
          <w:sz w:val="20"/>
          <w:szCs w:val="20"/>
          <w:lang w:val="es-NI"/>
        </w:rPr>
      </w:pPr>
    </w:p>
    <w:p w:rsidR="00E91B82" w:rsidRPr="00B44D5A" w:rsidRDefault="00E91B82" w:rsidP="00E91B82">
      <w:pPr>
        <w:ind w:left="709"/>
        <w:jc w:val="both"/>
        <w:rPr>
          <w:rFonts w:ascii="Verdana" w:hAnsi="Verdana"/>
          <w:sz w:val="20"/>
          <w:szCs w:val="20"/>
          <w:lang w:val="es-NI"/>
        </w:rPr>
      </w:pPr>
      <w:r w:rsidRPr="00B44D5A">
        <w:rPr>
          <w:rFonts w:ascii="Verdana" w:hAnsi="Verdana"/>
          <w:sz w:val="20"/>
          <w:szCs w:val="20"/>
          <w:lang w:val="es-NI"/>
        </w:rPr>
        <w:t>Sobre l</w:t>
      </w:r>
      <w:r w:rsidR="00DA4615" w:rsidRPr="00B44D5A">
        <w:rPr>
          <w:rFonts w:ascii="Verdana" w:hAnsi="Verdana"/>
          <w:sz w:val="20"/>
          <w:szCs w:val="20"/>
          <w:lang w:val="es-NI"/>
        </w:rPr>
        <w:t xml:space="preserve">a condición jurídica de las 17 </w:t>
      </w:r>
      <w:r w:rsidRPr="00B44D5A">
        <w:rPr>
          <w:rFonts w:ascii="Verdana" w:hAnsi="Verdana"/>
          <w:sz w:val="20"/>
          <w:szCs w:val="20"/>
          <w:lang w:val="es-NI"/>
        </w:rPr>
        <w:t>personas privadas de libertad</w:t>
      </w:r>
      <w:r w:rsidR="00DA4615" w:rsidRPr="00B44D5A">
        <w:rPr>
          <w:rFonts w:ascii="Verdana" w:hAnsi="Verdana"/>
          <w:sz w:val="20"/>
          <w:szCs w:val="20"/>
          <w:lang w:val="es-NI"/>
        </w:rPr>
        <w:t>,</w:t>
      </w:r>
      <w:r w:rsidRPr="00B44D5A">
        <w:rPr>
          <w:rFonts w:ascii="Verdana" w:hAnsi="Verdana"/>
          <w:sz w:val="20"/>
          <w:szCs w:val="20"/>
          <w:lang w:val="es-NI"/>
        </w:rPr>
        <w:t xml:space="preserve"> que en Nicaragua no existen perseguidos, acusados, ni presos políticos y que los hechos que ejecutaron los 17 solicitantes de Medidas Provisionales son constitutivos de delitos comunes, previamente establecidos en el Código Penal.</w:t>
      </w:r>
      <w:r w:rsidRPr="00B44D5A">
        <w:rPr>
          <w:rFonts w:ascii="Verdana" w:hAnsi="Verdana"/>
          <w:b/>
          <w:sz w:val="20"/>
          <w:szCs w:val="20"/>
          <w:lang w:val="es-ES"/>
        </w:rPr>
        <w:t xml:space="preserve"> </w:t>
      </w:r>
      <w:r w:rsidR="00DA4615" w:rsidRPr="00B44D5A">
        <w:rPr>
          <w:rFonts w:ascii="Verdana" w:hAnsi="Verdana"/>
          <w:sz w:val="20"/>
          <w:szCs w:val="20"/>
          <w:lang w:val="es-NI"/>
        </w:rPr>
        <w:t>E</w:t>
      </w:r>
      <w:r w:rsidRPr="00B44D5A">
        <w:rPr>
          <w:rFonts w:ascii="Verdana" w:hAnsi="Verdana"/>
          <w:sz w:val="20"/>
          <w:szCs w:val="20"/>
          <w:lang w:val="es-NI"/>
        </w:rPr>
        <w:t xml:space="preserve">fectuó una descripción de la situación jurídica y los hechos por los cuales serían investigadas o condenadas las 17 personas privadas de la libertad, indicando los motivos por los que habrían sido detenidos y en su caso condenados. </w:t>
      </w:r>
      <w:r w:rsidR="00DA4615" w:rsidRPr="00B44D5A">
        <w:rPr>
          <w:rFonts w:ascii="Verdana" w:hAnsi="Verdana"/>
          <w:sz w:val="20"/>
          <w:szCs w:val="20"/>
          <w:lang w:val="es-NI"/>
        </w:rPr>
        <w:t>M</w:t>
      </w:r>
      <w:r w:rsidRPr="00B44D5A">
        <w:rPr>
          <w:rFonts w:ascii="Verdana" w:hAnsi="Verdana"/>
          <w:sz w:val="20"/>
          <w:szCs w:val="20"/>
          <w:lang w:val="es-NI"/>
        </w:rPr>
        <w:t>anifestó que algunos de ellos fueron puestos en libertad y se les otorgó el beneficio legal de convivencia familiar a partir del 20 de mayo de 2019.</w:t>
      </w:r>
    </w:p>
    <w:p w:rsidR="00E91B82" w:rsidRPr="00B44D5A" w:rsidRDefault="00E91B82" w:rsidP="00E91B82">
      <w:pPr>
        <w:ind w:left="709"/>
        <w:jc w:val="both"/>
        <w:rPr>
          <w:rFonts w:ascii="Verdana" w:hAnsi="Verdana"/>
          <w:sz w:val="20"/>
          <w:szCs w:val="20"/>
          <w:lang w:val="es-NI"/>
        </w:rPr>
      </w:pPr>
    </w:p>
    <w:p w:rsidR="00E91B82" w:rsidRPr="00B44D5A" w:rsidRDefault="00E91B82" w:rsidP="00E91B82">
      <w:pPr>
        <w:ind w:left="709"/>
        <w:jc w:val="both"/>
        <w:rPr>
          <w:rFonts w:ascii="Verdana" w:hAnsi="Verdana"/>
          <w:sz w:val="20"/>
          <w:szCs w:val="20"/>
          <w:lang w:val="es-ES"/>
        </w:rPr>
      </w:pPr>
      <w:r w:rsidRPr="00B44D5A">
        <w:rPr>
          <w:rFonts w:ascii="Verdana" w:hAnsi="Verdana"/>
          <w:sz w:val="20"/>
          <w:szCs w:val="20"/>
          <w:lang w:val="es-NI"/>
        </w:rPr>
        <w:t>En relación con las condiciones penitenciarias de las 17 personas privadas de la libertad</w:t>
      </w:r>
      <w:r w:rsidR="00DA4615" w:rsidRPr="00B44D5A">
        <w:rPr>
          <w:rFonts w:ascii="Verdana" w:hAnsi="Verdana"/>
          <w:sz w:val="20"/>
          <w:szCs w:val="20"/>
          <w:lang w:val="es-NI"/>
        </w:rPr>
        <w:t>,</w:t>
      </w:r>
      <w:r w:rsidRPr="00B44D5A">
        <w:rPr>
          <w:rFonts w:ascii="Verdana" w:hAnsi="Verdana"/>
          <w:sz w:val="20"/>
          <w:szCs w:val="20"/>
          <w:lang w:val="es-NI"/>
        </w:rPr>
        <w:t xml:space="preserve"> indicó que los 11 hombres están en el Centro Penitenciario “Jorge Navarro” en el Municipio de Tipitapa, en dos módulos de reciente construcción, con adecuada ventilación e iluminación, sin hacinamiento, camarotes individuales, colchones y cubre colchones; además de dispositivos sanitarios con separación individualizada para privacidad; duchas, lavanderos y agua potable. Por otro lado, que las 6 mujeres se encuentran recluidas en el “Establecimiento Penitenciario Integral de Mujeres”, igualmente habilitado y equipado con condiciones acordes con estándares nacionales e internacionales de Derechos Humanos.</w:t>
      </w:r>
    </w:p>
    <w:p w:rsidR="00E91B82" w:rsidRPr="00B44D5A" w:rsidRDefault="00E91B82" w:rsidP="00E91B82">
      <w:pPr>
        <w:ind w:left="709"/>
        <w:jc w:val="both"/>
        <w:rPr>
          <w:rFonts w:ascii="Verdana" w:hAnsi="Verdana"/>
          <w:sz w:val="20"/>
          <w:szCs w:val="20"/>
          <w:lang w:val="es-ES"/>
        </w:rPr>
      </w:pPr>
    </w:p>
    <w:p w:rsidR="00E91B82" w:rsidRPr="00B44D5A" w:rsidRDefault="00DA4615" w:rsidP="00E91B82">
      <w:pPr>
        <w:ind w:left="709"/>
        <w:jc w:val="both"/>
        <w:rPr>
          <w:rFonts w:ascii="Verdana" w:hAnsi="Verdana"/>
          <w:sz w:val="20"/>
          <w:szCs w:val="20"/>
          <w:lang w:val="es-ES"/>
        </w:rPr>
      </w:pPr>
      <w:r w:rsidRPr="00B44D5A">
        <w:rPr>
          <w:rFonts w:ascii="Verdana" w:hAnsi="Verdana"/>
          <w:sz w:val="20"/>
          <w:szCs w:val="20"/>
          <w:lang w:val="es-NI"/>
        </w:rPr>
        <w:t>Q</w:t>
      </w:r>
      <w:r w:rsidR="00E91B82" w:rsidRPr="00B44D5A">
        <w:rPr>
          <w:rFonts w:ascii="Verdana" w:hAnsi="Verdana"/>
          <w:sz w:val="20"/>
          <w:szCs w:val="20"/>
          <w:lang w:val="es-NI"/>
        </w:rPr>
        <w:t>ue se ha garantizado la atención en salud siendo</w:t>
      </w:r>
      <w:r w:rsidR="00E91B82" w:rsidRPr="00B44D5A">
        <w:rPr>
          <w:rFonts w:ascii="Verdana" w:hAnsi="Verdana"/>
          <w:bCs/>
          <w:sz w:val="20"/>
          <w:szCs w:val="20"/>
          <w:lang w:val="es-NI"/>
        </w:rPr>
        <w:t xml:space="preserve"> atendidos por médicos y psicólogos, para revisar el estado de salud, efectuar seguimiento y brindar medicamentos</w:t>
      </w:r>
      <w:r w:rsidR="00E91B82" w:rsidRPr="00B44D5A">
        <w:rPr>
          <w:rFonts w:ascii="Verdana" w:hAnsi="Verdana"/>
          <w:sz w:val="20"/>
          <w:szCs w:val="20"/>
          <w:lang w:val="es-ES"/>
        </w:rPr>
        <w:t>; que l</w:t>
      </w:r>
      <w:r w:rsidR="00E91B82" w:rsidRPr="00B44D5A">
        <w:rPr>
          <w:rFonts w:ascii="Verdana" w:hAnsi="Verdana"/>
          <w:bCs/>
          <w:sz w:val="20"/>
          <w:szCs w:val="20"/>
          <w:lang w:val="es-NI"/>
        </w:rPr>
        <w:t>as atenciones especializadas se coordinan con el Ministerio de Salud (MINSA) y el Instituto de Medicina Legal o el Centro Nacional de oftalmología (CNAO)</w:t>
      </w:r>
      <w:r w:rsidR="00E91B82" w:rsidRPr="00B44D5A">
        <w:rPr>
          <w:rFonts w:ascii="Verdana" w:hAnsi="Verdana"/>
          <w:sz w:val="20"/>
          <w:szCs w:val="20"/>
          <w:lang w:val="es-ES"/>
        </w:rPr>
        <w:t xml:space="preserve"> y que, en definitiva, a todos se les han garantizado alimentación (en tres tiempos), agua y luz eléctrica, asignación de colchones, uniformes y camarotes, visitas familiares, visitas conyugales, actividades de sol, pase de paquetes facilitados por sus familiares, de productos de primera necesidad, compras al comisariato de la prisión (agua purificada, productos alimenticios) y llamadas telefónicas.</w:t>
      </w:r>
    </w:p>
    <w:p w:rsidR="00E91B82" w:rsidRPr="00B44D5A" w:rsidRDefault="00E91B82" w:rsidP="00E91B82">
      <w:pPr>
        <w:ind w:left="709"/>
        <w:jc w:val="both"/>
        <w:rPr>
          <w:rFonts w:ascii="Verdana" w:hAnsi="Verdana"/>
          <w:sz w:val="20"/>
          <w:szCs w:val="20"/>
          <w:lang w:val="es-ES"/>
        </w:rPr>
      </w:pPr>
    </w:p>
    <w:p w:rsidR="00E91B82" w:rsidRDefault="00E91B82" w:rsidP="00E91B82">
      <w:pPr>
        <w:ind w:left="709"/>
        <w:jc w:val="both"/>
        <w:rPr>
          <w:rFonts w:ascii="Verdana" w:hAnsi="Verdana"/>
          <w:sz w:val="20"/>
          <w:szCs w:val="20"/>
          <w:lang w:val="es-ES"/>
        </w:rPr>
      </w:pPr>
      <w:r w:rsidRPr="00B44D5A">
        <w:rPr>
          <w:rFonts w:ascii="Verdana" w:hAnsi="Verdana"/>
          <w:sz w:val="20"/>
          <w:szCs w:val="20"/>
          <w:lang w:val="es-CR"/>
        </w:rPr>
        <w:t xml:space="preserve">Sobre la solicitud de medidas alternativas a la privación de la libertad afirmó </w:t>
      </w:r>
      <w:r w:rsidRPr="00B44D5A">
        <w:rPr>
          <w:rFonts w:ascii="Verdana" w:hAnsi="Verdana"/>
          <w:sz w:val="20"/>
          <w:szCs w:val="20"/>
          <w:lang w:val="es-NI"/>
        </w:rPr>
        <w:t xml:space="preserve">que, de acuerdo a la legislación interna, a los acusados se les debe mantener bajo prisión preventiva cuando se trate de los delitos graves donde concurren hechos vinculados a las figuras delictivas de Asesinato, Homicidio, Terrorismo, Crimen Organizado y hechos conexos, </w:t>
      </w:r>
      <w:r w:rsidRPr="00B44D5A">
        <w:rPr>
          <w:rFonts w:ascii="Verdana" w:hAnsi="Verdana"/>
          <w:sz w:val="20"/>
          <w:szCs w:val="20"/>
          <w:lang w:val="es-ES"/>
        </w:rPr>
        <w:t>y concluyó que a las personas solicitantes se les debe mantener en prisión preventiva o cumpliendo condena, de conformidad con la legislación procesal penal interna, garantizando en todo momento su seguridad y asistencia médica cuando esto sea necesario.</w:t>
      </w:r>
    </w:p>
    <w:p w:rsidR="008D33C4" w:rsidRPr="00B44D5A" w:rsidRDefault="008D33C4" w:rsidP="00E91B82">
      <w:pPr>
        <w:ind w:left="709"/>
        <w:jc w:val="both"/>
        <w:rPr>
          <w:rFonts w:ascii="Verdana" w:hAnsi="Verdana"/>
          <w:sz w:val="20"/>
          <w:szCs w:val="20"/>
          <w:lang w:val="es-NI"/>
        </w:rPr>
      </w:pPr>
    </w:p>
    <w:p w:rsidR="00E8502D" w:rsidRPr="00B44D5A" w:rsidRDefault="00E8502D" w:rsidP="00E8502D">
      <w:pPr>
        <w:pStyle w:val="Prrafodelista"/>
        <w:ind w:left="0"/>
        <w:rPr>
          <w:rFonts w:ascii="Verdana" w:eastAsia="Verdana" w:hAnsi="Verdana" w:cs="Verdana"/>
          <w:sz w:val="20"/>
          <w:szCs w:val="20"/>
          <w:lang w:val="es-NI"/>
        </w:rPr>
      </w:pPr>
    </w:p>
    <w:p w:rsidR="00E8502D" w:rsidRPr="00B44D5A" w:rsidRDefault="00E8502D" w:rsidP="00E8502D">
      <w:pPr>
        <w:pStyle w:val="Prrafodelista1"/>
        <w:numPr>
          <w:ilvl w:val="0"/>
          <w:numId w:val="30"/>
        </w:numPr>
        <w:ind w:left="1418"/>
        <w:jc w:val="both"/>
        <w:rPr>
          <w:b/>
          <w:i/>
          <w:sz w:val="20"/>
          <w:szCs w:val="20"/>
        </w:rPr>
      </w:pPr>
      <w:r w:rsidRPr="00B44D5A">
        <w:rPr>
          <w:b/>
          <w:i/>
          <w:sz w:val="20"/>
          <w:szCs w:val="20"/>
        </w:rPr>
        <w:t xml:space="preserve">Consideraciones </w:t>
      </w:r>
      <w:r w:rsidR="005F5A67" w:rsidRPr="00B44D5A">
        <w:rPr>
          <w:b/>
          <w:i/>
          <w:sz w:val="20"/>
          <w:szCs w:val="20"/>
        </w:rPr>
        <w:t>del Presidente</w:t>
      </w:r>
    </w:p>
    <w:p w:rsidR="00E8502D" w:rsidRPr="00B44D5A" w:rsidRDefault="00E8502D" w:rsidP="00E8502D">
      <w:pPr>
        <w:pStyle w:val="Prrafodelista"/>
        <w:ind w:left="0"/>
        <w:rPr>
          <w:rFonts w:ascii="Verdana" w:eastAsia="Verdana" w:hAnsi="Verdana" w:cs="Verdana"/>
          <w:sz w:val="20"/>
          <w:szCs w:val="20"/>
          <w:lang w:val="es-CR"/>
        </w:rPr>
      </w:pPr>
    </w:p>
    <w:p w:rsidR="005F5A67" w:rsidRPr="00B44D5A" w:rsidRDefault="009B1039" w:rsidP="00AA47BD">
      <w:pPr>
        <w:pStyle w:val="Prrafodelista1"/>
        <w:jc w:val="both"/>
        <w:rPr>
          <w:sz w:val="20"/>
          <w:szCs w:val="20"/>
        </w:rPr>
      </w:pPr>
      <w:r>
        <w:rPr>
          <w:rFonts w:eastAsia="Verdana" w:cs="Verdana"/>
          <w:sz w:val="20"/>
          <w:szCs w:val="20"/>
          <w:lang w:val="es-CR"/>
        </w:rPr>
        <w:t>11</w:t>
      </w:r>
      <w:r w:rsidR="00AA47BD" w:rsidRPr="00B44D5A">
        <w:rPr>
          <w:rFonts w:eastAsia="Verdana" w:cs="Verdana"/>
          <w:sz w:val="20"/>
          <w:szCs w:val="20"/>
          <w:lang w:val="es-CR"/>
        </w:rPr>
        <w:t>.</w:t>
      </w:r>
      <w:r w:rsidR="00AA47BD" w:rsidRPr="00B44D5A">
        <w:rPr>
          <w:rFonts w:eastAsia="Verdana" w:cs="Verdana"/>
          <w:sz w:val="20"/>
          <w:szCs w:val="20"/>
          <w:lang w:val="es-CR"/>
        </w:rPr>
        <w:tab/>
      </w:r>
      <w:r w:rsidR="005F5A67" w:rsidRPr="00B44D5A">
        <w:rPr>
          <w:rFonts w:eastAsia="Verdana" w:cs="Verdana"/>
          <w:sz w:val="20"/>
          <w:szCs w:val="20"/>
          <w:lang w:val="es-CR"/>
        </w:rPr>
        <w:t>El Presidente</w:t>
      </w:r>
      <w:r w:rsidR="00E8502D" w:rsidRPr="00B44D5A">
        <w:rPr>
          <w:rFonts w:eastAsia="Verdana" w:cs="Verdana"/>
          <w:sz w:val="20"/>
          <w:szCs w:val="20"/>
          <w:lang w:val="es-CR"/>
        </w:rPr>
        <w:t xml:space="preserve"> reitera que e</w:t>
      </w:r>
      <w:r w:rsidR="00ED0334" w:rsidRPr="00B44D5A">
        <w:rPr>
          <w:rFonts w:eastAsia="Verdana" w:cs="Verdana"/>
          <w:sz w:val="20"/>
          <w:szCs w:val="20"/>
          <w:lang w:val="es-CR"/>
        </w:rPr>
        <w:t>l artículo 63.2 de la Convención exige que para que la Corte pueda disponer de medidas provisionales deben concurrir tres condiciones: i) “extrema gravedad”; ii) “urgencia”, y iii) que se trate de “evitar daños irreparables a las personas”. Estas tres condiciones son coexistentes y deben estar presentes en toda situación en la que se solicite la intervención del Tribunal</w:t>
      </w:r>
      <w:r w:rsidR="00EE3911" w:rsidRPr="00B44D5A">
        <w:rPr>
          <w:rStyle w:val="Refdenotaalpie"/>
          <w:rFonts w:eastAsia="Verdana" w:cs="Verdana"/>
          <w:sz w:val="20"/>
          <w:szCs w:val="20"/>
          <w:lang w:val="es-CR"/>
        </w:rPr>
        <w:footnoteReference w:id="6"/>
      </w:r>
      <w:r w:rsidR="00ED0334" w:rsidRPr="00B44D5A">
        <w:rPr>
          <w:rFonts w:eastAsia="Verdana" w:cs="Verdana"/>
          <w:sz w:val="20"/>
          <w:szCs w:val="20"/>
          <w:lang w:val="es-CR"/>
        </w:rPr>
        <w:t>.</w:t>
      </w:r>
    </w:p>
    <w:p w:rsidR="005F5A67" w:rsidRPr="00B44D5A" w:rsidRDefault="005F5A67" w:rsidP="005F5A67">
      <w:pPr>
        <w:pStyle w:val="Prrafodelista1"/>
        <w:jc w:val="both"/>
        <w:rPr>
          <w:sz w:val="20"/>
          <w:szCs w:val="20"/>
        </w:rPr>
      </w:pPr>
    </w:p>
    <w:p w:rsidR="005F5A67" w:rsidRPr="00B44D5A" w:rsidRDefault="00C97955" w:rsidP="00C97955">
      <w:pPr>
        <w:pStyle w:val="Prrafodelista1"/>
        <w:jc w:val="both"/>
        <w:rPr>
          <w:sz w:val="20"/>
          <w:szCs w:val="20"/>
        </w:rPr>
      </w:pPr>
      <w:r w:rsidRPr="00B44D5A">
        <w:rPr>
          <w:sz w:val="20"/>
          <w:szCs w:val="20"/>
        </w:rPr>
        <w:t>1</w:t>
      </w:r>
      <w:r w:rsidR="009B1039">
        <w:rPr>
          <w:sz w:val="20"/>
          <w:szCs w:val="20"/>
        </w:rPr>
        <w:t>2</w:t>
      </w:r>
      <w:r w:rsidRPr="00B44D5A">
        <w:rPr>
          <w:sz w:val="20"/>
          <w:szCs w:val="20"/>
        </w:rPr>
        <w:t>.</w:t>
      </w:r>
      <w:r w:rsidRPr="00B44D5A">
        <w:rPr>
          <w:sz w:val="20"/>
          <w:szCs w:val="20"/>
        </w:rPr>
        <w:tab/>
      </w:r>
      <w:r w:rsidR="005F5A67" w:rsidRPr="00B44D5A">
        <w:rPr>
          <w:sz w:val="20"/>
          <w:szCs w:val="20"/>
        </w:rPr>
        <w:t>De acuerdo a lo establecido en el artículo 27.6 del Reglamento del Tribunal, si la Corte no se encontrare reunida, el Presidente pued</w:t>
      </w:r>
      <w:r w:rsidR="006A1BCE" w:rsidRPr="00B44D5A">
        <w:rPr>
          <w:sz w:val="20"/>
          <w:szCs w:val="20"/>
        </w:rPr>
        <w:t>e requerir al Estado respectivo</w:t>
      </w:r>
      <w:r w:rsidR="005F5A67" w:rsidRPr="00B44D5A">
        <w:rPr>
          <w:sz w:val="20"/>
          <w:szCs w:val="20"/>
        </w:rPr>
        <w:t xml:space="preserve"> que dicte las providencias urgentes necesarias.</w:t>
      </w:r>
    </w:p>
    <w:p w:rsidR="00D07398" w:rsidRPr="00B44D5A" w:rsidRDefault="00D07398" w:rsidP="00D07398">
      <w:pPr>
        <w:pStyle w:val="Prrafodelista"/>
        <w:rPr>
          <w:rFonts w:ascii="Verdana" w:eastAsia="Verdana" w:hAnsi="Verdana" w:cs="Verdana"/>
          <w:sz w:val="20"/>
          <w:szCs w:val="20"/>
          <w:lang w:val="es-CR"/>
        </w:rPr>
      </w:pPr>
    </w:p>
    <w:p w:rsidR="00D07398" w:rsidRPr="00B44D5A" w:rsidRDefault="00C97955" w:rsidP="00C97955">
      <w:pPr>
        <w:pStyle w:val="Prrafodelista1"/>
        <w:jc w:val="both"/>
        <w:rPr>
          <w:sz w:val="20"/>
          <w:szCs w:val="20"/>
        </w:rPr>
      </w:pPr>
      <w:r w:rsidRPr="00B44D5A">
        <w:rPr>
          <w:rFonts w:eastAsia="Verdana" w:cs="Verdana"/>
          <w:sz w:val="20"/>
          <w:szCs w:val="20"/>
          <w:lang w:val="es-CR"/>
        </w:rPr>
        <w:t>1</w:t>
      </w:r>
      <w:r w:rsidR="009B1039">
        <w:rPr>
          <w:rFonts w:eastAsia="Verdana" w:cs="Verdana"/>
          <w:sz w:val="20"/>
          <w:szCs w:val="20"/>
          <w:lang w:val="es-CR"/>
        </w:rPr>
        <w:t>3</w:t>
      </w:r>
      <w:r w:rsidRPr="00B44D5A">
        <w:rPr>
          <w:rFonts w:eastAsia="Verdana" w:cs="Verdana"/>
          <w:sz w:val="20"/>
          <w:szCs w:val="20"/>
          <w:lang w:val="es-CR"/>
        </w:rPr>
        <w:t>.</w:t>
      </w:r>
      <w:r w:rsidRPr="00B44D5A">
        <w:rPr>
          <w:rFonts w:eastAsia="Verdana" w:cs="Verdana"/>
          <w:sz w:val="20"/>
          <w:szCs w:val="20"/>
          <w:lang w:val="es-CR"/>
        </w:rPr>
        <w:tab/>
      </w:r>
      <w:r w:rsidR="00ED0334" w:rsidRPr="00B44D5A">
        <w:rPr>
          <w:rFonts w:eastAsia="Verdana" w:cs="Verdana"/>
          <w:sz w:val="20"/>
          <w:szCs w:val="20"/>
          <w:lang w:val="es-CR"/>
        </w:rPr>
        <w:t>En cuanto a la gravedad, para efectos de la adopción de medidas provisionales, la Convención requiere que aquélla sea “extrema”, es decir, que se encuentre en su</w:t>
      </w:r>
      <w:r w:rsidR="0066431A" w:rsidRPr="00B44D5A">
        <w:rPr>
          <w:rFonts w:eastAsia="Verdana" w:cs="Verdana"/>
          <w:sz w:val="20"/>
          <w:szCs w:val="20"/>
          <w:lang w:val="es-CR"/>
        </w:rPr>
        <w:t xml:space="preserve"> </w:t>
      </w:r>
      <w:r w:rsidR="00ED0334" w:rsidRPr="00B44D5A">
        <w:rPr>
          <w:rFonts w:eastAsia="Verdana" w:cs="Verdana"/>
          <w:sz w:val="20"/>
          <w:szCs w:val="20"/>
          <w:lang w:val="es-CR"/>
        </w:rPr>
        <w:t>grado más intenso o elevado. El carácter urgente implica que el riesgo o amenaza involucrados sean inminentes, lo cual requiere que la respuesta para remediarlos sea inmediata. Finalmente, en cuanto al daño</w:t>
      </w:r>
      <w:r w:rsidR="00297618" w:rsidRPr="00B44D5A">
        <w:rPr>
          <w:rFonts w:eastAsia="Verdana" w:cs="Verdana"/>
          <w:sz w:val="20"/>
          <w:szCs w:val="20"/>
          <w:lang w:val="es-CR"/>
        </w:rPr>
        <w:t xml:space="preserve"> irreparable</w:t>
      </w:r>
      <w:r w:rsidR="00ED0334" w:rsidRPr="00B44D5A">
        <w:rPr>
          <w:rFonts w:eastAsia="Verdana" w:cs="Verdana"/>
          <w:sz w:val="20"/>
          <w:szCs w:val="20"/>
          <w:lang w:val="es-CR"/>
        </w:rPr>
        <w:t>, debe existir una probabilidad razonable de que se materialice y no debe recaer en bienes o intereses jurídicos que puedan ser reparables</w:t>
      </w:r>
      <w:r w:rsidR="0066431A" w:rsidRPr="00B44D5A">
        <w:rPr>
          <w:rStyle w:val="Refdenotaalpie"/>
          <w:rFonts w:eastAsia="Verdana" w:cs="Verdana"/>
          <w:sz w:val="20"/>
          <w:szCs w:val="20"/>
          <w:lang w:val="es-CR"/>
        </w:rPr>
        <w:footnoteReference w:id="7"/>
      </w:r>
      <w:r w:rsidR="00ED0334" w:rsidRPr="00B44D5A">
        <w:rPr>
          <w:rFonts w:eastAsia="Verdana" w:cs="Verdana"/>
          <w:sz w:val="20"/>
          <w:szCs w:val="20"/>
          <w:lang w:val="es-CR"/>
        </w:rPr>
        <w:t>.</w:t>
      </w:r>
    </w:p>
    <w:p w:rsidR="00D07398" w:rsidRPr="00B44D5A" w:rsidRDefault="00D07398" w:rsidP="00D07398">
      <w:pPr>
        <w:pStyle w:val="Prrafodelista"/>
        <w:rPr>
          <w:rFonts w:ascii="Verdana" w:eastAsia="Verdana" w:hAnsi="Verdana" w:cs="Verdana"/>
          <w:sz w:val="20"/>
          <w:szCs w:val="20"/>
          <w:lang w:val="es-CR"/>
        </w:rPr>
      </w:pPr>
    </w:p>
    <w:p w:rsidR="00D07398" w:rsidRPr="00B44D5A" w:rsidRDefault="009B1039" w:rsidP="00C97955">
      <w:pPr>
        <w:pStyle w:val="Prrafodelista1"/>
        <w:jc w:val="both"/>
        <w:rPr>
          <w:sz w:val="20"/>
          <w:szCs w:val="20"/>
        </w:rPr>
      </w:pPr>
      <w:r>
        <w:rPr>
          <w:rFonts w:eastAsia="Verdana" w:cs="Verdana"/>
          <w:sz w:val="20"/>
          <w:szCs w:val="20"/>
          <w:lang w:val="es-CR"/>
        </w:rPr>
        <w:t>14</w:t>
      </w:r>
      <w:r w:rsidR="00C97955" w:rsidRPr="00B44D5A">
        <w:rPr>
          <w:rFonts w:eastAsia="Verdana" w:cs="Verdana"/>
          <w:sz w:val="20"/>
          <w:szCs w:val="20"/>
          <w:lang w:val="es-CR"/>
        </w:rPr>
        <w:t>.</w:t>
      </w:r>
      <w:r w:rsidR="00C97955" w:rsidRPr="00B44D5A">
        <w:rPr>
          <w:rFonts w:eastAsia="Verdana" w:cs="Verdana"/>
          <w:sz w:val="20"/>
          <w:szCs w:val="20"/>
          <w:lang w:val="es-CR"/>
        </w:rPr>
        <w:tab/>
      </w:r>
      <w:r w:rsidR="00ED0334" w:rsidRPr="00B44D5A">
        <w:rPr>
          <w:rFonts w:eastAsia="Verdana" w:cs="Verdana"/>
          <w:sz w:val="20"/>
          <w:szCs w:val="20"/>
          <w:lang w:val="es-CR"/>
        </w:rPr>
        <w:t>Ante esta solicitud de medidas provisionales</w:t>
      </w:r>
      <w:r w:rsidR="0054207C" w:rsidRPr="00B44D5A">
        <w:rPr>
          <w:rFonts w:eastAsia="Verdana" w:cs="Verdana"/>
          <w:sz w:val="20"/>
          <w:szCs w:val="20"/>
          <w:lang w:val="es-CR"/>
        </w:rPr>
        <w:t>,</w:t>
      </w:r>
      <w:r w:rsidR="00ED0334" w:rsidRPr="00B44D5A">
        <w:rPr>
          <w:rFonts w:eastAsia="Verdana" w:cs="Verdana"/>
          <w:sz w:val="20"/>
          <w:szCs w:val="20"/>
          <w:lang w:val="es-CR"/>
        </w:rPr>
        <w:t xml:space="preserve"> corresponde al </w:t>
      </w:r>
      <w:r w:rsidR="0054207C" w:rsidRPr="00B44D5A">
        <w:rPr>
          <w:rFonts w:eastAsia="Verdana" w:cs="Verdana"/>
          <w:sz w:val="20"/>
          <w:szCs w:val="20"/>
          <w:lang w:val="es-CR"/>
        </w:rPr>
        <w:t>Presidente</w:t>
      </w:r>
      <w:r w:rsidR="00ED0334" w:rsidRPr="00B44D5A">
        <w:rPr>
          <w:rFonts w:eastAsia="Verdana" w:cs="Verdana"/>
          <w:sz w:val="20"/>
          <w:szCs w:val="20"/>
          <w:lang w:val="es-CR"/>
        </w:rPr>
        <w:t xml:space="preserve"> definir si se encuentran cumplidos dichos requisitos y considerar únicamente las obligaciones de carácter procesal del Estado como parte de la Convención Americana.</w:t>
      </w:r>
      <w:r w:rsidR="00366B39" w:rsidRPr="00B44D5A">
        <w:rPr>
          <w:rFonts w:eastAsia="Verdana" w:cs="Verdana"/>
          <w:sz w:val="20"/>
          <w:szCs w:val="20"/>
          <w:lang w:val="es-CR"/>
        </w:rPr>
        <w:t xml:space="preserve"> Asimismo</w:t>
      </w:r>
      <w:r w:rsidR="00ED0334" w:rsidRPr="00B44D5A">
        <w:rPr>
          <w:rFonts w:eastAsia="Verdana" w:cs="Verdana"/>
          <w:sz w:val="20"/>
          <w:szCs w:val="20"/>
          <w:lang w:val="es-CR"/>
        </w:rPr>
        <w:t>, como</w:t>
      </w:r>
      <w:r w:rsidR="00A01649" w:rsidRPr="00B44D5A">
        <w:rPr>
          <w:rFonts w:eastAsia="Verdana" w:cs="Verdana"/>
          <w:sz w:val="20"/>
          <w:szCs w:val="20"/>
          <w:lang w:val="es-CR"/>
        </w:rPr>
        <w:t xml:space="preserve"> </w:t>
      </w:r>
      <w:r w:rsidR="00ED0334" w:rsidRPr="00B44D5A">
        <w:rPr>
          <w:rFonts w:eastAsia="Verdana" w:cs="Verdana"/>
          <w:sz w:val="20"/>
          <w:szCs w:val="20"/>
          <w:lang w:val="es-CR"/>
        </w:rPr>
        <w:t>lo</w:t>
      </w:r>
      <w:r w:rsidR="00A01649" w:rsidRPr="00B44D5A">
        <w:rPr>
          <w:rFonts w:eastAsia="Verdana" w:cs="Verdana"/>
          <w:sz w:val="20"/>
          <w:szCs w:val="20"/>
          <w:lang w:val="es-CR"/>
        </w:rPr>
        <w:t xml:space="preserve"> </w:t>
      </w:r>
      <w:r w:rsidR="00ED0334" w:rsidRPr="00B44D5A">
        <w:rPr>
          <w:rFonts w:eastAsia="Verdana" w:cs="Verdana"/>
          <w:sz w:val="20"/>
          <w:szCs w:val="20"/>
          <w:lang w:val="es-CR"/>
        </w:rPr>
        <w:t>señala</w:t>
      </w:r>
      <w:r w:rsidR="00A01649" w:rsidRPr="00B44D5A">
        <w:rPr>
          <w:rFonts w:eastAsia="Verdana" w:cs="Verdana"/>
          <w:sz w:val="20"/>
          <w:szCs w:val="20"/>
          <w:lang w:val="es-CR"/>
        </w:rPr>
        <w:t xml:space="preserve"> </w:t>
      </w:r>
      <w:r w:rsidR="00ED0334" w:rsidRPr="00B44D5A">
        <w:rPr>
          <w:rFonts w:eastAsia="Verdana" w:cs="Verdana"/>
          <w:sz w:val="20"/>
          <w:szCs w:val="20"/>
          <w:lang w:val="es-CR"/>
        </w:rPr>
        <w:t>su</w:t>
      </w:r>
      <w:r w:rsidR="00A01649" w:rsidRPr="00B44D5A">
        <w:rPr>
          <w:rFonts w:eastAsia="Verdana" w:cs="Verdana"/>
          <w:sz w:val="20"/>
          <w:szCs w:val="20"/>
          <w:lang w:val="es-CR"/>
        </w:rPr>
        <w:t xml:space="preserve"> </w:t>
      </w:r>
      <w:r w:rsidR="00ED0334" w:rsidRPr="00B44D5A">
        <w:rPr>
          <w:rFonts w:eastAsia="Verdana" w:cs="Verdana"/>
          <w:sz w:val="20"/>
          <w:szCs w:val="20"/>
          <w:lang w:val="es-CR"/>
        </w:rPr>
        <w:t>jurisprudencia</w:t>
      </w:r>
      <w:r w:rsidR="00A01649" w:rsidRPr="00B44D5A">
        <w:rPr>
          <w:rFonts w:eastAsia="Verdana" w:cs="Verdana"/>
          <w:sz w:val="20"/>
          <w:szCs w:val="20"/>
          <w:lang w:val="es-CR"/>
        </w:rPr>
        <w:t xml:space="preserve"> </w:t>
      </w:r>
      <w:r w:rsidR="00ED0334" w:rsidRPr="00B44D5A">
        <w:rPr>
          <w:rFonts w:eastAsia="Verdana" w:cs="Verdana"/>
          <w:sz w:val="20"/>
          <w:szCs w:val="20"/>
          <w:lang w:val="es-CR"/>
        </w:rPr>
        <w:t>constante,</w:t>
      </w:r>
      <w:r w:rsidR="00A01649" w:rsidRPr="00B44D5A">
        <w:rPr>
          <w:rFonts w:eastAsia="Verdana" w:cs="Verdana"/>
          <w:sz w:val="20"/>
          <w:szCs w:val="20"/>
          <w:lang w:val="es-CR"/>
        </w:rPr>
        <w:t xml:space="preserve"> </w:t>
      </w:r>
      <w:r w:rsidR="00ED0334" w:rsidRPr="00B44D5A">
        <w:rPr>
          <w:rFonts w:eastAsia="Verdana" w:cs="Verdana"/>
          <w:sz w:val="20"/>
          <w:szCs w:val="20"/>
          <w:lang w:val="es-CR"/>
        </w:rPr>
        <w:t>ante</w:t>
      </w:r>
      <w:r w:rsidR="00A01649" w:rsidRPr="00B44D5A">
        <w:rPr>
          <w:rFonts w:eastAsia="Verdana" w:cs="Verdana"/>
          <w:sz w:val="20"/>
          <w:szCs w:val="20"/>
          <w:lang w:val="es-CR"/>
        </w:rPr>
        <w:t xml:space="preserve"> </w:t>
      </w:r>
      <w:r w:rsidR="00ED0334" w:rsidRPr="00B44D5A">
        <w:rPr>
          <w:rFonts w:eastAsia="Verdana" w:cs="Verdana"/>
          <w:sz w:val="20"/>
          <w:szCs w:val="20"/>
          <w:lang w:val="es-CR"/>
        </w:rPr>
        <w:t>una</w:t>
      </w:r>
      <w:r w:rsidR="00A01649" w:rsidRPr="00B44D5A">
        <w:rPr>
          <w:rFonts w:eastAsia="Verdana" w:cs="Verdana"/>
          <w:sz w:val="20"/>
          <w:szCs w:val="20"/>
          <w:lang w:val="es-CR"/>
        </w:rPr>
        <w:t xml:space="preserve"> </w:t>
      </w:r>
      <w:r w:rsidR="00ED0334" w:rsidRPr="00B44D5A">
        <w:rPr>
          <w:rFonts w:eastAsia="Verdana" w:cs="Verdana"/>
          <w:sz w:val="20"/>
          <w:szCs w:val="20"/>
          <w:lang w:val="es-CR"/>
        </w:rPr>
        <w:t>solicitud</w:t>
      </w:r>
      <w:r w:rsidR="00A01649" w:rsidRPr="00B44D5A">
        <w:rPr>
          <w:rFonts w:eastAsia="Verdana" w:cs="Verdana"/>
          <w:sz w:val="20"/>
          <w:szCs w:val="20"/>
          <w:lang w:val="es-CR"/>
        </w:rPr>
        <w:t xml:space="preserve"> </w:t>
      </w:r>
      <w:r w:rsidR="00ED0334" w:rsidRPr="00B44D5A">
        <w:rPr>
          <w:rFonts w:eastAsia="Verdana" w:cs="Verdana"/>
          <w:sz w:val="20"/>
          <w:szCs w:val="20"/>
          <w:lang w:val="es-CR"/>
        </w:rPr>
        <w:t>de</w:t>
      </w:r>
      <w:r w:rsidR="00A01649" w:rsidRPr="00B44D5A">
        <w:rPr>
          <w:rFonts w:eastAsia="Verdana" w:cs="Verdana"/>
          <w:sz w:val="20"/>
          <w:szCs w:val="20"/>
          <w:lang w:val="es-CR"/>
        </w:rPr>
        <w:t xml:space="preserve"> </w:t>
      </w:r>
      <w:r w:rsidR="00ED0334" w:rsidRPr="00B44D5A">
        <w:rPr>
          <w:rFonts w:eastAsia="Verdana" w:cs="Verdana"/>
          <w:sz w:val="20"/>
          <w:szCs w:val="20"/>
          <w:lang w:val="es-CR"/>
        </w:rPr>
        <w:t xml:space="preserve">medidas provisionales, </w:t>
      </w:r>
      <w:r w:rsidR="0054207C" w:rsidRPr="00B44D5A">
        <w:rPr>
          <w:rFonts w:eastAsia="Verdana" w:cs="Verdana"/>
          <w:sz w:val="20"/>
          <w:szCs w:val="20"/>
          <w:lang w:val="es-CR"/>
        </w:rPr>
        <w:t>el Presidente</w:t>
      </w:r>
      <w:r w:rsidR="00ED0334" w:rsidRPr="00B44D5A">
        <w:rPr>
          <w:rFonts w:eastAsia="Verdana" w:cs="Verdana"/>
          <w:sz w:val="20"/>
          <w:szCs w:val="20"/>
          <w:lang w:val="es-CR"/>
        </w:rPr>
        <w:t xml:space="preserve"> no puede considerar el fondo de ningún argumento que no sea de aquellos que se relacionan estrictamente con la extrema gravedad, urgencia y necesidad de evitar daños irreparables a las personas. Cualquier otro asunto sólo puede ser puesto en conocimiento de la Corte en un caso contencioso</w:t>
      </w:r>
      <w:r w:rsidR="0066431A" w:rsidRPr="00B44D5A">
        <w:rPr>
          <w:rStyle w:val="Refdenotaalpie"/>
          <w:rFonts w:eastAsia="Verdana" w:cs="Verdana"/>
          <w:sz w:val="20"/>
          <w:szCs w:val="20"/>
          <w:lang w:val="es-CR"/>
        </w:rPr>
        <w:footnoteReference w:id="8"/>
      </w:r>
      <w:r w:rsidR="00ED0334" w:rsidRPr="00B44D5A">
        <w:rPr>
          <w:rFonts w:eastAsia="Verdana" w:cs="Verdana"/>
          <w:sz w:val="20"/>
          <w:szCs w:val="20"/>
          <w:lang w:val="es-CR"/>
        </w:rPr>
        <w:t>.</w:t>
      </w:r>
    </w:p>
    <w:p w:rsidR="00D07398" w:rsidRPr="00B44D5A" w:rsidRDefault="00D07398" w:rsidP="00D07398">
      <w:pPr>
        <w:pStyle w:val="Prrafodelista"/>
        <w:rPr>
          <w:rFonts w:ascii="Verdana" w:eastAsia="Verdana" w:hAnsi="Verdana" w:cs="Verdana"/>
          <w:sz w:val="20"/>
          <w:szCs w:val="20"/>
          <w:lang w:val="es-CR"/>
        </w:rPr>
      </w:pPr>
    </w:p>
    <w:p w:rsidR="009B2CB2" w:rsidRPr="00B44D5A" w:rsidRDefault="009B1039" w:rsidP="00C97955">
      <w:pPr>
        <w:pStyle w:val="Prrafodelista1"/>
        <w:jc w:val="both"/>
        <w:rPr>
          <w:sz w:val="20"/>
          <w:szCs w:val="20"/>
        </w:rPr>
      </w:pPr>
      <w:r>
        <w:rPr>
          <w:rFonts w:eastAsia="Verdana" w:cs="Verdana"/>
          <w:sz w:val="20"/>
          <w:szCs w:val="20"/>
          <w:lang w:val="es-CR"/>
        </w:rPr>
        <w:t>15</w:t>
      </w:r>
      <w:r w:rsidR="00C97955" w:rsidRPr="00B44D5A">
        <w:rPr>
          <w:rFonts w:eastAsia="Verdana" w:cs="Verdana"/>
          <w:sz w:val="20"/>
          <w:szCs w:val="20"/>
          <w:lang w:val="es-CR"/>
        </w:rPr>
        <w:t>.</w:t>
      </w:r>
      <w:r w:rsidR="00C97955" w:rsidRPr="00B44D5A">
        <w:rPr>
          <w:rFonts w:eastAsia="Verdana" w:cs="Verdana"/>
          <w:sz w:val="20"/>
          <w:szCs w:val="20"/>
          <w:lang w:val="es-CR"/>
        </w:rPr>
        <w:tab/>
      </w:r>
      <w:r w:rsidR="000A5F1C">
        <w:rPr>
          <w:rFonts w:eastAsia="Verdana" w:cs="Verdana"/>
          <w:sz w:val="20"/>
          <w:szCs w:val="20"/>
          <w:lang w:val="es-CR"/>
        </w:rPr>
        <w:t>E</w:t>
      </w:r>
      <w:r w:rsidR="0054207C" w:rsidRPr="00B44D5A">
        <w:rPr>
          <w:rFonts w:eastAsia="Verdana" w:cs="Verdana"/>
          <w:sz w:val="20"/>
          <w:szCs w:val="20"/>
          <w:lang w:val="es-CR"/>
        </w:rPr>
        <w:t>l Presidente</w:t>
      </w:r>
      <w:r w:rsidR="00ED0334" w:rsidRPr="00B44D5A">
        <w:rPr>
          <w:rFonts w:eastAsia="Verdana" w:cs="Verdana"/>
          <w:sz w:val="20"/>
          <w:szCs w:val="20"/>
          <w:lang w:val="es-CR"/>
        </w:rPr>
        <w:t xml:space="preserve"> toma nota </w:t>
      </w:r>
      <w:r w:rsidR="00001402" w:rsidRPr="00B44D5A">
        <w:rPr>
          <w:rFonts w:eastAsia="Verdana" w:cs="Verdana"/>
          <w:sz w:val="20"/>
          <w:szCs w:val="20"/>
          <w:lang w:val="es-CR"/>
        </w:rPr>
        <w:t xml:space="preserve">de la información aportada por el Estado el 20 de mayo de 2019 en </w:t>
      </w:r>
      <w:r w:rsidR="00001402" w:rsidRPr="00B44D5A">
        <w:rPr>
          <w:sz w:val="20"/>
          <w:szCs w:val="20"/>
        </w:rPr>
        <w:t xml:space="preserve">el “Informe del Estado de la República de Nicaragua Respecto a la Solicitud de la Comisión Interamericana de Derechos Humanos ante la Corte Interamericana de Derechos Humanos para que Adopte Medidas Provisionales para Proteger la Salud, Vida e Integridad Personal (17) Personas Privadas de Libertad”. </w:t>
      </w:r>
      <w:r w:rsidR="00001402" w:rsidRPr="00B44D5A">
        <w:rPr>
          <w:rFonts w:eastAsia="Verdana" w:cs="Verdana"/>
          <w:sz w:val="20"/>
          <w:szCs w:val="20"/>
          <w:lang w:val="es-CR"/>
        </w:rPr>
        <w:t xml:space="preserve">Asimismo, toma nota </w:t>
      </w:r>
      <w:r w:rsidR="00065511" w:rsidRPr="00B44D5A">
        <w:rPr>
          <w:rFonts w:eastAsia="Verdana" w:cs="Verdana"/>
          <w:sz w:val="20"/>
          <w:szCs w:val="20"/>
          <w:lang w:val="es-CR"/>
        </w:rPr>
        <w:t xml:space="preserve">de </w:t>
      </w:r>
      <w:r w:rsidR="004B67B4" w:rsidRPr="00B44D5A">
        <w:rPr>
          <w:rFonts w:eastAsia="Verdana" w:cs="Verdana"/>
          <w:sz w:val="20"/>
          <w:szCs w:val="20"/>
          <w:lang w:val="es-CR"/>
        </w:rPr>
        <w:t>la información aportada</w:t>
      </w:r>
      <w:r w:rsidR="00065511" w:rsidRPr="00B44D5A">
        <w:rPr>
          <w:rFonts w:eastAsia="Verdana" w:cs="Verdana"/>
          <w:sz w:val="20"/>
          <w:szCs w:val="20"/>
          <w:lang w:val="es-CR"/>
        </w:rPr>
        <w:t xml:space="preserve"> </w:t>
      </w:r>
      <w:r w:rsidR="00ED0334" w:rsidRPr="00B44D5A">
        <w:rPr>
          <w:rFonts w:eastAsia="Verdana" w:cs="Verdana"/>
          <w:sz w:val="20"/>
          <w:szCs w:val="20"/>
          <w:lang w:val="es-CR"/>
        </w:rPr>
        <w:t xml:space="preserve">por el Estado </w:t>
      </w:r>
      <w:r w:rsidR="004B67B4" w:rsidRPr="00B44D5A">
        <w:rPr>
          <w:rFonts w:eastAsia="Verdana" w:cs="Verdana"/>
          <w:sz w:val="20"/>
          <w:szCs w:val="20"/>
          <w:lang w:val="es-CR"/>
        </w:rPr>
        <w:t>ante la Comisión el 7 de agosto de 2018</w:t>
      </w:r>
      <w:r w:rsidR="00CE49B1" w:rsidRPr="00B44D5A">
        <w:rPr>
          <w:rFonts w:eastAsia="Verdana" w:cs="Verdana"/>
          <w:sz w:val="20"/>
          <w:szCs w:val="20"/>
          <w:lang w:val="es-CR"/>
        </w:rPr>
        <w:t>,</w:t>
      </w:r>
      <w:r w:rsidR="004B67B4" w:rsidRPr="00B44D5A">
        <w:rPr>
          <w:rFonts w:eastAsia="Verdana" w:cs="Verdana"/>
          <w:sz w:val="20"/>
          <w:szCs w:val="20"/>
          <w:lang w:val="es-CR"/>
        </w:rPr>
        <w:t xml:space="preserve"> en la que manifestó que “ha brindado y brinda protección a las personas incluidas en las comunicaciones en referencia”</w:t>
      </w:r>
      <w:r w:rsidR="00406842" w:rsidRPr="00B44D5A">
        <w:rPr>
          <w:rStyle w:val="Refdenotaalpie"/>
          <w:rFonts w:eastAsia="Verdana" w:cs="Verdana"/>
          <w:sz w:val="20"/>
          <w:szCs w:val="20"/>
          <w:lang w:val="es-CR"/>
        </w:rPr>
        <w:footnoteReference w:id="9"/>
      </w:r>
      <w:r w:rsidR="00CE49B1" w:rsidRPr="00B44D5A">
        <w:rPr>
          <w:rFonts w:eastAsia="Verdana" w:cs="Verdana"/>
          <w:sz w:val="20"/>
          <w:szCs w:val="20"/>
          <w:lang w:val="es-CR"/>
        </w:rPr>
        <w:t>; la comunicación de 5 de noviembre de 2018, mediante la cual remitió el “Informe Completo del Sistema Penitenciario Nacional relativo al total de 273 presos y presas detenidos, acusados, procesados y/o condenados por su participación en delitos cometidos en el contexto del fallido intento de Golpe de Estado”</w:t>
      </w:r>
      <w:r w:rsidR="00406842" w:rsidRPr="00B44D5A">
        <w:rPr>
          <w:rStyle w:val="Refdenotaalpie"/>
          <w:rFonts w:eastAsia="Verdana" w:cs="Verdana"/>
          <w:sz w:val="20"/>
          <w:szCs w:val="20"/>
          <w:lang w:val="es-CR"/>
        </w:rPr>
        <w:footnoteReference w:id="10"/>
      </w:r>
      <w:r w:rsidR="00CE49B1" w:rsidRPr="00B44D5A">
        <w:rPr>
          <w:rFonts w:eastAsia="Verdana" w:cs="Verdana"/>
          <w:sz w:val="20"/>
          <w:szCs w:val="20"/>
          <w:lang w:val="es-CR"/>
        </w:rPr>
        <w:t xml:space="preserve">; y </w:t>
      </w:r>
      <w:r w:rsidR="004B67B4" w:rsidRPr="00B44D5A">
        <w:rPr>
          <w:rFonts w:eastAsia="Verdana" w:cs="Verdana"/>
          <w:sz w:val="20"/>
          <w:szCs w:val="20"/>
          <w:lang w:val="es-CR"/>
        </w:rPr>
        <w:t xml:space="preserve"> la comunicación de 13 de febrero de 2019 mediante el cual transmitió </w:t>
      </w:r>
      <w:r w:rsidR="00CE49B1" w:rsidRPr="00B44D5A">
        <w:rPr>
          <w:rFonts w:eastAsia="Verdana" w:cs="Verdana"/>
          <w:sz w:val="20"/>
          <w:szCs w:val="20"/>
          <w:lang w:val="es-CR"/>
        </w:rPr>
        <w:t>los informes respecto de</w:t>
      </w:r>
      <w:r w:rsidR="004B67B4" w:rsidRPr="00B44D5A">
        <w:rPr>
          <w:rFonts w:eastAsia="Verdana" w:cs="Verdana"/>
          <w:sz w:val="20"/>
          <w:szCs w:val="20"/>
          <w:lang w:val="es-CR"/>
        </w:rPr>
        <w:t xml:space="preserve"> </w:t>
      </w:r>
      <w:r w:rsidR="00CE49B1" w:rsidRPr="00B44D5A">
        <w:rPr>
          <w:rFonts w:eastAsia="Verdana" w:cs="Verdana"/>
          <w:sz w:val="20"/>
          <w:szCs w:val="20"/>
          <w:lang w:val="es-CR"/>
        </w:rPr>
        <w:t>“La Situación de Derechos de las Mujeres Privadas de Libertad</w:t>
      </w:r>
      <w:r w:rsidR="004B67B4" w:rsidRPr="00B44D5A">
        <w:rPr>
          <w:rFonts w:eastAsia="Verdana" w:cs="Verdana"/>
          <w:sz w:val="20"/>
          <w:szCs w:val="20"/>
          <w:lang w:val="es-CR"/>
        </w:rPr>
        <w:t>”</w:t>
      </w:r>
      <w:r w:rsidR="00CE49B1" w:rsidRPr="00B44D5A">
        <w:rPr>
          <w:rFonts w:eastAsia="Verdana" w:cs="Verdana"/>
          <w:sz w:val="20"/>
          <w:szCs w:val="20"/>
          <w:lang w:val="es-CR"/>
        </w:rPr>
        <w:t xml:space="preserve"> y la “Situación General de Derechos Humanos en Nicaragua”</w:t>
      </w:r>
      <w:r w:rsidR="00406842" w:rsidRPr="00B44D5A">
        <w:rPr>
          <w:rStyle w:val="Refdenotaalpie"/>
          <w:rFonts w:eastAsia="Verdana" w:cs="Verdana"/>
          <w:sz w:val="20"/>
          <w:szCs w:val="20"/>
          <w:lang w:val="es-CR"/>
        </w:rPr>
        <w:footnoteReference w:id="11"/>
      </w:r>
      <w:r w:rsidR="00065511" w:rsidRPr="00B44D5A">
        <w:rPr>
          <w:rFonts w:eastAsia="Verdana" w:cs="Verdana"/>
          <w:sz w:val="20"/>
          <w:szCs w:val="20"/>
          <w:lang w:val="es-CR"/>
        </w:rPr>
        <w:t>.</w:t>
      </w:r>
      <w:r w:rsidR="001C0BAA" w:rsidRPr="00B44D5A">
        <w:rPr>
          <w:rFonts w:eastAsia="Verdana" w:cs="Verdana"/>
          <w:sz w:val="20"/>
          <w:szCs w:val="20"/>
          <w:lang w:val="es-CR"/>
        </w:rPr>
        <w:t xml:space="preserve"> </w:t>
      </w:r>
    </w:p>
    <w:p w:rsidR="00001402" w:rsidRPr="00B44D5A" w:rsidRDefault="00001402" w:rsidP="00001402">
      <w:pPr>
        <w:pStyle w:val="Prrafodelista1"/>
        <w:jc w:val="both"/>
        <w:rPr>
          <w:sz w:val="20"/>
          <w:szCs w:val="20"/>
        </w:rPr>
      </w:pPr>
    </w:p>
    <w:p w:rsidR="009B2CB2" w:rsidRPr="00B44D5A" w:rsidRDefault="00B44D5A" w:rsidP="00B44D5A">
      <w:pPr>
        <w:pStyle w:val="Prrafodelista1"/>
        <w:jc w:val="both"/>
        <w:rPr>
          <w:sz w:val="20"/>
          <w:szCs w:val="20"/>
        </w:rPr>
      </w:pPr>
      <w:r w:rsidRPr="00B44D5A">
        <w:rPr>
          <w:sz w:val="20"/>
          <w:szCs w:val="20"/>
        </w:rPr>
        <w:t>1</w:t>
      </w:r>
      <w:r w:rsidR="009B6444">
        <w:rPr>
          <w:sz w:val="20"/>
          <w:szCs w:val="20"/>
        </w:rPr>
        <w:t>6</w:t>
      </w:r>
      <w:r w:rsidRPr="00B44D5A">
        <w:rPr>
          <w:sz w:val="20"/>
          <w:szCs w:val="20"/>
        </w:rPr>
        <w:t>.</w:t>
      </w:r>
      <w:r w:rsidRPr="00B44D5A">
        <w:rPr>
          <w:sz w:val="20"/>
          <w:szCs w:val="20"/>
        </w:rPr>
        <w:tab/>
      </w:r>
      <w:r w:rsidR="00001402" w:rsidRPr="00B44D5A">
        <w:rPr>
          <w:sz w:val="20"/>
          <w:szCs w:val="20"/>
        </w:rPr>
        <w:t>Por otro lado</w:t>
      </w:r>
      <w:r w:rsidR="009B2CB2" w:rsidRPr="00B44D5A">
        <w:rPr>
          <w:sz w:val="20"/>
          <w:szCs w:val="20"/>
        </w:rPr>
        <w:t>, el Presidente toma nota de la información aportada</w:t>
      </w:r>
      <w:r w:rsidR="00001402" w:rsidRPr="00B44D5A">
        <w:rPr>
          <w:sz w:val="20"/>
          <w:szCs w:val="20"/>
        </w:rPr>
        <w:t xml:space="preserve"> por la Comisión en su solicitud de medidas provisionales de 15 de mayo de 2019. Asimismo, toma nota de la información aportada</w:t>
      </w:r>
      <w:r w:rsidR="009B2CB2" w:rsidRPr="00B44D5A">
        <w:rPr>
          <w:sz w:val="20"/>
          <w:szCs w:val="20"/>
        </w:rPr>
        <w:t xml:space="preserve"> a la Comisión por parte del Centro Nicaragüense de Derechos Humanos (CENIDH)</w:t>
      </w:r>
      <w:r w:rsidR="007027F3" w:rsidRPr="00B44D5A">
        <w:rPr>
          <w:sz w:val="20"/>
          <w:szCs w:val="20"/>
        </w:rPr>
        <w:t xml:space="preserve"> en sus comunicaciones de</w:t>
      </w:r>
      <w:r w:rsidR="00FA7720" w:rsidRPr="00B44D5A">
        <w:rPr>
          <w:sz w:val="20"/>
          <w:szCs w:val="20"/>
        </w:rPr>
        <w:t xml:space="preserve"> 26 de abril de 2019</w:t>
      </w:r>
      <w:r w:rsidR="005E2791" w:rsidRPr="00B44D5A">
        <w:rPr>
          <w:rStyle w:val="Refdenotaalpie"/>
          <w:sz w:val="20"/>
          <w:szCs w:val="20"/>
        </w:rPr>
        <w:footnoteReference w:id="12"/>
      </w:r>
      <w:r w:rsidR="00FA7720" w:rsidRPr="00B44D5A">
        <w:rPr>
          <w:sz w:val="20"/>
          <w:szCs w:val="20"/>
        </w:rPr>
        <w:t>,</w:t>
      </w:r>
      <w:r w:rsidR="005E2791" w:rsidRPr="00B44D5A">
        <w:rPr>
          <w:sz w:val="20"/>
          <w:szCs w:val="20"/>
        </w:rPr>
        <w:t xml:space="preserve"> 27 de abril de 2019</w:t>
      </w:r>
      <w:r w:rsidR="005E2791" w:rsidRPr="00B44D5A">
        <w:rPr>
          <w:rStyle w:val="Refdenotaalpie"/>
          <w:sz w:val="20"/>
          <w:szCs w:val="20"/>
        </w:rPr>
        <w:footnoteReference w:id="13"/>
      </w:r>
      <w:r w:rsidR="005E2791" w:rsidRPr="00B44D5A">
        <w:rPr>
          <w:sz w:val="20"/>
          <w:szCs w:val="20"/>
        </w:rPr>
        <w:t>,</w:t>
      </w:r>
      <w:r w:rsidR="00FA7720" w:rsidRPr="00B44D5A">
        <w:rPr>
          <w:sz w:val="20"/>
          <w:szCs w:val="20"/>
        </w:rPr>
        <w:t xml:space="preserve"> </w:t>
      </w:r>
      <w:r w:rsidR="007027F3" w:rsidRPr="00B44D5A">
        <w:rPr>
          <w:sz w:val="20"/>
          <w:szCs w:val="20"/>
        </w:rPr>
        <w:t>y</w:t>
      </w:r>
      <w:r w:rsidR="008A524B" w:rsidRPr="00B44D5A">
        <w:rPr>
          <w:sz w:val="20"/>
          <w:szCs w:val="20"/>
        </w:rPr>
        <w:t xml:space="preserve"> 25 de se</w:t>
      </w:r>
      <w:r w:rsidR="007027F3" w:rsidRPr="00B44D5A">
        <w:rPr>
          <w:sz w:val="20"/>
          <w:szCs w:val="20"/>
        </w:rPr>
        <w:t>ptiembre de 2018</w:t>
      </w:r>
      <w:r w:rsidR="005E2791" w:rsidRPr="00B44D5A">
        <w:rPr>
          <w:rStyle w:val="Refdenotaalpie"/>
          <w:sz w:val="20"/>
          <w:szCs w:val="20"/>
        </w:rPr>
        <w:footnoteReference w:id="14"/>
      </w:r>
      <w:r w:rsidR="00FA7720" w:rsidRPr="00B44D5A">
        <w:rPr>
          <w:sz w:val="20"/>
          <w:szCs w:val="20"/>
        </w:rPr>
        <w:t xml:space="preserve">; del </w:t>
      </w:r>
      <w:r w:rsidR="008A524B" w:rsidRPr="00B44D5A">
        <w:rPr>
          <w:sz w:val="20"/>
          <w:szCs w:val="20"/>
        </w:rPr>
        <w:t xml:space="preserve">Centro por la Justicia y el Derecho Internacional (CEJIL) </w:t>
      </w:r>
      <w:r w:rsidR="00C40061">
        <w:rPr>
          <w:sz w:val="20"/>
          <w:szCs w:val="20"/>
        </w:rPr>
        <w:t xml:space="preserve">y la Iniciativa Nicaragüense de Defensoras de Derechos Humanos (IND) </w:t>
      </w:r>
      <w:r w:rsidR="008A524B" w:rsidRPr="00B44D5A">
        <w:rPr>
          <w:sz w:val="20"/>
          <w:szCs w:val="20"/>
        </w:rPr>
        <w:t xml:space="preserve">en sus comunicaciones </w:t>
      </w:r>
      <w:r w:rsidR="007027F3" w:rsidRPr="00B44D5A">
        <w:rPr>
          <w:sz w:val="20"/>
          <w:szCs w:val="20"/>
        </w:rPr>
        <w:t>de</w:t>
      </w:r>
      <w:r w:rsidR="008A524B" w:rsidRPr="00B44D5A">
        <w:rPr>
          <w:sz w:val="20"/>
          <w:szCs w:val="20"/>
        </w:rPr>
        <w:t xml:space="preserve"> 9 de abril</w:t>
      </w:r>
      <w:r w:rsidR="007027F3" w:rsidRPr="00B44D5A">
        <w:rPr>
          <w:sz w:val="20"/>
          <w:szCs w:val="20"/>
        </w:rPr>
        <w:t xml:space="preserve"> de 2019</w:t>
      </w:r>
      <w:r w:rsidR="005E2791" w:rsidRPr="00B44D5A">
        <w:rPr>
          <w:rStyle w:val="Refdenotaalpie"/>
          <w:sz w:val="20"/>
          <w:szCs w:val="20"/>
        </w:rPr>
        <w:footnoteReference w:id="15"/>
      </w:r>
      <w:r w:rsidR="007027F3" w:rsidRPr="00B44D5A">
        <w:rPr>
          <w:sz w:val="20"/>
          <w:szCs w:val="20"/>
        </w:rPr>
        <w:t>, 18 de febrero de 2019</w:t>
      </w:r>
      <w:r w:rsidR="005E2791" w:rsidRPr="00B44D5A">
        <w:rPr>
          <w:rStyle w:val="Refdenotaalpie"/>
          <w:sz w:val="20"/>
          <w:szCs w:val="20"/>
        </w:rPr>
        <w:footnoteReference w:id="16"/>
      </w:r>
      <w:r w:rsidR="007027F3" w:rsidRPr="00B44D5A">
        <w:rPr>
          <w:sz w:val="20"/>
          <w:szCs w:val="20"/>
        </w:rPr>
        <w:t xml:space="preserve"> y</w:t>
      </w:r>
      <w:r w:rsidR="008A524B" w:rsidRPr="00B44D5A">
        <w:rPr>
          <w:sz w:val="20"/>
          <w:szCs w:val="20"/>
        </w:rPr>
        <w:t xml:space="preserve"> 17 de enero de 2019</w:t>
      </w:r>
      <w:r w:rsidR="005E2791" w:rsidRPr="00B44D5A">
        <w:rPr>
          <w:rStyle w:val="Refdenotaalpie"/>
          <w:sz w:val="20"/>
          <w:szCs w:val="20"/>
        </w:rPr>
        <w:footnoteReference w:id="17"/>
      </w:r>
      <w:r w:rsidR="008A524B" w:rsidRPr="00B44D5A">
        <w:rPr>
          <w:sz w:val="20"/>
          <w:szCs w:val="20"/>
        </w:rPr>
        <w:t>; de</w:t>
      </w:r>
      <w:r w:rsidR="00FA7720" w:rsidRPr="00B44D5A">
        <w:rPr>
          <w:sz w:val="20"/>
          <w:szCs w:val="20"/>
        </w:rPr>
        <w:t xml:space="preserve"> la</w:t>
      </w:r>
      <w:r w:rsidR="008A524B" w:rsidRPr="00B44D5A">
        <w:rPr>
          <w:sz w:val="20"/>
          <w:szCs w:val="20"/>
        </w:rPr>
        <w:t xml:space="preserve"> Comisión Permanente de Derechos Hu</w:t>
      </w:r>
      <w:r w:rsidR="007027F3" w:rsidRPr="00B44D5A">
        <w:rPr>
          <w:sz w:val="20"/>
          <w:szCs w:val="20"/>
        </w:rPr>
        <w:t>manos de Nicaragua (CPDH) en su comunicación</w:t>
      </w:r>
      <w:r w:rsidR="008A524B" w:rsidRPr="00B44D5A">
        <w:rPr>
          <w:sz w:val="20"/>
          <w:szCs w:val="20"/>
        </w:rPr>
        <w:t xml:space="preserve"> </w:t>
      </w:r>
      <w:r w:rsidR="00FA7720" w:rsidRPr="00B44D5A">
        <w:rPr>
          <w:sz w:val="20"/>
          <w:szCs w:val="20"/>
        </w:rPr>
        <w:t>d</w:t>
      </w:r>
      <w:r w:rsidR="007027F3" w:rsidRPr="00B44D5A">
        <w:rPr>
          <w:sz w:val="20"/>
          <w:szCs w:val="20"/>
        </w:rPr>
        <w:t>e 14 de marzo de 2014</w:t>
      </w:r>
      <w:r w:rsidR="005E2791" w:rsidRPr="00B44D5A">
        <w:rPr>
          <w:rStyle w:val="Refdenotaalpie"/>
          <w:sz w:val="20"/>
          <w:szCs w:val="20"/>
        </w:rPr>
        <w:footnoteReference w:id="18"/>
      </w:r>
      <w:r w:rsidR="008A524B" w:rsidRPr="00B44D5A">
        <w:rPr>
          <w:sz w:val="20"/>
          <w:szCs w:val="20"/>
        </w:rPr>
        <w:t xml:space="preserve">; </w:t>
      </w:r>
      <w:r w:rsidR="00FA7720" w:rsidRPr="00B44D5A">
        <w:rPr>
          <w:sz w:val="20"/>
          <w:szCs w:val="20"/>
        </w:rPr>
        <w:t xml:space="preserve">del Instituto Internacional sobre Raza, Igualdad y Derechos Humanos (en adelante “Igualdad y Raza”) </w:t>
      </w:r>
      <w:r w:rsidR="007027F3" w:rsidRPr="00B44D5A">
        <w:rPr>
          <w:sz w:val="20"/>
          <w:szCs w:val="20"/>
        </w:rPr>
        <w:t xml:space="preserve">en su comunicación </w:t>
      </w:r>
      <w:r w:rsidR="00FA7720" w:rsidRPr="00B44D5A">
        <w:rPr>
          <w:sz w:val="20"/>
          <w:szCs w:val="20"/>
        </w:rPr>
        <w:t>de 18 de marzo de 2019</w:t>
      </w:r>
      <w:r w:rsidR="005E2791" w:rsidRPr="00B44D5A">
        <w:rPr>
          <w:rStyle w:val="Refdenotaalpie"/>
          <w:sz w:val="20"/>
          <w:szCs w:val="20"/>
        </w:rPr>
        <w:footnoteReference w:id="19"/>
      </w:r>
      <w:r w:rsidR="00FA7720" w:rsidRPr="00B44D5A">
        <w:rPr>
          <w:sz w:val="20"/>
          <w:szCs w:val="20"/>
        </w:rPr>
        <w:t>; así como la comunicación conjunta del CENIDH, Igualdad y Raza y la Fundación Violeta Barrios de Chamorro (FVBCH) de 29 de abril de 2019</w:t>
      </w:r>
      <w:r w:rsidR="005E2791" w:rsidRPr="00B44D5A">
        <w:rPr>
          <w:rStyle w:val="Refdenotaalpie"/>
          <w:sz w:val="20"/>
          <w:szCs w:val="20"/>
        </w:rPr>
        <w:footnoteReference w:id="20"/>
      </w:r>
      <w:r w:rsidR="00FD2CB7">
        <w:rPr>
          <w:sz w:val="20"/>
          <w:szCs w:val="20"/>
        </w:rPr>
        <w:t xml:space="preserve"> y la comunicación conjunta del CENIDH con la </w:t>
      </w:r>
      <w:r w:rsidR="00FD2CB7" w:rsidRPr="00B44D5A">
        <w:rPr>
          <w:sz w:val="20"/>
          <w:szCs w:val="20"/>
        </w:rPr>
        <w:t>FVBCH</w:t>
      </w:r>
      <w:r w:rsidR="00FD2CB7">
        <w:rPr>
          <w:sz w:val="20"/>
          <w:szCs w:val="20"/>
        </w:rPr>
        <w:t xml:space="preserve"> de </w:t>
      </w:r>
      <w:r w:rsidR="00FD2CB7" w:rsidRPr="00B44D5A">
        <w:rPr>
          <w:sz w:val="20"/>
          <w:szCs w:val="20"/>
        </w:rPr>
        <w:t>30 de enero de 2019</w:t>
      </w:r>
      <w:r w:rsidR="00FD2CB7" w:rsidRPr="00B44D5A">
        <w:rPr>
          <w:rStyle w:val="Refdenotaalpie"/>
          <w:sz w:val="20"/>
          <w:szCs w:val="20"/>
        </w:rPr>
        <w:footnoteReference w:id="21"/>
      </w:r>
      <w:r w:rsidR="00FD2CB7">
        <w:rPr>
          <w:sz w:val="20"/>
          <w:szCs w:val="20"/>
        </w:rPr>
        <w:t>.</w:t>
      </w:r>
    </w:p>
    <w:p w:rsidR="00B44D5A" w:rsidRPr="00B44D5A" w:rsidRDefault="00B44D5A" w:rsidP="00B44D5A">
      <w:pPr>
        <w:pStyle w:val="Prrafodelista1"/>
        <w:jc w:val="both"/>
        <w:rPr>
          <w:rFonts w:eastAsia="Verdana" w:cs="Verdana"/>
          <w:sz w:val="20"/>
          <w:szCs w:val="20"/>
        </w:rPr>
      </w:pPr>
    </w:p>
    <w:p w:rsidR="004261DA" w:rsidRPr="00B44D5A" w:rsidRDefault="00EA4CA4" w:rsidP="00B44D5A">
      <w:pPr>
        <w:pStyle w:val="Prrafodelista1"/>
        <w:jc w:val="both"/>
        <w:rPr>
          <w:rFonts w:eastAsia="Verdana" w:cs="Verdana"/>
          <w:sz w:val="20"/>
          <w:szCs w:val="20"/>
          <w:lang w:val="es-CR"/>
        </w:rPr>
      </w:pPr>
      <w:r>
        <w:rPr>
          <w:rFonts w:eastAsia="Verdana" w:cs="Verdana"/>
          <w:sz w:val="20"/>
          <w:szCs w:val="20"/>
        </w:rPr>
        <w:t>17</w:t>
      </w:r>
      <w:r w:rsidR="00B44D5A" w:rsidRPr="00B44D5A">
        <w:rPr>
          <w:rFonts w:eastAsia="Verdana" w:cs="Verdana"/>
          <w:sz w:val="20"/>
          <w:szCs w:val="20"/>
        </w:rPr>
        <w:t>.</w:t>
      </w:r>
      <w:r w:rsidR="00B44D5A" w:rsidRPr="00B44D5A">
        <w:rPr>
          <w:rFonts w:eastAsia="Verdana" w:cs="Verdana"/>
          <w:sz w:val="20"/>
          <w:szCs w:val="20"/>
        </w:rPr>
        <w:tab/>
      </w:r>
      <w:r w:rsidR="004261DA" w:rsidRPr="00B44D5A">
        <w:rPr>
          <w:rFonts w:eastAsia="Verdana" w:cs="Verdana"/>
          <w:sz w:val="20"/>
          <w:szCs w:val="20"/>
          <w:lang w:val="es-CR"/>
        </w:rPr>
        <w:t>En</w:t>
      </w:r>
      <w:r w:rsidR="007027F3" w:rsidRPr="00B44D5A">
        <w:rPr>
          <w:rFonts w:eastAsia="Verdana" w:cs="Verdana"/>
          <w:sz w:val="20"/>
          <w:szCs w:val="20"/>
          <w:lang w:val="es-CR"/>
        </w:rPr>
        <w:t xml:space="preserve"> atención a los alegatos y pruebas sometidas a la Corte por la Comisión y el Estado, en</w:t>
      </w:r>
      <w:r w:rsidR="004261DA" w:rsidRPr="00B44D5A">
        <w:rPr>
          <w:rFonts w:eastAsia="Verdana" w:cs="Verdana"/>
          <w:sz w:val="20"/>
          <w:szCs w:val="20"/>
          <w:lang w:val="es-CR"/>
        </w:rPr>
        <w:t xml:space="preserve"> primer lugar,</w:t>
      </w:r>
      <w:r w:rsidR="00406842" w:rsidRPr="00B44D5A">
        <w:rPr>
          <w:rFonts w:eastAsia="Verdana" w:cs="Verdana"/>
          <w:sz w:val="20"/>
          <w:szCs w:val="20"/>
          <w:lang w:val="es-CR"/>
        </w:rPr>
        <w:t xml:space="preserve"> el Presidente verifica </w:t>
      </w:r>
      <w:r w:rsidR="004261DA" w:rsidRPr="00B44D5A">
        <w:rPr>
          <w:rFonts w:eastAsia="Verdana" w:cs="Verdana"/>
          <w:sz w:val="20"/>
          <w:szCs w:val="20"/>
          <w:lang w:val="es-CR"/>
        </w:rPr>
        <w:t xml:space="preserve">la extrema gravedad del conflicto que inició </w:t>
      </w:r>
      <w:r w:rsidR="00E435D0" w:rsidRPr="00B44D5A">
        <w:rPr>
          <w:rFonts w:eastAsia="Verdana" w:cs="Verdana"/>
          <w:sz w:val="20"/>
          <w:szCs w:val="20"/>
          <w:lang w:val="es-CR"/>
        </w:rPr>
        <w:t>desde el mes de abril de 2018</w:t>
      </w:r>
      <w:r w:rsidR="004261DA" w:rsidRPr="00B44D5A">
        <w:rPr>
          <w:rFonts w:eastAsia="Verdana" w:cs="Verdana"/>
          <w:sz w:val="20"/>
          <w:szCs w:val="20"/>
          <w:lang w:val="es-CR"/>
        </w:rPr>
        <w:t xml:space="preserve"> como resultado de las protestas inciadas en contra del gobierno de Nicaragua</w:t>
      </w:r>
      <w:r w:rsidR="00E435D0" w:rsidRPr="00B44D5A">
        <w:rPr>
          <w:rFonts w:eastAsia="Verdana" w:cs="Verdana"/>
          <w:sz w:val="20"/>
          <w:szCs w:val="20"/>
          <w:lang w:val="es-CR"/>
        </w:rPr>
        <w:t xml:space="preserve">, </w:t>
      </w:r>
      <w:r w:rsidR="004261DA" w:rsidRPr="00B44D5A">
        <w:rPr>
          <w:rFonts w:eastAsia="Verdana" w:cs="Verdana"/>
          <w:sz w:val="20"/>
          <w:szCs w:val="20"/>
          <w:lang w:val="es-CR"/>
        </w:rPr>
        <w:t xml:space="preserve">y que ha provocado </w:t>
      </w:r>
      <w:r w:rsidR="000A5F1C">
        <w:rPr>
          <w:rFonts w:eastAsia="Verdana" w:cs="Verdana"/>
          <w:sz w:val="20"/>
          <w:szCs w:val="20"/>
          <w:lang w:val="es-CR"/>
        </w:rPr>
        <w:t>elevados números de fallecidos y heridos</w:t>
      </w:r>
      <w:r w:rsidR="00E435D0" w:rsidRPr="00B44D5A">
        <w:rPr>
          <w:rFonts w:eastAsia="Verdana" w:cs="Verdana"/>
          <w:sz w:val="20"/>
          <w:szCs w:val="20"/>
          <w:lang w:val="es-CR"/>
        </w:rPr>
        <w:t>.</w:t>
      </w:r>
      <w:r w:rsidR="004261DA" w:rsidRPr="00B44D5A">
        <w:rPr>
          <w:rFonts w:eastAsia="Verdana" w:cs="Verdana"/>
          <w:sz w:val="20"/>
          <w:szCs w:val="20"/>
          <w:lang w:val="es-CR"/>
        </w:rPr>
        <w:t xml:space="preserve"> Al respecto, la Comisión manifestó en su informe de 21 de junio de 2018 que </w:t>
      </w:r>
      <w:r w:rsidR="004261DA" w:rsidRPr="00B44D5A">
        <w:rPr>
          <w:sz w:val="20"/>
          <w:szCs w:val="20"/>
        </w:rPr>
        <w:t>“</w:t>
      </w:r>
      <w:r w:rsidR="004261DA" w:rsidRPr="00B44D5A">
        <w:rPr>
          <w:sz w:val="20"/>
          <w:szCs w:val="20"/>
          <w:lang w:val="es-US"/>
        </w:rPr>
        <w:t>la acción represiva del Estado ha producido al menos, 212 personas muertas hasta el 19 de junio, 1.337 personas heridas y 507 personas estuvieron privadas de la libertad registradas hasta el 6 de junio,  y cientos de personas en situación de riesgo tras ser víctimas de ataques, hostigamientos, amenazas y otras formas de intimidación”</w:t>
      </w:r>
      <w:r w:rsidR="004261DA" w:rsidRPr="00B44D5A">
        <w:rPr>
          <w:rStyle w:val="Refdenotaalpie"/>
          <w:rFonts w:eastAsia="Verdana" w:cs="Verdana"/>
          <w:sz w:val="20"/>
          <w:szCs w:val="20"/>
          <w:lang w:val="es-CR"/>
        </w:rPr>
        <w:footnoteReference w:id="22"/>
      </w:r>
      <w:r w:rsidR="004261DA" w:rsidRPr="00B44D5A">
        <w:rPr>
          <w:sz w:val="20"/>
          <w:szCs w:val="20"/>
          <w:lang w:val="es-US"/>
        </w:rPr>
        <w:t>.</w:t>
      </w:r>
      <w:r w:rsidR="004261DA" w:rsidRPr="00B44D5A">
        <w:rPr>
          <w:rFonts w:eastAsia="Verdana" w:cs="Verdana"/>
          <w:sz w:val="20"/>
          <w:szCs w:val="20"/>
          <w:lang w:val="es-CR"/>
        </w:rPr>
        <w:t xml:space="preserve"> Por su parte, el Estado manifestó en su comunicación de 13 de febrero de 2019 que “como resultado de los actos violentos en el contexto del fallido Golpe de Estado, 198 personas fallecieron, de los cuales 22 eran policías; 1,240 lesionados, siendo 401 policías; los grupos golpistas ocasionaron daños a la </w:t>
      </w:r>
      <w:r w:rsidR="00402E26">
        <w:rPr>
          <w:rFonts w:eastAsia="Verdana" w:cs="Verdana"/>
          <w:sz w:val="20"/>
          <w:szCs w:val="20"/>
          <w:lang w:val="es-CR"/>
        </w:rPr>
        <w:t xml:space="preserve">infraestructura del </w:t>
      </w:r>
      <w:r w:rsidR="004261DA" w:rsidRPr="00B44D5A">
        <w:rPr>
          <w:rFonts w:eastAsia="Verdana" w:cs="Verdana"/>
          <w:sz w:val="20"/>
          <w:szCs w:val="20"/>
          <w:lang w:val="es-CR"/>
        </w:rPr>
        <w:t>país”</w:t>
      </w:r>
      <w:r w:rsidR="004261DA" w:rsidRPr="00B44D5A">
        <w:rPr>
          <w:rStyle w:val="Refdenotaalpie"/>
          <w:rFonts w:eastAsia="Verdana" w:cs="Verdana"/>
          <w:sz w:val="20"/>
          <w:szCs w:val="20"/>
          <w:lang w:val="es-CR"/>
        </w:rPr>
        <w:footnoteReference w:id="23"/>
      </w:r>
      <w:r w:rsidR="004261DA" w:rsidRPr="00B44D5A">
        <w:rPr>
          <w:rFonts w:eastAsia="Verdana" w:cs="Verdana"/>
          <w:sz w:val="20"/>
          <w:szCs w:val="20"/>
          <w:lang w:val="es-CR"/>
        </w:rPr>
        <w:t>. Asimismo, el Estado manifestó ante la Comisión la presunta realización de actos violentos cometidos en contra de agentes e instalaciones estatales</w:t>
      </w:r>
      <w:r w:rsidR="004261DA" w:rsidRPr="00B44D5A">
        <w:rPr>
          <w:rStyle w:val="Refdenotaalpie"/>
          <w:rFonts w:eastAsia="Verdana" w:cs="Verdana"/>
          <w:sz w:val="20"/>
          <w:szCs w:val="20"/>
          <w:lang w:val="es-CR"/>
        </w:rPr>
        <w:footnoteReference w:id="24"/>
      </w:r>
      <w:r w:rsidR="004261DA" w:rsidRPr="00B44D5A">
        <w:rPr>
          <w:rFonts w:eastAsia="Verdana" w:cs="Verdana"/>
          <w:sz w:val="20"/>
          <w:szCs w:val="20"/>
          <w:lang w:val="es-CR"/>
        </w:rPr>
        <w:t>.</w:t>
      </w:r>
    </w:p>
    <w:p w:rsidR="004261DA" w:rsidRPr="00B44D5A" w:rsidRDefault="004261DA" w:rsidP="004261DA">
      <w:pPr>
        <w:pStyle w:val="Prrafodelista"/>
        <w:rPr>
          <w:rFonts w:ascii="Verdana" w:eastAsia="Verdana" w:hAnsi="Verdana" w:cs="Verdana"/>
          <w:sz w:val="20"/>
          <w:szCs w:val="20"/>
          <w:lang w:val="es-CR"/>
        </w:rPr>
      </w:pPr>
    </w:p>
    <w:p w:rsidR="00E435D0" w:rsidRPr="00B44D5A" w:rsidRDefault="007E26C3" w:rsidP="007E26C3">
      <w:pPr>
        <w:pStyle w:val="Prrafodelista1"/>
        <w:jc w:val="both"/>
        <w:rPr>
          <w:sz w:val="20"/>
          <w:szCs w:val="20"/>
        </w:rPr>
      </w:pPr>
      <w:r>
        <w:rPr>
          <w:rFonts w:eastAsia="Verdana" w:cs="Verdana"/>
          <w:sz w:val="20"/>
          <w:szCs w:val="20"/>
          <w:lang w:val="es-CR"/>
        </w:rPr>
        <w:t>18.</w:t>
      </w:r>
      <w:r>
        <w:rPr>
          <w:rFonts w:eastAsia="Verdana" w:cs="Verdana"/>
          <w:sz w:val="20"/>
          <w:szCs w:val="20"/>
          <w:lang w:val="es-CR"/>
        </w:rPr>
        <w:tab/>
      </w:r>
      <w:r w:rsidR="004261DA" w:rsidRPr="00B44D5A">
        <w:rPr>
          <w:rFonts w:eastAsia="Verdana" w:cs="Verdana"/>
          <w:sz w:val="20"/>
          <w:szCs w:val="20"/>
          <w:lang w:val="es-CR"/>
        </w:rPr>
        <w:t xml:space="preserve">En segundo lugar, el Presidente constata </w:t>
      </w:r>
      <w:r w:rsidR="00E435D0" w:rsidRPr="00B44D5A">
        <w:rPr>
          <w:rFonts w:eastAsia="Verdana" w:cs="Verdana"/>
          <w:sz w:val="20"/>
          <w:szCs w:val="20"/>
          <w:lang w:val="es-CR"/>
        </w:rPr>
        <w:t xml:space="preserve">la existencia </w:t>
      </w:r>
      <w:r w:rsidR="004261DA" w:rsidRPr="00B44D5A">
        <w:rPr>
          <w:rFonts w:eastAsia="Verdana" w:cs="Verdana"/>
          <w:sz w:val="20"/>
          <w:szCs w:val="20"/>
          <w:lang w:val="es-CR"/>
        </w:rPr>
        <w:t xml:space="preserve">de </w:t>
      </w:r>
      <w:r w:rsidR="00E435D0" w:rsidRPr="00B44D5A">
        <w:rPr>
          <w:rFonts w:eastAsia="Verdana" w:cs="Verdana"/>
          <w:sz w:val="20"/>
          <w:szCs w:val="20"/>
          <w:lang w:val="es-CR"/>
        </w:rPr>
        <w:t>procesos judiciales</w:t>
      </w:r>
      <w:r w:rsidR="004261DA" w:rsidRPr="00B44D5A">
        <w:rPr>
          <w:rFonts w:eastAsia="Verdana" w:cs="Verdana"/>
          <w:sz w:val="20"/>
          <w:szCs w:val="20"/>
          <w:lang w:val="es-CR"/>
        </w:rPr>
        <w:t xml:space="preserve"> llevados a cabo</w:t>
      </w:r>
      <w:r w:rsidR="00E435D0" w:rsidRPr="00B44D5A">
        <w:rPr>
          <w:rFonts w:eastAsia="Verdana" w:cs="Verdana"/>
          <w:sz w:val="20"/>
          <w:szCs w:val="20"/>
          <w:lang w:val="es-CR"/>
        </w:rPr>
        <w:t xml:space="preserve"> en contra de aquellas personas que habrían participado en </w:t>
      </w:r>
      <w:r w:rsidR="00496E5A" w:rsidRPr="00B44D5A">
        <w:rPr>
          <w:rFonts w:eastAsia="Verdana" w:cs="Verdana"/>
          <w:sz w:val="20"/>
          <w:szCs w:val="20"/>
          <w:lang w:val="es-CR"/>
        </w:rPr>
        <w:t>dichas protestas</w:t>
      </w:r>
      <w:r w:rsidR="00E435D0" w:rsidRPr="00B44D5A">
        <w:rPr>
          <w:rFonts w:eastAsia="Verdana" w:cs="Verdana"/>
          <w:sz w:val="20"/>
          <w:szCs w:val="20"/>
          <w:lang w:val="es-CR"/>
        </w:rPr>
        <w:t xml:space="preserve">. </w:t>
      </w:r>
      <w:r w:rsidR="004261DA" w:rsidRPr="00B44D5A">
        <w:rPr>
          <w:rFonts w:eastAsia="Verdana" w:cs="Verdana"/>
          <w:sz w:val="20"/>
          <w:szCs w:val="20"/>
          <w:lang w:val="es-CR"/>
        </w:rPr>
        <w:t xml:space="preserve">Al respecto, la Comisión </w:t>
      </w:r>
      <w:r w:rsidR="001749A3">
        <w:rPr>
          <w:rFonts w:eastAsia="Verdana" w:cs="Verdana"/>
          <w:sz w:val="20"/>
          <w:szCs w:val="20"/>
          <w:lang w:val="es-CR"/>
        </w:rPr>
        <w:t>advirtió</w:t>
      </w:r>
      <w:r w:rsidR="004261DA" w:rsidRPr="00B44D5A">
        <w:rPr>
          <w:rFonts w:eastAsia="Verdana" w:cs="Verdana"/>
          <w:sz w:val="20"/>
          <w:szCs w:val="20"/>
          <w:lang w:val="es-CR"/>
        </w:rPr>
        <w:t xml:space="preserve"> la “instauración generalizada de procesos penales con cargos infundados y desproporcionados por los delitos de terrorismo, crimen organizado y entorpecimiento de servicios públicos, entre otros, existiendo una práctica generalizada de dictar la prisión preventiva de forma automática en esos casos”</w:t>
      </w:r>
      <w:r w:rsidR="004261DA" w:rsidRPr="00B44D5A">
        <w:rPr>
          <w:rStyle w:val="Refdenotaalpie"/>
          <w:rFonts w:eastAsia="Verdana" w:cs="Verdana"/>
          <w:sz w:val="20"/>
          <w:szCs w:val="20"/>
          <w:lang w:val="es-CR"/>
        </w:rPr>
        <w:footnoteReference w:id="25"/>
      </w:r>
      <w:r w:rsidR="004261DA" w:rsidRPr="00B44D5A">
        <w:rPr>
          <w:rFonts w:eastAsia="Verdana" w:cs="Verdana"/>
          <w:sz w:val="20"/>
          <w:szCs w:val="20"/>
          <w:lang w:val="es-CR"/>
        </w:rPr>
        <w:t>. En el mismo sentido,</w:t>
      </w:r>
      <w:r w:rsidR="00496E5A" w:rsidRPr="00B44D5A">
        <w:rPr>
          <w:rFonts w:eastAsia="Verdana" w:cs="Verdana"/>
          <w:sz w:val="20"/>
          <w:szCs w:val="20"/>
          <w:lang w:val="es-CR"/>
        </w:rPr>
        <w:t xml:space="preserve"> el Estado</w:t>
      </w:r>
      <w:r w:rsidR="004261DA" w:rsidRPr="00B44D5A">
        <w:rPr>
          <w:rFonts w:eastAsia="Verdana" w:cs="Verdana"/>
          <w:sz w:val="20"/>
          <w:szCs w:val="20"/>
          <w:lang w:val="es-CR"/>
        </w:rPr>
        <w:t xml:space="preserve"> manifestó</w:t>
      </w:r>
      <w:r w:rsidR="00496E5A" w:rsidRPr="00B44D5A">
        <w:rPr>
          <w:rFonts w:eastAsia="Verdana" w:cs="Verdana"/>
          <w:sz w:val="20"/>
          <w:szCs w:val="20"/>
          <w:lang w:val="es-CR"/>
        </w:rPr>
        <w:t xml:space="preserve"> en su comunicación ante la Comisión de 13 de febrero de 2019</w:t>
      </w:r>
      <w:r w:rsidR="004261DA" w:rsidRPr="00B44D5A">
        <w:rPr>
          <w:rFonts w:eastAsia="Verdana" w:cs="Verdana"/>
          <w:sz w:val="20"/>
          <w:szCs w:val="20"/>
          <w:lang w:val="es-CR"/>
        </w:rPr>
        <w:t xml:space="preserve"> que </w:t>
      </w:r>
      <w:r w:rsidR="00496E5A" w:rsidRPr="00B44D5A">
        <w:rPr>
          <w:rFonts w:eastAsia="Verdana" w:cs="Verdana"/>
          <w:sz w:val="20"/>
          <w:szCs w:val="20"/>
          <w:lang w:val="es-CR"/>
        </w:rPr>
        <w:t>las personas detenidas en el marco de las protestas fueron acusadas de delitos como “asesinato, terrorismo, incendio, tortura, lesiones, robos, exposición de personas al peligro, entorpecimiento de servicios públicos y daños, entre otros”</w:t>
      </w:r>
      <w:r w:rsidR="00496E5A" w:rsidRPr="00B44D5A">
        <w:rPr>
          <w:rStyle w:val="Refdenotaalpie"/>
          <w:rFonts w:eastAsia="Verdana" w:cs="Verdana"/>
          <w:sz w:val="20"/>
          <w:szCs w:val="20"/>
          <w:lang w:val="es-CR"/>
        </w:rPr>
        <w:footnoteReference w:id="26"/>
      </w:r>
      <w:r w:rsidR="00496E5A" w:rsidRPr="00B44D5A">
        <w:rPr>
          <w:rFonts w:eastAsia="Verdana" w:cs="Verdana"/>
          <w:sz w:val="20"/>
          <w:szCs w:val="20"/>
          <w:lang w:val="es-CR"/>
        </w:rPr>
        <w:t>.</w:t>
      </w:r>
      <w:r w:rsidR="004261DA" w:rsidRPr="00B44D5A">
        <w:rPr>
          <w:rFonts w:eastAsia="Verdana" w:cs="Verdana"/>
          <w:sz w:val="20"/>
          <w:szCs w:val="20"/>
          <w:lang w:val="es-CR"/>
        </w:rPr>
        <w:t xml:space="preserve"> Asimismo, que “a la fecha, se registran 371 personas presas (344 hombres y 27 mujeres) en el Sistema Penitenciario Nacional</w:t>
      </w:r>
      <w:r w:rsidR="00542F40">
        <w:rPr>
          <w:rFonts w:eastAsia="Verdana" w:cs="Verdana"/>
          <w:sz w:val="20"/>
          <w:szCs w:val="20"/>
          <w:lang w:val="es-CR"/>
        </w:rPr>
        <w:t>”</w:t>
      </w:r>
      <w:r w:rsidR="004261DA" w:rsidRPr="00B44D5A">
        <w:rPr>
          <w:rStyle w:val="Refdenotaalpie"/>
          <w:rFonts w:eastAsia="Verdana" w:cs="Verdana"/>
          <w:sz w:val="20"/>
          <w:szCs w:val="20"/>
          <w:lang w:val="es-CR"/>
        </w:rPr>
        <w:footnoteReference w:id="27"/>
      </w:r>
      <w:r w:rsidR="004261DA" w:rsidRPr="00B44D5A">
        <w:rPr>
          <w:rFonts w:eastAsia="Verdana" w:cs="Verdana"/>
          <w:sz w:val="20"/>
          <w:szCs w:val="20"/>
          <w:lang w:val="es-CR"/>
        </w:rPr>
        <w:t>.</w:t>
      </w:r>
      <w:r w:rsidR="00DA4615" w:rsidRPr="00B44D5A">
        <w:rPr>
          <w:rFonts w:eastAsia="Verdana" w:cs="Verdana"/>
          <w:sz w:val="20"/>
          <w:szCs w:val="20"/>
          <w:lang w:val="es-CR"/>
        </w:rPr>
        <w:t xml:space="preserve"> En relación con los procesos penales </w:t>
      </w:r>
      <w:r w:rsidR="00242AF9" w:rsidRPr="00B44D5A">
        <w:rPr>
          <w:rFonts w:eastAsia="Verdana" w:cs="Verdana"/>
          <w:sz w:val="20"/>
          <w:szCs w:val="20"/>
          <w:lang w:val="es-CR"/>
        </w:rPr>
        <w:t xml:space="preserve">seguidos en contra de los solicitantes, el Presidente advierte lo siguiente respecto de cada uno de ellos: </w:t>
      </w:r>
    </w:p>
    <w:p w:rsidR="00242AF9" w:rsidRPr="00B44D5A" w:rsidRDefault="00242AF9" w:rsidP="00242AF9">
      <w:pPr>
        <w:pStyle w:val="Prrafodelista"/>
        <w:rPr>
          <w:rFonts w:ascii="Verdana" w:hAnsi="Verdana"/>
          <w:sz w:val="20"/>
          <w:szCs w:val="20"/>
        </w:rPr>
      </w:pPr>
    </w:p>
    <w:p w:rsidR="00242AF9" w:rsidRPr="00B44D5A" w:rsidRDefault="00242AF9" w:rsidP="00242AF9">
      <w:pPr>
        <w:numPr>
          <w:ilvl w:val="0"/>
          <w:numId w:val="33"/>
        </w:numPr>
        <w:jc w:val="both"/>
        <w:rPr>
          <w:rFonts w:ascii="Verdana" w:hAnsi="Verdana"/>
          <w:sz w:val="20"/>
          <w:szCs w:val="20"/>
        </w:rPr>
      </w:pPr>
      <w:r w:rsidRPr="00B44D5A">
        <w:rPr>
          <w:rFonts w:ascii="Verdana" w:hAnsi="Verdana"/>
          <w:sz w:val="20"/>
          <w:szCs w:val="20"/>
        </w:rPr>
        <w:t>Kevin Rodrigo Espinoza Gutiérrez es estudiante y habría participado en el movimiento estudiantil de la Universidad Politécnica de Nicaragua (UPOLI). Fue privado de libertad el 11 de junio de 2018 y se encuentra condenado</w:t>
      </w:r>
      <w:r w:rsidR="005C5679">
        <w:rPr>
          <w:rFonts w:ascii="Verdana" w:hAnsi="Verdana"/>
          <w:sz w:val="20"/>
          <w:szCs w:val="20"/>
        </w:rPr>
        <w:t xml:space="preserve"> a 17 año</w:t>
      </w:r>
      <w:r w:rsidR="005552F0">
        <w:rPr>
          <w:rFonts w:ascii="Verdana" w:hAnsi="Verdana"/>
          <w:sz w:val="20"/>
          <w:szCs w:val="20"/>
        </w:rPr>
        <w:t>s y 6 meses</w:t>
      </w:r>
      <w:r w:rsidRPr="00B44D5A">
        <w:rPr>
          <w:rFonts w:ascii="Verdana" w:hAnsi="Verdana"/>
          <w:sz w:val="20"/>
          <w:szCs w:val="20"/>
        </w:rPr>
        <w:t xml:space="preserve"> por los delitos de terrorismo, tráfico </w:t>
      </w:r>
      <w:r w:rsidR="005552F0">
        <w:rPr>
          <w:rFonts w:ascii="Verdana" w:hAnsi="Verdana"/>
          <w:sz w:val="20"/>
          <w:szCs w:val="20"/>
        </w:rPr>
        <w:t xml:space="preserve">ilícito </w:t>
      </w:r>
      <w:r w:rsidRPr="00B44D5A">
        <w:rPr>
          <w:rFonts w:ascii="Verdana" w:hAnsi="Verdana"/>
          <w:sz w:val="20"/>
          <w:szCs w:val="20"/>
        </w:rPr>
        <w:t>de armas y entorpecimiento de servicios públicos. Se encuentra en trámite el recurso de apelación de sentencia condenatoria.</w:t>
      </w:r>
    </w:p>
    <w:p w:rsidR="00242AF9" w:rsidRPr="008B5494" w:rsidRDefault="00242AF9" w:rsidP="00B625B1">
      <w:pPr>
        <w:pStyle w:val="Prrafodelista"/>
        <w:numPr>
          <w:ilvl w:val="0"/>
          <w:numId w:val="33"/>
        </w:numPr>
        <w:spacing w:after="160"/>
        <w:contextualSpacing/>
        <w:jc w:val="both"/>
        <w:rPr>
          <w:rFonts w:ascii="Verdana" w:hAnsi="Verdana"/>
          <w:b/>
          <w:sz w:val="20"/>
          <w:szCs w:val="20"/>
        </w:rPr>
      </w:pPr>
      <w:r w:rsidRPr="008B5494">
        <w:rPr>
          <w:rFonts w:ascii="Verdana" w:hAnsi="Verdana"/>
          <w:sz w:val="20"/>
          <w:szCs w:val="20"/>
        </w:rPr>
        <w:t>Cristhian Rodrigo Fajardo Caballero es activista del Movimiento por Nicaragua (MpN) desde hace 14 años y públicamente habría asumido el cargo de vicecoordinador del Movimiento 19 de abril en Masaya. El 22 de julio</w:t>
      </w:r>
      <w:r w:rsidR="005C5679" w:rsidRPr="008B5494">
        <w:rPr>
          <w:rFonts w:ascii="Verdana" w:hAnsi="Verdana"/>
          <w:sz w:val="20"/>
          <w:szCs w:val="20"/>
        </w:rPr>
        <w:t xml:space="preserve"> de 2018 fue</w:t>
      </w:r>
      <w:r w:rsidRPr="008B5494">
        <w:rPr>
          <w:rFonts w:ascii="Verdana" w:hAnsi="Verdana"/>
          <w:sz w:val="20"/>
          <w:szCs w:val="20"/>
        </w:rPr>
        <w:t xml:space="preserve"> detenido por el Ejército de Nicaragua en la zona fronteriza con Costa Rica. Se encontró culpable de los delitos de terrorismo, crimen organizado, entorpecimiento de servicios públicos y financiamiento al terrorismo. Se encuentra en espera de sentencia.</w:t>
      </w:r>
    </w:p>
    <w:p w:rsidR="00242AF9" w:rsidRPr="00B44D5A" w:rsidRDefault="00242AF9" w:rsidP="00B625B1">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Yubrank Miguel Suazo Herrera colaboraba como miembro del Movimiento 19 de abril de Masaya, participando activamente en las movilizaciones cívicas. Fue privado de libertad el 10 de septiembre de 2018 y está acusado por los delitos de entorpecimiento de funciones públicas, asesinato frustrado, terrorismo y amenazas con armas de fuego. Se encuentra pendiente de juicio oral y público.</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Edwin José Carcache Dávila participó de manera activa en el movimiento estudiantil. El 4 de septiembre</w:t>
      </w:r>
      <w:r w:rsidR="00E26C2B">
        <w:rPr>
          <w:rFonts w:ascii="Verdana" w:hAnsi="Verdana"/>
          <w:sz w:val="20"/>
          <w:szCs w:val="20"/>
        </w:rPr>
        <w:t xml:space="preserve"> de 2018</w:t>
      </w:r>
      <w:r w:rsidRPr="00B44D5A">
        <w:rPr>
          <w:rFonts w:ascii="Verdana" w:hAnsi="Verdana"/>
          <w:sz w:val="20"/>
          <w:szCs w:val="20"/>
        </w:rPr>
        <w:t xml:space="preserve"> fue detenido por la policía nacional por los delitos de terrorismo, robo agravado, facilitación de evasión, entorpecimiento de servicios públicos y homicidio en grado de tentativa. Se encuentra pendiente de juicio oral y público. </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Medardo Mairena Sequeira colaboraba como Coordinador del “Consejo Campesino en Defensa de la Tierra, Lago y Soberanía en Nicaragua” (“Movimiento Campesino”). Después de abril, fecha en que tuvieron lugar diversas protestas sociales en Nicaragua, habría formado parte de la “Alianza Cívica por la Justicia y la Democracia” y había sido integrante de la “Mesa de Diálogo” en representación del “Movimiento Campesino”. El señor Mairena fue detenido por la policía el 13 de julio</w:t>
      </w:r>
      <w:r w:rsidR="000038C0">
        <w:rPr>
          <w:rFonts w:ascii="Verdana" w:hAnsi="Verdana"/>
          <w:sz w:val="20"/>
          <w:szCs w:val="20"/>
        </w:rPr>
        <w:t xml:space="preserve"> de 2018</w:t>
      </w:r>
      <w:r w:rsidRPr="00B44D5A">
        <w:rPr>
          <w:rFonts w:ascii="Verdana" w:hAnsi="Verdana"/>
          <w:sz w:val="20"/>
          <w:szCs w:val="20"/>
        </w:rPr>
        <w:t xml:space="preserve">. Fue condenado a 30 años de prisión por terrorismo, crimen organizado, entorpecimiento de servicios públicos, robo agravado y daño agravado. Se encuentra </w:t>
      </w:r>
      <w:r w:rsidR="00713774" w:rsidRPr="00B44D5A">
        <w:rPr>
          <w:rFonts w:ascii="Verdana" w:hAnsi="Verdana"/>
          <w:sz w:val="20"/>
          <w:szCs w:val="20"/>
        </w:rPr>
        <w:t xml:space="preserve">pendiente de resolverse su recurso de </w:t>
      </w:r>
      <w:r w:rsidRPr="00B44D5A">
        <w:rPr>
          <w:rFonts w:ascii="Verdana" w:hAnsi="Verdana"/>
          <w:sz w:val="20"/>
          <w:szCs w:val="20"/>
        </w:rPr>
        <w:t xml:space="preserve">apelación. </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Mario Lener Fonseca Díaz habría participado como asesor del “Movimiento Campesino”, apoyando a Medardo Mairena en la “Mesa de Diálogo” y como integrante de la “Alianza Cívica por la Justicia y la Democracia”. Asimismo, tras la detención del señor Mairena, el señor Fonseca pasó a ocupar su puesto. Fue detenido el 14 de noviembre de 2018. Se encuentra vinculado a un</w:t>
      </w:r>
      <w:r w:rsidR="00085C2B">
        <w:rPr>
          <w:rFonts w:ascii="Verdana" w:hAnsi="Verdana"/>
          <w:sz w:val="20"/>
          <w:szCs w:val="20"/>
        </w:rPr>
        <w:t xml:space="preserve"> proceso</w:t>
      </w:r>
      <w:r w:rsidRPr="00B44D5A">
        <w:rPr>
          <w:rFonts w:ascii="Verdana" w:hAnsi="Verdana"/>
          <w:sz w:val="20"/>
          <w:szCs w:val="20"/>
        </w:rPr>
        <w:t xml:space="preserve"> por los delitos de terrorismo, crimen organizado, entorpecimiento de servicios públicos, robo agravado y daño agravado, asesinato y secuestro simple. Se encuentra pendiente de juicio oral y público.</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Ricardo Baltodano es el tío de Mónica Baltodano, directora de la Fundación Popol Na, la cual acompaña al Movimiento Campesino desde hace 5 años en el marco de los cuestionamientos a la concesión del canal interoceánico. Fue detenido el 15 de septiembre de 2018 y es acusado de ser coautor del delito de terrorismo e incendio del Distrito Seis de la Alcaldía de Managua en mayo de 2018. Se encuentra pendiente de juicio oral y público.</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Jaime Ramon Ampie Toledo, Julio José Ampie Machado y Reynaldo Lira Luquez</w:t>
      </w:r>
      <w:r w:rsidRPr="00B44D5A">
        <w:rPr>
          <w:rFonts w:ascii="Verdana" w:hAnsi="Verdana"/>
          <w:b/>
          <w:sz w:val="20"/>
          <w:szCs w:val="20"/>
        </w:rPr>
        <w:t xml:space="preserve"> </w:t>
      </w:r>
      <w:r w:rsidRPr="00B44D5A">
        <w:rPr>
          <w:rFonts w:ascii="Verdana" w:hAnsi="Verdana"/>
          <w:sz w:val="20"/>
          <w:szCs w:val="20"/>
        </w:rPr>
        <w:t>son integrantes de la Comisión Permanente de Derechos Humanos. Habrían sido detenidos el 30 de mayo de 2018 por miembros del ejército. Julio Ampie y Jaime A</w:t>
      </w:r>
      <w:r w:rsidR="00C064BF">
        <w:rPr>
          <w:rFonts w:ascii="Verdana" w:hAnsi="Verdana"/>
          <w:sz w:val="20"/>
          <w:szCs w:val="20"/>
        </w:rPr>
        <w:t>m</w:t>
      </w:r>
      <w:r w:rsidRPr="00B44D5A">
        <w:rPr>
          <w:rFonts w:ascii="Verdana" w:hAnsi="Verdana"/>
          <w:sz w:val="20"/>
          <w:szCs w:val="20"/>
        </w:rPr>
        <w:t xml:space="preserve">pie </w:t>
      </w:r>
      <w:r w:rsidR="00C265B3">
        <w:rPr>
          <w:rFonts w:ascii="Verdana" w:hAnsi="Verdana"/>
          <w:sz w:val="20"/>
          <w:szCs w:val="20"/>
        </w:rPr>
        <w:t>fueron declarados culpables de los</w:t>
      </w:r>
      <w:r w:rsidRPr="00B44D5A">
        <w:rPr>
          <w:rFonts w:ascii="Verdana" w:hAnsi="Verdana"/>
          <w:sz w:val="20"/>
          <w:szCs w:val="20"/>
        </w:rPr>
        <w:t xml:space="preserve"> delito</w:t>
      </w:r>
      <w:r w:rsidR="00C265B3">
        <w:rPr>
          <w:rFonts w:ascii="Verdana" w:hAnsi="Verdana"/>
          <w:sz w:val="20"/>
          <w:szCs w:val="20"/>
        </w:rPr>
        <w:t>s</w:t>
      </w:r>
      <w:r w:rsidRPr="00B44D5A">
        <w:rPr>
          <w:rFonts w:ascii="Verdana" w:hAnsi="Verdana"/>
          <w:sz w:val="20"/>
          <w:szCs w:val="20"/>
        </w:rPr>
        <w:t xml:space="preserve"> de homicidio frustrado, lesiones graves y exposición de personas al peligro y tendrían una pena de 10 años y 3 </w:t>
      </w:r>
      <w:r w:rsidR="00C265B3">
        <w:rPr>
          <w:rFonts w:ascii="Verdana" w:hAnsi="Verdana"/>
          <w:sz w:val="20"/>
          <w:szCs w:val="20"/>
        </w:rPr>
        <w:t>meses. Reynaldo Lira fue</w:t>
      </w:r>
      <w:r w:rsidRPr="00B44D5A">
        <w:rPr>
          <w:rFonts w:ascii="Verdana" w:hAnsi="Verdana"/>
          <w:sz w:val="20"/>
          <w:szCs w:val="20"/>
        </w:rPr>
        <w:t xml:space="preserve"> declarado culpable de exposición de personas al peligro y amenazas con armas, y tendría una pena de 2 años y 11 meses. </w:t>
      </w:r>
      <w:r w:rsidR="00775E36">
        <w:rPr>
          <w:rFonts w:ascii="Verdana" w:hAnsi="Verdana"/>
          <w:sz w:val="20"/>
          <w:szCs w:val="20"/>
        </w:rPr>
        <w:t>En su informe de 20 de mayo de 2019 el Estado afirmó que a</w:t>
      </w:r>
      <w:r w:rsidRPr="00B44D5A">
        <w:rPr>
          <w:rFonts w:ascii="Verdana" w:hAnsi="Verdana"/>
          <w:sz w:val="20"/>
          <w:szCs w:val="20"/>
        </w:rPr>
        <w:t xml:space="preserve">ctualmente los tres se encuentran en libertad pues </w:t>
      </w:r>
      <w:r w:rsidR="00775E36">
        <w:rPr>
          <w:rFonts w:ascii="Verdana" w:hAnsi="Verdana"/>
          <w:sz w:val="20"/>
          <w:szCs w:val="20"/>
        </w:rPr>
        <w:t xml:space="preserve">ese día </w:t>
      </w:r>
      <w:r w:rsidRPr="00B44D5A">
        <w:rPr>
          <w:rFonts w:ascii="Verdana" w:hAnsi="Verdana"/>
          <w:sz w:val="20"/>
          <w:szCs w:val="20"/>
        </w:rPr>
        <w:t>se les otorgó el beneficio legal de convivencia familiar.</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Miguel Mora Barberena colaboraba como director del Canal 100% Noticias y como periodista tendría un rol fundamental en informar a la población nicaragüense. Fue detenido el 21 de diciembre de 2018 y habría sido imputado de los delitos de provocación, proposición y conspiración para cometer actos terroristas. Se encuentra pendiente de juicio oral y público.</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sz w:val="20"/>
          <w:szCs w:val="20"/>
        </w:rPr>
        <w:t xml:space="preserve">Lucía Pineda </w:t>
      </w:r>
      <w:r w:rsidR="00A50376">
        <w:rPr>
          <w:rFonts w:ascii="Verdana" w:hAnsi="Verdana"/>
          <w:sz w:val="20"/>
          <w:szCs w:val="20"/>
        </w:rPr>
        <w:t xml:space="preserve">Ubau </w:t>
      </w:r>
      <w:r w:rsidRPr="00B44D5A">
        <w:rPr>
          <w:rFonts w:ascii="Verdana" w:hAnsi="Verdana"/>
          <w:sz w:val="20"/>
          <w:szCs w:val="20"/>
        </w:rPr>
        <w:t xml:space="preserve">era Jefa de Prensa del Canal 100% Noticias. Desempeñó un rol informativo denunciando por medio de su programa la represión por parte de la Policía Nacional para lograr disolver las protestas, así como denuncias de tortura, desapariciones y procesos presuntamente arbitrarios que se iniciaron contra manifestantes. </w:t>
      </w:r>
      <w:r w:rsidR="00A50376">
        <w:rPr>
          <w:rFonts w:ascii="Verdana" w:hAnsi="Verdana"/>
          <w:sz w:val="20"/>
          <w:szCs w:val="20"/>
        </w:rPr>
        <w:t xml:space="preserve">Fue detenida el 21 de diciembre de 2018. </w:t>
      </w:r>
      <w:r w:rsidRPr="00B44D5A">
        <w:rPr>
          <w:rFonts w:ascii="Verdana" w:hAnsi="Verdana"/>
          <w:sz w:val="20"/>
          <w:szCs w:val="20"/>
        </w:rPr>
        <w:t>Está acusada del delito de provocación, proposición y conspiración para cometer actos terroristas, pendiente de juicio oral y público.</w:t>
      </w:r>
    </w:p>
    <w:p w:rsidR="00242AF9" w:rsidRPr="00B44D5A"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cs="Arial"/>
          <w:sz w:val="20"/>
          <w:szCs w:val="20"/>
          <w:lang w:val="es-AR"/>
        </w:rPr>
        <w:t>Amaya Eva Coppens Zamora formaba parte del movimiento estudiantil</w:t>
      </w:r>
      <w:r w:rsidR="00713774" w:rsidRPr="00B44D5A">
        <w:rPr>
          <w:rFonts w:ascii="Verdana" w:hAnsi="Verdana" w:cs="Arial"/>
          <w:sz w:val="20"/>
          <w:szCs w:val="20"/>
          <w:lang w:val="es-AR"/>
        </w:rPr>
        <w:t>. El día 10 de setiembre de</w:t>
      </w:r>
      <w:r w:rsidRPr="00B44D5A">
        <w:rPr>
          <w:rFonts w:ascii="Verdana" w:hAnsi="Verdana" w:cs="Arial"/>
          <w:sz w:val="20"/>
          <w:szCs w:val="20"/>
          <w:lang w:val="es-AR"/>
        </w:rPr>
        <w:t xml:space="preserve"> 2018 habría sido detenida por agentes policiales, trasladada al centro de detención conocido como “El Chipote” y luego llevada al Centro Penitenciario “La Esperanza”, donde se encontraría actualmente. Está acusada por los delitos de terrorismo, portación o tenencia ilegal de armas de fuego o municiones, secuestro simple, lesiones graves, robo agravado y entorpecimiento de servicios público. Se encuentra pendiente de juicio oral y público.</w:t>
      </w:r>
    </w:p>
    <w:p w:rsidR="00775E36" w:rsidRPr="00775E36" w:rsidRDefault="00242AF9" w:rsidP="00242AF9">
      <w:pPr>
        <w:pStyle w:val="Prrafodelista"/>
        <w:numPr>
          <w:ilvl w:val="0"/>
          <w:numId w:val="33"/>
        </w:numPr>
        <w:spacing w:after="160"/>
        <w:contextualSpacing/>
        <w:jc w:val="both"/>
        <w:rPr>
          <w:rFonts w:ascii="Verdana" w:hAnsi="Verdana"/>
          <w:b/>
          <w:sz w:val="20"/>
          <w:szCs w:val="20"/>
        </w:rPr>
      </w:pPr>
      <w:r w:rsidRPr="00B44D5A">
        <w:rPr>
          <w:rFonts w:ascii="Verdana" w:hAnsi="Verdana" w:cs="Arial"/>
          <w:sz w:val="20"/>
          <w:szCs w:val="20"/>
          <w:lang w:val="es-AR"/>
        </w:rPr>
        <w:t>Olesia Auxiliadora Muñoz Pavón y Tania Verónica Muñoz Pavón fueron acusadas por los delitos de crimen organizado, terrorismo, entorpecimiento de servicios públicos, amenazas con armas, daño agravado, lesiones graves, robo agravado, tenencia y uso de armas restringidas y portación o tenencia ilegal de armas de fuego. Olesia Auxiliadora se encuentra condenada a 30 años de prisión, en trámite de apelación de sentencia. Tania Verónica fue condenada a 26 años y 2 meses, está en trámite de apelación de sentencia</w:t>
      </w:r>
      <w:r w:rsidR="00775E36">
        <w:rPr>
          <w:rFonts w:ascii="Verdana" w:hAnsi="Verdana" w:cs="Arial"/>
          <w:sz w:val="20"/>
          <w:szCs w:val="20"/>
          <w:lang w:val="es-AR"/>
        </w:rPr>
        <w:t xml:space="preserve">. </w:t>
      </w:r>
      <w:r w:rsidR="00775E36">
        <w:rPr>
          <w:rFonts w:ascii="Verdana" w:hAnsi="Verdana"/>
          <w:sz w:val="20"/>
          <w:szCs w:val="20"/>
        </w:rPr>
        <w:t>En su informe de 20 de mayo de 2019 el Estado afirmó que a</w:t>
      </w:r>
      <w:r w:rsidR="00775E36" w:rsidRPr="00B44D5A">
        <w:rPr>
          <w:rFonts w:ascii="Verdana" w:hAnsi="Verdana"/>
          <w:sz w:val="20"/>
          <w:szCs w:val="20"/>
        </w:rPr>
        <w:t xml:space="preserve">ctualmente </w:t>
      </w:r>
      <w:r w:rsidR="00775E36">
        <w:rPr>
          <w:rFonts w:ascii="Verdana" w:hAnsi="Verdana"/>
          <w:sz w:val="20"/>
          <w:szCs w:val="20"/>
        </w:rPr>
        <w:t>Tanía Verónica</w:t>
      </w:r>
      <w:r w:rsidR="00775E36" w:rsidRPr="00B44D5A">
        <w:rPr>
          <w:rFonts w:ascii="Verdana" w:hAnsi="Verdana"/>
          <w:sz w:val="20"/>
          <w:szCs w:val="20"/>
        </w:rPr>
        <w:t xml:space="preserve"> se encuentra en libertad</w:t>
      </w:r>
      <w:r w:rsidR="00775E36">
        <w:rPr>
          <w:rFonts w:ascii="Verdana" w:hAnsi="Verdana"/>
          <w:sz w:val="20"/>
          <w:szCs w:val="20"/>
        </w:rPr>
        <w:t>,</w:t>
      </w:r>
      <w:r w:rsidR="00775E36" w:rsidRPr="00B44D5A">
        <w:rPr>
          <w:rFonts w:ascii="Verdana" w:hAnsi="Verdana"/>
          <w:sz w:val="20"/>
          <w:szCs w:val="20"/>
        </w:rPr>
        <w:t xml:space="preserve"> pues </w:t>
      </w:r>
      <w:r w:rsidR="00775E36">
        <w:rPr>
          <w:rFonts w:ascii="Verdana" w:hAnsi="Verdana"/>
          <w:sz w:val="20"/>
          <w:szCs w:val="20"/>
        </w:rPr>
        <w:t>ese día se le</w:t>
      </w:r>
      <w:r w:rsidR="00775E36" w:rsidRPr="00B44D5A">
        <w:rPr>
          <w:rFonts w:ascii="Verdana" w:hAnsi="Verdana"/>
          <w:sz w:val="20"/>
          <w:szCs w:val="20"/>
        </w:rPr>
        <w:t xml:space="preserve"> otorgó el beneficio legal de convivencia familiar.</w:t>
      </w:r>
    </w:p>
    <w:p w:rsidR="00242AF9" w:rsidRPr="00B44D5A" w:rsidRDefault="00AA6C92" w:rsidP="00242AF9">
      <w:pPr>
        <w:pStyle w:val="Prrafodelista"/>
        <w:numPr>
          <w:ilvl w:val="0"/>
          <w:numId w:val="33"/>
        </w:numPr>
        <w:spacing w:after="160"/>
        <w:contextualSpacing/>
        <w:jc w:val="both"/>
        <w:rPr>
          <w:rFonts w:ascii="Verdana" w:hAnsi="Verdana"/>
          <w:b/>
          <w:sz w:val="20"/>
          <w:szCs w:val="20"/>
        </w:rPr>
      </w:pPr>
      <w:r>
        <w:rPr>
          <w:rFonts w:ascii="Verdana" w:hAnsi="Verdana" w:cs="Arial"/>
          <w:sz w:val="20"/>
          <w:szCs w:val="20"/>
          <w:lang w:val="es-AR"/>
        </w:rPr>
        <w:t>María Ad</w:t>
      </w:r>
      <w:r w:rsidR="00242AF9" w:rsidRPr="00B44D5A">
        <w:rPr>
          <w:rFonts w:ascii="Verdana" w:hAnsi="Verdana" w:cs="Arial"/>
          <w:sz w:val="20"/>
          <w:szCs w:val="20"/>
          <w:lang w:val="es-AR"/>
        </w:rPr>
        <w:t xml:space="preserve">ilia Peralda Serrato se declaró culpable por el delito de crimen organizado, </w:t>
      </w:r>
      <w:r w:rsidR="00FB734C" w:rsidRPr="00B44D5A">
        <w:rPr>
          <w:rFonts w:ascii="Verdana" w:hAnsi="Verdana" w:cs="Arial"/>
          <w:sz w:val="20"/>
          <w:szCs w:val="20"/>
          <w:lang w:val="es-AR"/>
        </w:rPr>
        <w:t>en</w:t>
      </w:r>
      <w:r w:rsidR="00242AF9" w:rsidRPr="00B44D5A">
        <w:rPr>
          <w:rFonts w:ascii="Verdana" w:hAnsi="Verdana" w:cs="Arial"/>
          <w:sz w:val="20"/>
          <w:szCs w:val="20"/>
          <w:lang w:val="es-AR"/>
        </w:rPr>
        <w:t xml:space="preserve"> espera de sentencia. </w:t>
      </w:r>
      <w:r w:rsidR="00775E36">
        <w:rPr>
          <w:rFonts w:ascii="Verdana" w:hAnsi="Verdana"/>
          <w:sz w:val="20"/>
          <w:szCs w:val="20"/>
        </w:rPr>
        <w:t>En su informe de 20 de mayo de 2019 el Estado afirmó que a</w:t>
      </w:r>
      <w:r w:rsidR="00775E36" w:rsidRPr="00B44D5A">
        <w:rPr>
          <w:rFonts w:ascii="Verdana" w:hAnsi="Verdana"/>
          <w:sz w:val="20"/>
          <w:szCs w:val="20"/>
        </w:rPr>
        <w:t>ctualmente se encuentra en libertad</w:t>
      </w:r>
      <w:r w:rsidR="00775E36">
        <w:rPr>
          <w:rFonts w:ascii="Verdana" w:hAnsi="Verdana"/>
          <w:sz w:val="20"/>
          <w:szCs w:val="20"/>
        </w:rPr>
        <w:t>,</w:t>
      </w:r>
      <w:r w:rsidR="00775E36" w:rsidRPr="00B44D5A">
        <w:rPr>
          <w:rFonts w:ascii="Verdana" w:hAnsi="Verdana"/>
          <w:sz w:val="20"/>
          <w:szCs w:val="20"/>
        </w:rPr>
        <w:t xml:space="preserve"> pues </w:t>
      </w:r>
      <w:r w:rsidR="00775E36">
        <w:rPr>
          <w:rFonts w:ascii="Verdana" w:hAnsi="Verdana"/>
          <w:sz w:val="20"/>
          <w:szCs w:val="20"/>
        </w:rPr>
        <w:t>ese día se le</w:t>
      </w:r>
      <w:r w:rsidR="00775E36" w:rsidRPr="00B44D5A">
        <w:rPr>
          <w:rFonts w:ascii="Verdana" w:hAnsi="Verdana"/>
          <w:sz w:val="20"/>
          <w:szCs w:val="20"/>
        </w:rPr>
        <w:t xml:space="preserve"> otorgó el beneficio legal de convivencia familiar.</w:t>
      </w:r>
      <w:r w:rsidR="00242AF9" w:rsidRPr="00B44D5A">
        <w:rPr>
          <w:rFonts w:ascii="Verdana" w:hAnsi="Verdana" w:cs="Arial"/>
          <w:sz w:val="20"/>
          <w:szCs w:val="20"/>
          <w:lang w:val="es-AR"/>
        </w:rPr>
        <w:t xml:space="preserve"> </w:t>
      </w:r>
    </w:p>
    <w:p w:rsidR="00242AF9" w:rsidRPr="00B44D5A" w:rsidRDefault="000B7510" w:rsidP="00242AF9">
      <w:pPr>
        <w:pStyle w:val="Prrafodelista"/>
        <w:numPr>
          <w:ilvl w:val="0"/>
          <w:numId w:val="33"/>
        </w:numPr>
        <w:spacing w:after="160"/>
        <w:contextualSpacing/>
        <w:jc w:val="both"/>
        <w:rPr>
          <w:rFonts w:ascii="Verdana" w:hAnsi="Verdana"/>
          <w:b/>
          <w:sz w:val="20"/>
          <w:szCs w:val="20"/>
        </w:rPr>
      </w:pPr>
      <w:r>
        <w:rPr>
          <w:rFonts w:ascii="Verdana" w:hAnsi="Verdana" w:cs="Arial"/>
          <w:sz w:val="20"/>
          <w:szCs w:val="20"/>
          <w:lang w:val="es-AR"/>
        </w:rPr>
        <w:t>Irlanda Undina Jeré</w:t>
      </w:r>
      <w:r w:rsidR="00242AF9" w:rsidRPr="00B44D5A">
        <w:rPr>
          <w:rFonts w:ascii="Verdana" w:hAnsi="Verdana" w:cs="Arial"/>
          <w:sz w:val="20"/>
          <w:szCs w:val="20"/>
          <w:lang w:val="es-AR"/>
        </w:rPr>
        <w:t>z Barrera fue condenada a 5 años de prisión por usurpación de dominio privado, estelionato, uso de falsos documentos y falsedad ideológica.</w:t>
      </w:r>
    </w:p>
    <w:p w:rsidR="004261DA" w:rsidRPr="00B44D5A" w:rsidRDefault="004261DA" w:rsidP="004261DA">
      <w:pPr>
        <w:pStyle w:val="Prrafodelista"/>
        <w:rPr>
          <w:rFonts w:ascii="Verdana" w:hAnsi="Verdana"/>
          <w:sz w:val="20"/>
          <w:szCs w:val="20"/>
        </w:rPr>
      </w:pPr>
    </w:p>
    <w:p w:rsidR="00EB2047" w:rsidRPr="00B44D5A" w:rsidRDefault="003A0493" w:rsidP="003A0493">
      <w:pPr>
        <w:pStyle w:val="Prrafodelista1"/>
        <w:jc w:val="both"/>
        <w:rPr>
          <w:sz w:val="20"/>
          <w:szCs w:val="20"/>
        </w:rPr>
      </w:pPr>
      <w:r>
        <w:rPr>
          <w:sz w:val="20"/>
          <w:szCs w:val="20"/>
        </w:rPr>
        <w:t>19.</w:t>
      </w:r>
      <w:r>
        <w:rPr>
          <w:sz w:val="20"/>
          <w:szCs w:val="20"/>
        </w:rPr>
        <w:tab/>
      </w:r>
      <w:r w:rsidR="004E6B04" w:rsidRPr="00B44D5A">
        <w:rPr>
          <w:sz w:val="20"/>
          <w:szCs w:val="20"/>
        </w:rPr>
        <w:t xml:space="preserve">En tercer lugar, el Presidente advierte que </w:t>
      </w:r>
      <w:r w:rsidR="00625592" w:rsidRPr="00B44D5A">
        <w:rPr>
          <w:sz w:val="20"/>
          <w:szCs w:val="20"/>
        </w:rPr>
        <w:t>el</w:t>
      </w:r>
      <w:r w:rsidR="004E6B04" w:rsidRPr="00B44D5A">
        <w:rPr>
          <w:sz w:val="20"/>
          <w:szCs w:val="20"/>
        </w:rPr>
        <w:t xml:space="preserve"> objeto de la presente resolución s</w:t>
      </w:r>
      <w:r w:rsidR="00C8518A" w:rsidRPr="00B44D5A">
        <w:rPr>
          <w:sz w:val="20"/>
          <w:szCs w:val="20"/>
        </w:rPr>
        <w:t>e encuentra estrechamente ligado</w:t>
      </w:r>
      <w:r w:rsidR="004E6B04" w:rsidRPr="00B44D5A">
        <w:rPr>
          <w:sz w:val="20"/>
          <w:szCs w:val="20"/>
        </w:rPr>
        <w:t xml:space="preserve"> al contexto de protestas contra</w:t>
      </w:r>
      <w:r w:rsidR="00980F27">
        <w:rPr>
          <w:sz w:val="20"/>
          <w:szCs w:val="20"/>
        </w:rPr>
        <w:t xml:space="preserve"> medidas adoptadas por</w:t>
      </w:r>
      <w:r w:rsidR="004E6B04" w:rsidRPr="00B44D5A">
        <w:rPr>
          <w:sz w:val="20"/>
          <w:szCs w:val="20"/>
        </w:rPr>
        <w:t xml:space="preserve"> el gobier</w:t>
      </w:r>
      <w:r w:rsidR="00980F27">
        <w:rPr>
          <w:sz w:val="20"/>
          <w:szCs w:val="20"/>
        </w:rPr>
        <w:t>no iniciadas en abril de 2018, así como la difusión de información sobre tales protestas, y</w:t>
      </w:r>
      <w:r w:rsidR="004E6B04" w:rsidRPr="00B44D5A">
        <w:rPr>
          <w:sz w:val="20"/>
          <w:szCs w:val="20"/>
        </w:rPr>
        <w:t xml:space="preserve"> las acciones posteriores de persecución penal estatal por supuestos delitos cometidos.</w:t>
      </w:r>
      <w:r w:rsidR="00E357A5">
        <w:rPr>
          <w:sz w:val="20"/>
          <w:szCs w:val="20"/>
        </w:rPr>
        <w:t xml:space="preserve"> En ese contexto, se produjo un diálogo entre el Gobierno y la Alianza Cívica por la Justicia y la Democracia en Nicaragua, en cuyo marco se acordó la liberación de todas las personas privadas de libertad en el contexto de la </w:t>
      </w:r>
      <w:r w:rsidR="00E357A5" w:rsidRPr="008B5494">
        <w:rPr>
          <w:sz w:val="20"/>
          <w:szCs w:val="20"/>
        </w:rPr>
        <w:t>crisis</w:t>
      </w:r>
      <w:r w:rsidR="00E357A5">
        <w:rPr>
          <w:sz w:val="20"/>
          <w:szCs w:val="20"/>
        </w:rPr>
        <w:t>.</w:t>
      </w:r>
      <w:r w:rsidR="004E6B04" w:rsidRPr="00B44D5A">
        <w:rPr>
          <w:sz w:val="20"/>
          <w:szCs w:val="20"/>
        </w:rPr>
        <w:t xml:space="preserve"> En ese sentido, el Presidente destaca que la Comisión dictó medidas cautelares a favor de dichas personas por i</w:t>
      </w:r>
      <w:r w:rsidR="00D872F8" w:rsidRPr="00B44D5A">
        <w:rPr>
          <w:sz w:val="20"/>
          <w:szCs w:val="20"/>
        </w:rPr>
        <w:t>)</w:t>
      </w:r>
      <w:r w:rsidR="004E6B04" w:rsidRPr="00B44D5A">
        <w:rPr>
          <w:sz w:val="20"/>
          <w:szCs w:val="20"/>
        </w:rPr>
        <w:t xml:space="preserve"> la vinculación que existió entre su participación en diversas manifestaciones en contra del gobierno de Nicaragua</w:t>
      </w:r>
      <w:r w:rsidR="004E6B04" w:rsidRPr="00B44D5A">
        <w:rPr>
          <w:rStyle w:val="Refdenotaalpie"/>
          <w:sz w:val="20"/>
          <w:szCs w:val="20"/>
        </w:rPr>
        <w:footnoteReference w:id="28"/>
      </w:r>
      <w:r w:rsidR="00D872F8" w:rsidRPr="00B44D5A">
        <w:rPr>
          <w:sz w:val="20"/>
          <w:szCs w:val="20"/>
        </w:rPr>
        <w:t xml:space="preserve">, </w:t>
      </w:r>
      <w:r w:rsidR="004E6B04" w:rsidRPr="00B44D5A">
        <w:rPr>
          <w:sz w:val="20"/>
          <w:szCs w:val="20"/>
        </w:rPr>
        <w:t>ii</w:t>
      </w:r>
      <w:r w:rsidR="00D872F8" w:rsidRPr="00B44D5A">
        <w:rPr>
          <w:sz w:val="20"/>
          <w:szCs w:val="20"/>
        </w:rPr>
        <w:t>)</w:t>
      </w:r>
      <w:r w:rsidR="004E6B04" w:rsidRPr="00B44D5A">
        <w:rPr>
          <w:sz w:val="20"/>
          <w:szCs w:val="20"/>
        </w:rPr>
        <w:t xml:space="preserve"> el liderazgo que tuvieron en los movimientos estudiantiles, universitarios, campesinos, defensores y periodísticos</w:t>
      </w:r>
      <w:r w:rsidR="004E6B04" w:rsidRPr="00B44D5A">
        <w:rPr>
          <w:rStyle w:val="Refdenotaalpie"/>
          <w:sz w:val="20"/>
          <w:szCs w:val="20"/>
        </w:rPr>
        <w:footnoteReference w:id="29"/>
      </w:r>
      <w:r w:rsidR="00D872F8" w:rsidRPr="00B44D5A">
        <w:rPr>
          <w:sz w:val="20"/>
          <w:szCs w:val="20"/>
        </w:rPr>
        <w:t xml:space="preserve">, y </w:t>
      </w:r>
      <w:r w:rsidR="004E6B04" w:rsidRPr="00B44D5A">
        <w:rPr>
          <w:sz w:val="20"/>
          <w:szCs w:val="20"/>
        </w:rPr>
        <w:t>iii</w:t>
      </w:r>
      <w:r w:rsidR="00D872F8" w:rsidRPr="00B44D5A">
        <w:rPr>
          <w:sz w:val="20"/>
          <w:szCs w:val="20"/>
        </w:rPr>
        <w:t>)</w:t>
      </w:r>
      <w:r w:rsidR="004E6B04" w:rsidRPr="00B44D5A">
        <w:rPr>
          <w:sz w:val="20"/>
          <w:szCs w:val="20"/>
        </w:rPr>
        <w:t xml:space="preserve"> las amenazas dirigidas hacia ellos o sus familiares, el seguimiento de motorizados o camionetas no identificadas, las agresiones y represalias de las que fueron víctimas</w:t>
      </w:r>
      <w:r w:rsidR="004E6B04" w:rsidRPr="00B44D5A">
        <w:rPr>
          <w:rStyle w:val="Refdenotaalpie"/>
          <w:sz w:val="20"/>
          <w:szCs w:val="20"/>
        </w:rPr>
        <w:footnoteReference w:id="30"/>
      </w:r>
      <w:r w:rsidR="004E6B04" w:rsidRPr="00B44D5A">
        <w:rPr>
          <w:sz w:val="20"/>
          <w:szCs w:val="20"/>
        </w:rPr>
        <w:t>. Asimismo, de la información remitida a la Corte</w:t>
      </w:r>
      <w:r w:rsidR="00625592" w:rsidRPr="00B44D5A">
        <w:rPr>
          <w:sz w:val="20"/>
          <w:szCs w:val="20"/>
        </w:rPr>
        <w:t xml:space="preserve"> al momento de la presentación de la solicitud de medidas provisionales</w:t>
      </w:r>
      <w:r w:rsidR="004E6B04" w:rsidRPr="00B44D5A">
        <w:rPr>
          <w:sz w:val="20"/>
          <w:szCs w:val="20"/>
        </w:rPr>
        <w:t xml:space="preserve"> </w:t>
      </w:r>
      <w:r w:rsidR="00625592" w:rsidRPr="00B44D5A">
        <w:rPr>
          <w:sz w:val="20"/>
          <w:szCs w:val="20"/>
        </w:rPr>
        <w:t>quedó</w:t>
      </w:r>
      <w:r w:rsidR="004E6B04" w:rsidRPr="00B44D5A">
        <w:rPr>
          <w:sz w:val="20"/>
          <w:szCs w:val="20"/>
        </w:rPr>
        <w:t xml:space="preserve"> acreditado que los solicitantes se </w:t>
      </w:r>
      <w:r w:rsidR="00C8518A" w:rsidRPr="00B44D5A">
        <w:rPr>
          <w:sz w:val="20"/>
          <w:szCs w:val="20"/>
        </w:rPr>
        <w:t>encontraban</w:t>
      </w:r>
      <w:r w:rsidR="004E6B04" w:rsidRPr="00B44D5A">
        <w:rPr>
          <w:sz w:val="20"/>
          <w:szCs w:val="20"/>
        </w:rPr>
        <w:t xml:space="preserve"> acusados</w:t>
      </w:r>
      <w:r w:rsidR="00980F27">
        <w:rPr>
          <w:sz w:val="20"/>
          <w:szCs w:val="20"/>
        </w:rPr>
        <w:t xml:space="preserve"> o condenados</w:t>
      </w:r>
      <w:r w:rsidR="004E6B04" w:rsidRPr="00B44D5A">
        <w:rPr>
          <w:sz w:val="20"/>
          <w:szCs w:val="20"/>
        </w:rPr>
        <w:t xml:space="preserve"> por la comisión de delitos relacionados con las protestas, y que se </w:t>
      </w:r>
      <w:r w:rsidR="00625592" w:rsidRPr="00B44D5A">
        <w:rPr>
          <w:sz w:val="20"/>
          <w:szCs w:val="20"/>
        </w:rPr>
        <w:t xml:space="preserve">encontraban </w:t>
      </w:r>
      <w:r w:rsidR="00980F27">
        <w:rPr>
          <w:sz w:val="20"/>
          <w:szCs w:val="20"/>
        </w:rPr>
        <w:t xml:space="preserve">detenidos </w:t>
      </w:r>
      <w:r w:rsidR="004E6B04" w:rsidRPr="00B44D5A">
        <w:rPr>
          <w:sz w:val="20"/>
          <w:szCs w:val="20"/>
        </w:rPr>
        <w:t>o condenados en las cárceles de “La Modelo” en el caso de los varones, y “La Esperanza” en el caso de las mujeres.</w:t>
      </w:r>
      <w:r w:rsidR="00980F27">
        <w:rPr>
          <w:sz w:val="20"/>
          <w:szCs w:val="20"/>
        </w:rPr>
        <w:t xml:space="preserve"> </w:t>
      </w:r>
    </w:p>
    <w:p w:rsidR="00EB2047" w:rsidRPr="00B44D5A" w:rsidRDefault="00EB2047" w:rsidP="00EB2047">
      <w:pPr>
        <w:pStyle w:val="Prrafodelista1"/>
        <w:jc w:val="both"/>
        <w:rPr>
          <w:sz w:val="20"/>
          <w:szCs w:val="20"/>
        </w:rPr>
      </w:pPr>
    </w:p>
    <w:p w:rsidR="00BE383E" w:rsidRPr="00B44D5A" w:rsidRDefault="00F03871" w:rsidP="00F03871">
      <w:pPr>
        <w:pStyle w:val="Prrafodelista1"/>
        <w:jc w:val="both"/>
        <w:rPr>
          <w:sz w:val="20"/>
          <w:szCs w:val="20"/>
        </w:rPr>
      </w:pPr>
      <w:r>
        <w:rPr>
          <w:sz w:val="20"/>
          <w:szCs w:val="20"/>
        </w:rPr>
        <w:t>20.</w:t>
      </w:r>
      <w:r>
        <w:rPr>
          <w:sz w:val="20"/>
          <w:szCs w:val="20"/>
        </w:rPr>
        <w:tab/>
      </w:r>
      <w:r w:rsidR="00EB2047" w:rsidRPr="00B44D5A">
        <w:rPr>
          <w:sz w:val="20"/>
          <w:szCs w:val="20"/>
        </w:rPr>
        <w:t>En cuarto lugar, el Presidente constata la existencia de información consistente aportada por parte de los representantes de los solicitantes ante la Comisión, y por la propia Comisión, acerca de las condiciones carcelarias de los solicitantes</w:t>
      </w:r>
      <w:r w:rsidR="00625592" w:rsidRPr="00B44D5A">
        <w:rPr>
          <w:sz w:val="20"/>
          <w:szCs w:val="20"/>
        </w:rPr>
        <w:t xml:space="preserve"> privados de libertad</w:t>
      </w:r>
      <w:r w:rsidR="00EB2047" w:rsidRPr="00B44D5A">
        <w:rPr>
          <w:sz w:val="20"/>
          <w:szCs w:val="20"/>
        </w:rPr>
        <w:t>. Esta información constituye indicios de que los varones dete</w:t>
      </w:r>
      <w:r w:rsidR="00C8518A" w:rsidRPr="00B44D5A">
        <w:rPr>
          <w:sz w:val="20"/>
          <w:szCs w:val="20"/>
        </w:rPr>
        <w:t xml:space="preserve">nidos en la cárcel “La Modelo” </w:t>
      </w:r>
      <w:r w:rsidR="00EB2047" w:rsidRPr="00B44D5A">
        <w:rPr>
          <w:sz w:val="20"/>
          <w:szCs w:val="20"/>
        </w:rPr>
        <w:t>i) están sujetos a un régimen de “máxima seguridad”</w:t>
      </w:r>
      <w:r w:rsidR="00EB2047" w:rsidRPr="00B44D5A">
        <w:rPr>
          <w:rStyle w:val="Refdenotaalpie"/>
          <w:sz w:val="20"/>
          <w:szCs w:val="20"/>
        </w:rPr>
        <w:footnoteReference w:id="31"/>
      </w:r>
      <w:r w:rsidR="00C8518A" w:rsidRPr="00B44D5A">
        <w:rPr>
          <w:sz w:val="20"/>
          <w:szCs w:val="20"/>
        </w:rPr>
        <w:t xml:space="preserve">; </w:t>
      </w:r>
      <w:r w:rsidR="00EB2047" w:rsidRPr="00B44D5A">
        <w:rPr>
          <w:sz w:val="20"/>
          <w:szCs w:val="20"/>
        </w:rPr>
        <w:t xml:space="preserve">ii) enfrentan altas temperaturas en </w:t>
      </w:r>
      <w:r w:rsidR="004765E5" w:rsidRPr="00B44D5A">
        <w:rPr>
          <w:sz w:val="20"/>
          <w:szCs w:val="20"/>
        </w:rPr>
        <w:t>su</w:t>
      </w:r>
      <w:r w:rsidR="00EB2047" w:rsidRPr="00B44D5A">
        <w:rPr>
          <w:sz w:val="20"/>
          <w:szCs w:val="20"/>
        </w:rPr>
        <w:t xml:space="preserve"> encierro</w:t>
      </w:r>
      <w:r w:rsidR="00EB2047" w:rsidRPr="00B44D5A">
        <w:rPr>
          <w:rStyle w:val="Refdenotaalpie"/>
          <w:sz w:val="20"/>
          <w:szCs w:val="20"/>
        </w:rPr>
        <w:footnoteReference w:id="32"/>
      </w:r>
      <w:r w:rsidR="00EB2047" w:rsidRPr="00B44D5A">
        <w:rPr>
          <w:sz w:val="20"/>
          <w:szCs w:val="20"/>
        </w:rPr>
        <w:t>; iii</w:t>
      </w:r>
      <w:r w:rsidR="00C8518A" w:rsidRPr="00B44D5A">
        <w:rPr>
          <w:sz w:val="20"/>
          <w:szCs w:val="20"/>
        </w:rPr>
        <w:t>)</w:t>
      </w:r>
      <w:r w:rsidR="00EB2047" w:rsidRPr="00B44D5A">
        <w:rPr>
          <w:sz w:val="20"/>
          <w:szCs w:val="20"/>
        </w:rPr>
        <w:t xml:space="preserve"> las condiciones de higiene son precarias por encontrarse recluidos sin acceso </w:t>
      </w:r>
      <w:r w:rsidR="004765E5" w:rsidRPr="00B44D5A">
        <w:rPr>
          <w:sz w:val="20"/>
          <w:szCs w:val="20"/>
        </w:rPr>
        <w:t xml:space="preserve">adecuado </w:t>
      </w:r>
      <w:r w:rsidR="00EB2047" w:rsidRPr="00B44D5A">
        <w:rPr>
          <w:sz w:val="20"/>
          <w:szCs w:val="20"/>
        </w:rPr>
        <w:t>a  servicios de energía eléctrica, sistema de drenaje, y estarían expuestos a la presencia de insectos</w:t>
      </w:r>
      <w:r w:rsidR="00EB2047" w:rsidRPr="00B44D5A">
        <w:rPr>
          <w:rStyle w:val="Refdenotaalpie"/>
          <w:sz w:val="20"/>
          <w:szCs w:val="20"/>
        </w:rPr>
        <w:footnoteReference w:id="33"/>
      </w:r>
      <w:r w:rsidR="00C8518A" w:rsidRPr="00B44D5A">
        <w:rPr>
          <w:sz w:val="20"/>
          <w:szCs w:val="20"/>
        </w:rPr>
        <w:t xml:space="preserve">; </w:t>
      </w:r>
      <w:r w:rsidR="00EB2047" w:rsidRPr="00B44D5A">
        <w:rPr>
          <w:sz w:val="20"/>
          <w:szCs w:val="20"/>
        </w:rPr>
        <w:t>iv</w:t>
      </w:r>
      <w:r w:rsidR="00C8518A" w:rsidRPr="00B44D5A">
        <w:rPr>
          <w:sz w:val="20"/>
          <w:szCs w:val="20"/>
        </w:rPr>
        <w:t>)</w:t>
      </w:r>
      <w:r w:rsidR="00EB2047" w:rsidRPr="00B44D5A">
        <w:rPr>
          <w:sz w:val="20"/>
          <w:szCs w:val="20"/>
        </w:rPr>
        <w:t xml:space="preserve"> son obligados a estar en celdas de castigo por tiempos prolongados</w:t>
      </w:r>
      <w:r w:rsidR="00EB2047" w:rsidRPr="00B44D5A">
        <w:rPr>
          <w:rStyle w:val="Refdenotaalpie"/>
          <w:sz w:val="20"/>
          <w:szCs w:val="20"/>
        </w:rPr>
        <w:footnoteReference w:id="34"/>
      </w:r>
      <w:r w:rsidR="00EB2047" w:rsidRPr="00B44D5A">
        <w:rPr>
          <w:sz w:val="20"/>
          <w:szCs w:val="20"/>
        </w:rPr>
        <w:t>; v</w:t>
      </w:r>
      <w:r w:rsidR="00C8518A" w:rsidRPr="00B44D5A">
        <w:rPr>
          <w:sz w:val="20"/>
          <w:szCs w:val="20"/>
        </w:rPr>
        <w:t>)</w:t>
      </w:r>
      <w:r w:rsidR="00EB2047" w:rsidRPr="00B44D5A">
        <w:rPr>
          <w:sz w:val="20"/>
          <w:szCs w:val="20"/>
        </w:rPr>
        <w:t xml:space="preserve"> reciben comida en mal estado</w:t>
      </w:r>
      <w:r w:rsidR="00EB2047" w:rsidRPr="00B44D5A">
        <w:rPr>
          <w:rStyle w:val="Refdenotaalpie"/>
          <w:sz w:val="20"/>
          <w:szCs w:val="20"/>
        </w:rPr>
        <w:footnoteReference w:id="35"/>
      </w:r>
      <w:r w:rsidR="00C8518A" w:rsidRPr="00B44D5A">
        <w:rPr>
          <w:sz w:val="20"/>
          <w:szCs w:val="20"/>
        </w:rPr>
        <w:t xml:space="preserve">; </w:t>
      </w:r>
      <w:r w:rsidR="00EB2047" w:rsidRPr="00B44D5A">
        <w:rPr>
          <w:sz w:val="20"/>
          <w:szCs w:val="20"/>
        </w:rPr>
        <w:t>v</w:t>
      </w:r>
      <w:r w:rsidR="00C8518A" w:rsidRPr="00B44D5A">
        <w:rPr>
          <w:sz w:val="20"/>
          <w:szCs w:val="20"/>
        </w:rPr>
        <w:t>i)</w:t>
      </w:r>
      <w:r w:rsidR="00EB2047" w:rsidRPr="00B44D5A">
        <w:rPr>
          <w:sz w:val="20"/>
          <w:szCs w:val="20"/>
        </w:rPr>
        <w:t xml:space="preserve"> </w:t>
      </w:r>
      <w:r w:rsidR="002A68EC">
        <w:rPr>
          <w:sz w:val="20"/>
          <w:szCs w:val="20"/>
        </w:rPr>
        <w:t>carecen</w:t>
      </w:r>
      <w:r w:rsidR="00EB2047" w:rsidRPr="00B44D5A">
        <w:rPr>
          <w:sz w:val="20"/>
          <w:szCs w:val="20"/>
        </w:rPr>
        <w:t xml:space="preserve"> de luz natural por periodos prolongados</w:t>
      </w:r>
      <w:r w:rsidR="00EB2047" w:rsidRPr="00B44D5A">
        <w:rPr>
          <w:rStyle w:val="Refdenotaalpie"/>
          <w:sz w:val="20"/>
          <w:szCs w:val="20"/>
        </w:rPr>
        <w:footnoteReference w:id="36"/>
      </w:r>
      <w:r w:rsidR="00EB2047" w:rsidRPr="00B44D5A">
        <w:rPr>
          <w:sz w:val="20"/>
          <w:szCs w:val="20"/>
        </w:rPr>
        <w:t>. En el caso de las mujeres detenidas en la cárcel “La Esperanza”, existe información acerca de la falta de ventilación de las celdas</w:t>
      </w:r>
      <w:r w:rsidR="00EB2047" w:rsidRPr="00B44D5A">
        <w:rPr>
          <w:rStyle w:val="Refdenotaalpie"/>
          <w:sz w:val="20"/>
          <w:szCs w:val="20"/>
        </w:rPr>
        <w:footnoteReference w:id="37"/>
      </w:r>
      <w:r w:rsidR="00EB2047" w:rsidRPr="00B44D5A">
        <w:rPr>
          <w:sz w:val="20"/>
          <w:szCs w:val="20"/>
        </w:rPr>
        <w:t>, la vigilancia permanente a través de cámaras y aparatos de sonido a la que las solicitantes son sometidas</w:t>
      </w:r>
      <w:r w:rsidR="00EB2047" w:rsidRPr="00B44D5A">
        <w:rPr>
          <w:rStyle w:val="Refdenotaalpie"/>
          <w:sz w:val="20"/>
          <w:szCs w:val="20"/>
        </w:rPr>
        <w:footnoteReference w:id="38"/>
      </w:r>
      <w:r w:rsidR="002C652D" w:rsidRPr="00B44D5A">
        <w:rPr>
          <w:sz w:val="20"/>
          <w:szCs w:val="20"/>
        </w:rPr>
        <w:t xml:space="preserve"> y</w:t>
      </w:r>
      <w:r w:rsidR="00EB2047" w:rsidRPr="00B44D5A">
        <w:rPr>
          <w:sz w:val="20"/>
          <w:szCs w:val="20"/>
        </w:rPr>
        <w:t xml:space="preserve"> la falta de acceso a la alimentación</w:t>
      </w:r>
      <w:r w:rsidR="00EB2047" w:rsidRPr="00B44D5A">
        <w:rPr>
          <w:rStyle w:val="Refdenotaalpie"/>
          <w:sz w:val="20"/>
          <w:szCs w:val="20"/>
        </w:rPr>
        <w:footnoteReference w:id="39"/>
      </w:r>
      <w:r w:rsidR="00EB2047" w:rsidRPr="00B44D5A">
        <w:rPr>
          <w:sz w:val="20"/>
          <w:szCs w:val="20"/>
        </w:rPr>
        <w:t>. Asimismo, se advierte la existencia de información consistente acerca de la ausencia de diagnósticos y atención médica realizada por médicos calificados a los solicitantes que han manifestado padecimientos o enfermedades</w:t>
      </w:r>
      <w:r w:rsidR="00EB2047" w:rsidRPr="00B44D5A">
        <w:rPr>
          <w:rStyle w:val="Refdenotaalpie"/>
          <w:sz w:val="20"/>
          <w:szCs w:val="20"/>
        </w:rPr>
        <w:footnoteReference w:id="40"/>
      </w:r>
      <w:r w:rsidR="00EB2047" w:rsidRPr="00B44D5A">
        <w:rPr>
          <w:sz w:val="20"/>
          <w:szCs w:val="20"/>
        </w:rPr>
        <w:t>.</w:t>
      </w:r>
      <w:r w:rsidR="00BE383E" w:rsidRPr="00B44D5A">
        <w:rPr>
          <w:sz w:val="20"/>
          <w:szCs w:val="20"/>
        </w:rPr>
        <w:t xml:space="preserve"> </w:t>
      </w:r>
    </w:p>
    <w:p w:rsidR="00EB2047" w:rsidRPr="00B44D5A" w:rsidRDefault="00EB2047" w:rsidP="00EB2047">
      <w:pPr>
        <w:pStyle w:val="Prrafodelista1"/>
        <w:jc w:val="both"/>
        <w:rPr>
          <w:sz w:val="20"/>
          <w:szCs w:val="20"/>
        </w:rPr>
      </w:pPr>
    </w:p>
    <w:p w:rsidR="00AC7DE9" w:rsidRPr="00B44D5A" w:rsidRDefault="00F03871" w:rsidP="00F03871">
      <w:pPr>
        <w:pStyle w:val="Prrafodelista1"/>
        <w:jc w:val="both"/>
        <w:rPr>
          <w:sz w:val="20"/>
          <w:szCs w:val="20"/>
        </w:rPr>
      </w:pPr>
      <w:r>
        <w:rPr>
          <w:sz w:val="20"/>
          <w:szCs w:val="20"/>
          <w:lang w:val="es-ES_tradnl"/>
        </w:rPr>
        <w:t>21.</w:t>
      </w:r>
      <w:r>
        <w:rPr>
          <w:sz w:val="20"/>
          <w:szCs w:val="20"/>
          <w:lang w:val="es-ES_tradnl"/>
        </w:rPr>
        <w:tab/>
      </w:r>
      <w:r w:rsidR="00EB2047" w:rsidRPr="00B44D5A">
        <w:rPr>
          <w:sz w:val="20"/>
          <w:szCs w:val="20"/>
          <w:lang w:val="es-ES_tradnl"/>
        </w:rPr>
        <w:t>En el mismo sentido, el Presidente constata la existencia de infor</w:t>
      </w:r>
      <w:r w:rsidR="00A1408B">
        <w:rPr>
          <w:sz w:val="20"/>
          <w:szCs w:val="20"/>
          <w:lang w:val="es-ES_tradnl"/>
        </w:rPr>
        <w:t>mación sobre agresiones ocurrida</w:t>
      </w:r>
      <w:r w:rsidR="00EB2047" w:rsidRPr="00B44D5A">
        <w:rPr>
          <w:sz w:val="20"/>
          <w:szCs w:val="20"/>
          <w:lang w:val="es-ES_tradnl"/>
        </w:rPr>
        <w:t>s mientras los solicitantes se encontraban detenidos</w:t>
      </w:r>
      <w:r w:rsidR="00EB2047" w:rsidRPr="00B44D5A">
        <w:rPr>
          <w:rStyle w:val="Refdenotaalpie"/>
          <w:sz w:val="20"/>
          <w:szCs w:val="20"/>
          <w:lang w:val="es-ES_tradnl"/>
        </w:rPr>
        <w:footnoteReference w:id="41"/>
      </w:r>
      <w:r w:rsidR="00EB2047" w:rsidRPr="00B44D5A">
        <w:rPr>
          <w:sz w:val="20"/>
          <w:szCs w:val="20"/>
          <w:lang w:val="es-ES_tradnl"/>
        </w:rPr>
        <w:t>. En el caso de las mujeres detenidas en “La Esperanza” se reportó una agresión física y psicológica ocurrida el 26 de octubre de 2018 en contra de tres solicitantes</w:t>
      </w:r>
      <w:r w:rsidR="00E12982" w:rsidRPr="00B44D5A">
        <w:rPr>
          <w:rStyle w:val="Refdenotaalpie"/>
          <w:sz w:val="20"/>
          <w:szCs w:val="20"/>
          <w:lang w:val="es-ES_tradnl"/>
        </w:rPr>
        <w:footnoteReference w:id="42"/>
      </w:r>
      <w:r w:rsidR="00E12982" w:rsidRPr="00B44D5A">
        <w:rPr>
          <w:sz w:val="20"/>
          <w:szCs w:val="20"/>
          <w:lang w:val="es-ES_tradnl"/>
        </w:rPr>
        <w:t>.</w:t>
      </w:r>
      <w:r w:rsidR="00EB2047" w:rsidRPr="00B44D5A">
        <w:rPr>
          <w:sz w:val="20"/>
          <w:szCs w:val="20"/>
          <w:lang w:val="es-ES_tradnl"/>
        </w:rPr>
        <w:t xml:space="preserve"> En el caso de los varones detenido</w:t>
      </w:r>
      <w:r w:rsidR="00B44F13">
        <w:rPr>
          <w:sz w:val="20"/>
          <w:szCs w:val="20"/>
          <w:lang w:val="es-ES_tradnl"/>
        </w:rPr>
        <w:t>s</w:t>
      </w:r>
      <w:r w:rsidR="00EB2047" w:rsidRPr="00B44D5A">
        <w:rPr>
          <w:sz w:val="20"/>
          <w:szCs w:val="20"/>
          <w:lang w:val="es-ES_tradnl"/>
        </w:rPr>
        <w:t xml:space="preserve"> en “La Modelo” existe información acerca de que algunos de ellos han sido golpeados, que han sido encadenados, u obligados a realizar actividades físicas extenuantes</w:t>
      </w:r>
      <w:r w:rsidR="00E12982" w:rsidRPr="00B44D5A">
        <w:rPr>
          <w:rStyle w:val="Refdenotaalpie"/>
          <w:sz w:val="20"/>
          <w:szCs w:val="20"/>
          <w:lang w:val="es-ES_tradnl"/>
        </w:rPr>
        <w:footnoteReference w:id="43"/>
      </w:r>
      <w:r w:rsidR="00EB2047" w:rsidRPr="00B44D5A">
        <w:rPr>
          <w:sz w:val="20"/>
          <w:szCs w:val="20"/>
          <w:lang w:val="es-ES_tradnl"/>
        </w:rPr>
        <w:t xml:space="preserve">. En particular, el Presidente destaca la información acerca de los hechos ocurridos en marzo de 2019, cuando un grupo de presos habría subido al techo de la cárcel de la modelo y como resultado se informó de la represión de esta acción que </w:t>
      </w:r>
      <w:r w:rsidR="00E12982" w:rsidRPr="00B44D5A">
        <w:rPr>
          <w:sz w:val="20"/>
          <w:szCs w:val="20"/>
          <w:lang w:val="es-ES_tradnl"/>
        </w:rPr>
        <w:t>derivó</w:t>
      </w:r>
      <w:r w:rsidR="00EB2047" w:rsidRPr="00B44D5A">
        <w:rPr>
          <w:sz w:val="20"/>
          <w:szCs w:val="20"/>
          <w:lang w:val="es-ES_tradnl"/>
        </w:rPr>
        <w:t xml:space="preserve"> en un castigo en contra de uno de los solicitantes consistente en golpes en diversas partes de su cuerpo y el rocío de su cara con gas pimienta</w:t>
      </w:r>
      <w:r w:rsidR="00E12982" w:rsidRPr="00B44D5A">
        <w:rPr>
          <w:rStyle w:val="Refdenotaalpie"/>
          <w:sz w:val="20"/>
          <w:szCs w:val="20"/>
          <w:lang w:val="es-ES_tradnl"/>
        </w:rPr>
        <w:footnoteReference w:id="44"/>
      </w:r>
      <w:r w:rsidR="00EB2047" w:rsidRPr="00B44D5A">
        <w:rPr>
          <w:sz w:val="20"/>
          <w:szCs w:val="20"/>
          <w:lang w:val="es-ES_tradnl"/>
        </w:rPr>
        <w:t>.</w:t>
      </w:r>
    </w:p>
    <w:p w:rsidR="00E12982" w:rsidRPr="00B44D5A" w:rsidRDefault="00E12982" w:rsidP="00E12982">
      <w:pPr>
        <w:pStyle w:val="Prrafodelista1"/>
        <w:jc w:val="both"/>
        <w:rPr>
          <w:sz w:val="20"/>
          <w:szCs w:val="20"/>
        </w:rPr>
      </w:pPr>
    </w:p>
    <w:p w:rsidR="00AC7DE9" w:rsidRPr="00B44D5A" w:rsidRDefault="004B3A7B" w:rsidP="004B3A7B">
      <w:pPr>
        <w:pStyle w:val="Prrafodelista1"/>
        <w:jc w:val="both"/>
        <w:rPr>
          <w:sz w:val="20"/>
          <w:szCs w:val="20"/>
        </w:rPr>
      </w:pPr>
      <w:r>
        <w:rPr>
          <w:rFonts w:eastAsia="Verdana" w:cs="Verdana"/>
          <w:sz w:val="20"/>
          <w:szCs w:val="20"/>
          <w:lang w:val="es-CR"/>
        </w:rPr>
        <w:t>22.</w:t>
      </w:r>
      <w:r>
        <w:rPr>
          <w:rFonts w:eastAsia="Verdana" w:cs="Verdana"/>
          <w:sz w:val="20"/>
          <w:szCs w:val="20"/>
          <w:lang w:val="es-CR"/>
        </w:rPr>
        <w:tab/>
      </w:r>
      <w:r w:rsidR="00AC7DE9" w:rsidRPr="00B44D5A">
        <w:rPr>
          <w:rFonts w:eastAsia="Verdana" w:cs="Verdana"/>
          <w:sz w:val="20"/>
          <w:szCs w:val="20"/>
          <w:lang w:val="es-CR"/>
        </w:rPr>
        <w:t xml:space="preserve">En quinto lugar, el Presidente considera </w:t>
      </w:r>
      <w:r w:rsidR="005B3278" w:rsidRPr="00B44D5A">
        <w:rPr>
          <w:rFonts w:eastAsia="Verdana" w:cs="Verdana"/>
          <w:sz w:val="20"/>
          <w:szCs w:val="20"/>
          <w:lang w:val="es-CR"/>
        </w:rPr>
        <w:t>los eventos ocurridos el 16</w:t>
      </w:r>
      <w:r w:rsidR="00AC7DE9" w:rsidRPr="00B44D5A">
        <w:rPr>
          <w:rFonts w:eastAsia="Verdana" w:cs="Verdana"/>
          <w:sz w:val="20"/>
          <w:szCs w:val="20"/>
          <w:lang w:val="es-CR"/>
        </w:rPr>
        <w:t xml:space="preserve"> de mayo de 2019 en la cárcel de “La Modelo”, los cuales de</w:t>
      </w:r>
      <w:r w:rsidR="005F774B">
        <w:rPr>
          <w:rFonts w:eastAsia="Verdana" w:cs="Verdana"/>
          <w:sz w:val="20"/>
          <w:szCs w:val="20"/>
          <w:lang w:val="es-CR"/>
        </w:rPr>
        <w:t>rivaron en el fallecimiento de un interno</w:t>
      </w:r>
      <w:r w:rsidR="00AC7DE9" w:rsidRPr="00B44D5A">
        <w:rPr>
          <w:rFonts w:eastAsia="Verdana" w:cs="Verdana"/>
          <w:sz w:val="20"/>
          <w:szCs w:val="20"/>
          <w:lang w:val="es-CR"/>
        </w:rPr>
        <w:t xml:space="preserve"> y la lesión de otros presos</w:t>
      </w:r>
      <w:r w:rsidR="005B3278" w:rsidRPr="00B44D5A">
        <w:rPr>
          <w:rFonts w:eastAsia="Verdana" w:cs="Verdana"/>
          <w:sz w:val="20"/>
          <w:szCs w:val="20"/>
          <w:lang w:val="es-CR"/>
        </w:rPr>
        <w:t xml:space="preserve"> y funcionarios penitenciarios. De la información remitida ante el Tribunal se advierte que el 16 de mayo</w:t>
      </w:r>
      <w:r w:rsidR="00E35891" w:rsidRPr="00B44D5A">
        <w:rPr>
          <w:rFonts w:eastAsia="Verdana" w:cs="Verdana"/>
          <w:sz w:val="20"/>
          <w:szCs w:val="20"/>
          <w:lang w:val="es-CR"/>
        </w:rPr>
        <w:t xml:space="preserve"> de 2019</w:t>
      </w:r>
      <w:r w:rsidR="005B3278" w:rsidRPr="00B44D5A">
        <w:rPr>
          <w:rFonts w:eastAsia="Verdana" w:cs="Verdana"/>
          <w:sz w:val="20"/>
          <w:szCs w:val="20"/>
          <w:lang w:val="es-CR"/>
        </w:rPr>
        <w:t xml:space="preserve">, en las instalaciones de la cárcel “La Modelo”, se realizaron protestas en las zonas donde se encuentran personas privadas de libertad relacionadas con las protestas políticas de abril de 2018. La policía antimotines habría recibido la orden de avanzar hacia ellos, irrumpiendo en la galería, </w:t>
      </w:r>
      <w:r w:rsidR="0013181E">
        <w:rPr>
          <w:rFonts w:eastAsia="Verdana" w:cs="Verdana"/>
          <w:sz w:val="20"/>
          <w:szCs w:val="20"/>
          <w:lang w:val="es-CR"/>
        </w:rPr>
        <w:t>donde dispararon ráfagas y tirar</w:t>
      </w:r>
      <w:r w:rsidR="005B3278" w:rsidRPr="00B44D5A">
        <w:rPr>
          <w:rFonts w:eastAsia="Verdana" w:cs="Verdana"/>
          <w:sz w:val="20"/>
          <w:szCs w:val="20"/>
          <w:lang w:val="es-CR"/>
        </w:rPr>
        <w:t>o</w:t>
      </w:r>
      <w:r w:rsidR="0013181E">
        <w:rPr>
          <w:rFonts w:eastAsia="Verdana" w:cs="Verdana"/>
          <w:sz w:val="20"/>
          <w:szCs w:val="20"/>
          <w:lang w:val="es-CR"/>
        </w:rPr>
        <w:t>n</w:t>
      </w:r>
      <w:r w:rsidR="005B3278" w:rsidRPr="00B44D5A">
        <w:rPr>
          <w:rFonts w:eastAsia="Verdana" w:cs="Verdana"/>
          <w:sz w:val="20"/>
          <w:szCs w:val="20"/>
          <w:lang w:val="es-CR"/>
        </w:rPr>
        <w:t xml:space="preserve"> bombas lacrimógenas. Durante estos eventos habría fallecido el señor López Praslin</w:t>
      </w:r>
      <w:r w:rsidR="00E35891" w:rsidRPr="00B44D5A">
        <w:rPr>
          <w:rFonts w:eastAsia="Verdana" w:cs="Verdana"/>
          <w:sz w:val="20"/>
          <w:szCs w:val="20"/>
          <w:lang w:val="es-CR"/>
        </w:rPr>
        <w:t>,</w:t>
      </w:r>
      <w:r w:rsidR="005B3278" w:rsidRPr="00B44D5A">
        <w:rPr>
          <w:rFonts w:eastAsia="Verdana" w:cs="Verdana"/>
          <w:sz w:val="20"/>
          <w:szCs w:val="20"/>
          <w:lang w:val="es-CR"/>
        </w:rPr>
        <w:t xml:space="preserve"> y habrían resultado heridas 23 personas, entre ellas 6 funcionarios penitenciarios. </w:t>
      </w:r>
      <w:r w:rsidR="00E35891" w:rsidRPr="00B44D5A">
        <w:rPr>
          <w:rFonts w:eastAsia="Verdana" w:cs="Verdana"/>
          <w:sz w:val="20"/>
          <w:szCs w:val="20"/>
          <w:lang w:val="es-CR"/>
        </w:rPr>
        <w:t>La Comisión manifestó su “profunda preocupación por la situación de riesgo de las personas privadas de libertad que fueron propuestas como beneficiarias de medidas provisionales quienes se encuentran seriamente expuestos a sufrir afectaciones de carácter irreparable”</w:t>
      </w:r>
      <w:r w:rsidR="00E35891" w:rsidRPr="00B44D5A">
        <w:rPr>
          <w:rStyle w:val="Refdenotaalpie"/>
          <w:rFonts w:eastAsia="Verdana" w:cs="Verdana"/>
          <w:sz w:val="20"/>
          <w:szCs w:val="20"/>
          <w:lang w:val="es-CR"/>
        </w:rPr>
        <w:footnoteReference w:id="45"/>
      </w:r>
      <w:r w:rsidR="003E4543" w:rsidRPr="00B44D5A">
        <w:rPr>
          <w:rFonts w:eastAsia="Verdana" w:cs="Verdana"/>
          <w:sz w:val="20"/>
          <w:szCs w:val="20"/>
          <w:lang w:val="es-CR"/>
        </w:rPr>
        <w:t>.</w:t>
      </w:r>
    </w:p>
    <w:p w:rsidR="00406842" w:rsidRPr="00B44D5A" w:rsidRDefault="00406842" w:rsidP="00AC7DE9">
      <w:pPr>
        <w:pStyle w:val="Prrafodelista"/>
        <w:ind w:left="0"/>
        <w:rPr>
          <w:rFonts w:ascii="Verdana" w:hAnsi="Verdana"/>
          <w:sz w:val="20"/>
          <w:szCs w:val="20"/>
        </w:rPr>
      </w:pPr>
    </w:p>
    <w:p w:rsidR="00406842" w:rsidRPr="00B44D5A" w:rsidRDefault="004B3A7B" w:rsidP="004B3A7B">
      <w:pPr>
        <w:pStyle w:val="Prrafodelista1"/>
        <w:jc w:val="both"/>
        <w:rPr>
          <w:sz w:val="20"/>
          <w:szCs w:val="20"/>
        </w:rPr>
      </w:pPr>
      <w:r>
        <w:rPr>
          <w:sz w:val="20"/>
          <w:szCs w:val="20"/>
        </w:rPr>
        <w:t>23.</w:t>
      </w:r>
      <w:r>
        <w:rPr>
          <w:sz w:val="20"/>
          <w:szCs w:val="20"/>
        </w:rPr>
        <w:tab/>
      </w:r>
      <w:r w:rsidR="00AC7DE9" w:rsidRPr="00B44D5A">
        <w:rPr>
          <w:sz w:val="20"/>
          <w:szCs w:val="20"/>
        </w:rPr>
        <w:t>L</w:t>
      </w:r>
      <w:r w:rsidR="00406842" w:rsidRPr="00B44D5A">
        <w:rPr>
          <w:sz w:val="20"/>
          <w:szCs w:val="20"/>
        </w:rPr>
        <w:t xml:space="preserve">a Corte ha señalado previamente, respecto de personas privadas de libertad, que </w:t>
      </w:r>
      <w:r w:rsidR="00406842" w:rsidRPr="00B44D5A">
        <w:rPr>
          <w:sz w:val="20"/>
          <w:szCs w:val="20"/>
          <w:lang w:val="es-CO"/>
        </w:rPr>
        <w:t>el Estado debe asegurar que una persona esté detenida en condiciones que sean compatibles con el respeto a su dignidad humana, que la manera y el método de ejercer la medida no le someta a angustia o dificultad que exceda el nivel inevitable de sufrimiento intrínseco a la detención, y que, dadas las exigencias prácticas del encarcelamiento, su salud y bienestar estén asegurados adecuadamente</w:t>
      </w:r>
      <w:r w:rsidR="00406842" w:rsidRPr="00B44D5A">
        <w:rPr>
          <w:sz w:val="20"/>
          <w:szCs w:val="20"/>
          <w:vertAlign w:val="superscript"/>
          <w:lang w:val="es-CO"/>
        </w:rPr>
        <w:footnoteReference w:id="46"/>
      </w:r>
      <w:r w:rsidR="00406842" w:rsidRPr="00B44D5A">
        <w:rPr>
          <w:sz w:val="20"/>
          <w:szCs w:val="20"/>
          <w:lang w:val="es-CO"/>
        </w:rPr>
        <w:t>.</w:t>
      </w:r>
      <w:r w:rsidR="00406842" w:rsidRPr="00B44D5A">
        <w:rPr>
          <w:rFonts w:eastAsia="Verdana" w:cs="Verdana"/>
          <w:sz w:val="20"/>
          <w:szCs w:val="20"/>
          <w:lang w:val="es-CR"/>
        </w:rPr>
        <w:t xml:space="preserve"> Además, </w:t>
      </w:r>
      <w:r w:rsidR="00406842" w:rsidRPr="00B44D5A">
        <w:rPr>
          <w:sz w:val="20"/>
          <w:szCs w:val="20"/>
        </w:rPr>
        <w:t>el Tribunal ha establecido que</w:t>
      </w:r>
      <w:r w:rsidR="00406842" w:rsidRPr="00B44D5A">
        <w:rPr>
          <w:sz w:val="20"/>
          <w:szCs w:val="20"/>
          <w:lang w:val="es-CR"/>
        </w:rPr>
        <w:t xml:space="preserve"> de conformidad con el artículo 5.1 y 5.2 de la Convención, toda persona privada de libertad tiene derecho a vivir en condiciones de detención compatibles con su dignidad personal. Esto implica el deber del Estado de salvaguardar la salud y el bienestar de las personas privadas de libertad y de garantizar que la manera y el método de privación de libertad no excedan el nivel inevitable de sufrimiento inherente a la misma</w:t>
      </w:r>
      <w:r w:rsidR="00406842" w:rsidRPr="00B44D5A">
        <w:rPr>
          <w:rStyle w:val="FootnoteAnchor"/>
          <w:sz w:val="20"/>
          <w:szCs w:val="20"/>
          <w:lang w:val="es-CR"/>
        </w:rPr>
        <w:footnoteReference w:id="47"/>
      </w:r>
      <w:r w:rsidR="00406842" w:rsidRPr="00B44D5A">
        <w:rPr>
          <w:sz w:val="20"/>
          <w:szCs w:val="20"/>
          <w:lang w:val="es-CR"/>
        </w:rPr>
        <w:t xml:space="preserve">. </w:t>
      </w:r>
      <w:r w:rsidR="00BE383E" w:rsidRPr="00B44D5A">
        <w:rPr>
          <w:sz w:val="20"/>
          <w:szCs w:val="20"/>
          <w:lang w:eastAsia="x-none"/>
        </w:rPr>
        <w:t>En el mismo sentido</w:t>
      </w:r>
      <w:r w:rsidR="00406842" w:rsidRPr="00B44D5A">
        <w:rPr>
          <w:sz w:val="20"/>
          <w:szCs w:val="20"/>
          <w:lang w:eastAsia="x-none"/>
        </w:rPr>
        <w:t>, la Corte ha establecido que la integridad personal se halla directa e inmediatamente vinculada con la atención a la salud humana</w:t>
      </w:r>
      <w:r w:rsidR="00406842" w:rsidRPr="00B44D5A">
        <w:rPr>
          <w:sz w:val="20"/>
          <w:szCs w:val="20"/>
          <w:vertAlign w:val="superscript"/>
        </w:rPr>
        <w:footnoteReference w:id="48"/>
      </w:r>
      <w:r w:rsidR="00406842" w:rsidRPr="00B44D5A">
        <w:rPr>
          <w:sz w:val="20"/>
          <w:szCs w:val="20"/>
          <w:lang w:eastAsia="x-none"/>
        </w:rPr>
        <w:t>, y que la falta de atención médica adecuada puede conllevar la vulneración del artículo 5.1 de la Convención</w:t>
      </w:r>
      <w:r w:rsidR="00406842" w:rsidRPr="00B44D5A">
        <w:rPr>
          <w:rFonts w:cs="Verdana"/>
          <w:sz w:val="20"/>
          <w:szCs w:val="20"/>
          <w:vertAlign w:val="superscript"/>
        </w:rPr>
        <w:footnoteReference w:id="49"/>
      </w:r>
      <w:r w:rsidR="00406842" w:rsidRPr="00B44D5A">
        <w:rPr>
          <w:sz w:val="20"/>
          <w:szCs w:val="20"/>
          <w:lang w:eastAsia="x-none"/>
        </w:rPr>
        <w:t xml:space="preserve">. </w:t>
      </w:r>
    </w:p>
    <w:p w:rsidR="00AC7DE9" w:rsidRPr="00B44D5A" w:rsidRDefault="00AC7DE9" w:rsidP="00AC7DE9">
      <w:pPr>
        <w:pStyle w:val="Prrafodelista1"/>
        <w:jc w:val="both"/>
        <w:rPr>
          <w:sz w:val="20"/>
          <w:szCs w:val="20"/>
        </w:rPr>
      </w:pPr>
    </w:p>
    <w:p w:rsidR="002F1EA1" w:rsidRPr="00B44D5A" w:rsidRDefault="00FC5628" w:rsidP="00FC5628">
      <w:pPr>
        <w:pStyle w:val="Prrafodelista1"/>
        <w:jc w:val="both"/>
        <w:rPr>
          <w:sz w:val="20"/>
          <w:szCs w:val="20"/>
        </w:rPr>
      </w:pPr>
      <w:r>
        <w:rPr>
          <w:sz w:val="20"/>
          <w:szCs w:val="20"/>
        </w:rPr>
        <w:t>24.</w:t>
      </w:r>
      <w:r>
        <w:rPr>
          <w:sz w:val="20"/>
          <w:szCs w:val="20"/>
        </w:rPr>
        <w:tab/>
      </w:r>
      <w:r w:rsidR="00BE383E" w:rsidRPr="00B44D5A">
        <w:rPr>
          <w:sz w:val="20"/>
          <w:szCs w:val="20"/>
        </w:rPr>
        <w:t>E</w:t>
      </w:r>
      <w:r w:rsidR="00AC7DE9" w:rsidRPr="00B44D5A">
        <w:rPr>
          <w:sz w:val="20"/>
          <w:szCs w:val="20"/>
        </w:rPr>
        <w:t xml:space="preserve">l Presidente recuerda que el estándar de apreciación </w:t>
      </w:r>
      <w:r w:rsidR="00AC7DE9" w:rsidRPr="00B44D5A">
        <w:rPr>
          <w:i/>
          <w:sz w:val="20"/>
          <w:szCs w:val="20"/>
        </w:rPr>
        <w:t>prima facie</w:t>
      </w:r>
      <w:r w:rsidR="00AC7DE9" w:rsidRPr="00B44D5A">
        <w:rPr>
          <w:sz w:val="20"/>
          <w:szCs w:val="20"/>
        </w:rPr>
        <w:t xml:space="preserve"> en un asunto y la aplicación de presunciones ante las necesidades de protección han llevado a la Corte a ordenar medidas en distintas ocasiones</w:t>
      </w:r>
      <w:r w:rsidR="00AC7DE9" w:rsidRPr="00B44D5A">
        <w:rPr>
          <w:rStyle w:val="Refdenotaalpie"/>
          <w:sz w:val="20"/>
          <w:szCs w:val="20"/>
        </w:rPr>
        <w:footnoteReference w:id="50"/>
      </w:r>
      <w:r w:rsidR="00BE383E" w:rsidRPr="00B44D5A">
        <w:rPr>
          <w:sz w:val="20"/>
          <w:szCs w:val="20"/>
        </w:rPr>
        <w:t>. Asimismo, el Presidente recuerda la especial posición de garante que el Estado adquiere frente a las personas detenidas, a raíz de la particular relación de sujeción existente entre el interno y el Estado. En estas circunstancias el deber estatal general de respetar y garantizar los derechos adquiere un matiz particular</w:t>
      </w:r>
      <w:r w:rsidR="002F1EA1" w:rsidRPr="00B44D5A">
        <w:rPr>
          <w:sz w:val="20"/>
          <w:szCs w:val="20"/>
        </w:rPr>
        <w:t>,</w:t>
      </w:r>
      <w:r w:rsidR="00BE383E" w:rsidRPr="00B44D5A">
        <w:rPr>
          <w:sz w:val="20"/>
          <w:szCs w:val="20"/>
        </w:rPr>
        <w:t xml:space="preserve"> que obliga al Estado a brindar a los internos las condiciones mínimas compatibles con su dignidad mientras permanecen en los centros de detención. Esta </w:t>
      </w:r>
      <w:r w:rsidR="00C12C5C" w:rsidRPr="00B44D5A">
        <w:rPr>
          <w:sz w:val="20"/>
          <w:szCs w:val="20"/>
        </w:rPr>
        <w:t>condición de garante</w:t>
      </w:r>
      <w:r w:rsidR="00BE383E" w:rsidRPr="00B44D5A">
        <w:rPr>
          <w:sz w:val="20"/>
          <w:szCs w:val="20"/>
        </w:rPr>
        <w:t xml:space="preserve"> </w:t>
      </w:r>
      <w:r w:rsidR="00515B28" w:rsidRPr="00B44D5A">
        <w:rPr>
          <w:sz w:val="20"/>
          <w:szCs w:val="20"/>
        </w:rPr>
        <w:t xml:space="preserve">también </w:t>
      </w:r>
      <w:r w:rsidR="00C12C5C" w:rsidRPr="00B44D5A">
        <w:rPr>
          <w:sz w:val="20"/>
          <w:szCs w:val="20"/>
        </w:rPr>
        <w:t>requiere</w:t>
      </w:r>
      <w:r w:rsidR="00BE383E" w:rsidRPr="00B44D5A">
        <w:rPr>
          <w:sz w:val="20"/>
          <w:szCs w:val="20"/>
        </w:rPr>
        <w:t xml:space="preserve"> que</w:t>
      </w:r>
      <w:r w:rsidR="00C12C5C" w:rsidRPr="00B44D5A">
        <w:rPr>
          <w:sz w:val="20"/>
          <w:szCs w:val="20"/>
        </w:rPr>
        <w:t>, en solicitudes como la que es objeto de análisis en la presente Resolución,</w:t>
      </w:r>
      <w:r w:rsidR="00BE383E" w:rsidRPr="00B44D5A">
        <w:rPr>
          <w:sz w:val="20"/>
          <w:szCs w:val="20"/>
        </w:rPr>
        <w:t xml:space="preserve"> </w:t>
      </w:r>
      <w:r w:rsidR="00C12C5C" w:rsidRPr="00B44D5A">
        <w:rPr>
          <w:sz w:val="20"/>
          <w:szCs w:val="20"/>
        </w:rPr>
        <w:t xml:space="preserve">el </w:t>
      </w:r>
      <w:r w:rsidR="002F1EA1" w:rsidRPr="00B44D5A">
        <w:rPr>
          <w:sz w:val="20"/>
          <w:szCs w:val="20"/>
        </w:rPr>
        <w:t>Estado</w:t>
      </w:r>
      <w:r w:rsidR="00C12C5C" w:rsidRPr="00B44D5A">
        <w:rPr>
          <w:sz w:val="20"/>
          <w:szCs w:val="20"/>
        </w:rPr>
        <w:t xml:space="preserve"> demuestre</w:t>
      </w:r>
      <w:r w:rsidR="002F1EA1" w:rsidRPr="00B44D5A">
        <w:rPr>
          <w:sz w:val="20"/>
          <w:szCs w:val="20"/>
        </w:rPr>
        <w:t xml:space="preserve"> que </w:t>
      </w:r>
      <w:r w:rsidR="00C12C5C" w:rsidRPr="00B44D5A">
        <w:rPr>
          <w:sz w:val="20"/>
          <w:szCs w:val="20"/>
        </w:rPr>
        <w:t>no</w:t>
      </w:r>
      <w:r w:rsidR="002F1EA1" w:rsidRPr="00B44D5A">
        <w:rPr>
          <w:sz w:val="20"/>
          <w:szCs w:val="20"/>
        </w:rPr>
        <w:t xml:space="preserve"> existen </w:t>
      </w:r>
      <w:r w:rsidR="00C12C5C" w:rsidRPr="00B44D5A">
        <w:rPr>
          <w:sz w:val="20"/>
          <w:szCs w:val="20"/>
        </w:rPr>
        <w:t>condiciones de extrema gravedad y urgencia que puedan constituir daños irreparables a los</w:t>
      </w:r>
      <w:r w:rsidR="002F1EA1" w:rsidRPr="00B44D5A">
        <w:rPr>
          <w:sz w:val="20"/>
          <w:szCs w:val="20"/>
        </w:rPr>
        <w:t xml:space="preserve"> </w:t>
      </w:r>
      <w:r w:rsidR="00C12C5C" w:rsidRPr="00B44D5A">
        <w:rPr>
          <w:sz w:val="20"/>
          <w:szCs w:val="20"/>
        </w:rPr>
        <w:t>solicitantes</w:t>
      </w:r>
      <w:r w:rsidR="00515B28" w:rsidRPr="00B44D5A">
        <w:rPr>
          <w:sz w:val="20"/>
          <w:szCs w:val="20"/>
        </w:rPr>
        <w:t xml:space="preserve"> de medidas provisionales</w:t>
      </w:r>
      <w:r w:rsidR="00C12C5C" w:rsidRPr="00B44D5A">
        <w:rPr>
          <w:sz w:val="20"/>
          <w:szCs w:val="20"/>
        </w:rPr>
        <w:t xml:space="preserve">. Esto requiere no solo la existencia de afirmaciones tendientes a controvertir lo alegado por los solicitantes, sino también a demostrar la falta de existencia de un riesgo. </w:t>
      </w:r>
      <w:r w:rsidR="002F1EA1" w:rsidRPr="00B44D5A">
        <w:rPr>
          <w:sz w:val="20"/>
          <w:szCs w:val="20"/>
        </w:rPr>
        <w:t xml:space="preserve"> </w:t>
      </w:r>
    </w:p>
    <w:p w:rsidR="00AC7DE9" w:rsidRPr="00B44D5A" w:rsidRDefault="00AC7DE9" w:rsidP="00AC7DE9">
      <w:pPr>
        <w:pStyle w:val="Prrafodelista1"/>
        <w:jc w:val="both"/>
        <w:rPr>
          <w:sz w:val="20"/>
          <w:szCs w:val="20"/>
          <w:highlight w:val="yellow"/>
        </w:rPr>
      </w:pPr>
    </w:p>
    <w:p w:rsidR="00C12C5C" w:rsidRPr="00B44D5A" w:rsidRDefault="00FC5628" w:rsidP="00FC5628">
      <w:pPr>
        <w:pStyle w:val="Prrafodelista1"/>
        <w:jc w:val="both"/>
        <w:rPr>
          <w:sz w:val="20"/>
          <w:szCs w:val="20"/>
        </w:rPr>
      </w:pPr>
      <w:r>
        <w:rPr>
          <w:sz w:val="20"/>
          <w:szCs w:val="20"/>
        </w:rPr>
        <w:t>25.</w:t>
      </w:r>
      <w:r>
        <w:rPr>
          <w:sz w:val="20"/>
          <w:szCs w:val="20"/>
        </w:rPr>
        <w:tab/>
      </w:r>
      <w:r w:rsidR="00AC7DE9" w:rsidRPr="00B44D5A">
        <w:rPr>
          <w:sz w:val="20"/>
          <w:szCs w:val="20"/>
        </w:rPr>
        <w:t>En el presente asunto,</w:t>
      </w:r>
      <w:r w:rsidR="00515B28" w:rsidRPr="00B44D5A">
        <w:rPr>
          <w:sz w:val="20"/>
          <w:szCs w:val="20"/>
        </w:rPr>
        <w:t xml:space="preserve"> considerando lo anterior,</w:t>
      </w:r>
      <w:r w:rsidR="00AC7DE9" w:rsidRPr="00B44D5A" w:rsidDel="00687447">
        <w:rPr>
          <w:sz w:val="20"/>
          <w:szCs w:val="20"/>
        </w:rPr>
        <w:t xml:space="preserve"> </w:t>
      </w:r>
      <w:r w:rsidR="00515B28" w:rsidRPr="00B44D5A">
        <w:rPr>
          <w:sz w:val="20"/>
          <w:szCs w:val="20"/>
        </w:rPr>
        <w:t xml:space="preserve">el Presidente advierte que la información remitida por el Estado en su comunicación de 20 de mayo de 2019 no presenta elementos suficientes que permitan desestimar lo manifestado por la Comisión referente a las condiciones de encierro en que se encuentran los solicitantes, la falta de atención médica adecuada, y el sometimiento a agresiones físicas y psíquicas a las que algunos de ellos habrían sido sometidos. En efecto, el Estado remitió </w:t>
      </w:r>
      <w:r w:rsidR="005748DC" w:rsidRPr="00B44D5A">
        <w:rPr>
          <w:sz w:val="20"/>
          <w:szCs w:val="20"/>
        </w:rPr>
        <w:t>una descripción sobre los servicios y atenciones</w:t>
      </w:r>
      <w:r w:rsidR="00E74A22" w:rsidRPr="00B44D5A">
        <w:rPr>
          <w:sz w:val="20"/>
          <w:szCs w:val="20"/>
        </w:rPr>
        <w:t xml:space="preserve"> médicas</w:t>
      </w:r>
      <w:r w:rsidR="005748DC" w:rsidRPr="00B44D5A">
        <w:rPr>
          <w:sz w:val="20"/>
          <w:szCs w:val="20"/>
        </w:rPr>
        <w:t xml:space="preserve"> presuntamente brindadas a cada uno de los solicitantes, sin embargo omitió remitir los documentos probatorios que permitirían constatar estas afirmaciones. Asimismo, remitió un conjunto de imágenes de la galería del penal “La Modelo” con el objetivo de demostrar que los presos cuentan con las condiciones higiénico-sanitarias adecuadas, ventilación, colchonetas, e iluminación artificial y natural, pero omitió remitir información que permita determinar si estas son las condiciones en que efectivamente se encuentran los solicitantes</w:t>
      </w:r>
      <w:r w:rsidR="00E74A22" w:rsidRPr="00B44D5A">
        <w:rPr>
          <w:sz w:val="20"/>
          <w:szCs w:val="20"/>
        </w:rPr>
        <w:t>, si se trata de fotografías recientes, o si se refieren a las instalaciones</w:t>
      </w:r>
      <w:r w:rsidR="005748DC" w:rsidRPr="00B44D5A">
        <w:rPr>
          <w:sz w:val="20"/>
          <w:szCs w:val="20"/>
        </w:rPr>
        <w:t>.</w:t>
      </w:r>
    </w:p>
    <w:p w:rsidR="00C12C5C" w:rsidRPr="00B44D5A" w:rsidRDefault="00C12C5C" w:rsidP="00C12C5C">
      <w:pPr>
        <w:pStyle w:val="Prrafodelista"/>
        <w:rPr>
          <w:rFonts w:ascii="Verdana" w:hAnsi="Verdana"/>
          <w:sz w:val="20"/>
          <w:szCs w:val="20"/>
        </w:rPr>
      </w:pPr>
    </w:p>
    <w:p w:rsidR="00AC7DE9" w:rsidRPr="00B44D5A" w:rsidRDefault="00FC5628" w:rsidP="00FC5628">
      <w:pPr>
        <w:pStyle w:val="Prrafodelista1"/>
        <w:jc w:val="both"/>
        <w:rPr>
          <w:sz w:val="20"/>
          <w:szCs w:val="20"/>
        </w:rPr>
      </w:pPr>
      <w:r>
        <w:rPr>
          <w:sz w:val="20"/>
          <w:szCs w:val="20"/>
          <w:lang w:val="es-ES_tradnl"/>
        </w:rPr>
        <w:t>26.</w:t>
      </w:r>
      <w:r>
        <w:rPr>
          <w:sz w:val="20"/>
          <w:szCs w:val="20"/>
          <w:lang w:val="es-ES_tradnl"/>
        </w:rPr>
        <w:tab/>
      </w:r>
      <w:r w:rsidR="00C12C5C" w:rsidRPr="00B44D5A">
        <w:rPr>
          <w:sz w:val="20"/>
          <w:szCs w:val="20"/>
          <w:lang w:val="es-ES_tradnl"/>
        </w:rPr>
        <w:t xml:space="preserve">De esta forma, </w:t>
      </w:r>
      <w:r w:rsidR="00AC7DE9" w:rsidRPr="00B44D5A">
        <w:rPr>
          <w:sz w:val="20"/>
          <w:szCs w:val="20"/>
        </w:rPr>
        <w:t>dado el contexto en el que se llevaron a cabo las detenciones de los solicitantes</w:t>
      </w:r>
      <w:r w:rsidR="00711975" w:rsidRPr="00B44D5A">
        <w:rPr>
          <w:sz w:val="20"/>
          <w:szCs w:val="20"/>
        </w:rPr>
        <w:t xml:space="preserve"> (</w:t>
      </w:r>
      <w:r w:rsidR="00711975" w:rsidRPr="006978BA">
        <w:rPr>
          <w:i/>
          <w:sz w:val="20"/>
          <w:szCs w:val="20"/>
        </w:rPr>
        <w:t>supra</w:t>
      </w:r>
      <w:r w:rsidR="00711975" w:rsidRPr="00B44D5A">
        <w:rPr>
          <w:sz w:val="20"/>
          <w:szCs w:val="20"/>
        </w:rPr>
        <w:t xml:space="preserve"> </w:t>
      </w:r>
      <w:r w:rsidR="006978BA">
        <w:rPr>
          <w:sz w:val="20"/>
          <w:szCs w:val="20"/>
        </w:rPr>
        <w:t>C</w:t>
      </w:r>
      <w:r w:rsidR="00B80C0B" w:rsidRPr="00B44D5A">
        <w:rPr>
          <w:sz w:val="20"/>
          <w:szCs w:val="20"/>
        </w:rPr>
        <w:t>onsiderando</w:t>
      </w:r>
      <w:r w:rsidR="006978BA">
        <w:rPr>
          <w:sz w:val="20"/>
          <w:szCs w:val="20"/>
        </w:rPr>
        <w:t>s</w:t>
      </w:r>
      <w:r w:rsidR="005F774B">
        <w:rPr>
          <w:sz w:val="20"/>
          <w:szCs w:val="20"/>
        </w:rPr>
        <w:t xml:space="preserve"> 17 y 18</w:t>
      </w:r>
      <w:r w:rsidR="00711975" w:rsidRPr="00B44D5A">
        <w:rPr>
          <w:sz w:val="20"/>
          <w:szCs w:val="20"/>
        </w:rPr>
        <w:t>)</w:t>
      </w:r>
      <w:r w:rsidR="00AC7DE9" w:rsidRPr="00B44D5A">
        <w:rPr>
          <w:sz w:val="20"/>
          <w:szCs w:val="20"/>
        </w:rPr>
        <w:t xml:space="preserve">, </w:t>
      </w:r>
      <w:r w:rsidR="00AC7DE9" w:rsidRPr="00B44D5A">
        <w:rPr>
          <w:rFonts w:eastAsia="Verdana" w:cs="Verdana"/>
          <w:sz w:val="20"/>
          <w:szCs w:val="20"/>
          <w:lang w:val="es-CR"/>
        </w:rPr>
        <w:t>la información acerca de condiciones de detención que pueden poner en riesgo la salud</w:t>
      </w:r>
      <w:r w:rsidR="003E4543" w:rsidRPr="00B44D5A">
        <w:rPr>
          <w:rFonts w:eastAsia="Verdana" w:cs="Verdana"/>
          <w:sz w:val="20"/>
          <w:szCs w:val="20"/>
          <w:lang w:val="es-CR"/>
        </w:rPr>
        <w:t xml:space="preserve"> y vida</w:t>
      </w:r>
      <w:r w:rsidR="00AC7DE9" w:rsidRPr="00B44D5A">
        <w:rPr>
          <w:rFonts w:eastAsia="Verdana" w:cs="Verdana"/>
          <w:sz w:val="20"/>
          <w:szCs w:val="20"/>
          <w:lang w:val="es-CR"/>
        </w:rPr>
        <w:t xml:space="preserve"> de los solicitantes</w:t>
      </w:r>
      <w:r w:rsidR="00711975" w:rsidRPr="00B44D5A">
        <w:rPr>
          <w:rFonts w:eastAsia="Verdana" w:cs="Verdana"/>
          <w:sz w:val="20"/>
          <w:szCs w:val="20"/>
          <w:lang w:val="es-CR"/>
        </w:rPr>
        <w:t xml:space="preserve"> </w:t>
      </w:r>
      <w:r w:rsidR="00711975" w:rsidRPr="00B44D5A">
        <w:rPr>
          <w:sz w:val="20"/>
          <w:szCs w:val="20"/>
        </w:rPr>
        <w:t>(</w:t>
      </w:r>
      <w:r w:rsidR="00711975" w:rsidRPr="006978BA">
        <w:rPr>
          <w:i/>
          <w:sz w:val="20"/>
          <w:szCs w:val="20"/>
        </w:rPr>
        <w:t>supra</w:t>
      </w:r>
      <w:r w:rsidR="00711975" w:rsidRPr="00B44D5A">
        <w:rPr>
          <w:sz w:val="20"/>
          <w:szCs w:val="20"/>
        </w:rPr>
        <w:t xml:space="preserve"> </w:t>
      </w:r>
      <w:r w:rsidR="006978BA">
        <w:rPr>
          <w:sz w:val="20"/>
          <w:szCs w:val="20"/>
        </w:rPr>
        <w:t>C</w:t>
      </w:r>
      <w:r w:rsidR="00B80C0B" w:rsidRPr="00B44D5A">
        <w:rPr>
          <w:sz w:val="20"/>
          <w:szCs w:val="20"/>
        </w:rPr>
        <w:t>onsiderando</w:t>
      </w:r>
      <w:r w:rsidR="00B80C0B" w:rsidRPr="005F774B">
        <w:rPr>
          <w:sz w:val="20"/>
          <w:szCs w:val="20"/>
        </w:rPr>
        <w:t xml:space="preserve"> </w:t>
      </w:r>
      <w:r w:rsidR="005F774B">
        <w:rPr>
          <w:sz w:val="20"/>
          <w:szCs w:val="20"/>
        </w:rPr>
        <w:t>20</w:t>
      </w:r>
      <w:r w:rsidR="00711975" w:rsidRPr="00B44D5A">
        <w:rPr>
          <w:sz w:val="20"/>
          <w:szCs w:val="20"/>
        </w:rPr>
        <w:t>)</w:t>
      </w:r>
      <w:r w:rsidR="00AC7DE9" w:rsidRPr="00B44D5A">
        <w:rPr>
          <w:rFonts w:eastAsia="Verdana" w:cs="Verdana"/>
          <w:sz w:val="20"/>
          <w:szCs w:val="20"/>
          <w:lang w:val="es-CR"/>
        </w:rPr>
        <w:t>, y que incluyen falta de una adecuada alimentación y atención médica</w:t>
      </w:r>
      <w:r w:rsidR="00711975" w:rsidRPr="00B44D5A">
        <w:rPr>
          <w:rFonts w:eastAsia="Verdana" w:cs="Verdana"/>
          <w:sz w:val="20"/>
          <w:szCs w:val="20"/>
          <w:lang w:val="es-CR"/>
        </w:rPr>
        <w:t xml:space="preserve"> </w:t>
      </w:r>
      <w:r w:rsidR="00711975" w:rsidRPr="00B44D5A">
        <w:rPr>
          <w:sz w:val="20"/>
          <w:szCs w:val="20"/>
        </w:rPr>
        <w:t>(</w:t>
      </w:r>
      <w:r w:rsidR="00711975" w:rsidRPr="006978BA">
        <w:rPr>
          <w:i/>
          <w:sz w:val="20"/>
          <w:szCs w:val="20"/>
        </w:rPr>
        <w:t>supra</w:t>
      </w:r>
      <w:r w:rsidR="00711975" w:rsidRPr="00B44D5A">
        <w:rPr>
          <w:sz w:val="20"/>
          <w:szCs w:val="20"/>
        </w:rPr>
        <w:t xml:space="preserve"> </w:t>
      </w:r>
      <w:r w:rsidR="006978BA">
        <w:rPr>
          <w:sz w:val="20"/>
          <w:szCs w:val="20"/>
        </w:rPr>
        <w:t>C</w:t>
      </w:r>
      <w:r w:rsidR="00B80C0B" w:rsidRPr="00B44D5A">
        <w:rPr>
          <w:sz w:val="20"/>
          <w:szCs w:val="20"/>
        </w:rPr>
        <w:t>onsiderando</w:t>
      </w:r>
      <w:r w:rsidR="00B80C0B" w:rsidRPr="005F774B">
        <w:rPr>
          <w:sz w:val="20"/>
          <w:szCs w:val="20"/>
        </w:rPr>
        <w:t xml:space="preserve"> </w:t>
      </w:r>
      <w:r w:rsidR="005F774B">
        <w:rPr>
          <w:sz w:val="20"/>
          <w:szCs w:val="20"/>
        </w:rPr>
        <w:t>20</w:t>
      </w:r>
      <w:r w:rsidR="00711975" w:rsidRPr="00B44D5A">
        <w:rPr>
          <w:sz w:val="20"/>
          <w:szCs w:val="20"/>
        </w:rPr>
        <w:t>)</w:t>
      </w:r>
      <w:r w:rsidR="00AC7DE9" w:rsidRPr="00B44D5A">
        <w:rPr>
          <w:sz w:val="20"/>
          <w:szCs w:val="20"/>
        </w:rPr>
        <w:t>, la información acerca de los presuntos hechos de violencia ocurridos en el centro penitenciario “La Modelo” y “La Esperanza” en contra de los solicitantes</w:t>
      </w:r>
      <w:r w:rsidR="00711975" w:rsidRPr="00B44D5A">
        <w:rPr>
          <w:sz w:val="20"/>
          <w:szCs w:val="20"/>
        </w:rPr>
        <w:t xml:space="preserve"> (</w:t>
      </w:r>
      <w:r w:rsidR="00711975" w:rsidRPr="006978BA">
        <w:rPr>
          <w:i/>
          <w:sz w:val="20"/>
          <w:szCs w:val="20"/>
        </w:rPr>
        <w:t>supra</w:t>
      </w:r>
      <w:r w:rsidR="00711975" w:rsidRPr="00B44D5A">
        <w:rPr>
          <w:sz w:val="20"/>
          <w:szCs w:val="20"/>
        </w:rPr>
        <w:t xml:space="preserve"> </w:t>
      </w:r>
      <w:r w:rsidR="006978BA">
        <w:rPr>
          <w:sz w:val="20"/>
          <w:szCs w:val="20"/>
        </w:rPr>
        <w:t>C</w:t>
      </w:r>
      <w:r w:rsidR="005F774B">
        <w:rPr>
          <w:sz w:val="20"/>
          <w:szCs w:val="20"/>
        </w:rPr>
        <w:t>onsiderando 21</w:t>
      </w:r>
      <w:r w:rsidR="00711975" w:rsidRPr="00B44D5A">
        <w:rPr>
          <w:sz w:val="20"/>
          <w:szCs w:val="20"/>
        </w:rPr>
        <w:t>)</w:t>
      </w:r>
      <w:r w:rsidR="00C12C5C" w:rsidRPr="00B44D5A">
        <w:rPr>
          <w:sz w:val="20"/>
          <w:szCs w:val="20"/>
        </w:rPr>
        <w:t>,</w:t>
      </w:r>
      <w:r w:rsidR="00AC7DE9" w:rsidRPr="00B44D5A">
        <w:rPr>
          <w:sz w:val="20"/>
          <w:szCs w:val="20"/>
        </w:rPr>
        <w:t xml:space="preserve"> los hechos ocurridos el 17 de mayo de 2019 que derivaron en la muerte de </w:t>
      </w:r>
      <w:r w:rsidR="00980F27">
        <w:rPr>
          <w:sz w:val="20"/>
          <w:szCs w:val="20"/>
        </w:rPr>
        <w:t>un interno</w:t>
      </w:r>
      <w:r w:rsidR="00711975" w:rsidRPr="00B44D5A">
        <w:rPr>
          <w:sz w:val="20"/>
          <w:szCs w:val="20"/>
        </w:rPr>
        <w:t xml:space="preserve"> y del que </w:t>
      </w:r>
      <w:r w:rsidR="00711975" w:rsidRPr="00B44D5A">
        <w:rPr>
          <w:rFonts w:eastAsia="Verdana" w:cs="Verdana"/>
          <w:sz w:val="20"/>
          <w:szCs w:val="20"/>
          <w:lang w:val="es-CR"/>
        </w:rPr>
        <w:t xml:space="preserve">habrían resultado heridas 23 personas, entre ellas 6 funcionarios penitenciarios </w:t>
      </w:r>
      <w:r w:rsidR="00711975" w:rsidRPr="00B44D5A">
        <w:rPr>
          <w:sz w:val="20"/>
          <w:szCs w:val="20"/>
        </w:rPr>
        <w:t>(</w:t>
      </w:r>
      <w:r w:rsidR="00711975" w:rsidRPr="006978BA">
        <w:rPr>
          <w:i/>
          <w:sz w:val="20"/>
          <w:szCs w:val="20"/>
        </w:rPr>
        <w:t>supra</w:t>
      </w:r>
      <w:r w:rsidR="00711975" w:rsidRPr="00B44D5A">
        <w:rPr>
          <w:sz w:val="20"/>
          <w:szCs w:val="20"/>
        </w:rPr>
        <w:t xml:space="preserve"> </w:t>
      </w:r>
      <w:r w:rsidR="006978BA">
        <w:rPr>
          <w:sz w:val="20"/>
          <w:szCs w:val="20"/>
        </w:rPr>
        <w:t>C</w:t>
      </w:r>
      <w:r w:rsidR="005F774B">
        <w:rPr>
          <w:sz w:val="20"/>
          <w:szCs w:val="20"/>
        </w:rPr>
        <w:t>onsiderando 22</w:t>
      </w:r>
      <w:r w:rsidR="00711975" w:rsidRPr="00B44D5A">
        <w:rPr>
          <w:sz w:val="20"/>
          <w:szCs w:val="20"/>
        </w:rPr>
        <w:t>)</w:t>
      </w:r>
      <w:r w:rsidR="00AC7DE9" w:rsidRPr="00B44D5A">
        <w:rPr>
          <w:sz w:val="20"/>
          <w:szCs w:val="20"/>
        </w:rPr>
        <w:t xml:space="preserve">, </w:t>
      </w:r>
      <w:r w:rsidR="00C12C5C" w:rsidRPr="00B44D5A">
        <w:rPr>
          <w:sz w:val="20"/>
          <w:szCs w:val="20"/>
        </w:rPr>
        <w:t xml:space="preserve">y la falta de material probatorio que confirmara las afirmaciones del Estado respecto al tratamiento de los solicitantes en sus lugares de detención, </w:t>
      </w:r>
      <w:r w:rsidR="00AC7DE9" w:rsidRPr="00B44D5A">
        <w:rPr>
          <w:sz w:val="20"/>
          <w:szCs w:val="20"/>
        </w:rPr>
        <w:t xml:space="preserve">el Presidente considera que existen suficientes </w:t>
      </w:r>
      <w:r w:rsidR="00F2750F">
        <w:rPr>
          <w:sz w:val="20"/>
          <w:szCs w:val="20"/>
        </w:rPr>
        <w:t>elementos</w:t>
      </w:r>
      <w:r w:rsidR="00AC7DE9" w:rsidRPr="00B44D5A">
        <w:rPr>
          <w:sz w:val="20"/>
          <w:szCs w:val="20"/>
        </w:rPr>
        <w:t xml:space="preserve"> para determinar la</w:t>
      </w:r>
      <w:r w:rsidR="00C12C5C" w:rsidRPr="00B44D5A">
        <w:rPr>
          <w:sz w:val="20"/>
          <w:szCs w:val="20"/>
        </w:rPr>
        <w:t xml:space="preserve"> existencia de una situación de extrema gravedad y por lo tanto la</w:t>
      </w:r>
      <w:r w:rsidR="00AC7DE9" w:rsidRPr="00B44D5A">
        <w:rPr>
          <w:sz w:val="20"/>
          <w:szCs w:val="20"/>
        </w:rPr>
        <w:t xml:space="preserve"> necesidad urgente de adopción de las medidas que fuesen necesarias para </w:t>
      </w:r>
      <w:r w:rsidR="00332E13">
        <w:rPr>
          <w:sz w:val="20"/>
          <w:szCs w:val="20"/>
        </w:rPr>
        <w:t xml:space="preserve">evitar daños irreparables a los derechos a la </w:t>
      </w:r>
      <w:r w:rsidR="00AC7DE9" w:rsidRPr="00B44D5A">
        <w:rPr>
          <w:sz w:val="20"/>
          <w:szCs w:val="20"/>
        </w:rPr>
        <w:t xml:space="preserve">salud, vida e integridad </w:t>
      </w:r>
      <w:r w:rsidR="004579B0">
        <w:rPr>
          <w:sz w:val="20"/>
          <w:szCs w:val="20"/>
        </w:rPr>
        <w:t>personal,</w:t>
      </w:r>
      <w:r w:rsidR="00AC7DE9" w:rsidRPr="00B44D5A">
        <w:rPr>
          <w:sz w:val="20"/>
          <w:szCs w:val="20"/>
        </w:rPr>
        <w:t xml:space="preserve"> de modo que se garantice plenamente la seguridad de los solicitantes </w:t>
      </w:r>
      <w:r w:rsidR="00711975" w:rsidRPr="00B44D5A">
        <w:rPr>
          <w:sz w:val="20"/>
          <w:szCs w:val="20"/>
        </w:rPr>
        <w:t>en el lugar</w:t>
      </w:r>
      <w:r w:rsidR="00AC7DE9" w:rsidRPr="00B44D5A">
        <w:rPr>
          <w:sz w:val="20"/>
          <w:szCs w:val="20"/>
        </w:rPr>
        <w:t xml:space="preserve"> en que se encuentren. </w:t>
      </w:r>
    </w:p>
    <w:p w:rsidR="00AC7DE9" w:rsidRPr="00B44D5A" w:rsidRDefault="00AC7DE9" w:rsidP="00AC7DE9">
      <w:pPr>
        <w:pStyle w:val="Prrafodelista"/>
        <w:rPr>
          <w:rFonts w:ascii="Verdana" w:hAnsi="Verdana"/>
          <w:sz w:val="20"/>
          <w:szCs w:val="20"/>
        </w:rPr>
      </w:pPr>
    </w:p>
    <w:p w:rsidR="00B16921" w:rsidRDefault="00F5358D" w:rsidP="00F5358D">
      <w:pPr>
        <w:pStyle w:val="Prrafodelista1"/>
        <w:jc w:val="both"/>
        <w:rPr>
          <w:sz w:val="20"/>
          <w:szCs w:val="20"/>
        </w:rPr>
      </w:pPr>
      <w:r>
        <w:rPr>
          <w:sz w:val="20"/>
          <w:szCs w:val="20"/>
        </w:rPr>
        <w:t>27.</w:t>
      </w:r>
      <w:r>
        <w:rPr>
          <w:sz w:val="20"/>
          <w:szCs w:val="20"/>
        </w:rPr>
        <w:tab/>
      </w:r>
      <w:r w:rsidR="00AC7DE9" w:rsidRPr="00B44D5A">
        <w:rPr>
          <w:sz w:val="20"/>
          <w:szCs w:val="20"/>
        </w:rPr>
        <w:t xml:space="preserve">En el espíritu de estas medidas urgentes de protección, </w:t>
      </w:r>
      <w:r w:rsidR="00711975" w:rsidRPr="00B44D5A">
        <w:rPr>
          <w:sz w:val="20"/>
          <w:szCs w:val="20"/>
        </w:rPr>
        <w:t>e</w:t>
      </w:r>
      <w:r w:rsidR="00AC7DE9" w:rsidRPr="00B44D5A">
        <w:rPr>
          <w:rFonts w:cs="Verdana"/>
          <w:sz w:val="20"/>
          <w:szCs w:val="20"/>
        </w:rPr>
        <w:t>l Estado deberá adoptar las providencias necesarias para</w:t>
      </w:r>
      <w:r w:rsidR="00B16921" w:rsidRPr="00B44D5A">
        <w:rPr>
          <w:rFonts w:cs="Verdana"/>
          <w:sz w:val="20"/>
          <w:szCs w:val="20"/>
        </w:rPr>
        <w:t xml:space="preserve"> garantizar la salud, vida e integridad personal de los solicitantes. Esto requiere</w:t>
      </w:r>
      <w:r w:rsidR="00AC7DE9" w:rsidRPr="00B44D5A">
        <w:rPr>
          <w:rFonts w:cs="Verdana"/>
          <w:sz w:val="20"/>
          <w:szCs w:val="20"/>
        </w:rPr>
        <w:t xml:space="preserve"> que los solicitantes reciban una valoración médica adecuada para determinar su estado de salud, y en caso de que requieran atención médica</w:t>
      </w:r>
      <w:r w:rsidR="00711975" w:rsidRPr="00B44D5A">
        <w:rPr>
          <w:rFonts w:cs="Verdana"/>
          <w:sz w:val="20"/>
          <w:szCs w:val="20"/>
        </w:rPr>
        <w:t>, é</w:t>
      </w:r>
      <w:r w:rsidR="00AC7DE9" w:rsidRPr="00B44D5A">
        <w:rPr>
          <w:rFonts w:cs="Verdana"/>
          <w:sz w:val="20"/>
          <w:szCs w:val="20"/>
        </w:rPr>
        <w:t xml:space="preserve">sta deberá ser garantizada por el Estado. </w:t>
      </w:r>
      <w:r w:rsidR="00E74A22" w:rsidRPr="00B44D5A">
        <w:rPr>
          <w:rFonts w:cs="Verdana"/>
          <w:sz w:val="20"/>
          <w:szCs w:val="20"/>
        </w:rPr>
        <w:t>E</w:t>
      </w:r>
      <w:r w:rsidR="00711975" w:rsidRPr="00B44D5A">
        <w:rPr>
          <w:rFonts w:cs="Verdana"/>
          <w:sz w:val="20"/>
          <w:szCs w:val="20"/>
        </w:rPr>
        <w:t xml:space="preserve">l Estado </w:t>
      </w:r>
      <w:r w:rsidR="00AC7DE9" w:rsidRPr="00B44D5A">
        <w:rPr>
          <w:rFonts w:cs="Verdana"/>
          <w:sz w:val="20"/>
          <w:szCs w:val="20"/>
        </w:rPr>
        <w:t>deberá asegurarse</w:t>
      </w:r>
      <w:r w:rsidR="00711975" w:rsidRPr="00B44D5A">
        <w:rPr>
          <w:rFonts w:cs="Verdana"/>
          <w:sz w:val="20"/>
          <w:szCs w:val="20"/>
        </w:rPr>
        <w:t>, con carácter inmediato,</w:t>
      </w:r>
      <w:r w:rsidR="00AC7DE9" w:rsidRPr="00B44D5A">
        <w:rPr>
          <w:rFonts w:cs="Verdana"/>
          <w:sz w:val="20"/>
          <w:szCs w:val="20"/>
        </w:rPr>
        <w:t xml:space="preserve"> que </w:t>
      </w:r>
      <w:r w:rsidR="00711975" w:rsidRPr="00B44D5A">
        <w:rPr>
          <w:rFonts w:cs="Verdana"/>
          <w:sz w:val="20"/>
          <w:szCs w:val="20"/>
        </w:rPr>
        <w:t>los solicitantes no</w:t>
      </w:r>
      <w:r w:rsidR="00AC7DE9" w:rsidRPr="00B44D5A">
        <w:rPr>
          <w:rFonts w:cs="Verdana"/>
          <w:sz w:val="20"/>
          <w:szCs w:val="20"/>
        </w:rPr>
        <w:t xml:space="preserve"> vea</w:t>
      </w:r>
      <w:r w:rsidR="00711975" w:rsidRPr="00B44D5A">
        <w:rPr>
          <w:rFonts w:cs="Verdana"/>
          <w:sz w:val="20"/>
          <w:szCs w:val="20"/>
        </w:rPr>
        <w:t>n afectado</w:t>
      </w:r>
      <w:r w:rsidR="00AC7DE9" w:rsidRPr="00B44D5A">
        <w:rPr>
          <w:rFonts w:cs="Verdana"/>
          <w:sz w:val="20"/>
          <w:szCs w:val="20"/>
        </w:rPr>
        <w:t xml:space="preserve"> su derecho de acceder a familiares y visitantes, a sus abogados y a los médicos que los vayan a examinar. </w:t>
      </w:r>
      <w:r w:rsidR="001D1359">
        <w:rPr>
          <w:rFonts w:cs="Verdana"/>
          <w:sz w:val="20"/>
          <w:szCs w:val="20"/>
        </w:rPr>
        <w:t>Asimismo</w:t>
      </w:r>
      <w:r w:rsidR="00E74A22" w:rsidRPr="00B44D5A">
        <w:rPr>
          <w:rFonts w:cs="Verdana"/>
          <w:sz w:val="20"/>
          <w:szCs w:val="20"/>
        </w:rPr>
        <w:t xml:space="preserve">, </w:t>
      </w:r>
      <w:r w:rsidR="00E74A22" w:rsidRPr="00B44D5A">
        <w:rPr>
          <w:sz w:val="20"/>
          <w:szCs w:val="20"/>
        </w:rPr>
        <w:t xml:space="preserve">las autoridades estatales de Nicaragua deberán </w:t>
      </w:r>
      <w:r w:rsidR="001D1359">
        <w:rPr>
          <w:rFonts w:eastAsia="Verdana" w:cs="Verdana"/>
          <w:sz w:val="20"/>
          <w:szCs w:val="20"/>
          <w:lang w:val="es-CR"/>
        </w:rPr>
        <w:t>evaluar, de manera inmediata, el otorgamiento de medidas alternativas a la privación de libertad.</w:t>
      </w:r>
      <w:r w:rsidR="00E74A22" w:rsidRPr="00B44D5A">
        <w:rPr>
          <w:sz w:val="20"/>
          <w:szCs w:val="20"/>
        </w:rPr>
        <w:t xml:space="preserve"> </w:t>
      </w:r>
    </w:p>
    <w:p w:rsidR="001D1359" w:rsidRDefault="001D1359" w:rsidP="00F5358D">
      <w:pPr>
        <w:pStyle w:val="Prrafodelista1"/>
        <w:jc w:val="both"/>
        <w:rPr>
          <w:sz w:val="20"/>
          <w:szCs w:val="20"/>
        </w:rPr>
      </w:pPr>
    </w:p>
    <w:p w:rsidR="00AC7DE9" w:rsidRPr="00B44D5A" w:rsidRDefault="00F5358D" w:rsidP="00F5358D">
      <w:pPr>
        <w:pStyle w:val="Prrafodelista1"/>
        <w:jc w:val="both"/>
        <w:rPr>
          <w:sz w:val="20"/>
          <w:szCs w:val="20"/>
        </w:rPr>
      </w:pPr>
      <w:r>
        <w:rPr>
          <w:sz w:val="20"/>
          <w:szCs w:val="20"/>
        </w:rPr>
        <w:t>28.</w:t>
      </w:r>
      <w:r>
        <w:rPr>
          <w:sz w:val="20"/>
          <w:szCs w:val="20"/>
        </w:rPr>
        <w:tab/>
      </w:r>
      <w:r w:rsidR="00B16921" w:rsidRPr="00B44D5A">
        <w:rPr>
          <w:sz w:val="20"/>
          <w:szCs w:val="20"/>
        </w:rPr>
        <w:t xml:space="preserve">El </w:t>
      </w:r>
      <w:r w:rsidR="00713774" w:rsidRPr="00B44D5A">
        <w:rPr>
          <w:sz w:val="20"/>
          <w:szCs w:val="20"/>
        </w:rPr>
        <w:t>Presidente</w:t>
      </w:r>
      <w:r w:rsidR="00B16921" w:rsidRPr="00B44D5A">
        <w:rPr>
          <w:sz w:val="20"/>
          <w:szCs w:val="20"/>
        </w:rPr>
        <w:t xml:space="preserve"> advierte el alegato del Estado en el sentido que “</w:t>
      </w:r>
      <w:r w:rsidR="00CA6905" w:rsidRPr="00B44D5A">
        <w:rPr>
          <w:sz w:val="20"/>
          <w:szCs w:val="20"/>
        </w:rPr>
        <w:t>en los delitos graves donde concurren hechos vinculados a las figuras delictivas de: Asesinato, Homicidio, Terrorismo, Crimen Organizado y hechos conexos con este tipo de actividades, por imperio de la ley, los procesos se deben tramitar y mantener los acusados bajo Prisión Preventiva</w:t>
      </w:r>
      <w:r w:rsidR="00387903">
        <w:rPr>
          <w:sz w:val="20"/>
          <w:szCs w:val="20"/>
        </w:rPr>
        <w:t>”</w:t>
      </w:r>
      <w:r w:rsidR="00CA6905" w:rsidRPr="00B44D5A">
        <w:rPr>
          <w:rStyle w:val="Refdenotaalpie"/>
          <w:sz w:val="20"/>
          <w:szCs w:val="20"/>
        </w:rPr>
        <w:footnoteReference w:id="51"/>
      </w:r>
      <w:r w:rsidR="00CA6905" w:rsidRPr="00B44D5A">
        <w:rPr>
          <w:sz w:val="20"/>
          <w:szCs w:val="20"/>
        </w:rPr>
        <w:t xml:space="preserve"> y que “cuando los sujetos del proceso son encontrados culpables y sobre ellos recae sentencia condenatoria de prisión, estos deben mantenerse bajo custodia personal </w:t>
      </w:r>
      <w:r w:rsidR="001C16D4" w:rsidRPr="00B44D5A">
        <w:rPr>
          <w:sz w:val="20"/>
          <w:szCs w:val="20"/>
        </w:rPr>
        <w:t>en los Centros Penitenciarios del país a la orden de los Jueces de Vigilancia y ejecución penitenciaria a efectos de garantizar sus derechos y la tramitación de beneficios según el impulso procesal de las partes”</w:t>
      </w:r>
      <w:r w:rsidR="001C16D4" w:rsidRPr="00B44D5A">
        <w:rPr>
          <w:rStyle w:val="Refdenotaalpie"/>
          <w:sz w:val="20"/>
          <w:szCs w:val="20"/>
        </w:rPr>
        <w:footnoteReference w:id="52"/>
      </w:r>
      <w:r w:rsidR="001C16D4" w:rsidRPr="00B44D5A">
        <w:rPr>
          <w:sz w:val="20"/>
          <w:szCs w:val="20"/>
        </w:rPr>
        <w:t xml:space="preserve">. En razón de ello, el Estado manifestó que </w:t>
      </w:r>
      <w:r w:rsidR="001C16D4" w:rsidRPr="00B44D5A">
        <w:rPr>
          <w:rFonts w:cs="Courier New"/>
          <w:sz w:val="20"/>
          <w:szCs w:val="20"/>
        </w:rPr>
        <w:t>se deben mantener en prisión preventiva o cumpliendo condena, garantizando en todo momento su seguridad y asistencia médica cuando sea necesaria, hasta tanto el juez de ejecución y vigilancia penitenciaria, que es la autoridad jurisdiccional competente para valorar, modificar, sustituir y la forma de cumplimiento de la pena</w:t>
      </w:r>
      <w:r w:rsidR="001C16D4" w:rsidRPr="00B44D5A">
        <w:rPr>
          <w:rStyle w:val="Refdenotaalpie"/>
          <w:sz w:val="20"/>
          <w:szCs w:val="20"/>
        </w:rPr>
        <w:footnoteReference w:id="53"/>
      </w:r>
      <w:r w:rsidR="001C16D4" w:rsidRPr="00B44D5A">
        <w:rPr>
          <w:rFonts w:cs="Courier New"/>
          <w:sz w:val="20"/>
          <w:szCs w:val="20"/>
        </w:rPr>
        <w:t>.</w:t>
      </w:r>
    </w:p>
    <w:p w:rsidR="001C16D4" w:rsidRPr="00B44D5A" w:rsidRDefault="001C16D4" w:rsidP="001C16D4">
      <w:pPr>
        <w:pStyle w:val="Prrafodelista"/>
        <w:rPr>
          <w:rFonts w:ascii="Verdana" w:hAnsi="Verdana"/>
          <w:sz w:val="20"/>
          <w:szCs w:val="20"/>
        </w:rPr>
      </w:pPr>
    </w:p>
    <w:p w:rsidR="001C16D4" w:rsidRPr="00B44D5A" w:rsidRDefault="00F5358D" w:rsidP="00F5358D">
      <w:pPr>
        <w:pStyle w:val="Prrafodelista1"/>
        <w:jc w:val="both"/>
        <w:rPr>
          <w:sz w:val="20"/>
          <w:szCs w:val="20"/>
        </w:rPr>
      </w:pPr>
      <w:r>
        <w:rPr>
          <w:sz w:val="20"/>
          <w:szCs w:val="20"/>
        </w:rPr>
        <w:t>29.</w:t>
      </w:r>
      <w:r>
        <w:rPr>
          <w:sz w:val="20"/>
          <w:szCs w:val="20"/>
        </w:rPr>
        <w:tab/>
      </w:r>
      <w:r w:rsidR="001C16D4" w:rsidRPr="00B44D5A">
        <w:rPr>
          <w:sz w:val="20"/>
          <w:szCs w:val="20"/>
        </w:rPr>
        <w:t xml:space="preserve">En relación con lo anterior, el Presidente recuerda al Estado que </w:t>
      </w:r>
      <w:r w:rsidR="00CD26ED" w:rsidRPr="00B44D5A">
        <w:rPr>
          <w:sz w:val="20"/>
          <w:szCs w:val="20"/>
        </w:rPr>
        <w:t>para que una medida privativa de libertad no se torne arbitraria, ésta debe cumplir con los siguientes parámetros: i) su finalidad debe ser compatible con la Convención; ii) debe ser idónea para cumplir con el fin perseguido, iii) debe ser necesaria, y iv) proporcional</w:t>
      </w:r>
      <w:r w:rsidR="00CD26ED" w:rsidRPr="00B44D5A">
        <w:rPr>
          <w:rStyle w:val="Refdenotaalpie"/>
          <w:sz w:val="20"/>
          <w:szCs w:val="20"/>
          <w:lang w:val="es-AR"/>
        </w:rPr>
        <w:footnoteReference w:id="54"/>
      </w:r>
      <w:r w:rsidR="00CD26ED" w:rsidRPr="00B44D5A">
        <w:rPr>
          <w:sz w:val="20"/>
          <w:szCs w:val="20"/>
        </w:rPr>
        <w:t>. La Corte ha reiterado que la privación de libertad del imputado sólo debe tener como fin legítimo el asegurar que el acusado no impedirá el desarrollo del procedimiento ni eludirá la acción de la justicia</w:t>
      </w:r>
      <w:r w:rsidR="00CD26ED" w:rsidRPr="00B44D5A">
        <w:rPr>
          <w:rStyle w:val="Refdenotaalpie"/>
          <w:sz w:val="20"/>
          <w:szCs w:val="20"/>
          <w:lang w:val="es-AR"/>
        </w:rPr>
        <w:footnoteReference w:id="55"/>
      </w:r>
      <w:r w:rsidR="00CD26ED" w:rsidRPr="00B44D5A">
        <w:rPr>
          <w:sz w:val="20"/>
          <w:szCs w:val="20"/>
        </w:rPr>
        <w:t xml:space="preserve">. </w:t>
      </w:r>
      <w:r w:rsidR="00747CEF" w:rsidRPr="00747CEF">
        <w:rPr>
          <w:sz w:val="20"/>
          <w:szCs w:val="20"/>
        </w:rPr>
        <w:t>Las características personales del supuesto autor y la gravedad del delito que se le imputa no son, por si mismos, justificación suficiente de la prisión preventiva. La prisión preventiva es una medida cautelar y no punitiva</w:t>
      </w:r>
      <w:r w:rsidR="00747CEF">
        <w:rPr>
          <w:rStyle w:val="Refdenotaalpie"/>
          <w:szCs w:val="20"/>
        </w:rPr>
        <w:footnoteReference w:id="56"/>
      </w:r>
      <w:r w:rsidR="00747CEF" w:rsidRPr="00747CEF">
        <w:rPr>
          <w:sz w:val="20"/>
          <w:szCs w:val="20"/>
        </w:rPr>
        <w:t>.</w:t>
      </w:r>
      <w:r w:rsidR="00747CEF">
        <w:t xml:space="preserve"> </w:t>
      </w:r>
      <w:r w:rsidR="00CD26ED" w:rsidRPr="00B44D5A">
        <w:rPr>
          <w:sz w:val="20"/>
          <w:szCs w:val="20"/>
        </w:rPr>
        <w:t>Es por esta razón qué, aun cuando el Código Procesal Penal de Nicaragua requiera que determinados delitos se deban tramitar con el procesado sujeto a un régimen de prisión preventiva, el Estado está obligado a velar por la garantía del derecho a la libertad personal, por lo que debe adoptar medidas alternativas a la privación de la libertar de los solicitantes.</w:t>
      </w:r>
    </w:p>
    <w:p w:rsidR="00CD26ED" w:rsidRPr="00B44D5A" w:rsidRDefault="00CD26ED" w:rsidP="00CD26ED">
      <w:pPr>
        <w:pStyle w:val="Prrafodelista"/>
        <w:rPr>
          <w:rFonts w:ascii="Verdana" w:hAnsi="Verdana"/>
          <w:sz w:val="20"/>
          <w:szCs w:val="20"/>
        </w:rPr>
      </w:pPr>
    </w:p>
    <w:p w:rsidR="00C8518A" w:rsidRPr="00B44D5A" w:rsidRDefault="000E464B" w:rsidP="000E464B">
      <w:pPr>
        <w:pStyle w:val="Prrafodelista1"/>
        <w:jc w:val="both"/>
        <w:rPr>
          <w:sz w:val="20"/>
          <w:szCs w:val="20"/>
        </w:rPr>
      </w:pPr>
      <w:r>
        <w:rPr>
          <w:sz w:val="20"/>
          <w:szCs w:val="20"/>
          <w:lang w:val="es-ES_tradnl"/>
        </w:rPr>
        <w:t>30.</w:t>
      </w:r>
      <w:r>
        <w:rPr>
          <w:sz w:val="20"/>
          <w:szCs w:val="20"/>
          <w:lang w:val="es-ES_tradnl"/>
        </w:rPr>
        <w:tab/>
      </w:r>
      <w:r w:rsidR="00CD26ED" w:rsidRPr="00B44D5A">
        <w:rPr>
          <w:sz w:val="20"/>
          <w:szCs w:val="20"/>
          <w:lang w:val="es-ES_tradnl"/>
        </w:rPr>
        <w:t xml:space="preserve">Adicionalmente, el Presidente advierte que </w:t>
      </w:r>
      <w:r w:rsidR="00963F0A" w:rsidRPr="00B44D5A">
        <w:rPr>
          <w:sz w:val="20"/>
          <w:szCs w:val="20"/>
          <w:lang w:val="es-ES_tradnl"/>
        </w:rPr>
        <w:t>según la información aportada por el Estado</w:t>
      </w:r>
      <w:r w:rsidR="00963F0A" w:rsidRPr="00B44D5A">
        <w:rPr>
          <w:rStyle w:val="Refdenotaalpie"/>
          <w:sz w:val="20"/>
          <w:szCs w:val="20"/>
          <w:lang w:val="es-ES_tradnl"/>
        </w:rPr>
        <w:footnoteReference w:id="57"/>
      </w:r>
      <w:r w:rsidR="00963F0A" w:rsidRPr="00B44D5A">
        <w:rPr>
          <w:sz w:val="20"/>
          <w:szCs w:val="20"/>
          <w:lang w:val="es-ES_tradnl"/>
        </w:rPr>
        <w:t xml:space="preserve">, los solicitantes </w:t>
      </w:r>
      <w:r w:rsidR="00963F0A" w:rsidRPr="00B44D5A">
        <w:rPr>
          <w:rFonts w:cs="Courier New"/>
          <w:sz w:val="20"/>
          <w:szCs w:val="20"/>
        </w:rPr>
        <w:t>María Adilia Peralta Cerratos</w:t>
      </w:r>
      <w:r w:rsidR="00963F0A" w:rsidRPr="00B44D5A">
        <w:rPr>
          <w:sz w:val="20"/>
          <w:szCs w:val="20"/>
          <w:lang w:val="es-ES_tradnl"/>
        </w:rPr>
        <w:t xml:space="preserve">, </w:t>
      </w:r>
      <w:r w:rsidR="00963F0A" w:rsidRPr="00B44D5A">
        <w:rPr>
          <w:rFonts w:cs="Courier New"/>
          <w:sz w:val="20"/>
          <w:szCs w:val="20"/>
        </w:rPr>
        <w:t>Jaime Ramón Ampié Toledo, Julio José Ampié Machado, Reynaldo Lira Luquez, y Tania Verónica Muñoz Pavón, “se encuentra</w:t>
      </w:r>
      <w:r w:rsidR="00387903">
        <w:rPr>
          <w:rFonts w:cs="Courier New"/>
          <w:sz w:val="20"/>
          <w:szCs w:val="20"/>
        </w:rPr>
        <w:t>n</w:t>
      </w:r>
      <w:r w:rsidR="00963F0A" w:rsidRPr="00B44D5A">
        <w:rPr>
          <w:rFonts w:cs="Courier New"/>
          <w:sz w:val="20"/>
          <w:szCs w:val="20"/>
        </w:rPr>
        <w:t xml:space="preserve"> en libertad y se le[s] otorgó beneficio legal de convivencia familiar a partir del día 20 de mayo”. Es relevante destacar que </w:t>
      </w:r>
      <w:r w:rsidR="009E0425" w:rsidRPr="00B44D5A">
        <w:rPr>
          <w:rFonts w:cs="Courier New"/>
          <w:sz w:val="20"/>
          <w:szCs w:val="20"/>
        </w:rPr>
        <w:t xml:space="preserve">las señoras Peralta Cerratos y Muñoz Pavon se encontraban sujetas a proceso por diversos delitos referidos por el Estado como aquellos que deben ser tramitados con los procesados sujetos al régimen de prisión preventiva. También se hace notar que los señores Ampié Toledo, Ampié Machado y Lira Luquez habrían sido declarados culpables de diversos delitos y se encontraban cumpliendo sus sentencias. En ese sentido, el Presidente advierte la existencia de posibilidades, conforme al ordenamiento jurídico nicaragüense, para que se dispongan medidas alternativas de libertad para los solicitantes aun cuando se encuentren sujetos a un proceso penal o ya hayan sido condenados. </w:t>
      </w:r>
    </w:p>
    <w:p w:rsidR="00C8518A" w:rsidRPr="00B44D5A" w:rsidRDefault="00C8518A" w:rsidP="00C8518A">
      <w:pPr>
        <w:pStyle w:val="Prrafodelista"/>
        <w:rPr>
          <w:rFonts w:ascii="Verdana" w:eastAsia="Verdana" w:hAnsi="Verdana" w:cs="Verdana"/>
          <w:sz w:val="20"/>
          <w:szCs w:val="20"/>
          <w:lang w:val="es-CR"/>
        </w:rPr>
      </w:pPr>
    </w:p>
    <w:p w:rsidR="009D3D50" w:rsidRPr="00B44D5A" w:rsidRDefault="000E464B" w:rsidP="000E464B">
      <w:pPr>
        <w:pStyle w:val="Prrafodelista1"/>
        <w:jc w:val="both"/>
        <w:rPr>
          <w:sz w:val="20"/>
          <w:szCs w:val="20"/>
        </w:rPr>
      </w:pPr>
      <w:r>
        <w:rPr>
          <w:rFonts w:eastAsia="Verdana" w:cs="Verdana"/>
          <w:sz w:val="20"/>
          <w:szCs w:val="20"/>
          <w:lang w:val="es-CR"/>
        </w:rPr>
        <w:t>31.</w:t>
      </w:r>
      <w:r>
        <w:rPr>
          <w:rFonts w:eastAsia="Verdana" w:cs="Verdana"/>
          <w:sz w:val="20"/>
          <w:szCs w:val="20"/>
          <w:lang w:val="es-CR"/>
        </w:rPr>
        <w:tab/>
      </w:r>
      <w:r w:rsidR="0017658F" w:rsidRPr="00B44D5A">
        <w:rPr>
          <w:rFonts w:eastAsia="Verdana" w:cs="Verdana"/>
          <w:sz w:val="20"/>
          <w:szCs w:val="20"/>
          <w:lang w:val="es-CR"/>
        </w:rPr>
        <w:t>Adicionalmente</w:t>
      </w:r>
      <w:r w:rsidR="00ED0334" w:rsidRPr="00B44D5A">
        <w:rPr>
          <w:rFonts w:eastAsia="Verdana" w:cs="Verdana"/>
          <w:sz w:val="20"/>
          <w:szCs w:val="20"/>
          <w:lang w:val="es-CR"/>
        </w:rPr>
        <w:t>, el</w:t>
      </w:r>
      <w:r w:rsidR="0017658F" w:rsidRPr="00B44D5A">
        <w:rPr>
          <w:rFonts w:eastAsia="Verdana" w:cs="Verdana"/>
          <w:sz w:val="20"/>
          <w:szCs w:val="20"/>
          <w:lang w:val="es-CR"/>
        </w:rPr>
        <w:t xml:space="preserve"> Presidente</w:t>
      </w:r>
      <w:r w:rsidR="008F2D17" w:rsidRPr="00B44D5A">
        <w:rPr>
          <w:rFonts w:eastAsia="Verdana" w:cs="Verdana"/>
          <w:sz w:val="20"/>
          <w:szCs w:val="20"/>
          <w:lang w:val="es-CR"/>
        </w:rPr>
        <w:t xml:space="preserve"> </w:t>
      </w:r>
      <w:r w:rsidR="00B5774B" w:rsidRPr="00B44D5A">
        <w:rPr>
          <w:rFonts w:eastAsia="Verdana" w:cs="Verdana"/>
          <w:sz w:val="20"/>
          <w:szCs w:val="20"/>
          <w:lang w:val="es-CR"/>
        </w:rPr>
        <w:t>recuerda</w:t>
      </w:r>
      <w:r w:rsidR="0058577E" w:rsidRPr="00B44D5A">
        <w:rPr>
          <w:rFonts w:eastAsia="Verdana" w:cs="Verdana"/>
          <w:sz w:val="20"/>
          <w:szCs w:val="20"/>
          <w:lang w:val="es-CR"/>
        </w:rPr>
        <w:t xml:space="preserve"> que</w:t>
      </w:r>
      <w:r w:rsidR="002C652D" w:rsidRPr="00B44D5A">
        <w:rPr>
          <w:rFonts w:eastAsia="Verdana" w:cs="Verdana"/>
          <w:sz w:val="20"/>
          <w:szCs w:val="20"/>
          <w:lang w:val="es-CR"/>
        </w:rPr>
        <w:t>, conforme a la jurisprudencia de la Corte, se ha reiterado que</w:t>
      </w:r>
      <w:r w:rsidR="0058577E" w:rsidRPr="00B44D5A">
        <w:rPr>
          <w:rFonts w:eastAsia="Verdana" w:cs="Verdana"/>
          <w:sz w:val="20"/>
          <w:szCs w:val="20"/>
          <w:lang w:val="es-CR"/>
        </w:rPr>
        <w:t xml:space="preserve"> </w:t>
      </w:r>
      <w:r w:rsidR="00B5774B" w:rsidRPr="00B44D5A">
        <w:rPr>
          <w:rFonts w:eastAsia="Verdana" w:cs="Verdana"/>
          <w:sz w:val="20"/>
          <w:szCs w:val="20"/>
          <w:lang w:val="es-CR"/>
        </w:rPr>
        <w:t>el poder del Estado no es ilimitado para</w:t>
      </w:r>
      <w:r w:rsidR="007A3706" w:rsidRPr="00B44D5A">
        <w:rPr>
          <w:rFonts w:eastAsia="Verdana" w:cs="Verdana"/>
          <w:sz w:val="20"/>
          <w:szCs w:val="20"/>
          <w:lang w:val="es-CR"/>
        </w:rPr>
        <w:t xml:space="preserve"> garantizar la seguridad y mantener el orden público dentro de su territorio</w:t>
      </w:r>
      <w:r w:rsidR="00B5774B" w:rsidRPr="00B44D5A">
        <w:rPr>
          <w:rFonts w:eastAsia="Verdana" w:cs="Verdana"/>
          <w:sz w:val="20"/>
          <w:szCs w:val="20"/>
          <w:lang w:val="es-CR"/>
        </w:rPr>
        <w:t>, independientemente de la gravedad de ciertas acciones de las personas o de la posible culpabilidad de sus autores</w:t>
      </w:r>
      <w:r w:rsidR="00B5774B" w:rsidRPr="00B44D5A">
        <w:rPr>
          <w:rStyle w:val="Refdenotaalpie"/>
          <w:rFonts w:eastAsia="Verdana" w:cs="Verdana"/>
          <w:sz w:val="20"/>
          <w:szCs w:val="20"/>
          <w:lang w:val="es-CR"/>
        </w:rPr>
        <w:footnoteReference w:id="58"/>
      </w:r>
      <w:r w:rsidR="00B5774B" w:rsidRPr="00B44D5A">
        <w:rPr>
          <w:rFonts w:eastAsia="Verdana" w:cs="Verdana"/>
          <w:sz w:val="20"/>
          <w:szCs w:val="20"/>
          <w:lang w:val="es-CR"/>
        </w:rPr>
        <w:t xml:space="preserve">. </w:t>
      </w:r>
      <w:r w:rsidR="00E67297" w:rsidRPr="00B44D5A">
        <w:rPr>
          <w:sz w:val="20"/>
          <w:szCs w:val="20"/>
          <w:lang w:val="es-AR"/>
        </w:rPr>
        <w:t xml:space="preserve">La Corte ya se ha pronunciado </w:t>
      </w:r>
      <w:r w:rsidR="00C7173C" w:rsidRPr="00B44D5A">
        <w:rPr>
          <w:sz w:val="20"/>
          <w:szCs w:val="20"/>
          <w:lang w:val="es-AR"/>
        </w:rPr>
        <w:t xml:space="preserve">respecto a </w:t>
      </w:r>
      <w:r w:rsidR="00E67297" w:rsidRPr="00B44D5A">
        <w:rPr>
          <w:sz w:val="20"/>
          <w:szCs w:val="20"/>
          <w:lang w:val="es-AR"/>
        </w:rPr>
        <w:t>que la seguridad ciudadana no puede basarse en un paradigma de uso de la fuerza que apunte a tratar a la población civil como el enemigo, sino que debe consistir en la protección y control de los civiles</w:t>
      </w:r>
      <w:r w:rsidR="00E67297" w:rsidRPr="00B44D5A">
        <w:rPr>
          <w:rStyle w:val="Refdenotaalpie"/>
          <w:sz w:val="20"/>
          <w:szCs w:val="20"/>
          <w:lang w:val="es-AR"/>
        </w:rPr>
        <w:footnoteReference w:id="59"/>
      </w:r>
      <w:r w:rsidR="00FD6B6A" w:rsidRPr="00B44D5A">
        <w:rPr>
          <w:sz w:val="20"/>
          <w:szCs w:val="20"/>
          <w:lang w:val="es-AR"/>
        </w:rPr>
        <w:t xml:space="preserve">. De igual forma, el Tribunal ha establecido que </w:t>
      </w:r>
      <w:r w:rsidR="00C7173C" w:rsidRPr="00B44D5A">
        <w:rPr>
          <w:sz w:val="20"/>
          <w:szCs w:val="20"/>
          <w:lang w:val="es-AR"/>
        </w:rPr>
        <w:t xml:space="preserve">es fundamental que los periodistas gocen de la protección y la independencia necesarias para realizar sus funciones a cabalidad, </w:t>
      </w:r>
      <w:r w:rsidR="009D3D50" w:rsidRPr="00B44D5A">
        <w:rPr>
          <w:sz w:val="20"/>
          <w:szCs w:val="20"/>
          <w:lang w:val="es-AR"/>
        </w:rPr>
        <w:t>pues las restricciones ilegítimas a la libertad de expresión puede producir un efecto disuasivo, atemorizador e inhibidor, sobre todo a otros periodistas, afectando así los el derecho a la libertad de expresión</w:t>
      </w:r>
      <w:r w:rsidR="007A3706" w:rsidRPr="00B44D5A">
        <w:rPr>
          <w:sz w:val="20"/>
          <w:szCs w:val="20"/>
          <w:lang w:val="es-AR"/>
        </w:rPr>
        <w:t>,</w:t>
      </w:r>
      <w:r w:rsidR="009D3D50" w:rsidRPr="00B44D5A">
        <w:rPr>
          <w:sz w:val="20"/>
          <w:szCs w:val="20"/>
          <w:lang w:val="es-AR"/>
        </w:rPr>
        <w:t xml:space="preserve"> tanto en su dimensión individual como en su dimensión social</w:t>
      </w:r>
      <w:r w:rsidR="009D3D50" w:rsidRPr="00B44D5A">
        <w:rPr>
          <w:rStyle w:val="Refdenotaalpie"/>
          <w:sz w:val="20"/>
          <w:szCs w:val="20"/>
          <w:lang w:val="es-AR"/>
        </w:rPr>
        <w:footnoteReference w:id="60"/>
      </w:r>
      <w:r w:rsidR="009D3D50" w:rsidRPr="00B44D5A">
        <w:rPr>
          <w:sz w:val="20"/>
          <w:szCs w:val="20"/>
          <w:lang w:val="es-AR"/>
        </w:rPr>
        <w:t xml:space="preserve">. Al respecto la Corte ha dicho que: </w:t>
      </w:r>
    </w:p>
    <w:p w:rsidR="009D3D50" w:rsidRPr="00B44D5A" w:rsidRDefault="009D3D50" w:rsidP="009D3D50">
      <w:pPr>
        <w:pStyle w:val="Prrafodelista1"/>
        <w:jc w:val="both"/>
        <w:rPr>
          <w:sz w:val="20"/>
          <w:szCs w:val="20"/>
        </w:rPr>
      </w:pPr>
    </w:p>
    <w:p w:rsidR="009D3D50" w:rsidRPr="00B44D5A" w:rsidRDefault="009D3D50" w:rsidP="009D3D50">
      <w:pPr>
        <w:pStyle w:val="Prrafodelista1"/>
        <w:ind w:left="720" w:right="855"/>
        <w:jc w:val="both"/>
        <w:rPr>
          <w:sz w:val="20"/>
          <w:szCs w:val="20"/>
        </w:rPr>
      </w:pPr>
      <w:r w:rsidRPr="00B44D5A">
        <w:rPr>
          <w:sz w:val="20"/>
          <w:szCs w:val="20"/>
        </w:rPr>
        <w:t xml:space="preserve">“[…] la libertad de expresión es un elemento fundamental sobre el cual se basa la existencia de una sociedad democrática. Es indispensable para la formación de la opinión pública. Es también </w:t>
      </w:r>
      <w:r w:rsidRPr="00B44D5A">
        <w:rPr>
          <w:i/>
          <w:sz w:val="20"/>
          <w:szCs w:val="20"/>
        </w:rPr>
        <w:t>conditio sine qua non</w:t>
      </w:r>
      <w:r w:rsidRPr="00B44D5A">
        <w:rPr>
          <w:sz w:val="20"/>
          <w:szCs w:val="20"/>
        </w:rPr>
        <w:t xml:space="preserve"> para que los partidos políticos, los sindicatos, las sociedades científicas y culturales, y en general, quienes deseen influir sobre la colectividad puedan desarrollarse plenamente. Es, en fin, condición para que la comunidad, a la hora de ejercer sus opciones esté suficientemente informada. Por ende, es posible afirmar que una sociedad que no está bien informada no es plenamente libre”</w:t>
      </w:r>
      <w:r w:rsidRPr="00B44D5A">
        <w:rPr>
          <w:rStyle w:val="Refdenotaalpie"/>
          <w:sz w:val="20"/>
          <w:szCs w:val="20"/>
        </w:rPr>
        <w:footnoteReference w:id="61"/>
      </w:r>
      <w:r w:rsidRPr="00B44D5A">
        <w:rPr>
          <w:sz w:val="20"/>
          <w:szCs w:val="20"/>
        </w:rPr>
        <w:t>.</w:t>
      </w:r>
    </w:p>
    <w:p w:rsidR="00C8518A" w:rsidRPr="00B44D5A" w:rsidRDefault="00C8518A" w:rsidP="00C8518A">
      <w:pPr>
        <w:pStyle w:val="Prrafodelista1"/>
        <w:jc w:val="both"/>
        <w:rPr>
          <w:sz w:val="20"/>
          <w:szCs w:val="20"/>
        </w:rPr>
      </w:pPr>
    </w:p>
    <w:p w:rsidR="00262E15" w:rsidRPr="00B44D5A" w:rsidRDefault="00B16AD2" w:rsidP="00B16AD2">
      <w:pPr>
        <w:pStyle w:val="Prrafodelista1"/>
        <w:jc w:val="both"/>
        <w:rPr>
          <w:sz w:val="20"/>
          <w:szCs w:val="20"/>
          <w:highlight w:val="yellow"/>
        </w:rPr>
      </w:pPr>
      <w:r w:rsidRPr="00C05A8B">
        <w:rPr>
          <w:sz w:val="20"/>
          <w:szCs w:val="20"/>
          <w:lang w:val="es-AR"/>
        </w:rPr>
        <w:t>32.</w:t>
      </w:r>
      <w:r w:rsidRPr="00C05A8B">
        <w:rPr>
          <w:sz w:val="20"/>
          <w:szCs w:val="20"/>
          <w:lang w:val="es-AR"/>
        </w:rPr>
        <w:tab/>
      </w:r>
      <w:r w:rsidR="009D3D50" w:rsidRPr="00C05A8B">
        <w:rPr>
          <w:sz w:val="20"/>
          <w:szCs w:val="20"/>
          <w:lang w:val="es-AR"/>
        </w:rPr>
        <w:t xml:space="preserve">En el mismo sentido, el Presidente </w:t>
      </w:r>
      <w:r w:rsidR="00626648" w:rsidRPr="00C05A8B">
        <w:rPr>
          <w:sz w:val="20"/>
          <w:szCs w:val="20"/>
          <w:lang w:val="es-AR"/>
        </w:rPr>
        <w:t xml:space="preserve">recuerda que </w:t>
      </w:r>
      <w:r w:rsidR="00626648" w:rsidRPr="00C05A8B">
        <w:rPr>
          <w:sz w:val="20"/>
          <w:szCs w:val="20"/>
        </w:rPr>
        <w:t>el derecho a protestar o manifestar</w:t>
      </w:r>
      <w:r w:rsidR="00626648" w:rsidRPr="00B44D5A">
        <w:rPr>
          <w:sz w:val="20"/>
          <w:szCs w:val="20"/>
        </w:rPr>
        <w:t xml:space="preserve"> inconformidad contra alguna acción o decisión estatal está protegido por el derecho de reunión, consagrado en el artículo 15 de la Convención Americana. </w:t>
      </w:r>
      <w:r w:rsidR="00BD2B5C" w:rsidRPr="00B44D5A">
        <w:rPr>
          <w:sz w:val="20"/>
          <w:szCs w:val="20"/>
        </w:rPr>
        <w:t>Este artículo convencional “reconoce el derecho de reunión pacífica y sin armas” y abarca tanto reuniones privadas como reuniones en la vía pública, ya sean estáticas o con desplazamientos</w:t>
      </w:r>
      <w:r w:rsidR="00BD2B5C" w:rsidRPr="00B44D5A">
        <w:rPr>
          <w:rStyle w:val="Refdenotaalpie"/>
          <w:sz w:val="20"/>
          <w:szCs w:val="20"/>
        </w:rPr>
        <w:footnoteReference w:id="62"/>
      </w:r>
      <w:r w:rsidR="00BD2B5C" w:rsidRPr="00B44D5A">
        <w:rPr>
          <w:sz w:val="20"/>
          <w:szCs w:val="20"/>
        </w:rPr>
        <w:t>. La posibilidad de manifestarse pública y pacíficamente es una de las maneras más accesibles de ejercer el derecho a la libertad de expresión, por medio de la cual se puede reclamar la protección de otros derechos</w:t>
      </w:r>
      <w:r w:rsidR="00BD2B5C" w:rsidRPr="00B44D5A">
        <w:rPr>
          <w:rStyle w:val="Refdenotaalpie"/>
          <w:sz w:val="20"/>
          <w:szCs w:val="20"/>
        </w:rPr>
        <w:footnoteReference w:id="63"/>
      </w:r>
      <w:r w:rsidR="00BD2B5C" w:rsidRPr="00B44D5A">
        <w:rPr>
          <w:sz w:val="20"/>
          <w:szCs w:val="20"/>
        </w:rPr>
        <w:t>. Por tanto, el derecho de reunión es un derecho fundamental en una sociedad democrática y no debe ser interpretado restrictivamente</w:t>
      </w:r>
      <w:r w:rsidR="00BD2B5C" w:rsidRPr="00B44D5A">
        <w:rPr>
          <w:rStyle w:val="Refdenotaalpie"/>
          <w:sz w:val="20"/>
          <w:szCs w:val="20"/>
        </w:rPr>
        <w:footnoteReference w:id="64"/>
      </w:r>
      <w:r w:rsidR="00BD2B5C" w:rsidRPr="00B44D5A">
        <w:rPr>
          <w:sz w:val="20"/>
          <w:szCs w:val="20"/>
        </w:rPr>
        <w:t>.</w:t>
      </w:r>
      <w:r w:rsidR="001D73F5" w:rsidRPr="00B44D5A">
        <w:rPr>
          <w:sz w:val="20"/>
          <w:szCs w:val="20"/>
        </w:rPr>
        <w:t xml:space="preserve"> De igual forma, la Corte ha enfatizado el cuidado que los Estados deben observar al controlar la protesta social, disturbios internos, violencia interna, situaciones excepcionales y criminalidad común. En circunstancias de protesta social y manifestaciones públicas, los Estados tienen la obligación de adoptar medidas para permitir que éstas se desarrollen de forma pacífica, </w:t>
      </w:r>
      <w:r w:rsidR="0095355E" w:rsidRPr="00B44D5A">
        <w:rPr>
          <w:sz w:val="20"/>
          <w:szCs w:val="20"/>
        </w:rPr>
        <w:t>tomando en cuenta que estas</w:t>
      </w:r>
      <w:r w:rsidR="001D73F5" w:rsidRPr="00B44D5A">
        <w:rPr>
          <w:sz w:val="20"/>
          <w:szCs w:val="20"/>
        </w:rPr>
        <w:t xml:space="preserve"> medidas deben ser razonables y apropiadas</w:t>
      </w:r>
      <w:r w:rsidR="0095355E" w:rsidRPr="00B44D5A">
        <w:rPr>
          <w:rStyle w:val="Refdenotaalpie"/>
          <w:sz w:val="20"/>
          <w:szCs w:val="20"/>
        </w:rPr>
        <w:footnoteReference w:id="65"/>
      </w:r>
      <w:r w:rsidR="001D73F5" w:rsidRPr="00B44D5A">
        <w:rPr>
          <w:sz w:val="20"/>
          <w:szCs w:val="20"/>
        </w:rPr>
        <w:t>.</w:t>
      </w:r>
    </w:p>
    <w:p w:rsidR="00262E15" w:rsidRPr="00B44D5A" w:rsidRDefault="00262E15" w:rsidP="00262E15">
      <w:pPr>
        <w:pStyle w:val="Prrafodelista1"/>
        <w:jc w:val="both"/>
        <w:rPr>
          <w:sz w:val="20"/>
          <w:szCs w:val="20"/>
          <w:highlight w:val="yellow"/>
        </w:rPr>
      </w:pPr>
    </w:p>
    <w:p w:rsidR="00262E15" w:rsidRPr="00B44D5A" w:rsidRDefault="00B16AD2" w:rsidP="00B16AD2">
      <w:pPr>
        <w:pStyle w:val="Prrafodelista1"/>
        <w:jc w:val="both"/>
        <w:rPr>
          <w:sz w:val="20"/>
          <w:szCs w:val="20"/>
        </w:rPr>
      </w:pPr>
      <w:r>
        <w:rPr>
          <w:sz w:val="20"/>
          <w:szCs w:val="20"/>
        </w:rPr>
        <w:t>33.</w:t>
      </w:r>
      <w:r>
        <w:rPr>
          <w:sz w:val="20"/>
          <w:szCs w:val="20"/>
        </w:rPr>
        <w:tab/>
      </w:r>
      <w:r w:rsidR="00262E15" w:rsidRPr="00B44D5A">
        <w:rPr>
          <w:sz w:val="20"/>
          <w:szCs w:val="20"/>
        </w:rPr>
        <w:t xml:space="preserve">Asimismo, el Presidente recuerda que la Corte ha establecido que </w:t>
      </w:r>
      <w:r w:rsidR="00262E15" w:rsidRPr="00B44D5A">
        <w:rPr>
          <w:color w:val="000000"/>
          <w:sz w:val="20"/>
          <w:szCs w:val="20"/>
        </w:rPr>
        <w:t xml:space="preserve">la prevalencia de los derechos humanos en un Estado democrático, se sustenta en gran medida, en el respeto y la libertad que se brinda a </w:t>
      </w:r>
      <w:r w:rsidR="00713774" w:rsidRPr="00B44D5A">
        <w:rPr>
          <w:color w:val="000000"/>
          <w:sz w:val="20"/>
          <w:szCs w:val="20"/>
        </w:rPr>
        <w:t>las personas defensora</w:t>
      </w:r>
      <w:r w:rsidR="00262E15" w:rsidRPr="00B44D5A">
        <w:rPr>
          <w:color w:val="000000"/>
          <w:sz w:val="20"/>
          <w:szCs w:val="20"/>
        </w:rPr>
        <w:t>s</w:t>
      </w:r>
      <w:r w:rsidR="00713774" w:rsidRPr="00B44D5A">
        <w:rPr>
          <w:color w:val="000000"/>
          <w:sz w:val="20"/>
          <w:szCs w:val="20"/>
        </w:rPr>
        <w:t xml:space="preserve"> de derechos humanos</w:t>
      </w:r>
      <w:r w:rsidR="00262E15" w:rsidRPr="00B44D5A">
        <w:rPr>
          <w:color w:val="000000"/>
          <w:sz w:val="20"/>
          <w:szCs w:val="20"/>
        </w:rPr>
        <w:t xml:space="preserve"> en sus labores</w:t>
      </w:r>
      <w:r w:rsidR="00262E15" w:rsidRPr="00B44D5A">
        <w:rPr>
          <w:rStyle w:val="Refdenotaalpie"/>
          <w:color w:val="000000"/>
          <w:sz w:val="20"/>
          <w:szCs w:val="20"/>
        </w:rPr>
        <w:footnoteReference w:id="66"/>
      </w:r>
      <w:r w:rsidR="00262E15" w:rsidRPr="00B44D5A">
        <w:rPr>
          <w:color w:val="000000"/>
          <w:sz w:val="20"/>
          <w:szCs w:val="20"/>
        </w:rPr>
        <w:t>. Al respecto, este Tribunal se ha referido a los deberes de los Estados, indicando que la defensa de los derechos humanos sólo puede ejercerse libremente cuando las personas que la realizan no son víctimas de amenazas ni de cualquier tipo de agresiones físicas, psíquicas o morales u otros actos de hostigamiento. Para tales efectos, es deber del Estado no sólo crear las condiciones legales y formales, sino también garantizar las condiciones fácticas en las cuales los defensores de derechos humanos puedan de</w:t>
      </w:r>
      <w:r w:rsidR="003E4543" w:rsidRPr="00B44D5A">
        <w:rPr>
          <w:color w:val="000000"/>
          <w:sz w:val="20"/>
          <w:szCs w:val="20"/>
        </w:rPr>
        <w:t>sarrollar libremente su función</w:t>
      </w:r>
      <w:r w:rsidR="00262E15" w:rsidRPr="00B44D5A">
        <w:rPr>
          <w:rStyle w:val="Refdenotaalpie"/>
          <w:color w:val="000000"/>
          <w:sz w:val="20"/>
          <w:szCs w:val="20"/>
        </w:rPr>
        <w:footnoteReference w:id="67"/>
      </w:r>
      <w:r w:rsidR="00262E15" w:rsidRPr="00B44D5A">
        <w:rPr>
          <w:color w:val="000000"/>
          <w:sz w:val="20"/>
          <w:szCs w:val="20"/>
        </w:rPr>
        <w:t xml:space="preserve">. </w:t>
      </w:r>
    </w:p>
    <w:p w:rsidR="004B2AA5" w:rsidRPr="00B44D5A" w:rsidRDefault="004B2AA5" w:rsidP="004B2AA5">
      <w:pPr>
        <w:pStyle w:val="Prrafodelista"/>
        <w:rPr>
          <w:rFonts w:ascii="Verdana" w:eastAsia="Verdana" w:hAnsi="Verdana" w:cs="Verdana"/>
          <w:sz w:val="20"/>
          <w:szCs w:val="20"/>
          <w:lang w:val="es-CR"/>
        </w:rPr>
      </w:pPr>
    </w:p>
    <w:p w:rsidR="004B2AA5" w:rsidRPr="00B44D5A" w:rsidRDefault="00967FD1" w:rsidP="00967FD1">
      <w:pPr>
        <w:pStyle w:val="Prrafodelista1"/>
        <w:jc w:val="both"/>
        <w:rPr>
          <w:sz w:val="20"/>
          <w:szCs w:val="20"/>
        </w:rPr>
      </w:pPr>
      <w:r>
        <w:rPr>
          <w:rFonts w:eastAsia="Verdana" w:cs="Verdana"/>
          <w:sz w:val="20"/>
          <w:szCs w:val="20"/>
          <w:lang w:val="es-CR"/>
        </w:rPr>
        <w:t>34.</w:t>
      </w:r>
      <w:r>
        <w:rPr>
          <w:rFonts w:eastAsia="Verdana" w:cs="Verdana"/>
          <w:sz w:val="20"/>
          <w:szCs w:val="20"/>
          <w:lang w:val="es-CR"/>
        </w:rPr>
        <w:tab/>
      </w:r>
      <w:r w:rsidR="00ED0334" w:rsidRPr="00B44D5A">
        <w:rPr>
          <w:rFonts w:eastAsia="Verdana" w:cs="Verdana"/>
          <w:sz w:val="20"/>
          <w:szCs w:val="20"/>
          <w:lang w:val="es-CR"/>
        </w:rPr>
        <w:t>Con</w:t>
      </w:r>
      <w:r w:rsidR="00A01649" w:rsidRPr="00B44D5A">
        <w:rPr>
          <w:rFonts w:eastAsia="Verdana" w:cs="Verdana"/>
          <w:sz w:val="20"/>
          <w:szCs w:val="20"/>
          <w:lang w:val="es-CR"/>
        </w:rPr>
        <w:t xml:space="preserve"> </w:t>
      </w:r>
      <w:r w:rsidR="00ED0334" w:rsidRPr="00B44D5A">
        <w:rPr>
          <w:rFonts w:eastAsia="Verdana" w:cs="Verdana"/>
          <w:sz w:val="20"/>
          <w:szCs w:val="20"/>
          <w:lang w:val="es-CR"/>
        </w:rPr>
        <w:t>base</w:t>
      </w:r>
      <w:r w:rsidR="00A01649" w:rsidRPr="00B44D5A">
        <w:rPr>
          <w:rFonts w:eastAsia="Verdana" w:cs="Verdana"/>
          <w:sz w:val="20"/>
          <w:szCs w:val="20"/>
          <w:lang w:val="es-CR"/>
        </w:rPr>
        <w:t xml:space="preserve"> </w:t>
      </w:r>
      <w:r w:rsidR="00ED0334" w:rsidRPr="00B44D5A">
        <w:rPr>
          <w:rFonts w:eastAsia="Verdana" w:cs="Verdana"/>
          <w:sz w:val="20"/>
          <w:szCs w:val="20"/>
          <w:lang w:val="es-CR"/>
        </w:rPr>
        <w:t>en</w:t>
      </w:r>
      <w:r w:rsidR="00A01649" w:rsidRPr="00B44D5A">
        <w:rPr>
          <w:rFonts w:eastAsia="Verdana" w:cs="Verdana"/>
          <w:sz w:val="20"/>
          <w:szCs w:val="20"/>
          <w:lang w:val="es-CR"/>
        </w:rPr>
        <w:t xml:space="preserve"> </w:t>
      </w:r>
      <w:r w:rsidR="00ED0334" w:rsidRPr="00B44D5A">
        <w:rPr>
          <w:rFonts w:eastAsia="Verdana" w:cs="Verdana"/>
          <w:sz w:val="20"/>
          <w:szCs w:val="20"/>
          <w:lang w:val="es-CR"/>
        </w:rPr>
        <w:t>las</w:t>
      </w:r>
      <w:r w:rsidR="00A01649" w:rsidRPr="00B44D5A">
        <w:rPr>
          <w:rFonts w:eastAsia="Verdana" w:cs="Verdana"/>
          <w:sz w:val="20"/>
          <w:szCs w:val="20"/>
          <w:lang w:val="es-CR"/>
        </w:rPr>
        <w:t xml:space="preserve"> </w:t>
      </w:r>
      <w:r w:rsidR="00ED0334" w:rsidRPr="00B44D5A">
        <w:rPr>
          <w:rFonts w:eastAsia="Verdana" w:cs="Verdana"/>
          <w:sz w:val="20"/>
          <w:szCs w:val="20"/>
          <w:lang w:val="es-CR"/>
        </w:rPr>
        <w:t>anteriores</w:t>
      </w:r>
      <w:r w:rsidR="00A01649" w:rsidRPr="00B44D5A">
        <w:rPr>
          <w:rFonts w:eastAsia="Verdana" w:cs="Verdana"/>
          <w:sz w:val="20"/>
          <w:szCs w:val="20"/>
          <w:lang w:val="es-CR"/>
        </w:rPr>
        <w:t xml:space="preserve"> </w:t>
      </w:r>
      <w:r w:rsidR="00ED0334" w:rsidRPr="00B44D5A">
        <w:rPr>
          <w:rFonts w:eastAsia="Verdana" w:cs="Verdana"/>
          <w:sz w:val="20"/>
          <w:szCs w:val="20"/>
          <w:lang w:val="es-CR"/>
        </w:rPr>
        <w:t>consideraciones,</w:t>
      </w:r>
      <w:r w:rsidR="00A01649" w:rsidRPr="00B44D5A">
        <w:rPr>
          <w:rFonts w:eastAsia="Verdana" w:cs="Verdana"/>
          <w:sz w:val="20"/>
          <w:szCs w:val="20"/>
          <w:lang w:val="es-CR"/>
        </w:rPr>
        <w:t xml:space="preserve"> </w:t>
      </w:r>
      <w:r w:rsidR="00ED0334" w:rsidRPr="00B44D5A">
        <w:rPr>
          <w:rFonts w:eastAsia="Verdana" w:cs="Verdana"/>
          <w:sz w:val="20"/>
          <w:szCs w:val="20"/>
          <w:lang w:val="es-CR"/>
        </w:rPr>
        <w:t>el</w:t>
      </w:r>
      <w:r w:rsidR="00A01649" w:rsidRPr="00B44D5A">
        <w:rPr>
          <w:rFonts w:eastAsia="Verdana" w:cs="Verdana"/>
          <w:sz w:val="20"/>
          <w:szCs w:val="20"/>
          <w:lang w:val="es-CR"/>
        </w:rPr>
        <w:t xml:space="preserve"> </w:t>
      </w:r>
      <w:r w:rsidR="00852CC6" w:rsidRPr="00B44D5A">
        <w:rPr>
          <w:rFonts w:eastAsia="Verdana" w:cs="Verdana"/>
          <w:sz w:val="20"/>
          <w:szCs w:val="20"/>
          <w:lang w:val="es-CR"/>
        </w:rPr>
        <w:t>Presidente</w:t>
      </w:r>
      <w:r w:rsidR="00A01649" w:rsidRPr="00B44D5A">
        <w:rPr>
          <w:rFonts w:eastAsia="Verdana" w:cs="Verdana"/>
          <w:sz w:val="20"/>
          <w:szCs w:val="20"/>
          <w:lang w:val="es-CR"/>
        </w:rPr>
        <w:t xml:space="preserve"> </w:t>
      </w:r>
      <w:r w:rsidR="00ED0334" w:rsidRPr="00B44D5A">
        <w:rPr>
          <w:rFonts w:eastAsia="Verdana" w:cs="Verdana"/>
          <w:sz w:val="20"/>
          <w:szCs w:val="20"/>
          <w:lang w:val="es-CR"/>
        </w:rPr>
        <w:t>estima</w:t>
      </w:r>
      <w:r w:rsidR="00A01649" w:rsidRPr="00B44D5A">
        <w:rPr>
          <w:rFonts w:eastAsia="Verdana" w:cs="Verdana"/>
          <w:sz w:val="20"/>
          <w:szCs w:val="20"/>
          <w:lang w:val="es-CR"/>
        </w:rPr>
        <w:t xml:space="preserve"> </w:t>
      </w:r>
      <w:r w:rsidR="00ED0334" w:rsidRPr="00B44D5A">
        <w:rPr>
          <w:rFonts w:eastAsia="Verdana" w:cs="Verdana"/>
          <w:sz w:val="20"/>
          <w:szCs w:val="20"/>
          <w:lang w:val="es-CR"/>
        </w:rPr>
        <w:t>pertinente admitir la solicitud de medidas provisionales y requerir al Estado que informe a la Corte sobre la implementación de dichas medidas en los términos del punto resolutivo tercero de la presente Resolución.</w:t>
      </w:r>
    </w:p>
    <w:p w:rsidR="004B2AA5" w:rsidRPr="00B44D5A" w:rsidRDefault="004B2AA5" w:rsidP="004B2AA5">
      <w:pPr>
        <w:pStyle w:val="Prrafodelista"/>
        <w:rPr>
          <w:rFonts w:ascii="Verdana" w:eastAsia="Verdana" w:hAnsi="Verdana" w:cs="Verdana"/>
          <w:sz w:val="20"/>
          <w:szCs w:val="20"/>
          <w:lang w:val="es-CR"/>
        </w:rPr>
      </w:pPr>
    </w:p>
    <w:p w:rsidR="00ED0334" w:rsidRPr="00B44D5A" w:rsidRDefault="009A75E6" w:rsidP="009A75E6">
      <w:pPr>
        <w:pStyle w:val="Prrafodelista1"/>
        <w:jc w:val="both"/>
        <w:rPr>
          <w:sz w:val="20"/>
          <w:szCs w:val="20"/>
        </w:rPr>
      </w:pPr>
      <w:r>
        <w:rPr>
          <w:rFonts w:eastAsia="Verdana" w:cs="Verdana"/>
          <w:sz w:val="20"/>
          <w:szCs w:val="20"/>
          <w:lang w:val="es-CR"/>
        </w:rPr>
        <w:t>35.</w:t>
      </w:r>
      <w:r>
        <w:rPr>
          <w:rFonts w:eastAsia="Verdana" w:cs="Verdana"/>
          <w:sz w:val="20"/>
          <w:szCs w:val="20"/>
          <w:lang w:val="es-CR"/>
        </w:rPr>
        <w:tab/>
      </w:r>
      <w:r w:rsidR="00ED0334" w:rsidRPr="00B44D5A">
        <w:rPr>
          <w:rFonts w:eastAsia="Verdana" w:cs="Verdana"/>
          <w:sz w:val="20"/>
          <w:szCs w:val="20"/>
          <w:lang w:val="es-CR"/>
        </w:rPr>
        <w:t>La adopción de estas medidas provisionales no prejuzga la responsabilidad estatal por los hechos informados.</w:t>
      </w:r>
    </w:p>
    <w:p w:rsidR="00ED0334" w:rsidRPr="00B44D5A" w:rsidRDefault="00ED0334" w:rsidP="002A6179">
      <w:pPr>
        <w:spacing w:before="18" w:line="220" w:lineRule="exact"/>
        <w:rPr>
          <w:rFonts w:ascii="Verdana" w:hAnsi="Verdana"/>
          <w:sz w:val="20"/>
          <w:szCs w:val="20"/>
          <w:lang w:val="es-CR"/>
        </w:rPr>
      </w:pPr>
    </w:p>
    <w:p w:rsidR="00ED0334" w:rsidRPr="00B44D5A" w:rsidRDefault="00ED0334" w:rsidP="002A6179">
      <w:pPr>
        <w:jc w:val="both"/>
        <w:rPr>
          <w:rFonts w:ascii="Verdana" w:eastAsia="Verdana" w:hAnsi="Verdana" w:cs="Verdana"/>
          <w:sz w:val="20"/>
          <w:szCs w:val="20"/>
          <w:lang w:val="es-CR"/>
        </w:rPr>
      </w:pPr>
      <w:r w:rsidRPr="00B44D5A">
        <w:rPr>
          <w:rFonts w:ascii="Verdana" w:eastAsia="Verdana" w:hAnsi="Verdana" w:cs="Verdana"/>
          <w:b/>
          <w:bCs/>
          <w:sz w:val="20"/>
          <w:szCs w:val="20"/>
          <w:lang w:val="es-CR"/>
        </w:rPr>
        <w:t>POR TANTO:</w:t>
      </w:r>
    </w:p>
    <w:p w:rsidR="00ED0334" w:rsidRPr="00B44D5A" w:rsidRDefault="00ED0334" w:rsidP="002A6179">
      <w:pPr>
        <w:spacing w:before="2" w:line="240" w:lineRule="exact"/>
        <w:rPr>
          <w:rFonts w:ascii="Verdana" w:hAnsi="Verdana"/>
          <w:sz w:val="20"/>
          <w:szCs w:val="20"/>
          <w:lang w:val="es-CR"/>
        </w:rPr>
      </w:pPr>
    </w:p>
    <w:p w:rsidR="00ED0334" w:rsidRPr="00B44D5A" w:rsidRDefault="00852CC6" w:rsidP="002A6179">
      <w:pPr>
        <w:jc w:val="both"/>
        <w:rPr>
          <w:rFonts w:ascii="Verdana" w:eastAsia="Verdana" w:hAnsi="Verdana" w:cs="Verdana"/>
          <w:sz w:val="20"/>
          <w:szCs w:val="20"/>
          <w:lang w:val="es-CR"/>
        </w:rPr>
      </w:pPr>
      <w:r w:rsidRPr="00B44D5A">
        <w:rPr>
          <w:rFonts w:ascii="Verdana" w:eastAsia="Verdana" w:hAnsi="Verdana" w:cs="Verdana"/>
          <w:b/>
          <w:bCs/>
          <w:sz w:val="20"/>
          <w:szCs w:val="20"/>
          <w:lang w:val="es-CR"/>
        </w:rPr>
        <w:t xml:space="preserve">EL PRESIDENTE DE </w:t>
      </w:r>
      <w:r w:rsidR="00ED0334" w:rsidRPr="00B44D5A">
        <w:rPr>
          <w:rFonts w:ascii="Verdana" w:eastAsia="Verdana" w:hAnsi="Verdana" w:cs="Verdana"/>
          <w:b/>
          <w:bCs/>
          <w:sz w:val="20"/>
          <w:szCs w:val="20"/>
          <w:lang w:val="es-CR"/>
        </w:rPr>
        <w:t>LA CORTE INTERAMERICANA DE DERECHOS HUMANOS,</w:t>
      </w:r>
    </w:p>
    <w:p w:rsidR="00ED0334" w:rsidRPr="00B44D5A" w:rsidRDefault="00ED0334" w:rsidP="002A6179">
      <w:pPr>
        <w:spacing w:before="12" w:line="240" w:lineRule="exact"/>
        <w:rPr>
          <w:rFonts w:ascii="Verdana" w:hAnsi="Verdana"/>
          <w:sz w:val="20"/>
          <w:szCs w:val="20"/>
          <w:lang w:val="es-CR"/>
        </w:rPr>
      </w:pPr>
    </w:p>
    <w:p w:rsidR="00ED0334" w:rsidRPr="00B44D5A" w:rsidRDefault="00ED0334" w:rsidP="002A6179">
      <w:pPr>
        <w:spacing w:line="242" w:lineRule="exact"/>
        <w:jc w:val="both"/>
        <w:rPr>
          <w:rFonts w:ascii="Verdana" w:eastAsia="Verdana" w:hAnsi="Verdana" w:cs="Verdana"/>
          <w:sz w:val="20"/>
          <w:szCs w:val="20"/>
          <w:lang w:val="es-CR"/>
        </w:rPr>
      </w:pPr>
      <w:r w:rsidRPr="00B44D5A">
        <w:rPr>
          <w:rFonts w:ascii="Verdana" w:eastAsia="Verdana" w:hAnsi="Verdana" w:cs="Verdana"/>
          <w:sz w:val="20"/>
          <w:szCs w:val="20"/>
          <w:lang w:val="es-CR"/>
        </w:rPr>
        <w:t xml:space="preserve">en uso de las atribuciones que le confieren </w:t>
      </w:r>
      <w:r w:rsidR="0017727C">
        <w:rPr>
          <w:rFonts w:ascii="Verdana" w:eastAsia="Verdana" w:hAnsi="Verdana" w:cs="Verdana"/>
          <w:sz w:val="20"/>
          <w:szCs w:val="20"/>
          <w:lang w:val="es-CR"/>
        </w:rPr>
        <w:t>los artículos</w:t>
      </w:r>
      <w:r w:rsidRPr="00B44D5A">
        <w:rPr>
          <w:rFonts w:ascii="Verdana" w:eastAsia="Verdana" w:hAnsi="Verdana" w:cs="Verdana"/>
          <w:sz w:val="20"/>
          <w:szCs w:val="20"/>
          <w:lang w:val="es-CR"/>
        </w:rPr>
        <w:t xml:space="preserve"> 63.2 de la Convención Americana</w:t>
      </w:r>
      <w:r w:rsidR="00E22542" w:rsidRPr="00B44D5A">
        <w:rPr>
          <w:rFonts w:ascii="Verdana" w:eastAsia="Verdana" w:hAnsi="Verdana" w:cs="Verdana"/>
          <w:sz w:val="20"/>
          <w:szCs w:val="20"/>
          <w:lang w:val="es-CR"/>
        </w:rPr>
        <w:t xml:space="preserve">, 25.2 del Estatuto de la Corte y 4, </w:t>
      </w:r>
      <w:r w:rsidRPr="00B44D5A">
        <w:rPr>
          <w:rFonts w:ascii="Verdana" w:eastAsia="Verdana" w:hAnsi="Verdana" w:cs="Verdana"/>
          <w:sz w:val="20"/>
          <w:szCs w:val="20"/>
          <w:lang w:val="es-CR"/>
        </w:rPr>
        <w:t xml:space="preserve">27 </w:t>
      </w:r>
      <w:r w:rsidR="00E22542" w:rsidRPr="00B44D5A">
        <w:rPr>
          <w:rFonts w:ascii="Verdana" w:eastAsia="Verdana" w:hAnsi="Verdana" w:cs="Verdana"/>
          <w:sz w:val="20"/>
          <w:szCs w:val="20"/>
          <w:lang w:val="es-CR"/>
        </w:rPr>
        <w:t xml:space="preserve">y 31.2 del Reglamento del Tribunal, </w:t>
      </w:r>
    </w:p>
    <w:p w:rsidR="00F17EE8" w:rsidRPr="00B44D5A" w:rsidRDefault="00F17EE8" w:rsidP="002A6179">
      <w:pPr>
        <w:spacing w:line="242" w:lineRule="exact"/>
        <w:jc w:val="both"/>
        <w:rPr>
          <w:rFonts w:ascii="Verdana" w:eastAsia="Verdana" w:hAnsi="Verdana" w:cs="Verdana"/>
          <w:sz w:val="20"/>
          <w:szCs w:val="20"/>
          <w:lang w:val="es-CR"/>
        </w:rPr>
      </w:pPr>
    </w:p>
    <w:p w:rsidR="00ED0334" w:rsidRPr="00B44D5A" w:rsidRDefault="00ED0334" w:rsidP="002A6179">
      <w:pPr>
        <w:jc w:val="both"/>
        <w:rPr>
          <w:rFonts w:ascii="Verdana" w:eastAsia="Verdana" w:hAnsi="Verdana" w:cs="Verdana"/>
          <w:sz w:val="20"/>
          <w:szCs w:val="20"/>
          <w:lang w:val="es-CR"/>
        </w:rPr>
      </w:pPr>
      <w:r w:rsidRPr="00B44D5A">
        <w:rPr>
          <w:rFonts w:ascii="Verdana" w:eastAsia="Verdana" w:hAnsi="Verdana" w:cs="Verdana"/>
          <w:b/>
          <w:bCs/>
          <w:sz w:val="20"/>
          <w:szCs w:val="20"/>
          <w:lang w:val="es-CR"/>
        </w:rPr>
        <w:t>RESUELVE:</w:t>
      </w:r>
    </w:p>
    <w:p w:rsidR="00ED0334" w:rsidRPr="00B44D5A" w:rsidRDefault="00ED0334" w:rsidP="002A6179">
      <w:pPr>
        <w:spacing w:before="4" w:line="240" w:lineRule="exact"/>
        <w:rPr>
          <w:rFonts w:ascii="Verdana" w:hAnsi="Verdana"/>
          <w:sz w:val="20"/>
          <w:szCs w:val="20"/>
          <w:lang w:val="es-CR"/>
        </w:rPr>
      </w:pPr>
    </w:p>
    <w:p w:rsidR="003E4543" w:rsidRPr="00B44D5A" w:rsidRDefault="00ED0334" w:rsidP="003E4543">
      <w:pPr>
        <w:numPr>
          <w:ilvl w:val="0"/>
          <w:numId w:val="23"/>
        </w:numPr>
        <w:spacing w:line="239" w:lineRule="auto"/>
        <w:ind w:left="0" w:firstLine="0"/>
        <w:jc w:val="both"/>
        <w:rPr>
          <w:rFonts w:ascii="Verdana" w:eastAsia="Verdana" w:hAnsi="Verdana" w:cs="Verdana"/>
          <w:sz w:val="20"/>
          <w:szCs w:val="20"/>
          <w:lang w:val="es-CR"/>
        </w:rPr>
      </w:pPr>
      <w:r w:rsidRPr="00B44D5A">
        <w:rPr>
          <w:rFonts w:ascii="Verdana" w:eastAsia="Verdana" w:hAnsi="Verdana" w:cs="Verdana"/>
          <w:sz w:val="20"/>
          <w:szCs w:val="20"/>
          <w:lang w:val="es-CR"/>
        </w:rPr>
        <w:t>Requerir al Estado que adopte de forma inmediata las medidas necesarias para proteger eficazmente la</w:t>
      </w:r>
      <w:r w:rsidR="003E4543" w:rsidRPr="00B44D5A">
        <w:rPr>
          <w:rFonts w:ascii="Verdana" w:eastAsia="Verdana" w:hAnsi="Verdana" w:cs="Verdana"/>
          <w:sz w:val="20"/>
          <w:szCs w:val="20"/>
          <w:lang w:val="es-CR"/>
        </w:rPr>
        <w:t xml:space="preserve"> salud,</w:t>
      </w:r>
      <w:r w:rsidRPr="00B44D5A">
        <w:rPr>
          <w:rFonts w:ascii="Verdana" w:eastAsia="Verdana" w:hAnsi="Verdana" w:cs="Verdana"/>
          <w:sz w:val="20"/>
          <w:szCs w:val="20"/>
          <w:lang w:val="es-CR"/>
        </w:rPr>
        <w:t xml:space="preserve"> vida y la integridad personal de </w:t>
      </w:r>
      <w:r w:rsidR="00CF48B0" w:rsidRPr="00B44D5A">
        <w:rPr>
          <w:rFonts w:ascii="Verdana" w:eastAsia="Times New Roman" w:hAnsi="Verdana" w:cs="Calibri"/>
          <w:sz w:val="20"/>
          <w:szCs w:val="20"/>
          <w:lang w:val="es-CR" w:eastAsia="es-CR"/>
        </w:rPr>
        <w:t>1) Kevin Rodrigo Espinoza Gutiérrez, 2) Cristhian Rodrigo Fajardo Caballero, 3) Yubrank Miguel Suazo Herrera, 4) Edwin José Carcache Dávila, 5) Medardo Mairena Sequeira, 6) Mario Lener Fonseca Díaz, 7) Ricardo Baltodano, 8) Jaime Ramon Ampie Toledo, 9) Julio José Ampie Machado, 10) Reynaldo Lira Luquez, 11) Miguel Mora Barberena, 12) Lucia Pineda Ubau, 13) Amaya Eva Coppens Zamora, 14) Olesia Auxiliadora Muñoz Pavón, 15) Tania Verónica Muñoz Pavón, 16) María Adilia Peralta Serrato, e 17) Irlanda Undina Jeréz Barrera</w:t>
      </w:r>
      <w:r w:rsidR="00153FEC" w:rsidRPr="00B44D5A">
        <w:rPr>
          <w:rFonts w:ascii="Verdana" w:eastAsia="Times New Roman" w:hAnsi="Verdana" w:cs="Calibri"/>
          <w:sz w:val="20"/>
          <w:szCs w:val="20"/>
          <w:lang w:val="es-CR" w:eastAsia="es-CR"/>
        </w:rPr>
        <w:t xml:space="preserve"> en</w:t>
      </w:r>
      <w:r w:rsidR="00A02976">
        <w:rPr>
          <w:rFonts w:ascii="Verdana" w:eastAsia="Times New Roman" w:hAnsi="Verdana" w:cs="Calibri"/>
          <w:sz w:val="20"/>
          <w:szCs w:val="20"/>
          <w:lang w:val="es-CR" w:eastAsia="es-CR"/>
        </w:rPr>
        <w:t xml:space="preserve"> los términos del C</w:t>
      </w:r>
      <w:r w:rsidR="00153FEC" w:rsidRPr="00B44D5A">
        <w:rPr>
          <w:rFonts w:ascii="Verdana" w:eastAsia="Times New Roman" w:hAnsi="Verdana" w:cs="Calibri"/>
          <w:sz w:val="20"/>
          <w:szCs w:val="20"/>
          <w:lang w:val="es-CR" w:eastAsia="es-CR"/>
        </w:rPr>
        <w:t xml:space="preserve">onsiderando </w:t>
      </w:r>
      <w:r w:rsidR="00D872F8" w:rsidRPr="00C05A8B">
        <w:rPr>
          <w:rFonts w:ascii="Verdana" w:eastAsia="Times New Roman" w:hAnsi="Verdana" w:cs="Calibri"/>
          <w:sz w:val="20"/>
          <w:szCs w:val="20"/>
          <w:lang w:val="es-CR" w:eastAsia="es-CR"/>
        </w:rPr>
        <w:t>27</w:t>
      </w:r>
      <w:r w:rsidR="00153FEC" w:rsidRPr="00B44D5A">
        <w:rPr>
          <w:rFonts w:ascii="Verdana" w:eastAsia="Times New Roman" w:hAnsi="Verdana" w:cs="Calibri"/>
          <w:b/>
          <w:sz w:val="20"/>
          <w:szCs w:val="20"/>
          <w:lang w:val="es-CR" w:eastAsia="es-CR"/>
        </w:rPr>
        <w:t xml:space="preserve"> </w:t>
      </w:r>
      <w:r w:rsidR="00153FEC" w:rsidRPr="00B44D5A">
        <w:rPr>
          <w:rFonts w:ascii="Verdana" w:eastAsia="Times New Roman" w:hAnsi="Verdana" w:cs="Calibri"/>
          <w:sz w:val="20"/>
          <w:szCs w:val="20"/>
          <w:lang w:val="es-CR" w:eastAsia="es-CR"/>
        </w:rPr>
        <w:t>de la presente Resolución.</w:t>
      </w:r>
    </w:p>
    <w:p w:rsidR="00183806" w:rsidRPr="00B44D5A" w:rsidRDefault="00183806" w:rsidP="00183806">
      <w:pPr>
        <w:spacing w:line="239" w:lineRule="auto"/>
        <w:jc w:val="both"/>
        <w:rPr>
          <w:rFonts w:ascii="Verdana" w:eastAsia="Verdana" w:hAnsi="Verdana" w:cs="Verdana"/>
          <w:sz w:val="20"/>
          <w:szCs w:val="20"/>
          <w:lang w:val="es-CR"/>
        </w:rPr>
      </w:pPr>
    </w:p>
    <w:p w:rsidR="00183806" w:rsidRPr="00A02976" w:rsidRDefault="00A02976" w:rsidP="00A02976">
      <w:pPr>
        <w:numPr>
          <w:ilvl w:val="0"/>
          <w:numId w:val="23"/>
        </w:numPr>
        <w:spacing w:line="239" w:lineRule="auto"/>
        <w:ind w:left="0" w:firstLine="0"/>
        <w:jc w:val="both"/>
        <w:rPr>
          <w:rFonts w:ascii="Verdana" w:eastAsia="Verdana" w:hAnsi="Verdana" w:cs="Verdana"/>
          <w:sz w:val="20"/>
          <w:szCs w:val="20"/>
          <w:lang w:val="es-CR"/>
        </w:rPr>
      </w:pPr>
      <w:r>
        <w:rPr>
          <w:rFonts w:ascii="Verdana" w:eastAsia="Verdana" w:hAnsi="Verdana" w:cs="Verdana"/>
          <w:sz w:val="20"/>
          <w:szCs w:val="20"/>
          <w:lang w:val="es-CR"/>
        </w:rPr>
        <w:t xml:space="preserve">Respecto de los beneficiarios </w:t>
      </w:r>
      <w:r w:rsidRPr="00183806">
        <w:rPr>
          <w:rFonts w:ascii="Verdana" w:hAnsi="Verdana" w:cs="Courier New"/>
          <w:sz w:val="20"/>
          <w:szCs w:val="20"/>
        </w:rPr>
        <w:t>María Adilia Peralta Cerratos</w:t>
      </w:r>
      <w:r w:rsidRPr="00183806">
        <w:rPr>
          <w:rFonts w:ascii="Verdana" w:hAnsi="Verdana"/>
          <w:sz w:val="20"/>
          <w:szCs w:val="20"/>
        </w:rPr>
        <w:t xml:space="preserve">, </w:t>
      </w:r>
      <w:r w:rsidRPr="00183806">
        <w:rPr>
          <w:rFonts w:ascii="Verdana" w:hAnsi="Verdana" w:cs="Courier New"/>
          <w:sz w:val="20"/>
          <w:szCs w:val="20"/>
        </w:rPr>
        <w:t>Jaime Ramón Ampié Toledo, Julio José Ampié Machado, Reynaldo Lira Luquez, y Tania Verónica Muñoz Pavón</w:t>
      </w:r>
      <w:r>
        <w:rPr>
          <w:rFonts w:ascii="Verdana" w:hAnsi="Verdana" w:cs="Courier New"/>
          <w:sz w:val="20"/>
          <w:szCs w:val="20"/>
        </w:rPr>
        <w:t xml:space="preserve">, </w:t>
      </w:r>
      <w:r w:rsidRPr="002E35AB">
        <w:rPr>
          <w:rFonts w:ascii="Verdana" w:hAnsi="Verdana" w:cs="Courier New"/>
          <w:sz w:val="20"/>
          <w:szCs w:val="20"/>
        </w:rPr>
        <w:t>tomando en cuenta que el Estado afirmó que se le</w:t>
      </w:r>
      <w:r>
        <w:rPr>
          <w:rFonts w:ascii="Verdana" w:hAnsi="Verdana" w:cs="Courier New"/>
          <w:sz w:val="20"/>
          <w:szCs w:val="20"/>
        </w:rPr>
        <w:t>s</w:t>
      </w:r>
      <w:r w:rsidRPr="002E35AB">
        <w:rPr>
          <w:rFonts w:ascii="Verdana" w:hAnsi="Verdana" w:cs="Courier New"/>
          <w:sz w:val="20"/>
          <w:szCs w:val="20"/>
        </w:rPr>
        <w:t xml:space="preserve"> </w:t>
      </w:r>
      <w:r>
        <w:rPr>
          <w:rFonts w:ascii="Verdana" w:hAnsi="Verdana" w:cs="Courier New"/>
          <w:sz w:val="20"/>
          <w:szCs w:val="20"/>
        </w:rPr>
        <w:t>“</w:t>
      </w:r>
      <w:r w:rsidRPr="002E35AB">
        <w:rPr>
          <w:rFonts w:ascii="Verdana" w:hAnsi="Verdana" w:cs="Courier New"/>
          <w:sz w:val="20"/>
          <w:szCs w:val="20"/>
        </w:rPr>
        <w:t>otorgó beneficio legal de convivencia familiar a partir del día 20 de mayo</w:t>
      </w:r>
      <w:r>
        <w:rPr>
          <w:rFonts w:ascii="Verdana" w:hAnsi="Verdana" w:cs="Courier New"/>
          <w:sz w:val="20"/>
          <w:szCs w:val="20"/>
        </w:rPr>
        <w:t>” de 2019, requerir a sus representantes o la Comisión Interamericana de Derechos Humanos que confirmen</w:t>
      </w:r>
      <w:r w:rsidRPr="002E35AB">
        <w:rPr>
          <w:rFonts w:ascii="Verdana" w:hAnsi="Verdana" w:cs="Courier New"/>
          <w:sz w:val="20"/>
          <w:szCs w:val="20"/>
        </w:rPr>
        <w:t xml:space="preserve"> </w:t>
      </w:r>
      <w:r>
        <w:rPr>
          <w:rFonts w:ascii="Verdana" w:hAnsi="Verdana" w:cs="Courier New"/>
          <w:sz w:val="20"/>
          <w:szCs w:val="20"/>
        </w:rPr>
        <w:t xml:space="preserve">que tal beneficio se hizo efectivo y </w:t>
      </w:r>
      <w:r w:rsidRPr="00183806">
        <w:rPr>
          <w:rFonts w:ascii="Verdana" w:hAnsi="Verdana" w:cs="Courier New"/>
          <w:sz w:val="20"/>
          <w:szCs w:val="20"/>
        </w:rPr>
        <w:t>se encuentra</w:t>
      </w:r>
      <w:r>
        <w:rPr>
          <w:rFonts w:ascii="Verdana" w:hAnsi="Verdana" w:cs="Courier New"/>
          <w:sz w:val="20"/>
          <w:szCs w:val="20"/>
        </w:rPr>
        <w:t>n</w:t>
      </w:r>
      <w:r w:rsidRPr="00183806">
        <w:rPr>
          <w:rFonts w:ascii="Verdana" w:hAnsi="Verdana" w:cs="Courier New"/>
          <w:sz w:val="20"/>
          <w:szCs w:val="20"/>
        </w:rPr>
        <w:t xml:space="preserve"> en libertad.</w:t>
      </w:r>
    </w:p>
    <w:p w:rsidR="003E4543" w:rsidRPr="00B44D5A" w:rsidRDefault="003E4543" w:rsidP="003E4543">
      <w:pPr>
        <w:spacing w:line="239" w:lineRule="auto"/>
        <w:jc w:val="both"/>
        <w:rPr>
          <w:rFonts w:ascii="Verdana" w:eastAsia="Verdana" w:hAnsi="Verdana" w:cs="Verdana"/>
          <w:sz w:val="20"/>
          <w:szCs w:val="20"/>
          <w:lang w:val="es-CR"/>
        </w:rPr>
      </w:pPr>
    </w:p>
    <w:p w:rsidR="00183806" w:rsidRPr="00A02976" w:rsidRDefault="00A02976" w:rsidP="00A02976">
      <w:pPr>
        <w:numPr>
          <w:ilvl w:val="0"/>
          <w:numId w:val="23"/>
        </w:numPr>
        <w:spacing w:line="239" w:lineRule="auto"/>
        <w:ind w:left="0" w:firstLine="0"/>
        <w:jc w:val="both"/>
        <w:rPr>
          <w:rFonts w:ascii="Verdana" w:eastAsia="Verdana" w:hAnsi="Verdana" w:cs="Verdana"/>
          <w:sz w:val="20"/>
          <w:szCs w:val="20"/>
          <w:lang w:val="es-CR"/>
        </w:rPr>
      </w:pPr>
      <w:r w:rsidRPr="003E4543">
        <w:rPr>
          <w:rFonts w:ascii="Verdana" w:eastAsia="Verdana" w:hAnsi="Verdana" w:cs="Verdana"/>
          <w:sz w:val="20"/>
          <w:szCs w:val="20"/>
          <w:lang w:val="es-CR"/>
        </w:rPr>
        <w:t>Requerir al Estado que</w:t>
      </w:r>
      <w:r>
        <w:rPr>
          <w:rFonts w:ascii="Verdana" w:eastAsia="Verdana" w:hAnsi="Verdana" w:cs="Verdana"/>
          <w:sz w:val="20"/>
          <w:szCs w:val="20"/>
          <w:lang w:val="es-CR"/>
        </w:rPr>
        <w:t>, respecto de los restantes doce beneficiarios (</w:t>
      </w:r>
      <w:r w:rsidRPr="0053166A">
        <w:rPr>
          <w:rFonts w:ascii="Verdana" w:eastAsia="Times New Roman" w:hAnsi="Verdana" w:cs="Calibri"/>
          <w:sz w:val="20"/>
          <w:szCs w:val="20"/>
          <w:lang w:val="es-CR" w:eastAsia="es-CR"/>
        </w:rPr>
        <w:t>Kevin Rodrigo Espinoza Gutiérrez, Cristhian Rodrigo Fajardo Caballero, Yubrank Miguel Suazo Herrera, Edwin José Carcache Dávila, Medardo Mairena Sequeira, Mario Lener Fonseca Díaz, Ricardo Baltodano, Miguel Mora Barberena, Lucia Pineda Ubau, Amaya Eva Coppens Zamora, Olesia Auxiliadora Muñoz Pavón, e Irlanda Undina Jeréz Barrera</w:t>
      </w:r>
      <w:r>
        <w:rPr>
          <w:rFonts w:ascii="Verdana" w:eastAsia="Times New Roman" w:hAnsi="Verdana" w:cs="Calibri"/>
          <w:sz w:val="20"/>
          <w:szCs w:val="20"/>
          <w:lang w:val="es-CR" w:eastAsia="es-CR"/>
        </w:rPr>
        <w:t xml:space="preserve">), </w:t>
      </w:r>
      <w:r>
        <w:rPr>
          <w:rFonts w:ascii="Verdana" w:eastAsia="Verdana" w:hAnsi="Verdana" w:cs="Verdana"/>
          <w:sz w:val="20"/>
          <w:szCs w:val="20"/>
          <w:lang w:val="es-CR"/>
        </w:rPr>
        <w:t>evalúe, de manera inmediata, el otorgamiento de medidas alternativas a la privación de libertad, de conformidad con su normativa interna y los estándares interamericanos, tomando en cuenta lo indi</w:t>
      </w:r>
      <w:r w:rsidR="001D1359">
        <w:rPr>
          <w:rFonts w:ascii="Verdana" w:eastAsia="Verdana" w:hAnsi="Verdana" w:cs="Verdana"/>
          <w:sz w:val="20"/>
          <w:szCs w:val="20"/>
          <w:lang w:val="es-CR"/>
        </w:rPr>
        <w:t>cado en los Considerandos 27 al 30</w:t>
      </w:r>
      <w:r>
        <w:rPr>
          <w:rFonts w:ascii="Verdana" w:eastAsia="Verdana" w:hAnsi="Verdana" w:cs="Verdana"/>
          <w:sz w:val="20"/>
          <w:szCs w:val="20"/>
          <w:lang w:val="es-CR"/>
        </w:rPr>
        <w:t xml:space="preserve"> de la presente Resolución</w:t>
      </w:r>
      <w:r>
        <w:rPr>
          <w:rFonts w:ascii="Verdana" w:eastAsia="Times New Roman" w:hAnsi="Verdana" w:cs="Calibri"/>
          <w:sz w:val="20"/>
          <w:szCs w:val="20"/>
          <w:lang w:val="es-CR" w:eastAsia="es-CR"/>
        </w:rPr>
        <w:t>.</w:t>
      </w:r>
    </w:p>
    <w:p w:rsidR="003E4543" w:rsidRPr="00B44D5A" w:rsidRDefault="003E4543" w:rsidP="003E4543">
      <w:pPr>
        <w:pStyle w:val="Prrafodelista"/>
        <w:rPr>
          <w:rFonts w:ascii="Verdana" w:eastAsia="Verdana" w:hAnsi="Verdana" w:cs="Verdana"/>
          <w:sz w:val="20"/>
          <w:szCs w:val="20"/>
          <w:lang w:val="es-CR"/>
        </w:rPr>
      </w:pPr>
    </w:p>
    <w:p w:rsidR="003E4543" w:rsidRPr="00B44D5A" w:rsidRDefault="003E4543" w:rsidP="003E4543">
      <w:pPr>
        <w:numPr>
          <w:ilvl w:val="0"/>
          <w:numId w:val="23"/>
        </w:numPr>
        <w:spacing w:line="239" w:lineRule="auto"/>
        <w:ind w:left="0" w:firstLine="0"/>
        <w:jc w:val="both"/>
        <w:rPr>
          <w:rFonts w:ascii="Verdana" w:eastAsia="Verdana" w:hAnsi="Verdana" w:cs="Verdana"/>
          <w:sz w:val="20"/>
          <w:szCs w:val="20"/>
          <w:lang w:val="es-CR"/>
        </w:rPr>
      </w:pPr>
      <w:r w:rsidRPr="00B44D5A">
        <w:rPr>
          <w:rFonts w:ascii="Verdana" w:eastAsia="Verdana" w:hAnsi="Verdana" w:cs="Verdana"/>
          <w:sz w:val="20"/>
          <w:szCs w:val="20"/>
          <w:lang w:val="es-CR"/>
        </w:rPr>
        <w:t>Disponer que, de conformidad con el artículo 27.8 de su Reglamento, a la mayor brevedad posible,</w:t>
      </w:r>
      <w:r w:rsidR="00A02976">
        <w:rPr>
          <w:rFonts w:ascii="Verdana" w:eastAsia="Verdana" w:hAnsi="Verdana" w:cs="Verdana"/>
          <w:sz w:val="20"/>
          <w:szCs w:val="20"/>
          <w:lang w:val="es-CR"/>
        </w:rPr>
        <w:t xml:space="preserve"> previa aquiescencia del Estado,</w:t>
      </w:r>
      <w:r w:rsidRPr="00B44D5A">
        <w:rPr>
          <w:rFonts w:ascii="Verdana" w:eastAsia="Verdana" w:hAnsi="Verdana" w:cs="Verdana"/>
          <w:sz w:val="20"/>
          <w:szCs w:val="20"/>
          <w:lang w:val="es-CR"/>
        </w:rPr>
        <w:t xml:space="preserve"> una delegación de la Corte Interamericana, integrada por su Presidente</w:t>
      </w:r>
      <w:r w:rsidR="00713774" w:rsidRPr="00B44D5A">
        <w:rPr>
          <w:rFonts w:ascii="Verdana" w:eastAsia="Verdana" w:hAnsi="Verdana" w:cs="Verdana"/>
          <w:sz w:val="20"/>
          <w:szCs w:val="20"/>
          <w:lang w:val="es-CR"/>
        </w:rPr>
        <w:t>, Vicepresidente u</w:t>
      </w:r>
      <w:r w:rsidRPr="00B44D5A">
        <w:rPr>
          <w:rFonts w:ascii="Verdana" w:eastAsia="Verdana" w:hAnsi="Verdana" w:cs="Verdana"/>
          <w:sz w:val="20"/>
          <w:szCs w:val="20"/>
          <w:lang w:val="es-CR"/>
        </w:rPr>
        <w:t xml:space="preserve"> otro juez</w:t>
      </w:r>
      <w:r w:rsidR="00713774" w:rsidRPr="00B44D5A">
        <w:rPr>
          <w:rFonts w:ascii="Verdana" w:eastAsia="Verdana" w:hAnsi="Verdana" w:cs="Verdana"/>
          <w:sz w:val="20"/>
          <w:szCs w:val="20"/>
          <w:lang w:val="es-CR"/>
        </w:rPr>
        <w:t xml:space="preserve"> o jueza</w:t>
      </w:r>
      <w:r w:rsidRPr="00B44D5A">
        <w:rPr>
          <w:rFonts w:ascii="Verdana" w:eastAsia="Verdana" w:hAnsi="Verdana" w:cs="Verdana"/>
          <w:sz w:val="20"/>
          <w:szCs w:val="20"/>
          <w:lang w:val="es-CR"/>
        </w:rPr>
        <w:t xml:space="preserve">, así como el Secretario y </w:t>
      </w:r>
      <w:r w:rsidR="00713774" w:rsidRPr="00B44D5A">
        <w:rPr>
          <w:rFonts w:ascii="Verdana" w:eastAsia="Verdana" w:hAnsi="Verdana" w:cs="Verdana"/>
          <w:sz w:val="20"/>
          <w:szCs w:val="20"/>
          <w:lang w:val="es-CR"/>
        </w:rPr>
        <w:t>personal</w:t>
      </w:r>
      <w:r w:rsidRPr="00B44D5A">
        <w:rPr>
          <w:rFonts w:ascii="Verdana" w:eastAsia="Verdana" w:hAnsi="Verdana" w:cs="Verdana"/>
          <w:sz w:val="20"/>
          <w:szCs w:val="20"/>
          <w:lang w:val="es-CR"/>
        </w:rPr>
        <w:t xml:space="preserve"> de la Secretaría, realicen una visita a las cárceles </w:t>
      </w:r>
      <w:r w:rsidRPr="00B44D5A">
        <w:rPr>
          <w:rFonts w:ascii="Verdana" w:hAnsi="Verdana"/>
          <w:sz w:val="20"/>
          <w:szCs w:val="20"/>
          <w:lang w:val="es-ES"/>
        </w:rPr>
        <w:t>de “La Esperanza” y “La Modelo”</w:t>
      </w:r>
      <w:r w:rsidRPr="00B44D5A">
        <w:rPr>
          <w:rFonts w:ascii="Verdana" w:eastAsia="Verdana" w:hAnsi="Verdana" w:cs="Verdana"/>
          <w:sz w:val="20"/>
          <w:szCs w:val="20"/>
          <w:lang w:val="es-CR"/>
        </w:rPr>
        <w:t>, en Nicaragua</w:t>
      </w:r>
      <w:r w:rsidR="00713774" w:rsidRPr="00B44D5A">
        <w:rPr>
          <w:rFonts w:ascii="Verdana" w:eastAsia="Verdana" w:hAnsi="Verdana" w:cs="Verdana"/>
          <w:sz w:val="20"/>
          <w:szCs w:val="20"/>
          <w:lang w:val="es-CR"/>
        </w:rPr>
        <w:t>,</w:t>
      </w:r>
      <w:r w:rsidRPr="00B44D5A">
        <w:rPr>
          <w:rFonts w:ascii="Verdana" w:eastAsia="Verdana" w:hAnsi="Verdana" w:cs="Verdana"/>
          <w:sz w:val="20"/>
          <w:szCs w:val="20"/>
          <w:lang w:val="es-CR"/>
        </w:rPr>
        <w:t xml:space="preserve"> o al lugar donde se encuentren los beneficiarios de las presentes medidas, con el fin de poder entrevistarse con cada uno de éstos así como con</w:t>
      </w:r>
      <w:r w:rsidR="00A02976">
        <w:rPr>
          <w:rFonts w:ascii="Verdana" w:eastAsia="Verdana" w:hAnsi="Verdana" w:cs="Verdana"/>
          <w:sz w:val="20"/>
          <w:szCs w:val="20"/>
          <w:lang w:val="es-CR"/>
        </w:rPr>
        <w:t xml:space="preserve"> </w:t>
      </w:r>
      <w:r w:rsidRPr="00B44D5A">
        <w:rPr>
          <w:rFonts w:ascii="Verdana" w:eastAsia="Verdana" w:hAnsi="Verdana" w:cs="Verdana"/>
          <w:sz w:val="20"/>
          <w:szCs w:val="20"/>
          <w:lang w:val="es-CR"/>
        </w:rPr>
        <w:t xml:space="preserve">diversas autoridades estatales. </w:t>
      </w:r>
    </w:p>
    <w:p w:rsidR="003E4543" w:rsidRPr="00B44D5A" w:rsidRDefault="003E4543" w:rsidP="003E4543">
      <w:pPr>
        <w:pStyle w:val="Prrafodelista"/>
        <w:rPr>
          <w:rFonts w:ascii="Verdana" w:eastAsia="Verdana" w:hAnsi="Verdana" w:cs="Verdana"/>
          <w:sz w:val="20"/>
          <w:szCs w:val="20"/>
          <w:lang w:val="es-CR"/>
        </w:rPr>
      </w:pPr>
    </w:p>
    <w:p w:rsidR="003E4543" w:rsidRPr="00B44D5A" w:rsidRDefault="003E4543" w:rsidP="003E4543">
      <w:pPr>
        <w:numPr>
          <w:ilvl w:val="0"/>
          <w:numId w:val="23"/>
        </w:numPr>
        <w:spacing w:line="239" w:lineRule="auto"/>
        <w:ind w:left="0" w:firstLine="0"/>
        <w:jc w:val="both"/>
        <w:rPr>
          <w:rFonts w:ascii="Verdana" w:eastAsia="Verdana" w:hAnsi="Verdana" w:cs="Verdana"/>
          <w:sz w:val="20"/>
          <w:szCs w:val="20"/>
          <w:lang w:val="es-CR"/>
        </w:rPr>
      </w:pPr>
      <w:r w:rsidRPr="00B44D5A">
        <w:rPr>
          <w:rFonts w:ascii="Verdana" w:eastAsia="Verdana" w:hAnsi="Verdana" w:cs="Verdana"/>
          <w:sz w:val="20"/>
          <w:szCs w:val="20"/>
          <w:lang w:val="es-CR"/>
        </w:rPr>
        <w:t>Requerir al Estado que brinde todas la</w:t>
      </w:r>
      <w:r w:rsidR="00371FDF" w:rsidRPr="00B44D5A">
        <w:rPr>
          <w:rFonts w:ascii="Verdana" w:eastAsia="Verdana" w:hAnsi="Verdana" w:cs="Verdana"/>
          <w:sz w:val="20"/>
          <w:szCs w:val="20"/>
          <w:lang w:val="es-CR"/>
        </w:rPr>
        <w:t>s</w:t>
      </w:r>
      <w:r w:rsidRPr="00B44D5A">
        <w:rPr>
          <w:rFonts w:ascii="Verdana" w:eastAsia="Verdana" w:hAnsi="Verdana" w:cs="Verdana"/>
          <w:sz w:val="20"/>
          <w:szCs w:val="20"/>
          <w:lang w:val="es-CR"/>
        </w:rPr>
        <w:t xml:space="preserve"> facilidades y seguridades para que la Delegación de la Corte Interamericana pueda realizar la visita a la brevedad. </w:t>
      </w:r>
    </w:p>
    <w:p w:rsidR="003E4543" w:rsidRPr="00B44D5A" w:rsidRDefault="003E4543" w:rsidP="003E4543">
      <w:pPr>
        <w:pStyle w:val="Prrafodelista"/>
        <w:rPr>
          <w:rFonts w:ascii="Verdana" w:eastAsia="Verdana" w:hAnsi="Verdana" w:cs="Verdana"/>
          <w:sz w:val="20"/>
          <w:szCs w:val="20"/>
          <w:lang w:val="es-CR"/>
        </w:rPr>
      </w:pPr>
    </w:p>
    <w:p w:rsidR="003E4543" w:rsidRPr="00B44D5A" w:rsidRDefault="003E4543" w:rsidP="003E4543">
      <w:pPr>
        <w:numPr>
          <w:ilvl w:val="0"/>
          <w:numId w:val="23"/>
        </w:numPr>
        <w:spacing w:line="239" w:lineRule="auto"/>
        <w:ind w:left="0" w:firstLine="0"/>
        <w:jc w:val="both"/>
        <w:rPr>
          <w:rFonts w:ascii="Verdana" w:eastAsia="Verdana" w:hAnsi="Verdana" w:cs="Verdana"/>
          <w:sz w:val="20"/>
          <w:szCs w:val="20"/>
          <w:lang w:val="es-CR"/>
        </w:rPr>
      </w:pPr>
      <w:r w:rsidRPr="00B44D5A">
        <w:rPr>
          <w:rFonts w:ascii="Verdana" w:eastAsia="Verdana" w:hAnsi="Verdana" w:cs="Verdana"/>
          <w:sz w:val="20"/>
          <w:szCs w:val="20"/>
          <w:lang w:val="es-CR"/>
        </w:rPr>
        <w:t xml:space="preserve">Disponer que el Secretario de la Corte entre en contacto inmediatamente con las autoridades de Nicaragua para coordinar la visita. </w:t>
      </w:r>
    </w:p>
    <w:p w:rsidR="003E4543" w:rsidRPr="00B44D5A" w:rsidRDefault="003E4543" w:rsidP="003E4543">
      <w:pPr>
        <w:pStyle w:val="Prrafodelista"/>
        <w:rPr>
          <w:rFonts w:ascii="Verdana" w:eastAsia="Verdana" w:hAnsi="Verdana" w:cs="Verdana"/>
          <w:sz w:val="20"/>
          <w:szCs w:val="20"/>
          <w:lang w:val="es-CR"/>
        </w:rPr>
      </w:pPr>
    </w:p>
    <w:p w:rsidR="003E4543" w:rsidRPr="00B44D5A" w:rsidRDefault="003E4543" w:rsidP="003E4543">
      <w:pPr>
        <w:numPr>
          <w:ilvl w:val="0"/>
          <w:numId w:val="23"/>
        </w:numPr>
        <w:spacing w:line="239" w:lineRule="auto"/>
        <w:ind w:left="0" w:firstLine="0"/>
        <w:jc w:val="both"/>
        <w:rPr>
          <w:rFonts w:ascii="Verdana" w:eastAsia="Verdana" w:hAnsi="Verdana" w:cs="Verdana"/>
          <w:sz w:val="20"/>
          <w:szCs w:val="20"/>
          <w:lang w:val="es-CR"/>
        </w:rPr>
      </w:pPr>
      <w:r w:rsidRPr="00B44D5A">
        <w:rPr>
          <w:rFonts w:ascii="Verdana" w:eastAsia="Verdana" w:hAnsi="Verdana" w:cs="Verdana"/>
          <w:sz w:val="20"/>
          <w:szCs w:val="20"/>
          <w:lang w:val="es-CR"/>
        </w:rPr>
        <w:t xml:space="preserve">Requerir al Estado que informe a la Corte Interamericana de Derechos Humanos a más tardar el 1 de junio de 2019 sobre las medidas </w:t>
      </w:r>
      <w:r w:rsidR="00A02976">
        <w:rPr>
          <w:rFonts w:ascii="Verdana" w:eastAsia="Verdana" w:hAnsi="Verdana" w:cs="Verdana"/>
          <w:sz w:val="20"/>
          <w:szCs w:val="20"/>
          <w:lang w:val="es-CR"/>
        </w:rPr>
        <w:t>urgentes</w:t>
      </w:r>
      <w:r w:rsidRPr="00B44D5A">
        <w:rPr>
          <w:rFonts w:ascii="Verdana" w:eastAsia="Verdana" w:hAnsi="Verdana" w:cs="Verdana"/>
          <w:sz w:val="20"/>
          <w:szCs w:val="20"/>
          <w:lang w:val="es-CR"/>
        </w:rPr>
        <w:t xml:space="preserve"> adoptadas </w:t>
      </w:r>
      <w:r w:rsidR="00A02976">
        <w:rPr>
          <w:rFonts w:ascii="Verdana" w:eastAsia="Verdana" w:hAnsi="Verdana" w:cs="Verdana"/>
          <w:sz w:val="20"/>
          <w:szCs w:val="20"/>
          <w:lang w:val="es-CR"/>
        </w:rPr>
        <w:t>para dar cumplimiento a</w:t>
      </w:r>
      <w:r w:rsidRPr="00B44D5A">
        <w:rPr>
          <w:rFonts w:ascii="Verdana" w:eastAsia="Verdana" w:hAnsi="Verdana" w:cs="Verdana"/>
          <w:sz w:val="20"/>
          <w:szCs w:val="20"/>
          <w:lang w:val="es-CR"/>
        </w:rPr>
        <w:t xml:space="preserve"> esta decisión. Con posterioridad, el Estado deberá presentar un informe periódico cada </w:t>
      </w:r>
      <w:r w:rsidR="00A02976">
        <w:rPr>
          <w:rFonts w:ascii="Verdana" w:eastAsia="Verdana" w:hAnsi="Verdana" w:cs="Verdana"/>
          <w:sz w:val="20"/>
          <w:szCs w:val="20"/>
          <w:lang w:val="es-CR"/>
        </w:rPr>
        <w:t>mes</w:t>
      </w:r>
      <w:r w:rsidRPr="00B44D5A">
        <w:rPr>
          <w:rFonts w:ascii="Verdana" w:eastAsia="Verdana" w:hAnsi="Verdana" w:cs="Verdana"/>
          <w:sz w:val="20"/>
          <w:szCs w:val="20"/>
          <w:lang w:val="es-CR"/>
        </w:rPr>
        <w:t xml:space="preserve"> </w:t>
      </w:r>
      <w:r w:rsidR="00C8518A" w:rsidRPr="00B44D5A">
        <w:rPr>
          <w:rFonts w:ascii="Verdana" w:eastAsia="Verdana" w:hAnsi="Verdana" w:cs="Verdana"/>
          <w:sz w:val="20"/>
          <w:szCs w:val="20"/>
          <w:lang w:val="es-CR"/>
        </w:rPr>
        <w:t>respecto de</w:t>
      </w:r>
      <w:r w:rsidRPr="00B44D5A">
        <w:rPr>
          <w:rFonts w:ascii="Verdana" w:eastAsia="Verdana" w:hAnsi="Verdana" w:cs="Verdana"/>
          <w:sz w:val="20"/>
          <w:szCs w:val="20"/>
          <w:lang w:val="es-CR"/>
        </w:rPr>
        <w:t xml:space="preserve"> las medidas adoptadas de conformidad con esta decisión.</w:t>
      </w:r>
    </w:p>
    <w:p w:rsidR="003E4543" w:rsidRPr="00B44D5A" w:rsidRDefault="003E4543" w:rsidP="003E4543">
      <w:pPr>
        <w:pStyle w:val="Prrafodelista"/>
        <w:rPr>
          <w:rFonts w:ascii="Verdana" w:eastAsia="Verdana" w:hAnsi="Verdana" w:cs="Verdana"/>
          <w:sz w:val="20"/>
          <w:szCs w:val="20"/>
          <w:lang w:val="es-CR"/>
        </w:rPr>
      </w:pPr>
    </w:p>
    <w:p w:rsidR="003E4543" w:rsidRPr="00A02976" w:rsidRDefault="00A02976" w:rsidP="003E4543">
      <w:pPr>
        <w:numPr>
          <w:ilvl w:val="0"/>
          <w:numId w:val="23"/>
        </w:numPr>
        <w:spacing w:line="239" w:lineRule="auto"/>
        <w:ind w:left="0" w:firstLine="0"/>
        <w:jc w:val="both"/>
        <w:rPr>
          <w:rFonts w:ascii="Verdana" w:eastAsia="Verdana" w:hAnsi="Verdana" w:cs="Verdana"/>
          <w:sz w:val="20"/>
          <w:szCs w:val="20"/>
          <w:lang w:val="es-CR"/>
        </w:rPr>
      </w:pPr>
      <w:r w:rsidRPr="00A02976">
        <w:rPr>
          <w:rFonts w:ascii="Verdana" w:hAnsi="Verdana"/>
          <w:sz w:val="20"/>
          <w:szCs w:val="20"/>
        </w:rPr>
        <w:t>Requerir a los representantes de los beneficiarios que presenten sus observaciones dentro de un plazo de dos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w:t>
      </w:r>
    </w:p>
    <w:p w:rsidR="003E4543" w:rsidRPr="00B44D5A" w:rsidRDefault="003E4543" w:rsidP="003E4543">
      <w:pPr>
        <w:pStyle w:val="Prrafodelista"/>
        <w:rPr>
          <w:rFonts w:ascii="Verdana" w:eastAsia="Verdana" w:hAnsi="Verdana" w:cs="Verdana"/>
          <w:sz w:val="20"/>
          <w:szCs w:val="20"/>
          <w:lang w:val="es-CR"/>
        </w:rPr>
      </w:pPr>
    </w:p>
    <w:p w:rsidR="00ED0334" w:rsidRPr="00B44D5A" w:rsidRDefault="003E4543" w:rsidP="003E4543">
      <w:pPr>
        <w:numPr>
          <w:ilvl w:val="0"/>
          <w:numId w:val="23"/>
        </w:numPr>
        <w:spacing w:line="239" w:lineRule="auto"/>
        <w:ind w:left="0" w:firstLine="0"/>
        <w:jc w:val="both"/>
        <w:rPr>
          <w:rFonts w:ascii="Verdana" w:eastAsia="Verdana" w:hAnsi="Verdana" w:cs="Verdana"/>
          <w:sz w:val="20"/>
          <w:szCs w:val="20"/>
          <w:lang w:val="es-CR"/>
        </w:rPr>
      </w:pPr>
      <w:r w:rsidRPr="00B44D5A">
        <w:rPr>
          <w:rFonts w:ascii="Verdana" w:eastAsia="Verdana" w:hAnsi="Verdana" w:cs="Verdana"/>
          <w:sz w:val="20"/>
          <w:szCs w:val="20"/>
          <w:lang w:val="es-CR"/>
        </w:rPr>
        <w:t>Disponer que la Secretaría de la Corte notifique la presente Resolución al Estado, a la Comisión Interamericana y a los representantes de los beneficiarios.</w:t>
      </w:r>
    </w:p>
    <w:p w:rsidR="00ED0334" w:rsidRPr="00B44D5A" w:rsidRDefault="00ED0334" w:rsidP="002A6179">
      <w:pPr>
        <w:jc w:val="both"/>
        <w:rPr>
          <w:rFonts w:ascii="Verdana" w:hAnsi="Verdana"/>
          <w:sz w:val="20"/>
          <w:szCs w:val="20"/>
          <w:lang w:val="es-CR"/>
        </w:rPr>
      </w:pPr>
    </w:p>
    <w:p w:rsidR="005063C6" w:rsidRPr="00B44D5A" w:rsidRDefault="005063C6" w:rsidP="005063C6">
      <w:pPr>
        <w:pStyle w:val="Textoindependiente"/>
        <w:widowControl w:val="0"/>
        <w:tabs>
          <w:tab w:val="left" w:pos="680"/>
          <w:tab w:val="num" w:pos="709"/>
        </w:tabs>
        <w:spacing w:after="0"/>
        <w:rPr>
          <w:rFonts w:ascii="Verdana" w:hAnsi="Verdana"/>
          <w:sz w:val="20"/>
          <w:szCs w:val="20"/>
          <w:lang w:val="es-ES"/>
        </w:rPr>
      </w:pPr>
    </w:p>
    <w:p w:rsidR="00E22542" w:rsidRPr="00B44D5A" w:rsidRDefault="00E22542" w:rsidP="00F26CFE">
      <w:pPr>
        <w:jc w:val="both"/>
        <w:rPr>
          <w:rFonts w:ascii="Verdana" w:hAnsi="Verdana"/>
          <w:sz w:val="20"/>
          <w:szCs w:val="20"/>
          <w:lang w:val="es-CR"/>
        </w:rPr>
      </w:pPr>
      <w:r w:rsidRPr="00B44D5A">
        <w:rPr>
          <w:rFonts w:ascii="Verdana" w:hAnsi="Verdana"/>
          <w:sz w:val="20"/>
          <w:szCs w:val="20"/>
          <w:lang w:val="es-CR"/>
        </w:rPr>
        <w:t xml:space="preserve">Corte IDH. Asunto de diecisiete personas privadas de libertad respecto de Nicaragua. Solicitud de Medidas Provisionales. Resolución de adopción de medidas urgentes del Presidente de la Corte Interamericana de Derechos Humanos de </w:t>
      </w:r>
      <w:r w:rsidR="003E4543" w:rsidRPr="00B44D5A">
        <w:rPr>
          <w:rFonts w:ascii="Verdana" w:hAnsi="Verdana"/>
          <w:sz w:val="20"/>
          <w:szCs w:val="20"/>
          <w:lang w:val="es-CR"/>
        </w:rPr>
        <w:t>21</w:t>
      </w:r>
      <w:r w:rsidRPr="00B44D5A">
        <w:rPr>
          <w:rFonts w:ascii="Verdana" w:hAnsi="Verdana"/>
          <w:sz w:val="20"/>
          <w:szCs w:val="20"/>
          <w:lang w:val="es-CR"/>
        </w:rPr>
        <w:t xml:space="preserve"> de mayo de 2019.</w:t>
      </w:r>
    </w:p>
    <w:p w:rsidR="00F26CFE" w:rsidRPr="00B44D5A" w:rsidRDefault="00F26CFE" w:rsidP="00F26CFE">
      <w:pPr>
        <w:rPr>
          <w:rFonts w:ascii="Verdana" w:hAnsi="Verdana"/>
          <w:sz w:val="20"/>
          <w:szCs w:val="20"/>
          <w:lang w:val="pt-BR"/>
        </w:rPr>
      </w:pPr>
    </w:p>
    <w:p w:rsidR="00F26CFE" w:rsidRPr="00B44D5A" w:rsidRDefault="00F26CFE" w:rsidP="00F26CFE">
      <w:pPr>
        <w:rPr>
          <w:rFonts w:ascii="Verdana" w:hAnsi="Verdana"/>
          <w:sz w:val="20"/>
          <w:szCs w:val="20"/>
          <w:lang w:val="pt-BR"/>
        </w:rPr>
      </w:pPr>
    </w:p>
    <w:p w:rsidR="00E22542" w:rsidRPr="00B44D5A" w:rsidRDefault="00E22542" w:rsidP="00E22542">
      <w:pPr>
        <w:jc w:val="right"/>
        <w:rPr>
          <w:rFonts w:ascii="Verdana" w:hAnsi="Verdana"/>
          <w:sz w:val="20"/>
          <w:szCs w:val="20"/>
          <w:lang w:val="pt-BR"/>
        </w:rPr>
      </w:pPr>
    </w:p>
    <w:p w:rsidR="00F26CFE" w:rsidRPr="00B44D5A" w:rsidRDefault="00F26CFE" w:rsidP="00E22542">
      <w:pPr>
        <w:jc w:val="right"/>
        <w:rPr>
          <w:rFonts w:ascii="Verdana" w:hAnsi="Verdana"/>
          <w:sz w:val="20"/>
          <w:szCs w:val="20"/>
          <w:lang w:val="pt-BR"/>
        </w:rPr>
      </w:pPr>
      <w:r w:rsidRPr="00B44D5A">
        <w:rPr>
          <w:rFonts w:ascii="Verdana" w:hAnsi="Verdana"/>
          <w:sz w:val="20"/>
          <w:szCs w:val="20"/>
          <w:lang w:val="pt-BR"/>
        </w:rPr>
        <w:t>Eduardo Ferrer Mac-Gregor Poisot</w:t>
      </w:r>
    </w:p>
    <w:p w:rsidR="00F26CFE" w:rsidRPr="00B44D5A" w:rsidRDefault="004B2AA5" w:rsidP="00E22542">
      <w:pPr>
        <w:ind w:left="5760"/>
        <w:jc w:val="center"/>
        <w:rPr>
          <w:rFonts w:ascii="Verdana" w:hAnsi="Verdana"/>
          <w:sz w:val="20"/>
          <w:szCs w:val="20"/>
          <w:lang w:val="es-CR"/>
        </w:rPr>
      </w:pPr>
      <w:r w:rsidRPr="00B44D5A">
        <w:rPr>
          <w:rFonts w:ascii="Verdana" w:hAnsi="Verdana"/>
          <w:sz w:val="20"/>
          <w:szCs w:val="20"/>
          <w:lang w:val="es-ES"/>
        </w:rPr>
        <w:t>Presidente</w:t>
      </w:r>
    </w:p>
    <w:p w:rsidR="00F26CFE" w:rsidRPr="00B44D5A" w:rsidRDefault="00F26CFE" w:rsidP="00F26CFE">
      <w:pPr>
        <w:rPr>
          <w:rFonts w:ascii="Verdana" w:hAnsi="Verdana"/>
          <w:sz w:val="20"/>
          <w:szCs w:val="20"/>
          <w:lang w:val="es-ES"/>
        </w:rPr>
      </w:pPr>
    </w:p>
    <w:p w:rsidR="00F26CFE" w:rsidRPr="00B44D5A" w:rsidRDefault="00F26CFE" w:rsidP="00F26CFE">
      <w:pPr>
        <w:jc w:val="both"/>
        <w:rPr>
          <w:rFonts w:ascii="Verdana" w:hAnsi="Verdana"/>
          <w:sz w:val="20"/>
          <w:szCs w:val="20"/>
          <w:lang w:val="es-CR"/>
        </w:rPr>
      </w:pPr>
    </w:p>
    <w:p w:rsidR="00F26CFE" w:rsidRPr="00B44D5A" w:rsidRDefault="00F26CFE" w:rsidP="00E22542">
      <w:pPr>
        <w:rPr>
          <w:rFonts w:ascii="Verdana" w:hAnsi="Verdana"/>
          <w:sz w:val="20"/>
          <w:szCs w:val="20"/>
          <w:lang w:val="es-ES"/>
        </w:rPr>
      </w:pPr>
      <w:r w:rsidRPr="00B44D5A">
        <w:rPr>
          <w:rFonts w:ascii="Verdana" w:hAnsi="Verdana"/>
          <w:sz w:val="20"/>
          <w:szCs w:val="20"/>
          <w:lang w:val="es-ES"/>
        </w:rPr>
        <w:t>Pablo Saavedra Alessandri</w:t>
      </w:r>
    </w:p>
    <w:p w:rsidR="00F26CFE" w:rsidRPr="00B44D5A" w:rsidRDefault="00F26CFE" w:rsidP="00E22542">
      <w:pPr>
        <w:ind w:firstLine="720"/>
        <w:rPr>
          <w:rFonts w:ascii="Verdana" w:hAnsi="Verdana"/>
          <w:sz w:val="20"/>
          <w:szCs w:val="20"/>
          <w:lang w:val="es-ES"/>
        </w:rPr>
      </w:pPr>
      <w:r w:rsidRPr="00B44D5A">
        <w:rPr>
          <w:rFonts w:ascii="Verdana" w:hAnsi="Verdana"/>
          <w:sz w:val="20"/>
          <w:szCs w:val="20"/>
          <w:lang w:val="es-ES"/>
        </w:rPr>
        <w:t>Secretario</w:t>
      </w:r>
    </w:p>
    <w:p w:rsidR="00F26CFE" w:rsidRDefault="00F26CFE" w:rsidP="00F26CFE">
      <w:pPr>
        <w:pStyle w:val="Textonotapie"/>
        <w:rPr>
          <w:rFonts w:ascii="Verdana" w:hAnsi="Verdana"/>
          <w:lang w:val="es-ES"/>
        </w:rPr>
      </w:pPr>
    </w:p>
    <w:p w:rsidR="003A7D09" w:rsidRDefault="003A7D09" w:rsidP="00F26CFE">
      <w:pPr>
        <w:pStyle w:val="Textonotapie"/>
        <w:rPr>
          <w:rFonts w:ascii="Verdana" w:hAnsi="Verdana"/>
          <w:lang w:val="es-ES"/>
        </w:rPr>
      </w:pPr>
    </w:p>
    <w:p w:rsidR="00F26CFE" w:rsidRPr="00B44D5A" w:rsidRDefault="00F26CFE" w:rsidP="00F26CFE">
      <w:pPr>
        <w:jc w:val="both"/>
        <w:rPr>
          <w:rFonts w:ascii="Verdana" w:hAnsi="Verdana"/>
          <w:sz w:val="20"/>
          <w:szCs w:val="20"/>
          <w:lang w:val="es-ES"/>
        </w:rPr>
      </w:pPr>
      <w:r w:rsidRPr="00B44D5A">
        <w:rPr>
          <w:rFonts w:ascii="Verdana" w:hAnsi="Verdana"/>
          <w:sz w:val="20"/>
          <w:szCs w:val="20"/>
          <w:lang w:val="es-ES"/>
        </w:rPr>
        <w:t>Comuníquese y ejecútese,</w:t>
      </w:r>
    </w:p>
    <w:p w:rsidR="00F26CFE" w:rsidRPr="00B44D5A" w:rsidRDefault="00F26CFE" w:rsidP="00F26CFE">
      <w:pPr>
        <w:rPr>
          <w:rFonts w:ascii="Verdana" w:hAnsi="Verdana"/>
          <w:sz w:val="20"/>
          <w:szCs w:val="20"/>
          <w:lang w:val="es-ES"/>
        </w:rPr>
      </w:pPr>
    </w:p>
    <w:p w:rsidR="003A7D09" w:rsidRPr="00B44D5A" w:rsidRDefault="003A7D09" w:rsidP="00F26CFE">
      <w:pPr>
        <w:rPr>
          <w:rFonts w:ascii="Verdana" w:hAnsi="Verdana"/>
          <w:sz w:val="20"/>
          <w:szCs w:val="20"/>
          <w:lang w:val="es-ES"/>
        </w:rPr>
      </w:pPr>
      <w:bookmarkStart w:id="0" w:name="_GoBack"/>
      <w:bookmarkEnd w:id="0"/>
    </w:p>
    <w:p w:rsidR="00F26CFE" w:rsidRPr="00B44D5A" w:rsidRDefault="00F26CFE" w:rsidP="00F26CFE">
      <w:pPr>
        <w:jc w:val="center"/>
        <w:rPr>
          <w:rFonts w:ascii="Verdana" w:hAnsi="Verdana"/>
          <w:sz w:val="20"/>
          <w:szCs w:val="20"/>
          <w:lang w:val="es-ES"/>
        </w:rPr>
      </w:pPr>
      <w:r w:rsidRPr="00B44D5A">
        <w:rPr>
          <w:rFonts w:ascii="Verdana" w:hAnsi="Verdana"/>
          <w:sz w:val="20"/>
          <w:szCs w:val="20"/>
          <w:lang w:val="es-ES"/>
        </w:rPr>
        <w:t xml:space="preserve">                                                                                   Eduardo Ferrer Mac-Gregor Poisot</w:t>
      </w:r>
    </w:p>
    <w:p w:rsidR="00F26CFE" w:rsidRPr="00B44D5A" w:rsidRDefault="009659E8" w:rsidP="009659E8">
      <w:pPr>
        <w:ind w:left="6480"/>
        <w:jc w:val="center"/>
        <w:rPr>
          <w:rFonts w:ascii="Verdana" w:hAnsi="Verdana"/>
          <w:sz w:val="20"/>
          <w:szCs w:val="20"/>
          <w:lang w:val="es-CR"/>
        </w:rPr>
      </w:pPr>
      <w:r w:rsidRPr="00B44D5A">
        <w:rPr>
          <w:rFonts w:ascii="Verdana" w:hAnsi="Verdana"/>
          <w:sz w:val="20"/>
          <w:szCs w:val="20"/>
          <w:lang w:val="es-ES"/>
        </w:rPr>
        <w:t>Presidente</w:t>
      </w:r>
    </w:p>
    <w:p w:rsidR="00F26CFE" w:rsidRDefault="00F26CFE" w:rsidP="00F26CFE">
      <w:pPr>
        <w:jc w:val="both"/>
        <w:rPr>
          <w:rFonts w:ascii="Verdana" w:hAnsi="Verdana"/>
          <w:sz w:val="20"/>
          <w:szCs w:val="20"/>
          <w:lang w:val="es-ES"/>
        </w:rPr>
      </w:pPr>
    </w:p>
    <w:p w:rsidR="003A7D09" w:rsidRDefault="003A7D09" w:rsidP="00F26CFE">
      <w:pPr>
        <w:jc w:val="both"/>
        <w:rPr>
          <w:rFonts w:ascii="Verdana" w:hAnsi="Verdana"/>
          <w:sz w:val="20"/>
          <w:szCs w:val="20"/>
          <w:lang w:val="es-ES"/>
        </w:rPr>
      </w:pPr>
    </w:p>
    <w:p w:rsidR="003A7D09" w:rsidRDefault="003A7D09" w:rsidP="00F26CFE">
      <w:pPr>
        <w:jc w:val="both"/>
        <w:rPr>
          <w:rFonts w:ascii="Verdana" w:hAnsi="Verdana"/>
          <w:sz w:val="20"/>
          <w:szCs w:val="20"/>
          <w:lang w:val="es-ES"/>
        </w:rPr>
      </w:pPr>
    </w:p>
    <w:p w:rsidR="003A7D09" w:rsidRPr="00B44D5A" w:rsidRDefault="003A7D09" w:rsidP="00F26CFE">
      <w:pPr>
        <w:jc w:val="both"/>
        <w:rPr>
          <w:rFonts w:ascii="Verdana" w:hAnsi="Verdana"/>
          <w:sz w:val="20"/>
          <w:szCs w:val="20"/>
          <w:lang w:val="es-ES"/>
        </w:rPr>
      </w:pPr>
    </w:p>
    <w:p w:rsidR="00F26CFE" w:rsidRPr="00B44D5A" w:rsidRDefault="00F26CFE" w:rsidP="00F26CFE">
      <w:pPr>
        <w:jc w:val="both"/>
        <w:rPr>
          <w:rFonts w:ascii="Verdana" w:hAnsi="Verdana"/>
          <w:sz w:val="20"/>
          <w:szCs w:val="20"/>
          <w:lang w:val="es-ES"/>
        </w:rPr>
      </w:pPr>
    </w:p>
    <w:p w:rsidR="00F26CFE" w:rsidRPr="00B44D5A" w:rsidRDefault="00F26CFE" w:rsidP="00F26CFE">
      <w:pPr>
        <w:jc w:val="both"/>
        <w:rPr>
          <w:rFonts w:ascii="Verdana" w:hAnsi="Verdana"/>
          <w:sz w:val="20"/>
          <w:szCs w:val="20"/>
          <w:lang w:val="es-ES"/>
        </w:rPr>
      </w:pPr>
      <w:r w:rsidRPr="00B44D5A">
        <w:rPr>
          <w:rFonts w:ascii="Verdana" w:hAnsi="Verdana"/>
          <w:sz w:val="20"/>
          <w:szCs w:val="20"/>
          <w:lang w:val="es-ES"/>
        </w:rPr>
        <w:t>Pablo Saavedra Alessandri</w:t>
      </w:r>
    </w:p>
    <w:p w:rsidR="00F26CFE" w:rsidRPr="00B44D5A" w:rsidRDefault="00F26CFE" w:rsidP="00F26CFE">
      <w:pPr>
        <w:rPr>
          <w:rFonts w:ascii="Verdana" w:hAnsi="Verdana"/>
          <w:sz w:val="20"/>
          <w:szCs w:val="20"/>
          <w:lang w:val="pt-BR"/>
        </w:rPr>
      </w:pPr>
      <w:r w:rsidRPr="00B44D5A">
        <w:rPr>
          <w:rFonts w:ascii="Verdana" w:hAnsi="Verdana"/>
          <w:sz w:val="20"/>
          <w:szCs w:val="20"/>
          <w:lang w:val="es-ES"/>
        </w:rPr>
        <w:tab/>
      </w:r>
      <w:r w:rsidRPr="00B44D5A">
        <w:rPr>
          <w:rFonts w:ascii="Verdana" w:hAnsi="Verdana"/>
          <w:sz w:val="20"/>
          <w:szCs w:val="20"/>
          <w:lang w:val="pt-BR"/>
        </w:rPr>
        <w:t>Secretario</w:t>
      </w:r>
    </w:p>
    <w:p w:rsidR="00F26CFE" w:rsidRPr="00B44D5A" w:rsidRDefault="00F26CFE" w:rsidP="005063C6">
      <w:pPr>
        <w:pStyle w:val="Textoindependiente"/>
        <w:widowControl w:val="0"/>
        <w:tabs>
          <w:tab w:val="left" w:pos="680"/>
          <w:tab w:val="num" w:pos="709"/>
        </w:tabs>
        <w:spacing w:after="0"/>
        <w:rPr>
          <w:rFonts w:ascii="Verdana" w:hAnsi="Verdana"/>
          <w:sz w:val="20"/>
          <w:szCs w:val="20"/>
          <w:lang w:val="es-ES"/>
        </w:rPr>
      </w:pPr>
    </w:p>
    <w:sectPr w:rsidR="00F26CFE" w:rsidRPr="00B44D5A" w:rsidSect="00F275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8F7" w:rsidRDefault="006938F7">
      <w:r>
        <w:separator/>
      </w:r>
    </w:p>
  </w:endnote>
  <w:endnote w:type="continuationSeparator" w:id="0">
    <w:p w:rsidR="006938F7" w:rsidRDefault="0069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1C0" w:rsidRDefault="00DF51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21" w:rsidRDefault="00B16921">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1C0" w:rsidRDefault="00DF51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8F7" w:rsidRDefault="006938F7">
      <w:r>
        <w:separator/>
      </w:r>
    </w:p>
  </w:footnote>
  <w:footnote w:type="continuationSeparator" w:id="0">
    <w:p w:rsidR="006938F7" w:rsidRDefault="006938F7">
      <w:r>
        <w:continuationSeparator/>
      </w:r>
    </w:p>
  </w:footnote>
  <w:footnote w:id="1">
    <w:p w:rsidR="00B16921" w:rsidRPr="00C437FA" w:rsidRDefault="00B16921" w:rsidP="00C437FA">
      <w:pPr>
        <w:pStyle w:val="Textonotapie"/>
        <w:jc w:val="both"/>
        <w:rPr>
          <w:rFonts w:ascii="Verdana" w:hAnsi="Verdana"/>
          <w:sz w:val="16"/>
          <w:szCs w:val="16"/>
          <w:lang w:val="es-ES"/>
        </w:rPr>
      </w:pPr>
      <w:r w:rsidRPr="00C437FA">
        <w:rPr>
          <w:rStyle w:val="Refdenotaalpie"/>
          <w:szCs w:val="16"/>
        </w:rPr>
        <w:footnoteRef/>
      </w:r>
      <w:r w:rsidRPr="00C437FA">
        <w:rPr>
          <w:rFonts w:ascii="Verdana" w:hAnsi="Verdana"/>
          <w:sz w:val="16"/>
          <w:szCs w:val="16"/>
        </w:rPr>
        <w:t xml:space="preserve"> </w:t>
      </w:r>
      <w:r w:rsidR="005A4780" w:rsidRPr="00C437FA">
        <w:rPr>
          <w:rFonts w:ascii="Verdana" w:hAnsi="Verdana"/>
          <w:sz w:val="16"/>
          <w:szCs w:val="16"/>
        </w:rPr>
        <w:tab/>
      </w:r>
      <w:r w:rsidR="005A4780" w:rsidRPr="00C437FA">
        <w:rPr>
          <w:rFonts w:ascii="Verdana" w:hAnsi="Verdana"/>
          <w:sz w:val="16"/>
          <w:szCs w:val="16"/>
          <w:lang w:val="es-ES"/>
        </w:rPr>
        <w:t>El 21 de mayo de 2018 adoptó medidas cautelares a favor de Kevin Rodrigo Espinoza Gutiérrez mediante Resolución No. 35/2018; el 2 de julio de 2018 adoptó medidas cautelares a favor de Jaime Ramón Ampie Toledo, Julio José Ampie Machado y Reynaldo Lira Luquez mediante Resolución No. 46/2018; el 25 de julio de 2018 adoptó medidas cautelares a favor de Cristhian Rodrigo Fajardo Caballero y Yubrank Miguel Suazo Herrera mediante Resolución No. 56/2018; el 27 de septiembre de 2018 adoptó medidas cautelares a favor de Edwin José Carcache Dávila mediante Resolución No. 74/2018 y a favor de Ricardo Baltodano mediante Resolución No. 73/2018; el 15 de octubre de 2018 adoptó medidas cautelares a favor de Medardo Mairena Sequeira y Mario Lener Fonseca Díaz mediante Resolución No. 80/2018; el 11 de noviembre de 2019 adoptó medidas cautelares a favor de Amaya Eva Coppens Zamora, Olesia Auxiliadora Muñoz Pavón, Tania V</w:t>
      </w:r>
      <w:r w:rsidR="00AA6C92">
        <w:rPr>
          <w:rFonts w:ascii="Verdana" w:hAnsi="Verdana"/>
          <w:sz w:val="16"/>
          <w:szCs w:val="16"/>
          <w:lang w:val="es-ES"/>
        </w:rPr>
        <w:t>erónica Muñoz Pavón, María Adilia</w:t>
      </w:r>
      <w:r w:rsidR="005A4780" w:rsidRPr="00C437FA">
        <w:rPr>
          <w:rFonts w:ascii="Verdana" w:hAnsi="Verdana"/>
          <w:sz w:val="16"/>
          <w:szCs w:val="16"/>
          <w:lang w:val="es-ES"/>
        </w:rPr>
        <w:t xml:space="preserve"> Peral</w:t>
      </w:r>
      <w:r w:rsidR="000B7510">
        <w:rPr>
          <w:rFonts w:ascii="Verdana" w:hAnsi="Verdana"/>
          <w:sz w:val="16"/>
          <w:szCs w:val="16"/>
          <w:lang w:val="es-ES"/>
        </w:rPr>
        <w:t>ta Serrano e Irlanda Undina Jeré</w:t>
      </w:r>
      <w:r w:rsidR="005A4780" w:rsidRPr="00C437FA">
        <w:rPr>
          <w:rFonts w:ascii="Verdana" w:hAnsi="Verdana"/>
          <w:sz w:val="16"/>
          <w:szCs w:val="16"/>
          <w:lang w:val="es-ES"/>
        </w:rPr>
        <w:t>z Berrera (Privadas de Libertad en el Centro Penitenciario La Esperanza) mediante Resolución No. 84/2018; el 13 de diciembre de 2018 adoptó medidas cautelares a favor de Miguel Mora Barberena mediante Resolución No. 90/2018 y el 11 de febrero de 2019 adoptó medidas cautelares a favor de Lucía Pineda Ubau mediante Resolución No. 5/2019.</w:t>
      </w:r>
    </w:p>
  </w:footnote>
  <w:footnote w:id="2">
    <w:p w:rsidR="00B16921" w:rsidRPr="00C437FA" w:rsidRDefault="00B16921" w:rsidP="00C437FA">
      <w:pPr>
        <w:pStyle w:val="Textonotapie"/>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965479" w:rsidRPr="00C437FA">
        <w:rPr>
          <w:rFonts w:ascii="Verdana" w:hAnsi="Verdana"/>
          <w:sz w:val="16"/>
          <w:szCs w:val="16"/>
        </w:rPr>
        <w:tab/>
      </w:r>
      <w:r w:rsidR="00965479" w:rsidRPr="00C437FA">
        <w:rPr>
          <w:rFonts w:ascii="Verdana" w:eastAsia="Verdana" w:hAnsi="Verdana" w:cs="Verdana"/>
          <w:i/>
          <w:sz w:val="16"/>
          <w:szCs w:val="16"/>
          <w:lang w:val="es-CR"/>
        </w:rPr>
        <w:t>C</w:t>
      </w:r>
      <w:r w:rsidR="00965479" w:rsidRPr="00C437FA">
        <w:rPr>
          <w:rFonts w:ascii="Verdana" w:eastAsia="Verdana" w:hAnsi="Verdana" w:cs="Verdana"/>
          <w:i/>
          <w:spacing w:val="-1"/>
          <w:sz w:val="16"/>
          <w:szCs w:val="16"/>
          <w:lang w:val="es-CR"/>
        </w:rPr>
        <w:t>f</w:t>
      </w:r>
      <w:r w:rsidR="00965479" w:rsidRPr="00C437FA">
        <w:rPr>
          <w:rFonts w:ascii="Verdana" w:eastAsia="Verdana" w:hAnsi="Verdana" w:cs="Verdana"/>
          <w:i/>
          <w:spacing w:val="1"/>
          <w:sz w:val="16"/>
          <w:szCs w:val="16"/>
          <w:lang w:val="es-CR"/>
        </w:rPr>
        <w:t>r</w:t>
      </w:r>
      <w:r w:rsidR="00965479" w:rsidRPr="00C437FA">
        <w:rPr>
          <w:rFonts w:ascii="Verdana" w:eastAsia="Verdana" w:hAnsi="Verdana" w:cs="Verdana"/>
          <w:i/>
          <w:sz w:val="16"/>
          <w:szCs w:val="16"/>
          <w:lang w:val="es-CR"/>
        </w:rPr>
        <w:t>.</w:t>
      </w:r>
      <w:r w:rsidR="00965479" w:rsidRPr="00C437FA">
        <w:rPr>
          <w:rFonts w:ascii="Verdana" w:eastAsia="Verdana" w:hAnsi="Verdana" w:cs="Verdana"/>
          <w:i/>
          <w:spacing w:val="10"/>
          <w:sz w:val="16"/>
          <w:szCs w:val="16"/>
          <w:lang w:val="es-CR"/>
        </w:rPr>
        <w:t xml:space="preserve"> </w:t>
      </w:r>
      <w:r w:rsidR="003466B6" w:rsidRPr="003466B6">
        <w:rPr>
          <w:rStyle w:val="Textoennegrita"/>
          <w:rFonts w:ascii="Verdana" w:hAnsi="Verdana"/>
          <w:b w:val="0"/>
          <w:i/>
          <w:color w:val="000000"/>
          <w:sz w:val="16"/>
          <w:szCs w:val="16"/>
          <w:shd w:val="clear" w:color="auto" w:fill="FFFFFF"/>
        </w:rPr>
        <w:t>Caso Herrera Ulloa respecto Costa Rica. Medidas Provisionales</w:t>
      </w:r>
      <w:r w:rsidR="003466B6" w:rsidRPr="003466B6">
        <w:rPr>
          <w:rStyle w:val="Textoennegrita"/>
          <w:rFonts w:ascii="Verdana" w:hAnsi="Verdana"/>
          <w:b w:val="0"/>
          <w:color w:val="000000"/>
          <w:sz w:val="16"/>
          <w:szCs w:val="16"/>
          <w:shd w:val="clear" w:color="auto" w:fill="FFFFFF"/>
        </w:rPr>
        <w:t>. Resolución de la Corte Interamericana de Derechos Humanos de 7 de septiembre de 2001</w:t>
      </w:r>
      <w:r w:rsidR="00965479" w:rsidRPr="00C437FA">
        <w:rPr>
          <w:rFonts w:ascii="Verdana" w:eastAsia="Verdana" w:hAnsi="Verdana" w:cs="Verdana"/>
          <w:sz w:val="16"/>
          <w:szCs w:val="16"/>
          <w:lang w:val="es-CR"/>
        </w:rPr>
        <w:t>,</w:t>
      </w:r>
      <w:r w:rsidR="00965479" w:rsidRPr="00C437FA">
        <w:rPr>
          <w:rFonts w:ascii="Verdana" w:eastAsia="Verdana" w:hAnsi="Verdana" w:cs="Verdana"/>
          <w:spacing w:val="2"/>
          <w:sz w:val="16"/>
          <w:szCs w:val="16"/>
          <w:lang w:val="es-CR"/>
        </w:rPr>
        <w:t xml:space="preserve"> </w:t>
      </w:r>
      <w:r w:rsidR="00965479" w:rsidRPr="00C437FA">
        <w:rPr>
          <w:rFonts w:ascii="Verdana" w:eastAsia="Verdana" w:hAnsi="Verdana" w:cs="Verdana"/>
          <w:sz w:val="16"/>
          <w:szCs w:val="16"/>
          <w:lang w:val="es-CR"/>
        </w:rPr>
        <w:t>C</w:t>
      </w:r>
      <w:r w:rsidR="00965479" w:rsidRPr="00C437FA">
        <w:rPr>
          <w:rFonts w:ascii="Verdana" w:eastAsia="Verdana" w:hAnsi="Verdana" w:cs="Verdana"/>
          <w:spacing w:val="1"/>
          <w:sz w:val="16"/>
          <w:szCs w:val="16"/>
          <w:lang w:val="es-CR"/>
        </w:rPr>
        <w:t>o</w:t>
      </w:r>
      <w:r w:rsidR="00965479" w:rsidRPr="00C437FA">
        <w:rPr>
          <w:rFonts w:ascii="Verdana" w:eastAsia="Verdana" w:hAnsi="Verdana" w:cs="Verdana"/>
          <w:spacing w:val="-1"/>
          <w:sz w:val="16"/>
          <w:szCs w:val="16"/>
          <w:lang w:val="es-CR"/>
        </w:rPr>
        <w:t>n</w:t>
      </w:r>
      <w:r w:rsidR="00965479" w:rsidRPr="00C437FA">
        <w:rPr>
          <w:rFonts w:ascii="Verdana" w:eastAsia="Verdana" w:hAnsi="Verdana" w:cs="Verdana"/>
          <w:sz w:val="16"/>
          <w:szCs w:val="16"/>
          <w:lang w:val="es-CR"/>
        </w:rPr>
        <w:t>s</w:t>
      </w:r>
      <w:r w:rsidR="00965479" w:rsidRPr="00C437FA">
        <w:rPr>
          <w:rFonts w:ascii="Verdana" w:eastAsia="Verdana" w:hAnsi="Verdana" w:cs="Verdana"/>
          <w:spacing w:val="-1"/>
          <w:sz w:val="16"/>
          <w:szCs w:val="16"/>
          <w:lang w:val="es-CR"/>
        </w:rPr>
        <w:t>i</w:t>
      </w:r>
      <w:r w:rsidR="00965479" w:rsidRPr="00C437FA">
        <w:rPr>
          <w:rFonts w:ascii="Verdana" w:eastAsia="Verdana" w:hAnsi="Verdana" w:cs="Verdana"/>
          <w:spacing w:val="-2"/>
          <w:sz w:val="16"/>
          <w:szCs w:val="16"/>
          <w:lang w:val="es-CR"/>
        </w:rPr>
        <w:t>d</w:t>
      </w:r>
      <w:r w:rsidR="00965479" w:rsidRPr="00C437FA">
        <w:rPr>
          <w:rFonts w:ascii="Verdana" w:eastAsia="Verdana" w:hAnsi="Verdana" w:cs="Verdana"/>
          <w:sz w:val="16"/>
          <w:szCs w:val="16"/>
          <w:lang w:val="es-CR"/>
        </w:rPr>
        <w:t>e</w:t>
      </w:r>
      <w:r w:rsidR="00965479" w:rsidRPr="00C437FA">
        <w:rPr>
          <w:rFonts w:ascii="Verdana" w:eastAsia="Verdana" w:hAnsi="Verdana" w:cs="Verdana"/>
          <w:spacing w:val="1"/>
          <w:sz w:val="16"/>
          <w:szCs w:val="16"/>
          <w:lang w:val="es-CR"/>
        </w:rPr>
        <w:t>r</w:t>
      </w:r>
      <w:r w:rsidR="00965479" w:rsidRPr="00C437FA">
        <w:rPr>
          <w:rFonts w:ascii="Verdana" w:eastAsia="Verdana" w:hAnsi="Verdana" w:cs="Verdana"/>
          <w:spacing w:val="-1"/>
          <w:sz w:val="16"/>
          <w:szCs w:val="16"/>
          <w:lang w:val="es-CR"/>
        </w:rPr>
        <w:t>an</w:t>
      </w:r>
      <w:r w:rsidR="00965479" w:rsidRPr="00C437FA">
        <w:rPr>
          <w:rFonts w:ascii="Verdana" w:eastAsia="Verdana" w:hAnsi="Verdana" w:cs="Verdana"/>
          <w:spacing w:val="-2"/>
          <w:sz w:val="16"/>
          <w:szCs w:val="16"/>
          <w:lang w:val="es-CR"/>
        </w:rPr>
        <w:t>d</w:t>
      </w:r>
      <w:r w:rsidR="00965479" w:rsidRPr="00C437FA">
        <w:rPr>
          <w:rFonts w:ascii="Verdana" w:eastAsia="Verdana" w:hAnsi="Verdana" w:cs="Verdana"/>
          <w:sz w:val="16"/>
          <w:szCs w:val="16"/>
          <w:lang w:val="es-CR"/>
        </w:rPr>
        <w:t>o</w:t>
      </w:r>
      <w:r w:rsidR="00965479" w:rsidRPr="00C437FA">
        <w:rPr>
          <w:rFonts w:ascii="Verdana" w:eastAsia="Verdana" w:hAnsi="Verdana" w:cs="Verdana"/>
          <w:spacing w:val="4"/>
          <w:sz w:val="16"/>
          <w:szCs w:val="16"/>
          <w:lang w:val="es-CR"/>
        </w:rPr>
        <w:t xml:space="preserve"> </w:t>
      </w:r>
      <w:r w:rsidR="00965479" w:rsidRPr="00C437FA">
        <w:rPr>
          <w:rFonts w:ascii="Verdana" w:eastAsia="Verdana" w:hAnsi="Verdana" w:cs="Verdana"/>
          <w:sz w:val="16"/>
          <w:szCs w:val="16"/>
          <w:lang w:val="es-CR"/>
        </w:rPr>
        <w:t>c</w:t>
      </w:r>
      <w:r w:rsidR="00965479" w:rsidRPr="00C437FA">
        <w:rPr>
          <w:rFonts w:ascii="Verdana" w:eastAsia="Verdana" w:hAnsi="Verdana" w:cs="Verdana"/>
          <w:spacing w:val="-1"/>
          <w:sz w:val="16"/>
          <w:szCs w:val="16"/>
          <w:lang w:val="es-CR"/>
        </w:rPr>
        <w:t>ua</w:t>
      </w:r>
      <w:r w:rsidR="00965479" w:rsidRPr="00C437FA">
        <w:rPr>
          <w:rFonts w:ascii="Verdana" w:eastAsia="Verdana" w:hAnsi="Verdana" w:cs="Verdana"/>
          <w:spacing w:val="1"/>
          <w:sz w:val="16"/>
          <w:szCs w:val="16"/>
          <w:lang w:val="es-CR"/>
        </w:rPr>
        <w:t>r</w:t>
      </w:r>
      <w:r w:rsidR="00965479" w:rsidRPr="00C437FA">
        <w:rPr>
          <w:rFonts w:ascii="Verdana" w:eastAsia="Verdana" w:hAnsi="Verdana" w:cs="Verdana"/>
          <w:spacing w:val="-1"/>
          <w:sz w:val="16"/>
          <w:szCs w:val="16"/>
          <w:lang w:val="es-CR"/>
        </w:rPr>
        <w:t>t</w:t>
      </w:r>
      <w:r w:rsidR="00965479" w:rsidRPr="00C437FA">
        <w:rPr>
          <w:rFonts w:ascii="Verdana" w:eastAsia="Verdana" w:hAnsi="Verdana" w:cs="Verdana"/>
          <w:spacing w:val="1"/>
          <w:sz w:val="16"/>
          <w:szCs w:val="16"/>
          <w:lang w:val="es-CR"/>
        </w:rPr>
        <w:t>o</w:t>
      </w:r>
      <w:r w:rsidR="00965479" w:rsidRPr="00C437FA">
        <w:rPr>
          <w:rFonts w:ascii="Verdana" w:eastAsia="Verdana" w:hAnsi="Verdana" w:cs="Verdana"/>
          <w:sz w:val="16"/>
          <w:szCs w:val="16"/>
          <w:lang w:val="es-CR"/>
        </w:rPr>
        <w:t>, y</w:t>
      </w:r>
      <w:r w:rsidR="00965479" w:rsidRPr="00C437FA">
        <w:rPr>
          <w:rFonts w:ascii="Verdana" w:eastAsia="Verdana" w:hAnsi="Verdana" w:cs="Verdana"/>
          <w:spacing w:val="4"/>
          <w:sz w:val="16"/>
          <w:szCs w:val="16"/>
          <w:lang w:val="es-CR"/>
        </w:rPr>
        <w:t xml:space="preserve"> </w:t>
      </w:r>
      <w:r w:rsidR="00965479" w:rsidRPr="00C437FA">
        <w:rPr>
          <w:rFonts w:ascii="Verdana" w:hAnsi="Verdana"/>
          <w:sz w:val="16"/>
          <w:szCs w:val="16"/>
        </w:rPr>
        <w:t xml:space="preserve">Asunto </w:t>
      </w:r>
      <w:r w:rsidR="00965479" w:rsidRPr="00C437FA">
        <w:rPr>
          <w:rFonts w:ascii="Verdana" w:hAnsi="Verdana"/>
          <w:i/>
          <w:sz w:val="16"/>
          <w:szCs w:val="16"/>
        </w:rPr>
        <w:t>José Luis Galdámez Álvarez y otros.</w:t>
      </w:r>
      <w:r w:rsidR="00965479" w:rsidRPr="00C437FA">
        <w:rPr>
          <w:rFonts w:ascii="Verdana" w:hAnsi="Verdana"/>
          <w:sz w:val="16"/>
          <w:szCs w:val="16"/>
        </w:rPr>
        <w:t xml:space="preserve"> </w:t>
      </w:r>
      <w:r w:rsidR="00965479" w:rsidRPr="00C437FA">
        <w:rPr>
          <w:rFonts w:ascii="Verdana" w:hAnsi="Verdana"/>
          <w:i/>
          <w:sz w:val="16"/>
          <w:szCs w:val="16"/>
        </w:rPr>
        <w:t>Medidas Provisionales respecto Honduras</w:t>
      </w:r>
      <w:r w:rsidR="00965479" w:rsidRPr="00C437FA">
        <w:rPr>
          <w:rFonts w:ascii="Verdana" w:hAnsi="Verdana"/>
          <w:sz w:val="16"/>
          <w:szCs w:val="16"/>
        </w:rPr>
        <w:t>. Resolución de la Corte Interamericana de Derechos Humanos de 23 de noviembre de 2016, Considerando segundo.</w:t>
      </w:r>
    </w:p>
  </w:footnote>
  <w:footnote w:id="3">
    <w:p w:rsidR="00B16921" w:rsidRPr="004C69AE" w:rsidRDefault="00B16921" w:rsidP="00C437FA">
      <w:pPr>
        <w:jc w:val="both"/>
        <w:rPr>
          <w:rFonts w:ascii="Verdana" w:hAnsi="Verdana"/>
          <w:sz w:val="16"/>
          <w:szCs w:val="16"/>
        </w:rPr>
      </w:pPr>
      <w:r w:rsidRPr="00C437FA">
        <w:rPr>
          <w:rStyle w:val="Refdenotaalpie"/>
          <w:szCs w:val="16"/>
        </w:rPr>
        <w:footnoteRef/>
      </w:r>
      <w:r w:rsidR="004E6141" w:rsidRPr="00C437FA">
        <w:rPr>
          <w:rFonts w:ascii="Verdana" w:hAnsi="Verdana"/>
          <w:sz w:val="16"/>
          <w:szCs w:val="16"/>
        </w:rPr>
        <w:t xml:space="preserve"> </w:t>
      </w:r>
      <w:r w:rsidR="004E6141" w:rsidRPr="00C437FA">
        <w:rPr>
          <w:rFonts w:ascii="Verdana" w:hAnsi="Verdana"/>
          <w:sz w:val="16"/>
          <w:szCs w:val="16"/>
        </w:rPr>
        <w:tab/>
      </w:r>
      <w:r w:rsidR="004C69AE" w:rsidRPr="004C69AE">
        <w:rPr>
          <w:rFonts w:ascii="Verdana" w:hAnsi="Verdana"/>
          <w:i/>
          <w:sz w:val="16"/>
          <w:szCs w:val="16"/>
        </w:rPr>
        <w:t>Cfr.</w:t>
      </w:r>
      <w:r w:rsidR="004C69AE">
        <w:rPr>
          <w:rFonts w:ascii="Verdana" w:hAnsi="Verdana"/>
          <w:sz w:val="16"/>
          <w:szCs w:val="16"/>
        </w:rPr>
        <w:t xml:space="preserve"> </w:t>
      </w:r>
      <w:r w:rsidR="004C69AE" w:rsidRPr="00F270D6">
        <w:rPr>
          <w:rFonts w:ascii="Verdana" w:hAnsi="Verdana"/>
          <w:i/>
          <w:sz w:val="16"/>
          <w:szCs w:val="16"/>
        </w:rPr>
        <w:t>Asunto del Instituto Penal Plácido de Sá Carvalho respecto de Brasil. Medidas Provisionales.</w:t>
      </w:r>
      <w:r w:rsidR="004C69AE" w:rsidRPr="00F270D6">
        <w:rPr>
          <w:rFonts w:ascii="Verdana" w:hAnsi="Verdana"/>
          <w:sz w:val="16"/>
          <w:szCs w:val="16"/>
        </w:rPr>
        <w:t xml:space="preserve"> Resolución de la Corte Interamericana de Derechos Humanos de 31 de agosto de 2017, Considerando 51, </w:t>
      </w:r>
      <w:r w:rsidR="004C69AE" w:rsidRPr="00F270D6">
        <w:rPr>
          <w:rFonts w:ascii="Verdana" w:hAnsi="Verdana"/>
          <w:i/>
          <w:sz w:val="16"/>
          <w:szCs w:val="16"/>
        </w:rPr>
        <w:t xml:space="preserve">y </w:t>
      </w:r>
      <w:r w:rsidR="004C69AE" w:rsidRPr="00F270D6">
        <w:rPr>
          <w:rStyle w:val="Textoennegrita"/>
          <w:rFonts w:ascii="Verdana" w:hAnsi="Verdana"/>
          <w:b w:val="0"/>
          <w:i/>
          <w:color w:val="000000"/>
          <w:sz w:val="16"/>
          <w:szCs w:val="16"/>
          <w:shd w:val="clear" w:color="auto" w:fill="FFFFFF"/>
        </w:rPr>
        <w:t>Asunto Milagro Sala respecto de Argentina. Solicitud de Medidas Provisionales.</w:t>
      </w:r>
      <w:r w:rsidR="004C69AE" w:rsidRPr="00F270D6">
        <w:rPr>
          <w:rStyle w:val="Textoennegrita"/>
          <w:rFonts w:ascii="Verdana" w:hAnsi="Verdana"/>
          <w:b w:val="0"/>
          <w:color w:val="000000"/>
          <w:sz w:val="16"/>
          <w:szCs w:val="16"/>
          <w:shd w:val="clear" w:color="auto" w:fill="FFFFFF"/>
        </w:rPr>
        <w:t xml:space="preserve"> Resolución de la Corte Interamericana de Derechos Humanos de 23 de noviembre de 2017, Considerando 27.</w:t>
      </w:r>
    </w:p>
  </w:footnote>
  <w:footnote w:id="4">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4E6141" w:rsidRPr="00C437FA">
        <w:rPr>
          <w:rFonts w:ascii="Verdana" w:eastAsia="Verdana" w:hAnsi="Verdana" w:cs="Verdana"/>
          <w:i/>
          <w:sz w:val="16"/>
          <w:szCs w:val="16"/>
          <w:lang w:val="es-CR"/>
        </w:rPr>
        <w:tab/>
        <w:t>C</w:t>
      </w:r>
      <w:r w:rsidR="004E6141" w:rsidRPr="00C437FA">
        <w:rPr>
          <w:rFonts w:ascii="Verdana" w:eastAsia="Verdana" w:hAnsi="Verdana" w:cs="Verdana"/>
          <w:i/>
          <w:spacing w:val="-1"/>
          <w:sz w:val="16"/>
          <w:szCs w:val="16"/>
          <w:lang w:val="es-CR"/>
        </w:rPr>
        <w:t>f</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pacing w:val="-1"/>
          <w:sz w:val="16"/>
          <w:szCs w:val="16"/>
          <w:lang w:val="es-CR"/>
        </w:rPr>
        <w:t>.</w:t>
      </w:r>
      <w:r w:rsidR="004E6141" w:rsidRPr="00C437FA">
        <w:rPr>
          <w:rFonts w:ascii="Verdana" w:eastAsia="Verdana" w:hAnsi="Verdana" w:cs="Verdana"/>
          <w:i/>
          <w:sz w:val="16"/>
          <w:szCs w:val="16"/>
          <w:lang w:val="es-CR"/>
        </w:rPr>
        <w:t>,</w:t>
      </w:r>
      <w:r w:rsidR="004E6141" w:rsidRPr="00C437FA">
        <w:rPr>
          <w:rFonts w:ascii="Verdana" w:eastAsia="Verdana" w:hAnsi="Verdana" w:cs="Verdana"/>
          <w:i/>
          <w:spacing w:val="43"/>
          <w:sz w:val="16"/>
          <w:szCs w:val="16"/>
          <w:lang w:val="es-CR"/>
        </w:rPr>
        <w:t xml:space="preserve"> </w:t>
      </w:r>
      <w:r w:rsidR="004E6141" w:rsidRPr="00C437FA">
        <w:rPr>
          <w:rFonts w:ascii="Verdana" w:eastAsia="Verdana" w:hAnsi="Verdana" w:cs="Verdana"/>
          <w:i/>
          <w:spacing w:val="-1"/>
          <w:sz w:val="16"/>
          <w:szCs w:val="16"/>
          <w:lang w:val="es-CR"/>
        </w:rPr>
        <w:t>int</w:t>
      </w:r>
      <w:r w:rsidR="004E6141" w:rsidRPr="00C437FA">
        <w:rPr>
          <w:rFonts w:ascii="Verdana" w:eastAsia="Verdana" w:hAnsi="Verdana" w:cs="Verdana"/>
          <w:i/>
          <w:sz w:val="16"/>
          <w:szCs w:val="16"/>
          <w:lang w:val="es-CR"/>
        </w:rPr>
        <w:t>er</w:t>
      </w:r>
      <w:r w:rsidR="004E6141" w:rsidRPr="00C437FA">
        <w:rPr>
          <w:rFonts w:ascii="Verdana" w:eastAsia="Verdana" w:hAnsi="Verdana" w:cs="Verdana"/>
          <w:i/>
          <w:spacing w:val="45"/>
          <w:sz w:val="16"/>
          <w:szCs w:val="16"/>
          <w:lang w:val="es-CR"/>
        </w:rPr>
        <w:t xml:space="preserve"> </w:t>
      </w:r>
      <w:r w:rsidR="004E6141" w:rsidRPr="00C437FA">
        <w:rPr>
          <w:rFonts w:ascii="Verdana" w:eastAsia="Verdana" w:hAnsi="Verdana" w:cs="Verdana"/>
          <w:i/>
          <w:spacing w:val="-1"/>
          <w:sz w:val="16"/>
          <w:szCs w:val="16"/>
          <w:lang w:val="es-CR"/>
        </w:rPr>
        <w:t>alia</w:t>
      </w:r>
      <w:r w:rsidR="004E6141" w:rsidRPr="00C437FA">
        <w:rPr>
          <w:rFonts w:ascii="Verdana" w:eastAsia="Verdana" w:hAnsi="Verdana" w:cs="Verdana"/>
          <w:i/>
          <w:sz w:val="16"/>
          <w:szCs w:val="16"/>
          <w:lang w:val="es-CR"/>
        </w:rPr>
        <w:t>,</w:t>
      </w:r>
      <w:r w:rsidR="004E6141" w:rsidRPr="00C437FA">
        <w:rPr>
          <w:rFonts w:ascii="Verdana" w:eastAsia="Verdana" w:hAnsi="Verdana" w:cs="Verdana"/>
          <w:i/>
          <w:spacing w:val="43"/>
          <w:sz w:val="16"/>
          <w:szCs w:val="16"/>
          <w:lang w:val="es-CR"/>
        </w:rPr>
        <w:t xml:space="preserve"> </w:t>
      </w:r>
      <w:r w:rsidR="004E6141" w:rsidRPr="00C437FA">
        <w:rPr>
          <w:rFonts w:ascii="Verdana" w:eastAsia="Verdana" w:hAnsi="Verdana" w:cs="Verdana"/>
          <w:i/>
          <w:spacing w:val="1"/>
          <w:sz w:val="16"/>
          <w:szCs w:val="16"/>
          <w:lang w:val="es-CR"/>
        </w:rPr>
        <w:t>A</w:t>
      </w:r>
      <w:r w:rsidR="004E6141" w:rsidRPr="00C437FA">
        <w:rPr>
          <w:rFonts w:ascii="Verdana" w:eastAsia="Verdana" w:hAnsi="Verdana" w:cs="Verdana"/>
          <w:i/>
          <w:sz w:val="16"/>
          <w:szCs w:val="16"/>
          <w:lang w:val="es-CR"/>
        </w:rPr>
        <w:t>s</w:t>
      </w:r>
      <w:r w:rsidR="004E6141" w:rsidRPr="00C437FA">
        <w:rPr>
          <w:rFonts w:ascii="Verdana" w:eastAsia="Verdana" w:hAnsi="Verdana" w:cs="Verdana"/>
          <w:i/>
          <w:spacing w:val="-1"/>
          <w:sz w:val="16"/>
          <w:szCs w:val="16"/>
          <w:lang w:val="es-CR"/>
        </w:rPr>
        <w:t>unt</w:t>
      </w:r>
      <w:r w:rsidR="004E6141" w:rsidRPr="00C437FA">
        <w:rPr>
          <w:rFonts w:ascii="Verdana" w:eastAsia="Verdana" w:hAnsi="Verdana" w:cs="Verdana"/>
          <w:i/>
          <w:sz w:val="16"/>
          <w:szCs w:val="16"/>
          <w:lang w:val="es-CR"/>
        </w:rPr>
        <w:t>o</w:t>
      </w:r>
      <w:r w:rsidR="004E6141" w:rsidRPr="00C437FA">
        <w:rPr>
          <w:rFonts w:ascii="Verdana" w:eastAsia="Verdana" w:hAnsi="Verdana" w:cs="Verdana"/>
          <w:i/>
          <w:spacing w:val="45"/>
          <w:sz w:val="16"/>
          <w:szCs w:val="16"/>
          <w:lang w:val="es-CR"/>
        </w:rPr>
        <w:t xml:space="preserve"> </w:t>
      </w:r>
      <w:r w:rsidR="004E6141" w:rsidRPr="00C437FA">
        <w:rPr>
          <w:rFonts w:ascii="Verdana" w:eastAsia="Verdana" w:hAnsi="Verdana" w:cs="Verdana"/>
          <w:i/>
          <w:spacing w:val="1"/>
          <w:sz w:val="16"/>
          <w:szCs w:val="16"/>
          <w:lang w:val="es-CR"/>
        </w:rPr>
        <w:t>d</w:t>
      </w:r>
      <w:r w:rsidR="004E6141" w:rsidRPr="00C437FA">
        <w:rPr>
          <w:rFonts w:ascii="Verdana" w:eastAsia="Verdana" w:hAnsi="Verdana" w:cs="Verdana"/>
          <w:i/>
          <w:sz w:val="16"/>
          <w:szCs w:val="16"/>
          <w:lang w:val="es-CR"/>
        </w:rPr>
        <w:t>e</w:t>
      </w:r>
      <w:r w:rsidR="004E6141" w:rsidRPr="00C437FA">
        <w:rPr>
          <w:rFonts w:ascii="Verdana" w:eastAsia="Verdana" w:hAnsi="Verdana" w:cs="Verdana"/>
          <w:i/>
          <w:spacing w:val="44"/>
          <w:sz w:val="16"/>
          <w:szCs w:val="16"/>
          <w:lang w:val="es-CR"/>
        </w:rPr>
        <w:t xml:space="preserve"> </w:t>
      </w:r>
      <w:r w:rsidR="004E6141" w:rsidRPr="00C437FA">
        <w:rPr>
          <w:rFonts w:ascii="Verdana" w:eastAsia="Verdana" w:hAnsi="Verdana" w:cs="Verdana"/>
          <w:i/>
          <w:spacing w:val="-1"/>
          <w:sz w:val="16"/>
          <w:szCs w:val="16"/>
          <w:lang w:val="es-CR"/>
        </w:rPr>
        <w:t>l</w:t>
      </w:r>
      <w:r w:rsidR="004E6141" w:rsidRPr="00C437FA">
        <w:rPr>
          <w:rFonts w:ascii="Verdana" w:eastAsia="Verdana" w:hAnsi="Verdana" w:cs="Verdana"/>
          <w:i/>
          <w:sz w:val="16"/>
          <w:szCs w:val="16"/>
          <w:lang w:val="es-CR"/>
        </w:rPr>
        <w:t>a</w:t>
      </w:r>
      <w:r w:rsidR="004E6141" w:rsidRPr="00C437FA">
        <w:rPr>
          <w:rFonts w:ascii="Verdana" w:eastAsia="Verdana" w:hAnsi="Verdana" w:cs="Verdana"/>
          <w:i/>
          <w:spacing w:val="44"/>
          <w:sz w:val="16"/>
          <w:szCs w:val="16"/>
          <w:lang w:val="es-CR"/>
        </w:rPr>
        <w:t xml:space="preserve"> </w:t>
      </w:r>
      <w:r w:rsidR="004E6141" w:rsidRPr="00C437FA">
        <w:rPr>
          <w:rFonts w:ascii="Verdana" w:eastAsia="Verdana" w:hAnsi="Verdana" w:cs="Verdana"/>
          <w:i/>
          <w:sz w:val="16"/>
          <w:szCs w:val="16"/>
          <w:lang w:val="es-CR"/>
        </w:rPr>
        <w:t>C</w:t>
      </w:r>
      <w:r w:rsidR="004E6141" w:rsidRPr="00C437FA">
        <w:rPr>
          <w:rFonts w:ascii="Verdana" w:eastAsia="Verdana" w:hAnsi="Verdana" w:cs="Verdana"/>
          <w:i/>
          <w:spacing w:val="-1"/>
          <w:sz w:val="16"/>
          <w:szCs w:val="16"/>
          <w:lang w:val="es-CR"/>
        </w:rPr>
        <w:t>á</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z w:val="16"/>
          <w:szCs w:val="16"/>
          <w:lang w:val="es-CR"/>
        </w:rPr>
        <w:t>cel</w:t>
      </w:r>
      <w:r w:rsidR="004E6141" w:rsidRPr="00C437FA">
        <w:rPr>
          <w:rFonts w:ascii="Verdana" w:eastAsia="Verdana" w:hAnsi="Verdana" w:cs="Verdana"/>
          <w:i/>
          <w:spacing w:val="41"/>
          <w:sz w:val="16"/>
          <w:szCs w:val="16"/>
          <w:lang w:val="es-CR"/>
        </w:rPr>
        <w:t xml:space="preserve"> </w:t>
      </w:r>
      <w:r w:rsidR="004E6141" w:rsidRPr="00C437FA">
        <w:rPr>
          <w:rFonts w:ascii="Verdana" w:eastAsia="Verdana" w:hAnsi="Verdana" w:cs="Verdana"/>
          <w:i/>
          <w:spacing w:val="1"/>
          <w:sz w:val="16"/>
          <w:szCs w:val="16"/>
          <w:lang w:val="es-CR"/>
        </w:rPr>
        <w:t>d</w:t>
      </w:r>
      <w:r w:rsidR="004E6141" w:rsidRPr="00C437FA">
        <w:rPr>
          <w:rFonts w:ascii="Verdana" w:eastAsia="Verdana" w:hAnsi="Verdana" w:cs="Verdana"/>
          <w:i/>
          <w:sz w:val="16"/>
          <w:szCs w:val="16"/>
          <w:lang w:val="es-CR"/>
        </w:rPr>
        <w:t>e</w:t>
      </w:r>
      <w:r w:rsidR="004E6141" w:rsidRPr="00C437FA">
        <w:rPr>
          <w:rFonts w:ascii="Verdana" w:eastAsia="Verdana" w:hAnsi="Verdana" w:cs="Verdana"/>
          <w:i/>
          <w:spacing w:val="44"/>
          <w:sz w:val="16"/>
          <w:szCs w:val="16"/>
          <w:lang w:val="es-CR"/>
        </w:rPr>
        <w:t xml:space="preserve"> </w:t>
      </w:r>
      <w:r w:rsidR="004E6141" w:rsidRPr="00C437FA">
        <w:rPr>
          <w:rFonts w:ascii="Verdana" w:eastAsia="Verdana" w:hAnsi="Verdana" w:cs="Verdana"/>
          <w:i/>
          <w:spacing w:val="-3"/>
          <w:sz w:val="16"/>
          <w:szCs w:val="16"/>
          <w:lang w:val="es-CR"/>
        </w:rPr>
        <w:t>U</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pacing w:val="-2"/>
          <w:sz w:val="16"/>
          <w:szCs w:val="16"/>
          <w:lang w:val="es-CR"/>
        </w:rPr>
        <w:t>s</w:t>
      </w:r>
      <w:r w:rsidR="004E6141" w:rsidRPr="00C437FA">
        <w:rPr>
          <w:rFonts w:ascii="Verdana" w:eastAsia="Verdana" w:hAnsi="Verdana" w:cs="Verdana"/>
          <w:i/>
          <w:sz w:val="16"/>
          <w:szCs w:val="16"/>
          <w:lang w:val="es-CR"/>
        </w:rPr>
        <w:t>o</w:t>
      </w:r>
      <w:r w:rsidR="004E6141" w:rsidRPr="00C437FA">
        <w:rPr>
          <w:rFonts w:ascii="Verdana" w:eastAsia="Verdana" w:hAnsi="Verdana" w:cs="Verdana"/>
          <w:i/>
          <w:spacing w:val="45"/>
          <w:sz w:val="16"/>
          <w:szCs w:val="16"/>
          <w:lang w:val="es-CR"/>
        </w:rPr>
        <w:t xml:space="preserve"> </w:t>
      </w:r>
      <w:r w:rsidR="004E6141" w:rsidRPr="00C437FA">
        <w:rPr>
          <w:rFonts w:ascii="Verdana" w:eastAsia="Verdana" w:hAnsi="Verdana" w:cs="Verdana"/>
          <w:i/>
          <w:sz w:val="16"/>
          <w:szCs w:val="16"/>
          <w:lang w:val="es-CR"/>
        </w:rPr>
        <w:t>B</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pacing w:val="-1"/>
          <w:sz w:val="16"/>
          <w:szCs w:val="16"/>
          <w:lang w:val="es-CR"/>
        </w:rPr>
        <w:t>an</w:t>
      </w:r>
      <w:r w:rsidR="004E6141" w:rsidRPr="00C437FA">
        <w:rPr>
          <w:rFonts w:ascii="Verdana" w:eastAsia="Verdana" w:hAnsi="Verdana" w:cs="Verdana"/>
          <w:i/>
          <w:spacing w:val="-2"/>
          <w:sz w:val="16"/>
          <w:szCs w:val="16"/>
          <w:lang w:val="es-CR"/>
        </w:rPr>
        <w:t>c</w:t>
      </w:r>
      <w:r w:rsidR="004E6141" w:rsidRPr="00C437FA">
        <w:rPr>
          <w:rFonts w:ascii="Verdana" w:eastAsia="Verdana" w:hAnsi="Verdana" w:cs="Verdana"/>
          <w:i/>
          <w:spacing w:val="1"/>
          <w:sz w:val="16"/>
          <w:szCs w:val="16"/>
          <w:lang w:val="es-CR"/>
        </w:rPr>
        <w:t>o</w:t>
      </w:r>
      <w:r w:rsidR="004E6141" w:rsidRPr="00C437FA">
        <w:rPr>
          <w:rFonts w:ascii="Verdana" w:eastAsia="Verdana" w:hAnsi="Verdana" w:cs="Verdana"/>
          <w:i/>
          <w:sz w:val="16"/>
          <w:szCs w:val="16"/>
          <w:lang w:val="es-CR"/>
        </w:rPr>
        <w:t>.</w:t>
      </w:r>
      <w:r w:rsidR="004E6141" w:rsidRPr="00C437FA">
        <w:rPr>
          <w:rFonts w:ascii="Verdana" w:eastAsia="Verdana" w:hAnsi="Verdana" w:cs="Verdana"/>
          <w:i/>
          <w:spacing w:val="43"/>
          <w:sz w:val="16"/>
          <w:szCs w:val="16"/>
          <w:lang w:val="es-CR"/>
        </w:rPr>
        <w:t xml:space="preserve"> </w:t>
      </w:r>
      <w:r w:rsidR="004E6141" w:rsidRPr="00C437FA">
        <w:rPr>
          <w:rFonts w:ascii="Verdana" w:eastAsia="Verdana" w:hAnsi="Verdana" w:cs="Verdana"/>
          <w:i/>
          <w:spacing w:val="-4"/>
          <w:sz w:val="16"/>
          <w:szCs w:val="16"/>
          <w:lang w:val="es-CR"/>
        </w:rPr>
        <w:t>M</w:t>
      </w:r>
      <w:r w:rsidR="004E6141" w:rsidRPr="00C437FA">
        <w:rPr>
          <w:rFonts w:ascii="Verdana" w:eastAsia="Verdana" w:hAnsi="Verdana" w:cs="Verdana"/>
          <w:i/>
          <w:sz w:val="16"/>
          <w:szCs w:val="16"/>
          <w:lang w:val="es-CR"/>
        </w:rPr>
        <w:t>e</w:t>
      </w:r>
      <w:r w:rsidR="004E6141" w:rsidRPr="00C437FA">
        <w:rPr>
          <w:rFonts w:ascii="Verdana" w:eastAsia="Verdana" w:hAnsi="Verdana" w:cs="Verdana"/>
          <w:i/>
          <w:spacing w:val="1"/>
          <w:sz w:val="16"/>
          <w:szCs w:val="16"/>
          <w:lang w:val="es-CR"/>
        </w:rPr>
        <w:t>d</w:t>
      </w:r>
      <w:r w:rsidR="004E6141" w:rsidRPr="00C437FA">
        <w:rPr>
          <w:rFonts w:ascii="Verdana" w:eastAsia="Verdana" w:hAnsi="Verdana" w:cs="Verdana"/>
          <w:i/>
          <w:spacing w:val="-1"/>
          <w:sz w:val="16"/>
          <w:szCs w:val="16"/>
          <w:lang w:val="es-CR"/>
        </w:rPr>
        <w:t>i</w:t>
      </w:r>
      <w:r w:rsidR="004E6141" w:rsidRPr="00C437FA">
        <w:rPr>
          <w:rFonts w:ascii="Verdana" w:eastAsia="Verdana" w:hAnsi="Verdana" w:cs="Verdana"/>
          <w:i/>
          <w:spacing w:val="1"/>
          <w:sz w:val="16"/>
          <w:szCs w:val="16"/>
          <w:lang w:val="es-CR"/>
        </w:rPr>
        <w:t>d</w:t>
      </w:r>
      <w:r w:rsidR="004E6141" w:rsidRPr="00C437FA">
        <w:rPr>
          <w:rFonts w:ascii="Verdana" w:eastAsia="Verdana" w:hAnsi="Verdana" w:cs="Verdana"/>
          <w:i/>
          <w:spacing w:val="-1"/>
          <w:sz w:val="16"/>
          <w:szCs w:val="16"/>
          <w:lang w:val="es-CR"/>
        </w:rPr>
        <w:t>a</w:t>
      </w:r>
      <w:r w:rsidR="004E6141" w:rsidRPr="00C437FA">
        <w:rPr>
          <w:rFonts w:ascii="Verdana" w:eastAsia="Verdana" w:hAnsi="Verdana" w:cs="Verdana"/>
          <w:i/>
          <w:sz w:val="16"/>
          <w:szCs w:val="16"/>
          <w:lang w:val="es-CR"/>
        </w:rPr>
        <w:t>s</w:t>
      </w:r>
      <w:r w:rsidR="004E6141" w:rsidRPr="00C437FA">
        <w:rPr>
          <w:rFonts w:ascii="Verdana" w:eastAsia="Verdana" w:hAnsi="Verdana" w:cs="Verdana"/>
          <w:i/>
          <w:spacing w:val="44"/>
          <w:sz w:val="16"/>
          <w:szCs w:val="16"/>
          <w:lang w:val="es-CR"/>
        </w:rPr>
        <w:t xml:space="preserve"> </w:t>
      </w:r>
      <w:r w:rsidR="004E6141" w:rsidRPr="00C437FA">
        <w:rPr>
          <w:rFonts w:ascii="Verdana" w:eastAsia="Verdana" w:hAnsi="Verdana" w:cs="Verdana"/>
          <w:i/>
          <w:spacing w:val="-3"/>
          <w:sz w:val="16"/>
          <w:szCs w:val="16"/>
          <w:lang w:val="es-CR"/>
        </w:rPr>
        <w:t>P</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pacing w:val="-2"/>
          <w:sz w:val="16"/>
          <w:szCs w:val="16"/>
          <w:lang w:val="es-CR"/>
        </w:rPr>
        <w:t>o</w:t>
      </w:r>
      <w:r w:rsidR="004E6141" w:rsidRPr="00C437FA">
        <w:rPr>
          <w:rFonts w:ascii="Verdana" w:eastAsia="Verdana" w:hAnsi="Verdana" w:cs="Verdana"/>
          <w:i/>
          <w:spacing w:val="1"/>
          <w:sz w:val="16"/>
          <w:szCs w:val="16"/>
          <w:lang w:val="es-CR"/>
        </w:rPr>
        <w:t>v</w:t>
      </w:r>
      <w:r w:rsidR="004E6141" w:rsidRPr="00C437FA">
        <w:rPr>
          <w:rFonts w:ascii="Verdana" w:eastAsia="Verdana" w:hAnsi="Verdana" w:cs="Verdana"/>
          <w:i/>
          <w:spacing w:val="-1"/>
          <w:sz w:val="16"/>
          <w:szCs w:val="16"/>
          <w:lang w:val="es-CR"/>
        </w:rPr>
        <w:t>i</w:t>
      </w:r>
      <w:r w:rsidR="004E6141" w:rsidRPr="00C437FA">
        <w:rPr>
          <w:rFonts w:ascii="Verdana" w:eastAsia="Verdana" w:hAnsi="Verdana" w:cs="Verdana"/>
          <w:i/>
          <w:sz w:val="16"/>
          <w:szCs w:val="16"/>
          <w:lang w:val="es-CR"/>
        </w:rPr>
        <w:t>s</w:t>
      </w:r>
      <w:r w:rsidR="004E6141" w:rsidRPr="00C437FA">
        <w:rPr>
          <w:rFonts w:ascii="Verdana" w:eastAsia="Verdana" w:hAnsi="Verdana" w:cs="Verdana"/>
          <w:i/>
          <w:spacing w:val="-1"/>
          <w:sz w:val="16"/>
          <w:szCs w:val="16"/>
          <w:lang w:val="es-CR"/>
        </w:rPr>
        <w:t>i</w:t>
      </w:r>
      <w:r w:rsidR="004E6141" w:rsidRPr="00C437FA">
        <w:rPr>
          <w:rFonts w:ascii="Verdana" w:eastAsia="Verdana" w:hAnsi="Verdana" w:cs="Verdana"/>
          <w:i/>
          <w:spacing w:val="1"/>
          <w:sz w:val="16"/>
          <w:szCs w:val="16"/>
          <w:lang w:val="es-CR"/>
        </w:rPr>
        <w:t>o</w:t>
      </w:r>
      <w:r w:rsidR="004E6141" w:rsidRPr="00C437FA">
        <w:rPr>
          <w:rFonts w:ascii="Verdana" w:eastAsia="Verdana" w:hAnsi="Verdana" w:cs="Verdana"/>
          <w:i/>
          <w:spacing w:val="-1"/>
          <w:sz w:val="16"/>
          <w:szCs w:val="16"/>
          <w:lang w:val="es-CR"/>
        </w:rPr>
        <w:t>nal</w:t>
      </w:r>
      <w:r w:rsidR="004E6141" w:rsidRPr="00C437FA">
        <w:rPr>
          <w:rFonts w:ascii="Verdana" w:eastAsia="Verdana" w:hAnsi="Verdana" w:cs="Verdana"/>
          <w:i/>
          <w:sz w:val="16"/>
          <w:szCs w:val="16"/>
          <w:lang w:val="es-CR"/>
        </w:rPr>
        <w:t>es</w:t>
      </w:r>
      <w:r w:rsidR="004E6141" w:rsidRPr="00C437FA">
        <w:rPr>
          <w:rFonts w:ascii="Verdana" w:eastAsia="Verdana" w:hAnsi="Verdana" w:cs="Verdana"/>
          <w:i/>
          <w:spacing w:val="44"/>
          <w:sz w:val="16"/>
          <w:szCs w:val="16"/>
          <w:lang w:val="es-CR"/>
        </w:rPr>
        <w:t xml:space="preserve"> </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z w:val="16"/>
          <w:szCs w:val="16"/>
          <w:lang w:val="es-CR"/>
        </w:rPr>
        <w:t>es</w:t>
      </w:r>
      <w:r w:rsidR="004E6141" w:rsidRPr="00C437FA">
        <w:rPr>
          <w:rFonts w:ascii="Verdana" w:eastAsia="Verdana" w:hAnsi="Verdana" w:cs="Verdana"/>
          <w:i/>
          <w:spacing w:val="-2"/>
          <w:sz w:val="16"/>
          <w:szCs w:val="16"/>
          <w:lang w:val="es-CR"/>
        </w:rPr>
        <w:t>p</w:t>
      </w:r>
      <w:r w:rsidR="004E6141" w:rsidRPr="00C437FA">
        <w:rPr>
          <w:rFonts w:ascii="Verdana" w:eastAsia="Verdana" w:hAnsi="Verdana" w:cs="Verdana"/>
          <w:i/>
          <w:sz w:val="16"/>
          <w:szCs w:val="16"/>
          <w:lang w:val="es-CR"/>
        </w:rPr>
        <w:t>ec</w:t>
      </w:r>
      <w:r w:rsidR="004E6141" w:rsidRPr="00C437FA">
        <w:rPr>
          <w:rFonts w:ascii="Verdana" w:eastAsia="Verdana" w:hAnsi="Verdana" w:cs="Verdana"/>
          <w:i/>
          <w:spacing w:val="-1"/>
          <w:sz w:val="16"/>
          <w:szCs w:val="16"/>
          <w:lang w:val="es-CR"/>
        </w:rPr>
        <w:t>t</w:t>
      </w:r>
      <w:r w:rsidR="004E6141" w:rsidRPr="00C437FA">
        <w:rPr>
          <w:rFonts w:ascii="Verdana" w:eastAsia="Verdana" w:hAnsi="Verdana" w:cs="Verdana"/>
          <w:i/>
          <w:sz w:val="16"/>
          <w:szCs w:val="16"/>
          <w:lang w:val="es-CR"/>
        </w:rPr>
        <w:t>o</w:t>
      </w:r>
      <w:r w:rsidR="004E6141" w:rsidRPr="00C437FA">
        <w:rPr>
          <w:rFonts w:ascii="Verdana" w:eastAsia="Verdana" w:hAnsi="Verdana" w:cs="Verdana"/>
          <w:i/>
          <w:spacing w:val="43"/>
          <w:sz w:val="16"/>
          <w:szCs w:val="16"/>
          <w:lang w:val="es-CR"/>
        </w:rPr>
        <w:t xml:space="preserve"> </w:t>
      </w:r>
      <w:r w:rsidR="004E6141" w:rsidRPr="00C437FA">
        <w:rPr>
          <w:rFonts w:ascii="Verdana" w:eastAsia="Verdana" w:hAnsi="Verdana" w:cs="Verdana"/>
          <w:i/>
          <w:spacing w:val="1"/>
          <w:sz w:val="16"/>
          <w:szCs w:val="16"/>
          <w:lang w:val="es-CR"/>
        </w:rPr>
        <w:t>d</w:t>
      </w:r>
      <w:r w:rsidR="004E6141" w:rsidRPr="00C437FA">
        <w:rPr>
          <w:rFonts w:ascii="Verdana" w:eastAsia="Verdana" w:hAnsi="Verdana" w:cs="Verdana"/>
          <w:i/>
          <w:sz w:val="16"/>
          <w:szCs w:val="16"/>
          <w:lang w:val="es-CR"/>
        </w:rPr>
        <w:t>e</w:t>
      </w:r>
      <w:r w:rsidR="004E6141" w:rsidRPr="00C437FA">
        <w:rPr>
          <w:rFonts w:ascii="Verdana" w:eastAsia="Verdana" w:hAnsi="Verdana" w:cs="Verdana"/>
          <w:i/>
          <w:spacing w:val="44"/>
          <w:sz w:val="16"/>
          <w:szCs w:val="16"/>
          <w:lang w:val="es-CR"/>
        </w:rPr>
        <w:t xml:space="preserve"> </w:t>
      </w:r>
      <w:r w:rsidR="004E6141" w:rsidRPr="00C437FA">
        <w:rPr>
          <w:rFonts w:ascii="Verdana" w:eastAsia="Verdana" w:hAnsi="Verdana" w:cs="Verdana"/>
          <w:i/>
          <w:spacing w:val="-2"/>
          <w:sz w:val="16"/>
          <w:szCs w:val="16"/>
          <w:lang w:val="es-CR"/>
        </w:rPr>
        <w:t>B</w:t>
      </w:r>
      <w:r w:rsidR="004E6141" w:rsidRPr="00C437FA">
        <w:rPr>
          <w:rFonts w:ascii="Verdana" w:eastAsia="Verdana" w:hAnsi="Verdana" w:cs="Verdana"/>
          <w:i/>
          <w:spacing w:val="1"/>
          <w:sz w:val="16"/>
          <w:szCs w:val="16"/>
          <w:lang w:val="es-CR"/>
        </w:rPr>
        <w:t>r</w:t>
      </w:r>
      <w:r w:rsidR="004E6141" w:rsidRPr="00C437FA">
        <w:rPr>
          <w:rFonts w:ascii="Verdana" w:eastAsia="Verdana" w:hAnsi="Verdana" w:cs="Verdana"/>
          <w:i/>
          <w:spacing w:val="-1"/>
          <w:sz w:val="16"/>
          <w:szCs w:val="16"/>
          <w:lang w:val="es-CR"/>
        </w:rPr>
        <w:t>a</w:t>
      </w:r>
      <w:r w:rsidR="004E6141" w:rsidRPr="00C437FA">
        <w:rPr>
          <w:rFonts w:ascii="Verdana" w:eastAsia="Verdana" w:hAnsi="Verdana" w:cs="Verdana"/>
          <w:i/>
          <w:sz w:val="16"/>
          <w:szCs w:val="16"/>
          <w:lang w:val="es-CR"/>
        </w:rPr>
        <w:t>s</w:t>
      </w:r>
      <w:r w:rsidR="004E6141" w:rsidRPr="00C437FA">
        <w:rPr>
          <w:rFonts w:ascii="Verdana" w:eastAsia="Verdana" w:hAnsi="Verdana" w:cs="Verdana"/>
          <w:i/>
          <w:spacing w:val="-1"/>
          <w:sz w:val="16"/>
          <w:szCs w:val="16"/>
          <w:lang w:val="es-CR"/>
        </w:rPr>
        <w:t>il</w:t>
      </w:r>
      <w:r w:rsidR="004E6141" w:rsidRPr="00C437FA">
        <w:rPr>
          <w:rFonts w:ascii="Verdana" w:eastAsia="Verdana" w:hAnsi="Verdana" w:cs="Verdana"/>
          <w:i/>
          <w:sz w:val="16"/>
          <w:szCs w:val="16"/>
          <w:lang w:val="es-CR"/>
        </w:rPr>
        <w:t xml:space="preserve">. </w:t>
      </w:r>
      <w:r w:rsidR="004E6141" w:rsidRPr="00C437FA">
        <w:rPr>
          <w:rFonts w:ascii="Verdana" w:eastAsia="Verdana" w:hAnsi="Verdana" w:cs="Verdana"/>
          <w:spacing w:val="1"/>
          <w:sz w:val="16"/>
          <w:szCs w:val="16"/>
          <w:lang w:val="es-CR"/>
        </w:rPr>
        <w:t>R</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2"/>
          <w:sz w:val="16"/>
          <w:szCs w:val="16"/>
          <w:lang w:val="es-CR"/>
        </w:rPr>
        <w:t>s</w:t>
      </w:r>
      <w:r w:rsidR="004E6141" w:rsidRPr="00C437FA">
        <w:rPr>
          <w:rFonts w:ascii="Verdana" w:eastAsia="Verdana" w:hAnsi="Verdana" w:cs="Verdana"/>
          <w:spacing w:val="1"/>
          <w:sz w:val="16"/>
          <w:szCs w:val="16"/>
          <w:lang w:val="es-CR"/>
        </w:rPr>
        <w:t>o</w:t>
      </w:r>
      <w:r w:rsidR="004E6141" w:rsidRPr="00C437FA">
        <w:rPr>
          <w:rFonts w:ascii="Verdana" w:eastAsia="Verdana" w:hAnsi="Verdana" w:cs="Verdana"/>
          <w:spacing w:val="-1"/>
          <w:sz w:val="16"/>
          <w:szCs w:val="16"/>
          <w:lang w:val="es-CR"/>
        </w:rPr>
        <w:t>lu</w:t>
      </w:r>
      <w:r w:rsidR="004E6141" w:rsidRPr="00C437FA">
        <w:rPr>
          <w:rFonts w:ascii="Verdana" w:eastAsia="Verdana" w:hAnsi="Verdana" w:cs="Verdana"/>
          <w:sz w:val="16"/>
          <w:szCs w:val="16"/>
          <w:lang w:val="es-CR"/>
        </w:rPr>
        <w:t>c</w:t>
      </w:r>
      <w:r w:rsidR="004E6141" w:rsidRPr="00C437FA">
        <w:rPr>
          <w:rFonts w:ascii="Verdana" w:eastAsia="Verdana" w:hAnsi="Verdana" w:cs="Verdana"/>
          <w:spacing w:val="-1"/>
          <w:sz w:val="16"/>
          <w:szCs w:val="16"/>
          <w:lang w:val="es-CR"/>
        </w:rPr>
        <w:t>i</w:t>
      </w:r>
      <w:r w:rsidR="004E6141" w:rsidRPr="00C437FA">
        <w:rPr>
          <w:rFonts w:ascii="Verdana" w:eastAsia="Verdana" w:hAnsi="Verdana" w:cs="Verdana"/>
          <w:spacing w:val="1"/>
          <w:sz w:val="16"/>
          <w:szCs w:val="16"/>
          <w:lang w:val="es-CR"/>
        </w:rPr>
        <w:t>ó</w:t>
      </w:r>
      <w:r w:rsidR="004E6141" w:rsidRPr="00C437FA">
        <w:rPr>
          <w:rFonts w:ascii="Verdana" w:eastAsia="Verdana" w:hAnsi="Verdana" w:cs="Verdana"/>
          <w:sz w:val="16"/>
          <w:szCs w:val="16"/>
          <w:lang w:val="es-CR"/>
        </w:rPr>
        <w:t>n</w:t>
      </w:r>
      <w:r w:rsidR="004E6141" w:rsidRPr="00C437FA">
        <w:rPr>
          <w:rFonts w:ascii="Verdana" w:eastAsia="Verdana" w:hAnsi="Verdana" w:cs="Verdana"/>
          <w:spacing w:val="3"/>
          <w:sz w:val="16"/>
          <w:szCs w:val="16"/>
          <w:lang w:val="es-CR"/>
        </w:rPr>
        <w:t xml:space="preserve"> </w:t>
      </w:r>
      <w:r w:rsidR="004E6141" w:rsidRPr="00C437FA">
        <w:rPr>
          <w:rFonts w:ascii="Verdana" w:eastAsia="Verdana" w:hAnsi="Verdana" w:cs="Verdana"/>
          <w:spacing w:val="-2"/>
          <w:sz w:val="16"/>
          <w:szCs w:val="16"/>
          <w:lang w:val="es-CR"/>
        </w:rPr>
        <w:t>d</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4"/>
          <w:sz w:val="16"/>
          <w:szCs w:val="16"/>
          <w:lang w:val="es-CR"/>
        </w:rPr>
        <w:t xml:space="preserve"> </w:t>
      </w:r>
      <w:r w:rsidR="004E6141" w:rsidRPr="00C437FA">
        <w:rPr>
          <w:rFonts w:ascii="Verdana" w:eastAsia="Verdana" w:hAnsi="Verdana" w:cs="Verdana"/>
          <w:spacing w:val="-1"/>
          <w:sz w:val="16"/>
          <w:szCs w:val="16"/>
          <w:lang w:val="es-CR"/>
        </w:rPr>
        <w:t>l</w:t>
      </w:r>
      <w:r w:rsidR="004E6141" w:rsidRPr="00C437FA">
        <w:rPr>
          <w:rFonts w:ascii="Verdana" w:eastAsia="Verdana" w:hAnsi="Verdana" w:cs="Verdana"/>
          <w:sz w:val="16"/>
          <w:szCs w:val="16"/>
          <w:lang w:val="es-CR"/>
        </w:rPr>
        <w:t>a</w:t>
      </w:r>
      <w:r w:rsidR="004E6141" w:rsidRPr="00C437FA">
        <w:rPr>
          <w:rFonts w:ascii="Verdana" w:eastAsia="Verdana" w:hAnsi="Verdana" w:cs="Verdana"/>
          <w:spacing w:val="3"/>
          <w:sz w:val="16"/>
          <w:szCs w:val="16"/>
          <w:lang w:val="es-CR"/>
        </w:rPr>
        <w:t xml:space="preserve"> </w:t>
      </w:r>
      <w:r w:rsidR="004E6141" w:rsidRPr="00C437FA">
        <w:rPr>
          <w:rFonts w:ascii="Verdana" w:eastAsia="Verdana" w:hAnsi="Verdana" w:cs="Verdana"/>
          <w:spacing w:val="-2"/>
          <w:sz w:val="16"/>
          <w:szCs w:val="16"/>
          <w:lang w:val="es-CR"/>
        </w:rPr>
        <w:t>C</w:t>
      </w:r>
      <w:r w:rsidR="004E6141" w:rsidRPr="00C437FA">
        <w:rPr>
          <w:rFonts w:ascii="Verdana" w:eastAsia="Verdana" w:hAnsi="Verdana" w:cs="Verdana"/>
          <w:spacing w:val="1"/>
          <w:sz w:val="16"/>
          <w:szCs w:val="16"/>
          <w:lang w:val="es-CR"/>
        </w:rPr>
        <w:t>or</w:t>
      </w:r>
      <w:r w:rsidR="004E6141" w:rsidRPr="00C437FA">
        <w:rPr>
          <w:rFonts w:ascii="Verdana" w:eastAsia="Verdana" w:hAnsi="Verdana" w:cs="Verdana"/>
          <w:spacing w:val="-1"/>
          <w:sz w:val="16"/>
          <w:szCs w:val="16"/>
          <w:lang w:val="es-CR"/>
        </w:rPr>
        <w:t>t</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 xml:space="preserve"> </w:t>
      </w:r>
      <w:r w:rsidR="004E6141" w:rsidRPr="00C437FA">
        <w:rPr>
          <w:rFonts w:ascii="Verdana" w:eastAsia="Verdana" w:hAnsi="Verdana" w:cs="Verdana"/>
          <w:spacing w:val="2"/>
          <w:sz w:val="16"/>
          <w:szCs w:val="16"/>
          <w:lang w:val="es-CR"/>
        </w:rPr>
        <w:t>I</w:t>
      </w:r>
      <w:r w:rsidR="004E6141" w:rsidRPr="00C437FA">
        <w:rPr>
          <w:rFonts w:ascii="Verdana" w:eastAsia="Verdana" w:hAnsi="Verdana" w:cs="Verdana"/>
          <w:spacing w:val="-1"/>
          <w:sz w:val="16"/>
          <w:szCs w:val="16"/>
          <w:lang w:val="es-CR"/>
        </w:rPr>
        <w:t>nt</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r</w:t>
      </w:r>
      <w:r w:rsidR="004E6141" w:rsidRPr="00C437FA">
        <w:rPr>
          <w:rFonts w:ascii="Verdana" w:eastAsia="Verdana" w:hAnsi="Verdana" w:cs="Verdana"/>
          <w:spacing w:val="-3"/>
          <w:sz w:val="16"/>
          <w:szCs w:val="16"/>
          <w:lang w:val="es-CR"/>
        </w:rPr>
        <w:t>a</w:t>
      </w:r>
      <w:r w:rsidR="004E6141" w:rsidRPr="00C437FA">
        <w:rPr>
          <w:rFonts w:ascii="Verdana" w:eastAsia="Verdana" w:hAnsi="Verdana" w:cs="Verdana"/>
          <w:sz w:val="16"/>
          <w:szCs w:val="16"/>
          <w:lang w:val="es-CR"/>
        </w:rPr>
        <w:t>me</w:t>
      </w:r>
      <w:r w:rsidR="004E6141" w:rsidRPr="00C437FA">
        <w:rPr>
          <w:rFonts w:ascii="Verdana" w:eastAsia="Verdana" w:hAnsi="Verdana" w:cs="Verdana"/>
          <w:spacing w:val="1"/>
          <w:sz w:val="16"/>
          <w:szCs w:val="16"/>
          <w:lang w:val="es-CR"/>
        </w:rPr>
        <w:t>r</w:t>
      </w:r>
      <w:r w:rsidR="004E6141" w:rsidRPr="00C437FA">
        <w:rPr>
          <w:rFonts w:ascii="Verdana" w:eastAsia="Verdana" w:hAnsi="Verdana" w:cs="Verdana"/>
          <w:spacing w:val="-1"/>
          <w:sz w:val="16"/>
          <w:szCs w:val="16"/>
          <w:lang w:val="es-CR"/>
        </w:rPr>
        <w:t>i</w:t>
      </w:r>
      <w:r w:rsidR="004E6141" w:rsidRPr="00C437FA">
        <w:rPr>
          <w:rFonts w:ascii="Verdana" w:eastAsia="Verdana" w:hAnsi="Verdana" w:cs="Verdana"/>
          <w:sz w:val="16"/>
          <w:szCs w:val="16"/>
          <w:lang w:val="es-CR"/>
        </w:rPr>
        <w:t>c</w:t>
      </w:r>
      <w:r w:rsidR="004E6141" w:rsidRPr="00C437FA">
        <w:rPr>
          <w:rFonts w:ascii="Verdana" w:eastAsia="Verdana" w:hAnsi="Verdana" w:cs="Verdana"/>
          <w:spacing w:val="-1"/>
          <w:sz w:val="16"/>
          <w:szCs w:val="16"/>
          <w:lang w:val="es-CR"/>
        </w:rPr>
        <w:t>an</w:t>
      </w:r>
      <w:r w:rsidR="004E6141" w:rsidRPr="00C437FA">
        <w:rPr>
          <w:rFonts w:ascii="Verdana" w:eastAsia="Verdana" w:hAnsi="Verdana" w:cs="Verdana"/>
          <w:sz w:val="16"/>
          <w:szCs w:val="16"/>
          <w:lang w:val="es-CR"/>
        </w:rPr>
        <w:t>a</w:t>
      </w:r>
      <w:r w:rsidR="004E6141" w:rsidRPr="00C437FA">
        <w:rPr>
          <w:rFonts w:ascii="Verdana" w:eastAsia="Verdana" w:hAnsi="Verdana" w:cs="Verdana"/>
          <w:spacing w:val="3"/>
          <w:sz w:val="16"/>
          <w:szCs w:val="16"/>
          <w:lang w:val="es-CR"/>
        </w:rPr>
        <w:t xml:space="preserve"> </w:t>
      </w:r>
      <w:r w:rsidR="004E6141" w:rsidRPr="00C437FA">
        <w:rPr>
          <w:rFonts w:ascii="Verdana" w:eastAsia="Verdana" w:hAnsi="Verdana" w:cs="Verdana"/>
          <w:spacing w:val="-2"/>
          <w:sz w:val="16"/>
          <w:szCs w:val="16"/>
          <w:lang w:val="es-CR"/>
        </w:rPr>
        <w:t>d</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 xml:space="preserve"> D</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r</w:t>
      </w:r>
      <w:r w:rsidR="004E6141" w:rsidRPr="00C437FA">
        <w:rPr>
          <w:rFonts w:ascii="Verdana" w:eastAsia="Verdana" w:hAnsi="Verdana" w:cs="Verdana"/>
          <w:sz w:val="16"/>
          <w:szCs w:val="16"/>
          <w:lang w:val="es-CR"/>
        </w:rPr>
        <w:t>ec</w:t>
      </w:r>
      <w:r w:rsidR="004E6141" w:rsidRPr="00C437FA">
        <w:rPr>
          <w:rFonts w:ascii="Verdana" w:eastAsia="Verdana" w:hAnsi="Verdana" w:cs="Verdana"/>
          <w:spacing w:val="-1"/>
          <w:sz w:val="16"/>
          <w:szCs w:val="16"/>
          <w:lang w:val="es-CR"/>
        </w:rPr>
        <w:t>h</w:t>
      </w:r>
      <w:r w:rsidR="004E6141" w:rsidRPr="00C437FA">
        <w:rPr>
          <w:rFonts w:ascii="Verdana" w:eastAsia="Verdana" w:hAnsi="Verdana" w:cs="Verdana"/>
          <w:spacing w:val="-2"/>
          <w:sz w:val="16"/>
          <w:szCs w:val="16"/>
          <w:lang w:val="es-CR"/>
        </w:rPr>
        <w:t>o</w:t>
      </w:r>
      <w:r w:rsidR="004E6141" w:rsidRPr="00C437FA">
        <w:rPr>
          <w:rFonts w:ascii="Verdana" w:eastAsia="Verdana" w:hAnsi="Verdana" w:cs="Verdana"/>
          <w:sz w:val="16"/>
          <w:szCs w:val="16"/>
          <w:lang w:val="es-CR"/>
        </w:rPr>
        <w:t>s</w:t>
      </w:r>
      <w:r w:rsidR="004E6141" w:rsidRPr="00C437FA">
        <w:rPr>
          <w:rFonts w:ascii="Verdana" w:eastAsia="Verdana" w:hAnsi="Verdana" w:cs="Verdana"/>
          <w:spacing w:val="4"/>
          <w:sz w:val="16"/>
          <w:szCs w:val="16"/>
          <w:lang w:val="es-CR"/>
        </w:rPr>
        <w:t xml:space="preserve"> </w:t>
      </w:r>
      <w:r w:rsidR="004E6141" w:rsidRPr="00C437FA">
        <w:rPr>
          <w:rFonts w:ascii="Verdana" w:eastAsia="Verdana" w:hAnsi="Verdana" w:cs="Verdana"/>
          <w:spacing w:val="-1"/>
          <w:sz w:val="16"/>
          <w:szCs w:val="16"/>
          <w:lang w:val="es-CR"/>
        </w:rPr>
        <w:t>Hu</w:t>
      </w:r>
      <w:r w:rsidR="004E6141" w:rsidRPr="00C437FA">
        <w:rPr>
          <w:rFonts w:ascii="Verdana" w:eastAsia="Verdana" w:hAnsi="Verdana" w:cs="Verdana"/>
          <w:sz w:val="16"/>
          <w:szCs w:val="16"/>
          <w:lang w:val="es-CR"/>
        </w:rPr>
        <w:t>m</w:t>
      </w:r>
      <w:r w:rsidR="004E6141" w:rsidRPr="00C437FA">
        <w:rPr>
          <w:rFonts w:ascii="Verdana" w:eastAsia="Verdana" w:hAnsi="Verdana" w:cs="Verdana"/>
          <w:spacing w:val="-1"/>
          <w:sz w:val="16"/>
          <w:szCs w:val="16"/>
          <w:lang w:val="es-CR"/>
        </w:rPr>
        <w:t>a</w:t>
      </w:r>
      <w:r w:rsidR="004E6141" w:rsidRPr="00C437FA">
        <w:rPr>
          <w:rFonts w:ascii="Verdana" w:eastAsia="Verdana" w:hAnsi="Verdana" w:cs="Verdana"/>
          <w:spacing w:val="-3"/>
          <w:sz w:val="16"/>
          <w:szCs w:val="16"/>
          <w:lang w:val="es-CR"/>
        </w:rPr>
        <w:t>n</w:t>
      </w:r>
      <w:r w:rsidR="004E6141" w:rsidRPr="00C437FA">
        <w:rPr>
          <w:rFonts w:ascii="Verdana" w:eastAsia="Verdana" w:hAnsi="Verdana" w:cs="Verdana"/>
          <w:spacing w:val="1"/>
          <w:sz w:val="16"/>
          <w:szCs w:val="16"/>
          <w:lang w:val="es-CR"/>
        </w:rPr>
        <w:t>o</w:t>
      </w:r>
      <w:r w:rsidR="004E6141" w:rsidRPr="00C437FA">
        <w:rPr>
          <w:rFonts w:ascii="Verdana" w:eastAsia="Verdana" w:hAnsi="Verdana" w:cs="Verdana"/>
          <w:sz w:val="16"/>
          <w:szCs w:val="16"/>
          <w:lang w:val="es-CR"/>
        </w:rPr>
        <w:t>s</w:t>
      </w:r>
      <w:r w:rsidR="004E6141" w:rsidRPr="00C437FA">
        <w:rPr>
          <w:rFonts w:ascii="Verdana" w:eastAsia="Verdana" w:hAnsi="Verdana" w:cs="Verdana"/>
          <w:spacing w:val="1"/>
          <w:sz w:val="16"/>
          <w:szCs w:val="16"/>
          <w:lang w:val="es-CR"/>
        </w:rPr>
        <w:t xml:space="preserve"> d</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 xml:space="preserve"> 1</w:t>
      </w:r>
      <w:r w:rsidR="004E6141" w:rsidRPr="00C437FA">
        <w:rPr>
          <w:rFonts w:ascii="Verdana" w:eastAsia="Verdana" w:hAnsi="Verdana" w:cs="Verdana"/>
          <w:sz w:val="16"/>
          <w:szCs w:val="16"/>
          <w:lang w:val="es-CR"/>
        </w:rPr>
        <w:t>8</w:t>
      </w:r>
      <w:r w:rsidR="004E6141" w:rsidRPr="00C437FA">
        <w:rPr>
          <w:rFonts w:ascii="Verdana" w:eastAsia="Verdana" w:hAnsi="Verdana" w:cs="Verdana"/>
          <w:spacing w:val="2"/>
          <w:sz w:val="16"/>
          <w:szCs w:val="16"/>
          <w:lang w:val="es-CR"/>
        </w:rPr>
        <w:t xml:space="preserve"> </w:t>
      </w:r>
      <w:r w:rsidR="004E6141" w:rsidRPr="00C437FA">
        <w:rPr>
          <w:rFonts w:ascii="Verdana" w:eastAsia="Verdana" w:hAnsi="Verdana" w:cs="Verdana"/>
          <w:spacing w:val="1"/>
          <w:sz w:val="16"/>
          <w:szCs w:val="16"/>
          <w:lang w:val="es-CR"/>
        </w:rPr>
        <w:t>d</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 xml:space="preserve"> </w:t>
      </w:r>
      <w:r w:rsidR="004E6141" w:rsidRPr="00C437FA">
        <w:rPr>
          <w:rFonts w:ascii="Verdana" w:eastAsia="Verdana" w:hAnsi="Verdana" w:cs="Verdana"/>
          <w:sz w:val="16"/>
          <w:szCs w:val="16"/>
          <w:lang w:val="es-CR"/>
        </w:rPr>
        <w:t>j</w:t>
      </w:r>
      <w:r w:rsidR="004E6141" w:rsidRPr="00C437FA">
        <w:rPr>
          <w:rFonts w:ascii="Verdana" w:eastAsia="Verdana" w:hAnsi="Verdana" w:cs="Verdana"/>
          <w:spacing w:val="-1"/>
          <w:sz w:val="16"/>
          <w:szCs w:val="16"/>
          <w:lang w:val="es-CR"/>
        </w:rPr>
        <w:t>uni</w:t>
      </w:r>
      <w:r w:rsidR="004E6141" w:rsidRPr="00C437FA">
        <w:rPr>
          <w:rFonts w:ascii="Verdana" w:eastAsia="Verdana" w:hAnsi="Verdana" w:cs="Verdana"/>
          <w:sz w:val="16"/>
          <w:szCs w:val="16"/>
          <w:lang w:val="es-CR"/>
        </w:rPr>
        <w:t>o</w:t>
      </w:r>
      <w:r w:rsidR="004E6141" w:rsidRPr="00C437FA">
        <w:rPr>
          <w:rFonts w:ascii="Verdana" w:eastAsia="Verdana" w:hAnsi="Verdana" w:cs="Verdana"/>
          <w:spacing w:val="4"/>
          <w:sz w:val="16"/>
          <w:szCs w:val="16"/>
          <w:lang w:val="es-CR"/>
        </w:rPr>
        <w:t xml:space="preserve"> </w:t>
      </w:r>
      <w:r w:rsidR="004E6141" w:rsidRPr="00C437FA">
        <w:rPr>
          <w:rFonts w:ascii="Verdana" w:eastAsia="Verdana" w:hAnsi="Verdana" w:cs="Verdana"/>
          <w:spacing w:val="-2"/>
          <w:sz w:val="16"/>
          <w:szCs w:val="16"/>
          <w:lang w:val="es-CR"/>
        </w:rPr>
        <w:t>d</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 xml:space="preserve"> 2</w:t>
      </w:r>
      <w:r w:rsidR="004E6141" w:rsidRPr="00C437FA">
        <w:rPr>
          <w:rFonts w:ascii="Verdana" w:eastAsia="Verdana" w:hAnsi="Verdana" w:cs="Verdana"/>
          <w:spacing w:val="-1"/>
          <w:sz w:val="16"/>
          <w:szCs w:val="16"/>
          <w:lang w:val="es-CR"/>
        </w:rPr>
        <w:t>0</w:t>
      </w:r>
      <w:r w:rsidR="004E6141" w:rsidRPr="00C437FA">
        <w:rPr>
          <w:rFonts w:ascii="Verdana" w:eastAsia="Verdana" w:hAnsi="Verdana" w:cs="Verdana"/>
          <w:spacing w:val="1"/>
          <w:sz w:val="16"/>
          <w:szCs w:val="16"/>
          <w:lang w:val="es-CR"/>
        </w:rPr>
        <w:t>02</w:t>
      </w:r>
      <w:r w:rsidR="004E6141" w:rsidRPr="00C437FA">
        <w:rPr>
          <w:rFonts w:ascii="Verdana" w:eastAsia="Verdana" w:hAnsi="Verdana" w:cs="Verdana"/>
          <w:sz w:val="16"/>
          <w:szCs w:val="16"/>
          <w:lang w:val="es-CR"/>
        </w:rPr>
        <w:t xml:space="preserve">, </w:t>
      </w:r>
      <w:r w:rsidR="004E6141" w:rsidRPr="00C437FA">
        <w:rPr>
          <w:rFonts w:ascii="Verdana" w:eastAsia="Verdana" w:hAnsi="Verdana" w:cs="Verdana"/>
          <w:spacing w:val="-2"/>
          <w:sz w:val="16"/>
          <w:szCs w:val="16"/>
          <w:lang w:val="es-CR"/>
        </w:rPr>
        <w:t>C</w:t>
      </w:r>
      <w:r w:rsidR="004E6141" w:rsidRPr="00C437FA">
        <w:rPr>
          <w:rFonts w:ascii="Verdana" w:eastAsia="Verdana" w:hAnsi="Verdana" w:cs="Verdana"/>
          <w:spacing w:val="1"/>
          <w:sz w:val="16"/>
          <w:szCs w:val="16"/>
          <w:lang w:val="es-CR"/>
        </w:rPr>
        <w:t>o</w:t>
      </w:r>
      <w:r w:rsidR="004E6141" w:rsidRPr="00C437FA">
        <w:rPr>
          <w:rFonts w:ascii="Verdana" w:eastAsia="Verdana" w:hAnsi="Verdana" w:cs="Verdana"/>
          <w:spacing w:val="-1"/>
          <w:sz w:val="16"/>
          <w:szCs w:val="16"/>
          <w:lang w:val="es-CR"/>
        </w:rPr>
        <w:t>n</w:t>
      </w:r>
      <w:r w:rsidR="004E6141" w:rsidRPr="00C437FA">
        <w:rPr>
          <w:rFonts w:ascii="Verdana" w:eastAsia="Verdana" w:hAnsi="Verdana" w:cs="Verdana"/>
          <w:sz w:val="16"/>
          <w:szCs w:val="16"/>
          <w:lang w:val="es-CR"/>
        </w:rPr>
        <w:t>s</w:t>
      </w:r>
      <w:r w:rsidR="004E6141" w:rsidRPr="00C437FA">
        <w:rPr>
          <w:rFonts w:ascii="Verdana" w:eastAsia="Verdana" w:hAnsi="Verdana" w:cs="Verdana"/>
          <w:spacing w:val="-1"/>
          <w:sz w:val="16"/>
          <w:szCs w:val="16"/>
          <w:lang w:val="es-CR"/>
        </w:rPr>
        <w:t>i</w:t>
      </w:r>
      <w:r w:rsidR="004E6141" w:rsidRPr="00C437FA">
        <w:rPr>
          <w:rFonts w:ascii="Verdana" w:eastAsia="Verdana" w:hAnsi="Verdana" w:cs="Verdana"/>
          <w:spacing w:val="1"/>
          <w:sz w:val="16"/>
          <w:szCs w:val="16"/>
          <w:lang w:val="es-CR"/>
        </w:rPr>
        <w:t>d</w:t>
      </w:r>
      <w:r w:rsidR="004E6141" w:rsidRPr="00C437FA">
        <w:rPr>
          <w:rFonts w:ascii="Verdana" w:eastAsia="Verdana" w:hAnsi="Verdana" w:cs="Verdana"/>
          <w:spacing w:val="-2"/>
          <w:sz w:val="16"/>
          <w:szCs w:val="16"/>
          <w:lang w:val="es-CR"/>
        </w:rPr>
        <w:t>e</w:t>
      </w:r>
      <w:r w:rsidR="004E6141" w:rsidRPr="00C437FA">
        <w:rPr>
          <w:rFonts w:ascii="Verdana" w:eastAsia="Verdana" w:hAnsi="Verdana" w:cs="Verdana"/>
          <w:spacing w:val="1"/>
          <w:sz w:val="16"/>
          <w:szCs w:val="16"/>
          <w:lang w:val="es-CR"/>
        </w:rPr>
        <w:t>r</w:t>
      </w:r>
      <w:r w:rsidR="004E6141" w:rsidRPr="00C437FA">
        <w:rPr>
          <w:rFonts w:ascii="Verdana" w:eastAsia="Verdana" w:hAnsi="Verdana" w:cs="Verdana"/>
          <w:spacing w:val="-1"/>
          <w:sz w:val="16"/>
          <w:szCs w:val="16"/>
          <w:lang w:val="es-CR"/>
        </w:rPr>
        <w:t>an</w:t>
      </w:r>
      <w:r w:rsidR="004E6141" w:rsidRPr="00C437FA">
        <w:rPr>
          <w:rFonts w:ascii="Verdana" w:eastAsia="Verdana" w:hAnsi="Verdana" w:cs="Verdana"/>
          <w:spacing w:val="1"/>
          <w:sz w:val="16"/>
          <w:szCs w:val="16"/>
          <w:lang w:val="es-CR"/>
        </w:rPr>
        <w:t>d</w:t>
      </w:r>
      <w:r w:rsidR="004E6141" w:rsidRPr="00C437FA">
        <w:rPr>
          <w:rFonts w:ascii="Verdana" w:eastAsia="Verdana" w:hAnsi="Verdana" w:cs="Verdana"/>
          <w:sz w:val="16"/>
          <w:szCs w:val="16"/>
          <w:lang w:val="es-CR"/>
        </w:rPr>
        <w:t>o</w:t>
      </w:r>
      <w:r w:rsidR="004E6141" w:rsidRPr="00C437FA">
        <w:rPr>
          <w:rFonts w:ascii="Verdana" w:eastAsia="Verdana" w:hAnsi="Verdana" w:cs="Verdana"/>
          <w:spacing w:val="2"/>
          <w:sz w:val="16"/>
          <w:szCs w:val="16"/>
          <w:lang w:val="es-CR"/>
        </w:rPr>
        <w:t xml:space="preserve"> </w:t>
      </w:r>
      <w:r w:rsidR="004E6141" w:rsidRPr="00C437FA">
        <w:rPr>
          <w:rFonts w:ascii="Verdana" w:eastAsia="Verdana" w:hAnsi="Verdana" w:cs="Verdana"/>
          <w:spacing w:val="-1"/>
          <w:sz w:val="16"/>
          <w:szCs w:val="16"/>
          <w:lang w:val="es-CR"/>
        </w:rPr>
        <w:t>n</w:t>
      </w:r>
      <w:r w:rsidR="004E6141" w:rsidRPr="00C437FA">
        <w:rPr>
          <w:rFonts w:ascii="Verdana" w:eastAsia="Verdana" w:hAnsi="Verdana" w:cs="Verdana"/>
          <w:spacing w:val="-2"/>
          <w:sz w:val="16"/>
          <w:szCs w:val="16"/>
          <w:lang w:val="es-CR"/>
        </w:rPr>
        <w:t>o</w:t>
      </w:r>
      <w:r w:rsidR="004E6141" w:rsidRPr="00C437FA">
        <w:rPr>
          <w:rFonts w:ascii="Verdana" w:eastAsia="Verdana" w:hAnsi="Verdana" w:cs="Verdana"/>
          <w:spacing w:val="1"/>
          <w:sz w:val="16"/>
          <w:szCs w:val="16"/>
          <w:lang w:val="es-CR"/>
        </w:rPr>
        <w:t>v</w:t>
      </w:r>
      <w:r w:rsidR="004E6141" w:rsidRPr="00C437FA">
        <w:rPr>
          <w:rFonts w:ascii="Verdana" w:eastAsia="Verdana" w:hAnsi="Verdana" w:cs="Verdana"/>
          <w:sz w:val="16"/>
          <w:szCs w:val="16"/>
          <w:lang w:val="es-CR"/>
        </w:rPr>
        <w:t>e</w:t>
      </w:r>
      <w:r w:rsidR="004E6141" w:rsidRPr="00C437FA">
        <w:rPr>
          <w:rFonts w:ascii="Verdana" w:eastAsia="Verdana" w:hAnsi="Verdana" w:cs="Verdana"/>
          <w:spacing w:val="-1"/>
          <w:sz w:val="16"/>
          <w:szCs w:val="16"/>
          <w:lang w:val="es-CR"/>
        </w:rPr>
        <w:t>n</w:t>
      </w:r>
      <w:r w:rsidR="004E6141" w:rsidRPr="00C437FA">
        <w:rPr>
          <w:rFonts w:ascii="Verdana" w:eastAsia="Verdana" w:hAnsi="Verdana" w:cs="Verdana"/>
          <w:spacing w:val="1"/>
          <w:sz w:val="16"/>
          <w:szCs w:val="16"/>
          <w:lang w:val="es-CR"/>
        </w:rPr>
        <w:t>o</w:t>
      </w:r>
      <w:r w:rsidR="004E6141" w:rsidRPr="00C437FA">
        <w:rPr>
          <w:rFonts w:ascii="Verdana" w:eastAsia="Verdana" w:hAnsi="Verdana" w:cs="Verdana"/>
          <w:sz w:val="16"/>
          <w:szCs w:val="16"/>
          <w:lang w:val="es-CR"/>
        </w:rPr>
        <w:t>, y</w:t>
      </w:r>
      <w:r w:rsidR="004E6141" w:rsidRPr="00C437FA">
        <w:rPr>
          <w:rFonts w:ascii="Verdana" w:eastAsia="Verdana" w:hAnsi="Verdana" w:cs="Verdana"/>
          <w:spacing w:val="12"/>
          <w:sz w:val="16"/>
          <w:szCs w:val="16"/>
          <w:lang w:val="es-CR"/>
        </w:rPr>
        <w:t xml:space="preserve"> </w:t>
      </w:r>
      <w:r w:rsidR="004E6141" w:rsidRPr="00C437FA">
        <w:rPr>
          <w:rFonts w:ascii="Verdana" w:eastAsia="Verdana" w:hAnsi="Verdana" w:cs="Verdana"/>
          <w:i/>
          <w:spacing w:val="1"/>
          <w:sz w:val="16"/>
          <w:szCs w:val="16"/>
          <w:lang w:val="es-CR"/>
        </w:rPr>
        <w:t>A</w:t>
      </w:r>
      <w:r w:rsidR="004E6141" w:rsidRPr="00C437FA">
        <w:rPr>
          <w:rFonts w:ascii="Verdana" w:eastAsia="Verdana" w:hAnsi="Verdana" w:cs="Verdana"/>
          <w:i/>
          <w:spacing w:val="-2"/>
          <w:sz w:val="16"/>
          <w:szCs w:val="16"/>
          <w:lang w:val="es-CR"/>
        </w:rPr>
        <w:t>s</w:t>
      </w:r>
      <w:r w:rsidR="004E6141" w:rsidRPr="00C437FA">
        <w:rPr>
          <w:rFonts w:ascii="Verdana" w:eastAsia="Verdana" w:hAnsi="Verdana" w:cs="Verdana"/>
          <w:i/>
          <w:spacing w:val="-1"/>
          <w:sz w:val="16"/>
          <w:szCs w:val="16"/>
          <w:lang w:val="es-CR"/>
        </w:rPr>
        <w:t>unt</w:t>
      </w:r>
      <w:r w:rsidR="004E6141" w:rsidRPr="00C437FA">
        <w:rPr>
          <w:rFonts w:ascii="Verdana" w:eastAsia="Verdana" w:hAnsi="Verdana" w:cs="Verdana"/>
          <w:i/>
          <w:sz w:val="16"/>
          <w:szCs w:val="16"/>
          <w:lang w:val="es-CR"/>
        </w:rPr>
        <w:t>o</w:t>
      </w:r>
      <w:r w:rsidR="004E6141" w:rsidRPr="00C437FA">
        <w:rPr>
          <w:rFonts w:ascii="Verdana" w:eastAsia="Verdana" w:hAnsi="Verdana" w:cs="Verdana"/>
          <w:i/>
          <w:spacing w:val="2"/>
          <w:sz w:val="16"/>
          <w:szCs w:val="16"/>
          <w:lang w:val="es-CR"/>
        </w:rPr>
        <w:t xml:space="preserve"> </w:t>
      </w:r>
      <w:r w:rsidR="004E6141" w:rsidRPr="00C437FA">
        <w:rPr>
          <w:rFonts w:ascii="Verdana" w:eastAsia="Verdana" w:hAnsi="Verdana" w:cs="Verdana"/>
          <w:i/>
          <w:spacing w:val="1"/>
          <w:sz w:val="16"/>
          <w:szCs w:val="16"/>
          <w:lang w:val="es-CR"/>
        </w:rPr>
        <w:t xml:space="preserve">del Complejo Penitenciario de Curado, </w:t>
      </w:r>
      <w:r w:rsidR="004E6141" w:rsidRPr="00C437FA">
        <w:rPr>
          <w:rFonts w:ascii="Verdana" w:hAnsi="Verdana"/>
          <w:i/>
          <w:sz w:val="16"/>
          <w:szCs w:val="16"/>
        </w:rPr>
        <w:t>Medidas Provisionales respecto de Brasil</w:t>
      </w:r>
      <w:r w:rsidR="004E6141" w:rsidRPr="00C437FA">
        <w:rPr>
          <w:rFonts w:ascii="Verdana" w:hAnsi="Verdana"/>
          <w:sz w:val="16"/>
          <w:szCs w:val="16"/>
        </w:rPr>
        <w:t xml:space="preserve">. Resolución de la Corte Interamericana de Derechos Humanos de 23 de noviembre de 2016, </w:t>
      </w:r>
      <w:r w:rsidR="004E6141" w:rsidRPr="00C437FA">
        <w:rPr>
          <w:rFonts w:ascii="Verdana" w:eastAsia="Verdana" w:hAnsi="Verdana" w:cs="Verdana"/>
          <w:spacing w:val="-2"/>
          <w:sz w:val="16"/>
          <w:szCs w:val="16"/>
          <w:lang w:val="es-CR"/>
        </w:rPr>
        <w:t>C</w:t>
      </w:r>
      <w:r w:rsidR="004E6141" w:rsidRPr="00C437FA">
        <w:rPr>
          <w:rFonts w:ascii="Verdana" w:eastAsia="Verdana" w:hAnsi="Verdana" w:cs="Verdana"/>
          <w:spacing w:val="1"/>
          <w:sz w:val="16"/>
          <w:szCs w:val="16"/>
          <w:lang w:val="es-CR"/>
        </w:rPr>
        <w:t>o</w:t>
      </w:r>
      <w:r w:rsidR="004E6141" w:rsidRPr="00C437FA">
        <w:rPr>
          <w:rFonts w:ascii="Verdana" w:eastAsia="Verdana" w:hAnsi="Verdana" w:cs="Verdana"/>
          <w:spacing w:val="-1"/>
          <w:sz w:val="16"/>
          <w:szCs w:val="16"/>
          <w:lang w:val="es-CR"/>
        </w:rPr>
        <w:t>n</w:t>
      </w:r>
      <w:r w:rsidR="004E6141" w:rsidRPr="00C437FA">
        <w:rPr>
          <w:rFonts w:ascii="Verdana" w:eastAsia="Verdana" w:hAnsi="Verdana" w:cs="Verdana"/>
          <w:sz w:val="16"/>
          <w:szCs w:val="16"/>
          <w:lang w:val="es-CR"/>
        </w:rPr>
        <w:t>s</w:t>
      </w:r>
      <w:r w:rsidR="004E6141" w:rsidRPr="00C437FA">
        <w:rPr>
          <w:rFonts w:ascii="Verdana" w:eastAsia="Verdana" w:hAnsi="Verdana" w:cs="Verdana"/>
          <w:spacing w:val="-1"/>
          <w:sz w:val="16"/>
          <w:szCs w:val="16"/>
          <w:lang w:val="es-CR"/>
        </w:rPr>
        <w:t>i</w:t>
      </w:r>
      <w:r w:rsidR="004E6141" w:rsidRPr="00C437FA">
        <w:rPr>
          <w:rFonts w:ascii="Verdana" w:eastAsia="Verdana" w:hAnsi="Verdana" w:cs="Verdana"/>
          <w:spacing w:val="1"/>
          <w:sz w:val="16"/>
          <w:szCs w:val="16"/>
          <w:lang w:val="es-CR"/>
        </w:rPr>
        <w:t>d</w:t>
      </w:r>
      <w:r w:rsidR="004E6141" w:rsidRPr="00C437FA">
        <w:rPr>
          <w:rFonts w:ascii="Verdana" w:eastAsia="Verdana" w:hAnsi="Verdana" w:cs="Verdana"/>
          <w:spacing w:val="-2"/>
          <w:sz w:val="16"/>
          <w:szCs w:val="16"/>
          <w:lang w:val="es-CR"/>
        </w:rPr>
        <w:t>e</w:t>
      </w:r>
      <w:r w:rsidR="004E6141" w:rsidRPr="00C437FA">
        <w:rPr>
          <w:rFonts w:ascii="Verdana" w:eastAsia="Verdana" w:hAnsi="Verdana" w:cs="Verdana"/>
          <w:spacing w:val="1"/>
          <w:sz w:val="16"/>
          <w:szCs w:val="16"/>
          <w:lang w:val="es-CR"/>
        </w:rPr>
        <w:t>r</w:t>
      </w:r>
      <w:r w:rsidR="004E6141" w:rsidRPr="00C437FA">
        <w:rPr>
          <w:rFonts w:ascii="Verdana" w:eastAsia="Verdana" w:hAnsi="Verdana" w:cs="Verdana"/>
          <w:spacing w:val="-1"/>
          <w:sz w:val="16"/>
          <w:szCs w:val="16"/>
          <w:lang w:val="es-CR"/>
        </w:rPr>
        <w:t>an</w:t>
      </w:r>
      <w:r w:rsidR="004E6141" w:rsidRPr="00C437FA">
        <w:rPr>
          <w:rFonts w:ascii="Verdana" w:eastAsia="Verdana" w:hAnsi="Verdana" w:cs="Verdana"/>
          <w:spacing w:val="1"/>
          <w:sz w:val="16"/>
          <w:szCs w:val="16"/>
          <w:lang w:val="es-CR"/>
        </w:rPr>
        <w:t>d</w:t>
      </w:r>
      <w:r w:rsidR="004E6141" w:rsidRPr="00C437FA">
        <w:rPr>
          <w:rFonts w:ascii="Verdana" w:eastAsia="Verdana" w:hAnsi="Verdana" w:cs="Verdana"/>
          <w:sz w:val="16"/>
          <w:szCs w:val="16"/>
          <w:lang w:val="es-CR"/>
        </w:rPr>
        <w:t xml:space="preserve">o </w:t>
      </w:r>
      <w:r w:rsidR="004E6141" w:rsidRPr="00C437FA">
        <w:rPr>
          <w:rFonts w:ascii="Verdana" w:eastAsia="Verdana" w:hAnsi="Verdana" w:cs="Verdana"/>
          <w:spacing w:val="1"/>
          <w:sz w:val="16"/>
          <w:szCs w:val="16"/>
          <w:lang w:val="es-CR"/>
        </w:rPr>
        <w:t>quinto</w:t>
      </w:r>
      <w:r w:rsidR="004E6141" w:rsidRPr="00C437FA">
        <w:rPr>
          <w:rFonts w:ascii="Verdana" w:eastAsia="Verdana" w:hAnsi="Verdana" w:cs="Verdana"/>
          <w:sz w:val="16"/>
          <w:szCs w:val="16"/>
          <w:lang w:val="es-CR"/>
        </w:rPr>
        <w:t>.</w:t>
      </w:r>
    </w:p>
  </w:footnote>
  <w:footnote w:id="5">
    <w:p w:rsidR="00B16921" w:rsidRPr="00C437FA" w:rsidRDefault="00B16921" w:rsidP="00C437FA">
      <w:pPr>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FE32FA" w:rsidRPr="00C437FA">
        <w:rPr>
          <w:rFonts w:ascii="Verdana" w:eastAsia="Verdana" w:hAnsi="Verdana" w:cs="Verdana"/>
          <w:i/>
          <w:sz w:val="16"/>
          <w:szCs w:val="16"/>
          <w:lang w:val="es-CR"/>
        </w:rPr>
        <w:tab/>
        <w:t>C</w:t>
      </w:r>
      <w:r w:rsidR="00FE32FA" w:rsidRPr="00C437FA">
        <w:rPr>
          <w:rFonts w:ascii="Verdana" w:eastAsia="Verdana" w:hAnsi="Verdana" w:cs="Verdana"/>
          <w:i/>
          <w:spacing w:val="-1"/>
          <w:sz w:val="16"/>
          <w:szCs w:val="16"/>
          <w:lang w:val="es-CR"/>
        </w:rPr>
        <w:t>f</w:t>
      </w:r>
      <w:r w:rsidR="00FE32FA" w:rsidRPr="00C437FA">
        <w:rPr>
          <w:rFonts w:ascii="Verdana" w:eastAsia="Verdana" w:hAnsi="Verdana" w:cs="Verdana"/>
          <w:i/>
          <w:spacing w:val="1"/>
          <w:sz w:val="16"/>
          <w:szCs w:val="16"/>
          <w:lang w:val="es-CR"/>
        </w:rPr>
        <w:t>r</w:t>
      </w:r>
      <w:r w:rsidR="00FE32FA" w:rsidRPr="00C437FA">
        <w:rPr>
          <w:rFonts w:ascii="Verdana" w:eastAsia="Verdana" w:hAnsi="Verdana" w:cs="Verdana"/>
          <w:i/>
          <w:sz w:val="16"/>
          <w:szCs w:val="16"/>
          <w:lang w:val="es-CR"/>
        </w:rPr>
        <w:t xml:space="preserve">. </w:t>
      </w:r>
      <w:r w:rsidR="00FE32FA" w:rsidRPr="00C437FA">
        <w:rPr>
          <w:rFonts w:ascii="Verdana" w:eastAsia="Verdana" w:hAnsi="Verdana" w:cs="Verdana"/>
          <w:i/>
          <w:spacing w:val="1"/>
          <w:sz w:val="16"/>
          <w:szCs w:val="16"/>
          <w:lang w:val="es-CR"/>
        </w:rPr>
        <w:t>A</w:t>
      </w:r>
      <w:r w:rsidR="00FE32FA" w:rsidRPr="00C437FA">
        <w:rPr>
          <w:rFonts w:ascii="Verdana" w:eastAsia="Verdana" w:hAnsi="Verdana" w:cs="Verdana"/>
          <w:i/>
          <w:sz w:val="16"/>
          <w:szCs w:val="16"/>
          <w:lang w:val="es-CR"/>
        </w:rPr>
        <w:t>s</w:t>
      </w:r>
      <w:r w:rsidR="00FE32FA" w:rsidRPr="00C437FA">
        <w:rPr>
          <w:rFonts w:ascii="Verdana" w:eastAsia="Verdana" w:hAnsi="Verdana" w:cs="Verdana"/>
          <w:i/>
          <w:spacing w:val="-1"/>
          <w:sz w:val="16"/>
          <w:szCs w:val="16"/>
          <w:lang w:val="es-CR"/>
        </w:rPr>
        <w:t>unt</w:t>
      </w:r>
      <w:r w:rsidR="00FE32FA" w:rsidRPr="00C437FA">
        <w:rPr>
          <w:rFonts w:ascii="Verdana" w:eastAsia="Verdana" w:hAnsi="Verdana" w:cs="Verdana"/>
          <w:i/>
          <w:sz w:val="16"/>
          <w:szCs w:val="16"/>
          <w:lang w:val="es-CR"/>
        </w:rPr>
        <w:t xml:space="preserve">o </w:t>
      </w:r>
      <w:r w:rsidR="00FE32FA" w:rsidRPr="00C437FA">
        <w:rPr>
          <w:rFonts w:ascii="Verdana" w:eastAsia="Verdana" w:hAnsi="Verdana" w:cs="Verdana"/>
          <w:i/>
          <w:spacing w:val="1"/>
          <w:sz w:val="16"/>
          <w:szCs w:val="16"/>
          <w:lang w:val="es-CR"/>
        </w:rPr>
        <w:t>d</w:t>
      </w:r>
      <w:r w:rsidR="00FE32FA" w:rsidRPr="00C437FA">
        <w:rPr>
          <w:rFonts w:ascii="Verdana" w:eastAsia="Verdana" w:hAnsi="Verdana" w:cs="Verdana"/>
          <w:i/>
          <w:sz w:val="16"/>
          <w:szCs w:val="16"/>
          <w:lang w:val="es-CR"/>
        </w:rPr>
        <w:t>el I</w:t>
      </w:r>
      <w:r w:rsidR="00FE32FA" w:rsidRPr="00C437FA">
        <w:rPr>
          <w:rFonts w:ascii="Verdana" w:eastAsia="Verdana" w:hAnsi="Verdana" w:cs="Verdana"/>
          <w:i/>
          <w:spacing w:val="-1"/>
          <w:sz w:val="16"/>
          <w:szCs w:val="16"/>
          <w:lang w:val="es-CR"/>
        </w:rPr>
        <w:t>nt</w:t>
      </w:r>
      <w:r w:rsidR="00FE32FA" w:rsidRPr="00C437FA">
        <w:rPr>
          <w:rFonts w:ascii="Verdana" w:eastAsia="Verdana" w:hAnsi="Verdana" w:cs="Verdana"/>
          <w:i/>
          <w:sz w:val="16"/>
          <w:szCs w:val="16"/>
          <w:lang w:val="es-CR"/>
        </w:rPr>
        <w:t>e</w:t>
      </w:r>
      <w:r w:rsidR="00FE32FA" w:rsidRPr="00C437FA">
        <w:rPr>
          <w:rFonts w:ascii="Verdana" w:eastAsia="Verdana" w:hAnsi="Verdana" w:cs="Verdana"/>
          <w:i/>
          <w:spacing w:val="1"/>
          <w:sz w:val="16"/>
          <w:szCs w:val="16"/>
          <w:lang w:val="es-CR"/>
        </w:rPr>
        <w:t>r</w:t>
      </w:r>
      <w:r w:rsidR="00FE32FA" w:rsidRPr="00C437FA">
        <w:rPr>
          <w:rFonts w:ascii="Verdana" w:eastAsia="Verdana" w:hAnsi="Verdana" w:cs="Verdana"/>
          <w:i/>
          <w:spacing w:val="-1"/>
          <w:sz w:val="16"/>
          <w:szCs w:val="16"/>
          <w:lang w:val="es-CR"/>
        </w:rPr>
        <w:t>n</w:t>
      </w:r>
      <w:r w:rsidR="00FE32FA" w:rsidRPr="00C437FA">
        <w:rPr>
          <w:rFonts w:ascii="Verdana" w:eastAsia="Verdana" w:hAnsi="Verdana" w:cs="Verdana"/>
          <w:i/>
          <w:spacing w:val="-3"/>
          <w:sz w:val="16"/>
          <w:szCs w:val="16"/>
          <w:lang w:val="es-CR"/>
        </w:rPr>
        <w:t>a</w:t>
      </w:r>
      <w:r w:rsidR="00FE32FA" w:rsidRPr="00C437FA">
        <w:rPr>
          <w:rFonts w:ascii="Verdana" w:eastAsia="Verdana" w:hAnsi="Verdana" w:cs="Verdana"/>
          <w:i/>
          <w:spacing w:val="1"/>
          <w:sz w:val="16"/>
          <w:szCs w:val="16"/>
          <w:lang w:val="es-CR"/>
        </w:rPr>
        <w:t>d</w:t>
      </w:r>
      <w:r w:rsidR="00FE32FA" w:rsidRPr="00C437FA">
        <w:rPr>
          <w:rFonts w:ascii="Verdana" w:eastAsia="Verdana" w:hAnsi="Verdana" w:cs="Verdana"/>
          <w:i/>
          <w:sz w:val="16"/>
          <w:szCs w:val="16"/>
          <w:lang w:val="es-CR"/>
        </w:rPr>
        <w:t xml:space="preserve">o </w:t>
      </w:r>
      <w:r w:rsidR="00FE32FA" w:rsidRPr="00C437FA">
        <w:rPr>
          <w:rFonts w:ascii="Verdana" w:eastAsia="Verdana" w:hAnsi="Verdana" w:cs="Verdana"/>
          <w:i/>
          <w:spacing w:val="-1"/>
          <w:sz w:val="16"/>
          <w:szCs w:val="16"/>
          <w:lang w:val="es-CR"/>
        </w:rPr>
        <w:t>Ju</w:t>
      </w:r>
      <w:r w:rsidR="00FE32FA" w:rsidRPr="00C437FA">
        <w:rPr>
          <w:rFonts w:ascii="Verdana" w:eastAsia="Verdana" w:hAnsi="Verdana" w:cs="Verdana"/>
          <w:i/>
          <w:spacing w:val="1"/>
          <w:sz w:val="16"/>
          <w:szCs w:val="16"/>
          <w:lang w:val="es-CR"/>
        </w:rPr>
        <w:t>d</w:t>
      </w:r>
      <w:r w:rsidR="00FE32FA" w:rsidRPr="00C437FA">
        <w:rPr>
          <w:rFonts w:ascii="Verdana" w:eastAsia="Verdana" w:hAnsi="Verdana" w:cs="Verdana"/>
          <w:i/>
          <w:spacing w:val="-1"/>
          <w:sz w:val="16"/>
          <w:szCs w:val="16"/>
          <w:lang w:val="es-CR"/>
        </w:rPr>
        <w:t>i</w:t>
      </w:r>
      <w:r w:rsidR="00FE32FA" w:rsidRPr="00C437FA">
        <w:rPr>
          <w:rFonts w:ascii="Verdana" w:eastAsia="Verdana" w:hAnsi="Verdana" w:cs="Verdana"/>
          <w:i/>
          <w:sz w:val="16"/>
          <w:szCs w:val="16"/>
          <w:lang w:val="es-CR"/>
        </w:rPr>
        <w:t>c</w:t>
      </w:r>
      <w:r w:rsidR="00FE32FA" w:rsidRPr="00C437FA">
        <w:rPr>
          <w:rFonts w:ascii="Verdana" w:eastAsia="Verdana" w:hAnsi="Verdana" w:cs="Verdana"/>
          <w:i/>
          <w:spacing w:val="-1"/>
          <w:sz w:val="16"/>
          <w:szCs w:val="16"/>
          <w:lang w:val="es-CR"/>
        </w:rPr>
        <w:t>ia</w:t>
      </w:r>
      <w:r w:rsidR="00FE32FA" w:rsidRPr="00C437FA">
        <w:rPr>
          <w:rFonts w:ascii="Verdana" w:eastAsia="Verdana" w:hAnsi="Verdana" w:cs="Verdana"/>
          <w:i/>
          <w:sz w:val="16"/>
          <w:szCs w:val="16"/>
          <w:lang w:val="es-CR"/>
        </w:rPr>
        <w:t>l C</w:t>
      </w:r>
      <w:r w:rsidR="00FE32FA" w:rsidRPr="00C437FA">
        <w:rPr>
          <w:rFonts w:ascii="Verdana" w:eastAsia="Verdana" w:hAnsi="Verdana" w:cs="Verdana"/>
          <w:i/>
          <w:spacing w:val="-1"/>
          <w:sz w:val="16"/>
          <w:szCs w:val="16"/>
          <w:lang w:val="es-CR"/>
        </w:rPr>
        <w:t>a</w:t>
      </w:r>
      <w:r w:rsidR="00FE32FA" w:rsidRPr="00C437FA">
        <w:rPr>
          <w:rFonts w:ascii="Verdana" w:eastAsia="Verdana" w:hAnsi="Verdana" w:cs="Verdana"/>
          <w:i/>
          <w:spacing w:val="1"/>
          <w:sz w:val="16"/>
          <w:szCs w:val="16"/>
          <w:lang w:val="es-CR"/>
        </w:rPr>
        <w:t>p</w:t>
      </w:r>
      <w:r w:rsidR="00FE32FA" w:rsidRPr="00C437FA">
        <w:rPr>
          <w:rFonts w:ascii="Verdana" w:eastAsia="Verdana" w:hAnsi="Verdana" w:cs="Verdana"/>
          <w:i/>
          <w:spacing w:val="-1"/>
          <w:sz w:val="16"/>
          <w:szCs w:val="16"/>
          <w:lang w:val="es-CR"/>
        </w:rPr>
        <w:t>ita</w:t>
      </w:r>
      <w:r w:rsidR="00FE32FA" w:rsidRPr="00C437FA">
        <w:rPr>
          <w:rFonts w:ascii="Verdana" w:eastAsia="Verdana" w:hAnsi="Verdana" w:cs="Verdana"/>
          <w:i/>
          <w:sz w:val="16"/>
          <w:szCs w:val="16"/>
          <w:lang w:val="es-CR"/>
        </w:rPr>
        <w:t xml:space="preserve">l </w:t>
      </w:r>
      <w:r w:rsidR="00FE32FA" w:rsidRPr="00C437FA">
        <w:rPr>
          <w:rFonts w:ascii="Verdana" w:eastAsia="Verdana" w:hAnsi="Verdana" w:cs="Verdana"/>
          <w:i/>
          <w:spacing w:val="-1"/>
          <w:sz w:val="16"/>
          <w:szCs w:val="16"/>
          <w:lang w:val="es-CR"/>
        </w:rPr>
        <w:t>E</w:t>
      </w:r>
      <w:r w:rsidR="00FE32FA" w:rsidRPr="00C437FA">
        <w:rPr>
          <w:rFonts w:ascii="Verdana" w:eastAsia="Verdana" w:hAnsi="Verdana" w:cs="Verdana"/>
          <w:i/>
          <w:sz w:val="16"/>
          <w:szCs w:val="16"/>
          <w:lang w:val="es-CR"/>
        </w:rPr>
        <w:t xml:space="preserve">l </w:t>
      </w:r>
      <w:r w:rsidR="00FE32FA" w:rsidRPr="00C437FA">
        <w:rPr>
          <w:rFonts w:ascii="Verdana" w:eastAsia="Verdana" w:hAnsi="Verdana" w:cs="Verdana"/>
          <w:i/>
          <w:spacing w:val="1"/>
          <w:sz w:val="16"/>
          <w:szCs w:val="16"/>
          <w:lang w:val="es-CR"/>
        </w:rPr>
        <w:t>Rod</w:t>
      </w:r>
      <w:r w:rsidR="00FE32FA" w:rsidRPr="00C437FA">
        <w:rPr>
          <w:rFonts w:ascii="Verdana" w:eastAsia="Verdana" w:hAnsi="Verdana" w:cs="Verdana"/>
          <w:i/>
          <w:spacing w:val="-2"/>
          <w:sz w:val="16"/>
          <w:szCs w:val="16"/>
          <w:lang w:val="es-CR"/>
        </w:rPr>
        <w:t>e</w:t>
      </w:r>
      <w:r w:rsidR="00FE32FA" w:rsidRPr="00C437FA">
        <w:rPr>
          <w:rFonts w:ascii="Verdana" w:eastAsia="Verdana" w:hAnsi="Verdana" w:cs="Verdana"/>
          <w:i/>
          <w:sz w:val="16"/>
          <w:szCs w:val="16"/>
          <w:lang w:val="es-CR"/>
        </w:rPr>
        <w:t xml:space="preserve">o I y </w:t>
      </w:r>
      <w:r w:rsidR="00FE32FA" w:rsidRPr="00C437FA">
        <w:rPr>
          <w:rFonts w:ascii="Verdana" w:eastAsia="Verdana" w:hAnsi="Verdana" w:cs="Verdana"/>
          <w:i/>
          <w:spacing w:val="-1"/>
          <w:sz w:val="16"/>
          <w:szCs w:val="16"/>
          <w:lang w:val="es-CR"/>
        </w:rPr>
        <w:t>E</w:t>
      </w:r>
      <w:r w:rsidR="00FE32FA" w:rsidRPr="00C437FA">
        <w:rPr>
          <w:rFonts w:ascii="Verdana" w:eastAsia="Verdana" w:hAnsi="Verdana" w:cs="Verdana"/>
          <w:i/>
          <w:sz w:val="16"/>
          <w:szCs w:val="16"/>
          <w:lang w:val="es-CR"/>
        </w:rPr>
        <w:t xml:space="preserve">l </w:t>
      </w:r>
      <w:r w:rsidR="00FE32FA" w:rsidRPr="00C437FA">
        <w:rPr>
          <w:rFonts w:ascii="Verdana" w:eastAsia="Verdana" w:hAnsi="Verdana" w:cs="Verdana"/>
          <w:i/>
          <w:spacing w:val="-1"/>
          <w:sz w:val="16"/>
          <w:szCs w:val="16"/>
          <w:lang w:val="es-CR"/>
        </w:rPr>
        <w:t>R</w:t>
      </w:r>
      <w:r w:rsidR="00FE32FA" w:rsidRPr="00C437FA">
        <w:rPr>
          <w:rFonts w:ascii="Verdana" w:eastAsia="Verdana" w:hAnsi="Verdana" w:cs="Verdana"/>
          <w:i/>
          <w:spacing w:val="1"/>
          <w:sz w:val="16"/>
          <w:szCs w:val="16"/>
          <w:lang w:val="es-CR"/>
        </w:rPr>
        <w:t>o</w:t>
      </w:r>
      <w:r w:rsidR="00FE32FA" w:rsidRPr="00C437FA">
        <w:rPr>
          <w:rFonts w:ascii="Verdana" w:eastAsia="Verdana" w:hAnsi="Verdana" w:cs="Verdana"/>
          <w:i/>
          <w:spacing w:val="-2"/>
          <w:sz w:val="16"/>
          <w:szCs w:val="16"/>
          <w:lang w:val="es-CR"/>
        </w:rPr>
        <w:t>d</w:t>
      </w:r>
      <w:r w:rsidR="00FE32FA" w:rsidRPr="00C437FA">
        <w:rPr>
          <w:rFonts w:ascii="Verdana" w:eastAsia="Verdana" w:hAnsi="Verdana" w:cs="Verdana"/>
          <w:i/>
          <w:sz w:val="16"/>
          <w:szCs w:val="16"/>
          <w:lang w:val="es-CR"/>
        </w:rPr>
        <w:t>eo I</w:t>
      </w:r>
      <w:r w:rsidR="00FE32FA" w:rsidRPr="00C437FA">
        <w:rPr>
          <w:rFonts w:ascii="Verdana" w:eastAsia="Verdana" w:hAnsi="Verdana" w:cs="Verdana"/>
          <w:i/>
          <w:spacing w:val="-1"/>
          <w:sz w:val="16"/>
          <w:szCs w:val="16"/>
          <w:lang w:val="es-CR"/>
        </w:rPr>
        <w:t>I</w:t>
      </w:r>
      <w:r w:rsidR="00FE32FA" w:rsidRPr="00C437FA">
        <w:rPr>
          <w:rFonts w:ascii="Verdana" w:eastAsia="Verdana" w:hAnsi="Verdana" w:cs="Verdana"/>
          <w:sz w:val="16"/>
          <w:szCs w:val="16"/>
          <w:lang w:val="es-CR"/>
        </w:rPr>
        <w:t xml:space="preserve">, </w:t>
      </w:r>
      <w:r w:rsidR="00FE32FA" w:rsidRPr="00C437FA">
        <w:rPr>
          <w:rFonts w:ascii="Verdana" w:eastAsia="Verdana" w:hAnsi="Verdana" w:cs="Verdana"/>
          <w:i/>
          <w:sz w:val="16"/>
          <w:szCs w:val="16"/>
          <w:lang w:val="es-CR"/>
        </w:rPr>
        <w:t>S</w:t>
      </w:r>
      <w:r w:rsidR="00FE32FA" w:rsidRPr="00C437FA">
        <w:rPr>
          <w:rFonts w:ascii="Verdana" w:eastAsia="Verdana" w:hAnsi="Verdana" w:cs="Verdana"/>
          <w:i/>
          <w:spacing w:val="1"/>
          <w:sz w:val="16"/>
          <w:szCs w:val="16"/>
          <w:lang w:val="es-CR"/>
        </w:rPr>
        <w:t>o</w:t>
      </w:r>
      <w:r w:rsidR="00FE32FA" w:rsidRPr="00C437FA">
        <w:rPr>
          <w:rFonts w:ascii="Verdana" w:eastAsia="Verdana" w:hAnsi="Verdana" w:cs="Verdana"/>
          <w:i/>
          <w:spacing w:val="-1"/>
          <w:sz w:val="16"/>
          <w:szCs w:val="16"/>
          <w:lang w:val="es-CR"/>
        </w:rPr>
        <w:t>li</w:t>
      </w:r>
      <w:r w:rsidR="00FE32FA" w:rsidRPr="00C437FA">
        <w:rPr>
          <w:rFonts w:ascii="Verdana" w:eastAsia="Verdana" w:hAnsi="Verdana" w:cs="Verdana"/>
          <w:i/>
          <w:sz w:val="16"/>
          <w:szCs w:val="16"/>
          <w:lang w:val="es-CR"/>
        </w:rPr>
        <w:t>c</w:t>
      </w:r>
      <w:r w:rsidR="00FE32FA" w:rsidRPr="00C437FA">
        <w:rPr>
          <w:rFonts w:ascii="Verdana" w:eastAsia="Verdana" w:hAnsi="Verdana" w:cs="Verdana"/>
          <w:i/>
          <w:spacing w:val="-1"/>
          <w:sz w:val="16"/>
          <w:szCs w:val="16"/>
          <w:lang w:val="es-CR"/>
        </w:rPr>
        <w:t>itu</w:t>
      </w:r>
      <w:r w:rsidR="00FE32FA" w:rsidRPr="00C437FA">
        <w:rPr>
          <w:rFonts w:ascii="Verdana" w:eastAsia="Verdana" w:hAnsi="Verdana" w:cs="Verdana"/>
          <w:i/>
          <w:sz w:val="16"/>
          <w:szCs w:val="16"/>
          <w:lang w:val="es-CR"/>
        </w:rPr>
        <w:t xml:space="preserve">d </w:t>
      </w:r>
      <w:r w:rsidR="00FE32FA" w:rsidRPr="00C437FA">
        <w:rPr>
          <w:rFonts w:ascii="Verdana" w:eastAsia="Verdana" w:hAnsi="Verdana" w:cs="Verdana"/>
          <w:i/>
          <w:spacing w:val="1"/>
          <w:sz w:val="16"/>
          <w:szCs w:val="16"/>
          <w:lang w:val="es-CR"/>
        </w:rPr>
        <w:t>d</w:t>
      </w:r>
      <w:r w:rsidR="00FE32FA" w:rsidRPr="00C437FA">
        <w:rPr>
          <w:rFonts w:ascii="Verdana" w:eastAsia="Verdana" w:hAnsi="Verdana" w:cs="Verdana"/>
          <w:i/>
          <w:sz w:val="16"/>
          <w:szCs w:val="16"/>
          <w:lang w:val="es-CR"/>
        </w:rPr>
        <w:t>e m</w:t>
      </w:r>
      <w:r w:rsidR="00FE32FA" w:rsidRPr="00C437FA">
        <w:rPr>
          <w:rFonts w:ascii="Verdana" w:eastAsia="Verdana" w:hAnsi="Verdana" w:cs="Verdana"/>
          <w:i/>
          <w:spacing w:val="-2"/>
          <w:sz w:val="16"/>
          <w:szCs w:val="16"/>
          <w:lang w:val="es-CR"/>
        </w:rPr>
        <w:t>e</w:t>
      </w:r>
      <w:r w:rsidR="00FE32FA" w:rsidRPr="00C437FA">
        <w:rPr>
          <w:rFonts w:ascii="Verdana" w:eastAsia="Verdana" w:hAnsi="Verdana" w:cs="Verdana"/>
          <w:i/>
          <w:spacing w:val="1"/>
          <w:sz w:val="16"/>
          <w:szCs w:val="16"/>
          <w:lang w:val="es-CR"/>
        </w:rPr>
        <w:t>d</w:t>
      </w:r>
      <w:r w:rsidR="00FE32FA" w:rsidRPr="00C437FA">
        <w:rPr>
          <w:rFonts w:ascii="Verdana" w:eastAsia="Verdana" w:hAnsi="Verdana" w:cs="Verdana"/>
          <w:i/>
          <w:spacing w:val="-1"/>
          <w:sz w:val="16"/>
          <w:szCs w:val="16"/>
          <w:lang w:val="es-CR"/>
        </w:rPr>
        <w:t>i</w:t>
      </w:r>
      <w:r w:rsidR="00FE32FA" w:rsidRPr="00C437FA">
        <w:rPr>
          <w:rFonts w:ascii="Verdana" w:eastAsia="Verdana" w:hAnsi="Verdana" w:cs="Verdana"/>
          <w:i/>
          <w:spacing w:val="1"/>
          <w:sz w:val="16"/>
          <w:szCs w:val="16"/>
          <w:lang w:val="es-CR"/>
        </w:rPr>
        <w:t>d</w:t>
      </w:r>
      <w:r w:rsidR="00FE32FA" w:rsidRPr="00C437FA">
        <w:rPr>
          <w:rFonts w:ascii="Verdana" w:eastAsia="Verdana" w:hAnsi="Verdana" w:cs="Verdana"/>
          <w:i/>
          <w:spacing w:val="-3"/>
          <w:sz w:val="16"/>
          <w:szCs w:val="16"/>
          <w:lang w:val="es-CR"/>
        </w:rPr>
        <w:t>a</w:t>
      </w:r>
      <w:r w:rsidR="00FE32FA" w:rsidRPr="00C437FA">
        <w:rPr>
          <w:rFonts w:ascii="Verdana" w:eastAsia="Verdana" w:hAnsi="Verdana" w:cs="Verdana"/>
          <w:i/>
          <w:sz w:val="16"/>
          <w:szCs w:val="16"/>
          <w:lang w:val="es-CR"/>
        </w:rPr>
        <w:t xml:space="preserve">s </w:t>
      </w:r>
      <w:r w:rsidR="00FE32FA" w:rsidRPr="00C437FA">
        <w:rPr>
          <w:rFonts w:ascii="Verdana" w:eastAsia="Verdana" w:hAnsi="Verdana" w:cs="Verdana"/>
          <w:i/>
          <w:spacing w:val="1"/>
          <w:sz w:val="16"/>
          <w:szCs w:val="16"/>
          <w:lang w:val="es-CR"/>
        </w:rPr>
        <w:t>p</w:t>
      </w:r>
      <w:r w:rsidR="00FE32FA" w:rsidRPr="00C437FA">
        <w:rPr>
          <w:rFonts w:ascii="Verdana" w:eastAsia="Verdana" w:hAnsi="Verdana" w:cs="Verdana"/>
          <w:i/>
          <w:spacing w:val="-1"/>
          <w:sz w:val="16"/>
          <w:szCs w:val="16"/>
          <w:lang w:val="es-CR"/>
        </w:rPr>
        <w:t>r</w:t>
      </w:r>
      <w:r w:rsidR="00FE32FA" w:rsidRPr="00C437FA">
        <w:rPr>
          <w:rFonts w:ascii="Verdana" w:eastAsia="Verdana" w:hAnsi="Verdana" w:cs="Verdana"/>
          <w:i/>
          <w:spacing w:val="1"/>
          <w:sz w:val="16"/>
          <w:szCs w:val="16"/>
          <w:lang w:val="es-CR"/>
        </w:rPr>
        <w:t>ov</w:t>
      </w:r>
      <w:r w:rsidR="00FE32FA" w:rsidRPr="00C437FA">
        <w:rPr>
          <w:rFonts w:ascii="Verdana" w:eastAsia="Verdana" w:hAnsi="Verdana" w:cs="Verdana"/>
          <w:i/>
          <w:spacing w:val="-1"/>
          <w:sz w:val="16"/>
          <w:szCs w:val="16"/>
          <w:lang w:val="es-CR"/>
        </w:rPr>
        <w:t>i</w:t>
      </w:r>
      <w:r w:rsidR="00FE32FA" w:rsidRPr="00C437FA">
        <w:rPr>
          <w:rFonts w:ascii="Verdana" w:eastAsia="Verdana" w:hAnsi="Verdana" w:cs="Verdana"/>
          <w:i/>
          <w:sz w:val="16"/>
          <w:szCs w:val="16"/>
          <w:lang w:val="es-CR"/>
        </w:rPr>
        <w:t>s</w:t>
      </w:r>
      <w:r w:rsidR="00FE32FA" w:rsidRPr="00C437FA">
        <w:rPr>
          <w:rFonts w:ascii="Verdana" w:eastAsia="Verdana" w:hAnsi="Verdana" w:cs="Verdana"/>
          <w:i/>
          <w:spacing w:val="-1"/>
          <w:sz w:val="16"/>
          <w:szCs w:val="16"/>
          <w:lang w:val="es-CR"/>
        </w:rPr>
        <w:t>i</w:t>
      </w:r>
      <w:r w:rsidR="00FE32FA" w:rsidRPr="00C437FA">
        <w:rPr>
          <w:rFonts w:ascii="Verdana" w:eastAsia="Verdana" w:hAnsi="Verdana" w:cs="Verdana"/>
          <w:i/>
          <w:spacing w:val="1"/>
          <w:sz w:val="16"/>
          <w:szCs w:val="16"/>
          <w:lang w:val="es-CR"/>
        </w:rPr>
        <w:t>o</w:t>
      </w:r>
      <w:r w:rsidR="00FE32FA" w:rsidRPr="00C437FA">
        <w:rPr>
          <w:rFonts w:ascii="Verdana" w:eastAsia="Verdana" w:hAnsi="Verdana" w:cs="Verdana"/>
          <w:i/>
          <w:spacing w:val="-1"/>
          <w:sz w:val="16"/>
          <w:szCs w:val="16"/>
          <w:lang w:val="es-CR"/>
        </w:rPr>
        <w:t>nal</w:t>
      </w:r>
      <w:r w:rsidR="00FE32FA" w:rsidRPr="00C437FA">
        <w:rPr>
          <w:rFonts w:ascii="Verdana" w:eastAsia="Verdana" w:hAnsi="Verdana" w:cs="Verdana"/>
          <w:i/>
          <w:sz w:val="16"/>
          <w:szCs w:val="16"/>
          <w:lang w:val="es-CR"/>
        </w:rPr>
        <w:t xml:space="preserve">es </w:t>
      </w:r>
      <w:r w:rsidR="00FE32FA" w:rsidRPr="00C437FA">
        <w:rPr>
          <w:rFonts w:ascii="Verdana" w:eastAsia="Verdana" w:hAnsi="Verdana" w:cs="Verdana"/>
          <w:i/>
          <w:spacing w:val="1"/>
          <w:sz w:val="16"/>
          <w:szCs w:val="16"/>
          <w:lang w:val="es-CR"/>
        </w:rPr>
        <w:t>r</w:t>
      </w:r>
      <w:r w:rsidR="00FE32FA" w:rsidRPr="00C437FA">
        <w:rPr>
          <w:rFonts w:ascii="Verdana" w:eastAsia="Verdana" w:hAnsi="Verdana" w:cs="Verdana"/>
          <w:i/>
          <w:sz w:val="16"/>
          <w:szCs w:val="16"/>
          <w:lang w:val="es-CR"/>
        </w:rPr>
        <w:t>e</w:t>
      </w:r>
      <w:r w:rsidR="00FE32FA" w:rsidRPr="00C437FA">
        <w:rPr>
          <w:rFonts w:ascii="Verdana" w:eastAsia="Verdana" w:hAnsi="Verdana" w:cs="Verdana"/>
          <w:i/>
          <w:spacing w:val="-2"/>
          <w:sz w:val="16"/>
          <w:szCs w:val="16"/>
          <w:lang w:val="es-CR"/>
        </w:rPr>
        <w:t>s</w:t>
      </w:r>
      <w:r w:rsidR="00FE32FA" w:rsidRPr="00C437FA">
        <w:rPr>
          <w:rFonts w:ascii="Verdana" w:eastAsia="Verdana" w:hAnsi="Verdana" w:cs="Verdana"/>
          <w:i/>
          <w:spacing w:val="1"/>
          <w:sz w:val="16"/>
          <w:szCs w:val="16"/>
          <w:lang w:val="es-CR"/>
        </w:rPr>
        <w:t>p</w:t>
      </w:r>
      <w:r w:rsidR="00FE32FA" w:rsidRPr="00C437FA">
        <w:rPr>
          <w:rFonts w:ascii="Verdana" w:eastAsia="Verdana" w:hAnsi="Verdana" w:cs="Verdana"/>
          <w:i/>
          <w:sz w:val="16"/>
          <w:szCs w:val="16"/>
          <w:lang w:val="es-CR"/>
        </w:rPr>
        <w:t>ec</w:t>
      </w:r>
      <w:r w:rsidR="00FE32FA" w:rsidRPr="00C437FA">
        <w:rPr>
          <w:rFonts w:ascii="Verdana" w:eastAsia="Verdana" w:hAnsi="Verdana" w:cs="Verdana"/>
          <w:i/>
          <w:spacing w:val="-1"/>
          <w:sz w:val="16"/>
          <w:szCs w:val="16"/>
          <w:lang w:val="es-CR"/>
        </w:rPr>
        <w:t>t</w:t>
      </w:r>
      <w:r w:rsidR="00FE32FA" w:rsidRPr="00C437FA">
        <w:rPr>
          <w:rFonts w:ascii="Verdana" w:eastAsia="Verdana" w:hAnsi="Verdana" w:cs="Verdana"/>
          <w:i/>
          <w:sz w:val="16"/>
          <w:szCs w:val="16"/>
          <w:lang w:val="es-CR"/>
        </w:rPr>
        <w:t>o</w:t>
      </w:r>
      <w:r w:rsidR="00FE32FA" w:rsidRPr="00C437FA">
        <w:rPr>
          <w:rFonts w:ascii="Verdana" w:eastAsia="Verdana" w:hAnsi="Verdana" w:cs="Verdana"/>
          <w:i/>
          <w:spacing w:val="1"/>
          <w:sz w:val="16"/>
          <w:szCs w:val="16"/>
          <w:lang w:val="es-CR"/>
        </w:rPr>
        <w:t xml:space="preserve"> d</w:t>
      </w:r>
      <w:r w:rsidR="00FE32FA" w:rsidRPr="00C437FA">
        <w:rPr>
          <w:rFonts w:ascii="Verdana" w:eastAsia="Verdana" w:hAnsi="Verdana" w:cs="Verdana"/>
          <w:i/>
          <w:sz w:val="16"/>
          <w:szCs w:val="16"/>
          <w:lang w:val="es-CR"/>
        </w:rPr>
        <w:t>e</w:t>
      </w:r>
      <w:r w:rsidR="00FE32FA" w:rsidRPr="00C437FA">
        <w:rPr>
          <w:rFonts w:ascii="Verdana" w:eastAsia="Verdana" w:hAnsi="Verdana" w:cs="Verdana"/>
          <w:i/>
          <w:spacing w:val="2"/>
          <w:sz w:val="16"/>
          <w:szCs w:val="16"/>
          <w:lang w:val="es-CR"/>
        </w:rPr>
        <w:t xml:space="preserve"> </w:t>
      </w:r>
      <w:r w:rsidR="00FE32FA" w:rsidRPr="00C437FA">
        <w:rPr>
          <w:rFonts w:ascii="Verdana" w:eastAsia="Verdana" w:hAnsi="Verdana" w:cs="Verdana"/>
          <w:i/>
          <w:spacing w:val="-2"/>
          <w:sz w:val="16"/>
          <w:szCs w:val="16"/>
          <w:lang w:val="es-CR"/>
        </w:rPr>
        <w:t>V</w:t>
      </w:r>
      <w:r w:rsidR="00FE32FA" w:rsidRPr="00C437FA">
        <w:rPr>
          <w:rFonts w:ascii="Verdana" w:eastAsia="Verdana" w:hAnsi="Verdana" w:cs="Verdana"/>
          <w:i/>
          <w:sz w:val="16"/>
          <w:szCs w:val="16"/>
          <w:lang w:val="es-CR"/>
        </w:rPr>
        <w:t>e</w:t>
      </w:r>
      <w:r w:rsidR="00FE32FA" w:rsidRPr="00C437FA">
        <w:rPr>
          <w:rFonts w:ascii="Verdana" w:eastAsia="Verdana" w:hAnsi="Verdana" w:cs="Verdana"/>
          <w:i/>
          <w:spacing w:val="-1"/>
          <w:sz w:val="16"/>
          <w:szCs w:val="16"/>
          <w:lang w:val="es-CR"/>
        </w:rPr>
        <w:t>n</w:t>
      </w:r>
      <w:r w:rsidR="00FE32FA" w:rsidRPr="00C437FA">
        <w:rPr>
          <w:rFonts w:ascii="Verdana" w:eastAsia="Verdana" w:hAnsi="Verdana" w:cs="Verdana"/>
          <w:i/>
          <w:sz w:val="16"/>
          <w:szCs w:val="16"/>
          <w:lang w:val="es-CR"/>
        </w:rPr>
        <w:t>ez</w:t>
      </w:r>
      <w:r w:rsidR="00FE32FA" w:rsidRPr="00C437FA">
        <w:rPr>
          <w:rFonts w:ascii="Verdana" w:eastAsia="Verdana" w:hAnsi="Verdana" w:cs="Verdana"/>
          <w:i/>
          <w:spacing w:val="-1"/>
          <w:sz w:val="16"/>
          <w:szCs w:val="16"/>
          <w:lang w:val="es-CR"/>
        </w:rPr>
        <w:t>u</w:t>
      </w:r>
      <w:r w:rsidR="00FE32FA" w:rsidRPr="00C437FA">
        <w:rPr>
          <w:rFonts w:ascii="Verdana" w:eastAsia="Verdana" w:hAnsi="Verdana" w:cs="Verdana"/>
          <w:i/>
          <w:sz w:val="16"/>
          <w:szCs w:val="16"/>
          <w:lang w:val="es-CR"/>
        </w:rPr>
        <w:t>e</w:t>
      </w:r>
      <w:r w:rsidR="00FE32FA" w:rsidRPr="00C437FA">
        <w:rPr>
          <w:rFonts w:ascii="Verdana" w:eastAsia="Verdana" w:hAnsi="Verdana" w:cs="Verdana"/>
          <w:i/>
          <w:spacing w:val="-1"/>
          <w:sz w:val="16"/>
          <w:szCs w:val="16"/>
          <w:lang w:val="es-CR"/>
        </w:rPr>
        <w:t>la</w:t>
      </w:r>
      <w:r w:rsidR="00FE32FA" w:rsidRPr="00C437FA">
        <w:rPr>
          <w:rFonts w:ascii="Verdana" w:eastAsia="Verdana" w:hAnsi="Verdana" w:cs="Verdana"/>
          <w:sz w:val="16"/>
          <w:szCs w:val="16"/>
          <w:lang w:val="es-CR"/>
        </w:rPr>
        <w:t>.</w:t>
      </w:r>
      <w:r w:rsidR="00FE32FA" w:rsidRPr="00C437FA">
        <w:rPr>
          <w:rFonts w:ascii="Verdana" w:eastAsia="Verdana" w:hAnsi="Verdana" w:cs="Verdana"/>
          <w:spacing w:val="1"/>
          <w:sz w:val="16"/>
          <w:szCs w:val="16"/>
          <w:lang w:val="es-CR"/>
        </w:rPr>
        <w:t xml:space="preserve"> R</w:t>
      </w:r>
      <w:r w:rsidR="00FE32FA" w:rsidRPr="00C437FA">
        <w:rPr>
          <w:rFonts w:ascii="Verdana" w:eastAsia="Verdana" w:hAnsi="Verdana" w:cs="Verdana"/>
          <w:sz w:val="16"/>
          <w:szCs w:val="16"/>
          <w:lang w:val="es-CR"/>
        </w:rPr>
        <w:t>es</w:t>
      </w:r>
      <w:r w:rsidR="00FE32FA" w:rsidRPr="00C437FA">
        <w:rPr>
          <w:rFonts w:ascii="Verdana" w:eastAsia="Verdana" w:hAnsi="Verdana" w:cs="Verdana"/>
          <w:spacing w:val="1"/>
          <w:sz w:val="16"/>
          <w:szCs w:val="16"/>
          <w:lang w:val="es-CR"/>
        </w:rPr>
        <w:t>o</w:t>
      </w:r>
      <w:r w:rsidR="00FE32FA" w:rsidRPr="00C437FA">
        <w:rPr>
          <w:rFonts w:ascii="Verdana" w:eastAsia="Verdana" w:hAnsi="Verdana" w:cs="Verdana"/>
          <w:spacing w:val="-1"/>
          <w:sz w:val="16"/>
          <w:szCs w:val="16"/>
          <w:lang w:val="es-CR"/>
        </w:rPr>
        <w:t>lu</w:t>
      </w:r>
      <w:r w:rsidR="00FE32FA" w:rsidRPr="00C437FA">
        <w:rPr>
          <w:rFonts w:ascii="Verdana" w:eastAsia="Verdana" w:hAnsi="Verdana" w:cs="Verdana"/>
          <w:sz w:val="16"/>
          <w:szCs w:val="16"/>
          <w:lang w:val="es-CR"/>
        </w:rPr>
        <w:t>c</w:t>
      </w:r>
      <w:r w:rsidR="00FE32FA" w:rsidRPr="00C437FA">
        <w:rPr>
          <w:rFonts w:ascii="Verdana" w:eastAsia="Verdana" w:hAnsi="Verdana" w:cs="Verdana"/>
          <w:spacing w:val="-1"/>
          <w:sz w:val="16"/>
          <w:szCs w:val="16"/>
          <w:lang w:val="es-CR"/>
        </w:rPr>
        <w:t>i</w:t>
      </w:r>
      <w:r w:rsidR="00FE32FA" w:rsidRPr="00C437FA">
        <w:rPr>
          <w:rFonts w:ascii="Verdana" w:eastAsia="Verdana" w:hAnsi="Verdana" w:cs="Verdana"/>
          <w:spacing w:val="1"/>
          <w:sz w:val="16"/>
          <w:szCs w:val="16"/>
          <w:lang w:val="es-CR"/>
        </w:rPr>
        <w:t>ó</w:t>
      </w:r>
      <w:r w:rsidR="00FE32FA" w:rsidRPr="00C437FA">
        <w:rPr>
          <w:rFonts w:ascii="Verdana" w:eastAsia="Verdana" w:hAnsi="Verdana" w:cs="Verdana"/>
          <w:sz w:val="16"/>
          <w:szCs w:val="16"/>
          <w:lang w:val="es-CR"/>
        </w:rPr>
        <w:t>n</w:t>
      </w:r>
      <w:r w:rsidR="00FE32FA" w:rsidRPr="00C437FA">
        <w:rPr>
          <w:rFonts w:ascii="Verdana" w:eastAsia="Verdana" w:hAnsi="Verdana" w:cs="Verdana"/>
          <w:spacing w:val="1"/>
          <w:sz w:val="16"/>
          <w:szCs w:val="16"/>
          <w:lang w:val="es-CR"/>
        </w:rPr>
        <w:t xml:space="preserve"> </w:t>
      </w:r>
      <w:r w:rsidR="00FE32FA" w:rsidRPr="00C437FA">
        <w:rPr>
          <w:rFonts w:ascii="Verdana" w:eastAsia="Verdana" w:hAnsi="Verdana" w:cs="Verdana"/>
          <w:spacing w:val="-2"/>
          <w:sz w:val="16"/>
          <w:szCs w:val="16"/>
          <w:lang w:val="es-CR"/>
        </w:rPr>
        <w:t>d</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pacing w:val="-1"/>
          <w:sz w:val="16"/>
          <w:szCs w:val="16"/>
          <w:lang w:val="es-CR"/>
        </w:rPr>
        <w:t>l</w:t>
      </w:r>
      <w:r w:rsidR="00FE32FA" w:rsidRPr="00C437FA">
        <w:rPr>
          <w:rFonts w:ascii="Verdana" w:eastAsia="Verdana" w:hAnsi="Verdana" w:cs="Verdana"/>
          <w:sz w:val="16"/>
          <w:szCs w:val="16"/>
          <w:lang w:val="es-CR"/>
        </w:rPr>
        <w:t>a</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z w:val="16"/>
          <w:szCs w:val="16"/>
          <w:lang w:val="es-CR"/>
        </w:rPr>
        <w:t>C</w:t>
      </w:r>
      <w:r w:rsidR="00FE32FA" w:rsidRPr="00C437FA">
        <w:rPr>
          <w:rFonts w:ascii="Verdana" w:eastAsia="Verdana" w:hAnsi="Verdana" w:cs="Verdana"/>
          <w:spacing w:val="1"/>
          <w:sz w:val="16"/>
          <w:szCs w:val="16"/>
          <w:lang w:val="es-CR"/>
        </w:rPr>
        <w:t>or</w:t>
      </w:r>
      <w:r w:rsidR="00FE32FA" w:rsidRPr="00C437FA">
        <w:rPr>
          <w:rFonts w:ascii="Verdana" w:eastAsia="Verdana" w:hAnsi="Verdana" w:cs="Verdana"/>
          <w:spacing w:val="-3"/>
          <w:sz w:val="16"/>
          <w:szCs w:val="16"/>
          <w:lang w:val="es-CR"/>
        </w:rPr>
        <w:t>t</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2"/>
          <w:sz w:val="16"/>
          <w:szCs w:val="16"/>
          <w:lang w:val="es-CR"/>
        </w:rPr>
        <w:t xml:space="preserve"> I</w:t>
      </w:r>
      <w:r w:rsidR="00FE32FA" w:rsidRPr="00C437FA">
        <w:rPr>
          <w:rFonts w:ascii="Verdana" w:eastAsia="Verdana" w:hAnsi="Verdana" w:cs="Verdana"/>
          <w:spacing w:val="-1"/>
          <w:sz w:val="16"/>
          <w:szCs w:val="16"/>
          <w:lang w:val="es-CR"/>
        </w:rPr>
        <w:t>nt</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1"/>
          <w:sz w:val="16"/>
          <w:szCs w:val="16"/>
          <w:lang w:val="es-CR"/>
        </w:rPr>
        <w:t>r</w:t>
      </w:r>
      <w:r w:rsidR="00FE32FA" w:rsidRPr="00C437FA">
        <w:rPr>
          <w:rFonts w:ascii="Verdana" w:eastAsia="Verdana" w:hAnsi="Verdana" w:cs="Verdana"/>
          <w:spacing w:val="-1"/>
          <w:sz w:val="16"/>
          <w:szCs w:val="16"/>
          <w:lang w:val="es-CR"/>
        </w:rPr>
        <w:t>a</w:t>
      </w:r>
      <w:r w:rsidR="00FE32FA" w:rsidRPr="00C437FA">
        <w:rPr>
          <w:rFonts w:ascii="Verdana" w:eastAsia="Verdana" w:hAnsi="Verdana" w:cs="Verdana"/>
          <w:spacing w:val="-3"/>
          <w:sz w:val="16"/>
          <w:szCs w:val="16"/>
          <w:lang w:val="es-CR"/>
        </w:rPr>
        <w:t>m</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1"/>
          <w:sz w:val="16"/>
          <w:szCs w:val="16"/>
          <w:lang w:val="es-CR"/>
        </w:rPr>
        <w:t>r</w:t>
      </w:r>
      <w:r w:rsidR="00FE32FA" w:rsidRPr="00C437FA">
        <w:rPr>
          <w:rFonts w:ascii="Verdana" w:eastAsia="Verdana" w:hAnsi="Verdana" w:cs="Verdana"/>
          <w:spacing w:val="-1"/>
          <w:sz w:val="16"/>
          <w:szCs w:val="16"/>
          <w:lang w:val="es-CR"/>
        </w:rPr>
        <w:t>i</w:t>
      </w:r>
      <w:r w:rsidR="00FE32FA" w:rsidRPr="00C437FA">
        <w:rPr>
          <w:rFonts w:ascii="Verdana" w:eastAsia="Verdana" w:hAnsi="Verdana" w:cs="Verdana"/>
          <w:sz w:val="16"/>
          <w:szCs w:val="16"/>
          <w:lang w:val="es-CR"/>
        </w:rPr>
        <w:t>c</w:t>
      </w:r>
      <w:r w:rsidR="00FE32FA" w:rsidRPr="00C437FA">
        <w:rPr>
          <w:rFonts w:ascii="Verdana" w:eastAsia="Verdana" w:hAnsi="Verdana" w:cs="Verdana"/>
          <w:spacing w:val="-1"/>
          <w:sz w:val="16"/>
          <w:szCs w:val="16"/>
          <w:lang w:val="es-CR"/>
        </w:rPr>
        <w:t>an</w:t>
      </w:r>
      <w:r w:rsidR="00FE32FA" w:rsidRPr="00C437FA">
        <w:rPr>
          <w:rFonts w:ascii="Verdana" w:eastAsia="Verdana" w:hAnsi="Verdana" w:cs="Verdana"/>
          <w:sz w:val="16"/>
          <w:szCs w:val="16"/>
          <w:lang w:val="es-CR"/>
        </w:rPr>
        <w:t>a</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pacing w:val="-2"/>
          <w:sz w:val="16"/>
          <w:szCs w:val="16"/>
          <w:lang w:val="es-CR"/>
        </w:rPr>
        <w:t>d</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pacing w:val="1"/>
          <w:sz w:val="16"/>
          <w:szCs w:val="16"/>
          <w:lang w:val="es-CR"/>
        </w:rPr>
        <w:t>D</w:t>
      </w:r>
      <w:r w:rsidR="00FE32FA" w:rsidRPr="00C437FA">
        <w:rPr>
          <w:rFonts w:ascii="Verdana" w:eastAsia="Verdana" w:hAnsi="Verdana" w:cs="Verdana"/>
          <w:spacing w:val="-2"/>
          <w:sz w:val="16"/>
          <w:szCs w:val="16"/>
          <w:lang w:val="es-CR"/>
        </w:rPr>
        <w:t>e</w:t>
      </w:r>
      <w:r w:rsidR="00FE32FA" w:rsidRPr="00C437FA">
        <w:rPr>
          <w:rFonts w:ascii="Verdana" w:eastAsia="Verdana" w:hAnsi="Verdana" w:cs="Verdana"/>
          <w:spacing w:val="1"/>
          <w:sz w:val="16"/>
          <w:szCs w:val="16"/>
          <w:lang w:val="es-CR"/>
        </w:rPr>
        <w:t>r</w:t>
      </w:r>
      <w:r w:rsidR="00FE32FA" w:rsidRPr="00C437FA">
        <w:rPr>
          <w:rFonts w:ascii="Verdana" w:eastAsia="Verdana" w:hAnsi="Verdana" w:cs="Verdana"/>
          <w:sz w:val="16"/>
          <w:szCs w:val="16"/>
          <w:lang w:val="es-CR"/>
        </w:rPr>
        <w:t>ec</w:t>
      </w:r>
      <w:r w:rsidR="00FE32FA" w:rsidRPr="00C437FA">
        <w:rPr>
          <w:rFonts w:ascii="Verdana" w:eastAsia="Verdana" w:hAnsi="Verdana" w:cs="Verdana"/>
          <w:spacing w:val="-3"/>
          <w:sz w:val="16"/>
          <w:szCs w:val="16"/>
          <w:lang w:val="es-CR"/>
        </w:rPr>
        <w:t>h</w:t>
      </w:r>
      <w:r w:rsidR="00FE32FA" w:rsidRPr="00C437FA">
        <w:rPr>
          <w:rFonts w:ascii="Verdana" w:eastAsia="Verdana" w:hAnsi="Verdana" w:cs="Verdana"/>
          <w:spacing w:val="-2"/>
          <w:sz w:val="16"/>
          <w:szCs w:val="16"/>
          <w:lang w:val="es-CR"/>
        </w:rPr>
        <w:t>o</w:t>
      </w:r>
      <w:r w:rsidR="00FE32FA" w:rsidRPr="00C437FA">
        <w:rPr>
          <w:rFonts w:ascii="Verdana" w:eastAsia="Verdana" w:hAnsi="Verdana" w:cs="Verdana"/>
          <w:sz w:val="16"/>
          <w:szCs w:val="16"/>
          <w:lang w:val="es-CR"/>
        </w:rPr>
        <w:t>s</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pacing w:val="-1"/>
          <w:sz w:val="16"/>
          <w:szCs w:val="16"/>
          <w:lang w:val="es-CR"/>
        </w:rPr>
        <w:t>Hu</w:t>
      </w:r>
      <w:r w:rsidR="00FE32FA" w:rsidRPr="00C437FA">
        <w:rPr>
          <w:rFonts w:ascii="Verdana" w:eastAsia="Verdana" w:hAnsi="Verdana" w:cs="Verdana"/>
          <w:sz w:val="16"/>
          <w:szCs w:val="16"/>
          <w:lang w:val="es-CR"/>
        </w:rPr>
        <w:t>m</w:t>
      </w:r>
      <w:r w:rsidR="00FE32FA" w:rsidRPr="00C437FA">
        <w:rPr>
          <w:rFonts w:ascii="Verdana" w:eastAsia="Verdana" w:hAnsi="Verdana" w:cs="Verdana"/>
          <w:spacing w:val="-1"/>
          <w:sz w:val="16"/>
          <w:szCs w:val="16"/>
          <w:lang w:val="es-CR"/>
        </w:rPr>
        <w:t>an</w:t>
      </w:r>
      <w:r w:rsidR="00FE32FA" w:rsidRPr="00C437FA">
        <w:rPr>
          <w:rFonts w:ascii="Verdana" w:eastAsia="Verdana" w:hAnsi="Verdana" w:cs="Verdana"/>
          <w:spacing w:val="1"/>
          <w:sz w:val="16"/>
          <w:szCs w:val="16"/>
          <w:lang w:val="es-CR"/>
        </w:rPr>
        <w:t>o</w:t>
      </w:r>
      <w:r w:rsidR="00FE32FA" w:rsidRPr="00C437FA">
        <w:rPr>
          <w:rFonts w:ascii="Verdana" w:eastAsia="Verdana" w:hAnsi="Verdana" w:cs="Verdana"/>
          <w:sz w:val="16"/>
          <w:szCs w:val="16"/>
          <w:lang w:val="es-CR"/>
        </w:rPr>
        <w:t>s</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pacing w:val="1"/>
          <w:sz w:val="16"/>
          <w:szCs w:val="16"/>
          <w:lang w:val="es-CR"/>
        </w:rPr>
        <w:t>d</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2"/>
          <w:sz w:val="16"/>
          <w:szCs w:val="16"/>
          <w:lang w:val="es-CR"/>
        </w:rPr>
        <w:t xml:space="preserve"> </w:t>
      </w:r>
      <w:r w:rsidR="00FE32FA" w:rsidRPr="00C437FA">
        <w:rPr>
          <w:rFonts w:ascii="Verdana" w:eastAsia="Verdana" w:hAnsi="Verdana" w:cs="Verdana"/>
          <w:sz w:val="16"/>
          <w:szCs w:val="16"/>
          <w:lang w:val="es-CR"/>
        </w:rPr>
        <w:t>8</w:t>
      </w:r>
      <w:r w:rsidR="00FE32FA" w:rsidRPr="00C437FA">
        <w:rPr>
          <w:rFonts w:ascii="Verdana" w:eastAsia="Verdana" w:hAnsi="Verdana" w:cs="Verdana"/>
          <w:spacing w:val="1"/>
          <w:sz w:val="16"/>
          <w:szCs w:val="16"/>
          <w:lang w:val="es-CR"/>
        </w:rPr>
        <w:t xml:space="preserve"> </w:t>
      </w:r>
      <w:r w:rsidR="00FE32FA" w:rsidRPr="00C437FA">
        <w:rPr>
          <w:rFonts w:ascii="Verdana" w:eastAsia="Verdana" w:hAnsi="Verdana" w:cs="Verdana"/>
          <w:spacing w:val="-2"/>
          <w:sz w:val="16"/>
          <w:szCs w:val="16"/>
          <w:lang w:val="es-CR"/>
        </w:rPr>
        <w:t>d</w:t>
      </w:r>
      <w:r w:rsidR="00FE32FA" w:rsidRPr="00C437FA">
        <w:rPr>
          <w:rFonts w:ascii="Verdana" w:eastAsia="Verdana" w:hAnsi="Verdana" w:cs="Verdana"/>
          <w:sz w:val="16"/>
          <w:szCs w:val="16"/>
          <w:lang w:val="es-CR"/>
        </w:rPr>
        <w:t xml:space="preserve">e </w:t>
      </w:r>
      <w:r w:rsidR="00FE32FA" w:rsidRPr="00C437FA">
        <w:rPr>
          <w:rFonts w:ascii="Verdana" w:eastAsia="Verdana" w:hAnsi="Verdana" w:cs="Verdana"/>
          <w:spacing w:val="1"/>
          <w:sz w:val="16"/>
          <w:szCs w:val="16"/>
          <w:lang w:val="es-CR"/>
        </w:rPr>
        <w:t>f</w:t>
      </w:r>
      <w:r w:rsidR="00FE32FA" w:rsidRPr="00C437FA">
        <w:rPr>
          <w:rFonts w:ascii="Verdana" w:eastAsia="Verdana" w:hAnsi="Verdana" w:cs="Verdana"/>
          <w:sz w:val="16"/>
          <w:szCs w:val="16"/>
          <w:lang w:val="es-CR"/>
        </w:rPr>
        <w:t>e</w:t>
      </w:r>
      <w:r w:rsidR="00FE32FA" w:rsidRPr="00C437FA">
        <w:rPr>
          <w:rFonts w:ascii="Verdana" w:eastAsia="Verdana" w:hAnsi="Verdana" w:cs="Verdana"/>
          <w:spacing w:val="-2"/>
          <w:sz w:val="16"/>
          <w:szCs w:val="16"/>
          <w:lang w:val="es-CR"/>
        </w:rPr>
        <w:t>b</w:t>
      </w:r>
      <w:r w:rsidR="00FE32FA" w:rsidRPr="00C437FA">
        <w:rPr>
          <w:rFonts w:ascii="Verdana" w:eastAsia="Verdana" w:hAnsi="Verdana" w:cs="Verdana"/>
          <w:spacing w:val="1"/>
          <w:sz w:val="16"/>
          <w:szCs w:val="16"/>
          <w:lang w:val="es-CR"/>
        </w:rPr>
        <w:t>r</w:t>
      </w:r>
      <w:r w:rsidR="00FE32FA" w:rsidRPr="00C437FA">
        <w:rPr>
          <w:rFonts w:ascii="Verdana" w:eastAsia="Verdana" w:hAnsi="Verdana" w:cs="Verdana"/>
          <w:spacing w:val="-2"/>
          <w:sz w:val="16"/>
          <w:szCs w:val="16"/>
          <w:lang w:val="es-CR"/>
        </w:rPr>
        <w:t>e</w:t>
      </w:r>
      <w:r w:rsidR="00FE32FA" w:rsidRPr="00C437FA">
        <w:rPr>
          <w:rFonts w:ascii="Verdana" w:eastAsia="Verdana" w:hAnsi="Verdana" w:cs="Verdana"/>
          <w:spacing w:val="1"/>
          <w:sz w:val="16"/>
          <w:szCs w:val="16"/>
          <w:lang w:val="es-CR"/>
        </w:rPr>
        <w:t>r</w:t>
      </w:r>
      <w:r w:rsidR="00FE32FA" w:rsidRPr="00C437FA">
        <w:rPr>
          <w:rFonts w:ascii="Verdana" w:eastAsia="Verdana" w:hAnsi="Verdana" w:cs="Verdana"/>
          <w:sz w:val="16"/>
          <w:szCs w:val="16"/>
          <w:lang w:val="es-CR"/>
        </w:rPr>
        <w:t>o</w:t>
      </w:r>
      <w:r w:rsidR="00FE32FA" w:rsidRPr="00C437FA">
        <w:rPr>
          <w:rFonts w:ascii="Verdana" w:eastAsia="Verdana" w:hAnsi="Verdana" w:cs="Verdana"/>
          <w:spacing w:val="3"/>
          <w:sz w:val="16"/>
          <w:szCs w:val="16"/>
          <w:lang w:val="es-CR"/>
        </w:rPr>
        <w:t xml:space="preserve"> </w:t>
      </w:r>
      <w:r w:rsidR="00FE32FA" w:rsidRPr="00C437FA">
        <w:rPr>
          <w:rFonts w:ascii="Verdana" w:eastAsia="Verdana" w:hAnsi="Verdana" w:cs="Verdana"/>
          <w:spacing w:val="1"/>
          <w:sz w:val="16"/>
          <w:szCs w:val="16"/>
          <w:lang w:val="es-CR"/>
        </w:rPr>
        <w:t>d</w:t>
      </w:r>
      <w:r w:rsidR="00FE32FA" w:rsidRPr="00C437FA">
        <w:rPr>
          <w:rFonts w:ascii="Verdana" w:eastAsia="Verdana" w:hAnsi="Verdana" w:cs="Verdana"/>
          <w:sz w:val="16"/>
          <w:szCs w:val="16"/>
          <w:lang w:val="es-CR"/>
        </w:rPr>
        <w:t xml:space="preserve">e </w:t>
      </w:r>
      <w:r w:rsidR="00FE32FA" w:rsidRPr="00C437FA">
        <w:rPr>
          <w:rFonts w:ascii="Verdana" w:eastAsia="Verdana" w:hAnsi="Verdana" w:cs="Verdana"/>
          <w:spacing w:val="1"/>
          <w:sz w:val="16"/>
          <w:szCs w:val="16"/>
          <w:lang w:val="es-CR"/>
        </w:rPr>
        <w:t>2</w:t>
      </w:r>
      <w:r w:rsidR="00FE32FA" w:rsidRPr="00C437FA">
        <w:rPr>
          <w:rFonts w:ascii="Verdana" w:eastAsia="Verdana" w:hAnsi="Verdana" w:cs="Verdana"/>
          <w:spacing w:val="-1"/>
          <w:sz w:val="16"/>
          <w:szCs w:val="16"/>
          <w:lang w:val="es-CR"/>
        </w:rPr>
        <w:t>0</w:t>
      </w:r>
      <w:r w:rsidR="00FE32FA" w:rsidRPr="00C437FA">
        <w:rPr>
          <w:rFonts w:ascii="Verdana" w:eastAsia="Verdana" w:hAnsi="Verdana" w:cs="Verdana"/>
          <w:spacing w:val="1"/>
          <w:sz w:val="16"/>
          <w:szCs w:val="16"/>
          <w:lang w:val="es-CR"/>
        </w:rPr>
        <w:t>08</w:t>
      </w:r>
      <w:r w:rsidR="00FE32FA" w:rsidRPr="00C437FA">
        <w:rPr>
          <w:rFonts w:ascii="Verdana" w:eastAsia="Verdana" w:hAnsi="Verdana" w:cs="Verdana"/>
          <w:sz w:val="16"/>
          <w:szCs w:val="16"/>
          <w:lang w:val="es-CR"/>
        </w:rPr>
        <w:t>,</w:t>
      </w:r>
      <w:r w:rsidR="00FE32FA" w:rsidRPr="00C437FA">
        <w:rPr>
          <w:rFonts w:ascii="Verdana" w:eastAsia="Verdana" w:hAnsi="Verdana" w:cs="Verdana"/>
          <w:spacing w:val="1"/>
          <w:sz w:val="16"/>
          <w:szCs w:val="16"/>
          <w:lang w:val="es-CR"/>
        </w:rPr>
        <w:t xml:space="preserve"> </w:t>
      </w:r>
      <w:r w:rsidR="00FE32FA" w:rsidRPr="00C437FA">
        <w:rPr>
          <w:rFonts w:ascii="Verdana" w:eastAsia="Verdana" w:hAnsi="Verdana" w:cs="Verdana"/>
          <w:spacing w:val="-2"/>
          <w:sz w:val="16"/>
          <w:szCs w:val="16"/>
          <w:lang w:val="es-CR"/>
        </w:rPr>
        <w:t>C</w:t>
      </w:r>
      <w:r w:rsidR="00FE32FA" w:rsidRPr="00C437FA">
        <w:rPr>
          <w:rFonts w:ascii="Verdana" w:eastAsia="Verdana" w:hAnsi="Verdana" w:cs="Verdana"/>
          <w:spacing w:val="1"/>
          <w:sz w:val="16"/>
          <w:szCs w:val="16"/>
          <w:lang w:val="es-CR"/>
        </w:rPr>
        <w:t>o</w:t>
      </w:r>
      <w:r w:rsidR="00FE32FA" w:rsidRPr="00C437FA">
        <w:rPr>
          <w:rFonts w:ascii="Verdana" w:eastAsia="Verdana" w:hAnsi="Verdana" w:cs="Verdana"/>
          <w:spacing w:val="-1"/>
          <w:sz w:val="16"/>
          <w:szCs w:val="16"/>
          <w:lang w:val="es-CR"/>
        </w:rPr>
        <w:t>n</w:t>
      </w:r>
      <w:r w:rsidR="00FE32FA" w:rsidRPr="00C437FA">
        <w:rPr>
          <w:rFonts w:ascii="Verdana" w:eastAsia="Verdana" w:hAnsi="Verdana" w:cs="Verdana"/>
          <w:sz w:val="16"/>
          <w:szCs w:val="16"/>
          <w:lang w:val="es-CR"/>
        </w:rPr>
        <w:t>s</w:t>
      </w:r>
      <w:r w:rsidR="00FE32FA" w:rsidRPr="00C437FA">
        <w:rPr>
          <w:rFonts w:ascii="Verdana" w:eastAsia="Verdana" w:hAnsi="Verdana" w:cs="Verdana"/>
          <w:spacing w:val="-1"/>
          <w:sz w:val="16"/>
          <w:szCs w:val="16"/>
          <w:lang w:val="es-CR"/>
        </w:rPr>
        <w:t>i</w:t>
      </w:r>
      <w:r w:rsidR="00FE32FA" w:rsidRPr="00C437FA">
        <w:rPr>
          <w:rFonts w:ascii="Verdana" w:eastAsia="Verdana" w:hAnsi="Verdana" w:cs="Verdana"/>
          <w:spacing w:val="1"/>
          <w:sz w:val="16"/>
          <w:szCs w:val="16"/>
          <w:lang w:val="es-CR"/>
        </w:rPr>
        <w:t>d</w:t>
      </w:r>
      <w:r w:rsidR="00FE32FA" w:rsidRPr="00C437FA">
        <w:rPr>
          <w:rFonts w:ascii="Verdana" w:eastAsia="Verdana" w:hAnsi="Verdana" w:cs="Verdana"/>
          <w:spacing w:val="-2"/>
          <w:sz w:val="16"/>
          <w:szCs w:val="16"/>
          <w:lang w:val="es-CR"/>
        </w:rPr>
        <w:t>e</w:t>
      </w:r>
      <w:r w:rsidR="00FE32FA" w:rsidRPr="00C437FA">
        <w:rPr>
          <w:rFonts w:ascii="Verdana" w:eastAsia="Verdana" w:hAnsi="Verdana" w:cs="Verdana"/>
          <w:spacing w:val="1"/>
          <w:sz w:val="16"/>
          <w:szCs w:val="16"/>
          <w:lang w:val="es-CR"/>
        </w:rPr>
        <w:t>r</w:t>
      </w:r>
      <w:r w:rsidR="00FE32FA" w:rsidRPr="00C437FA">
        <w:rPr>
          <w:rFonts w:ascii="Verdana" w:eastAsia="Verdana" w:hAnsi="Verdana" w:cs="Verdana"/>
          <w:spacing w:val="-3"/>
          <w:sz w:val="16"/>
          <w:szCs w:val="16"/>
          <w:lang w:val="es-CR"/>
        </w:rPr>
        <w:t>a</w:t>
      </w:r>
      <w:r w:rsidR="00FE32FA" w:rsidRPr="00C437FA">
        <w:rPr>
          <w:rFonts w:ascii="Verdana" w:eastAsia="Verdana" w:hAnsi="Verdana" w:cs="Verdana"/>
          <w:spacing w:val="-1"/>
          <w:sz w:val="16"/>
          <w:szCs w:val="16"/>
          <w:lang w:val="es-CR"/>
        </w:rPr>
        <w:t>n</w:t>
      </w:r>
      <w:r w:rsidR="00FE32FA" w:rsidRPr="00C437FA">
        <w:rPr>
          <w:rFonts w:ascii="Verdana" w:eastAsia="Verdana" w:hAnsi="Verdana" w:cs="Verdana"/>
          <w:spacing w:val="1"/>
          <w:sz w:val="16"/>
          <w:szCs w:val="16"/>
          <w:lang w:val="es-CR"/>
        </w:rPr>
        <w:t>d</w:t>
      </w:r>
      <w:r w:rsidR="00FE32FA" w:rsidRPr="00C437FA">
        <w:rPr>
          <w:rFonts w:ascii="Verdana" w:eastAsia="Verdana" w:hAnsi="Verdana" w:cs="Verdana"/>
          <w:sz w:val="16"/>
          <w:szCs w:val="16"/>
          <w:lang w:val="es-CR"/>
        </w:rPr>
        <w:t>o</w:t>
      </w:r>
      <w:r w:rsidR="00FE32FA" w:rsidRPr="00C437FA">
        <w:rPr>
          <w:rFonts w:ascii="Verdana" w:eastAsia="Verdana" w:hAnsi="Verdana" w:cs="Verdana"/>
          <w:spacing w:val="3"/>
          <w:sz w:val="16"/>
          <w:szCs w:val="16"/>
          <w:lang w:val="es-CR"/>
        </w:rPr>
        <w:t xml:space="preserve"> </w:t>
      </w:r>
      <w:r w:rsidR="009C4A89">
        <w:rPr>
          <w:rFonts w:ascii="Verdana" w:eastAsia="Verdana" w:hAnsi="Verdana" w:cs="Verdana"/>
          <w:spacing w:val="-1"/>
          <w:sz w:val="16"/>
          <w:szCs w:val="16"/>
          <w:lang w:val="es-CR"/>
        </w:rPr>
        <w:t>octavo</w:t>
      </w:r>
      <w:r w:rsidR="00FE32FA" w:rsidRPr="00C437FA">
        <w:rPr>
          <w:rFonts w:ascii="Verdana" w:eastAsia="Verdana" w:hAnsi="Verdana" w:cs="Verdana"/>
          <w:sz w:val="16"/>
          <w:szCs w:val="16"/>
          <w:lang w:val="es-CR"/>
        </w:rPr>
        <w:t>,</w:t>
      </w:r>
      <w:r w:rsidR="00FE32FA" w:rsidRPr="00C437FA">
        <w:rPr>
          <w:rFonts w:ascii="Verdana" w:eastAsia="Verdana" w:hAnsi="Verdana" w:cs="Verdana"/>
          <w:spacing w:val="1"/>
          <w:sz w:val="16"/>
          <w:szCs w:val="16"/>
          <w:lang w:val="es-CR"/>
        </w:rPr>
        <w:t xml:space="preserve"> </w:t>
      </w:r>
      <w:r w:rsidR="00FE32FA" w:rsidRPr="00C437FA">
        <w:rPr>
          <w:rFonts w:ascii="Verdana" w:eastAsia="Verdana" w:hAnsi="Verdana" w:cs="Verdana"/>
          <w:sz w:val="16"/>
          <w:szCs w:val="16"/>
          <w:lang w:val="es-CR"/>
        </w:rPr>
        <w:t>y</w:t>
      </w:r>
      <w:r w:rsidR="00FE32FA" w:rsidRPr="00C437FA">
        <w:rPr>
          <w:rFonts w:ascii="Verdana" w:eastAsia="Verdana" w:hAnsi="Verdana" w:cs="Verdana"/>
          <w:spacing w:val="3"/>
          <w:sz w:val="16"/>
          <w:szCs w:val="16"/>
          <w:lang w:val="es-CR"/>
        </w:rPr>
        <w:t xml:space="preserve"> </w:t>
      </w:r>
      <w:r w:rsidR="00FE32FA" w:rsidRPr="00C437FA">
        <w:rPr>
          <w:rFonts w:ascii="Verdana" w:hAnsi="Verdana"/>
          <w:i/>
          <w:sz w:val="16"/>
          <w:szCs w:val="16"/>
        </w:rPr>
        <w:t>Asunto del</w:t>
      </w:r>
      <w:r w:rsidR="00FE32FA" w:rsidRPr="00C437FA">
        <w:rPr>
          <w:rFonts w:ascii="Verdana" w:hAnsi="Verdana"/>
          <w:sz w:val="16"/>
          <w:szCs w:val="16"/>
        </w:rPr>
        <w:t xml:space="preserve"> </w:t>
      </w:r>
      <w:r w:rsidR="00FE32FA" w:rsidRPr="00C437FA">
        <w:rPr>
          <w:rFonts w:ascii="Verdana" w:hAnsi="Verdana"/>
          <w:i/>
          <w:sz w:val="16"/>
          <w:szCs w:val="16"/>
        </w:rPr>
        <w:t>Complejo Penitenciario de Curado.</w:t>
      </w:r>
      <w:r w:rsidR="00FE32FA" w:rsidRPr="00C437FA">
        <w:rPr>
          <w:rFonts w:ascii="Verdana" w:hAnsi="Verdana"/>
          <w:sz w:val="16"/>
          <w:szCs w:val="16"/>
        </w:rPr>
        <w:t xml:space="preserve"> </w:t>
      </w:r>
      <w:r w:rsidR="00FE32FA" w:rsidRPr="00C437FA">
        <w:rPr>
          <w:rFonts w:ascii="Verdana" w:hAnsi="Verdana"/>
          <w:i/>
          <w:sz w:val="16"/>
          <w:szCs w:val="16"/>
        </w:rPr>
        <w:t>Medidas Provisionales respecto de Brasil</w:t>
      </w:r>
      <w:r w:rsidR="00FE32FA" w:rsidRPr="00C437FA">
        <w:rPr>
          <w:rFonts w:ascii="Verdana" w:hAnsi="Verdana"/>
          <w:sz w:val="16"/>
          <w:szCs w:val="16"/>
        </w:rPr>
        <w:t xml:space="preserve">. Resolución de la Corte Interamericana de Derechos Humanos de 23 de noviembre de 2016, Considerando trigésimo segundo. </w:t>
      </w:r>
    </w:p>
  </w:footnote>
  <w:footnote w:id="6">
    <w:p w:rsidR="00B16921" w:rsidRPr="00C437FA" w:rsidRDefault="00B16921" w:rsidP="00C437FA">
      <w:pPr>
        <w:jc w:val="both"/>
        <w:rPr>
          <w:rFonts w:ascii="Verdana" w:eastAsia="Verdana" w:hAnsi="Verdana" w:cs="Verdana"/>
          <w:sz w:val="16"/>
          <w:szCs w:val="16"/>
          <w:lang w:val="es-CR"/>
        </w:rPr>
      </w:pPr>
      <w:r w:rsidRPr="00C437FA">
        <w:rPr>
          <w:rStyle w:val="Refdenotaalpie"/>
          <w:szCs w:val="16"/>
        </w:rPr>
        <w:footnoteRef/>
      </w:r>
      <w:r w:rsidRPr="00C437FA">
        <w:rPr>
          <w:rFonts w:ascii="Verdana" w:hAnsi="Verdana"/>
          <w:sz w:val="16"/>
          <w:szCs w:val="16"/>
        </w:rPr>
        <w:t xml:space="preserve"> </w:t>
      </w:r>
      <w:r w:rsidR="009C53A9" w:rsidRPr="00C437FA">
        <w:rPr>
          <w:rFonts w:ascii="Verdana" w:eastAsia="Verdana" w:hAnsi="Verdana" w:cs="Verdana"/>
          <w:i/>
          <w:sz w:val="16"/>
          <w:szCs w:val="16"/>
          <w:lang w:val="es-CR"/>
        </w:rPr>
        <w:tab/>
        <w:t>C</w:t>
      </w:r>
      <w:r w:rsidR="009C53A9" w:rsidRPr="00C437FA">
        <w:rPr>
          <w:rFonts w:ascii="Verdana" w:eastAsia="Verdana" w:hAnsi="Verdana" w:cs="Verdana"/>
          <w:i/>
          <w:spacing w:val="-1"/>
          <w:sz w:val="16"/>
          <w:szCs w:val="16"/>
          <w:lang w:val="es-CR"/>
        </w:rPr>
        <w:t>f</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w:t>
      </w:r>
      <w:r w:rsidR="009C53A9" w:rsidRPr="00C437FA">
        <w:rPr>
          <w:rFonts w:ascii="Verdana" w:eastAsia="Verdana" w:hAnsi="Verdana" w:cs="Verdana"/>
          <w:i/>
          <w:spacing w:val="29"/>
          <w:sz w:val="16"/>
          <w:szCs w:val="16"/>
          <w:lang w:val="es-CR"/>
        </w:rPr>
        <w:t xml:space="preserve"> </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so</w:t>
      </w:r>
      <w:r w:rsidR="009C53A9" w:rsidRPr="00C437FA">
        <w:rPr>
          <w:rFonts w:ascii="Verdana" w:eastAsia="Verdana" w:hAnsi="Verdana" w:cs="Verdana"/>
          <w:i/>
          <w:spacing w:val="28"/>
          <w:sz w:val="16"/>
          <w:szCs w:val="16"/>
          <w:lang w:val="es-CR"/>
        </w:rPr>
        <w:t xml:space="preserve"> </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ar</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31"/>
          <w:sz w:val="16"/>
          <w:szCs w:val="16"/>
          <w:lang w:val="es-CR"/>
        </w:rPr>
        <w:t xml:space="preserve"> </w:t>
      </w:r>
      <w:r w:rsidR="009C53A9" w:rsidRPr="00C437FA">
        <w:rPr>
          <w:rFonts w:ascii="Verdana" w:eastAsia="Verdana" w:hAnsi="Verdana" w:cs="Verdana"/>
          <w:i/>
          <w:sz w:val="16"/>
          <w:szCs w:val="16"/>
          <w:lang w:val="es-CR"/>
        </w:rPr>
        <w:t>N</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2"/>
          <w:sz w:val="16"/>
          <w:szCs w:val="16"/>
          <w:lang w:val="es-CR"/>
        </w:rPr>
        <w:t>c</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1"/>
          <w:sz w:val="16"/>
          <w:szCs w:val="16"/>
          <w:lang w:val="es-CR"/>
        </w:rPr>
        <w:t>ll</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30"/>
          <w:sz w:val="16"/>
          <w:szCs w:val="16"/>
          <w:lang w:val="es-CR"/>
        </w:rPr>
        <w:t xml:space="preserve"> </w:t>
      </w:r>
      <w:r w:rsidR="009C53A9" w:rsidRPr="00C437FA">
        <w:rPr>
          <w:rFonts w:ascii="Verdana" w:eastAsia="Verdana" w:hAnsi="Verdana" w:cs="Verdana"/>
          <w:i/>
          <w:sz w:val="16"/>
          <w:szCs w:val="16"/>
          <w:lang w:val="es-CR"/>
        </w:rPr>
        <w:t>y</w:t>
      </w:r>
      <w:r w:rsidR="009C53A9" w:rsidRPr="00C437FA">
        <w:rPr>
          <w:rFonts w:ascii="Verdana" w:eastAsia="Verdana" w:hAnsi="Verdana" w:cs="Verdana"/>
          <w:i/>
          <w:spacing w:val="31"/>
          <w:sz w:val="16"/>
          <w:szCs w:val="16"/>
          <w:lang w:val="es-CR"/>
        </w:rPr>
        <w:t xml:space="preserve"> </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3"/>
          <w:sz w:val="16"/>
          <w:szCs w:val="16"/>
          <w:lang w:val="es-CR"/>
        </w:rPr>
        <w:t>t</w:t>
      </w:r>
      <w:r w:rsidR="009C53A9" w:rsidRPr="00C437FA">
        <w:rPr>
          <w:rFonts w:ascii="Verdana" w:eastAsia="Verdana" w:hAnsi="Verdana" w:cs="Verdana"/>
          <w:i/>
          <w:spacing w:val="1"/>
          <w:sz w:val="16"/>
          <w:szCs w:val="16"/>
          <w:lang w:val="es-CR"/>
        </w:rPr>
        <w:t>ro</w:t>
      </w:r>
      <w:r w:rsidR="009C53A9" w:rsidRPr="00C437FA">
        <w:rPr>
          <w:rFonts w:ascii="Verdana" w:eastAsia="Verdana" w:hAnsi="Verdana" w:cs="Verdana"/>
          <w:i/>
          <w:sz w:val="16"/>
          <w:szCs w:val="16"/>
          <w:lang w:val="es-CR"/>
        </w:rPr>
        <w:t>s</w:t>
      </w:r>
      <w:r w:rsidR="009C53A9" w:rsidRPr="00C437FA">
        <w:rPr>
          <w:rFonts w:ascii="Verdana" w:eastAsia="Verdana" w:hAnsi="Verdana" w:cs="Verdana"/>
          <w:sz w:val="16"/>
          <w:szCs w:val="16"/>
          <w:lang w:val="es-CR"/>
        </w:rPr>
        <w:t>.</w:t>
      </w:r>
      <w:r w:rsidR="009C53A9" w:rsidRPr="00C437FA">
        <w:rPr>
          <w:rFonts w:ascii="Verdana" w:eastAsia="Verdana" w:hAnsi="Verdana" w:cs="Verdana"/>
          <w:spacing w:val="29"/>
          <w:sz w:val="16"/>
          <w:szCs w:val="16"/>
          <w:lang w:val="es-CR"/>
        </w:rPr>
        <w:t xml:space="preserve"> </w:t>
      </w:r>
      <w:r w:rsidR="009C53A9" w:rsidRPr="00C437FA">
        <w:rPr>
          <w:rFonts w:ascii="Verdana" w:eastAsia="Verdana" w:hAnsi="Verdana" w:cs="Verdana"/>
          <w:i/>
          <w:spacing w:val="-1"/>
          <w:sz w:val="16"/>
          <w:szCs w:val="16"/>
          <w:lang w:val="es-CR"/>
        </w:rPr>
        <w:t>M</w:t>
      </w:r>
      <w:r w:rsidR="009C53A9" w:rsidRPr="00C437FA">
        <w:rPr>
          <w:rFonts w:ascii="Verdana" w:eastAsia="Verdana" w:hAnsi="Verdana" w:cs="Verdana"/>
          <w:i/>
          <w:spacing w:val="-2"/>
          <w:sz w:val="16"/>
          <w:szCs w:val="16"/>
          <w:lang w:val="es-CR"/>
        </w:rPr>
        <w:t>e</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30"/>
          <w:sz w:val="16"/>
          <w:szCs w:val="16"/>
          <w:lang w:val="es-CR"/>
        </w:rPr>
        <w:t xml:space="preserve"> </w:t>
      </w:r>
      <w:r w:rsidR="009C53A9" w:rsidRPr="00C437FA">
        <w:rPr>
          <w:rFonts w:ascii="Verdana" w:eastAsia="Verdana" w:hAnsi="Verdana" w:cs="Verdana"/>
          <w:i/>
          <w:spacing w:val="-2"/>
          <w:sz w:val="16"/>
          <w:szCs w:val="16"/>
          <w:lang w:val="es-CR"/>
        </w:rPr>
        <w:t>p</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2"/>
          <w:sz w:val="16"/>
          <w:szCs w:val="16"/>
          <w:lang w:val="es-CR"/>
        </w:rPr>
        <w:t>o</w:t>
      </w:r>
      <w:r w:rsidR="009C53A9" w:rsidRPr="00C437FA">
        <w:rPr>
          <w:rFonts w:ascii="Verdana" w:eastAsia="Verdana" w:hAnsi="Verdana" w:cs="Verdana"/>
          <w:i/>
          <w:spacing w:val="1"/>
          <w:sz w:val="16"/>
          <w:szCs w:val="16"/>
          <w:lang w:val="es-CR"/>
        </w:rPr>
        <w:t>v</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1"/>
          <w:sz w:val="16"/>
          <w:szCs w:val="16"/>
          <w:lang w:val="es-CR"/>
        </w:rPr>
        <w:t>nal</w:t>
      </w:r>
      <w:r w:rsidR="009C53A9" w:rsidRPr="00C437FA">
        <w:rPr>
          <w:rFonts w:ascii="Verdana" w:eastAsia="Verdana" w:hAnsi="Verdana" w:cs="Verdana"/>
          <w:i/>
          <w:sz w:val="16"/>
          <w:szCs w:val="16"/>
          <w:lang w:val="es-CR"/>
        </w:rPr>
        <w:t>es</w:t>
      </w:r>
      <w:r w:rsidR="009C53A9" w:rsidRPr="00C437FA">
        <w:rPr>
          <w:rFonts w:ascii="Verdana" w:eastAsia="Verdana" w:hAnsi="Verdana" w:cs="Verdana"/>
          <w:i/>
          <w:spacing w:val="28"/>
          <w:sz w:val="16"/>
          <w:szCs w:val="16"/>
          <w:lang w:val="es-CR"/>
        </w:rPr>
        <w:t xml:space="preserve"> </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2"/>
          <w:sz w:val="16"/>
          <w:szCs w:val="16"/>
          <w:lang w:val="es-CR"/>
        </w:rPr>
        <w:t>e</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z w:val="16"/>
          <w:szCs w:val="16"/>
          <w:lang w:val="es-CR"/>
        </w:rPr>
        <w:t>ec</w:t>
      </w:r>
      <w:r w:rsidR="009C53A9" w:rsidRPr="00C437FA">
        <w:rPr>
          <w:rFonts w:ascii="Verdana" w:eastAsia="Verdana" w:hAnsi="Verdana" w:cs="Verdana"/>
          <w:i/>
          <w:spacing w:val="-3"/>
          <w:sz w:val="16"/>
          <w:szCs w:val="16"/>
          <w:lang w:val="es-CR"/>
        </w:rPr>
        <w:t>t</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31"/>
          <w:sz w:val="16"/>
          <w:szCs w:val="16"/>
          <w:lang w:val="es-CR"/>
        </w:rPr>
        <w:t xml:space="preserve">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30"/>
          <w:sz w:val="16"/>
          <w:szCs w:val="16"/>
          <w:lang w:val="es-CR"/>
        </w:rPr>
        <w:t xml:space="preserve"> </w:t>
      </w:r>
      <w:r w:rsidR="009C53A9" w:rsidRPr="00C437FA">
        <w:rPr>
          <w:rFonts w:ascii="Verdana" w:eastAsia="Verdana" w:hAnsi="Verdana" w:cs="Verdana"/>
          <w:i/>
          <w:sz w:val="16"/>
          <w:szCs w:val="16"/>
          <w:lang w:val="es-CR"/>
        </w:rPr>
        <w:t>G</w:t>
      </w:r>
      <w:r w:rsidR="009C53A9" w:rsidRPr="00C437FA">
        <w:rPr>
          <w:rFonts w:ascii="Verdana" w:eastAsia="Verdana" w:hAnsi="Verdana" w:cs="Verdana"/>
          <w:i/>
          <w:spacing w:val="-1"/>
          <w:sz w:val="16"/>
          <w:szCs w:val="16"/>
          <w:lang w:val="es-CR"/>
        </w:rPr>
        <w:t>uat</w:t>
      </w:r>
      <w:r w:rsidR="009C53A9" w:rsidRPr="00C437FA">
        <w:rPr>
          <w:rFonts w:ascii="Verdana" w:eastAsia="Verdana" w:hAnsi="Verdana" w:cs="Verdana"/>
          <w:i/>
          <w:sz w:val="16"/>
          <w:szCs w:val="16"/>
          <w:lang w:val="es-CR"/>
        </w:rPr>
        <w:t>em</w:t>
      </w:r>
      <w:r w:rsidR="009C53A9" w:rsidRPr="00C437FA">
        <w:rPr>
          <w:rFonts w:ascii="Verdana" w:eastAsia="Verdana" w:hAnsi="Verdana" w:cs="Verdana"/>
          <w:i/>
          <w:spacing w:val="-1"/>
          <w:sz w:val="16"/>
          <w:szCs w:val="16"/>
          <w:lang w:val="es-CR"/>
        </w:rPr>
        <w:t>ala</w:t>
      </w:r>
      <w:r w:rsidR="009C53A9" w:rsidRPr="00C437FA">
        <w:rPr>
          <w:rFonts w:ascii="Verdana" w:eastAsia="Verdana" w:hAnsi="Verdana" w:cs="Verdana"/>
          <w:sz w:val="16"/>
          <w:szCs w:val="16"/>
          <w:lang w:val="es-CR"/>
        </w:rPr>
        <w:t>.</w:t>
      </w:r>
      <w:r w:rsidR="009C53A9" w:rsidRPr="00C437FA">
        <w:rPr>
          <w:rFonts w:ascii="Verdana" w:eastAsia="Verdana" w:hAnsi="Verdana" w:cs="Verdana"/>
          <w:spacing w:val="29"/>
          <w:sz w:val="16"/>
          <w:szCs w:val="16"/>
          <w:lang w:val="es-CR"/>
        </w:rPr>
        <w:t xml:space="preserve"> </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z w:val="16"/>
          <w:szCs w:val="16"/>
          <w:lang w:val="es-CR"/>
        </w:rPr>
        <w:t>es</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1"/>
          <w:sz w:val="16"/>
          <w:szCs w:val="16"/>
          <w:lang w:val="es-CR"/>
        </w:rPr>
        <w:t>l</w:t>
      </w:r>
      <w:r w:rsidR="009C53A9" w:rsidRPr="00C437FA">
        <w:rPr>
          <w:rFonts w:ascii="Verdana" w:eastAsia="Verdana" w:hAnsi="Verdana" w:cs="Verdana"/>
          <w:spacing w:val="-3"/>
          <w:sz w:val="16"/>
          <w:szCs w:val="16"/>
          <w:lang w:val="es-CR"/>
        </w:rPr>
        <w:t>u</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pacing w:val="1"/>
          <w:sz w:val="16"/>
          <w:szCs w:val="16"/>
          <w:lang w:val="es-CR"/>
        </w:rPr>
        <w:t>ó</w:t>
      </w:r>
      <w:r w:rsidR="009C53A9" w:rsidRPr="00C437FA">
        <w:rPr>
          <w:rFonts w:ascii="Verdana" w:eastAsia="Verdana" w:hAnsi="Verdana" w:cs="Verdana"/>
          <w:sz w:val="16"/>
          <w:szCs w:val="16"/>
          <w:lang w:val="es-CR"/>
        </w:rPr>
        <w:t>n</w:t>
      </w:r>
      <w:r w:rsidR="009C53A9" w:rsidRPr="00C437FA">
        <w:rPr>
          <w:rFonts w:ascii="Verdana" w:eastAsia="Verdana" w:hAnsi="Verdana" w:cs="Verdana"/>
          <w:spacing w:val="29"/>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30"/>
          <w:sz w:val="16"/>
          <w:szCs w:val="16"/>
          <w:lang w:val="es-CR"/>
        </w:rPr>
        <w:t xml:space="preserve"> </w:t>
      </w:r>
      <w:r w:rsidR="009C53A9" w:rsidRPr="00C437FA">
        <w:rPr>
          <w:rFonts w:ascii="Verdana" w:eastAsia="Verdana" w:hAnsi="Verdana" w:cs="Verdana"/>
          <w:spacing w:val="-1"/>
          <w:sz w:val="16"/>
          <w:szCs w:val="16"/>
          <w:lang w:val="es-CR"/>
        </w:rPr>
        <w:t>l</w:t>
      </w:r>
      <w:r w:rsidR="009C53A9" w:rsidRPr="00C437FA">
        <w:rPr>
          <w:rFonts w:ascii="Verdana" w:eastAsia="Verdana" w:hAnsi="Verdana" w:cs="Verdana"/>
          <w:sz w:val="16"/>
          <w:szCs w:val="16"/>
          <w:lang w:val="es-CR"/>
        </w:rPr>
        <w:t>a C</w:t>
      </w:r>
      <w:r w:rsidR="009C53A9" w:rsidRPr="00C437FA">
        <w:rPr>
          <w:rFonts w:ascii="Verdana" w:eastAsia="Verdana" w:hAnsi="Verdana" w:cs="Verdana"/>
          <w:spacing w:val="-2"/>
          <w:sz w:val="16"/>
          <w:szCs w:val="16"/>
          <w:lang w:val="es-CR"/>
        </w:rPr>
        <w:t>o</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pacing w:val="2"/>
          <w:sz w:val="16"/>
          <w:szCs w:val="16"/>
          <w:lang w:val="es-CR"/>
        </w:rPr>
        <w:t>I</w:t>
      </w:r>
      <w:r w:rsidR="009C53A9" w:rsidRPr="00C437FA">
        <w:rPr>
          <w:rFonts w:ascii="Verdana" w:eastAsia="Verdana" w:hAnsi="Verdana" w:cs="Verdana"/>
          <w:spacing w:val="-1"/>
          <w:sz w:val="16"/>
          <w:szCs w:val="16"/>
          <w:lang w:val="es-CR"/>
        </w:rPr>
        <w:t>nt</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3"/>
          <w:sz w:val="16"/>
          <w:szCs w:val="16"/>
          <w:lang w:val="es-CR"/>
        </w:rPr>
        <w:t>a</w:t>
      </w:r>
      <w:r w:rsidR="009C53A9" w:rsidRPr="00C437FA">
        <w:rPr>
          <w:rFonts w:ascii="Verdana" w:eastAsia="Verdana" w:hAnsi="Verdana" w:cs="Verdana"/>
          <w:sz w:val="16"/>
          <w:szCs w:val="16"/>
          <w:lang w:val="es-CR"/>
        </w:rPr>
        <w:t>me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z w:val="16"/>
          <w:szCs w:val="16"/>
          <w:lang w:val="es-CR"/>
        </w:rPr>
        <w:t>a</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 xml:space="preserve">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z w:val="16"/>
          <w:szCs w:val="16"/>
          <w:lang w:val="es-CR"/>
        </w:rPr>
        <w:t>ec</w:t>
      </w:r>
      <w:r w:rsidR="009C53A9" w:rsidRPr="00C437FA">
        <w:rPr>
          <w:rFonts w:ascii="Verdana" w:eastAsia="Verdana" w:hAnsi="Verdana" w:cs="Verdana"/>
          <w:spacing w:val="-1"/>
          <w:sz w:val="16"/>
          <w:szCs w:val="16"/>
          <w:lang w:val="es-CR"/>
        </w:rPr>
        <w:t>h</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pacing w:val="-1"/>
          <w:sz w:val="16"/>
          <w:szCs w:val="16"/>
          <w:lang w:val="es-CR"/>
        </w:rPr>
        <w:t>Hu</w:t>
      </w:r>
      <w:r w:rsidR="009C53A9" w:rsidRPr="00C437FA">
        <w:rPr>
          <w:rFonts w:ascii="Verdana" w:eastAsia="Verdana" w:hAnsi="Verdana" w:cs="Verdana"/>
          <w:sz w:val="16"/>
          <w:szCs w:val="16"/>
          <w:lang w:val="es-CR"/>
        </w:rPr>
        <w:t>m</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z w:val="16"/>
          <w:szCs w:val="16"/>
          <w:lang w:val="es-CR"/>
        </w:rPr>
        <w:t>6</w:t>
      </w:r>
      <w:r w:rsidR="009C53A9" w:rsidRPr="00C437FA">
        <w:rPr>
          <w:rFonts w:ascii="Verdana" w:eastAsia="Verdana" w:hAnsi="Verdana" w:cs="Verdana"/>
          <w:spacing w:val="4"/>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z w:val="16"/>
          <w:szCs w:val="16"/>
          <w:lang w:val="es-CR"/>
        </w:rPr>
        <w:t>j</w:t>
      </w:r>
      <w:r w:rsidR="009C53A9" w:rsidRPr="00C437FA">
        <w:rPr>
          <w:rFonts w:ascii="Verdana" w:eastAsia="Verdana" w:hAnsi="Verdana" w:cs="Verdana"/>
          <w:spacing w:val="-1"/>
          <w:sz w:val="16"/>
          <w:szCs w:val="16"/>
          <w:lang w:val="es-CR"/>
        </w:rPr>
        <w:t>uli</w:t>
      </w:r>
      <w:r w:rsidR="009C53A9" w:rsidRPr="00C437FA">
        <w:rPr>
          <w:rFonts w:ascii="Verdana" w:eastAsia="Verdana" w:hAnsi="Verdana" w:cs="Verdana"/>
          <w:sz w:val="16"/>
          <w:szCs w:val="16"/>
          <w:lang w:val="es-CR"/>
        </w:rPr>
        <w:t>o</w:t>
      </w:r>
      <w:r w:rsidR="009C53A9" w:rsidRPr="00C437FA">
        <w:rPr>
          <w:rFonts w:ascii="Verdana" w:eastAsia="Verdana" w:hAnsi="Verdana" w:cs="Verdana"/>
          <w:spacing w:val="1"/>
          <w:sz w:val="16"/>
          <w:szCs w:val="16"/>
          <w:lang w:val="es-CR"/>
        </w:rPr>
        <w:t xml:space="preserve"> 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pacing w:val="1"/>
          <w:sz w:val="16"/>
          <w:szCs w:val="16"/>
          <w:lang w:val="es-CR"/>
        </w:rPr>
        <w:t>2</w:t>
      </w:r>
      <w:r w:rsidR="009C53A9" w:rsidRPr="00C437FA">
        <w:rPr>
          <w:rFonts w:ascii="Verdana" w:eastAsia="Verdana" w:hAnsi="Verdana" w:cs="Verdana"/>
          <w:spacing w:val="-1"/>
          <w:sz w:val="16"/>
          <w:szCs w:val="16"/>
          <w:lang w:val="es-CR"/>
        </w:rPr>
        <w:t>0</w:t>
      </w:r>
      <w:r w:rsidR="009C53A9" w:rsidRPr="00C437FA">
        <w:rPr>
          <w:rFonts w:ascii="Verdana" w:eastAsia="Verdana" w:hAnsi="Verdana" w:cs="Verdana"/>
          <w:spacing w:val="1"/>
          <w:sz w:val="16"/>
          <w:szCs w:val="16"/>
          <w:lang w:val="es-CR"/>
        </w:rPr>
        <w:t>09</w:t>
      </w:r>
      <w:r w:rsidR="009C53A9" w:rsidRPr="00C437FA">
        <w:rPr>
          <w:rFonts w:ascii="Verdana" w:eastAsia="Verdana" w:hAnsi="Verdana" w:cs="Verdana"/>
          <w:sz w:val="16"/>
          <w:szCs w:val="16"/>
          <w:lang w:val="es-CR"/>
        </w:rPr>
        <w:t>,</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2"/>
          <w:sz w:val="16"/>
          <w:szCs w:val="16"/>
          <w:lang w:val="es-CR"/>
        </w:rPr>
        <w:t>C</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1"/>
          <w:sz w:val="16"/>
          <w:szCs w:val="16"/>
          <w:lang w:val="es-CR"/>
        </w:rPr>
        <w:t>n</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o</w:t>
      </w:r>
      <w:r w:rsidR="009C53A9" w:rsidRPr="00C437FA">
        <w:rPr>
          <w:rFonts w:ascii="Verdana" w:eastAsia="Verdana" w:hAnsi="Verdana" w:cs="Verdana"/>
          <w:spacing w:val="4"/>
          <w:sz w:val="16"/>
          <w:szCs w:val="16"/>
          <w:lang w:val="es-CR"/>
        </w:rPr>
        <w:t xml:space="preserve"> </w:t>
      </w:r>
      <w:r w:rsidR="009C53A9" w:rsidRPr="00C437FA">
        <w:rPr>
          <w:rFonts w:ascii="Verdana" w:eastAsia="Verdana" w:hAnsi="Verdana" w:cs="Verdana"/>
          <w:spacing w:val="1"/>
          <w:sz w:val="16"/>
          <w:szCs w:val="16"/>
          <w:lang w:val="es-CR"/>
        </w:rPr>
        <w:t xml:space="preserve">décimo </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ua</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z w:val="16"/>
          <w:szCs w:val="16"/>
          <w:lang w:val="es-CR"/>
        </w:rPr>
        <w:t>o,</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z w:val="16"/>
          <w:szCs w:val="16"/>
          <w:lang w:val="es-CR"/>
        </w:rPr>
        <w:t>y</w:t>
      </w:r>
      <w:r w:rsidR="009C53A9" w:rsidRPr="00C437FA">
        <w:rPr>
          <w:rFonts w:ascii="Verdana" w:eastAsia="Verdana" w:hAnsi="Verdana" w:cs="Verdana"/>
          <w:spacing w:val="4"/>
          <w:sz w:val="16"/>
          <w:szCs w:val="16"/>
          <w:lang w:val="es-CR"/>
        </w:rPr>
        <w:t xml:space="preserve"> </w:t>
      </w:r>
      <w:r w:rsidR="009C53A9" w:rsidRPr="00C437FA">
        <w:rPr>
          <w:rFonts w:ascii="Verdana" w:hAnsi="Verdana"/>
          <w:i/>
          <w:sz w:val="16"/>
          <w:szCs w:val="16"/>
        </w:rPr>
        <w:t>Asunto</w:t>
      </w:r>
      <w:r w:rsidR="009C53A9" w:rsidRPr="00C437FA">
        <w:rPr>
          <w:rFonts w:ascii="Verdana" w:hAnsi="Verdana"/>
          <w:sz w:val="16"/>
          <w:szCs w:val="16"/>
        </w:rPr>
        <w:t xml:space="preserve"> </w:t>
      </w:r>
      <w:r w:rsidR="009C53A9" w:rsidRPr="00C437FA">
        <w:rPr>
          <w:rFonts w:ascii="Verdana" w:hAnsi="Verdana"/>
          <w:i/>
          <w:sz w:val="16"/>
          <w:szCs w:val="16"/>
        </w:rPr>
        <w:t>Gladys Lanza Ochoa.</w:t>
      </w:r>
      <w:r w:rsidR="009C53A9" w:rsidRPr="00C437FA">
        <w:rPr>
          <w:rFonts w:ascii="Verdana" w:hAnsi="Verdana"/>
          <w:sz w:val="16"/>
          <w:szCs w:val="16"/>
        </w:rPr>
        <w:t xml:space="preserve"> </w:t>
      </w:r>
      <w:r w:rsidR="009C53A9" w:rsidRPr="00C437FA">
        <w:rPr>
          <w:rFonts w:ascii="Verdana" w:hAnsi="Verdana"/>
          <w:i/>
          <w:sz w:val="16"/>
          <w:szCs w:val="16"/>
        </w:rPr>
        <w:t>Medidas Provisionales respecto de Honduras</w:t>
      </w:r>
      <w:r w:rsidR="009C53A9" w:rsidRPr="00C437FA">
        <w:rPr>
          <w:rFonts w:ascii="Verdana" w:hAnsi="Verdana"/>
          <w:sz w:val="16"/>
          <w:szCs w:val="16"/>
        </w:rPr>
        <w:t>. Resolución de la Corte Interamericana de Derechos Humanos de 23 de noviembre de 2016, Considerando segundo.</w:t>
      </w:r>
    </w:p>
  </w:footnote>
  <w:footnote w:id="7">
    <w:p w:rsidR="00B16921" w:rsidRPr="00C437FA" w:rsidRDefault="00B16921" w:rsidP="00C437FA">
      <w:pPr>
        <w:pStyle w:val="Textonotapie"/>
        <w:jc w:val="both"/>
        <w:rPr>
          <w:rFonts w:ascii="Verdana" w:hAnsi="Verdana"/>
          <w:sz w:val="16"/>
          <w:szCs w:val="16"/>
          <w:lang w:val="es-AR"/>
        </w:rPr>
      </w:pPr>
      <w:r w:rsidRPr="00C437FA">
        <w:rPr>
          <w:rStyle w:val="Refdenotaalpie"/>
          <w:szCs w:val="16"/>
        </w:rPr>
        <w:footnoteRef/>
      </w:r>
      <w:r w:rsidRPr="00C437FA">
        <w:rPr>
          <w:rFonts w:ascii="Verdana" w:hAnsi="Verdana"/>
          <w:sz w:val="16"/>
          <w:szCs w:val="16"/>
        </w:rPr>
        <w:t xml:space="preserve"> </w:t>
      </w:r>
      <w:r w:rsidR="009C53A9" w:rsidRPr="00C437FA">
        <w:rPr>
          <w:rFonts w:ascii="Verdana" w:eastAsia="Verdana" w:hAnsi="Verdana" w:cs="Verdana"/>
          <w:i/>
          <w:sz w:val="16"/>
          <w:szCs w:val="16"/>
          <w:lang w:val="es-CR"/>
        </w:rPr>
        <w:tab/>
        <w:t>C</w:t>
      </w:r>
      <w:r w:rsidR="009C53A9" w:rsidRPr="00C437FA">
        <w:rPr>
          <w:rFonts w:ascii="Verdana" w:eastAsia="Verdana" w:hAnsi="Verdana" w:cs="Verdana"/>
          <w:i/>
          <w:spacing w:val="-1"/>
          <w:sz w:val="16"/>
          <w:szCs w:val="16"/>
          <w:lang w:val="es-CR"/>
        </w:rPr>
        <w:t>f</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w:t>
      </w:r>
      <w:r w:rsidR="009C53A9" w:rsidRPr="00C437FA">
        <w:rPr>
          <w:rFonts w:ascii="Verdana" w:eastAsia="Verdana" w:hAnsi="Verdana" w:cs="Verdana"/>
          <w:i/>
          <w:spacing w:val="5"/>
          <w:sz w:val="16"/>
          <w:szCs w:val="16"/>
          <w:lang w:val="es-CR"/>
        </w:rPr>
        <w:t xml:space="preserve"> </w:t>
      </w:r>
      <w:r w:rsidR="009C53A9" w:rsidRPr="00C437FA">
        <w:rPr>
          <w:rFonts w:ascii="Verdana" w:eastAsia="Verdana" w:hAnsi="Verdana" w:cs="Verdana"/>
          <w:i/>
          <w:sz w:val="16"/>
          <w:szCs w:val="16"/>
          <w:lang w:val="es-CR"/>
        </w:rPr>
        <w:t>As</w:t>
      </w:r>
      <w:r w:rsidR="009C53A9" w:rsidRPr="00C437FA">
        <w:rPr>
          <w:rFonts w:ascii="Verdana" w:eastAsia="Verdana" w:hAnsi="Verdana" w:cs="Verdana"/>
          <w:i/>
          <w:spacing w:val="-1"/>
          <w:sz w:val="16"/>
          <w:szCs w:val="16"/>
          <w:lang w:val="es-CR"/>
        </w:rPr>
        <w:t>unt</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4"/>
          <w:sz w:val="16"/>
          <w:szCs w:val="16"/>
          <w:lang w:val="es-CR"/>
        </w:rPr>
        <w:t xml:space="preserve"> </w:t>
      </w:r>
      <w:r w:rsidR="009C53A9" w:rsidRPr="00C437FA">
        <w:rPr>
          <w:rFonts w:ascii="Verdana" w:eastAsia="Verdana" w:hAnsi="Verdana" w:cs="Verdana"/>
          <w:i/>
          <w:sz w:val="16"/>
          <w:szCs w:val="16"/>
          <w:lang w:val="es-CR"/>
        </w:rPr>
        <w:t>I</w:t>
      </w:r>
      <w:r w:rsidR="009C53A9" w:rsidRPr="00C437FA">
        <w:rPr>
          <w:rFonts w:ascii="Verdana" w:eastAsia="Verdana" w:hAnsi="Verdana" w:cs="Verdana"/>
          <w:i/>
          <w:spacing w:val="-1"/>
          <w:sz w:val="16"/>
          <w:szCs w:val="16"/>
          <w:lang w:val="es-CR"/>
        </w:rPr>
        <w:t>nt</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1"/>
          <w:sz w:val="16"/>
          <w:szCs w:val="16"/>
          <w:lang w:val="es-CR"/>
        </w:rPr>
        <w:t>na</w:t>
      </w:r>
      <w:r w:rsidR="009C53A9" w:rsidRPr="00C437FA">
        <w:rPr>
          <w:rFonts w:ascii="Verdana" w:eastAsia="Verdana" w:hAnsi="Verdana" w:cs="Verdana"/>
          <w:i/>
          <w:spacing w:val="-2"/>
          <w:sz w:val="16"/>
          <w:szCs w:val="16"/>
          <w:lang w:val="es-CR"/>
        </w:rPr>
        <w:t>d</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7"/>
          <w:sz w:val="16"/>
          <w:szCs w:val="16"/>
          <w:lang w:val="es-CR"/>
        </w:rPr>
        <w:t xml:space="preserve"> </w:t>
      </w:r>
      <w:r w:rsidR="009C53A9" w:rsidRPr="00C437FA">
        <w:rPr>
          <w:rFonts w:ascii="Verdana" w:eastAsia="Verdana" w:hAnsi="Verdana" w:cs="Verdana"/>
          <w:i/>
          <w:spacing w:val="-1"/>
          <w:sz w:val="16"/>
          <w:szCs w:val="16"/>
          <w:lang w:val="es-CR"/>
        </w:rPr>
        <w:t>Ju</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3"/>
          <w:sz w:val="16"/>
          <w:szCs w:val="16"/>
          <w:lang w:val="es-CR"/>
        </w:rPr>
        <w:t>a</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5"/>
          <w:sz w:val="16"/>
          <w:szCs w:val="16"/>
          <w:lang w:val="es-CR"/>
        </w:rPr>
        <w:t xml:space="preserve">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6"/>
          <w:sz w:val="16"/>
          <w:szCs w:val="16"/>
          <w:lang w:val="es-CR"/>
        </w:rPr>
        <w:t xml:space="preserve"> </w:t>
      </w:r>
      <w:r w:rsidR="009C53A9" w:rsidRPr="00C437FA">
        <w:rPr>
          <w:rFonts w:ascii="Verdana" w:eastAsia="Verdana" w:hAnsi="Verdana" w:cs="Verdana"/>
          <w:i/>
          <w:spacing w:val="-1"/>
          <w:sz w:val="16"/>
          <w:szCs w:val="16"/>
          <w:lang w:val="es-CR"/>
        </w:rPr>
        <w:t>M</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1"/>
          <w:sz w:val="16"/>
          <w:szCs w:val="16"/>
          <w:lang w:val="es-CR"/>
        </w:rPr>
        <w:t>n</w:t>
      </w:r>
      <w:r w:rsidR="009C53A9" w:rsidRPr="00C437FA">
        <w:rPr>
          <w:rFonts w:ascii="Verdana" w:eastAsia="Verdana" w:hAnsi="Verdana" w:cs="Verdana"/>
          <w:i/>
          <w:spacing w:val="-3"/>
          <w:sz w:val="16"/>
          <w:szCs w:val="16"/>
          <w:lang w:val="es-CR"/>
        </w:rPr>
        <w:t>a</w:t>
      </w:r>
      <w:r w:rsidR="009C53A9" w:rsidRPr="00C437FA">
        <w:rPr>
          <w:rFonts w:ascii="Verdana" w:eastAsia="Verdana" w:hAnsi="Verdana" w:cs="Verdana"/>
          <w:i/>
          <w:spacing w:val="1"/>
          <w:sz w:val="16"/>
          <w:szCs w:val="16"/>
          <w:lang w:val="es-CR"/>
        </w:rPr>
        <w:t>g</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6"/>
          <w:sz w:val="16"/>
          <w:szCs w:val="16"/>
          <w:lang w:val="es-CR"/>
        </w:rPr>
        <w:t xml:space="preserve"> </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pacing w:val="-1"/>
          <w:sz w:val="16"/>
          <w:szCs w:val="16"/>
          <w:lang w:val="es-CR"/>
        </w:rPr>
        <w:t>L</w:t>
      </w:r>
      <w:r w:rsidR="009C53A9" w:rsidRPr="00C437FA">
        <w:rPr>
          <w:rFonts w:ascii="Verdana" w:eastAsia="Verdana" w:hAnsi="Verdana" w:cs="Verdana"/>
          <w:i/>
          <w:sz w:val="16"/>
          <w:szCs w:val="16"/>
          <w:lang w:val="es-CR"/>
        </w:rPr>
        <w:t>a</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pacing w:val="-1"/>
          <w:sz w:val="16"/>
          <w:szCs w:val="16"/>
          <w:lang w:val="es-CR"/>
        </w:rPr>
        <w:t>Pi</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z w:val="16"/>
          <w:szCs w:val="16"/>
          <w:lang w:val="es-CR"/>
        </w:rPr>
        <w:t>,</w:t>
      </w:r>
      <w:r w:rsidR="009C53A9" w:rsidRPr="00C437FA">
        <w:rPr>
          <w:rFonts w:ascii="Verdana" w:eastAsia="Verdana" w:hAnsi="Verdana" w:cs="Verdana"/>
          <w:i/>
          <w:spacing w:val="5"/>
          <w:sz w:val="16"/>
          <w:szCs w:val="16"/>
          <w:lang w:val="es-CR"/>
        </w:rPr>
        <w:t xml:space="preserve"> </w:t>
      </w:r>
      <w:r w:rsidR="009C53A9" w:rsidRPr="00C437FA">
        <w:rPr>
          <w:rFonts w:ascii="Verdana" w:eastAsia="Verdana" w:hAnsi="Verdana" w:cs="Verdana"/>
          <w:i/>
          <w:sz w:val="16"/>
          <w:szCs w:val="16"/>
          <w:lang w:val="es-CR"/>
        </w:rPr>
        <w:t>Ce</w:t>
      </w:r>
      <w:r w:rsidR="009C53A9" w:rsidRPr="00C437FA">
        <w:rPr>
          <w:rFonts w:ascii="Verdana" w:eastAsia="Verdana" w:hAnsi="Verdana" w:cs="Verdana"/>
          <w:i/>
          <w:spacing w:val="-3"/>
          <w:sz w:val="16"/>
          <w:szCs w:val="16"/>
          <w:lang w:val="es-CR"/>
        </w:rPr>
        <w:t>n</w:t>
      </w:r>
      <w:r w:rsidR="009C53A9" w:rsidRPr="00C437FA">
        <w:rPr>
          <w:rFonts w:ascii="Verdana" w:eastAsia="Verdana" w:hAnsi="Verdana" w:cs="Verdana"/>
          <w:i/>
          <w:spacing w:val="-1"/>
          <w:sz w:val="16"/>
          <w:szCs w:val="16"/>
          <w:lang w:val="es-CR"/>
        </w:rPr>
        <w:t>t</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7"/>
          <w:sz w:val="16"/>
          <w:szCs w:val="16"/>
          <w:lang w:val="es-CR"/>
        </w:rPr>
        <w:t xml:space="preserve"> </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nit</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n</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ia</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4"/>
          <w:sz w:val="16"/>
          <w:szCs w:val="16"/>
          <w:lang w:val="es-CR"/>
        </w:rPr>
        <w:t xml:space="preserve"> </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2"/>
          <w:sz w:val="16"/>
          <w:szCs w:val="16"/>
          <w:lang w:val="es-CR"/>
        </w:rPr>
        <w:t>e</w:t>
      </w:r>
      <w:r w:rsidR="009C53A9" w:rsidRPr="00C437FA">
        <w:rPr>
          <w:rFonts w:ascii="Verdana" w:eastAsia="Verdana" w:hAnsi="Verdana" w:cs="Verdana"/>
          <w:i/>
          <w:spacing w:val="1"/>
          <w:sz w:val="16"/>
          <w:szCs w:val="16"/>
          <w:lang w:val="es-CR"/>
        </w:rPr>
        <w:t>g</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ó</w:t>
      </w:r>
      <w:r w:rsidR="009C53A9" w:rsidRPr="00C437FA">
        <w:rPr>
          <w:rFonts w:ascii="Verdana" w:eastAsia="Verdana" w:hAnsi="Verdana" w:cs="Verdana"/>
          <w:i/>
          <w:sz w:val="16"/>
          <w:szCs w:val="16"/>
          <w:lang w:val="es-CR"/>
        </w:rPr>
        <w:t>n</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3"/>
          <w:sz w:val="16"/>
          <w:szCs w:val="16"/>
          <w:lang w:val="es-CR"/>
        </w:rPr>
        <w:t>t</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5"/>
          <w:sz w:val="16"/>
          <w:szCs w:val="16"/>
          <w:lang w:val="es-CR"/>
        </w:rPr>
        <w:t xml:space="preserve"> </w:t>
      </w:r>
      <w:r w:rsidR="009C53A9" w:rsidRPr="00C437FA">
        <w:rPr>
          <w:rFonts w:ascii="Verdana" w:eastAsia="Verdana" w:hAnsi="Verdana" w:cs="Verdana"/>
          <w:i/>
          <w:sz w:val="16"/>
          <w:szCs w:val="16"/>
          <w:lang w:val="es-CR"/>
        </w:rPr>
        <w:t>Y</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6"/>
          <w:sz w:val="16"/>
          <w:szCs w:val="16"/>
          <w:lang w:val="es-CR"/>
        </w:rPr>
        <w:t xml:space="preserve"> </w:t>
      </w:r>
      <w:r w:rsidR="009C53A9" w:rsidRPr="00C437FA">
        <w:rPr>
          <w:rFonts w:ascii="Verdana" w:eastAsia="Verdana" w:hAnsi="Verdana" w:cs="Verdana"/>
          <w:i/>
          <w:sz w:val="16"/>
          <w:szCs w:val="16"/>
          <w:lang w:val="es-CR"/>
        </w:rPr>
        <w:t>I</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z w:val="16"/>
          <w:szCs w:val="16"/>
          <w:lang w:val="es-CR"/>
        </w:rPr>
        <w:t>y Y</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54"/>
          <w:sz w:val="16"/>
          <w:szCs w:val="16"/>
          <w:lang w:val="es-CR"/>
        </w:rPr>
        <w:t xml:space="preserve"> </w:t>
      </w:r>
      <w:r w:rsidR="009C53A9" w:rsidRPr="00C437FA">
        <w:rPr>
          <w:rFonts w:ascii="Verdana" w:eastAsia="Verdana" w:hAnsi="Verdana" w:cs="Verdana"/>
          <w:i/>
          <w:sz w:val="16"/>
          <w:szCs w:val="16"/>
          <w:lang w:val="es-CR"/>
        </w:rPr>
        <w:t>II</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ár</w:t>
      </w:r>
      <w:r w:rsidR="009C53A9" w:rsidRPr="00C437FA">
        <w:rPr>
          <w:rFonts w:ascii="Verdana" w:eastAsia="Verdana" w:hAnsi="Verdana" w:cs="Verdana"/>
          <w:i/>
          <w:sz w:val="16"/>
          <w:szCs w:val="16"/>
          <w:lang w:val="es-CR"/>
        </w:rPr>
        <w:t>cel</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52"/>
          <w:sz w:val="16"/>
          <w:szCs w:val="16"/>
          <w:lang w:val="es-CR"/>
        </w:rPr>
        <w:t xml:space="preserve"> </w:t>
      </w:r>
      <w:r w:rsidR="009C53A9" w:rsidRPr="00C437FA">
        <w:rPr>
          <w:rFonts w:ascii="Verdana" w:eastAsia="Verdana" w:hAnsi="Verdana" w:cs="Verdana"/>
          <w:i/>
          <w:sz w:val="16"/>
          <w:szCs w:val="16"/>
          <w:lang w:val="es-CR"/>
        </w:rPr>
        <w:t>Y</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z w:val="16"/>
          <w:szCs w:val="16"/>
          <w:lang w:val="es-CR"/>
        </w:rPr>
        <w:t>,</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pacing w:val="-2"/>
          <w:sz w:val="16"/>
          <w:szCs w:val="16"/>
          <w:lang w:val="es-CR"/>
        </w:rPr>
        <w:t>C</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nt</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54"/>
          <w:sz w:val="16"/>
          <w:szCs w:val="16"/>
          <w:lang w:val="es-CR"/>
        </w:rPr>
        <w:t xml:space="preserve"> </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nit</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n</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ia</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52"/>
          <w:sz w:val="16"/>
          <w:szCs w:val="16"/>
          <w:lang w:val="es-CR"/>
        </w:rPr>
        <w:t xml:space="preserve">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54"/>
          <w:sz w:val="16"/>
          <w:szCs w:val="16"/>
          <w:lang w:val="es-CR"/>
        </w:rPr>
        <w:t xml:space="preserve"> </w:t>
      </w:r>
      <w:r w:rsidR="009C53A9" w:rsidRPr="00C437FA">
        <w:rPr>
          <w:rFonts w:ascii="Verdana" w:eastAsia="Verdana" w:hAnsi="Verdana" w:cs="Verdana"/>
          <w:i/>
          <w:spacing w:val="-1"/>
          <w:sz w:val="16"/>
          <w:szCs w:val="16"/>
          <w:lang w:val="es-CR"/>
        </w:rPr>
        <w:t>l</w:t>
      </w:r>
      <w:r w:rsidR="009C53A9" w:rsidRPr="00C437FA">
        <w:rPr>
          <w:rFonts w:ascii="Verdana" w:eastAsia="Verdana" w:hAnsi="Verdana" w:cs="Verdana"/>
          <w:i/>
          <w:sz w:val="16"/>
          <w:szCs w:val="16"/>
          <w:lang w:val="es-CR"/>
        </w:rPr>
        <w:t>a</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2"/>
          <w:sz w:val="16"/>
          <w:szCs w:val="16"/>
          <w:lang w:val="es-CR"/>
        </w:rPr>
        <w:t>e</w:t>
      </w:r>
      <w:r w:rsidR="009C53A9" w:rsidRPr="00C437FA">
        <w:rPr>
          <w:rFonts w:ascii="Verdana" w:eastAsia="Verdana" w:hAnsi="Verdana" w:cs="Verdana"/>
          <w:i/>
          <w:spacing w:val="1"/>
          <w:sz w:val="16"/>
          <w:szCs w:val="16"/>
          <w:lang w:val="es-CR"/>
        </w:rPr>
        <w:t>g</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ó</w:t>
      </w:r>
      <w:r w:rsidR="009C53A9" w:rsidRPr="00C437FA">
        <w:rPr>
          <w:rFonts w:ascii="Verdana" w:eastAsia="Verdana" w:hAnsi="Verdana" w:cs="Verdana"/>
          <w:i/>
          <w:sz w:val="16"/>
          <w:szCs w:val="16"/>
          <w:lang w:val="es-CR"/>
        </w:rPr>
        <w:t>n</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z w:val="16"/>
          <w:szCs w:val="16"/>
          <w:lang w:val="es-CR"/>
        </w:rPr>
        <w:t>Ce</w:t>
      </w:r>
      <w:r w:rsidR="009C53A9" w:rsidRPr="00C437FA">
        <w:rPr>
          <w:rFonts w:ascii="Verdana" w:eastAsia="Verdana" w:hAnsi="Verdana" w:cs="Verdana"/>
          <w:i/>
          <w:spacing w:val="-1"/>
          <w:sz w:val="16"/>
          <w:szCs w:val="16"/>
          <w:lang w:val="es-CR"/>
        </w:rPr>
        <w:t>ntr</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52"/>
          <w:sz w:val="16"/>
          <w:szCs w:val="16"/>
          <w:lang w:val="es-CR"/>
        </w:rPr>
        <w:t xml:space="preserve"> </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z w:val="16"/>
          <w:szCs w:val="16"/>
          <w:lang w:val="es-CR"/>
        </w:rPr>
        <w:t>cc</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2"/>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nta</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pacing w:val="-1"/>
          <w:sz w:val="16"/>
          <w:szCs w:val="16"/>
          <w:lang w:val="es-CR"/>
        </w:rPr>
        <w:t>(</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á</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cel</w:t>
      </w:r>
      <w:r w:rsidR="009C53A9" w:rsidRPr="00C437FA">
        <w:rPr>
          <w:rFonts w:ascii="Verdana" w:eastAsia="Verdana" w:hAnsi="Verdana" w:cs="Verdana"/>
          <w:i/>
          <w:spacing w:val="53"/>
          <w:sz w:val="16"/>
          <w:szCs w:val="16"/>
          <w:lang w:val="es-CR"/>
        </w:rPr>
        <w:t xml:space="preserve">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54"/>
          <w:sz w:val="16"/>
          <w:szCs w:val="16"/>
          <w:lang w:val="es-CR"/>
        </w:rPr>
        <w:t xml:space="preserve"> </w:t>
      </w:r>
      <w:r w:rsidR="009C53A9" w:rsidRPr="00C437FA">
        <w:rPr>
          <w:rFonts w:ascii="Verdana" w:eastAsia="Verdana" w:hAnsi="Verdana" w:cs="Verdana"/>
          <w:i/>
          <w:spacing w:val="-3"/>
          <w:sz w:val="16"/>
          <w:szCs w:val="16"/>
          <w:lang w:val="es-CR"/>
        </w:rPr>
        <w:t>U</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b</w:t>
      </w:r>
      <w:r w:rsidR="009C53A9" w:rsidRPr="00C437FA">
        <w:rPr>
          <w:rFonts w:ascii="Verdana" w:eastAsia="Verdana" w:hAnsi="Verdana" w:cs="Verdana"/>
          <w:i/>
          <w:spacing w:val="-1"/>
          <w:sz w:val="16"/>
          <w:szCs w:val="16"/>
          <w:lang w:val="es-CR"/>
        </w:rPr>
        <w:t>ana)</w:t>
      </w:r>
      <w:r w:rsidR="009C53A9" w:rsidRPr="00C437FA">
        <w:rPr>
          <w:rFonts w:ascii="Verdana" w:eastAsia="Verdana" w:hAnsi="Verdana" w:cs="Verdana"/>
          <w:i/>
          <w:sz w:val="16"/>
          <w:szCs w:val="16"/>
          <w:lang w:val="es-CR"/>
        </w:rPr>
        <w:t>,</w:t>
      </w:r>
      <w:r w:rsidR="009C53A9" w:rsidRPr="00C437FA">
        <w:rPr>
          <w:rFonts w:ascii="Verdana" w:eastAsia="Verdana" w:hAnsi="Verdana" w:cs="Verdana"/>
          <w:i/>
          <w:spacing w:val="50"/>
          <w:sz w:val="16"/>
          <w:szCs w:val="16"/>
          <w:lang w:val="es-CR"/>
        </w:rPr>
        <w:t xml:space="preserve"> </w:t>
      </w:r>
      <w:r w:rsidR="009C53A9" w:rsidRPr="00C437FA">
        <w:rPr>
          <w:rFonts w:ascii="Verdana" w:eastAsia="Verdana" w:hAnsi="Verdana" w:cs="Verdana"/>
          <w:i/>
          <w:sz w:val="16"/>
          <w:szCs w:val="16"/>
          <w:lang w:val="es-CR"/>
        </w:rPr>
        <w:t>e I</w:t>
      </w:r>
      <w:r w:rsidR="009C53A9" w:rsidRPr="00C437FA">
        <w:rPr>
          <w:rFonts w:ascii="Verdana" w:eastAsia="Verdana" w:hAnsi="Verdana" w:cs="Verdana"/>
          <w:i/>
          <w:spacing w:val="-1"/>
          <w:sz w:val="16"/>
          <w:szCs w:val="16"/>
          <w:lang w:val="es-CR"/>
        </w:rPr>
        <w:t>nt</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1"/>
          <w:sz w:val="16"/>
          <w:szCs w:val="16"/>
          <w:lang w:val="es-CR"/>
        </w:rPr>
        <w:t>na</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pacing w:val="-1"/>
          <w:sz w:val="16"/>
          <w:szCs w:val="16"/>
          <w:lang w:val="es-CR"/>
        </w:rPr>
        <w:t>Ju</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ia</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1"/>
          <w:sz w:val="16"/>
          <w:szCs w:val="16"/>
          <w:lang w:val="es-CR"/>
        </w:rPr>
        <w:t xml:space="preserve"> </w:t>
      </w:r>
      <w:r w:rsidR="009C53A9" w:rsidRPr="00C437FA">
        <w:rPr>
          <w:rFonts w:ascii="Verdana" w:eastAsia="Verdana" w:hAnsi="Verdana" w:cs="Verdana"/>
          <w:i/>
          <w:sz w:val="16"/>
          <w:szCs w:val="16"/>
          <w:lang w:val="es-CR"/>
        </w:rPr>
        <w:t>C</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pacing w:val="-1"/>
          <w:sz w:val="16"/>
          <w:szCs w:val="16"/>
          <w:lang w:val="es-CR"/>
        </w:rPr>
        <w:t>ita</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1"/>
          <w:sz w:val="16"/>
          <w:szCs w:val="16"/>
          <w:lang w:val="es-CR"/>
        </w:rPr>
        <w:t xml:space="preserve"> </w:t>
      </w:r>
      <w:r w:rsidR="009C53A9" w:rsidRPr="00C437FA">
        <w:rPr>
          <w:rFonts w:ascii="Verdana" w:eastAsia="Verdana" w:hAnsi="Verdana" w:cs="Verdana"/>
          <w:i/>
          <w:spacing w:val="-1"/>
          <w:sz w:val="16"/>
          <w:szCs w:val="16"/>
          <w:lang w:val="es-CR"/>
        </w:rPr>
        <w:t>E</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1"/>
          <w:sz w:val="16"/>
          <w:szCs w:val="16"/>
          <w:lang w:val="es-CR"/>
        </w:rPr>
        <w:t xml:space="preserve"> </w:t>
      </w:r>
      <w:r w:rsidR="009C53A9" w:rsidRPr="00C437FA">
        <w:rPr>
          <w:rFonts w:ascii="Verdana" w:eastAsia="Verdana" w:hAnsi="Verdana" w:cs="Verdana"/>
          <w:i/>
          <w:spacing w:val="3"/>
          <w:sz w:val="16"/>
          <w:szCs w:val="16"/>
          <w:lang w:val="es-CR"/>
        </w:rPr>
        <w:t>R</w:t>
      </w:r>
      <w:r w:rsidR="009C53A9" w:rsidRPr="00C437FA">
        <w:rPr>
          <w:rFonts w:ascii="Verdana" w:eastAsia="Verdana" w:hAnsi="Verdana" w:cs="Verdana"/>
          <w:i/>
          <w:spacing w:val="1"/>
          <w:sz w:val="16"/>
          <w:szCs w:val="16"/>
          <w:lang w:val="es-CR"/>
        </w:rPr>
        <w:t>od</w:t>
      </w:r>
      <w:r w:rsidR="009C53A9" w:rsidRPr="00C437FA">
        <w:rPr>
          <w:rFonts w:ascii="Verdana" w:eastAsia="Verdana" w:hAnsi="Verdana" w:cs="Verdana"/>
          <w:i/>
          <w:spacing w:val="-2"/>
          <w:sz w:val="16"/>
          <w:szCs w:val="16"/>
          <w:lang w:val="es-CR"/>
        </w:rPr>
        <w:t>e</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z w:val="16"/>
          <w:szCs w:val="16"/>
          <w:lang w:val="es-CR"/>
        </w:rPr>
        <w:t>I</w:t>
      </w:r>
      <w:r w:rsidR="009C53A9" w:rsidRPr="00C437FA">
        <w:rPr>
          <w:rFonts w:ascii="Verdana" w:eastAsia="Verdana" w:hAnsi="Verdana" w:cs="Verdana"/>
          <w:i/>
          <w:spacing w:val="2"/>
          <w:sz w:val="16"/>
          <w:szCs w:val="16"/>
          <w:lang w:val="es-CR"/>
        </w:rPr>
        <w:t xml:space="preserve"> </w:t>
      </w:r>
      <w:r w:rsidR="009C53A9" w:rsidRPr="00C437FA">
        <w:rPr>
          <w:rFonts w:ascii="Verdana" w:eastAsia="Verdana" w:hAnsi="Verdana" w:cs="Verdana"/>
          <w:i/>
          <w:sz w:val="16"/>
          <w:szCs w:val="16"/>
          <w:lang w:val="es-CR"/>
        </w:rPr>
        <w:t>y</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pacing w:val="-1"/>
          <w:sz w:val="16"/>
          <w:szCs w:val="16"/>
          <w:lang w:val="es-CR"/>
        </w:rPr>
        <w:t>E</w:t>
      </w:r>
      <w:r w:rsidR="009C53A9" w:rsidRPr="00C437FA">
        <w:rPr>
          <w:rFonts w:ascii="Verdana" w:eastAsia="Verdana" w:hAnsi="Verdana" w:cs="Verdana"/>
          <w:i/>
          <w:sz w:val="16"/>
          <w:szCs w:val="16"/>
          <w:lang w:val="es-CR"/>
        </w:rPr>
        <w:t>l</w:t>
      </w:r>
      <w:r w:rsidR="009C53A9" w:rsidRPr="00C437FA">
        <w:rPr>
          <w:rFonts w:ascii="Verdana" w:eastAsia="Verdana" w:hAnsi="Verdana" w:cs="Verdana"/>
          <w:i/>
          <w:spacing w:val="1"/>
          <w:sz w:val="16"/>
          <w:szCs w:val="16"/>
          <w:lang w:val="es-CR"/>
        </w:rPr>
        <w:t xml:space="preserve"> Ro</w:t>
      </w:r>
      <w:r w:rsidR="009C53A9" w:rsidRPr="00C437FA">
        <w:rPr>
          <w:rFonts w:ascii="Verdana" w:eastAsia="Verdana" w:hAnsi="Verdana" w:cs="Verdana"/>
          <w:i/>
          <w:spacing w:val="-2"/>
          <w:sz w:val="16"/>
          <w:szCs w:val="16"/>
          <w:lang w:val="es-CR"/>
        </w:rPr>
        <w:t>d</w:t>
      </w:r>
      <w:r w:rsidR="009C53A9" w:rsidRPr="00C437FA">
        <w:rPr>
          <w:rFonts w:ascii="Verdana" w:eastAsia="Verdana" w:hAnsi="Verdana" w:cs="Verdana"/>
          <w:i/>
          <w:sz w:val="16"/>
          <w:szCs w:val="16"/>
          <w:lang w:val="es-CR"/>
        </w:rPr>
        <w:t>eo</w:t>
      </w:r>
      <w:r w:rsidR="009C53A9" w:rsidRPr="00C437FA">
        <w:rPr>
          <w:rFonts w:ascii="Verdana" w:eastAsia="Verdana" w:hAnsi="Verdana" w:cs="Verdana"/>
          <w:i/>
          <w:spacing w:val="3"/>
          <w:sz w:val="16"/>
          <w:szCs w:val="16"/>
          <w:lang w:val="es-CR"/>
        </w:rPr>
        <w:t xml:space="preserve"> </w:t>
      </w:r>
      <w:r w:rsidR="009C53A9" w:rsidRPr="00C437FA">
        <w:rPr>
          <w:rFonts w:ascii="Verdana" w:eastAsia="Verdana" w:hAnsi="Verdana" w:cs="Verdana"/>
          <w:i/>
          <w:sz w:val="16"/>
          <w:szCs w:val="16"/>
          <w:lang w:val="es-CR"/>
        </w:rPr>
        <w:t>II</w:t>
      </w:r>
      <w:r w:rsidR="009C53A9" w:rsidRPr="00C437FA">
        <w:rPr>
          <w:rFonts w:ascii="Verdana" w:eastAsia="Verdana" w:hAnsi="Verdana" w:cs="Verdana"/>
          <w:sz w:val="16"/>
          <w:szCs w:val="16"/>
          <w:lang w:val="es-CR"/>
        </w:rPr>
        <w:t>.</w:t>
      </w:r>
      <w:r w:rsidR="009C53A9" w:rsidRPr="00C437FA">
        <w:rPr>
          <w:rFonts w:ascii="Verdana" w:eastAsia="Verdana" w:hAnsi="Verdana" w:cs="Verdana"/>
          <w:spacing w:val="1"/>
          <w:sz w:val="16"/>
          <w:szCs w:val="16"/>
          <w:lang w:val="es-CR"/>
        </w:rPr>
        <w:t xml:space="preserve"> </w:t>
      </w:r>
      <w:r w:rsidR="009C53A9" w:rsidRPr="00C437FA">
        <w:rPr>
          <w:rFonts w:ascii="Verdana" w:eastAsia="Verdana" w:hAnsi="Verdana" w:cs="Verdana"/>
          <w:i/>
          <w:spacing w:val="-1"/>
          <w:sz w:val="16"/>
          <w:szCs w:val="16"/>
          <w:lang w:val="es-CR"/>
        </w:rPr>
        <w:t>M</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 xml:space="preserve">s </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pacing w:val="1"/>
          <w:sz w:val="16"/>
          <w:szCs w:val="16"/>
          <w:lang w:val="es-CR"/>
        </w:rPr>
        <w:t>rov</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1"/>
          <w:sz w:val="16"/>
          <w:szCs w:val="16"/>
          <w:lang w:val="es-CR"/>
        </w:rPr>
        <w:t>nal</w:t>
      </w:r>
      <w:r w:rsidR="009C53A9" w:rsidRPr="00C437FA">
        <w:rPr>
          <w:rFonts w:ascii="Verdana" w:eastAsia="Verdana" w:hAnsi="Verdana" w:cs="Verdana"/>
          <w:i/>
          <w:sz w:val="16"/>
          <w:szCs w:val="16"/>
          <w:lang w:val="es-CR"/>
        </w:rPr>
        <w:t xml:space="preserve">es </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2"/>
          <w:sz w:val="16"/>
          <w:szCs w:val="16"/>
          <w:lang w:val="es-CR"/>
        </w:rPr>
        <w:t>s</w:t>
      </w:r>
      <w:r w:rsidR="009C53A9" w:rsidRPr="00C437FA">
        <w:rPr>
          <w:rFonts w:ascii="Verdana" w:eastAsia="Verdana" w:hAnsi="Verdana" w:cs="Verdana"/>
          <w:i/>
          <w:spacing w:val="1"/>
          <w:sz w:val="16"/>
          <w:szCs w:val="16"/>
          <w:lang w:val="es-CR"/>
        </w:rPr>
        <w:t>p</w:t>
      </w:r>
      <w:r w:rsidR="009C53A9" w:rsidRPr="00C437FA">
        <w:rPr>
          <w:rFonts w:ascii="Verdana" w:eastAsia="Verdana" w:hAnsi="Verdana" w:cs="Verdana"/>
          <w:i/>
          <w:sz w:val="16"/>
          <w:szCs w:val="16"/>
          <w:lang w:val="es-CR"/>
        </w:rPr>
        <w:t>ec</w:t>
      </w:r>
      <w:r w:rsidR="009C53A9" w:rsidRPr="00C437FA">
        <w:rPr>
          <w:rFonts w:ascii="Verdana" w:eastAsia="Verdana" w:hAnsi="Verdana" w:cs="Verdana"/>
          <w:i/>
          <w:spacing w:val="-1"/>
          <w:sz w:val="16"/>
          <w:szCs w:val="16"/>
          <w:lang w:val="es-CR"/>
        </w:rPr>
        <w:t>t</w:t>
      </w:r>
      <w:r w:rsidR="009C53A9" w:rsidRPr="00C437FA">
        <w:rPr>
          <w:rFonts w:ascii="Verdana" w:eastAsia="Verdana" w:hAnsi="Verdana" w:cs="Verdana"/>
          <w:i/>
          <w:sz w:val="16"/>
          <w:szCs w:val="16"/>
          <w:lang w:val="es-CR"/>
        </w:rPr>
        <w:t xml:space="preserve">o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2"/>
          <w:sz w:val="16"/>
          <w:szCs w:val="16"/>
          <w:lang w:val="es-CR"/>
        </w:rPr>
        <w:t xml:space="preserve"> </w:t>
      </w:r>
      <w:r w:rsidR="009C53A9" w:rsidRPr="00C437FA">
        <w:rPr>
          <w:rFonts w:ascii="Verdana" w:eastAsia="Verdana" w:hAnsi="Verdana" w:cs="Verdana"/>
          <w:i/>
          <w:sz w:val="16"/>
          <w:szCs w:val="16"/>
          <w:lang w:val="es-CR"/>
        </w:rPr>
        <w:t>V</w:t>
      </w:r>
      <w:r w:rsidR="009C53A9" w:rsidRPr="00C437FA">
        <w:rPr>
          <w:rFonts w:ascii="Verdana" w:eastAsia="Verdana" w:hAnsi="Verdana" w:cs="Verdana"/>
          <w:i/>
          <w:spacing w:val="-2"/>
          <w:sz w:val="16"/>
          <w:szCs w:val="16"/>
          <w:lang w:val="es-CR"/>
        </w:rPr>
        <w:t>e</w:t>
      </w:r>
      <w:r w:rsidR="009C53A9" w:rsidRPr="00C437FA">
        <w:rPr>
          <w:rFonts w:ascii="Verdana" w:eastAsia="Verdana" w:hAnsi="Verdana" w:cs="Verdana"/>
          <w:i/>
          <w:spacing w:val="-1"/>
          <w:sz w:val="16"/>
          <w:szCs w:val="16"/>
          <w:lang w:val="es-CR"/>
        </w:rPr>
        <w:t>n</w:t>
      </w:r>
      <w:r w:rsidR="009C53A9" w:rsidRPr="00C437FA">
        <w:rPr>
          <w:rFonts w:ascii="Verdana" w:eastAsia="Verdana" w:hAnsi="Verdana" w:cs="Verdana"/>
          <w:i/>
          <w:sz w:val="16"/>
          <w:szCs w:val="16"/>
          <w:lang w:val="es-CR"/>
        </w:rPr>
        <w:t>ez</w:t>
      </w:r>
      <w:r w:rsidR="009C53A9" w:rsidRPr="00C437FA">
        <w:rPr>
          <w:rFonts w:ascii="Verdana" w:eastAsia="Verdana" w:hAnsi="Verdana" w:cs="Verdana"/>
          <w:i/>
          <w:spacing w:val="-1"/>
          <w:sz w:val="16"/>
          <w:szCs w:val="16"/>
          <w:lang w:val="es-CR"/>
        </w:rPr>
        <w:t>u</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la</w:t>
      </w:r>
      <w:r w:rsidR="009C53A9" w:rsidRPr="00C437FA">
        <w:rPr>
          <w:rFonts w:ascii="Verdana" w:eastAsia="Verdana" w:hAnsi="Verdana" w:cs="Verdana"/>
          <w:sz w:val="16"/>
          <w:szCs w:val="16"/>
          <w:lang w:val="es-CR"/>
        </w:rPr>
        <w:t>.</w:t>
      </w:r>
      <w:r w:rsidR="009C53A9" w:rsidRPr="00C437FA">
        <w:rPr>
          <w:rFonts w:ascii="Verdana" w:eastAsia="Verdana" w:hAnsi="Verdana" w:cs="Verdana"/>
          <w:spacing w:val="1"/>
          <w:sz w:val="16"/>
          <w:szCs w:val="16"/>
          <w:lang w:val="es-CR"/>
        </w:rPr>
        <w:t xml:space="preserve"> R</w:t>
      </w:r>
      <w:r w:rsidR="009C53A9" w:rsidRPr="00C437FA">
        <w:rPr>
          <w:rFonts w:ascii="Verdana" w:eastAsia="Verdana" w:hAnsi="Verdana" w:cs="Verdana"/>
          <w:sz w:val="16"/>
          <w:szCs w:val="16"/>
          <w:lang w:val="es-CR"/>
        </w:rPr>
        <w:t>es</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1"/>
          <w:sz w:val="16"/>
          <w:szCs w:val="16"/>
          <w:lang w:val="es-CR"/>
        </w:rPr>
        <w:t>lu</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pacing w:val="-2"/>
          <w:sz w:val="16"/>
          <w:szCs w:val="16"/>
          <w:lang w:val="es-CR"/>
        </w:rPr>
        <w:t>ó</w:t>
      </w:r>
      <w:r w:rsidR="009C53A9" w:rsidRPr="00C437FA">
        <w:rPr>
          <w:rFonts w:ascii="Verdana" w:eastAsia="Verdana" w:hAnsi="Verdana" w:cs="Verdana"/>
          <w:sz w:val="16"/>
          <w:szCs w:val="16"/>
          <w:lang w:val="es-CR"/>
        </w:rPr>
        <w:t xml:space="preserve">n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1"/>
          <w:sz w:val="16"/>
          <w:szCs w:val="16"/>
          <w:lang w:val="es-CR"/>
        </w:rPr>
        <w:t>l</w:t>
      </w:r>
      <w:r w:rsidR="009C53A9" w:rsidRPr="00C437FA">
        <w:rPr>
          <w:rFonts w:ascii="Verdana" w:eastAsia="Verdana" w:hAnsi="Verdana" w:cs="Verdana"/>
          <w:sz w:val="16"/>
          <w:szCs w:val="16"/>
          <w:lang w:val="es-CR"/>
        </w:rPr>
        <w:t>a</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2"/>
          <w:sz w:val="16"/>
          <w:szCs w:val="16"/>
          <w:lang w:val="es-CR"/>
        </w:rPr>
        <w:t>C</w:t>
      </w:r>
      <w:r w:rsidR="009C53A9" w:rsidRPr="00C437FA">
        <w:rPr>
          <w:rFonts w:ascii="Verdana" w:eastAsia="Verdana" w:hAnsi="Verdana" w:cs="Verdana"/>
          <w:spacing w:val="1"/>
          <w:sz w:val="16"/>
          <w:szCs w:val="16"/>
          <w:lang w:val="es-CR"/>
        </w:rPr>
        <w:t>or</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2"/>
          <w:sz w:val="16"/>
          <w:szCs w:val="16"/>
          <w:lang w:val="es-CR"/>
        </w:rPr>
        <w:t xml:space="preserve"> I</w:t>
      </w:r>
      <w:r w:rsidR="009C53A9" w:rsidRPr="00C437FA">
        <w:rPr>
          <w:rFonts w:ascii="Verdana" w:eastAsia="Verdana" w:hAnsi="Verdana" w:cs="Verdana"/>
          <w:spacing w:val="-1"/>
          <w:sz w:val="16"/>
          <w:szCs w:val="16"/>
          <w:lang w:val="es-CR"/>
        </w:rPr>
        <w:t>nt</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a</w:t>
      </w:r>
      <w:r w:rsidR="009C53A9" w:rsidRPr="00C437FA">
        <w:rPr>
          <w:rFonts w:ascii="Verdana" w:eastAsia="Verdana" w:hAnsi="Verdana" w:cs="Verdana"/>
          <w:sz w:val="16"/>
          <w:szCs w:val="16"/>
          <w:lang w:val="es-CR"/>
        </w:rPr>
        <w:t>m</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z w:val="16"/>
          <w:szCs w:val="16"/>
          <w:lang w:val="es-CR"/>
        </w:rPr>
        <w:t>a</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h</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1"/>
          <w:sz w:val="16"/>
          <w:szCs w:val="16"/>
          <w:lang w:val="es-CR"/>
        </w:rPr>
        <w:t>Hu</w:t>
      </w:r>
      <w:r w:rsidR="009C53A9" w:rsidRPr="00C437FA">
        <w:rPr>
          <w:rFonts w:ascii="Verdana" w:eastAsia="Verdana" w:hAnsi="Verdana" w:cs="Verdana"/>
          <w:sz w:val="16"/>
          <w:szCs w:val="16"/>
          <w:lang w:val="es-CR"/>
        </w:rPr>
        <w:t>m</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pacing w:val="-2"/>
          <w:sz w:val="16"/>
          <w:szCs w:val="16"/>
          <w:lang w:val="es-CR"/>
        </w:rPr>
        <w:t>o</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4"/>
          <w:sz w:val="16"/>
          <w:szCs w:val="16"/>
          <w:lang w:val="es-CR"/>
        </w:rPr>
        <w:t xml:space="preserve"> </w:t>
      </w:r>
      <w:r w:rsidR="009C53A9" w:rsidRPr="00C437FA">
        <w:rPr>
          <w:rFonts w:ascii="Verdana" w:eastAsia="Verdana" w:hAnsi="Verdana" w:cs="Verdana"/>
          <w:spacing w:val="1"/>
          <w:sz w:val="16"/>
          <w:szCs w:val="16"/>
          <w:lang w:val="es-CR"/>
        </w:rPr>
        <w:t>2</w:t>
      </w:r>
      <w:r w:rsidR="009C53A9" w:rsidRPr="00C437FA">
        <w:rPr>
          <w:rFonts w:ascii="Verdana" w:eastAsia="Verdana" w:hAnsi="Verdana" w:cs="Verdana"/>
          <w:sz w:val="16"/>
          <w:szCs w:val="16"/>
          <w:lang w:val="es-CR"/>
        </w:rPr>
        <w:t>4</w:t>
      </w:r>
      <w:r w:rsidR="009C53A9" w:rsidRPr="00C437FA">
        <w:rPr>
          <w:rFonts w:ascii="Verdana" w:eastAsia="Verdana" w:hAnsi="Verdana" w:cs="Verdana"/>
          <w:spacing w:val="5"/>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6"/>
          <w:sz w:val="16"/>
          <w:szCs w:val="16"/>
          <w:lang w:val="es-CR"/>
        </w:rPr>
        <w:t xml:space="preserve"> </w:t>
      </w:r>
      <w:r w:rsidR="009C53A9" w:rsidRPr="00C437FA">
        <w:rPr>
          <w:rFonts w:ascii="Verdana" w:eastAsia="Verdana" w:hAnsi="Verdana" w:cs="Verdana"/>
          <w:spacing w:val="-1"/>
          <w:sz w:val="16"/>
          <w:szCs w:val="16"/>
          <w:lang w:val="es-CR"/>
        </w:rPr>
        <w:t>n</w:t>
      </w:r>
      <w:r w:rsidR="009C53A9" w:rsidRPr="00C437FA">
        <w:rPr>
          <w:rFonts w:ascii="Verdana" w:eastAsia="Verdana" w:hAnsi="Verdana" w:cs="Verdana"/>
          <w:spacing w:val="-2"/>
          <w:sz w:val="16"/>
          <w:szCs w:val="16"/>
          <w:lang w:val="es-CR"/>
        </w:rPr>
        <w:t>o</w:t>
      </w:r>
      <w:r w:rsidR="009C53A9" w:rsidRPr="00C437FA">
        <w:rPr>
          <w:rFonts w:ascii="Verdana" w:eastAsia="Verdana" w:hAnsi="Verdana" w:cs="Verdana"/>
          <w:spacing w:val="1"/>
          <w:sz w:val="16"/>
          <w:szCs w:val="16"/>
          <w:lang w:val="es-CR"/>
        </w:rPr>
        <w:t>v</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z w:val="16"/>
          <w:szCs w:val="16"/>
          <w:lang w:val="es-CR"/>
        </w:rPr>
        <w:t>em</w:t>
      </w:r>
      <w:r w:rsidR="009C53A9" w:rsidRPr="00C437FA">
        <w:rPr>
          <w:rFonts w:ascii="Verdana" w:eastAsia="Verdana" w:hAnsi="Verdana" w:cs="Verdana"/>
          <w:spacing w:val="-2"/>
          <w:sz w:val="16"/>
          <w:szCs w:val="16"/>
          <w:lang w:val="es-CR"/>
        </w:rPr>
        <w:t>b</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4"/>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4"/>
          <w:sz w:val="16"/>
          <w:szCs w:val="16"/>
          <w:lang w:val="es-CR"/>
        </w:rPr>
        <w:t xml:space="preserve"> </w:t>
      </w:r>
      <w:r w:rsidR="009C53A9" w:rsidRPr="00C437FA">
        <w:rPr>
          <w:rFonts w:ascii="Verdana" w:eastAsia="Verdana" w:hAnsi="Verdana" w:cs="Verdana"/>
          <w:spacing w:val="-1"/>
          <w:sz w:val="16"/>
          <w:szCs w:val="16"/>
          <w:lang w:val="es-CR"/>
        </w:rPr>
        <w:t>2</w:t>
      </w:r>
      <w:r w:rsidR="009C53A9" w:rsidRPr="00C437FA">
        <w:rPr>
          <w:rFonts w:ascii="Verdana" w:eastAsia="Verdana" w:hAnsi="Verdana" w:cs="Verdana"/>
          <w:spacing w:val="1"/>
          <w:sz w:val="16"/>
          <w:szCs w:val="16"/>
          <w:lang w:val="es-CR"/>
        </w:rPr>
        <w:t>0</w:t>
      </w:r>
      <w:r w:rsidR="009C53A9" w:rsidRPr="00C437FA">
        <w:rPr>
          <w:rFonts w:ascii="Verdana" w:eastAsia="Verdana" w:hAnsi="Verdana" w:cs="Verdana"/>
          <w:spacing w:val="-1"/>
          <w:sz w:val="16"/>
          <w:szCs w:val="16"/>
          <w:lang w:val="es-CR"/>
        </w:rPr>
        <w:t>0</w:t>
      </w:r>
      <w:r w:rsidR="009C53A9" w:rsidRPr="00C437FA">
        <w:rPr>
          <w:rFonts w:ascii="Verdana" w:eastAsia="Verdana" w:hAnsi="Verdana" w:cs="Verdana"/>
          <w:spacing w:val="1"/>
          <w:sz w:val="16"/>
          <w:szCs w:val="16"/>
          <w:lang w:val="es-CR"/>
        </w:rPr>
        <w:t>9</w:t>
      </w:r>
      <w:r w:rsidR="009C53A9" w:rsidRPr="00C437FA">
        <w:rPr>
          <w:rFonts w:ascii="Verdana" w:eastAsia="Verdana" w:hAnsi="Verdana" w:cs="Verdana"/>
          <w:sz w:val="16"/>
          <w:szCs w:val="16"/>
          <w:lang w:val="es-CR"/>
        </w:rPr>
        <w:t>,</w:t>
      </w:r>
      <w:r w:rsidR="009C53A9" w:rsidRPr="00C437FA">
        <w:rPr>
          <w:rFonts w:ascii="Verdana" w:eastAsia="Verdana" w:hAnsi="Verdana" w:cs="Verdana"/>
          <w:spacing w:val="5"/>
          <w:sz w:val="16"/>
          <w:szCs w:val="16"/>
          <w:lang w:val="es-CR"/>
        </w:rPr>
        <w:t xml:space="preserve"> </w:t>
      </w:r>
      <w:r w:rsidR="009C53A9" w:rsidRPr="00C437FA">
        <w:rPr>
          <w:rFonts w:ascii="Verdana" w:eastAsia="Verdana" w:hAnsi="Verdana" w:cs="Verdana"/>
          <w:spacing w:val="-2"/>
          <w:sz w:val="16"/>
          <w:szCs w:val="16"/>
          <w:lang w:val="es-CR"/>
        </w:rPr>
        <w:t>C</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1"/>
          <w:sz w:val="16"/>
          <w:szCs w:val="16"/>
          <w:lang w:val="es-CR"/>
        </w:rPr>
        <w:t>n</w:t>
      </w:r>
      <w:r w:rsidR="009C53A9" w:rsidRPr="00C437FA">
        <w:rPr>
          <w:rFonts w:ascii="Verdana" w:eastAsia="Verdana" w:hAnsi="Verdana" w:cs="Verdana"/>
          <w:spacing w:val="-2"/>
          <w:sz w:val="16"/>
          <w:szCs w:val="16"/>
          <w:lang w:val="es-CR"/>
        </w:rPr>
        <w:t>s</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o</w:t>
      </w:r>
      <w:r w:rsidR="009C53A9" w:rsidRPr="00C437FA">
        <w:rPr>
          <w:rFonts w:ascii="Verdana" w:eastAsia="Verdana" w:hAnsi="Verdana" w:cs="Verdana"/>
          <w:spacing w:val="7"/>
          <w:sz w:val="16"/>
          <w:szCs w:val="16"/>
          <w:lang w:val="es-CR"/>
        </w:rPr>
        <w:t xml:space="preserve"> </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ro</w:t>
      </w:r>
      <w:r w:rsidR="009C53A9" w:rsidRPr="00C437FA">
        <w:rPr>
          <w:rFonts w:ascii="Verdana" w:eastAsia="Verdana" w:hAnsi="Verdana" w:cs="Verdana"/>
          <w:sz w:val="16"/>
          <w:szCs w:val="16"/>
          <w:lang w:val="es-CR"/>
        </w:rPr>
        <w:t xml:space="preserve">, y </w:t>
      </w:r>
      <w:r w:rsidR="009C53A9" w:rsidRPr="00C437FA">
        <w:rPr>
          <w:rFonts w:ascii="Verdana" w:hAnsi="Verdana"/>
          <w:i/>
          <w:sz w:val="16"/>
          <w:szCs w:val="16"/>
        </w:rPr>
        <w:t>Asunto</w:t>
      </w:r>
      <w:r w:rsidR="009C53A9" w:rsidRPr="00C437FA">
        <w:rPr>
          <w:rFonts w:ascii="Verdana" w:hAnsi="Verdana"/>
          <w:sz w:val="16"/>
          <w:szCs w:val="16"/>
        </w:rPr>
        <w:t xml:space="preserve"> </w:t>
      </w:r>
      <w:r w:rsidR="009C53A9" w:rsidRPr="00C437FA">
        <w:rPr>
          <w:rFonts w:ascii="Verdana" w:hAnsi="Verdana"/>
          <w:i/>
          <w:sz w:val="16"/>
          <w:szCs w:val="16"/>
        </w:rPr>
        <w:t>Gladys Lanza Ochoa.</w:t>
      </w:r>
      <w:r w:rsidR="009C53A9" w:rsidRPr="00C437FA">
        <w:rPr>
          <w:rFonts w:ascii="Verdana" w:hAnsi="Verdana"/>
          <w:sz w:val="16"/>
          <w:szCs w:val="16"/>
        </w:rPr>
        <w:t xml:space="preserve"> </w:t>
      </w:r>
      <w:r w:rsidR="009C53A9" w:rsidRPr="00C437FA">
        <w:rPr>
          <w:rFonts w:ascii="Verdana" w:hAnsi="Verdana"/>
          <w:i/>
          <w:sz w:val="16"/>
          <w:szCs w:val="16"/>
        </w:rPr>
        <w:t>Medidas Provisionales respecto de Honduras</w:t>
      </w:r>
      <w:r w:rsidR="009C53A9" w:rsidRPr="00C437FA">
        <w:rPr>
          <w:rFonts w:ascii="Verdana" w:hAnsi="Verdana"/>
          <w:sz w:val="16"/>
          <w:szCs w:val="16"/>
        </w:rPr>
        <w:t>. Resolución de la Corte Interamericana de Derechos Humanos de 23 de noviembre de 2016, Considerando segundo.</w:t>
      </w:r>
    </w:p>
  </w:footnote>
  <w:footnote w:id="8">
    <w:p w:rsidR="00B16921" w:rsidRPr="00C437FA" w:rsidRDefault="00B16921" w:rsidP="00C437FA">
      <w:pPr>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9C53A9" w:rsidRPr="00C437FA">
        <w:rPr>
          <w:rFonts w:ascii="Verdana" w:eastAsia="Verdana" w:hAnsi="Verdana" w:cs="Verdana"/>
          <w:i/>
          <w:sz w:val="16"/>
          <w:szCs w:val="16"/>
          <w:lang w:val="es-CR"/>
        </w:rPr>
        <w:tab/>
        <w:t>C</w:t>
      </w:r>
      <w:r w:rsidR="009C53A9" w:rsidRPr="00C437FA">
        <w:rPr>
          <w:rFonts w:ascii="Verdana" w:eastAsia="Verdana" w:hAnsi="Verdana" w:cs="Verdana"/>
          <w:i/>
          <w:spacing w:val="-1"/>
          <w:sz w:val="16"/>
          <w:szCs w:val="16"/>
          <w:lang w:val="es-CR"/>
        </w:rPr>
        <w:t>f</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w:t>
      </w:r>
      <w:r w:rsidR="009C53A9" w:rsidRPr="00C437FA">
        <w:rPr>
          <w:rFonts w:ascii="Verdana" w:eastAsia="Verdana" w:hAnsi="Verdana" w:cs="Verdana"/>
          <w:i/>
          <w:spacing w:val="17"/>
          <w:sz w:val="16"/>
          <w:szCs w:val="16"/>
          <w:lang w:val="es-CR"/>
        </w:rPr>
        <w:t xml:space="preserve"> </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
          <w:sz w:val="16"/>
          <w:szCs w:val="16"/>
          <w:lang w:val="es-CR"/>
        </w:rPr>
        <w:t>unt</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19"/>
          <w:sz w:val="16"/>
          <w:szCs w:val="16"/>
          <w:lang w:val="es-CR"/>
        </w:rPr>
        <w:t xml:space="preserve"> </w:t>
      </w:r>
      <w:r w:rsidR="009C53A9" w:rsidRPr="00C437FA">
        <w:rPr>
          <w:rFonts w:ascii="Verdana" w:eastAsia="Verdana" w:hAnsi="Verdana" w:cs="Verdana"/>
          <w:i/>
          <w:spacing w:val="-1"/>
          <w:sz w:val="16"/>
          <w:szCs w:val="16"/>
          <w:lang w:val="es-CR"/>
        </w:rPr>
        <w:t>Ja</w:t>
      </w:r>
      <w:r w:rsidR="009C53A9" w:rsidRPr="00C437FA">
        <w:rPr>
          <w:rFonts w:ascii="Verdana" w:eastAsia="Verdana" w:hAnsi="Verdana" w:cs="Verdana"/>
          <w:i/>
          <w:sz w:val="16"/>
          <w:szCs w:val="16"/>
          <w:lang w:val="es-CR"/>
        </w:rPr>
        <w:t>mes</w:t>
      </w:r>
      <w:r w:rsidR="009C53A9" w:rsidRPr="00C437FA">
        <w:rPr>
          <w:rFonts w:ascii="Verdana" w:eastAsia="Verdana" w:hAnsi="Verdana" w:cs="Verdana"/>
          <w:i/>
          <w:spacing w:val="16"/>
          <w:sz w:val="16"/>
          <w:szCs w:val="16"/>
          <w:lang w:val="es-CR"/>
        </w:rPr>
        <w:t xml:space="preserve"> </w:t>
      </w:r>
      <w:r w:rsidR="009C53A9" w:rsidRPr="00C437FA">
        <w:rPr>
          <w:rFonts w:ascii="Verdana" w:eastAsia="Verdana" w:hAnsi="Verdana" w:cs="Verdana"/>
          <w:i/>
          <w:sz w:val="16"/>
          <w:szCs w:val="16"/>
          <w:lang w:val="es-CR"/>
        </w:rPr>
        <w:t>y</w:t>
      </w:r>
      <w:r w:rsidR="009C53A9" w:rsidRPr="00C437FA">
        <w:rPr>
          <w:rFonts w:ascii="Verdana" w:eastAsia="Verdana" w:hAnsi="Verdana" w:cs="Verdana"/>
          <w:i/>
          <w:spacing w:val="17"/>
          <w:sz w:val="16"/>
          <w:szCs w:val="16"/>
          <w:lang w:val="es-CR"/>
        </w:rPr>
        <w:t xml:space="preserve"> </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1"/>
          <w:sz w:val="16"/>
          <w:szCs w:val="16"/>
          <w:lang w:val="es-CR"/>
        </w:rPr>
        <w:t>t</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2"/>
          <w:sz w:val="16"/>
          <w:szCs w:val="16"/>
          <w:lang w:val="es-CR"/>
        </w:rPr>
        <w:t>o</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7"/>
          <w:sz w:val="16"/>
          <w:szCs w:val="16"/>
          <w:lang w:val="es-CR"/>
        </w:rPr>
        <w:t xml:space="preserve"> </w:t>
      </w:r>
      <w:r w:rsidR="009C53A9" w:rsidRPr="00C437FA">
        <w:rPr>
          <w:rFonts w:ascii="Verdana" w:eastAsia="Verdana" w:hAnsi="Verdana" w:cs="Verdana"/>
          <w:i/>
          <w:spacing w:val="-1"/>
          <w:sz w:val="16"/>
          <w:szCs w:val="16"/>
          <w:lang w:val="es-CR"/>
        </w:rPr>
        <w:t>M</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8"/>
          <w:sz w:val="16"/>
          <w:szCs w:val="16"/>
          <w:lang w:val="es-CR"/>
        </w:rPr>
        <w:t xml:space="preserve"> </w:t>
      </w:r>
      <w:r w:rsidR="009C53A9" w:rsidRPr="00C437FA">
        <w:rPr>
          <w:rFonts w:ascii="Verdana" w:eastAsia="Verdana" w:hAnsi="Verdana" w:cs="Verdana"/>
          <w:i/>
          <w:spacing w:val="-3"/>
          <w:sz w:val="16"/>
          <w:szCs w:val="16"/>
          <w:lang w:val="es-CR"/>
        </w:rPr>
        <w:t>P</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2"/>
          <w:sz w:val="16"/>
          <w:szCs w:val="16"/>
          <w:lang w:val="es-CR"/>
        </w:rPr>
        <w:t>o</w:t>
      </w:r>
      <w:r w:rsidR="009C53A9" w:rsidRPr="00C437FA">
        <w:rPr>
          <w:rFonts w:ascii="Verdana" w:eastAsia="Verdana" w:hAnsi="Verdana" w:cs="Verdana"/>
          <w:i/>
          <w:spacing w:val="1"/>
          <w:sz w:val="16"/>
          <w:szCs w:val="16"/>
          <w:lang w:val="es-CR"/>
        </w:rPr>
        <w:t>v</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z w:val="16"/>
          <w:szCs w:val="16"/>
          <w:lang w:val="es-CR"/>
        </w:rPr>
        <w:t>s</w:t>
      </w:r>
      <w:r w:rsidR="009C53A9" w:rsidRPr="00C437FA">
        <w:rPr>
          <w:rFonts w:ascii="Verdana" w:eastAsia="Verdana" w:hAnsi="Verdana" w:cs="Verdana"/>
          <w:i/>
          <w:spacing w:val="-1"/>
          <w:sz w:val="16"/>
          <w:szCs w:val="16"/>
          <w:lang w:val="es-CR"/>
        </w:rPr>
        <w:t>i</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i/>
          <w:spacing w:val="-1"/>
          <w:sz w:val="16"/>
          <w:szCs w:val="16"/>
          <w:lang w:val="es-CR"/>
        </w:rPr>
        <w:t>nal</w:t>
      </w:r>
      <w:r w:rsidR="009C53A9" w:rsidRPr="00C437FA">
        <w:rPr>
          <w:rFonts w:ascii="Verdana" w:eastAsia="Verdana" w:hAnsi="Verdana" w:cs="Verdana"/>
          <w:i/>
          <w:sz w:val="16"/>
          <w:szCs w:val="16"/>
          <w:lang w:val="es-CR"/>
        </w:rPr>
        <w:t>es</w:t>
      </w:r>
      <w:r w:rsidR="009C53A9" w:rsidRPr="00C437FA">
        <w:rPr>
          <w:rFonts w:ascii="Verdana" w:eastAsia="Verdana" w:hAnsi="Verdana" w:cs="Verdana"/>
          <w:i/>
          <w:spacing w:val="18"/>
          <w:sz w:val="16"/>
          <w:szCs w:val="16"/>
          <w:lang w:val="es-CR"/>
        </w:rPr>
        <w:t xml:space="preserve"> </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z w:val="16"/>
          <w:szCs w:val="16"/>
          <w:lang w:val="es-CR"/>
        </w:rPr>
        <w:t>es</w:t>
      </w:r>
      <w:r w:rsidR="009C53A9" w:rsidRPr="00C437FA">
        <w:rPr>
          <w:rFonts w:ascii="Verdana" w:eastAsia="Verdana" w:hAnsi="Verdana" w:cs="Verdana"/>
          <w:i/>
          <w:spacing w:val="-2"/>
          <w:sz w:val="16"/>
          <w:szCs w:val="16"/>
          <w:lang w:val="es-CR"/>
        </w:rPr>
        <w:t>p</w:t>
      </w:r>
      <w:r w:rsidR="009C53A9" w:rsidRPr="00C437FA">
        <w:rPr>
          <w:rFonts w:ascii="Verdana" w:eastAsia="Verdana" w:hAnsi="Verdana" w:cs="Verdana"/>
          <w:i/>
          <w:sz w:val="16"/>
          <w:szCs w:val="16"/>
          <w:lang w:val="es-CR"/>
        </w:rPr>
        <w:t>ec</w:t>
      </w:r>
      <w:r w:rsidR="009C53A9" w:rsidRPr="00C437FA">
        <w:rPr>
          <w:rFonts w:ascii="Verdana" w:eastAsia="Verdana" w:hAnsi="Verdana" w:cs="Verdana"/>
          <w:i/>
          <w:spacing w:val="-1"/>
          <w:sz w:val="16"/>
          <w:szCs w:val="16"/>
          <w:lang w:val="es-CR"/>
        </w:rPr>
        <w:t>t</w:t>
      </w:r>
      <w:r w:rsidR="009C53A9" w:rsidRPr="00C437FA">
        <w:rPr>
          <w:rFonts w:ascii="Verdana" w:eastAsia="Verdana" w:hAnsi="Verdana" w:cs="Verdana"/>
          <w:i/>
          <w:sz w:val="16"/>
          <w:szCs w:val="16"/>
          <w:lang w:val="es-CR"/>
        </w:rPr>
        <w:t>o</w:t>
      </w:r>
      <w:r w:rsidR="009C53A9" w:rsidRPr="00C437FA">
        <w:rPr>
          <w:rFonts w:ascii="Verdana" w:eastAsia="Verdana" w:hAnsi="Verdana" w:cs="Verdana"/>
          <w:i/>
          <w:spacing w:val="17"/>
          <w:sz w:val="16"/>
          <w:szCs w:val="16"/>
          <w:lang w:val="es-CR"/>
        </w:rPr>
        <w:t xml:space="preserve"> </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z w:val="16"/>
          <w:szCs w:val="16"/>
          <w:lang w:val="es-CR"/>
        </w:rPr>
        <w:t>e</w:t>
      </w:r>
      <w:r w:rsidR="009C53A9" w:rsidRPr="00C437FA">
        <w:rPr>
          <w:rFonts w:ascii="Verdana" w:eastAsia="Verdana" w:hAnsi="Verdana" w:cs="Verdana"/>
          <w:i/>
          <w:spacing w:val="18"/>
          <w:sz w:val="16"/>
          <w:szCs w:val="16"/>
          <w:lang w:val="es-CR"/>
        </w:rPr>
        <w:t xml:space="preserve"> </w:t>
      </w:r>
      <w:r w:rsidR="009C53A9" w:rsidRPr="00C437FA">
        <w:rPr>
          <w:rFonts w:ascii="Verdana" w:eastAsia="Verdana" w:hAnsi="Verdana" w:cs="Verdana"/>
          <w:i/>
          <w:spacing w:val="-1"/>
          <w:sz w:val="16"/>
          <w:szCs w:val="16"/>
          <w:lang w:val="es-CR"/>
        </w:rPr>
        <w:t>T</w:t>
      </w:r>
      <w:r w:rsidR="009C53A9" w:rsidRPr="00C437FA">
        <w:rPr>
          <w:rFonts w:ascii="Verdana" w:eastAsia="Verdana" w:hAnsi="Verdana" w:cs="Verdana"/>
          <w:i/>
          <w:spacing w:val="1"/>
          <w:sz w:val="16"/>
          <w:szCs w:val="16"/>
          <w:lang w:val="es-CR"/>
        </w:rPr>
        <w:t>r</w:t>
      </w:r>
      <w:r w:rsidR="009C53A9" w:rsidRPr="00C437FA">
        <w:rPr>
          <w:rFonts w:ascii="Verdana" w:eastAsia="Verdana" w:hAnsi="Verdana" w:cs="Verdana"/>
          <w:i/>
          <w:spacing w:val="-1"/>
          <w:sz w:val="16"/>
          <w:szCs w:val="16"/>
          <w:lang w:val="es-CR"/>
        </w:rPr>
        <w:t>ini</w:t>
      </w:r>
      <w:r w:rsidR="009C53A9" w:rsidRPr="00C437FA">
        <w:rPr>
          <w:rFonts w:ascii="Verdana" w:eastAsia="Verdana" w:hAnsi="Verdana" w:cs="Verdana"/>
          <w:i/>
          <w:spacing w:val="1"/>
          <w:sz w:val="16"/>
          <w:szCs w:val="16"/>
          <w:lang w:val="es-CR"/>
        </w:rPr>
        <w:t>d</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z w:val="16"/>
          <w:szCs w:val="16"/>
          <w:lang w:val="es-CR"/>
        </w:rPr>
        <w:t>d</w:t>
      </w:r>
      <w:r w:rsidR="009C53A9" w:rsidRPr="00C437FA">
        <w:rPr>
          <w:rFonts w:ascii="Verdana" w:eastAsia="Verdana" w:hAnsi="Verdana" w:cs="Verdana"/>
          <w:i/>
          <w:spacing w:val="16"/>
          <w:sz w:val="16"/>
          <w:szCs w:val="16"/>
          <w:lang w:val="es-CR"/>
        </w:rPr>
        <w:t xml:space="preserve"> </w:t>
      </w:r>
      <w:r w:rsidR="009C53A9" w:rsidRPr="00C437FA">
        <w:rPr>
          <w:rFonts w:ascii="Verdana" w:eastAsia="Verdana" w:hAnsi="Verdana" w:cs="Verdana"/>
          <w:i/>
          <w:sz w:val="16"/>
          <w:szCs w:val="16"/>
          <w:lang w:val="es-CR"/>
        </w:rPr>
        <w:t>y</w:t>
      </w:r>
      <w:r w:rsidR="009C53A9" w:rsidRPr="00C437FA">
        <w:rPr>
          <w:rFonts w:ascii="Verdana" w:eastAsia="Verdana" w:hAnsi="Verdana" w:cs="Verdana"/>
          <w:i/>
          <w:spacing w:val="19"/>
          <w:sz w:val="16"/>
          <w:szCs w:val="16"/>
          <w:lang w:val="es-CR"/>
        </w:rPr>
        <w:t xml:space="preserve"> </w:t>
      </w:r>
      <w:r w:rsidR="009C53A9" w:rsidRPr="00C437FA">
        <w:rPr>
          <w:rFonts w:ascii="Verdana" w:eastAsia="Verdana" w:hAnsi="Verdana" w:cs="Verdana"/>
          <w:i/>
          <w:spacing w:val="-1"/>
          <w:sz w:val="16"/>
          <w:szCs w:val="16"/>
          <w:lang w:val="es-CR"/>
        </w:rPr>
        <w:t>T</w:t>
      </w:r>
      <w:r w:rsidR="009C53A9" w:rsidRPr="00C437FA">
        <w:rPr>
          <w:rFonts w:ascii="Verdana" w:eastAsia="Verdana" w:hAnsi="Verdana" w:cs="Verdana"/>
          <w:i/>
          <w:spacing w:val="-2"/>
          <w:sz w:val="16"/>
          <w:szCs w:val="16"/>
          <w:lang w:val="es-CR"/>
        </w:rPr>
        <w:t>o</w:t>
      </w:r>
      <w:r w:rsidR="009C53A9" w:rsidRPr="00C437FA">
        <w:rPr>
          <w:rFonts w:ascii="Verdana" w:eastAsia="Verdana" w:hAnsi="Verdana" w:cs="Verdana"/>
          <w:i/>
          <w:spacing w:val="1"/>
          <w:sz w:val="16"/>
          <w:szCs w:val="16"/>
          <w:lang w:val="es-CR"/>
        </w:rPr>
        <w:t>b</w:t>
      </w:r>
      <w:r w:rsidR="009C53A9" w:rsidRPr="00C437FA">
        <w:rPr>
          <w:rFonts w:ascii="Verdana" w:eastAsia="Verdana" w:hAnsi="Verdana" w:cs="Verdana"/>
          <w:i/>
          <w:spacing w:val="-1"/>
          <w:sz w:val="16"/>
          <w:szCs w:val="16"/>
          <w:lang w:val="es-CR"/>
        </w:rPr>
        <w:t>a</w:t>
      </w:r>
      <w:r w:rsidR="009C53A9" w:rsidRPr="00C437FA">
        <w:rPr>
          <w:rFonts w:ascii="Verdana" w:eastAsia="Verdana" w:hAnsi="Verdana" w:cs="Verdana"/>
          <w:i/>
          <w:spacing w:val="-2"/>
          <w:sz w:val="16"/>
          <w:szCs w:val="16"/>
          <w:lang w:val="es-CR"/>
        </w:rPr>
        <w:t>g</w:t>
      </w:r>
      <w:r w:rsidR="009C53A9" w:rsidRPr="00C437FA">
        <w:rPr>
          <w:rFonts w:ascii="Verdana" w:eastAsia="Verdana" w:hAnsi="Verdana" w:cs="Verdana"/>
          <w:i/>
          <w:spacing w:val="1"/>
          <w:sz w:val="16"/>
          <w:szCs w:val="16"/>
          <w:lang w:val="es-CR"/>
        </w:rPr>
        <w:t>o</w:t>
      </w:r>
      <w:r w:rsidR="009C53A9" w:rsidRPr="00C437FA">
        <w:rPr>
          <w:rFonts w:ascii="Verdana" w:eastAsia="Verdana" w:hAnsi="Verdana" w:cs="Verdana"/>
          <w:sz w:val="16"/>
          <w:szCs w:val="16"/>
          <w:lang w:val="es-CR"/>
        </w:rPr>
        <w:t>.</w:t>
      </w:r>
      <w:r w:rsidR="009C53A9" w:rsidRPr="00C437FA">
        <w:rPr>
          <w:rFonts w:ascii="Verdana" w:eastAsia="Verdana" w:hAnsi="Verdana" w:cs="Verdana"/>
          <w:spacing w:val="17"/>
          <w:sz w:val="16"/>
          <w:szCs w:val="16"/>
          <w:lang w:val="es-CR"/>
        </w:rPr>
        <w:t xml:space="preserve"> </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z w:val="16"/>
          <w:szCs w:val="16"/>
          <w:lang w:val="es-CR"/>
        </w:rPr>
        <w:t>es</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3"/>
          <w:sz w:val="16"/>
          <w:szCs w:val="16"/>
          <w:lang w:val="es-CR"/>
        </w:rPr>
        <w:t>l</w:t>
      </w:r>
      <w:r w:rsidR="009C53A9" w:rsidRPr="00C437FA">
        <w:rPr>
          <w:rFonts w:ascii="Verdana" w:eastAsia="Verdana" w:hAnsi="Verdana" w:cs="Verdana"/>
          <w:spacing w:val="-1"/>
          <w:sz w:val="16"/>
          <w:szCs w:val="16"/>
          <w:lang w:val="es-CR"/>
        </w:rPr>
        <w:t>u</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pacing w:val="1"/>
          <w:sz w:val="16"/>
          <w:szCs w:val="16"/>
          <w:lang w:val="es-CR"/>
        </w:rPr>
        <w:t>ó</w:t>
      </w:r>
      <w:r w:rsidR="009C53A9" w:rsidRPr="00C437FA">
        <w:rPr>
          <w:rFonts w:ascii="Verdana" w:eastAsia="Verdana" w:hAnsi="Verdana" w:cs="Verdana"/>
          <w:sz w:val="16"/>
          <w:szCs w:val="16"/>
          <w:lang w:val="es-CR"/>
        </w:rPr>
        <w:t>n</w:t>
      </w:r>
      <w:r w:rsidR="009C53A9" w:rsidRPr="00C437FA">
        <w:rPr>
          <w:rFonts w:ascii="Verdana" w:eastAsia="Verdana" w:hAnsi="Verdana" w:cs="Verdana"/>
          <w:spacing w:val="17"/>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18"/>
          <w:sz w:val="16"/>
          <w:szCs w:val="16"/>
          <w:lang w:val="es-CR"/>
        </w:rPr>
        <w:t xml:space="preserve"> </w:t>
      </w:r>
      <w:r w:rsidR="009C53A9" w:rsidRPr="00C437FA">
        <w:rPr>
          <w:rFonts w:ascii="Verdana" w:eastAsia="Verdana" w:hAnsi="Verdana" w:cs="Verdana"/>
          <w:spacing w:val="-3"/>
          <w:sz w:val="16"/>
          <w:szCs w:val="16"/>
          <w:lang w:val="es-CR"/>
        </w:rPr>
        <w:t>l</w:t>
      </w:r>
      <w:r w:rsidR="009C53A9" w:rsidRPr="00C437FA">
        <w:rPr>
          <w:rFonts w:ascii="Verdana" w:eastAsia="Verdana" w:hAnsi="Verdana" w:cs="Verdana"/>
          <w:sz w:val="16"/>
          <w:szCs w:val="16"/>
          <w:lang w:val="es-CR"/>
        </w:rPr>
        <w:t>a C</w:t>
      </w:r>
      <w:r w:rsidR="009C53A9" w:rsidRPr="00C437FA">
        <w:rPr>
          <w:rFonts w:ascii="Verdana" w:eastAsia="Verdana" w:hAnsi="Verdana" w:cs="Verdana"/>
          <w:spacing w:val="-2"/>
          <w:sz w:val="16"/>
          <w:szCs w:val="16"/>
          <w:lang w:val="es-CR"/>
        </w:rPr>
        <w:t>o</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2"/>
          <w:sz w:val="16"/>
          <w:szCs w:val="16"/>
          <w:lang w:val="es-CR"/>
        </w:rPr>
        <w:t xml:space="preserve"> I</w:t>
      </w:r>
      <w:r w:rsidR="009C53A9" w:rsidRPr="00C437FA">
        <w:rPr>
          <w:rFonts w:ascii="Verdana" w:eastAsia="Verdana" w:hAnsi="Verdana" w:cs="Verdana"/>
          <w:spacing w:val="-1"/>
          <w:sz w:val="16"/>
          <w:szCs w:val="16"/>
          <w:lang w:val="es-CR"/>
        </w:rPr>
        <w:t>nt</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a</w:t>
      </w:r>
      <w:r w:rsidR="009C53A9" w:rsidRPr="00C437FA">
        <w:rPr>
          <w:rFonts w:ascii="Verdana" w:eastAsia="Verdana" w:hAnsi="Verdana" w:cs="Verdana"/>
          <w:sz w:val="16"/>
          <w:szCs w:val="16"/>
          <w:lang w:val="es-CR"/>
        </w:rPr>
        <w:t>m</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z w:val="16"/>
          <w:szCs w:val="16"/>
          <w:lang w:val="es-CR"/>
        </w:rPr>
        <w:t>a</w:t>
      </w:r>
      <w:r w:rsidR="009C53A9" w:rsidRPr="00C437FA">
        <w:rPr>
          <w:rFonts w:ascii="Verdana" w:eastAsia="Verdana" w:hAnsi="Verdana" w:cs="Verdana"/>
          <w:spacing w:val="1"/>
          <w:sz w:val="16"/>
          <w:szCs w:val="16"/>
          <w:lang w:val="es-CR"/>
        </w:rPr>
        <w:t xml:space="preserve"> 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z w:val="16"/>
          <w:szCs w:val="16"/>
          <w:lang w:val="es-CR"/>
        </w:rPr>
        <w:t>c</w:t>
      </w:r>
      <w:r w:rsidR="009C53A9" w:rsidRPr="00C437FA">
        <w:rPr>
          <w:rFonts w:ascii="Verdana" w:eastAsia="Verdana" w:hAnsi="Verdana" w:cs="Verdana"/>
          <w:spacing w:val="-1"/>
          <w:sz w:val="16"/>
          <w:szCs w:val="16"/>
          <w:lang w:val="es-CR"/>
        </w:rPr>
        <w:t>h</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1"/>
          <w:sz w:val="16"/>
          <w:szCs w:val="16"/>
          <w:lang w:val="es-CR"/>
        </w:rPr>
        <w:t>Hu</w:t>
      </w:r>
      <w:r w:rsidR="009C53A9" w:rsidRPr="00C437FA">
        <w:rPr>
          <w:rFonts w:ascii="Verdana" w:eastAsia="Verdana" w:hAnsi="Verdana" w:cs="Verdana"/>
          <w:sz w:val="16"/>
          <w:szCs w:val="16"/>
          <w:lang w:val="es-CR"/>
        </w:rPr>
        <w:t>m</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2"/>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1"/>
          <w:sz w:val="16"/>
          <w:szCs w:val="16"/>
          <w:lang w:val="es-CR"/>
        </w:rPr>
        <w:t>2</w:t>
      </w:r>
      <w:r w:rsidR="009C53A9" w:rsidRPr="00C437FA">
        <w:rPr>
          <w:rFonts w:ascii="Verdana" w:eastAsia="Verdana" w:hAnsi="Verdana" w:cs="Verdana"/>
          <w:sz w:val="16"/>
          <w:szCs w:val="16"/>
          <w:lang w:val="es-CR"/>
        </w:rPr>
        <w:t>9</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1"/>
          <w:sz w:val="16"/>
          <w:szCs w:val="16"/>
          <w:lang w:val="es-CR"/>
        </w:rPr>
        <w:t>a</w:t>
      </w:r>
      <w:r w:rsidR="009C53A9" w:rsidRPr="00C437FA">
        <w:rPr>
          <w:rFonts w:ascii="Verdana" w:eastAsia="Verdana" w:hAnsi="Verdana" w:cs="Verdana"/>
          <w:spacing w:val="-2"/>
          <w:sz w:val="16"/>
          <w:szCs w:val="16"/>
          <w:lang w:val="es-CR"/>
        </w:rPr>
        <w:t>g</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2"/>
          <w:sz w:val="16"/>
          <w:szCs w:val="16"/>
          <w:lang w:val="es-CR"/>
        </w:rPr>
        <w:t>s</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z w:val="16"/>
          <w:szCs w:val="16"/>
          <w:lang w:val="es-CR"/>
        </w:rPr>
        <w:t>o</w:t>
      </w:r>
      <w:r w:rsidR="009C53A9" w:rsidRPr="00C437FA">
        <w:rPr>
          <w:rFonts w:ascii="Verdana" w:eastAsia="Verdana" w:hAnsi="Verdana" w:cs="Verdana"/>
          <w:spacing w:val="3"/>
          <w:sz w:val="16"/>
          <w:szCs w:val="16"/>
          <w:lang w:val="es-CR"/>
        </w:rPr>
        <w:t xml:space="preserve"> </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e</w:t>
      </w:r>
      <w:r w:rsidR="009C53A9" w:rsidRPr="00C437FA">
        <w:rPr>
          <w:rFonts w:ascii="Verdana" w:eastAsia="Verdana" w:hAnsi="Verdana" w:cs="Verdana"/>
          <w:spacing w:val="2"/>
          <w:sz w:val="16"/>
          <w:szCs w:val="16"/>
          <w:lang w:val="es-CR"/>
        </w:rPr>
        <w:t xml:space="preserve"> </w:t>
      </w:r>
      <w:r w:rsidR="009C53A9" w:rsidRPr="00C437FA">
        <w:rPr>
          <w:rFonts w:ascii="Verdana" w:eastAsia="Verdana" w:hAnsi="Verdana" w:cs="Verdana"/>
          <w:spacing w:val="-1"/>
          <w:sz w:val="16"/>
          <w:szCs w:val="16"/>
          <w:lang w:val="es-CR"/>
        </w:rPr>
        <w:t>1</w:t>
      </w:r>
      <w:r w:rsidR="009C53A9" w:rsidRPr="00C437FA">
        <w:rPr>
          <w:rFonts w:ascii="Verdana" w:eastAsia="Verdana" w:hAnsi="Verdana" w:cs="Verdana"/>
          <w:spacing w:val="1"/>
          <w:sz w:val="16"/>
          <w:szCs w:val="16"/>
          <w:lang w:val="es-CR"/>
        </w:rPr>
        <w:t>9</w:t>
      </w:r>
      <w:r w:rsidR="009C53A9" w:rsidRPr="00C437FA">
        <w:rPr>
          <w:rFonts w:ascii="Verdana" w:eastAsia="Verdana" w:hAnsi="Verdana" w:cs="Verdana"/>
          <w:spacing w:val="-1"/>
          <w:sz w:val="16"/>
          <w:szCs w:val="16"/>
          <w:lang w:val="es-CR"/>
        </w:rPr>
        <w:t>9</w:t>
      </w:r>
      <w:r w:rsidR="009C53A9" w:rsidRPr="00C437FA">
        <w:rPr>
          <w:rFonts w:ascii="Verdana" w:eastAsia="Verdana" w:hAnsi="Verdana" w:cs="Verdana"/>
          <w:spacing w:val="1"/>
          <w:sz w:val="16"/>
          <w:szCs w:val="16"/>
          <w:lang w:val="es-CR"/>
        </w:rPr>
        <w:t>8</w:t>
      </w:r>
      <w:r w:rsidR="009C53A9" w:rsidRPr="00C437FA">
        <w:rPr>
          <w:rFonts w:ascii="Verdana" w:eastAsia="Verdana" w:hAnsi="Verdana" w:cs="Verdana"/>
          <w:sz w:val="16"/>
          <w:szCs w:val="16"/>
          <w:lang w:val="es-CR"/>
        </w:rPr>
        <w:t>,</w:t>
      </w:r>
      <w:r w:rsidR="009C53A9" w:rsidRPr="00C437FA">
        <w:rPr>
          <w:rFonts w:ascii="Verdana" w:eastAsia="Verdana" w:hAnsi="Verdana" w:cs="Verdana"/>
          <w:spacing w:val="1"/>
          <w:sz w:val="16"/>
          <w:szCs w:val="16"/>
          <w:lang w:val="es-CR"/>
        </w:rPr>
        <w:t xml:space="preserve"> </w:t>
      </w:r>
      <w:r w:rsidR="009C53A9" w:rsidRPr="00C437FA">
        <w:rPr>
          <w:rFonts w:ascii="Verdana" w:eastAsia="Verdana" w:hAnsi="Verdana" w:cs="Verdana"/>
          <w:spacing w:val="-2"/>
          <w:sz w:val="16"/>
          <w:szCs w:val="16"/>
          <w:lang w:val="es-CR"/>
        </w:rPr>
        <w:t>C</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pacing w:val="-1"/>
          <w:sz w:val="16"/>
          <w:szCs w:val="16"/>
          <w:lang w:val="es-CR"/>
        </w:rPr>
        <w:t>n</w:t>
      </w:r>
      <w:r w:rsidR="009C53A9" w:rsidRPr="00C437FA">
        <w:rPr>
          <w:rFonts w:ascii="Verdana" w:eastAsia="Verdana" w:hAnsi="Verdana" w:cs="Verdana"/>
          <w:sz w:val="16"/>
          <w:szCs w:val="16"/>
          <w:lang w:val="es-CR"/>
        </w:rPr>
        <w:t>s</w:t>
      </w:r>
      <w:r w:rsidR="009C53A9" w:rsidRPr="00C437FA">
        <w:rPr>
          <w:rFonts w:ascii="Verdana" w:eastAsia="Verdana" w:hAnsi="Verdana" w:cs="Verdana"/>
          <w:spacing w:val="-1"/>
          <w:sz w:val="16"/>
          <w:szCs w:val="16"/>
          <w:lang w:val="es-CR"/>
        </w:rPr>
        <w:t>i</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pacing w:val="-2"/>
          <w:sz w:val="16"/>
          <w:szCs w:val="16"/>
          <w:lang w:val="es-CR"/>
        </w:rPr>
        <w:t>e</w:t>
      </w:r>
      <w:r w:rsidR="009C53A9" w:rsidRPr="00C437FA">
        <w:rPr>
          <w:rFonts w:ascii="Verdana" w:eastAsia="Verdana" w:hAnsi="Verdana" w:cs="Verdana"/>
          <w:spacing w:val="1"/>
          <w:sz w:val="16"/>
          <w:szCs w:val="16"/>
          <w:lang w:val="es-CR"/>
        </w:rPr>
        <w:t>r</w:t>
      </w:r>
      <w:r w:rsidR="009C53A9" w:rsidRPr="00C437FA">
        <w:rPr>
          <w:rFonts w:ascii="Verdana" w:eastAsia="Verdana" w:hAnsi="Verdana" w:cs="Verdana"/>
          <w:spacing w:val="-1"/>
          <w:sz w:val="16"/>
          <w:szCs w:val="16"/>
          <w:lang w:val="es-CR"/>
        </w:rPr>
        <w:t>an</w:t>
      </w:r>
      <w:r w:rsidR="009C53A9" w:rsidRPr="00C437FA">
        <w:rPr>
          <w:rFonts w:ascii="Verdana" w:eastAsia="Verdana" w:hAnsi="Verdana" w:cs="Verdana"/>
          <w:spacing w:val="1"/>
          <w:sz w:val="16"/>
          <w:szCs w:val="16"/>
          <w:lang w:val="es-CR"/>
        </w:rPr>
        <w:t>d</w:t>
      </w:r>
      <w:r w:rsidR="009C53A9" w:rsidRPr="00C437FA">
        <w:rPr>
          <w:rFonts w:ascii="Verdana" w:eastAsia="Verdana" w:hAnsi="Verdana" w:cs="Verdana"/>
          <w:sz w:val="16"/>
          <w:szCs w:val="16"/>
          <w:lang w:val="es-CR"/>
        </w:rPr>
        <w:t>o se</w:t>
      </w:r>
      <w:r w:rsidR="009C53A9" w:rsidRPr="00C437FA">
        <w:rPr>
          <w:rFonts w:ascii="Verdana" w:eastAsia="Verdana" w:hAnsi="Verdana" w:cs="Verdana"/>
          <w:spacing w:val="-2"/>
          <w:sz w:val="16"/>
          <w:szCs w:val="16"/>
          <w:lang w:val="es-CR"/>
        </w:rPr>
        <w:t>x</w:t>
      </w:r>
      <w:r w:rsidR="009C53A9" w:rsidRPr="00C437FA">
        <w:rPr>
          <w:rFonts w:ascii="Verdana" w:eastAsia="Verdana" w:hAnsi="Verdana" w:cs="Verdana"/>
          <w:spacing w:val="-1"/>
          <w:sz w:val="16"/>
          <w:szCs w:val="16"/>
          <w:lang w:val="es-CR"/>
        </w:rPr>
        <w:t>t</w:t>
      </w:r>
      <w:r w:rsidR="009C53A9" w:rsidRPr="00C437FA">
        <w:rPr>
          <w:rFonts w:ascii="Verdana" w:eastAsia="Verdana" w:hAnsi="Verdana" w:cs="Verdana"/>
          <w:spacing w:val="1"/>
          <w:sz w:val="16"/>
          <w:szCs w:val="16"/>
          <w:lang w:val="es-CR"/>
        </w:rPr>
        <w:t>o</w:t>
      </w:r>
      <w:r w:rsidR="009C53A9" w:rsidRPr="00C437FA">
        <w:rPr>
          <w:rFonts w:ascii="Verdana" w:eastAsia="Verdana" w:hAnsi="Verdana" w:cs="Verdana"/>
          <w:sz w:val="16"/>
          <w:szCs w:val="16"/>
          <w:lang w:val="es-CR"/>
        </w:rPr>
        <w:t>,</w:t>
      </w:r>
      <w:r w:rsidR="009C53A9" w:rsidRPr="00C437FA">
        <w:rPr>
          <w:rFonts w:ascii="Verdana" w:eastAsia="Verdana" w:hAnsi="Verdana" w:cs="Verdana"/>
          <w:spacing w:val="1"/>
          <w:sz w:val="16"/>
          <w:szCs w:val="16"/>
          <w:lang w:val="es-CR"/>
        </w:rPr>
        <w:t xml:space="preserve"> </w:t>
      </w:r>
      <w:r w:rsidR="009C53A9" w:rsidRPr="00C437FA">
        <w:rPr>
          <w:rFonts w:ascii="Verdana" w:hAnsi="Verdana"/>
          <w:sz w:val="16"/>
          <w:szCs w:val="16"/>
        </w:rPr>
        <w:t xml:space="preserve">y </w:t>
      </w:r>
      <w:r w:rsidR="009C53A9" w:rsidRPr="00C437FA">
        <w:rPr>
          <w:rFonts w:ascii="Verdana" w:hAnsi="Verdana"/>
          <w:i/>
          <w:sz w:val="16"/>
          <w:szCs w:val="16"/>
        </w:rPr>
        <w:t>Asunto</w:t>
      </w:r>
      <w:r w:rsidR="009C53A9" w:rsidRPr="00C437FA">
        <w:rPr>
          <w:rFonts w:ascii="Verdana" w:hAnsi="Verdana"/>
          <w:sz w:val="16"/>
          <w:szCs w:val="16"/>
        </w:rPr>
        <w:t xml:space="preserve"> </w:t>
      </w:r>
      <w:r w:rsidR="009C53A9" w:rsidRPr="00C437FA">
        <w:rPr>
          <w:rFonts w:ascii="Verdana" w:hAnsi="Verdana"/>
          <w:i/>
          <w:sz w:val="16"/>
          <w:szCs w:val="16"/>
        </w:rPr>
        <w:t>Gladys Lanza Ochoa.</w:t>
      </w:r>
      <w:r w:rsidR="009C53A9" w:rsidRPr="00C437FA">
        <w:rPr>
          <w:rFonts w:ascii="Verdana" w:hAnsi="Verdana"/>
          <w:sz w:val="16"/>
          <w:szCs w:val="16"/>
        </w:rPr>
        <w:t xml:space="preserve"> </w:t>
      </w:r>
      <w:r w:rsidR="009C53A9" w:rsidRPr="00C437FA">
        <w:rPr>
          <w:rFonts w:ascii="Verdana" w:hAnsi="Verdana"/>
          <w:i/>
          <w:sz w:val="16"/>
          <w:szCs w:val="16"/>
        </w:rPr>
        <w:t>Medidas Provisionales respecto de Honduras</w:t>
      </w:r>
      <w:r w:rsidR="009C53A9" w:rsidRPr="00C437FA">
        <w:rPr>
          <w:rFonts w:ascii="Verdana" w:hAnsi="Verdana"/>
          <w:sz w:val="16"/>
          <w:szCs w:val="16"/>
        </w:rPr>
        <w:t>. Resolución de la Corte Interamericana de Derechos Humanos de 23 de noviembre de 2016, Considerando octavo.</w:t>
      </w:r>
    </w:p>
  </w:footnote>
  <w:footnote w:id="9">
    <w:p w:rsidR="00B16921" w:rsidRPr="00C437FA" w:rsidRDefault="00B16921" w:rsidP="00C437FA">
      <w:pPr>
        <w:pStyle w:val="Textonotapie"/>
        <w:jc w:val="both"/>
        <w:rPr>
          <w:rFonts w:ascii="Verdana" w:hAnsi="Verdana"/>
          <w:sz w:val="16"/>
          <w:szCs w:val="16"/>
          <w:lang w:val="es-ES"/>
        </w:rPr>
      </w:pPr>
      <w:r w:rsidRPr="00C437FA">
        <w:rPr>
          <w:rStyle w:val="Refdenotaalpie"/>
          <w:szCs w:val="16"/>
        </w:rPr>
        <w:footnoteRef/>
      </w:r>
      <w:r w:rsidRPr="00C437FA">
        <w:rPr>
          <w:rFonts w:ascii="Verdana" w:hAnsi="Verdana"/>
          <w:sz w:val="16"/>
          <w:szCs w:val="16"/>
        </w:rPr>
        <w:t xml:space="preserve"> </w:t>
      </w:r>
      <w:r w:rsidR="009C53A9" w:rsidRPr="00C437FA">
        <w:rPr>
          <w:rFonts w:ascii="Verdana" w:hAnsi="Verdana"/>
          <w:sz w:val="16"/>
          <w:szCs w:val="16"/>
        </w:rPr>
        <w:tab/>
        <w:t xml:space="preserve">Comunicación del Estado de Nicaragua de 7 de agosto de 2018, anexo a la solicitud de medidas provisionales de la Comisión. </w:t>
      </w:r>
      <w:r w:rsidRPr="00C437FA">
        <w:rPr>
          <w:rFonts w:ascii="Verdana" w:hAnsi="Verdana"/>
          <w:sz w:val="16"/>
          <w:szCs w:val="16"/>
          <w:lang w:val="es-ES"/>
        </w:rPr>
        <w:t xml:space="preserve"> </w:t>
      </w:r>
    </w:p>
  </w:footnote>
  <w:footnote w:id="10">
    <w:p w:rsidR="00B16921" w:rsidRPr="00C437FA" w:rsidRDefault="00B16921" w:rsidP="00C437FA">
      <w:pPr>
        <w:pStyle w:val="Textonotapie"/>
        <w:jc w:val="both"/>
        <w:rPr>
          <w:rFonts w:ascii="Verdana" w:hAnsi="Verdana"/>
          <w:sz w:val="16"/>
          <w:szCs w:val="16"/>
          <w:lang w:val="es-ES"/>
        </w:rPr>
      </w:pPr>
      <w:r w:rsidRPr="00C437FA">
        <w:rPr>
          <w:rStyle w:val="Refdenotaalpie"/>
          <w:szCs w:val="16"/>
        </w:rPr>
        <w:footnoteRef/>
      </w:r>
      <w:r w:rsidRPr="00C437FA">
        <w:rPr>
          <w:rFonts w:ascii="Verdana" w:hAnsi="Verdana"/>
          <w:sz w:val="16"/>
          <w:szCs w:val="16"/>
        </w:rPr>
        <w:t xml:space="preserve"> </w:t>
      </w:r>
      <w:r w:rsidR="009C53A9" w:rsidRPr="00C437FA">
        <w:rPr>
          <w:rFonts w:ascii="Verdana" w:eastAsia="Verdana" w:hAnsi="Verdana" w:cs="Verdana"/>
          <w:sz w:val="16"/>
          <w:szCs w:val="16"/>
          <w:lang w:val="es-CR"/>
        </w:rPr>
        <w:tab/>
        <w:t>Informe Completo del Sistema Penitenciario Nacional relativo al total de 273 presos y presas detenidos, acusados, procesados y/o condenados por su participación en delitos cometidos en el contexto del fallido intento de Golpe de Estado</w:t>
      </w:r>
      <w:r w:rsidR="009C53A9" w:rsidRPr="00C437FA">
        <w:rPr>
          <w:rFonts w:ascii="Verdana" w:hAnsi="Verdana"/>
          <w:sz w:val="16"/>
          <w:szCs w:val="16"/>
        </w:rPr>
        <w:t xml:space="preserve">, anexo a la solicitud de medidas provisionales de la Comisión. </w:t>
      </w:r>
      <w:r w:rsidRPr="00C437FA">
        <w:rPr>
          <w:rFonts w:ascii="Verdana" w:hAnsi="Verdana"/>
          <w:sz w:val="16"/>
          <w:szCs w:val="16"/>
          <w:lang w:val="es-ES"/>
        </w:rPr>
        <w:t xml:space="preserve"> </w:t>
      </w:r>
    </w:p>
  </w:footnote>
  <w:footnote w:id="11">
    <w:p w:rsidR="00B16921" w:rsidRPr="00C437FA" w:rsidRDefault="00B16921" w:rsidP="000F6957">
      <w:pPr>
        <w:pStyle w:val="Textonotapie"/>
        <w:ind w:left="720" w:hanging="720"/>
        <w:jc w:val="both"/>
        <w:rPr>
          <w:rFonts w:ascii="Verdana" w:hAnsi="Verdana"/>
          <w:sz w:val="16"/>
          <w:szCs w:val="16"/>
          <w:lang w:val="es-ES"/>
        </w:rPr>
      </w:pPr>
      <w:r w:rsidRPr="00C437FA">
        <w:rPr>
          <w:rStyle w:val="Refdenotaalpie"/>
          <w:szCs w:val="16"/>
        </w:rPr>
        <w:footnoteRef/>
      </w:r>
      <w:r w:rsidRPr="00C437FA">
        <w:rPr>
          <w:rFonts w:ascii="Verdana" w:hAnsi="Verdana"/>
          <w:sz w:val="16"/>
          <w:szCs w:val="16"/>
        </w:rPr>
        <w:t xml:space="preserve"> </w:t>
      </w:r>
      <w:r w:rsidR="009C53A9" w:rsidRPr="00C437FA">
        <w:rPr>
          <w:rFonts w:ascii="Verdana" w:hAnsi="Verdana"/>
          <w:sz w:val="16"/>
          <w:szCs w:val="16"/>
          <w:lang w:val="es-ES"/>
        </w:rPr>
        <w:tab/>
        <w:t xml:space="preserve">Informes </w:t>
      </w:r>
      <w:r w:rsidR="009C53A9" w:rsidRPr="00C437FA">
        <w:rPr>
          <w:rFonts w:ascii="Verdana" w:eastAsia="Verdana" w:hAnsi="Verdana" w:cs="Verdana"/>
          <w:sz w:val="16"/>
          <w:szCs w:val="16"/>
          <w:lang w:val="es-CR"/>
        </w:rPr>
        <w:t>“La Situación de Derechos de las Mujeres Privadas de Libertad” y la “Situación General de Derechos Humanos en Nicaragua”</w:t>
      </w:r>
      <w:r w:rsidR="009C53A9" w:rsidRPr="00C437FA">
        <w:rPr>
          <w:rFonts w:ascii="Verdana" w:hAnsi="Verdana"/>
          <w:sz w:val="16"/>
          <w:szCs w:val="16"/>
          <w:lang w:val="es-ES"/>
        </w:rPr>
        <w:t>, anexos a la solicitud de medidas provisionales de la Comisión.</w:t>
      </w:r>
    </w:p>
  </w:footnote>
  <w:footnote w:id="12">
    <w:p w:rsidR="00B16921" w:rsidRPr="00C437FA" w:rsidRDefault="00B16921" w:rsidP="00C437FA">
      <w:pPr>
        <w:autoSpaceDE w:val="0"/>
        <w:autoSpaceDN w:val="0"/>
        <w:adjustRightInd w:val="0"/>
        <w:jc w:val="both"/>
        <w:rPr>
          <w:rFonts w:ascii="Verdana" w:eastAsia="Times New Roman" w:hAnsi="Verdana" w:cs="Cambria"/>
          <w:sz w:val="16"/>
          <w:szCs w:val="16"/>
          <w:lang w:val="es-CR" w:eastAsia="es-CR"/>
        </w:rPr>
      </w:pPr>
      <w:r w:rsidRPr="00C437FA">
        <w:rPr>
          <w:rStyle w:val="Refdenotaalpie"/>
          <w:szCs w:val="16"/>
        </w:rPr>
        <w:footnoteRef/>
      </w:r>
      <w:r w:rsidRPr="00C437FA">
        <w:rPr>
          <w:rFonts w:ascii="Verdana" w:hAnsi="Verdana"/>
          <w:sz w:val="16"/>
          <w:szCs w:val="16"/>
        </w:rPr>
        <w:t xml:space="preserve"> </w:t>
      </w:r>
      <w:r w:rsidR="00006B63" w:rsidRPr="00C437FA">
        <w:rPr>
          <w:rFonts w:ascii="Verdana" w:eastAsia="Times New Roman" w:hAnsi="Verdana" w:cs="Cambria"/>
          <w:sz w:val="16"/>
          <w:szCs w:val="16"/>
          <w:lang w:val="es-CR" w:eastAsia="es-CR"/>
        </w:rPr>
        <w:tab/>
      </w:r>
      <w:r w:rsidR="00006B63" w:rsidRPr="00C437FA">
        <w:rPr>
          <w:rFonts w:ascii="Verdana" w:eastAsia="Times New Roman" w:hAnsi="Verdana" w:cs="Cambria"/>
          <w:i/>
          <w:sz w:val="16"/>
          <w:szCs w:val="16"/>
          <w:lang w:eastAsia="es-CR"/>
        </w:rPr>
        <w:t>Cfr.</w:t>
      </w:r>
      <w:r w:rsidR="00006B63" w:rsidRPr="00C437FA">
        <w:rPr>
          <w:rFonts w:ascii="Verdana" w:eastAsia="Times New Roman" w:hAnsi="Verdana" w:cs="Cambria"/>
          <w:sz w:val="16"/>
          <w:szCs w:val="16"/>
          <w:lang w:eastAsia="es-CR"/>
        </w:rPr>
        <w:t xml:space="preserve"> </w:t>
      </w:r>
      <w:r w:rsidR="00006B63" w:rsidRPr="00C437FA">
        <w:rPr>
          <w:rFonts w:ascii="Verdana" w:eastAsia="Times New Roman" w:hAnsi="Verdana" w:cs="Cambria"/>
          <w:sz w:val="16"/>
          <w:szCs w:val="16"/>
          <w:lang w:val="es-CR" w:eastAsia="es-CR"/>
        </w:rPr>
        <w:t>Comunicación del CENIDH en la MC-819-18 (Yubrank Miguel Suazo Herrera y su núcleo familiar) de 26 de abril de 2019, anexo a la solicitud de medidas provisionales de la Comisión.</w:t>
      </w:r>
    </w:p>
  </w:footnote>
  <w:footnote w:id="13">
    <w:p w:rsidR="00B16921" w:rsidRPr="00C437FA" w:rsidRDefault="00B16921" w:rsidP="00C437FA">
      <w:pPr>
        <w:autoSpaceDE w:val="0"/>
        <w:autoSpaceDN w:val="0"/>
        <w:adjustRightInd w:val="0"/>
        <w:jc w:val="both"/>
        <w:rPr>
          <w:rFonts w:ascii="Verdana" w:eastAsia="Times New Roman" w:hAnsi="Verdana" w:cs="Cambria"/>
          <w:sz w:val="16"/>
          <w:szCs w:val="16"/>
          <w:lang w:val="es-CR" w:eastAsia="es-CR"/>
        </w:rPr>
      </w:pPr>
      <w:r w:rsidRPr="00C437FA">
        <w:rPr>
          <w:rStyle w:val="Refdenotaalpie"/>
          <w:szCs w:val="16"/>
        </w:rPr>
        <w:footnoteRef/>
      </w:r>
      <w:r w:rsidRPr="00C437FA">
        <w:rPr>
          <w:rFonts w:ascii="Verdana" w:hAnsi="Verdana"/>
          <w:sz w:val="16"/>
          <w:szCs w:val="16"/>
        </w:rPr>
        <w:t xml:space="preserve"> </w:t>
      </w:r>
      <w:r w:rsidR="00006B63" w:rsidRPr="00C437FA">
        <w:rPr>
          <w:rFonts w:ascii="Verdana" w:eastAsia="Times New Roman" w:hAnsi="Verdana" w:cs="Cambria"/>
          <w:sz w:val="16"/>
          <w:szCs w:val="16"/>
          <w:lang w:val="es-CR" w:eastAsia="es-CR"/>
        </w:rPr>
        <w:tab/>
      </w:r>
      <w:r w:rsidR="00006B63" w:rsidRPr="00C437FA">
        <w:rPr>
          <w:rFonts w:ascii="Verdana" w:eastAsia="Times New Roman" w:hAnsi="Verdana" w:cs="Cambria"/>
          <w:i/>
          <w:sz w:val="16"/>
          <w:szCs w:val="16"/>
          <w:lang w:eastAsia="es-CR"/>
        </w:rPr>
        <w:t>Cfr.</w:t>
      </w:r>
      <w:r w:rsidR="00006B63" w:rsidRPr="00C437FA">
        <w:rPr>
          <w:rFonts w:ascii="Verdana" w:eastAsia="Times New Roman" w:hAnsi="Verdana" w:cs="Cambria"/>
          <w:sz w:val="16"/>
          <w:szCs w:val="16"/>
          <w:lang w:eastAsia="es-CR"/>
        </w:rPr>
        <w:t xml:space="preserve"> </w:t>
      </w:r>
      <w:r w:rsidR="00006B63" w:rsidRPr="00C437FA">
        <w:rPr>
          <w:rFonts w:ascii="Verdana" w:eastAsia="Times New Roman" w:hAnsi="Verdana" w:cs="Cambria"/>
          <w:sz w:val="16"/>
          <w:szCs w:val="16"/>
          <w:lang w:val="es-CR" w:eastAsia="es-CR"/>
        </w:rPr>
        <w:t>Comu</w:t>
      </w:r>
      <w:r w:rsidR="00BA5A78">
        <w:rPr>
          <w:rFonts w:ascii="Verdana" w:eastAsia="Times New Roman" w:hAnsi="Verdana" w:cs="Cambria"/>
          <w:sz w:val="16"/>
          <w:szCs w:val="16"/>
          <w:lang w:val="es-CR" w:eastAsia="es-CR"/>
        </w:rPr>
        <w:t>nicación del CENIDH en la MC-868</w:t>
      </w:r>
      <w:r w:rsidR="00006B63" w:rsidRPr="00C437FA">
        <w:rPr>
          <w:rFonts w:ascii="Verdana" w:eastAsia="Times New Roman" w:hAnsi="Verdana" w:cs="Cambria"/>
          <w:sz w:val="16"/>
          <w:szCs w:val="16"/>
          <w:lang w:val="es-CR" w:eastAsia="es-CR"/>
        </w:rPr>
        <w:t>-18 (</w:t>
      </w:r>
      <w:r w:rsidR="00BA5A78">
        <w:rPr>
          <w:rFonts w:ascii="Verdana" w:eastAsia="Times New Roman" w:hAnsi="Verdana" w:cs="Cambria"/>
          <w:sz w:val="16"/>
          <w:szCs w:val="16"/>
          <w:lang w:val="es-CR" w:eastAsia="es-CR"/>
        </w:rPr>
        <w:t>Cristhian Rodrigo Fajardo Caballero y su núcleo familiar</w:t>
      </w:r>
      <w:r w:rsidR="006A1BCE">
        <w:rPr>
          <w:rFonts w:ascii="Verdana" w:eastAsia="Times New Roman" w:hAnsi="Verdana" w:cs="Cambria"/>
          <w:sz w:val="16"/>
          <w:szCs w:val="16"/>
          <w:lang w:val="es-CR" w:eastAsia="es-CR"/>
        </w:rPr>
        <w:t>) de 27</w:t>
      </w:r>
      <w:r w:rsidR="00006B63" w:rsidRPr="00C437FA">
        <w:rPr>
          <w:rFonts w:ascii="Verdana" w:eastAsia="Times New Roman" w:hAnsi="Verdana" w:cs="Cambria"/>
          <w:sz w:val="16"/>
          <w:szCs w:val="16"/>
          <w:lang w:val="es-CR" w:eastAsia="es-CR"/>
        </w:rPr>
        <w:t xml:space="preserve"> de abril de 2019, anexo a la solicitud de medidas provisionales de la Comisión.</w:t>
      </w:r>
    </w:p>
  </w:footnote>
  <w:footnote w:id="14">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3B5200" w:rsidRPr="00C437FA">
        <w:rPr>
          <w:rFonts w:ascii="Verdana" w:eastAsia="Times New Roman" w:hAnsi="Verdana" w:cs="Cambria"/>
          <w:sz w:val="16"/>
          <w:szCs w:val="16"/>
          <w:lang w:val="es-CR" w:eastAsia="es-CR"/>
        </w:rPr>
        <w:tab/>
      </w:r>
      <w:r w:rsidR="003B5200" w:rsidRPr="00C437FA">
        <w:rPr>
          <w:rFonts w:ascii="Verdana" w:eastAsia="Times New Roman" w:hAnsi="Verdana" w:cs="Cambria"/>
          <w:i/>
          <w:sz w:val="16"/>
          <w:szCs w:val="16"/>
          <w:lang w:val="es-CR" w:eastAsia="es-CR"/>
        </w:rPr>
        <w:t>Cfr.</w:t>
      </w:r>
      <w:r w:rsidR="003B5200" w:rsidRPr="00C437FA">
        <w:rPr>
          <w:rFonts w:ascii="Verdana" w:eastAsia="Times New Roman" w:hAnsi="Verdana" w:cs="Cambria"/>
          <w:sz w:val="16"/>
          <w:szCs w:val="16"/>
          <w:lang w:val="es-CR" w:eastAsia="es-CR"/>
        </w:rPr>
        <w:t xml:space="preserve"> Comunicación del CENIDH en la MC-819-18 (Yubrank Miguel Suazo Herrera y su núcleo familiar) de 25 de septiembre de 2018, anexo a la solicitud de medidas provisionales de la Comisión.</w:t>
      </w:r>
    </w:p>
  </w:footnote>
  <w:footnote w:id="15">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722A47" w:rsidRPr="00C437FA">
        <w:rPr>
          <w:rFonts w:ascii="Verdana" w:eastAsia="Times New Roman" w:hAnsi="Verdana" w:cs="Cambria"/>
          <w:sz w:val="16"/>
          <w:szCs w:val="16"/>
          <w:lang w:val="es-CR" w:eastAsia="es-CR"/>
        </w:rPr>
        <w:tab/>
      </w:r>
      <w:r w:rsidR="00722A47" w:rsidRPr="00C437FA">
        <w:rPr>
          <w:rFonts w:ascii="Verdana" w:eastAsia="Times New Roman" w:hAnsi="Verdana" w:cs="Cambria"/>
          <w:i/>
          <w:sz w:val="16"/>
          <w:szCs w:val="16"/>
          <w:lang w:val="es-CR" w:eastAsia="es-CR"/>
        </w:rPr>
        <w:t xml:space="preserve">Cfr. </w:t>
      </w:r>
      <w:r w:rsidR="00722A47" w:rsidRPr="00C437FA">
        <w:rPr>
          <w:rFonts w:ascii="Verdana" w:eastAsia="Times New Roman" w:hAnsi="Verdana" w:cs="Cambria"/>
          <w:sz w:val="16"/>
          <w:szCs w:val="16"/>
          <w:lang w:val="es-CR" w:eastAsia="es-CR"/>
        </w:rPr>
        <w:t>Comunicación de CEJIL y la Iniciativa Nicaragüense Defensoras de DDHH sobre Ricardo Baltodano (MC-1130-18) de 9 de abril de 2019, anexo a la solicitud de medidas provisionales de la Comisión.</w:t>
      </w:r>
    </w:p>
  </w:footnote>
  <w:footnote w:id="16">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722A47" w:rsidRPr="00C437FA">
        <w:rPr>
          <w:rFonts w:ascii="Verdana" w:eastAsia="Times New Roman" w:hAnsi="Verdana" w:cs="Cambria"/>
          <w:sz w:val="16"/>
          <w:szCs w:val="16"/>
          <w:lang w:val="es-CR" w:eastAsia="es-CR"/>
        </w:rPr>
        <w:tab/>
      </w:r>
      <w:r w:rsidR="00722A47" w:rsidRPr="00C437FA">
        <w:rPr>
          <w:rFonts w:ascii="Verdana" w:eastAsia="Times New Roman" w:hAnsi="Verdana" w:cs="Cambria"/>
          <w:i/>
          <w:sz w:val="16"/>
          <w:szCs w:val="16"/>
          <w:lang w:val="es-CR" w:eastAsia="es-CR"/>
        </w:rPr>
        <w:t xml:space="preserve">Cfr. </w:t>
      </w:r>
      <w:r w:rsidR="00722A47" w:rsidRPr="00C437FA">
        <w:rPr>
          <w:rFonts w:ascii="Verdana" w:eastAsia="Times New Roman" w:hAnsi="Verdana" w:cs="Cambria"/>
          <w:sz w:val="16"/>
          <w:szCs w:val="16"/>
          <w:lang w:val="es-CR" w:eastAsia="es-CR"/>
        </w:rPr>
        <w:t>Comunicación de CEJIL y la Iniciativa Nicaragüense Defensoras de DDHH sobre Ricardo Baltodano (MC-1130-18) de 18 de febrero de 2019, anexo a la solicitud de medidas provisionales de la Comisión.</w:t>
      </w:r>
    </w:p>
  </w:footnote>
  <w:footnote w:id="17">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BF165C" w:rsidRPr="00C437FA">
        <w:rPr>
          <w:rFonts w:ascii="Verdana" w:eastAsia="Times New Roman" w:hAnsi="Verdana" w:cs="Cambria"/>
          <w:sz w:val="16"/>
          <w:szCs w:val="16"/>
          <w:lang w:val="es-CR" w:eastAsia="es-CR"/>
        </w:rPr>
        <w:tab/>
      </w:r>
      <w:r w:rsidR="00BF165C" w:rsidRPr="00C437FA">
        <w:rPr>
          <w:rFonts w:ascii="Verdana" w:eastAsia="Times New Roman" w:hAnsi="Verdana" w:cs="Cambria"/>
          <w:i/>
          <w:sz w:val="16"/>
          <w:szCs w:val="16"/>
          <w:lang w:val="es-CR" w:eastAsia="es-CR"/>
        </w:rPr>
        <w:t xml:space="preserve">Cfr. </w:t>
      </w:r>
      <w:r w:rsidR="00BF165C" w:rsidRPr="00C437FA">
        <w:rPr>
          <w:rFonts w:ascii="Verdana" w:eastAsia="Times New Roman" w:hAnsi="Verdana" w:cs="Cambria"/>
          <w:sz w:val="16"/>
          <w:szCs w:val="16"/>
          <w:lang w:val="es-CR" w:eastAsia="es-CR"/>
        </w:rPr>
        <w:t>Comunicación de CEJIL y la Iniciativa Nicaragüense Defensoras de DDHH sobre Ricardo Baltodano (MC-1130-18) de 17 de enero de 2019, anexo a la solicitud de medidas provisionales de la Comisión.</w:t>
      </w:r>
    </w:p>
  </w:footnote>
  <w:footnote w:id="18">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E125E2" w:rsidRPr="00C437FA">
        <w:rPr>
          <w:rFonts w:ascii="Verdana" w:eastAsia="Times New Roman" w:hAnsi="Verdana" w:cs="Cambria"/>
          <w:sz w:val="16"/>
          <w:szCs w:val="16"/>
          <w:lang w:val="es-CR" w:eastAsia="es-CR"/>
        </w:rPr>
        <w:tab/>
      </w:r>
      <w:r w:rsidR="00E125E2" w:rsidRPr="00C437FA">
        <w:rPr>
          <w:rFonts w:ascii="Verdana" w:eastAsia="Times New Roman" w:hAnsi="Verdana" w:cs="Cambria"/>
          <w:i/>
          <w:sz w:val="16"/>
          <w:szCs w:val="16"/>
          <w:lang w:val="es-CR" w:eastAsia="es-CR"/>
        </w:rPr>
        <w:t xml:space="preserve">Cfr. </w:t>
      </w:r>
      <w:r w:rsidR="00E125E2" w:rsidRPr="00C437FA">
        <w:rPr>
          <w:rFonts w:ascii="Verdana" w:eastAsia="Times New Roman" w:hAnsi="Verdana" w:cs="Cambria"/>
          <w:sz w:val="16"/>
          <w:szCs w:val="16"/>
          <w:lang w:val="es-CR" w:eastAsia="es-CR"/>
        </w:rPr>
        <w:t xml:space="preserve">Comunicación de Carla Sequeira de Comisión Permanente de Derechos Humanos de Nicaragua de 14 de marzo de 2019, anexo a </w:t>
      </w:r>
      <w:r w:rsidR="000F6957">
        <w:rPr>
          <w:rFonts w:ascii="Verdana" w:eastAsia="Times New Roman" w:hAnsi="Verdana" w:cs="Cambria"/>
          <w:sz w:val="16"/>
          <w:szCs w:val="16"/>
          <w:lang w:val="es-CR" w:eastAsia="es-CR"/>
        </w:rPr>
        <w:t>la solicitud de medidas provisio</w:t>
      </w:r>
      <w:r w:rsidR="00E125E2" w:rsidRPr="00C437FA">
        <w:rPr>
          <w:rFonts w:ascii="Verdana" w:eastAsia="Times New Roman" w:hAnsi="Verdana" w:cs="Cambria"/>
          <w:sz w:val="16"/>
          <w:szCs w:val="16"/>
          <w:lang w:val="es-CR" w:eastAsia="es-CR"/>
        </w:rPr>
        <w:t>nales de la Comisión.</w:t>
      </w:r>
    </w:p>
  </w:footnote>
  <w:footnote w:id="19">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E125E2" w:rsidRPr="00C437FA">
        <w:rPr>
          <w:rFonts w:ascii="Verdana" w:eastAsia="Times New Roman" w:hAnsi="Verdana" w:cs="Cambria"/>
          <w:sz w:val="16"/>
          <w:szCs w:val="16"/>
          <w:lang w:val="es-CR" w:eastAsia="es-CR"/>
        </w:rPr>
        <w:tab/>
      </w:r>
      <w:r w:rsidR="00E125E2" w:rsidRPr="00C437FA">
        <w:rPr>
          <w:rFonts w:ascii="Verdana" w:eastAsia="Times New Roman" w:hAnsi="Verdana" w:cs="Cambria"/>
          <w:i/>
          <w:sz w:val="16"/>
          <w:szCs w:val="16"/>
          <w:lang w:val="es-CR" w:eastAsia="es-CR"/>
        </w:rPr>
        <w:t xml:space="preserve">Cfr. </w:t>
      </w:r>
      <w:r w:rsidR="00E125E2" w:rsidRPr="00C437FA">
        <w:rPr>
          <w:rFonts w:ascii="Verdana" w:eastAsia="Times New Roman" w:hAnsi="Verdana" w:cs="Cambria"/>
          <w:sz w:val="16"/>
          <w:szCs w:val="16"/>
          <w:lang w:val="es-CR" w:eastAsia="es-CR"/>
        </w:rPr>
        <w:t xml:space="preserve">Comunicación de Race and Equality sobre Miguel Mora Barberena y Lucia Pineda Ubau (MC-873-18) de 18 de marzo de 2019, anexo a </w:t>
      </w:r>
      <w:r w:rsidR="000F6957">
        <w:rPr>
          <w:rFonts w:ascii="Verdana" w:eastAsia="Times New Roman" w:hAnsi="Verdana" w:cs="Cambria"/>
          <w:sz w:val="16"/>
          <w:szCs w:val="16"/>
          <w:lang w:val="es-CR" w:eastAsia="es-CR"/>
        </w:rPr>
        <w:t>la solicitud de medidas provisio</w:t>
      </w:r>
      <w:r w:rsidR="00E125E2" w:rsidRPr="00C437FA">
        <w:rPr>
          <w:rFonts w:ascii="Verdana" w:eastAsia="Times New Roman" w:hAnsi="Verdana" w:cs="Cambria"/>
          <w:sz w:val="16"/>
          <w:szCs w:val="16"/>
          <w:lang w:val="es-CR" w:eastAsia="es-CR"/>
        </w:rPr>
        <w:t>nales de la Comisión.</w:t>
      </w:r>
    </w:p>
  </w:footnote>
  <w:footnote w:id="20">
    <w:p w:rsidR="00B16921" w:rsidRPr="00C437FA" w:rsidRDefault="00B16921" w:rsidP="00C437FA">
      <w:pPr>
        <w:autoSpaceDE w:val="0"/>
        <w:autoSpaceDN w:val="0"/>
        <w:adjustRightInd w:val="0"/>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EE650F" w:rsidRPr="00C437FA">
        <w:rPr>
          <w:rFonts w:ascii="Verdana" w:eastAsia="Times New Roman" w:hAnsi="Verdana" w:cs="Cambria"/>
          <w:sz w:val="16"/>
          <w:szCs w:val="16"/>
          <w:lang w:val="es-CR" w:eastAsia="es-CR"/>
        </w:rPr>
        <w:tab/>
      </w:r>
      <w:r w:rsidR="00EE650F" w:rsidRPr="00C437FA">
        <w:rPr>
          <w:rFonts w:ascii="Verdana" w:eastAsia="Times New Roman" w:hAnsi="Verdana" w:cs="Cambria"/>
          <w:i/>
          <w:sz w:val="16"/>
          <w:szCs w:val="16"/>
          <w:lang w:val="es-CR" w:eastAsia="es-CR"/>
        </w:rPr>
        <w:t xml:space="preserve">Cfr. </w:t>
      </w:r>
      <w:r w:rsidR="00EE650F" w:rsidRPr="00C437FA">
        <w:rPr>
          <w:rFonts w:ascii="Verdana" w:eastAsia="Times New Roman" w:hAnsi="Verdana" w:cs="Cambria"/>
          <w:sz w:val="16"/>
          <w:szCs w:val="16"/>
          <w:lang w:val="es-CR" w:eastAsia="es-CR"/>
        </w:rPr>
        <w:t xml:space="preserve">Comunicación de Race and Equality sobre Miguel Mora y Lucia Pineda Ubau (MC-873-18) de 29 de abril de 2019, anexo a </w:t>
      </w:r>
      <w:r w:rsidR="000F6957">
        <w:rPr>
          <w:rFonts w:ascii="Verdana" w:eastAsia="Times New Roman" w:hAnsi="Verdana" w:cs="Cambria"/>
          <w:sz w:val="16"/>
          <w:szCs w:val="16"/>
          <w:lang w:val="es-CR" w:eastAsia="es-CR"/>
        </w:rPr>
        <w:t>la solicitud de medidas provisio</w:t>
      </w:r>
      <w:r w:rsidR="00EE650F" w:rsidRPr="00C437FA">
        <w:rPr>
          <w:rFonts w:ascii="Verdana" w:eastAsia="Times New Roman" w:hAnsi="Verdana" w:cs="Cambria"/>
          <w:sz w:val="16"/>
          <w:szCs w:val="16"/>
          <w:lang w:val="es-CR" w:eastAsia="es-CR"/>
        </w:rPr>
        <w:t>nales de la Comisión.</w:t>
      </w:r>
    </w:p>
  </w:footnote>
  <w:footnote w:id="21">
    <w:p w:rsidR="00FD2CB7" w:rsidRPr="00001402" w:rsidRDefault="00FD2CB7" w:rsidP="007D7FE8">
      <w:pPr>
        <w:autoSpaceDE w:val="0"/>
        <w:autoSpaceDN w:val="0"/>
        <w:adjustRightInd w:val="0"/>
        <w:jc w:val="both"/>
        <w:rPr>
          <w:rFonts w:ascii="Verdana" w:eastAsia="Times New Roman" w:hAnsi="Verdana" w:cs="Cambria"/>
          <w:sz w:val="16"/>
          <w:szCs w:val="16"/>
          <w:lang w:val="es-CR" w:eastAsia="es-CR"/>
        </w:rPr>
      </w:pPr>
      <w:r w:rsidRPr="00C437FA">
        <w:rPr>
          <w:rStyle w:val="Refdenotaalpie"/>
          <w:szCs w:val="16"/>
        </w:rPr>
        <w:footnoteRef/>
      </w:r>
      <w:r w:rsidRPr="00C437FA">
        <w:rPr>
          <w:rFonts w:ascii="Verdana" w:hAnsi="Verdana"/>
          <w:sz w:val="16"/>
          <w:szCs w:val="16"/>
        </w:rPr>
        <w:t xml:space="preserve"> </w:t>
      </w:r>
      <w:r w:rsidRPr="00C437FA">
        <w:rPr>
          <w:rFonts w:ascii="Verdana" w:hAnsi="Verdana"/>
          <w:sz w:val="16"/>
          <w:szCs w:val="16"/>
        </w:rPr>
        <w:tab/>
      </w:r>
      <w:r>
        <w:rPr>
          <w:rFonts w:ascii="Verdana" w:hAnsi="Verdana"/>
          <w:i/>
          <w:sz w:val="16"/>
          <w:szCs w:val="16"/>
        </w:rPr>
        <w:t>Cfr</w:t>
      </w:r>
      <w:r w:rsidRPr="00001402">
        <w:rPr>
          <w:rFonts w:ascii="Verdana" w:hAnsi="Verdana"/>
          <w:sz w:val="16"/>
          <w:szCs w:val="16"/>
        </w:rPr>
        <w:t xml:space="preserve">. </w:t>
      </w:r>
      <w:r w:rsidRPr="00001402">
        <w:rPr>
          <w:rFonts w:ascii="Verdana" w:eastAsia="Times New Roman" w:hAnsi="Verdana" w:cs="Cambria"/>
          <w:sz w:val="16"/>
          <w:szCs w:val="16"/>
          <w:lang w:val="es-CR" w:eastAsia="es-CR"/>
        </w:rPr>
        <w:t xml:space="preserve">Comunicación de </w:t>
      </w:r>
      <w:r w:rsidR="007D7FE8">
        <w:rPr>
          <w:rFonts w:ascii="Verdana" w:eastAsia="Times New Roman" w:hAnsi="Verdana" w:cs="Cambria"/>
          <w:sz w:val="16"/>
          <w:szCs w:val="16"/>
          <w:lang w:val="es-CR" w:eastAsia="es-CR"/>
        </w:rPr>
        <w:t xml:space="preserve">CENIDH y </w:t>
      </w:r>
      <w:r w:rsidR="007D7FE8" w:rsidRPr="007D7FE8">
        <w:rPr>
          <w:rFonts w:ascii="Verdana" w:eastAsia="Times New Roman" w:hAnsi="Verdana" w:cs="Cambria"/>
          <w:sz w:val="16"/>
          <w:szCs w:val="16"/>
          <w:lang w:val="es-CR" w:eastAsia="es-CR"/>
        </w:rPr>
        <w:t xml:space="preserve">la FVBCH sobre Miguel Mora Barberena, Leticia Gaitán Hernández y sus núcleos familiares (Periodistas de 100% Noticias) </w:t>
      </w:r>
      <w:r>
        <w:rPr>
          <w:rFonts w:ascii="Verdana" w:eastAsia="Times New Roman" w:hAnsi="Verdana" w:cs="Cambria"/>
          <w:sz w:val="16"/>
          <w:szCs w:val="16"/>
          <w:lang w:val="es-CR" w:eastAsia="es-CR"/>
        </w:rPr>
        <w:t xml:space="preserve">(MC-873-18) de </w:t>
      </w:r>
      <w:r w:rsidRPr="00001402">
        <w:rPr>
          <w:rFonts w:ascii="Verdana" w:eastAsia="Times New Roman" w:hAnsi="Verdana" w:cs="Cambria"/>
          <w:sz w:val="16"/>
          <w:szCs w:val="16"/>
          <w:lang w:val="es-CR" w:eastAsia="es-CR"/>
        </w:rPr>
        <w:t>30 de enero de 2019</w:t>
      </w:r>
      <w:r w:rsidRPr="00C437FA">
        <w:rPr>
          <w:rFonts w:ascii="Verdana" w:eastAsia="Times New Roman" w:hAnsi="Verdana" w:cs="Cambria"/>
          <w:sz w:val="16"/>
          <w:szCs w:val="16"/>
          <w:lang w:val="es-CR" w:eastAsia="es-CR"/>
        </w:rPr>
        <w:t>, anexo a la solicitud de medidas provisionales de la Comisión.</w:t>
      </w:r>
    </w:p>
  </w:footnote>
  <w:footnote w:id="22">
    <w:p w:rsidR="00B16921" w:rsidRPr="00C437FA" w:rsidRDefault="00B16921" w:rsidP="00C437FA">
      <w:pPr>
        <w:pStyle w:val="Textonotapie"/>
        <w:jc w:val="both"/>
        <w:rPr>
          <w:rFonts w:ascii="Verdana" w:hAnsi="Verdana"/>
          <w:sz w:val="16"/>
          <w:szCs w:val="16"/>
          <w:lang w:val="es-ES"/>
        </w:rPr>
      </w:pPr>
      <w:r w:rsidRPr="00C437FA">
        <w:rPr>
          <w:rStyle w:val="Refdenotaalpie"/>
          <w:szCs w:val="16"/>
        </w:rPr>
        <w:footnoteRef/>
      </w:r>
      <w:r w:rsidRPr="00C437FA">
        <w:rPr>
          <w:rFonts w:ascii="Verdana" w:hAnsi="Verdana"/>
          <w:sz w:val="16"/>
          <w:szCs w:val="16"/>
        </w:rPr>
        <w:t xml:space="preserve"> </w:t>
      </w:r>
      <w:r w:rsidR="00FF3791" w:rsidRPr="00C437FA">
        <w:rPr>
          <w:rFonts w:ascii="Verdana" w:hAnsi="Verdana" w:cs="Courier New"/>
          <w:sz w:val="16"/>
          <w:szCs w:val="16"/>
          <w:lang w:val="es-US"/>
        </w:rPr>
        <w:tab/>
      </w:r>
      <w:r w:rsidR="00FF3791" w:rsidRPr="00C437FA">
        <w:rPr>
          <w:rFonts w:ascii="Verdana" w:hAnsi="Verdana"/>
          <w:sz w:val="16"/>
          <w:szCs w:val="16"/>
        </w:rPr>
        <w:t xml:space="preserve">CIDH, </w:t>
      </w:r>
      <w:r w:rsidR="00FF3791" w:rsidRPr="00C437FA">
        <w:rPr>
          <w:rFonts w:ascii="Verdana" w:hAnsi="Verdana" w:cs="Courier New"/>
          <w:sz w:val="16"/>
          <w:szCs w:val="16"/>
          <w:lang w:val="es-US"/>
        </w:rPr>
        <w:t>Graves violaciones a los derechos humanos en el marco de las protestas sociales en Nicaragua: Aprobado el 21 de junio de 2018.</w:t>
      </w:r>
    </w:p>
  </w:footnote>
  <w:footnote w:id="23">
    <w:p w:rsidR="00B16921" w:rsidRPr="00C437FA" w:rsidRDefault="00B16921" w:rsidP="00C437FA">
      <w:pPr>
        <w:autoSpaceDE w:val="0"/>
        <w:autoSpaceDN w:val="0"/>
        <w:adjustRightInd w:val="0"/>
        <w:jc w:val="both"/>
        <w:rPr>
          <w:rFonts w:ascii="Verdana" w:hAnsi="Verdana"/>
          <w:sz w:val="16"/>
          <w:szCs w:val="16"/>
          <w:lang w:val="es-ES"/>
        </w:rPr>
      </w:pPr>
      <w:r w:rsidRPr="00C437FA">
        <w:rPr>
          <w:rStyle w:val="Refdenotaalpie"/>
          <w:szCs w:val="16"/>
        </w:rPr>
        <w:footnoteRef/>
      </w:r>
      <w:r w:rsidRPr="00C437FA">
        <w:rPr>
          <w:rFonts w:ascii="Verdana" w:hAnsi="Verdana"/>
          <w:sz w:val="16"/>
          <w:szCs w:val="16"/>
        </w:rPr>
        <w:t xml:space="preserve"> </w:t>
      </w:r>
      <w:r w:rsidR="0058357A" w:rsidRPr="00C437FA">
        <w:rPr>
          <w:rFonts w:ascii="Verdana" w:eastAsia="Times New Roman" w:hAnsi="Verdana" w:cs="Cambria"/>
          <w:sz w:val="16"/>
          <w:szCs w:val="16"/>
          <w:lang w:val="es-CR" w:eastAsia="es-CR"/>
        </w:rPr>
        <w:tab/>
        <w:t>Informe “Situación de Derechos de las Mujeres Privadas de Libertad en Nicaragua”, 13 de febrero de 2019, anexo a la solicitud de medidas provisionales de la Comisión.</w:t>
      </w:r>
    </w:p>
  </w:footnote>
  <w:footnote w:id="24">
    <w:p w:rsidR="00B16921" w:rsidRPr="00343866" w:rsidRDefault="00B16921" w:rsidP="00C437FA">
      <w:pPr>
        <w:pStyle w:val="Textonotapie"/>
        <w:jc w:val="both"/>
        <w:rPr>
          <w:rFonts w:ascii="Verdana" w:hAnsi="Verdana"/>
          <w:sz w:val="16"/>
          <w:szCs w:val="16"/>
          <w:lang w:val="es-ES"/>
        </w:rPr>
      </w:pPr>
      <w:r w:rsidRPr="00343866">
        <w:rPr>
          <w:rStyle w:val="Refdenotaalpie"/>
          <w:szCs w:val="16"/>
        </w:rPr>
        <w:footnoteRef/>
      </w:r>
      <w:r w:rsidRPr="00343866">
        <w:rPr>
          <w:rFonts w:ascii="Verdana" w:hAnsi="Verdana"/>
          <w:sz w:val="16"/>
          <w:szCs w:val="16"/>
        </w:rPr>
        <w:t xml:space="preserve"> </w:t>
      </w:r>
      <w:r w:rsidR="0058357A" w:rsidRPr="00343866">
        <w:rPr>
          <w:rFonts w:ascii="Verdana" w:hAnsi="Verdana"/>
          <w:sz w:val="16"/>
          <w:szCs w:val="16"/>
          <w:lang w:val="es-ES"/>
        </w:rPr>
        <w:tab/>
      </w:r>
      <w:r w:rsidR="00542F40" w:rsidRPr="00542F40">
        <w:rPr>
          <w:rFonts w:ascii="Verdana" w:hAnsi="Verdana"/>
          <w:i/>
          <w:sz w:val="16"/>
          <w:szCs w:val="16"/>
          <w:lang w:val="es-ES"/>
        </w:rPr>
        <w:t>Cfr.</w:t>
      </w:r>
      <w:r w:rsidR="00542F40">
        <w:rPr>
          <w:rFonts w:ascii="Verdana" w:hAnsi="Verdana"/>
          <w:sz w:val="16"/>
          <w:szCs w:val="16"/>
          <w:lang w:val="es-ES"/>
        </w:rPr>
        <w:t xml:space="preserve"> </w:t>
      </w:r>
      <w:r w:rsidR="00542F40" w:rsidRPr="00C437FA">
        <w:rPr>
          <w:rFonts w:ascii="Verdana" w:eastAsia="Times New Roman" w:hAnsi="Verdana" w:cs="Cambria"/>
          <w:sz w:val="16"/>
          <w:szCs w:val="16"/>
          <w:lang w:val="es-CR" w:eastAsia="es-CR"/>
        </w:rPr>
        <w:t>Informe “Situación de Derechos de las Mujeres Privadas de Libertad en Nicaragua”, 13 de febrero de 2019, anexo a la solicitud de medidas provisionales de la Comisión.</w:t>
      </w:r>
    </w:p>
  </w:footnote>
  <w:footnote w:id="25">
    <w:p w:rsidR="00B16921" w:rsidRPr="00343866" w:rsidRDefault="00B16921" w:rsidP="00C437FA">
      <w:pPr>
        <w:pStyle w:val="Textonotapie"/>
        <w:jc w:val="both"/>
        <w:rPr>
          <w:rFonts w:ascii="Verdana" w:hAnsi="Verdana"/>
          <w:sz w:val="16"/>
          <w:szCs w:val="16"/>
          <w:lang w:val="es-ES"/>
        </w:rPr>
      </w:pPr>
      <w:r w:rsidRPr="00343866">
        <w:rPr>
          <w:rStyle w:val="Refdenotaalpie"/>
          <w:szCs w:val="16"/>
        </w:rPr>
        <w:footnoteRef/>
      </w:r>
      <w:r w:rsidRPr="00343866">
        <w:rPr>
          <w:rFonts w:ascii="Verdana" w:hAnsi="Verdana"/>
          <w:sz w:val="16"/>
          <w:szCs w:val="16"/>
        </w:rPr>
        <w:t xml:space="preserve"> </w:t>
      </w:r>
      <w:r w:rsidR="00EF3932" w:rsidRPr="00343866">
        <w:rPr>
          <w:rFonts w:ascii="Verdana" w:hAnsi="Verdana"/>
          <w:sz w:val="16"/>
          <w:szCs w:val="16"/>
          <w:lang w:val="es-ES"/>
        </w:rPr>
        <w:tab/>
        <w:t>Solicitud de medidas pr</w:t>
      </w:r>
      <w:r w:rsidR="00542F40">
        <w:rPr>
          <w:rFonts w:ascii="Verdana" w:hAnsi="Verdana"/>
          <w:sz w:val="16"/>
          <w:szCs w:val="16"/>
          <w:lang w:val="es-ES"/>
        </w:rPr>
        <w:t>ovisionales de la Comisión, pág</w:t>
      </w:r>
      <w:r w:rsidR="00EF3932" w:rsidRPr="00343866">
        <w:rPr>
          <w:rFonts w:ascii="Verdana" w:hAnsi="Verdana"/>
          <w:sz w:val="16"/>
          <w:szCs w:val="16"/>
          <w:lang w:val="es-ES"/>
        </w:rPr>
        <w:t>. 43.</w:t>
      </w:r>
    </w:p>
  </w:footnote>
  <w:footnote w:id="26">
    <w:p w:rsidR="00B16921" w:rsidRPr="00343866" w:rsidRDefault="00B16921" w:rsidP="00C437FA">
      <w:pPr>
        <w:pStyle w:val="Textonotapie"/>
        <w:jc w:val="both"/>
        <w:rPr>
          <w:rFonts w:ascii="Verdana" w:hAnsi="Verdana"/>
          <w:sz w:val="16"/>
          <w:szCs w:val="16"/>
          <w:lang w:val="es-ES"/>
        </w:rPr>
      </w:pPr>
      <w:r w:rsidRPr="00343866">
        <w:rPr>
          <w:rStyle w:val="Refdenotaalpie"/>
          <w:szCs w:val="16"/>
        </w:rPr>
        <w:footnoteRef/>
      </w:r>
      <w:r w:rsidRPr="00343866">
        <w:rPr>
          <w:rFonts w:ascii="Verdana" w:hAnsi="Verdana"/>
          <w:sz w:val="16"/>
          <w:szCs w:val="16"/>
        </w:rPr>
        <w:t xml:space="preserve"> </w:t>
      </w:r>
      <w:r w:rsidR="00EF3932" w:rsidRPr="00343866">
        <w:rPr>
          <w:rFonts w:ascii="Verdana" w:hAnsi="Verdana"/>
          <w:sz w:val="16"/>
          <w:szCs w:val="16"/>
          <w:lang w:val="es-ES"/>
        </w:rPr>
        <w:tab/>
      </w:r>
      <w:r w:rsidR="00542F40" w:rsidRPr="00C437FA">
        <w:rPr>
          <w:rFonts w:ascii="Verdana" w:eastAsia="Times New Roman" w:hAnsi="Verdana" w:cs="Cambria"/>
          <w:sz w:val="16"/>
          <w:szCs w:val="16"/>
          <w:lang w:val="es-CR" w:eastAsia="es-CR"/>
        </w:rPr>
        <w:t>Informe “Situación de Derechos de las Mujeres Privadas de Libertad en Nicaragua”, 13 de febrero de 2019, anexo a la solicitud de medidas provisionales de la Comisión.</w:t>
      </w:r>
    </w:p>
  </w:footnote>
  <w:footnote w:id="27">
    <w:p w:rsidR="00B16921" w:rsidRPr="00C437FA" w:rsidRDefault="00B16921" w:rsidP="00C437FA">
      <w:pPr>
        <w:pStyle w:val="Textonotapie"/>
        <w:jc w:val="both"/>
        <w:rPr>
          <w:rFonts w:ascii="Verdana" w:hAnsi="Verdana"/>
          <w:sz w:val="16"/>
          <w:szCs w:val="16"/>
          <w:lang w:val="es-ES"/>
        </w:rPr>
      </w:pPr>
      <w:r w:rsidRPr="00343866">
        <w:rPr>
          <w:rStyle w:val="Refdenotaalpie"/>
          <w:szCs w:val="16"/>
        </w:rPr>
        <w:footnoteRef/>
      </w:r>
      <w:r w:rsidRPr="00343866">
        <w:rPr>
          <w:rFonts w:ascii="Verdana" w:hAnsi="Verdana"/>
          <w:sz w:val="16"/>
          <w:szCs w:val="16"/>
        </w:rPr>
        <w:t xml:space="preserve"> </w:t>
      </w:r>
      <w:r w:rsidR="00EF3932" w:rsidRPr="00343866">
        <w:rPr>
          <w:rFonts w:ascii="Verdana" w:hAnsi="Verdana"/>
          <w:sz w:val="16"/>
          <w:szCs w:val="16"/>
          <w:lang w:val="es-ES"/>
        </w:rPr>
        <w:tab/>
      </w:r>
      <w:r w:rsidR="00542F40" w:rsidRPr="00C437FA">
        <w:rPr>
          <w:rFonts w:ascii="Verdana" w:eastAsia="Times New Roman" w:hAnsi="Verdana" w:cs="Cambria"/>
          <w:sz w:val="16"/>
          <w:szCs w:val="16"/>
          <w:lang w:val="es-CR" w:eastAsia="es-CR"/>
        </w:rPr>
        <w:t>Informe “Situación de Derechos de las Mujeres Privadas de Libertad en Nicaragua”, 13 de febrero de 2019, anexo a la solicitud de medidas provisionales de la Comisión.</w:t>
      </w:r>
    </w:p>
  </w:footnote>
  <w:footnote w:id="28">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BC72DF" w:rsidRPr="00C437FA">
        <w:rPr>
          <w:rFonts w:ascii="Verdana" w:hAnsi="Verdana"/>
          <w:b/>
          <w:sz w:val="16"/>
          <w:szCs w:val="16"/>
        </w:rPr>
        <w:tab/>
      </w:r>
      <w:r w:rsidR="00BC72DF" w:rsidRPr="00C437FA">
        <w:rPr>
          <w:rFonts w:ascii="Verdana" w:hAnsi="Verdana"/>
          <w:i/>
          <w:sz w:val="16"/>
          <w:szCs w:val="16"/>
        </w:rPr>
        <w:t>Cfr.</w:t>
      </w:r>
      <w:r w:rsidR="00BC72DF" w:rsidRPr="00C437FA">
        <w:rPr>
          <w:rFonts w:ascii="Verdana" w:hAnsi="Verdana"/>
          <w:sz w:val="16"/>
          <w:szCs w:val="16"/>
        </w:rPr>
        <w:t xml:space="preserve"> CIDH, Resolución 35/2018. MC No. 472-18 y otras Bosco René Bermúdez y otros respecto de Nicaragua (Integrantes del movimiento estudiantil) 21 de mayo de 2018</w:t>
      </w:r>
      <w:r w:rsidR="00BC72DF" w:rsidRPr="00C437FA">
        <w:rPr>
          <w:rFonts w:ascii="Verdana" w:hAnsi="Verdana"/>
          <w:sz w:val="16"/>
          <w:szCs w:val="16"/>
          <w:lang w:val="es-ES"/>
        </w:rPr>
        <w:t xml:space="preserve">. </w:t>
      </w:r>
      <w:r w:rsidR="00BC72DF" w:rsidRPr="00C437FA">
        <w:rPr>
          <w:rFonts w:ascii="Verdana" w:hAnsi="Verdana"/>
          <w:sz w:val="16"/>
          <w:szCs w:val="16"/>
        </w:rPr>
        <w:t>CIDH, Resolución 46/2018. MC No. 921-16 y 520-18 Marco Antonio Carmona y otros respecto de Nicaragua (Personas Defensoras de Derechos Humanos) 2 de julio de 2018</w:t>
      </w:r>
      <w:r w:rsidR="00BC72DF" w:rsidRPr="00C437FA">
        <w:rPr>
          <w:rFonts w:ascii="Verdana" w:hAnsi="Verdana"/>
          <w:sz w:val="16"/>
          <w:szCs w:val="16"/>
          <w:lang w:val="es-ES"/>
        </w:rPr>
        <w:t xml:space="preserve">. </w:t>
      </w:r>
      <w:r w:rsidR="00BC72DF" w:rsidRPr="00C437FA">
        <w:rPr>
          <w:rFonts w:ascii="Verdana" w:hAnsi="Verdana"/>
          <w:sz w:val="16"/>
          <w:szCs w:val="16"/>
        </w:rPr>
        <w:t>CIDH, Resolución 56/2018. MC No. 868-18, 819-18, 777-18, 850-18 y 871-18, Cristhian Rodrigo Fajardo Caballero y otros respecto de Nicaragua 25 de julio de 2018</w:t>
      </w:r>
      <w:r w:rsidR="00BC72DF" w:rsidRPr="00C437FA">
        <w:rPr>
          <w:rFonts w:ascii="Verdana" w:hAnsi="Verdana"/>
          <w:sz w:val="16"/>
          <w:szCs w:val="16"/>
          <w:lang w:val="es-ES"/>
        </w:rPr>
        <w:t xml:space="preserve">. </w:t>
      </w:r>
      <w:r w:rsidR="00BC72DF" w:rsidRPr="00C437FA">
        <w:rPr>
          <w:rFonts w:ascii="Verdana" w:hAnsi="Verdana"/>
          <w:sz w:val="16"/>
          <w:szCs w:val="16"/>
        </w:rPr>
        <w:t>CIDH, Resolución 73/2018. MC No. 1130-18 Mónica López Baltodano y su núcleo familiar respecto de Nicaragua 27 de septiembre de 2018</w:t>
      </w:r>
      <w:r w:rsidR="00BC72DF" w:rsidRPr="00C437FA">
        <w:rPr>
          <w:rFonts w:ascii="Verdana" w:hAnsi="Verdana"/>
          <w:sz w:val="16"/>
          <w:szCs w:val="16"/>
          <w:lang w:val="es-ES"/>
        </w:rPr>
        <w:t xml:space="preserve">. </w:t>
      </w:r>
      <w:r w:rsidR="00BC72DF" w:rsidRPr="00C437FA">
        <w:rPr>
          <w:rFonts w:ascii="Verdana" w:hAnsi="Verdana"/>
          <w:sz w:val="16"/>
          <w:szCs w:val="16"/>
        </w:rPr>
        <w:t>CIDH, Resolución 74/2018. MC No. 469-18 Edwin José Carcache Dávila respecto de Nicaragua 27 de septiembre de 2018</w:t>
      </w:r>
      <w:r w:rsidR="00BC72DF" w:rsidRPr="00C437FA">
        <w:rPr>
          <w:rFonts w:ascii="Verdana" w:hAnsi="Verdana"/>
          <w:sz w:val="16"/>
          <w:szCs w:val="16"/>
          <w:lang w:val="es-ES"/>
        </w:rPr>
        <w:t xml:space="preserve">. </w:t>
      </w:r>
      <w:r w:rsidR="00BC72DF" w:rsidRPr="00C437FA">
        <w:rPr>
          <w:rFonts w:ascii="Verdana" w:hAnsi="Verdana"/>
          <w:sz w:val="16"/>
          <w:szCs w:val="16"/>
        </w:rPr>
        <w:t>CIDH, Resolución 84/2018. MC No. 1133-18 Amaya Eva Coppens Zamora y otras (Privadas de Libertad en el Centro Penitenciario La Esperanza)respecto de Nicaragua, 11 de noviembre de 2018</w:t>
      </w:r>
      <w:r w:rsidR="00BC72DF" w:rsidRPr="00C437FA">
        <w:rPr>
          <w:rStyle w:val="Textoennegrita"/>
          <w:rFonts w:ascii="Verdana" w:hAnsi="Verdana" w:cs="Tahoma"/>
          <w:color w:val="333333"/>
          <w:sz w:val="16"/>
          <w:szCs w:val="16"/>
          <w:shd w:val="clear" w:color="auto" w:fill="EFF4FC"/>
          <w:lang w:val="es-AR"/>
        </w:rPr>
        <w:t>.</w:t>
      </w:r>
    </w:p>
  </w:footnote>
  <w:footnote w:id="29">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302191" w:rsidRPr="00C437FA">
        <w:rPr>
          <w:rFonts w:ascii="Verdana" w:hAnsi="Verdana"/>
          <w:b/>
          <w:sz w:val="16"/>
          <w:szCs w:val="16"/>
        </w:rPr>
        <w:tab/>
      </w:r>
      <w:r w:rsidR="00302191" w:rsidRPr="00C437FA">
        <w:rPr>
          <w:rFonts w:ascii="Verdana" w:hAnsi="Verdana"/>
          <w:i/>
          <w:sz w:val="16"/>
          <w:szCs w:val="16"/>
        </w:rPr>
        <w:t>Cfr.</w:t>
      </w:r>
      <w:r w:rsidR="00302191" w:rsidRPr="00C437FA">
        <w:rPr>
          <w:rFonts w:ascii="Verdana" w:hAnsi="Verdana"/>
          <w:sz w:val="16"/>
          <w:szCs w:val="16"/>
        </w:rPr>
        <w:t xml:space="preserve"> CIDH, Resolución 35/2018. MC No. 472-18 y otras Bosco René Bermúdez y otros respecto de Nicaragua (Integrantes del movimiento estudiantil) 21 de mayo de 2018</w:t>
      </w:r>
      <w:r w:rsidR="00302191" w:rsidRPr="00C437FA">
        <w:rPr>
          <w:rFonts w:ascii="Verdana" w:hAnsi="Verdana"/>
          <w:sz w:val="16"/>
          <w:szCs w:val="16"/>
          <w:lang w:val="es-ES"/>
        </w:rPr>
        <w:t xml:space="preserve">. </w:t>
      </w:r>
      <w:r w:rsidR="00302191" w:rsidRPr="00C437FA">
        <w:rPr>
          <w:rFonts w:ascii="Verdana" w:hAnsi="Verdana"/>
          <w:sz w:val="16"/>
          <w:szCs w:val="16"/>
        </w:rPr>
        <w:t>CIDH, Resolución 46/2018. MC No. 921-16 y 520-18 Marco Antonio Carmona y otros respecto de Nicaragua (Personas Defensoras de Derechos Humanos) 2 de julio de 2018. CIDH, Resolución 56/2018. MC No. 868-18, 819-18, 777-18, 850-18 y 871-18, Cristhian Rodrigo Fajardo Caballero y otros respecto de Nicaragua 25 de julio de 2018</w:t>
      </w:r>
      <w:r w:rsidR="00302191" w:rsidRPr="00C437FA">
        <w:rPr>
          <w:rFonts w:ascii="Verdana" w:hAnsi="Verdana"/>
          <w:sz w:val="16"/>
          <w:szCs w:val="16"/>
          <w:lang w:val="es-ES"/>
        </w:rPr>
        <w:t xml:space="preserve">. </w:t>
      </w:r>
      <w:r w:rsidR="00302191" w:rsidRPr="00C437FA">
        <w:rPr>
          <w:rFonts w:ascii="Verdana" w:hAnsi="Verdana"/>
          <w:sz w:val="16"/>
          <w:szCs w:val="16"/>
        </w:rPr>
        <w:t>CIDH, Resolución 73/2018. MC No. 1130-18 Mónica López Baltodano y su núcleo familiar respecto de Nicaragua 27 de septiembre de 2018</w:t>
      </w:r>
      <w:r w:rsidR="00302191" w:rsidRPr="00C437FA">
        <w:rPr>
          <w:rFonts w:ascii="Verdana" w:hAnsi="Verdana"/>
          <w:sz w:val="16"/>
          <w:szCs w:val="16"/>
          <w:lang w:val="es-ES"/>
        </w:rPr>
        <w:t xml:space="preserve">. </w:t>
      </w:r>
      <w:r w:rsidR="00302191" w:rsidRPr="00C437FA">
        <w:rPr>
          <w:rFonts w:ascii="Verdana" w:hAnsi="Verdana"/>
          <w:sz w:val="16"/>
          <w:szCs w:val="16"/>
        </w:rPr>
        <w:t>CIDH, Resolución 74/2018. MC No. 469-18 Edwin José Carcache Dávila respecto de Nicaragua 27 de septiembre de 2018</w:t>
      </w:r>
      <w:r w:rsidR="00302191" w:rsidRPr="00C437FA">
        <w:rPr>
          <w:rFonts w:ascii="Verdana" w:hAnsi="Verdana"/>
          <w:sz w:val="16"/>
          <w:szCs w:val="16"/>
          <w:lang w:val="es-ES"/>
        </w:rPr>
        <w:t xml:space="preserve">. </w:t>
      </w:r>
      <w:r w:rsidR="00302191" w:rsidRPr="00C437FA">
        <w:rPr>
          <w:rFonts w:ascii="Verdana" w:hAnsi="Verdana"/>
          <w:sz w:val="16"/>
          <w:szCs w:val="16"/>
        </w:rPr>
        <w:t>CIDH, Resolución 80/2018. MC No. 1172-18 Medardo Mairena Sequeira y Mario Lener Fonseca Díaz respecto de Nicaragua (Integrantes de la Alianza Cívica por la Justicia y la Democracia, y de la Mesa de Diálogo en representación del Movimiento Campesino) 15 de octubre de 2018</w:t>
      </w:r>
      <w:r w:rsidR="00302191" w:rsidRPr="00C437FA">
        <w:rPr>
          <w:rFonts w:ascii="Verdana" w:hAnsi="Verdana"/>
          <w:sz w:val="16"/>
          <w:szCs w:val="16"/>
          <w:lang w:val="es-ES"/>
        </w:rPr>
        <w:t xml:space="preserve">. </w:t>
      </w:r>
      <w:r w:rsidR="00302191" w:rsidRPr="00C437FA">
        <w:rPr>
          <w:rFonts w:ascii="Verdana" w:hAnsi="Verdana"/>
          <w:sz w:val="16"/>
          <w:szCs w:val="16"/>
        </w:rPr>
        <w:t>CIDH, Resolución 84/2018. MC No. 1133-18 Amaya Eva Coppens Zamora y otras (Privadas de Libertad en el Centro Penitenciario La Esperanza)respecto de Nicaragua, 11 de noviembre de 2018</w:t>
      </w:r>
      <w:r w:rsidR="00302191" w:rsidRPr="00C437FA">
        <w:rPr>
          <w:rFonts w:ascii="Verdana" w:hAnsi="Verdana"/>
          <w:sz w:val="16"/>
          <w:szCs w:val="16"/>
          <w:lang w:val="es-ES"/>
        </w:rPr>
        <w:t xml:space="preserve">. </w:t>
      </w:r>
      <w:r w:rsidR="00302191" w:rsidRPr="00C437FA">
        <w:rPr>
          <w:rFonts w:ascii="Verdana" w:hAnsi="Verdana"/>
          <w:sz w:val="16"/>
          <w:szCs w:val="16"/>
        </w:rPr>
        <w:t>CIDH, Resolución 90/2018. MC No. 873-18 Miguel Mora Barberena, Leticia Gaitán Hernández y sus núcleos familiares respecto de Nicaragua (Periodistas de 100% Noticias) 13 de diciembre de 2019. CIDH, Resolución 5/2019. MC No. 873-18 Lucía Pineda Ubau y su núcleo familiar respecto de Nicaragua (Ampliación) 11 de febrero de 2019</w:t>
      </w:r>
      <w:r w:rsidR="00302191" w:rsidRPr="00C437FA">
        <w:rPr>
          <w:rFonts w:ascii="Verdana" w:hAnsi="Verdana"/>
          <w:sz w:val="16"/>
          <w:szCs w:val="16"/>
          <w:lang w:val="es-ES"/>
        </w:rPr>
        <w:t>.</w:t>
      </w:r>
    </w:p>
  </w:footnote>
  <w:footnote w:id="30">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882D5E" w:rsidRPr="00C437FA">
        <w:rPr>
          <w:rFonts w:ascii="Verdana" w:hAnsi="Verdana"/>
          <w:b/>
          <w:sz w:val="16"/>
          <w:szCs w:val="16"/>
        </w:rPr>
        <w:tab/>
      </w:r>
      <w:r w:rsidR="00882D5E" w:rsidRPr="00C437FA">
        <w:rPr>
          <w:rFonts w:ascii="Verdana" w:hAnsi="Verdana"/>
          <w:i/>
          <w:sz w:val="16"/>
          <w:szCs w:val="16"/>
        </w:rPr>
        <w:t>Cfr.</w:t>
      </w:r>
      <w:r w:rsidR="00882D5E" w:rsidRPr="00C437FA">
        <w:rPr>
          <w:rFonts w:ascii="Verdana" w:hAnsi="Verdana"/>
          <w:sz w:val="16"/>
          <w:szCs w:val="16"/>
        </w:rPr>
        <w:t xml:space="preserve"> CIDH, Resolución 35/2018. MC No. 472-18 y otras Bosco René Bermúdez y otros respecto de Nicaragua (Integrantes del movimiento estudiantil) 21 de mayo de 2018</w:t>
      </w:r>
      <w:r w:rsidR="00882D5E" w:rsidRPr="00C437FA">
        <w:rPr>
          <w:rFonts w:ascii="Verdana" w:hAnsi="Verdana"/>
          <w:sz w:val="16"/>
          <w:szCs w:val="16"/>
          <w:lang w:val="es-ES"/>
        </w:rPr>
        <w:t xml:space="preserve">. </w:t>
      </w:r>
      <w:r w:rsidR="00882D5E" w:rsidRPr="00C437FA">
        <w:rPr>
          <w:rFonts w:ascii="Verdana" w:hAnsi="Verdana"/>
          <w:sz w:val="16"/>
          <w:szCs w:val="16"/>
        </w:rPr>
        <w:t>CIDH, Resolución 46/2018. MC No. 921-16 y 520-18 Marco Antonio Carmona y otros respecto de Nicaragua (Personas Defensoras de Derechos Humanos) 2 de julio de 2018. CIDH, Resolución 56/2018. MC No. 868-18, 819-18, 777-18, 850-18 y 871-18, Cristhian Rodrigo Fajardo Caballero y otros respecto de Nicaragua 25 de julio de 2018</w:t>
      </w:r>
      <w:r w:rsidR="00882D5E" w:rsidRPr="00C437FA">
        <w:rPr>
          <w:rFonts w:ascii="Verdana" w:hAnsi="Verdana"/>
          <w:sz w:val="16"/>
          <w:szCs w:val="16"/>
          <w:lang w:val="es-ES"/>
        </w:rPr>
        <w:t xml:space="preserve">. </w:t>
      </w:r>
      <w:r w:rsidR="00882D5E" w:rsidRPr="00C437FA">
        <w:rPr>
          <w:rFonts w:ascii="Verdana" w:hAnsi="Verdana"/>
          <w:sz w:val="16"/>
          <w:szCs w:val="16"/>
        </w:rPr>
        <w:t>CIDH, Resolución 73/2018. MC No. 1130-18 Mónica López Baltodano y su núcleo familiar respecto de Nicaragua 27 de septiembre de 2018</w:t>
      </w:r>
      <w:r w:rsidR="00882D5E" w:rsidRPr="00C437FA">
        <w:rPr>
          <w:rFonts w:ascii="Verdana" w:hAnsi="Verdana"/>
          <w:sz w:val="16"/>
          <w:szCs w:val="16"/>
          <w:lang w:val="es-ES"/>
        </w:rPr>
        <w:t xml:space="preserve">. </w:t>
      </w:r>
      <w:r w:rsidR="00882D5E" w:rsidRPr="00C437FA">
        <w:rPr>
          <w:rFonts w:ascii="Verdana" w:hAnsi="Verdana"/>
          <w:sz w:val="16"/>
          <w:szCs w:val="16"/>
        </w:rPr>
        <w:t>CIDH, Resolución 74/2018. MC No. 469-18 Edwin José Carcache Dávila respecto de Nicaragua 27 de septiembre de 2018</w:t>
      </w:r>
      <w:r w:rsidR="00882D5E" w:rsidRPr="00C437FA">
        <w:rPr>
          <w:rFonts w:ascii="Verdana" w:hAnsi="Verdana"/>
          <w:sz w:val="16"/>
          <w:szCs w:val="16"/>
          <w:lang w:val="es-ES"/>
        </w:rPr>
        <w:t xml:space="preserve">. </w:t>
      </w:r>
      <w:r w:rsidR="00882D5E" w:rsidRPr="00C437FA">
        <w:rPr>
          <w:rFonts w:ascii="Verdana" w:hAnsi="Verdana"/>
          <w:sz w:val="16"/>
          <w:szCs w:val="16"/>
        </w:rPr>
        <w:t>CIDH, Resolución 80/2018. MC No. 1172-18 Medardo Mairena Sequeira y Mario Lener Fonseca Díaz respecto de Nicaragua (Integrantes de la Alianza Cívica por la Justicia y la Democracia, y de la Mesa de Diálogo en representación del Movimiento Campesino) 15 de octubre de 2018</w:t>
      </w:r>
      <w:r w:rsidR="00882D5E" w:rsidRPr="00C437FA">
        <w:rPr>
          <w:rFonts w:ascii="Verdana" w:hAnsi="Verdana"/>
          <w:sz w:val="16"/>
          <w:szCs w:val="16"/>
          <w:lang w:val="es-ES"/>
        </w:rPr>
        <w:t xml:space="preserve">. </w:t>
      </w:r>
      <w:r w:rsidR="00882D5E" w:rsidRPr="00C437FA">
        <w:rPr>
          <w:rFonts w:ascii="Verdana" w:hAnsi="Verdana"/>
          <w:sz w:val="16"/>
          <w:szCs w:val="16"/>
        </w:rPr>
        <w:t>CIDH, Resolución 90/2018. MC No. 873-18 Miguel Mora Barberena, Leticia Gaitán Hernández y sus núcleos familiares respecto de Nicaragua (Periodistas de 100% Noticias) 13 de diciembre de 2019</w:t>
      </w:r>
      <w:r w:rsidR="00882D5E" w:rsidRPr="00C437FA">
        <w:rPr>
          <w:rFonts w:ascii="Verdana" w:hAnsi="Verdana"/>
          <w:sz w:val="16"/>
          <w:szCs w:val="16"/>
          <w:lang w:val="es-ES"/>
        </w:rPr>
        <w:t xml:space="preserve">. </w:t>
      </w:r>
      <w:r w:rsidR="00882D5E" w:rsidRPr="00C437FA">
        <w:rPr>
          <w:rFonts w:ascii="Verdana" w:hAnsi="Verdana"/>
          <w:sz w:val="16"/>
          <w:szCs w:val="16"/>
        </w:rPr>
        <w:t>CIDH, Resolución 5/2019. MC No. 873-18 Lucía Pineda Ubau y su núcleo familiar respecto de Nicaragua (Ampliación) 11 de febrero de 2019</w:t>
      </w:r>
      <w:r w:rsidR="00882D5E" w:rsidRPr="00C437FA">
        <w:rPr>
          <w:rFonts w:ascii="Verdana" w:hAnsi="Verdana"/>
          <w:sz w:val="16"/>
          <w:szCs w:val="16"/>
          <w:lang w:val="es-ES"/>
        </w:rPr>
        <w:t>.</w:t>
      </w:r>
    </w:p>
  </w:footnote>
  <w:footnote w:id="31">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003D4D9D" w:rsidRPr="00C437FA">
        <w:rPr>
          <w:rFonts w:ascii="Verdana" w:hAnsi="Verdana"/>
          <w:sz w:val="16"/>
          <w:szCs w:val="16"/>
          <w:lang w:val="es-CO"/>
        </w:rPr>
        <w:t xml:space="preserve"> </w:t>
      </w:r>
      <w:r w:rsidR="003D4D9D" w:rsidRPr="00C437FA">
        <w:rPr>
          <w:rFonts w:ascii="Verdana" w:hAnsi="Verdana"/>
          <w:sz w:val="16"/>
          <w:szCs w:val="16"/>
          <w:lang w:val="es-CO"/>
        </w:rPr>
        <w:tab/>
      </w:r>
      <w:r w:rsidR="003D4D9D" w:rsidRPr="00C437FA">
        <w:rPr>
          <w:rFonts w:ascii="Verdana" w:hAnsi="Verdana"/>
          <w:i/>
          <w:sz w:val="16"/>
          <w:szCs w:val="16"/>
          <w:lang w:val="es-CO"/>
        </w:rPr>
        <w:t>Cfr.</w:t>
      </w:r>
      <w:r w:rsidR="003D4D9D" w:rsidRPr="00C437FA">
        <w:rPr>
          <w:rFonts w:ascii="Verdana" w:hAnsi="Verdana"/>
          <w:sz w:val="16"/>
          <w:szCs w:val="16"/>
          <w:lang w:val="es-CO"/>
        </w:rPr>
        <w:t xml:space="preserve"> Solicitud de medidas provisionales de la Comisión, párr. 177; </w:t>
      </w:r>
      <w:r w:rsidR="003D4D9D" w:rsidRPr="00C437FA">
        <w:rPr>
          <w:rFonts w:ascii="Verdana" w:hAnsi="Verdana"/>
          <w:sz w:val="16"/>
          <w:szCs w:val="16"/>
          <w:lang w:val="es-ES"/>
        </w:rPr>
        <w:t>Comunicación de CEJIL y la Iniciativa Nicaragüense Defensoras de DDHH sobre Ricardo</w:t>
      </w:r>
      <w:r w:rsidR="003D4D9D" w:rsidRPr="00C437FA">
        <w:rPr>
          <w:rFonts w:ascii="Verdana" w:hAnsi="Verdana"/>
          <w:sz w:val="16"/>
          <w:szCs w:val="16"/>
          <w:lang w:val="es-CO"/>
        </w:rPr>
        <w:t xml:space="preserve"> Baltodano (MC-1130-18) de 18 de febrero de 2019 ante la CIDH, y comunicación de Race and Equality  sobre Miguel Mora Barberena y Lucia Pineda Ubau (MC-873-18) de 18 de marzo de 2019, anexos a la solicitud de medidas provisionales de la Comisión. </w:t>
      </w:r>
    </w:p>
  </w:footnote>
  <w:footnote w:id="32">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BE37BF" w:rsidRPr="00C437FA">
        <w:rPr>
          <w:rFonts w:ascii="Verdana" w:hAnsi="Verdana"/>
          <w:sz w:val="16"/>
          <w:szCs w:val="16"/>
          <w:lang w:val="es-CO"/>
        </w:rPr>
        <w:tab/>
      </w:r>
      <w:r w:rsidR="00BE37BF" w:rsidRPr="00C437FA">
        <w:rPr>
          <w:rFonts w:ascii="Verdana" w:hAnsi="Verdana"/>
          <w:i/>
          <w:sz w:val="16"/>
          <w:szCs w:val="16"/>
          <w:lang w:val="es-CO"/>
        </w:rPr>
        <w:t>Cfr.</w:t>
      </w:r>
      <w:r w:rsidR="00BE37BF" w:rsidRPr="00C437FA">
        <w:rPr>
          <w:rFonts w:ascii="Verdana" w:hAnsi="Verdana"/>
          <w:sz w:val="16"/>
          <w:szCs w:val="16"/>
          <w:lang w:val="es-CO"/>
        </w:rPr>
        <w:t xml:space="preserve"> Solicitud de medidas provisionales de la Comisión, párr. 177, y </w:t>
      </w:r>
      <w:r w:rsidR="00BE37BF" w:rsidRPr="00C437FA">
        <w:rPr>
          <w:rFonts w:ascii="Verdana" w:hAnsi="Verdana"/>
          <w:sz w:val="16"/>
          <w:szCs w:val="16"/>
          <w:lang w:val="es-ES"/>
        </w:rPr>
        <w:t>Comunicación de CEJIL y la Iniciativa Nicaragüense Defensoras de DDHH sobre Ricardo</w:t>
      </w:r>
      <w:r w:rsidR="00BE37BF" w:rsidRPr="00C437FA">
        <w:rPr>
          <w:rFonts w:ascii="Verdana" w:hAnsi="Verdana"/>
          <w:sz w:val="16"/>
          <w:szCs w:val="16"/>
          <w:lang w:val="es-CO"/>
        </w:rPr>
        <w:t xml:space="preserve"> Baltodano (MC-1130-18) de 18 de febrero de 2019 ante la CIDH, anexo a la solicitud de medidas provisionales de la Comisión.</w:t>
      </w:r>
    </w:p>
  </w:footnote>
  <w:footnote w:id="33">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143D68" w:rsidRPr="00C437FA">
        <w:rPr>
          <w:rFonts w:ascii="Verdana" w:hAnsi="Verdana"/>
          <w:sz w:val="16"/>
          <w:szCs w:val="16"/>
          <w:lang w:val="es-CO"/>
        </w:rPr>
        <w:tab/>
      </w:r>
      <w:r w:rsidR="00143D68" w:rsidRPr="00C437FA">
        <w:rPr>
          <w:rFonts w:ascii="Verdana" w:hAnsi="Verdana"/>
          <w:i/>
          <w:sz w:val="16"/>
          <w:szCs w:val="16"/>
          <w:lang w:val="es-ES"/>
        </w:rPr>
        <w:t>Cfr.</w:t>
      </w:r>
      <w:r w:rsidR="00143D68" w:rsidRPr="00C437FA">
        <w:rPr>
          <w:rFonts w:ascii="Verdana" w:hAnsi="Verdana"/>
          <w:sz w:val="16"/>
          <w:szCs w:val="16"/>
          <w:lang w:val="es-ES"/>
        </w:rPr>
        <w:t xml:space="preserve"> Solicitud de medidas provisionales de la Comisión</w:t>
      </w:r>
      <w:r w:rsidR="00143D68" w:rsidRPr="00C437FA">
        <w:rPr>
          <w:rFonts w:ascii="Verdana" w:hAnsi="Verdana"/>
          <w:sz w:val="16"/>
          <w:szCs w:val="16"/>
          <w:lang w:val="es-CO"/>
        </w:rPr>
        <w:t xml:space="preserve">, párr. 177; </w:t>
      </w:r>
      <w:r w:rsidR="00143D68" w:rsidRPr="00C437FA">
        <w:rPr>
          <w:rFonts w:ascii="Verdana" w:hAnsi="Verdana"/>
          <w:sz w:val="16"/>
          <w:szCs w:val="16"/>
          <w:lang w:val="es-ES"/>
        </w:rPr>
        <w:t>comunicación de CEJIL y la Iniciativa Nicaragüense Defensoras de DDHH sobre Ricardo</w:t>
      </w:r>
      <w:r w:rsidR="00143D68" w:rsidRPr="00C437FA">
        <w:rPr>
          <w:rFonts w:ascii="Verdana" w:hAnsi="Verdana"/>
          <w:sz w:val="16"/>
          <w:szCs w:val="16"/>
          <w:lang w:val="es-CO"/>
        </w:rPr>
        <w:t xml:space="preserve"> Baltodano (MC-1130-18) de 18 de febrero de 2019; comunicación de Race and Equality sobre Miguel Mora y Lucia Pineda Ubau (MC-873-18) de 30 de enero de 2019; comunicación del CENIDH en la MC-819-18 (Yubrank Miguel Suazo Herrera y su núcleo fa</w:t>
      </w:r>
      <w:r w:rsidR="000374E2">
        <w:rPr>
          <w:rFonts w:ascii="Verdana" w:hAnsi="Verdana"/>
          <w:sz w:val="16"/>
          <w:szCs w:val="16"/>
          <w:lang w:val="es-CO"/>
        </w:rPr>
        <w:t xml:space="preserve">miliar) de 26 de abril de 2019, </w:t>
      </w:r>
      <w:r w:rsidR="00143D68" w:rsidRPr="00C437FA">
        <w:rPr>
          <w:rFonts w:ascii="Verdana" w:hAnsi="Verdana"/>
          <w:sz w:val="16"/>
          <w:szCs w:val="16"/>
          <w:lang w:val="es-CO"/>
        </w:rPr>
        <w:t>anexos a la solicitud de medidas provisionales de la Comisión.</w:t>
      </w:r>
      <w:r w:rsidRPr="00C437FA">
        <w:rPr>
          <w:rFonts w:ascii="Verdana" w:hAnsi="Verdana"/>
          <w:sz w:val="16"/>
          <w:szCs w:val="16"/>
          <w:lang w:val="es-CO"/>
        </w:rPr>
        <w:t xml:space="preserve">  </w:t>
      </w:r>
    </w:p>
  </w:footnote>
  <w:footnote w:id="34">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143D68" w:rsidRPr="00C437FA">
        <w:rPr>
          <w:rFonts w:ascii="Verdana" w:hAnsi="Verdana"/>
          <w:sz w:val="16"/>
          <w:szCs w:val="16"/>
          <w:lang w:val="es-CO"/>
        </w:rPr>
        <w:tab/>
      </w:r>
      <w:r w:rsidR="00143D68" w:rsidRPr="00C437FA">
        <w:rPr>
          <w:rFonts w:ascii="Verdana" w:hAnsi="Verdana"/>
          <w:i/>
          <w:sz w:val="16"/>
          <w:szCs w:val="16"/>
          <w:lang w:val="es-CO"/>
        </w:rPr>
        <w:t xml:space="preserve">Cfr. </w:t>
      </w:r>
      <w:r w:rsidR="00143D68" w:rsidRPr="00C437FA">
        <w:rPr>
          <w:rFonts w:ascii="Verdana" w:hAnsi="Verdana"/>
          <w:sz w:val="16"/>
          <w:szCs w:val="16"/>
          <w:lang w:val="es-CO"/>
        </w:rPr>
        <w:t xml:space="preserve">Comunicación del CENIDH en la MC-819-18 (Yubrank Miguel Suazo Herrera y su núcleo familiar) de 26 de abril de 2019, anexo a la solicitud de medidas provisionales de la Comisión. </w:t>
      </w:r>
    </w:p>
  </w:footnote>
  <w:footnote w:id="35">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143D68" w:rsidRPr="00C437FA">
        <w:rPr>
          <w:rFonts w:ascii="Verdana" w:hAnsi="Verdana"/>
          <w:sz w:val="16"/>
          <w:szCs w:val="16"/>
          <w:lang w:val="es-CO"/>
        </w:rPr>
        <w:tab/>
      </w:r>
      <w:r w:rsidR="00143D68" w:rsidRPr="00C437FA">
        <w:rPr>
          <w:rFonts w:ascii="Verdana" w:hAnsi="Verdana"/>
          <w:i/>
          <w:sz w:val="16"/>
          <w:szCs w:val="16"/>
          <w:lang w:val="es-ES"/>
        </w:rPr>
        <w:t>Cfr.</w:t>
      </w:r>
      <w:r w:rsidR="00143D68" w:rsidRPr="00C437FA">
        <w:rPr>
          <w:rFonts w:ascii="Verdana" w:hAnsi="Verdana"/>
          <w:sz w:val="16"/>
          <w:szCs w:val="16"/>
          <w:lang w:val="es-ES"/>
        </w:rPr>
        <w:t xml:space="preserve"> Solicitud de medidas provisionales de la Comisión</w:t>
      </w:r>
      <w:r w:rsidR="00143D68" w:rsidRPr="00C437FA">
        <w:rPr>
          <w:rFonts w:ascii="Verdana" w:hAnsi="Verdana"/>
          <w:sz w:val="16"/>
          <w:szCs w:val="16"/>
          <w:lang w:val="es-CO"/>
        </w:rPr>
        <w:t>, párrs. 180 y 181, y comunicación de CEJIL y la Iniciativa Nicaragüense Defensoras de DDHH sobre Ricardo Baltodano (MC-1130-18) de 17 de enero de 2019, anexo a la solicitud de medidas provisionales de la Comisión.</w:t>
      </w:r>
    </w:p>
  </w:footnote>
  <w:footnote w:id="36">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CF2A92" w:rsidRPr="00C437FA">
        <w:rPr>
          <w:rFonts w:ascii="Verdana" w:hAnsi="Verdana"/>
          <w:sz w:val="16"/>
          <w:szCs w:val="16"/>
          <w:lang w:val="es-CO"/>
        </w:rPr>
        <w:tab/>
      </w:r>
      <w:r w:rsidR="00CF2A92" w:rsidRPr="00C437FA">
        <w:rPr>
          <w:rFonts w:ascii="Verdana" w:hAnsi="Verdana"/>
          <w:i/>
          <w:sz w:val="16"/>
          <w:szCs w:val="16"/>
          <w:lang w:val="es-ES"/>
        </w:rPr>
        <w:t>Cfr.</w:t>
      </w:r>
      <w:r w:rsidR="00CF2A92" w:rsidRPr="00C437FA">
        <w:rPr>
          <w:rFonts w:ascii="Verdana" w:hAnsi="Verdana"/>
          <w:sz w:val="16"/>
          <w:szCs w:val="16"/>
          <w:lang w:val="es-ES"/>
        </w:rPr>
        <w:t xml:space="preserve"> Solicitud de medidas provisionales de la Comisión</w:t>
      </w:r>
      <w:r w:rsidR="00CF2A92" w:rsidRPr="00C437FA">
        <w:rPr>
          <w:rFonts w:ascii="Verdana" w:hAnsi="Verdana"/>
          <w:sz w:val="16"/>
          <w:szCs w:val="16"/>
          <w:lang w:val="es-CO"/>
        </w:rPr>
        <w:t>, párr. 88, y comunicación de Race and Equality sobre Miguel Mora y Lucia Pineda Ubau (MC-873-18) de 30 de enero de 2019, anexo a la solicitud de medidas provisionales de la Comisión.</w:t>
      </w:r>
    </w:p>
  </w:footnote>
  <w:footnote w:id="37">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8B780D" w:rsidRPr="00C437FA">
        <w:rPr>
          <w:rFonts w:ascii="Verdana" w:hAnsi="Verdana"/>
          <w:sz w:val="16"/>
          <w:szCs w:val="16"/>
          <w:lang w:val="es-CO"/>
        </w:rPr>
        <w:tab/>
      </w:r>
      <w:r w:rsidR="008B780D" w:rsidRPr="00C437FA">
        <w:rPr>
          <w:rFonts w:ascii="Verdana" w:hAnsi="Verdana"/>
          <w:i/>
          <w:sz w:val="16"/>
          <w:szCs w:val="16"/>
          <w:lang w:val="es-ES"/>
        </w:rPr>
        <w:t>Cfr.</w:t>
      </w:r>
      <w:r w:rsidR="008B780D" w:rsidRPr="00C437FA">
        <w:rPr>
          <w:rFonts w:ascii="Verdana" w:hAnsi="Verdana"/>
          <w:sz w:val="16"/>
          <w:szCs w:val="16"/>
          <w:lang w:val="es-ES"/>
        </w:rPr>
        <w:t xml:space="preserve"> Solicitud de medidas provisionales de la Comisión</w:t>
      </w:r>
      <w:r w:rsidR="008B780D" w:rsidRPr="00C437FA">
        <w:rPr>
          <w:rFonts w:ascii="Verdana" w:hAnsi="Verdana"/>
          <w:sz w:val="16"/>
          <w:szCs w:val="16"/>
          <w:lang w:val="es-CO"/>
        </w:rPr>
        <w:t xml:space="preserve">, párr. 179, y comunicación de Race and Equality  sobre Miguel Mora Barberena y Lucia Pineda Ubau (MC-873-18) de 18 de marzo de 2019, anexo a la solicitud de medidas provisionales de la Comisión. </w:t>
      </w:r>
    </w:p>
  </w:footnote>
  <w:footnote w:id="38">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557A84" w:rsidRPr="00C437FA">
        <w:rPr>
          <w:rFonts w:ascii="Verdana" w:hAnsi="Verdana"/>
          <w:sz w:val="16"/>
          <w:szCs w:val="16"/>
          <w:lang w:val="es-CO"/>
        </w:rPr>
        <w:tab/>
      </w:r>
      <w:r w:rsidR="00557A84" w:rsidRPr="00C437FA">
        <w:rPr>
          <w:rFonts w:ascii="Verdana" w:hAnsi="Verdana"/>
          <w:i/>
          <w:sz w:val="16"/>
          <w:szCs w:val="16"/>
          <w:lang w:val="es-ES"/>
        </w:rPr>
        <w:t>Cfr.</w:t>
      </w:r>
      <w:r w:rsidR="00557A84" w:rsidRPr="00C437FA">
        <w:rPr>
          <w:rFonts w:ascii="Verdana" w:hAnsi="Verdana"/>
          <w:sz w:val="16"/>
          <w:szCs w:val="16"/>
          <w:lang w:val="es-ES"/>
        </w:rPr>
        <w:t xml:space="preserve"> Solicitud de medidas provisionales de la Comisión</w:t>
      </w:r>
      <w:r w:rsidR="00557A84" w:rsidRPr="00C437FA">
        <w:rPr>
          <w:rFonts w:ascii="Verdana" w:hAnsi="Verdana"/>
          <w:sz w:val="16"/>
          <w:szCs w:val="16"/>
          <w:lang w:val="es-CO"/>
        </w:rPr>
        <w:t xml:space="preserve">, párr. 179, y comunicación de Race and Equality sobre Miguel Mora y Lucia Pineda Ubau (MC-873-18) de 29 de abril de 2019, anexo a la solicitud de medidas provisionales de la Comisión. </w:t>
      </w:r>
    </w:p>
  </w:footnote>
  <w:footnote w:id="39">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557A84" w:rsidRPr="00C437FA">
        <w:rPr>
          <w:rFonts w:ascii="Verdana" w:hAnsi="Verdana"/>
          <w:sz w:val="16"/>
          <w:szCs w:val="16"/>
          <w:lang w:val="es-CO"/>
        </w:rPr>
        <w:tab/>
      </w:r>
      <w:r w:rsidR="00557A84" w:rsidRPr="00C437FA">
        <w:rPr>
          <w:rFonts w:ascii="Verdana" w:hAnsi="Verdana"/>
          <w:i/>
          <w:sz w:val="16"/>
          <w:szCs w:val="16"/>
          <w:lang w:val="es-ES"/>
        </w:rPr>
        <w:t>Cfr.</w:t>
      </w:r>
      <w:r w:rsidR="00557A84" w:rsidRPr="00C437FA">
        <w:rPr>
          <w:rFonts w:ascii="Verdana" w:hAnsi="Verdana"/>
          <w:sz w:val="16"/>
          <w:szCs w:val="16"/>
          <w:lang w:val="es-ES"/>
        </w:rPr>
        <w:t xml:space="preserve"> Solicitud de medidas provisionales de la Comisión</w:t>
      </w:r>
      <w:r w:rsidR="00557A84" w:rsidRPr="00C437FA">
        <w:rPr>
          <w:rFonts w:ascii="Verdana" w:hAnsi="Verdana"/>
          <w:sz w:val="16"/>
          <w:szCs w:val="16"/>
          <w:lang w:val="es-CO"/>
        </w:rPr>
        <w:t>, párr. 181, y comunicación de Race and Equality sobre Miguel Mora y Lucia Pineda Ubau (MC-873-18) de 30 de enero de 2019, anexo a la solicitud de medidas provisionales de la Comisión.</w:t>
      </w:r>
    </w:p>
  </w:footnote>
  <w:footnote w:id="40">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557A84" w:rsidRPr="00C437FA">
        <w:rPr>
          <w:rFonts w:ascii="Verdana" w:hAnsi="Verdana"/>
          <w:sz w:val="16"/>
          <w:szCs w:val="16"/>
          <w:lang w:val="es-CO"/>
        </w:rPr>
        <w:tab/>
      </w:r>
      <w:r w:rsidR="00557A84" w:rsidRPr="00C437FA">
        <w:rPr>
          <w:rFonts w:ascii="Verdana" w:hAnsi="Verdana"/>
          <w:i/>
          <w:sz w:val="16"/>
          <w:szCs w:val="16"/>
          <w:lang w:val="es-ES"/>
        </w:rPr>
        <w:t>Cfr.</w:t>
      </w:r>
      <w:r w:rsidR="00557A84" w:rsidRPr="00C437FA">
        <w:rPr>
          <w:rFonts w:ascii="Verdana" w:hAnsi="Verdana"/>
          <w:sz w:val="16"/>
          <w:szCs w:val="16"/>
          <w:lang w:val="es-ES"/>
        </w:rPr>
        <w:t xml:space="preserve"> Solicitud de medidas provisionales de la Comisión</w:t>
      </w:r>
      <w:r w:rsidR="00557A84" w:rsidRPr="00C437FA">
        <w:rPr>
          <w:rFonts w:ascii="Verdana" w:hAnsi="Verdana"/>
          <w:sz w:val="16"/>
          <w:szCs w:val="16"/>
          <w:lang w:val="es-CO"/>
        </w:rPr>
        <w:t xml:space="preserve">, párr. 182; comunicación de CEJIL y la Iniciativa Nicaragüense Defensoras de DDHH sobre Ricardo Baltodano (MC-1130-18) de 17 de enero de 2019; comunicación de Race and Equality sobre Miguel Mora y Lucia Pineda Ubau (MC-873-18) de 30 de enero de 2019, y comunicación del CENIDH en la MC-819-18 (Yubrank Miguel Suazo Herrera y su nucleo familiar) de 26 de abril de 2019, anexos a la solicitud de medidas provisionales de la Comisión. </w:t>
      </w:r>
    </w:p>
  </w:footnote>
  <w:footnote w:id="41">
    <w:p w:rsidR="00B16921" w:rsidRPr="00C437FA" w:rsidRDefault="00B16921" w:rsidP="00C437FA">
      <w:pPr>
        <w:pStyle w:val="Textonotapie"/>
        <w:jc w:val="both"/>
        <w:rPr>
          <w:rFonts w:ascii="Verdana" w:hAnsi="Verdana"/>
          <w:sz w:val="16"/>
          <w:szCs w:val="16"/>
          <w:lang w:val="es-CO"/>
        </w:rPr>
      </w:pPr>
      <w:r w:rsidRPr="00C437FA">
        <w:rPr>
          <w:rStyle w:val="Refdenotaalpie"/>
          <w:szCs w:val="16"/>
        </w:rPr>
        <w:footnoteRef/>
      </w:r>
      <w:r w:rsidRPr="00C437FA">
        <w:rPr>
          <w:rFonts w:ascii="Verdana" w:hAnsi="Verdana"/>
          <w:sz w:val="16"/>
          <w:szCs w:val="16"/>
          <w:lang w:val="es-CO"/>
        </w:rPr>
        <w:t xml:space="preserve"> </w:t>
      </w:r>
      <w:r w:rsidR="00557A84" w:rsidRPr="00C437FA">
        <w:rPr>
          <w:rFonts w:ascii="Verdana" w:hAnsi="Verdana"/>
          <w:sz w:val="16"/>
          <w:szCs w:val="16"/>
          <w:lang w:val="es-CO"/>
        </w:rPr>
        <w:tab/>
      </w:r>
      <w:r w:rsidR="00557A84" w:rsidRPr="00C437FA">
        <w:rPr>
          <w:rFonts w:ascii="Verdana" w:hAnsi="Verdana"/>
          <w:i/>
          <w:sz w:val="16"/>
          <w:szCs w:val="16"/>
          <w:lang w:val="es-CO"/>
        </w:rPr>
        <w:t>Cfr.</w:t>
      </w:r>
      <w:r w:rsidR="00557A84" w:rsidRPr="00C437FA">
        <w:rPr>
          <w:rFonts w:ascii="Verdana" w:hAnsi="Verdana"/>
          <w:sz w:val="16"/>
          <w:szCs w:val="16"/>
          <w:lang w:val="es-CO"/>
        </w:rPr>
        <w:t xml:space="preserve"> Comunicación del CENIDH en la MC-819-18 (Yubrank Miguel Suazo Herrera y su núcleo familiar) de 26 de abril de 2019; comunicación del CENIDH en la MC-1133-18 (Amaya Eva Coppens Zamora y otras) de 28 de abril de 2019, y comunicación de Race and Equality sobre Miguel Mora y Lucia Pineda Ubau (MC-873-18) de 30 de enero de 2019, anexos a la solicitud de medidas provisionales de la Comisión. </w:t>
      </w:r>
    </w:p>
  </w:footnote>
  <w:footnote w:id="42">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862968" w:rsidRPr="00C437FA">
        <w:rPr>
          <w:rFonts w:ascii="Verdana" w:hAnsi="Verdana"/>
          <w:sz w:val="16"/>
          <w:szCs w:val="16"/>
          <w:lang w:val="es-CO"/>
        </w:rPr>
        <w:tab/>
      </w:r>
      <w:r w:rsidR="00862968" w:rsidRPr="00C437FA">
        <w:rPr>
          <w:rFonts w:ascii="Verdana" w:hAnsi="Verdana"/>
          <w:i/>
          <w:sz w:val="16"/>
          <w:szCs w:val="16"/>
          <w:lang w:val="es-ES"/>
        </w:rPr>
        <w:t>Cfr.</w:t>
      </w:r>
      <w:r w:rsidR="00862968" w:rsidRPr="00C437FA">
        <w:rPr>
          <w:rFonts w:ascii="Verdana" w:hAnsi="Verdana"/>
          <w:sz w:val="16"/>
          <w:szCs w:val="16"/>
          <w:lang w:val="es-ES"/>
        </w:rPr>
        <w:t xml:space="preserve"> Solicitud de medidas provisionales de la Comisión</w:t>
      </w:r>
      <w:r w:rsidR="00862968" w:rsidRPr="00C437FA">
        <w:rPr>
          <w:rFonts w:ascii="Verdana" w:hAnsi="Verdana"/>
          <w:sz w:val="16"/>
          <w:szCs w:val="16"/>
          <w:lang w:val="es-CO"/>
        </w:rPr>
        <w:t xml:space="preserve">, y comunicación del CENIDH en la MC-1133-18 (Amaya Eva Coppens Zamora y otras) de 28 de abril de 2019, anexo a la solicitud de medidas provisionales de la Comisión. </w:t>
      </w:r>
      <w:r w:rsidRPr="00C437FA">
        <w:rPr>
          <w:rFonts w:ascii="Verdana" w:hAnsi="Verdana"/>
          <w:sz w:val="16"/>
          <w:szCs w:val="16"/>
          <w:lang w:val="es-CO"/>
        </w:rPr>
        <w:t xml:space="preserve"> </w:t>
      </w:r>
    </w:p>
  </w:footnote>
  <w:footnote w:id="43">
    <w:p w:rsidR="00B16921" w:rsidRPr="00C437FA" w:rsidRDefault="00B16921" w:rsidP="00C437FA">
      <w:pPr>
        <w:pStyle w:val="Textonotapie"/>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862968" w:rsidRPr="00C437FA">
        <w:rPr>
          <w:rFonts w:ascii="Verdana" w:hAnsi="Verdana"/>
          <w:sz w:val="16"/>
          <w:szCs w:val="16"/>
          <w:lang w:val="es-ES"/>
        </w:rPr>
        <w:tab/>
      </w:r>
      <w:r w:rsidR="00862968" w:rsidRPr="00C437FA">
        <w:rPr>
          <w:rFonts w:ascii="Verdana" w:hAnsi="Verdana"/>
          <w:i/>
          <w:sz w:val="16"/>
          <w:szCs w:val="16"/>
          <w:lang w:val="es-ES"/>
        </w:rPr>
        <w:t>Cfr.</w:t>
      </w:r>
      <w:r w:rsidR="00862968" w:rsidRPr="00C437FA">
        <w:rPr>
          <w:rFonts w:ascii="Verdana" w:hAnsi="Verdana"/>
          <w:sz w:val="16"/>
          <w:szCs w:val="16"/>
          <w:lang w:val="es-ES"/>
        </w:rPr>
        <w:t xml:space="preserve"> Solicitud de medidas provisionales de la Comisión, párr. 187, y comunicación de CEJIL y la Iniciativa </w:t>
      </w:r>
      <w:r w:rsidR="005E22DA">
        <w:rPr>
          <w:rFonts w:ascii="Verdana" w:hAnsi="Verdana"/>
          <w:sz w:val="16"/>
          <w:szCs w:val="16"/>
          <w:lang w:val="es-ES"/>
        </w:rPr>
        <w:t xml:space="preserve">Nicaragüense Defensoras de DDHH </w:t>
      </w:r>
      <w:r w:rsidR="00862968" w:rsidRPr="00C437FA">
        <w:rPr>
          <w:rFonts w:ascii="Verdana" w:hAnsi="Verdana"/>
          <w:sz w:val="16"/>
          <w:szCs w:val="16"/>
          <w:lang w:val="es-ES"/>
        </w:rPr>
        <w:t>sobre Ricardo</w:t>
      </w:r>
      <w:r w:rsidR="00862968" w:rsidRPr="00C437FA">
        <w:rPr>
          <w:rFonts w:ascii="Verdana" w:hAnsi="Verdana"/>
          <w:sz w:val="16"/>
          <w:szCs w:val="16"/>
          <w:lang w:val="es-CO"/>
        </w:rPr>
        <w:t xml:space="preserve"> Baltodano (MC-1130-18) de 18 de febrero de 2019, anexo al escrito de solicitud de medidas provisionales de la Comisión.</w:t>
      </w:r>
    </w:p>
  </w:footnote>
  <w:footnote w:id="44">
    <w:p w:rsidR="00B16921" w:rsidRPr="00C437FA" w:rsidRDefault="00B16921" w:rsidP="00C437FA">
      <w:pPr>
        <w:pStyle w:val="Textonotapie"/>
        <w:jc w:val="both"/>
        <w:rPr>
          <w:rFonts w:ascii="Verdana" w:hAnsi="Verdana"/>
          <w:sz w:val="16"/>
          <w:szCs w:val="16"/>
        </w:rPr>
      </w:pPr>
      <w:r w:rsidRPr="00C437FA">
        <w:rPr>
          <w:rStyle w:val="Refdenotaalpie"/>
          <w:szCs w:val="16"/>
        </w:rPr>
        <w:footnoteRef/>
      </w:r>
      <w:r w:rsidRPr="00C437FA">
        <w:rPr>
          <w:rFonts w:ascii="Verdana" w:hAnsi="Verdana"/>
          <w:sz w:val="16"/>
          <w:szCs w:val="16"/>
        </w:rPr>
        <w:t xml:space="preserve"> </w:t>
      </w:r>
      <w:r w:rsidR="00BF1932" w:rsidRPr="00C437FA">
        <w:rPr>
          <w:rFonts w:ascii="Verdana" w:hAnsi="Verdana"/>
          <w:sz w:val="16"/>
          <w:szCs w:val="16"/>
          <w:lang w:val="es-ES"/>
        </w:rPr>
        <w:tab/>
      </w:r>
      <w:r w:rsidR="00BF1932" w:rsidRPr="00C437FA">
        <w:rPr>
          <w:rFonts w:ascii="Verdana" w:hAnsi="Verdana"/>
          <w:i/>
          <w:sz w:val="16"/>
          <w:szCs w:val="16"/>
          <w:lang w:val="es-ES"/>
        </w:rPr>
        <w:t>Cfr.</w:t>
      </w:r>
      <w:r w:rsidR="00BF1932" w:rsidRPr="00C437FA">
        <w:rPr>
          <w:rFonts w:ascii="Verdana" w:hAnsi="Verdana"/>
          <w:sz w:val="16"/>
          <w:szCs w:val="16"/>
          <w:lang w:val="es-ES"/>
        </w:rPr>
        <w:t xml:space="preserve"> Solicitud de medidas provisionales de la Comisión, párr. 188, y c</w:t>
      </w:r>
      <w:r w:rsidR="00BF1932" w:rsidRPr="00C437FA">
        <w:rPr>
          <w:rFonts w:ascii="Verdana" w:hAnsi="Verdana"/>
          <w:sz w:val="16"/>
          <w:szCs w:val="16"/>
          <w:lang w:val="es-CO"/>
        </w:rPr>
        <w:t>omunicación del CENIDH en la MC-819-18 (Yubrank Miguel Suazo Herrera y su núcleo familiar) de 26 de abril de 2019, anexo a la solicitud de medidas provisionales de la Comisión.</w:t>
      </w:r>
    </w:p>
  </w:footnote>
  <w:footnote w:id="45">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BF1932" w:rsidRPr="00C437FA">
        <w:rPr>
          <w:rFonts w:ascii="Verdana" w:hAnsi="Verdana"/>
          <w:sz w:val="16"/>
          <w:szCs w:val="16"/>
          <w:lang w:val="es-CR"/>
        </w:rPr>
        <w:tab/>
        <w:t>Escrito de pruebas supervinientes de 17 de mayo de 2019.</w:t>
      </w:r>
    </w:p>
  </w:footnote>
  <w:footnote w:id="46">
    <w:p w:rsidR="00B16921" w:rsidRPr="00C437FA" w:rsidRDefault="00B16921" w:rsidP="00C437FA">
      <w:pPr>
        <w:tabs>
          <w:tab w:val="left" w:pos="426"/>
        </w:tabs>
        <w:jc w:val="both"/>
        <w:rPr>
          <w:rFonts w:ascii="Verdana" w:hAnsi="Verdana"/>
          <w:sz w:val="16"/>
          <w:szCs w:val="16"/>
          <w:lang w:val="pt-BR" w:eastAsia="es-ES_tradnl"/>
        </w:rPr>
      </w:pPr>
      <w:r w:rsidRPr="00C437FA">
        <w:rPr>
          <w:rStyle w:val="Refdenotaalpie"/>
          <w:rFonts w:eastAsia="Times"/>
          <w:bCs/>
          <w:szCs w:val="16"/>
          <w:lang w:val="pt-BR"/>
        </w:rPr>
        <w:footnoteRef/>
      </w:r>
      <w:r w:rsidRPr="00C437FA">
        <w:rPr>
          <w:rStyle w:val="Refdenotaalpie"/>
          <w:rFonts w:eastAsia="Times"/>
          <w:bCs/>
          <w:szCs w:val="16"/>
          <w:lang w:val="pt-BR"/>
        </w:rPr>
        <w:t xml:space="preserve"> </w:t>
      </w:r>
      <w:r w:rsidR="00BF1932" w:rsidRPr="00C437FA">
        <w:rPr>
          <w:rStyle w:val="Refdenotaalpie"/>
          <w:rFonts w:eastAsia="Times"/>
          <w:szCs w:val="16"/>
          <w:lang w:val="pt-BR"/>
        </w:rPr>
        <w:tab/>
      </w:r>
      <w:r w:rsidR="00BF1932" w:rsidRPr="00C437FA">
        <w:rPr>
          <w:rStyle w:val="Refdenotaalpie"/>
          <w:rFonts w:eastAsia="Times"/>
          <w:szCs w:val="16"/>
          <w:lang w:val="pt-BR"/>
        </w:rPr>
        <w:tab/>
      </w:r>
      <w:r w:rsidR="00BF1932" w:rsidRPr="00C437FA">
        <w:rPr>
          <w:rFonts w:ascii="Verdana" w:eastAsia="Times" w:hAnsi="Verdana"/>
          <w:i/>
          <w:sz w:val="16"/>
          <w:szCs w:val="16"/>
          <w:lang w:val="pt-BR"/>
        </w:rPr>
        <w:t xml:space="preserve">Cfr. </w:t>
      </w:r>
      <w:r w:rsidR="00BF1932" w:rsidRPr="00C437FA">
        <w:rPr>
          <w:rStyle w:val="Textoennegrita"/>
          <w:rFonts w:ascii="Verdana" w:hAnsi="Verdana"/>
          <w:b w:val="0"/>
          <w:i/>
          <w:color w:val="000000"/>
          <w:sz w:val="16"/>
          <w:szCs w:val="16"/>
          <w:shd w:val="clear" w:color="auto" w:fill="FFFFFF"/>
        </w:rPr>
        <w:t>Asunto Milagro Sala respecto de Argentina. Solicitud de Medidas Provisionales.</w:t>
      </w:r>
      <w:r w:rsidR="00BF1932" w:rsidRPr="00C437FA">
        <w:rPr>
          <w:rStyle w:val="Textoennegrita"/>
          <w:rFonts w:ascii="Verdana" w:hAnsi="Verdana"/>
          <w:b w:val="0"/>
          <w:color w:val="000000"/>
          <w:sz w:val="16"/>
          <w:szCs w:val="16"/>
          <w:shd w:val="clear" w:color="auto" w:fill="FFFFFF"/>
        </w:rPr>
        <w:t xml:space="preserve"> Resolución de la Corte Interamericana de Derechos Humanos de 23 de noviembre de 2017, Considerando 27, y</w:t>
      </w:r>
      <w:r w:rsidR="00BF1932" w:rsidRPr="00C437FA">
        <w:rPr>
          <w:rStyle w:val="Textoennegrita"/>
          <w:rFonts w:ascii="Verdana" w:hAnsi="Verdana"/>
          <w:color w:val="000000"/>
          <w:sz w:val="16"/>
          <w:szCs w:val="16"/>
          <w:shd w:val="clear" w:color="auto" w:fill="FFFFFF"/>
        </w:rPr>
        <w:t xml:space="preserve"> </w:t>
      </w:r>
      <w:r w:rsidR="00BF1932" w:rsidRPr="00C437FA">
        <w:rPr>
          <w:rFonts w:ascii="Verdana" w:hAnsi="Verdana"/>
          <w:bCs/>
          <w:i/>
          <w:color w:val="000000"/>
          <w:sz w:val="16"/>
          <w:szCs w:val="16"/>
          <w:lang w:val="pt-BR" w:eastAsia="es-ES_tradnl"/>
        </w:rPr>
        <w:t>Asunto del Instituto Penal Plácido de Sá Carvalho respecto de Brasil. Medidas Provisionales.</w:t>
      </w:r>
      <w:r w:rsidR="00BF1932" w:rsidRPr="00C437FA">
        <w:rPr>
          <w:rFonts w:ascii="Verdana" w:hAnsi="Verdana"/>
          <w:bCs/>
          <w:color w:val="000000"/>
          <w:sz w:val="16"/>
          <w:szCs w:val="16"/>
          <w:lang w:val="pt-BR" w:eastAsia="es-ES_tradnl"/>
        </w:rPr>
        <w:t xml:space="preserve"> Resolución de la Corte Interamericana de Derechos Humanos de 31 de agosto de 2017, Considerando 51.</w:t>
      </w:r>
    </w:p>
  </w:footnote>
  <w:footnote w:id="47">
    <w:p w:rsidR="00B16921" w:rsidRPr="00C437FA" w:rsidRDefault="00B16921" w:rsidP="00C437FA">
      <w:pPr>
        <w:pStyle w:val="Textonotapie"/>
        <w:jc w:val="both"/>
        <w:rPr>
          <w:rFonts w:ascii="Verdana" w:hAnsi="Verdana"/>
          <w:b/>
          <w:sz w:val="16"/>
          <w:szCs w:val="16"/>
          <w:lang w:val="es-CR"/>
        </w:rPr>
      </w:pPr>
      <w:r w:rsidRPr="00C437FA">
        <w:rPr>
          <w:rStyle w:val="Refdenotaalpie"/>
          <w:szCs w:val="16"/>
        </w:rPr>
        <w:footnoteRef/>
      </w:r>
      <w:r w:rsidRPr="00C437FA">
        <w:rPr>
          <w:rFonts w:ascii="Verdana" w:hAnsi="Verdana"/>
          <w:sz w:val="16"/>
          <w:szCs w:val="16"/>
          <w:lang w:val="es-MX"/>
        </w:rPr>
        <w:tab/>
      </w:r>
      <w:r w:rsidR="00A95A21" w:rsidRPr="00C437FA">
        <w:rPr>
          <w:rFonts w:ascii="Verdana" w:hAnsi="Verdana"/>
          <w:i/>
          <w:sz w:val="16"/>
          <w:szCs w:val="16"/>
          <w:lang w:val="es-MX"/>
        </w:rPr>
        <w:t xml:space="preserve">Cfr. </w:t>
      </w:r>
      <w:r w:rsidR="00A95A21" w:rsidRPr="00C437FA">
        <w:rPr>
          <w:rStyle w:val="Textoennegrita"/>
          <w:rFonts w:ascii="Verdana" w:hAnsi="Verdana"/>
          <w:b w:val="0"/>
          <w:i/>
          <w:color w:val="000000"/>
          <w:sz w:val="16"/>
          <w:szCs w:val="16"/>
          <w:shd w:val="clear" w:color="auto" w:fill="FFFFFF"/>
        </w:rPr>
        <w:t>Caso "Instituto de Reeducación del Menor" Vs. Paraguay. Excepciones Preliminares, Fondo, Reparaciones y Costas.</w:t>
      </w:r>
      <w:r w:rsidR="00A95A21" w:rsidRPr="00C437FA">
        <w:rPr>
          <w:rStyle w:val="Textoennegrita"/>
          <w:rFonts w:ascii="Verdana" w:hAnsi="Verdana"/>
          <w:b w:val="0"/>
          <w:color w:val="000000"/>
          <w:sz w:val="16"/>
          <w:szCs w:val="16"/>
          <w:shd w:val="clear" w:color="auto" w:fill="FFFFFF"/>
        </w:rPr>
        <w:t xml:space="preserve"> Sentencia de la Corte Interamericana de Derechos Humanos 2 de septiembre de 2004. Serie C No. 112</w:t>
      </w:r>
      <w:r w:rsidR="00A95A21" w:rsidRPr="00C437FA">
        <w:rPr>
          <w:rFonts w:ascii="Verdana" w:hAnsi="Verdana"/>
          <w:sz w:val="16"/>
          <w:szCs w:val="16"/>
          <w:lang w:val="es-MX"/>
        </w:rPr>
        <w:t xml:space="preserve">, párr. 159, y </w:t>
      </w:r>
      <w:r w:rsidR="00A95A21" w:rsidRPr="00C437FA">
        <w:rPr>
          <w:rStyle w:val="Textoennegrita"/>
          <w:rFonts w:ascii="Verdana" w:hAnsi="Verdana"/>
          <w:b w:val="0"/>
          <w:i/>
          <w:sz w:val="16"/>
          <w:szCs w:val="16"/>
          <w:shd w:val="clear" w:color="auto" w:fill="FFFFFF"/>
          <w:lang w:val="es-CR"/>
        </w:rPr>
        <w:t>Caso Chinchilla Sandoval y otros Vs. Guatemala. Excepción Preliminar, Fondo, Reparaciones y Costas.</w:t>
      </w:r>
      <w:r w:rsidR="00A95A21" w:rsidRPr="00C437FA">
        <w:rPr>
          <w:rStyle w:val="Textoennegrita"/>
          <w:rFonts w:ascii="Verdana" w:hAnsi="Verdana"/>
          <w:b w:val="0"/>
          <w:sz w:val="16"/>
          <w:szCs w:val="16"/>
          <w:shd w:val="clear" w:color="auto" w:fill="FFFFFF"/>
          <w:lang w:val="es-CR"/>
        </w:rPr>
        <w:t xml:space="preserve"> Sentencia de la Corte Interamericana de Derechos Humanos de 29 de f</w:t>
      </w:r>
      <w:r w:rsidR="00A95A21" w:rsidRPr="00C437FA">
        <w:rPr>
          <w:rStyle w:val="Textoennegrita"/>
          <w:rFonts w:ascii="Verdana" w:eastAsia="Times New Roman" w:hAnsi="Verdana"/>
          <w:b w:val="0"/>
          <w:sz w:val="16"/>
          <w:szCs w:val="16"/>
          <w:shd w:val="clear" w:color="auto" w:fill="FFFFFF"/>
          <w:lang w:val="es-CR"/>
        </w:rPr>
        <w:t>ebrero de 2016. Serie C No. 312, párr. 169</w:t>
      </w:r>
      <w:r w:rsidR="00A95A21" w:rsidRPr="00C437FA">
        <w:rPr>
          <w:rFonts w:ascii="Verdana" w:hAnsi="Verdana" w:cs="Verdana"/>
          <w:b/>
          <w:bCs/>
          <w:sz w:val="16"/>
          <w:szCs w:val="16"/>
          <w:lang w:val="es-CR"/>
        </w:rPr>
        <w:t>.</w:t>
      </w:r>
    </w:p>
  </w:footnote>
  <w:footnote w:id="48">
    <w:p w:rsidR="00B16921" w:rsidRPr="00C437FA" w:rsidRDefault="00B16921" w:rsidP="00C437FA">
      <w:pPr>
        <w:pStyle w:val="Textonotapie"/>
        <w:jc w:val="both"/>
        <w:rPr>
          <w:rFonts w:ascii="Verdana" w:hAnsi="Verdana"/>
          <w:b/>
          <w:sz w:val="16"/>
          <w:szCs w:val="16"/>
          <w:lang w:val="es-CR"/>
        </w:rPr>
      </w:pPr>
      <w:r w:rsidRPr="00C437FA">
        <w:rPr>
          <w:rStyle w:val="Refdenotaalpie"/>
          <w:szCs w:val="16"/>
          <w:lang w:val="es-CR"/>
        </w:rPr>
        <w:footnoteRef/>
      </w:r>
      <w:r w:rsidRPr="00C437FA">
        <w:rPr>
          <w:rFonts w:ascii="Verdana" w:hAnsi="Verdana"/>
          <w:sz w:val="16"/>
          <w:szCs w:val="16"/>
          <w:lang w:val="es-CR"/>
        </w:rPr>
        <w:tab/>
      </w:r>
      <w:r w:rsidR="00A95A21" w:rsidRPr="00C437FA">
        <w:rPr>
          <w:rFonts w:ascii="Verdana" w:hAnsi="Verdana"/>
          <w:i/>
          <w:sz w:val="16"/>
          <w:szCs w:val="16"/>
          <w:lang w:val="es-CR"/>
        </w:rPr>
        <w:t>Cfr. Caso Albán Cornejo y otros Vs. Ecuador. Fondo, Reparaciones y Costas.</w:t>
      </w:r>
      <w:r w:rsidR="00A95A21" w:rsidRPr="00C437FA">
        <w:rPr>
          <w:rFonts w:ascii="Verdana" w:hAnsi="Verdana"/>
          <w:sz w:val="16"/>
          <w:szCs w:val="16"/>
          <w:lang w:val="es-CR"/>
        </w:rPr>
        <w:t xml:space="preserve"> Sentencia de la Corte Interamericana de Derechos Humanos 22 de noviembre de 2007. Serie C No. 171, párr. 117, y </w:t>
      </w:r>
      <w:r w:rsidR="00A95A21" w:rsidRPr="00C437FA">
        <w:rPr>
          <w:rStyle w:val="Textoennegrita"/>
          <w:rFonts w:ascii="Verdana" w:hAnsi="Verdana"/>
          <w:b w:val="0"/>
          <w:i/>
          <w:sz w:val="16"/>
          <w:szCs w:val="16"/>
          <w:shd w:val="clear" w:color="auto" w:fill="FFFFFF"/>
        </w:rPr>
        <w:t>Caso Cuscul Pivaral y otros Vs. Guatemala. Excepción Preliminar, Fondo, Reparaciones y Costas.</w:t>
      </w:r>
      <w:r w:rsidR="00A95A21" w:rsidRPr="00C437FA">
        <w:rPr>
          <w:rStyle w:val="Textoennegrita"/>
          <w:rFonts w:ascii="Verdana" w:hAnsi="Verdana"/>
          <w:b w:val="0"/>
          <w:sz w:val="16"/>
          <w:szCs w:val="16"/>
          <w:shd w:val="clear" w:color="auto" w:fill="FFFFFF"/>
        </w:rPr>
        <w:t xml:space="preserve"> Sentencia de la Corte Interamericana de Derechos Humanos de 23 de </w:t>
      </w:r>
      <w:r w:rsidR="00A95A21" w:rsidRPr="00C437FA">
        <w:rPr>
          <w:rStyle w:val="Textoennegrita"/>
          <w:rFonts w:ascii="Verdana" w:eastAsia="Times New Roman" w:hAnsi="Verdana"/>
          <w:b w:val="0"/>
          <w:sz w:val="16"/>
          <w:szCs w:val="16"/>
          <w:shd w:val="clear" w:color="auto" w:fill="FFFFFF"/>
        </w:rPr>
        <w:t>agosto de 2018. Serie C No. 359, párr. 161.</w:t>
      </w:r>
    </w:p>
  </w:footnote>
  <w:footnote w:id="49">
    <w:p w:rsidR="00B16921" w:rsidRPr="00C437FA" w:rsidRDefault="00B16921" w:rsidP="00C437FA">
      <w:pPr>
        <w:pStyle w:val="Textonotapie"/>
        <w:jc w:val="both"/>
        <w:rPr>
          <w:rFonts w:ascii="Verdana" w:hAnsi="Verdana"/>
          <w:sz w:val="16"/>
          <w:szCs w:val="16"/>
          <w:lang w:val="es-CR"/>
        </w:rPr>
      </w:pPr>
      <w:r w:rsidRPr="00C437FA">
        <w:rPr>
          <w:rStyle w:val="Refdenotaalpie"/>
          <w:szCs w:val="16"/>
          <w:lang w:val="es-CR"/>
        </w:rPr>
        <w:footnoteRef/>
      </w:r>
      <w:r w:rsidRPr="00C437FA">
        <w:rPr>
          <w:rFonts w:ascii="Verdana" w:hAnsi="Verdana"/>
          <w:sz w:val="16"/>
          <w:szCs w:val="16"/>
          <w:lang w:val="es-CR"/>
        </w:rPr>
        <w:tab/>
      </w:r>
      <w:r w:rsidR="00A95A21" w:rsidRPr="00C437FA">
        <w:rPr>
          <w:rFonts w:ascii="Verdana" w:hAnsi="Verdana"/>
          <w:i/>
          <w:sz w:val="16"/>
          <w:szCs w:val="16"/>
          <w:lang w:val="es-CR"/>
        </w:rPr>
        <w:t>Cfr. Caso Tibi Vs. Ecuador. Excepciones Preliminares, Fondo, Reparaciones y Costas.</w:t>
      </w:r>
      <w:r w:rsidR="00A95A21" w:rsidRPr="00C437FA">
        <w:rPr>
          <w:rFonts w:ascii="Verdana" w:hAnsi="Verdana"/>
          <w:sz w:val="16"/>
          <w:szCs w:val="16"/>
          <w:lang w:val="es-CR"/>
        </w:rPr>
        <w:t xml:space="preserve"> Sentencia de la Corte Interamericana de Derechos Humanos de 7 de septiembre de 2004. Serie C No. 114, párr. 156 y 157, y </w:t>
      </w:r>
      <w:r w:rsidR="00A95A21" w:rsidRPr="00C437FA">
        <w:rPr>
          <w:rStyle w:val="Textoennegrita"/>
          <w:rFonts w:ascii="Verdana" w:hAnsi="Verdana"/>
          <w:b w:val="0"/>
          <w:i/>
          <w:sz w:val="16"/>
          <w:szCs w:val="16"/>
          <w:shd w:val="clear" w:color="auto" w:fill="FFFFFF"/>
        </w:rPr>
        <w:t>Caso Cuscul Pivaral y otros Vs. Guatemala. Excepción Preliminar, Fondo, Reparaciones y Costas.</w:t>
      </w:r>
      <w:r w:rsidR="00A95A21" w:rsidRPr="00C437FA">
        <w:rPr>
          <w:rStyle w:val="Textoennegrita"/>
          <w:rFonts w:ascii="Verdana" w:hAnsi="Verdana"/>
          <w:b w:val="0"/>
          <w:sz w:val="16"/>
          <w:szCs w:val="16"/>
          <w:shd w:val="clear" w:color="auto" w:fill="FFFFFF"/>
        </w:rPr>
        <w:t xml:space="preserve"> Sentencia de la Corte Interamericana de Derechos Humanos 23 de </w:t>
      </w:r>
      <w:r w:rsidR="00A95A21" w:rsidRPr="00C437FA">
        <w:rPr>
          <w:rStyle w:val="Textoennegrita"/>
          <w:rFonts w:ascii="Verdana" w:eastAsia="Times New Roman" w:hAnsi="Verdana"/>
          <w:b w:val="0"/>
          <w:sz w:val="16"/>
          <w:szCs w:val="16"/>
          <w:shd w:val="clear" w:color="auto" w:fill="FFFFFF"/>
        </w:rPr>
        <w:t>agosto de 2018. Serie C No. 359, párr. 161.</w:t>
      </w:r>
    </w:p>
  </w:footnote>
  <w:footnote w:id="50">
    <w:p w:rsidR="00B16921" w:rsidRPr="00387903" w:rsidRDefault="00B16921" w:rsidP="00C437FA">
      <w:pPr>
        <w:pStyle w:val="Textonotapie"/>
        <w:jc w:val="both"/>
        <w:rPr>
          <w:rFonts w:ascii="Verdana" w:hAnsi="Verdana"/>
          <w:sz w:val="16"/>
          <w:szCs w:val="16"/>
          <w:lang w:val="es-CR"/>
        </w:rPr>
      </w:pPr>
      <w:r w:rsidRPr="00387903">
        <w:rPr>
          <w:rStyle w:val="Refdenotaalpie"/>
          <w:szCs w:val="16"/>
        </w:rPr>
        <w:footnoteRef/>
      </w:r>
      <w:r w:rsidRPr="00387903">
        <w:rPr>
          <w:rFonts w:ascii="Verdana" w:hAnsi="Verdana"/>
          <w:sz w:val="16"/>
          <w:szCs w:val="16"/>
        </w:rPr>
        <w:t xml:space="preserve"> </w:t>
      </w:r>
      <w:r w:rsidRPr="00387903">
        <w:rPr>
          <w:rFonts w:ascii="Verdana" w:hAnsi="Verdana"/>
          <w:sz w:val="16"/>
          <w:szCs w:val="16"/>
        </w:rPr>
        <w:tab/>
      </w:r>
      <w:r w:rsidR="00E51E80" w:rsidRPr="00387903">
        <w:rPr>
          <w:rFonts w:ascii="Verdana" w:hAnsi="Verdana"/>
          <w:i/>
          <w:sz w:val="16"/>
          <w:szCs w:val="16"/>
        </w:rPr>
        <w:t>Cfr. inter alia,</w:t>
      </w:r>
      <w:r w:rsidR="00E51E80" w:rsidRPr="00387903">
        <w:rPr>
          <w:rFonts w:ascii="Verdana" w:hAnsi="Verdana"/>
          <w:sz w:val="16"/>
          <w:szCs w:val="16"/>
        </w:rPr>
        <w:t xml:space="preserve"> </w:t>
      </w:r>
      <w:r w:rsidR="00E51E80" w:rsidRPr="00387903">
        <w:rPr>
          <w:rFonts w:ascii="Verdana" w:hAnsi="Verdana"/>
          <w:i/>
          <w:sz w:val="16"/>
          <w:szCs w:val="16"/>
        </w:rPr>
        <w:t>Asunto del Internado Judicial de Monagas (“La Pica”)</w:t>
      </w:r>
      <w:r w:rsidR="00E51E80" w:rsidRPr="00387903">
        <w:rPr>
          <w:rFonts w:ascii="Verdana" w:hAnsi="Verdana"/>
          <w:sz w:val="16"/>
          <w:szCs w:val="16"/>
        </w:rPr>
        <w:t xml:space="preserve">. </w:t>
      </w:r>
      <w:r w:rsidR="00E51E80" w:rsidRPr="00387903">
        <w:rPr>
          <w:rFonts w:ascii="Verdana" w:hAnsi="Verdana"/>
          <w:i/>
          <w:sz w:val="16"/>
          <w:szCs w:val="16"/>
        </w:rPr>
        <w:t>Medidas Provisionales respecto de Venezuela</w:t>
      </w:r>
      <w:r w:rsidR="00E51E80" w:rsidRPr="00387903">
        <w:rPr>
          <w:rFonts w:ascii="Verdana" w:hAnsi="Verdana"/>
          <w:sz w:val="16"/>
          <w:szCs w:val="16"/>
        </w:rPr>
        <w:t>. Resolución del Presidente de la Corte Interamericana de Derechos Humanos de 13 de enero de 2006, Considerando décimo sexto;</w:t>
      </w:r>
      <w:r w:rsidR="00387903" w:rsidRPr="00387903">
        <w:rPr>
          <w:rFonts w:ascii="Verdana" w:hAnsi="Verdana"/>
          <w:sz w:val="16"/>
          <w:szCs w:val="16"/>
        </w:rPr>
        <w:t xml:space="preserve"> y</w:t>
      </w:r>
      <w:r w:rsidR="00E51E80" w:rsidRPr="00387903">
        <w:rPr>
          <w:rFonts w:ascii="Verdana" w:hAnsi="Verdana"/>
          <w:sz w:val="16"/>
          <w:szCs w:val="16"/>
        </w:rPr>
        <w:t xml:space="preserve"> </w:t>
      </w:r>
      <w:r w:rsidR="00387903" w:rsidRPr="00387903">
        <w:rPr>
          <w:rStyle w:val="Textoennegrita"/>
          <w:rFonts w:ascii="Verdana" w:hAnsi="Verdana"/>
          <w:b w:val="0"/>
          <w:i/>
          <w:color w:val="000000"/>
          <w:sz w:val="16"/>
          <w:szCs w:val="16"/>
          <w:shd w:val="clear" w:color="auto" w:fill="FFFFFF"/>
        </w:rPr>
        <w:t>Asunto Guerrero Larez respecto de Venezuela. Medidas Provisionales.</w:t>
      </w:r>
      <w:r w:rsidR="00387903" w:rsidRPr="00387903">
        <w:rPr>
          <w:rStyle w:val="Textoennegrita"/>
          <w:rFonts w:ascii="Verdana" w:hAnsi="Verdana"/>
          <w:b w:val="0"/>
          <w:color w:val="000000"/>
          <w:sz w:val="16"/>
          <w:szCs w:val="16"/>
          <w:shd w:val="clear" w:color="auto" w:fill="FFFFFF"/>
        </w:rPr>
        <w:t xml:space="preserve"> Resolución de la Corte Interamericana de Derechos Humanos de 17 de noviembre de 2009</w:t>
      </w:r>
      <w:r w:rsidR="00E51E80" w:rsidRPr="00387903">
        <w:rPr>
          <w:rFonts w:ascii="Verdana" w:hAnsi="Verdana"/>
          <w:sz w:val="16"/>
          <w:szCs w:val="16"/>
          <w:lang w:val="es-CR"/>
        </w:rPr>
        <w:t>, considerando décimo cuarto</w:t>
      </w:r>
      <w:r w:rsidR="00387903" w:rsidRPr="00387903">
        <w:rPr>
          <w:rFonts w:ascii="Verdana" w:hAnsi="Verdana"/>
          <w:sz w:val="16"/>
          <w:szCs w:val="16"/>
          <w:lang w:val="es-CR"/>
        </w:rPr>
        <w:t>.</w:t>
      </w:r>
      <w:r w:rsidR="00E51E80" w:rsidRPr="00387903">
        <w:rPr>
          <w:rFonts w:ascii="Verdana" w:hAnsi="Verdana"/>
          <w:sz w:val="16"/>
          <w:szCs w:val="16"/>
          <w:lang w:val="es-CR"/>
        </w:rPr>
        <w:t xml:space="preserve"> </w:t>
      </w:r>
    </w:p>
  </w:footnote>
  <w:footnote w:id="51">
    <w:p w:rsidR="00CA6905" w:rsidRPr="00387903" w:rsidRDefault="00CA6905"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69666C" w:rsidRPr="00C437FA">
        <w:rPr>
          <w:rFonts w:ascii="Verdana" w:hAnsi="Verdana"/>
          <w:sz w:val="16"/>
          <w:szCs w:val="16"/>
        </w:rPr>
        <w:tab/>
      </w:r>
      <w:r w:rsidRPr="00387903">
        <w:rPr>
          <w:rFonts w:ascii="Verdana" w:hAnsi="Verdana"/>
          <w:sz w:val="16"/>
          <w:szCs w:val="16"/>
        </w:rPr>
        <w:t>Informe del Estado</w:t>
      </w:r>
      <w:r w:rsidR="0069666C" w:rsidRPr="00387903">
        <w:rPr>
          <w:rFonts w:ascii="Verdana" w:hAnsi="Verdana"/>
          <w:sz w:val="16"/>
          <w:szCs w:val="16"/>
        </w:rPr>
        <w:t xml:space="preserve"> de 20 de mayo de 2019</w:t>
      </w:r>
      <w:r w:rsidRPr="00387903">
        <w:rPr>
          <w:rFonts w:ascii="Verdana" w:hAnsi="Verdana"/>
          <w:sz w:val="16"/>
          <w:szCs w:val="16"/>
        </w:rPr>
        <w:t>, pág. 39</w:t>
      </w:r>
      <w:r w:rsidR="00387903" w:rsidRPr="00387903">
        <w:rPr>
          <w:rFonts w:ascii="Verdana" w:hAnsi="Verdana"/>
          <w:sz w:val="16"/>
          <w:szCs w:val="16"/>
        </w:rPr>
        <w:t>.</w:t>
      </w:r>
    </w:p>
  </w:footnote>
  <w:footnote w:id="52">
    <w:p w:rsidR="001C16D4" w:rsidRPr="00387903" w:rsidRDefault="001C16D4" w:rsidP="00C437FA">
      <w:pPr>
        <w:pStyle w:val="Textonotapie"/>
        <w:jc w:val="both"/>
        <w:rPr>
          <w:rFonts w:ascii="Verdana" w:hAnsi="Verdana"/>
          <w:sz w:val="16"/>
          <w:szCs w:val="16"/>
          <w:lang w:val="es-CR"/>
        </w:rPr>
      </w:pPr>
      <w:r w:rsidRPr="00387903">
        <w:rPr>
          <w:rStyle w:val="Refdenotaalpie"/>
          <w:szCs w:val="16"/>
        </w:rPr>
        <w:footnoteRef/>
      </w:r>
      <w:r w:rsidR="007C4D93" w:rsidRPr="00387903">
        <w:rPr>
          <w:rFonts w:ascii="Verdana" w:hAnsi="Verdana"/>
          <w:sz w:val="16"/>
          <w:szCs w:val="16"/>
        </w:rPr>
        <w:t xml:space="preserve"> </w:t>
      </w:r>
      <w:r w:rsidR="007C4D93" w:rsidRPr="00387903">
        <w:rPr>
          <w:rFonts w:ascii="Verdana" w:hAnsi="Verdana"/>
          <w:sz w:val="16"/>
          <w:szCs w:val="16"/>
        </w:rPr>
        <w:tab/>
        <w:t>Informe del Estado de 20 de mayo de 2019</w:t>
      </w:r>
      <w:r w:rsidR="00387903" w:rsidRPr="00387903">
        <w:rPr>
          <w:rFonts w:ascii="Verdana" w:hAnsi="Verdana"/>
          <w:sz w:val="16"/>
          <w:szCs w:val="16"/>
        </w:rPr>
        <w:t>, pág. 40.</w:t>
      </w:r>
    </w:p>
  </w:footnote>
  <w:footnote w:id="53">
    <w:p w:rsidR="001C16D4" w:rsidRPr="00B80C0B" w:rsidRDefault="001C16D4" w:rsidP="00C437FA">
      <w:pPr>
        <w:pStyle w:val="Textonotapie"/>
        <w:jc w:val="both"/>
        <w:rPr>
          <w:rFonts w:ascii="Verdana" w:hAnsi="Verdana"/>
          <w:sz w:val="16"/>
          <w:szCs w:val="16"/>
          <w:highlight w:val="yellow"/>
          <w:lang w:val="es-CR"/>
        </w:rPr>
      </w:pPr>
      <w:r w:rsidRPr="00387903">
        <w:rPr>
          <w:rStyle w:val="Refdenotaalpie"/>
          <w:szCs w:val="16"/>
        </w:rPr>
        <w:footnoteRef/>
      </w:r>
      <w:r w:rsidRPr="00387903">
        <w:rPr>
          <w:rFonts w:ascii="Verdana" w:hAnsi="Verdana"/>
          <w:sz w:val="16"/>
          <w:szCs w:val="16"/>
        </w:rPr>
        <w:t xml:space="preserve"> </w:t>
      </w:r>
      <w:r w:rsidR="007C4D93" w:rsidRPr="00387903">
        <w:rPr>
          <w:rFonts w:ascii="Verdana" w:hAnsi="Verdana"/>
          <w:sz w:val="16"/>
          <w:szCs w:val="16"/>
        </w:rPr>
        <w:tab/>
      </w:r>
      <w:r w:rsidR="007C4D93" w:rsidRPr="00387903">
        <w:rPr>
          <w:rFonts w:ascii="Verdana" w:hAnsi="Verdana"/>
          <w:i/>
          <w:sz w:val="16"/>
          <w:szCs w:val="16"/>
        </w:rPr>
        <w:t>Cfr.</w:t>
      </w:r>
      <w:r w:rsidR="007C4D93" w:rsidRPr="00387903">
        <w:rPr>
          <w:rFonts w:ascii="Verdana" w:hAnsi="Verdana"/>
          <w:sz w:val="16"/>
          <w:szCs w:val="16"/>
        </w:rPr>
        <w:t xml:space="preserve"> </w:t>
      </w:r>
      <w:r w:rsidRPr="00387903">
        <w:rPr>
          <w:rFonts w:ascii="Verdana" w:hAnsi="Verdana"/>
          <w:sz w:val="16"/>
          <w:szCs w:val="16"/>
        </w:rPr>
        <w:t>Informe del Estado</w:t>
      </w:r>
      <w:r w:rsidR="007C4D93" w:rsidRPr="00387903">
        <w:rPr>
          <w:rFonts w:ascii="Verdana" w:hAnsi="Verdana"/>
          <w:sz w:val="16"/>
          <w:szCs w:val="16"/>
        </w:rPr>
        <w:t xml:space="preserve"> de 20 de mayo de 2019</w:t>
      </w:r>
      <w:r w:rsidRPr="00387903">
        <w:rPr>
          <w:rFonts w:ascii="Verdana" w:hAnsi="Verdana"/>
          <w:sz w:val="16"/>
          <w:szCs w:val="16"/>
        </w:rPr>
        <w:t>, pág. 41</w:t>
      </w:r>
      <w:r w:rsidR="00387903" w:rsidRPr="00387903">
        <w:rPr>
          <w:rFonts w:ascii="Verdana" w:hAnsi="Verdana"/>
          <w:sz w:val="16"/>
          <w:szCs w:val="16"/>
        </w:rPr>
        <w:t>.</w:t>
      </w:r>
    </w:p>
  </w:footnote>
  <w:footnote w:id="54">
    <w:p w:rsidR="00CD26ED" w:rsidRPr="004976EC" w:rsidRDefault="00CD26ED" w:rsidP="00C437FA">
      <w:pPr>
        <w:pStyle w:val="Textonotapie"/>
        <w:tabs>
          <w:tab w:val="left" w:pos="426"/>
        </w:tabs>
        <w:jc w:val="both"/>
        <w:rPr>
          <w:rFonts w:ascii="Verdana" w:hAnsi="Verdana"/>
          <w:sz w:val="16"/>
          <w:szCs w:val="16"/>
          <w:lang w:val="es-ES"/>
        </w:rPr>
      </w:pPr>
      <w:r w:rsidRPr="004976EC">
        <w:rPr>
          <w:rStyle w:val="Refdenotaalpie"/>
          <w:szCs w:val="16"/>
        </w:rPr>
        <w:footnoteRef/>
      </w:r>
      <w:r w:rsidR="00A735EC" w:rsidRPr="004976EC">
        <w:rPr>
          <w:rFonts w:ascii="Verdana" w:hAnsi="Verdana"/>
          <w:sz w:val="16"/>
          <w:szCs w:val="16"/>
        </w:rPr>
        <w:t xml:space="preserve"> </w:t>
      </w:r>
      <w:r w:rsidR="00A735EC" w:rsidRPr="004976EC">
        <w:rPr>
          <w:rFonts w:ascii="Verdana" w:hAnsi="Verdana"/>
          <w:sz w:val="16"/>
          <w:szCs w:val="16"/>
        </w:rPr>
        <w:tab/>
      </w:r>
      <w:r w:rsidR="00A735EC" w:rsidRPr="004976EC">
        <w:rPr>
          <w:rFonts w:ascii="Verdana" w:hAnsi="Verdana"/>
          <w:sz w:val="16"/>
          <w:szCs w:val="16"/>
        </w:rPr>
        <w:tab/>
      </w:r>
      <w:r w:rsidR="004976EC" w:rsidRPr="004976EC">
        <w:rPr>
          <w:rFonts w:ascii="Verdana" w:hAnsi="Verdana"/>
          <w:i/>
          <w:iCs/>
          <w:sz w:val="16"/>
          <w:szCs w:val="16"/>
          <w:lang w:val="es-ES"/>
        </w:rPr>
        <w:t>Cfr.</w:t>
      </w:r>
      <w:r w:rsidR="004976EC" w:rsidRPr="004976EC">
        <w:rPr>
          <w:rFonts w:ascii="Verdana" w:hAnsi="Verdana"/>
          <w:sz w:val="16"/>
          <w:szCs w:val="16"/>
          <w:lang w:val="es-ES"/>
        </w:rPr>
        <w:t xml:space="preserve"> </w:t>
      </w:r>
      <w:r w:rsidR="004976EC" w:rsidRPr="004976EC">
        <w:rPr>
          <w:rStyle w:val="Textoennegrita"/>
          <w:rFonts w:ascii="Verdana" w:hAnsi="Verdana"/>
          <w:b w:val="0"/>
          <w:bCs w:val="0"/>
          <w:i/>
          <w:iCs/>
          <w:color w:val="000000"/>
          <w:sz w:val="16"/>
          <w:szCs w:val="16"/>
          <w:shd w:val="clear" w:color="auto" w:fill="FFFFFF"/>
        </w:rPr>
        <w:t>Caso Ricardo Canese Vs. Paraguay. Fondo, Reparaciones y Costas</w:t>
      </w:r>
      <w:r w:rsidR="004976EC" w:rsidRPr="004976EC">
        <w:rPr>
          <w:rStyle w:val="Textoennegrita"/>
          <w:rFonts w:ascii="Verdana" w:hAnsi="Verdana"/>
          <w:b w:val="0"/>
          <w:bCs w:val="0"/>
          <w:color w:val="000000"/>
          <w:sz w:val="16"/>
          <w:szCs w:val="16"/>
          <w:shd w:val="clear" w:color="auto" w:fill="FFFFFF"/>
        </w:rPr>
        <w:t>. Sentencia de 31 de agosto de 2004. Serie C No. 111, párr. 129</w:t>
      </w:r>
      <w:r w:rsidR="004976EC" w:rsidRPr="004976EC">
        <w:rPr>
          <w:rFonts w:ascii="Verdana" w:hAnsi="Verdana"/>
          <w:sz w:val="16"/>
          <w:szCs w:val="16"/>
          <w:lang w:val="es-ES"/>
        </w:rPr>
        <w:t xml:space="preserve">, y </w:t>
      </w:r>
      <w:r w:rsidR="004976EC" w:rsidRPr="004976EC">
        <w:rPr>
          <w:rStyle w:val="Textoennegrita"/>
          <w:rFonts w:ascii="Verdana" w:hAnsi="Verdana"/>
          <w:b w:val="0"/>
          <w:bCs w:val="0"/>
          <w:i/>
          <w:iCs/>
          <w:sz w:val="16"/>
          <w:szCs w:val="16"/>
          <w:shd w:val="clear" w:color="auto" w:fill="FFFFFF"/>
        </w:rPr>
        <w:t>Caso Mujeres Víctimas de Tortura Sexual en Atenco Vs. México. Excepción Preliminar, Fondo, Reparaciones y Costas.</w:t>
      </w:r>
      <w:r w:rsidR="004976EC" w:rsidRPr="004976EC">
        <w:rPr>
          <w:rStyle w:val="Textoennegrita"/>
          <w:rFonts w:ascii="Verdana" w:hAnsi="Verdana"/>
          <w:b w:val="0"/>
          <w:bCs w:val="0"/>
          <w:sz w:val="16"/>
          <w:szCs w:val="16"/>
          <w:shd w:val="clear" w:color="auto" w:fill="FFFFFF"/>
        </w:rPr>
        <w:t xml:space="preserve"> Sentencia de la Corte Interamericana de Derechos Humanos de 28 de noviembre de 2018. Serie C No. 371, párr. 251.</w:t>
      </w:r>
      <w:r w:rsidRPr="004976EC">
        <w:rPr>
          <w:rFonts w:ascii="Verdana" w:hAnsi="Verdana"/>
          <w:sz w:val="16"/>
          <w:szCs w:val="16"/>
        </w:rPr>
        <w:t xml:space="preserve"> </w:t>
      </w:r>
    </w:p>
  </w:footnote>
  <w:footnote w:id="55">
    <w:p w:rsidR="00CD26ED" w:rsidRPr="00387903" w:rsidRDefault="00CD26ED" w:rsidP="00C437FA">
      <w:pPr>
        <w:pStyle w:val="Textonotapie"/>
        <w:tabs>
          <w:tab w:val="left" w:pos="426"/>
        </w:tabs>
        <w:jc w:val="both"/>
        <w:rPr>
          <w:rFonts w:ascii="Verdana" w:hAnsi="Verdana"/>
          <w:sz w:val="16"/>
          <w:szCs w:val="16"/>
          <w:highlight w:val="magenta"/>
          <w:lang w:val="es-AR"/>
        </w:rPr>
      </w:pPr>
      <w:r w:rsidRPr="00387903">
        <w:rPr>
          <w:rStyle w:val="Refdenotaalpie"/>
          <w:szCs w:val="16"/>
        </w:rPr>
        <w:footnoteRef/>
      </w:r>
      <w:r w:rsidR="00C437FA" w:rsidRPr="00387903">
        <w:rPr>
          <w:rFonts w:ascii="Verdana" w:hAnsi="Verdana"/>
          <w:sz w:val="16"/>
          <w:szCs w:val="16"/>
          <w:lang w:val="es-AR"/>
        </w:rPr>
        <w:t xml:space="preserve"> </w:t>
      </w:r>
      <w:r w:rsidR="00C437FA" w:rsidRPr="00387903">
        <w:rPr>
          <w:rFonts w:ascii="Verdana" w:hAnsi="Verdana"/>
          <w:sz w:val="16"/>
          <w:szCs w:val="16"/>
          <w:lang w:val="es-AR"/>
        </w:rPr>
        <w:tab/>
      </w:r>
      <w:r w:rsidR="00C437FA" w:rsidRPr="00387903">
        <w:rPr>
          <w:rFonts w:ascii="Verdana" w:hAnsi="Verdana"/>
          <w:sz w:val="16"/>
          <w:szCs w:val="16"/>
          <w:lang w:val="es-AR"/>
        </w:rPr>
        <w:tab/>
      </w:r>
      <w:r w:rsidR="004976EC" w:rsidRPr="00387903">
        <w:rPr>
          <w:rFonts w:ascii="Verdana" w:hAnsi="Verdana"/>
          <w:i/>
          <w:iCs/>
          <w:sz w:val="16"/>
          <w:szCs w:val="16"/>
          <w:lang w:val="es-ES"/>
        </w:rPr>
        <w:t xml:space="preserve">Cfr. </w:t>
      </w:r>
      <w:r w:rsidR="004976EC" w:rsidRPr="00387903">
        <w:rPr>
          <w:rStyle w:val="Textoennegrita"/>
          <w:rFonts w:ascii="Verdana" w:hAnsi="Verdana"/>
          <w:b w:val="0"/>
          <w:bCs w:val="0"/>
          <w:i/>
          <w:iCs/>
          <w:color w:val="000000"/>
          <w:sz w:val="16"/>
          <w:szCs w:val="16"/>
          <w:shd w:val="clear" w:color="auto" w:fill="FFFFFF"/>
        </w:rPr>
        <w:t>Caso Suárez Rosero Vs. Ecuador. Fondo.</w:t>
      </w:r>
      <w:r w:rsidR="004976EC" w:rsidRPr="00387903">
        <w:rPr>
          <w:rStyle w:val="Textoennegrita"/>
          <w:rFonts w:ascii="Verdana" w:hAnsi="Verdana"/>
          <w:b w:val="0"/>
          <w:bCs w:val="0"/>
          <w:color w:val="000000"/>
          <w:sz w:val="16"/>
          <w:szCs w:val="16"/>
          <w:shd w:val="clear" w:color="auto" w:fill="FFFFFF"/>
        </w:rPr>
        <w:t xml:space="preserve"> Sentencia de 12 de noviembre de 1997. Serie C No. 35</w:t>
      </w:r>
      <w:r w:rsidR="004976EC" w:rsidRPr="00387903">
        <w:rPr>
          <w:rFonts w:ascii="Verdana" w:hAnsi="Verdana"/>
          <w:sz w:val="16"/>
          <w:szCs w:val="16"/>
          <w:lang w:val="es-ES"/>
        </w:rPr>
        <w:t xml:space="preserve">, párr. 77, y </w:t>
      </w:r>
      <w:r w:rsidR="004976EC" w:rsidRPr="00387903">
        <w:rPr>
          <w:rStyle w:val="Textoennegrita"/>
          <w:rFonts w:ascii="Verdana" w:hAnsi="Verdana"/>
          <w:b w:val="0"/>
          <w:bCs w:val="0"/>
          <w:i/>
          <w:iCs/>
          <w:sz w:val="16"/>
          <w:szCs w:val="16"/>
          <w:shd w:val="clear" w:color="auto" w:fill="FFFFFF"/>
        </w:rPr>
        <w:t>Caso Mujeres Víctimas de Tortura Sexual en Atenco Vs. México. Excepción Preliminar, Fondo, Reparaciones y Costas.</w:t>
      </w:r>
      <w:r w:rsidR="004976EC" w:rsidRPr="00387903">
        <w:rPr>
          <w:rStyle w:val="Textoennegrita"/>
          <w:rFonts w:ascii="Verdana" w:hAnsi="Verdana"/>
          <w:b w:val="0"/>
          <w:bCs w:val="0"/>
          <w:sz w:val="16"/>
          <w:szCs w:val="16"/>
          <w:shd w:val="clear" w:color="auto" w:fill="FFFFFF"/>
        </w:rPr>
        <w:t xml:space="preserve"> Sentencia de la Corte Interamericana de Derechos Humanos de 28 de noviembre de 2018. Serie C No. 371, párr. 251.</w:t>
      </w:r>
    </w:p>
  </w:footnote>
  <w:footnote w:id="56">
    <w:p w:rsidR="00747CEF" w:rsidRPr="001D1359" w:rsidRDefault="00747CEF">
      <w:pPr>
        <w:pStyle w:val="Textonotapie"/>
        <w:rPr>
          <w:rFonts w:ascii="Verdana" w:hAnsi="Verdana"/>
          <w:sz w:val="16"/>
          <w:szCs w:val="16"/>
          <w:lang w:val="es-ES"/>
        </w:rPr>
      </w:pPr>
      <w:r w:rsidRPr="00747CEF">
        <w:rPr>
          <w:rStyle w:val="Refdenotaalpie"/>
          <w:szCs w:val="16"/>
        </w:rPr>
        <w:footnoteRef/>
      </w:r>
      <w:r w:rsidRPr="00747CEF">
        <w:rPr>
          <w:rFonts w:ascii="Verdana" w:hAnsi="Verdana"/>
          <w:sz w:val="16"/>
          <w:szCs w:val="16"/>
        </w:rPr>
        <w:t xml:space="preserve"> </w:t>
      </w:r>
      <w:r w:rsidRPr="00747CEF">
        <w:rPr>
          <w:rFonts w:ascii="Verdana" w:hAnsi="Verdana"/>
          <w:sz w:val="16"/>
          <w:szCs w:val="16"/>
        </w:rPr>
        <w:tab/>
      </w:r>
      <w:r w:rsidRPr="00747CEF">
        <w:rPr>
          <w:rFonts w:ascii="Verdana" w:hAnsi="Verdana"/>
          <w:i/>
          <w:sz w:val="16"/>
          <w:szCs w:val="16"/>
        </w:rPr>
        <w:t>Cfr. Caso López Álvarez Vs. Honduras. Fondo, Reparaciones y Costas.</w:t>
      </w:r>
      <w:r w:rsidRPr="00747CEF">
        <w:rPr>
          <w:rFonts w:ascii="Verdana" w:hAnsi="Verdana"/>
          <w:sz w:val="16"/>
          <w:szCs w:val="16"/>
        </w:rPr>
        <w:t xml:space="preserve"> Sentencia de</w:t>
      </w:r>
      <w:r w:rsidR="001D1359">
        <w:rPr>
          <w:rFonts w:ascii="Verdana" w:hAnsi="Verdana"/>
          <w:sz w:val="16"/>
          <w:szCs w:val="16"/>
        </w:rPr>
        <w:t xml:space="preserve"> 1 de febrero de 2006, párr. 66, y </w:t>
      </w:r>
      <w:r w:rsidR="001D1359" w:rsidRPr="001D1359">
        <w:rPr>
          <w:rStyle w:val="Textoennegrita"/>
          <w:rFonts w:ascii="Verdana" w:hAnsi="Verdana"/>
          <w:b w:val="0"/>
          <w:i/>
          <w:color w:val="000000"/>
          <w:sz w:val="16"/>
          <w:szCs w:val="16"/>
          <w:shd w:val="clear" w:color="auto" w:fill="FFFFFF"/>
        </w:rPr>
        <w:t>Caso Norín Catrimán y otros (Dirigentes, Miembros y Activista del Pueblo Indígena Mapuche) Vs. Chile. Fondo, Reparaciones y Costas.</w:t>
      </w:r>
      <w:r w:rsidR="001D1359" w:rsidRPr="001D1359">
        <w:rPr>
          <w:rStyle w:val="Textoennegrita"/>
          <w:rFonts w:ascii="Verdana" w:hAnsi="Verdana"/>
          <w:b w:val="0"/>
          <w:color w:val="000000"/>
          <w:sz w:val="16"/>
          <w:szCs w:val="16"/>
          <w:shd w:val="clear" w:color="auto" w:fill="FFFFFF"/>
        </w:rPr>
        <w:t xml:space="preserve"> Sentencia de 29 de mayo de 2014. Serie C No. 279, párr. 312.</w:t>
      </w:r>
    </w:p>
  </w:footnote>
  <w:footnote w:id="57">
    <w:p w:rsidR="00963F0A" w:rsidRPr="00C437FA" w:rsidRDefault="00963F0A" w:rsidP="00C437FA">
      <w:pPr>
        <w:pStyle w:val="Textonotapie"/>
        <w:jc w:val="both"/>
        <w:rPr>
          <w:rFonts w:ascii="Verdana" w:hAnsi="Verdana"/>
          <w:sz w:val="16"/>
          <w:szCs w:val="16"/>
          <w:lang w:val="es-CR"/>
        </w:rPr>
      </w:pPr>
      <w:r w:rsidRPr="005F774B">
        <w:rPr>
          <w:rStyle w:val="Refdenotaalpie"/>
          <w:szCs w:val="16"/>
        </w:rPr>
        <w:footnoteRef/>
      </w:r>
      <w:r w:rsidRPr="005F774B">
        <w:rPr>
          <w:rFonts w:ascii="Verdana" w:hAnsi="Verdana"/>
          <w:sz w:val="16"/>
          <w:szCs w:val="16"/>
        </w:rPr>
        <w:t xml:space="preserve"> </w:t>
      </w:r>
      <w:r w:rsidRPr="005F774B">
        <w:rPr>
          <w:rFonts w:ascii="Verdana" w:hAnsi="Verdana"/>
          <w:sz w:val="16"/>
          <w:szCs w:val="16"/>
          <w:lang w:val="es-CR"/>
        </w:rPr>
        <w:tab/>
      </w:r>
      <w:r w:rsidRPr="005F774B">
        <w:rPr>
          <w:rFonts w:ascii="Verdana" w:hAnsi="Verdana"/>
          <w:i/>
          <w:sz w:val="16"/>
          <w:szCs w:val="16"/>
          <w:lang w:val="es-CR"/>
        </w:rPr>
        <w:t xml:space="preserve">Cfr. </w:t>
      </w:r>
      <w:r w:rsidR="00AD155B" w:rsidRPr="005F774B">
        <w:rPr>
          <w:rFonts w:ascii="Verdana" w:hAnsi="Verdana"/>
          <w:sz w:val="16"/>
          <w:szCs w:val="16"/>
          <w:lang w:val="es-CR"/>
        </w:rPr>
        <w:t>Informe del Estado de 20 de mayo de 2019.</w:t>
      </w:r>
      <w:r w:rsidR="00C41B5F" w:rsidRPr="00AD155B">
        <w:rPr>
          <w:rFonts w:ascii="Verdana" w:hAnsi="Verdana"/>
          <w:sz w:val="16"/>
          <w:szCs w:val="16"/>
          <w:lang w:val="es-CR"/>
        </w:rPr>
        <w:t xml:space="preserve"> </w:t>
      </w:r>
    </w:p>
  </w:footnote>
  <w:footnote w:id="58">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4573EB" w:rsidRPr="00C437FA">
        <w:rPr>
          <w:rFonts w:ascii="Verdana" w:hAnsi="Verdana"/>
          <w:sz w:val="16"/>
          <w:szCs w:val="16"/>
        </w:rPr>
        <w:tab/>
      </w:r>
      <w:r w:rsidR="004573EB" w:rsidRPr="00C437FA">
        <w:rPr>
          <w:rFonts w:ascii="Verdana" w:hAnsi="Verdana"/>
          <w:i/>
          <w:sz w:val="16"/>
          <w:szCs w:val="16"/>
        </w:rPr>
        <w:t xml:space="preserve">Cfr. </w:t>
      </w:r>
      <w:r w:rsidR="004573EB" w:rsidRPr="00C437FA">
        <w:rPr>
          <w:rStyle w:val="Textoennegrita"/>
          <w:rFonts w:ascii="Verdana" w:hAnsi="Verdana"/>
          <w:b w:val="0"/>
          <w:i/>
          <w:color w:val="000000"/>
          <w:sz w:val="16"/>
          <w:szCs w:val="16"/>
          <w:shd w:val="clear" w:color="auto" w:fill="FFFFFF"/>
        </w:rPr>
        <w:t>Caso Velásquez Rodríguez Vs. Honduras. Fondo</w:t>
      </w:r>
      <w:r w:rsidR="004573EB" w:rsidRPr="00C437FA">
        <w:rPr>
          <w:rStyle w:val="Textoennegrita"/>
          <w:rFonts w:ascii="Verdana" w:hAnsi="Verdana"/>
          <w:b w:val="0"/>
          <w:color w:val="000000"/>
          <w:sz w:val="16"/>
          <w:szCs w:val="16"/>
          <w:shd w:val="clear" w:color="auto" w:fill="FFFFFF"/>
        </w:rPr>
        <w:t>. Sentencia de la Corte Interamericana de Derechos Humanos de 29 de julio de 1988. Serie C No. 4</w:t>
      </w:r>
      <w:r w:rsidR="004573EB" w:rsidRPr="00C437FA">
        <w:rPr>
          <w:rFonts w:ascii="Verdana" w:hAnsi="Verdana"/>
          <w:sz w:val="16"/>
          <w:szCs w:val="16"/>
        </w:rPr>
        <w:t xml:space="preserve">, párr. 154, y </w:t>
      </w:r>
      <w:r w:rsidR="004573EB" w:rsidRPr="00C437FA">
        <w:rPr>
          <w:rFonts w:ascii="Verdana" w:hAnsi="Verdana"/>
          <w:bCs/>
          <w:i/>
          <w:sz w:val="16"/>
          <w:szCs w:val="16"/>
        </w:rPr>
        <w:t>Caso Mujeres Víctimas de Tortura Sexual en Atenco Vs. México. Excepción Preliminar, Fondo, Reparaciones y Costas</w:t>
      </w:r>
      <w:r w:rsidR="004573EB" w:rsidRPr="00C437FA">
        <w:rPr>
          <w:rFonts w:ascii="Verdana" w:hAnsi="Verdana"/>
          <w:bCs/>
          <w:sz w:val="16"/>
          <w:szCs w:val="16"/>
        </w:rPr>
        <w:t>. Sentencia de la Corte Interamericana de Derechos Humanos de 28 de noviembre de 2018. Serie C No. 371</w:t>
      </w:r>
      <w:r w:rsidR="004573EB" w:rsidRPr="00C437FA">
        <w:rPr>
          <w:rFonts w:ascii="Verdana" w:hAnsi="Verdana"/>
          <w:sz w:val="16"/>
          <w:szCs w:val="16"/>
          <w:lang w:val="es-CR"/>
        </w:rPr>
        <w:t>, párr. 159</w:t>
      </w:r>
    </w:p>
  </w:footnote>
  <w:footnote w:id="59">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4573EB" w:rsidRPr="00C437FA">
        <w:rPr>
          <w:rFonts w:ascii="Verdana" w:hAnsi="Verdana"/>
          <w:sz w:val="16"/>
          <w:szCs w:val="16"/>
        </w:rPr>
        <w:tab/>
      </w:r>
      <w:r w:rsidR="004573EB" w:rsidRPr="00C437FA">
        <w:rPr>
          <w:rFonts w:ascii="Verdana" w:hAnsi="Verdana"/>
          <w:i/>
          <w:sz w:val="16"/>
          <w:szCs w:val="16"/>
        </w:rPr>
        <w:t>Cfr. Caso Montero Aranguren y otros (Retén de Catia) Vs. Venezuela. Excepción Preliminar, Fondo, Reparaciones y Costas</w:t>
      </w:r>
      <w:r w:rsidR="004573EB" w:rsidRPr="00C437FA">
        <w:rPr>
          <w:rFonts w:ascii="Verdana" w:hAnsi="Verdana"/>
          <w:sz w:val="16"/>
          <w:szCs w:val="16"/>
        </w:rPr>
        <w:t xml:space="preserve">. Sentencia de 5 de julio de 2006, Serie C No. 150, párr. 78, y </w:t>
      </w:r>
      <w:r w:rsidR="004573EB" w:rsidRPr="00C437FA">
        <w:rPr>
          <w:rFonts w:ascii="Verdana" w:hAnsi="Verdana"/>
          <w:bCs/>
          <w:i/>
          <w:sz w:val="16"/>
          <w:szCs w:val="16"/>
        </w:rPr>
        <w:t>Caso Mujeres Víctimas de Tortura Sexual en Atenco Vs. México. Excepción Preliminar, Fondo, Reparaciones y Costas</w:t>
      </w:r>
      <w:r w:rsidR="004573EB" w:rsidRPr="00C437FA">
        <w:rPr>
          <w:rFonts w:ascii="Verdana" w:hAnsi="Verdana"/>
          <w:bCs/>
          <w:sz w:val="16"/>
          <w:szCs w:val="16"/>
        </w:rPr>
        <w:t>. Sentencia de la Corte Interamericana de Derechos Humanos de 28 de noviembre de 2018. Serie C No. 371</w:t>
      </w:r>
      <w:r w:rsidR="004573EB" w:rsidRPr="00C437FA">
        <w:rPr>
          <w:rFonts w:ascii="Verdana" w:hAnsi="Verdana"/>
          <w:sz w:val="16"/>
          <w:szCs w:val="16"/>
        </w:rPr>
        <w:t>, párr. 167.</w:t>
      </w:r>
    </w:p>
  </w:footnote>
  <w:footnote w:id="60">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4573EB" w:rsidRPr="00C437FA">
        <w:rPr>
          <w:rFonts w:ascii="Verdana" w:hAnsi="Verdana"/>
          <w:sz w:val="16"/>
          <w:szCs w:val="16"/>
          <w:lang w:val="es-CR"/>
        </w:rPr>
        <w:tab/>
      </w:r>
      <w:r w:rsidR="004573EB" w:rsidRPr="00C437FA">
        <w:rPr>
          <w:rFonts w:ascii="Verdana" w:hAnsi="Verdana"/>
          <w:i/>
          <w:sz w:val="16"/>
          <w:szCs w:val="16"/>
          <w:lang w:val="es-CR"/>
        </w:rPr>
        <w:t xml:space="preserve">Cfr. </w:t>
      </w:r>
      <w:r w:rsidR="004573EB" w:rsidRPr="00C437FA">
        <w:rPr>
          <w:rStyle w:val="Textoennegrita"/>
          <w:rFonts w:ascii="Verdana" w:hAnsi="Verdana"/>
          <w:b w:val="0"/>
          <w:i/>
          <w:color w:val="000000"/>
          <w:sz w:val="16"/>
          <w:szCs w:val="16"/>
          <w:shd w:val="clear" w:color="auto" w:fill="FFFFFF"/>
        </w:rPr>
        <w:t>Caso Herrera Ulloa Vs. Costa Rica. Excepciones Preliminares, Fondo, Reparaciones y Costas</w:t>
      </w:r>
      <w:r w:rsidR="004573EB" w:rsidRPr="00C437FA">
        <w:rPr>
          <w:rStyle w:val="Textoennegrita"/>
          <w:rFonts w:ascii="Verdana" w:hAnsi="Verdana"/>
          <w:b w:val="0"/>
          <w:color w:val="000000"/>
          <w:sz w:val="16"/>
          <w:szCs w:val="16"/>
          <w:shd w:val="clear" w:color="auto" w:fill="FFFFFF"/>
        </w:rPr>
        <w:t>. Sentencia de la Corte Interamericana de Derechos Humanos de 2 de julio de 2004. Serie C No. 107</w:t>
      </w:r>
      <w:r w:rsidR="004573EB" w:rsidRPr="00C437FA">
        <w:rPr>
          <w:rFonts w:ascii="Verdana" w:hAnsi="Verdana"/>
          <w:sz w:val="16"/>
          <w:szCs w:val="16"/>
          <w:lang w:val="es-CR"/>
        </w:rPr>
        <w:t>, párr. 133.</w:t>
      </w:r>
    </w:p>
  </w:footnote>
  <w:footnote w:id="61">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D85F25" w:rsidRPr="00C437FA">
        <w:rPr>
          <w:rFonts w:ascii="Verdana" w:hAnsi="Verdana"/>
          <w:sz w:val="16"/>
          <w:szCs w:val="16"/>
        </w:rPr>
        <w:tab/>
      </w:r>
      <w:r w:rsidR="00D85F25" w:rsidRPr="00C437FA">
        <w:rPr>
          <w:rStyle w:val="Textoennegrita"/>
          <w:rFonts w:ascii="Verdana" w:hAnsi="Verdana"/>
          <w:b w:val="0"/>
          <w:i/>
          <w:color w:val="000000"/>
          <w:sz w:val="16"/>
          <w:szCs w:val="16"/>
          <w:shd w:val="clear" w:color="auto" w:fill="FFFFFF"/>
        </w:rPr>
        <w:t xml:space="preserve">La colegiación obligatoria de periodistas (Arts. 13 y 29 Convención Americana sobre Derechos Humanos). </w:t>
      </w:r>
      <w:r w:rsidR="00D85F25" w:rsidRPr="00C437FA">
        <w:rPr>
          <w:rStyle w:val="Textoennegrita"/>
          <w:rFonts w:ascii="Verdana" w:hAnsi="Verdana"/>
          <w:b w:val="0"/>
          <w:color w:val="000000"/>
          <w:sz w:val="16"/>
          <w:szCs w:val="16"/>
          <w:shd w:val="clear" w:color="auto" w:fill="FFFFFF"/>
        </w:rPr>
        <w:t>Opinión Consultiva OC-5/85 de 13 de noviembre de 1985. Serie A No. 5</w:t>
      </w:r>
      <w:r w:rsidR="00D85F25" w:rsidRPr="00C437FA">
        <w:rPr>
          <w:rFonts w:ascii="Verdana" w:hAnsi="Verdana"/>
          <w:b/>
          <w:sz w:val="16"/>
          <w:szCs w:val="16"/>
        </w:rPr>
        <w:t>,</w:t>
      </w:r>
      <w:r w:rsidR="00D85F25" w:rsidRPr="00C437FA">
        <w:rPr>
          <w:rFonts w:ascii="Verdana" w:hAnsi="Verdana"/>
          <w:sz w:val="16"/>
          <w:szCs w:val="16"/>
        </w:rPr>
        <w:t xml:space="preserve"> párr. 70, </w:t>
      </w:r>
      <w:r w:rsidR="00D85F25" w:rsidRPr="00C437FA">
        <w:rPr>
          <w:rStyle w:val="Textoennegrita"/>
          <w:rFonts w:ascii="Verdana" w:hAnsi="Verdana"/>
          <w:b w:val="0"/>
          <w:i/>
          <w:color w:val="000000"/>
          <w:sz w:val="16"/>
          <w:szCs w:val="16"/>
          <w:shd w:val="clear" w:color="auto" w:fill="FFFFFF"/>
        </w:rPr>
        <w:t>Caso Herrera Ulloa Vs. Costa Rica. Excepciones Preliminares, Fondo, Reparaciones y Costas</w:t>
      </w:r>
      <w:r w:rsidR="00D85F25" w:rsidRPr="00C437FA">
        <w:rPr>
          <w:rStyle w:val="Textoennegrita"/>
          <w:rFonts w:ascii="Verdana" w:hAnsi="Verdana"/>
          <w:b w:val="0"/>
          <w:color w:val="000000"/>
          <w:sz w:val="16"/>
          <w:szCs w:val="16"/>
          <w:shd w:val="clear" w:color="auto" w:fill="FFFFFF"/>
        </w:rPr>
        <w:t>. Sentencia de la Corte Interamericana de Derechos Humanos de 2 de julio de 2004. Serie C No. 107</w:t>
      </w:r>
      <w:r w:rsidR="00D85F25" w:rsidRPr="00C437FA">
        <w:rPr>
          <w:rFonts w:ascii="Verdana" w:hAnsi="Verdana"/>
          <w:sz w:val="16"/>
          <w:szCs w:val="16"/>
        </w:rPr>
        <w:t>, párr. 112.</w:t>
      </w:r>
    </w:p>
  </w:footnote>
  <w:footnote w:id="62">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D17035" w:rsidRPr="00C437FA">
        <w:rPr>
          <w:rFonts w:ascii="Verdana" w:hAnsi="Verdana"/>
          <w:sz w:val="16"/>
          <w:szCs w:val="16"/>
        </w:rPr>
        <w:tab/>
      </w:r>
      <w:r w:rsidR="00D17035" w:rsidRPr="00C437FA">
        <w:rPr>
          <w:rFonts w:ascii="Verdana" w:hAnsi="Verdana"/>
          <w:i/>
          <w:sz w:val="16"/>
          <w:szCs w:val="16"/>
        </w:rPr>
        <w:t>Cfr. Caso López Lone y otros Vs. Honduras. Excepción Preliminar, Fondo, Reparaciones y Costas</w:t>
      </w:r>
      <w:r w:rsidR="00D17035" w:rsidRPr="00C437FA">
        <w:rPr>
          <w:rFonts w:ascii="Verdana" w:hAnsi="Verdana"/>
          <w:sz w:val="16"/>
          <w:szCs w:val="16"/>
        </w:rPr>
        <w:t xml:space="preserve">. Sentencia de la Corte Interamericana de Derechos Humanos de 5 de octubre de 2015. Serie C No. 302, párr. 167, y </w:t>
      </w:r>
      <w:r w:rsidR="00D17035" w:rsidRPr="00C437FA">
        <w:rPr>
          <w:rFonts w:ascii="Verdana" w:hAnsi="Verdana"/>
          <w:bCs/>
          <w:i/>
          <w:sz w:val="16"/>
          <w:szCs w:val="16"/>
        </w:rPr>
        <w:t>Caso Mujeres Víctimas de Tortura Sexual en Atenco Vs. México. Excepción Preliminar, Fondo, Reparaciones y Costas</w:t>
      </w:r>
      <w:r w:rsidR="00D17035" w:rsidRPr="00C437FA">
        <w:rPr>
          <w:rFonts w:ascii="Verdana" w:hAnsi="Verdana"/>
          <w:bCs/>
          <w:sz w:val="16"/>
          <w:szCs w:val="16"/>
        </w:rPr>
        <w:t>. Sentencia de la Corte Interamericana de Derechos Humanos de 28 de noviembre de 2018. Serie C No. 371</w:t>
      </w:r>
      <w:r w:rsidR="00D17035" w:rsidRPr="00C437FA">
        <w:rPr>
          <w:rFonts w:ascii="Verdana" w:hAnsi="Verdana"/>
          <w:sz w:val="16"/>
          <w:szCs w:val="16"/>
        </w:rPr>
        <w:t>, párr. 167.</w:t>
      </w:r>
    </w:p>
  </w:footnote>
  <w:footnote w:id="63">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4119FE" w:rsidRPr="00C437FA">
        <w:rPr>
          <w:rFonts w:ascii="Verdana" w:hAnsi="Verdana"/>
          <w:sz w:val="16"/>
          <w:szCs w:val="16"/>
        </w:rPr>
        <w:tab/>
      </w:r>
      <w:r w:rsidR="004119FE" w:rsidRPr="00C437FA">
        <w:rPr>
          <w:rFonts w:ascii="Verdana" w:hAnsi="Verdana"/>
          <w:i/>
          <w:sz w:val="16"/>
          <w:szCs w:val="16"/>
        </w:rPr>
        <w:t>Cfr. Caso López Lone y otros Vs. Honduras. Excepción Preliminar, Fondo, Reparaciones y Costas</w:t>
      </w:r>
      <w:r w:rsidR="004119FE" w:rsidRPr="00C437FA">
        <w:rPr>
          <w:rFonts w:ascii="Verdana" w:hAnsi="Verdana"/>
          <w:sz w:val="16"/>
          <w:szCs w:val="16"/>
        </w:rPr>
        <w:t xml:space="preserve">. Sentencia de la Corte Interamericana de Derechos Humanos de 5 de octubre de 2015. Serie C No. 302, párr. 167, y </w:t>
      </w:r>
      <w:r w:rsidR="004119FE" w:rsidRPr="00C437FA">
        <w:rPr>
          <w:rFonts w:ascii="Verdana" w:hAnsi="Verdana"/>
          <w:bCs/>
          <w:i/>
          <w:sz w:val="16"/>
          <w:szCs w:val="16"/>
        </w:rPr>
        <w:t>Caso Mujeres Víctimas de Tortura Sexual en Atenco Vs. México. Excepción Preliminar, Fondo, Reparaciones y Costas</w:t>
      </w:r>
      <w:r w:rsidR="004119FE" w:rsidRPr="00C437FA">
        <w:rPr>
          <w:rFonts w:ascii="Verdana" w:hAnsi="Verdana"/>
          <w:bCs/>
          <w:sz w:val="16"/>
          <w:szCs w:val="16"/>
        </w:rPr>
        <w:t>. Sentencia de la Corte Interamericana de Derechos Humanos de 28 de noviembre de 2018. Serie C No. 371</w:t>
      </w:r>
      <w:r w:rsidR="004119FE" w:rsidRPr="00C437FA">
        <w:rPr>
          <w:rFonts w:ascii="Verdana" w:hAnsi="Verdana"/>
          <w:sz w:val="16"/>
          <w:szCs w:val="16"/>
        </w:rPr>
        <w:t>, párr. 171.</w:t>
      </w:r>
    </w:p>
  </w:footnote>
  <w:footnote w:id="64">
    <w:p w:rsidR="00B16921" w:rsidRPr="00C437FA" w:rsidRDefault="00B16921" w:rsidP="00C437FA">
      <w:pPr>
        <w:pStyle w:val="Textonotapie"/>
        <w:jc w:val="both"/>
        <w:rPr>
          <w:rFonts w:ascii="Verdana" w:hAnsi="Verdana"/>
          <w:sz w:val="16"/>
          <w:szCs w:val="16"/>
          <w:lang w:val="es-CR"/>
        </w:rPr>
      </w:pPr>
      <w:r w:rsidRPr="00C437FA">
        <w:rPr>
          <w:rStyle w:val="Refdenotaalpie"/>
          <w:szCs w:val="16"/>
        </w:rPr>
        <w:footnoteRef/>
      </w:r>
      <w:r w:rsidRPr="00C437FA">
        <w:rPr>
          <w:rFonts w:ascii="Verdana" w:hAnsi="Verdana"/>
          <w:sz w:val="16"/>
          <w:szCs w:val="16"/>
        </w:rPr>
        <w:t xml:space="preserve"> </w:t>
      </w:r>
      <w:r w:rsidR="004119FE" w:rsidRPr="00C437FA">
        <w:rPr>
          <w:rFonts w:ascii="Verdana" w:hAnsi="Verdana"/>
          <w:sz w:val="16"/>
          <w:szCs w:val="16"/>
        </w:rPr>
        <w:tab/>
      </w:r>
      <w:r w:rsidR="004119FE" w:rsidRPr="00C437FA">
        <w:rPr>
          <w:rFonts w:ascii="Verdana" w:hAnsi="Verdana"/>
          <w:i/>
          <w:sz w:val="16"/>
          <w:szCs w:val="16"/>
        </w:rPr>
        <w:t>Cfr. Caso López Lone y otros Vs. Honduras. Excepción Preliminar, Fondo, Reparaciones y Costas</w:t>
      </w:r>
      <w:r w:rsidR="004119FE" w:rsidRPr="00C437FA">
        <w:rPr>
          <w:rFonts w:ascii="Verdana" w:hAnsi="Verdana"/>
          <w:sz w:val="16"/>
          <w:szCs w:val="16"/>
        </w:rPr>
        <w:t xml:space="preserve">. Sentencia de la Corte Interamericana de Derechos Humanos de 5 de octubre de 2015. Serie C No. 302, párr. 167, y </w:t>
      </w:r>
      <w:r w:rsidR="004119FE" w:rsidRPr="00C437FA">
        <w:rPr>
          <w:rFonts w:ascii="Verdana" w:hAnsi="Verdana"/>
          <w:bCs/>
          <w:i/>
          <w:sz w:val="16"/>
          <w:szCs w:val="16"/>
        </w:rPr>
        <w:t>Caso Mujeres Víctimas de Tortura Sexual en Atenco Vs. México. Excepción Preliminar, Fondo, Reparaciones y Costas</w:t>
      </w:r>
      <w:r w:rsidR="004119FE" w:rsidRPr="00C437FA">
        <w:rPr>
          <w:rFonts w:ascii="Verdana" w:hAnsi="Verdana"/>
          <w:bCs/>
          <w:sz w:val="16"/>
          <w:szCs w:val="16"/>
        </w:rPr>
        <w:t>. Sentencia de la Corte Interamericana de Derechos Humanos de 28 de noviembre de 2018. Serie C No. 371</w:t>
      </w:r>
      <w:r w:rsidR="004119FE" w:rsidRPr="00C437FA">
        <w:rPr>
          <w:rFonts w:ascii="Verdana" w:hAnsi="Verdana"/>
          <w:sz w:val="16"/>
          <w:szCs w:val="16"/>
        </w:rPr>
        <w:t>, párr. 171.</w:t>
      </w:r>
    </w:p>
  </w:footnote>
  <w:footnote w:id="65">
    <w:p w:rsidR="00B16921" w:rsidRPr="00C437FA" w:rsidRDefault="00B16921" w:rsidP="00C437FA">
      <w:pPr>
        <w:pStyle w:val="Textonotapie"/>
        <w:jc w:val="both"/>
        <w:rPr>
          <w:rFonts w:ascii="Verdana" w:hAnsi="Verdana"/>
          <w:b/>
          <w:sz w:val="16"/>
          <w:szCs w:val="16"/>
          <w:lang w:val="es-CR"/>
        </w:rPr>
      </w:pPr>
      <w:r w:rsidRPr="00C437FA">
        <w:rPr>
          <w:rStyle w:val="Refdenotaalpie"/>
          <w:szCs w:val="16"/>
        </w:rPr>
        <w:footnoteRef/>
      </w:r>
      <w:r w:rsidRPr="00C437FA">
        <w:rPr>
          <w:rFonts w:ascii="Verdana" w:hAnsi="Verdana"/>
          <w:sz w:val="16"/>
          <w:szCs w:val="16"/>
        </w:rPr>
        <w:t xml:space="preserve"> </w:t>
      </w:r>
      <w:r w:rsidR="004119FE" w:rsidRPr="00C437FA">
        <w:rPr>
          <w:rStyle w:val="Textoennegrita"/>
          <w:rFonts w:ascii="Verdana" w:hAnsi="Verdana"/>
          <w:b w:val="0"/>
          <w:color w:val="000000"/>
          <w:sz w:val="16"/>
          <w:szCs w:val="16"/>
          <w:shd w:val="clear" w:color="auto" w:fill="FFFFFF"/>
        </w:rPr>
        <w:tab/>
      </w:r>
      <w:r w:rsidR="004119FE" w:rsidRPr="00C437FA">
        <w:rPr>
          <w:rFonts w:ascii="Verdana" w:hAnsi="Verdana"/>
          <w:i/>
          <w:sz w:val="16"/>
          <w:szCs w:val="16"/>
        </w:rPr>
        <w:t xml:space="preserve">Cfr. </w:t>
      </w:r>
      <w:r w:rsidR="004119FE" w:rsidRPr="00C437FA">
        <w:rPr>
          <w:rStyle w:val="Textoennegrita"/>
          <w:rFonts w:ascii="Verdana" w:hAnsi="Verdana"/>
          <w:b w:val="0"/>
          <w:i/>
          <w:color w:val="000000"/>
          <w:sz w:val="16"/>
          <w:szCs w:val="16"/>
          <w:shd w:val="clear" w:color="auto" w:fill="FFFFFF"/>
        </w:rPr>
        <w:t>Caso Perozo y otros Vs. Venezuela. Excepciones Preliminares, Fondo, Reparaciones y Costas</w:t>
      </w:r>
      <w:r w:rsidR="004119FE" w:rsidRPr="00C437FA">
        <w:rPr>
          <w:rStyle w:val="Textoennegrita"/>
          <w:rFonts w:ascii="Verdana" w:hAnsi="Verdana"/>
          <w:b w:val="0"/>
          <w:color w:val="000000"/>
          <w:sz w:val="16"/>
          <w:szCs w:val="16"/>
          <w:shd w:val="clear" w:color="auto" w:fill="FFFFFF"/>
        </w:rPr>
        <w:t>. Sentencia de la Corte Interamericana de Derechos Humanos 28 de enero de 2009. Serie C No. 195, párr. 166.</w:t>
      </w:r>
    </w:p>
  </w:footnote>
  <w:footnote w:id="66">
    <w:p w:rsidR="00262E15" w:rsidRPr="00C437FA" w:rsidRDefault="00262E15" w:rsidP="00C437FA">
      <w:pPr>
        <w:pStyle w:val="Textonotapie"/>
        <w:jc w:val="both"/>
        <w:rPr>
          <w:rFonts w:ascii="Verdana" w:hAnsi="Verdana"/>
          <w:sz w:val="16"/>
          <w:szCs w:val="16"/>
          <w:highlight w:val="magenta"/>
        </w:rPr>
      </w:pPr>
      <w:r w:rsidRPr="00AE08F7">
        <w:rPr>
          <w:rStyle w:val="Refdenotaalpie"/>
          <w:szCs w:val="16"/>
        </w:rPr>
        <w:footnoteRef/>
      </w:r>
      <w:r w:rsidRPr="00AE08F7">
        <w:rPr>
          <w:rFonts w:ascii="Verdana" w:hAnsi="Verdana"/>
          <w:sz w:val="16"/>
          <w:szCs w:val="16"/>
        </w:rPr>
        <w:t xml:space="preserve"> </w:t>
      </w:r>
      <w:r w:rsidRPr="00AE08F7">
        <w:rPr>
          <w:rFonts w:ascii="Verdana" w:hAnsi="Verdana"/>
          <w:sz w:val="16"/>
          <w:szCs w:val="16"/>
        </w:rPr>
        <w:tab/>
      </w:r>
      <w:r w:rsidR="00AE08F7" w:rsidRPr="00AE08F7">
        <w:rPr>
          <w:rFonts w:ascii="Verdana" w:hAnsi="Verdana"/>
          <w:i/>
          <w:sz w:val="16"/>
          <w:szCs w:val="16"/>
        </w:rPr>
        <w:t>Cfr.</w:t>
      </w:r>
      <w:r w:rsidR="00AE08F7">
        <w:rPr>
          <w:rFonts w:ascii="Verdana" w:hAnsi="Verdana"/>
          <w:sz w:val="16"/>
          <w:szCs w:val="16"/>
        </w:rPr>
        <w:t xml:space="preserve"> </w:t>
      </w:r>
      <w:r w:rsidRPr="00AE08F7">
        <w:rPr>
          <w:rFonts w:ascii="Verdana" w:hAnsi="Verdana"/>
          <w:i/>
          <w:iCs/>
          <w:sz w:val="16"/>
          <w:szCs w:val="16"/>
        </w:rPr>
        <w:t>Asunto Danilo Rueda respecto de Colombia. Medidas Provisionales.</w:t>
      </w:r>
      <w:r w:rsidRPr="00AE08F7">
        <w:rPr>
          <w:rFonts w:ascii="Verdana" w:hAnsi="Verdana"/>
          <w:sz w:val="16"/>
          <w:szCs w:val="16"/>
        </w:rPr>
        <w:t xml:space="preserve"> Resolución de la Corte Interamericana de Derechos Humanos de 14 de noviembre de 2017, Considerando 15. Asimismo, </w:t>
      </w:r>
      <w:r w:rsidRPr="00AE08F7">
        <w:rPr>
          <w:rFonts w:ascii="Verdana" w:hAnsi="Verdana"/>
          <w:i/>
          <w:iCs/>
          <w:sz w:val="16"/>
          <w:szCs w:val="16"/>
        </w:rPr>
        <w:t>cfr.</w:t>
      </w:r>
      <w:r w:rsidRPr="00AE08F7">
        <w:rPr>
          <w:rFonts w:ascii="Verdana" w:hAnsi="Verdana"/>
          <w:sz w:val="16"/>
          <w:szCs w:val="16"/>
        </w:rPr>
        <w:t xml:space="preserve"> </w:t>
      </w:r>
      <w:r w:rsidRPr="00AE08F7">
        <w:rPr>
          <w:rFonts w:ascii="Verdana" w:hAnsi="Verdana"/>
          <w:i/>
          <w:iCs/>
          <w:sz w:val="16"/>
          <w:szCs w:val="16"/>
        </w:rPr>
        <w:t>Caso Lysias Fleury</w:t>
      </w:r>
      <w:r w:rsidR="0041712B">
        <w:rPr>
          <w:rFonts w:ascii="Verdana" w:hAnsi="Verdana"/>
          <w:i/>
          <w:iCs/>
          <w:sz w:val="16"/>
          <w:szCs w:val="16"/>
        </w:rPr>
        <w:t xml:space="preserve"> respecto Haití</w:t>
      </w:r>
      <w:r w:rsidRPr="00AE08F7">
        <w:rPr>
          <w:rFonts w:ascii="Verdana" w:hAnsi="Verdana"/>
          <w:sz w:val="16"/>
          <w:szCs w:val="16"/>
        </w:rPr>
        <w:t xml:space="preserve">. </w:t>
      </w:r>
      <w:r w:rsidRPr="0041712B">
        <w:rPr>
          <w:rFonts w:ascii="Verdana" w:hAnsi="Verdana"/>
          <w:i/>
          <w:sz w:val="16"/>
          <w:szCs w:val="16"/>
        </w:rPr>
        <w:t>Medidas Provisionales</w:t>
      </w:r>
      <w:r w:rsidRPr="00AE08F7">
        <w:rPr>
          <w:rFonts w:ascii="Verdana" w:hAnsi="Verdana"/>
          <w:sz w:val="16"/>
          <w:szCs w:val="16"/>
        </w:rPr>
        <w:t>. Resolución de la Corte</w:t>
      </w:r>
      <w:r w:rsidR="0041712B">
        <w:rPr>
          <w:rFonts w:ascii="Verdana" w:hAnsi="Verdana"/>
          <w:sz w:val="16"/>
          <w:szCs w:val="16"/>
        </w:rPr>
        <w:t xml:space="preserve"> Interamericana de Derechos Humanos</w:t>
      </w:r>
      <w:r w:rsidRPr="00AE08F7">
        <w:rPr>
          <w:rFonts w:ascii="Verdana" w:hAnsi="Verdana"/>
          <w:sz w:val="16"/>
          <w:szCs w:val="16"/>
        </w:rPr>
        <w:t xml:space="preserve"> de 7 de junio de 2003, Considerando quinto, y </w:t>
      </w:r>
      <w:r w:rsidRPr="00AE08F7">
        <w:rPr>
          <w:rFonts w:ascii="Verdana" w:hAnsi="Verdana"/>
          <w:i/>
          <w:iCs/>
          <w:sz w:val="16"/>
          <w:szCs w:val="16"/>
        </w:rPr>
        <w:t>Caso Nadege Dorzema y otros Vs. República Dominicana</w:t>
      </w:r>
      <w:r w:rsidRPr="00AE08F7">
        <w:rPr>
          <w:rFonts w:ascii="Verdana" w:hAnsi="Verdana"/>
          <w:sz w:val="16"/>
          <w:szCs w:val="16"/>
        </w:rPr>
        <w:t xml:space="preserve">. </w:t>
      </w:r>
      <w:r w:rsidRPr="0041712B">
        <w:rPr>
          <w:rFonts w:ascii="Verdana" w:hAnsi="Verdana"/>
          <w:i/>
          <w:sz w:val="16"/>
          <w:szCs w:val="16"/>
        </w:rPr>
        <w:t>Solicitud de Medidas Provisionales</w:t>
      </w:r>
      <w:r w:rsidRPr="00AE08F7">
        <w:rPr>
          <w:rFonts w:ascii="Verdana" w:hAnsi="Verdana"/>
          <w:sz w:val="16"/>
          <w:szCs w:val="16"/>
        </w:rPr>
        <w:t>. Resolución de la Corte Interamericana de Derechos Humanos de 23 de febrero de 2016, Considerando 12.</w:t>
      </w:r>
    </w:p>
  </w:footnote>
  <w:footnote w:id="67">
    <w:p w:rsidR="00262E15" w:rsidRPr="00C437FA" w:rsidRDefault="00262E15" w:rsidP="00C437FA">
      <w:pPr>
        <w:pStyle w:val="Textonotapie"/>
        <w:jc w:val="both"/>
        <w:rPr>
          <w:rFonts w:ascii="Verdana" w:hAnsi="Verdana"/>
          <w:sz w:val="16"/>
          <w:szCs w:val="16"/>
        </w:rPr>
      </w:pPr>
      <w:r w:rsidRPr="00402C1A">
        <w:rPr>
          <w:rStyle w:val="Refdenotaalpie"/>
          <w:szCs w:val="16"/>
        </w:rPr>
        <w:footnoteRef/>
      </w:r>
      <w:r w:rsidRPr="00402C1A">
        <w:rPr>
          <w:rFonts w:ascii="Verdana" w:hAnsi="Verdana"/>
          <w:sz w:val="16"/>
          <w:szCs w:val="16"/>
        </w:rPr>
        <w:t xml:space="preserve"> </w:t>
      </w:r>
      <w:r w:rsidRPr="00402C1A">
        <w:rPr>
          <w:rFonts w:ascii="Verdana" w:hAnsi="Verdana"/>
          <w:sz w:val="16"/>
          <w:szCs w:val="16"/>
        </w:rPr>
        <w:tab/>
      </w:r>
      <w:r w:rsidR="00402C1A" w:rsidRPr="00402C1A">
        <w:rPr>
          <w:rFonts w:ascii="Verdana" w:hAnsi="Verdana"/>
          <w:i/>
          <w:sz w:val="16"/>
          <w:szCs w:val="16"/>
        </w:rPr>
        <w:t>Cfr.</w:t>
      </w:r>
      <w:r w:rsidR="00402C1A">
        <w:rPr>
          <w:rFonts w:ascii="Verdana" w:hAnsi="Verdana"/>
          <w:sz w:val="16"/>
          <w:szCs w:val="16"/>
        </w:rPr>
        <w:t xml:space="preserve"> </w:t>
      </w:r>
      <w:r w:rsidRPr="00402C1A">
        <w:rPr>
          <w:rFonts w:ascii="Verdana" w:hAnsi="Verdana"/>
          <w:i/>
          <w:iCs/>
          <w:sz w:val="16"/>
          <w:szCs w:val="16"/>
        </w:rPr>
        <w:t>Asunto Pobladores de las Comunidades del Pueblo Indígena Miskitu de la Región Costa Caribe Norte respecto de Nicaragua.</w:t>
      </w:r>
      <w:r w:rsidRPr="00402C1A">
        <w:rPr>
          <w:rFonts w:ascii="Verdana" w:hAnsi="Verdana"/>
          <w:sz w:val="16"/>
          <w:szCs w:val="16"/>
        </w:rPr>
        <w:t xml:space="preserve"> </w:t>
      </w:r>
      <w:r w:rsidRPr="00136695">
        <w:rPr>
          <w:rFonts w:ascii="Verdana" w:hAnsi="Verdana"/>
          <w:i/>
          <w:sz w:val="16"/>
          <w:szCs w:val="16"/>
        </w:rPr>
        <w:t>Ampliación de Medidas Provisionales</w:t>
      </w:r>
      <w:r w:rsidRPr="00402C1A">
        <w:rPr>
          <w:rFonts w:ascii="Verdana" w:hAnsi="Verdana"/>
          <w:sz w:val="16"/>
          <w:szCs w:val="16"/>
        </w:rPr>
        <w:t xml:space="preserve">. Resolución de la Corte Interamericana de Derechos Humanos de 23 de agosto de 2018, Considerando 16. Asimismo, </w:t>
      </w:r>
      <w:r w:rsidRPr="00402C1A">
        <w:rPr>
          <w:rFonts w:ascii="Verdana" w:hAnsi="Verdana"/>
          <w:i/>
          <w:iCs/>
          <w:sz w:val="16"/>
          <w:szCs w:val="16"/>
        </w:rPr>
        <w:t xml:space="preserve">cfr. Caso Nogueira de Carvalho y otro Vs. Brasil. Excepciones Preliminares y Fondo. </w:t>
      </w:r>
      <w:r w:rsidRPr="00402C1A">
        <w:rPr>
          <w:rFonts w:ascii="Verdana" w:hAnsi="Verdana"/>
          <w:sz w:val="16"/>
          <w:szCs w:val="16"/>
        </w:rPr>
        <w:t>Sentencia</w:t>
      </w:r>
      <w:r w:rsidR="00136695">
        <w:rPr>
          <w:rFonts w:ascii="Verdana" w:hAnsi="Verdana"/>
          <w:sz w:val="16"/>
          <w:szCs w:val="16"/>
        </w:rPr>
        <w:t xml:space="preserve"> de la Corte Interamericana de Derechos Humanos</w:t>
      </w:r>
      <w:r w:rsidRPr="00402C1A">
        <w:rPr>
          <w:rFonts w:ascii="Verdana" w:hAnsi="Verdana"/>
          <w:sz w:val="16"/>
          <w:szCs w:val="16"/>
        </w:rPr>
        <w:t xml:space="preserve"> de 28 de noviembre de 2006. Serie C No. 161, párr. 77, y </w:t>
      </w:r>
      <w:r w:rsidRPr="00402C1A">
        <w:rPr>
          <w:rFonts w:ascii="Verdana" w:hAnsi="Verdana"/>
          <w:i/>
          <w:iCs/>
          <w:sz w:val="16"/>
          <w:szCs w:val="16"/>
        </w:rPr>
        <w:t xml:space="preserve">Asunto Mery Naranjo y otros respecto Colombia. Medidas Provisionales. </w:t>
      </w:r>
      <w:r w:rsidR="00136695">
        <w:rPr>
          <w:rFonts w:ascii="Verdana" w:hAnsi="Verdana"/>
          <w:sz w:val="16"/>
          <w:szCs w:val="16"/>
        </w:rPr>
        <w:t>Resolución de la Corte Interamericana de Derechos Humanos</w:t>
      </w:r>
      <w:r w:rsidRPr="00402C1A">
        <w:rPr>
          <w:rFonts w:ascii="Verdana" w:hAnsi="Verdana"/>
          <w:sz w:val="16"/>
          <w:szCs w:val="16"/>
        </w:rPr>
        <w:t xml:space="preserve"> de 5 de julio de 2006, Considerando 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21" w:rsidRDefault="00B16921" w:rsidP="0066602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16921" w:rsidRDefault="00B1692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0F" w:rsidRPr="00F2750F" w:rsidRDefault="00F2750F">
    <w:pPr>
      <w:pStyle w:val="Encabezado"/>
      <w:jc w:val="center"/>
      <w:rPr>
        <w:rFonts w:ascii="Verdana" w:hAnsi="Verdana"/>
        <w:sz w:val="20"/>
        <w:szCs w:val="20"/>
      </w:rPr>
    </w:pPr>
    <w:r w:rsidRPr="00F2750F">
      <w:rPr>
        <w:rFonts w:ascii="Verdana" w:hAnsi="Verdana"/>
        <w:sz w:val="20"/>
        <w:szCs w:val="20"/>
      </w:rPr>
      <w:t>-</w:t>
    </w:r>
    <w:r w:rsidRPr="00F2750F">
      <w:rPr>
        <w:rFonts w:ascii="Verdana" w:hAnsi="Verdana"/>
        <w:sz w:val="20"/>
        <w:szCs w:val="20"/>
      </w:rPr>
      <w:fldChar w:fldCharType="begin"/>
    </w:r>
    <w:r w:rsidRPr="00F2750F">
      <w:rPr>
        <w:rFonts w:ascii="Verdana" w:hAnsi="Verdana"/>
        <w:sz w:val="20"/>
        <w:szCs w:val="20"/>
      </w:rPr>
      <w:instrText>PAGE   \* MERGEFORMAT</w:instrText>
    </w:r>
    <w:r w:rsidRPr="00F2750F">
      <w:rPr>
        <w:rFonts w:ascii="Verdana" w:hAnsi="Verdana"/>
        <w:sz w:val="20"/>
        <w:szCs w:val="20"/>
      </w:rPr>
      <w:fldChar w:fldCharType="separate"/>
    </w:r>
    <w:r w:rsidR="006A49FA" w:rsidRPr="006A49FA">
      <w:rPr>
        <w:rFonts w:ascii="Verdana" w:hAnsi="Verdana"/>
        <w:noProof/>
        <w:sz w:val="20"/>
        <w:szCs w:val="20"/>
        <w:lang w:val="es-ES"/>
      </w:rPr>
      <w:t>2</w:t>
    </w:r>
    <w:r w:rsidRPr="00F2750F">
      <w:rPr>
        <w:rFonts w:ascii="Verdana" w:hAnsi="Verdana"/>
        <w:sz w:val="20"/>
        <w:szCs w:val="20"/>
      </w:rPr>
      <w:fldChar w:fldCharType="end"/>
    </w:r>
    <w:r w:rsidRPr="00F2750F">
      <w:rPr>
        <w:rFonts w:ascii="Verdana" w:hAnsi="Verdana"/>
        <w:sz w:val="20"/>
        <w:szCs w:val="20"/>
      </w:rPr>
      <w:t>-</w:t>
    </w:r>
  </w:p>
  <w:p w:rsidR="00F2750F" w:rsidRPr="00F2750F" w:rsidRDefault="00F2750F" w:rsidP="00F2750F">
    <w:pPr>
      <w:pStyle w:val="Encabezado"/>
      <w:jc w:val="center"/>
      <w:rPr>
        <w:rFonts w:ascii="Verdana" w:hAnsi="Verdana"/>
        <w:sz w:val="20"/>
        <w:szCs w:val="20"/>
        <w:lang w:val="es-C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1C0" w:rsidRDefault="00DF51C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F04F5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147BCD"/>
    <w:multiLevelType w:val="hybridMultilevel"/>
    <w:tmpl w:val="1B6A3890"/>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A3A084E"/>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BB13C54"/>
    <w:multiLevelType w:val="hybridMultilevel"/>
    <w:tmpl w:val="35021A42"/>
    <w:lvl w:ilvl="0" w:tplc="E0641AFA">
      <w:start w:val="1"/>
      <w:numFmt w:val="lowerRoman"/>
      <w:lvlText w:val="%1)"/>
      <w:lvlJc w:val="left"/>
      <w:pPr>
        <w:ind w:left="2576" w:hanging="720"/>
      </w:pPr>
      <w:rPr>
        <w:rFonts w:ascii="Verdana" w:hAnsi="Verdana" w:hint="default"/>
        <w:sz w:val="20"/>
        <w:szCs w:val="20"/>
      </w:rPr>
    </w:lvl>
    <w:lvl w:ilvl="1" w:tplc="140A0019" w:tentative="1">
      <w:start w:val="1"/>
      <w:numFmt w:val="lowerLetter"/>
      <w:lvlText w:val="%2."/>
      <w:lvlJc w:val="left"/>
      <w:pPr>
        <w:ind w:left="2936" w:hanging="360"/>
      </w:pPr>
    </w:lvl>
    <w:lvl w:ilvl="2" w:tplc="140A001B" w:tentative="1">
      <w:start w:val="1"/>
      <w:numFmt w:val="lowerRoman"/>
      <w:lvlText w:val="%3."/>
      <w:lvlJc w:val="right"/>
      <w:pPr>
        <w:ind w:left="3656" w:hanging="180"/>
      </w:pPr>
    </w:lvl>
    <w:lvl w:ilvl="3" w:tplc="140A000F" w:tentative="1">
      <w:start w:val="1"/>
      <w:numFmt w:val="decimal"/>
      <w:lvlText w:val="%4."/>
      <w:lvlJc w:val="left"/>
      <w:pPr>
        <w:ind w:left="4376" w:hanging="360"/>
      </w:pPr>
    </w:lvl>
    <w:lvl w:ilvl="4" w:tplc="140A0019" w:tentative="1">
      <w:start w:val="1"/>
      <w:numFmt w:val="lowerLetter"/>
      <w:lvlText w:val="%5."/>
      <w:lvlJc w:val="left"/>
      <w:pPr>
        <w:ind w:left="5096" w:hanging="360"/>
      </w:pPr>
    </w:lvl>
    <w:lvl w:ilvl="5" w:tplc="140A001B" w:tentative="1">
      <w:start w:val="1"/>
      <w:numFmt w:val="lowerRoman"/>
      <w:lvlText w:val="%6."/>
      <w:lvlJc w:val="right"/>
      <w:pPr>
        <w:ind w:left="5816" w:hanging="180"/>
      </w:pPr>
    </w:lvl>
    <w:lvl w:ilvl="6" w:tplc="140A000F" w:tentative="1">
      <w:start w:val="1"/>
      <w:numFmt w:val="decimal"/>
      <w:lvlText w:val="%7."/>
      <w:lvlJc w:val="left"/>
      <w:pPr>
        <w:ind w:left="6536" w:hanging="360"/>
      </w:pPr>
    </w:lvl>
    <w:lvl w:ilvl="7" w:tplc="140A0019" w:tentative="1">
      <w:start w:val="1"/>
      <w:numFmt w:val="lowerLetter"/>
      <w:lvlText w:val="%8."/>
      <w:lvlJc w:val="left"/>
      <w:pPr>
        <w:ind w:left="7256" w:hanging="360"/>
      </w:pPr>
    </w:lvl>
    <w:lvl w:ilvl="8" w:tplc="140A001B" w:tentative="1">
      <w:start w:val="1"/>
      <w:numFmt w:val="lowerRoman"/>
      <w:lvlText w:val="%9."/>
      <w:lvlJc w:val="right"/>
      <w:pPr>
        <w:ind w:left="7976" w:hanging="180"/>
      </w:pPr>
    </w:lvl>
  </w:abstractNum>
  <w:abstractNum w:abstractNumId="4" w15:restartNumberingAfterBreak="0">
    <w:nsid w:val="0FA6129F"/>
    <w:multiLevelType w:val="hybridMultilevel"/>
    <w:tmpl w:val="47A26BE8"/>
    <w:lvl w:ilvl="0" w:tplc="50F6700A">
      <w:start w:val="1"/>
      <w:numFmt w:val="lowerLetter"/>
      <w:lvlText w:val="%1)"/>
      <w:lvlJc w:val="left"/>
      <w:pPr>
        <w:tabs>
          <w:tab w:val="num" w:pos="1440"/>
        </w:tabs>
        <w:ind w:left="1440" w:hanging="360"/>
      </w:pPr>
      <w:rPr>
        <w:rFonts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5E52FA2"/>
    <w:multiLevelType w:val="hybridMultilevel"/>
    <w:tmpl w:val="ED5435E8"/>
    <w:lvl w:ilvl="0" w:tplc="514438D6">
      <w:start w:val="1"/>
      <w:numFmt w:val="decimal"/>
      <w:lvlText w:val="%1."/>
      <w:lvlJc w:val="left"/>
      <w:pPr>
        <w:tabs>
          <w:tab w:val="num" w:pos="680"/>
        </w:tabs>
        <w:ind w:left="0" w:firstLine="0"/>
      </w:pPr>
      <w:rPr>
        <w:rFonts w:hint="default"/>
        <w:b w:val="0"/>
        <w:i w:val="0"/>
        <w:strike w:val="0"/>
        <w:color w:val="auto"/>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1F786912"/>
    <w:multiLevelType w:val="hybridMultilevel"/>
    <w:tmpl w:val="776000CE"/>
    <w:lvl w:ilvl="0" w:tplc="234EB2CC">
      <w:start w:val="1"/>
      <w:numFmt w:val="decimal"/>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77610F1"/>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15:restartNumberingAfterBreak="0">
    <w:nsid w:val="293A54F7"/>
    <w:multiLevelType w:val="multilevel"/>
    <w:tmpl w:val="419C7F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90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B9A6617"/>
    <w:multiLevelType w:val="hybridMultilevel"/>
    <w:tmpl w:val="D934215C"/>
    <w:lvl w:ilvl="0" w:tplc="DC72935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2895D98"/>
    <w:multiLevelType w:val="hybridMultilevel"/>
    <w:tmpl w:val="90BCEFEC"/>
    <w:lvl w:ilvl="0" w:tplc="44500CCE">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5D23D0"/>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15:restartNumberingAfterBreak="0">
    <w:nsid w:val="39B0537B"/>
    <w:multiLevelType w:val="hybridMultilevel"/>
    <w:tmpl w:val="2678235E"/>
    <w:lvl w:ilvl="0" w:tplc="AD98BE3C">
      <w:start w:val="5"/>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15:restartNumberingAfterBreak="0">
    <w:nsid w:val="3B514748"/>
    <w:multiLevelType w:val="hybridMultilevel"/>
    <w:tmpl w:val="F0AEFC04"/>
    <w:lvl w:ilvl="0" w:tplc="4784BBE8">
      <w:start w:val="13"/>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6" w15:restartNumberingAfterBreak="0">
    <w:nsid w:val="3CF94D03"/>
    <w:multiLevelType w:val="hybridMultilevel"/>
    <w:tmpl w:val="7736F596"/>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17" w15:restartNumberingAfterBreak="0">
    <w:nsid w:val="44BD5B97"/>
    <w:multiLevelType w:val="hybridMultilevel"/>
    <w:tmpl w:val="31585912"/>
    <w:lvl w:ilvl="0" w:tplc="92DEE256">
      <w:start w:val="2"/>
      <w:numFmt w:val="lowerLetter"/>
      <w:lvlText w:val="%1."/>
      <w:lvlJc w:val="left"/>
      <w:pPr>
        <w:ind w:left="2340" w:hanging="360"/>
      </w:pPr>
      <w:rPr>
        <w:rFonts w:hint="default"/>
      </w:rPr>
    </w:lvl>
    <w:lvl w:ilvl="1" w:tplc="040A0019" w:tentative="1">
      <w:start w:val="1"/>
      <w:numFmt w:val="lowerLetter"/>
      <w:lvlText w:val="%2."/>
      <w:lvlJc w:val="left"/>
      <w:pPr>
        <w:ind w:left="3060" w:hanging="360"/>
      </w:pPr>
    </w:lvl>
    <w:lvl w:ilvl="2" w:tplc="040A001B" w:tentative="1">
      <w:start w:val="1"/>
      <w:numFmt w:val="lowerRoman"/>
      <w:lvlText w:val="%3."/>
      <w:lvlJc w:val="right"/>
      <w:pPr>
        <w:ind w:left="3780" w:hanging="180"/>
      </w:pPr>
    </w:lvl>
    <w:lvl w:ilvl="3" w:tplc="040A000F" w:tentative="1">
      <w:start w:val="1"/>
      <w:numFmt w:val="decimal"/>
      <w:lvlText w:val="%4."/>
      <w:lvlJc w:val="left"/>
      <w:pPr>
        <w:ind w:left="4500" w:hanging="360"/>
      </w:pPr>
    </w:lvl>
    <w:lvl w:ilvl="4" w:tplc="040A0019" w:tentative="1">
      <w:start w:val="1"/>
      <w:numFmt w:val="lowerLetter"/>
      <w:lvlText w:val="%5."/>
      <w:lvlJc w:val="left"/>
      <w:pPr>
        <w:ind w:left="5220" w:hanging="360"/>
      </w:pPr>
    </w:lvl>
    <w:lvl w:ilvl="5" w:tplc="040A001B" w:tentative="1">
      <w:start w:val="1"/>
      <w:numFmt w:val="lowerRoman"/>
      <w:lvlText w:val="%6."/>
      <w:lvlJc w:val="right"/>
      <w:pPr>
        <w:ind w:left="5940" w:hanging="180"/>
      </w:pPr>
    </w:lvl>
    <w:lvl w:ilvl="6" w:tplc="040A000F" w:tentative="1">
      <w:start w:val="1"/>
      <w:numFmt w:val="decimal"/>
      <w:lvlText w:val="%7."/>
      <w:lvlJc w:val="left"/>
      <w:pPr>
        <w:ind w:left="6660" w:hanging="360"/>
      </w:pPr>
    </w:lvl>
    <w:lvl w:ilvl="7" w:tplc="040A0019" w:tentative="1">
      <w:start w:val="1"/>
      <w:numFmt w:val="lowerLetter"/>
      <w:lvlText w:val="%8."/>
      <w:lvlJc w:val="left"/>
      <w:pPr>
        <w:ind w:left="7380" w:hanging="360"/>
      </w:pPr>
    </w:lvl>
    <w:lvl w:ilvl="8" w:tplc="040A001B" w:tentative="1">
      <w:start w:val="1"/>
      <w:numFmt w:val="lowerRoman"/>
      <w:lvlText w:val="%9."/>
      <w:lvlJc w:val="right"/>
      <w:pPr>
        <w:ind w:left="8100" w:hanging="180"/>
      </w:pPr>
    </w:lvl>
  </w:abstractNum>
  <w:abstractNum w:abstractNumId="18" w15:restartNumberingAfterBreak="0">
    <w:nsid w:val="47E85DFB"/>
    <w:multiLevelType w:val="hybridMultilevel"/>
    <w:tmpl w:val="0B448890"/>
    <w:lvl w:ilvl="0" w:tplc="AB4AEBC6">
      <w:start w:val="1"/>
      <w:numFmt w:val="lowerLetter"/>
      <w:lvlText w:val="%1)"/>
      <w:lvlJc w:val="left"/>
      <w:pPr>
        <w:ind w:left="1440" w:hanging="360"/>
      </w:pPr>
      <w:rPr>
        <w:rFonts w:hint="default"/>
      </w:rPr>
    </w:lvl>
    <w:lvl w:ilvl="1" w:tplc="7C2640B2">
      <w:start w:val="1"/>
      <w:numFmt w:val="lowerLetter"/>
      <w:lvlText w:val="%2."/>
      <w:lvlJc w:val="left"/>
      <w:pPr>
        <w:ind w:left="2160" w:hanging="360"/>
      </w:pPr>
      <w:rPr>
        <w:i w:val="0"/>
        <w:color w:val="auto"/>
        <w:sz w:val="20"/>
        <w:szCs w:val="20"/>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4801165B"/>
    <w:multiLevelType w:val="hybridMultilevel"/>
    <w:tmpl w:val="E26CDEBE"/>
    <w:lvl w:ilvl="0" w:tplc="72423624">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15:restartNumberingAfterBreak="0">
    <w:nsid w:val="486B6B03"/>
    <w:multiLevelType w:val="hybridMultilevel"/>
    <w:tmpl w:val="04FCB144"/>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48E77972"/>
    <w:multiLevelType w:val="hybridMultilevel"/>
    <w:tmpl w:val="FEACB58A"/>
    <w:lvl w:ilvl="0" w:tplc="DE34F680">
      <w:start w:val="1"/>
      <w:numFmt w:val="lowerLetter"/>
      <w:lvlText w:val="%1)"/>
      <w:lvlJc w:val="left"/>
      <w:pPr>
        <w:ind w:left="720" w:hanging="360"/>
      </w:pPr>
      <w:rPr>
        <w:rFonts w:ascii="Verdana" w:eastAsia="MS Mincho" w:hAnsi="Verdana" w:cs="Times New Roman"/>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970098F"/>
    <w:multiLevelType w:val="hybridMultilevel"/>
    <w:tmpl w:val="510CD2AC"/>
    <w:lvl w:ilvl="0" w:tplc="79D4F486">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15:restartNumberingAfterBreak="0">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24" w15:restartNumberingAfterBreak="0">
    <w:nsid w:val="50686BCF"/>
    <w:multiLevelType w:val="singleLevel"/>
    <w:tmpl w:val="4E36C3E0"/>
    <w:lvl w:ilvl="0">
      <w:start w:val="2"/>
      <w:numFmt w:val="upperRoman"/>
      <w:lvlText w:val="%1."/>
      <w:lvlJc w:val="left"/>
      <w:pPr>
        <w:tabs>
          <w:tab w:val="num" w:pos="1440"/>
        </w:tabs>
        <w:ind w:left="1440" w:hanging="720"/>
      </w:pPr>
      <w:rPr>
        <w:rFonts w:hint="default"/>
      </w:rPr>
    </w:lvl>
  </w:abstractNum>
  <w:abstractNum w:abstractNumId="25" w15:restartNumberingAfterBreak="0">
    <w:nsid w:val="5DC354A9"/>
    <w:multiLevelType w:val="hybridMultilevel"/>
    <w:tmpl w:val="8158AD7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F0876D0"/>
    <w:multiLevelType w:val="hybridMultilevel"/>
    <w:tmpl w:val="86FE48A0"/>
    <w:lvl w:ilvl="0" w:tplc="A648AAF2">
      <w:start w:val="1"/>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7" w15:restartNumberingAfterBreak="0">
    <w:nsid w:val="61402C7C"/>
    <w:multiLevelType w:val="hybridMultilevel"/>
    <w:tmpl w:val="4766AAC4"/>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0C0A0019">
      <w:start w:val="1"/>
      <w:numFmt w:val="lowerLetter"/>
      <w:lvlText w:val="%2."/>
      <w:lvlJc w:val="left"/>
      <w:pPr>
        <w:tabs>
          <w:tab w:val="num" w:pos="990"/>
        </w:tabs>
        <w:ind w:left="990" w:hanging="360"/>
      </w:pPr>
      <w:rPr>
        <w:rFonts w:hint="default"/>
        <w:b w:val="0"/>
        <w:i w:val="0"/>
        <w:color w:val="auto"/>
        <w:sz w:val="20"/>
        <w:szCs w:val="20"/>
      </w:rPr>
    </w:lvl>
    <w:lvl w:ilvl="2" w:tplc="CF800ABE">
      <w:start w:val="1"/>
      <w:numFmt w:val="decimal"/>
      <w:lvlText w:val="%3."/>
      <w:lvlJc w:val="left"/>
      <w:pPr>
        <w:tabs>
          <w:tab w:val="num" w:pos="2340"/>
        </w:tabs>
        <w:ind w:left="2340" w:hanging="360"/>
      </w:pPr>
      <w:rPr>
        <w:rFonts w:hint="default"/>
        <w:b w:val="0"/>
        <w:i w:val="0"/>
        <w:strike w:val="0"/>
        <w:color w:val="auto"/>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4416843"/>
    <w:multiLevelType w:val="hybridMultilevel"/>
    <w:tmpl w:val="88ACB904"/>
    <w:lvl w:ilvl="0" w:tplc="475213E2">
      <w:start w:val="6"/>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9" w15:restartNumberingAfterBreak="0">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744010E1"/>
    <w:multiLevelType w:val="hybridMultilevel"/>
    <w:tmpl w:val="1F0A1BE6"/>
    <w:lvl w:ilvl="0" w:tplc="F172E020">
      <w:start w:val="1"/>
      <w:numFmt w:val="decimal"/>
      <w:lvlText w:val="%1."/>
      <w:lvlJc w:val="left"/>
      <w:pPr>
        <w:tabs>
          <w:tab w:val="num" w:pos="360"/>
        </w:tabs>
        <w:ind w:left="360" w:hanging="360"/>
      </w:pPr>
      <w:rPr>
        <w:rFonts w:ascii="Verdana" w:hAnsi="Verdana" w:hint="default"/>
        <w:b w:val="0"/>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854122F"/>
    <w:multiLevelType w:val="hybridMultilevel"/>
    <w:tmpl w:val="A69AE7C4"/>
    <w:lvl w:ilvl="0" w:tplc="0458EA48">
      <w:start w:val="1"/>
      <w:numFmt w:val="decimal"/>
      <w:lvlText w:val="%1."/>
      <w:lvlJc w:val="left"/>
      <w:pPr>
        <w:tabs>
          <w:tab w:val="num" w:pos="1065"/>
        </w:tabs>
        <w:ind w:left="1065" w:hanging="705"/>
      </w:pPr>
      <w:rPr>
        <w:rFonts w:ascii="Verdana" w:hAnsi="Verdana" w:hint="default"/>
        <w:b w:val="0"/>
        <w:i w:val="0"/>
        <w:sz w:val="20"/>
        <w:szCs w:val="20"/>
        <w:lang w:val="es-CR"/>
      </w:rPr>
    </w:lvl>
    <w:lvl w:ilvl="1" w:tplc="BF5254CC">
      <w:start w:val="1"/>
      <w:numFmt w:val="decimal"/>
      <w:lvlText w:val="%2."/>
      <w:lvlJc w:val="left"/>
      <w:pPr>
        <w:tabs>
          <w:tab w:val="num" w:pos="1080"/>
        </w:tabs>
        <w:ind w:left="1080" w:firstLine="0"/>
      </w:pPr>
      <w:rPr>
        <w:rFonts w:ascii="Verdana" w:hAnsi="Verdana" w:hint="default"/>
        <w:b w:val="0"/>
        <w:i w:val="0"/>
        <w:strike w:val="0"/>
        <w:sz w:val="20"/>
        <w:szCs w:val="20"/>
        <w:lang w:val="es-MX"/>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E16030"/>
    <w:multiLevelType w:val="hybridMultilevel"/>
    <w:tmpl w:val="666CA3B6"/>
    <w:lvl w:ilvl="0" w:tplc="2C8EB4C8">
      <w:start w:val="1"/>
      <w:numFmt w:val="lowerLetter"/>
      <w:lvlText w:val="%1."/>
      <w:lvlJc w:val="left"/>
      <w:pPr>
        <w:ind w:left="1080" w:hanging="360"/>
      </w:pPr>
      <w:rPr>
        <w:rFonts w:ascii="Verdana" w:eastAsia="MS Mincho"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10"/>
  </w:num>
  <w:num w:numId="3">
    <w:abstractNumId w:val="7"/>
  </w:num>
  <w:num w:numId="4">
    <w:abstractNumId w:val="29"/>
  </w:num>
  <w:num w:numId="5">
    <w:abstractNumId w:val="23"/>
  </w:num>
  <w:num w:numId="6">
    <w:abstractNumId w:val="16"/>
  </w:num>
  <w:num w:numId="7">
    <w:abstractNumId w:val="5"/>
  </w:num>
  <w:num w:numId="8">
    <w:abstractNumId w:val="22"/>
  </w:num>
  <w:num w:numId="9">
    <w:abstractNumId w:val="19"/>
  </w:num>
  <w:num w:numId="10">
    <w:abstractNumId w:val="14"/>
  </w:num>
  <w:num w:numId="11">
    <w:abstractNumId w:val="28"/>
  </w:num>
  <w:num w:numId="12">
    <w:abstractNumId w:val="15"/>
  </w:num>
  <w:num w:numId="13">
    <w:abstractNumId w:val="26"/>
  </w:num>
  <w:num w:numId="14">
    <w:abstractNumId w:val="9"/>
  </w:num>
  <w:num w:numId="15">
    <w:abstractNumId w:val="13"/>
  </w:num>
  <w:num w:numId="16">
    <w:abstractNumId w:val="18"/>
  </w:num>
  <w:num w:numId="17">
    <w:abstractNumId w:val="4"/>
  </w:num>
  <w:num w:numId="18">
    <w:abstractNumId w:val="25"/>
  </w:num>
  <w:num w:numId="19">
    <w:abstractNumId w:val="24"/>
  </w:num>
  <w:num w:numId="20">
    <w:abstractNumId w:val="0"/>
  </w:num>
  <w:num w:numId="21">
    <w:abstractNumId w:val="20"/>
  </w:num>
  <w:num w:numId="22">
    <w:abstractNumId w:val="31"/>
  </w:num>
  <w:num w:numId="23">
    <w:abstractNumId w:val="6"/>
  </w:num>
  <w:num w:numId="24">
    <w:abstractNumId w:val="32"/>
  </w:num>
  <w:num w:numId="25">
    <w:abstractNumId w:val="3"/>
  </w:num>
  <w:num w:numId="26">
    <w:abstractNumId w:val="8"/>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7"/>
  </w:num>
  <w:num w:numId="31">
    <w:abstractNumId w:val="11"/>
  </w:num>
  <w:num w:numId="32">
    <w:abstractNumId w:val="12"/>
  </w:num>
  <w:num w:numId="33">
    <w:abstractNumId w:val="2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131078" w:nlCheck="1" w:checkStyle="0"/>
  <w:activeWritingStyle w:appName="MSWord" w:lang="es-ES" w:vendorID="64" w:dllVersion="131078" w:nlCheck="1" w:checkStyle="0"/>
  <w:activeWritingStyle w:appName="MSWord" w:lang="es-CR"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AR" w:vendorID="64" w:dllVersion="131078" w:nlCheck="1" w:checkStyle="0"/>
  <w:activeWritingStyle w:appName="MSWord" w:lang="es-US" w:vendorID="64" w:dllVersion="131078" w:nlCheck="1" w:checkStyle="1"/>
  <w:activeWritingStyle w:appName="MSWord" w:lang="es-CO" w:vendorID="64" w:dllVersion="131078" w:nlCheck="1" w:checkStyle="0"/>
  <w:activeWritingStyle w:appName="MSWord" w:lang="es-NI" w:vendorID="64" w:dllVersion="131078" w:nlCheck="1" w:checkStyle="0"/>
  <w:activeWritingStyle w:appName="MSWord" w:lang="es-CR" w:vendorID="64" w:dllVersion="4096" w:nlCheck="1" w:checkStyle="0"/>
  <w:activeWritingStyle w:appName="MSWord" w:lang="es-NI" w:vendorID="64" w:dllVersion="4096" w:nlCheck="1" w:checkStyle="0"/>
  <w:activeWritingStyle w:appName="MSWord" w:lang="es-AR" w:vendorID="64" w:dllVersion="4096" w:nlCheck="1" w:checkStyle="0"/>
  <w:activeWritingStyle w:appName="MSWord" w:lang="es-CO" w:vendorID="64" w:dllVersion="4096" w:nlCheck="1" w:checkStyle="0"/>
  <w:activeWritingStyle w:appName="MSWord" w:lang="es-MX"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E75"/>
    <w:rsid w:val="00001402"/>
    <w:rsid w:val="000019CA"/>
    <w:rsid w:val="00002FDC"/>
    <w:rsid w:val="000038C0"/>
    <w:rsid w:val="00006B63"/>
    <w:rsid w:val="00007CBB"/>
    <w:rsid w:val="000104AA"/>
    <w:rsid w:val="00011A28"/>
    <w:rsid w:val="0001422A"/>
    <w:rsid w:val="000247D5"/>
    <w:rsid w:val="0002548F"/>
    <w:rsid w:val="00030BBF"/>
    <w:rsid w:val="00031438"/>
    <w:rsid w:val="00031B66"/>
    <w:rsid w:val="00032604"/>
    <w:rsid w:val="00032C95"/>
    <w:rsid w:val="00035469"/>
    <w:rsid w:val="000374E2"/>
    <w:rsid w:val="000433D2"/>
    <w:rsid w:val="0005030B"/>
    <w:rsid w:val="00053820"/>
    <w:rsid w:val="00053EDF"/>
    <w:rsid w:val="00057FE4"/>
    <w:rsid w:val="0006187F"/>
    <w:rsid w:val="00065511"/>
    <w:rsid w:val="00067330"/>
    <w:rsid w:val="000713A8"/>
    <w:rsid w:val="0007277B"/>
    <w:rsid w:val="0008021D"/>
    <w:rsid w:val="0008052F"/>
    <w:rsid w:val="00085C2B"/>
    <w:rsid w:val="0008762D"/>
    <w:rsid w:val="000879AA"/>
    <w:rsid w:val="00096C69"/>
    <w:rsid w:val="00097E28"/>
    <w:rsid w:val="000A192A"/>
    <w:rsid w:val="000A5F1C"/>
    <w:rsid w:val="000B3747"/>
    <w:rsid w:val="000B7510"/>
    <w:rsid w:val="000C1116"/>
    <w:rsid w:val="000C1245"/>
    <w:rsid w:val="000C2214"/>
    <w:rsid w:val="000C46FD"/>
    <w:rsid w:val="000D6C7E"/>
    <w:rsid w:val="000D6E8F"/>
    <w:rsid w:val="000E464B"/>
    <w:rsid w:val="000E6BDF"/>
    <w:rsid w:val="000F5C26"/>
    <w:rsid w:val="000F6957"/>
    <w:rsid w:val="00100A5A"/>
    <w:rsid w:val="0011210A"/>
    <w:rsid w:val="001221C3"/>
    <w:rsid w:val="0012224F"/>
    <w:rsid w:val="00122C07"/>
    <w:rsid w:val="001274DC"/>
    <w:rsid w:val="00130836"/>
    <w:rsid w:val="0013181E"/>
    <w:rsid w:val="00131930"/>
    <w:rsid w:val="00131D3B"/>
    <w:rsid w:val="00132738"/>
    <w:rsid w:val="00136695"/>
    <w:rsid w:val="00140D72"/>
    <w:rsid w:val="0014188E"/>
    <w:rsid w:val="00142D58"/>
    <w:rsid w:val="0014398E"/>
    <w:rsid w:val="00143D68"/>
    <w:rsid w:val="00146066"/>
    <w:rsid w:val="00147B14"/>
    <w:rsid w:val="0015061E"/>
    <w:rsid w:val="00151277"/>
    <w:rsid w:val="00153FEC"/>
    <w:rsid w:val="001557C0"/>
    <w:rsid w:val="001562CD"/>
    <w:rsid w:val="0016616E"/>
    <w:rsid w:val="0017025F"/>
    <w:rsid w:val="001706A7"/>
    <w:rsid w:val="001749A3"/>
    <w:rsid w:val="0017658F"/>
    <w:rsid w:val="0017727C"/>
    <w:rsid w:val="00180DF9"/>
    <w:rsid w:val="00183806"/>
    <w:rsid w:val="0018625F"/>
    <w:rsid w:val="00192BA2"/>
    <w:rsid w:val="00192C31"/>
    <w:rsid w:val="00194A3F"/>
    <w:rsid w:val="00195C3A"/>
    <w:rsid w:val="001A0E7C"/>
    <w:rsid w:val="001A46D1"/>
    <w:rsid w:val="001A4DDA"/>
    <w:rsid w:val="001B0BD5"/>
    <w:rsid w:val="001B2B39"/>
    <w:rsid w:val="001B37A0"/>
    <w:rsid w:val="001B4AD4"/>
    <w:rsid w:val="001B7628"/>
    <w:rsid w:val="001C07A1"/>
    <w:rsid w:val="001C0BAA"/>
    <w:rsid w:val="001C16D4"/>
    <w:rsid w:val="001C58EA"/>
    <w:rsid w:val="001C748B"/>
    <w:rsid w:val="001C7E58"/>
    <w:rsid w:val="001C7FB7"/>
    <w:rsid w:val="001D1359"/>
    <w:rsid w:val="001D3790"/>
    <w:rsid w:val="001D73F5"/>
    <w:rsid w:val="001E00B5"/>
    <w:rsid w:val="001F7112"/>
    <w:rsid w:val="0020510E"/>
    <w:rsid w:val="002205E7"/>
    <w:rsid w:val="002214D7"/>
    <w:rsid w:val="00222B38"/>
    <w:rsid w:val="00223430"/>
    <w:rsid w:val="00226415"/>
    <w:rsid w:val="00233681"/>
    <w:rsid w:val="00236766"/>
    <w:rsid w:val="002377BB"/>
    <w:rsid w:val="00237E3D"/>
    <w:rsid w:val="00242AF9"/>
    <w:rsid w:val="002443B4"/>
    <w:rsid w:val="00246B73"/>
    <w:rsid w:val="0025204D"/>
    <w:rsid w:val="00257658"/>
    <w:rsid w:val="002577C9"/>
    <w:rsid w:val="00260A56"/>
    <w:rsid w:val="002611F3"/>
    <w:rsid w:val="00262E15"/>
    <w:rsid w:val="002664A9"/>
    <w:rsid w:val="002765EF"/>
    <w:rsid w:val="00291046"/>
    <w:rsid w:val="00291A41"/>
    <w:rsid w:val="00297618"/>
    <w:rsid w:val="002A0C6E"/>
    <w:rsid w:val="002A318D"/>
    <w:rsid w:val="002A5B61"/>
    <w:rsid w:val="002A6179"/>
    <w:rsid w:val="002A68EC"/>
    <w:rsid w:val="002A7AE7"/>
    <w:rsid w:val="002B2DFB"/>
    <w:rsid w:val="002B6241"/>
    <w:rsid w:val="002B679E"/>
    <w:rsid w:val="002B720B"/>
    <w:rsid w:val="002B7368"/>
    <w:rsid w:val="002C00C2"/>
    <w:rsid w:val="002C0979"/>
    <w:rsid w:val="002C0A43"/>
    <w:rsid w:val="002C229C"/>
    <w:rsid w:val="002C652D"/>
    <w:rsid w:val="002D4E3A"/>
    <w:rsid w:val="002D65B6"/>
    <w:rsid w:val="002E1BA5"/>
    <w:rsid w:val="002E2CD1"/>
    <w:rsid w:val="002E51EE"/>
    <w:rsid w:val="002E53DB"/>
    <w:rsid w:val="002E5E20"/>
    <w:rsid w:val="002F1EA1"/>
    <w:rsid w:val="002F3A81"/>
    <w:rsid w:val="00302191"/>
    <w:rsid w:val="003024E5"/>
    <w:rsid w:val="003059DF"/>
    <w:rsid w:val="003066AC"/>
    <w:rsid w:val="00307E6D"/>
    <w:rsid w:val="0031162D"/>
    <w:rsid w:val="0032301A"/>
    <w:rsid w:val="00326699"/>
    <w:rsid w:val="003302B3"/>
    <w:rsid w:val="00332E13"/>
    <w:rsid w:val="00336CB8"/>
    <w:rsid w:val="003425C5"/>
    <w:rsid w:val="00343866"/>
    <w:rsid w:val="003466B6"/>
    <w:rsid w:val="003609A9"/>
    <w:rsid w:val="00362DDD"/>
    <w:rsid w:val="003632F5"/>
    <w:rsid w:val="00366B39"/>
    <w:rsid w:val="00371FDF"/>
    <w:rsid w:val="00372A1F"/>
    <w:rsid w:val="0037361E"/>
    <w:rsid w:val="00375F6F"/>
    <w:rsid w:val="00376631"/>
    <w:rsid w:val="0037721F"/>
    <w:rsid w:val="0037785B"/>
    <w:rsid w:val="00382061"/>
    <w:rsid w:val="00387903"/>
    <w:rsid w:val="00392856"/>
    <w:rsid w:val="00392F74"/>
    <w:rsid w:val="003951B2"/>
    <w:rsid w:val="003A0493"/>
    <w:rsid w:val="003A2A6C"/>
    <w:rsid w:val="003A7A5B"/>
    <w:rsid w:val="003A7D09"/>
    <w:rsid w:val="003B1732"/>
    <w:rsid w:val="003B287D"/>
    <w:rsid w:val="003B5200"/>
    <w:rsid w:val="003B79CC"/>
    <w:rsid w:val="003C2DFF"/>
    <w:rsid w:val="003D0290"/>
    <w:rsid w:val="003D1152"/>
    <w:rsid w:val="003D4D9D"/>
    <w:rsid w:val="003E4543"/>
    <w:rsid w:val="003E504E"/>
    <w:rsid w:val="003E5456"/>
    <w:rsid w:val="003E5782"/>
    <w:rsid w:val="003E6966"/>
    <w:rsid w:val="003E713A"/>
    <w:rsid w:val="003F0D2E"/>
    <w:rsid w:val="003F40D1"/>
    <w:rsid w:val="003F7052"/>
    <w:rsid w:val="003F7EEB"/>
    <w:rsid w:val="00402C1A"/>
    <w:rsid w:val="00402E26"/>
    <w:rsid w:val="00402E7D"/>
    <w:rsid w:val="00406842"/>
    <w:rsid w:val="00411085"/>
    <w:rsid w:val="0041189F"/>
    <w:rsid w:val="004119FE"/>
    <w:rsid w:val="00413B8A"/>
    <w:rsid w:val="00414C7C"/>
    <w:rsid w:val="0041712B"/>
    <w:rsid w:val="00421E07"/>
    <w:rsid w:val="00424399"/>
    <w:rsid w:val="004261DA"/>
    <w:rsid w:val="004346EF"/>
    <w:rsid w:val="00435D62"/>
    <w:rsid w:val="00453C59"/>
    <w:rsid w:val="00454878"/>
    <w:rsid w:val="004573EB"/>
    <w:rsid w:val="00457717"/>
    <w:rsid w:val="004579B0"/>
    <w:rsid w:val="004627F0"/>
    <w:rsid w:val="0046341A"/>
    <w:rsid w:val="00466DD9"/>
    <w:rsid w:val="0047314F"/>
    <w:rsid w:val="00474945"/>
    <w:rsid w:val="00474E2F"/>
    <w:rsid w:val="004765E5"/>
    <w:rsid w:val="00493984"/>
    <w:rsid w:val="004946A0"/>
    <w:rsid w:val="00494CAE"/>
    <w:rsid w:val="004950BF"/>
    <w:rsid w:val="00496E5A"/>
    <w:rsid w:val="004976EC"/>
    <w:rsid w:val="004A577E"/>
    <w:rsid w:val="004A5807"/>
    <w:rsid w:val="004A7F16"/>
    <w:rsid w:val="004B166B"/>
    <w:rsid w:val="004B2AA5"/>
    <w:rsid w:val="004B3A7B"/>
    <w:rsid w:val="004B4330"/>
    <w:rsid w:val="004B67B4"/>
    <w:rsid w:val="004C314B"/>
    <w:rsid w:val="004C69AE"/>
    <w:rsid w:val="004C7FA8"/>
    <w:rsid w:val="004D2267"/>
    <w:rsid w:val="004E0DBF"/>
    <w:rsid w:val="004E306B"/>
    <w:rsid w:val="004E5D8B"/>
    <w:rsid w:val="004E6141"/>
    <w:rsid w:val="004E618F"/>
    <w:rsid w:val="004E698C"/>
    <w:rsid w:val="004E6B04"/>
    <w:rsid w:val="004F0B30"/>
    <w:rsid w:val="004F4C03"/>
    <w:rsid w:val="0050498F"/>
    <w:rsid w:val="005063C6"/>
    <w:rsid w:val="00514D1B"/>
    <w:rsid w:val="00515B28"/>
    <w:rsid w:val="00522EB5"/>
    <w:rsid w:val="00523B47"/>
    <w:rsid w:val="00526723"/>
    <w:rsid w:val="00527A0B"/>
    <w:rsid w:val="0053166A"/>
    <w:rsid w:val="00533B6B"/>
    <w:rsid w:val="0053624D"/>
    <w:rsid w:val="005411A3"/>
    <w:rsid w:val="0054207C"/>
    <w:rsid w:val="00542F40"/>
    <w:rsid w:val="0054413B"/>
    <w:rsid w:val="00550CBA"/>
    <w:rsid w:val="00551D31"/>
    <w:rsid w:val="005552F0"/>
    <w:rsid w:val="00556228"/>
    <w:rsid w:val="00557A84"/>
    <w:rsid w:val="00564D13"/>
    <w:rsid w:val="00567B20"/>
    <w:rsid w:val="00567BDE"/>
    <w:rsid w:val="00571D43"/>
    <w:rsid w:val="00573779"/>
    <w:rsid w:val="005748DC"/>
    <w:rsid w:val="0058357A"/>
    <w:rsid w:val="00583DF8"/>
    <w:rsid w:val="0058577E"/>
    <w:rsid w:val="00593C60"/>
    <w:rsid w:val="005A1D91"/>
    <w:rsid w:val="005A4780"/>
    <w:rsid w:val="005A6B5F"/>
    <w:rsid w:val="005A79C5"/>
    <w:rsid w:val="005B3278"/>
    <w:rsid w:val="005B609C"/>
    <w:rsid w:val="005C297E"/>
    <w:rsid w:val="005C5679"/>
    <w:rsid w:val="005D0552"/>
    <w:rsid w:val="005D30A2"/>
    <w:rsid w:val="005D5656"/>
    <w:rsid w:val="005D5791"/>
    <w:rsid w:val="005D742A"/>
    <w:rsid w:val="005E22DA"/>
    <w:rsid w:val="005E2791"/>
    <w:rsid w:val="005E5269"/>
    <w:rsid w:val="005F5A67"/>
    <w:rsid w:val="005F774B"/>
    <w:rsid w:val="00602AB6"/>
    <w:rsid w:val="00612E96"/>
    <w:rsid w:val="006137B1"/>
    <w:rsid w:val="00614E11"/>
    <w:rsid w:val="00625592"/>
    <w:rsid w:val="00626648"/>
    <w:rsid w:val="00652EE3"/>
    <w:rsid w:val="0066431A"/>
    <w:rsid w:val="00664359"/>
    <w:rsid w:val="00666028"/>
    <w:rsid w:val="00685E1B"/>
    <w:rsid w:val="006938F7"/>
    <w:rsid w:val="00693A9C"/>
    <w:rsid w:val="006952CC"/>
    <w:rsid w:val="0069666C"/>
    <w:rsid w:val="006978BA"/>
    <w:rsid w:val="006A09E7"/>
    <w:rsid w:val="006A1BCE"/>
    <w:rsid w:val="006A49FA"/>
    <w:rsid w:val="006A4C03"/>
    <w:rsid w:val="006A4E64"/>
    <w:rsid w:val="006A664D"/>
    <w:rsid w:val="006B0266"/>
    <w:rsid w:val="006B424B"/>
    <w:rsid w:val="006B4D25"/>
    <w:rsid w:val="006D33DF"/>
    <w:rsid w:val="006D42DB"/>
    <w:rsid w:val="006D52DC"/>
    <w:rsid w:val="006F1ED6"/>
    <w:rsid w:val="006F3937"/>
    <w:rsid w:val="006F4C16"/>
    <w:rsid w:val="006F7F1F"/>
    <w:rsid w:val="00700233"/>
    <w:rsid w:val="007027F3"/>
    <w:rsid w:val="007049C2"/>
    <w:rsid w:val="00706A01"/>
    <w:rsid w:val="0071109F"/>
    <w:rsid w:val="00711975"/>
    <w:rsid w:val="00713774"/>
    <w:rsid w:val="00714265"/>
    <w:rsid w:val="00722A47"/>
    <w:rsid w:val="00722EDC"/>
    <w:rsid w:val="00722FA6"/>
    <w:rsid w:val="00730164"/>
    <w:rsid w:val="00730EE2"/>
    <w:rsid w:val="00732C83"/>
    <w:rsid w:val="00741665"/>
    <w:rsid w:val="00743808"/>
    <w:rsid w:val="00747CEF"/>
    <w:rsid w:val="00751AF9"/>
    <w:rsid w:val="00752873"/>
    <w:rsid w:val="00760C27"/>
    <w:rsid w:val="00762974"/>
    <w:rsid w:val="00762F0F"/>
    <w:rsid w:val="007659F0"/>
    <w:rsid w:val="00767EA9"/>
    <w:rsid w:val="00771B29"/>
    <w:rsid w:val="00773FC1"/>
    <w:rsid w:val="00775E36"/>
    <w:rsid w:val="0078092A"/>
    <w:rsid w:val="0078432F"/>
    <w:rsid w:val="00794F79"/>
    <w:rsid w:val="007952DB"/>
    <w:rsid w:val="00796E49"/>
    <w:rsid w:val="007A0357"/>
    <w:rsid w:val="007A3706"/>
    <w:rsid w:val="007B4678"/>
    <w:rsid w:val="007B6778"/>
    <w:rsid w:val="007B7BB4"/>
    <w:rsid w:val="007C1AF9"/>
    <w:rsid w:val="007C38DF"/>
    <w:rsid w:val="007C3C26"/>
    <w:rsid w:val="007C4D93"/>
    <w:rsid w:val="007C51FB"/>
    <w:rsid w:val="007C589E"/>
    <w:rsid w:val="007C6F1D"/>
    <w:rsid w:val="007C7DC0"/>
    <w:rsid w:val="007D12DC"/>
    <w:rsid w:val="007D4311"/>
    <w:rsid w:val="007D7FE8"/>
    <w:rsid w:val="007E120B"/>
    <w:rsid w:val="007E12EB"/>
    <w:rsid w:val="007E26C3"/>
    <w:rsid w:val="007F3A0B"/>
    <w:rsid w:val="00807B52"/>
    <w:rsid w:val="00814314"/>
    <w:rsid w:val="00820C71"/>
    <w:rsid w:val="008219E7"/>
    <w:rsid w:val="008237D8"/>
    <w:rsid w:val="008279D1"/>
    <w:rsid w:val="0083071A"/>
    <w:rsid w:val="0083111E"/>
    <w:rsid w:val="00841675"/>
    <w:rsid w:val="0084234F"/>
    <w:rsid w:val="00842A95"/>
    <w:rsid w:val="00850B0B"/>
    <w:rsid w:val="00852CC6"/>
    <w:rsid w:val="008540D0"/>
    <w:rsid w:val="00862968"/>
    <w:rsid w:val="00862B8E"/>
    <w:rsid w:val="00863723"/>
    <w:rsid w:val="008809A5"/>
    <w:rsid w:val="00881FB4"/>
    <w:rsid w:val="00882D5E"/>
    <w:rsid w:val="00882DD5"/>
    <w:rsid w:val="0088438C"/>
    <w:rsid w:val="00895003"/>
    <w:rsid w:val="00897E1E"/>
    <w:rsid w:val="008A11BD"/>
    <w:rsid w:val="008A524B"/>
    <w:rsid w:val="008B4B59"/>
    <w:rsid w:val="008B5494"/>
    <w:rsid w:val="008B7783"/>
    <w:rsid w:val="008B780D"/>
    <w:rsid w:val="008C0F9A"/>
    <w:rsid w:val="008C3F52"/>
    <w:rsid w:val="008D33C4"/>
    <w:rsid w:val="008E3A41"/>
    <w:rsid w:val="008E460F"/>
    <w:rsid w:val="008E4F2A"/>
    <w:rsid w:val="008F1D00"/>
    <w:rsid w:val="008F2D17"/>
    <w:rsid w:val="008F40E5"/>
    <w:rsid w:val="008F41BE"/>
    <w:rsid w:val="008F43CA"/>
    <w:rsid w:val="008F6FDF"/>
    <w:rsid w:val="008F75D5"/>
    <w:rsid w:val="008F7707"/>
    <w:rsid w:val="00907F9E"/>
    <w:rsid w:val="0091263F"/>
    <w:rsid w:val="00913979"/>
    <w:rsid w:val="0091668F"/>
    <w:rsid w:val="00916F49"/>
    <w:rsid w:val="00920D5C"/>
    <w:rsid w:val="00926818"/>
    <w:rsid w:val="00933E4D"/>
    <w:rsid w:val="00934980"/>
    <w:rsid w:val="0093650D"/>
    <w:rsid w:val="00943B9C"/>
    <w:rsid w:val="009466D7"/>
    <w:rsid w:val="009532E5"/>
    <w:rsid w:val="0095355E"/>
    <w:rsid w:val="009543D6"/>
    <w:rsid w:val="00961AC5"/>
    <w:rsid w:val="00963F0A"/>
    <w:rsid w:val="00965479"/>
    <w:rsid w:val="009659E8"/>
    <w:rsid w:val="00967FD1"/>
    <w:rsid w:val="009760A5"/>
    <w:rsid w:val="00976819"/>
    <w:rsid w:val="00976B58"/>
    <w:rsid w:val="00976C0D"/>
    <w:rsid w:val="009771E6"/>
    <w:rsid w:val="009808D9"/>
    <w:rsid w:val="00980F27"/>
    <w:rsid w:val="00982DCE"/>
    <w:rsid w:val="009833D7"/>
    <w:rsid w:val="00986B91"/>
    <w:rsid w:val="0099747C"/>
    <w:rsid w:val="009975A5"/>
    <w:rsid w:val="009A0BF7"/>
    <w:rsid w:val="009A0EE4"/>
    <w:rsid w:val="009A2354"/>
    <w:rsid w:val="009A249F"/>
    <w:rsid w:val="009A75E6"/>
    <w:rsid w:val="009B1039"/>
    <w:rsid w:val="009B2CB2"/>
    <w:rsid w:val="009B3C29"/>
    <w:rsid w:val="009B6444"/>
    <w:rsid w:val="009B7D70"/>
    <w:rsid w:val="009C03F4"/>
    <w:rsid w:val="009C40D0"/>
    <w:rsid w:val="009C4A89"/>
    <w:rsid w:val="009C4C2B"/>
    <w:rsid w:val="009C53A9"/>
    <w:rsid w:val="009D3D50"/>
    <w:rsid w:val="009D6972"/>
    <w:rsid w:val="009E0425"/>
    <w:rsid w:val="009E68E6"/>
    <w:rsid w:val="009E6E54"/>
    <w:rsid w:val="009F3F5E"/>
    <w:rsid w:val="009F5A2F"/>
    <w:rsid w:val="009F7EE9"/>
    <w:rsid w:val="00A01649"/>
    <w:rsid w:val="00A02976"/>
    <w:rsid w:val="00A06C75"/>
    <w:rsid w:val="00A12AAE"/>
    <w:rsid w:val="00A13368"/>
    <w:rsid w:val="00A13BE0"/>
    <w:rsid w:val="00A1408B"/>
    <w:rsid w:val="00A17FAD"/>
    <w:rsid w:val="00A21931"/>
    <w:rsid w:val="00A22870"/>
    <w:rsid w:val="00A2500F"/>
    <w:rsid w:val="00A3447E"/>
    <w:rsid w:val="00A421F3"/>
    <w:rsid w:val="00A45748"/>
    <w:rsid w:val="00A50376"/>
    <w:rsid w:val="00A55C40"/>
    <w:rsid w:val="00A55E51"/>
    <w:rsid w:val="00A63461"/>
    <w:rsid w:val="00A70514"/>
    <w:rsid w:val="00A735EC"/>
    <w:rsid w:val="00A950B7"/>
    <w:rsid w:val="00A95A21"/>
    <w:rsid w:val="00AA47BD"/>
    <w:rsid w:val="00AA6C92"/>
    <w:rsid w:val="00AA787A"/>
    <w:rsid w:val="00AB4AF2"/>
    <w:rsid w:val="00AB4E98"/>
    <w:rsid w:val="00AB5021"/>
    <w:rsid w:val="00AC2C22"/>
    <w:rsid w:val="00AC7DE9"/>
    <w:rsid w:val="00AD155B"/>
    <w:rsid w:val="00AD6C49"/>
    <w:rsid w:val="00AD7245"/>
    <w:rsid w:val="00AE01BE"/>
    <w:rsid w:val="00AE08F7"/>
    <w:rsid w:val="00AE1D23"/>
    <w:rsid w:val="00AE5DF2"/>
    <w:rsid w:val="00AF5A54"/>
    <w:rsid w:val="00AF747C"/>
    <w:rsid w:val="00AF7A9C"/>
    <w:rsid w:val="00B02796"/>
    <w:rsid w:val="00B03FC6"/>
    <w:rsid w:val="00B04E4B"/>
    <w:rsid w:val="00B07752"/>
    <w:rsid w:val="00B11FA8"/>
    <w:rsid w:val="00B12037"/>
    <w:rsid w:val="00B12098"/>
    <w:rsid w:val="00B16921"/>
    <w:rsid w:val="00B16AD2"/>
    <w:rsid w:val="00B17F3F"/>
    <w:rsid w:val="00B23658"/>
    <w:rsid w:val="00B2380F"/>
    <w:rsid w:val="00B24F6D"/>
    <w:rsid w:val="00B31346"/>
    <w:rsid w:val="00B3140D"/>
    <w:rsid w:val="00B32635"/>
    <w:rsid w:val="00B35A2B"/>
    <w:rsid w:val="00B41D45"/>
    <w:rsid w:val="00B42FA8"/>
    <w:rsid w:val="00B44D5A"/>
    <w:rsid w:val="00B44F13"/>
    <w:rsid w:val="00B468B5"/>
    <w:rsid w:val="00B47074"/>
    <w:rsid w:val="00B5667D"/>
    <w:rsid w:val="00B5774B"/>
    <w:rsid w:val="00B625B1"/>
    <w:rsid w:val="00B7123B"/>
    <w:rsid w:val="00B73165"/>
    <w:rsid w:val="00B75FF7"/>
    <w:rsid w:val="00B76A94"/>
    <w:rsid w:val="00B80C0B"/>
    <w:rsid w:val="00B81BC0"/>
    <w:rsid w:val="00B850EB"/>
    <w:rsid w:val="00B95264"/>
    <w:rsid w:val="00B96E39"/>
    <w:rsid w:val="00BA4C84"/>
    <w:rsid w:val="00BA5A78"/>
    <w:rsid w:val="00BB39E0"/>
    <w:rsid w:val="00BC54A4"/>
    <w:rsid w:val="00BC72DF"/>
    <w:rsid w:val="00BD2B5C"/>
    <w:rsid w:val="00BD5103"/>
    <w:rsid w:val="00BD7490"/>
    <w:rsid w:val="00BE0F9B"/>
    <w:rsid w:val="00BE16C9"/>
    <w:rsid w:val="00BE25CF"/>
    <w:rsid w:val="00BE353C"/>
    <w:rsid w:val="00BE37BF"/>
    <w:rsid w:val="00BE383E"/>
    <w:rsid w:val="00BF165C"/>
    <w:rsid w:val="00BF1932"/>
    <w:rsid w:val="00BF1D22"/>
    <w:rsid w:val="00BF5009"/>
    <w:rsid w:val="00BF7A9B"/>
    <w:rsid w:val="00C00000"/>
    <w:rsid w:val="00C05A8B"/>
    <w:rsid w:val="00C064BF"/>
    <w:rsid w:val="00C12C5C"/>
    <w:rsid w:val="00C265B3"/>
    <w:rsid w:val="00C2783D"/>
    <w:rsid w:val="00C3140E"/>
    <w:rsid w:val="00C3395D"/>
    <w:rsid w:val="00C40061"/>
    <w:rsid w:val="00C41B5F"/>
    <w:rsid w:val="00C437FA"/>
    <w:rsid w:val="00C43AA7"/>
    <w:rsid w:val="00C5008A"/>
    <w:rsid w:val="00C5031E"/>
    <w:rsid w:val="00C50B7D"/>
    <w:rsid w:val="00C511D5"/>
    <w:rsid w:val="00C54A95"/>
    <w:rsid w:val="00C55FC7"/>
    <w:rsid w:val="00C5655F"/>
    <w:rsid w:val="00C577B9"/>
    <w:rsid w:val="00C60326"/>
    <w:rsid w:val="00C62215"/>
    <w:rsid w:val="00C6233A"/>
    <w:rsid w:val="00C625E8"/>
    <w:rsid w:val="00C64703"/>
    <w:rsid w:val="00C64F0B"/>
    <w:rsid w:val="00C7173C"/>
    <w:rsid w:val="00C81C6A"/>
    <w:rsid w:val="00C842D9"/>
    <w:rsid w:val="00C8518A"/>
    <w:rsid w:val="00C86B4D"/>
    <w:rsid w:val="00C86C67"/>
    <w:rsid w:val="00C91C3C"/>
    <w:rsid w:val="00C91CF5"/>
    <w:rsid w:val="00C92194"/>
    <w:rsid w:val="00C97955"/>
    <w:rsid w:val="00CA5BED"/>
    <w:rsid w:val="00CA6905"/>
    <w:rsid w:val="00CA6ED8"/>
    <w:rsid w:val="00CA77BA"/>
    <w:rsid w:val="00CB3371"/>
    <w:rsid w:val="00CB700E"/>
    <w:rsid w:val="00CC1D92"/>
    <w:rsid w:val="00CC410F"/>
    <w:rsid w:val="00CD26ED"/>
    <w:rsid w:val="00CD7E8C"/>
    <w:rsid w:val="00CE46E6"/>
    <w:rsid w:val="00CE49B1"/>
    <w:rsid w:val="00CE5D71"/>
    <w:rsid w:val="00CE718B"/>
    <w:rsid w:val="00CF1421"/>
    <w:rsid w:val="00CF2A92"/>
    <w:rsid w:val="00CF48B0"/>
    <w:rsid w:val="00D00412"/>
    <w:rsid w:val="00D01F8E"/>
    <w:rsid w:val="00D0484D"/>
    <w:rsid w:val="00D05E59"/>
    <w:rsid w:val="00D07398"/>
    <w:rsid w:val="00D07CAE"/>
    <w:rsid w:val="00D165BA"/>
    <w:rsid w:val="00D16638"/>
    <w:rsid w:val="00D17035"/>
    <w:rsid w:val="00D175B7"/>
    <w:rsid w:val="00D20577"/>
    <w:rsid w:val="00D2144A"/>
    <w:rsid w:val="00D232DE"/>
    <w:rsid w:val="00D23EC2"/>
    <w:rsid w:val="00D32E7D"/>
    <w:rsid w:val="00D331A5"/>
    <w:rsid w:val="00D33F7D"/>
    <w:rsid w:val="00D35475"/>
    <w:rsid w:val="00D37CC2"/>
    <w:rsid w:val="00D533B2"/>
    <w:rsid w:val="00D53C37"/>
    <w:rsid w:val="00D628DD"/>
    <w:rsid w:val="00D658F7"/>
    <w:rsid w:val="00D73224"/>
    <w:rsid w:val="00D82CD4"/>
    <w:rsid w:val="00D84E90"/>
    <w:rsid w:val="00D857A1"/>
    <w:rsid w:val="00D85F25"/>
    <w:rsid w:val="00D872F8"/>
    <w:rsid w:val="00D8731E"/>
    <w:rsid w:val="00D9167C"/>
    <w:rsid w:val="00D970A5"/>
    <w:rsid w:val="00DA2D07"/>
    <w:rsid w:val="00DA4615"/>
    <w:rsid w:val="00DA4B63"/>
    <w:rsid w:val="00DA6B43"/>
    <w:rsid w:val="00DB0A06"/>
    <w:rsid w:val="00DB4531"/>
    <w:rsid w:val="00DD3657"/>
    <w:rsid w:val="00DD413E"/>
    <w:rsid w:val="00DD4CBA"/>
    <w:rsid w:val="00DD711C"/>
    <w:rsid w:val="00DE0A1D"/>
    <w:rsid w:val="00DE20C9"/>
    <w:rsid w:val="00DE2FF8"/>
    <w:rsid w:val="00DE69F0"/>
    <w:rsid w:val="00DF51C0"/>
    <w:rsid w:val="00DF533F"/>
    <w:rsid w:val="00DF5D42"/>
    <w:rsid w:val="00E02FFE"/>
    <w:rsid w:val="00E04690"/>
    <w:rsid w:val="00E0502E"/>
    <w:rsid w:val="00E06450"/>
    <w:rsid w:val="00E0685D"/>
    <w:rsid w:val="00E11AD5"/>
    <w:rsid w:val="00E125E2"/>
    <w:rsid w:val="00E12982"/>
    <w:rsid w:val="00E13A1C"/>
    <w:rsid w:val="00E14709"/>
    <w:rsid w:val="00E22542"/>
    <w:rsid w:val="00E225DA"/>
    <w:rsid w:val="00E26619"/>
    <w:rsid w:val="00E26C2B"/>
    <w:rsid w:val="00E31137"/>
    <w:rsid w:val="00E32691"/>
    <w:rsid w:val="00E33616"/>
    <w:rsid w:val="00E33B55"/>
    <w:rsid w:val="00E35267"/>
    <w:rsid w:val="00E357A5"/>
    <w:rsid w:val="00E35891"/>
    <w:rsid w:val="00E400B8"/>
    <w:rsid w:val="00E42DFE"/>
    <w:rsid w:val="00E435D0"/>
    <w:rsid w:val="00E4649B"/>
    <w:rsid w:val="00E47820"/>
    <w:rsid w:val="00E51E80"/>
    <w:rsid w:val="00E52E2D"/>
    <w:rsid w:val="00E54C8E"/>
    <w:rsid w:val="00E55F9A"/>
    <w:rsid w:val="00E57429"/>
    <w:rsid w:val="00E60875"/>
    <w:rsid w:val="00E6184B"/>
    <w:rsid w:val="00E67297"/>
    <w:rsid w:val="00E71CC1"/>
    <w:rsid w:val="00E721BE"/>
    <w:rsid w:val="00E7245F"/>
    <w:rsid w:val="00E74A22"/>
    <w:rsid w:val="00E81527"/>
    <w:rsid w:val="00E8502D"/>
    <w:rsid w:val="00E9041A"/>
    <w:rsid w:val="00E91B82"/>
    <w:rsid w:val="00EA0779"/>
    <w:rsid w:val="00EA3602"/>
    <w:rsid w:val="00EA483C"/>
    <w:rsid w:val="00EA4CA4"/>
    <w:rsid w:val="00EA5C3F"/>
    <w:rsid w:val="00EA7C43"/>
    <w:rsid w:val="00EB2047"/>
    <w:rsid w:val="00EB224A"/>
    <w:rsid w:val="00EB43C9"/>
    <w:rsid w:val="00EB5153"/>
    <w:rsid w:val="00EB660D"/>
    <w:rsid w:val="00EC0B27"/>
    <w:rsid w:val="00EC496A"/>
    <w:rsid w:val="00ED0053"/>
    <w:rsid w:val="00ED0334"/>
    <w:rsid w:val="00ED58A7"/>
    <w:rsid w:val="00EE3911"/>
    <w:rsid w:val="00EE650F"/>
    <w:rsid w:val="00EF3932"/>
    <w:rsid w:val="00F002A5"/>
    <w:rsid w:val="00F01DAB"/>
    <w:rsid w:val="00F02DAB"/>
    <w:rsid w:val="00F03871"/>
    <w:rsid w:val="00F05EFA"/>
    <w:rsid w:val="00F0674B"/>
    <w:rsid w:val="00F07C80"/>
    <w:rsid w:val="00F13C01"/>
    <w:rsid w:val="00F14DC7"/>
    <w:rsid w:val="00F17EE8"/>
    <w:rsid w:val="00F21B43"/>
    <w:rsid w:val="00F24FEC"/>
    <w:rsid w:val="00F26CFE"/>
    <w:rsid w:val="00F2750F"/>
    <w:rsid w:val="00F27BE7"/>
    <w:rsid w:val="00F33507"/>
    <w:rsid w:val="00F3498E"/>
    <w:rsid w:val="00F43E6D"/>
    <w:rsid w:val="00F50C5D"/>
    <w:rsid w:val="00F511F9"/>
    <w:rsid w:val="00F52111"/>
    <w:rsid w:val="00F5358D"/>
    <w:rsid w:val="00F57653"/>
    <w:rsid w:val="00F60C23"/>
    <w:rsid w:val="00F65242"/>
    <w:rsid w:val="00F731A3"/>
    <w:rsid w:val="00F83951"/>
    <w:rsid w:val="00F86C6B"/>
    <w:rsid w:val="00F91633"/>
    <w:rsid w:val="00F94EE2"/>
    <w:rsid w:val="00FA5134"/>
    <w:rsid w:val="00FA6CE3"/>
    <w:rsid w:val="00FA7720"/>
    <w:rsid w:val="00FB1FE3"/>
    <w:rsid w:val="00FB3209"/>
    <w:rsid w:val="00FB734C"/>
    <w:rsid w:val="00FC0A30"/>
    <w:rsid w:val="00FC3B34"/>
    <w:rsid w:val="00FC4B1F"/>
    <w:rsid w:val="00FC5628"/>
    <w:rsid w:val="00FD1AB4"/>
    <w:rsid w:val="00FD2CB7"/>
    <w:rsid w:val="00FD5954"/>
    <w:rsid w:val="00FD5C59"/>
    <w:rsid w:val="00FD6B6A"/>
    <w:rsid w:val="00FE0FF1"/>
    <w:rsid w:val="00FE32FA"/>
    <w:rsid w:val="00FE440A"/>
    <w:rsid w:val="00FE74F8"/>
    <w:rsid w:val="00FE7AAB"/>
    <w:rsid w:val="00FF3791"/>
    <w:rsid w:val="00FF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D9BCD243-AF56-46C9-92D0-E50D5D12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837"/>
    <w:rPr>
      <w:rFonts w:eastAsia="MS Mincho"/>
      <w:sz w:val="24"/>
      <w:szCs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C"/>
    <w:basedOn w:val="Normal"/>
    <w:link w:val="TextonotapieCar1"/>
    <w:uiPriority w:val="99"/>
    <w:qFormat/>
    <w:rsid w:val="005D0837"/>
    <w:pPr>
      <w:widowControl w:val="0"/>
    </w:pPr>
    <w:rPr>
      <w:sz w:val="20"/>
      <w:szCs w:val="20"/>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qFormat/>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link w:val="EncabezadoCar"/>
    <w:uiPriority w:val="99"/>
    <w:rsid w:val="005D0837"/>
    <w:pPr>
      <w:tabs>
        <w:tab w:val="center" w:pos="4252"/>
        <w:tab w:val="right" w:pos="8504"/>
      </w:tabs>
    </w:pPr>
    <w:rPr>
      <w:lang w:eastAsia="x-none"/>
    </w:r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aliases w:val="Heading 2.1"/>
    <w:uiPriority w:val="22"/>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link w:val="PiedepginaCar"/>
    <w:uiPriority w:val="99"/>
    <w:rsid w:val="005D0837"/>
    <w:pPr>
      <w:tabs>
        <w:tab w:val="center" w:pos="4252"/>
        <w:tab w:val="right" w:pos="8504"/>
      </w:tabs>
    </w:pPr>
    <w:rPr>
      <w:lang w:eastAsia="x-none"/>
    </w:rPr>
  </w:style>
  <w:style w:type="paragraph" w:customStyle="1" w:styleId="ColorfulList-Accent11">
    <w:name w:val="Colorful List - Accent 11"/>
    <w:aliases w:val="List Paragraph,Footnote"/>
    <w:basedOn w:val="Normal"/>
    <w:uiPriority w:val="34"/>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styleId="Prrafodelista">
    <w:name w:val="List Paragraph"/>
    <w:basedOn w:val="Normal"/>
    <w:uiPriority w:val="34"/>
    <w:qFormat/>
    <w:rsid w:val="00664359"/>
    <w:pPr>
      <w:ind w:left="708"/>
    </w:pPr>
  </w:style>
  <w:style w:type="paragraph" w:styleId="Textodeglobo">
    <w:name w:val="Balloon Text"/>
    <w:basedOn w:val="Normal"/>
    <w:link w:val="TextodegloboCar"/>
    <w:uiPriority w:val="99"/>
    <w:semiHidden/>
    <w:unhideWhenUsed/>
    <w:rsid w:val="002E53DB"/>
    <w:rPr>
      <w:rFonts w:ascii="Tahoma" w:hAnsi="Tahoma"/>
      <w:sz w:val="16"/>
      <w:szCs w:val="16"/>
    </w:rPr>
  </w:style>
  <w:style w:type="character" w:customStyle="1" w:styleId="TextodegloboCar">
    <w:name w:val="Texto de globo Car"/>
    <w:link w:val="Textodeglobo"/>
    <w:uiPriority w:val="99"/>
    <w:semiHidden/>
    <w:rsid w:val="002E53DB"/>
    <w:rPr>
      <w:rFonts w:ascii="Tahoma" w:eastAsia="MS Mincho" w:hAnsi="Tahoma" w:cs="Tahoma"/>
      <w:sz w:val="16"/>
      <w:szCs w:val="16"/>
      <w:lang w:val="es-ES_tradnl" w:eastAsia="en-US"/>
    </w:rPr>
  </w:style>
  <w:style w:type="character" w:styleId="Refdecomentario">
    <w:name w:val="annotation reference"/>
    <w:uiPriority w:val="99"/>
    <w:semiHidden/>
    <w:unhideWhenUsed/>
    <w:rsid w:val="0041189F"/>
    <w:rPr>
      <w:sz w:val="16"/>
      <w:szCs w:val="16"/>
    </w:rPr>
  </w:style>
  <w:style w:type="paragraph" w:styleId="Textocomentario">
    <w:name w:val="annotation text"/>
    <w:basedOn w:val="Normal"/>
    <w:link w:val="TextocomentarioCar"/>
    <w:uiPriority w:val="99"/>
    <w:semiHidden/>
    <w:unhideWhenUsed/>
    <w:rsid w:val="0041189F"/>
    <w:rPr>
      <w:sz w:val="20"/>
      <w:szCs w:val="20"/>
    </w:rPr>
  </w:style>
  <w:style w:type="character" w:customStyle="1" w:styleId="TextocomentarioCar">
    <w:name w:val="Texto comentario Car"/>
    <w:link w:val="Textocomentario"/>
    <w:uiPriority w:val="99"/>
    <w:semiHidden/>
    <w:rsid w:val="0041189F"/>
    <w:rPr>
      <w:rFonts w:eastAsia="MS Mincho"/>
      <w:lang w:val="es-ES_tradnl" w:eastAsia="en-US"/>
    </w:rPr>
  </w:style>
  <w:style w:type="paragraph" w:styleId="Asuntodelcomentario">
    <w:name w:val="annotation subject"/>
    <w:basedOn w:val="Textocomentario"/>
    <w:next w:val="Textocomentario"/>
    <w:link w:val="AsuntodelcomentarioCar"/>
    <w:uiPriority w:val="99"/>
    <w:semiHidden/>
    <w:unhideWhenUsed/>
    <w:rsid w:val="0041189F"/>
    <w:rPr>
      <w:b/>
      <w:bCs/>
    </w:rPr>
  </w:style>
  <w:style w:type="character" w:customStyle="1" w:styleId="AsuntodelcomentarioCar">
    <w:name w:val="Asunto del comentario Car"/>
    <w:link w:val="Asuntodelcomentario"/>
    <w:uiPriority w:val="99"/>
    <w:semiHidden/>
    <w:rsid w:val="0041189F"/>
    <w:rPr>
      <w:rFonts w:eastAsia="MS Mincho"/>
      <w:b/>
      <w:bCs/>
      <w:lang w:val="es-ES_tradnl" w:eastAsia="en-US"/>
    </w:rPr>
  </w:style>
  <w:style w:type="paragraph" w:styleId="Textonotaalfinal">
    <w:name w:val="endnote text"/>
    <w:basedOn w:val="Normal"/>
    <w:link w:val="TextonotaalfinalCar"/>
    <w:uiPriority w:val="99"/>
    <w:semiHidden/>
    <w:unhideWhenUsed/>
    <w:rsid w:val="00132738"/>
    <w:rPr>
      <w:sz w:val="20"/>
      <w:szCs w:val="20"/>
    </w:rPr>
  </w:style>
  <w:style w:type="character" w:customStyle="1" w:styleId="TextonotaalfinalCar">
    <w:name w:val="Texto nota al final Car"/>
    <w:link w:val="Textonotaalfinal"/>
    <w:uiPriority w:val="99"/>
    <w:semiHidden/>
    <w:rsid w:val="00132738"/>
    <w:rPr>
      <w:rFonts w:eastAsia="MS Mincho"/>
      <w:lang w:val="es-ES_tradnl" w:eastAsia="en-US"/>
    </w:rPr>
  </w:style>
  <w:style w:type="character" w:styleId="Refdenotaalfinal">
    <w:name w:val="endnote reference"/>
    <w:uiPriority w:val="99"/>
    <w:semiHidden/>
    <w:unhideWhenUsed/>
    <w:rsid w:val="00132738"/>
    <w:rPr>
      <w:vertAlign w:val="superscript"/>
    </w:rPr>
  </w:style>
  <w:style w:type="character" w:styleId="Hipervnculo">
    <w:name w:val="Hyperlink"/>
    <w:uiPriority w:val="99"/>
    <w:semiHidden/>
    <w:unhideWhenUsed/>
    <w:rsid w:val="0071109F"/>
    <w:rPr>
      <w:color w:val="0000FF"/>
      <w:u w:val="single"/>
    </w:rPr>
  </w:style>
  <w:style w:type="character" w:customStyle="1" w:styleId="EncabezadoCar">
    <w:name w:val="Encabezado Car"/>
    <w:link w:val="Encabezado"/>
    <w:uiPriority w:val="99"/>
    <w:rsid w:val="00ED0334"/>
    <w:rPr>
      <w:rFonts w:eastAsia="MS Mincho"/>
      <w:sz w:val="24"/>
      <w:szCs w:val="24"/>
      <w:lang w:val="es-ES_tradnl"/>
    </w:rPr>
  </w:style>
  <w:style w:type="character" w:customStyle="1" w:styleId="PiedepginaCar">
    <w:name w:val="Pie de página Car"/>
    <w:link w:val="Piedepgina"/>
    <w:uiPriority w:val="99"/>
    <w:rsid w:val="00ED0334"/>
    <w:rPr>
      <w:rFonts w:eastAsia="MS Mincho"/>
      <w:sz w:val="24"/>
      <w:szCs w:val="24"/>
      <w:lang w:val="es-ES_tradnl"/>
    </w:rPr>
  </w:style>
  <w:style w:type="paragraph" w:customStyle="1" w:styleId="Prrafodelista1">
    <w:name w:val="Párrafo de lista1"/>
    <w:basedOn w:val="Normal"/>
    <w:qFormat/>
    <w:rsid w:val="00B7123B"/>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E504E"/>
    <w:pPr>
      <w:jc w:val="both"/>
    </w:pPr>
    <w:rPr>
      <w:rFonts w:ascii="Verdana" w:eastAsia="Times New Roman" w:hAnsi="Verdana"/>
      <w:sz w:val="16"/>
      <w:szCs w:val="20"/>
      <w:vertAlign w:val="superscript"/>
      <w:lang w:val="es-CR" w:eastAsia="es-CR"/>
    </w:rPr>
  </w:style>
  <w:style w:type="character" w:customStyle="1" w:styleId="FootnoteAnchor">
    <w:name w:val="Footnote Anchor"/>
    <w:rsid w:val="00982DCE"/>
    <w:rPr>
      <w:vertAlign w:val="superscript"/>
    </w:rPr>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link w:val="Textonotapie"/>
    <w:uiPriority w:val="99"/>
    <w:rsid w:val="004E6B04"/>
    <w:rPr>
      <w:rFonts w:eastAsia="MS Mincho"/>
      <w:lang w:val="es-ES_tradnl" w:eastAsia="en-US"/>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xt Car,C Car"/>
    <w:locked/>
    <w:rsid w:val="00262E15"/>
  </w:style>
  <w:style w:type="character" w:customStyle="1" w:styleId="PrrafodelistaCar">
    <w:name w:val="Párrafo de lista Car"/>
    <w:aliases w:val="Footnote Car,Párrafo de lista1 Car,Colorful List - Accent 11 Car"/>
    <w:uiPriority w:val="34"/>
    <w:locked/>
    <w:rsid w:val="00262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63340">
      <w:bodyDiv w:val="1"/>
      <w:marLeft w:val="0"/>
      <w:marRight w:val="0"/>
      <w:marTop w:val="0"/>
      <w:marBottom w:val="0"/>
      <w:divBdr>
        <w:top w:val="none" w:sz="0" w:space="0" w:color="auto"/>
        <w:left w:val="none" w:sz="0" w:space="0" w:color="auto"/>
        <w:bottom w:val="none" w:sz="0" w:space="0" w:color="auto"/>
        <w:right w:val="none" w:sz="0" w:space="0" w:color="auto"/>
      </w:divBdr>
    </w:div>
    <w:div w:id="100036826">
      <w:bodyDiv w:val="1"/>
      <w:marLeft w:val="0"/>
      <w:marRight w:val="0"/>
      <w:marTop w:val="0"/>
      <w:marBottom w:val="0"/>
      <w:divBdr>
        <w:top w:val="none" w:sz="0" w:space="0" w:color="auto"/>
        <w:left w:val="none" w:sz="0" w:space="0" w:color="auto"/>
        <w:bottom w:val="none" w:sz="0" w:space="0" w:color="auto"/>
        <w:right w:val="none" w:sz="0" w:space="0" w:color="auto"/>
      </w:divBdr>
    </w:div>
    <w:div w:id="260914342">
      <w:bodyDiv w:val="1"/>
      <w:marLeft w:val="0"/>
      <w:marRight w:val="0"/>
      <w:marTop w:val="0"/>
      <w:marBottom w:val="0"/>
      <w:divBdr>
        <w:top w:val="none" w:sz="0" w:space="0" w:color="auto"/>
        <w:left w:val="none" w:sz="0" w:space="0" w:color="auto"/>
        <w:bottom w:val="none" w:sz="0" w:space="0" w:color="auto"/>
        <w:right w:val="none" w:sz="0" w:space="0" w:color="auto"/>
      </w:divBdr>
    </w:div>
    <w:div w:id="155584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35E58-772B-4B0F-BA36-B70DEF95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8525</Words>
  <Characters>48596</Characters>
  <Application>Microsoft Office Word</Application>
  <DocSecurity>0</DocSecurity>
  <Lines>404</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2019-05-21T23:14:00Z</cp:lastPrinted>
  <dcterms:created xsi:type="dcterms:W3CDTF">2019-05-28T21:09:00Z</dcterms:created>
  <dcterms:modified xsi:type="dcterms:W3CDTF">2019-05-28T21:09:00Z</dcterms:modified>
</cp:coreProperties>
</file>