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BB6" w:rsidRPr="002C3CF2" w:rsidRDefault="00376BB6" w:rsidP="002C3CF2">
      <w:pPr>
        <w:suppressAutoHyphens/>
        <w:spacing w:after="0" w:line="240" w:lineRule="auto"/>
        <w:ind w:left="5760" w:firstLine="720"/>
        <w:jc w:val="right"/>
        <w:rPr>
          <w:rFonts w:cs="Arial"/>
          <w:lang w:val="es-CO"/>
        </w:rPr>
      </w:pPr>
      <w:bookmarkStart w:id="0" w:name="_GoBack"/>
      <w:bookmarkEnd w:id="0"/>
    </w:p>
    <w:p w:rsidR="00376BB6" w:rsidRPr="002C3CF2" w:rsidRDefault="00376BB6" w:rsidP="002C3CF2">
      <w:pPr>
        <w:suppressAutoHyphens/>
        <w:spacing w:after="0" w:line="240" w:lineRule="auto"/>
        <w:ind w:left="5760" w:firstLine="720"/>
        <w:jc w:val="right"/>
        <w:rPr>
          <w:rFonts w:cs="Arial"/>
          <w:lang w:val="es-CO"/>
        </w:rPr>
      </w:pPr>
    </w:p>
    <w:p w:rsidR="002D20E1" w:rsidRPr="002C3CF2" w:rsidRDefault="008B1CB4" w:rsidP="002C3CF2">
      <w:pPr>
        <w:suppressAutoHyphens/>
        <w:spacing w:after="0" w:line="240" w:lineRule="auto"/>
        <w:ind w:left="5760" w:firstLine="720"/>
        <w:jc w:val="right"/>
        <w:rPr>
          <w:rFonts w:cs="Arial"/>
          <w:b/>
          <w:lang w:val="es-ES"/>
        </w:rPr>
      </w:pPr>
      <w:r w:rsidRPr="002C3CF2">
        <w:rPr>
          <w:rFonts w:cs="Arial"/>
          <w:lang w:val="es-CO"/>
        </w:rPr>
        <w:t>2</w:t>
      </w:r>
      <w:r w:rsidR="004F44F2" w:rsidRPr="002C3CF2">
        <w:rPr>
          <w:rFonts w:cs="Arial"/>
          <w:lang w:val="es-CO"/>
        </w:rPr>
        <w:t>4</w:t>
      </w:r>
      <w:r w:rsidR="00C91CB5" w:rsidRPr="002C3CF2">
        <w:rPr>
          <w:rFonts w:cs="Arial"/>
          <w:lang w:val="es-CO"/>
        </w:rPr>
        <w:t xml:space="preserve"> de </w:t>
      </w:r>
      <w:r w:rsidRPr="002C3CF2">
        <w:rPr>
          <w:rFonts w:cs="Arial"/>
          <w:lang w:val="es-CO"/>
        </w:rPr>
        <w:t>mayo de 2019</w:t>
      </w:r>
    </w:p>
    <w:p w:rsidR="002D20E1" w:rsidRPr="002C3CF2" w:rsidRDefault="002D20E1" w:rsidP="00311B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lang w:val="es-ES"/>
        </w:rPr>
      </w:pPr>
      <w:r w:rsidRPr="002C3CF2">
        <w:rPr>
          <w:rFonts w:cs="Arial"/>
          <w:b/>
          <w:lang w:val="es-ES"/>
        </w:rPr>
        <w:t>R</w:t>
      </w:r>
      <w:r w:rsidR="00192C1D" w:rsidRPr="002C3CF2">
        <w:rPr>
          <w:rFonts w:cs="Arial"/>
          <w:b/>
          <w:lang w:val="es-ES"/>
        </w:rPr>
        <w:t>EF</w:t>
      </w:r>
      <w:r w:rsidRPr="002C3CF2">
        <w:rPr>
          <w:rFonts w:cs="Arial"/>
          <w:b/>
          <w:lang w:val="es-ES"/>
        </w:rPr>
        <w:t>.:</w:t>
      </w:r>
      <w:bookmarkStart w:id="1" w:name="Peticion_n"/>
      <w:bookmarkEnd w:id="1"/>
      <w:r w:rsidRPr="002C3CF2">
        <w:rPr>
          <w:rFonts w:cs="Arial"/>
          <w:b/>
          <w:lang w:val="es-ES"/>
        </w:rPr>
        <w:tab/>
        <w:t>Caso N</w:t>
      </w:r>
      <w:r w:rsidR="00376BB6" w:rsidRPr="002C3CF2">
        <w:rPr>
          <w:rFonts w:cs="Arial"/>
          <w:b/>
          <w:lang w:val="es-ES"/>
        </w:rPr>
        <w:t>º</w:t>
      </w:r>
      <w:r w:rsidRPr="002C3CF2">
        <w:rPr>
          <w:rFonts w:cs="Arial"/>
          <w:b/>
          <w:lang w:val="es-ES"/>
        </w:rPr>
        <w:t xml:space="preserve"> </w:t>
      </w:r>
      <w:r w:rsidRPr="002C3CF2">
        <w:rPr>
          <w:b/>
          <w:lang w:val="es-ES"/>
        </w:rPr>
        <w:t>12.</w:t>
      </w:r>
      <w:r w:rsidR="008B1CB4" w:rsidRPr="002C3CF2">
        <w:rPr>
          <w:b/>
          <w:lang w:val="es-ES"/>
        </w:rPr>
        <w:t>805</w:t>
      </w:r>
    </w:p>
    <w:p w:rsidR="00C91CB5" w:rsidRPr="002C3CF2" w:rsidRDefault="006C7BD8" w:rsidP="00311BD2">
      <w:pPr>
        <w:tabs>
          <w:tab w:val="left" w:pos="720"/>
          <w:tab w:val="center" w:pos="6480"/>
        </w:tabs>
        <w:spacing w:after="0" w:line="240" w:lineRule="auto"/>
        <w:ind w:left="720"/>
        <w:jc w:val="both"/>
        <w:rPr>
          <w:rFonts w:cs="Arial"/>
          <w:b/>
          <w:lang w:val="es-CR"/>
        </w:rPr>
      </w:pPr>
      <w:r w:rsidRPr="002C3CF2">
        <w:rPr>
          <w:b/>
          <w:lang w:val="es-CO"/>
        </w:rPr>
        <w:t xml:space="preserve">Jimmy Guerrero, </w:t>
      </w:r>
      <w:r w:rsidR="009A73BB" w:rsidRPr="002C3CF2">
        <w:rPr>
          <w:b/>
          <w:lang w:val="es-CO"/>
        </w:rPr>
        <w:t>Ramón Molina y f</w:t>
      </w:r>
      <w:r w:rsidR="008B1CB4" w:rsidRPr="002C3CF2">
        <w:rPr>
          <w:b/>
          <w:lang w:val="es-CO"/>
        </w:rPr>
        <w:t>amiliares</w:t>
      </w:r>
    </w:p>
    <w:p w:rsidR="002D20E1" w:rsidRPr="002C3CF2" w:rsidRDefault="002D20E1" w:rsidP="00311BD2">
      <w:pPr>
        <w:tabs>
          <w:tab w:val="left" w:pos="720"/>
          <w:tab w:val="center" w:pos="6480"/>
        </w:tabs>
        <w:spacing w:after="0" w:line="240" w:lineRule="auto"/>
        <w:ind w:left="720"/>
        <w:jc w:val="both"/>
        <w:rPr>
          <w:rFonts w:cs="Arial"/>
          <w:b/>
          <w:lang w:val="es-ES_tradnl"/>
        </w:rPr>
      </w:pPr>
      <w:r w:rsidRPr="002C3CF2">
        <w:rPr>
          <w:rFonts w:cs="Arial"/>
          <w:b/>
          <w:lang w:val="es-CR"/>
        </w:rPr>
        <w:t>Venezuela</w:t>
      </w:r>
      <w:r w:rsidRPr="002C3CF2">
        <w:rPr>
          <w:rFonts w:cs="Arial"/>
          <w:b/>
          <w:lang w:val="es-ES_tradnl"/>
        </w:rPr>
        <w:t xml:space="preserve"> </w:t>
      </w:r>
    </w:p>
    <w:p w:rsidR="002D20E1" w:rsidRPr="002C3CF2" w:rsidRDefault="002D20E1" w:rsidP="00311BD2">
      <w:pPr>
        <w:tabs>
          <w:tab w:val="left" w:pos="720"/>
          <w:tab w:val="center" w:pos="6480"/>
        </w:tabs>
        <w:spacing w:after="0" w:line="240" w:lineRule="auto"/>
        <w:jc w:val="both"/>
        <w:rPr>
          <w:rFonts w:cs="Arial"/>
          <w:lang w:val="es-PE"/>
        </w:rPr>
      </w:pPr>
    </w:p>
    <w:p w:rsidR="00192C1D" w:rsidRPr="002C3CF2" w:rsidRDefault="00192C1D" w:rsidP="00311BD2">
      <w:pPr>
        <w:tabs>
          <w:tab w:val="left" w:pos="720"/>
          <w:tab w:val="center" w:pos="6480"/>
        </w:tabs>
        <w:spacing w:after="0" w:line="240" w:lineRule="auto"/>
        <w:jc w:val="both"/>
        <w:rPr>
          <w:rFonts w:cs="Arial"/>
          <w:lang w:val="es-PE"/>
        </w:rPr>
      </w:pPr>
    </w:p>
    <w:p w:rsidR="002D20E1" w:rsidRPr="002C3CF2" w:rsidRDefault="002D20E1" w:rsidP="00311BD2">
      <w:pPr>
        <w:tabs>
          <w:tab w:val="left" w:pos="720"/>
          <w:tab w:val="center" w:pos="6480"/>
        </w:tabs>
        <w:spacing w:after="0" w:line="240" w:lineRule="auto"/>
        <w:jc w:val="both"/>
        <w:rPr>
          <w:rFonts w:cs="Arial"/>
          <w:lang w:val="es-PE"/>
        </w:rPr>
      </w:pPr>
      <w:r w:rsidRPr="002C3CF2">
        <w:rPr>
          <w:rFonts w:cs="Arial"/>
          <w:lang w:val="es-PE"/>
        </w:rPr>
        <w:t>Señor Secretario:</w:t>
      </w:r>
    </w:p>
    <w:p w:rsidR="002D20E1" w:rsidRPr="002C3CF2" w:rsidRDefault="002D20E1" w:rsidP="00311BD2">
      <w:pPr>
        <w:spacing w:after="0" w:line="240" w:lineRule="auto"/>
        <w:rPr>
          <w:rFonts w:cs="Arial"/>
          <w:lang w:val="es-CO"/>
        </w:rPr>
      </w:pPr>
    </w:p>
    <w:p w:rsidR="002D20E1" w:rsidRPr="002C3CF2" w:rsidRDefault="002D20E1" w:rsidP="008B1C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lang w:val="es-CR"/>
        </w:rPr>
      </w:pPr>
      <w:r w:rsidRPr="002C3CF2">
        <w:rPr>
          <w:lang w:val="es-CO"/>
        </w:rPr>
        <w:t>Tengo el agrado de dirigirme a usted</w:t>
      </w:r>
      <w:r w:rsidR="00214CFD" w:rsidRPr="002C3CF2">
        <w:rPr>
          <w:lang w:val="es-CO"/>
        </w:rPr>
        <w:t>,</w:t>
      </w:r>
      <w:r w:rsidRPr="002C3CF2">
        <w:rPr>
          <w:lang w:val="es-CO"/>
        </w:rPr>
        <w:t xml:space="preserve"> en nombre de la Comisión Interamericana de Derechos Humanos</w:t>
      </w:r>
      <w:r w:rsidR="00214CFD" w:rsidRPr="002C3CF2">
        <w:rPr>
          <w:lang w:val="es-CO"/>
        </w:rPr>
        <w:t>,</w:t>
      </w:r>
      <w:r w:rsidRPr="002C3CF2">
        <w:rPr>
          <w:lang w:val="es-CO"/>
        </w:rPr>
        <w:t xml:space="preserve"> con el objeto</w:t>
      </w:r>
      <w:r w:rsidRPr="002C3CF2">
        <w:rPr>
          <w:rFonts w:cs="Arial"/>
          <w:lang w:val="es-CO"/>
        </w:rPr>
        <w:t xml:space="preserve"> de someter a la jurisdicción de la Honorable Corte Interamericana de Derechos Humanos, el </w:t>
      </w:r>
      <w:r w:rsidR="00214CFD" w:rsidRPr="002C3CF2">
        <w:rPr>
          <w:rFonts w:cs="Arial"/>
          <w:lang w:val="es-CO"/>
        </w:rPr>
        <w:t>C</w:t>
      </w:r>
      <w:r w:rsidRPr="002C3CF2">
        <w:rPr>
          <w:rFonts w:cs="Arial"/>
          <w:lang w:val="es-CO"/>
        </w:rPr>
        <w:t xml:space="preserve">aso </w:t>
      </w:r>
      <w:r w:rsidR="00214CFD" w:rsidRPr="002C3CF2">
        <w:rPr>
          <w:rFonts w:cs="Arial"/>
          <w:lang w:val="es-CO"/>
        </w:rPr>
        <w:t xml:space="preserve">Nº </w:t>
      </w:r>
      <w:r w:rsidRPr="002C3CF2">
        <w:rPr>
          <w:rFonts w:cs="Arial"/>
          <w:lang w:val="es-CO"/>
        </w:rPr>
        <w:t>12.</w:t>
      </w:r>
      <w:r w:rsidR="008B1CB4" w:rsidRPr="002C3CF2">
        <w:rPr>
          <w:rFonts w:cs="Arial"/>
          <w:lang w:val="es-CO"/>
        </w:rPr>
        <w:t>805</w:t>
      </w:r>
      <w:r w:rsidRPr="002C3CF2">
        <w:rPr>
          <w:rFonts w:cs="Arial"/>
          <w:lang w:val="es-CO"/>
        </w:rPr>
        <w:t xml:space="preserve"> – </w:t>
      </w:r>
      <w:r w:rsidR="009A73BB" w:rsidRPr="002C3CF2">
        <w:rPr>
          <w:lang w:val="es-CO"/>
        </w:rPr>
        <w:t>Jimmy Guerrero,</w:t>
      </w:r>
      <w:r w:rsidR="008B1CB4" w:rsidRPr="002C3CF2">
        <w:rPr>
          <w:lang w:val="es-CO"/>
        </w:rPr>
        <w:t xml:space="preserve"> Ramón Molina y </w:t>
      </w:r>
      <w:r w:rsidR="005E16BE" w:rsidRPr="002C3CF2">
        <w:rPr>
          <w:lang w:val="es-CO"/>
        </w:rPr>
        <w:t>f</w:t>
      </w:r>
      <w:r w:rsidR="008B1CB4" w:rsidRPr="002C3CF2">
        <w:rPr>
          <w:lang w:val="es-CO"/>
        </w:rPr>
        <w:t>amiliares</w:t>
      </w:r>
      <w:r w:rsidR="00C91CB5" w:rsidRPr="002C3CF2">
        <w:rPr>
          <w:rFonts w:cs="Arial"/>
          <w:lang w:val="es-CO"/>
        </w:rPr>
        <w:t xml:space="preserve"> </w:t>
      </w:r>
      <w:r w:rsidRPr="002C3CF2">
        <w:rPr>
          <w:rFonts w:cs="Arial"/>
          <w:lang w:val="es-CO"/>
        </w:rPr>
        <w:t xml:space="preserve">respecto de la República Bolivariana de Venezuela (en adelante “el Estado”, “el Estado venezolano” o “Venezuela”). </w:t>
      </w:r>
    </w:p>
    <w:p w:rsidR="002D20E1" w:rsidRPr="005424F2" w:rsidRDefault="002D20E1" w:rsidP="00311BD2">
      <w:pPr>
        <w:spacing w:after="0" w:line="240" w:lineRule="auto"/>
        <w:jc w:val="both"/>
        <w:rPr>
          <w:rFonts w:cs="Arial"/>
          <w:lang w:val="es-CR"/>
        </w:rPr>
      </w:pPr>
    </w:p>
    <w:p w:rsidR="005D5CA7" w:rsidRPr="002C3CF2" w:rsidRDefault="002D20E1" w:rsidP="005A5B29">
      <w:pPr>
        <w:spacing w:after="0" w:line="240" w:lineRule="auto"/>
        <w:ind w:firstLine="720"/>
        <w:jc w:val="both"/>
        <w:rPr>
          <w:lang w:val="es-MX"/>
        </w:rPr>
      </w:pPr>
      <w:r w:rsidRPr="002C3CF2">
        <w:rPr>
          <w:lang w:val="es-ES"/>
        </w:rPr>
        <w:t xml:space="preserve">El caso se relaciona con </w:t>
      </w:r>
      <w:r w:rsidR="00563B8A" w:rsidRPr="002C3CF2">
        <w:rPr>
          <w:lang w:val="es-ES"/>
        </w:rPr>
        <w:t xml:space="preserve">la responsabilidad internacional del Estado </w:t>
      </w:r>
      <w:r w:rsidR="00891A4F" w:rsidRPr="002C3CF2">
        <w:rPr>
          <w:lang w:val="es-ES"/>
        </w:rPr>
        <w:t>venezolano</w:t>
      </w:r>
      <w:r w:rsidR="00563B8A" w:rsidRPr="002C3CF2">
        <w:rPr>
          <w:lang w:val="es-ES"/>
        </w:rPr>
        <w:t xml:space="preserve"> por </w:t>
      </w:r>
      <w:r w:rsidR="00C91CB5" w:rsidRPr="002C3CF2">
        <w:rPr>
          <w:lang w:val="es-MX"/>
        </w:rPr>
        <w:t xml:space="preserve">las ejecuciones extrajudiciales de </w:t>
      </w:r>
      <w:r w:rsidR="008B1CB4" w:rsidRPr="002C3CF2">
        <w:rPr>
          <w:lang w:val="es-MX"/>
        </w:rPr>
        <w:t>Jimmy Guerrero y, su tío, Ramón Molina</w:t>
      </w:r>
      <w:r w:rsidR="00C91CB5" w:rsidRPr="002C3CF2">
        <w:rPr>
          <w:lang w:val="es-MX"/>
        </w:rPr>
        <w:t xml:space="preserve">, ocurridas el </w:t>
      </w:r>
      <w:r w:rsidR="008B1CB4" w:rsidRPr="002C3CF2">
        <w:rPr>
          <w:lang w:val="es-MX"/>
        </w:rPr>
        <w:t>29</w:t>
      </w:r>
      <w:r w:rsidR="00C91CB5" w:rsidRPr="002C3CF2">
        <w:rPr>
          <w:lang w:val="es-MX"/>
        </w:rPr>
        <w:t xml:space="preserve"> de </w:t>
      </w:r>
      <w:r w:rsidR="008B1CB4" w:rsidRPr="002C3CF2">
        <w:rPr>
          <w:lang w:val="es-MX"/>
        </w:rPr>
        <w:t>marzo</w:t>
      </w:r>
      <w:r w:rsidR="00C91CB5" w:rsidRPr="002C3CF2">
        <w:rPr>
          <w:lang w:val="es-MX"/>
        </w:rPr>
        <w:t xml:space="preserve"> de 2003 por parte de funcionarios </w:t>
      </w:r>
      <w:r w:rsidR="008B1CB4" w:rsidRPr="002C3CF2">
        <w:rPr>
          <w:lang w:val="es-MX"/>
        </w:rPr>
        <w:t xml:space="preserve">de la Fuerzas Armadas Policiales del </w:t>
      </w:r>
      <w:r w:rsidR="00C91CB5" w:rsidRPr="002C3CF2">
        <w:rPr>
          <w:lang w:val="es-MX"/>
        </w:rPr>
        <w:t xml:space="preserve">estado </w:t>
      </w:r>
      <w:r w:rsidR="008B1CB4" w:rsidRPr="002C3CF2">
        <w:rPr>
          <w:lang w:val="es-MX"/>
        </w:rPr>
        <w:t>Falcón</w:t>
      </w:r>
      <w:r w:rsidR="00C91CB5" w:rsidRPr="002C3CF2">
        <w:rPr>
          <w:lang w:val="es-MX"/>
        </w:rPr>
        <w:t xml:space="preserve"> en Venezuela. </w:t>
      </w:r>
      <w:r w:rsidR="00214CFD" w:rsidRPr="002C3CF2">
        <w:rPr>
          <w:lang w:val="es-MX"/>
        </w:rPr>
        <w:t xml:space="preserve"> </w:t>
      </w:r>
      <w:r w:rsidR="005A5B29" w:rsidRPr="002C3CF2">
        <w:rPr>
          <w:lang w:val="es-MX"/>
        </w:rPr>
        <w:t xml:space="preserve">La Comisión </w:t>
      </w:r>
      <w:r w:rsidR="00E11A29" w:rsidRPr="002C3CF2">
        <w:rPr>
          <w:lang w:val="es-MX"/>
        </w:rPr>
        <w:t xml:space="preserve">tomó nota de </w:t>
      </w:r>
      <w:r w:rsidR="005A5B29" w:rsidRPr="002C3CF2">
        <w:rPr>
          <w:lang w:val="es-MX"/>
        </w:rPr>
        <w:t xml:space="preserve">dos versiones </w:t>
      </w:r>
      <w:r w:rsidR="0062611B" w:rsidRPr="002C3CF2">
        <w:rPr>
          <w:lang w:val="es-MX"/>
        </w:rPr>
        <w:t xml:space="preserve">existentes </w:t>
      </w:r>
      <w:r w:rsidR="005A5B29" w:rsidRPr="002C3CF2">
        <w:rPr>
          <w:lang w:val="es-MX"/>
        </w:rPr>
        <w:t xml:space="preserve">sobre los hechos. </w:t>
      </w:r>
      <w:r w:rsidR="00214CFD" w:rsidRPr="002C3CF2">
        <w:rPr>
          <w:lang w:val="es-MX"/>
        </w:rPr>
        <w:t xml:space="preserve"> </w:t>
      </w:r>
      <w:r w:rsidR="005A5B29" w:rsidRPr="002C3CF2">
        <w:rPr>
          <w:lang w:val="es-MX"/>
        </w:rPr>
        <w:t xml:space="preserve">La versión </w:t>
      </w:r>
      <w:r w:rsidR="008B1CB4" w:rsidRPr="002C3CF2">
        <w:rPr>
          <w:lang w:val="es-MX"/>
        </w:rPr>
        <w:t xml:space="preserve">del Estado según la cual la muerte de las víctimas se trató de un ajuste de cuentas </w:t>
      </w:r>
      <w:r w:rsidR="00110271" w:rsidRPr="002C3CF2">
        <w:rPr>
          <w:lang w:val="es-MX"/>
        </w:rPr>
        <w:t>ejecutado</w:t>
      </w:r>
      <w:r w:rsidR="00417A97" w:rsidRPr="002C3CF2">
        <w:rPr>
          <w:lang w:val="es-MX"/>
        </w:rPr>
        <w:t xml:space="preserve"> por terceras personas, ocurrido por </w:t>
      </w:r>
      <w:r w:rsidR="008B1CB4" w:rsidRPr="002C3CF2">
        <w:rPr>
          <w:lang w:val="es-MX"/>
        </w:rPr>
        <w:t>su supuesta participación en hechos criminales</w:t>
      </w:r>
      <w:r w:rsidR="005A5B29" w:rsidRPr="002C3CF2">
        <w:rPr>
          <w:lang w:val="es-MX"/>
        </w:rPr>
        <w:t>.</w:t>
      </w:r>
      <w:r w:rsidR="00417A97" w:rsidRPr="002C3CF2">
        <w:rPr>
          <w:lang w:val="es-MX"/>
        </w:rPr>
        <w:t xml:space="preserve"> </w:t>
      </w:r>
      <w:r w:rsidR="00214CFD" w:rsidRPr="002C3CF2">
        <w:rPr>
          <w:lang w:val="es-MX"/>
        </w:rPr>
        <w:t xml:space="preserve"> </w:t>
      </w:r>
      <w:r w:rsidR="005A5B29" w:rsidRPr="002C3CF2">
        <w:rPr>
          <w:lang w:val="es-MX"/>
        </w:rPr>
        <w:t xml:space="preserve">Por su parte, la versión </w:t>
      </w:r>
      <w:r w:rsidR="00417A97" w:rsidRPr="002C3CF2">
        <w:rPr>
          <w:lang w:val="es-MX"/>
        </w:rPr>
        <w:t>d</w:t>
      </w:r>
      <w:r w:rsidR="005A5B29" w:rsidRPr="002C3CF2">
        <w:rPr>
          <w:lang w:val="es-MX"/>
        </w:rPr>
        <w:t xml:space="preserve">e la familia </w:t>
      </w:r>
      <w:r w:rsidR="00417A97" w:rsidRPr="002C3CF2">
        <w:rPr>
          <w:lang w:val="es-MX"/>
        </w:rPr>
        <w:t xml:space="preserve">y testigos </w:t>
      </w:r>
      <w:r w:rsidR="00E11A29" w:rsidRPr="002C3CF2">
        <w:rPr>
          <w:lang w:val="es-MX"/>
        </w:rPr>
        <w:t xml:space="preserve">que </w:t>
      </w:r>
      <w:r w:rsidR="0062611B" w:rsidRPr="002C3CF2">
        <w:rPr>
          <w:lang w:val="es-MX"/>
        </w:rPr>
        <w:t xml:space="preserve">indica </w:t>
      </w:r>
      <w:r w:rsidR="00110271" w:rsidRPr="002C3CF2">
        <w:rPr>
          <w:lang w:val="es-MX"/>
        </w:rPr>
        <w:t xml:space="preserve">que la muerte de </w:t>
      </w:r>
      <w:r w:rsidR="00E11A29" w:rsidRPr="002C3CF2">
        <w:rPr>
          <w:lang w:val="es-MX"/>
        </w:rPr>
        <w:t xml:space="preserve">Jimmy </w:t>
      </w:r>
      <w:r w:rsidR="00110271" w:rsidRPr="002C3CF2">
        <w:rPr>
          <w:lang w:val="es-MX"/>
        </w:rPr>
        <w:t xml:space="preserve">Guerrero fue una ejecución extrajudicial </w:t>
      </w:r>
      <w:r w:rsidR="00E11A29" w:rsidRPr="002C3CF2">
        <w:rPr>
          <w:lang w:val="es-MX"/>
        </w:rPr>
        <w:t xml:space="preserve">cometida por agentes de seguridad del Estado. </w:t>
      </w:r>
    </w:p>
    <w:p w:rsidR="005D5CA7" w:rsidRPr="002C3CF2" w:rsidRDefault="005D5CA7" w:rsidP="005A5B29">
      <w:pPr>
        <w:spacing w:after="0" w:line="240" w:lineRule="auto"/>
        <w:ind w:firstLine="720"/>
        <w:jc w:val="both"/>
        <w:rPr>
          <w:lang w:val="es-MX"/>
        </w:rPr>
      </w:pPr>
    </w:p>
    <w:p w:rsidR="0062611B" w:rsidRPr="002C3CF2" w:rsidRDefault="001619BE" w:rsidP="0062611B">
      <w:pPr>
        <w:spacing w:after="0" w:line="240" w:lineRule="auto"/>
        <w:ind w:firstLine="720"/>
        <w:jc w:val="both"/>
        <w:rPr>
          <w:lang w:val="es-MX"/>
        </w:rPr>
      </w:pPr>
      <w:r w:rsidRPr="002C3CF2">
        <w:rPr>
          <w:lang w:val="es-MX"/>
        </w:rPr>
        <w:t>La Comisión Interamericana encontró que existe un contexto de ejecuciones extrajudiciales dirigid</w:t>
      </w:r>
      <w:r w:rsidR="00214CFD" w:rsidRPr="002C3CF2">
        <w:rPr>
          <w:lang w:val="es-MX"/>
        </w:rPr>
        <w:t>as</w:t>
      </w:r>
      <w:r w:rsidRPr="002C3CF2">
        <w:rPr>
          <w:lang w:val="es-MX"/>
        </w:rPr>
        <w:t xml:space="preserve"> en contra de hombres jóvenes, de bajos recursos económicos y de barrios populares, llevad</w:t>
      </w:r>
      <w:r w:rsidR="00214CFD" w:rsidRPr="002C3CF2">
        <w:rPr>
          <w:lang w:val="es-MX"/>
        </w:rPr>
        <w:t>as</w:t>
      </w:r>
      <w:r w:rsidRPr="002C3CF2">
        <w:rPr>
          <w:lang w:val="es-MX"/>
        </w:rPr>
        <w:t xml:space="preserve"> a cabo bajo un </w:t>
      </w:r>
      <w:r w:rsidRPr="002C3CF2">
        <w:rPr>
          <w:i/>
          <w:lang w:val="es-MX"/>
        </w:rPr>
        <w:t>modus operandi</w:t>
      </w:r>
      <w:r w:rsidRPr="002C3CF2">
        <w:rPr>
          <w:lang w:val="es-MX"/>
        </w:rPr>
        <w:t xml:space="preserve"> específico, que ocurría en</w:t>
      </w:r>
      <w:r w:rsidR="00617866" w:rsidRPr="002C3CF2">
        <w:rPr>
          <w:lang w:val="es-MX"/>
        </w:rPr>
        <w:t xml:space="preserve"> el </w:t>
      </w:r>
      <w:r w:rsidR="002E2272" w:rsidRPr="00925E6C">
        <w:rPr>
          <w:lang w:val="es-MX"/>
        </w:rPr>
        <w:t>E</w:t>
      </w:r>
      <w:r w:rsidR="00617866" w:rsidRPr="002C3CF2">
        <w:rPr>
          <w:lang w:val="es-MX"/>
        </w:rPr>
        <w:t>stado</w:t>
      </w:r>
      <w:r w:rsidRPr="002C3CF2">
        <w:rPr>
          <w:lang w:val="es-MX"/>
        </w:rPr>
        <w:t xml:space="preserve"> Falcón en la época de los hechos del caso y que ha sido establecido previamente por la CIDH y la Corte.</w:t>
      </w:r>
      <w:r w:rsidR="005D5CA7" w:rsidRPr="002C3CF2">
        <w:rPr>
          <w:lang w:val="es-MX"/>
        </w:rPr>
        <w:t xml:space="preserve"> </w:t>
      </w:r>
      <w:r w:rsidR="00214CFD" w:rsidRPr="002C3CF2">
        <w:rPr>
          <w:lang w:val="es-MX"/>
        </w:rPr>
        <w:t xml:space="preserve"> </w:t>
      </w:r>
      <w:r w:rsidR="005D5CA7" w:rsidRPr="002C3CF2">
        <w:rPr>
          <w:lang w:val="es-MX"/>
        </w:rPr>
        <w:t xml:space="preserve">Asimismo, tomando en consideración, las amenazas, agresiones y detenciones policiales experimentadas por Jimmy Guerrero, así como la existencia de medidas de protección solicitadas por la Defensoría del Pueblo, sumado al contexto de violencia Policial en Falcón, y los indicios de participación de agentes estatales a través del </w:t>
      </w:r>
      <w:r w:rsidR="005D5CA7" w:rsidRPr="002C3CF2">
        <w:rPr>
          <w:i/>
          <w:lang w:val="es-MX"/>
        </w:rPr>
        <w:t>modus operandi</w:t>
      </w:r>
      <w:r w:rsidR="005D5CA7" w:rsidRPr="002C3CF2">
        <w:rPr>
          <w:lang w:val="es-MX"/>
        </w:rPr>
        <w:t xml:space="preserve"> en que ocurrieron los hechos, la </w:t>
      </w:r>
      <w:r w:rsidR="00214CFD" w:rsidRPr="002C3CF2">
        <w:rPr>
          <w:lang w:val="es-MX"/>
        </w:rPr>
        <w:t xml:space="preserve">Comisión </w:t>
      </w:r>
      <w:r w:rsidR="005D5CA7" w:rsidRPr="002C3CF2">
        <w:rPr>
          <w:lang w:val="es-MX"/>
        </w:rPr>
        <w:t xml:space="preserve">atribuyó al Estado venezolano tanto la muerte de Jimmy Guerrero, como la muerte colateral de su tío Ramón Molina. </w:t>
      </w:r>
      <w:r w:rsidR="00214CFD" w:rsidRPr="002C3CF2">
        <w:rPr>
          <w:lang w:val="es-MX"/>
        </w:rPr>
        <w:t xml:space="preserve"> </w:t>
      </w:r>
      <w:r w:rsidR="00FB74AB" w:rsidRPr="002C3CF2">
        <w:rPr>
          <w:lang w:val="es-MX"/>
        </w:rPr>
        <w:t xml:space="preserve">Asimismo, la CIDH encontró que en ambos casos, las dos víctimas experimentaron situaciones de profundo miedo antes de sus ejecuciones por lo que consideró que se configuró la violación del derecho a la integridad. </w:t>
      </w:r>
      <w:r w:rsidR="00214CFD" w:rsidRPr="002C3CF2">
        <w:rPr>
          <w:lang w:val="es-MX"/>
        </w:rPr>
        <w:t xml:space="preserve"> </w:t>
      </w:r>
      <w:r w:rsidR="00FB74AB" w:rsidRPr="002C3CF2">
        <w:rPr>
          <w:lang w:val="es-MX"/>
        </w:rPr>
        <w:t>Finalmente, en el caso de Jimmy Guerrero, dado el ens</w:t>
      </w:r>
      <w:r w:rsidR="00214CFD" w:rsidRPr="002C3CF2">
        <w:rPr>
          <w:lang w:val="es-MX"/>
        </w:rPr>
        <w:t>a</w:t>
      </w:r>
      <w:r w:rsidR="00FB74AB" w:rsidRPr="002C3CF2">
        <w:rPr>
          <w:lang w:val="es-MX"/>
        </w:rPr>
        <w:t xml:space="preserve">ñamiento que hubo contra su cuerpo, el arrastre por un vehículo por varios metros sobre el pavimento y el abandono de su cuerpo en un lugar circundante, la CIDH concluyó que el Estado vulneró su obligación de investigar posibles hechos de tortura. </w:t>
      </w:r>
    </w:p>
    <w:p w:rsidR="003201CF" w:rsidRPr="002C3CF2" w:rsidRDefault="003201CF" w:rsidP="0062611B">
      <w:pPr>
        <w:spacing w:after="0" w:line="240" w:lineRule="auto"/>
        <w:ind w:firstLine="720"/>
        <w:jc w:val="both"/>
        <w:rPr>
          <w:lang w:val="es-MX"/>
        </w:rPr>
      </w:pPr>
    </w:p>
    <w:p w:rsidR="003201CF" w:rsidRPr="002C3CF2" w:rsidRDefault="003201CF" w:rsidP="0062611B">
      <w:pPr>
        <w:spacing w:after="0" w:line="240" w:lineRule="auto"/>
        <w:ind w:firstLine="720"/>
        <w:jc w:val="both"/>
        <w:rPr>
          <w:rFonts w:cs="Arial"/>
          <w:lang w:val="es-ES"/>
        </w:rPr>
      </w:pPr>
    </w:p>
    <w:p w:rsidR="0062611B" w:rsidRPr="002C3CF2" w:rsidRDefault="0062611B" w:rsidP="0062611B">
      <w:pPr>
        <w:spacing w:after="0" w:line="240" w:lineRule="auto"/>
        <w:ind w:firstLine="720"/>
        <w:jc w:val="both"/>
        <w:rPr>
          <w:rFonts w:cs="Arial"/>
          <w:lang w:val="es-ES"/>
        </w:rPr>
      </w:pPr>
    </w:p>
    <w:p w:rsidR="0062611B" w:rsidRPr="002C3CF2" w:rsidRDefault="0062611B" w:rsidP="006261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CO"/>
        </w:rPr>
      </w:pPr>
      <w:r w:rsidRPr="002C3CF2">
        <w:rPr>
          <w:rFonts w:cs="Arial"/>
          <w:snapToGrid w:val="0"/>
          <w:lang w:val="es-ES_tradnl"/>
        </w:rPr>
        <w:t>Señor</w:t>
      </w:r>
    </w:p>
    <w:p w:rsidR="0062611B" w:rsidRPr="002C3CF2" w:rsidRDefault="0062611B" w:rsidP="006261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CO"/>
        </w:rPr>
      </w:pPr>
      <w:r w:rsidRPr="002C3CF2">
        <w:rPr>
          <w:rFonts w:cs="Arial"/>
          <w:snapToGrid w:val="0"/>
          <w:lang w:val="es-CO"/>
        </w:rPr>
        <w:t xml:space="preserve">Pablo </w:t>
      </w:r>
      <w:r w:rsidRPr="002C3CF2">
        <w:rPr>
          <w:lang w:val="es-ES"/>
        </w:rPr>
        <w:t>Saavedra</w:t>
      </w:r>
      <w:r w:rsidRPr="002C3CF2">
        <w:rPr>
          <w:rFonts w:cs="Arial"/>
          <w:snapToGrid w:val="0"/>
          <w:lang w:val="es-CO"/>
        </w:rPr>
        <w:t xml:space="preserve"> Alessandri, Secretario</w:t>
      </w:r>
    </w:p>
    <w:p w:rsidR="0062611B" w:rsidRPr="002C3CF2" w:rsidRDefault="0062611B" w:rsidP="006261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ES_tradnl"/>
        </w:rPr>
      </w:pPr>
      <w:r w:rsidRPr="002C3CF2">
        <w:rPr>
          <w:rFonts w:cs="Arial"/>
          <w:snapToGrid w:val="0"/>
          <w:lang w:val="es-ES_tradnl"/>
        </w:rPr>
        <w:t>Corte Interamericana de Derechos Humanos</w:t>
      </w:r>
    </w:p>
    <w:p w:rsidR="0062611B" w:rsidRPr="002C3CF2" w:rsidRDefault="0062611B" w:rsidP="006261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ES_tradnl"/>
        </w:rPr>
      </w:pPr>
      <w:r w:rsidRPr="002C3CF2">
        <w:rPr>
          <w:rFonts w:cs="Arial"/>
          <w:snapToGrid w:val="0"/>
          <w:lang w:val="es-ES_tradnl"/>
        </w:rPr>
        <w:t>Apartado 6906-1000</w:t>
      </w:r>
    </w:p>
    <w:p w:rsidR="0062611B" w:rsidRPr="002C3CF2" w:rsidRDefault="0062611B" w:rsidP="006261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ES_tradnl"/>
        </w:rPr>
      </w:pPr>
      <w:r w:rsidRPr="002C3CF2">
        <w:rPr>
          <w:rFonts w:cs="Arial"/>
          <w:snapToGrid w:val="0"/>
          <w:lang w:val="es-ES_tradnl"/>
        </w:rPr>
        <w:t>San José, Costa Rica</w:t>
      </w:r>
    </w:p>
    <w:p w:rsidR="0062611B" w:rsidRPr="002C3CF2" w:rsidRDefault="0062611B" w:rsidP="0062611B">
      <w:pPr>
        <w:spacing w:after="0" w:line="240" w:lineRule="auto"/>
        <w:jc w:val="both"/>
        <w:rPr>
          <w:lang w:val="es-MX"/>
        </w:rPr>
      </w:pPr>
    </w:p>
    <w:p w:rsidR="007A495D" w:rsidRPr="002C3CF2" w:rsidRDefault="007A495D" w:rsidP="0062611B">
      <w:pPr>
        <w:spacing w:after="0" w:line="240" w:lineRule="auto"/>
        <w:jc w:val="both"/>
        <w:rPr>
          <w:lang w:val="es-MX"/>
        </w:rPr>
      </w:pPr>
    </w:p>
    <w:p w:rsidR="007919CA" w:rsidRPr="002C3CF2" w:rsidRDefault="007919CA" w:rsidP="007919CA">
      <w:pPr>
        <w:spacing w:after="0" w:line="240" w:lineRule="auto"/>
        <w:ind w:firstLine="720"/>
        <w:jc w:val="both"/>
        <w:rPr>
          <w:lang w:val="es-MX"/>
        </w:rPr>
      </w:pPr>
      <w:r w:rsidRPr="002C3CF2">
        <w:rPr>
          <w:lang w:val="es-MX"/>
        </w:rPr>
        <w:t xml:space="preserve">El caso también se relaciona con las violaciones a las garantías y protección judicial en el marco de la investigación y proceso penal seguidos frente </w:t>
      </w:r>
      <w:r w:rsidR="00AD212F" w:rsidRPr="002C3CF2">
        <w:rPr>
          <w:lang w:val="es-MX"/>
        </w:rPr>
        <w:t xml:space="preserve">las muertes de </w:t>
      </w:r>
      <w:r w:rsidR="003201CF" w:rsidRPr="002C3CF2">
        <w:rPr>
          <w:lang w:val="es-MX"/>
        </w:rPr>
        <w:t xml:space="preserve">Jimmy </w:t>
      </w:r>
      <w:r w:rsidR="00AD212F" w:rsidRPr="002C3CF2">
        <w:rPr>
          <w:lang w:val="es-MX"/>
        </w:rPr>
        <w:t>Guerrero y</w:t>
      </w:r>
      <w:r w:rsidR="003201CF" w:rsidRPr="002C3CF2">
        <w:rPr>
          <w:lang w:val="es-MX"/>
        </w:rPr>
        <w:t xml:space="preserve"> Ramón</w:t>
      </w:r>
      <w:r w:rsidR="00AD212F" w:rsidRPr="002C3CF2">
        <w:rPr>
          <w:lang w:val="es-MX"/>
        </w:rPr>
        <w:t xml:space="preserve"> Molina</w:t>
      </w:r>
      <w:r w:rsidRPr="002C3CF2">
        <w:rPr>
          <w:lang w:val="es-MX"/>
        </w:rPr>
        <w:t xml:space="preserve">. </w:t>
      </w:r>
      <w:r w:rsidR="00214CFD" w:rsidRPr="002C3CF2">
        <w:rPr>
          <w:lang w:val="es-MX"/>
        </w:rPr>
        <w:t xml:space="preserve"> </w:t>
      </w:r>
      <w:r w:rsidRPr="002C3CF2">
        <w:rPr>
          <w:lang w:val="es-MX"/>
        </w:rPr>
        <w:t xml:space="preserve">La Comisión determinó que el Estado </w:t>
      </w:r>
      <w:r w:rsidR="002E2272" w:rsidRPr="00925E6C">
        <w:rPr>
          <w:lang w:val="es-MX"/>
        </w:rPr>
        <w:t>de Venezuela</w:t>
      </w:r>
      <w:r w:rsidR="002E2272" w:rsidRPr="002C3CF2">
        <w:rPr>
          <w:lang w:val="es-MX"/>
        </w:rPr>
        <w:t xml:space="preserve"> </w:t>
      </w:r>
      <w:r w:rsidRPr="002C3CF2">
        <w:rPr>
          <w:lang w:val="es-MX"/>
        </w:rPr>
        <w:t>incumplió con su obligación de inve</w:t>
      </w:r>
      <w:r w:rsidR="00AD212F" w:rsidRPr="002C3CF2">
        <w:rPr>
          <w:lang w:val="es-MX"/>
        </w:rPr>
        <w:t>stigar con la debida diligencia las muertes en cuestión</w:t>
      </w:r>
      <w:r w:rsidR="0062611B" w:rsidRPr="002C3CF2">
        <w:rPr>
          <w:lang w:val="es-MX"/>
        </w:rPr>
        <w:t>, entre otros aspectos,</w:t>
      </w:r>
      <w:r w:rsidRPr="002C3CF2">
        <w:rPr>
          <w:lang w:val="es-MX"/>
        </w:rPr>
        <w:t xml:space="preserve"> </w:t>
      </w:r>
      <w:r w:rsidR="00541CE8" w:rsidRPr="002C3CF2">
        <w:rPr>
          <w:lang w:val="es-MX"/>
        </w:rPr>
        <w:t xml:space="preserve">debido </w:t>
      </w:r>
      <w:r w:rsidR="00AD212F" w:rsidRPr="002C3CF2">
        <w:rPr>
          <w:lang w:val="es-MX"/>
        </w:rPr>
        <w:t>a la conducción de la</w:t>
      </w:r>
      <w:r w:rsidRPr="002C3CF2">
        <w:rPr>
          <w:lang w:val="es-MX"/>
        </w:rPr>
        <w:t xml:space="preserve"> investigación </w:t>
      </w:r>
      <w:r w:rsidR="00AD212F" w:rsidRPr="002C3CF2">
        <w:rPr>
          <w:lang w:val="es-MX"/>
        </w:rPr>
        <w:t xml:space="preserve">sin que exista una línea lógica </w:t>
      </w:r>
      <w:r w:rsidR="00F42DEC" w:rsidRPr="002C3CF2">
        <w:rPr>
          <w:lang w:val="es-MX"/>
        </w:rPr>
        <w:t xml:space="preserve">sobre </w:t>
      </w:r>
      <w:r w:rsidR="00AD212F" w:rsidRPr="002C3CF2">
        <w:rPr>
          <w:lang w:val="es-MX"/>
        </w:rPr>
        <w:t xml:space="preserve">la posible participación de agentes del Estado en la muerte de las víctimas pese a las denuncias </w:t>
      </w:r>
      <w:r w:rsidR="00080527" w:rsidRPr="002C3CF2">
        <w:rPr>
          <w:lang w:val="es-MX"/>
        </w:rPr>
        <w:t>interpuesta</w:t>
      </w:r>
      <w:r w:rsidR="00541CE8" w:rsidRPr="002C3CF2">
        <w:rPr>
          <w:lang w:val="es-MX"/>
        </w:rPr>
        <w:t>s</w:t>
      </w:r>
      <w:r w:rsidR="00080527" w:rsidRPr="002C3CF2">
        <w:rPr>
          <w:lang w:val="es-MX"/>
        </w:rPr>
        <w:t>; el ocultamiento y destrucción de evidencia (parque de armas, libros de ocurrencias, entre otros) solicitada por las Fiscalía</w:t>
      </w:r>
      <w:r w:rsidR="000046CB" w:rsidRPr="002C3CF2">
        <w:rPr>
          <w:lang w:val="es-MX"/>
        </w:rPr>
        <w:t>s</w:t>
      </w:r>
      <w:r w:rsidR="00080527" w:rsidRPr="002C3CF2">
        <w:rPr>
          <w:lang w:val="es-MX"/>
        </w:rPr>
        <w:t xml:space="preserve"> encargadas a lo largo de los años, por acción de agentes policiales; descarte de testimonios que vinculaban a agentes policiales; </w:t>
      </w:r>
      <w:r w:rsidR="00541CE8" w:rsidRPr="002C3CF2">
        <w:rPr>
          <w:lang w:val="es-MX"/>
        </w:rPr>
        <w:t xml:space="preserve">la </w:t>
      </w:r>
      <w:r w:rsidR="00080527" w:rsidRPr="002C3CF2">
        <w:rPr>
          <w:lang w:val="es-MX"/>
        </w:rPr>
        <w:t>falta de impulso procesal de oficio; la falta de razonabilidad en el tiempo de la investigación</w:t>
      </w:r>
      <w:r w:rsidR="00D3789C" w:rsidRPr="002C3CF2">
        <w:rPr>
          <w:lang w:val="es-MX"/>
        </w:rPr>
        <w:t>;</w:t>
      </w:r>
      <w:r w:rsidR="00541CE8" w:rsidRPr="002C3CF2">
        <w:rPr>
          <w:lang w:val="es-MX"/>
        </w:rPr>
        <w:t xml:space="preserve"> y la ausencia de la toma en consideración del contexto de violencia policial en Falcón</w:t>
      </w:r>
      <w:r w:rsidR="00AD212F" w:rsidRPr="002C3CF2">
        <w:rPr>
          <w:lang w:val="es-MX"/>
        </w:rPr>
        <w:t xml:space="preserve">. </w:t>
      </w:r>
    </w:p>
    <w:p w:rsidR="00093F70" w:rsidRPr="002C3CF2" w:rsidRDefault="00093F70" w:rsidP="00093F70">
      <w:pPr>
        <w:spacing w:after="0" w:line="240" w:lineRule="auto"/>
        <w:ind w:firstLine="720"/>
        <w:jc w:val="both"/>
        <w:rPr>
          <w:lang w:val="es-MX"/>
        </w:rPr>
      </w:pPr>
    </w:p>
    <w:p w:rsidR="007919CA" w:rsidRPr="002C3CF2" w:rsidRDefault="007919CA" w:rsidP="00093F70">
      <w:pPr>
        <w:spacing w:after="0" w:line="240" w:lineRule="auto"/>
        <w:ind w:firstLine="720"/>
        <w:jc w:val="both"/>
        <w:rPr>
          <w:lang w:val="es-MX"/>
        </w:rPr>
      </w:pPr>
      <w:r w:rsidRPr="002C3CF2">
        <w:rPr>
          <w:lang w:val="es-MX"/>
        </w:rPr>
        <w:t>Finalmente, la C</w:t>
      </w:r>
      <w:r w:rsidR="000046CB" w:rsidRPr="002C3CF2">
        <w:rPr>
          <w:lang w:val="es-MX"/>
        </w:rPr>
        <w:t>IDH</w:t>
      </w:r>
      <w:r w:rsidRPr="002C3CF2">
        <w:rPr>
          <w:lang w:val="es-MX"/>
        </w:rPr>
        <w:t xml:space="preserve"> </w:t>
      </w:r>
      <w:r w:rsidR="006D1879" w:rsidRPr="002C3CF2">
        <w:rPr>
          <w:lang w:val="es-MX"/>
        </w:rPr>
        <w:t xml:space="preserve">determinó la afectación a la integridad psíquica y moral de los familiares por </w:t>
      </w:r>
      <w:r w:rsidR="0062611B" w:rsidRPr="002C3CF2">
        <w:rPr>
          <w:lang w:val="es-MX"/>
        </w:rPr>
        <w:t xml:space="preserve">el dolor y sufrimiento inherente a las circunstancias en las cuales perdieron la vida las </w:t>
      </w:r>
      <w:r w:rsidR="00541CE8" w:rsidRPr="002C3CF2">
        <w:rPr>
          <w:lang w:val="es-MX"/>
        </w:rPr>
        <w:t>dos</w:t>
      </w:r>
      <w:r w:rsidR="0062611B" w:rsidRPr="002C3CF2">
        <w:rPr>
          <w:lang w:val="es-MX"/>
        </w:rPr>
        <w:t xml:space="preserve"> víctimas, </w:t>
      </w:r>
      <w:r w:rsidR="006D1879" w:rsidRPr="002C3CF2">
        <w:rPr>
          <w:lang w:val="es-MX"/>
        </w:rPr>
        <w:t xml:space="preserve">así como </w:t>
      </w:r>
      <w:r w:rsidR="0062611B" w:rsidRPr="002C3CF2">
        <w:rPr>
          <w:lang w:val="es-MX"/>
        </w:rPr>
        <w:t>la falta</w:t>
      </w:r>
      <w:r w:rsidRPr="002C3CF2">
        <w:rPr>
          <w:lang w:val="es-MX"/>
        </w:rPr>
        <w:t xml:space="preserve"> </w:t>
      </w:r>
      <w:r w:rsidR="0062611B" w:rsidRPr="002C3CF2">
        <w:rPr>
          <w:lang w:val="es-MX"/>
        </w:rPr>
        <w:t>de una respuesta frente a las acciones de justicia que han emprendido, en particular en un contexto en el cual se registraron también denuncias de amenazas y hostigamiento en su contra por el impulso que han dado al proceso</w:t>
      </w:r>
      <w:r w:rsidR="006D1879" w:rsidRPr="002C3CF2">
        <w:rPr>
          <w:lang w:val="es-MX"/>
        </w:rPr>
        <w:t>.</w:t>
      </w:r>
    </w:p>
    <w:p w:rsidR="00563B8A" w:rsidRPr="002C3CF2" w:rsidRDefault="00563B8A" w:rsidP="00311BD2">
      <w:pPr>
        <w:spacing w:after="0" w:line="240" w:lineRule="auto"/>
        <w:jc w:val="both"/>
        <w:rPr>
          <w:lang w:val="es-US"/>
        </w:rPr>
      </w:pPr>
    </w:p>
    <w:p w:rsidR="002D20E1" w:rsidRPr="002C3CF2" w:rsidRDefault="002D20E1" w:rsidP="00311BD2">
      <w:pPr>
        <w:suppressAutoHyphens/>
        <w:spacing w:after="0" w:line="240" w:lineRule="auto"/>
        <w:ind w:firstLine="720"/>
        <w:jc w:val="both"/>
        <w:rPr>
          <w:rFonts w:cs="Arial"/>
          <w:lang w:val="es-CO"/>
        </w:rPr>
      </w:pPr>
      <w:r w:rsidRPr="002C3CF2">
        <w:rPr>
          <w:rFonts w:cs="Arial"/>
          <w:lang w:val="es-CO"/>
        </w:rPr>
        <w:t xml:space="preserve">El Estado </w:t>
      </w:r>
      <w:r w:rsidRPr="002C3CF2">
        <w:rPr>
          <w:lang w:val="es-AR"/>
        </w:rPr>
        <w:t>ratificó</w:t>
      </w:r>
      <w:r w:rsidRPr="002C3CF2">
        <w:rPr>
          <w:rFonts w:cs="Arial"/>
          <w:lang w:val="es-CO"/>
        </w:rPr>
        <w:t xml:space="preserve"> la Convención Americana sobre Derechos Humanos el 9 de agosto de 1997  y aceptó la competencia contenciosa de la Corte el 24 de junio de 1981.</w:t>
      </w:r>
      <w:r w:rsidRPr="002C3CF2">
        <w:rPr>
          <w:rFonts w:cs="Arial"/>
          <w:lang w:val="es-ES"/>
        </w:rPr>
        <w:t xml:space="preserve"> </w:t>
      </w:r>
      <w:r w:rsidR="000046CB" w:rsidRPr="002C3CF2">
        <w:rPr>
          <w:rFonts w:cs="Arial"/>
          <w:lang w:val="es-ES"/>
        </w:rPr>
        <w:t xml:space="preserve"> </w:t>
      </w:r>
      <w:r w:rsidRPr="002C3CF2">
        <w:rPr>
          <w:rFonts w:cs="Arial"/>
          <w:lang w:val="es-ES"/>
        </w:rPr>
        <w:t xml:space="preserve">El Estado denunció la Convención Americana el 10 de septiembre de 2012. </w:t>
      </w:r>
      <w:r w:rsidR="000046CB" w:rsidRPr="002C3CF2">
        <w:rPr>
          <w:rFonts w:cs="Arial"/>
          <w:lang w:val="es-ES"/>
        </w:rPr>
        <w:t xml:space="preserve"> </w:t>
      </w:r>
      <w:r w:rsidRPr="002C3CF2">
        <w:rPr>
          <w:rFonts w:cs="Arial"/>
          <w:lang w:val="es-ES"/>
        </w:rPr>
        <w:t xml:space="preserve">Los hechos del presente caso tuvieron lugar antes del 10 de septiembre de 2013, fecha en que entró en vigencia la denuncia de la Convención Americana. </w:t>
      </w:r>
    </w:p>
    <w:p w:rsidR="002D20E1" w:rsidRPr="002C3CF2" w:rsidRDefault="002D20E1" w:rsidP="00311BD2">
      <w:pPr>
        <w:spacing w:after="0" w:line="240" w:lineRule="auto"/>
        <w:jc w:val="both"/>
        <w:rPr>
          <w:rFonts w:cs="Arial"/>
          <w:snapToGrid w:val="0"/>
          <w:lang w:val="es-CO"/>
        </w:rPr>
      </w:pPr>
    </w:p>
    <w:p w:rsidR="002D20E1" w:rsidRPr="002C3CF2" w:rsidRDefault="002D20E1" w:rsidP="00311BD2">
      <w:pPr>
        <w:suppressAutoHyphens/>
        <w:spacing w:after="0" w:line="240" w:lineRule="auto"/>
        <w:ind w:firstLine="720"/>
        <w:jc w:val="both"/>
        <w:rPr>
          <w:rFonts w:cs="Arial"/>
          <w:lang w:val="es-CO"/>
        </w:rPr>
      </w:pPr>
      <w:r w:rsidRPr="002C3CF2">
        <w:rPr>
          <w:lang w:val="es-CO"/>
        </w:rPr>
        <w:t>La Comisión ha designado al Comisionado Francisco Eguiguren</w:t>
      </w:r>
      <w:r w:rsidR="00562D0A" w:rsidRPr="002C3CF2">
        <w:rPr>
          <w:lang w:val="es-CO"/>
        </w:rPr>
        <w:t xml:space="preserve"> Praeli y</w:t>
      </w:r>
      <w:r w:rsidRPr="002C3CF2">
        <w:rPr>
          <w:lang w:val="es-CO"/>
        </w:rPr>
        <w:t xml:space="preserve"> al Secretario Ejecutivo </w:t>
      </w:r>
      <w:r w:rsidR="00562D0A" w:rsidRPr="002C3CF2">
        <w:rPr>
          <w:lang w:val="es-CO"/>
        </w:rPr>
        <w:t>Paulo Abr</w:t>
      </w:r>
      <w:r w:rsidR="00562D0A" w:rsidRPr="002C3CF2">
        <w:rPr>
          <w:rStyle w:val="Textoennegrita"/>
          <w:rFonts w:cs="Tahoma"/>
          <w:b w:val="0"/>
          <w:lang w:val="es-CO"/>
        </w:rPr>
        <w:t>ão</w:t>
      </w:r>
      <w:r w:rsidRPr="002C3CF2">
        <w:rPr>
          <w:lang w:val="es-CO"/>
        </w:rPr>
        <w:t xml:space="preserve">, como sus </w:t>
      </w:r>
      <w:r w:rsidR="000046CB" w:rsidRPr="002C3CF2">
        <w:rPr>
          <w:lang w:val="es-CO"/>
        </w:rPr>
        <w:t>D</w:t>
      </w:r>
      <w:r w:rsidRPr="002C3CF2">
        <w:rPr>
          <w:lang w:val="es-CO"/>
        </w:rPr>
        <w:t xml:space="preserve">elegados. </w:t>
      </w:r>
      <w:r w:rsidR="000046CB" w:rsidRPr="002C3CF2">
        <w:rPr>
          <w:lang w:val="es-CO"/>
        </w:rPr>
        <w:t xml:space="preserve"> </w:t>
      </w:r>
      <w:r w:rsidRPr="002C3CF2">
        <w:rPr>
          <w:lang w:val="es-CO"/>
        </w:rPr>
        <w:t xml:space="preserve">Asimismo, </w:t>
      </w:r>
      <w:r w:rsidR="00F0154C" w:rsidRPr="002C3CF2">
        <w:rPr>
          <w:lang w:val="es-CO"/>
        </w:rPr>
        <w:t xml:space="preserve">la abogada </w:t>
      </w:r>
      <w:r w:rsidRPr="002C3CF2">
        <w:rPr>
          <w:lang w:val="es-CO"/>
        </w:rPr>
        <w:t>Silvia Serrano Guzmán y</w:t>
      </w:r>
      <w:r w:rsidR="00562D0A" w:rsidRPr="002C3CF2">
        <w:rPr>
          <w:lang w:val="es-CO"/>
        </w:rPr>
        <w:t xml:space="preserve"> </w:t>
      </w:r>
      <w:r w:rsidR="00F0154C" w:rsidRPr="002C3CF2">
        <w:rPr>
          <w:lang w:val="es-CO"/>
        </w:rPr>
        <w:t xml:space="preserve">el abogado </w:t>
      </w:r>
      <w:r w:rsidR="00541CE8" w:rsidRPr="002C3CF2">
        <w:rPr>
          <w:lang w:val="es-CO"/>
        </w:rPr>
        <w:t>Piero Vásquez Agüero</w:t>
      </w:r>
      <w:r w:rsidR="00BC3884" w:rsidRPr="002C3CF2">
        <w:rPr>
          <w:lang w:val="es-CO"/>
        </w:rPr>
        <w:t>,</w:t>
      </w:r>
      <w:r w:rsidRPr="002C3CF2">
        <w:rPr>
          <w:lang w:val="es-CO"/>
        </w:rPr>
        <w:t xml:space="preserve"> de la Secretaría Ejecutiva d</w:t>
      </w:r>
      <w:r w:rsidR="00F0154C" w:rsidRPr="002C3CF2">
        <w:rPr>
          <w:lang w:val="es-CO"/>
        </w:rPr>
        <w:t xml:space="preserve">e la CIDH, actuarán como </w:t>
      </w:r>
      <w:r w:rsidR="000046CB" w:rsidRPr="002C3CF2">
        <w:rPr>
          <w:lang w:val="es-CO"/>
        </w:rPr>
        <w:t>A</w:t>
      </w:r>
      <w:r w:rsidR="00F0154C" w:rsidRPr="002C3CF2">
        <w:rPr>
          <w:lang w:val="es-CO"/>
        </w:rPr>
        <w:t>sesore</w:t>
      </w:r>
      <w:r w:rsidR="00562D0A" w:rsidRPr="002C3CF2">
        <w:rPr>
          <w:lang w:val="es-CO"/>
        </w:rPr>
        <w:t>s</w:t>
      </w:r>
      <w:r w:rsidRPr="002C3CF2">
        <w:rPr>
          <w:lang w:val="es-CO"/>
        </w:rPr>
        <w:t xml:space="preserve"> </w:t>
      </w:r>
      <w:r w:rsidR="000046CB" w:rsidRPr="002C3CF2">
        <w:rPr>
          <w:lang w:val="es-CO"/>
        </w:rPr>
        <w:t>L</w:t>
      </w:r>
      <w:r w:rsidRPr="002C3CF2">
        <w:rPr>
          <w:lang w:val="es-CO"/>
        </w:rPr>
        <w:t>egales.</w:t>
      </w:r>
    </w:p>
    <w:p w:rsidR="002D20E1" w:rsidRPr="002C3CF2" w:rsidRDefault="002D20E1" w:rsidP="00311BD2">
      <w:pPr>
        <w:suppressAutoHyphens/>
        <w:spacing w:after="0" w:line="240" w:lineRule="auto"/>
        <w:ind w:firstLine="720"/>
        <w:jc w:val="both"/>
        <w:rPr>
          <w:rFonts w:cs="Arial"/>
          <w:lang w:val="es-CO"/>
        </w:rPr>
      </w:pPr>
    </w:p>
    <w:p w:rsidR="002D20E1" w:rsidRPr="002C3CF2" w:rsidRDefault="002D20E1" w:rsidP="00311BD2">
      <w:pPr>
        <w:suppressAutoHyphens/>
        <w:spacing w:after="0" w:line="240" w:lineRule="auto"/>
        <w:ind w:firstLine="720"/>
        <w:jc w:val="both"/>
        <w:rPr>
          <w:lang w:val="es-AR"/>
        </w:rPr>
      </w:pPr>
      <w:r w:rsidRPr="002C3CF2">
        <w:rPr>
          <w:rFonts w:cs="Arial"/>
          <w:lang w:val="es-CO"/>
        </w:rPr>
        <w:t xml:space="preserve">De conformidad con el artículo 35 del Reglamento de la Corte Interamericana, la Comisión adjunta </w:t>
      </w:r>
      <w:r w:rsidR="00D75547" w:rsidRPr="002C3CF2">
        <w:rPr>
          <w:lang w:val="es-CO"/>
        </w:rPr>
        <w:t>copia del Informe de F</w:t>
      </w:r>
      <w:r w:rsidRPr="002C3CF2">
        <w:rPr>
          <w:lang w:val="es-CO"/>
        </w:rPr>
        <w:t xml:space="preserve">ondo </w:t>
      </w:r>
      <w:r w:rsidR="00D75547" w:rsidRPr="002C3CF2">
        <w:rPr>
          <w:lang w:val="es-CO"/>
        </w:rPr>
        <w:t xml:space="preserve">Nº </w:t>
      </w:r>
      <w:r w:rsidR="00F0154C" w:rsidRPr="002C3CF2">
        <w:rPr>
          <w:lang w:val="es-CO"/>
        </w:rPr>
        <w:t>160/18</w:t>
      </w:r>
      <w:r w:rsidRPr="002C3CF2">
        <w:rPr>
          <w:lang w:val="es-CO"/>
        </w:rPr>
        <w:t xml:space="preserve"> elaborado en observancia del artículo 50 de la Convención, así como copia de la totalidad del expediente ante la Comisión Interamericana (Apéndice I) y los anexos utilizados en la elaboración del </w:t>
      </w:r>
      <w:r w:rsidR="000046CB" w:rsidRPr="002C3CF2">
        <w:rPr>
          <w:lang w:val="es-CO"/>
        </w:rPr>
        <w:t>I</w:t>
      </w:r>
      <w:r w:rsidRPr="002C3CF2">
        <w:rPr>
          <w:lang w:val="es-CO"/>
        </w:rPr>
        <w:t xml:space="preserve">nforme </w:t>
      </w:r>
      <w:r w:rsidR="000046CB" w:rsidRPr="002C3CF2">
        <w:rPr>
          <w:lang w:val="es-CO"/>
        </w:rPr>
        <w:t xml:space="preserve">Nº </w:t>
      </w:r>
      <w:r w:rsidR="00F0154C" w:rsidRPr="002C3CF2">
        <w:rPr>
          <w:lang w:val="es-CO"/>
        </w:rPr>
        <w:t>160/18</w:t>
      </w:r>
      <w:r w:rsidRPr="002C3CF2">
        <w:rPr>
          <w:lang w:val="es-CO"/>
        </w:rPr>
        <w:t xml:space="preserve"> (Anexos). </w:t>
      </w:r>
      <w:r w:rsidR="000046CB" w:rsidRPr="002C3CF2">
        <w:rPr>
          <w:lang w:val="es-CO"/>
        </w:rPr>
        <w:t xml:space="preserve"> </w:t>
      </w:r>
      <w:r w:rsidRPr="002C3CF2">
        <w:rPr>
          <w:lang w:val="es-CO"/>
        </w:rPr>
        <w:t xml:space="preserve">Dicho informe de fondo </w:t>
      </w:r>
      <w:r w:rsidRPr="002C3CF2">
        <w:rPr>
          <w:lang w:val="es-AR"/>
        </w:rPr>
        <w:t xml:space="preserve">fue notificado al Estado de Venezuela mediante comunicación de </w:t>
      </w:r>
      <w:r w:rsidR="00F0154C" w:rsidRPr="002C3CF2">
        <w:rPr>
          <w:lang w:val="es-AR"/>
        </w:rPr>
        <w:t>27</w:t>
      </w:r>
      <w:r w:rsidR="00C91CB5" w:rsidRPr="002C3CF2">
        <w:rPr>
          <w:lang w:val="es-AR"/>
        </w:rPr>
        <w:t xml:space="preserve"> de </w:t>
      </w:r>
      <w:r w:rsidR="00F0154C" w:rsidRPr="002C3CF2">
        <w:rPr>
          <w:lang w:val="es-AR"/>
        </w:rPr>
        <w:t>febrero de 2019</w:t>
      </w:r>
      <w:r w:rsidR="000046CB" w:rsidRPr="002C3CF2">
        <w:rPr>
          <w:lang w:val="es-AR"/>
        </w:rPr>
        <w:t>,</w:t>
      </w:r>
      <w:r w:rsidRPr="002C3CF2">
        <w:rPr>
          <w:lang w:val="es-AR"/>
        </w:rPr>
        <w:t xml:space="preserve"> otorgándole un plazo de dos meses para informar sobre el cumplimiento de las recomendaciones. </w:t>
      </w:r>
      <w:r w:rsidR="000046CB" w:rsidRPr="002C3CF2">
        <w:rPr>
          <w:lang w:val="es-AR"/>
        </w:rPr>
        <w:t xml:space="preserve"> </w:t>
      </w:r>
      <w:r w:rsidRPr="002C3CF2">
        <w:rPr>
          <w:lang w:val="es-AR"/>
        </w:rPr>
        <w:t xml:space="preserve">El Estado venezolano no dio respuesta alguna al informe de fondo de la Comisión. </w:t>
      </w:r>
    </w:p>
    <w:p w:rsidR="002D20E1" w:rsidRPr="002C3CF2" w:rsidRDefault="002D20E1" w:rsidP="00311BD2">
      <w:pPr>
        <w:spacing w:after="0" w:line="240" w:lineRule="auto"/>
        <w:ind w:firstLine="720"/>
        <w:jc w:val="both"/>
        <w:rPr>
          <w:lang w:val="es-AR"/>
        </w:rPr>
      </w:pPr>
    </w:p>
    <w:p w:rsidR="002D20E1" w:rsidRPr="002C3CF2" w:rsidRDefault="002D20E1" w:rsidP="00311BD2">
      <w:pPr>
        <w:suppressAutoHyphens/>
        <w:spacing w:after="0" w:line="240" w:lineRule="auto"/>
        <w:ind w:firstLine="720"/>
        <w:jc w:val="both"/>
        <w:rPr>
          <w:lang w:val="es-AR"/>
        </w:rPr>
      </w:pPr>
      <w:r w:rsidRPr="002C3CF2">
        <w:rPr>
          <w:lang w:val="es-AR"/>
        </w:rPr>
        <w:t>En virtud de lo anterior, l</w:t>
      </w:r>
      <w:r w:rsidRPr="002C3CF2">
        <w:rPr>
          <w:lang w:val="es-CO"/>
        </w:rPr>
        <w:t xml:space="preserve">a Comisión Interamericana somete a la jurisdicción de la Corte la totalidad de los hechos y violaciones de derechos humanos descritos en el </w:t>
      </w:r>
      <w:r w:rsidR="000046CB" w:rsidRPr="002C3CF2">
        <w:rPr>
          <w:lang w:val="es-CO"/>
        </w:rPr>
        <w:t>I</w:t>
      </w:r>
      <w:r w:rsidRPr="002C3CF2">
        <w:rPr>
          <w:lang w:val="es-CO"/>
        </w:rPr>
        <w:t xml:space="preserve">nforme de </w:t>
      </w:r>
      <w:r w:rsidR="000046CB" w:rsidRPr="002C3CF2">
        <w:rPr>
          <w:lang w:val="es-CO"/>
        </w:rPr>
        <w:t>F</w:t>
      </w:r>
      <w:r w:rsidRPr="002C3CF2">
        <w:rPr>
          <w:lang w:val="es-CO"/>
        </w:rPr>
        <w:t xml:space="preserve">ondo </w:t>
      </w:r>
      <w:r w:rsidR="000046CB" w:rsidRPr="002C3CF2">
        <w:rPr>
          <w:lang w:val="es-CO"/>
        </w:rPr>
        <w:t xml:space="preserve">Nº </w:t>
      </w:r>
      <w:r w:rsidR="00EF152A" w:rsidRPr="002C3CF2">
        <w:rPr>
          <w:lang w:val="es-CO"/>
        </w:rPr>
        <w:t>160/18</w:t>
      </w:r>
      <w:r w:rsidRPr="002C3CF2">
        <w:rPr>
          <w:lang w:val="es-CO"/>
        </w:rPr>
        <w:t xml:space="preserve">, por la necesidad de obtención </w:t>
      </w:r>
      <w:r w:rsidR="00661CFB" w:rsidRPr="002C3CF2">
        <w:rPr>
          <w:lang w:val="es-CO"/>
        </w:rPr>
        <w:t>de justicia</w:t>
      </w:r>
      <w:r w:rsidR="00BC3884" w:rsidRPr="002C3CF2">
        <w:rPr>
          <w:lang w:val="es-CO"/>
        </w:rPr>
        <w:t xml:space="preserve"> y reparación</w:t>
      </w:r>
      <w:r w:rsidR="009654C9" w:rsidRPr="002C3CF2">
        <w:rPr>
          <w:lang w:val="es-CO"/>
        </w:rPr>
        <w:t>.</w:t>
      </w:r>
      <w:r w:rsidRPr="002C3CF2">
        <w:rPr>
          <w:lang w:val="es-CO"/>
        </w:rPr>
        <w:t xml:space="preserve"> </w:t>
      </w:r>
    </w:p>
    <w:p w:rsidR="002D20E1" w:rsidRPr="002C3CF2" w:rsidRDefault="002D20E1" w:rsidP="00311BD2">
      <w:pPr>
        <w:suppressAutoHyphens/>
        <w:spacing w:after="0" w:line="240" w:lineRule="auto"/>
        <w:ind w:firstLine="720"/>
        <w:jc w:val="both"/>
        <w:rPr>
          <w:lang w:val="es-AR"/>
        </w:rPr>
      </w:pPr>
    </w:p>
    <w:p w:rsidR="00311BD2" w:rsidRPr="002C3CF2" w:rsidRDefault="002D20E1" w:rsidP="00311BD2">
      <w:pPr>
        <w:suppressAutoHyphens/>
        <w:spacing w:after="0" w:line="240" w:lineRule="auto"/>
        <w:ind w:firstLine="720"/>
        <w:jc w:val="both"/>
        <w:rPr>
          <w:lang w:val="es-ES"/>
        </w:rPr>
      </w:pPr>
      <w:r w:rsidRPr="002C3CF2">
        <w:rPr>
          <w:lang w:val="es-CO"/>
        </w:rPr>
        <w:t xml:space="preserve">En ese sentido, la Comisión solicita a la Corte que concluya y declare que el Estado de Venezuela </w:t>
      </w:r>
      <w:r w:rsidRPr="002C3CF2">
        <w:rPr>
          <w:lang w:val="es-ES"/>
        </w:rPr>
        <w:t>es responsable por</w:t>
      </w:r>
      <w:r w:rsidR="00311BD2" w:rsidRPr="002C3CF2">
        <w:rPr>
          <w:lang w:val="es-ES"/>
        </w:rPr>
        <w:t>:</w:t>
      </w:r>
    </w:p>
    <w:p w:rsidR="00311BD2" w:rsidRPr="002C3CF2" w:rsidRDefault="00311BD2" w:rsidP="00311BD2">
      <w:pPr>
        <w:suppressAutoHyphens/>
        <w:spacing w:after="0" w:line="240" w:lineRule="auto"/>
        <w:ind w:firstLine="720"/>
        <w:jc w:val="both"/>
        <w:rPr>
          <w:lang w:val="es-ES"/>
        </w:rPr>
      </w:pPr>
    </w:p>
    <w:p w:rsidR="00C91CB5" w:rsidRPr="002C3CF2" w:rsidRDefault="00311BD2" w:rsidP="00384D08">
      <w:pPr>
        <w:tabs>
          <w:tab w:val="left" w:pos="90"/>
          <w:tab w:val="left" w:pos="360"/>
          <w:tab w:val="left" w:pos="1080"/>
        </w:tabs>
        <w:spacing w:after="0" w:line="240" w:lineRule="auto"/>
        <w:ind w:left="720" w:right="720"/>
        <w:jc w:val="both"/>
        <w:rPr>
          <w:lang w:val="es-US"/>
        </w:rPr>
      </w:pPr>
      <w:r w:rsidRPr="002C3CF2">
        <w:rPr>
          <w:lang w:val="es-US"/>
        </w:rPr>
        <w:t xml:space="preserve">- </w:t>
      </w:r>
      <w:r w:rsidRPr="002C3CF2">
        <w:rPr>
          <w:lang w:val="es-US"/>
        </w:rPr>
        <w:tab/>
        <w:t xml:space="preserve">La violación de los derechos establecidos en </w:t>
      </w:r>
      <w:r w:rsidR="00C91CB5" w:rsidRPr="002C3CF2">
        <w:rPr>
          <w:lang w:val="es-US"/>
        </w:rPr>
        <w:t>el</w:t>
      </w:r>
      <w:r w:rsidR="00EF152A" w:rsidRPr="002C3CF2">
        <w:rPr>
          <w:lang w:val="es-US"/>
        </w:rPr>
        <w:t xml:space="preserve"> artículo 4.1 y 5.1. </w:t>
      </w:r>
      <w:r w:rsidR="00C91CB5" w:rsidRPr="002C3CF2">
        <w:rPr>
          <w:lang w:val="es-US"/>
        </w:rPr>
        <w:t xml:space="preserve">de la Convención Americana, en relación con las obligaciones establecidas en el artículo 1.1 del mismo tratado, en perjuicio </w:t>
      </w:r>
      <w:r w:rsidR="00EF152A" w:rsidRPr="002C3CF2">
        <w:rPr>
          <w:lang w:val="es-US"/>
        </w:rPr>
        <w:t xml:space="preserve">Jimmy Guerrero y Ramón Molina. Asimismo, para el caso de </w:t>
      </w:r>
      <w:r w:rsidR="00BC4425" w:rsidRPr="002C3CF2">
        <w:rPr>
          <w:lang w:val="es-US"/>
        </w:rPr>
        <w:t xml:space="preserve">Jimmy </w:t>
      </w:r>
      <w:r w:rsidR="00EF152A" w:rsidRPr="002C3CF2">
        <w:rPr>
          <w:lang w:val="es-US"/>
        </w:rPr>
        <w:t xml:space="preserve">Guerrero, se solicita se declare también la violación </w:t>
      </w:r>
      <w:r w:rsidR="00FB74AB" w:rsidRPr="002C3CF2">
        <w:rPr>
          <w:lang w:val="es-US"/>
        </w:rPr>
        <w:t>de los</w:t>
      </w:r>
      <w:r w:rsidR="00EF152A" w:rsidRPr="002C3CF2">
        <w:rPr>
          <w:lang w:val="es-US"/>
        </w:rPr>
        <w:t xml:space="preserve"> artículo</w:t>
      </w:r>
      <w:r w:rsidR="00FB74AB" w:rsidRPr="002C3CF2">
        <w:rPr>
          <w:lang w:val="es-US"/>
        </w:rPr>
        <w:t>s</w:t>
      </w:r>
      <w:r w:rsidR="00EF152A" w:rsidRPr="002C3CF2">
        <w:rPr>
          <w:lang w:val="es-US"/>
        </w:rPr>
        <w:t xml:space="preserve"> 1,</w:t>
      </w:r>
      <w:r w:rsidR="00BC4425" w:rsidRPr="002C3CF2">
        <w:rPr>
          <w:lang w:val="es-US"/>
        </w:rPr>
        <w:t xml:space="preserve"> </w:t>
      </w:r>
      <w:r w:rsidR="00EF152A" w:rsidRPr="002C3CF2">
        <w:rPr>
          <w:lang w:val="es-US"/>
        </w:rPr>
        <w:t xml:space="preserve">6 y 8 de </w:t>
      </w:r>
      <w:r w:rsidR="00FB74AB" w:rsidRPr="002C3CF2">
        <w:rPr>
          <w:lang w:val="es-US"/>
        </w:rPr>
        <w:t xml:space="preserve">la </w:t>
      </w:r>
      <w:r w:rsidR="00EF152A" w:rsidRPr="002C3CF2">
        <w:rPr>
          <w:lang w:val="es-US"/>
        </w:rPr>
        <w:t>Convención Interamericana</w:t>
      </w:r>
      <w:r w:rsidR="00BC4425" w:rsidRPr="002C3CF2">
        <w:rPr>
          <w:lang w:val="es-US"/>
        </w:rPr>
        <w:t xml:space="preserve"> para Prevenir y Sancionar </w:t>
      </w:r>
      <w:r w:rsidR="00FB74AB" w:rsidRPr="002C3CF2">
        <w:rPr>
          <w:lang w:val="es-US"/>
        </w:rPr>
        <w:t xml:space="preserve">la Tortura. </w:t>
      </w:r>
    </w:p>
    <w:p w:rsidR="00CA34E8" w:rsidRPr="002C3CF2" w:rsidRDefault="00CA34E8" w:rsidP="00384D08">
      <w:pPr>
        <w:tabs>
          <w:tab w:val="left" w:pos="90"/>
          <w:tab w:val="left" w:pos="360"/>
          <w:tab w:val="left" w:pos="1080"/>
        </w:tabs>
        <w:spacing w:after="0" w:line="240" w:lineRule="auto"/>
        <w:ind w:left="720" w:right="720"/>
        <w:jc w:val="both"/>
        <w:rPr>
          <w:lang w:val="es-US"/>
        </w:rPr>
      </w:pPr>
    </w:p>
    <w:p w:rsidR="00C91CB5" w:rsidRPr="002C3CF2" w:rsidRDefault="00311BD2" w:rsidP="00384D08">
      <w:pPr>
        <w:tabs>
          <w:tab w:val="left" w:pos="90"/>
          <w:tab w:val="left" w:pos="360"/>
          <w:tab w:val="left" w:pos="1080"/>
        </w:tabs>
        <w:spacing w:after="0" w:line="240" w:lineRule="auto"/>
        <w:ind w:left="720" w:right="720"/>
        <w:jc w:val="both"/>
        <w:rPr>
          <w:lang w:val="es-US"/>
        </w:rPr>
      </w:pPr>
      <w:r w:rsidRPr="002C3CF2">
        <w:rPr>
          <w:lang w:val="es-US"/>
        </w:rPr>
        <w:t xml:space="preserve">- </w:t>
      </w:r>
      <w:r w:rsidRPr="002C3CF2">
        <w:rPr>
          <w:lang w:val="es-US"/>
        </w:rPr>
        <w:tab/>
        <w:t xml:space="preserve">La violación de los artículos </w:t>
      </w:r>
      <w:r w:rsidR="00FB74AB" w:rsidRPr="002C3CF2">
        <w:rPr>
          <w:lang w:val="es-US"/>
        </w:rPr>
        <w:t xml:space="preserve">8.1 y 25.1 </w:t>
      </w:r>
      <w:r w:rsidR="00C91CB5" w:rsidRPr="002C3CF2">
        <w:rPr>
          <w:lang w:val="es-US"/>
        </w:rPr>
        <w:t xml:space="preserve">de la Convención Americana, en relación con el artículo 1.1 del mismo instrumento, en perjuicio de </w:t>
      </w:r>
      <w:r w:rsidR="00FB74AB" w:rsidRPr="002C3CF2">
        <w:rPr>
          <w:lang w:val="es-US"/>
        </w:rPr>
        <w:t>los familiares de Jimmy Guerrero y Ramón Molina.</w:t>
      </w:r>
    </w:p>
    <w:p w:rsidR="00311BD2" w:rsidRPr="002C3CF2" w:rsidRDefault="00311BD2" w:rsidP="00384D08">
      <w:pPr>
        <w:tabs>
          <w:tab w:val="left" w:pos="90"/>
          <w:tab w:val="left" w:pos="360"/>
          <w:tab w:val="left" w:pos="1080"/>
        </w:tabs>
        <w:spacing w:after="0" w:line="240" w:lineRule="auto"/>
        <w:ind w:left="720" w:right="720"/>
        <w:rPr>
          <w:lang w:val="es-US"/>
        </w:rPr>
      </w:pPr>
    </w:p>
    <w:p w:rsidR="00311BD2" w:rsidRPr="002C3CF2" w:rsidRDefault="00FB74AB" w:rsidP="00384D08">
      <w:pPr>
        <w:tabs>
          <w:tab w:val="left" w:pos="90"/>
          <w:tab w:val="left" w:pos="360"/>
          <w:tab w:val="left" w:pos="1080"/>
        </w:tabs>
        <w:spacing w:after="0" w:line="240" w:lineRule="auto"/>
        <w:ind w:left="720" w:right="720"/>
        <w:jc w:val="both"/>
        <w:rPr>
          <w:lang w:val="es-US"/>
        </w:rPr>
      </w:pPr>
      <w:r w:rsidRPr="002C3CF2">
        <w:rPr>
          <w:lang w:val="es-US"/>
        </w:rPr>
        <w:t xml:space="preserve">- </w:t>
      </w:r>
      <w:r w:rsidRPr="002C3CF2">
        <w:rPr>
          <w:lang w:val="es-US"/>
        </w:rPr>
        <w:tab/>
        <w:t xml:space="preserve">La violación del </w:t>
      </w:r>
      <w:r w:rsidR="00311BD2" w:rsidRPr="002C3CF2">
        <w:rPr>
          <w:lang w:val="es-US"/>
        </w:rPr>
        <w:t>derecho establecido</w:t>
      </w:r>
      <w:r w:rsidRPr="002C3CF2">
        <w:rPr>
          <w:lang w:val="es-US"/>
        </w:rPr>
        <w:t xml:space="preserve"> en el</w:t>
      </w:r>
      <w:r w:rsidR="00311BD2" w:rsidRPr="002C3CF2">
        <w:rPr>
          <w:lang w:val="es-US"/>
        </w:rPr>
        <w:t xml:space="preserve"> artículo 5.1 de la Convención Americana en relación con el artículo 1.1 del mismo instrumento, </w:t>
      </w:r>
      <w:r w:rsidR="00C91CB5" w:rsidRPr="002C3CF2">
        <w:rPr>
          <w:lang w:val="es-US"/>
        </w:rPr>
        <w:t xml:space="preserve">en perjuicio de los familiares identificados en los párrafos </w:t>
      </w:r>
      <w:r w:rsidRPr="002C3CF2">
        <w:rPr>
          <w:lang w:val="es-US"/>
        </w:rPr>
        <w:t>25</w:t>
      </w:r>
      <w:r w:rsidR="00C91CB5" w:rsidRPr="002C3CF2">
        <w:rPr>
          <w:lang w:val="es-US"/>
        </w:rPr>
        <w:t xml:space="preserve"> y </w:t>
      </w:r>
      <w:r w:rsidRPr="002C3CF2">
        <w:rPr>
          <w:lang w:val="es-US"/>
        </w:rPr>
        <w:t>26</w:t>
      </w:r>
      <w:r w:rsidR="00C91CB5" w:rsidRPr="002C3CF2">
        <w:rPr>
          <w:lang w:val="es-US"/>
        </w:rPr>
        <w:t xml:space="preserve"> del informe</w:t>
      </w:r>
      <w:r w:rsidRPr="002C3CF2">
        <w:rPr>
          <w:lang w:val="es-US"/>
        </w:rPr>
        <w:t xml:space="preserve"> de fondo de la CIDH. </w:t>
      </w:r>
    </w:p>
    <w:p w:rsidR="00311BD2" w:rsidRPr="002C3CF2" w:rsidRDefault="00311BD2" w:rsidP="00384D08">
      <w:pPr>
        <w:tabs>
          <w:tab w:val="left" w:pos="90"/>
          <w:tab w:val="left" w:pos="360"/>
          <w:tab w:val="left" w:pos="1080"/>
        </w:tabs>
        <w:spacing w:after="0" w:line="240" w:lineRule="auto"/>
        <w:ind w:left="720" w:right="720"/>
        <w:jc w:val="both"/>
        <w:rPr>
          <w:lang w:val="es-ES"/>
        </w:rPr>
      </w:pPr>
    </w:p>
    <w:p w:rsidR="002D20E1" w:rsidRPr="002C3CF2" w:rsidRDefault="002D20E1" w:rsidP="00311B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lang w:val="es-CO"/>
        </w:rPr>
      </w:pPr>
      <w:r w:rsidRPr="002C3CF2">
        <w:rPr>
          <w:lang w:val="es-CO"/>
        </w:rPr>
        <w:t>En consecuencia, la Comisión solicita a la Corte que establezca las siguientes medidas de reparación:</w:t>
      </w:r>
    </w:p>
    <w:p w:rsidR="002D20E1" w:rsidRPr="002C3CF2" w:rsidRDefault="002D20E1" w:rsidP="00311BD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720"/>
        <w:jc w:val="both"/>
        <w:rPr>
          <w:lang w:val="es-CO"/>
        </w:rPr>
      </w:pPr>
    </w:p>
    <w:p w:rsidR="009C289B" w:rsidRPr="002C3CF2" w:rsidRDefault="00C91CB5" w:rsidP="009C289B">
      <w:pPr>
        <w:numPr>
          <w:ilvl w:val="0"/>
          <w:numId w:val="3"/>
        </w:numPr>
        <w:tabs>
          <w:tab w:val="left" w:pos="1080"/>
        </w:tabs>
        <w:spacing w:after="0" w:line="240" w:lineRule="auto"/>
        <w:ind w:right="720" w:firstLine="0"/>
        <w:jc w:val="both"/>
        <w:rPr>
          <w:lang w:val="es-US"/>
        </w:rPr>
      </w:pPr>
      <w:r w:rsidRPr="002C3CF2">
        <w:rPr>
          <w:lang w:val="es-US"/>
        </w:rPr>
        <w:t xml:space="preserve">Reparar integralmente las violaciones de derechos humanos declaradas en el informe tanto en el aspecto material como moral. </w:t>
      </w:r>
      <w:r w:rsidR="000046CB" w:rsidRPr="002C3CF2">
        <w:rPr>
          <w:lang w:val="es-US"/>
        </w:rPr>
        <w:t xml:space="preserve"> </w:t>
      </w:r>
      <w:r w:rsidRPr="002C3CF2">
        <w:rPr>
          <w:lang w:val="es-US"/>
        </w:rPr>
        <w:t>El Estado deberá adoptar las medidas de compensación económica y satisfacción del daño moral; así como de rehabilitación para los familiares que así lo deseen</w:t>
      </w:r>
      <w:r w:rsidR="000D437A" w:rsidRPr="002C3CF2">
        <w:rPr>
          <w:lang w:val="es-US"/>
        </w:rPr>
        <w:t xml:space="preserve">.  </w:t>
      </w:r>
    </w:p>
    <w:p w:rsidR="009C289B" w:rsidRPr="002C3CF2" w:rsidRDefault="009C289B" w:rsidP="009C289B">
      <w:pPr>
        <w:tabs>
          <w:tab w:val="left" w:pos="1080"/>
        </w:tabs>
        <w:spacing w:after="0" w:line="240" w:lineRule="auto"/>
        <w:ind w:left="720" w:right="720"/>
        <w:jc w:val="both"/>
        <w:rPr>
          <w:lang w:val="es-US"/>
        </w:rPr>
      </w:pPr>
    </w:p>
    <w:p w:rsidR="009C289B" w:rsidRPr="002C3CF2" w:rsidRDefault="009C289B" w:rsidP="009C289B">
      <w:pPr>
        <w:numPr>
          <w:ilvl w:val="0"/>
          <w:numId w:val="3"/>
        </w:numPr>
        <w:tabs>
          <w:tab w:val="left" w:pos="1080"/>
        </w:tabs>
        <w:spacing w:after="0" w:line="240" w:lineRule="auto"/>
        <w:ind w:right="720" w:firstLine="0"/>
        <w:jc w:val="both"/>
        <w:rPr>
          <w:lang w:val="es-US"/>
        </w:rPr>
      </w:pPr>
      <w:r w:rsidRPr="002C3CF2">
        <w:rPr>
          <w:lang w:val="es-ES"/>
        </w:rPr>
        <w:t>Continuar con</w:t>
      </w:r>
      <w:r w:rsidRPr="002C3CF2">
        <w:rPr>
          <w:lang w:val="es-AR"/>
        </w:rPr>
        <w:t xml:space="preserve"> la investigación penal de manera diligente, efectiva y dentro de un plazo razonable con el objeto de esclarecer los hechos en forma completa, identificar todas las posibles responsabilidades e imponer las sanciones que correspondan respecto de las violaciones de derechos humanos declaradas en el informe. </w:t>
      </w:r>
      <w:r w:rsidR="000046CB" w:rsidRPr="002C3CF2">
        <w:rPr>
          <w:lang w:val="es-AR"/>
        </w:rPr>
        <w:t xml:space="preserve"> </w:t>
      </w:r>
      <w:r w:rsidRPr="002C3CF2">
        <w:rPr>
          <w:lang w:val="es-AR"/>
        </w:rPr>
        <w:t xml:space="preserve">En cumplimiento de esta reparación, el Estado </w:t>
      </w:r>
      <w:r w:rsidR="002E2272" w:rsidRPr="00925E6C">
        <w:rPr>
          <w:lang w:val="es-AR"/>
        </w:rPr>
        <w:t>de Venezuela</w:t>
      </w:r>
      <w:r w:rsidRPr="002C3CF2">
        <w:rPr>
          <w:lang w:val="es-AR"/>
        </w:rPr>
        <w:t xml:space="preserve"> deberá incorporar en la investigación los elementos relevantes de contexto en los términos descritos en el informe de la CIDH y adoptar todos los correctivos posibles frente a las falencias que se han registrado a lo largo de toda la investigación. </w:t>
      </w:r>
    </w:p>
    <w:p w:rsidR="000D437A" w:rsidRPr="002C3CF2" w:rsidRDefault="009C289B" w:rsidP="009C289B">
      <w:pPr>
        <w:tabs>
          <w:tab w:val="left" w:pos="1080"/>
        </w:tabs>
        <w:spacing w:after="0" w:line="240" w:lineRule="auto"/>
        <w:ind w:right="720"/>
        <w:jc w:val="both"/>
        <w:rPr>
          <w:lang w:val="es-US"/>
        </w:rPr>
      </w:pPr>
      <w:r w:rsidRPr="002C3CF2">
        <w:rPr>
          <w:b/>
          <w:lang w:val="es-AR"/>
        </w:rPr>
        <w:t xml:space="preserve"> </w:t>
      </w:r>
    </w:p>
    <w:p w:rsidR="000D437A" w:rsidRPr="002C3CF2" w:rsidRDefault="00C91CB5" w:rsidP="00C91CB5">
      <w:pPr>
        <w:numPr>
          <w:ilvl w:val="0"/>
          <w:numId w:val="3"/>
        </w:numPr>
        <w:tabs>
          <w:tab w:val="left" w:pos="1080"/>
        </w:tabs>
        <w:spacing w:after="0" w:line="240" w:lineRule="auto"/>
        <w:ind w:right="720" w:firstLine="0"/>
        <w:jc w:val="both"/>
        <w:rPr>
          <w:lang w:val="es-US"/>
        </w:rPr>
      </w:pPr>
      <w:r w:rsidRPr="002C3CF2">
        <w:rPr>
          <w:lang w:val="es-US"/>
        </w:rPr>
        <w:t>Disponer las medidas administrativas, disciplinarias o penales correspondientes frente a las acciones u omisiones de los funcionarios estatales que contribuyeron a la denegación de justicia e impunidad en la que se encuentran los hechos del caso</w:t>
      </w:r>
      <w:r w:rsidR="000D437A" w:rsidRPr="002C3CF2">
        <w:rPr>
          <w:rFonts w:eastAsia="Times New Roman"/>
          <w:lang w:val="es-ES" w:eastAsia="es-ES"/>
        </w:rPr>
        <w:t>.</w:t>
      </w:r>
    </w:p>
    <w:p w:rsidR="000D437A" w:rsidRPr="002C3CF2" w:rsidRDefault="000D437A" w:rsidP="00005BA6">
      <w:pPr>
        <w:tabs>
          <w:tab w:val="left" w:pos="1080"/>
        </w:tabs>
        <w:spacing w:after="0" w:line="240" w:lineRule="auto"/>
        <w:ind w:left="720" w:right="720"/>
        <w:jc w:val="both"/>
        <w:rPr>
          <w:rFonts w:eastAsia="Times New Roman"/>
          <w:lang w:val="es-ES" w:eastAsia="es-ES"/>
        </w:rPr>
      </w:pPr>
    </w:p>
    <w:p w:rsidR="009C289B" w:rsidRPr="002C3CF2" w:rsidRDefault="00C91CB5" w:rsidP="009C289B">
      <w:pPr>
        <w:numPr>
          <w:ilvl w:val="0"/>
          <w:numId w:val="3"/>
        </w:numPr>
        <w:tabs>
          <w:tab w:val="left" w:pos="1080"/>
        </w:tabs>
        <w:spacing w:after="0" w:line="240" w:lineRule="auto"/>
        <w:ind w:right="720" w:firstLine="0"/>
        <w:jc w:val="both"/>
        <w:rPr>
          <w:rFonts w:eastAsia="Times New Roman"/>
          <w:lang w:val="es-ES" w:eastAsia="es-ES"/>
        </w:rPr>
      </w:pPr>
      <w:r w:rsidRPr="002C3CF2">
        <w:rPr>
          <w:rFonts w:cs="Times-Roman"/>
          <w:lang w:val="es-ES" w:bidi="en-US"/>
        </w:rPr>
        <w:t xml:space="preserve">Disponer mecanismos de no repetición que incluyan: </w:t>
      </w:r>
      <w:r w:rsidR="009C289B" w:rsidRPr="002C3CF2">
        <w:rPr>
          <w:rFonts w:cs="Times-Roman"/>
          <w:lang w:val="es-US" w:bidi="en-US"/>
        </w:rPr>
        <w:t xml:space="preserve">i) programas de capacitación sobre los estándares internacionales de derechos humanos en general, en particular, dirigidos a la Policía del </w:t>
      </w:r>
      <w:r w:rsidR="002E2272" w:rsidRPr="00925E6C">
        <w:rPr>
          <w:rFonts w:cs="Times-Roman"/>
          <w:lang w:val="es-US" w:bidi="en-US"/>
        </w:rPr>
        <w:t>E</w:t>
      </w:r>
      <w:r w:rsidR="009C289B" w:rsidRPr="002C3CF2">
        <w:rPr>
          <w:rFonts w:cs="Times-Roman"/>
          <w:lang w:val="es-US" w:bidi="en-US"/>
        </w:rPr>
        <w:t>stado de Falcón, y a operadores de justicia; ii) medidas para asegurar la efectiva rendición de cuentas en el fuero penal, disciplinario o administrativo, en casos de presunto abuso de poder por parte de agentes del Estado a cargo de la seguridad pública; y iii) medidas legislativas, administrativas y de otra índole para asegurar la investigación con la debida diligencia y de conformidad con los estándares internacionales relevantes de casos de alegadas ejecuciones extrajudiciales.</w:t>
      </w:r>
    </w:p>
    <w:p w:rsidR="00CA34E8" w:rsidRPr="00925E6C" w:rsidRDefault="00CA34E8" w:rsidP="009C289B">
      <w:pPr>
        <w:tabs>
          <w:tab w:val="left" w:pos="1080"/>
        </w:tabs>
        <w:spacing w:after="0" w:line="240" w:lineRule="auto"/>
        <w:ind w:right="720"/>
        <w:jc w:val="both"/>
        <w:rPr>
          <w:rFonts w:eastAsia="Times New Roman"/>
          <w:lang w:val="es-ES" w:eastAsia="es-ES"/>
        </w:rPr>
      </w:pPr>
    </w:p>
    <w:p w:rsidR="009C289B" w:rsidRPr="002C3CF2" w:rsidRDefault="009C289B" w:rsidP="00C91CB5">
      <w:pPr>
        <w:numPr>
          <w:ilvl w:val="0"/>
          <w:numId w:val="3"/>
        </w:numPr>
        <w:tabs>
          <w:tab w:val="left" w:pos="1080"/>
        </w:tabs>
        <w:spacing w:after="0" w:line="240" w:lineRule="auto"/>
        <w:ind w:right="720" w:firstLine="0"/>
        <w:jc w:val="both"/>
        <w:rPr>
          <w:rFonts w:eastAsia="Times New Roman"/>
          <w:lang w:val="es-ES" w:eastAsia="es-ES"/>
        </w:rPr>
      </w:pPr>
      <w:r w:rsidRPr="002C3CF2">
        <w:rPr>
          <w:rFonts w:eastAsia="Times New Roman"/>
          <w:lang w:val="es-MX" w:eastAsia="es-ES"/>
        </w:rPr>
        <w:t>Disponer el reintegro de los gastos del Fondo de Asistencia Legal de Víctimas de la Comisión Interamericana de Derechos Humanos, por la cantidad erogada durante la tramitación del presente caso.</w:t>
      </w:r>
    </w:p>
    <w:p w:rsidR="00C91CB5" w:rsidRPr="00925E6C" w:rsidRDefault="00C91CB5" w:rsidP="00311BD2">
      <w:pPr>
        <w:suppressAutoHyphens/>
        <w:spacing w:after="0" w:line="240" w:lineRule="auto"/>
        <w:ind w:firstLine="720"/>
        <w:jc w:val="both"/>
        <w:rPr>
          <w:lang w:val="es-ES"/>
        </w:rPr>
      </w:pPr>
    </w:p>
    <w:p w:rsidR="00CA34E8" w:rsidRPr="002C3CF2" w:rsidRDefault="00CA34E8" w:rsidP="00311BD2">
      <w:pPr>
        <w:suppressAutoHyphens/>
        <w:spacing w:after="0" w:line="240" w:lineRule="auto"/>
        <w:ind w:firstLine="720"/>
        <w:jc w:val="both"/>
        <w:rPr>
          <w:lang w:val="es-ES"/>
        </w:rPr>
      </w:pPr>
    </w:p>
    <w:p w:rsidR="00331179" w:rsidRPr="002C3CF2" w:rsidRDefault="002D20E1" w:rsidP="00331179">
      <w:pPr>
        <w:spacing w:after="0" w:line="240" w:lineRule="auto"/>
        <w:ind w:firstLine="720"/>
        <w:jc w:val="both"/>
        <w:rPr>
          <w:lang w:val="es-CO"/>
        </w:rPr>
      </w:pPr>
      <w:r w:rsidRPr="002C3CF2">
        <w:rPr>
          <w:rFonts w:cs="Arial"/>
          <w:lang w:val="es-CL"/>
        </w:rPr>
        <w:t xml:space="preserve">Además de la necesidad de obtención de justicia, la Comisión </w:t>
      </w:r>
      <w:r w:rsidRPr="002C3CF2">
        <w:rPr>
          <w:rFonts w:cs="Arial"/>
          <w:lang w:val="es-AR"/>
        </w:rPr>
        <w:t xml:space="preserve">destaca que el presente caso </w:t>
      </w:r>
      <w:r w:rsidR="00EC1E04" w:rsidRPr="002C3CF2">
        <w:rPr>
          <w:rFonts w:cs="Arial"/>
          <w:lang w:val="es-AR"/>
        </w:rPr>
        <w:t xml:space="preserve">plantea cuestiones de orden público interamericano. </w:t>
      </w:r>
      <w:r w:rsidR="00B52842" w:rsidRPr="002C3CF2">
        <w:rPr>
          <w:rFonts w:cs="Arial"/>
          <w:lang w:val="es-AR"/>
        </w:rPr>
        <w:t xml:space="preserve"> </w:t>
      </w:r>
      <w:r w:rsidR="00EC1E04" w:rsidRPr="002C3CF2">
        <w:rPr>
          <w:rFonts w:cs="Arial"/>
          <w:lang w:val="es-AR"/>
        </w:rPr>
        <w:t xml:space="preserve">Específicamente, el caso </w:t>
      </w:r>
      <w:r w:rsidR="00D80142" w:rsidRPr="002C3CF2">
        <w:rPr>
          <w:lang w:val="es-CO"/>
        </w:rPr>
        <w:t xml:space="preserve">pone de manifiesto una vez más el contexto de las ejecuciones extrajudiciales en Venezuela por parte de las policías regionales, con especial incidencia en el Estado </w:t>
      </w:r>
      <w:r w:rsidR="00F0154C" w:rsidRPr="002C3CF2">
        <w:rPr>
          <w:lang w:val="es-CO"/>
        </w:rPr>
        <w:t>Falcón</w:t>
      </w:r>
      <w:r w:rsidR="00D80142" w:rsidRPr="002C3CF2">
        <w:rPr>
          <w:lang w:val="es-CO"/>
        </w:rPr>
        <w:t xml:space="preserve"> y con un </w:t>
      </w:r>
      <w:r w:rsidR="00D80142" w:rsidRPr="002C3CF2">
        <w:rPr>
          <w:i/>
          <w:lang w:val="es-CO"/>
        </w:rPr>
        <w:t>modus operandi</w:t>
      </w:r>
      <w:r w:rsidR="00D80142" w:rsidRPr="002C3CF2">
        <w:rPr>
          <w:lang w:val="es-CO"/>
        </w:rPr>
        <w:t xml:space="preserve"> claramente definido. </w:t>
      </w:r>
      <w:r w:rsidR="00B52842" w:rsidRPr="002C3CF2">
        <w:rPr>
          <w:lang w:val="es-CO"/>
        </w:rPr>
        <w:t xml:space="preserve"> </w:t>
      </w:r>
      <w:r w:rsidR="00637EE7" w:rsidRPr="00925E6C">
        <w:rPr>
          <w:lang w:val="es-CO"/>
        </w:rPr>
        <w:t>Asimismo</w:t>
      </w:r>
      <w:r w:rsidR="00331179" w:rsidRPr="002C3CF2">
        <w:rPr>
          <w:lang w:val="es-CO"/>
        </w:rPr>
        <w:t>,</w:t>
      </w:r>
      <w:r w:rsidR="00D80142" w:rsidRPr="002C3CF2">
        <w:rPr>
          <w:lang w:val="es-CO"/>
        </w:rPr>
        <w:t xml:space="preserve"> además de la</w:t>
      </w:r>
      <w:r w:rsidR="00F0154C" w:rsidRPr="002C3CF2">
        <w:rPr>
          <w:lang w:val="es-CO"/>
        </w:rPr>
        <w:t>s</w:t>
      </w:r>
      <w:r w:rsidR="00D80142" w:rsidRPr="002C3CF2">
        <w:rPr>
          <w:lang w:val="es-CO"/>
        </w:rPr>
        <w:t xml:space="preserve"> cuestiones relativas a</w:t>
      </w:r>
      <w:r w:rsidR="00F0154C" w:rsidRPr="002C3CF2">
        <w:rPr>
          <w:lang w:val="es-CO"/>
        </w:rPr>
        <w:t xml:space="preserve"> </w:t>
      </w:r>
      <w:r w:rsidR="00D80142" w:rsidRPr="002C3CF2">
        <w:rPr>
          <w:lang w:val="es-CO"/>
        </w:rPr>
        <w:t>l</w:t>
      </w:r>
      <w:r w:rsidR="00F0154C" w:rsidRPr="002C3CF2">
        <w:rPr>
          <w:lang w:val="es-CO"/>
        </w:rPr>
        <w:t>as</w:t>
      </w:r>
      <w:r w:rsidR="00D80142" w:rsidRPr="002C3CF2">
        <w:rPr>
          <w:lang w:val="es-CO"/>
        </w:rPr>
        <w:t xml:space="preserve"> </w:t>
      </w:r>
      <w:r w:rsidR="00F0154C" w:rsidRPr="002C3CF2">
        <w:rPr>
          <w:lang w:val="es-CO"/>
        </w:rPr>
        <w:t>ejecuciones extrajudiciales</w:t>
      </w:r>
      <w:r w:rsidR="00D80142" w:rsidRPr="002C3CF2">
        <w:rPr>
          <w:lang w:val="es-CO"/>
        </w:rPr>
        <w:t xml:space="preserve">, el caso plantea </w:t>
      </w:r>
      <w:r w:rsidR="00331179" w:rsidRPr="002C3CF2">
        <w:rPr>
          <w:lang w:val="es-CO"/>
        </w:rPr>
        <w:t xml:space="preserve">la posibilidad que la Corte profundice su jurisprudencia respecto </w:t>
      </w:r>
      <w:r w:rsidR="008D55BD" w:rsidRPr="002C3CF2">
        <w:rPr>
          <w:lang w:val="es-CO"/>
        </w:rPr>
        <w:t xml:space="preserve">de la atribución de responsabilidad internacional cuando el </w:t>
      </w:r>
      <w:r w:rsidR="00331179" w:rsidRPr="002C3CF2">
        <w:rPr>
          <w:rFonts w:eastAsia="Times New Roman" w:cs="Cambria"/>
          <w:lang w:val="es-CO"/>
        </w:rPr>
        <w:t xml:space="preserve">Estado no cumple con llevar a cabo una investigación diligente para ofrecer una explicación sobre la muerte de una o varias personas </w:t>
      </w:r>
      <w:r w:rsidR="008D55BD" w:rsidRPr="002C3CF2">
        <w:rPr>
          <w:lang w:val="es-CO"/>
        </w:rPr>
        <w:t xml:space="preserve">en situaciones que, en apariencia, la acción letal fue cometida por terceros. </w:t>
      </w:r>
      <w:r w:rsidR="00331179" w:rsidRPr="002C3CF2">
        <w:rPr>
          <w:rFonts w:cs="Arial"/>
          <w:lang w:val="es-CL"/>
        </w:rPr>
        <w:t xml:space="preserve"> </w:t>
      </w:r>
    </w:p>
    <w:p w:rsidR="00B52842" w:rsidRPr="002C3CF2" w:rsidRDefault="00B52842" w:rsidP="00BD4F56">
      <w:pPr>
        <w:spacing w:after="0" w:line="240" w:lineRule="auto"/>
        <w:ind w:firstLine="720"/>
        <w:jc w:val="both"/>
        <w:rPr>
          <w:rFonts w:cs="Arial"/>
          <w:lang w:val="es-AR"/>
        </w:rPr>
      </w:pPr>
    </w:p>
    <w:p w:rsidR="006C5883" w:rsidRPr="002C3CF2" w:rsidRDefault="002D20E1" w:rsidP="00311BD2">
      <w:pPr>
        <w:suppressAutoHyphens/>
        <w:spacing w:after="0" w:line="240" w:lineRule="auto"/>
        <w:ind w:firstLine="720"/>
        <w:jc w:val="both"/>
        <w:rPr>
          <w:rFonts w:cs="Arial"/>
          <w:lang w:val="es-CL"/>
        </w:rPr>
      </w:pPr>
      <w:r w:rsidRPr="002C3CF2">
        <w:rPr>
          <w:rFonts w:cs="Arial"/>
          <w:lang w:val="es-CL"/>
        </w:rPr>
        <w:t xml:space="preserve">En virtud de que estas cuestiones afectan de manera relevante el orden público interamericano, de conformidad con el </w:t>
      </w:r>
      <w:r w:rsidRPr="002C3CF2">
        <w:rPr>
          <w:rFonts w:cs="Arial"/>
          <w:lang w:val="es-AR"/>
        </w:rPr>
        <w:t>artículo</w:t>
      </w:r>
      <w:r w:rsidRPr="002C3CF2">
        <w:rPr>
          <w:rFonts w:cs="Arial"/>
          <w:lang w:val="es-CL"/>
        </w:rPr>
        <w:t xml:space="preserve"> 35.1 f) del Reglamento de la Corte Interamericana, la Comisión </w:t>
      </w:r>
      <w:r w:rsidR="006C5883" w:rsidRPr="002C3CF2">
        <w:rPr>
          <w:rFonts w:cs="Arial"/>
          <w:lang w:val="es-CL"/>
        </w:rPr>
        <w:t>se permite ofrecer la siguiente declaración pericial:</w:t>
      </w:r>
    </w:p>
    <w:p w:rsidR="006C5883" w:rsidRPr="002C3CF2" w:rsidRDefault="006C5883" w:rsidP="00311BD2">
      <w:pPr>
        <w:suppressAutoHyphens/>
        <w:spacing w:after="0" w:line="240" w:lineRule="auto"/>
        <w:ind w:firstLine="720"/>
        <w:jc w:val="both"/>
        <w:rPr>
          <w:rFonts w:cs="Arial"/>
          <w:lang w:val="es-CL"/>
        </w:rPr>
      </w:pPr>
    </w:p>
    <w:p w:rsidR="006C5883" w:rsidRPr="002C3CF2" w:rsidRDefault="006C5883" w:rsidP="00311BD2">
      <w:pPr>
        <w:suppressAutoHyphens/>
        <w:spacing w:after="0" w:line="240" w:lineRule="auto"/>
        <w:ind w:firstLine="720"/>
        <w:jc w:val="both"/>
        <w:rPr>
          <w:rFonts w:cs="Arial"/>
          <w:lang w:val="es-CL"/>
        </w:rPr>
      </w:pPr>
      <w:r w:rsidRPr="002C3CF2">
        <w:rPr>
          <w:rFonts w:cs="Courier New"/>
          <w:b/>
          <w:lang w:val="es-ES_tradnl"/>
        </w:rPr>
        <w:t>Perito/a cuyo nombre será informado a la brevedad</w:t>
      </w:r>
      <w:r w:rsidRPr="002C3CF2">
        <w:rPr>
          <w:iCs/>
          <w:lang w:val="es-ES_tradnl"/>
        </w:rPr>
        <w:t xml:space="preserve">, </w:t>
      </w:r>
      <w:r w:rsidRPr="002C3CF2">
        <w:rPr>
          <w:lang w:val="es-ES"/>
        </w:rPr>
        <w:t>quien declarará sobre las obligaciones estatales para responder a contextos generales de ejecuciones extrajudiciales, desde una perspectiva integral, que incluya tanto el actuar de los funcionarios de seguridad involucrados directamente</w:t>
      </w:r>
      <w:r w:rsidR="008D55BD" w:rsidRPr="002C3CF2">
        <w:rPr>
          <w:lang w:val="es-ES"/>
        </w:rPr>
        <w:t xml:space="preserve"> e indirectamente</w:t>
      </w:r>
      <w:r w:rsidRPr="002C3CF2">
        <w:rPr>
          <w:lang w:val="es-ES"/>
        </w:rPr>
        <w:t xml:space="preserve">, como la respuesta investigativa e institucional que debe darse para enfrentar los diferentes elementos que favorecen la existencia y permanencia de problemáticas de esta naturaleza. </w:t>
      </w:r>
      <w:r w:rsidR="00892F46" w:rsidRPr="002C3CF2">
        <w:rPr>
          <w:lang w:val="es-ES"/>
        </w:rPr>
        <w:t xml:space="preserve"> </w:t>
      </w:r>
      <w:r w:rsidRPr="002C3CF2">
        <w:rPr>
          <w:lang w:val="es-ES"/>
        </w:rPr>
        <w:t>En particular el/la perito/a se referirá a las obligaciones del Estado frente a la identificación de una situación estructural de impunidad que afecta de manera desproporcionada este tipo de casos</w:t>
      </w:r>
      <w:r w:rsidR="00261782" w:rsidRPr="002C3CF2">
        <w:rPr>
          <w:lang w:val="es-ES"/>
        </w:rPr>
        <w:t>.</w:t>
      </w:r>
      <w:r w:rsidRPr="002C3CF2">
        <w:rPr>
          <w:lang w:val="es-ES"/>
        </w:rPr>
        <w:t xml:space="preserve"> </w:t>
      </w:r>
    </w:p>
    <w:p w:rsidR="006C5883" w:rsidRPr="002C3CF2" w:rsidRDefault="006C5883" w:rsidP="00311BD2">
      <w:pPr>
        <w:suppressAutoHyphens/>
        <w:spacing w:after="0" w:line="240" w:lineRule="auto"/>
        <w:ind w:firstLine="720"/>
        <w:jc w:val="both"/>
        <w:rPr>
          <w:rFonts w:cs="Arial"/>
          <w:lang w:val="es-US"/>
        </w:rPr>
      </w:pPr>
    </w:p>
    <w:p w:rsidR="002D20E1" w:rsidRPr="002C3CF2" w:rsidRDefault="006C5883" w:rsidP="008D55BD">
      <w:pPr>
        <w:suppressAutoHyphens/>
        <w:spacing w:after="0" w:line="240" w:lineRule="auto"/>
        <w:ind w:firstLine="720"/>
        <w:jc w:val="both"/>
        <w:rPr>
          <w:rFonts w:cs="Arial"/>
          <w:i/>
          <w:lang w:val="es-ES_tradnl"/>
        </w:rPr>
      </w:pPr>
      <w:r w:rsidRPr="002C3CF2">
        <w:rPr>
          <w:rFonts w:cs="Arial"/>
          <w:lang w:val="es-CL"/>
        </w:rPr>
        <w:t xml:space="preserve">Adicionalmente, la Comisión </w:t>
      </w:r>
      <w:r w:rsidR="00D80142" w:rsidRPr="002C3CF2">
        <w:rPr>
          <w:rFonts w:cs="Arial"/>
          <w:lang w:val="es-CL"/>
        </w:rPr>
        <w:t xml:space="preserve">solicita el </w:t>
      </w:r>
      <w:r w:rsidRPr="002C3CF2">
        <w:rPr>
          <w:rFonts w:cs="Arial"/>
          <w:lang w:val="es-CL"/>
        </w:rPr>
        <w:t>traslado del peritaje</w:t>
      </w:r>
      <w:r w:rsidR="004005C1" w:rsidRPr="002C3CF2">
        <w:rPr>
          <w:rFonts w:cs="Arial"/>
          <w:lang w:val="es-CL"/>
        </w:rPr>
        <w:t xml:space="preserve"> de Hugo Fruhling</w:t>
      </w:r>
      <w:r w:rsidRPr="002C3CF2">
        <w:rPr>
          <w:rFonts w:cs="Arial"/>
          <w:lang w:val="es-CL"/>
        </w:rPr>
        <w:t xml:space="preserve"> rendido en el </w:t>
      </w:r>
      <w:r w:rsidR="00892F46" w:rsidRPr="002C3CF2">
        <w:rPr>
          <w:rFonts w:cs="Arial"/>
          <w:lang w:val="es-CL"/>
        </w:rPr>
        <w:t>C</w:t>
      </w:r>
      <w:r w:rsidRPr="002C3CF2">
        <w:rPr>
          <w:rFonts w:cs="Arial"/>
          <w:lang w:val="es-CL"/>
        </w:rPr>
        <w:t>aso</w:t>
      </w:r>
      <w:r w:rsidR="004005C1" w:rsidRPr="002C3CF2">
        <w:rPr>
          <w:rFonts w:cs="Arial"/>
          <w:lang w:val="es-CL"/>
        </w:rPr>
        <w:t xml:space="preserve"> </w:t>
      </w:r>
      <w:r w:rsidR="004005C1" w:rsidRPr="002C3CF2">
        <w:rPr>
          <w:rFonts w:cs="Arial"/>
          <w:i/>
          <w:lang w:val="es-CL"/>
        </w:rPr>
        <w:t>Hermanos Landaeta Mejías y familiares vs. Venezuela</w:t>
      </w:r>
      <w:r w:rsidR="00EF152A" w:rsidRPr="002C3CF2">
        <w:rPr>
          <w:rFonts w:cs="Arial"/>
          <w:lang w:val="es-CL"/>
        </w:rPr>
        <w:t xml:space="preserve">. </w:t>
      </w:r>
      <w:r w:rsidRPr="002C3CF2">
        <w:rPr>
          <w:rFonts w:cs="Arial"/>
          <w:lang w:val="es-CL"/>
        </w:rPr>
        <w:t xml:space="preserve"> </w:t>
      </w:r>
      <w:r w:rsidR="00093F70" w:rsidRPr="002C3CF2">
        <w:rPr>
          <w:rFonts w:cs="Arial"/>
          <w:lang w:val="es-CL"/>
        </w:rPr>
        <w:t xml:space="preserve"> </w:t>
      </w:r>
    </w:p>
    <w:p w:rsidR="002D20E1" w:rsidRPr="002C3CF2" w:rsidRDefault="002D20E1" w:rsidP="00311BD2">
      <w:pPr>
        <w:autoSpaceDE w:val="0"/>
        <w:autoSpaceDN w:val="0"/>
        <w:adjustRightInd w:val="0"/>
        <w:spacing w:after="0" w:line="240" w:lineRule="auto"/>
        <w:ind w:right="480"/>
        <w:jc w:val="both"/>
        <w:rPr>
          <w:rFonts w:cs="Arial"/>
          <w:lang w:val="es-CL"/>
        </w:rPr>
      </w:pPr>
    </w:p>
    <w:p w:rsidR="002D20E1" w:rsidRPr="002C3CF2" w:rsidRDefault="002D20E1" w:rsidP="00311BD2">
      <w:pPr>
        <w:suppressAutoHyphens/>
        <w:spacing w:after="0" w:line="240" w:lineRule="auto"/>
        <w:ind w:firstLine="720"/>
        <w:jc w:val="both"/>
        <w:rPr>
          <w:lang w:val="es-ES_tradnl"/>
        </w:rPr>
      </w:pPr>
      <w:r w:rsidRPr="002C3CF2">
        <w:rPr>
          <w:lang w:val="es-ES_tradnl"/>
        </w:rPr>
        <w:t xml:space="preserve">La Comisión pone en conocimiento de la Corte la siguiente información sobre quienes actuaron </w:t>
      </w:r>
      <w:r w:rsidRPr="002C3CF2">
        <w:rPr>
          <w:iCs/>
          <w:lang w:val="es-ES_tradnl"/>
        </w:rPr>
        <w:t>como</w:t>
      </w:r>
      <w:r w:rsidRPr="002C3CF2">
        <w:rPr>
          <w:lang w:val="es-ES_tradnl"/>
        </w:rPr>
        <w:t xml:space="preserve"> peticionarios a lo largo del trámite del caso: </w:t>
      </w:r>
    </w:p>
    <w:p w:rsidR="00CA34E8" w:rsidRPr="002C3CF2" w:rsidRDefault="00CA34E8" w:rsidP="002C3CF2">
      <w:pPr>
        <w:spacing w:after="0" w:line="240" w:lineRule="auto"/>
        <w:jc w:val="center"/>
        <w:rPr>
          <w:bCs/>
          <w:iCs/>
        </w:rPr>
      </w:pPr>
      <w:r w:rsidRPr="002C3CF2">
        <w:rPr>
          <w:bCs/>
          <w:iCs/>
        </w:rPr>
        <w:t>CEJIL</w:t>
      </w:r>
    </w:p>
    <w:p w:rsidR="00CA34E8" w:rsidRPr="002C3CF2" w:rsidRDefault="00A77A9A" w:rsidP="002C3CF2">
      <w:pPr>
        <w:spacing w:after="0" w:line="240" w:lineRule="auto"/>
        <w:jc w:val="center"/>
        <w:rPr>
          <w:bCs/>
          <w:iCs/>
          <w:lang w:val="es-PE"/>
        </w:rPr>
      </w:pPr>
      <w:r w:rsidRPr="002C3CF2">
        <w:rPr>
          <w:bCs/>
          <w:iCs/>
          <w:lang w:val="es-PE"/>
        </w:rPr>
        <w:t>Centro por la Justicia y el Derecho Internacional</w:t>
      </w:r>
    </w:p>
    <w:p w:rsidR="00CA34E8" w:rsidRPr="002C3CF2" w:rsidRDefault="00050CB7" w:rsidP="002C3CF2">
      <w:pPr>
        <w:spacing w:after="0" w:line="240" w:lineRule="auto"/>
        <w:jc w:val="center"/>
        <w:rPr>
          <w:bCs/>
          <w:iCs/>
        </w:rPr>
      </w:pPr>
      <w:r w:rsidRPr="00050CB7">
        <w:rPr>
          <w:bCs/>
          <w:iCs/>
          <w:highlight w:val="black"/>
        </w:rPr>
        <w:t>xxxxxxxxxxxxxxxxxxxxxxx</w:t>
      </w:r>
    </w:p>
    <w:p w:rsidR="002D20E1" w:rsidRPr="002C3CF2" w:rsidRDefault="002D20E1" w:rsidP="00F101F3">
      <w:pPr>
        <w:suppressAutoHyphens/>
        <w:spacing w:after="0" w:line="240" w:lineRule="auto"/>
        <w:jc w:val="center"/>
      </w:pPr>
    </w:p>
    <w:p w:rsidR="00CA34E8" w:rsidRPr="002C3CF2" w:rsidRDefault="00CA34E8" w:rsidP="002C3CF2">
      <w:pPr>
        <w:spacing w:after="0" w:line="240" w:lineRule="auto"/>
        <w:jc w:val="center"/>
        <w:rPr>
          <w:bCs/>
          <w:iCs/>
        </w:rPr>
      </w:pPr>
      <w:r w:rsidRPr="002C3CF2">
        <w:rPr>
          <w:bCs/>
          <w:iCs/>
        </w:rPr>
        <w:t>COFAVIC</w:t>
      </w:r>
    </w:p>
    <w:p w:rsidR="00CA34E8" w:rsidRPr="00050CB7" w:rsidRDefault="00050CB7" w:rsidP="002C3CF2">
      <w:pPr>
        <w:spacing w:after="0" w:line="240" w:lineRule="auto"/>
        <w:jc w:val="center"/>
        <w:rPr>
          <w:bCs/>
          <w:iCs/>
          <w:highlight w:val="black"/>
        </w:rPr>
      </w:pPr>
      <w:r w:rsidRPr="00050CB7">
        <w:rPr>
          <w:bCs/>
          <w:iCs/>
          <w:highlight w:val="black"/>
        </w:rPr>
        <w:t>xxxxxxxxxxxxxxxxxxxxxxxxx</w:t>
      </w:r>
    </w:p>
    <w:p w:rsidR="00E328B6" w:rsidRPr="00050CB7" w:rsidRDefault="00050CB7" w:rsidP="00CA34E8">
      <w:pPr>
        <w:spacing w:after="0" w:line="240" w:lineRule="auto"/>
        <w:jc w:val="center"/>
      </w:pPr>
      <w:r w:rsidRPr="00050CB7">
        <w:rPr>
          <w:bCs/>
          <w:iCs/>
          <w:highlight w:val="black"/>
        </w:rPr>
        <w:t>xxxxxxxxxxxxxxxxxxxxxxxxx</w:t>
      </w:r>
    </w:p>
    <w:p w:rsidR="00E328B6" w:rsidRPr="00050CB7" w:rsidRDefault="00E328B6" w:rsidP="00F101F3">
      <w:pPr>
        <w:spacing w:after="0" w:line="240" w:lineRule="auto"/>
        <w:jc w:val="center"/>
      </w:pPr>
    </w:p>
    <w:p w:rsidR="002D20E1" w:rsidRPr="002C3CF2" w:rsidRDefault="002D20E1" w:rsidP="00311BD2">
      <w:pPr>
        <w:tabs>
          <w:tab w:val="left" w:pos="0"/>
        </w:tabs>
        <w:spacing w:after="0" w:line="240" w:lineRule="auto"/>
        <w:ind w:firstLine="720"/>
        <w:jc w:val="both"/>
        <w:rPr>
          <w:rFonts w:cs="Arial"/>
          <w:lang w:val="es-CO"/>
        </w:rPr>
      </w:pPr>
      <w:r w:rsidRPr="002C3CF2">
        <w:rPr>
          <w:rFonts w:cs="Arial"/>
          <w:lang w:val="es-CO"/>
        </w:rPr>
        <w:t>Aprovecho la oportunidad para saludar a usted muy atentamente,</w:t>
      </w:r>
    </w:p>
    <w:p w:rsidR="005A4D71" w:rsidRPr="002C3CF2" w:rsidRDefault="005A4D71" w:rsidP="00311BD2">
      <w:pPr>
        <w:suppressAutoHyphens/>
        <w:spacing w:after="0" w:line="240" w:lineRule="auto"/>
        <w:ind w:left="5040"/>
        <w:rPr>
          <w:rFonts w:cs="Arial"/>
          <w:snapToGrid w:val="0"/>
          <w:lang w:val="es-CO"/>
        </w:rPr>
      </w:pPr>
    </w:p>
    <w:p w:rsidR="002D20E1" w:rsidRPr="00925E6C" w:rsidRDefault="002D20E1" w:rsidP="00311BD2">
      <w:pPr>
        <w:suppressAutoHyphens/>
        <w:spacing w:after="0" w:line="240" w:lineRule="auto"/>
        <w:ind w:left="5040"/>
        <w:rPr>
          <w:rFonts w:cs="Arial"/>
          <w:snapToGrid w:val="0"/>
          <w:lang w:val="es-CO"/>
        </w:rPr>
      </w:pPr>
    </w:p>
    <w:p w:rsidR="00637EE7" w:rsidRPr="00925E6C" w:rsidRDefault="00637EE7" w:rsidP="00311BD2">
      <w:pPr>
        <w:suppressAutoHyphens/>
        <w:spacing w:after="0" w:line="240" w:lineRule="auto"/>
        <w:ind w:left="5040"/>
        <w:rPr>
          <w:rFonts w:cs="Arial"/>
          <w:snapToGrid w:val="0"/>
          <w:lang w:val="es-CO"/>
        </w:rPr>
      </w:pPr>
    </w:p>
    <w:p w:rsidR="00637EE7" w:rsidRPr="002C3CF2" w:rsidRDefault="00637EE7" w:rsidP="00311BD2">
      <w:pPr>
        <w:suppressAutoHyphens/>
        <w:spacing w:after="0" w:line="240" w:lineRule="auto"/>
        <w:ind w:left="5040"/>
        <w:rPr>
          <w:rFonts w:cs="Arial"/>
          <w:snapToGrid w:val="0"/>
          <w:lang w:val="es-CO"/>
        </w:rPr>
      </w:pPr>
    </w:p>
    <w:p w:rsidR="00AF740E" w:rsidRPr="004638B5" w:rsidRDefault="00050CB7" w:rsidP="00050CB7">
      <w:pPr>
        <w:suppressAutoHyphens/>
        <w:spacing w:after="0" w:line="240" w:lineRule="auto"/>
        <w:ind w:left="4320"/>
        <w:rPr>
          <w:rFonts w:cs="Arial"/>
          <w:snapToGrid w:val="0"/>
          <w:color w:val="808080"/>
          <w:sz w:val="20"/>
          <w:lang w:val="es-CO"/>
        </w:rPr>
      </w:pPr>
      <w:r w:rsidRPr="004638B5">
        <w:rPr>
          <w:rFonts w:cs="Arial"/>
          <w:snapToGrid w:val="0"/>
          <w:color w:val="808080"/>
          <w:sz w:val="20"/>
          <w:lang w:val="es-CO"/>
        </w:rPr>
        <w:t xml:space="preserve">      Firmado en el original</w:t>
      </w:r>
    </w:p>
    <w:p w:rsidR="00192C1D" w:rsidRPr="002C3CF2" w:rsidRDefault="00192C1D" w:rsidP="00F101F3">
      <w:pPr>
        <w:tabs>
          <w:tab w:val="left" w:pos="810"/>
        </w:tabs>
        <w:suppressAutoHyphens/>
        <w:spacing w:after="0" w:line="240" w:lineRule="auto"/>
        <w:ind w:left="3600" w:firstLine="720"/>
        <w:rPr>
          <w:rFonts w:cs="Arial"/>
          <w:i/>
          <w:lang w:val="es-CO"/>
        </w:rPr>
      </w:pPr>
      <w:r w:rsidRPr="002C3CF2">
        <w:rPr>
          <w:rFonts w:cs="Arial"/>
          <w:lang w:val="es-CO"/>
        </w:rPr>
        <w:tab/>
      </w:r>
      <w:r w:rsidR="000B2CCB" w:rsidRPr="002C3CF2">
        <w:rPr>
          <w:lang w:val="es-CO"/>
        </w:rPr>
        <w:t>Paulo Abr</w:t>
      </w:r>
      <w:r w:rsidR="000B2CCB" w:rsidRPr="002C3CF2">
        <w:rPr>
          <w:rStyle w:val="Textoennegrita"/>
          <w:rFonts w:cs="Tahoma"/>
          <w:b w:val="0"/>
          <w:lang w:val="es-CO"/>
        </w:rPr>
        <w:t>ão</w:t>
      </w:r>
    </w:p>
    <w:p w:rsidR="00AF740E" w:rsidRPr="002C3CF2" w:rsidRDefault="00D80142" w:rsidP="00F101F3">
      <w:pPr>
        <w:spacing w:after="0" w:line="240" w:lineRule="auto"/>
        <w:rPr>
          <w:rFonts w:cs="Arial"/>
          <w:lang w:val="es-CO"/>
        </w:rPr>
      </w:pPr>
      <w:r w:rsidRPr="002C3CF2">
        <w:rPr>
          <w:rFonts w:cs="Arial"/>
          <w:lang w:val="es-CO"/>
        </w:rPr>
        <w:t xml:space="preserve">  </w:t>
      </w:r>
      <w:r w:rsidR="00192C1D" w:rsidRPr="002C3CF2">
        <w:rPr>
          <w:rFonts w:cs="Arial"/>
          <w:lang w:val="es-CO"/>
        </w:rPr>
        <w:t xml:space="preserve"> </w:t>
      </w:r>
      <w:r w:rsidR="00192C1D" w:rsidRPr="002C3CF2">
        <w:rPr>
          <w:rFonts w:cs="Arial"/>
          <w:lang w:val="es-CO"/>
        </w:rPr>
        <w:tab/>
      </w:r>
      <w:r w:rsidR="00192C1D" w:rsidRPr="002C3CF2">
        <w:rPr>
          <w:rFonts w:cs="Arial"/>
          <w:lang w:val="es-CO"/>
        </w:rPr>
        <w:tab/>
      </w:r>
      <w:r w:rsidR="00192C1D" w:rsidRPr="002C3CF2">
        <w:rPr>
          <w:rFonts w:cs="Arial"/>
          <w:lang w:val="es-CO"/>
        </w:rPr>
        <w:tab/>
      </w:r>
      <w:r w:rsidR="00192C1D" w:rsidRPr="002C3CF2">
        <w:rPr>
          <w:rFonts w:cs="Arial"/>
          <w:lang w:val="es-CO"/>
        </w:rPr>
        <w:tab/>
      </w:r>
      <w:r w:rsidR="00192C1D" w:rsidRPr="002C3CF2">
        <w:rPr>
          <w:rFonts w:cs="Arial"/>
          <w:lang w:val="es-CO"/>
        </w:rPr>
        <w:tab/>
        <w:t xml:space="preserve">        </w:t>
      </w:r>
      <w:r w:rsidR="00192C1D" w:rsidRPr="002C3CF2">
        <w:rPr>
          <w:rFonts w:cs="Arial"/>
          <w:lang w:val="es-CO"/>
        </w:rPr>
        <w:tab/>
        <w:t xml:space="preserve">       </w:t>
      </w:r>
      <w:r w:rsidR="000B2CCB" w:rsidRPr="002C3CF2">
        <w:rPr>
          <w:rFonts w:cs="Arial"/>
          <w:lang w:val="es-CO"/>
        </w:rPr>
        <w:t>Secretaria Ejecutivo</w:t>
      </w:r>
    </w:p>
    <w:p w:rsidR="00AF740E" w:rsidRPr="002C3CF2" w:rsidRDefault="00AF740E" w:rsidP="00F101F3">
      <w:pPr>
        <w:spacing w:after="0" w:line="240" w:lineRule="auto"/>
        <w:rPr>
          <w:rFonts w:cs="Arial"/>
          <w:lang w:val="es-CO"/>
        </w:rPr>
      </w:pPr>
    </w:p>
    <w:p w:rsidR="008E774F" w:rsidRPr="002C3CF2" w:rsidRDefault="00AF740E" w:rsidP="00F101F3">
      <w:pPr>
        <w:spacing w:after="0" w:line="240" w:lineRule="auto"/>
      </w:pPr>
      <w:r w:rsidRPr="002C3CF2">
        <w:rPr>
          <w:rFonts w:cs="Arial"/>
          <w:snapToGrid w:val="0"/>
          <w:lang w:val="es-CO"/>
        </w:rPr>
        <w:t>Anexo</w:t>
      </w:r>
    </w:p>
    <w:sectPr w:rsidR="008E774F" w:rsidRPr="002C3CF2" w:rsidSect="00135C5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810" w:left="126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6BF" w:rsidRDefault="004236BF">
      <w:pPr>
        <w:spacing w:after="0" w:line="240" w:lineRule="auto"/>
      </w:pPr>
      <w:r>
        <w:separator/>
      </w:r>
    </w:p>
  </w:endnote>
  <w:endnote w:type="continuationSeparator" w:id="0">
    <w:p w:rsidR="004236BF" w:rsidRDefault="0042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C54" w:rsidRPr="00A72869" w:rsidRDefault="00135C54">
    <w:pPr>
      <w:pStyle w:val="Piedepgina"/>
      <w:jc w:val="center"/>
      <w:rPr>
        <w:color w:val="7F7F7F"/>
        <w:sz w:val="16"/>
      </w:rPr>
    </w:pPr>
    <w:r w:rsidRPr="00A72869">
      <w:rPr>
        <w:color w:val="7F7F7F"/>
        <w:sz w:val="16"/>
      </w:rPr>
      <w:fldChar w:fldCharType="begin"/>
    </w:r>
    <w:r w:rsidRPr="00A72869">
      <w:rPr>
        <w:color w:val="7F7F7F"/>
        <w:sz w:val="16"/>
      </w:rPr>
      <w:instrText xml:space="preserve"> PAGE   \* MERGEFORMAT </w:instrText>
    </w:r>
    <w:r w:rsidRPr="00A72869">
      <w:rPr>
        <w:color w:val="7F7F7F"/>
        <w:sz w:val="16"/>
      </w:rPr>
      <w:fldChar w:fldCharType="separate"/>
    </w:r>
    <w:r w:rsidR="009C7640">
      <w:rPr>
        <w:noProof/>
        <w:color w:val="7F7F7F"/>
        <w:sz w:val="16"/>
      </w:rPr>
      <w:t>2</w:t>
    </w:r>
    <w:r w:rsidRPr="00A72869">
      <w:rPr>
        <w:noProof/>
        <w:color w:val="7F7F7F"/>
        <w:sz w:val="16"/>
      </w:rPr>
      <w:fldChar w:fldCharType="end"/>
    </w:r>
  </w:p>
  <w:p w:rsidR="00CA34E8" w:rsidRDefault="00CA34E8" w:rsidP="00CA34E8">
    <w:pPr>
      <w:pStyle w:val="Piedepgina"/>
      <w:spacing w:line="360" w:lineRule="auto"/>
    </w:pPr>
    <w:r>
      <w:pict>
        <v:rect id="_x0000_i1028" style="width:0;height:1.5pt" o:hralign="center" o:hrstd="t" o:hr="t" fillcolor="#a0a0a0" stroked="f"/>
      </w:pict>
    </w:r>
  </w:p>
  <w:p w:rsidR="00CA34E8" w:rsidRDefault="009C7640" w:rsidP="00CA34E8">
    <w:pPr>
      <w:pStyle w:val="Piedepgina"/>
      <w:jc w:val="center"/>
    </w:pPr>
    <w:r w:rsidRPr="008A5CB5">
      <w:rPr>
        <w:noProof/>
      </w:rPr>
      <w:drawing>
        <wp:inline distT="0" distB="0" distL="0" distR="0">
          <wp:extent cx="5114925" cy="323850"/>
          <wp:effectExtent l="0" t="0" r="0" b="0"/>
          <wp:docPr id="6" name="Picture 35" descr="C:\Users\mfontana\Documents\Eva Fontana\GRAFICA CIDH\cartas\logos\footer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mfontana\Documents\Eva Fontana\GRAFICA CIDH\cartas\logos\footer-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5C54" w:rsidRDefault="00135C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C54" w:rsidRDefault="00135C54" w:rsidP="00135C54">
    <w:pPr>
      <w:pStyle w:val="Piedepgina"/>
      <w:spacing w:line="360" w:lineRule="auto"/>
    </w:pPr>
    <w:r>
      <w:pict>
        <v:rect id="_x0000_i1026" style="width:0;height:1.5pt" o:hralign="center" o:hrstd="t" o:hr="t" fillcolor="#a0a0a0" stroked="f"/>
      </w:pict>
    </w:r>
  </w:p>
  <w:p w:rsidR="00135C54" w:rsidRDefault="009C7640" w:rsidP="00135C54">
    <w:pPr>
      <w:pStyle w:val="Piedepgina"/>
      <w:jc w:val="center"/>
    </w:pPr>
    <w:r w:rsidRPr="008A5CB5">
      <w:rPr>
        <w:noProof/>
      </w:rPr>
      <w:drawing>
        <wp:inline distT="0" distB="0" distL="0" distR="0">
          <wp:extent cx="5114925" cy="323850"/>
          <wp:effectExtent l="0" t="0" r="0" b="0"/>
          <wp:docPr id="9" name="Picture 35" descr="C:\Users\mfontana\Documents\Eva Fontana\GRAFICA CIDH\cartas\logos\footer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mfontana\Documents\Eva Fontana\GRAFICA CIDH\cartas\logos\footer-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6BF" w:rsidRDefault="004236BF">
      <w:pPr>
        <w:spacing w:after="0" w:line="240" w:lineRule="auto"/>
      </w:pPr>
      <w:r>
        <w:separator/>
      </w:r>
    </w:p>
  </w:footnote>
  <w:footnote w:type="continuationSeparator" w:id="0">
    <w:p w:rsidR="004236BF" w:rsidRDefault="00423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C54" w:rsidRPr="0058688A" w:rsidRDefault="009C7640" w:rsidP="00135C54">
    <w:pPr>
      <w:pStyle w:val="Encabezado"/>
      <w:jc w:val="center"/>
      <w:rPr>
        <w:lang w:val="es-ES_tradnl"/>
      </w:rPr>
    </w:pPr>
    <w:r>
      <w:rPr>
        <w:noProof/>
      </w:rPr>
      <w:drawing>
        <wp:inline distT="0" distB="0" distL="0" distR="0">
          <wp:extent cx="2286000" cy="123825"/>
          <wp:effectExtent l="0" t="0" r="0" b="0"/>
          <wp:docPr id="5" name="Imagen 5" descr="cidh-pe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idh-pe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5C54" w:rsidRDefault="00135C54">
    <w:pPr>
      <w:pStyle w:val="Encabezado"/>
    </w:pPr>
    <w:r>
      <w:pict>
        <v:rect id="_x0000_i1027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C54" w:rsidRDefault="009C7640" w:rsidP="00135C54">
    <w:pPr>
      <w:pStyle w:val="Encabezado"/>
    </w:pPr>
    <w:r w:rsidRPr="008A5CB5">
      <w:rPr>
        <w:noProof/>
      </w:rPr>
      <w:drawing>
        <wp:inline distT="0" distB="0" distL="0" distR="0">
          <wp:extent cx="2352675" cy="457200"/>
          <wp:effectExtent l="0" t="0" r="0" b="0"/>
          <wp:docPr id="7" name="Picture 1" descr="C:\Users\mfontana\Documents\Eva Fontana\GRAFICA CIDH\cartas\logos\cidh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fontana\Documents\Eva Fontana\GRAFICA CIDH\cartas\logos\cidh-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35C54">
      <w:tab/>
    </w:r>
    <w:r w:rsidR="00135C54">
      <w:tab/>
    </w:r>
    <w:r w:rsidRPr="008A5CB5">
      <w:rPr>
        <w:noProof/>
      </w:rPr>
      <w:drawing>
        <wp:inline distT="0" distB="0" distL="0" distR="0">
          <wp:extent cx="1647825" cy="476250"/>
          <wp:effectExtent l="0" t="0" r="0" b="0"/>
          <wp:docPr id="8" name="Picture 2" descr="C:\Users\mfontana\Documents\Eva Fontana\GRAFICA CIDH\cartas\logos\oea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fontana\Documents\Eva Fontana\GRAFICA CIDH\cartas\logos\oea-e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5C54" w:rsidRDefault="00135C54" w:rsidP="00135C54">
    <w:pPr>
      <w:pStyle w:val="Encabezado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E5E6A"/>
    <w:multiLevelType w:val="hybridMultilevel"/>
    <w:tmpl w:val="99A4964C"/>
    <w:lvl w:ilvl="0" w:tplc="B95E021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DB617F"/>
    <w:multiLevelType w:val="hybridMultilevel"/>
    <w:tmpl w:val="BD76D710"/>
    <w:lvl w:ilvl="0" w:tplc="5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6020B"/>
    <w:multiLevelType w:val="hybridMultilevel"/>
    <w:tmpl w:val="02ACE750"/>
    <w:lvl w:ilvl="0" w:tplc="828CAA02">
      <w:start w:val="1"/>
      <w:numFmt w:val="upperRoman"/>
      <w:pStyle w:val="Ttulo1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FDA2CF2">
      <w:start w:val="25"/>
      <w:numFmt w:val="decimal"/>
      <w:lvlText w:val="%2."/>
      <w:lvlJc w:val="left"/>
      <w:pPr>
        <w:tabs>
          <w:tab w:val="num" w:pos="2130"/>
        </w:tabs>
        <w:ind w:left="2130" w:hanging="69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E1"/>
    <w:rsid w:val="000046CB"/>
    <w:rsid w:val="00005BA6"/>
    <w:rsid w:val="00006CFA"/>
    <w:rsid w:val="000334FF"/>
    <w:rsid w:val="00050CB7"/>
    <w:rsid w:val="000743F1"/>
    <w:rsid w:val="00080527"/>
    <w:rsid w:val="00092368"/>
    <w:rsid w:val="00093F70"/>
    <w:rsid w:val="000B2CCB"/>
    <w:rsid w:val="000D437A"/>
    <w:rsid w:val="000D44E6"/>
    <w:rsid w:val="000F6751"/>
    <w:rsid w:val="00110271"/>
    <w:rsid w:val="00114A3B"/>
    <w:rsid w:val="00125020"/>
    <w:rsid w:val="00130CCC"/>
    <w:rsid w:val="0013250A"/>
    <w:rsid w:val="00135C54"/>
    <w:rsid w:val="00157D05"/>
    <w:rsid w:val="001619BE"/>
    <w:rsid w:val="00192C1D"/>
    <w:rsid w:val="001A384B"/>
    <w:rsid w:val="001B0A05"/>
    <w:rsid w:val="001D7F66"/>
    <w:rsid w:val="001E4C38"/>
    <w:rsid w:val="001E6E8F"/>
    <w:rsid w:val="00211813"/>
    <w:rsid w:val="00214CFD"/>
    <w:rsid w:val="00230AB1"/>
    <w:rsid w:val="00244B23"/>
    <w:rsid w:val="00261782"/>
    <w:rsid w:val="0028580F"/>
    <w:rsid w:val="002864FE"/>
    <w:rsid w:val="00296138"/>
    <w:rsid w:val="002B4DDE"/>
    <w:rsid w:val="002C3CF2"/>
    <w:rsid w:val="002D20E1"/>
    <w:rsid w:val="002D710E"/>
    <w:rsid w:val="002E15FF"/>
    <w:rsid w:val="002E2272"/>
    <w:rsid w:val="00311BD2"/>
    <w:rsid w:val="003201CF"/>
    <w:rsid w:val="00331179"/>
    <w:rsid w:val="00347C5A"/>
    <w:rsid w:val="0036045D"/>
    <w:rsid w:val="00371F5E"/>
    <w:rsid w:val="00376BB6"/>
    <w:rsid w:val="00377186"/>
    <w:rsid w:val="00384D08"/>
    <w:rsid w:val="003C113D"/>
    <w:rsid w:val="003E0B6B"/>
    <w:rsid w:val="003E29A9"/>
    <w:rsid w:val="003F4BF3"/>
    <w:rsid w:val="004005C1"/>
    <w:rsid w:val="00417A97"/>
    <w:rsid w:val="00422478"/>
    <w:rsid w:val="004236BF"/>
    <w:rsid w:val="00433C6B"/>
    <w:rsid w:val="00435D4A"/>
    <w:rsid w:val="004638B5"/>
    <w:rsid w:val="00470AC3"/>
    <w:rsid w:val="004A29BB"/>
    <w:rsid w:val="004B5185"/>
    <w:rsid w:val="004D5A14"/>
    <w:rsid w:val="004F44F2"/>
    <w:rsid w:val="00501C21"/>
    <w:rsid w:val="00503C37"/>
    <w:rsid w:val="00507BCB"/>
    <w:rsid w:val="00531002"/>
    <w:rsid w:val="00541CE8"/>
    <w:rsid w:val="005424F2"/>
    <w:rsid w:val="00555725"/>
    <w:rsid w:val="00562D0A"/>
    <w:rsid w:val="0056397C"/>
    <w:rsid w:val="00563B8A"/>
    <w:rsid w:val="0056669B"/>
    <w:rsid w:val="005856C0"/>
    <w:rsid w:val="00596ECF"/>
    <w:rsid w:val="005A24F2"/>
    <w:rsid w:val="005A4D71"/>
    <w:rsid w:val="005A5B29"/>
    <w:rsid w:val="005D5CA7"/>
    <w:rsid w:val="005E16BE"/>
    <w:rsid w:val="00604EA2"/>
    <w:rsid w:val="00605CA9"/>
    <w:rsid w:val="00617866"/>
    <w:rsid w:val="0062611B"/>
    <w:rsid w:val="006269FE"/>
    <w:rsid w:val="00637EE7"/>
    <w:rsid w:val="00661CFB"/>
    <w:rsid w:val="00695BBB"/>
    <w:rsid w:val="006C5883"/>
    <w:rsid w:val="006C7BD8"/>
    <w:rsid w:val="006D1879"/>
    <w:rsid w:val="006D2E88"/>
    <w:rsid w:val="00721384"/>
    <w:rsid w:val="007840CC"/>
    <w:rsid w:val="007919CA"/>
    <w:rsid w:val="007A495D"/>
    <w:rsid w:val="007A6F70"/>
    <w:rsid w:val="007B4498"/>
    <w:rsid w:val="007E07C7"/>
    <w:rsid w:val="0080724B"/>
    <w:rsid w:val="008125D2"/>
    <w:rsid w:val="00812A9A"/>
    <w:rsid w:val="00815992"/>
    <w:rsid w:val="008222CA"/>
    <w:rsid w:val="00833E74"/>
    <w:rsid w:val="00837DE2"/>
    <w:rsid w:val="0087051E"/>
    <w:rsid w:val="0088791B"/>
    <w:rsid w:val="00891A4F"/>
    <w:rsid w:val="00892F46"/>
    <w:rsid w:val="008954AE"/>
    <w:rsid w:val="008B1CB4"/>
    <w:rsid w:val="008B30C5"/>
    <w:rsid w:val="008D55BD"/>
    <w:rsid w:val="008E774F"/>
    <w:rsid w:val="00903A5A"/>
    <w:rsid w:val="00925E6C"/>
    <w:rsid w:val="009334C8"/>
    <w:rsid w:val="009338DD"/>
    <w:rsid w:val="00936DF6"/>
    <w:rsid w:val="009610F7"/>
    <w:rsid w:val="0096475B"/>
    <w:rsid w:val="009654C9"/>
    <w:rsid w:val="009A731C"/>
    <w:rsid w:val="009A73BB"/>
    <w:rsid w:val="009B18B2"/>
    <w:rsid w:val="009C289B"/>
    <w:rsid w:val="009C3EA1"/>
    <w:rsid w:val="009C7640"/>
    <w:rsid w:val="00A120E4"/>
    <w:rsid w:val="00A16F9D"/>
    <w:rsid w:val="00A4521D"/>
    <w:rsid w:val="00A47152"/>
    <w:rsid w:val="00A50069"/>
    <w:rsid w:val="00A77A9A"/>
    <w:rsid w:val="00AD212F"/>
    <w:rsid w:val="00AF1C2B"/>
    <w:rsid w:val="00AF324E"/>
    <w:rsid w:val="00AF740E"/>
    <w:rsid w:val="00B01D9A"/>
    <w:rsid w:val="00B1360D"/>
    <w:rsid w:val="00B31A2F"/>
    <w:rsid w:val="00B331B9"/>
    <w:rsid w:val="00B44A16"/>
    <w:rsid w:val="00B52842"/>
    <w:rsid w:val="00B727AD"/>
    <w:rsid w:val="00BA36A1"/>
    <w:rsid w:val="00BC3842"/>
    <w:rsid w:val="00BC3884"/>
    <w:rsid w:val="00BC4425"/>
    <w:rsid w:val="00BD4F56"/>
    <w:rsid w:val="00C31BB9"/>
    <w:rsid w:val="00C41A03"/>
    <w:rsid w:val="00C91CB5"/>
    <w:rsid w:val="00CA1292"/>
    <w:rsid w:val="00CA34E8"/>
    <w:rsid w:val="00D1460E"/>
    <w:rsid w:val="00D3789C"/>
    <w:rsid w:val="00D75547"/>
    <w:rsid w:val="00D80142"/>
    <w:rsid w:val="00DA062D"/>
    <w:rsid w:val="00DB14E2"/>
    <w:rsid w:val="00DD2D21"/>
    <w:rsid w:val="00DD3BE6"/>
    <w:rsid w:val="00DD5613"/>
    <w:rsid w:val="00E11A29"/>
    <w:rsid w:val="00E23400"/>
    <w:rsid w:val="00E328B6"/>
    <w:rsid w:val="00E96269"/>
    <w:rsid w:val="00EC1E04"/>
    <w:rsid w:val="00EE415F"/>
    <w:rsid w:val="00EF152A"/>
    <w:rsid w:val="00F0154C"/>
    <w:rsid w:val="00F04EC3"/>
    <w:rsid w:val="00F101F3"/>
    <w:rsid w:val="00F42DEC"/>
    <w:rsid w:val="00F85DDA"/>
    <w:rsid w:val="00F87175"/>
    <w:rsid w:val="00FB74AB"/>
    <w:rsid w:val="00FD3EF2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F8E7DD-76F8-4207-9E3F-22E9821F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2D20E1"/>
    <w:pPr>
      <w:keepNext/>
      <w:numPr>
        <w:numId w:val="1"/>
      </w:numPr>
      <w:spacing w:after="0" w:line="240" w:lineRule="auto"/>
      <w:outlineLvl w:val="0"/>
    </w:pPr>
    <w:rPr>
      <w:rFonts w:ascii="Cambria" w:eastAsia="Times New Roman" w:hAnsi="Cambria"/>
      <w:b/>
      <w:bCs/>
      <w:color w:val="365F91"/>
      <w:sz w:val="20"/>
      <w:szCs w:val="28"/>
      <w:bdr w:val="ni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2D20E1"/>
    <w:rPr>
      <w:rFonts w:ascii="Cambria" w:eastAsia="Times New Roman" w:hAnsi="Cambria"/>
      <w:b/>
      <w:bCs/>
      <w:color w:val="365F91"/>
      <w:szCs w:val="28"/>
      <w:bdr w:val="nil"/>
    </w:rPr>
  </w:style>
  <w:style w:type="paragraph" w:styleId="Encabezado">
    <w:name w:val="header"/>
    <w:basedOn w:val="Normal"/>
    <w:link w:val="EncabezadoCar"/>
    <w:unhideWhenUsed/>
    <w:rsid w:val="002D20E1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EncabezadoCar">
    <w:name w:val="Encabezado Car"/>
    <w:link w:val="Encabezado"/>
    <w:rsid w:val="002D20E1"/>
    <w:rPr>
      <w:rFonts w:eastAsia="MS Mincho"/>
      <w:sz w:val="22"/>
      <w:szCs w:val="22"/>
    </w:rPr>
  </w:style>
  <w:style w:type="paragraph" w:styleId="Piedepgina">
    <w:name w:val="footer"/>
    <w:basedOn w:val="Normal"/>
    <w:link w:val="PiedepginaCar"/>
    <w:unhideWhenUsed/>
    <w:rsid w:val="002D20E1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PiedepginaCar">
    <w:name w:val="Pie de página Car"/>
    <w:link w:val="Piedepgina"/>
    <w:rsid w:val="002D20E1"/>
    <w:rPr>
      <w:rFonts w:eastAsia="MS Mincho"/>
      <w:sz w:val="22"/>
      <w:szCs w:val="22"/>
    </w:rPr>
  </w:style>
  <w:style w:type="paragraph" w:styleId="Prrafodelista">
    <w:name w:val="List Paragraph"/>
    <w:link w:val="PrrafodelistaCar"/>
    <w:uiPriority w:val="34"/>
    <w:qFormat/>
    <w:rsid w:val="002D20E1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D20E1"/>
    <w:pPr>
      <w:spacing w:after="0" w:line="240" w:lineRule="auto"/>
    </w:pPr>
    <w:rPr>
      <w:rFonts w:eastAsia="Batang"/>
      <w:szCs w:val="21"/>
    </w:rPr>
  </w:style>
  <w:style w:type="character" w:customStyle="1" w:styleId="TextosinformatoCar">
    <w:name w:val="Texto sin formato Car"/>
    <w:link w:val="Textosinformato"/>
    <w:uiPriority w:val="99"/>
    <w:semiHidden/>
    <w:rsid w:val="002D20E1"/>
    <w:rPr>
      <w:rFonts w:eastAsia="Batang"/>
      <w:sz w:val="22"/>
      <w:szCs w:val="21"/>
    </w:rPr>
  </w:style>
  <w:style w:type="character" w:customStyle="1" w:styleId="PrrafodelistaCar">
    <w:name w:val="Párrafo de lista Car"/>
    <w:link w:val="Prrafodelista"/>
    <w:uiPriority w:val="34"/>
    <w:locked/>
    <w:rsid w:val="002D20E1"/>
    <w:rPr>
      <w:rFonts w:ascii="Cambria" w:eastAsia="Cambria" w:hAnsi="Cambria" w:cs="Cambria"/>
      <w:color w:val="000000"/>
      <w:sz w:val="24"/>
      <w:szCs w:val="24"/>
      <w:u w:color="000000"/>
      <w:bdr w:val="nil"/>
      <w:lang w:eastAsia="es-ES"/>
    </w:rPr>
  </w:style>
  <w:style w:type="character" w:styleId="Hipervnculo">
    <w:name w:val="Hyperlink"/>
    <w:uiPriority w:val="99"/>
    <w:semiHidden/>
    <w:unhideWhenUsed/>
    <w:rsid w:val="002D20E1"/>
    <w:rPr>
      <w:color w:val="0000FF"/>
      <w:u w:val="single"/>
    </w:rPr>
  </w:style>
  <w:style w:type="character" w:styleId="Textoennegrita">
    <w:name w:val="Strong"/>
    <w:uiPriority w:val="22"/>
    <w:qFormat/>
    <w:rsid w:val="00562D0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92C1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3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20CF0-F24B-4885-8E53-8BE60758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1673</Words>
  <Characters>9538</Characters>
  <Application>Microsoft Office Word</Application>
  <DocSecurity>0</DocSecurity>
  <Lines>79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</dc:creator>
  <cp:keywords/>
  <cp:lastModifiedBy>Liliana Tojo</cp:lastModifiedBy>
  <cp:revision>2</cp:revision>
  <cp:lastPrinted>2019-05-23T22:06:00Z</cp:lastPrinted>
  <dcterms:created xsi:type="dcterms:W3CDTF">2019-07-17T18:10:00Z</dcterms:created>
  <dcterms:modified xsi:type="dcterms:W3CDTF">2019-07-17T18:10:00Z</dcterms:modified>
</cp:coreProperties>
</file>