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AE70DA" w14:textId="77777777" w:rsidR="00CA08FD" w:rsidRPr="009E773A" w:rsidRDefault="00CA08FD" w:rsidP="00CA08FD">
      <w:pPr>
        <w:tabs>
          <w:tab w:val="center" w:pos="5400"/>
        </w:tabs>
        <w:suppressAutoHyphens/>
        <w:spacing w:line="276" w:lineRule="auto"/>
        <w:jc w:val="center"/>
        <w:rPr>
          <w:rFonts w:asciiTheme="majorHAnsi" w:hAnsiTheme="majorHAnsi"/>
          <w:b/>
          <w:sz w:val="20"/>
          <w:szCs w:val="20"/>
        </w:rPr>
      </w:pPr>
      <w:bookmarkStart w:id="0" w:name="_GoBack"/>
      <w:bookmarkEnd w:id="0"/>
      <w:r>
        <w:rPr>
          <w:rFonts w:asciiTheme="majorHAnsi" w:hAnsiTheme="majorHAnsi"/>
          <w:b/>
          <w:sz w:val="20"/>
          <w:szCs w:val="20"/>
        </w:rPr>
        <w:t>INFORME No. 160</w:t>
      </w:r>
      <w:r w:rsidRPr="009E773A">
        <w:rPr>
          <w:rFonts w:asciiTheme="majorHAnsi" w:hAnsiTheme="majorHAnsi"/>
          <w:b/>
          <w:sz w:val="20"/>
          <w:szCs w:val="20"/>
        </w:rPr>
        <w:t>/18</w:t>
      </w:r>
    </w:p>
    <w:p w14:paraId="3F2C14F7" w14:textId="77777777" w:rsidR="00CA08FD" w:rsidRPr="009E773A" w:rsidRDefault="00CA08FD" w:rsidP="00CA08FD">
      <w:pPr>
        <w:tabs>
          <w:tab w:val="center" w:pos="5400"/>
        </w:tabs>
        <w:suppressAutoHyphens/>
        <w:spacing w:line="276" w:lineRule="auto"/>
        <w:jc w:val="center"/>
        <w:rPr>
          <w:rFonts w:asciiTheme="majorHAnsi" w:hAnsiTheme="majorHAnsi"/>
          <w:b/>
          <w:sz w:val="20"/>
          <w:szCs w:val="20"/>
        </w:rPr>
      </w:pPr>
      <w:r w:rsidRPr="009E773A">
        <w:rPr>
          <w:rFonts w:asciiTheme="majorHAnsi" w:hAnsiTheme="majorHAnsi"/>
          <w:b/>
          <w:sz w:val="20"/>
          <w:szCs w:val="20"/>
        </w:rPr>
        <w:t>CASO 12.805</w:t>
      </w:r>
    </w:p>
    <w:p w14:paraId="192D234C" w14:textId="77777777" w:rsidR="00CA08FD" w:rsidRPr="009E773A" w:rsidRDefault="00CA08FD" w:rsidP="00CA08FD">
      <w:pPr>
        <w:tabs>
          <w:tab w:val="center" w:pos="5400"/>
        </w:tabs>
        <w:suppressAutoHyphens/>
        <w:spacing w:line="276" w:lineRule="auto"/>
        <w:jc w:val="center"/>
        <w:rPr>
          <w:rFonts w:asciiTheme="majorHAnsi" w:hAnsiTheme="majorHAnsi"/>
          <w:sz w:val="20"/>
          <w:szCs w:val="20"/>
        </w:rPr>
      </w:pPr>
      <w:r w:rsidRPr="009E773A">
        <w:rPr>
          <w:rFonts w:asciiTheme="majorHAnsi" w:hAnsiTheme="majorHAnsi"/>
          <w:sz w:val="20"/>
          <w:szCs w:val="20"/>
        </w:rPr>
        <w:t>FONDO</w:t>
      </w:r>
    </w:p>
    <w:p w14:paraId="73AFD833" w14:textId="77777777" w:rsidR="00CA08FD" w:rsidRPr="009E773A" w:rsidRDefault="00CA08FD" w:rsidP="00CA08FD">
      <w:pPr>
        <w:tabs>
          <w:tab w:val="center" w:pos="5400"/>
        </w:tabs>
        <w:suppressAutoHyphens/>
        <w:spacing w:line="276" w:lineRule="auto"/>
        <w:jc w:val="center"/>
        <w:rPr>
          <w:rFonts w:asciiTheme="majorHAnsi" w:hAnsiTheme="majorHAnsi"/>
          <w:sz w:val="20"/>
          <w:szCs w:val="20"/>
        </w:rPr>
      </w:pPr>
      <w:r w:rsidRPr="009E773A">
        <w:rPr>
          <w:rFonts w:asciiTheme="majorHAnsi" w:hAnsiTheme="majorHAnsi"/>
          <w:sz w:val="20"/>
          <w:szCs w:val="20"/>
        </w:rPr>
        <w:t>JIMMY GUERRERO, RAMÓN MOLINA PÉREZ Y FAMILIARES</w:t>
      </w:r>
    </w:p>
    <w:p w14:paraId="3C060235" w14:textId="77777777" w:rsidR="00CA08FD" w:rsidRPr="009E773A" w:rsidRDefault="00CA08FD" w:rsidP="00CA08FD">
      <w:pPr>
        <w:tabs>
          <w:tab w:val="center" w:pos="5400"/>
        </w:tabs>
        <w:suppressAutoHyphens/>
        <w:spacing w:line="276" w:lineRule="auto"/>
        <w:jc w:val="center"/>
        <w:rPr>
          <w:rFonts w:asciiTheme="majorHAnsi" w:hAnsiTheme="majorHAnsi"/>
          <w:sz w:val="20"/>
          <w:szCs w:val="20"/>
        </w:rPr>
      </w:pPr>
      <w:r w:rsidRPr="009E773A">
        <w:rPr>
          <w:rFonts w:asciiTheme="majorHAnsi" w:hAnsiTheme="majorHAnsi"/>
          <w:sz w:val="20"/>
          <w:szCs w:val="20"/>
        </w:rPr>
        <w:t>VENEZUELA</w:t>
      </w:r>
    </w:p>
    <w:p w14:paraId="4D8F7176" w14:textId="77777777" w:rsidR="00CA08FD" w:rsidRPr="009E773A" w:rsidRDefault="00CA08FD" w:rsidP="00CA08FD">
      <w:pPr>
        <w:tabs>
          <w:tab w:val="center" w:pos="5400"/>
        </w:tabs>
        <w:suppressAutoHyphens/>
        <w:spacing w:line="276" w:lineRule="auto"/>
        <w:jc w:val="center"/>
        <w:rPr>
          <w:rFonts w:asciiTheme="majorHAnsi" w:hAnsiTheme="majorHAnsi"/>
          <w:sz w:val="20"/>
          <w:szCs w:val="20"/>
        </w:rPr>
      </w:pPr>
      <w:r>
        <w:rPr>
          <w:rFonts w:asciiTheme="majorHAnsi" w:hAnsiTheme="majorHAnsi"/>
          <w:sz w:val="20"/>
          <w:szCs w:val="20"/>
        </w:rPr>
        <w:t>7 DE DICIEMBRE DE 2018</w:t>
      </w:r>
    </w:p>
    <w:p w14:paraId="61CEC813" w14:textId="77777777" w:rsidR="005937F1" w:rsidRPr="009E773A" w:rsidRDefault="005937F1" w:rsidP="005937F1">
      <w:pPr>
        <w:pStyle w:val="Prrafodelista"/>
        <w:suppressAutoHyphens/>
        <w:ind w:left="1440"/>
        <w:rPr>
          <w:rFonts w:asciiTheme="majorHAnsi" w:hAnsiTheme="majorHAnsi"/>
          <w:b/>
          <w:sz w:val="20"/>
          <w:szCs w:val="20"/>
          <w:lang w:val="es-CO"/>
        </w:rPr>
      </w:pPr>
    </w:p>
    <w:p w14:paraId="54DE64A2" w14:textId="77777777" w:rsidR="00D12193" w:rsidRPr="009E773A" w:rsidRDefault="00D12193" w:rsidP="009A79B6">
      <w:pPr>
        <w:pStyle w:val="Ttulo1"/>
        <w:ind w:left="0" w:firstLine="0"/>
      </w:pPr>
      <w:bookmarkStart w:id="1" w:name="_Toc2159206"/>
      <w:r w:rsidRPr="009E773A">
        <w:t>RESUMEN</w:t>
      </w:r>
      <w:bookmarkEnd w:id="1"/>
    </w:p>
    <w:p w14:paraId="72C76B9F" w14:textId="77777777" w:rsidR="005C4CA5" w:rsidRPr="009E773A" w:rsidRDefault="005C4CA5" w:rsidP="009A79B6">
      <w:pPr>
        <w:suppressAutoHyphens/>
        <w:ind w:left="360"/>
        <w:rPr>
          <w:rFonts w:asciiTheme="majorHAnsi" w:hAnsiTheme="majorHAnsi"/>
          <w:b/>
          <w:sz w:val="20"/>
          <w:szCs w:val="20"/>
        </w:rPr>
      </w:pPr>
    </w:p>
    <w:p w14:paraId="6778AB9E" w14:textId="77777777" w:rsidR="009014A4" w:rsidRPr="009E773A" w:rsidRDefault="005C4CA5"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olor w:val="000000" w:themeColor="text1"/>
          <w:sz w:val="20"/>
          <w:szCs w:val="20"/>
        </w:rPr>
      </w:pPr>
      <w:r w:rsidRPr="009E773A">
        <w:rPr>
          <w:rFonts w:asciiTheme="majorHAnsi" w:hAnsiTheme="majorHAnsi"/>
          <w:sz w:val="20"/>
          <w:szCs w:val="20"/>
        </w:rPr>
        <w:t xml:space="preserve">El </w:t>
      </w:r>
      <w:r w:rsidR="008456A1" w:rsidRPr="009E773A">
        <w:rPr>
          <w:rFonts w:asciiTheme="majorHAnsi" w:hAnsiTheme="majorHAnsi"/>
          <w:sz w:val="20"/>
          <w:szCs w:val="20"/>
        </w:rPr>
        <w:t>10</w:t>
      </w:r>
      <w:r w:rsidRPr="009E773A">
        <w:rPr>
          <w:rFonts w:asciiTheme="majorHAnsi" w:hAnsiTheme="majorHAnsi"/>
          <w:sz w:val="20"/>
          <w:szCs w:val="20"/>
        </w:rPr>
        <w:t xml:space="preserve"> de </w:t>
      </w:r>
      <w:r w:rsidR="008456A1" w:rsidRPr="009E773A">
        <w:rPr>
          <w:rFonts w:asciiTheme="majorHAnsi" w:hAnsiTheme="majorHAnsi"/>
          <w:sz w:val="20"/>
          <w:szCs w:val="20"/>
        </w:rPr>
        <w:t>marzo</w:t>
      </w:r>
      <w:r w:rsidRPr="009E773A">
        <w:rPr>
          <w:rFonts w:asciiTheme="majorHAnsi" w:hAnsiTheme="majorHAnsi"/>
          <w:sz w:val="20"/>
          <w:szCs w:val="20"/>
        </w:rPr>
        <w:t xml:space="preserve"> de </w:t>
      </w:r>
      <w:r w:rsidR="008456A1" w:rsidRPr="009E773A">
        <w:rPr>
          <w:rFonts w:asciiTheme="majorHAnsi" w:hAnsiTheme="majorHAnsi"/>
          <w:sz w:val="20"/>
          <w:szCs w:val="20"/>
        </w:rPr>
        <w:t>2008</w:t>
      </w:r>
      <w:r w:rsidRPr="009E773A">
        <w:rPr>
          <w:rFonts w:asciiTheme="majorHAnsi" w:hAnsiTheme="majorHAnsi"/>
          <w:sz w:val="20"/>
          <w:szCs w:val="20"/>
        </w:rPr>
        <w:t xml:space="preserve"> la Comisión Interamericana de Derechos Humanos (en adelante “la Comisión Interamericana”, “la Comisión” o “la CIDH”) recibió una petición presentada </w:t>
      </w:r>
      <w:r w:rsidR="002B7BCC" w:rsidRPr="009E773A">
        <w:rPr>
          <w:rFonts w:asciiTheme="majorHAnsi" w:hAnsiTheme="majorHAnsi"/>
          <w:sz w:val="20"/>
          <w:szCs w:val="20"/>
        </w:rPr>
        <w:t xml:space="preserve">por </w:t>
      </w:r>
      <w:r w:rsidR="00582607" w:rsidRPr="009E773A">
        <w:rPr>
          <w:rFonts w:asciiTheme="majorHAnsi" w:hAnsiTheme="majorHAnsi"/>
          <w:sz w:val="20"/>
          <w:szCs w:val="20"/>
        </w:rPr>
        <w:t>el Comité de Familiares de Víctimas de los Sucesos de Febrero – Marzo de 1989 (COFAVIC)</w:t>
      </w:r>
      <w:r w:rsidR="002B7BCC" w:rsidRPr="009E773A">
        <w:rPr>
          <w:rFonts w:asciiTheme="majorHAnsi" w:hAnsiTheme="majorHAnsi"/>
          <w:sz w:val="20"/>
          <w:szCs w:val="20"/>
        </w:rPr>
        <w:t xml:space="preserve">, </w:t>
      </w:r>
      <w:r w:rsidR="005B6DAD" w:rsidRPr="009E773A">
        <w:rPr>
          <w:rFonts w:asciiTheme="majorHAnsi" w:hAnsiTheme="majorHAnsi"/>
          <w:sz w:val="20"/>
          <w:szCs w:val="20"/>
        </w:rPr>
        <w:t>y los señores</w:t>
      </w:r>
      <w:r w:rsidR="002B7BCC" w:rsidRPr="009E773A">
        <w:rPr>
          <w:rFonts w:asciiTheme="majorHAnsi" w:hAnsiTheme="majorHAnsi"/>
          <w:sz w:val="20"/>
          <w:szCs w:val="20"/>
        </w:rPr>
        <w:t xml:space="preserve"> Jean Carlos Guerrero</w:t>
      </w:r>
      <w:r w:rsidR="00651FFC" w:rsidRPr="009E773A">
        <w:rPr>
          <w:rFonts w:asciiTheme="majorHAnsi" w:hAnsiTheme="majorHAnsi"/>
          <w:sz w:val="20"/>
          <w:szCs w:val="20"/>
        </w:rPr>
        <w:t xml:space="preserve"> y</w:t>
      </w:r>
      <w:r w:rsidR="00582607" w:rsidRPr="009E773A">
        <w:rPr>
          <w:rFonts w:asciiTheme="majorHAnsi" w:hAnsiTheme="majorHAnsi"/>
          <w:sz w:val="20"/>
          <w:szCs w:val="20"/>
        </w:rPr>
        <w:t xml:space="preserve"> Carlos Ayala C</w:t>
      </w:r>
      <w:r w:rsidR="00651FFC" w:rsidRPr="009E773A">
        <w:rPr>
          <w:rFonts w:asciiTheme="majorHAnsi" w:hAnsiTheme="majorHAnsi"/>
          <w:sz w:val="20"/>
          <w:szCs w:val="20"/>
        </w:rPr>
        <w:t>orao</w:t>
      </w:r>
      <w:r w:rsidR="00582607" w:rsidRPr="009E773A">
        <w:rPr>
          <w:rFonts w:asciiTheme="majorHAnsi" w:hAnsiTheme="majorHAnsi"/>
          <w:sz w:val="20"/>
          <w:szCs w:val="20"/>
        </w:rPr>
        <w:t xml:space="preserve"> </w:t>
      </w:r>
      <w:r w:rsidRPr="009E773A">
        <w:rPr>
          <w:rFonts w:asciiTheme="majorHAnsi" w:hAnsiTheme="majorHAnsi"/>
          <w:sz w:val="20"/>
          <w:szCs w:val="20"/>
        </w:rPr>
        <w:t>(en adelante “la parte peticionaria”)</w:t>
      </w:r>
      <w:r w:rsidR="00E01FFD" w:rsidRPr="009E773A">
        <w:rPr>
          <w:rStyle w:val="Refdenotaalpie"/>
          <w:rFonts w:asciiTheme="majorHAnsi" w:hAnsiTheme="majorHAnsi"/>
          <w:color w:val="000000" w:themeColor="text1"/>
          <w:sz w:val="20"/>
          <w:szCs w:val="20"/>
        </w:rPr>
        <w:footnoteReference w:id="2"/>
      </w:r>
      <w:r w:rsidRPr="009E773A">
        <w:rPr>
          <w:rFonts w:asciiTheme="majorHAnsi" w:hAnsiTheme="majorHAnsi"/>
          <w:sz w:val="20"/>
          <w:szCs w:val="20"/>
        </w:rPr>
        <w:t xml:space="preserve"> </w:t>
      </w:r>
      <w:r w:rsidRPr="009E773A">
        <w:rPr>
          <w:rFonts w:asciiTheme="majorHAnsi" w:hAnsiTheme="majorHAnsi"/>
          <w:color w:val="000000" w:themeColor="text1"/>
          <w:sz w:val="20"/>
          <w:szCs w:val="20"/>
        </w:rPr>
        <w:t xml:space="preserve">en la cual se alega la responsabilidad internacional de </w:t>
      </w:r>
      <w:r w:rsidR="0093670A" w:rsidRPr="009E773A">
        <w:rPr>
          <w:rFonts w:asciiTheme="majorHAnsi" w:hAnsiTheme="majorHAnsi"/>
          <w:color w:val="000000" w:themeColor="text1"/>
          <w:sz w:val="20"/>
          <w:szCs w:val="20"/>
        </w:rPr>
        <w:t xml:space="preserve">la República Bolivariana de </w:t>
      </w:r>
      <w:r w:rsidR="00582607" w:rsidRPr="009E773A">
        <w:rPr>
          <w:rFonts w:asciiTheme="majorHAnsi" w:hAnsiTheme="majorHAnsi"/>
          <w:color w:val="000000" w:themeColor="text1"/>
          <w:sz w:val="20"/>
          <w:szCs w:val="20"/>
        </w:rPr>
        <w:t xml:space="preserve">Venezuela </w:t>
      </w:r>
      <w:r w:rsidRPr="009E773A">
        <w:rPr>
          <w:rFonts w:asciiTheme="majorHAnsi" w:hAnsiTheme="majorHAnsi"/>
          <w:color w:val="000000" w:themeColor="text1"/>
          <w:sz w:val="20"/>
          <w:szCs w:val="20"/>
        </w:rPr>
        <w:t xml:space="preserve">(en adelante “el Estado </w:t>
      </w:r>
      <w:r w:rsidR="00582607" w:rsidRPr="009E773A">
        <w:rPr>
          <w:rFonts w:asciiTheme="majorHAnsi" w:hAnsiTheme="majorHAnsi"/>
          <w:color w:val="000000" w:themeColor="text1"/>
          <w:sz w:val="20"/>
          <w:szCs w:val="20"/>
        </w:rPr>
        <w:t>de Venezuela</w:t>
      </w:r>
      <w:r w:rsidRPr="009E773A">
        <w:rPr>
          <w:rFonts w:asciiTheme="majorHAnsi" w:hAnsiTheme="majorHAnsi"/>
          <w:color w:val="000000" w:themeColor="text1"/>
          <w:sz w:val="20"/>
          <w:szCs w:val="20"/>
        </w:rPr>
        <w:t>”, “el Estado” o “</w:t>
      </w:r>
      <w:r w:rsidR="00582607" w:rsidRPr="009E773A">
        <w:rPr>
          <w:rFonts w:asciiTheme="majorHAnsi" w:hAnsiTheme="majorHAnsi"/>
          <w:color w:val="000000" w:themeColor="text1"/>
          <w:sz w:val="20"/>
          <w:szCs w:val="20"/>
        </w:rPr>
        <w:t>Venezuela</w:t>
      </w:r>
      <w:r w:rsidRPr="009E773A">
        <w:rPr>
          <w:rFonts w:asciiTheme="majorHAnsi" w:hAnsiTheme="majorHAnsi"/>
          <w:color w:val="000000" w:themeColor="text1"/>
          <w:sz w:val="20"/>
          <w:szCs w:val="20"/>
        </w:rPr>
        <w:t xml:space="preserve">”) en perjuicio de </w:t>
      </w:r>
      <w:r w:rsidR="002B7BCC" w:rsidRPr="009E773A">
        <w:rPr>
          <w:rFonts w:asciiTheme="majorHAnsi" w:hAnsiTheme="majorHAnsi"/>
          <w:color w:val="000000" w:themeColor="text1"/>
          <w:sz w:val="20"/>
          <w:szCs w:val="20"/>
        </w:rPr>
        <w:t>Jimmy Guerrero</w:t>
      </w:r>
      <w:r w:rsidR="00651FFC" w:rsidRPr="009E773A">
        <w:rPr>
          <w:rFonts w:asciiTheme="majorHAnsi" w:hAnsiTheme="majorHAnsi"/>
          <w:color w:val="000000" w:themeColor="text1"/>
          <w:sz w:val="20"/>
          <w:szCs w:val="20"/>
        </w:rPr>
        <w:t>,</w:t>
      </w:r>
      <w:r w:rsidR="007032B1" w:rsidRPr="009E773A">
        <w:rPr>
          <w:rFonts w:asciiTheme="majorHAnsi" w:hAnsiTheme="majorHAnsi"/>
          <w:color w:val="000000" w:themeColor="text1"/>
          <w:sz w:val="20"/>
          <w:szCs w:val="20"/>
        </w:rPr>
        <w:t xml:space="preserve"> </w:t>
      </w:r>
      <w:r w:rsidR="002B7BCC" w:rsidRPr="009E773A">
        <w:rPr>
          <w:rFonts w:asciiTheme="majorHAnsi" w:hAnsiTheme="majorHAnsi"/>
          <w:color w:val="000000" w:themeColor="text1"/>
          <w:sz w:val="20"/>
          <w:szCs w:val="20"/>
        </w:rPr>
        <w:t>Ramón Molina</w:t>
      </w:r>
      <w:r w:rsidR="009272EF" w:rsidRPr="009E773A">
        <w:rPr>
          <w:rFonts w:asciiTheme="majorHAnsi" w:hAnsiTheme="majorHAnsi"/>
          <w:color w:val="000000" w:themeColor="text1"/>
          <w:sz w:val="20"/>
          <w:szCs w:val="20"/>
        </w:rPr>
        <w:t xml:space="preserve"> Pérez</w:t>
      </w:r>
      <w:r w:rsidR="002B7BCC" w:rsidRPr="009E773A">
        <w:rPr>
          <w:rFonts w:asciiTheme="majorHAnsi" w:hAnsiTheme="majorHAnsi"/>
          <w:color w:val="000000" w:themeColor="text1"/>
          <w:sz w:val="20"/>
          <w:szCs w:val="20"/>
        </w:rPr>
        <w:t xml:space="preserve"> y sus familiares.</w:t>
      </w:r>
      <w:r w:rsidRPr="009E773A">
        <w:rPr>
          <w:rFonts w:asciiTheme="majorHAnsi" w:hAnsiTheme="majorHAnsi"/>
          <w:color w:val="000000" w:themeColor="text1"/>
          <w:sz w:val="20"/>
          <w:szCs w:val="20"/>
        </w:rPr>
        <w:t xml:space="preserve"> </w:t>
      </w:r>
    </w:p>
    <w:p w14:paraId="1B5CCC27" w14:textId="77777777" w:rsidR="009014A4" w:rsidRPr="009E773A" w:rsidRDefault="009014A4"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color w:val="000000" w:themeColor="text1"/>
          <w:sz w:val="20"/>
          <w:szCs w:val="20"/>
        </w:rPr>
      </w:pPr>
    </w:p>
    <w:p w14:paraId="5210C264" w14:textId="77777777" w:rsidR="000A75B8" w:rsidRPr="009E773A" w:rsidRDefault="009014A4"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olor w:val="000000" w:themeColor="text1"/>
          <w:sz w:val="20"/>
          <w:szCs w:val="20"/>
        </w:rPr>
      </w:pPr>
      <w:r w:rsidRPr="009E773A">
        <w:rPr>
          <w:rFonts w:asciiTheme="majorHAnsi" w:hAnsiTheme="majorHAnsi"/>
          <w:color w:val="000000" w:themeColor="text1"/>
          <w:sz w:val="20"/>
          <w:szCs w:val="20"/>
        </w:rPr>
        <w:t>L</w:t>
      </w:r>
      <w:r w:rsidRPr="009E773A">
        <w:rPr>
          <w:rFonts w:asciiTheme="majorHAnsi" w:hAnsiTheme="majorHAnsi"/>
          <w:sz w:val="20"/>
          <w:szCs w:val="20"/>
        </w:rPr>
        <w:t xml:space="preserve">a Comisión aprobó el informe de admisibilidad No. </w:t>
      </w:r>
      <w:r w:rsidR="002B7BCC" w:rsidRPr="009E773A">
        <w:rPr>
          <w:rFonts w:asciiTheme="majorHAnsi" w:hAnsiTheme="majorHAnsi"/>
          <w:sz w:val="20"/>
          <w:szCs w:val="20"/>
        </w:rPr>
        <w:t>4</w:t>
      </w:r>
      <w:r w:rsidRPr="009E773A">
        <w:rPr>
          <w:rFonts w:asciiTheme="majorHAnsi" w:hAnsiTheme="majorHAnsi"/>
          <w:sz w:val="20"/>
          <w:szCs w:val="20"/>
        </w:rPr>
        <w:t>/</w:t>
      </w:r>
      <w:r w:rsidR="002B7BCC" w:rsidRPr="009E773A">
        <w:rPr>
          <w:rFonts w:asciiTheme="majorHAnsi" w:hAnsiTheme="majorHAnsi"/>
          <w:sz w:val="20"/>
          <w:szCs w:val="20"/>
        </w:rPr>
        <w:t>11</w:t>
      </w:r>
      <w:r w:rsidRPr="009E773A">
        <w:rPr>
          <w:rFonts w:asciiTheme="majorHAnsi" w:hAnsiTheme="majorHAnsi"/>
          <w:sz w:val="20"/>
          <w:szCs w:val="20"/>
        </w:rPr>
        <w:t xml:space="preserve"> el </w:t>
      </w:r>
      <w:r w:rsidR="002B7BCC" w:rsidRPr="009E773A">
        <w:rPr>
          <w:rFonts w:asciiTheme="majorHAnsi" w:hAnsiTheme="majorHAnsi"/>
          <w:sz w:val="20"/>
          <w:szCs w:val="20"/>
        </w:rPr>
        <w:t>19</w:t>
      </w:r>
      <w:r w:rsidRPr="009E773A">
        <w:rPr>
          <w:rFonts w:asciiTheme="majorHAnsi" w:hAnsiTheme="majorHAnsi"/>
          <w:sz w:val="20"/>
          <w:szCs w:val="20"/>
        </w:rPr>
        <w:t xml:space="preserve"> de </w:t>
      </w:r>
      <w:r w:rsidR="002B7BCC" w:rsidRPr="009E773A">
        <w:rPr>
          <w:rFonts w:asciiTheme="majorHAnsi" w:hAnsiTheme="majorHAnsi"/>
          <w:sz w:val="20"/>
          <w:szCs w:val="20"/>
        </w:rPr>
        <w:t>febrero</w:t>
      </w:r>
      <w:r w:rsidRPr="009E773A">
        <w:rPr>
          <w:rFonts w:asciiTheme="majorHAnsi" w:hAnsiTheme="majorHAnsi"/>
          <w:sz w:val="20"/>
          <w:szCs w:val="20"/>
        </w:rPr>
        <w:t xml:space="preserve"> de </w:t>
      </w:r>
      <w:r w:rsidR="002B7BCC" w:rsidRPr="009E773A">
        <w:rPr>
          <w:rFonts w:asciiTheme="majorHAnsi" w:hAnsiTheme="majorHAnsi"/>
          <w:sz w:val="20"/>
          <w:szCs w:val="20"/>
        </w:rPr>
        <w:t>2011</w:t>
      </w:r>
      <w:r w:rsidRPr="009E773A">
        <w:rPr>
          <w:rStyle w:val="Refdenotaalpie"/>
          <w:rFonts w:asciiTheme="majorHAnsi" w:hAnsiTheme="majorHAnsi"/>
          <w:sz w:val="20"/>
          <w:szCs w:val="20"/>
        </w:rPr>
        <w:footnoteReference w:id="3"/>
      </w:r>
      <w:r w:rsidR="00AF7988" w:rsidRPr="009E773A">
        <w:rPr>
          <w:rFonts w:asciiTheme="majorHAnsi" w:hAnsiTheme="majorHAnsi"/>
          <w:sz w:val="20"/>
          <w:szCs w:val="20"/>
        </w:rPr>
        <w:t xml:space="preserve">. </w:t>
      </w:r>
      <w:r w:rsidRPr="009E773A">
        <w:rPr>
          <w:rFonts w:asciiTheme="majorHAnsi" w:hAnsiTheme="majorHAnsi"/>
          <w:sz w:val="20"/>
          <w:szCs w:val="20"/>
        </w:rPr>
        <w:t xml:space="preserve">El </w:t>
      </w:r>
      <w:r w:rsidR="002B7BCC" w:rsidRPr="009E773A">
        <w:rPr>
          <w:rFonts w:asciiTheme="majorHAnsi" w:hAnsiTheme="majorHAnsi"/>
          <w:sz w:val="20"/>
          <w:szCs w:val="20"/>
        </w:rPr>
        <w:t>23</w:t>
      </w:r>
      <w:r w:rsidRPr="009E773A">
        <w:rPr>
          <w:rFonts w:asciiTheme="majorHAnsi" w:hAnsiTheme="majorHAnsi"/>
          <w:sz w:val="20"/>
          <w:szCs w:val="20"/>
        </w:rPr>
        <w:t xml:space="preserve"> de </w:t>
      </w:r>
      <w:r w:rsidR="002B7BCC" w:rsidRPr="009E773A">
        <w:rPr>
          <w:rFonts w:asciiTheme="majorHAnsi" w:hAnsiTheme="majorHAnsi"/>
          <w:sz w:val="20"/>
          <w:szCs w:val="20"/>
        </w:rPr>
        <w:t>febrero</w:t>
      </w:r>
      <w:r w:rsidRPr="009E773A">
        <w:rPr>
          <w:rFonts w:asciiTheme="majorHAnsi" w:hAnsiTheme="majorHAnsi"/>
          <w:sz w:val="20"/>
          <w:szCs w:val="20"/>
        </w:rPr>
        <w:t xml:space="preserve"> de </w:t>
      </w:r>
      <w:r w:rsidR="002B7BCC" w:rsidRPr="009E773A">
        <w:rPr>
          <w:rFonts w:asciiTheme="majorHAnsi" w:hAnsiTheme="majorHAnsi"/>
          <w:sz w:val="20"/>
          <w:szCs w:val="20"/>
        </w:rPr>
        <w:t>2011</w:t>
      </w:r>
      <w:r w:rsidRPr="009E773A">
        <w:rPr>
          <w:rFonts w:asciiTheme="majorHAnsi" w:hAnsiTheme="majorHAnsi"/>
          <w:sz w:val="20"/>
          <w:szCs w:val="20"/>
        </w:rPr>
        <w:t xml:space="preserve"> la Comisión notificó dicho informe a las partes y se puso a su disposición a fin de llegar a una solución amistosa. Las partes contaron con los plazos reglamentarios para presentar sus observaciones adicionales sobre el fondo.</w:t>
      </w:r>
      <w:r w:rsidR="008C3098" w:rsidRPr="009E773A">
        <w:rPr>
          <w:rFonts w:asciiTheme="majorHAnsi" w:hAnsiTheme="majorHAnsi"/>
          <w:sz w:val="20"/>
          <w:szCs w:val="20"/>
        </w:rPr>
        <w:t xml:space="preserve"> El </w:t>
      </w:r>
      <w:r w:rsidR="002B7BCC" w:rsidRPr="009E773A">
        <w:rPr>
          <w:rFonts w:asciiTheme="majorHAnsi" w:hAnsiTheme="majorHAnsi"/>
          <w:sz w:val="20"/>
          <w:szCs w:val="20"/>
        </w:rPr>
        <w:t xml:space="preserve">4 </w:t>
      </w:r>
      <w:r w:rsidR="008C3098" w:rsidRPr="009E773A">
        <w:rPr>
          <w:rFonts w:asciiTheme="majorHAnsi" w:hAnsiTheme="majorHAnsi"/>
          <w:sz w:val="20"/>
          <w:szCs w:val="20"/>
        </w:rPr>
        <w:t>de</w:t>
      </w:r>
      <w:r w:rsidR="002B7BCC" w:rsidRPr="009E773A">
        <w:rPr>
          <w:rFonts w:asciiTheme="majorHAnsi" w:hAnsiTheme="majorHAnsi"/>
          <w:sz w:val="20"/>
          <w:szCs w:val="20"/>
        </w:rPr>
        <w:t xml:space="preserve"> abril</w:t>
      </w:r>
      <w:r w:rsidR="008C3098" w:rsidRPr="009E773A">
        <w:rPr>
          <w:rFonts w:asciiTheme="majorHAnsi" w:hAnsiTheme="majorHAnsi"/>
          <w:sz w:val="20"/>
          <w:szCs w:val="20"/>
        </w:rPr>
        <w:t xml:space="preserve"> de </w:t>
      </w:r>
      <w:r w:rsidR="002B7BCC" w:rsidRPr="009E773A">
        <w:rPr>
          <w:rFonts w:asciiTheme="majorHAnsi" w:hAnsiTheme="majorHAnsi"/>
          <w:sz w:val="20"/>
          <w:szCs w:val="20"/>
        </w:rPr>
        <w:t>2016</w:t>
      </w:r>
      <w:r w:rsidR="008C3098" w:rsidRPr="009E773A">
        <w:rPr>
          <w:rFonts w:asciiTheme="majorHAnsi" w:hAnsiTheme="majorHAnsi"/>
          <w:sz w:val="20"/>
          <w:szCs w:val="20"/>
        </w:rPr>
        <w:t xml:space="preserve"> la CIDH </w:t>
      </w:r>
      <w:r w:rsidR="00460ABB" w:rsidRPr="009E773A">
        <w:rPr>
          <w:rFonts w:asciiTheme="majorHAnsi" w:hAnsiTheme="majorHAnsi"/>
          <w:sz w:val="20"/>
          <w:szCs w:val="20"/>
        </w:rPr>
        <w:t>celebró</w:t>
      </w:r>
      <w:r w:rsidR="00E01FFD" w:rsidRPr="009E773A">
        <w:rPr>
          <w:rFonts w:asciiTheme="majorHAnsi" w:hAnsiTheme="majorHAnsi"/>
          <w:color w:val="000000" w:themeColor="text1"/>
          <w:sz w:val="20"/>
          <w:szCs w:val="20"/>
        </w:rPr>
        <w:t xml:space="preserve"> </w:t>
      </w:r>
      <w:r w:rsidR="008C3098" w:rsidRPr="009E773A">
        <w:rPr>
          <w:rFonts w:asciiTheme="majorHAnsi" w:hAnsiTheme="majorHAnsi"/>
          <w:sz w:val="20"/>
          <w:szCs w:val="20"/>
        </w:rPr>
        <w:t xml:space="preserve">una audiencia </w:t>
      </w:r>
      <w:r w:rsidR="005D0AAB" w:rsidRPr="009E773A">
        <w:rPr>
          <w:rFonts w:asciiTheme="majorHAnsi" w:hAnsiTheme="majorHAnsi"/>
          <w:sz w:val="20"/>
          <w:szCs w:val="20"/>
        </w:rPr>
        <w:t xml:space="preserve">pública </w:t>
      </w:r>
      <w:r w:rsidR="008C3098" w:rsidRPr="009E773A">
        <w:rPr>
          <w:rFonts w:asciiTheme="majorHAnsi" w:hAnsiTheme="majorHAnsi"/>
          <w:sz w:val="20"/>
          <w:szCs w:val="20"/>
        </w:rPr>
        <w:t>sobre el fondo del caso.</w:t>
      </w:r>
      <w:r w:rsidRPr="009E773A">
        <w:rPr>
          <w:rFonts w:asciiTheme="majorHAnsi" w:hAnsiTheme="majorHAnsi"/>
          <w:sz w:val="20"/>
          <w:szCs w:val="20"/>
        </w:rPr>
        <w:t xml:space="preserve"> Toda la información recibida fue debidamente trasladada entre las partes. </w:t>
      </w:r>
    </w:p>
    <w:p w14:paraId="67FE6871" w14:textId="77777777" w:rsidR="000A75B8" w:rsidRPr="009E773A" w:rsidRDefault="000A75B8" w:rsidP="009A79B6">
      <w:pPr>
        <w:pStyle w:val="Prrafodelista"/>
        <w:rPr>
          <w:rFonts w:asciiTheme="majorHAnsi" w:hAnsiTheme="majorHAnsi"/>
          <w:sz w:val="20"/>
          <w:szCs w:val="20"/>
          <w:lang w:val="es-CO"/>
        </w:rPr>
      </w:pPr>
    </w:p>
    <w:p w14:paraId="25F9A965" w14:textId="4557ED29" w:rsidR="000A75B8" w:rsidRPr="009E773A" w:rsidRDefault="005B6DAD"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olor w:val="000000" w:themeColor="text1"/>
          <w:sz w:val="20"/>
          <w:szCs w:val="20"/>
        </w:rPr>
      </w:pPr>
      <w:r w:rsidRPr="009E773A">
        <w:rPr>
          <w:rFonts w:asciiTheme="majorHAnsi" w:hAnsiTheme="majorHAnsi"/>
          <w:color w:val="000000" w:themeColor="text1"/>
          <w:sz w:val="20"/>
          <w:szCs w:val="20"/>
        </w:rPr>
        <w:t>La</w:t>
      </w:r>
      <w:r w:rsidR="0097497C" w:rsidRPr="009E773A">
        <w:rPr>
          <w:rFonts w:asciiTheme="majorHAnsi" w:hAnsiTheme="majorHAnsi"/>
          <w:color w:val="000000" w:themeColor="text1"/>
          <w:sz w:val="20"/>
          <w:szCs w:val="20"/>
        </w:rPr>
        <w:t xml:space="preserve"> parte peticionaria alegó que el Estado es responsable </w:t>
      </w:r>
      <w:r w:rsidR="00784CAB" w:rsidRPr="009E773A">
        <w:rPr>
          <w:rFonts w:asciiTheme="majorHAnsi" w:hAnsiTheme="majorHAnsi"/>
          <w:color w:val="000000" w:themeColor="text1"/>
          <w:sz w:val="20"/>
          <w:szCs w:val="20"/>
        </w:rPr>
        <w:t>por</w:t>
      </w:r>
      <w:r w:rsidR="0097497C" w:rsidRPr="009E773A">
        <w:rPr>
          <w:rFonts w:asciiTheme="majorHAnsi" w:hAnsiTheme="majorHAnsi"/>
          <w:color w:val="000000" w:themeColor="text1"/>
          <w:sz w:val="20"/>
          <w:szCs w:val="20"/>
        </w:rPr>
        <w:t xml:space="preserve"> </w:t>
      </w:r>
      <w:r w:rsidR="0097497C" w:rsidRPr="009E773A">
        <w:rPr>
          <w:rFonts w:asciiTheme="majorHAnsi" w:hAnsiTheme="majorHAnsi"/>
          <w:sz w:val="20"/>
          <w:szCs w:val="20"/>
        </w:rPr>
        <w:t>la</w:t>
      </w:r>
      <w:r w:rsidR="00C7371F" w:rsidRPr="009E773A">
        <w:rPr>
          <w:rFonts w:asciiTheme="majorHAnsi" w:hAnsiTheme="majorHAnsi"/>
          <w:sz w:val="20"/>
          <w:szCs w:val="20"/>
        </w:rPr>
        <w:t>s</w:t>
      </w:r>
      <w:r w:rsidR="0097497C" w:rsidRPr="009E773A">
        <w:rPr>
          <w:rFonts w:asciiTheme="majorHAnsi" w:hAnsiTheme="majorHAnsi"/>
          <w:sz w:val="20"/>
          <w:szCs w:val="20"/>
        </w:rPr>
        <w:t xml:space="preserve"> </w:t>
      </w:r>
      <w:r w:rsidR="0060742F" w:rsidRPr="009E773A">
        <w:rPr>
          <w:rFonts w:asciiTheme="majorHAnsi" w:hAnsiTheme="majorHAnsi"/>
          <w:sz w:val="20"/>
          <w:szCs w:val="20"/>
        </w:rPr>
        <w:t>ejecuciones</w:t>
      </w:r>
      <w:r w:rsidR="0097497C" w:rsidRPr="009E773A">
        <w:rPr>
          <w:rFonts w:asciiTheme="majorHAnsi" w:hAnsiTheme="majorHAnsi"/>
          <w:sz w:val="20"/>
          <w:szCs w:val="20"/>
        </w:rPr>
        <w:t xml:space="preserve"> extrajudicial</w:t>
      </w:r>
      <w:r w:rsidR="00C7371F" w:rsidRPr="009E773A">
        <w:rPr>
          <w:rFonts w:asciiTheme="majorHAnsi" w:hAnsiTheme="majorHAnsi"/>
          <w:sz w:val="20"/>
          <w:szCs w:val="20"/>
        </w:rPr>
        <w:t>es</w:t>
      </w:r>
      <w:r w:rsidR="0097497C" w:rsidRPr="009E773A">
        <w:rPr>
          <w:rFonts w:asciiTheme="majorHAnsi" w:hAnsiTheme="majorHAnsi"/>
          <w:sz w:val="20"/>
          <w:szCs w:val="20"/>
        </w:rPr>
        <w:t xml:space="preserve"> </w:t>
      </w:r>
      <w:r w:rsidR="00784CAB" w:rsidRPr="009E773A">
        <w:rPr>
          <w:rFonts w:asciiTheme="majorHAnsi" w:hAnsiTheme="majorHAnsi"/>
          <w:sz w:val="20"/>
          <w:szCs w:val="20"/>
        </w:rPr>
        <w:t>de Jimmy Guerrero y Ramón Molina</w:t>
      </w:r>
      <w:r w:rsidR="00C7371F" w:rsidRPr="009E773A">
        <w:rPr>
          <w:rFonts w:asciiTheme="majorHAnsi" w:hAnsiTheme="majorHAnsi"/>
          <w:sz w:val="20"/>
          <w:szCs w:val="20"/>
        </w:rPr>
        <w:t>, ocurridas el 29 de marzo de 2003 en el estado Falcón, Venezuela</w:t>
      </w:r>
      <w:r w:rsidR="00784CAB" w:rsidRPr="009E773A">
        <w:rPr>
          <w:rFonts w:asciiTheme="majorHAnsi" w:hAnsiTheme="majorHAnsi"/>
          <w:sz w:val="20"/>
          <w:szCs w:val="20"/>
        </w:rPr>
        <w:t xml:space="preserve">. </w:t>
      </w:r>
      <w:r w:rsidR="00C7371F" w:rsidRPr="009E773A">
        <w:rPr>
          <w:rFonts w:asciiTheme="majorHAnsi" w:hAnsiTheme="majorHAnsi"/>
          <w:color w:val="000000" w:themeColor="text1"/>
          <w:sz w:val="20"/>
          <w:szCs w:val="20"/>
        </w:rPr>
        <w:t>Alegó que previo a los hechos, Jimmy Guerrero y su familia había sido objeto de amenazas, hostigamiento</w:t>
      </w:r>
      <w:r w:rsidR="00731F9C" w:rsidRPr="009E773A">
        <w:rPr>
          <w:rFonts w:asciiTheme="majorHAnsi" w:hAnsiTheme="majorHAnsi"/>
          <w:color w:val="000000" w:themeColor="text1"/>
          <w:sz w:val="20"/>
          <w:szCs w:val="20"/>
        </w:rPr>
        <w:t>s</w:t>
      </w:r>
      <w:r w:rsidR="00C7371F" w:rsidRPr="009E773A">
        <w:rPr>
          <w:rFonts w:asciiTheme="majorHAnsi" w:hAnsiTheme="majorHAnsi"/>
          <w:color w:val="000000" w:themeColor="text1"/>
          <w:sz w:val="20"/>
          <w:szCs w:val="20"/>
        </w:rPr>
        <w:t xml:space="preserve"> y detenci</w:t>
      </w:r>
      <w:r w:rsidR="00731F9C" w:rsidRPr="009E773A">
        <w:rPr>
          <w:rFonts w:asciiTheme="majorHAnsi" w:hAnsiTheme="majorHAnsi"/>
          <w:color w:val="000000" w:themeColor="text1"/>
          <w:sz w:val="20"/>
          <w:szCs w:val="20"/>
        </w:rPr>
        <w:t>o</w:t>
      </w:r>
      <w:r w:rsidR="00C7371F" w:rsidRPr="009E773A">
        <w:rPr>
          <w:rFonts w:asciiTheme="majorHAnsi" w:hAnsiTheme="majorHAnsi"/>
          <w:color w:val="000000" w:themeColor="text1"/>
          <w:sz w:val="20"/>
          <w:szCs w:val="20"/>
        </w:rPr>
        <w:t>n</w:t>
      </w:r>
      <w:r w:rsidR="00731F9C" w:rsidRPr="009E773A">
        <w:rPr>
          <w:rFonts w:asciiTheme="majorHAnsi" w:hAnsiTheme="majorHAnsi"/>
          <w:color w:val="000000" w:themeColor="text1"/>
          <w:sz w:val="20"/>
          <w:szCs w:val="20"/>
        </w:rPr>
        <w:t>es</w:t>
      </w:r>
      <w:r w:rsidR="00C7371F" w:rsidRPr="009E773A">
        <w:rPr>
          <w:rFonts w:asciiTheme="majorHAnsi" w:hAnsiTheme="majorHAnsi"/>
          <w:color w:val="000000" w:themeColor="text1"/>
          <w:sz w:val="20"/>
          <w:szCs w:val="20"/>
        </w:rPr>
        <w:t xml:space="preserve"> </w:t>
      </w:r>
      <w:r w:rsidR="007E004C" w:rsidRPr="009E773A">
        <w:rPr>
          <w:rFonts w:asciiTheme="majorHAnsi" w:hAnsiTheme="majorHAnsi"/>
          <w:color w:val="000000" w:themeColor="text1"/>
          <w:sz w:val="20"/>
          <w:szCs w:val="20"/>
        </w:rPr>
        <w:t xml:space="preserve">policiales </w:t>
      </w:r>
      <w:r w:rsidR="00C7371F" w:rsidRPr="009E773A">
        <w:rPr>
          <w:rFonts w:asciiTheme="majorHAnsi" w:hAnsiTheme="majorHAnsi"/>
          <w:color w:val="000000" w:themeColor="text1"/>
          <w:sz w:val="20"/>
          <w:szCs w:val="20"/>
        </w:rPr>
        <w:t>arbitraria</w:t>
      </w:r>
      <w:r w:rsidR="00731F9C" w:rsidRPr="009E773A">
        <w:rPr>
          <w:rFonts w:asciiTheme="majorHAnsi" w:hAnsiTheme="majorHAnsi"/>
          <w:color w:val="000000" w:themeColor="text1"/>
          <w:sz w:val="20"/>
          <w:szCs w:val="20"/>
        </w:rPr>
        <w:t>s</w:t>
      </w:r>
      <w:r w:rsidR="00FB6445" w:rsidRPr="009E773A">
        <w:rPr>
          <w:rFonts w:asciiTheme="majorHAnsi" w:hAnsiTheme="majorHAnsi"/>
          <w:color w:val="000000" w:themeColor="text1"/>
          <w:sz w:val="20"/>
          <w:szCs w:val="20"/>
        </w:rPr>
        <w:t xml:space="preserve">. Agregó </w:t>
      </w:r>
      <w:r w:rsidR="0093670A" w:rsidRPr="009E773A">
        <w:rPr>
          <w:rFonts w:asciiTheme="majorHAnsi" w:hAnsiTheme="majorHAnsi"/>
          <w:color w:val="000000" w:themeColor="text1"/>
          <w:sz w:val="20"/>
          <w:szCs w:val="20"/>
        </w:rPr>
        <w:t>que</w:t>
      </w:r>
      <w:r w:rsidR="00C7371F" w:rsidRPr="009E773A">
        <w:rPr>
          <w:rFonts w:asciiTheme="majorHAnsi" w:hAnsiTheme="majorHAnsi"/>
          <w:color w:val="000000" w:themeColor="text1"/>
          <w:sz w:val="20"/>
          <w:szCs w:val="20"/>
        </w:rPr>
        <w:t xml:space="preserve"> pese a múltiples denuncias, las autoridades venezolanas no adoptaron medidas efectivas para </w:t>
      </w:r>
      <w:r w:rsidR="007517A2" w:rsidRPr="009E773A">
        <w:rPr>
          <w:rFonts w:asciiTheme="majorHAnsi" w:hAnsiTheme="majorHAnsi"/>
          <w:color w:val="000000" w:themeColor="text1"/>
          <w:sz w:val="20"/>
          <w:szCs w:val="20"/>
        </w:rPr>
        <w:t>atender la situación de riesgo en la que se encontraba. Asimismo,</w:t>
      </w:r>
      <w:r w:rsidR="00F21C69" w:rsidRPr="009E773A">
        <w:rPr>
          <w:rFonts w:asciiTheme="majorHAnsi" w:hAnsiTheme="majorHAnsi"/>
          <w:sz w:val="20"/>
          <w:szCs w:val="20"/>
        </w:rPr>
        <w:t xml:space="preserve"> </w:t>
      </w:r>
      <w:r w:rsidR="00A567EE" w:rsidRPr="009E773A">
        <w:rPr>
          <w:rFonts w:asciiTheme="majorHAnsi" w:hAnsiTheme="majorHAnsi"/>
          <w:sz w:val="20"/>
          <w:szCs w:val="20"/>
        </w:rPr>
        <w:t>sostuvo que el Estado h</w:t>
      </w:r>
      <w:r w:rsidR="00F21C69" w:rsidRPr="009E773A">
        <w:rPr>
          <w:rFonts w:asciiTheme="majorHAnsi" w:hAnsiTheme="majorHAnsi"/>
          <w:sz w:val="20"/>
          <w:szCs w:val="20"/>
        </w:rPr>
        <w:t>a incumplido con su deber de investigar</w:t>
      </w:r>
      <w:r w:rsidR="00C7371F" w:rsidRPr="009E773A">
        <w:rPr>
          <w:rFonts w:asciiTheme="majorHAnsi" w:hAnsiTheme="majorHAnsi"/>
          <w:sz w:val="20"/>
          <w:szCs w:val="20"/>
        </w:rPr>
        <w:t xml:space="preserve"> con debida diligencia estos hechos</w:t>
      </w:r>
      <w:r w:rsidR="00F21C69" w:rsidRPr="009E773A">
        <w:rPr>
          <w:rFonts w:asciiTheme="majorHAnsi" w:hAnsiTheme="majorHAnsi"/>
          <w:sz w:val="20"/>
          <w:szCs w:val="20"/>
        </w:rPr>
        <w:t xml:space="preserve">, </w:t>
      </w:r>
      <w:r w:rsidR="00C7371F" w:rsidRPr="009E773A">
        <w:rPr>
          <w:rFonts w:asciiTheme="majorHAnsi" w:hAnsiTheme="majorHAnsi"/>
          <w:sz w:val="20"/>
          <w:szCs w:val="20"/>
        </w:rPr>
        <w:t xml:space="preserve">así como </w:t>
      </w:r>
      <w:r w:rsidR="00F21C69" w:rsidRPr="009E773A">
        <w:rPr>
          <w:rFonts w:asciiTheme="majorHAnsi" w:hAnsiTheme="majorHAnsi"/>
          <w:sz w:val="20"/>
          <w:szCs w:val="20"/>
        </w:rPr>
        <w:t xml:space="preserve">juzgar y sancionar a los responsables, </w:t>
      </w:r>
      <w:r w:rsidR="00C7371F" w:rsidRPr="009E773A">
        <w:rPr>
          <w:rFonts w:asciiTheme="majorHAnsi" w:hAnsiTheme="majorHAnsi"/>
          <w:sz w:val="20"/>
          <w:szCs w:val="20"/>
        </w:rPr>
        <w:t>afectando el derecho de acceso a la justicia de los familiares de las víctimas. La parte peticionaria sostuvo que el presente caso se enm</w:t>
      </w:r>
      <w:r w:rsidR="007517A2" w:rsidRPr="009E773A">
        <w:rPr>
          <w:rFonts w:asciiTheme="majorHAnsi" w:hAnsiTheme="majorHAnsi"/>
          <w:sz w:val="20"/>
          <w:szCs w:val="20"/>
        </w:rPr>
        <w:t>a</w:t>
      </w:r>
      <w:r w:rsidR="00C7371F" w:rsidRPr="009E773A">
        <w:rPr>
          <w:rFonts w:asciiTheme="majorHAnsi" w:hAnsiTheme="majorHAnsi"/>
          <w:sz w:val="20"/>
          <w:szCs w:val="20"/>
        </w:rPr>
        <w:t>r</w:t>
      </w:r>
      <w:r w:rsidR="007517A2" w:rsidRPr="009E773A">
        <w:rPr>
          <w:rFonts w:asciiTheme="majorHAnsi" w:hAnsiTheme="majorHAnsi"/>
          <w:sz w:val="20"/>
          <w:szCs w:val="20"/>
        </w:rPr>
        <w:t>c</w:t>
      </w:r>
      <w:r w:rsidR="00C7371F" w:rsidRPr="009E773A">
        <w:rPr>
          <w:rFonts w:asciiTheme="majorHAnsi" w:hAnsiTheme="majorHAnsi"/>
          <w:sz w:val="20"/>
          <w:szCs w:val="20"/>
        </w:rPr>
        <w:t>a en un contexto de ejecuciones extrajudiciales en Venezuela</w:t>
      </w:r>
      <w:r w:rsidR="00F21C69" w:rsidRPr="009E773A">
        <w:rPr>
          <w:rFonts w:asciiTheme="majorHAnsi" w:hAnsiTheme="majorHAnsi"/>
          <w:sz w:val="20"/>
          <w:szCs w:val="20"/>
        </w:rPr>
        <w:t xml:space="preserve">. </w:t>
      </w:r>
      <w:r w:rsidR="00A567EE" w:rsidRPr="009E773A">
        <w:rPr>
          <w:rFonts w:asciiTheme="majorHAnsi" w:hAnsiTheme="majorHAnsi"/>
          <w:sz w:val="20"/>
          <w:szCs w:val="20"/>
        </w:rPr>
        <w:t xml:space="preserve"> </w:t>
      </w:r>
      <w:r w:rsidR="00A567EE" w:rsidRPr="009E773A">
        <w:rPr>
          <w:rFonts w:asciiTheme="majorHAnsi" w:hAnsiTheme="majorHAnsi"/>
          <w:color w:val="000000" w:themeColor="text1"/>
          <w:sz w:val="20"/>
          <w:szCs w:val="20"/>
        </w:rPr>
        <w:t xml:space="preserve"> </w:t>
      </w:r>
      <w:r w:rsidR="00784CAB" w:rsidRPr="009E773A">
        <w:rPr>
          <w:rFonts w:asciiTheme="majorHAnsi" w:hAnsiTheme="majorHAnsi"/>
          <w:color w:val="000000" w:themeColor="text1"/>
          <w:sz w:val="20"/>
          <w:szCs w:val="20"/>
        </w:rPr>
        <w:t xml:space="preserve">  </w:t>
      </w:r>
    </w:p>
    <w:p w14:paraId="75E44235" w14:textId="77777777" w:rsidR="005C4CA5" w:rsidRPr="009E773A" w:rsidRDefault="005C4CA5"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color w:val="000000" w:themeColor="text1"/>
          <w:sz w:val="20"/>
          <w:szCs w:val="20"/>
        </w:rPr>
      </w:pPr>
    </w:p>
    <w:p w14:paraId="50CCE623" w14:textId="77777777" w:rsidR="00895133" w:rsidRPr="009E773A" w:rsidRDefault="00895133"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r w:rsidRPr="009E773A">
        <w:rPr>
          <w:rFonts w:asciiTheme="majorHAnsi" w:hAnsiTheme="majorHAnsi"/>
          <w:sz w:val="20"/>
          <w:szCs w:val="20"/>
        </w:rPr>
        <w:t>E</w:t>
      </w:r>
      <w:r w:rsidR="00207237" w:rsidRPr="009E773A">
        <w:rPr>
          <w:rFonts w:asciiTheme="majorHAnsi" w:hAnsiTheme="majorHAnsi"/>
          <w:sz w:val="20"/>
          <w:szCs w:val="20"/>
        </w:rPr>
        <w:t>l Estado</w:t>
      </w:r>
      <w:r w:rsidR="00C639F4" w:rsidRPr="009E773A">
        <w:rPr>
          <w:rFonts w:asciiTheme="majorHAnsi" w:hAnsiTheme="majorHAnsi"/>
          <w:sz w:val="20"/>
          <w:szCs w:val="20"/>
        </w:rPr>
        <w:t xml:space="preserve"> </w:t>
      </w:r>
      <w:r w:rsidR="007111E5" w:rsidRPr="009E773A">
        <w:rPr>
          <w:rFonts w:asciiTheme="majorHAnsi" w:hAnsiTheme="majorHAnsi"/>
          <w:sz w:val="20"/>
          <w:szCs w:val="20"/>
        </w:rPr>
        <w:t>sostuvo</w:t>
      </w:r>
      <w:r w:rsidR="00207237" w:rsidRPr="009E773A">
        <w:rPr>
          <w:rFonts w:asciiTheme="majorHAnsi" w:hAnsiTheme="majorHAnsi"/>
          <w:sz w:val="20"/>
          <w:szCs w:val="20"/>
        </w:rPr>
        <w:t xml:space="preserve"> que las investigaciones llevadas a cabo a nivel interno han sido diligentes</w:t>
      </w:r>
      <w:r w:rsidR="00FD453A" w:rsidRPr="009E773A">
        <w:rPr>
          <w:rFonts w:asciiTheme="majorHAnsi" w:hAnsiTheme="majorHAnsi"/>
          <w:sz w:val="20"/>
          <w:szCs w:val="20"/>
        </w:rPr>
        <w:t>,</w:t>
      </w:r>
      <w:r w:rsidR="00207237" w:rsidRPr="009E773A">
        <w:rPr>
          <w:rFonts w:asciiTheme="majorHAnsi" w:hAnsiTheme="majorHAnsi"/>
          <w:sz w:val="20"/>
          <w:szCs w:val="20"/>
        </w:rPr>
        <w:t xml:space="preserve"> y que </w:t>
      </w:r>
      <w:r w:rsidR="0097497C" w:rsidRPr="009E773A">
        <w:rPr>
          <w:rFonts w:asciiTheme="majorHAnsi" w:hAnsiTheme="majorHAnsi"/>
          <w:sz w:val="20"/>
          <w:szCs w:val="20"/>
        </w:rPr>
        <w:t xml:space="preserve">no se ha verificado la participación de agentes de las fuerzas de seguridad </w:t>
      </w:r>
      <w:r w:rsidR="00FD453A" w:rsidRPr="009E773A">
        <w:rPr>
          <w:rFonts w:asciiTheme="majorHAnsi" w:hAnsiTheme="majorHAnsi"/>
          <w:sz w:val="20"/>
          <w:szCs w:val="20"/>
        </w:rPr>
        <w:t>en los hechos denunciados</w:t>
      </w:r>
      <w:r w:rsidRPr="009E773A">
        <w:rPr>
          <w:rFonts w:asciiTheme="majorHAnsi" w:hAnsiTheme="majorHAnsi"/>
          <w:sz w:val="20"/>
          <w:szCs w:val="20"/>
        </w:rPr>
        <w:t>. El Estado también controvirtió el alegado patrón o contexto de ejecuciones extrajudiciales en Venezuela. Ante la CIDH, el Estado destacó en varias ocasiones, que la presunta víctima tenía antecedentes penales y que las denuncias que interpuso antes de su muerte tenían como propósi</w:t>
      </w:r>
      <w:r w:rsidR="007E004C" w:rsidRPr="009E773A">
        <w:rPr>
          <w:rFonts w:asciiTheme="majorHAnsi" w:hAnsiTheme="majorHAnsi"/>
          <w:sz w:val="20"/>
          <w:szCs w:val="20"/>
        </w:rPr>
        <w:t>to evadir a las autoridades y su responsabilidad penal</w:t>
      </w:r>
      <w:r w:rsidRPr="009E773A">
        <w:rPr>
          <w:rFonts w:asciiTheme="majorHAnsi" w:hAnsiTheme="majorHAnsi"/>
          <w:sz w:val="20"/>
          <w:szCs w:val="20"/>
        </w:rPr>
        <w:t xml:space="preserve">. Sin perjuicio de lo anterior, en la información más reciente aportada por el Estado, informó que en la investigación interna, se había identificado como presunto responsable a un comisario de las Fuerzas Armadas del estado Falcón, contra quien se habría emitido orden de detención.    </w:t>
      </w:r>
      <w:r w:rsidR="00E01FFD" w:rsidRPr="009E773A">
        <w:rPr>
          <w:rFonts w:asciiTheme="majorHAnsi" w:hAnsiTheme="majorHAnsi"/>
          <w:sz w:val="20"/>
          <w:szCs w:val="20"/>
        </w:rPr>
        <w:t xml:space="preserve"> </w:t>
      </w:r>
    </w:p>
    <w:p w14:paraId="5FA5A25B" w14:textId="77777777" w:rsidR="005C4CA5" w:rsidRPr="009E773A" w:rsidRDefault="001E27B6" w:rsidP="009A79B6">
      <w:pPr>
        <w:tabs>
          <w:tab w:val="left" w:pos="1800"/>
        </w:tabs>
        <w:rPr>
          <w:rFonts w:asciiTheme="majorHAnsi" w:hAnsiTheme="majorHAnsi"/>
          <w:color w:val="000000" w:themeColor="text1"/>
          <w:sz w:val="20"/>
          <w:szCs w:val="20"/>
        </w:rPr>
      </w:pPr>
      <w:r w:rsidRPr="009E773A">
        <w:rPr>
          <w:rFonts w:asciiTheme="majorHAnsi" w:hAnsiTheme="majorHAnsi"/>
          <w:color w:val="000000" w:themeColor="text1"/>
          <w:sz w:val="20"/>
          <w:szCs w:val="20"/>
        </w:rPr>
        <w:tab/>
      </w:r>
    </w:p>
    <w:p w14:paraId="70526E7F" w14:textId="10A28D02" w:rsidR="006F5140" w:rsidRPr="009E773A" w:rsidRDefault="005C4CA5"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olor w:val="000000" w:themeColor="text1"/>
          <w:sz w:val="20"/>
          <w:szCs w:val="20"/>
        </w:rPr>
      </w:pPr>
      <w:r w:rsidRPr="009E773A">
        <w:rPr>
          <w:rFonts w:asciiTheme="majorHAnsi" w:hAnsiTheme="majorHAnsi"/>
          <w:color w:val="000000" w:themeColor="text1"/>
          <w:sz w:val="20"/>
          <w:szCs w:val="20"/>
        </w:rPr>
        <w:t>Con base en las determinaciones de hecho y de derecho, la Comisión Interamericana concluyó que</w:t>
      </w:r>
      <w:r w:rsidR="00A814FA" w:rsidRPr="009E773A">
        <w:rPr>
          <w:rFonts w:asciiTheme="majorHAnsi" w:hAnsiTheme="majorHAnsi"/>
          <w:color w:val="000000" w:themeColor="text1"/>
          <w:sz w:val="20"/>
          <w:szCs w:val="20"/>
        </w:rPr>
        <w:t xml:space="preserve"> </w:t>
      </w:r>
      <w:r w:rsidRPr="009E773A">
        <w:rPr>
          <w:rFonts w:asciiTheme="majorHAnsi" w:hAnsiTheme="majorHAnsi"/>
          <w:color w:val="000000" w:themeColor="text1"/>
          <w:sz w:val="20"/>
          <w:szCs w:val="20"/>
        </w:rPr>
        <w:t xml:space="preserve">el Estado es responsable por la violación </w:t>
      </w:r>
      <w:r w:rsidR="005A3155" w:rsidRPr="009E773A">
        <w:rPr>
          <w:rFonts w:asciiTheme="majorHAnsi" w:hAnsiTheme="majorHAnsi"/>
          <w:color w:val="000000" w:themeColor="text1"/>
          <w:sz w:val="20"/>
          <w:szCs w:val="20"/>
        </w:rPr>
        <w:t xml:space="preserve">de los </w:t>
      </w:r>
      <w:r w:rsidR="005B6DAD" w:rsidRPr="009E773A">
        <w:rPr>
          <w:rFonts w:asciiTheme="majorHAnsi" w:hAnsiTheme="majorHAnsi"/>
          <w:sz w:val="20"/>
          <w:szCs w:val="20"/>
        </w:rPr>
        <w:t>artículos 4</w:t>
      </w:r>
      <w:r w:rsidR="005A3155" w:rsidRPr="009E773A">
        <w:rPr>
          <w:rFonts w:asciiTheme="majorHAnsi" w:hAnsiTheme="majorHAnsi"/>
          <w:color w:val="000000" w:themeColor="text1"/>
          <w:sz w:val="20"/>
          <w:szCs w:val="20"/>
        </w:rPr>
        <w:t>.1 (derecho a la vida)</w:t>
      </w:r>
      <w:r w:rsidR="005B6DAD" w:rsidRPr="009E773A">
        <w:rPr>
          <w:rFonts w:asciiTheme="majorHAnsi" w:hAnsiTheme="majorHAnsi"/>
          <w:sz w:val="20"/>
          <w:szCs w:val="20"/>
        </w:rPr>
        <w:t>, 5</w:t>
      </w:r>
      <w:r w:rsidR="005A3155" w:rsidRPr="009E773A">
        <w:rPr>
          <w:rFonts w:asciiTheme="majorHAnsi" w:hAnsiTheme="majorHAnsi"/>
          <w:sz w:val="20"/>
          <w:szCs w:val="20"/>
        </w:rPr>
        <w:t xml:space="preserve">.1 (derecho a la integridad),  </w:t>
      </w:r>
      <w:r w:rsidR="005B6DAD" w:rsidRPr="009E773A">
        <w:rPr>
          <w:rFonts w:asciiTheme="majorHAnsi" w:hAnsiTheme="majorHAnsi"/>
          <w:sz w:val="20"/>
          <w:szCs w:val="20"/>
        </w:rPr>
        <w:t>8</w:t>
      </w:r>
      <w:r w:rsidR="005A3155" w:rsidRPr="009E773A">
        <w:rPr>
          <w:rFonts w:asciiTheme="majorHAnsi" w:hAnsiTheme="majorHAnsi"/>
          <w:sz w:val="20"/>
          <w:szCs w:val="20"/>
        </w:rPr>
        <w:t xml:space="preserve">.1 y </w:t>
      </w:r>
      <w:r w:rsidR="005B6DAD" w:rsidRPr="009E773A">
        <w:rPr>
          <w:rFonts w:asciiTheme="majorHAnsi" w:hAnsiTheme="majorHAnsi"/>
          <w:sz w:val="20"/>
          <w:szCs w:val="20"/>
        </w:rPr>
        <w:t>25</w:t>
      </w:r>
      <w:r w:rsidR="005A3155" w:rsidRPr="009E773A">
        <w:rPr>
          <w:rFonts w:asciiTheme="majorHAnsi" w:hAnsiTheme="majorHAnsi"/>
          <w:sz w:val="20"/>
          <w:szCs w:val="20"/>
        </w:rPr>
        <w:t>.</w:t>
      </w:r>
      <w:r w:rsidR="005B6DAD" w:rsidRPr="009E773A">
        <w:rPr>
          <w:rFonts w:asciiTheme="majorHAnsi" w:hAnsiTheme="majorHAnsi"/>
          <w:sz w:val="20"/>
          <w:szCs w:val="20"/>
        </w:rPr>
        <w:t>1</w:t>
      </w:r>
      <w:r w:rsidR="005A3155" w:rsidRPr="009E773A">
        <w:rPr>
          <w:rFonts w:asciiTheme="majorHAnsi" w:hAnsiTheme="majorHAnsi"/>
          <w:sz w:val="20"/>
          <w:szCs w:val="20"/>
        </w:rPr>
        <w:t xml:space="preserve"> (garantías judiciales y protección judicial) </w:t>
      </w:r>
      <w:r w:rsidR="005B6DAD" w:rsidRPr="009E773A">
        <w:rPr>
          <w:rFonts w:asciiTheme="majorHAnsi" w:hAnsiTheme="majorHAnsi"/>
          <w:sz w:val="20"/>
          <w:szCs w:val="20"/>
        </w:rPr>
        <w:t xml:space="preserve">de la Convención Americana sobre Derechos Humanos (en adelante </w:t>
      </w:r>
      <w:r w:rsidR="005B6DAD" w:rsidRPr="009E773A">
        <w:rPr>
          <w:rFonts w:asciiTheme="majorHAnsi" w:hAnsiTheme="majorHAnsi" w:cs="Arial"/>
          <w:sz w:val="20"/>
          <w:szCs w:val="20"/>
        </w:rPr>
        <w:t>"</w:t>
      </w:r>
      <w:r w:rsidR="005B6DAD" w:rsidRPr="009E773A">
        <w:rPr>
          <w:rFonts w:asciiTheme="majorHAnsi" w:hAnsiTheme="majorHAnsi"/>
          <w:sz w:val="20"/>
          <w:szCs w:val="20"/>
        </w:rPr>
        <w:t>la Convención Americana</w:t>
      </w:r>
      <w:r w:rsidR="005B6DAD" w:rsidRPr="009E773A">
        <w:rPr>
          <w:rFonts w:asciiTheme="majorHAnsi" w:hAnsiTheme="majorHAnsi" w:cs="Arial"/>
          <w:sz w:val="20"/>
          <w:szCs w:val="20"/>
        </w:rPr>
        <w:t>"</w:t>
      </w:r>
      <w:r w:rsidR="005B6DAD" w:rsidRPr="009E773A">
        <w:rPr>
          <w:rFonts w:asciiTheme="majorHAnsi" w:hAnsiTheme="majorHAnsi"/>
          <w:sz w:val="20"/>
          <w:szCs w:val="20"/>
        </w:rPr>
        <w:t xml:space="preserve"> o </w:t>
      </w:r>
      <w:r w:rsidR="005B6DAD" w:rsidRPr="009E773A">
        <w:rPr>
          <w:rFonts w:asciiTheme="majorHAnsi" w:hAnsiTheme="majorHAnsi" w:cs="Arial"/>
          <w:sz w:val="20"/>
          <w:szCs w:val="20"/>
        </w:rPr>
        <w:t>"</w:t>
      </w:r>
      <w:r w:rsidR="005B6DAD" w:rsidRPr="009E773A">
        <w:rPr>
          <w:rFonts w:asciiTheme="majorHAnsi" w:hAnsiTheme="majorHAnsi"/>
          <w:sz w:val="20"/>
          <w:szCs w:val="20"/>
        </w:rPr>
        <w:t>la Convención</w:t>
      </w:r>
      <w:r w:rsidR="005B6DAD" w:rsidRPr="009E773A">
        <w:rPr>
          <w:rFonts w:asciiTheme="majorHAnsi" w:hAnsiTheme="majorHAnsi" w:cs="Arial"/>
          <w:sz w:val="20"/>
          <w:szCs w:val="20"/>
        </w:rPr>
        <w:t>"</w:t>
      </w:r>
      <w:r w:rsidR="005A3155" w:rsidRPr="009E773A">
        <w:rPr>
          <w:rFonts w:asciiTheme="majorHAnsi" w:hAnsiTheme="majorHAnsi"/>
          <w:sz w:val="20"/>
          <w:szCs w:val="20"/>
        </w:rPr>
        <w:t>) en relación con el artículo 1.1</w:t>
      </w:r>
      <w:r w:rsidR="005B6DAD" w:rsidRPr="009E773A">
        <w:rPr>
          <w:rFonts w:asciiTheme="majorHAnsi" w:hAnsiTheme="majorHAnsi"/>
          <w:sz w:val="20"/>
          <w:szCs w:val="20"/>
        </w:rPr>
        <w:t xml:space="preserve"> del mismo </w:t>
      </w:r>
      <w:r w:rsidR="005A3155" w:rsidRPr="009E773A">
        <w:rPr>
          <w:rFonts w:asciiTheme="majorHAnsi" w:hAnsiTheme="majorHAnsi"/>
          <w:sz w:val="20"/>
          <w:szCs w:val="20"/>
        </w:rPr>
        <w:t>t</w:t>
      </w:r>
      <w:r w:rsidR="005B6DAD" w:rsidRPr="009E773A">
        <w:rPr>
          <w:rFonts w:asciiTheme="majorHAnsi" w:hAnsiTheme="majorHAnsi"/>
          <w:sz w:val="20"/>
          <w:szCs w:val="20"/>
        </w:rPr>
        <w:t xml:space="preserve">ratado, y </w:t>
      </w:r>
      <w:r w:rsidR="00556F47" w:rsidRPr="009E773A">
        <w:rPr>
          <w:rFonts w:asciiTheme="majorHAnsi" w:hAnsiTheme="majorHAnsi"/>
          <w:sz w:val="20"/>
          <w:szCs w:val="20"/>
        </w:rPr>
        <w:t>d</w:t>
      </w:r>
      <w:r w:rsidR="003B5D68" w:rsidRPr="009E773A">
        <w:rPr>
          <w:rFonts w:asciiTheme="majorHAnsi" w:hAnsiTheme="majorHAnsi"/>
          <w:sz w:val="20"/>
          <w:szCs w:val="20"/>
        </w:rPr>
        <w:t>e</w:t>
      </w:r>
      <w:r w:rsidR="00C11237" w:rsidRPr="009E773A">
        <w:rPr>
          <w:rFonts w:asciiTheme="majorHAnsi" w:hAnsiTheme="majorHAnsi"/>
          <w:sz w:val="20"/>
          <w:szCs w:val="20"/>
        </w:rPr>
        <w:t xml:space="preserve"> </w:t>
      </w:r>
      <w:r w:rsidR="003B5D68" w:rsidRPr="009E773A">
        <w:rPr>
          <w:rFonts w:asciiTheme="majorHAnsi" w:hAnsiTheme="majorHAnsi"/>
          <w:sz w:val="20"/>
          <w:szCs w:val="20"/>
        </w:rPr>
        <w:t>l</w:t>
      </w:r>
      <w:r w:rsidR="00C11237" w:rsidRPr="009E773A">
        <w:rPr>
          <w:rFonts w:asciiTheme="majorHAnsi" w:hAnsiTheme="majorHAnsi"/>
          <w:sz w:val="20"/>
          <w:szCs w:val="20"/>
        </w:rPr>
        <w:t>os</w:t>
      </w:r>
      <w:r w:rsidR="003B5D68" w:rsidRPr="009E773A">
        <w:rPr>
          <w:rFonts w:asciiTheme="majorHAnsi" w:hAnsiTheme="majorHAnsi"/>
          <w:sz w:val="20"/>
          <w:szCs w:val="20"/>
        </w:rPr>
        <w:t xml:space="preserve"> artículo</w:t>
      </w:r>
      <w:r w:rsidR="00C11237" w:rsidRPr="009E773A">
        <w:rPr>
          <w:rFonts w:asciiTheme="majorHAnsi" w:hAnsiTheme="majorHAnsi"/>
          <w:sz w:val="20"/>
          <w:szCs w:val="20"/>
        </w:rPr>
        <w:t>s</w:t>
      </w:r>
      <w:r w:rsidR="003B5D68" w:rsidRPr="009E773A">
        <w:rPr>
          <w:rFonts w:asciiTheme="majorHAnsi" w:hAnsiTheme="majorHAnsi"/>
          <w:sz w:val="20"/>
          <w:szCs w:val="20"/>
        </w:rPr>
        <w:t xml:space="preserve"> </w:t>
      </w:r>
      <w:r w:rsidR="00C11237" w:rsidRPr="009E773A">
        <w:rPr>
          <w:rFonts w:asciiTheme="majorHAnsi" w:hAnsiTheme="majorHAnsi"/>
          <w:sz w:val="20"/>
          <w:szCs w:val="20"/>
        </w:rPr>
        <w:t>6 y 8</w:t>
      </w:r>
      <w:r w:rsidR="003B5D68" w:rsidRPr="009E773A">
        <w:rPr>
          <w:rFonts w:asciiTheme="majorHAnsi" w:hAnsiTheme="majorHAnsi"/>
          <w:sz w:val="20"/>
          <w:szCs w:val="20"/>
        </w:rPr>
        <w:t xml:space="preserve"> </w:t>
      </w:r>
      <w:r w:rsidR="005B6DAD" w:rsidRPr="009E773A">
        <w:rPr>
          <w:rFonts w:asciiTheme="majorHAnsi" w:hAnsiTheme="majorHAnsi"/>
          <w:sz w:val="20"/>
          <w:szCs w:val="20"/>
        </w:rPr>
        <w:t>de la Convención Interamericana para Prevenir y Sancionar la Tortura</w:t>
      </w:r>
      <w:r w:rsidR="006E7B50" w:rsidRPr="009E773A">
        <w:rPr>
          <w:rFonts w:asciiTheme="majorHAnsi" w:hAnsiTheme="majorHAnsi"/>
          <w:sz w:val="20"/>
          <w:szCs w:val="20"/>
        </w:rPr>
        <w:t xml:space="preserve"> (en adelant</w:t>
      </w:r>
      <w:r w:rsidR="00FF2FB2" w:rsidRPr="009E773A">
        <w:rPr>
          <w:rFonts w:asciiTheme="majorHAnsi" w:hAnsiTheme="majorHAnsi"/>
          <w:sz w:val="20"/>
          <w:szCs w:val="20"/>
        </w:rPr>
        <w:t>e</w:t>
      </w:r>
      <w:r w:rsidR="006E7B50" w:rsidRPr="009E773A">
        <w:rPr>
          <w:rFonts w:asciiTheme="majorHAnsi" w:hAnsiTheme="majorHAnsi"/>
          <w:sz w:val="20"/>
          <w:szCs w:val="20"/>
        </w:rPr>
        <w:t xml:space="preserve"> “la CIPST”)</w:t>
      </w:r>
      <w:r w:rsidR="005B6DAD" w:rsidRPr="009E773A">
        <w:rPr>
          <w:rFonts w:asciiTheme="majorHAnsi" w:hAnsiTheme="majorHAnsi"/>
          <w:sz w:val="20"/>
          <w:szCs w:val="20"/>
        </w:rPr>
        <w:t xml:space="preserve">. </w:t>
      </w:r>
      <w:r w:rsidRPr="009E773A">
        <w:rPr>
          <w:rFonts w:asciiTheme="majorHAnsi" w:hAnsiTheme="majorHAnsi"/>
          <w:color w:val="000000" w:themeColor="text1"/>
          <w:sz w:val="20"/>
          <w:szCs w:val="20"/>
        </w:rPr>
        <w:t xml:space="preserve">La Comisión formuló las recomendaciones respectivas. </w:t>
      </w:r>
    </w:p>
    <w:p w14:paraId="1FC295EF" w14:textId="77777777" w:rsidR="00D435AE" w:rsidRPr="009E773A" w:rsidRDefault="00D435AE" w:rsidP="00FC5E2A">
      <w:pPr>
        <w:pStyle w:val="Prrafodelista"/>
        <w:rPr>
          <w:rFonts w:asciiTheme="majorHAnsi" w:hAnsiTheme="majorHAnsi"/>
          <w:color w:val="000000" w:themeColor="text1"/>
          <w:sz w:val="20"/>
          <w:szCs w:val="20"/>
          <w:lang w:val="es-CO"/>
        </w:rPr>
      </w:pPr>
    </w:p>
    <w:p w14:paraId="06FEB4F7" w14:textId="77777777" w:rsidR="00D435AE" w:rsidRPr="009E773A" w:rsidRDefault="00D435AE" w:rsidP="00EB51E4">
      <w:pPr>
        <w:pStyle w:val="Prrafodelista"/>
        <w:rPr>
          <w:rFonts w:asciiTheme="majorHAnsi" w:hAnsiTheme="majorHAnsi"/>
          <w:color w:val="000000" w:themeColor="text1"/>
          <w:sz w:val="20"/>
          <w:szCs w:val="20"/>
          <w:lang w:val="es-CO"/>
        </w:rPr>
      </w:pPr>
    </w:p>
    <w:p w14:paraId="7471119D" w14:textId="77777777" w:rsidR="00D435AE" w:rsidRPr="009E773A" w:rsidRDefault="00D435AE" w:rsidP="00EB51E4">
      <w:pPr>
        <w:pStyle w:val="Prrafodelista"/>
        <w:rPr>
          <w:rFonts w:asciiTheme="majorHAnsi" w:hAnsiTheme="majorHAnsi"/>
          <w:color w:val="000000" w:themeColor="text1"/>
          <w:sz w:val="20"/>
          <w:szCs w:val="20"/>
          <w:lang w:val="es-CO"/>
        </w:rPr>
      </w:pPr>
    </w:p>
    <w:p w14:paraId="30BDA27B" w14:textId="77777777" w:rsidR="00D435AE" w:rsidRPr="009E773A" w:rsidRDefault="00D435AE" w:rsidP="00EB51E4">
      <w:pPr>
        <w:pStyle w:val="Prrafodelista"/>
        <w:rPr>
          <w:rFonts w:asciiTheme="majorHAnsi" w:hAnsiTheme="majorHAnsi"/>
          <w:color w:val="000000" w:themeColor="text1"/>
          <w:sz w:val="20"/>
          <w:szCs w:val="20"/>
          <w:lang w:val="es-CO"/>
        </w:rPr>
      </w:pPr>
    </w:p>
    <w:p w14:paraId="52282DD5" w14:textId="77777777" w:rsidR="00D12193" w:rsidRPr="009E773A" w:rsidRDefault="00D12193" w:rsidP="009A79B6">
      <w:pPr>
        <w:pStyle w:val="Ttulo1"/>
        <w:ind w:hanging="90"/>
      </w:pPr>
      <w:bookmarkStart w:id="2" w:name="_Toc2159207"/>
      <w:r w:rsidRPr="009E773A">
        <w:lastRenderedPageBreak/>
        <w:t>ALEGATOS DE LAS PARTES</w:t>
      </w:r>
      <w:bookmarkEnd w:id="2"/>
    </w:p>
    <w:p w14:paraId="6A733598" w14:textId="77777777" w:rsidR="0008768F" w:rsidRPr="009E773A" w:rsidRDefault="0008768F" w:rsidP="00537CC4">
      <w:pPr>
        <w:suppressAutoHyphens/>
        <w:rPr>
          <w:rFonts w:asciiTheme="majorHAnsi" w:hAnsiTheme="majorHAnsi"/>
          <w:sz w:val="20"/>
          <w:szCs w:val="20"/>
        </w:rPr>
      </w:pPr>
    </w:p>
    <w:p w14:paraId="60DBF3AA" w14:textId="77777777" w:rsidR="00D12193" w:rsidRPr="009E773A" w:rsidRDefault="00D12193" w:rsidP="009A79B6">
      <w:pPr>
        <w:pStyle w:val="Ttulo2"/>
        <w:numPr>
          <w:ilvl w:val="0"/>
          <w:numId w:val="64"/>
        </w:numPr>
        <w:ind w:left="720" w:hanging="720"/>
      </w:pPr>
      <w:bookmarkStart w:id="3" w:name="_Toc2159208"/>
      <w:r w:rsidRPr="009E773A">
        <w:t>PARTE PETICIONARIA</w:t>
      </w:r>
      <w:bookmarkEnd w:id="3"/>
      <w:r w:rsidR="00CC63CF" w:rsidRPr="009E773A">
        <w:t xml:space="preserve"> </w:t>
      </w:r>
    </w:p>
    <w:p w14:paraId="711FACBA" w14:textId="77777777" w:rsidR="00B81AFC" w:rsidRPr="009E773A" w:rsidRDefault="00B81AFC" w:rsidP="00B81AFC">
      <w:pPr>
        <w:pStyle w:val="Prrafodelista"/>
        <w:suppressAutoHyphens/>
        <w:ind w:left="1440"/>
        <w:rPr>
          <w:rFonts w:asciiTheme="majorHAnsi" w:hAnsiTheme="majorHAnsi"/>
          <w:b/>
          <w:sz w:val="20"/>
          <w:szCs w:val="20"/>
          <w:lang w:val="es-CO"/>
        </w:rPr>
      </w:pPr>
    </w:p>
    <w:p w14:paraId="673251F4" w14:textId="4522ACA7" w:rsidR="004E4643" w:rsidRPr="009E773A" w:rsidRDefault="00B81AFC"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olor w:val="000000" w:themeColor="text1"/>
          <w:sz w:val="20"/>
          <w:szCs w:val="20"/>
        </w:rPr>
      </w:pPr>
      <w:r w:rsidRPr="009E773A">
        <w:rPr>
          <w:rFonts w:asciiTheme="majorHAnsi" w:hAnsiTheme="majorHAnsi"/>
          <w:sz w:val="20"/>
          <w:szCs w:val="20"/>
        </w:rPr>
        <w:t>A</w:t>
      </w:r>
      <w:r w:rsidR="003D0EBE" w:rsidRPr="009E773A">
        <w:rPr>
          <w:rFonts w:asciiTheme="majorHAnsi" w:hAnsiTheme="majorHAnsi"/>
          <w:sz w:val="20"/>
          <w:szCs w:val="20"/>
        </w:rPr>
        <w:t>legó</w:t>
      </w:r>
      <w:r w:rsidR="00C74155" w:rsidRPr="009E773A">
        <w:rPr>
          <w:rFonts w:asciiTheme="majorHAnsi" w:hAnsiTheme="majorHAnsi"/>
          <w:sz w:val="20"/>
          <w:szCs w:val="20"/>
        </w:rPr>
        <w:t xml:space="preserve"> que los hechos del presente caso se enmarcan en un </w:t>
      </w:r>
      <w:r w:rsidR="003D0EBE" w:rsidRPr="009E773A">
        <w:rPr>
          <w:rFonts w:asciiTheme="majorHAnsi" w:hAnsiTheme="majorHAnsi"/>
          <w:sz w:val="20"/>
          <w:szCs w:val="20"/>
        </w:rPr>
        <w:t>contexto</w:t>
      </w:r>
      <w:r w:rsidR="00C74155" w:rsidRPr="009E773A">
        <w:rPr>
          <w:rFonts w:asciiTheme="majorHAnsi" w:hAnsiTheme="majorHAnsi"/>
          <w:sz w:val="20"/>
          <w:szCs w:val="20"/>
        </w:rPr>
        <w:t xml:space="preserve"> de hostigamientos, uso excesivo de la fuerza, detenciones arbitrarias, desapariciones forzadas</w:t>
      </w:r>
      <w:r w:rsidR="003D0EBE" w:rsidRPr="009E773A">
        <w:rPr>
          <w:rFonts w:asciiTheme="majorHAnsi" w:hAnsiTheme="majorHAnsi"/>
          <w:sz w:val="20"/>
          <w:szCs w:val="20"/>
        </w:rPr>
        <w:t xml:space="preserve"> y ejecuciones extrajudiciales por parte</w:t>
      </w:r>
      <w:r w:rsidR="00C74155" w:rsidRPr="009E773A">
        <w:rPr>
          <w:rFonts w:asciiTheme="majorHAnsi" w:hAnsiTheme="majorHAnsi"/>
          <w:sz w:val="20"/>
          <w:szCs w:val="20"/>
        </w:rPr>
        <w:t xml:space="preserve"> de la</w:t>
      </w:r>
      <w:r w:rsidR="00A567EE" w:rsidRPr="009E773A">
        <w:rPr>
          <w:rFonts w:asciiTheme="majorHAnsi" w:hAnsiTheme="majorHAnsi"/>
          <w:sz w:val="20"/>
          <w:szCs w:val="20"/>
        </w:rPr>
        <w:t>s</w:t>
      </w:r>
      <w:r w:rsidR="00C74155" w:rsidRPr="009E773A">
        <w:rPr>
          <w:rFonts w:asciiTheme="majorHAnsi" w:hAnsiTheme="majorHAnsi"/>
          <w:sz w:val="20"/>
          <w:szCs w:val="20"/>
        </w:rPr>
        <w:t xml:space="preserve"> </w:t>
      </w:r>
      <w:r w:rsidR="003D0EBE" w:rsidRPr="009E773A">
        <w:rPr>
          <w:rFonts w:asciiTheme="majorHAnsi" w:hAnsiTheme="majorHAnsi"/>
          <w:sz w:val="20"/>
          <w:szCs w:val="20"/>
        </w:rPr>
        <w:t xml:space="preserve">Fuerzas Armadas Policiales del </w:t>
      </w:r>
      <w:r w:rsidR="00B859FF" w:rsidRPr="009E773A">
        <w:rPr>
          <w:rFonts w:asciiTheme="majorHAnsi" w:hAnsiTheme="majorHAnsi"/>
          <w:sz w:val="20"/>
          <w:szCs w:val="20"/>
        </w:rPr>
        <w:t>e</w:t>
      </w:r>
      <w:r w:rsidR="00C74155" w:rsidRPr="009E773A">
        <w:rPr>
          <w:rFonts w:asciiTheme="majorHAnsi" w:hAnsiTheme="majorHAnsi"/>
          <w:sz w:val="20"/>
          <w:szCs w:val="20"/>
        </w:rPr>
        <w:t xml:space="preserve">stado Falcón y </w:t>
      </w:r>
      <w:r w:rsidR="003D0EBE" w:rsidRPr="009E773A">
        <w:rPr>
          <w:rFonts w:asciiTheme="majorHAnsi" w:hAnsiTheme="majorHAnsi"/>
          <w:sz w:val="20"/>
          <w:szCs w:val="20"/>
        </w:rPr>
        <w:t>“</w:t>
      </w:r>
      <w:r w:rsidR="00C74155" w:rsidRPr="009E773A">
        <w:rPr>
          <w:rFonts w:asciiTheme="majorHAnsi" w:hAnsiTheme="majorHAnsi"/>
          <w:sz w:val="20"/>
          <w:szCs w:val="20"/>
        </w:rPr>
        <w:t>grupos parapoliciales</w:t>
      </w:r>
      <w:r w:rsidR="003D0EBE" w:rsidRPr="009E773A">
        <w:rPr>
          <w:rFonts w:asciiTheme="majorHAnsi" w:hAnsiTheme="majorHAnsi"/>
          <w:sz w:val="20"/>
          <w:szCs w:val="20"/>
        </w:rPr>
        <w:t>”</w:t>
      </w:r>
      <w:r w:rsidR="00895133" w:rsidRPr="009E773A">
        <w:rPr>
          <w:rFonts w:asciiTheme="majorHAnsi" w:hAnsiTheme="majorHAnsi"/>
          <w:sz w:val="20"/>
          <w:szCs w:val="20"/>
        </w:rPr>
        <w:t xml:space="preserve"> en Venezuela</w:t>
      </w:r>
      <w:r w:rsidR="00C74155" w:rsidRPr="009E773A">
        <w:rPr>
          <w:rFonts w:asciiTheme="majorHAnsi" w:hAnsiTheme="majorHAnsi"/>
          <w:sz w:val="20"/>
          <w:szCs w:val="20"/>
        </w:rPr>
        <w:t xml:space="preserve">. </w:t>
      </w:r>
      <w:r w:rsidR="004E4643" w:rsidRPr="009E773A">
        <w:rPr>
          <w:rFonts w:asciiTheme="majorHAnsi" w:hAnsiTheme="majorHAnsi"/>
          <w:sz w:val="20"/>
          <w:szCs w:val="20"/>
        </w:rPr>
        <w:t>Adujo que d</w:t>
      </w:r>
      <w:r w:rsidR="00C74155" w:rsidRPr="009E773A">
        <w:rPr>
          <w:rFonts w:asciiTheme="majorHAnsi" w:hAnsiTheme="majorHAnsi"/>
          <w:sz w:val="20"/>
          <w:szCs w:val="20"/>
        </w:rPr>
        <w:t xml:space="preserve">icho patrón se caracteriza por tener como víctimas a hombres jóvenes pertenecientes a sectores sociales económicamente vulnerables y </w:t>
      </w:r>
      <w:r w:rsidR="004E4643" w:rsidRPr="009E773A">
        <w:rPr>
          <w:rFonts w:asciiTheme="majorHAnsi" w:hAnsiTheme="majorHAnsi"/>
          <w:sz w:val="20"/>
          <w:szCs w:val="20"/>
        </w:rPr>
        <w:t xml:space="preserve">con </w:t>
      </w:r>
      <w:r w:rsidR="00C74155" w:rsidRPr="009E773A">
        <w:rPr>
          <w:rFonts w:asciiTheme="majorHAnsi" w:hAnsiTheme="majorHAnsi"/>
          <w:sz w:val="20"/>
          <w:szCs w:val="20"/>
        </w:rPr>
        <w:t xml:space="preserve">un </w:t>
      </w:r>
      <w:r w:rsidR="00C74155" w:rsidRPr="009E773A">
        <w:rPr>
          <w:rFonts w:asciiTheme="majorHAnsi" w:hAnsiTheme="majorHAnsi"/>
          <w:i/>
          <w:sz w:val="20"/>
          <w:szCs w:val="20"/>
        </w:rPr>
        <w:t>modus operandi</w:t>
      </w:r>
      <w:r w:rsidR="00C74155" w:rsidRPr="009E773A">
        <w:rPr>
          <w:rFonts w:asciiTheme="majorHAnsi" w:hAnsiTheme="majorHAnsi"/>
          <w:sz w:val="20"/>
          <w:szCs w:val="20"/>
        </w:rPr>
        <w:t xml:space="preserve"> </w:t>
      </w:r>
      <w:r w:rsidR="004E4643" w:rsidRPr="009E773A">
        <w:rPr>
          <w:rFonts w:asciiTheme="majorHAnsi" w:hAnsiTheme="majorHAnsi"/>
          <w:sz w:val="20"/>
          <w:szCs w:val="20"/>
        </w:rPr>
        <w:t>específico, que incluye</w:t>
      </w:r>
      <w:r w:rsidR="006F5140" w:rsidRPr="009E773A">
        <w:rPr>
          <w:rFonts w:asciiTheme="majorHAnsi" w:hAnsiTheme="majorHAnsi"/>
          <w:sz w:val="20"/>
          <w:szCs w:val="20"/>
        </w:rPr>
        <w:t>:</w:t>
      </w:r>
      <w:r w:rsidR="004E4643" w:rsidRPr="009E773A">
        <w:rPr>
          <w:rFonts w:asciiTheme="majorHAnsi" w:hAnsiTheme="majorHAnsi"/>
          <w:sz w:val="20"/>
          <w:szCs w:val="20"/>
        </w:rPr>
        <w:t xml:space="preserve"> la presentación de lo</w:t>
      </w:r>
      <w:r w:rsidR="006F5140" w:rsidRPr="009E773A">
        <w:rPr>
          <w:rFonts w:asciiTheme="majorHAnsi" w:hAnsiTheme="majorHAnsi"/>
          <w:sz w:val="20"/>
          <w:szCs w:val="20"/>
        </w:rPr>
        <w:t>s hechos como un enfrentamiento;</w:t>
      </w:r>
      <w:r w:rsidR="004E4643" w:rsidRPr="009E773A">
        <w:rPr>
          <w:rFonts w:asciiTheme="majorHAnsi" w:hAnsiTheme="majorHAnsi"/>
          <w:sz w:val="20"/>
          <w:szCs w:val="20"/>
        </w:rPr>
        <w:t xml:space="preserve"> la descalificación pública o criminalización de la víctima señalándola como una persona que ha resistido a la autoridad o que tiene antec</w:t>
      </w:r>
      <w:r w:rsidR="004B6CF3" w:rsidRPr="009E773A">
        <w:rPr>
          <w:rFonts w:asciiTheme="majorHAnsi" w:hAnsiTheme="majorHAnsi"/>
          <w:sz w:val="20"/>
          <w:szCs w:val="20"/>
        </w:rPr>
        <w:t>edentes penales; y amenazas y agresiones en contra de testigos y familiares</w:t>
      </w:r>
      <w:r w:rsidR="006F5140" w:rsidRPr="009E773A">
        <w:rPr>
          <w:rFonts w:asciiTheme="majorHAnsi" w:hAnsiTheme="majorHAnsi"/>
          <w:sz w:val="20"/>
          <w:szCs w:val="20"/>
        </w:rPr>
        <w:t>;</w:t>
      </w:r>
      <w:r w:rsidR="007226F3" w:rsidRPr="009E773A">
        <w:rPr>
          <w:rFonts w:asciiTheme="majorHAnsi" w:hAnsiTheme="majorHAnsi"/>
          <w:sz w:val="20"/>
          <w:szCs w:val="20"/>
        </w:rPr>
        <w:t xml:space="preserve"> entre otros elementos</w:t>
      </w:r>
      <w:r w:rsidR="00895133" w:rsidRPr="009E773A">
        <w:rPr>
          <w:rFonts w:asciiTheme="majorHAnsi" w:hAnsiTheme="majorHAnsi"/>
          <w:sz w:val="20"/>
          <w:szCs w:val="20"/>
        </w:rPr>
        <w:t xml:space="preserve">, así como la impunidad en la que se encontrarían la mayoría de los casos. Sostuvo que dicho contexto persistiría hasta la actualidad refiriendo información sobre la actuación de supuestos “grupos de exterminio”. </w:t>
      </w:r>
    </w:p>
    <w:p w14:paraId="107EFD8C" w14:textId="77777777" w:rsidR="006E44CF" w:rsidRPr="009E773A" w:rsidRDefault="006E44CF" w:rsidP="006E44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color w:val="000000" w:themeColor="text1"/>
          <w:sz w:val="20"/>
          <w:szCs w:val="20"/>
        </w:rPr>
      </w:pPr>
    </w:p>
    <w:p w14:paraId="72D199A8" w14:textId="4A1E9281" w:rsidR="00C93060" w:rsidRPr="009E773A" w:rsidRDefault="00B81AFC"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olor w:val="548DD4" w:themeColor="text2" w:themeTint="99"/>
          <w:sz w:val="20"/>
          <w:szCs w:val="20"/>
        </w:rPr>
      </w:pPr>
      <w:r w:rsidRPr="009E773A">
        <w:rPr>
          <w:rFonts w:asciiTheme="majorHAnsi" w:hAnsiTheme="majorHAnsi"/>
          <w:sz w:val="20"/>
          <w:szCs w:val="20"/>
        </w:rPr>
        <w:t>Señaló</w:t>
      </w:r>
      <w:r w:rsidR="00C74155" w:rsidRPr="009E773A">
        <w:rPr>
          <w:rFonts w:asciiTheme="majorHAnsi" w:hAnsiTheme="majorHAnsi"/>
          <w:sz w:val="20"/>
          <w:szCs w:val="20"/>
        </w:rPr>
        <w:t xml:space="preserve"> que el </w:t>
      </w:r>
      <w:r w:rsidR="00421CDE" w:rsidRPr="009E773A">
        <w:rPr>
          <w:rFonts w:asciiTheme="majorHAnsi" w:hAnsiTheme="majorHAnsi"/>
          <w:sz w:val="20"/>
          <w:szCs w:val="20"/>
        </w:rPr>
        <w:t xml:space="preserve">día </w:t>
      </w:r>
      <w:r w:rsidR="00C74155" w:rsidRPr="009E773A">
        <w:rPr>
          <w:rFonts w:asciiTheme="majorHAnsi" w:hAnsiTheme="majorHAnsi"/>
          <w:sz w:val="20"/>
          <w:szCs w:val="20"/>
        </w:rPr>
        <w:t>29 de marzo</w:t>
      </w:r>
      <w:r w:rsidR="00C93060" w:rsidRPr="009E773A">
        <w:rPr>
          <w:rFonts w:asciiTheme="majorHAnsi" w:hAnsiTheme="majorHAnsi"/>
          <w:sz w:val="20"/>
          <w:szCs w:val="20"/>
        </w:rPr>
        <w:t xml:space="preserve"> de 2003</w:t>
      </w:r>
      <w:r w:rsidR="00C74155" w:rsidRPr="009E773A">
        <w:rPr>
          <w:rFonts w:asciiTheme="majorHAnsi" w:hAnsiTheme="majorHAnsi"/>
          <w:sz w:val="20"/>
          <w:szCs w:val="20"/>
        </w:rPr>
        <w:t xml:space="preserve"> </w:t>
      </w:r>
      <w:r w:rsidR="00421CDE" w:rsidRPr="009E773A">
        <w:rPr>
          <w:rFonts w:asciiTheme="majorHAnsi" w:hAnsiTheme="majorHAnsi"/>
          <w:sz w:val="20"/>
          <w:szCs w:val="20"/>
        </w:rPr>
        <w:t xml:space="preserve">Jimmy Guerrero se desplazó </w:t>
      </w:r>
      <w:r w:rsidR="00895133" w:rsidRPr="009E773A">
        <w:rPr>
          <w:rFonts w:asciiTheme="majorHAnsi" w:hAnsiTheme="majorHAnsi"/>
          <w:sz w:val="20"/>
          <w:szCs w:val="20"/>
        </w:rPr>
        <w:t xml:space="preserve">en horas de la noche, </w:t>
      </w:r>
      <w:r w:rsidR="00421CDE" w:rsidRPr="009E773A">
        <w:rPr>
          <w:rFonts w:asciiTheme="majorHAnsi" w:hAnsiTheme="majorHAnsi"/>
          <w:sz w:val="20"/>
          <w:szCs w:val="20"/>
        </w:rPr>
        <w:t>de la ciudad de Coro a Punto Fijo</w:t>
      </w:r>
      <w:r w:rsidR="00895133" w:rsidRPr="009E773A">
        <w:rPr>
          <w:rFonts w:asciiTheme="majorHAnsi" w:hAnsiTheme="majorHAnsi"/>
          <w:sz w:val="20"/>
          <w:szCs w:val="20"/>
        </w:rPr>
        <w:t>, en el estado Falcón,</w:t>
      </w:r>
      <w:r w:rsidR="00421CDE" w:rsidRPr="009E773A">
        <w:rPr>
          <w:rFonts w:asciiTheme="majorHAnsi" w:hAnsiTheme="majorHAnsi"/>
          <w:sz w:val="20"/>
          <w:szCs w:val="20"/>
        </w:rPr>
        <w:t xml:space="preserve"> en compañía de</w:t>
      </w:r>
      <w:r w:rsidR="00C93060" w:rsidRPr="009E773A">
        <w:rPr>
          <w:rFonts w:asciiTheme="majorHAnsi" w:hAnsiTheme="majorHAnsi"/>
          <w:sz w:val="20"/>
          <w:szCs w:val="20"/>
        </w:rPr>
        <w:t xml:space="preserve"> su tío</w:t>
      </w:r>
      <w:r w:rsidR="00C74155" w:rsidRPr="009E773A">
        <w:rPr>
          <w:rFonts w:asciiTheme="majorHAnsi" w:hAnsiTheme="majorHAnsi"/>
          <w:sz w:val="20"/>
          <w:szCs w:val="20"/>
        </w:rPr>
        <w:t xml:space="preserve"> Ramón Molina</w:t>
      </w:r>
      <w:r w:rsidR="00C93060" w:rsidRPr="009E773A">
        <w:rPr>
          <w:rFonts w:asciiTheme="majorHAnsi" w:hAnsiTheme="majorHAnsi"/>
          <w:sz w:val="20"/>
          <w:szCs w:val="20"/>
        </w:rPr>
        <w:t xml:space="preserve"> y José Hernández</w:t>
      </w:r>
      <w:r w:rsidR="00895133" w:rsidRPr="009E773A">
        <w:rPr>
          <w:rFonts w:asciiTheme="majorHAnsi" w:hAnsiTheme="majorHAnsi"/>
          <w:sz w:val="20"/>
          <w:szCs w:val="20"/>
        </w:rPr>
        <w:t xml:space="preserve">, </w:t>
      </w:r>
      <w:r w:rsidR="0030514D" w:rsidRPr="009E773A">
        <w:rPr>
          <w:rFonts w:asciiTheme="majorHAnsi" w:hAnsiTheme="majorHAnsi"/>
          <w:sz w:val="20"/>
          <w:szCs w:val="20"/>
        </w:rPr>
        <w:t>luego de una reunión familiar</w:t>
      </w:r>
      <w:r w:rsidR="00895133" w:rsidRPr="009E773A">
        <w:rPr>
          <w:rFonts w:asciiTheme="majorHAnsi" w:hAnsiTheme="majorHAnsi"/>
          <w:sz w:val="20"/>
          <w:szCs w:val="20"/>
        </w:rPr>
        <w:t xml:space="preserve">. </w:t>
      </w:r>
      <w:r w:rsidR="00C93060" w:rsidRPr="009E773A">
        <w:rPr>
          <w:rFonts w:asciiTheme="majorHAnsi" w:hAnsiTheme="majorHAnsi"/>
          <w:sz w:val="20"/>
          <w:szCs w:val="20"/>
        </w:rPr>
        <w:t xml:space="preserve">Adujo que en el trayecto fueron interceptados por un vehículo sin placas ocupado por presuntos funcionarios policiales vestidos de negro. Según el relato, </w:t>
      </w:r>
      <w:r w:rsidR="00B338F7" w:rsidRPr="009E773A">
        <w:rPr>
          <w:rFonts w:asciiTheme="majorHAnsi" w:hAnsiTheme="majorHAnsi"/>
          <w:sz w:val="20"/>
          <w:szCs w:val="20"/>
        </w:rPr>
        <w:t xml:space="preserve">cuando </w:t>
      </w:r>
      <w:r w:rsidR="00C93060" w:rsidRPr="009E773A">
        <w:rPr>
          <w:rFonts w:asciiTheme="majorHAnsi" w:hAnsiTheme="majorHAnsi"/>
          <w:sz w:val="20"/>
          <w:szCs w:val="20"/>
        </w:rPr>
        <w:t>Jimmy Guerrero descendió del vehí</w:t>
      </w:r>
      <w:r w:rsidR="00335C95" w:rsidRPr="009E773A">
        <w:rPr>
          <w:rFonts w:asciiTheme="majorHAnsi" w:hAnsiTheme="majorHAnsi"/>
          <w:sz w:val="20"/>
          <w:szCs w:val="20"/>
        </w:rPr>
        <w:t xml:space="preserve">culo le dispararon varias veces y, </w:t>
      </w:r>
      <w:r w:rsidR="00C93060" w:rsidRPr="009E773A">
        <w:rPr>
          <w:rFonts w:asciiTheme="majorHAnsi" w:hAnsiTheme="majorHAnsi"/>
          <w:sz w:val="20"/>
          <w:szCs w:val="20"/>
        </w:rPr>
        <w:t>pese a encontrarse herido de gravedad e indefenso, los agresor</w:t>
      </w:r>
      <w:r w:rsidR="00D26BD7" w:rsidRPr="009E773A">
        <w:rPr>
          <w:rFonts w:asciiTheme="majorHAnsi" w:hAnsiTheme="majorHAnsi"/>
          <w:sz w:val="20"/>
          <w:szCs w:val="20"/>
        </w:rPr>
        <w:t>es</w:t>
      </w:r>
      <w:r w:rsidR="00C93060" w:rsidRPr="009E773A">
        <w:rPr>
          <w:rFonts w:asciiTheme="majorHAnsi" w:hAnsiTheme="majorHAnsi"/>
          <w:sz w:val="20"/>
          <w:szCs w:val="20"/>
        </w:rPr>
        <w:t xml:space="preserve"> le habrían golpeado fuertemente en el suelo. La parte peticionaria indicó que, cuando Ramón Antonio Molina intentó auxiliar a su sobrino, los presuntos funcionarios le dispararon varias veces</w:t>
      </w:r>
      <w:r w:rsidR="00A935AD" w:rsidRPr="009E773A">
        <w:rPr>
          <w:rFonts w:asciiTheme="majorHAnsi" w:hAnsiTheme="majorHAnsi"/>
          <w:sz w:val="20"/>
          <w:szCs w:val="20"/>
        </w:rPr>
        <w:t xml:space="preserve"> causándole la muerte</w:t>
      </w:r>
      <w:r w:rsidR="00C93060" w:rsidRPr="009E773A">
        <w:rPr>
          <w:rFonts w:asciiTheme="majorHAnsi" w:hAnsiTheme="majorHAnsi"/>
          <w:sz w:val="20"/>
          <w:szCs w:val="20"/>
        </w:rPr>
        <w:t>. De a</w:t>
      </w:r>
      <w:r w:rsidR="00311512" w:rsidRPr="009E773A">
        <w:rPr>
          <w:rFonts w:asciiTheme="majorHAnsi" w:hAnsiTheme="majorHAnsi"/>
          <w:sz w:val="20"/>
          <w:szCs w:val="20"/>
        </w:rPr>
        <w:t xml:space="preserve">cuerdo con la versión del señor José </w:t>
      </w:r>
      <w:r w:rsidR="00C93060" w:rsidRPr="009E773A">
        <w:rPr>
          <w:rFonts w:asciiTheme="majorHAnsi" w:hAnsiTheme="majorHAnsi"/>
          <w:sz w:val="20"/>
          <w:szCs w:val="20"/>
        </w:rPr>
        <w:t>Hernández –quien resultó herido y sobrevivió-</w:t>
      </w:r>
      <w:r w:rsidR="00745FF6" w:rsidRPr="009E773A">
        <w:rPr>
          <w:rFonts w:asciiTheme="majorHAnsi" w:hAnsiTheme="majorHAnsi"/>
          <w:sz w:val="20"/>
          <w:szCs w:val="20"/>
        </w:rPr>
        <w:t xml:space="preserve"> y </w:t>
      </w:r>
      <w:r w:rsidR="00A935AD" w:rsidRPr="009E773A">
        <w:rPr>
          <w:rFonts w:asciiTheme="majorHAnsi" w:hAnsiTheme="majorHAnsi"/>
          <w:sz w:val="20"/>
          <w:szCs w:val="20"/>
        </w:rPr>
        <w:t>un</w:t>
      </w:r>
      <w:r w:rsidR="00527C17" w:rsidRPr="009E773A">
        <w:rPr>
          <w:rFonts w:asciiTheme="majorHAnsi" w:hAnsiTheme="majorHAnsi"/>
          <w:sz w:val="20"/>
          <w:szCs w:val="20"/>
        </w:rPr>
        <w:t xml:space="preserve"> testigo presencial de los hechos, los agresores</w:t>
      </w:r>
      <w:r w:rsidR="00C93060" w:rsidRPr="009E773A">
        <w:rPr>
          <w:rFonts w:asciiTheme="majorHAnsi" w:hAnsiTheme="majorHAnsi"/>
          <w:sz w:val="20"/>
          <w:szCs w:val="20"/>
        </w:rPr>
        <w:t xml:space="preserve"> </w:t>
      </w:r>
      <w:r w:rsidR="00AD6978" w:rsidRPr="009E773A">
        <w:rPr>
          <w:rFonts w:asciiTheme="majorHAnsi" w:hAnsiTheme="majorHAnsi"/>
          <w:sz w:val="20"/>
          <w:szCs w:val="20"/>
        </w:rPr>
        <w:t>habrían atado</w:t>
      </w:r>
      <w:r w:rsidR="00C93060" w:rsidRPr="009E773A">
        <w:rPr>
          <w:rFonts w:asciiTheme="majorHAnsi" w:hAnsiTheme="majorHAnsi"/>
          <w:sz w:val="20"/>
          <w:szCs w:val="20"/>
        </w:rPr>
        <w:t xml:space="preserve"> el cuerpo d</w:t>
      </w:r>
      <w:r w:rsidR="00527C17" w:rsidRPr="009E773A">
        <w:rPr>
          <w:rFonts w:asciiTheme="majorHAnsi" w:hAnsiTheme="majorHAnsi"/>
          <w:sz w:val="20"/>
          <w:szCs w:val="20"/>
        </w:rPr>
        <w:t>e Jimmy Guerrero</w:t>
      </w:r>
      <w:r w:rsidR="00A935AD" w:rsidRPr="009E773A">
        <w:rPr>
          <w:rFonts w:asciiTheme="majorHAnsi" w:hAnsiTheme="majorHAnsi"/>
          <w:sz w:val="20"/>
          <w:szCs w:val="20"/>
        </w:rPr>
        <w:t>, todavía con vida,</w:t>
      </w:r>
      <w:r w:rsidR="00527C17" w:rsidRPr="009E773A">
        <w:rPr>
          <w:rFonts w:asciiTheme="majorHAnsi" w:hAnsiTheme="majorHAnsi"/>
          <w:sz w:val="20"/>
          <w:szCs w:val="20"/>
        </w:rPr>
        <w:t xml:space="preserve"> a un vehículo para posteriormente</w:t>
      </w:r>
      <w:r w:rsidR="00C93060" w:rsidRPr="009E773A">
        <w:rPr>
          <w:rFonts w:asciiTheme="majorHAnsi" w:hAnsiTheme="majorHAnsi"/>
          <w:sz w:val="20"/>
          <w:szCs w:val="20"/>
        </w:rPr>
        <w:t xml:space="preserve"> </w:t>
      </w:r>
      <w:r w:rsidR="00527C17" w:rsidRPr="009E773A">
        <w:rPr>
          <w:rFonts w:asciiTheme="majorHAnsi" w:hAnsiTheme="majorHAnsi"/>
          <w:sz w:val="20"/>
          <w:szCs w:val="20"/>
        </w:rPr>
        <w:t>arrastrarlo</w:t>
      </w:r>
      <w:r w:rsidR="00D26BD7" w:rsidRPr="009E773A">
        <w:rPr>
          <w:rFonts w:asciiTheme="majorHAnsi" w:hAnsiTheme="majorHAnsi"/>
          <w:sz w:val="20"/>
          <w:szCs w:val="20"/>
        </w:rPr>
        <w:t xml:space="preserve"> por el pavimento</w:t>
      </w:r>
      <w:r w:rsidR="00335C95" w:rsidRPr="009E773A">
        <w:rPr>
          <w:rFonts w:asciiTheme="majorHAnsi" w:hAnsiTheme="majorHAnsi"/>
          <w:sz w:val="20"/>
          <w:szCs w:val="20"/>
        </w:rPr>
        <w:t>.</w:t>
      </w:r>
    </w:p>
    <w:p w14:paraId="6E00ABE7" w14:textId="77777777" w:rsidR="00C93060" w:rsidRPr="009E773A" w:rsidRDefault="00C93060" w:rsidP="009A79B6">
      <w:pPr>
        <w:pStyle w:val="Prrafodelista"/>
        <w:rPr>
          <w:rFonts w:asciiTheme="majorHAnsi" w:hAnsiTheme="majorHAnsi"/>
          <w:sz w:val="20"/>
          <w:szCs w:val="20"/>
          <w:lang w:val="es-CO"/>
        </w:rPr>
      </w:pPr>
    </w:p>
    <w:p w14:paraId="2ACFB016" w14:textId="77777777" w:rsidR="00C93060" w:rsidRPr="009E773A" w:rsidRDefault="00B81AFC"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olor w:val="548DD4" w:themeColor="text2" w:themeTint="99"/>
          <w:sz w:val="20"/>
          <w:szCs w:val="20"/>
        </w:rPr>
      </w:pPr>
      <w:r w:rsidRPr="009E773A">
        <w:rPr>
          <w:rFonts w:asciiTheme="majorHAnsi" w:hAnsiTheme="majorHAnsi"/>
          <w:sz w:val="20"/>
          <w:szCs w:val="20"/>
        </w:rPr>
        <w:t xml:space="preserve">Indicó </w:t>
      </w:r>
      <w:r w:rsidR="00C93060" w:rsidRPr="009E773A">
        <w:rPr>
          <w:rFonts w:asciiTheme="majorHAnsi" w:hAnsiTheme="majorHAnsi"/>
          <w:sz w:val="20"/>
          <w:szCs w:val="20"/>
        </w:rPr>
        <w:t>que</w:t>
      </w:r>
      <w:r w:rsidRPr="009E773A">
        <w:rPr>
          <w:rFonts w:asciiTheme="majorHAnsi" w:hAnsiTheme="majorHAnsi"/>
          <w:sz w:val="20"/>
          <w:szCs w:val="20"/>
        </w:rPr>
        <w:t>,</w:t>
      </w:r>
      <w:r w:rsidR="00C93060" w:rsidRPr="009E773A">
        <w:rPr>
          <w:rFonts w:asciiTheme="majorHAnsi" w:hAnsiTheme="majorHAnsi"/>
          <w:sz w:val="20"/>
          <w:szCs w:val="20"/>
        </w:rPr>
        <w:t xml:space="preserve"> previo </w:t>
      </w:r>
      <w:r w:rsidR="00A935AD" w:rsidRPr="009E773A">
        <w:rPr>
          <w:rFonts w:asciiTheme="majorHAnsi" w:hAnsiTheme="majorHAnsi"/>
          <w:sz w:val="20"/>
          <w:szCs w:val="20"/>
        </w:rPr>
        <w:t>a su muerte,</w:t>
      </w:r>
      <w:r w:rsidR="00C93060" w:rsidRPr="009E773A">
        <w:rPr>
          <w:rFonts w:asciiTheme="majorHAnsi" w:hAnsiTheme="majorHAnsi"/>
          <w:sz w:val="20"/>
          <w:szCs w:val="20"/>
        </w:rPr>
        <w:t xml:space="preserve"> Jimmy Guerrero había denunciado en múltiples ocasiones actos de agresión y amenaza contra él y su familia, </w:t>
      </w:r>
      <w:r w:rsidR="00030ED5" w:rsidRPr="009E773A">
        <w:rPr>
          <w:rFonts w:asciiTheme="majorHAnsi" w:hAnsiTheme="majorHAnsi"/>
          <w:sz w:val="20"/>
          <w:szCs w:val="20"/>
        </w:rPr>
        <w:t xml:space="preserve">así como detenciones ilegales y arbitrarias en su contra </w:t>
      </w:r>
      <w:r w:rsidR="00C93060" w:rsidRPr="009E773A">
        <w:rPr>
          <w:rFonts w:asciiTheme="majorHAnsi" w:hAnsiTheme="majorHAnsi"/>
          <w:sz w:val="20"/>
          <w:szCs w:val="20"/>
        </w:rPr>
        <w:t>por parte de funcionarios del mismo cuerpo de seguridad presuntamente i</w:t>
      </w:r>
      <w:r w:rsidR="00030ED5" w:rsidRPr="009E773A">
        <w:rPr>
          <w:rFonts w:asciiTheme="majorHAnsi" w:hAnsiTheme="majorHAnsi"/>
          <w:sz w:val="20"/>
          <w:szCs w:val="20"/>
        </w:rPr>
        <w:t>nvolucrado</w:t>
      </w:r>
      <w:r w:rsidR="00721AD7" w:rsidRPr="009E773A">
        <w:rPr>
          <w:rFonts w:asciiTheme="majorHAnsi" w:hAnsiTheme="majorHAnsi"/>
          <w:sz w:val="20"/>
          <w:szCs w:val="20"/>
        </w:rPr>
        <w:t xml:space="preserve">. Adujo que pese haber </w:t>
      </w:r>
      <w:r w:rsidR="00C93060" w:rsidRPr="009E773A">
        <w:rPr>
          <w:rFonts w:asciiTheme="majorHAnsi" w:hAnsiTheme="majorHAnsi"/>
          <w:sz w:val="20"/>
          <w:szCs w:val="20"/>
        </w:rPr>
        <w:t>solicitado medidas concretas de protección para salvaguardar su vida e integridad personal, el Estado no adoptó ninguna medida para prevenir lo sucedido. La parte peticionaria sostuvo que luego de los hechos</w:t>
      </w:r>
      <w:r w:rsidR="004C6C7B" w:rsidRPr="009E773A">
        <w:rPr>
          <w:rFonts w:asciiTheme="majorHAnsi" w:hAnsiTheme="majorHAnsi"/>
          <w:sz w:val="20"/>
          <w:szCs w:val="20"/>
        </w:rPr>
        <w:t>,</w:t>
      </w:r>
      <w:r w:rsidR="00C93060" w:rsidRPr="009E773A">
        <w:rPr>
          <w:rFonts w:asciiTheme="majorHAnsi" w:hAnsiTheme="majorHAnsi"/>
          <w:sz w:val="20"/>
          <w:szCs w:val="20"/>
        </w:rPr>
        <w:t xml:space="preserve"> los familiares de las presuntas víctimas continuaron siendo objeto de hostigamientos y amenazas. </w:t>
      </w:r>
    </w:p>
    <w:p w14:paraId="7CA2F682" w14:textId="77777777" w:rsidR="00C93060" w:rsidRPr="009E773A" w:rsidRDefault="00C93060" w:rsidP="009A79B6">
      <w:pPr>
        <w:pStyle w:val="Prrafodelista"/>
        <w:rPr>
          <w:rFonts w:asciiTheme="majorHAnsi" w:hAnsiTheme="majorHAnsi"/>
          <w:sz w:val="20"/>
          <w:szCs w:val="20"/>
          <w:lang w:val="es-CO"/>
        </w:rPr>
      </w:pPr>
    </w:p>
    <w:p w14:paraId="12D7D41D" w14:textId="6FF291FD" w:rsidR="00A935AD" w:rsidRPr="009E773A" w:rsidRDefault="00721AD7"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olor w:val="548DD4" w:themeColor="text2" w:themeTint="99"/>
          <w:sz w:val="20"/>
          <w:szCs w:val="20"/>
        </w:rPr>
      </w:pPr>
      <w:r w:rsidRPr="009E773A">
        <w:rPr>
          <w:rFonts w:asciiTheme="majorHAnsi" w:hAnsiTheme="majorHAnsi"/>
          <w:sz w:val="20"/>
          <w:szCs w:val="20"/>
        </w:rPr>
        <w:t xml:space="preserve">Sobre la investigación y procesos judiciales internos, la parte peticionaria destacó que </w:t>
      </w:r>
      <w:r w:rsidR="002A4072" w:rsidRPr="009E773A">
        <w:rPr>
          <w:rFonts w:asciiTheme="majorHAnsi" w:hAnsiTheme="majorHAnsi"/>
          <w:sz w:val="20"/>
          <w:szCs w:val="20"/>
        </w:rPr>
        <w:t>la muerte de las presuntas víctimas fue presentada públicamente por las autoridades como un “enfrentamiento entre bandas”, y que el propio Jefe de la Delegación del Cuerpo de Investigaciones Científicas, Penales y Criminalísticas (en adelante “</w:t>
      </w:r>
      <w:r w:rsidR="00D36848" w:rsidRPr="009E773A">
        <w:rPr>
          <w:rFonts w:asciiTheme="majorHAnsi" w:hAnsiTheme="majorHAnsi"/>
          <w:sz w:val="20"/>
          <w:szCs w:val="20"/>
        </w:rPr>
        <w:t xml:space="preserve">el </w:t>
      </w:r>
      <w:r w:rsidR="002A4072" w:rsidRPr="009E773A">
        <w:rPr>
          <w:rFonts w:asciiTheme="majorHAnsi" w:hAnsiTheme="majorHAnsi"/>
          <w:sz w:val="20"/>
          <w:szCs w:val="20"/>
        </w:rPr>
        <w:t>CICPC”) a cargo de la investigación</w:t>
      </w:r>
      <w:r w:rsidR="00A935AD" w:rsidRPr="009E773A">
        <w:rPr>
          <w:rFonts w:asciiTheme="majorHAnsi" w:hAnsiTheme="majorHAnsi"/>
          <w:sz w:val="20"/>
          <w:szCs w:val="20"/>
        </w:rPr>
        <w:t>,</w:t>
      </w:r>
      <w:r w:rsidR="002A4072" w:rsidRPr="009E773A">
        <w:rPr>
          <w:rFonts w:asciiTheme="majorHAnsi" w:hAnsiTheme="majorHAnsi"/>
          <w:sz w:val="20"/>
          <w:szCs w:val="20"/>
        </w:rPr>
        <w:t xml:space="preserve"> declaró en un medio impreso local que Jimmy Guerrero registraba antecedentes penales y que era un sujeto de “alta peligrosidad”. </w:t>
      </w:r>
      <w:r w:rsidR="00ED3B32" w:rsidRPr="009E773A">
        <w:rPr>
          <w:rFonts w:asciiTheme="majorHAnsi" w:hAnsiTheme="majorHAnsi"/>
          <w:sz w:val="20"/>
          <w:szCs w:val="20"/>
        </w:rPr>
        <w:t>Alegó que la investigación penal interna por l</w:t>
      </w:r>
      <w:r w:rsidR="00A935AD" w:rsidRPr="009E773A">
        <w:rPr>
          <w:rFonts w:asciiTheme="majorHAnsi" w:hAnsiTheme="majorHAnsi"/>
          <w:sz w:val="20"/>
          <w:szCs w:val="20"/>
        </w:rPr>
        <w:t>a muerte</w:t>
      </w:r>
      <w:r w:rsidR="00ED3B32" w:rsidRPr="009E773A">
        <w:rPr>
          <w:rFonts w:asciiTheme="majorHAnsi" w:hAnsiTheme="majorHAnsi"/>
          <w:sz w:val="20"/>
          <w:szCs w:val="20"/>
        </w:rPr>
        <w:t xml:space="preserve"> de las presuntas víctimas </w:t>
      </w:r>
      <w:r w:rsidR="001D1536" w:rsidRPr="009E773A">
        <w:rPr>
          <w:rFonts w:asciiTheme="majorHAnsi" w:hAnsiTheme="majorHAnsi"/>
          <w:sz w:val="20"/>
          <w:szCs w:val="20"/>
        </w:rPr>
        <w:t xml:space="preserve">no </w:t>
      </w:r>
      <w:r w:rsidR="00ED3B32" w:rsidRPr="009E773A">
        <w:rPr>
          <w:rFonts w:asciiTheme="majorHAnsi" w:hAnsiTheme="majorHAnsi"/>
          <w:sz w:val="20"/>
          <w:szCs w:val="20"/>
        </w:rPr>
        <w:t xml:space="preserve">se </w:t>
      </w:r>
      <w:r w:rsidR="00A935AD" w:rsidRPr="009E773A">
        <w:rPr>
          <w:rFonts w:asciiTheme="majorHAnsi" w:hAnsiTheme="majorHAnsi"/>
          <w:sz w:val="20"/>
          <w:szCs w:val="20"/>
        </w:rPr>
        <w:t xml:space="preserve">ha adelantado </w:t>
      </w:r>
      <w:r w:rsidR="001D1536" w:rsidRPr="009E773A">
        <w:rPr>
          <w:rFonts w:asciiTheme="majorHAnsi" w:hAnsiTheme="majorHAnsi"/>
          <w:sz w:val="20"/>
          <w:szCs w:val="20"/>
        </w:rPr>
        <w:t>con</w:t>
      </w:r>
      <w:r w:rsidR="00A935AD" w:rsidRPr="009E773A">
        <w:rPr>
          <w:rFonts w:asciiTheme="majorHAnsi" w:hAnsiTheme="majorHAnsi"/>
          <w:sz w:val="20"/>
          <w:szCs w:val="20"/>
        </w:rPr>
        <w:t xml:space="preserve"> la debida diligencia y</w:t>
      </w:r>
      <w:r w:rsidR="00951D74" w:rsidRPr="009E773A">
        <w:rPr>
          <w:rFonts w:asciiTheme="majorHAnsi" w:hAnsiTheme="majorHAnsi"/>
          <w:sz w:val="20"/>
          <w:szCs w:val="20"/>
        </w:rPr>
        <w:t xml:space="preserve"> han ocurrido </w:t>
      </w:r>
      <w:r w:rsidR="00A935AD" w:rsidRPr="009E773A">
        <w:rPr>
          <w:rFonts w:asciiTheme="majorHAnsi" w:hAnsiTheme="majorHAnsi"/>
          <w:sz w:val="20"/>
          <w:szCs w:val="20"/>
        </w:rPr>
        <w:t xml:space="preserve">dilaciones injustificadas. </w:t>
      </w:r>
    </w:p>
    <w:p w14:paraId="7CF10BD0" w14:textId="77777777" w:rsidR="00A935AD" w:rsidRPr="009E773A" w:rsidRDefault="00A935AD" w:rsidP="009A79B6">
      <w:pPr>
        <w:pStyle w:val="Prrafodelista"/>
        <w:rPr>
          <w:rFonts w:asciiTheme="majorHAnsi" w:hAnsiTheme="majorHAnsi"/>
          <w:sz w:val="20"/>
          <w:szCs w:val="20"/>
          <w:lang w:val="es-CO"/>
        </w:rPr>
      </w:pPr>
    </w:p>
    <w:p w14:paraId="465F1C01" w14:textId="77777777" w:rsidR="00721AD7" w:rsidRPr="009E773A" w:rsidRDefault="00B81AFC"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olor w:val="548DD4" w:themeColor="text2" w:themeTint="99"/>
          <w:sz w:val="20"/>
          <w:szCs w:val="20"/>
        </w:rPr>
      </w:pPr>
      <w:r w:rsidRPr="009E773A">
        <w:rPr>
          <w:rFonts w:asciiTheme="majorHAnsi" w:hAnsiTheme="majorHAnsi"/>
          <w:sz w:val="20"/>
          <w:szCs w:val="20"/>
        </w:rPr>
        <w:t>A</w:t>
      </w:r>
      <w:r w:rsidR="00A935AD" w:rsidRPr="009E773A">
        <w:rPr>
          <w:rFonts w:asciiTheme="majorHAnsi" w:hAnsiTheme="majorHAnsi"/>
          <w:sz w:val="20"/>
          <w:szCs w:val="20"/>
        </w:rPr>
        <w:t xml:space="preserve">legó que estos hechos y la falta de justicia, han causado un profundo dolor y angustia en los familiares de Jimmy Guerrero y Ramón Antonio Molina. </w:t>
      </w:r>
    </w:p>
    <w:p w14:paraId="49C22C80" w14:textId="77777777" w:rsidR="00E94B86" w:rsidRPr="009E773A" w:rsidRDefault="00E94B86" w:rsidP="00A935A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olor w:val="548DD4" w:themeColor="text2" w:themeTint="99"/>
          <w:sz w:val="20"/>
          <w:szCs w:val="20"/>
        </w:rPr>
      </w:pPr>
    </w:p>
    <w:p w14:paraId="3932180C" w14:textId="77777777" w:rsidR="00D12193" w:rsidRPr="009E773A" w:rsidRDefault="00D12193" w:rsidP="009A79B6">
      <w:pPr>
        <w:pStyle w:val="Ttulo2"/>
        <w:ind w:left="0" w:firstLine="0"/>
      </w:pPr>
      <w:bookmarkStart w:id="4" w:name="_Toc2159209"/>
      <w:r w:rsidRPr="009E773A">
        <w:t>ESTADO</w:t>
      </w:r>
      <w:bookmarkEnd w:id="4"/>
      <w:r w:rsidR="00CC63CF" w:rsidRPr="009E773A">
        <w:t xml:space="preserve"> </w:t>
      </w:r>
    </w:p>
    <w:p w14:paraId="51D14D44" w14:textId="77777777" w:rsidR="007C756A" w:rsidRPr="009E773A" w:rsidRDefault="007C756A" w:rsidP="00CC63CF">
      <w:pPr>
        <w:suppressAutoHyphens/>
        <w:rPr>
          <w:rFonts w:asciiTheme="majorHAnsi" w:hAnsiTheme="majorHAnsi"/>
          <w:sz w:val="20"/>
          <w:szCs w:val="20"/>
        </w:rPr>
      </w:pPr>
    </w:p>
    <w:p w14:paraId="658DF96D" w14:textId="33B351F5" w:rsidR="0030514D" w:rsidRPr="009E773A" w:rsidRDefault="00B81AFC"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olor w:val="FF0000"/>
          <w:sz w:val="20"/>
          <w:szCs w:val="20"/>
        </w:rPr>
      </w:pPr>
      <w:r w:rsidRPr="009E773A">
        <w:rPr>
          <w:rFonts w:asciiTheme="majorHAnsi" w:hAnsiTheme="majorHAnsi"/>
          <w:sz w:val="20"/>
          <w:szCs w:val="20"/>
        </w:rPr>
        <w:t>A</w:t>
      </w:r>
      <w:r w:rsidR="00121E57" w:rsidRPr="009E773A">
        <w:rPr>
          <w:rFonts w:asciiTheme="majorHAnsi" w:hAnsiTheme="majorHAnsi"/>
          <w:sz w:val="20"/>
          <w:szCs w:val="20"/>
        </w:rPr>
        <w:t xml:space="preserve">legó que </w:t>
      </w:r>
      <w:r w:rsidR="00765992" w:rsidRPr="009E773A">
        <w:rPr>
          <w:rFonts w:asciiTheme="majorHAnsi" w:hAnsiTheme="majorHAnsi"/>
          <w:sz w:val="20"/>
          <w:szCs w:val="20"/>
        </w:rPr>
        <w:t>las actuaciones del Ministerio Público en la investigación ha</w:t>
      </w:r>
      <w:r w:rsidR="00935CF9" w:rsidRPr="009E773A">
        <w:rPr>
          <w:rFonts w:asciiTheme="majorHAnsi" w:hAnsiTheme="majorHAnsi"/>
          <w:sz w:val="20"/>
          <w:szCs w:val="20"/>
        </w:rPr>
        <w:t>n</w:t>
      </w:r>
      <w:r w:rsidR="00765992" w:rsidRPr="009E773A">
        <w:rPr>
          <w:rFonts w:asciiTheme="majorHAnsi" w:hAnsiTheme="majorHAnsi"/>
          <w:sz w:val="20"/>
          <w:szCs w:val="20"/>
        </w:rPr>
        <w:t xml:space="preserve"> sido diligente</w:t>
      </w:r>
      <w:r w:rsidR="00935CF9" w:rsidRPr="009E773A">
        <w:rPr>
          <w:rFonts w:asciiTheme="majorHAnsi" w:hAnsiTheme="majorHAnsi"/>
          <w:sz w:val="20"/>
          <w:szCs w:val="20"/>
        </w:rPr>
        <w:t>s</w:t>
      </w:r>
      <w:r w:rsidR="00FE051D" w:rsidRPr="009E773A">
        <w:rPr>
          <w:rFonts w:asciiTheme="majorHAnsi" w:hAnsiTheme="majorHAnsi"/>
          <w:sz w:val="20"/>
          <w:szCs w:val="20"/>
        </w:rPr>
        <w:t>,</w:t>
      </w:r>
      <w:r w:rsidR="00765992" w:rsidRPr="009E773A">
        <w:rPr>
          <w:rFonts w:asciiTheme="majorHAnsi" w:hAnsiTheme="majorHAnsi"/>
          <w:sz w:val="20"/>
          <w:szCs w:val="20"/>
        </w:rPr>
        <w:t xml:space="preserve"> sin perjuicio de que no se haya podido identif</w:t>
      </w:r>
      <w:r w:rsidR="00EF65B8" w:rsidRPr="009E773A">
        <w:rPr>
          <w:rFonts w:asciiTheme="majorHAnsi" w:hAnsiTheme="majorHAnsi"/>
          <w:sz w:val="20"/>
          <w:szCs w:val="20"/>
        </w:rPr>
        <w:t>icar a los responsables</w:t>
      </w:r>
      <w:r w:rsidRPr="009E773A">
        <w:rPr>
          <w:rFonts w:asciiTheme="majorHAnsi" w:hAnsiTheme="majorHAnsi"/>
          <w:sz w:val="20"/>
          <w:szCs w:val="20"/>
        </w:rPr>
        <w:t xml:space="preserve"> y c</w:t>
      </w:r>
      <w:r w:rsidR="004F1A1F" w:rsidRPr="009E773A">
        <w:rPr>
          <w:rFonts w:asciiTheme="majorHAnsi" w:hAnsiTheme="majorHAnsi" w:cs="Arial"/>
          <w:sz w:val="20"/>
          <w:szCs w:val="20"/>
        </w:rPr>
        <w:t>uestionó que Jimmy Guerrero haya sido “arrastrado deliberadamente”</w:t>
      </w:r>
      <w:r w:rsidR="00D74988" w:rsidRPr="009E773A">
        <w:rPr>
          <w:rFonts w:asciiTheme="majorHAnsi" w:hAnsiTheme="majorHAnsi" w:cs="Arial"/>
          <w:sz w:val="20"/>
          <w:szCs w:val="20"/>
        </w:rPr>
        <w:t xml:space="preserve"> en la vía pública</w:t>
      </w:r>
      <w:r w:rsidR="00530874" w:rsidRPr="009E773A">
        <w:rPr>
          <w:rFonts w:asciiTheme="majorHAnsi" w:hAnsiTheme="majorHAnsi" w:cs="Arial"/>
          <w:sz w:val="20"/>
          <w:szCs w:val="20"/>
        </w:rPr>
        <w:t>.</w:t>
      </w:r>
      <w:r w:rsidR="00D74988" w:rsidRPr="009E773A">
        <w:rPr>
          <w:rFonts w:asciiTheme="majorHAnsi" w:hAnsiTheme="majorHAnsi" w:cs="Arial"/>
          <w:sz w:val="20"/>
          <w:szCs w:val="20"/>
        </w:rPr>
        <w:t xml:space="preserve"> </w:t>
      </w:r>
      <w:r w:rsidR="00530874" w:rsidRPr="009E773A">
        <w:rPr>
          <w:rFonts w:asciiTheme="majorHAnsi" w:hAnsiTheme="majorHAnsi" w:cs="Arial"/>
          <w:sz w:val="20"/>
          <w:szCs w:val="20"/>
        </w:rPr>
        <w:t>E</w:t>
      </w:r>
      <w:r w:rsidR="00935CF9" w:rsidRPr="009E773A">
        <w:rPr>
          <w:rFonts w:asciiTheme="majorHAnsi" w:hAnsiTheme="majorHAnsi" w:cs="Arial"/>
          <w:sz w:val="20"/>
          <w:szCs w:val="20"/>
        </w:rPr>
        <w:t>n cambio,</w:t>
      </w:r>
      <w:r w:rsidR="004F1A1F" w:rsidRPr="009E773A">
        <w:rPr>
          <w:rFonts w:asciiTheme="majorHAnsi" w:hAnsiTheme="majorHAnsi" w:cs="Arial"/>
          <w:sz w:val="20"/>
          <w:szCs w:val="20"/>
        </w:rPr>
        <w:t xml:space="preserve"> sostuvo que dado que su cuerpo </w:t>
      </w:r>
      <w:r w:rsidR="00935CF9" w:rsidRPr="009E773A">
        <w:rPr>
          <w:rFonts w:asciiTheme="majorHAnsi" w:hAnsiTheme="majorHAnsi" w:cs="Arial"/>
          <w:sz w:val="20"/>
          <w:szCs w:val="20"/>
        </w:rPr>
        <w:t xml:space="preserve">sin vida </w:t>
      </w:r>
      <w:r w:rsidR="004F1A1F" w:rsidRPr="009E773A">
        <w:rPr>
          <w:rFonts w:asciiTheme="majorHAnsi" w:hAnsiTheme="majorHAnsi" w:cs="Arial"/>
          <w:sz w:val="20"/>
          <w:szCs w:val="20"/>
        </w:rPr>
        <w:t>se encontraba en medio de la vía pública</w:t>
      </w:r>
      <w:r w:rsidR="00935CF9" w:rsidRPr="009E773A">
        <w:rPr>
          <w:rFonts w:asciiTheme="majorHAnsi" w:hAnsiTheme="majorHAnsi" w:cs="Arial"/>
          <w:sz w:val="20"/>
          <w:szCs w:val="20"/>
        </w:rPr>
        <w:t xml:space="preserve"> </w:t>
      </w:r>
      <w:r w:rsidR="004F1A1F" w:rsidRPr="009E773A">
        <w:rPr>
          <w:rFonts w:asciiTheme="majorHAnsi" w:hAnsiTheme="majorHAnsi" w:cs="Arial"/>
          <w:sz w:val="20"/>
          <w:szCs w:val="20"/>
        </w:rPr>
        <w:t>“fue embestido y arrastrado accidentalmente” por un vehículo</w:t>
      </w:r>
      <w:r w:rsidR="004310AE" w:rsidRPr="009E773A">
        <w:rPr>
          <w:rFonts w:asciiTheme="majorHAnsi" w:hAnsiTheme="majorHAnsi" w:cs="Arial"/>
          <w:sz w:val="20"/>
          <w:szCs w:val="20"/>
        </w:rPr>
        <w:t xml:space="preserve">. </w:t>
      </w:r>
      <w:r w:rsidR="001B073E" w:rsidRPr="009E773A">
        <w:rPr>
          <w:rFonts w:asciiTheme="majorHAnsi" w:hAnsiTheme="majorHAnsi" w:cs="Arial"/>
          <w:sz w:val="20"/>
          <w:szCs w:val="20"/>
        </w:rPr>
        <w:t>Señaló que el conductor</w:t>
      </w:r>
      <w:r w:rsidR="00514D84" w:rsidRPr="009E773A">
        <w:rPr>
          <w:rFonts w:asciiTheme="majorHAnsi" w:hAnsiTheme="majorHAnsi" w:cs="Arial"/>
          <w:sz w:val="20"/>
          <w:szCs w:val="20"/>
        </w:rPr>
        <w:t>,</w:t>
      </w:r>
      <w:r w:rsidR="001B073E" w:rsidRPr="009E773A">
        <w:rPr>
          <w:rFonts w:asciiTheme="majorHAnsi" w:hAnsiTheme="majorHAnsi" w:cs="Arial"/>
          <w:sz w:val="20"/>
          <w:szCs w:val="20"/>
        </w:rPr>
        <w:t xml:space="preserve"> al p</w:t>
      </w:r>
      <w:r w:rsidR="00514D84" w:rsidRPr="009E773A">
        <w:rPr>
          <w:rFonts w:asciiTheme="majorHAnsi" w:hAnsiTheme="majorHAnsi" w:cs="Arial"/>
          <w:sz w:val="20"/>
          <w:szCs w:val="20"/>
        </w:rPr>
        <w:t>ercatarse de lo sucedido, logró</w:t>
      </w:r>
      <w:r w:rsidR="001B073E" w:rsidRPr="009E773A">
        <w:rPr>
          <w:rFonts w:asciiTheme="majorHAnsi" w:hAnsiTheme="majorHAnsi" w:cs="Arial"/>
          <w:sz w:val="20"/>
          <w:szCs w:val="20"/>
        </w:rPr>
        <w:t xml:space="preserve"> sacar el cadáver de la presunta víctima debajo del vehículo </w:t>
      </w:r>
      <w:r w:rsidR="00514D84" w:rsidRPr="009E773A">
        <w:rPr>
          <w:rFonts w:asciiTheme="majorHAnsi" w:hAnsiTheme="majorHAnsi" w:cs="Arial"/>
          <w:sz w:val="20"/>
          <w:szCs w:val="20"/>
        </w:rPr>
        <w:t>con ayuda de otras personas</w:t>
      </w:r>
      <w:r w:rsidR="00D74988" w:rsidRPr="009E773A">
        <w:rPr>
          <w:rFonts w:asciiTheme="majorHAnsi" w:hAnsiTheme="majorHAnsi" w:cs="Arial"/>
          <w:sz w:val="20"/>
          <w:szCs w:val="20"/>
        </w:rPr>
        <w:t>,</w:t>
      </w:r>
      <w:r w:rsidR="00514D84" w:rsidRPr="009E773A">
        <w:rPr>
          <w:rFonts w:asciiTheme="majorHAnsi" w:hAnsiTheme="majorHAnsi" w:cs="Arial"/>
          <w:sz w:val="20"/>
          <w:szCs w:val="20"/>
        </w:rPr>
        <w:t xml:space="preserve"> </w:t>
      </w:r>
      <w:r w:rsidR="001B073E" w:rsidRPr="009E773A">
        <w:rPr>
          <w:rFonts w:asciiTheme="majorHAnsi" w:hAnsiTheme="majorHAnsi" w:cs="Arial"/>
          <w:sz w:val="20"/>
          <w:szCs w:val="20"/>
        </w:rPr>
        <w:t>y</w:t>
      </w:r>
      <w:r w:rsidR="00514D84" w:rsidRPr="009E773A">
        <w:rPr>
          <w:rFonts w:asciiTheme="majorHAnsi" w:hAnsiTheme="majorHAnsi" w:cs="Arial"/>
          <w:sz w:val="20"/>
          <w:szCs w:val="20"/>
        </w:rPr>
        <w:t xml:space="preserve"> lo</w:t>
      </w:r>
      <w:r w:rsidR="001B073E" w:rsidRPr="009E773A">
        <w:rPr>
          <w:rFonts w:asciiTheme="majorHAnsi" w:hAnsiTheme="majorHAnsi" w:cs="Arial"/>
          <w:sz w:val="20"/>
          <w:szCs w:val="20"/>
        </w:rPr>
        <w:t xml:space="preserve"> </w:t>
      </w:r>
      <w:r w:rsidR="00514D84" w:rsidRPr="009E773A">
        <w:rPr>
          <w:rFonts w:asciiTheme="majorHAnsi" w:hAnsiTheme="majorHAnsi" w:cs="Arial"/>
          <w:sz w:val="20"/>
          <w:szCs w:val="20"/>
        </w:rPr>
        <w:t>abandonó</w:t>
      </w:r>
      <w:r w:rsidR="001B073E" w:rsidRPr="009E773A">
        <w:rPr>
          <w:rFonts w:asciiTheme="majorHAnsi" w:hAnsiTheme="majorHAnsi" w:cs="Arial"/>
          <w:sz w:val="20"/>
          <w:szCs w:val="20"/>
        </w:rPr>
        <w:t xml:space="preserve"> frente a una estación de servicio cercana.</w:t>
      </w:r>
    </w:p>
    <w:p w14:paraId="12A6AEA1" w14:textId="77777777" w:rsidR="004F1A1F" w:rsidRPr="009E773A" w:rsidRDefault="001B073E"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color w:val="FF0000"/>
          <w:sz w:val="20"/>
          <w:szCs w:val="20"/>
        </w:rPr>
      </w:pPr>
      <w:r w:rsidRPr="009E773A">
        <w:rPr>
          <w:rFonts w:asciiTheme="majorHAnsi" w:hAnsiTheme="majorHAnsi" w:cs="Arial"/>
          <w:sz w:val="20"/>
          <w:szCs w:val="20"/>
        </w:rPr>
        <w:t xml:space="preserve"> </w:t>
      </w:r>
      <w:r w:rsidR="004F1A1F" w:rsidRPr="009E773A">
        <w:rPr>
          <w:rFonts w:asciiTheme="majorHAnsi" w:hAnsiTheme="majorHAnsi" w:cs="Arial"/>
          <w:sz w:val="20"/>
          <w:szCs w:val="20"/>
        </w:rPr>
        <w:t xml:space="preserve"> </w:t>
      </w:r>
    </w:p>
    <w:p w14:paraId="1F861CC6" w14:textId="151D6CDB" w:rsidR="00263725" w:rsidRPr="009E773A" w:rsidRDefault="00B81AFC"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r w:rsidRPr="009E773A">
        <w:rPr>
          <w:rFonts w:asciiTheme="majorHAnsi" w:hAnsiTheme="majorHAnsi"/>
          <w:sz w:val="20"/>
          <w:szCs w:val="20"/>
        </w:rPr>
        <w:t>S</w:t>
      </w:r>
      <w:r w:rsidR="00D74988" w:rsidRPr="009E773A">
        <w:rPr>
          <w:rFonts w:asciiTheme="majorHAnsi" w:hAnsiTheme="majorHAnsi"/>
          <w:sz w:val="20"/>
          <w:szCs w:val="20"/>
        </w:rPr>
        <w:t>ostuvo inicialmente</w:t>
      </w:r>
      <w:r w:rsidR="000804FD" w:rsidRPr="009E773A">
        <w:rPr>
          <w:rFonts w:asciiTheme="majorHAnsi" w:hAnsiTheme="majorHAnsi"/>
          <w:sz w:val="20"/>
          <w:szCs w:val="20"/>
        </w:rPr>
        <w:t xml:space="preserve"> que no es responsable por la violación </w:t>
      </w:r>
      <w:r w:rsidR="005A06ED" w:rsidRPr="009E773A">
        <w:rPr>
          <w:rFonts w:asciiTheme="majorHAnsi" w:hAnsiTheme="majorHAnsi"/>
          <w:sz w:val="20"/>
          <w:szCs w:val="20"/>
        </w:rPr>
        <w:t xml:space="preserve">de la vida, integridad y libertad de las presuntas víctimas puesto que, </w:t>
      </w:r>
      <w:r w:rsidR="000804FD" w:rsidRPr="009E773A">
        <w:rPr>
          <w:rFonts w:asciiTheme="majorHAnsi" w:hAnsiTheme="majorHAnsi"/>
          <w:sz w:val="20"/>
          <w:szCs w:val="20"/>
        </w:rPr>
        <w:t>después de realizada l</w:t>
      </w:r>
      <w:r w:rsidR="00844680" w:rsidRPr="009E773A">
        <w:rPr>
          <w:rFonts w:asciiTheme="majorHAnsi" w:hAnsiTheme="majorHAnsi"/>
          <w:sz w:val="20"/>
          <w:szCs w:val="20"/>
        </w:rPr>
        <w:t>a investigación</w:t>
      </w:r>
      <w:r w:rsidR="00D74988" w:rsidRPr="009E773A">
        <w:rPr>
          <w:rFonts w:asciiTheme="majorHAnsi" w:hAnsiTheme="majorHAnsi"/>
          <w:sz w:val="20"/>
          <w:szCs w:val="20"/>
        </w:rPr>
        <w:t>,</w:t>
      </w:r>
      <w:r w:rsidR="000804FD" w:rsidRPr="009E773A">
        <w:rPr>
          <w:rFonts w:asciiTheme="majorHAnsi" w:hAnsiTheme="majorHAnsi"/>
          <w:sz w:val="20"/>
          <w:szCs w:val="20"/>
        </w:rPr>
        <w:t xml:space="preserve"> no se constató la participación de </w:t>
      </w:r>
      <w:r w:rsidR="005A06ED" w:rsidRPr="009E773A">
        <w:rPr>
          <w:rFonts w:asciiTheme="majorHAnsi" w:hAnsiTheme="majorHAnsi"/>
          <w:sz w:val="20"/>
          <w:szCs w:val="20"/>
        </w:rPr>
        <w:t>agentes policiales.</w:t>
      </w:r>
      <w:r w:rsidR="000804FD" w:rsidRPr="009E773A">
        <w:rPr>
          <w:rFonts w:asciiTheme="majorHAnsi" w:hAnsiTheme="majorHAnsi"/>
          <w:sz w:val="20"/>
          <w:szCs w:val="20"/>
        </w:rPr>
        <w:t xml:space="preserve"> </w:t>
      </w:r>
      <w:r w:rsidRPr="009E773A">
        <w:rPr>
          <w:rFonts w:asciiTheme="majorHAnsi" w:hAnsiTheme="majorHAnsi"/>
          <w:sz w:val="20"/>
          <w:szCs w:val="20"/>
        </w:rPr>
        <w:t>Indicó</w:t>
      </w:r>
      <w:r w:rsidR="000804FD" w:rsidRPr="009E773A">
        <w:rPr>
          <w:rFonts w:asciiTheme="majorHAnsi" w:hAnsiTheme="majorHAnsi"/>
          <w:sz w:val="20"/>
          <w:szCs w:val="20"/>
        </w:rPr>
        <w:t xml:space="preserve"> que </w:t>
      </w:r>
      <w:r w:rsidR="00844680" w:rsidRPr="009E773A">
        <w:rPr>
          <w:rFonts w:asciiTheme="majorHAnsi" w:hAnsiTheme="majorHAnsi"/>
          <w:sz w:val="20"/>
          <w:szCs w:val="20"/>
        </w:rPr>
        <w:t>no puede</w:t>
      </w:r>
      <w:r w:rsidR="000804FD" w:rsidRPr="009E773A">
        <w:rPr>
          <w:rFonts w:asciiTheme="majorHAnsi" w:hAnsiTheme="majorHAnsi"/>
          <w:sz w:val="20"/>
          <w:szCs w:val="20"/>
        </w:rPr>
        <w:t xml:space="preserve"> inferirse</w:t>
      </w:r>
      <w:r w:rsidR="00844680" w:rsidRPr="009E773A">
        <w:rPr>
          <w:rFonts w:asciiTheme="majorHAnsi" w:hAnsiTheme="majorHAnsi"/>
          <w:sz w:val="20"/>
          <w:szCs w:val="20"/>
        </w:rPr>
        <w:t xml:space="preserve"> la participación</w:t>
      </w:r>
      <w:r w:rsidR="000804FD" w:rsidRPr="009E773A">
        <w:rPr>
          <w:rFonts w:asciiTheme="majorHAnsi" w:hAnsiTheme="majorHAnsi"/>
          <w:sz w:val="20"/>
          <w:szCs w:val="20"/>
        </w:rPr>
        <w:t xml:space="preserve"> </w:t>
      </w:r>
      <w:r w:rsidR="00844680" w:rsidRPr="009E773A">
        <w:rPr>
          <w:rFonts w:asciiTheme="majorHAnsi" w:hAnsiTheme="majorHAnsi"/>
          <w:sz w:val="20"/>
          <w:szCs w:val="20"/>
        </w:rPr>
        <w:t xml:space="preserve">de funcionarios policiales </w:t>
      </w:r>
      <w:r w:rsidR="000804FD" w:rsidRPr="009E773A">
        <w:rPr>
          <w:rFonts w:asciiTheme="majorHAnsi" w:hAnsiTheme="majorHAnsi"/>
          <w:sz w:val="20"/>
          <w:szCs w:val="20"/>
        </w:rPr>
        <w:t>de las declaraciones de los testigos que afirman que los autores materiales vestían “ropa oscura y botas”</w:t>
      </w:r>
      <w:r w:rsidR="00267666" w:rsidRPr="009E773A">
        <w:rPr>
          <w:rFonts w:asciiTheme="majorHAnsi" w:hAnsiTheme="majorHAnsi"/>
          <w:sz w:val="20"/>
          <w:szCs w:val="20"/>
        </w:rPr>
        <w:t xml:space="preserve"> y </w:t>
      </w:r>
      <w:r w:rsidR="000804FD" w:rsidRPr="009E773A">
        <w:rPr>
          <w:rFonts w:asciiTheme="majorHAnsi" w:hAnsiTheme="majorHAnsi"/>
          <w:sz w:val="20"/>
          <w:szCs w:val="20"/>
        </w:rPr>
        <w:t xml:space="preserve">señaló </w:t>
      </w:r>
      <w:r w:rsidR="00267666" w:rsidRPr="009E773A">
        <w:rPr>
          <w:rFonts w:asciiTheme="majorHAnsi" w:hAnsiTheme="majorHAnsi"/>
          <w:sz w:val="20"/>
          <w:szCs w:val="20"/>
        </w:rPr>
        <w:t>q</w:t>
      </w:r>
      <w:r w:rsidR="000804FD" w:rsidRPr="009E773A">
        <w:rPr>
          <w:rFonts w:asciiTheme="majorHAnsi" w:hAnsiTheme="majorHAnsi"/>
          <w:sz w:val="20"/>
          <w:szCs w:val="20"/>
        </w:rPr>
        <w:t xml:space="preserve">ue hubo inconsistencias en las declaraciones </w:t>
      </w:r>
      <w:r w:rsidR="006F54CB" w:rsidRPr="009E773A">
        <w:rPr>
          <w:rFonts w:asciiTheme="majorHAnsi" w:hAnsiTheme="majorHAnsi"/>
          <w:sz w:val="20"/>
          <w:szCs w:val="20"/>
        </w:rPr>
        <w:t xml:space="preserve">del testigo </w:t>
      </w:r>
      <w:r w:rsidR="00267666" w:rsidRPr="009E773A">
        <w:rPr>
          <w:rFonts w:asciiTheme="majorHAnsi" w:hAnsiTheme="majorHAnsi"/>
          <w:sz w:val="20"/>
          <w:szCs w:val="20"/>
        </w:rPr>
        <w:t xml:space="preserve">sobreviviente </w:t>
      </w:r>
      <w:r w:rsidR="00D7172B" w:rsidRPr="009E773A">
        <w:rPr>
          <w:rFonts w:asciiTheme="majorHAnsi" w:hAnsiTheme="majorHAnsi"/>
          <w:sz w:val="20"/>
          <w:szCs w:val="20"/>
        </w:rPr>
        <w:t xml:space="preserve">José </w:t>
      </w:r>
      <w:r w:rsidR="006F54CB" w:rsidRPr="009E773A">
        <w:rPr>
          <w:rFonts w:asciiTheme="majorHAnsi" w:hAnsiTheme="majorHAnsi"/>
          <w:sz w:val="20"/>
          <w:szCs w:val="20"/>
        </w:rPr>
        <w:t>Hernández</w:t>
      </w:r>
      <w:r w:rsidR="00267666" w:rsidRPr="009E773A">
        <w:rPr>
          <w:rFonts w:asciiTheme="majorHAnsi" w:hAnsiTheme="majorHAnsi"/>
          <w:sz w:val="20"/>
          <w:szCs w:val="20"/>
        </w:rPr>
        <w:t xml:space="preserve">. </w:t>
      </w:r>
      <w:r w:rsidR="006F54CB" w:rsidRPr="009E773A">
        <w:rPr>
          <w:rFonts w:asciiTheme="majorHAnsi" w:hAnsiTheme="majorHAnsi"/>
          <w:sz w:val="20"/>
          <w:szCs w:val="20"/>
        </w:rPr>
        <w:t xml:space="preserve">Asimismo, </w:t>
      </w:r>
      <w:r w:rsidR="000804FD" w:rsidRPr="009E773A">
        <w:rPr>
          <w:rFonts w:asciiTheme="majorHAnsi" w:hAnsiTheme="majorHAnsi" w:cs="Arial"/>
          <w:sz w:val="20"/>
          <w:szCs w:val="20"/>
        </w:rPr>
        <w:t xml:space="preserve">argumentó que </w:t>
      </w:r>
      <w:r w:rsidR="006F54CB" w:rsidRPr="009E773A">
        <w:rPr>
          <w:rFonts w:asciiTheme="majorHAnsi" w:hAnsiTheme="majorHAnsi" w:cs="Arial"/>
          <w:sz w:val="20"/>
          <w:szCs w:val="20"/>
        </w:rPr>
        <w:t>Jimmy Guerrero</w:t>
      </w:r>
      <w:r w:rsidR="000804FD" w:rsidRPr="009E773A">
        <w:rPr>
          <w:rFonts w:asciiTheme="majorHAnsi" w:hAnsiTheme="majorHAnsi" w:cs="Arial"/>
          <w:sz w:val="20"/>
          <w:szCs w:val="20"/>
        </w:rPr>
        <w:t xml:space="preserve"> nunca fue privad</w:t>
      </w:r>
      <w:r w:rsidR="006F54CB" w:rsidRPr="009E773A">
        <w:rPr>
          <w:rFonts w:asciiTheme="majorHAnsi" w:hAnsiTheme="majorHAnsi" w:cs="Arial"/>
          <w:sz w:val="20"/>
          <w:szCs w:val="20"/>
        </w:rPr>
        <w:t>o</w:t>
      </w:r>
      <w:r w:rsidR="000804FD" w:rsidRPr="009E773A">
        <w:rPr>
          <w:rFonts w:asciiTheme="majorHAnsi" w:hAnsiTheme="majorHAnsi" w:cs="Arial"/>
          <w:sz w:val="20"/>
          <w:szCs w:val="20"/>
        </w:rPr>
        <w:t xml:space="preserve"> de su libertad o encarcelad</w:t>
      </w:r>
      <w:r w:rsidR="006F54CB" w:rsidRPr="009E773A">
        <w:rPr>
          <w:rFonts w:asciiTheme="majorHAnsi" w:hAnsiTheme="majorHAnsi" w:cs="Arial"/>
          <w:sz w:val="20"/>
          <w:szCs w:val="20"/>
        </w:rPr>
        <w:t>o</w:t>
      </w:r>
      <w:r w:rsidR="000804FD" w:rsidRPr="009E773A">
        <w:rPr>
          <w:rFonts w:asciiTheme="majorHAnsi" w:hAnsiTheme="majorHAnsi" w:cs="Arial"/>
          <w:sz w:val="20"/>
          <w:szCs w:val="20"/>
        </w:rPr>
        <w:t xml:space="preserve"> de forma arbitraria.</w:t>
      </w:r>
    </w:p>
    <w:p w14:paraId="770A99F0" w14:textId="77777777" w:rsidR="00711768" w:rsidRPr="009E773A" w:rsidRDefault="00711768" w:rsidP="009A79B6">
      <w:pPr>
        <w:pStyle w:val="Prrafodelista"/>
        <w:rPr>
          <w:rFonts w:asciiTheme="majorHAnsi" w:hAnsiTheme="majorHAnsi"/>
          <w:sz w:val="20"/>
          <w:szCs w:val="20"/>
          <w:lang w:val="es-CO"/>
        </w:rPr>
      </w:pPr>
    </w:p>
    <w:p w14:paraId="6CC08D5D" w14:textId="77777777" w:rsidR="00711768" w:rsidRPr="009E773A" w:rsidRDefault="002025D1"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olor w:val="FF0000"/>
          <w:sz w:val="20"/>
          <w:szCs w:val="20"/>
        </w:rPr>
      </w:pPr>
      <w:r w:rsidRPr="009E773A">
        <w:rPr>
          <w:rFonts w:asciiTheme="majorHAnsi" w:hAnsiTheme="majorHAnsi" w:cs="Arial"/>
          <w:sz w:val="20"/>
          <w:szCs w:val="20"/>
        </w:rPr>
        <w:t>A</w:t>
      </w:r>
      <w:r w:rsidR="00711768" w:rsidRPr="009E773A">
        <w:rPr>
          <w:rFonts w:asciiTheme="majorHAnsi" w:hAnsiTheme="majorHAnsi" w:cs="Arial"/>
          <w:sz w:val="20"/>
          <w:szCs w:val="20"/>
        </w:rPr>
        <w:t xml:space="preserve">legó que los familiares </w:t>
      </w:r>
      <w:r w:rsidR="00711768" w:rsidRPr="009E773A">
        <w:rPr>
          <w:rFonts w:asciiTheme="majorHAnsi" w:hAnsiTheme="majorHAnsi"/>
          <w:sz w:val="20"/>
          <w:szCs w:val="20"/>
        </w:rPr>
        <w:t>de</w:t>
      </w:r>
      <w:r w:rsidR="00711768" w:rsidRPr="009E773A">
        <w:rPr>
          <w:rFonts w:asciiTheme="majorHAnsi" w:hAnsiTheme="majorHAnsi" w:cs="Arial"/>
          <w:sz w:val="20"/>
          <w:szCs w:val="20"/>
        </w:rPr>
        <w:t xml:space="preserve"> las presuntas víctimas fueron </w:t>
      </w:r>
      <w:r w:rsidR="00D74988" w:rsidRPr="009E773A">
        <w:rPr>
          <w:rFonts w:asciiTheme="majorHAnsi" w:hAnsiTheme="majorHAnsi" w:cs="Arial"/>
          <w:sz w:val="20"/>
          <w:szCs w:val="20"/>
        </w:rPr>
        <w:t>escuchados</w:t>
      </w:r>
      <w:r w:rsidR="00711768" w:rsidRPr="009E773A">
        <w:rPr>
          <w:rFonts w:asciiTheme="majorHAnsi" w:hAnsiTheme="majorHAnsi" w:cs="Arial"/>
          <w:sz w:val="20"/>
          <w:szCs w:val="20"/>
        </w:rPr>
        <w:t xml:space="preserve"> d</w:t>
      </w:r>
      <w:r w:rsidR="006F54CB" w:rsidRPr="009E773A">
        <w:rPr>
          <w:rFonts w:asciiTheme="majorHAnsi" w:hAnsiTheme="majorHAnsi" w:cs="Arial"/>
          <w:sz w:val="20"/>
          <w:szCs w:val="20"/>
        </w:rPr>
        <w:t>urante la investigación interna</w:t>
      </w:r>
      <w:r w:rsidR="00711768" w:rsidRPr="009E773A">
        <w:rPr>
          <w:rFonts w:asciiTheme="majorHAnsi" w:hAnsiTheme="majorHAnsi" w:cs="Arial"/>
          <w:sz w:val="20"/>
          <w:szCs w:val="20"/>
        </w:rPr>
        <w:t xml:space="preserve"> y se les garantizó el acceso a recursos sencillo</w:t>
      </w:r>
      <w:r w:rsidR="00433B8C" w:rsidRPr="009E773A">
        <w:rPr>
          <w:rFonts w:asciiTheme="majorHAnsi" w:hAnsiTheme="majorHAnsi" w:cs="Arial"/>
          <w:sz w:val="20"/>
          <w:szCs w:val="20"/>
        </w:rPr>
        <w:t>s</w:t>
      </w:r>
      <w:r w:rsidR="006F54CB" w:rsidRPr="009E773A">
        <w:rPr>
          <w:rFonts w:asciiTheme="majorHAnsi" w:hAnsiTheme="majorHAnsi" w:cs="Arial"/>
          <w:sz w:val="20"/>
          <w:szCs w:val="20"/>
        </w:rPr>
        <w:t xml:space="preserve"> y rápidos</w:t>
      </w:r>
      <w:r w:rsidRPr="009E773A">
        <w:rPr>
          <w:rFonts w:asciiTheme="majorHAnsi" w:hAnsiTheme="majorHAnsi" w:cs="Arial"/>
          <w:sz w:val="20"/>
          <w:szCs w:val="20"/>
        </w:rPr>
        <w:t xml:space="preserve"> por lo que no se vulneraron los derechos a las garantías y protección judiciales</w:t>
      </w:r>
      <w:r w:rsidR="00711768" w:rsidRPr="009E773A">
        <w:rPr>
          <w:rFonts w:asciiTheme="majorHAnsi" w:hAnsiTheme="majorHAnsi" w:cs="Arial"/>
          <w:sz w:val="20"/>
          <w:szCs w:val="20"/>
        </w:rPr>
        <w:t>.</w:t>
      </w:r>
      <w:r w:rsidR="00711768" w:rsidRPr="009E773A">
        <w:rPr>
          <w:rFonts w:asciiTheme="majorHAnsi" w:hAnsiTheme="majorHAnsi" w:cs="Arial"/>
          <w:b/>
          <w:sz w:val="20"/>
          <w:szCs w:val="20"/>
        </w:rPr>
        <w:t xml:space="preserve"> </w:t>
      </w:r>
      <w:r w:rsidR="00711768" w:rsidRPr="009E773A">
        <w:rPr>
          <w:rFonts w:asciiTheme="majorHAnsi" w:hAnsiTheme="majorHAnsi" w:cs="Arial"/>
          <w:sz w:val="20"/>
          <w:szCs w:val="20"/>
        </w:rPr>
        <w:t>Adujo que la investigación adelantada a nivel interno ha sido diligente e imparcial</w:t>
      </w:r>
      <w:r w:rsidR="006F54CB" w:rsidRPr="009E773A">
        <w:rPr>
          <w:rFonts w:asciiTheme="majorHAnsi" w:hAnsiTheme="majorHAnsi" w:cs="Arial"/>
          <w:sz w:val="20"/>
          <w:szCs w:val="20"/>
        </w:rPr>
        <w:t>,</w:t>
      </w:r>
      <w:r w:rsidR="00711768" w:rsidRPr="009E773A">
        <w:rPr>
          <w:rFonts w:asciiTheme="majorHAnsi" w:hAnsiTheme="majorHAnsi" w:cs="Arial"/>
          <w:sz w:val="20"/>
          <w:szCs w:val="20"/>
        </w:rPr>
        <w:t xml:space="preserve"> y </w:t>
      </w:r>
      <w:r w:rsidR="006F54CB" w:rsidRPr="009E773A">
        <w:rPr>
          <w:rFonts w:asciiTheme="majorHAnsi" w:hAnsiTheme="majorHAnsi" w:cs="Arial"/>
          <w:sz w:val="20"/>
          <w:szCs w:val="20"/>
        </w:rPr>
        <w:t xml:space="preserve">que </w:t>
      </w:r>
      <w:r w:rsidR="00711768" w:rsidRPr="009E773A">
        <w:rPr>
          <w:rFonts w:asciiTheme="majorHAnsi" w:hAnsiTheme="majorHAnsi" w:cs="Arial"/>
          <w:sz w:val="20"/>
          <w:szCs w:val="20"/>
        </w:rPr>
        <w:t xml:space="preserve">se ha garantizado el derecho de las presuntas víctimas a la obtención de justicia. </w:t>
      </w:r>
      <w:r w:rsidRPr="009E773A">
        <w:rPr>
          <w:rFonts w:asciiTheme="majorHAnsi" w:hAnsiTheme="majorHAnsi" w:cs="Arial"/>
          <w:sz w:val="20"/>
          <w:szCs w:val="20"/>
        </w:rPr>
        <w:t>E</w:t>
      </w:r>
      <w:r w:rsidR="00711768" w:rsidRPr="009E773A">
        <w:rPr>
          <w:rFonts w:asciiTheme="majorHAnsi" w:hAnsiTheme="majorHAnsi" w:cs="Arial"/>
          <w:sz w:val="20"/>
          <w:szCs w:val="20"/>
        </w:rPr>
        <w:t xml:space="preserve">xplicó que en tanto no </w:t>
      </w:r>
      <w:r w:rsidR="0042611D" w:rsidRPr="009E773A">
        <w:rPr>
          <w:rFonts w:asciiTheme="majorHAnsi" w:hAnsiTheme="majorHAnsi" w:cs="Arial"/>
          <w:sz w:val="20"/>
          <w:szCs w:val="20"/>
        </w:rPr>
        <w:t>se</w:t>
      </w:r>
      <w:r w:rsidR="00711768" w:rsidRPr="009E773A">
        <w:rPr>
          <w:rFonts w:asciiTheme="majorHAnsi" w:hAnsiTheme="majorHAnsi" w:cs="Arial"/>
          <w:sz w:val="20"/>
          <w:szCs w:val="20"/>
        </w:rPr>
        <w:t xml:space="preserve"> obten</w:t>
      </w:r>
      <w:r w:rsidR="0042611D" w:rsidRPr="009E773A">
        <w:rPr>
          <w:rFonts w:asciiTheme="majorHAnsi" w:hAnsiTheme="majorHAnsi" w:cs="Arial"/>
          <w:sz w:val="20"/>
          <w:szCs w:val="20"/>
        </w:rPr>
        <w:t>ga</w:t>
      </w:r>
      <w:r w:rsidR="00711768" w:rsidRPr="009E773A">
        <w:rPr>
          <w:rFonts w:asciiTheme="majorHAnsi" w:hAnsiTheme="majorHAnsi" w:cs="Arial"/>
          <w:sz w:val="20"/>
          <w:szCs w:val="20"/>
        </w:rPr>
        <w:t xml:space="preserve"> una sentencia </w:t>
      </w:r>
      <w:r w:rsidR="002F08FD" w:rsidRPr="009E773A">
        <w:rPr>
          <w:rFonts w:asciiTheme="majorHAnsi" w:hAnsiTheme="majorHAnsi" w:cs="Arial"/>
          <w:sz w:val="20"/>
          <w:szCs w:val="20"/>
        </w:rPr>
        <w:t xml:space="preserve">penal </w:t>
      </w:r>
      <w:r w:rsidR="006F54CB" w:rsidRPr="009E773A">
        <w:rPr>
          <w:rFonts w:asciiTheme="majorHAnsi" w:hAnsiTheme="majorHAnsi" w:cs="Arial"/>
          <w:sz w:val="20"/>
          <w:szCs w:val="20"/>
        </w:rPr>
        <w:t>en</w:t>
      </w:r>
      <w:r w:rsidR="00711768" w:rsidRPr="009E773A">
        <w:rPr>
          <w:rFonts w:asciiTheme="majorHAnsi" w:hAnsiTheme="majorHAnsi" w:cs="Arial"/>
          <w:sz w:val="20"/>
          <w:szCs w:val="20"/>
        </w:rPr>
        <w:t xml:space="preserve"> firme por los hechos</w:t>
      </w:r>
      <w:r w:rsidR="00D74988" w:rsidRPr="009E773A">
        <w:rPr>
          <w:rFonts w:asciiTheme="majorHAnsi" w:hAnsiTheme="majorHAnsi" w:cs="Arial"/>
          <w:sz w:val="20"/>
          <w:szCs w:val="20"/>
        </w:rPr>
        <w:t>,</w:t>
      </w:r>
      <w:r w:rsidR="00711768" w:rsidRPr="009E773A">
        <w:rPr>
          <w:rFonts w:asciiTheme="majorHAnsi" w:hAnsiTheme="majorHAnsi" w:cs="Arial"/>
          <w:sz w:val="20"/>
          <w:szCs w:val="20"/>
        </w:rPr>
        <w:t xml:space="preserve"> no se </w:t>
      </w:r>
      <w:r w:rsidR="0042611D" w:rsidRPr="009E773A">
        <w:rPr>
          <w:rFonts w:asciiTheme="majorHAnsi" w:hAnsiTheme="majorHAnsi" w:cs="Arial"/>
          <w:sz w:val="20"/>
          <w:szCs w:val="20"/>
        </w:rPr>
        <w:t xml:space="preserve">pueden </w:t>
      </w:r>
      <w:r w:rsidR="00711768" w:rsidRPr="009E773A">
        <w:rPr>
          <w:rFonts w:asciiTheme="majorHAnsi" w:hAnsiTheme="majorHAnsi" w:cs="Arial"/>
          <w:sz w:val="20"/>
          <w:szCs w:val="20"/>
        </w:rPr>
        <w:t>activar los mecanismos de reparación civil</w:t>
      </w:r>
      <w:r w:rsidR="00711768" w:rsidRPr="009E773A">
        <w:rPr>
          <w:rFonts w:asciiTheme="majorHAnsi" w:hAnsiTheme="majorHAnsi" w:cs="Arial"/>
          <w:b/>
          <w:sz w:val="20"/>
          <w:szCs w:val="20"/>
        </w:rPr>
        <w:t xml:space="preserve"> </w:t>
      </w:r>
      <w:r w:rsidR="00711768" w:rsidRPr="009E773A">
        <w:rPr>
          <w:rFonts w:asciiTheme="majorHAnsi" w:hAnsiTheme="majorHAnsi" w:cs="Arial"/>
          <w:sz w:val="20"/>
          <w:szCs w:val="20"/>
        </w:rPr>
        <w:t>por daños y perjuicios.</w:t>
      </w:r>
      <w:r w:rsidR="00711768" w:rsidRPr="009E773A">
        <w:rPr>
          <w:rFonts w:asciiTheme="majorHAnsi" w:hAnsiTheme="majorHAnsi" w:cs="Arial"/>
          <w:b/>
          <w:sz w:val="20"/>
          <w:szCs w:val="20"/>
        </w:rPr>
        <w:t xml:space="preserve"> </w:t>
      </w:r>
    </w:p>
    <w:p w14:paraId="31FC0852" w14:textId="77777777" w:rsidR="002F08FD" w:rsidRPr="009E773A" w:rsidRDefault="002F08FD" w:rsidP="009A79B6">
      <w:pPr>
        <w:pStyle w:val="Prrafodelista"/>
        <w:rPr>
          <w:rFonts w:asciiTheme="majorHAnsi" w:hAnsiTheme="majorHAnsi"/>
          <w:color w:val="FF0000"/>
          <w:sz w:val="20"/>
          <w:szCs w:val="20"/>
          <w:lang w:val="es-CO"/>
        </w:rPr>
      </w:pPr>
    </w:p>
    <w:p w14:paraId="2CD7FC0B" w14:textId="77777777" w:rsidR="002F08FD" w:rsidRPr="009E773A" w:rsidRDefault="00C24F6C"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olor w:val="FF0000"/>
          <w:sz w:val="20"/>
          <w:szCs w:val="20"/>
        </w:rPr>
      </w:pPr>
      <w:r w:rsidRPr="009E773A">
        <w:rPr>
          <w:rFonts w:asciiTheme="majorHAnsi" w:hAnsiTheme="majorHAnsi" w:cs="Arial"/>
          <w:sz w:val="20"/>
          <w:szCs w:val="20"/>
        </w:rPr>
        <w:t>S</w:t>
      </w:r>
      <w:r w:rsidR="0042477C" w:rsidRPr="009E773A">
        <w:rPr>
          <w:rFonts w:asciiTheme="majorHAnsi" w:hAnsiTheme="majorHAnsi" w:cs="Arial"/>
          <w:sz w:val="20"/>
          <w:szCs w:val="20"/>
        </w:rPr>
        <w:t>eñaló que la legislación procesal penal en Venezuela no establece un lapso específico para que se individualice a posibles responsables luego de iniciada la investigación por parte del Ministerio Público, y que en algunos casos ello no es posible pese a la práctica de pruebas y diligencias</w:t>
      </w:r>
      <w:r w:rsidRPr="009E773A">
        <w:rPr>
          <w:rFonts w:asciiTheme="majorHAnsi" w:hAnsiTheme="majorHAnsi" w:cs="Arial"/>
          <w:sz w:val="20"/>
          <w:szCs w:val="20"/>
        </w:rPr>
        <w:t>, por lo que la falta de enjuiciamiento</w:t>
      </w:r>
      <w:r w:rsidR="0030514D" w:rsidRPr="009E773A">
        <w:rPr>
          <w:rFonts w:asciiTheme="majorHAnsi" w:hAnsiTheme="majorHAnsi" w:cs="Arial"/>
          <w:sz w:val="20"/>
          <w:szCs w:val="20"/>
        </w:rPr>
        <w:t xml:space="preserve">, pese al tiempo transcurrido, </w:t>
      </w:r>
      <w:r w:rsidRPr="009E773A">
        <w:rPr>
          <w:rFonts w:asciiTheme="majorHAnsi" w:hAnsiTheme="majorHAnsi" w:cs="Arial"/>
          <w:sz w:val="20"/>
          <w:szCs w:val="20"/>
        </w:rPr>
        <w:t>no es una vulneración a sus obligaciones internacionales</w:t>
      </w:r>
      <w:r w:rsidR="0042477C" w:rsidRPr="009E773A">
        <w:rPr>
          <w:rFonts w:asciiTheme="majorHAnsi" w:hAnsiTheme="majorHAnsi" w:cs="Arial"/>
          <w:sz w:val="20"/>
          <w:szCs w:val="20"/>
        </w:rPr>
        <w:t xml:space="preserve">. </w:t>
      </w:r>
    </w:p>
    <w:p w14:paraId="74ED0C0F" w14:textId="77777777" w:rsidR="00711768" w:rsidRPr="009E773A" w:rsidRDefault="00711768" w:rsidP="009A79B6">
      <w:pPr>
        <w:pStyle w:val="Prrafodelista"/>
        <w:rPr>
          <w:rFonts w:asciiTheme="majorHAnsi" w:hAnsiTheme="majorHAnsi" w:cs="Arial"/>
          <w:sz w:val="20"/>
          <w:szCs w:val="20"/>
          <w:lang w:val="es-CO"/>
        </w:rPr>
      </w:pPr>
    </w:p>
    <w:p w14:paraId="44F48207" w14:textId="77777777" w:rsidR="004F1A1F" w:rsidRPr="009E773A" w:rsidRDefault="00C24F6C"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r w:rsidRPr="009E773A">
        <w:rPr>
          <w:rFonts w:asciiTheme="majorHAnsi" w:hAnsiTheme="majorHAnsi"/>
          <w:sz w:val="20"/>
          <w:szCs w:val="20"/>
        </w:rPr>
        <w:t>C</w:t>
      </w:r>
      <w:r w:rsidR="004F1A1F" w:rsidRPr="009E773A">
        <w:rPr>
          <w:rFonts w:asciiTheme="majorHAnsi" w:hAnsiTheme="majorHAnsi"/>
          <w:sz w:val="20"/>
          <w:szCs w:val="20"/>
        </w:rPr>
        <w:t xml:space="preserve">uestionó la alegada existencia de un contexto de ejecuciones </w:t>
      </w:r>
      <w:r w:rsidR="004F1A1F" w:rsidRPr="009E773A">
        <w:rPr>
          <w:rFonts w:asciiTheme="majorHAnsi" w:hAnsiTheme="majorHAnsi" w:cs="Arial"/>
          <w:sz w:val="20"/>
          <w:szCs w:val="20"/>
        </w:rPr>
        <w:t>extrajudiciales</w:t>
      </w:r>
      <w:r w:rsidR="004F1A1F" w:rsidRPr="009E773A">
        <w:rPr>
          <w:rFonts w:asciiTheme="majorHAnsi" w:hAnsiTheme="majorHAnsi"/>
          <w:sz w:val="20"/>
          <w:szCs w:val="20"/>
        </w:rPr>
        <w:t xml:space="preserve"> en Venezuela </w:t>
      </w:r>
      <w:r w:rsidR="007E75DF" w:rsidRPr="009E773A">
        <w:rPr>
          <w:rFonts w:asciiTheme="majorHAnsi" w:hAnsiTheme="majorHAnsi"/>
          <w:sz w:val="20"/>
          <w:szCs w:val="20"/>
        </w:rPr>
        <w:t>con</w:t>
      </w:r>
      <w:r w:rsidR="004F1A1F" w:rsidRPr="009E773A">
        <w:rPr>
          <w:rFonts w:asciiTheme="majorHAnsi" w:hAnsiTheme="majorHAnsi"/>
          <w:sz w:val="20"/>
          <w:szCs w:val="20"/>
        </w:rPr>
        <w:t xml:space="preserve"> el patrón descrito por la parte peticionaria. Adujo que en el caso específico no se han verificado actos d</w:t>
      </w:r>
      <w:r w:rsidR="007E75DF" w:rsidRPr="009E773A">
        <w:rPr>
          <w:rFonts w:asciiTheme="majorHAnsi" w:hAnsiTheme="majorHAnsi"/>
          <w:sz w:val="20"/>
          <w:szCs w:val="20"/>
        </w:rPr>
        <w:t>e encubrimiento que favorezcan</w:t>
      </w:r>
      <w:r w:rsidR="004F1A1F" w:rsidRPr="009E773A">
        <w:rPr>
          <w:rFonts w:asciiTheme="majorHAnsi" w:hAnsiTheme="majorHAnsi"/>
          <w:sz w:val="20"/>
          <w:szCs w:val="20"/>
        </w:rPr>
        <w:t xml:space="preserve"> la impunidad de los hechos</w:t>
      </w:r>
      <w:r w:rsidRPr="009E773A">
        <w:rPr>
          <w:rFonts w:asciiTheme="majorHAnsi" w:hAnsiTheme="majorHAnsi"/>
          <w:sz w:val="20"/>
          <w:szCs w:val="20"/>
        </w:rPr>
        <w:t xml:space="preserve"> ni la participación directa de agentes estatales</w:t>
      </w:r>
      <w:r w:rsidR="0042477C" w:rsidRPr="009E773A">
        <w:rPr>
          <w:rFonts w:asciiTheme="majorHAnsi" w:hAnsiTheme="majorHAnsi"/>
          <w:sz w:val="20"/>
          <w:szCs w:val="20"/>
        </w:rPr>
        <w:t>. En la misma línea, arguyó que no se ha pretendido la estigmatización ni discriminación de las presuntas víctimas, sino que se desprende de los expedientes internos la existencia de antecedentes y procesos</w:t>
      </w:r>
      <w:r w:rsidR="00267666" w:rsidRPr="009E773A">
        <w:rPr>
          <w:rFonts w:asciiTheme="majorHAnsi" w:hAnsiTheme="majorHAnsi"/>
          <w:sz w:val="20"/>
          <w:szCs w:val="20"/>
        </w:rPr>
        <w:t xml:space="preserve"> penales</w:t>
      </w:r>
      <w:r w:rsidR="0042477C" w:rsidRPr="009E773A">
        <w:rPr>
          <w:rFonts w:asciiTheme="majorHAnsi" w:hAnsiTheme="majorHAnsi"/>
          <w:sz w:val="20"/>
          <w:szCs w:val="20"/>
        </w:rPr>
        <w:t xml:space="preserve"> abiertos en contra de Jimmy Guerrero, los cuales “servían de indicios suficientes para acreditar sus relaciones con otros infractores de leyes penales venezolanas”. </w:t>
      </w:r>
    </w:p>
    <w:p w14:paraId="732D13A4" w14:textId="77777777" w:rsidR="004F1A1F" w:rsidRPr="009E773A" w:rsidRDefault="004F1A1F"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sz w:val="20"/>
          <w:szCs w:val="20"/>
        </w:rPr>
      </w:pPr>
    </w:p>
    <w:p w14:paraId="23577743" w14:textId="77777777" w:rsidR="004A77A9" w:rsidRPr="009E773A" w:rsidRDefault="003221C5"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olor w:val="FF0000"/>
          <w:sz w:val="20"/>
          <w:szCs w:val="20"/>
        </w:rPr>
      </w:pPr>
      <w:r w:rsidRPr="009E773A">
        <w:rPr>
          <w:rFonts w:asciiTheme="majorHAnsi" w:hAnsiTheme="majorHAnsi" w:cs="Arial"/>
          <w:sz w:val="20"/>
          <w:szCs w:val="20"/>
        </w:rPr>
        <w:t>Sobre el</w:t>
      </w:r>
      <w:r w:rsidR="00F37478" w:rsidRPr="009E773A">
        <w:rPr>
          <w:rFonts w:asciiTheme="majorHAnsi" w:hAnsiTheme="majorHAnsi" w:cs="Arial"/>
          <w:sz w:val="20"/>
          <w:szCs w:val="20"/>
        </w:rPr>
        <w:t xml:space="preserve"> alegado</w:t>
      </w:r>
      <w:r w:rsidRPr="009E773A">
        <w:rPr>
          <w:rFonts w:asciiTheme="majorHAnsi" w:hAnsiTheme="majorHAnsi" w:cs="Arial"/>
          <w:sz w:val="20"/>
          <w:szCs w:val="20"/>
        </w:rPr>
        <w:t xml:space="preserve"> hostigamiento por parte de funcionarios policiales del </w:t>
      </w:r>
      <w:r w:rsidR="00D74988" w:rsidRPr="009E773A">
        <w:rPr>
          <w:rFonts w:asciiTheme="majorHAnsi" w:hAnsiTheme="majorHAnsi" w:cs="Arial"/>
          <w:sz w:val="20"/>
          <w:szCs w:val="20"/>
        </w:rPr>
        <w:t>e</w:t>
      </w:r>
      <w:r w:rsidRPr="009E773A">
        <w:rPr>
          <w:rFonts w:asciiTheme="majorHAnsi" w:hAnsiTheme="majorHAnsi" w:cs="Arial"/>
          <w:sz w:val="20"/>
          <w:szCs w:val="20"/>
        </w:rPr>
        <w:t xml:space="preserve">stado Falcón, </w:t>
      </w:r>
      <w:r w:rsidR="00D74988" w:rsidRPr="009E773A">
        <w:rPr>
          <w:rFonts w:asciiTheme="majorHAnsi" w:hAnsiTheme="majorHAnsi" w:cs="Arial"/>
          <w:sz w:val="20"/>
          <w:szCs w:val="20"/>
        </w:rPr>
        <w:t>argumentó</w:t>
      </w:r>
      <w:r w:rsidRPr="009E773A">
        <w:rPr>
          <w:rFonts w:asciiTheme="majorHAnsi" w:hAnsiTheme="majorHAnsi" w:cs="Arial"/>
          <w:sz w:val="20"/>
          <w:szCs w:val="20"/>
        </w:rPr>
        <w:t xml:space="preserve"> que las denuncias</w:t>
      </w:r>
      <w:r w:rsidR="00D74988" w:rsidRPr="009E773A">
        <w:rPr>
          <w:rFonts w:asciiTheme="majorHAnsi" w:hAnsiTheme="majorHAnsi" w:cs="Arial"/>
          <w:sz w:val="20"/>
          <w:szCs w:val="20"/>
        </w:rPr>
        <w:t xml:space="preserve"> previas realizadas por la presunta víctima,</w:t>
      </w:r>
      <w:r w:rsidRPr="009E773A">
        <w:rPr>
          <w:rFonts w:asciiTheme="majorHAnsi" w:hAnsiTheme="majorHAnsi" w:cs="Arial"/>
          <w:sz w:val="20"/>
          <w:szCs w:val="20"/>
        </w:rPr>
        <w:t xml:space="preserve"> contra el cuerpo de policía</w:t>
      </w:r>
      <w:r w:rsidR="00D74988" w:rsidRPr="009E773A">
        <w:rPr>
          <w:rFonts w:asciiTheme="majorHAnsi" w:hAnsiTheme="majorHAnsi" w:cs="Arial"/>
          <w:sz w:val="20"/>
          <w:szCs w:val="20"/>
        </w:rPr>
        <w:t>,</w:t>
      </w:r>
      <w:r w:rsidRPr="009E773A">
        <w:rPr>
          <w:rFonts w:asciiTheme="majorHAnsi" w:hAnsiTheme="majorHAnsi" w:cs="Arial"/>
          <w:sz w:val="20"/>
          <w:szCs w:val="20"/>
        </w:rPr>
        <w:t xml:space="preserve"> se llevaron a cabo con el fin de impedir que estos pudieran ejercer vigilancia sobre Jimmy Guerrero, y que no es </w:t>
      </w:r>
      <w:r w:rsidR="00AC475B" w:rsidRPr="009E773A">
        <w:rPr>
          <w:rFonts w:asciiTheme="majorHAnsi" w:hAnsiTheme="majorHAnsi" w:cs="Arial"/>
          <w:sz w:val="20"/>
          <w:szCs w:val="20"/>
        </w:rPr>
        <w:t>“</w:t>
      </w:r>
      <w:r w:rsidRPr="009E773A">
        <w:rPr>
          <w:rFonts w:asciiTheme="majorHAnsi" w:hAnsiTheme="majorHAnsi" w:cs="Arial"/>
          <w:sz w:val="20"/>
          <w:szCs w:val="20"/>
        </w:rPr>
        <w:t>insólito</w:t>
      </w:r>
      <w:r w:rsidR="00AC475B" w:rsidRPr="009E773A">
        <w:rPr>
          <w:rFonts w:asciiTheme="majorHAnsi" w:hAnsiTheme="majorHAnsi" w:cs="Arial"/>
          <w:sz w:val="20"/>
          <w:szCs w:val="20"/>
        </w:rPr>
        <w:t>”</w:t>
      </w:r>
      <w:r w:rsidRPr="009E773A">
        <w:rPr>
          <w:rFonts w:asciiTheme="majorHAnsi" w:hAnsiTheme="majorHAnsi" w:cs="Arial"/>
          <w:sz w:val="20"/>
          <w:szCs w:val="20"/>
        </w:rPr>
        <w:t xml:space="preserve"> que su muerte se haya producido por un </w:t>
      </w:r>
      <w:r w:rsidR="00AC475B" w:rsidRPr="009E773A">
        <w:rPr>
          <w:rFonts w:asciiTheme="majorHAnsi" w:hAnsiTheme="majorHAnsi" w:cs="Arial"/>
          <w:sz w:val="20"/>
          <w:szCs w:val="20"/>
        </w:rPr>
        <w:t>“</w:t>
      </w:r>
      <w:r w:rsidRPr="009E773A">
        <w:rPr>
          <w:rFonts w:asciiTheme="majorHAnsi" w:hAnsiTheme="majorHAnsi" w:cs="Arial"/>
          <w:sz w:val="20"/>
          <w:szCs w:val="20"/>
        </w:rPr>
        <w:t>ajuste de cuentas entre bandas, lo que es frecuente cuando se hace parte del mundo delincuencial</w:t>
      </w:r>
      <w:r w:rsidR="00AC475B" w:rsidRPr="009E773A">
        <w:rPr>
          <w:rFonts w:asciiTheme="majorHAnsi" w:hAnsiTheme="majorHAnsi" w:cs="Arial"/>
          <w:sz w:val="20"/>
          <w:szCs w:val="20"/>
        </w:rPr>
        <w:t>”</w:t>
      </w:r>
      <w:r w:rsidRPr="009E773A">
        <w:rPr>
          <w:rFonts w:asciiTheme="majorHAnsi" w:hAnsiTheme="majorHAnsi" w:cs="Arial"/>
          <w:sz w:val="20"/>
          <w:szCs w:val="20"/>
        </w:rPr>
        <w:t>.</w:t>
      </w:r>
      <w:r w:rsidR="00C52B96" w:rsidRPr="009E773A">
        <w:rPr>
          <w:rFonts w:asciiTheme="majorHAnsi" w:hAnsiTheme="majorHAnsi" w:cs="Arial"/>
          <w:sz w:val="20"/>
          <w:szCs w:val="20"/>
        </w:rPr>
        <w:t xml:space="preserve"> </w:t>
      </w:r>
      <w:r w:rsidR="00D74988" w:rsidRPr="009E773A">
        <w:rPr>
          <w:rFonts w:asciiTheme="majorHAnsi" w:hAnsiTheme="majorHAnsi" w:cs="Arial"/>
          <w:sz w:val="20"/>
          <w:szCs w:val="20"/>
        </w:rPr>
        <w:t>En dicho marco</w:t>
      </w:r>
      <w:r w:rsidRPr="009E773A">
        <w:rPr>
          <w:rFonts w:asciiTheme="majorHAnsi" w:hAnsiTheme="majorHAnsi" w:cs="Arial"/>
          <w:sz w:val="20"/>
          <w:szCs w:val="20"/>
        </w:rPr>
        <w:t xml:space="preserve">, el Estado justificó </w:t>
      </w:r>
      <w:r w:rsidR="00D74988" w:rsidRPr="009E773A">
        <w:rPr>
          <w:rFonts w:asciiTheme="majorHAnsi" w:hAnsiTheme="majorHAnsi" w:cs="Arial"/>
          <w:sz w:val="20"/>
          <w:szCs w:val="20"/>
        </w:rPr>
        <w:t>una</w:t>
      </w:r>
      <w:r w:rsidRPr="009E773A">
        <w:rPr>
          <w:rFonts w:asciiTheme="majorHAnsi" w:hAnsiTheme="majorHAnsi" w:cs="Arial"/>
          <w:sz w:val="20"/>
          <w:szCs w:val="20"/>
        </w:rPr>
        <w:t xml:space="preserve"> medida de allanamiento a la casa </w:t>
      </w:r>
      <w:r w:rsidR="00AC475B" w:rsidRPr="009E773A">
        <w:rPr>
          <w:rFonts w:asciiTheme="majorHAnsi" w:hAnsiTheme="majorHAnsi" w:cs="Arial"/>
          <w:sz w:val="20"/>
          <w:szCs w:val="20"/>
        </w:rPr>
        <w:t>de</w:t>
      </w:r>
      <w:r w:rsidRPr="009E773A">
        <w:rPr>
          <w:rFonts w:asciiTheme="majorHAnsi" w:hAnsiTheme="majorHAnsi" w:cs="Arial"/>
          <w:sz w:val="20"/>
          <w:szCs w:val="20"/>
        </w:rPr>
        <w:t xml:space="preserve"> Jimmy Guerrero y </w:t>
      </w:r>
      <w:r w:rsidR="00AC475B" w:rsidRPr="009E773A">
        <w:rPr>
          <w:rFonts w:asciiTheme="majorHAnsi" w:hAnsiTheme="majorHAnsi" w:cs="Arial"/>
          <w:sz w:val="20"/>
          <w:szCs w:val="20"/>
        </w:rPr>
        <w:t>mencionó</w:t>
      </w:r>
      <w:r w:rsidRPr="009E773A">
        <w:rPr>
          <w:rFonts w:asciiTheme="majorHAnsi" w:hAnsiTheme="majorHAnsi" w:cs="Arial"/>
          <w:sz w:val="20"/>
          <w:szCs w:val="20"/>
        </w:rPr>
        <w:t xml:space="preserve"> otras medidas que </w:t>
      </w:r>
      <w:r w:rsidR="00AC475B" w:rsidRPr="009E773A">
        <w:rPr>
          <w:rFonts w:asciiTheme="majorHAnsi" w:hAnsiTheme="majorHAnsi" w:cs="Arial"/>
          <w:sz w:val="20"/>
          <w:szCs w:val="20"/>
        </w:rPr>
        <w:t>la presunta víctima</w:t>
      </w:r>
      <w:r w:rsidRPr="009E773A">
        <w:rPr>
          <w:rFonts w:asciiTheme="majorHAnsi" w:hAnsiTheme="majorHAnsi" w:cs="Arial"/>
          <w:sz w:val="20"/>
          <w:szCs w:val="20"/>
        </w:rPr>
        <w:t xml:space="preserve"> pudo haber </w:t>
      </w:r>
      <w:r w:rsidR="007E75DF" w:rsidRPr="009E773A">
        <w:rPr>
          <w:rFonts w:asciiTheme="majorHAnsi" w:hAnsiTheme="majorHAnsi" w:cs="Arial"/>
          <w:sz w:val="20"/>
          <w:szCs w:val="20"/>
        </w:rPr>
        <w:t>interpuesto</w:t>
      </w:r>
      <w:r w:rsidRPr="009E773A">
        <w:rPr>
          <w:rFonts w:asciiTheme="majorHAnsi" w:hAnsiTheme="majorHAnsi" w:cs="Arial"/>
          <w:sz w:val="20"/>
          <w:szCs w:val="20"/>
        </w:rPr>
        <w:t xml:space="preserve"> para </w:t>
      </w:r>
      <w:r w:rsidR="007E75DF" w:rsidRPr="009E773A">
        <w:rPr>
          <w:rFonts w:asciiTheme="majorHAnsi" w:hAnsiTheme="majorHAnsi" w:cs="Arial"/>
          <w:sz w:val="20"/>
          <w:szCs w:val="20"/>
        </w:rPr>
        <w:t xml:space="preserve">solicitar protección. </w:t>
      </w:r>
    </w:p>
    <w:p w14:paraId="6D870267" w14:textId="77777777" w:rsidR="0081458C" w:rsidRPr="009E773A" w:rsidRDefault="0081458C" w:rsidP="009A79B6">
      <w:pPr>
        <w:pStyle w:val="Prrafodelista"/>
        <w:rPr>
          <w:rFonts w:asciiTheme="majorHAnsi" w:hAnsiTheme="majorHAnsi"/>
          <w:color w:val="FF0000"/>
          <w:sz w:val="20"/>
          <w:szCs w:val="20"/>
          <w:lang w:val="es-CO"/>
        </w:rPr>
      </w:pPr>
    </w:p>
    <w:p w14:paraId="6F742B0B" w14:textId="77777777" w:rsidR="008B4215" w:rsidRPr="009E773A" w:rsidRDefault="00616AB8"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r w:rsidRPr="009E773A">
        <w:rPr>
          <w:rFonts w:asciiTheme="majorHAnsi" w:hAnsiTheme="majorHAnsi"/>
          <w:sz w:val="20"/>
          <w:szCs w:val="20"/>
        </w:rPr>
        <w:t>Posteriormente, en su comunicación</w:t>
      </w:r>
      <w:r w:rsidR="00875DE1" w:rsidRPr="009E773A">
        <w:rPr>
          <w:rFonts w:asciiTheme="majorHAnsi" w:hAnsiTheme="majorHAnsi"/>
          <w:sz w:val="20"/>
          <w:szCs w:val="20"/>
        </w:rPr>
        <w:t xml:space="preserve"> de</w:t>
      </w:r>
      <w:r w:rsidR="008B4215" w:rsidRPr="009E773A">
        <w:rPr>
          <w:rFonts w:asciiTheme="majorHAnsi" w:hAnsiTheme="majorHAnsi"/>
          <w:sz w:val="20"/>
          <w:szCs w:val="20"/>
        </w:rPr>
        <w:t xml:space="preserve"> 9 de junio de 2016</w:t>
      </w:r>
      <w:r w:rsidR="00D74988" w:rsidRPr="009E773A">
        <w:rPr>
          <w:rFonts w:asciiTheme="majorHAnsi" w:hAnsiTheme="majorHAnsi"/>
          <w:sz w:val="20"/>
          <w:szCs w:val="20"/>
        </w:rPr>
        <w:t>,</w:t>
      </w:r>
      <w:r w:rsidR="0081458C" w:rsidRPr="009E773A">
        <w:rPr>
          <w:rFonts w:asciiTheme="majorHAnsi" w:hAnsiTheme="majorHAnsi"/>
          <w:sz w:val="20"/>
          <w:szCs w:val="20"/>
        </w:rPr>
        <w:t xml:space="preserve"> el Estado </w:t>
      </w:r>
      <w:r w:rsidR="008B4215" w:rsidRPr="009E773A">
        <w:rPr>
          <w:rFonts w:asciiTheme="majorHAnsi" w:hAnsiTheme="majorHAnsi"/>
          <w:sz w:val="20"/>
          <w:szCs w:val="20"/>
        </w:rPr>
        <w:t xml:space="preserve">informó que se había emitido una </w:t>
      </w:r>
      <w:r w:rsidR="00B7039E" w:rsidRPr="009E773A">
        <w:rPr>
          <w:rFonts w:asciiTheme="majorHAnsi" w:hAnsiTheme="majorHAnsi"/>
          <w:sz w:val="20"/>
          <w:szCs w:val="20"/>
        </w:rPr>
        <w:t>orden de aprehensión en contra de un funcionario que se desempeñaba como comisario y jefe de la Zona Policial 2 de las Fuerzas Armadas Policiales del estado Falcón, por los hechos relacionados con la muerte de la</w:t>
      </w:r>
      <w:r w:rsidR="00644A55" w:rsidRPr="009E773A">
        <w:rPr>
          <w:rFonts w:asciiTheme="majorHAnsi" w:hAnsiTheme="majorHAnsi"/>
          <w:sz w:val="20"/>
          <w:szCs w:val="20"/>
        </w:rPr>
        <w:t>s</w:t>
      </w:r>
      <w:r w:rsidR="00B7039E" w:rsidRPr="009E773A">
        <w:rPr>
          <w:rFonts w:asciiTheme="majorHAnsi" w:hAnsiTheme="majorHAnsi"/>
          <w:sz w:val="20"/>
          <w:szCs w:val="20"/>
        </w:rPr>
        <w:t xml:space="preserve"> presunta</w:t>
      </w:r>
      <w:r w:rsidR="00644A55" w:rsidRPr="009E773A">
        <w:rPr>
          <w:rFonts w:asciiTheme="majorHAnsi" w:hAnsiTheme="majorHAnsi"/>
          <w:sz w:val="20"/>
          <w:szCs w:val="20"/>
        </w:rPr>
        <w:t>s</w:t>
      </w:r>
      <w:r w:rsidR="00B7039E" w:rsidRPr="009E773A">
        <w:rPr>
          <w:rFonts w:asciiTheme="majorHAnsi" w:hAnsiTheme="majorHAnsi"/>
          <w:sz w:val="20"/>
          <w:szCs w:val="20"/>
        </w:rPr>
        <w:t xml:space="preserve"> víctima</w:t>
      </w:r>
      <w:r w:rsidR="00644A55" w:rsidRPr="009E773A">
        <w:rPr>
          <w:rFonts w:asciiTheme="majorHAnsi" w:hAnsiTheme="majorHAnsi"/>
          <w:sz w:val="20"/>
          <w:szCs w:val="20"/>
        </w:rPr>
        <w:t>s</w:t>
      </w:r>
      <w:r w:rsidR="00B7039E" w:rsidRPr="009E773A">
        <w:rPr>
          <w:rFonts w:asciiTheme="majorHAnsi" w:hAnsiTheme="majorHAnsi"/>
          <w:sz w:val="20"/>
          <w:szCs w:val="20"/>
        </w:rPr>
        <w:t xml:space="preserve">. </w:t>
      </w:r>
    </w:p>
    <w:p w14:paraId="56A42820" w14:textId="77777777" w:rsidR="004A77A9" w:rsidRPr="009E773A" w:rsidRDefault="004A77A9" w:rsidP="004A77A9">
      <w:pPr>
        <w:pStyle w:val="Prrafodelista"/>
        <w:rPr>
          <w:rFonts w:asciiTheme="majorHAnsi" w:hAnsiTheme="majorHAnsi" w:cs="Arial"/>
          <w:sz w:val="20"/>
          <w:szCs w:val="20"/>
          <w:lang w:val="es-CO"/>
        </w:rPr>
      </w:pPr>
    </w:p>
    <w:p w14:paraId="72A43973" w14:textId="77777777" w:rsidR="00D12193" w:rsidRPr="009E773A" w:rsidRDefault="00D12193" w:rsidP="009A79B6">
      <w:pPr>
        <w:pStyle w:val="Ttulo1"/>
        <w:ind w:left="720" w:hanging="720"/>
      </w:pPr>
      <w:bookmarkStart w:id="5" w:name="_Toc2159210"/>
      <w:r w:rsidRPr="009E773A">
        <w:t>DETERMINACIONES DE HECHO</w:t>
      </w:r>
      <w:bookmarkEnd w:id="5"/>
    </w:p>
    <w:p w14:paraId="213CEB36" w14:textId="77777777" w:rsidR="007C756A" w:rsidRPr="009E773A" w:rsidRDefault="007C756A" w:rsidP="009A79B6">
      <w:pPr>
        <w:ind w:left="720" w:hanging="720"/>
        <w:rPr>
          <w:rFonts w:asciiTheme="majorHAnsi" w:hAnsiTheme="majorHAnsi"/>
          <w:b/>
          <w:sz w:val="20"/>
          <w:szCs w:val="20"/>
        </w:rPr>
      </w:pPr>
    </w:p>
    <w:p w14:paraId="391848F7" w14:textId="77777777" w:rsidR="004255D1" w:rsidRPr="009E773A" w:rsidRDefault="001E17CE" w:rsidP="009A79B6">
      <w:pPr>
        <w:pStyle w:val="Ttulo2"/>
        <w:numPr>
          <w:ilvl w:val="0"/>
          <w:numId w:val="65"/>
        </w:numPr>
        <w:ind w:left="720" w:hanging="720"/>
      </w:pPr>
      <w:bookmarkStart w:id="6" w:name="_Toc2159211"/>
      <w:r w:rsidRPr="009E773A">
        <w:t>Contexto</w:t>
      </w:r>
      <w:bookmarkEnd w:id="6"/>
    </w:p>
    <w:p w14:paraId="73B3F71B" w14:textId="77777777" w:rsidR="004255D1" w:rsidRPr="009E773A" w:rsidRDefault="004255D1" w:rsidP="004255D1">
      <w:pPr>
        <w:pStyle w:val="Prrafodelista"/>
        <w:ind w:left="1440"/>
        <w:rPr>
          <w:rFonts w:asciiTheme="majorHAnsi" w:hAnsiTheme="majorHAnsi"/>
          <w:b/>
          <w:color w:val="FF0000"/>
          <w:sz w:val="20"/>
          <w:szCs w:val="20"/>
          <w:lang w:val="es-CO"/>
        </w:rPr>
      </w:pPr>
    </w:p>
    <w:p w14:paraId="5A1BBCAB" w14:textId="77777777" w:rsidR="00347947" w:rsidRPr="009E773A" w:rsidRDefault="004255D1"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s="Calibri"/>
          <w:sz w:val="20"/>
          <w:szCs w:val="20"/>
        </w:rPr>
      </w:pPr>
      <w:r w:rsidRPr="009E773A">
        <w:rPr>
          <w:rFonts w:asciiTheme="majorHAnsi" w:hAnsiTheme="majorHAnsi" w:cs="Calibri"/>
          <w:sz w:val="20"/>
          <w:szCs w:val="20"/>
        </w:rPr>
        <w:t>En el presente c</w:t>
      </w:r>
      <w:r w:rsidR="00986F0B" w:rsidRPr="009E773A">
        <w:rPr>
          <w:rFonts w:asciiTheme="majorHAnsi" w:hAnsiTheme="majorHAnsi" w:cs="Calibri"/>
          <w:sz w:val="20"/>
          <w:szCs w:val="20"/>
        </w:rPr>
        <w:t>aso</w:t>
      </w:r>
      <w:r w:rsidR="00806AC0" w:rsidRPr="009E773A">
        <w:rPr>
          <w:rFonts w:asciiTheme="majorHAnsi" w:hAnsiTheme="majorHAnsi" w:cs="Calibri"/>
          <w:sz w:val="20"/>
          <w:szCs w:val="20"/>
        </w:rPr>
        <w:t xml:space="preserve"> la parte peticionaria alegó</w:t>
      </w:r>
      <w:r w:rsidRPr="009E773A">
        <w:rPr>
          <w:rFonts w:asciiTheme="majorHAnsi" w:hAnsiTheme="majorHAnsi" w:cs="Calibri"/>
          <w:sz w:val="20"/>
          <w:szCs w:val="20"/>
        </w:rPr>
        <w:t xml:space="preserve"> que la muerte de las presun</w:t>
      </w:r>
      <w:r w:rsidR="00347947" w:rsidRPr="009E773A">
        <w:rPr>
          <w:rFonts w:asciiTheme="majorHAnsi" w:hAnsiTheme="majorHAnsi" w:cs="Calibri"/>
          <w:sz w:val="20"/>
          <w:szCs w:val="20"/>
        </w:rPr>
        <w:t xml:space="preserve">tas víctimas es un reflejo del </w:t>
      </w:r>
      <w:r w:rsidRPr="009E773A">
        <w:rPr>
          <w:rFonts w:asciiTheme="majorHAnsi" w:hAnsiTheme="majorHAnsi" w:cs="Calibri"/>
          <w:sz w:val="20"/>
          <w:szCs w:val="20"/>
        </w:rPr>
        <w:t>contexto de</w:t>
      </w:r>
      <w:r w:rsidR="008E6940" w:rsidRPr="009E773A">
        <w:rPr>
          <w:rFonts w:asciiTheme="majorHAnsi" w:hAnsiTheme="majorHAnsi" w:cs="Calibri"/>
          <w:sz w:val="20"/>
          <w:szCs w:val="20"/>
        </w:rPr>
        <w:t xml:space="preserve"> ejecuciones extrajudiciales en Venezuela</w:t>
      </w:r>
      <w:r w:rsidR="00347947" w:rsidRPr="009E773A">
        <w:rPr>
          <w:rFonts w:asciiTheme="majorHAnsi" w:hAnsiTheme="majorHAnsi" w:cs="Calibri"/>
          <w:sz w:val="20"/>
          <w:szCs w:val="20"/>
        </w:rPr>
        <w:t>, y específicamente en</w:t>
      </w:r>
      <w:r w:rsidR="00C25324" w:rsidRPr="009E773A">
        <w:rPr>
          <w:rFonts w:asciiTheme="majorHAnsi" w:hAnsiTheme="majorHAnsi" w:cs="Calibri"/>
          <w:sz w:val="20"/>
          <w:szCs w:val="20"/>
        </w:rPr>
        <w:t xml:space="preserve"> el estado</w:t>
      </w:r>
      <w:r w:rsidR="00347947" w:rsidRPr="009E773A">
        <w:rPr>
          <w:rFonts w:asciiTheme="majorHAnsi" w:hAnsiTheme="majorHAnsi" w:cs="Calibri"/>
          <w:sz w:val="20"/>
          <w:szCs w:val="20"/>
        </w:rPr>
        <w:t xml:space="preserve"> Falcón</w:t>
      </w:r>
      <w:r w:rsidRPr="009E773A">
        <w:rPr>
          <w:rFonts w:asciiTheme="majorHAnsi" w:hAnsiTheme="majorHAnsi" w:cs="Calibri"/>
          <w:sz w:val="20"/>
          <w:szCs w:val="20"/>
        </w:rPr>
        <w:t xml:space="preserve">. La Comisión, a través de sus diferentes mecanismos ha identificado un contexto de ejecuciones extrajudiciales en el país desde hace varios años. Asimismo, la Corte Interamericana se ha referido a dicho contexto en su análisis de casos que lo ejemplifican. </w:t>
      </w:r>
      <w:r w:rsidR="00347947" w:rsidRPr="009E773A">
        <w:rPr>
          <w:rFonts w:asciiTheme="majorHAnsi" w:hAnsiTheme="majorHAnsi" w:cs="Calibri"/>
          <w:sz w:val="20"/>
          <w:szCs w:val="20"/>
        </w:rPr>
        <w:t>La determinación sobre la existencia de dicho contexto y la caracterización de la problemática en los casos referidos fue analizada tanto por la Comisión, como por la Corte, teniendo en cuenta informes de autoridades estatales</w:t>
      </w:r>
      <w:r w:rsidR="00347947" w:rsidRPr="009E773A">
        <w:rPr>
          <w:rStyle w:val="Refdenotaalpie"/>
          <w:rFonts w:asciiTheme="majorHAnsi" w:hAnsiTheme="majorHAnsi" w:cs="Calibri"/>
          <w:sz w:val="20"/>
          <w:szCs w:val="20"/>
        </w:rPr>
        <w:footnoteReference w:id="4"/>
      </w:r>
      <w:r w:rsidR="00347947" w:rsidRPr="009E773A">
        <w:rPr>
          <w:rFonts w:asciiTheme="majorHAnsi" w:hAnsiTheme="majorHAnsi" w:cs="Calibri"/>
          <w:sz w:val="20"/>
          <w:szCs w:val="20"/>
        </w:rPr>
        <w:t xml:space="preserve"> y organizaciones no gubernamentales internacionales</w:t>
      </w:r>
      <w:r w:rsidR="00347947" w:rsidRPr="009E773A">
        <w:rPr>
          <w:rStyle w:val="Refdenotaalpie"/>
          <w:rFonts w:asciiTheme="majorHAnsi" w:hAnsiTheme="majorHAnsi" w:cs="Calibri"/>
          <w:sz w:val="20"/>
          <w:szCs w:val="20"/>
        </w:rPr>
        <w:footnoteReference w:id="5"/>
      </w:r>
      <w:r w:rsidR="00347947" w:rsidRPr="009E773A">
        <w:rPr>
          <w:rFonts w:asciiTheme="majorHAnsi" w:hAnsiTheme="majorHAnsi" w:cs="Calibri"/>
          <w:sz w:val="20"/>
          <w:szCs w:val="20"/>
        </w:rPr>
        <w:t xml:space="preserve"> y nacionales</w:t>
      </w:r>
      <w:r w:rsidR="00347947" w:rsidRPr="009E773A">
        <w:rPr>
          <w:rStyle w:val="Refdenotaalpie"/>
          <w:rFonts w:asciiTheme="majorHAnsi" w:hAnsiTheme="majorHAnsi" w:cs="Calibri"/>
          <w:sz w:val="20"/>
          <w:szCs w:val="20"/>
        </w:rPr>
        <w:footnoteReference w:id="6"/>
      </w:r>
      <w:r w:rsidR="00347947" w:rsidRPr="009E773A">
        <w:rPr>
          <w:rFonts w:asciiTheme="majorHAnsi" w:hAnsiTheme="majorHAnsi" w:cs="Calibri"/>
          <w:sz w:val="20"/>
          <w:szCs w:val="20"/>
        </w:rPr>
        <w:t>. El marco temporal de dichas fuentes abarca los hechos alegados en el presente caso.</w:t>
      </w:r>
    </w:p>
    <w:p w14:paraId="7521E1AE" w14:textId="77777777" w:rsidR="00EF5682" w:rsidRPr="009E773A" w:rsidRDefault="00EF5682"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cs="Calibri"/>
          <w:sz w:val="20"/>
          <w:szCs w:val="20"/>
        </w:rPr>
      </w:pPr>
    </w:p>
    <w:p w14:paraId="2FDBD031" w14:textId="0051E96D" w:rsidR="004255D1" w:rsidRPr="009E773A" w:rsidRDefault="00347947"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s="Calibri"/>
          <w:sz w:val="20"/>
          <w:szCs w:val="20"/>
        </w:rPr>
      </w:pPr>
      <w:r w:rsidRPr="009E773A">
        <w:rPr>
          <w:rFonts w:asciiTheme="majorHAnsi" w:hAnsiTheme="majorHAnsi" w:cs="Calibri"/>
          <w:sz w:val="20"/>
          <w:szCs w:val="20"/>
        </w:rPr>
        <w:t>E</w:t>
      </w:r>
      <w:r w:rsidRPr="009E773A">
        <w:rPr>
          <w:rFonts w:asciiTheme="majorHAnsi" w:hAnsiTheme="majorHAnsi"/>
          <w:sz w:val="20"/>
          <w:szCs w:val="20"/>
        </w:rPr>
        <w:t xml:space="preserve">l Relator Especial de Naciones Unidas sobre las ejecuciones extrajudiciales, sumarias o </w:t>
      </w:r>
      <w:r w:rsidRPr="009E773A">
        <w:rPr>
          <w:rFonts w:asciiTheme="majorHAnsi" w:hAnsiTheme="majorHAnsi" w:cs="Arial"/>
          <w:sz w:val="20"/>
          <w:szCs w:val="20"/>
        </w:rPr>
        <w:t>arbitrarias</w:t>
      </w:r>
      <w:r w:rsidRPr="009E773A">
        <w:rPr>
          <w:rFonts w:asciiTheme="majorHAnsi" w:hAnsiTheme="majorHAnsi"/>
          <w:sz w:val="20"/>
          <w:szCs w:val="20"/>
        </w:rPr>
        <w:t xml:space="preserve"> </w:t>
      </w:r>
      <w:r w:rsidR="00820E0D" w:rsidRPr="009E773A">
        <w:rPr>
          <w:rFonts w:asciiTheme="majorHAnsi" w:hAnsiTheme="majorHAnsi" w:cs="Calibri"/>
          <w:sz w:val="20"/>
          <w:szCs w:val="20"/>
        </w:rPr>
        <w:t>también se han referido al mencionado contexto</w:t>
      </w:r>
      <w:r w:rsidR="00820E0D" w:rsidRPr="009E773A">
        <w:rPr>
          <w:rFonts w:asciiTheme="majorHAnsi" w:hAnsiTheme="majorHAnsi"/>
          <w:sz w:val="20"/>
          <w:szCs w:val="20"/>
        </w:rPr>
        <w:t xml:space="preserve"> </w:t>
      </w:r>
      <w:r w:rsidRPr="009E773A">
        <w:rPr>
          <w:rFonts w:asciiTheme="majorHAnsi" w:hAnsiTheme="majorHAnsi"/>
          <w:sz w:val="20"/>
          <w:szCs w:val="20"/>
        </w:rPr>
        <w:t>en varios de sus informes, de denuncias de ejecuciones extrajudiciales a manos de agentes de seguridad que se cometen en Venezuela, y sobre las amenazas recibidas por familiares de víctimas para evitar la denuncia de los hechos</w:t>
      </w:r>
      <w:r w:rsidRPr="009E773A">
        <w:rPr>
          <w:rStyle w:val="Refdenotaalpie"/>
          <w:rFonts w:asciiTheme="majorHAnsi" w:hAnsiTheme="majorHAnsi"/>
          <w:sz w:val="20"/>
          <w:szCs w:val="20"/>
        </w:rPr>
        <w:footnoteReference w:id="7"/>
      </w:r>
      <w:r w:rsidRPr="009E773A">
        <w:rPr>
          <w:rFonts w:asciiTheme="majorHAnsi" w:hAnsiTheme="majorHAnsi"/>
          <w:sz w:val="20"/>
          <w:szCs w:val="20"/>
        </w:rPr>
        <w:t>. En efecto, la Comisión observa que e</w:t>
      </w:r>
      <w:r w:rsidR="0074617E" w:rsidRPr="009E773A">
        <w:rPr>
          <w:rFonts w:asciiTheme="majorHAnsi" w:hAnsiTheme="majorHAnsi"/>
          <w:sz w:val="20"/>
          <w:szCs w:val="20"/>
        </w:rPr>
        <w:t>n</w:t>
      </w:r>
      <w:r w:rsidRPr="009E773A">
        <w:rPr>
          <w:rFonts w:asciiTheme="majorHAnsi" w:hAnsiTheme="majorHAnsi"/>
          <w:sz w:val="20"/>
          <w:szCs w:val="20"/>
        </w:rPr>
        <w:t xml:space="preserve"> 2001 </w:t>
      </w:r>
      <w:r w:rsidRPr="009E773A">
        <w:rPr>
          <w:rFonts w:asciiTheme="majorHAnsi" w:hAnsiTheme="majorHAnsi" w:cs="Arial"/>
          <w:sz w:val="20"/>
          <w:szCs w:val="20"/>
        </w:rPr>
        <w:t xml:space="preserve">el </w:t>
      </w:r>
      <w:r w:rsidRPr="009E773A">
        <w:rPr>
          <w:rFonts w:asciiTheme="majorHAnsi" w:hAnsiTheme="majorHAnsi"/>
          <w:sz w:val="20"/>
          <w:szCs w:val="20"/>
        </w:rPr>
        <w:t xml:space="preserve">Comité de Derechos Humanos </w:t>
      </w:r>
      <w:r w:rsidRPr="009E773A">
        <w:rPr>
          <w:rFonts w:asciiTheme="majorHAnsi" w:hAnsiTheme="majorHAnsi" w:cs="Arial"/>
          <w:sz w:val="20"/>
          <w:szCs w:val="20"/>
        </w:rPr>
        <w:t>e</w:t>
      </w:r>
      <w:r w:rsidRPr="009E773A">
        <w:rPr>
          <w:rFonts w:asciiTheme="majorHAnsi" w:hAnsiTheme="majorHAnsi"/>
          <w:sz w:val="20"/>
          <w:szCs w:val="20"/>
        </w:rPr>
        <w:t xml:space="preserve">n sus observaciones finales sobre Venezuela </w:t>
      </w:r>
      <w:r w:rsidR="00277670" w:rsidRPr="009E773A">
        <w:rPr>
          <w:rFonts w:asciiTheme="majorHAnsi" w:hAnsiTheme="majorHAnsi"/>
          <w:sz w:val="20"/>
          <w:szCs w:val="20"/>
        </w:rPr>
        <w:t xml:space="preserve">manifestó </w:t>
      </w:r>
      <w:r w:rsidRPr="009E773A">
        <w:rPr>
          <w:rFonts w:asciiTheme="majorHAnsi" w:hAnsiTheme="majorHAnsi"/>
          <w:sz w:val="20"/>
          <w:szCs w:val="20"/>
        </w:rPr>
        <w:t>su grave preocupación por “las numerosas denuncias sobre ejecuciones extrajudiciales y […] la falta de respuesta del Estado respecto de las mismas”</w:t>
      </w:r>
      <w:r w:rsidRPr="009E773A">
        <w:rPr>
          <w:rStyle w:val="Refdenotaalpie"/>
          <w:rFonts w:asciiTheme="majorHAnsi" w:hAnsiTheme="majorHAnsi"/>
          <w:sz w:val="20"/>
          <w:szCs w:val="20"/>
        </w:rPr>
        <w:footnoteReference w:id="8"/>
      </w:r>
      <w:r w:rsidRPr="009E773A">
        <w:rPr>
          <w:rFonts w:asciiTheme="majorHAnsi" w:hAnsiTheme="majorHAnsi" w:cs="TimesNewRoman"/>
          <w:sz w:val="20"/>
          <w:szCs w:val="20"/>
        </w:rPr>
        <w:t xml:space="preserve">. </w:t>
      </w:r>
    </w:p>
    <w:p w14:paraId="1ECEA492" w14:textId="77777777" w:rsidR="004255D1" w:rsidRPr="009E773A" w:rsidRDefault="004255D1"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cs="Calibri"/>
          <w:sz w:val="20"/>
          <w:szCs w:val="20"/>
        </w:rPr>
      </w:pPr>
    </w:p>
    <w:p w14:paraId="788C346D" w14:textId="77777777" w:rsidR="004255D1" w:rsidRPr="009E773A" w:rsidRDefault="00820E0D"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s="Calibri"/>
          <w:sz w:val="20"/>
          <w:szCs w:val="20"/>
        </w:rPr>
      </w:pPr>
      <w:r w:rsidRPr="009E773A">
        <w:rPr>
          <w:rFonts w:asciiTheme="majorHAnsi" w:hAnsiTheme="majorHAnsi" w:cs="Calibri"/>
          <w:sz w:val="20"/>
          <w:szCs w:val="20"/>
        </w:rPr>
        <w:t>En el caso de la CI</w:t>
      </w:r>
      <w:r w:rsidR="00D73DD6" w:rsidRPr="009E773A">
        <w:rPr>
          <w:rFonts w:asciiTheme="majorHAnsi" w:hAnsiTheme="majorHAnsi" w:cs="Calibri"/>
          <w:sz w:val="20"/>
          <w:szCs w:val="20"/>
        </w:rPr>
        <w:t>D</w:t>
      </w:r>
      <w:r w:rsidRPr="009E773A">
        <w:rPr>
          <w:rFonts w:asciiTheme="majorHAnsi" w:hAnsiTheme="majorHAnsi" w:cs="Calibri"/>
          <w:sz w:val="20"/>
          <w:szCs w:val="20"/>
        </w:rPr>
        <w:t>H, d</w:t>
      </w:r>
      <w:r w:rsidR="004255D1" w:rsidRPr="009E773A">
        <w:rPr>
          <w:rFonts w:asciiTheme="majorHAnsi" w:hAnsiTheme="majorHAnsi" w:cs="Calibri"/>
          <w:sz w:val="20"/>
          <w:szCs w:val="20"/>
        </w:rPr>
        <w:t xml:space="preserve">esde su visita </w:t>
      </w:r>
      <w:r w:rsidR="004255D1" w:rsidRPr="009E773A">
        <w:rPr>
          <w:rFonts w:asciiTheme="majorHAnsi" w:hAnsiTheme="majorHAnsi" w:cs="Calibri"/>
          <w:i/>
          <w:sz w:val="20"/>
          <w:szCs w:val="20"/>
        </w:rPr>
        <w:t>in loco</w:t>
      </w:r>
      <w:r w:rsidR="004255D1" w:rsidRPr="009E773A">
        <w:rPr>
          <w:rFonts w:asciiTheme="majorHAnsi" w:hAnsiTheme="majorHAnsi" w:cs="Calibri"/>
          <w:sz w:val="20"/>
          <w:szCs w:val="20"/>
        </w:rPr>
        <w:t xml:space="preserve"> efectuada a Venezuela en el año 2002</w:t>
      </w:r>
      <w:r w:rsidRPr="009E773A">
        <w:rPr>
          <w:rFonts w:asciiTheme="majorHAnsi" w:hAnsiTheme="majorHAnsi" w:cs="Calibri"/>
          <w:sz w:val="20"/>
          <w:szCs w:val="20"/>
        </w:rPr>
        <w:t xml:space="preserve"> </w:t>
      </w:r>
      <w:r w:rsidR="004255D1" w:rsidRPr="009E773A">
        <w:rPr>
          <w:rFonts w:asciiTheme="majorHAnsi" w:hAnsiTheme="majorHAnsi" w:cs="Calibri"/>
          <w:sz w:val="20"/>
          <w:szCs w:val="20"/>
        </w:rPr>
        <w:t>verificó la existencia de</w:t>
      </w:r>
      <w:r w:rsidR="004255D1" w:rsidRPr="009E773A">
        <w:rPr>
          <w:rFonts w:asciiTheme="majorHAnsi" w:hAnsiTheme="majorHAnsi" w:cs="Arial"/>
          <w:sz w:val="20"/>
          <w:szCs w:val="20"/>
        </w:rPr>
        <w:t xml:space="preserve"> una problemática de ejecuciones extrajudiciales cometidas por agentes de las policías estaduales y/o grupos parapoliciales o “de exterminio” bajo su aquiescencia o colaboración, a través de diversos patrones.  Tanto en sus informes de los años 2002, 2003, 2005, 2009, como en su informe </w:t>
      </w:r>
      <w:r w:rsidR="00587C3F" w:rsidRPr="009E773A">
        <w:rPr>
          <w:rFonts w:asciiTheme="majorHAnsi" w:hAnsiTheme="majorHAnsi" w:cs="Arial"/>
          <w:sz w:val="20"/>
          <w:szCs w:val="20"/>
        </w:rPr>
        <w:t>de país de 2017</w:t>
      </w:r>
      <w:r w:rsidR="004255D1" w:rsidRPr="009E773A">
        <w:rPr>
          <w:rFonts w:asciiTheme="majorHAnsi" w:hAnsiTheme="majorHAnsi" w:cs="Arial"/>
          <w:sz w:val="20"/>
          <w:szCs w:val="20"/>
        </w:rPr>
        <w:t>, la CIDH analizó las caract</w:t>
      </w:r>
      <w:r w:rsidRPr="009E773A">
        <w:rPr>
          <w:rFonts w:asciiTheme="majorHAnsi" w:hAnsiTheme="majorHAnsi" w:cs="Arial"/>
          <w:sz w:val="20"/>
          <w:szCs w:val="20"/>
        </w:rPr>
        <w:t>erísticas de este tipo de casos</w:t>
      </w:r>
      <w:r w:rsidR="004255D1" w:rsidRPr="009E773A">
        <w:rPr>
          <w:rFonts w:asciiTheme="majorHAnsi" w:hAnsiTheme="majorHAnsi" w:cs="Arial"/>
          <w:sz w:val="20"/>
          <w:szCs w:val="20"/>
        </w:rPr>
        <w:t xml:space="preserve"> y expresó su preocupación por la continuidad de este fenómeno, así como por la grave situación de impunidad registrada en dichos casos</w:t>
      </w:r>
      <w:r w:rsidR="004255D1" w:rsidRPr="009E773A">
        <w:rPr>
          <w:rStyle w:val="Refdenotaalpie"/>
          <w:rFonts w:asciiTheme="majorHAnsi" w:hAnsiTheme="majorHAnsi" w:cs="Arial"/>
          <w:sz w:val="20"/>
          <w:szCs w:val="20"/>
        </w:rPr>
        <w:footnoteReference w:id="9"/>
      </w:r>
      <w:r w:rsidR="004E00A5" w:rsidRPr="009E773A">
        <w:rPr>
          <w:rFonts w:asciiTheme="majorHAnsi" w:hAnsiTheme="majorHAnsi" w:cs="Arial"/>
          <w:sz w:val="20"/>
          <w:szCs w:val="20"/>
        </w:rPr>
        <w:t>.</w:t>
      </w:r>
    </w:p>
    <w:p w14:paraId="35C42D10" w14:textId="77777777" w:rsidR="004E00A5" w:rsidRPr="009E773A" w:rsidRDefault="004E00A5"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s="Calibri"/>
          <w:sz w:val="20"/>
          <w:szCs w:val="20"/>
        </w:rPr>
      </w:pPr>
    </w:p>
    <w:p w14:paraId="42019534" w14:textId="77777777" w:rsidR="004E00A5" w:rsidRPr="009E773A" w:rsidRDefault="004E00A5"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s="Calibri"/>
          <w:sz w:val="20"/>
          <w:szCs w:val="20"/>
        </w:rPr>
      </w:pPr>
      <w:r w:rsidRPr="009E773A">
        <w:rPr>
          <w:rFonts w:asciiTheme="majorHAnsi" w:hAnsiTheme="majorHAnsi" w:cs="Arial"/>
          <w:sz w:val="20"/>
          <w:szCs w:val="20"/>
        </w:rPr>
        <w:t xml:space="preserve">Sobre el </w:t>
      </w:r>
      <w:r w:rsidRPr="009E773A">
        <w:rPr>
          <w:rFonts w:asciiTheme="majorHAnsi" w:hAnsiTheme="majorHAnsi" w:cs="Arial"/>
          <w:i/>
          <w:sz w:val="20"/>
          <w:szCs w:val="20"/>
        </w:rPr>
        <w:t>modus operandi</w:t>
      </w:r>
      <w:r w:rsidR="00203A2A" w:rsidRPr="009E773A">
        <w:rPr>
          <w:rFonts w:asciiTheme="majorHAnsi" w:hAnsiTheme="majorHAnsi" w:cs="Arial"/>
          <w:sz w:val="20"/>
          <w:szCs w:val="20"/>
        </w:rPr>
        <w:t xml:space="preserve"> de las ejecuciones, </w:t>
      </w:r>
      <w:r w:rsidRPr="009E773A">
        <w:rPr>
          <w:rFonts w:asciiTheme="majorHAnsi" w:hAnsiTheme="majorHAnsi" w:cs="Arial"/>
          <w:sz w:val="20"/>
          <w:szCs w:val="20"/>
        </w:rPr>
        <w:t>la CIDH ha identificado que, en algunos casos</w:t>
      </w:r>
      <w:r w:rsidR="00203A2A" w:rsidRPr="009E773A">
        <w:rPr>
          <w:rFonts w:asciiTheme="majorHAnsi" w:hAnsiTheme="majorHAnsi" w:cs="Arial"/>
          <w:sz w:val="20"/>
          <w:szCs w:val="20"/>
        </w:rPr>
        <w:t>,</w:t>
      </w:r>
      <w:r w:rsidRPr="009E773A">
        <w:rPr>
          <w:rFonts w:asciiTheme="majorHAnsi" w:hAnsiTheme="majorHAnsi" w:cs="Arial"/>
          <w:sz w:val="20"/>
          <w:szCs w:val="20"/>
        </w:rPr>
        <w:t xml:space="preserve"> </w:t>
      </w:r>
      <w:r w:rsidR="00203A2A" w:rsidRPr="009E773A">
        <w:rPr>
          <w:rFonts w:asciiTheme="majorHAnsi" w:hAnsiTheme="majorHAnsi" w:cs="Arial"/>
          <w:sz w:val="20"/>
          <w:szCs w:val="20"/>
        </w:rPr>
        <w:t>estas se realizan en el marco de</w:t>
      </w:r>
      <w:r w:rsidRPr="009E773A">
        <w:rPr>
          <w:rFonts w:asciiTheme="majorHAnsi" w:hAnsiTheme="majorHAnsi"/>
          <w:sz w:val="20"/>
          <w:szCs w:val="20"/>
        </w:rPr>
        <w:t xml:space="preserve"> enfrentamientos simulados durante el curso de procedimientos de rutina</w:t>
      </w:r>
      <w:r w:rsidR="00203A2A" w:rsidRPr="009E773A">
        <w:rPr>
          <w:rFonts w:asciiTheme="majorHAnsi" w:hAnsiTheme="majorHAnsi"/>
          <w:sz w:val="20"/>
          <w:szCs w:val="20"/>
        </w:rPr>
        <w:t xml:space="preserve"> (por ejemplo, resistencia a la detención)</w:t>
      </w:r>
      <w:r w:rsidRPr="009E773A">
        <w:rPr>
          <w:rFonts w:asciiTheme="majorHAnsi" w:hAnsiTheme="majorHAnsi"/>
          <w:sz w:val="20"/>
          <w:szCs w:val="20"/>
        </w:rPr>
        <w:t xml:space="preserve">, </w:t>
      </w:r>
      <w:r w:rsidR="00203A2A" w:rsidRPr="009E773A">
        <w:rPr>
          <w:rFonts w:asciiTheme="majorHAnsi" w:hAnsiTheme="majorHAnsi"/>
          <w:sz w:val="20"/>
          <w:szCs w:val="20"/>
        </w:rPr>
        <w:t xml:space="preserve">o cuando las </w:t>
      </w:r>
      <w:r w:rsidRPr="009E773A">
        <w:rPr>
          <w:rFonts w:asciiTheme="majorHAnsi" w:hAnsiTheme="majorHAnsi"/>
          <w:sz w:val="20"/>
          <w:szCs w:val="20"/>
        </w:rPr>
        <w:t xml:space="preserve">víctimas han sido detenidas ilegal y/o arbitrariamente </w:t>
      </w:r>
      <w:r w:rsidR="00203A2A" w:rsidRPr="009E773A">
        <w:rPr>
          <w:rFonts w:asciiTheme="majorHAnsi" w:hAnsiTheme="majorHAnsi"/>
          <w:sz w:val="20"/>
          <w:szCs w:val="20"/>
        </w:rPr>
        <w:t>y se encuentran b</w:t>
      </w:r>
      <w:r w:rsidRPr="009E773A">
        <w:rPr>
          <w:rFonts w:asciiTheme="majorHAnsi" w:hAnsiTheme="majorHAnsi"/>
          <w:sz w:val="20"/>
          <w:szCs w:val="20"/>
        </w:rPr>
        <w:t xml:space="preserve">ajo custodia estatal. </w:t>
      </w:r>
      <w:r w:rsidR="00203A2A" w:rsidRPr="009E773A">
        <w:rPr>
          <w:rFonts w:asciiTheme="majorHAnsi" w:hAnsiTheme="majorHAnsi"/>
          <w:sz w:val="20"/>
          <w:szCs w:val="20"/>
        </w:rPr>
        <w:t>Así también, e</w:t>
      </w:r>
      <w:r w:rsidRPr="009E773A">
        <w:rPr>
          <w:rFonts w:asciiTheme="majorHAnsi" w:hAnsiTheme="majorHAnsi" w:cs="Arial"/>
          <w:sz w:val="20"/>
          <w:szCs w:val="20"/>
        </w:rPr>
        <w:t>n</w:t>
      </w:r>
      <w:r w:rsidRPr="009E773A">
        <w:rPr>
          <w:rFonts w:asciiTheme="majorHAnsi" w:hAnsiTheme="majorHAnsi"/>
          <w:sz w:val="20"/>
          <w:szCs w:val="20"/>
        </w:rPr>
        <w:t xml:space="preserve"> otras circunstancias, </w:t>
      </w:r>
      <w:r w:rsidR="00203A2A" w:rsidRPr="009E773A">
        <w:rPr>
          <w:rFonts w:asciiTheme="majorHAnsi" w:hAnsiTheme="majorHAnsi"/>
          <w:sz w:val="20"/>
          <w:szCs w:val="20"/>
        </w:rPr>
        <w:t xml:space="preserve">se ha identificado que los ataques se producen </w:t>
      </w:r>
      <w:r w:rsidRPr="009E773A">
        <w:rPr>
          <w:rFonts w:asciiTheme="majorHAnsi" w:hAnsiTheme="majorHAnsi"/>
          <w:sz w:val="20"/>
          <w:szCs w:val="20"/>
        </w:rPr>
        <w:t xml:space="preserve">tras allanamientos ilegales de personas encapuchadas o no </w:t>
      </w:r>
      <w:r w:rsidRPr="009E773A">
        <w:rPr>
          <w:rFonts w:asciiTheme="majorHAnsi" w:hAnsiTheme="majorHAnsi" w:cs="Arial"/>
          <w:sz w:val="20"/>
          <w:szCs w:val="20"/>
        </w:rPr>
        <w:t>identificadas</w:t>
      </w:r>
      <w:r w:rsidRPr="009E773A">
        <w:rPr>
          <w:rFonts w:asciiTheme="majorHAnsi" w:hAnsiTheme="majorHAnsi"/>
          <w:sz w:val="20"/>
          <w:szCs w:val="20"/>
        </w:rPr>
        <w:t xml:space="preserve"> que proceden al asesinato de las víctimas</w:t>
      </w:r>
      <w:r w:rsidRPr="009E773A">
        <w:rPr>
          <w:rStyle w:val="Refdenotaalpie"/>
          <w:rFonts w:asciiTheme="majorHAnsi" w:hAnsiTheme="majorHAnsi" w:cs="Arial"/>
          <w:sz w:val="20"/>
          <w:szCs w:val="20"/>
        </w:rPr>
        <w:footnoteReference w:id="10"/>
      </w:r>
      <w:r w:rsidRPr="009E773A">
        <w:rPr>
          <w:rFonts w:asciiTheme="majorHAnsi" w:hAnsiTheme="majorHAnsi"/>
          <w:sz w:val="20"/>
          <w:szCs w:val="20"/>
        </w:rPr>
        <w:t xml:space="preserve">. </w:t>
      </w:r>
    </w:p>
    <w:p w14:paraId="51C5D64A" w14:textId="77777777" w:rsidR="004255D1" w:rsidRPr="009E773A" w:rsidRDefault="004255D1" w:rsidP="009A79B6">
      <w:pPr>
        <w:pStyle w:val="Prrafodelista"/>
        <w:ind w:left="0"/>
        <w:jc w:val="both"/>
        <w:rPr>
          <w:rFonts w:asciiTheme="majorHAnsi" w:hAnsiTheme="majorHAnsi" w:cs="Calibri"/>
          <w:sz w:val="20"/>
          <w:szCs w:val="20"/>
          <w:lang w:val="es-CO"/>
        </w:rPr>
      </w:pPr>
    </w:p>
    <w:p w14:paraId="2DBAAC07" w14:textId="77777777" w:rsidR="004255D1" w:rsidRPr="009E773A" w:rsidRDefault="004255D1"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s="Calibri"/>
          <w:sz w:val="20"/>
          <w:szCs w:val="20"/>
        </w:rPr>
      </w:pPr>
      <w:r w:rsidRPr="009E773A">
        <w:rPr>
          <w:rFonts w:asciiTheme="majorHAnsi" w:hAnsiTheme="majorHAnsi" w:cs="Calibri"/>
          <w:sz w:val="20"/>
          <w:szCs w:val="20"/>
        </w:rPr>
        <w:t xml:space="preserve">Con base en la información documentada por organizaciones de la sociedad civil venezolana, la Comisión también ha establecido que este fenómeno afecta comúnmente a los “sectores más humildes”, en el marco de operativos o planes preventivos orientados a la detección, detención y retención de ciudadanos de supuesto comportamiento delictivo. Así, se “[…] detienen a supuestos involucrados y sin tomar las medidas pertinentes </w:t>
      </w:r>
      <w:r w:rsidRPr="009E773A">
        <w:rPr>
          <w:rFonts w:asciiTheme="majorHAnsi" w:hAnsiTheme="majorHAnsi" w:cs="Calibri"/>
          <w:i/>
          <w:sz w:val="20"/>
          <w:szCs w:val="20"/>
        </w:rPr>
        <w:t>in fraganti</w:t>
      </w:r>
      <w:r w:rsidR="006B366A" w:rsidRPr="009E773A">
        <w:rPr>
          <w:rFonts w:asciiTheme="majorHAnsi" w:hAnsiTheme="majorHAnsi" w:cs="Calibri"/>
          <w:sz w:val="20"/>
          <w:szCs w:val="20"/>
        </w:rPr>
        <w:t xml:space="preserve">  en la comisión de delitos o</w:t>
      </w:r>
      <w:r w:rsidRPr="009E773A">
        <w:rPr>
          <w:rFonts w:asciiTheme="majorHAnsi" w:hAnsiTheme="majorHAnsi" w:cs="Calibri"/>
          <w:sz w:val="20"/>
          <w:szCs w:val="20"/>
        </w:rPr>
        <w:t xml:space="preserve"> siendo detenidas, son aprehendidas brutalmente, mediante golpes […] y en muchos casos disparadas a quemarropa en presencia de testigos, introducidas a la unidad policial heridas, aparecen luego muertas en algún sitio abandonado o ingresadas sin signos vitales a un hospital o centro médico”</w:t>
      </w:r>
      <w:r w:rsidRPr="009E773A">
        <w:rPr>
          <w:rStyle w:val="Refdenotaalpie"/>
          <w:rFonts w:asciiTheme="majorHAnsi" w:hAnsiTheme="majorHAnsi" w:cs="Calibri"/>
          <w:sz w:val="20"/>
          <w:szCs w:val="20"/>
        </w:rPr>
        <w:footnoteReference w:id="11"/>
      </w:r>
      <w:r w:rsidRPr="009E773A">
        <w:rPr>
          <w:rFonts w:asciiTheme="majorHAnsi" w:hAnsiTheme="majorHAnsi" w:cs="Calibri"/>
          <w:sz w:val="20"/>
          <w:szCs w:val="20"/>
        </w:rPr>
        <w:t xml:space="preserve">. </w:t>
      </w:r>
      <w:r w:rsidR="00203A2A" w:rsidRPr="009E773A">
        <w:rPr>
          <w:rFonts w:asciiTheme="majorHAnsi" w:hAnsiTheme="majorHAnsi" w:cs="Calibri"/>
          <w:sz w:val="20"/>
          <w:szCs w:val="20"/>
        </w:rPr>
        <w:t xml:space="preserve">De acuerdo con la parte peticionaria, las víctimas en el </w:t>
      </w:r>
      <w:r w:rsidR="00183B07" w:rsidRPr="009E773A">
        <w:rPr>
          <w:rFonts w:asciiTheme="majorHAnsi" w:hAnsiTheme="majorHAnsi" w:cs="Calibri"/>
          <w:sz w:val="20"/>
          <w:szCs w:val="20"/>
        </w:rPr>
        <w:t>e</w:t>
      </w:r>
      <w:r w:rsidR="00203A2A" w:rsidRPr="009E773A">
        <w:rPr>
          <w:rFonts w:asciiTheme="majorHAnsi" w:hAnsiTheme="majorHAnsi" w:cs="Calibri"/>
          <w:sz w:val="20"/>
          <w:szCs w:val="20"/>
        </w:rPr>
        <w:t>stado de Falc</w:t>
      </w:r>
      <w:r w:rsidR="001B1056" w:rsidRPr="009E773A">
        <w:rPr>
          <w:rFonts w:asciiTheme="majorHAnsi" w:hAnsiTheme="majorHAnsi" w:cs="Calibri"/>
          <w:sz w:val="20"/>
          <w:szCs w:val="20"/>
        </w:rPr>
        <w:t>ón son “hombres jóvenes (…) pertenecientes a los sectores socio económicos más vulnerables”</w:t>
      </w:r>
      <w:r w:rsidR="001B1056" w:rsidRPr="009E773A">
        <w:rPr>
          <w:rStyle w:val="Refdenotaalpie"/>
          <w:rFonts w:asciiTheme="majorHAnsi" w:hAnsiTheme="majorHAnsi" w:cs="Calibri"/>
          <w:sz w:val="20"/>
          <w:szCs w:val="20"/>
        </w:rPr>
        <w:footnoteReference w:id="12"/>
      </w:r>
      <w:r w:rsidR="001B1056" w:rsidRPr="009E773A">
        <w:rPr>
          <w:rFonts w:asciiTheme="majorHAnsi" w:hAnsiTheme="majorHAnsi" w:cs="Calibri"/>
          <w:sz w:val="20"/>
          <w:szCs w:val="20"/>
        </w:rPr>
        <w:t xml:space="preserve">. </w:t>
      </w:r>
    </w:p>
    <w:p w14:paraId="6D664588" w14:textId="77777777" w:rsidR="005F667C" w:rsidRPr="009E773A" w:rsidRDefault="005F667C" w:rsidP="009A79B6">
      <w:pPr>
        <w:pStyle w:val="Prrafodelista"/>
        <w:ind w:left="0"/>
        <w:jc w:val="both"/>
        <w:rPr>
          <w:rFonts w:asciiTheme="majorHAnsi" w:hAnsiTheme="majorHAnsi" w:cs="Calibri"/>
          <w:sz w:val="20"/>
          <w:szCs w:val="20"/>
          <w:lang w:val="es-CO"/>
        </w:rPr>
      </w:pPr>
    </w:p>
    <w:p w14:paraId="07866D11" w14:textId="77777777" w:rsidR="005F667C" w:rsidRPr="009E773A" w:rsidRDefault="001B1056"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s="Calibri"/>
          <w:sz w:val="20"/>
          <w:szCs w:val="20"/>
        </w:rPr>
      </w:pPr>
      <w:r w:rsidRPr="009E773A">
        <w:rPr>
          <w:rFonts w:asciiTheme="majorHAnsi" w:hAnsiTheme="majorHAnsi" w:cs="Calibri"/>
          <w:sz w:val="20"/>
          <w:szCs w:val="20"/>
        </w:rPr>
        <w:t>Asimismo, el</w:t>
      </w:r>
      <w:r w:rsidR="005F667C" w:rsidRPr="009E773A">
        <w:rPr>
          <w:rFonts w:asciiTheme="majorHAnsi" w:hAnsiTheme="majorHAnsi" w:cs="Calibri"/>
          <w:sz w:val="20"/>
          <w:szCs w:val="20"/>
        </w:rPr>
        <w:t xml:space="preserve"> </w:t>
      </w:r>
      <w:r w:rsidR="005F667C" w:rsidRPr="009E773A">
        <w:rPr>
          <w:rFonts w:asciiTheme="majorHAnsi" w:hAnsiTheme="majorHAnsi" w:cs="Calibri"/>
          <w:i/>
          <w:sz w:val="20"/>
          <w:szCs w:val="20"/>
        </w:rPr>
        <w:t>modus operandi</w:t>
      </w:r>
      <w:r w:rsidRPr="009E773A">
        <w:rPr>
          <w:rFonts w:asciiTheme="majorHAnsi" w:hAnsiTheme="majorHAnsi" w:cs="Calibri"/>
          <w:sz w:val="20"/>
          <w:szCs w:val="20"/>
        </w:rPr>
        <w:t xml:space="preserve"> también incluye</w:t>
      </w:r>
      <w:r w:rsidR="005F667C" w:rsidRPr="009E773A">
        <w:rPr>
          <w:rFonts w:asciiTheme="majorHAnsi" w:hAnsiTheme="majorHAnsi" w:cs="Calibri"/>
          <w:sz w:val="20"/>
          <w:szCs w:val="20"/>
        </w:rPr>
        <w:t>: las amenazas y el asesinato en contra de testigos, incluyendo testigos presenciales de los hechos, quienes por esta situación “generalmente no forman parte de la investigación de los hechos que adelanta el Ministerio Público”; la “modificación del lugar del suceso” incluyendo la modificación o alteración de las evidencias, y la criminalización de las víctimas ante la opinión pública justificando su muerte “como la respuesta efectiva que dan las autoridades luego de que se ha producido un hecho delictivo (generalmente hurto o robo) protagonizado por la víctima”</w:t>
      </w:r>
      <w:r w:rsidR="005F667C" w:rsidRPr="009E773A">
        <w:rPr>
          <w:rStyle w:val="Refdenotaalpie"/>
          <w:rFonts w:asciiTheme="majorHAnsi" w:hAnsiTheme="majorHAnsi" w:cs="Calibri"/>
          <w:sz w:val="20"/>
          <w:szCs w:val="20"/>
        </w:rPr>
        <w:footnoteReference w:id="13"/>
      </w:r>
      <w:r w:rsidR="005F667C" w:rsidRPr="009E773A">
        <w:rPr>
          <w:rFonts w:asciiTheme="majorHAnsi" w:hAnsiTheme="majorHAnsi" w:cs="Calibri"/>
          <w:sz w:val="20"/>
          <w:szCs w:val="20"/>
        </w:rPr>
        <w:t>. Por su parte, la Defensoría del Pueblo en su informe anual del año 2001 identificó dentro de los “elementos comunes que favorecen la impunidad” en estos casos, “[…] la aceptación del discurso de enfrentamiento policial por parte de los organismos encargados de hacer cumplir la ley y por la propia ciudadanía, en virtud de que la misma conlleva a que no se realicen las investigaciones penales respectivas”</w:t>
      </w:r>
      <w:r w:rsidR="005F667C" w:rsidRPr="009E773A">
        <w:rPr>
          <w:rStyle w:val="Refdenotaalpie"/>
          <w:rFonts w:asciiTheme="majorHAnsi" w:hAnsiTheme="majorHAnsi" w:cs="Calibri"/>
          <w:sz w:val="20"/>
          <w:szCs w:val="20"/>
        </w:rPr>
        <w:footnoteReference w:id="14"/>
      </w:r>
      <w:r w:rsidR="005F667C" w:rsidRPr="009E773A">
        <w:rPr>
          <w:rFonts w:asciiTheme="majorHAnsi" w:hAnsiTheme="majorHAnsi" w:cs="Calibri"/>
          <w:sz w:val="20"/>
          <w:szCs w:val="20"/>
        </w:rPr>
        <w:t xml:space="preserve">. </w:t>
      </w:r>
    </w:p>
    <w:p w14:paraId="4B12E5FD" w14:textId="77777777" w:rsidR="005F667C" w:rsidRPr="009E773A" w:rsidRDefault="005F667C" w:rsidP="009A79B6">
      <w:pPr>
        <w:pStyle w:val="Prrafodelista"/>
        <w:ind w:left="0"/>
        <w:jc w:val="both"/>
        <w:rPr>
          <w:rFonts w:asciiTheme="majorHAnsi" w:hAnsiTheme="majorHAnsi" w:cs="Calibri"/>
          <w:sz w:val="20"/>
          <w:szCs w:val="20"/>
          <w:lang w:val="es-CO"/>
        </w:rPr>
      </w:pPr>
    </w:p>
    <w:p w14:paraId="2F0DF952" w14:textId="0001CCE3" w:rsidR="0075241B" w:rsidRPr="009E773A" w:rsidRDefault="001B1056"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s="Calibri"/>
          <w:sz w:val="20"/>
          <w:szCs w:val="20"/>
          <w:lang w:val="es-ES"/>
        </w:rPr>
      </w:pPr>
      <w:r w:rsidRPr="009E773A">
        <w:rPr>
          <w:rFonts w:asciiTheme="majorHAnsi" w:hAnsiTheme="majorHAnsi" w:cs="Calibri"/>
          <w:sz w:val="20"/>
          <w:szCs w:val="20"/>
        </w:rPr>
        <w:t xml:space="preserve">En este sentido, </w:t>
      </w:r>
      <w:r w:rsidR="00E76BDE" w:rsidRPr="009E773A">
        <w:rPr>
          <w:rFonts w:asciiTheme="majorHAnsi" w:hAnsiTheme="majorHAnsi" w:cs="Calibri"/>
          <w:sz w:val="20"/>
          <w:szCs w:val="20"/>
        </w:rPr>
        <w:t xml:space="preserve">sin dejar de reconocer el fenómeno a escala nacional, </w:t>
      </w:r>
      <w:r w:rsidRPr="009E773A">
        <w:rPr>
          <w:rFonts w:asciiTheme="majorHAnsi" w:hAnsiTheme="majorHAnsi" w:cs="Calibri"/>
          <w:sz w:val="20"/>
          <w:szCs w:val="20"/>
        </w:rPr>
        <w:t xml:space="preserve">el contexto descrito ha sido </w:t>
      </w:r>
      <w:r w:rsidR="008D2852" w:rsidRPr="009E773A">
        <w:rPr>
          <w:rFonts w:asciiTheme="majorHAnsi" w:hAnsiTheme="majorHAnsi" w:cs="Calibri"/>
          <w:sz w:val="20"/>
          <w:szCs w:val="20"/>
        </w:rPr>
        <w:t xml:space="preserve">dado por probado y </w:t>
      </w:r>
      <w:r w:rsidRPr="009E773A">
        <w:rPr>
          <w:rFonts w:asciiTheme="majorHAnsi" w:hAnsiTheme="majorHAnsi" w:cs="Calibri"/>
          <w:sz w:val="20"/>
          <w:szCs w:val="20"/>
        </w:rPr>
        <w:t xml:space="preserve">adscrito por la CIDH </w:t>
      </w:r>
      <w:r w:rsidR="008D2852" w:rsidRPr="009E773A">
        <w:rPr>
          <w:rFonts w:asciiTheme="majorHAnsi" w:hAnsiTheme="majorHAnsi" w:cs="Calibri"/>
          <w:sz w:val="20"/>
          <w:szCs w:val="20"/>
        </w:rPr>
        <w:t xml:space="preserve">y la Corte </w:t>
      </w:r>
      <w:r w:rsidR="00E76BDE" w:rsidRPr="009E773A">
        <w:rPr>
          <w:rFonts w:asciiTheme="majorHAnsi" w:hAnsiTheme="majorHAnsi" w:cs="Calibri"/>
          <w:sz w:val="20"/>
          <w:szCs w:val="20"/>
        </w:rPr>
        <w:t xml:space="preserve">en los casos </w:t>
      </w:r>
      <w:r w:rsidR="005F667C" w:rsidRPr="009E773A">
        <w:rPr>
          <w:rFonts w:asciiTheme="majorHAnsi" w:hAnsiTheme="majorHAnsi" w:cs="Calibri"/>
          <w:i/>
          <w:sz w:val="20"/>
          <w:szCs w:val="20"/>
        </w:rPr>
        <w:t>Familia Barrios vs. Venezuela</w:t>
      </w:r>
      <w:r w:rsidR="00E76BDE" w:rsidRPr="009E773A">
        <w:rPr>
          <w:rStyle w:val="Refdenotaalpie"/>
          <w:rFonts w:asciiTheme="majorHAnsi" w:hAnsiTheme="majorHAnsi" w:cs="Calibri"/>
          <w:sz w:val="20"/>
          <w:szCs w:val="20"/>
        </w:rPr>
        <w:footnoteReference w:id="15"/>
      </w:r>
      <w:r w:rsidR="00E76BDE" w:rsidRPr="009E773A">
        <w:rPr>
          <w:rFonts w:asciiTheme="majorHAnsi" w:hAnsiTheme="majorHAnsi" w:cs="Calibri"/>
          <w:sz w:val="20"/>
          <w:szCs w:val="20"/>
        </w:rPr>
        <w:t xml:space="preserve"> y </w:t>
      </w:r>
      <w:r w:rsidR="005F667C" w:rsidRPr="009E773A">
        <w:rPr>
          <w:rFonts w:asciiTheme="majorHAnsi" w:hAnsiTheme="majorHAnsi" w:cs="Calibri"/>
          <w:i/>
          <w:sz w:val="20"/>
          <w:szCs w:val="20"/>
        </w:rPr>
        <w:t>Hermanos Landaeta Mejías y otros vs. Venezuela</w:t>
      </w:r>
      <w:r w:rsidR="00E76BDE" w:rsidRPr="009E773A">
        <w:rPr>
          <w:rStyle w:val="Refdenotaalpie"/>
          <w:rFonts w:asciiTheme="majorHAnsi" w:hAnsiTheme="majorHAnsi"/>
          <w:sz w:val="20"/>
          <w:szCs w:val="20"/>
        </w:rPr>
        <w:footnoteReference w:id="16"/>
      </w:r>
      <w:r w:rsidR="00E76BDE" w:rsidRPr="009E773A">
        <w:rPr>
          <w:rFonts w:asciiTheme="majorHAnsi" w:hAnsiTheme="majorHAnsi" w:cs="Calibri"/>
          <w:sz w:val="20"/>
          <w:szCs w:val="20"/>
        </w:rPr>
        <w:t xml:space="preserve"> por la acción de policías regionales en el estado Aragua.</w:t>
      </w:r>
      <w:r w:rsidR="008D2852" w:rsidRPr="009E773A">
        <w:rPr>
          <w:rFonts w:asciiTheme="majorHAnsi" w:hAnsiTheme="majorHAnsi" w:cs="Calibri"/>
          <w:sz w:val="20"/>
          <w:szCs w:val="20"/>
        </w:rPr>
        <w:t xml:space="preserve"> </w:t>
      </w:r>
      <w:r w:rsidR="00E76BDE" w:rsidRPr="009E773A">
        <w:rPr>
          <w:rFonts w:asciiTheme="majorHAnsi" w:hAnsiTheme="majorHAnsi" w:cs="Calibri"/>
          <w:sz w:val="20"/>
          <w:szCs w:val="20"/>
        </w:rPr>
        <w:t xml:space="preserve"> Asimismo, </w:t>
      </w:r>
      <w:r w:rsidR="005E77EA" w:rsidRPr="009E773A">
        <w:rPr>
          <w:rFonts w:asciiTheme="majorHAnsi" w:hAnsiTheme="majorHAnsi" w:cs="Calibri"/>
          <w:sz w:val="20"/>
          <w:szCs w:val="20"/>
        </w:rPr>
        <w:t xml:space="preserve">en el caso </w:t>
      </w:r>
      <w:r w:rsidR="005E77EA" w:rsidRPr="009E773A">
        <w:rPr>
          <w:rFonts w:asciiTheme="majorHAnsi" w:hAnsiTheme="majorHAnsi" w:cs="Calibri"/>
          <w:i/>
          <w:sz w:val="20"/>
          <w:szCs w:val="20"/>
        </w:rPr>
        <w:t>Uz</w:t>
      </w:r>
      <w:r w:rsidR="00F42D31" w:rsidRPr="009E773A">
        <w:rPr>
          <w:rFonts w:asciiTheme="majorHAnsi" w:hAnsiTheme="majorHAnsi" w:cs="Calibri"/>
          <w:i/>
          <w:sz w:val="20"/>
          <w:szCs w:val="20"/>
        </w:rPr>
        <w:t>cá</w:t>
      </w:r>
      <w:r w:rsidR="005E77EA" w:rsidRPr="009E773A">
        <w:rPr>
          <w:rFonts w:asciiTheme="majorHAnsi" w:hAnsiTheme="majorHAnsi" w:cs="Calibri"/>
          <w:i/>
          <w:sz w:val="20"/>
          <w:szCs w:val="20"/>
        </w:rPr>
        <w:t>tegui y otros vs. Venezuela</w:t>
      </w:r>
      <w:r w:rsidR="005E77EA" w:rsidRPr="009E773A">
        <w:rPr>
          <w:rFonts w:asciiTheme="majorHAnsi" w:hAnsiTheme="majorHAnsi" w:cs="Calibri"/>
          <w:sz w:val="20"/>
          <w:szCs w:val="20"/>
        </w:rPr>
        <w:t xml:space="preserve"> la Comisión </w:t>
      </w:r>
      <w:r w:rsidR="00F42D31" w:rsidRPr="009E773A">
        <w:rPr>
          <w:rFonts w:asciiTheme="majorHAnsi" w:hAnsiTheme="majorHAnsi" w:cs="Calibri"/>
          <w:sz w:val="20"/>
          <w:szCs w:val="20"/>
        </w:rPr>
        <w:t>reconoció la incidencia del contexto en el estado Falcón</w:t>
      </w:r>
      <w:r w:rsidR="00965FBD" w:rsidRPr="009E773A">
        <w:rPr>
          <w:rFonts w:asciiTheme="majorHAnsi" w:hAnsiTheme="majorHAnsi" w:cs="Calibri"/>
          <w:sz w:val="20"/>
          <w:szCs w:val="20"/>
        </w:rPr>
        <w:t xml:space="preserve"> a partir de la información pública de órganos del Estado venezolano en el mismo marco temporal que los hechos del presente caso</w:t>
      </w:r>
      <w:r w:rsidR="00965FBD" w:rsidRPr="009E773A">
        <w:rPr>
          <w:rStyle w:val="Refdenotaalpie"/>
          <w:rFonts w:asciiTheme="majorHAnsi" w:hAnsiTheme="majorHAnsi" w:cs="Calibri"/>
          <w:sz w:val="20"/>
          <w:szCs w:val="20"/>
        </w:rPr>
        <w:footnoteReference w:id="17"/>
      </w:r>
      <w:r w:rsidR="00965FBD" w:rsidRPr="009E773A">
        <w:rPr>
          <w:rFonts w:asciiTheme="majorHAnsi" w:hAnsiTheme="majorHAnsi" w:cs="Calibri"/>
          <w:sz w:val="20"/>
          <w:szCs w:val="20"/>
        </w:rPr>
        <w:t>.</w:t>
      </w:r>
      <w:r w:rsidR="00183B07" w:rsidRPr="009E773A">
        <w:rPr>
          <w:rFonts w:asciiTheme="majorHAnsi" w:hAnsiTheme="majorHAnsi" w:cs="Calibri"/>
          <w:sz w:val="20"/>
          <w:szCs w:val="20"/>
        </w:rPr>
        <w:t xml:space="preserve"> E</w:t>
      </w:r>
      <w:r w:rsidR="00965FBD" w:rsidRPr="009E773A">
        <w:rPr>
          <w:rFonts w:asciiTheme="majorHAnsi" w:hAnsiTheme="majorHAnsi" w:cs="Calibri"/>
          <w:sz w:val="20"/>
          <w:szCs w:val="20"/>
        </w:rPr>
        <w:t>n su sentencia sobre el mismo caso la Co</w:t>
      </w:r>
      <w:r w:rsidR="005F667C" w:rsidRPr="009E773A">
        <w:rPr>
          <w:rFonts w:asciiTheme="majorHAnsi" w:hAnsiTheme="majorHAnsi"/>
          <w:sz w:val="20"/>
          <w:szCs w:val="20"/>
        </w:rPr>
        <w:t xml:space="preserve">rte Interamericana </w:t>
      </w:r>
      <w:r w:rsidR="00D85AE3" w:rsidRPr="009E773A">
        <w:rPr>
          <w:rFonts w:asciiTheme="majorHAnsi" w:hAnsiTheme="majorHAnsi"/>
          <w:sz w:val="20"/>
          <w:szCs w:val="20"/>
        </w:rPr>
        <w:t xml:space="preserve">determinó </w:t>
      </w:r>
      <w:r w:rsidR="005F667C" w:rsidRPr="009E773A">
        <w:rPr>
          <w:rFonts w:asciiTheme="majorHAnsi" w:hAnsiTheme="majorHAnsi"/>
          <w:sz w:val="20"/>
          <w:szCs w:val="20"/>
        </w:rPr>
        <w:t>que para ese momento “en el Estado ocurrían ejecuciones extrajudiciales y otros abusos por parte de las fuerzas policiales, en particular por las policías estaduales y municipales”</w:t>
      </w:r>
      <w:r w:rsidR="00D85AE3" w:rsidRPr="009E773A">
        <w:rPr>
          <w:rFonts w:asciiTheme="majorHAnsi" w:hAnsiTheme="majorHAnsi"/>
          <w:sz w:val="20"/>
          <w:szCs w:val="20"/>
        </w:rPr>
        <w:t xml:space="preserve"> adscribiendo dicho contexto al estado Falcón</w:t>
      </w:r>
      <w:r w:rsidR="005F667C" w:rsidRPr="009E773A">
        <w:rPr>
          <w:rStyle w:val="Refdenotaalpie"/>
          <w:rFonts w:asciiTheme="majorHAnsi" w:hAnsiTheme="majorHAnsi"/>
          <w:sz w:val="20"/>
          <w:szCs w:val="20"/>
        </w:rPr>
        <w:footnoteReference w:id="18"/>
      </w:r>
      <w:r w:rsidR="005F667C" w:rsidRPr="009E773A">
        <w:rPr>
          <w:rFonts w:asciiTheme="majorHAnsi" w:hAnsiTheme="majorHAnsi"/>
          <w:sz w:val="20"/>
          <w:szCs w:val="20"/>
        </w:rPr>
        <w:t>.</w:t>
      </w:r>
      <w:r w:rsidR="009B35E6" w:rsidRPr="009E773A">
        <w:rPr>
          <w:rFonts w:asciiTheme="majorHAnsi" w:hAnsiTheme="majorHAnsi"/>
          <w:sz w:val="20"/>
          <w:szCs w:val="20"/>
        </w:rPr>
        <w:t xml:space="preserve"> La parte peticionaria indicó que de acuerdo con su investigación en el </w:t>
      </w:r>
      <w:r w:rsidR="001922CF" w:rsidRPr="009E773A">
        <w:rPr>
          <w:rFonts w:asciiTheme="majorHAnsi" w:hAnsiTheme="majorHAnsi"/>
          <w:sz w:val="20"/>
          <w:szCs w:val="20"/>
        </w:rPr>
        <w:t>e</w:t>
      </w:r>
      <w:r w:rsidR="009B35E6" w:rsidRPr="009E773A">
        <w:rPr>
          <w:rFonts w:asciiTheme="majorHAnsi" w:hAnsiTheme="majorHAnsi"/>
          <w:sz w:val="20"/>
          <w:szCs w:val="20"/>
        </w:rPr>
        <w:t xml:space="preserve">stado Falcón se realizó un proceso de restructuración </w:t>
      </w:r>
      <w:r w:rsidR="0020192C" w:rsidRPr="009E773A">
        <w:rPr>
          <w:rFonts w:asciiTheme="majorHAnsi" w:hAnsiTheme="majorHAnsi"/>
          <w:sz w:val="20"/>
          <w:szCs w:val="20"/>
        </w:rPr>
        <w:t>policial, en el</w:t>
      </w:r>
      <w:r w:rsidR="009B35E6" w:rsidRPr="009E773A">
        <w:rPr>
          <w:rFonts w:asciiTheme="majorHAnsi" w:hAnsiTheme="majorHAnsi"/>
          <w:sz w:val="20"/>
          <w:szCs w:val="20"/>
        </w:rPr>
        <w:t xml:space="preserve"> año 2000</w:t>
      </w:r>
      <w:r w:rsidR="0020192C" w:rsidRPr="009E773A">
        <w:rPr>
          <w:rFonts w:asciiTheme="majorHAnsi" w:hAnsiTheme="majorHAnsi"/>
          <w:sz w:val="20"/>
          <w:szCs w:val="20"/>
        </w:rPr>
        <w:t xml:space="preserve">, </w:t>
      </w:r>
      <w:r w:rsidR="00775BC9" w:rsidRPr="009E773A">
        <w:rPr>
          <w:rFonts w:asciiTheme="majorHAnsi" w:hAnsiTheme="majorHAnsi"/>
          <w:sz w:val="20"/>
          <w:szCs w:val="20"/>
        </w:rPr>
        <w:t xml:space="preserve">creó dos “brigadas de élite” </w:t>
      </w:r>
      <w:r w:rsidR="0020192C" w:rsidRPr="009E773A">
        <w:rPr>
          <w:rFonts w:asciiTheme="majorHAnsi" w:hAnsiTheme="majorHAnsi"/>
          <w:sz w:val="20"/>
          <w:szCs w:val="20"/>
        </w:rPr>
        <w:t xml:space="preserve">momento a partir </w:t>
      </w:r>
      <w:r w:rsidR="00347947" w:rsidRPr="009E773A">
        <w:rPr>
          <w:rFonts w:asciiTheme="majorHAnsi" w:hAnsiTheme="majorHAnsi"/>
          <w:sz w:val="20"/>
          <w:szCs w:val="20"/>
        </w:rPr>
        <w:t>del cual se reportaron más</w:t>
      </w:r>
      <w:r w:rsidR="0020192C" w:rsidRPr="009E773A">
        <w:rPr>
          <w:rFonts w:asciiTheme="majorHAnsi" w:hAnsiTheme="majorHAnsi"/>
          <w:sz w:val="20"/>
          <w:szCs w:val="20"/>
        </w:rPr>
        <w:t xml:space="preserve"> muertes por enfrentamientos policiales en los municipios de Coro y Punto Fijo. </w:t>
      </w:r>
      <w:r w:rsidR="00347947" w:rsidRPr="009E773A">
        <w:rPr>
          <w:rFonts w:asciiTheme="majorHAnsi" w:hAnsiTheme="majorHAnsi"/>
          <w:sz w:val="20"/>
          <w:szCs w:val="20"/>
        </w:rPr>
        <w:t>Las muertes</w:t>
      </w:r>
      <w:r w:rsidR="0020192C" w:rsidRPr="009E773A">
        <w:rPr>
          <w:rFonts w:asciiTheme="majorHAnsi" w:hAnsiTheme="majorHAnsi"/>
          <w:sz w:val="20"/>
          <w:szCs w:val="20"/>
        </w:rPr>
        <w:t xml:space="preserve"> bajo las modalidades ya</w:t>
      </w:r>
      <w:r w:rsidR="00775BC9" w:rsidRPr="009E773A">
        <w:rPr>
          <w:rFonts w:asciiTheme="majorHAnsi" w:hAnsiTheme="majorHAnsi"/>
          <w:sz w:val="20"/>
          <w:szCs w:val="20"/>
        </w:rPr>
        <w:t xml:space="preserve"> descritas fueron incrementando, siempre caracterizadas por las narrativas contradictorias entre las fuerzas policiales y los familiares de las víctimas</w:t>
      </w:r>
      <w:r w:rsidR="00775BC9" w:rsidRPr="009E773A">
        <w:rPr>
          <w:rStyle w:val="Refdenotaalpie"/>
          <w:rFonts w:asciiTheme="majorHAnsi" w:hAnsiTheme="majorHAnsi"/>
          <w:sz w:val="20"/>
          <w:szCs w:val="20"/>
        </w:rPr>
        <w:footnoteReference w:id="19"/>
      </w:r>
      <w:r w:rsidR="00347947" w:rsidRPr="009E773A">
        <w:rPr>
          <w:rFonts w:asciiTheme="majorHAnsi" w:hAnsiTheme="majorHAnsi"/>
          <w:sz w:val="20"/>
          <w:szCs w:val="20"/>
        </w:rPr>
        <w:t xml:space="preserve">, </w:t>
      </w:r>
      <w:r w:rsidR="00775BC9" w:rsidRPr="009E773A">
        <w:rPr>
          <w:rFonts w:asciiTheme="majorHAnsi" w:hAnsiTheme="majorHAnsi"/>
          <w:sz w:val="20"/>
          <w:szCs w:val="20"/>
        </w:rPr>
        <w:t xml:space="preserve">y la falta de investigación. Hacía el 2005 la parte peticionaria contaba 200 casos que respondían al patrón, de los cuales 180 no superaban la etapa de investigación. </w:t>
      </w:r>
    </w:p>
    <w:p w14:paraId="46229388" w14:textId="77777777" w:rsidR="008D2852" w:rsidRPr="009E773A" w:rsidRDefault="008D2852"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cs="Calibri"/>
          <w:sz w:val="20"/>
          <w:szCs w:val="20"/>
          <w:lang w:val="es-ES"/>
        </w:rPr>
      </w:pPr>
    </w:p>
    <w:p w14:paraId="3782B2F5" w14:textId="77777777" w:rsidR="00502AD3" w:rsidRPr="009E773A" w:rsidRDefault="001E17CE" w:rsidP="009A79B6">
      <w:pPr>
        <w:pStyle w:val="Ttulo2"/>
        <w:ind w:firstLine="0"/>
      </w:pPr>
      <w:bookmarkStart w:id="7" w:name="_Toc2159212"/>
      <w:r w:rsidRPr="009E773A">
        <w:t>Información disponible sobre las presuntas víctimas y sus familiares</w:t>
      </w:r>
      <w:bookmarkEnd w:id="7"/>
    </w:p>
    <w:p w14:paraId="2C181FB8" w14:textId="77777777" w:rsidR="00502AD3" w:rsidRPr="009E773A" w:rsidRDefault="00502AD3"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634"/>
        <w:jc w:val="both"/>
        <w:rPr>
          <w:rFonts w:asciiTheme="majorHAnsi" w:hAnsiTheme="majorHAnsi"/>
          <w:sz w:val="20"/>
          <w:szCs w:val="20"/>
        </w:rPr>
      </w:pPr>
    </w:p>
    <w:p w14:paraId="3485B0F5" w14:textId="77777777" w:rsidR="00BE1DA0" w:rsidRPr="009E773A" w:rsidRDefault="00502AD3"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r w:rsidRPr="009E773A">
        <w:rPr>
          <w:rFonts w:asciiTheme="majorHAnsi" w:hAnsiTheme="majorHAnsi"/>
          <w:sz w:val="20"/>
          <w:szCs w:val="20"/>
        </w:rPr>
        <w:t xml:space="preserve">Jimmy Guerrero nació </w:t>
      </w:r>
      <w:r w:rsidR="000A4FCF" w:rsidRPr="009E773A">
        <w:rPr>
          <w:rFonts w:asciiTheme="majorHAnsi" w:hAnsiTheme="majorHAnsi"/>
          <w:sz w:val="20"/>
          <w:szCs w:val="20"/>
        </w:rPr>
        <w:t>el 19 de abril de 1976</w:t>
      </w:r>
      <w:r w:rsidR="00BE1DA0" w:rsidRPr="009E773A">
        <w:rPr>
          <w:rFonts w:asciiTheme="majorHAnsi" w:hAnsiTheme="majorHAnsi"/>
          <w:sz w:val="20"/>
          <w:szCs w:val="20"/>
        </w:rPr>
        <w:t xml:space="preserve"> en </w:t>
      </w:r>
      <w:r w:rsidR="004033D2" w:rsidRPr="009E773A">
        <w:rPr>
          <w:rFonts w:asciiTheme="majorHAnsi" w:hAnsiTheme="majorHAnsi"/>
          <w:sz w:val="20"/>
          <w:szCs w:val="20"/>
        </w:rPr>
        <w:t>el</w:t>
      </w:r>
      <w:r w:rsidR="00BE1DA0" w:rsidRPr="009E773A">
        <w:rPr>
          <w:rFonts w:asciiTheme="majorHAnsi" w:hAnsiTheme="majorHAnsi"/>
          <w:sz w:val="20"/>
          <w:szCs w:val="20"/>
        </w:rPr>
        <w:t xml:space="preserve"> estado Falcón</w:t>
      </w:r>
      <w:r w:rsidR="00095221" w:rsidRPr="009E773A">
        <w:rPr>
          <w:rFonts w:asciiTheme="majorHAnsi" w:hAnsiTheme="majorHAnsi"/>
          <w:sz w:val="20"/>
          <w:szCs w:val="20"/>
        </w:rPr>
        <w:t>, Venezuela</w:t>
      </w:r>
      <w:r w:rsidR="00BE1DA0" w:rsidRPr="009E773A">
        <w:rPr>
          <w:rFonts w:asciiTheme="majorHAnsi" w:hAnsiTheme="majorHAnsi"/>
          <w:sz w:val="20"/>
          <w:szCs w:val="20"/>
        </w:rPr>
        <w:t xml:space="preserve">. </w:t>
      </w:r>
      <w:r w:rsidR="000A4FCF" w:rsidRPr="009E773A">
        <w:rPr>
          <w:rFonts w:asciiTheme="majorHAnsi" w:hAnsiTheme="majorHAnsi"/>
          <w:sz w:val="20"/>
          <w:szCs w:val="20"/>
        </w:rPr>
        <w:t>Para la fecha de los hechos</w:t>
      </w:r>
      <w:r w:rsidR="00063914" w:rsidRPr="009E773A">
        <w:rPr>
          <w:rFonts w:asciiTheme="majorHAnsi" w:hAnsiTheme="majorHAnsi"/>
          <w:sz w:val="20"/>
          <w:szCs w:val="20"/>
        </w:rPr>
        <w:t xml:space="preserve"> tenía 26 años de edad.</w:t>
      </w:r>
      <w:r w:rsidR="00BE1DA0" w:rsidRPr="009E773A">
        <w:rPr>
          <w:rFonts w:asciiTheme="majorHAnsi" w:hAnsiTheme="majorHAnsi"/>
          <w:sz w:val="20"/>
          <w:szCs w:val="20"/>
        </w:rPr>
        <w:t xml:space="preserve"> En el expediente ante la CIDH se han identificado los siguientes familiares: </w:t>
      </w:r>
      <w:r w:rsidR="000E381D" w:rsidRPr="009E773A">
        <w:rPr>
          <w:rFonts w:asciiTheme="majorHAnsi" w:hAnsiTheme="majorHAnsi"/>
          <w:sz w:val="20"/>
          <w:szCs w:val="20"/>
        </w:rPr>
        <w:t>Nieves Guerrero</w:t>
      </w:r>
      <w:r w:rsidR="002F3DB4" w:rsidRPr="009E773A">
        <w:rPr>
          <w:rFonts w:asciiTheme="majorHAnsi" w:hAnsiTheme="majorHAnsi"/>
          <w:sz w:val="20"/>
          <w:szCs w:val="20"/>
        </w:rPr>
        <w:t xml:space="preserve"> </w:t>
      </w:r>
      <w:r w:rsidR="00BE1DA0" w:rsidRPr="009E773A">
        <w:rPr>
          <w:rFonts w:asciiTheme="majorHAnsi" w:hAnsiTheme="majorHAnsi"/>
          <w:sz w:val="20"/>
          <w:szCs w:val="20"/>
        </w:rPr>
        <w:t>(padre), E</w:t>
      </w:r>
      <w:r w:rsidRPr="009E773A">
        <w:rPr>
          <w:rFonts w:asciiTheme="majorHAnsi" w:hAnsiTheme="majorHAnsi"/>
          <w:sz w:val="20"/>
          <w:szCs w:val="20"/>
        </w:rPr>
        <w:t>milia Meléndez</w:t>
      </w:r>
      <w:r w:rsidR="00BE1DA0" w:rsidRPr="009E773A">
        <w:rPr>
          <w:rFonts w:asciiTheme="majorHAnsi" w:hAnsiTheme="majorHAnsi"/>
          <w:sz w:val="20"/>
          <w:szCs w:val="20"/>
        </w:rPr>
        <w:t xml:space="preserve"> (madre)</w:t>
      </w:r>
      <w:r w:rsidRPr="009E773A">
        <w:rPr>
          <w:rFonts w:asciiTheme="majorHAnsi" w:hAnsiTheme="majorHAnsi"/>
          <w:sz w:val="20"/>
          <w:szCs w:val="20"/>
        </w:rPr>
        <w:t xml:space="preserve">; </w:t>
      </w:r>
      <w:r w:rsidR="00BE1DA0" w:rsidRPr="009E773A">
        <w:rPr>
          <w:rFonts w:asciiTheme="majorHAnsi" w:hAnsiTheme="majorHAnsi"/>
          <w:sz w:val="20"/>
          <w:szCs w:val="20"/>
        </w:rPr>
        <w:t>sus hermanos y hermana: Franklin, Yarelis y Jean Carlos, todos de apellido Guerrero; y sus hijos e hijas, María Guadalupe Guerrero, Francisco Guerrero, Yimmi Eliécer Colina, Jiannibeth Stephanny Colina, y Diana Colina, quienes tenían 8, 7, 6, 5 y 4 años</w:t>
      </w:r>
      <w:r w:rsidR="00CA4536" w:rsidRPr="009E773A">
        <w:rPr>
          <w:rFonts w:asciiTheme="majorHAnsi" w:hAnsiTheme="majorHAnsi"/>
          <w:sz w:val="20"/>
          <w:szCs w:val="20"/>
        </w:rPr>
        <w:t xml:space="preserve"> al momento de </w:t>
      </w:r>
      <w:r w:rsidR="00095221" w:rsidRPr="009E773A">
        <w:rPr>
          <w:rFonts w:asciiTheme="majorHAnsi" w:hAnsiTheme="majorHAnsi"/>
          <w:sz w:val="20"/>
          <w:szCs w:val="20"/>
        </w:rPr>
        <w:t>presentarse la</w:t>
      </w:r>
      <w:r w:rsidR="00CA4536" w:rsidRPr="009E773A">
        <w:rPr>
          <w:rFonts w:asciiTheme="majorHAnsi" w:hAnsiTheme="majorHAnsi"/>
          <w:sz w:val="20"/>
          <w:szCs w:val="20"/>
        </w:rPr>
        <w:t xml:space="preserve"> petición inicial</w:t>
      </w:r>
      <w:r w:rsidR="00BE1DA0" w:rsidRPr="009E773A">
        <w:rPr>
          <w:rFonts w:asciiTheme="majorHAnsi" w:hAnsiTheme="majorHAnsi"/>
          <w:sz w:val="20"/>
          <w:szCs w:val="20"/>
        </w:rPr>
        <w:t>. También se identificó a su sobrina Fraily Guerrero</w:t>
      </w:r>
      <w:r w:rsidR="00BE1DA0" w:rsidRPr="009E773A">
        <w:rPr>
          <w:rStyle w:val="Refdenotaalpie"/>
          <w:rFonts w:asciiTheme="majorHAnsi" w:hAnsiTheme="majorHAnsi"/>
          <w:sz w:val="20"/>
          <w:szCs w:val="20"/>
        </w:rPr>
        <w:footnoteReference w:id="20"/>
      </w:r>
      <w:r w:rsidR="00BE1DA0" w:rsidRPr="009E773A">
        <w:rPr>
          <w:rFonts w:asciiTheme="majorHAnsi" w:hAnsiTheme="majorHAnsi"/>
          <w:sz w:val="20"/>
          <w:szCs w:val="20"/>
        </w:rPr>
        <w:t>, y a su pareja Anny Colina</w:t>
      </w:r>
      <w:r w:rsidR="004033D2" w:rsidRPr="009E773A">
        <w:rPr>
          <w:rFonts w:asciiTheme="majorHAnsi" w:hAnsiTheme="majorHAnsi"/>
          <w:sz w:val="20"/>
          <w:szCs w:val="20"/>
        </w:rPr>
        <w:t>, quien se encontraba embarazada al momento de los hechos</w:t>
      </w:r>
      <w:r w:rsidR="005B3936" w:rsidRPr="009E773A">
        <w:rPr>
          <w:rStyle w:val="Refdenotaalpie"/>
          <w:rFonts w:asciiTheme="majorHAnsi" w:hAnsiTheme="majorHAnsi"/>
          <w:sz w:val="20"/>
          <w:szCs w:val="20"/>
        </w:rPr>
        <w:footnoteReference w:id="21"/>
      </w:r>
      <w:r w:rsidR="00BE1DA0" w:rsidRPr="009E773A">
        <w:rPr>
          <w:rFonts w:asciiTheme="majorHAnsi" w:hAnsiTheme="majorHAnsi"/>
          <w:sz w:val="20"/>
          <w:szCs w:val="20"/>
        </w:rPr>
        <w:t xml:space="preserve">. </w:t>
      </w:r>
    </w:p>
    <w:p w14:paraId="07E27C0D" w14:textId="77777777" w:rsidR="00204027" w:rsidRPr="009E773A" w:rsidRDefault="00204027"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634"/>
        <w:jc w:val="both"/>
        <w:rPr>
          <w:rFonts w:asciiTheme="majorHAnsi" w:hAnsiTheme="majorHAnsi"/>
          <w:sz w:val="20"/>
          <w:szCs w:val="20"/>
        </w:rPr>
      </w:pPr>
    </w:p>
    <w:p w14:paraId="16BDB86C" w14:textId="76C4208B" w:rsidR="003D1484" w:rsidRPr="009E773A" w:rsidRDefault="00204027"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r w:rsidRPr="009E773A">
        <w:rPr>
          <w:rFonts w:asciiTheme="majorHAnsi" w:hAnsiTheme="majorHAnsi"/>
          <w:sz w:val="20"/>
          <w:szCs w:val="20"/>
        </w:rPr>
        <w:t>Ramón Molina</w:t>
      </w:r>
      <w:r w:rsidR="00095221" w:rsidRPr="009E773A">
        <w:rPr>
          <w:rFonts w:asciiTheme="majorHAnsi" w:hAnsiTheme="majorHAnsi"/>
          <w:sz w:val="20"/>
          <w:szCs w:val="20"/>
        </w:rPr>
        <w:t xml:space="preserve"> era</w:t>
      </w:r>
      <w:r w:rsidRPr="009E773A">
        <w:rPr>
          <w:rFonts w:asciiTheme="majorHAnsi" w:hAnsiTheme="majorHAnsi"/>
          <w:sz w:val="20"/>
          <w:szCs w:val="20"/>
        </w:rPr>
        <w:t xml:space="preserve"> tío de Jimmy Guerrero </w:t>
      </w:r>
      <w:r w:rsidR="00095221" w:rsidRPr="009E773A">
        <w:rPr>
          <w:rFonts w:asciiTheme="majorHAnsi" w:hAnsiTheme="majorHAnsi"/>
          <w:sz w:val="20"/>
          <w:szCs w:val="20"/>
        </w:rPr>
        <w:t xml:space="preserve">y para el momento de los hechos tenía </w:t>
      </w:r>
      <w:r w:rsidR="0007340B" w:rsidRPr="009E773A">
        <w:rPr>
          <w:rFonts w:asciiTheme="majorHAnsi" w:hAnsiTheme="majorHAnsi"/>
          <w:sz w:val="20"/>
          <w:szCs w:val="20"/>
        </w:rPr>
        <w:t>49</w:t>
      </w:r>
      <w:r w:rsidR="00095221" w:rsidRPr="009E773A">
        <w:rPr>
          <w:rFonts w:asciiTheme="majorHAnsi" w:hAnsiTheme="majorHAnsi"/>
          <w:sz w:val="20"/>
          <w:szCs w:val="20"/>
        </w:rPr>
        <w:t xml:space="preserve"> años de edad</w:t>
      </w:r>
      <w:r w:rsidRPr="009E773A">
        <w:rPr>
          <w:rStyle w:val="Refdenotaalpie"/>
          <w:rFonts w:asciiTheme="majorHAnsi" w:hAnsiTheme="majorHAnsi"/>
          <w:sz w:val="20"/>
          <w:szCs w:val="20"/>
        </w:rPr>
        <w:footnoteReference w:id="22"/>
      </w:r>
      <w:r w:rsidRPr="009E773A">
        <w:rPr>
          <w:rFonts w:asciiTheme="majorHAnsi" w:hAnsiTheme="majorHAnsi"/>
          <w:sz w:val="20"/>
          <w:szCs w:val="20"/>
        </w:rPr>
        <w:t xml:space="preserve">. </w:t>
      </w:r>
      <w:r w:rsidR="006A2FA3" w:rsidRPr="009E773A">
        <w:rPr>
          <w:rFonts w:asciiTheme="majorHAnsi" w:hAnsiTheme="majorHAnsi"/>
          <w:sz w:val="20"/>
          <w:szCs w:val="20"/>
        </w:rPr>
        <w:t xml:space="preserve">En el expediente ante la CIDH se han identificado los siguientes familiares del señor Molina: </w:t>
      </w:r>
      <w:r w:rsidR="00D13C4A" w:rsidRPr="009E773A">
        <w:rPr>
          <w:rFonts w:asciiTheme="majorHAnsi" w:hAnsiTheme="majorHAnsi"/>
          <w:sz w:val="20"/>
          <w:szCs w:val="20"/>
        </w:rPr>
        <w:t>s</w:t>
      </w:r>
      <w:r w:rsidR="00502AD3" w:rsidRPr="009E773A">
        <w:rPr>
          <w:rFonts w:asciiTheme="majorHAnsi" w:hAnsiTheme="majorHAnsi"/>
          <w:sz w:val="20"/>
          <w:szCs w:val="20"/>
        </w:rPr>
        <w:t xml:space="preserve">u esposa </w:t>
      </w:r>
      <w:r w:rsidR="00550166" w:rsidRPr="009E773A">
        <w:rPr>
          <w:rFonts w:asciiTheme="majorHAnsi" w:hAnsiTheme="majorHAnsi"/>
          <w:sz w:val="20"/>
          <w:szCs w:val="20"/>
        </w:rPr>
        <w:t>Soledad Morillo</w:t>
      </w:r>
      <w:r w:rsidR="00502AD3" w:rsidRPr="009E773A">
        <w:rPr>
          <w:rFonts w:asciiTheme="majorHAnsi" w:hAnsiTheme="majorHAnsi"/>
          <w:sz w:val="20"/>
          <w:szCs w:val="20"/>
        </w:rPr>
        <w:t>;</w:t>
      </w:r>
      <w:r w:rsidR="00F86022" w:rsidRPr="009E773A">
        <w:rPr>
          <w:rFonts w:asciiTheme="majorHAnsi" w:hAnsiTheme="majorHAnsi"/>
          <w:sz w:val="20"/>
          <w:szCs w:val="20"/>
        </w:rPr>
        <w:t xml:space="preserve"> y</w:t>
      </w:r>
      <w:r w:rsidR="00502AD3" w:rsidRPr="009E773A">
        <w:rPr>
          <w:rFonts w:asciiTheme="majorHAnsi" w:hAnsiTheme="majorHAnsi"/>
          <w:sz w:val="20"/>
          <w:szCs w:val="20"/>
        </w:rPr>
        <w:t xml:space="preserve"> sus hijos Alexander Ramón Molina, </w:t>
      </w:r>
      <w:r w:rsidR="00F86022" w:rsidRPr="009E773A">
        <w:rPr>
          <w:rFonts w:asciiTheme="majorHAnsi" w:hAnsiTheme="majorHAnsi"/>
          <w:sz w:val="20"/>
          <w:szCs w:val="20"/>
        </w:rPr>
        <w:t>Jeannacary Molina</w:t>
      </w:r>
      <w:r w:rsidR="00A55BB7" w:rsidRPr="009E773A">
        <w:rPr>
          <w:rFonts w:asciiTheme="majorHAnsi" w:hAnsiTheme="majorHAnsi"/>
          <w:sz w:val="20"/>
          <w:szCs w:val="20"/>
        </w:rPr>
        <w:t xml:space="preserve">, </w:t>
      </w:r>
      <w:r w:rsidR="001771BE" w:rsidRPr="009E773A">
        <w:rPr>
          <w:rFonts w:asciiTheme="majorHAnsi" w:hAnsiTheme="majorHAnsi"/>
          <w:sz w:val="20"/>
          <w:szCs w:val="20"/>
        </w:rPr>
        <w:t>Y</w:t>
      </w:r>
      <w:r w:rsidR="00F16894" w:rsidRPr="009E773A">
        <w:rPr>
          <w:rFonts w:asciiTheme="majorHAnsi" w:hAnsiTheme="majorHAnsi"/>
          <w:sz w:val="20"/>
          <w:szCs w:val="20"/>
        </w:rPr>
        <w:t xml:space="preserve">azmín Molina, </w:t>
      </w:r>
      <w:r w:rsidR="00A55BB7" w:rsidRPr="009E773A">
        <w:rPr>
          <w:rFonts w:asciiTheme="majorHAnsi" w:hAnsiTheme="majorHAnsi"/>
          <w:sz w:val="20"/>
          <w:szCs w:val="20"/>
        </w:rPr>
        <w:t xml:space="preserve">Endy Molina </w:t>
      </w:r>
      <w:r w:rsidR="00265320" w:rsidRPr="009E773A">
        <w:rPr>
          <w:rFonts w:asciiTheme="majorHAnsi" w:hAnsiTheme="majorHAnsi"/>
          <w:sz w:val="20"/>
          <w:szCs w:val="20"/>
        </w:rPr>
        <w:t>y</w:t>
      </w:r>
      <w:r w:rsidR="00A55BB7" w:rsidRPr="009E773A">
        <w:rPr>
          <w:rFonts w:asciiTheme="majorHAnsi" w:hAnsiTheme="majorHAnsi"/>
          <w:sz w:val="20"/>
          <w:szCs w:val="20"/>
        </w:rPr>
        <w:t xml:space="preserve"> Ramón Molina, quienes a la fecha de los años tenían 28, 25, 2</w:t>
      </w:r>
      <w:r w:rsidR="00F16894" w:rsidRPr="009E773A">
        <w:rPr>
          <w:rFonts w:asciiTheme="majorHAnsi" w:hAnsiTheme="majorHAnsi"/>
          <w:sz w:val="20"/>
          <w:szCs w:val="20"/>
        </w:rPr>
        <w:t>3</w:t>
      </w:r>
      <w:r w:rsidR="00A55BB7" w:rsidRPr="009E773A">
        <w:rPr>
          <w:rFonts w:asciiTheme="majorHAnsi" w:hAnsiTheme="majorHAnsi"/>
          <w:sz w:val="20"/>
          <w:szCs w:val="20"/>
        </w:rPr>
        <w:t>, 2</w:t>
      </w:r>
      <w:r w:rsidR="00F16894" w:rsidRPr="009E773A">
        <w:rPr>
          <w:rFonts w:asciiTheme="majorHAnsi" w:hAnsiTheme="majorHAnsi"/>
          <w:sz w:val="20"/>
          <w:szCs w:val="20"/>
        </w:rPr>
        <w:t>1</w:t>
      </w:r>
      <w:r w:rsidR="009722C8" w:rsidRPr="009E773A">
        <w:rPr>
          <w:rFonts w:asciiTheme="majorHAnsi" w:hAnsiTheme="majorHAnsi"/>
          <w:sz w:val="20"/>
          <w:szCs w:val="20"/>
        </w:rPr>
        <w:t xml:space="preserve"> y</w:t>
      </w:r>
      <w:r w:rsidR="00A55BB7" w:rsidRPr="009E773A">
        <w:rPr>
          <w:rFonts w:asciiTheme="majorHAnsi" w:hAnsiTheme="majorHAnsi"/>
          <w:sz w:val="20"/>
          <w:szCs w:val="20"/>
        </w:rPr>
        <w:t xml:space="preserve"> 15 años</w:t>
      </w:r>
      <w:r w:rsidR="006A2FA3" w:rsidRPr="009E773A">
        <w:rPr>
          <w:rFonts w:asciiTheme="majorHAnsi" w:hAnsiTheme="majorHAnsi"/>
          <w:sz w:val="20"/>
          <w:szCs w:val="20"/>
        </w:rPr>
        <w:t>,</w:t>
      </w:r>
      <w:r w:rsidR="00A55BB7" w:rsidRPr="009E773A">
        <w:rPr>
          <w:rFonts w:asciiTheme="majorHAnsi" w:hAnsiTheme="majorHAnsi"/>
          <w:sz w:val="20"/>
          <w:szCs w:val="20"/>
        </w:rPr>
        <w:t xml:space="preserve"> respectivamente</w:t>
      </w:r>
      <w:r w:rsidR="00502AD3" w:rsidRPr="009E773A">
        <w:rPr>
          <w:rStyle w:val="Refdenotaalpie"/>
          <w:rFonts w:asciiTheme="majorHAnsi" w:hAnsiTheme="majorHAnsi"/>
          <w:sz w:val="20"/>
          <w:szCs w:val="20"/>
        </w:rPr>
        <w:footnoteReference w:id="23"/>
      </w:r>
      <w:r w:rsidR="00502AD3" w:rsidRPr="009E773A">
        <w:rPr>
          <w:rFonts w:asciiTheme="majorHAnsi" w:hAnsiTheme="majorHAnsi"/>
          <w:sz w:val="20"/>
          <w:szCs w:val="20"/>
        </w:rPr>
        <w:t>.</w:t>
      </w:r>
      <w:r w:rsidR="00100015" w:rsidRPr="009E773A">
        <w:rPr>
          <w:rFonts w:asciiTheme="majorHAnsi" w:hAnsiTheme="majorHAnsi"/>
          <w:sz w:val="20"/>
          <w:szCs w:val="20"/>
        </w:rPr>
        <w:t xml:space="preserve"> </w:t>
      </w:r>
    </w:p>
    <w:p w14:paraId="0758B578" w14:textId="77777777" w:rsidR="003D1484" w:rsidRPr="009E773A" w:rsidRDefault="003D1484" w:rsidP="009A79B6">
      <w:pPr>
        <w:pStyle w:val="Prrafodelista"/>
        <w:rPr>
          <w:rFonts w:asciiTheme="majorHAnsi" w:hAnsiTheme="majorHAnsi"/>
          <w:sz w:val="20"/>
          <w:szCs w:val="20"/>
          <w:lang w:val="es-US"/>
        </w:rPr>
      </w:pPr>
    </w:p>
    <w:p w14:paraId="713672D7" w14:textId="77777777" w:rsidR="005B4769" w:rsidRPr="009E773A" w:rsidRDefault="001F5C7C" w:rsidP="009A79B6">
      <w:pPr>
        <w:pStyle w:val="Ttulo2"/>
        <w:ind w:firstLine="0"/>
      </w:pPr>
      <w:bookmarkStart w:id="8" w:name="_Toc2159213"/>
      <w:r w:rsidRPr="009E773A">
        <w:t>Hechos previos a la muerte de Jimmy Guerrero y Ramón Antonio Molina</w:t>
      </w:r>
      <w:bookmarkEnd w:id="8"/>
    </w:p>
    <w:p w14:paraId="50E08F6D" w14:textId="77777777" w:rsidR="00502AD3" w:rsidRPr="009E773A" w:rsidRDefault="00502AD3"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634"/>
        <w:jc w:val="both"/>
        <w:rPr>
          <w:rFonts w:asciiTheme="majorHAnsi" w:hAnsiTheme="majorHAnsi"/>
          <w:sz w:val="20"/>
          <w:szCs w:val="20"/>
        </w:rPr>
      </w:pPr>
    </w:p>
    <w:p w14:paraId="51EB2309" w14:textId="77777777" w:rsidR="0073270A" w:rsidRPr="009E773A" w:rsidRDefault="00740B94"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r w:rsidRPr="009E773A">
        <w:rPr>
          <w:rFonts w:asciiTheme="majorHAnsi" w:hAnsiTheme="majorHAnsi"/>
          <w:sz w:val="20"/>
          <w:szCs w:val="20"/>
        </w:rPr>
        <w:t xml:space="preserve">En el expediente ante la Comisión consta </w:t>
      </w:r>
      <w:r w:rsidR="00C73697" w:rsidRPr="009E773A">
        <w:rPr>
          <w:rFonts w:asciiTheme="majorHAnsi" w:hAnsiTheme="majorHAnsi"/>
          <w:sz w:val="20"/>
          <w:szCs w:val="20"/>
        </w:rPr>
        <w:t>documentación relacionada</w:t>
      </w:r>
      <w:r w:rsidRPr="009E773A">
        <w:rPr>
          <w:rFonts w:asciiTheme="majorHAnsi" w:hAnsiTheme="majorHAnsi"/>
          <w:sz w:val="20"/>
          <w:szCs w:val="20"/>
        </w:rPr>
        <w:t xml:space="preserve"> con hechos previos a la muerte de Jimmy Guerrero, específicamente </w:t>
      </w:r>
      <w:r w:rsidR="00C73697" w:rsidRPr="009E773A">
        <w:rPr>
          <w:rFonts w:asciiTheme="majorHAnsi" w:hAnsiTheme="majorHAnsi"/>
          <w:sz w:val="20"/>
          <w:szCs w:val="20"/>
        </w:rPr>
        <w:t xml:space="preserve">denuncias presentadas por </w:t>
      </w:r>
      <w:r w:rsidRPr="009E773A">
        <w:rPr>
          <w:rFonts w:asciiTheme="majorHAnsi" w:hAnsiTheme="majorHAnsi"/>
          <w:sz w:val="20"/>
          <w:szCs w:val="20"/>
        </w:rPr>
        <w:t>amenazas de muerte, acoso y detenc</w:t>
      </w:r>
      <w:r w:rsidR="009D7A58" w:rsidRPr="009E773A">
        <w:rPr>
          <w:rFonts w:asciiTheme="majorHAnsi" w:hAnsiTheme="majorHAnsi"/>
          <w:sz w:val="20"/>
          <w:szCs w:val="20"/>
        </w:rPr>
        <w:t xml:space="preserve">iones arbitrarias en el Ministerio Público, la Defensoría del Pueblo y la opinión pública a través de medios de comunicación social. </w:t>
      </w:r>
    </w:p>
    <w:p w14:paraId="44ABF353" w14:textId="77777777" w:rsidR="0073270A" w:rsidRPr="009E773A" w:rsidRDefault="0073270A"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sz w:val="20"/>
          <w:szCs w:val="20"/>
        </w:rPr>
      </w:pPr>
    </w:p>
    <w:p w14:paraId="13A295F1" w14:textId="30FCCD58" w:rsidR="00EB100E" w:rsidRPr="009E773A" w:rsidRDefault="00C73697"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r w:rsidRPr="009E773A">
        <w:rPr>
          <w:rFonts w:asciiTheme="majorHAnsi" w:hAnsiTheme="majorHAnsi"/>
          <w:sz w:val="20"/>
          <w:szCs w:val="20"/>
        </w:rPr>
        <w:t xml:space="preserve">Jimmy Guerrero </w:t>
      </w:r>
      <w:r w:rsidR="0073270A" w:rsidRPr="009E773A">
        <w:rPr>
          <w:rFonts w:asciiTheme="majorHAnsi" w:hAnsiTheme="majorHAnsi"/>
          <w:sz w:val="20"/>
          <w:szCs w:val="20"/>
        </w:rPr>
        <w:t>denunció</w:t>
      </w:r>
      <w:r w:rsidR="00EB100E" w:rsidRPr="009E773A">
        <w:rPr>
          <w:rFonts w:asciiTheme="majorHAnsi" w:hAnsiTheme="majorHAnsi"/>
          <w:sz w:val="20"/>
          <w:szCs w:val="20"/>
        </w:rPr>
        <w:t xml:space="preserve">, </w:t>
      </w:r>
      <w:r w:rsidRPr="009E773A">
        <w:rPr>
          <w:rFonts w:asciiTheme="majorHAnsi" w:hAnsiTheme="majorHAnsi"/>
          <w:sz w:val="20"/>
          <w:szCs w:val="20"/>
        </w:rPr>
        <w:t>el 16 de agosto de 2001</w:t>
      </w:r>
      <w:r w:rsidR="00EB100E" w:rsidRPr="009E773A">
        <w:rPr>
          <w:rFonts w:asciiTheme="majorHAnsi" w:hAnsiTheme="majorHAnsi"/>
          <w:sz w:val="20"/>
          <w:szCs w:val="20"/>
        </w:rPr>
        <w:t>,</w:t>
      </w:r>
      <w:r w:rsidRPr="009E773A">
        <w:rPr>
          <w:rFonts w:asciiTheme="majorHAnsi" w:hAnsiTheme="majorHAnsi"/>
          <w:sz w:val="20"/>
          <w:szCs w:val="20"/>
        </w:rPr>
        <w:t xml:space="preserve"> </w:t>
      </w:r>
      <w:r w:rsidR="007936A0" w:rsidRPr="009E773A">
        <w:rPr>
          <w:rFonts w:asciiTheme="majorHAnsi" w:hAnsiTheme="majorHAnsi"/>
          <w:sz w:val="20"/>
          <w:szCs w:val="20"/>
        </w:rPr>
        <w:t xml:space="preserve">“acosamiento policial” </w:t>
      </w:r>
      <w:r w:rsidRPr="009E773A">
        <w:rPr>
          <w:rFonts w:asciiTheme="majorHAnsi" w:hAnsiTheme="majorHAnsi"/>
          <w:sz w:val="20"/>
          <w:szCs w:val="20"/>
        </w:rPr>
        <w:t>ante la Fisca</w:t>
      </w:r>
      <w:r w:rsidR="0073270A" w:rsidRPr="009E773A">
        <w:rPr>
          <w:rFonts w:asciiTheme="majorHAnsi" w:hAnsiTheme="majorHAnsi"/>
          <w:sz w:val="20"/>
          <w:szCs w:val="20"/>
        </w:rPr>
        <w:t>lía Superior del estado Falcón</w:t>
      </w:r>
      <w:r w:rsidR="00EB100E" w:rsidRPr="009E773A">
        <w:rPr>
          <w:rFonts w:asciiTheme="majorHAnsi" w:hAnsiTheme="majorHAnsi"/>
          <w:sz w:val="20"/>
          <w:szCs w:val="20"/>
        </w:rPr>
        <w:t xml:space="preserve"> (en adelante “la Fiscalía Superior”). </w:t>
      </w:r>
      <w:r w:rsidR="00AC3E37" w:rsidRPr="009E773A">
        <w:rPr>
          <w:rFonts w:asciiTheme="majorHAnsi" w:hAnsiTheme="majorHAnsi"/>
          <w:sz w:val="20"/>
          <w:szCs w:val="20"/>
        </w:rPr>
        <w:t>S</w:t>
      </w:r>
      <w:r w:rsidR="00100015" w:rsidRPr="009E773A">
        <w:rPr>
          <w:rFonts w:asciiTheme="majorHAnsi" w:hAnsiTheme="majorHAnsi"/>
          <w:sz w:val="20"/>
          <w:szCs w:val="20"/>
        </w:rPr>
        <w:t>eñaló que en la noche del 13 de agosto de 2001 “</w:t>
      </w:r>
      <w:r w:rsidR="0046232F" w:rsidRPr="009E773A">
        <w:rPr>
          <w:rFonts w:asciiTheme="majorHAnsi" w:hAnsiTheme="majorHAnsi"/>
          <w:sz w:val="20"/>
          <w:szCs w:val="20"/>
        </w:rPr>
        <w:t>un motorizado se acercó y me amenazó de muerte y advirtiéndome que siempre ande acompañado porque en lo q</w:t>
      </w:r>
      <w:r w:rsidR="00791849" w:rsidRPr="009E773A">
        <w:rPr>
          <w:rFonts w:asciiTheme="majorHAnsi" w:hAnsiTheme="majorHAnsi"/>
          <w:sz w:val="20"/>
          <w:szCs w:val="20"/>
        </w:rPr>
        <w:t>ue me viera sólo me iba a matar</w:t>
      </w:r>
      <w:r w:rsidR="00100015" w:rsidRPr="009E773A">
        <w:rPr>
          <w:rFonts w:asciiTheme="majorHAnsi" w:hAnsiTheme="majorHAnsi"/>
          <w:sz w:val="20"/>
          <w:szCs w:val="20"/>
        </w:rPr>
        <w:t>”</w:t>
      </w:r>
      <w:r w:rsidR="00691C44" w:rsidRPr="009E773A">
        <w:rPr>
          <w:rStyle w:val="Refdenotaalpie"/>
          <w:rFonts w:asciiTheme="majorHAnsi" w:hAnsiTheme="majorHAnsi"/>
          <w:sz w:val="20"/>
          <w:szCs w:val="20"/>
        </w:rPr>
        <w:footnoteReference w:id="24"/>
      </w:r>
      <w:r w:rsidR="00691C44" w:rsidRPr="009E773A">
        <w:rPr>
          <w:rFonts w:asciiTheme="majorHAnsi" w:hAnsiTheme="majorHAnsi"/>
          <w:sz w:val="20"/>
          <w:szCs w:val="20"/>
        </w:rPr>
        <w:t xml:space="preserve">. </w:t>
      </w:r>
      <w:r w:rsidR="0073270A" w:rsidRPr="009E773A">
        <w:rPr>
          <w:rFonts w:asciiTheme="majorHAnsi" w:hAnsiTheme="majorHAnsi"/>
          <w:sz w:val="20"/>
          <w:szCs w:val="20"/>
        </w:rPr>
        <w:t>E</w:t>
      </w:r>
      <w:r w:rsidR="00285BE3" w:rsidRPr="009E773A">
        <w:rPr>
          <w:rFonts w:asciiTheme="majorHAnsi" w:hAnsiTheme="majorHAnsi"/>
          <w:sz w:val="20"/>
          <w:szCs w:val="20"/>
        </w:rPr>
        <w:t>l 19 de agosto de 2002</w:t>
      </w:r>
      <w:r w:rsidR="007936A0" w:rsidRPr="009E773A">
        <w:rPr>
          <w:rFonts w:asciiTheme="majorHAnsi" w:hAnsiTheme="majorHAnsi"/>
          <w:sz w:val="20"/>
          <w:szCs w:val="20"/>
        </w:rPr>
        <w:t xml:space="preserve"> </w:t>
      </w:r>
      <w:r w:rsidR="00EB100E" w:rsidRPr="009E773A">
        <w:rPr>
          <w:rFonts w:asciiTheme="majorHAnsi" w:hAnsiTheme="majorHAnsi"/>
          <w:sz w:val="20"/>
          <w:szCs w:val="20"/>
        </w:rPr>
        <w:t>la Fiscalía Superior</w:t>
      </w:r>
      <w:r w:rsidR="007936A0" w:rsidRPr="009E773A">
        <w:rPr>
          <w:rFonts w:asciiTheme="majorHAnsi" w:hAnsiTheme="majorHAnsi"/>
          <w:sz w:val="20"/>
          <w:szCs w:val="20"/>
        </w:rPr>
        <w:t xml:space="preserve"> abrió</w:t>
      </w:r>
      <w:r w:rsidR="00691C44" w:rsidRPr="009E773A">
        <w:rPr>
          <w:rFonts w:asciiTheme="majorHAnsi" w:hAnsiTheme="majorHAnsi"/>
          <w:sz w:val="20"/>
          <w:szCs w:val="20"/>
        </w:rPr>
        <w:t xml:space="preserve"> la causa No. 2202-02, por el delito de amenazas </w:t>
      </w:r>
      <w:r w:rsidR="00EB100E" w:rsidRPr="009E773A">
        <w:rPr>
          <w:rFonts w:asciiTheme="majorHAnsi" w:hAnsiTheme="majorHAnsi"/>
          <w:sz w:val="20"/>
          <w:szCs w:val="20"/>
        </w:rPr>
        <w:t xml:space="preserve">de supuestos </w:t>
      </w:r>
      <w:r w:rsidR="00691C44" w:rsidRPr="009E773A">
        <w:rPr>
          <w:rFonts w:asciiTheme="majorHAnsi" w:hAnsiTheme="majorHAnsi"/>
          <w:sz w:val="20"/>
          <w:szCs w:val="20"/>
        </w:rPr>
        <w:t>funcionario policiales</w:t>
      </w:r>
      <w:r w:rsidR="00691C44" w:rsidRPr="009E773A">
        <w:rPr>
          <w:rStyle w:val="Refdenotaalpie"/>
          <w:rFonts w:asciiTheme="majorHAnsi" w:hAnsiTheme="majorHAnsi"/>
          <w:sz w:val="20"/>
          <w:szCs w:val="20"/>
        </w:rPr>
        <w:footnoteReference w:id="25"/>
      </w:r>
      <w:r w:rsidR="00EB100E" w:rsidRPr="009E773A">
        <w:rPr>
          <w:rFonts w:asciiTheme="majorHAnsi" w:hAnsiTheme="majorHAnsi"/>
          <w:sz w:val="20"/>
          <w:szCs w:val="20"/>
        </w:rPr>
        <w:t xml:space="preserve">, sin embargo, el </w:t>
      </w:r>
      <w:r w:rsidR="0095526E" w:rsidRPr="009E773A">
        <w:rPr>
          <w:rFonts w:asciiTheme="majorHAnsi" w:hAnsiTheme="majorHAnsi"/>
          <w:sz w:val="20"/>
          <w:szCs w:val="20"/>
        </w:rPr>
        <w:t>1</w:t>
      </w:r>
      <w:r w:rsidR="00285BE3" w:rsidRPr="009E773A">
        <w:rPr>
          <w:rFonts w:asciiTheme="majorHAnsi" w:hAnsiTheme="majorHAnsi"/>
          <w:sz w:val="20"/>
          <w:szCs w:val="20"/>
        </w:rPr>
        <w:t>3</w:t>
      </w:r>
      <w:r w:rsidR="0095526E" w:rsidRPr="009E773A">
        <w:rPr>
          <w:rFonts w:asciiTheme="majorHAnsi" w:hAnsiTheme="majorHAnsi"/>
          <w:sz w:val="20"/>
          <w:szCs w:val="20"/>
        </w:rPr>
        <w:t xml:space="preserve"> de septiembre de 2002</w:t>
      </w:r>
      <w:r w:rsidR="00EB100E" w:rsidRPr="009E773A">
        <w:rPr>
          <w:rFonts w:asciiTheme="majorHAnsi" w:hAnsiTheme="majorHAnsi"/>
          <w:sz w:val="20"/>
          <w:szCs w:val="20"/>
        </w:rPr>
        <w:t xml:space="preserve"> remitió</w:t>
      </w:r>
      <w:r w:rsidR="00691C44" w:rsidRPr="009E773A">
        <w:rPr>
          <w:rFonts w:asciiTheme="majorHAnsi" w:hAnsiTheme="majorHAnsi"/>
          <w:sz w:val="20"/>
          <w:szCs w:val="20"/>
        </w:rPr>
        <w:t xml:space="preserve"> el expediente a otra</w:t>
      </w:r>
      <w:r w:rsidR="0095526E" w:rsidRPr="009E773A">
        <w:rPr>
          <w:rFonts w:asciiTheme="majorHAnsi" w:hAnsiTheme="majorHAnsi"/>
          <w:sz w:val="20"/>
          <w:szCs w:val="20"/>
        </w:rPr>
        <w:t xml:space="preserve"> Fiscalía</w:t>
      </w:r>
      <w:r w:rsidR="00285BE3" w:rsidRPr="009E773A">
        <w:rPr>
          <w:rFonts w:asciiTheme="majorHAnsi" w:hAnsiTheme="majorHAnsi"/>
          <w:sz w:val="20"/>
          <w:szCs w:val="20"/>
        </w:rPr>
        <w:t xml:space="preserve"> “por cuanto en esa representación Fiscal cursa averiguación en su contra y su denuncia versa justamente con relación a dicha causa, pues lo</w:t>
      </w:r>
      <w:r w:rsidR="00E15346" w:rsidRPr="009E773A">
        <w:rPr>
          <w:rFonts w:asciiTheme="majorHAnsi" w:hAnsiTheme="majorHAnsi"/>
          <w:sz w:val="20"/>
          <w:szCs w:val="20"/>
        </w:rPr>
        <w:t>s</w:t>
      </w:r>
      <w:r w:rsidR="00285BE3" w:rsidRPr="009E773A">
        <w:rPr>
          <w:rFonts w:asciiTheme="majorHAnsi" w:hAnsiTheme="majorHAnsi"/>
          <w:sz w:val="20"/>
          <w:szCs w:val="20"/>
        </w:rPr>
        <w:t xml:space="preserve"> funcionarios policiales actuantes en dicho procedimiento son los señalados por parte dicho imputado de acosarlo y amenazarlo de muerte</w:t>
      </w:r>
      <w:r w:rsidR="0095526E" w:rsidRPr="009E773A">
        <w:rPr>
          <w:rFonts w:asciiTheme="majorHAnsi" w:hAnsiTheme="majorHAnsi"/>
          <w:sz w:val="20"/>
          <w:szCs w:val="20"/>
        </w:rPr>
        <w:t>”</w:t>
      </w:r>
      <w:r w:rsidR="0095526E" w:rsidRPr="009E773A">
        <w:rPr>
          <w:rStyle w:val="Refdenotaalpie"/>
          <w:rFonts w:asciiTheme="majorHAnsi" w:hAnsiTheme="majorHAnsi"/>
          <w:sz w:val="20"/>
          <w:szCs w:val="20"/>
        </w:rPr>
        <w:footnoteReference w:id="26"/>
      </w:r>
      <w:r w:rsidR="0095526E" w:rsidRPr="009E773A">
        <w:rPr>
          <w:rFonts w:asciiTheme="majorHAnsi" w:hAnsiTheme="majorHAnsi"/>
          <w:sz w:val="20"/>
          <w:szCs w:val="20"/>
        </w:rPr>
        <w:t xml:space="preserve">. </w:t>
      </w:r>
      <w:r w:rsidR="00EB100E" w:rsidRPr="009E773A">
        <w:rPr>
          <w:rFonts w:asciiTheme="majorHAnsi" w:hAnsiTheme="majorHAnsi"/>
          <w:sz w:val="20"/>
          <w:szCs w:val="20"/>
        </w:rPr>
        <w:t xml:space="preserve">No constan más diligencias. </w:t>
      </w:r>
    </w:p>
    <w:p w14:paraId="5F5EE968" w14:textId="77777777" w:rsidR="00EB100E" w:rsidRPr="009E773A" w:rsidRDefault="00EB100E" w:rsidP="009A79B6">
      <w:pPr>
        <w:pStyle w:val="Prrafodelista"/>
        <w:rPr>
          <w:rFonts w:asciiTheme="majorHAnsi" w:hAnsiTheme="majorHAnsi"/>
          <w:sz w:val="20"/>
          <w:szCs w:val="20"/>
          <w:lang w:val="es-CO"/>
        </w:rPr>
      </w:pPr>
    </w:p>
    <w:p w14:paraId="572D3716" w14:textId="77777777" w:rsidR="009D7A58" w:rsidRPr="009E773A" w:rsidRDefault="007936A0"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r w:rsidRPr="009E773A">
        <w:rPr>
          <w:rFonts w:asciiTheme="majorHAnsi" w:hAnsiTheme="majorHAnsi"/>
          <w:sz w:val="20"/>
          <w:szCs w:val="20"/>
        </w:rPr>
        <w:t xml:space="preserve">La segunda denuncia </w:t>
      </w:r>
      <w:r w:rsidR="004004D7" w:rsidRPr="009E773A">
        <w:rPr>
          <w:rFonts w:asciiTheme="majorHAnsi" w:hAnsiTheme="majorHAnsi"/>
          <w:sz w:val="20"/>
          <w:szCs w:val="20"/>
        </w:rPr>
        <w:t xml:space="preserve">penal </w:t>
      </w:r>
      <w:r w:rsidR="009D7A58" w:rsidRPr="009E773A">
        <w:rPr>
          <w:rFonts w:asciiTheme="majorHAnsi" w:hAnsiTheme="majorHAnsi"/>
          <w:sz w:val="20"/>
          <w:szCs w:val="20"/>
        </w:rPr>
        <w:t>fue interpuesta el</w:t>
      </w:r>
      <w:r w:rsidR="00984419" w:rsidRPr="009E773A">
        <w:rPr>
          <w:rFonts w:asciiTheme="majorHAnsi" w:hAnsiTheme="majorHAnsi"/>
          <w:sz w:val="20"/>
          <w:szCs w:val="20"/>
        </w:rPr>
        <w:t xml:space="preserve"> </w:t>
      </w:r>
      <w:r w:rsidR="009D7A58" w:rsidRPr="009E773A">
        <w:rPr>
          <w:rFonts w:asciiTheme="majorHAnsi" w:hAnsiTheme="majorHAnsi"/>
          <w:sz w:val="20"/>
          <w:szCs w:val="20"/>
        </w:rPr>
        <w:t xml:space="preserve">27 de septiembre de 2002. </w:t>
      </w:r>
      <w:r w:rsidR="00C73697" w:rsidRPr="009E773A">
        <w:rPr>
          <w:rFonts w:asciiTheme="majorHAnsi" w:hAnsiTheme="majorHAnsi"/>
          <w:sz w:val="20"/>
          <w:szCs w:val="20"/>
        </w:rPr>
        <w:t>Jimmy Guerrero volvió a denunciar ante la Fiscalía Superior nuevos hechos de “acoso policial”</w:t>
      </w:r>
      <w:r w:rsidR="00036FAF" w:rsidRPr="009E773A">
        <w:rPr>
          <w:rFonts w:asciiTheme="majorHAnsi" w:hAnsiTheme="majorHAnsi"/>
          <w:sz w:val="20"/>
          <w:szCs w:val="20"/>
        </w:rPr>
        <w:t>, refiriendo un episodio en el cual le acusaron de portar un arma de fuego que el afirmó que no le pertenecía</w:t>
      </w:r>
      <w:r w:rsidR="00036FAF" w:rsidRPr="009E773A">
        <w:rPr>
          <w:rStyle w:val="Refdenotaalpie"/>
          <w:rFonts w:asciiTheme="majorHAnsi" w:hAnsiTheme="majorHAnsi"/>
          <w:sz w:val="20"/>
          <w:szCs w:val="20"/>
        </w:rPr>
        <w:footnoteReference w:id="27"/>
      </w:r>
      <w:r w:rsidR="00036FAF" w:rsidRPr="009E773A">
        <w:rPr>
          <w:rFonts w:asciiTheme="majorHAnsi" w:hAnsiTheme="majorHAnsi"/>
          <w:sz w:val="20"/>
          <w:szCs w:val="20"/>
        </w:rPr>
        <w:t xml:space="preserve">. </w:t>
      </w:r>
      <w:r w:rsidR="009D7A58" w:rsidRPr="009E773A">
        <w:rPr>
          <w:rFonts w:asciiTheme="majorHAnsi" w:hAnsiTheme="majorHAnsi"/>
          <w:sz w:val="20"/>
          <w:szCs w:val="20"/>
        </w:rPr>
        <w:t>La tercera denuncia</w:t>
      </w:r>
      <w:r w:rsidR="004004D7" w:rsidRPr="009E773A">
        <w:rPr>
          <w:rFonts w:asciiTheme="majorHAnsi" w:hAnsiTheme="majorHAnsi"/>
          <w:sz w:val="20"/>
          <w:szCs w:val="20"/>
        </w:rPr>
        <w:t xml:space="preserve"> penal</w:t>
      </w:r>
      <w:r w:rsidR="009D7A58" w:rsidRPr="009E773A">
        <w:rPr>
          <w:rFonts w:asciiTheme="majorHAnsi" w:hAnsiTheme="majorHAnsi"/>
          <w:sz w:val="20"/>
          <w:szCs w:val="20"/>
        </w:rPr>
        <w:t>, se realizó el 4 de noviembre de 2002, interpuesta también por Jimmy Guerrero ante el despacho del Fiscal Segundo de la Circunscripción Judicial del estado Falcón, señalando que había sido detenido sin que se le diera conocimiento del motivo y reiteró que era “frecuente que [le detuvieran] sin motivos”</w:t>
      </w:r>
      <w:r w:rsidR="009D7A58" w:rsidRPr="009E773A">
        <w:rPr>
          <w:rStyle w:val="Refdenotaalpie"/>
          <w:rFonts w:asciiTheme="majorHAnsi" w:hAnsiTheme="majorHAnsi"/>
          <w:sz w:val="20"/>
          <w:szCs w:val="20"/>
        </w:rPr>
        <w:footnoteReference w:id="28"/>
      </w:r>
      <w:r w:rsidR="009D7A58" w:rsidRPr="009E773A">
        <w:rPr>
          <w:rFonts w:asciiTheme="majorHAnsi" w:hAnsiTheme="majorHAnsi"/>
          <w:sz w:val="20"/>
          <w:szCs w:val="20"/>
        </w:rPr>
        <w:t xml:space="preserve">. No constan más diligencias. </w:t>
      </w:r>
    </w:p>
    <w:p w14:paraId="7CA72DF1" w14:textId="77777777" w:rsidR="00B97551" w:rsidRPr="009E773A" w:rsidRDefault="00B97551"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r w:rsidRPr="009E773A">
        <w:rPr>
          <w:rFonts w:asciiTheme="majorHAnsi" w:eastAsia="Cambria" w:hAnsiTheme="majorHAnsi" w:cs="Cambria"/>
          <w:color w:val="000000"/>
          <w:sz w:val="20"/>
          <w:szCs w:val="20"/>
          <w:u w:color="000000"/>
          <w:lang w:val="es-ES" w:eastAsia="es-ES"/>
        </w:rPr>
        <w:t xml:space="preserve"> </w:t>
      </w:r>
    </w:p>
    <w:p w14:paraId="349A666B" w14:textId="77777777" w:rsidR="00036FAF" w:rsidRPr="009E773A" w:rsidRDefault="003221DA"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r w:rsidRPr="009E773A">
        <w:rPr>
          <w:rFonts w:asciiTheme="majorHAnsi" w:hAnsiTheme="majorHAnsi"/>
          <w:sz w:val="20"/>
          <w:szCs w:val="20"/>
        </w:rPr>
        <w:t xml:space="preserve">Asimismo, la Comisión observa </w:t>
      </w:r>
      <w:r w:rsidR="004D21FE" w:rsidRPr="009E773A">
        <w:rPr>
          <w:rFonts w:asciiTheme="majorHAnsi" w:hAnsiTheme="majorHAnsi"/>
          <w:sz w:val="20"/>
          <w:szCs w:val="20"/>
        </w:rPr>
        <w:t>la interposición de denuncias ante</w:t>
      </w:r>
      <w:r w:rsidRPr="009E773A">
        <w:rPr>
          <w:rFonts w:asciiTheme="majorHAnsi" w:hAnsiTheme="majorHAnsi"/>
          <w:sz w:val="20"/>
          <w:szCs w:val="20"/>
        </w:rPr>
        <w:t xml:space="preserve"> la Defensoría del Pueblo p</w:t>
      </w:r>
      <w:r w:rsidR="004D21FE" w:rsidRPr="009E773A">
        <w:rPr>
          <w:rFonts w:asciiTheme="majorHAnsi" w:hAnsiTheme="majorHAnsi"/>
          <w:sz w:val="20"/>
          <w:szCs w:val="20"/>
        </w:rPr>
        <w:t xml:space="preserve">or </w:t>
      </w:r>
      <w:r w:rsidRPr="009E773A">
        <w:rPr>
          <w:rFonts w:asciiTheme="majorHAnsi" w:hAnsiTheme="majorHAnsi"/>
          <w:sz w:val="20"/>
          <w:szCs w:val="20"/>
        </w:rPr>
        <w:t>detenciones y acoso policial. A</w:t>
      </w:r>
      <w:r w:rsidR="004004D7" w:rsidRPr="009E773A">
        <w:rPr>
          <w:rFonts w:asciiTheme="majorHAnsi" w:hAnsiTheme="majorHAnsi"/>
          <w:sz w:val="20"/>
          <w:szCs w:val="20"/>
        </w:rPr>
        <w:t>sí, consta una primera denuncia</w:t>
      </w:r>
      <w:r w:rsidRPr="009E773A">
        <w:rPr>
          <w:rFonts w:asciiTheme="majorHAnsi" w:hAnsiTheme="majorHAnsi"/>
          <w:sz w:val="20"/>
          <w:szCs w:val="20"/>
        </w:rPr>
        <w:t xml:space="preserve"> del </w:t>
      </w:r>
      <w:r w:rsidR="005B4769" w:rsidRPr="009E773A">
        <w:rPr>
          <w:rFonts w:asciiTheme="majorHAnsi" w:hAnsiTheme="majorHAnsi"/>
          <w:sz w:val="20"/>
          <w:szCs w:val="20"/>
        </w:rPr>
        <w:t>2</w:t>
      </w:r>
      <w:r w:rsidR="00302146" w:rsidRPr="009E773A">
        <w:rPr>
          <w:rFonts w:asciiTheme="majorHAnsi" w:hAnsiTheme="majorHAnsi"/>
          <w:sz w:val="20"/>
          <w:szCs w:val="20"/>
        </w:rPr>
        <w:t>8</w:t>
      </w:r>
      <w:r w:rsidR="005B4769" w:rsidRPr="009E773A">
        <w:rPr>
          <w:rFonts w:asciiTheme="majorHAnsi" w:hAnsiTheme="majorHAnsi"/>
          <w:sz w:val="20"/>
          <w:szCs w:val="20"/>
        </w:rPr>
        <w:t xml:space="preserve"> de octubre de 2002 </w:t>
      </w:r>
      <w:r w:rsidR="004004D7" w:rsidRPr="009E773A">
        <w:rPr>
          <w:rFonts w:asciiTheme="majorHAnsi" w:hAnsiTheme="majorHAnsi"/>
          <w:sz w:val="20"/>
          <w:szCs w:val="20"/>
        </w:rPr>
        <w:t xml:space="preserve">según la cual </w:t>
      </w:r>
      <w:r w:rsidR="007F1CF2" w:rsidRPr="009E773A">
        <w:rPr>
          <w:rFonts w:asciiTheme="majorHAnsi" w:hAnsiTheme="majorHAnsi"/>
          <w:sz w:val="20"/>
          <w:szCs w:val="20"/>
        </w:rPr>
        <w:t xml:space="preserve"> </w:t>
      </w:r>
      <w:r w:rsidR="004004D7" w:rsidRPr="009E773A">
        <w:rPr>
          <w:rFonts w:asciiTheme="majorHAnsi" w:hAnsiTheme="majorHAnsi"/>
          <w:sz w:val="20"/>
          <w:szCs w:val="20"/>
        </w:rPr>
        <w:t>Jimmy Guerrero</w:t>
      </w:r>
      <w:r w:rsidR="00036FAF" w:rsidRPr="009E773A">
        <w:rPr>
          <w:rFonts w:asciiTheme="majorHAnsi" w:hAnsiTheme="majorHAnsi"/>
          <w:sz w:val="20"/>
          <w:szCs w:val="20"/>
        </w:rPr>
        <w:t xml:space="preserve"> había sido detenido en una ocasión por el Cuerpo Técnico de Investigaciones del estado Falcón, y en otra oportunidad por un “grupo de motorizados de la policía de Coro” en re</w:t>
      </w:r>
      <w:r w:rsidRPr="009E773A">
        <w:rPr>
          <w:rFonts w:asciiTheme="majorHAnsi" w:hAnsiTheme="majorHAnsi"/>
          <w:sz w:val="20"/>
          <w:szCs w:val="20"/>
        </w:rPr>
        <w:t>lación con el robo a un taxista, indicando que</w:t>
      </w:r>
      <w:r w:rsidR="00036FAF" w:rsidRPr="009E773A">
        <w:rPr>
          <w:rFonts w:asciiTheme="majorHAnsi" w:hAnsiTheme="majorHAnsi"/>
          <w:sz w:val="20"/>
          <w:szCs w:val="20"/>
        </w:rPr>
        <w:t xml:space="preserve"> podía reconocer a los funcionarios que lo detuvieron y afirmó que “siempre que me ven en la calle me detienen”</w:t>
      </w:r>
      <w:r w:rsidR="00036FAF" w:rsidRPr="009E773A">
        <w:rPr>
          <w:rStyle w:val="Refdenotaalpie"/>
          <w:rFonts w:asciiTheme="majorHAnsi" w:hAnsiTheme="majorHAnsi"/>
          <w:sz w:val="20"/>
          <w:szCs w:val="20"/>
        </w:rPr>
        <w:footnoteReference w:id="29"/>
      </w:r>
      <w:r w:rsidR="00036FAF" w:rsidRPr="009E773A">
        <w:rPr>
          <w:rFonts w:asciiTheme="majorHAnsi" w:hAnsiTheme="majorHAnsi"/>
          <w:sz w:val="20"/>
          <w:szCs w:val="20"/>
        </w:rPr>
        <w:t xml:space="preserve">. </w:t>
      </w:r>
      <w:r w:rsidR="00984419" w:rsidRPr="009E773A">
        <w:rPr>
          <w:rFonts w:asciiTheme="majorHAnsi" w:hAnsiTheme="majorHAnsi"/>
          <w:sz w:val="20"/>
          <w:szCs w:val="20"/>
        </w:rPr>
        <w:t>L</w:t>
      </w:r>
      <w:r w:rsidR="00036FAF" w:rsidRPr="009E773A">
        <w:rPr>
          <w:rFonts w:asciiTheme="majorHAnsi" w:hAnsiTheme="majorHAnsi"/>
          <w:sz w:val="20"/>
          <w:szCs w:val="20"/>
        </w:rPr>
        <w:t xml:space="preserve">a Defensoría del Pueblo </w:t>
      </w:r>
      <w:r w:rsidR="00984419" w:rsidRPr="009E773A">
        <w:rPr>
          <w:rFonts w:asciiTheme="majorHAnsi" w:hAnsiTheme="majorHAnsi"/>
          <w:sz w:val="20"/>
          <w:szCs w:val="20"/>
        </w:rPr>
        <w:t xml:space="preserve">remitió el mismo día la denuncia </w:t>
      </w:r>
      <w:r w:rsidR="00036FAF" w:rsidRPr="009E773A">
        <w:rPr>
          <w:rFonts w:asciiTheme="majorHAnsi" w:hAnsiTheme="majorHAnsi"/>
          <w:sz w:val="20"/>
          <w:szCs w:val="20"/>
        </w:rPr>
        <w:t>al Fiscal Superior</w:t>
      </w:r>
      <w:r w:rsidR="00036FAF" w:rsidRPr="009E773A">
        <w:rPr>
          <w:rStyle w:val="Refdenotaalpie"/>
          <w:rFonts w:asciiTheme="majorHAnsi" w:hAnsiTheme="majorHAnsi"/>
          <w:sz w:val="20"/>
          <w:szCs w:val="20"/>
        </w:rPr>
        <w:footnoteReference w:id="30"/>
      </w:r>
      <w:r w:rsidR="00036FAF" w:rsidRPr="009E773A">
        <w:rPr>
          <w:rFonts w:asciiTheme="majorHAnsi" w:hAnsiTheme="majorHAnsi"/>
          <w:sz w:val="20"/>
          <w:szCs w:val="20"/>
        </w:rPr>
        <w:t xml:space="preserve">. </w:t>
      </w:r>
    </w:p>
    <w:p w14:paraId="2257F80E" w14:textId="77777777" w:rsidR="00302146" w:rsidRPr="009E773A" w:rsidRDefault="00302146" w:rsidP="009A79B6">
      <w:pPr>
        <w:rPr>
          <w:rFonts w:asciiTheme="majorHAnsi" w:hAnsiTheme="majorHAnsi"/>
          <w:sz w:val="20"/>
          <w:szCs w:val="20"/>
        </w:rPr>
      </w:pPr>
    </w:p>
    <w:p w14:paraId="23D3FB1E" w14:textId="6D5E83EE" w:rsidR="009577DB" w:rsidRPr="009E773A" w:rsidRDefault="003221DA"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r w:rsidRPr="009E773A">
        <w:rPr>
          <w:rFonts w:asciiTheme="majorHAnsi" w:hAnsiTheme="majorHAnsi"/>
          <w:sz w:val="20"/>
          <w:szCs w:val="20"/>
        </w:rPr>
        <w:t>La segunda denuncia se refier</w:t>
      </w:r>
      <w:r w:rsidR="001B6087" w:rsidRPr="009E773A">
        <w:rPr>
          <w:rFonts w:asciiTheme="majorHAnsi" w:hAnsiTheme="majorHAnsi"/>
          <w:sz w:val="20"/>
          <w:szCs w:val="20"/>
        </w:rPr>
        <w:t>e</w:t>
      </w:r>
      <w:r w:rsidRPr="009E773A">
        <w:rPr>
          <w:rFonts w:asciiTheme="majorHAnsi" w:hAnsiTheme="majorHAnsi"/>
          <w:sz w:val="20"/>
          <w:szCs w:val="20"/>
        </w:rPr>
        <w:t xml:space="preserve"> a la detención sufrida por Jimmy Guerrero </w:t>
      </w:r>
      <w:r w:rsidR="000C07DF" w:rsidRPr="009E773A">
        <w:rPr>
          <w:rFonts w:asciiTheme="majorHAnsi" w:hAnsiTheme="majorHAnsi"/>
          <w:sz w:val="20"/>
          <w:szCs w:val="20"/>
        </w:rPr>
        <w:t>el</w:t>
      </w:r>
      <w:r w:rsidR="00DD14B3" w:rsidRPr="009E773A">
        <w:rPr>
          <w:rFonts w:asciiTheme="majorHAnsi" w:hAnsiTheme="majorHAnsi"/>
          <w:sz w:val="20"/>
          <w:szCs w:val="20"/>
        </w:rPr>
        <w:t xml:space="preserve"> 17 de febrero de 2003</w:t>
      </w:r>
      <w:r w:rsidRPr="009E773A">
        <w:rPr>
          <w:rFonts w:asciiTheme="majorHAnsi" w:hAnsiTheme="majorHAnsi"/>
          <w:sz w:val="20"/>
          <w:szCs w:val="20"/>
        </w:rPr>
        <w:t xml:space="preserve"> </w:t>
      </w:r>
      <w:r w:rsidR="000C07DF" w:rsidRPr="009E773A">
        <w:rPr>
          <w:rFonts w:asciiTheme="majorHAnsi" w:hAnsiTheme="majorHAnsi"/>
          <w:sz w:val="20"/>
          <w:szCs w:val="20"/>
        </w:rPr>
        <w:t>por u</w:t>
      </w:r>
      <w:r w:rsidR="000C6B8C" w:rsidRPr="009E773A">
        <w:rPr>
          <w:rFonts w:asciiTheme="majorHAnsi" w:hAnsiTheme="majorHAnsi"/>
          <w:sz w:val="20"/>
          <w:szCs w:val="20"/>
        </w:rPr>
        <w:t>n grupo de personas motorizadas, que él identificó como funcionarios de las Fuerzas Armadas Policiales del estado Falcón. Sus aprehensores no habrían contado con orden de detención, lo encapucharon, robaron sus objetos personales, lo golpearon y le “dieron una patada en el ojo derecho” y le “echaban gas lacrimógeno y [le] dieron con su arma en la cabeza”</w:t>
      </w:r>
      <w:r w:rsidR="000C6B8C" w:rsidRPr="009E773A">
        <w:rPr>
          <w:rStyle w:val="Refdenotaalpie"/>
          <w:rFonts w:asciiTheme="majorHAnsi" w:hAnsiTheme="majorHAnsi"/>
          <w:sz w:val="20"/>
          <w:szCs w:val="20"/>
        </w:rPr>
        <w:footnoteReference w:id="31"/>
      </w:r>
      <w:r w:rsidR="000C6B8C" w:rsidRPr="009E773A">
        <w:rPr>
          <w:rFonts w:asciiTheme="majorHAnsi" w:hAnsiTheme="majorHAnsi"/>
          <w:sz w:val="20"/>
          <w:szCs w:val="20"/>
        </w:rPr>
        <w:t xml:space="preserve">. </w:t>
      </w:r>
      <w:r w:rsidR="000C07DF" w:rsidRPr="009E773A">
        <w:rPr>
          <w:rFonts w:asciiTheme="majorHAnsi" w:hAnsiTheme="majorHAnsi"/>
          <w:sz w:val="20"/>
          <w:szCs w:val="20"/>
        </w:rPr>
        <w:t xml:space="preserve">La denuncia fue también interpuesta por la señora Erimay Loyo, quien </w:t>
      </w:r>
      <w:r w:rsidR="0022017C" w:rsidRPr="009E773A">
        <w:rPr>
          <w:rFonts w:asciiTheme="majorHAnsi" w:hAnsiTheme="majorHAnsi"/>
          <w:sz w:val="20"/>
          <w:szCs w:val="20"/>
        </w:rPr>
        <w:t>relató los hechos de modo consistente con lo indicado anteriormente</w:t>
      </w:r>
      <w:r w:rsidR="009577DB" w:rsidRPr="009E773A">
        <w:rPr>
          <w:rStyle w:val="Refdenotaalpie"/>
          <w:rFonts w:asciiTheme="majorHAnsi" w:hAnsiTheme="majorHAnsi"/>
          <w:sz w:val="20"/>
          <w:szCs w:val="20"/>
        </w:rPr>
        <w:footnoteReference w:id="32"/>
      </w:r>
      <w:r w:rsidR="009577DB" w:rsidRPr="009E773A">
        <w:rPr>
          <w:rFonts w:asciiTheme="majorHAnsi" w:hAnsiTheme="majorHAnsi"/>
          <w:sz w:val="20"/>
          <w:szCs w:val="20"/>
        </w:rPr>
        <w:t xml:space="preserve">. Ese mismo día, una representante de la Defensoría del Pueblo se trasladó hasta un retén policial de las Fuerzas Armadas, donde corroboró que </w:t>
      </w:r>
      <w:r w:rsidR="00823979" w:rsidRPr="009E773A">
        <w:rPr>
          <w:rFonts w:asciiTheme="majorHAnsi" w:hAnsiTheme="majorHAnsi"/>
          <w:sz w:val="20"/>
          <w:szCs w:val="20"/>
        </w:rPr>
        <w:t xml:space="preserve">allí se encontraba </w:t>
      </w:r>
      <w:r w:rsidR="00C11B24" w:rsidRPr="009E773A">
        <w:rPr>
          <w:rFonts w:asciiTheme="majorHAnsi" w:hAnsiTheme="majorHAnsi"/>
          <w:sz w:val="20"/>
          <w:szCs w:val="20"/>
        </w:rPr>
        <w:t xml:space="preserve">detenido </w:t>
      </w:r>
      <w:r w:rsidR="00823979" w:rsidRPr="009E773A">
        <w:rPr>
          <w:rFonts w:asciiTheme="majorHAnsi" w:hAnsiTheme="majorHAnsi"/>
          <w:sz w:val="20"/>
          <w:szCs w:val="20"/>
        </w:rPr>
        <w:t>Jimmy Guerrero</w:t>
      </w:r>
      <w:r w:rsidR="00C11B24" w:rsidRPr="009E773A">
        <w:rPr>
          <w:rFonts w:asciiTheme="majorHAnsi" w:hAnsiTheme="majorHAnsi"/>
          <w:sz w:val="20"/>
          <w:szCs w:val="20"/>
        </w:rPr>
        <w:t xml:space="preserve"> </w:t>
      </w:r>
      <w:r w:rsidR="00823979" w:rsidRPr="009E773A">
        <w:rPr>
          <w:rFonts w:asciiTheme="majorHAnsi" w:hAnsiTheme="majorHAnsi"/>
          <w:sz w:val="20"/>
          <w:szCs w:val="20"/>
        </w:rPr>
        <w:t>en una unidad de orden público</w:t>
      </w:r>
      <w:r w:rsidR="00A60964" w:rsidRPr="009E773A">
        <w:rPr>
          <w:rStyle w:val="Refdenotaalpie"/>
          <w:rFonts w:asciiTheme="majorHAnsi" w:hAnsiTheme="majorHAnsi"/>
          <w:sz w:val="20"/>
          <w:szCs w:val="20"/>
        </w:rPr>
        <w:footnoteReference w:id="33"/>
      </w:r>
      <w:r w:rsidR="00823979" w:rsidRPr="009E773A">
        <w:rPr>
          <w:rFonts w:asciiTheme="majorHAnsi" w:hAnsiTheme="majorHAnsi"/>
          <w:sz w:val="20"/>
          <w:szCs w:val="20"/>
        </w:rPr>
        <w:t>.</w:t>
      </w:r>
      <w:r w:rsidR="009577DB" w:rsidRPr="009E773A">
        <w:rPr>
          <w:rFonts w:asciiTheme="majorHAnsi" w:hAnsiTheme="majorHAnsi"/>
          <w:sz w:val="20"/>
          <w:szCs w:val="20"/>
        </w:rPr>
        <w:t xml:space="preserve"> </w:t>
      </w:r>
      <w:r w:rsidR="00BD679B" w:rsidRPr="009E773A">
        <w:rPr>
          <w:rFonts w:asciiTheme="majorHAnsi" w:hAnsiTheme="majorHAnsi"/>
          <w:sz w:val="20"/>
          <w:szCs w:val="20"/>
        </w:rPr>
        <w:t>El reconocimiento médico legal del 19 de febrero del 2003 determinó la existencia “edema traumático a nivel de región frontal; equimosis suborbitaria derecha; traumatismo torácico cerrado, complicado con una neuritis intercostal de origen traumático; lesiones producidas por instrumento contundente”</w:t>
      </w:r>
      <w:r w:rsidR="00BD679B" w:rsidRPr="009E773A">
        <w:rPr>
          <w:rStyle w:val="Refdenotaalpie"/>
          <w:rFonts w:asciiTheme="majorHAnsi" w:hAnsiTheme="majorHAnsi"/>
          <w:sz w:val="20"/>
          <w:szCs w:val="20"/>
        </w:rPr>
        <w:footnoteReference w:id="34"/>
      </w:r>
      <w:r w:rsidR="00BD679B" w:rsidRPr="009E773A">
        <w:rPr>
          <w:rFonts w:asciiTheme="majorHAnsi" w:hAnsiTheme="majorHAnsi"/>
          <w:sz w:val="20"/>
          <w:szCs w:val="20"/>
        </w:rPr>
        <w:t>.</w:t>
      </w:r>
      <w:r w:rsidR="0022017C" w:rsidRPr="009E773A">
        <w:rPr>
          <w:rFonts w:asciiTheme="majorHAnsi" w:hAnsiTheme="majorHAnsi"/>
          <w:sz w:val="20"/>
          <w:szCs w:val="20"/>
        </w:rPr>
        <w:t xml:space="preserve"> La </w:t>
      </w:r>
      <w:r w:rsidR="009577DB" w:rsidRPr="009E773A">
        <w:rPr>
          <w:rFonts w:asciiTheme="majorHAnsi" w:hAnsiTheme="majorHAnsi"/>
          <w:sz w:val="20"/>
          <w:szCs w:val="20"/>
        </w:rPr>
        <w:t>Defensoría del Pueblo</w:t>
      </w:r>
      <w:r w:rsidR="002E6252" w:rsidRPr="009E773A">
        <w:rPr>
          <w:rFonts w:asciiTheme="majorHAnsi" w:hAnsiTheme="majorHAnsi"/>
          <w:sz w:val="20"/>
          <w:szCs w:val="20"/>
        </w:rPr>
        <w:t xml:space="preserve"> puso en conocimiento de la Fiscalía Segunda estos hechos, y solicitó iniciar una investigación por posibles actos de tortura y tratos crueles inhumanos y degradantes, </w:t>
      </w:r>
      <w:r w:rsidR="0022017C" w:rsidRPr="009E773A">
        <w:rPr>
          <w:rFonts w:asciiTheme="majorHAnsi" w:hAnsiTheme="majorHAnsi"/>
          <w:sz w:val="20"/>
          <w:szCs w:val="20"/>
        </w:rPr>
        <w:t xml:space="preserve">y </w:t>
      </w:r>
      <w:r w:rsidR="002E6252" w:rsidRPr="009E773A">
        <w:rPr>
          <w:rFonts w:asciiTheme="majorHAnsi" w:hAnsiTheme="majorHAnsi"/>
          <w:sz w:val="20"/>
          <w:szCs w:val="20"/>
        </w:rPr>
        <w:t>dar seguimiento a la causa penal No. 2202-02. Asimismo, la Defensoría solicitó medidas de protección a favor de Jimmy Guerrero</w:t>
      </w:r>
      <w:r w:rsidR="002E6252" w:rsidRPr="009E773A">
        <w:rPr>
          <w:rStyle w:val="Refdenotaalpie"/>
          <w:rFonts w:asciiTheme="majorHAnsi" w:hAnsiTheme="majorHAnsi"/>
          <w:sz w:val="20"/>
          <w:szCs w:val="20"/>
        </w:rPr>
        <w:footnoteReference w:id="35"/>
      </w:r>
      <w:r w:rsidR="002E6252" w:rsidRPr="009E773A">
        <w:rPr>
          <w:rFonts w:asciiTheme="majorHAnsi" w:hAnsiTheme="majorHAnsi"/>
          <w:sz w:val="20"/>
          <w:szCs w:val="20"/>
        </w:rPr>
        <w:t xml:space="preserve">. </w:t>
      </w:r>
      <w:r w:rsidR="009577DB" w:rsidRPr="009E773A">
        <w:rPr>
          <w:rFonts w:asciiTheme="majorHAnsi" w:hAnsiTheme="majorHAnsi"/>
          <w:sz w:val="20"/>
          <w:szCs w:val="20"/>
        </w:rPr>
        <w:t xml:space="preserve"> </w:t>
      </w:r>
    </w:p>
    <w:p w14:paraId="1655730F" w14:textId="77777777" w:rsidR="007618AE" w:rsidRPr="009E773A" w:rsidRDefault="007618AE" w:rsidP="009A79B6">
      <w:pPr>
        <w:rPr>
          <w:rFonts w:asciiTheme="majorHAnsi" w:hAnsiTheme="majorHAnsi"/>
          <w:sz w:val="20"/>
          <w:szCs w:val="20"/>
        </w:rPr>
      </w:pPr>
    </w:p>
    <w:p w14:paraId="672BD306" w14:textId="0550148F" w:rsidR="007741A0" w:rsidRPr="009E773A" w:rsidRDefault="00BD70B1"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r w:rsidRPr="009E773A">
        <w:rPr>
          <w:rFonts w:asciiTheme="majorHAnsi" w:hAnsiTheme="majorHAnsi"/>
          <w:sz w:val="20"/>
          <w:szCs w:val="20"/>
        </w:rPr>
        <w:t>E</w:t>
      </w:r>
      <w:r w:rsidR="00B52A81" w:rsidRPr="009E773A">
        <w:rPr>
          <w:rFonts w:asciiTheme="majorHAnsi" w:hAnsiTheme="majorHAnsi"/>
          <w:sz w:val="20"/>
          <w:szCs w:val="20"/>
        </w:rPr>
        <w:t>l 6 de marzo de 2003 J</w:t>
      </w:r>
      <w:r w:rsidRPr="009E773A">
        <w:rPr>
          <w:rFonts w:asciiTheme="majorHAnsi" w:hAnsiTheme="majorHAnsi"/>
          <w:sz w:val="20"/>
          <w:szCs w:val="20"/>
        </w:rPr>
        <w:t>immy Guerrero</w:t>
      </w:r>
      <w:r w:rsidR="00B52A81" w:rsidRPr="009E773A">
        <w:rPr>
          <w:rFonts w:asciiTheme="majorHAnsi" w:hAnsiTheme="majorHAnsi"/>
          <w:sz w:val="20"/>
          <w:szCs w:val="20"/>
        </w:rPr>
        <w:t xml:space="preserve"> </w:t>
      </w:r>
      <w:r w:rsidR="0022017C" w:rsidRPr="009E773A">
        <w:rPr>
          <w:rFonts w:asciiTheme="majorHAnsi" w:hAnsiTheme="majorHAnsi"/>
          <w:sz w:val="20"/>
          <w:szCs w:val="20"/>
        </w:rPr>
        <w:t>interp</w:t>
      </w:r>
      <w:r w:rsidR="00BE30B2" w:rsidRPr="009E773A">
        <w:rPr>
          <w:rFonts w:asciiTheme="majorHAnsi" w:hAnsiTheme="majorHAnsi"/>
          <w:sz w:val="20"/>
          <w:szCs w:val="20"/>
        </w:rPr>
        <w:t>uso</w:t>
      </w:r>
      <w:r w:rsidR="0022017C" w:rsidRPr="009E773A">
        <w:rPr>
          <w:rFonts w:asciiTheme="majorHAnsi" w:hAnsiTheme="majorHAnsi"/>
          <w:sz w:val="20"/>
          <w:szCs w:val="20"/>
        </w:rPr>
        <w:t xml:space="preserve"> una tercera </w:t>
      </w:r>
      <w:r w:rsidR="00977043" w:rsidRPr="009E773A">
        <w:rPr>
          <w:rFonts w:asciiTheme="majorHAnsi" w:hAnsiTheme="majorHAnsi"/>
          <w:sz w:val="20"/>
          <w:szCs w:val="20"/>
        </w:rPr>
        <w:t>denunci</w:t>
      </w:r>
      <w:r w:rsidR="0022017C" w:rsidRPr="009E773A">
        <w:rPr>
          <w:rFonts w:asciiTheme="majorHAnsi" w:hAnsiTheme="majorHAnsi"/>
          <w:sz w:val="20"/>
          <w:szCs w:val="20"/>
        </w:rPr>
        <w:t>a</w:t>
      </w:r>
      <w:r w:rsidR="00977043" w:rsidRPr="009E773A">
        <w:rPr>
          <w:rFonts w:asciiTheme="majorHAnsi" w:hAnsiTheme="majorHAnsi"/>
          <w:sz w:val="20"/>
          <w:szCs w:val="20"/>
        </w:rPr>
        <w:t xml:space="preserve"> </w:t>
      </w:r>
      <w:r w:rsidR="0022017C" w:rsidRPr="009E773A">
        <w:rPr>
          <w:rFonts w:asciiTheme="majorHAnsi" w:hAnsiTheme="majorHAnsi"/>
          <w:sz w:val="20"/>
          <w:szCs w:val="20"/>
        </w:rPr>
        <w:t xml:space="preserve">ante la Defensoría dado </w:t>
      </w:r>
      <w:r w:rsidR="00977043" w:rsidRPr="009E773A">
        <w:rPr>
          <w:rFonts w:asciiTheme="majorHAnsi" w:hAnsiTheme="majorHAnsi"/>
          <w:sz w:val="20"/>
          <w:szCs w:val="20"/>
        </w:rPr>
        <w:t>que funcionarios de la policía</w:t>
      </w:r>
      <w:r w:rsidR="0022017C" w:rsidRPr="009E773A">
        <w:rPr>
          <w:rFonts w:asciiTheme="majorHAnsi" w:hAnsiTheme="majorHAnsi"/>
          <w:sz w:val="20"/>
          <w:szCs w:val="20"/>
        </w:rPr>
        <w:t xml:space="preserve"> </w:t>
      </w:r>
      <w:r w:rsidR="00E35E50" w:rsidRPr="009E773A">
        <w:rPr>
          <w:rFonts w:asciiTheme="majorHAnsi" w:hAnsiTheme="majorHAnsi"/>
          <w:sz w:val="20"/>
          <w:szCs w:val="20"/>
        </w:rPr>
        <w:t xml:space="preserve">daban </w:t>
      </w:r>
      <w:r w:rsidR="00726365" w:rsidRPr="009E773A">
        <w:rPr>
          <w:rFonts w:asciiTheme="majorHAnsi" w:hAnsiTheme="majorHAnsi"/>
          <w:sz w:val="20"/>
          <w:szCs w:val="20"/>
        </w:rPr>
        <w:t xml:space="preserve">vueltas alrededor de su casa </w:t>
      </w:r>
      <w:r w:rsidR="00977043" w:rsidRPr="009E773A">
        <w:rPr>
          <w:rFonts w:asciiTheme="majorHAnsi" w:hAnsiTheme="majorHAnsi"/>
          <w:sz w:val="20"/>
          <w:szCs w:val="20"/>
        </w:rPr>
        <w:t>y que habían vuelto a señalarle como responsable de un robo</w:t>
      </w:r>
      <w:r w:rsidR="00977043" w:rsidRPr="009E773A">
        <w:rPr>
          <w:rStyle w:val="Refdenotaalpie"/>
          <w:rFonts w:asciiTheme="majorHAnsi" w:hAnsiTheme="majorHAnsi"/>
          <w:sz w:val="20"/>
          <w:szCs w:val="20"/>
        </w:rPr>
        <w:footnoteReference w:id="36"/>
      </w:r>
      <w:r w:rsidR="00977043" w:rsidRPr="009E773A">
        <w:rPr>
          <w:rFonts w:asciiTheme="majorHAnsi" w:hAnsiTheme="majorHAnsi"/>
          <w:sz w:val="20"/>
          <w:szCs w:val="20"/>
        </w:rPr>
        <w:t xml:space="preserve">. </w:t>
      </w:r>
      <w:r w:rsidR="0022017C" w:rsidRPr="009E773A">
        <w:rPr>
          <w:rFonts w:asciiTheme="majorHAnsi" w:hAnsiTheme="majorHAnsi"/>
          <w:sz w:val="20"/>
          <w:szCs w:val="20"/>
        </w:rPr>
        <w:t>El 10 de marzo la</w:t>
      </w:r>
      <w:r w:rsidR="00977043" w:rsidRPr="009E773A">
        <w:rPr>
          <w:rFonts w:asciiTheme="majorHAnsi" w:hAnsiTheme="majorHAnsi"/>
          <w:sz w:val="20"/>
          <w:szCs w:val="20"/>
        </w:rPr>
        <w:t xml:space="preserve"> denuncia fue remitida a la Fiscalía Segunda </w:t>
      </w:r>
      <w:r w:rsidR="0022017C" w:rsidRPr="009E773A">
        <w:rPr>
          <w:rFonts w:asciiTheme="majorHAnsi" w:hAnsiTheme="majorHAnsi"/>
          <w:sz w:val="20"/>
          <w:szCs w:val="20"/>
        </w:rPr>
        <w:t xml:space="preserve">y </w:t>
      </w:r>
      <w:r w:rsidR="00E7746E" w:rsidRPr="009E773A">
        <w:rPr>
          <w:rFonts w:asciiTheme="majorHAnsi" w:hAnsiTheme="majorHAnsi"/>
          <w:sz w:val="20"/>
          <w:szCs w:val="20"/>
        </w:rPr>
        <w:t xml:space="preserve">se solicitó </w:t>
      </w:r>
      <w:r w:rsidR="0022017C" w:rsidRPr="009E773A">
        <w:rPr>
          <w:rFonts w:asciiTheme="majorHAnsi" w:hAnsiTheme="majorHAnsi"/>
          <w:sz w:val="20"/>
          <w:szCs w:val="20"/>
        </w:rPr>
        <w:t>también</w:t>
      </w:r>
      <w:r w:rsidR="00977043" w:rsidRPr="009E773A">
        <w:rPr>
          <w:rFonts w:asciiTheme="majorHAnsi" w:hAnsiTheme="majorHAnsi"/>
          <w:sz w:val="20"/>
          <w:szCs w:val="20"/>
        </w:rPr>
        <w:t xml:space="preserve"> información sobre </w:t>
      </w:r>
      <w:r w:rsidR="003B752C" w:rsidRPr="009E773A">
        <w:rPr>
          <w:rFonts w:asciiTheme="majorHAnsi" w:hAnsiTheme="majorHAnsi"/>
          <w:sz w:val="20"/>
          <w:szCs w:val="20"/>
        </w:rPr>
        <w:t xml:space="preserve">el requerimiento de </w:t>
      </w:r>
      <w:r w:rsidR="00977043" w:rsidRPr="009E773A">
        <w:rPr>
          <w:rFonts w:asciiTheme="majorHAnsi" w:hAnsiTheme="majorHAnsi"/>
          <w:sz w:val="20"/>
          <w:szCs w:val="20"/>
        </w:rPr>
        <w:t>medidas de prot</w:t>
      </w:r>
      <w:r w:rsidR="0022017C" w:rsidRPr="009E773A">
        <w:rPr>
          <w:rFonts w:asciiTheme="majorHAnsi" w:hAnsiTheme="majorHAnsi"/>
          <w:sz w:val="20"/>
          <w:szCs w:val="20"/>
        </w:rPr>
        <w:t>ección</w:t>
      </w:r>
      <w:r w:rsidR="00977043" w:rsidRPr="009E773A">
        <w:rPr>
          <w:rStyle w:val="Refdenotaalpie"/>
          <w:rFonts w:asciiTheme="majorHAnsi" w:hAnsiTheme="majorHAnsi"/>
          <w:sz w:val="20"/>
          <w:szCs w:val="20"/>
        </w:rPr>
        <w:footnoteReference w:id="37"/>
      </w:r>
      <w:r w:rsidR="00977043" w:rsidRPr="009E773A">
        <w:rPr>
          <w:rFonts w:asciiTheme="majorHAnsi" w:hAnsiTheme="majorHAnsi"/>
          <w:sz w:val="20"/>
          <w:szCs w:val="20"/>
        </w:rPr>
        <w:t xml:space="preserve">. </w:t>
      </w:r>
    </w:p>
    <w:p w14:paraId="174B7F73" w14:textId="77777777" w:rsidR="00977043" w:rsidRPr="009E773A" w:rsidRDefault="00977043"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sz w:val="20"/>
          <w:szCs w:val="20"/>
        </w:rPr>
      </w:pPr>
    </w:p>
    <w:p w14:paraId="46651254" w14:textId="77777777" w:rsidR="00483EAF" w:rsidRPr="009E773A" w:rsidRDefault="009D7A58"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r w:rsidRPr="009E773A">
        <w:rPr>
          <w:rFonts w:asciiTheme="majorHAnsi" w:hAnsiTheme="majorHAnsi"/>
          <w:sz w:val="20"/>
          <w:szCs w:val="20"/>
        </w:rPr>
        <w:t>Finalmente, constan en el expediente</w:t>
      </w:r>
      <w:r w:rsidR="00726365" w:rsidRPr="009E773A">
        <w:rPr>
          <w:rFonts w:asciiTheme="majorHAnsi" w:hAnsiTheme="majorHAnsi"/>
          <w:sz w:val="20"/>
          <w:szCs w:val="20"/>
        </w:rPr>
        <w:t xml:space="preserve"> varias</w:t>
      </w:r>
      <w:r w:rsidRPr="009E773A">
        <w:rPr>
          <w:rFonts w:asciiTheme="majorHAnsi" w:hAnsiTheme="majorHAnsi"/>
          <w:sz w:val="20"/>
          <w:szCs w:val="20"/>
        </w:rPr>
        <w:t xml:space="preserve"> notas de prensa de esa época, en las cuales Jimmy Guerrero denunció públicamente “acoso por parte de organismos de seguridad”</w:t>
      </w:r>
      <w:r w:rsidRPr="009E773A">
        <w:rPr>
          <w:rStyle w:val="Refdenotaalpie"/>
          <w:rFonts w:asciiTheme="majorHAnsi" w:hAnsiTheme="majorHAnsi"/>
          <w:sz w:val="20"/>
          <w:szCs w:val="20"/>
        </w:rPr>
        <w:footnoteReference w:id="38"/>
      </w:r>
      <w:r w:rsidRPr="009E773A">
        <w:rPr>
          <w:rFonts w:asciiTheme="majorHAnsi" w:hAnsiTheme="majorHAnsi"/>
          <w:sz w:val="20"/>
          <w:szCs w:val="20"/>
        </w:rPr>
        <w:t xml:space="preserve">. </w:t>
      </w:r>
    </w:p>
    <w:p w14:paraId="2E7CF928" w14:textId="77777777" w:rsidR="009D7A58" w:rsidRPr="009E773A" w:rsidRDefault="009D7A58"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p>
    <w:p w14:paraId="0B6F48CE" w14:textId="77777777" w:rsidR="006B65FA" w:rsidRPr="009E773A" w:rsidRDefault="00977043" w:rsidP="00E533EA">
      <w:pPr>
        <w:pStyle w:val="Ttulo2"/>
        <w:ind w:left="0" w:firstLine="0"/>
      </w:pPr>
      <w:bookmarkStart w:id="9" w:name="_Toc2159214"/>
      <w:r w:rsidRPr="009E773A">
        <w:t>La muerte de Jimmy Guerrero y Ramón Antonio Molina en los hechos ocurridos entre el 29 y 30 de marzo de 2003</w:t>
      </w:r>
      <w:bookmarkEnd w:id="9"/>
      <w:r w:rsidRPr="009E773A">
        <w:t xml:space="preserve"> </w:t>
      </w:r>
    </w:p>
    <w:p w14:paraId="4748AF13" w14:textId="77777777" w:rsidR="00423E05" w:rsidRPr="009E773A" w:rsidRDefault="00423E05"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rPr>
      </w:pPr>
    </w:p>
    <w:p w14:paraId="4A713422" w14:textId="1A11A1B9" w:rsidR="000E032A" w:rsidRPr="009E773A" w:rsidRDefault="006F756F"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r w:rsidRPr="009E773A">
        <w:rPr>
          <w:rFonts w:asciiTheme="majorHAnsi" w:hAnsiTheme="majorHAnsi"/>
          <w:sz w:val="20"/>
          <w:szCs w:val="20"/>
        </w:rPr>
        <w:t xml:space="preserve">La noche del 29 de marzo de 2003, Jimmy Guerrero y miembros de su familia se trasladaron de Coro a Punto fijo para asistir al velorio de un pariente. En </w:t>
      </w:r>
      <w:r w:rsidR="00A00FFB" w:rsidRPr="009E773A">
        <w:rPr>
          <w:rFonts w:asciiTheme="majorHAnsi" w:hAnsiTheme="majorHAnsi"/>
          <w:sz w:val="20"/>
          <w:szCs w:val="20"/>
        </w:rPr>
        <w:t xml:space="preserve">el </w:t>
      </w:r>
      <w:r w:rsidRPr="009E773A">
        <w:rPr>
          <w:rFonts w:asciiTheme="majorHAnsi" w:hAnsiTheme="majorHAnsi"/>
          <w:sz w:val="20"/>
          <w:szCs w:val="20"/>
        </w:rPr>
        <w:t>trayecto su vehículo fue abordado por una “comisión policial” la que pregunt</w:t>
      </w:r>
      <w:r w:rsidR="00F31594" w:rsidRPr="009E773A">
        <w:rPr>
          <w:rFonts w:asciiTheme="majorHAnsi" w:hAnsiTheme="majorHAnsi"/>
          <w:sz w:val="20"/>
          <w:szCs w:val="20"/>
        </w:rPr>
        <w:t>ó</w:t>
      </w:r>
      <w:r w:rsidRPr="009E773A">
        <w:rPr>
          <w:rFonts w:asciiTheme="majorHAnsi" w:hAnsiTheme="majorHAnsi"/>
          <w:sz w:val="20"/>
          <w:szCs w:val="20"/>
        </w:rPr>
        <w:t xml:space="preserve"> su destino, y luego los dejó continuar</w:t>
      </w:r>
      <w:r w:rsidRPr="009E773A">
        <w:rPr>
          <w:rStyle w:val="Refdenotaalpie"/>
          <w:rFonts w:asciiTheme="majorHAnsi" w:hAnsiTheme="majorHAnsi"/>
          <w:sz w:val="20"/>
          <w:szCs w:val="20"/>
        </w:rPr>
        <w:footnoteReference w:id="39"/>
      </w:r>
      <w:r w:rsidRPr="009E773A">
        <w:rPr>
          <w:rFonts w:asciiTheme="majorHAnsi" w:hAnsiTheme="majorHAnsi"/>
          <w:sz w:val="20"/>
          <w:szCs w:val="20"/>
        </w:rPr>
        <w:t xml:space="preserve">. En medio de la noche, Jimmy Guerrero, </w:t>
      </w:r>
      <w:r w:rsidR="001B03AF" w:rsidRPr="009E773A">
        <w:rPr>
          <w:rFonts w:asciiTheme="majorHAnsi" w:hAnsiTheme="majorHAnsi"/>
          <w:sz w:val="20"/>
          <w:szCs w:val="20"/>
        </w:rPr>
        <w:t xml:space="preserve">Ramón Molina </w:t>
      </w:r>
      <w:r w:rsidRPr="009E773A">
        <w:rPr>
          <w:rFonts w:asciiTheme="majorHAnsi" w:hAnsiTheme="majorHAnsi"/>
          <w:sz w:val="20"/>
          <w:szCs w:val="20"/>
        </w:rPr>
        <w:t xml:space="preserve">y José Hernández se dirigieron a realizar unas compras, donde </w:t>
      </w:r>
      <w:r w:rsidR="00492CBD" w:rsidRPr="009E773A">
        <w:rPr>
          <w:rFonts w:asciiTheme="majorHAnsi" w:hAnsiTheme="majorHAnsi"/>
          <w:sz w:val="20"/>
          <w:szCs w:val="20"/>
        </w:rPr>
        <w:t>fueron víctimas del</w:t>
      </w:r>
      <w:r w:rsidRPr="009E773A">
        <w:rPr>
          <w:rFonts w:asciiTheme="majorHAnsi" w:hAnsiTheme="majorHAnsi"/>
          <w:sz w:val="20"/>
          <w:szCs w:val="20"/>
        </w:rPr>
        <w:t xml:space="preserve"> ataque </w:t>
      </w:r>
      <w:r w:rsidR="00492CBD" w:rsidRPr="009E773A">
        <w:rPr>
          <w:rFonts w:asciiTheme="majorHAnsi" w:hAnsiTheme="majorHAnsi"/>
          <w:sz w:val="20"/>
          <w:szCs w:val="20"/>
        </w:rPr>
        <w:t>ya descrito</w:t>
      </w:r>
      <w:r w:rsidR="000E032A" w:rsidRPr="009E773A">
        <w:rPr>
          <w:rFonts w:asciiTheme="majorHAnsi" w:hAnsiTheme="majorHAnsi"/>
          <w:sz w:val="20"/>
          <w:szCs w:val="20"/>
        </w:rPr>
        <w:t xml:space="preserve">. </w:t>
      </w:r>
      <w:r w:rsidR="00200564" w:rsidRPr="009E773A">
        <w:rPr>
          <w:rFonts w:asciiTheme="majorHAnsi" w:hAnsiTheme="majorHAnsi"/>
          <w:sz w:val="20"/>
          <w:szCs w:val="20"/>
        </w:rPr>
        <w:t>Según el C</w:t>
      </w:r>
      <w:r w:rsidR="00B3598E" w:rsidRPr="009E773A">
        <w:rPr>
          <w:rFonts w:asciiTheme="majorHAnsi" w:hAnsiTheme="majorHAnsi"/>
          <w:sz w:val="20"/>
          <w:szCs w:val="20"/>
        </w:rPr>
        <w:t>ICPC</w:t>
      </w:r>
      <w:r w:rsidR="00B43131" w:rsidRPr="009E773A">
        <w:rPr>
          <w:rFonts w:asciiTheme="majorHAnsi" w:hAnsiTheme="majorHAnsi"/>
          <w:sz w:val="20"/>
          <w:szCs w:val="20"/>
        </w:rPr>
        <w:t>,</w:t>
      </w:r>
      <w:r w:rsidR="00200564" w:rsidRPr="009E773A">
        <w:rPr>
          <w:rFonts w:asciiTheme="majorHAnsi" w:hAnsiTheme="majorHAnsi"/>
          <w:sz w:val="20"/>
          <w:szCs w:val="20"/>
        </w:rPr>
        <w:t xml:space="preserve"> el </w:t>
      </w:r>
      <w:r w:rsidR="00492CBD" w:rsidRPr="009E773A">
        <w:rPr>
          <w:rFonts w:asciiTheme="majorHAnsi" w:hAnsiTheme="majorHAnsi"/>
          <w:sz w:val="20"/>
          <w:szCs w:val="20"/>
        </w:rPr>
        <w:t>cuerpo de Jimmy Guerrero</w:t>
      </w:r>
      <w:r w:rsidR="0048374E" w:rsidRPr="009E773A">
        <w:rPr>
          <w:rFonts w:asciiTheme="majorHAnsi" w:hAnsiTheme="majorHAnsi"/>
          <w:sz w:val="20"/>
          <w:szCs w:val="20"/>
        </w:rPr>
        <w:t xml:space="preserve"> </w:t>
      </w:r>
      <w:r w:rsidR="000E032A" w:rsidRPr="009E773A">
        <w:rPr>
          <w:rFonts w:asciiTheme="majorHAnsi" w:hAnsiTheme="majorHAnsi"/>
          <w:sz w:val="20"/>
          <w:szCs w:val="20"/>
        </w:rPr>
        <w:t>fue encontrado en</w:t>
      </w:r>
      <w:r w:rsidR="00B07EE9" w:rsidRPr="009E773A">
        <w:rPr>
          <w:rFonts w:asciiTheme="majorHAnsi" w:hAnsiTheme="majorHAnsi"/>
          <w:sz w:val="20"/>
          <w:szCs w:val="20"/>
        </w:rPr>
        <w:t xml:space="preserve"> la</w:t>
      </w:r>
      <w:r w:rsidR="001C7A86" w:rsidRPr="009E773A">
        <w:rPr>
          <w:rFonts w:asciiTheme="majorHAnsi" w:hAnsiTheme="majorHAnsi"/>
          <w:sz w:val="20"/>
          <w:szCs w:val="20"/>
        </w:rPr>
        <w:t xml:space="preserve"> prolongación Girardot, específicamente en la </w:t>
      </w:r>
      <w:r w:rsidR="00130120" w:rsidRPr="009E773A">
        <w:rPr>
          <w:rFonts w:asciiTheme="majorHAnsi" w:hAnsiTheme="majorHAnsi"/>
          <w:sz w:val="20"/>
          <w:szCs w:val="20"/>
        </w:rPr>
        <w:t>e</w:t>
      </w:r>
      <w:r w:rsidR="00B07EE9" w:rsidRPr="009E773A">
        <w:rPr>
          <w:rFonts w:asciiTheme="majorHAnsi" w:hAnsiTheme="majorHAnsi"/>
          <w:sz w:val="20"/>
          <w:szCs w:val="20"/>
        </w:rPr>
        <w:t>stación de servicio Santa Irene</w:t>
      </w:r>
      <w:r w:rsidR="00E0272E" w:rsidRPr="009E773A">
        <w:rPr>
          <w:rFonts w:asciiTheme="majorHAnsi" w:hAnsiTheme="majorHAnsi"/>
          <w:sz w:val="20"/>
          <w:szCs w:val="20"/>
        </w:rPr>
        <w:t>, en Punto Fijo, estado Falcón</w:t>
      </w:r>
      <w:r w:rsidR="001C7A86" w:rsidRPr="009E773A">
        <w:rPr>
          <w:rStyle w:val="Refdenotaalpie"/>
          <w:rFonts w:asciiTheme="majorHAnsi" w:hAnsiTheme="majorHAnsi"/>
          <w:sz w:val="20"/>
          <w:szCs w:val="20"/>
        </w:rPr>
        <w:footnoteReference w:id="40"/>
      </w:r>
      <w:r w:rsidR="00083478" w:rsidRPr="009E773A">
        <w:rPr>
          <w:rFonts w:asciiTheme="majorHAnsi" w:hAnsiTheme="majorHAnsi"/>
          <w:sz w:val="20"/>
          <w:szCs w:val="20"/>
        </w:rPr>
        <w:t xml:space="preserve">. </w:t>
      </w:r>
      <w:r w:rsidR="000E032A" w:rsidRPr="009E773A">
        <w:rPr>
          <w:rFonts w:asciiTheme="majorHAnsi" w:hAnsiTheme="majorHAnsi"/>
          <w:sz w:val="20"/>
          <w:szCs w:val="20"/>
        </w:rPr>
        <w:t>Según el protocolo de autopsia, la causa de muerte fue “shock Hipovolemico, hemoperitoneo masivo, lesión arterial debido a herida por proyectil disparado por arma de fuego”</w:t>
      </w:r>
      <w:r w:rsidR="0011131D" w:rsidRPr="009E773A">
        <w:rPr>
          <w:rFonts w:asciiTheme="majorHAnsi" w:hAnsiTheme="majorHAnsi"/>
          <w:sz w:val="20"/>
          <w:szCs w:val="20"/>
        </w:rPr>
        <w:t xml:space="preserve">. </w:t>
      </w:r>
      <w:r w:rsidR="001C13E5" w:rsidRPr="009E773A">
        <w:rPr>
          <w:rFonts w:asciiTheme="majorHAnsi" w:hAnsiTheme="majorHAnsi"/>
          <w:sz w:val="20"/>
          <w:szCs w:val="20"/>
        </w:rPr>
        <w:t>La</w:t>
      </w:r>
      <w:r w:rsidR="0011131D" w:rsidRPr="009E773A">
        <w:rPr>
          <w:rFonts w:asciiTheme="majorHAnsi" w:hAnsiTheme="majorHAnsi"/>
          <w:sz w:val="20"/>
          <w:szCs w:val="20"/>
        </w:rPr>
        <w:t xml:space="preserve"> </w:t>
      </w:r>
      <w:r w:rsidR="00063FAC" w:rsidRPr="009E773A">
        <w:rPr>
          <w:rFonts w:asciiTheme="majorHAnsi" w:hAnsiTheme="majorHAnsi"/>
          <w:sz w:val="20"/>
          <w:szCs w:val="20"/>
        </w:rPr>
        <w:t>pericia de trayectoria balística</w:t>
      </w:r>
      <w:r w:rsidR="001C13E5" w:rsidRPr="009E773A">
        <w:rPr>
          <w:rFonts w:asciiTheme="majorHAnsi" w:hAnsiTheme="majorHAnsi"/>
          <w:sz w:val="20"/>
          <w:szCs w:val="20"/>
        </w:rPr>
        <w:t xml:space="preserve"> da</w:t>
      </w:r>
      <w:r w:rsidR="0011131D" w:rsidRPr="009E773A">
        <w:rPr>
          <w:rFonts w:asciiTheme="majorHAnsi" w:hAnsiTheme="majorHAnsi"/>
          <w:sz w:val="20"/>
          <w:szCs w:val="20"/>
        </w:rPr>
        <w:t xml:space="preserve"> cuenta de </w:t>
      </w:r>
      <w:r w:rsidR="00063FAC" w:rsidRPr="009E773A">
        <w:rPr>
          <w:rFonts w:asciiTheme="majorHAnsi" w:hAnsiTheme="majorHAnsi"/>
          <w:sz w:val="20"/>
          <w:szCs w:val="20"/>
        </w:rPr>
        <w:t>tres</w:t>
      </w:r>
      <w:r w:rsidR="0011131D" w:rsidRPr="009E773A">
        <w:rPr>
          <w:rFonts w:asciiTheme="majorHAnsi" w:hAnsiTheme="majorHAnsi"/>
          <w:sz w:val="20"/>
          <w:szCs w:val="20"/>
        </w:rPr>
        <w:t xml:space="preserve"> disparos en el cuerpo, indicando que la trayectoria de los disparos de la cabeza </w:t>
      </w:r>
      <w:r w:rsidR="00063FAC" w:rsidRPr="009E773A">
        <w:rPr>
          <w:rFonts w:asciiTheme="majorHAnsi" w:hAnsiTheme="majorHAnsi"/>
          <w:sz w:val="20"/>
          <w:szCs w:val="20"/>
        </w:rPr>
        <w:t>fue</w:t>
      </w:r>
      <w:r w:rsidR="0011131D" w:rsidRPr="009E773A">
        <w:rPr>
          <w:rFonts w:asciiTheme="majorHAnsi" w:hAnsiTheme="majorHAnsi"/>
          <w:sz w:val="20"/>
          <w:szCs w:val="20"/>
        </w:rPr>
        <w:t xml:space="preserve"> </w:t>
      </w:r>
      <w:r w:rsidR="00063FAC" w:rsidRPr="009E773A">
        <w:rPr>
          <w:rFonts w:asciiTheme="majorHAnsi" w:hAnsiTheme="majorHAnsi"/>
          <w:sz w:val="20"/>
          <w:szCs w:val="20"/>
        </w:rPr>
        <w:t>descendente, de izquierda a derecha</w:t>
      </w:r>
      <w:r w:rsidR="00063FAC" w:rsidRPr="009E773A">
        <w:rPr>
          <w:rStyle w:val="Refdenotaalpie"/>
          <w:rFonts w:asciiTheme="majorHAnsi" w:hAnsiTheme="majorHAnsi"/>
          <w:sz w:val="20"/>
          <w:szCs w:val="20"/>
        </w:rPr>
        <w:footnoteReference w:id="41"/>
      </w:r>
      <w:r w:rsidR="000E032A" w:rsidRPr="009E773A">
        <w:rPr>
          <w:rFonts w:asciiTheme="majorHAnsi" w:hAnsiTheme="majorHAnsi"/>
          <w:sz w:val="20"/>
          <w:szCs w:val="20"/>
        </w:rPr>
        <w:t xml:space="preserve">. Asimismo, su cuerpo presentaba: </w:t>
      </w:r>
    </w:p>
    <w:p w14:paraId="73E9DA16" w14:textId="77777777" w:rsidR="000E032A" w:rsidRPr="009E773A" w:rsidRDefault="000E032A"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sz w:val="20"/>
          <w:szCs w:val="20"/>
        </w:rPr>
      </w:pPr>
    </w:p>
    <w:p w14:paraId="6D6060BF" w14:textId="77777777" w:rsidR="00811B2E" w:rsidRPr="009E773A" w:rsidRDefault="000E032A"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Theme="majorHAnsi" w:hAnsiTheme="majorHAnsi"/>
          <w:sz w:val="20"/>
          <w:szCs w:val="20"/>
        </w:rPr>
      </w:pPr>
      <w:r w:rsidRPr="009E773A">
        <w:rPr>
          <w:rFonts w:asciiTheme="majorHAnsi" w:hAnsiTheme="majorHAnsi"/>
          <w:sz w:val="20"/>
          <w:szCs w:val="20"/>
        </w:rPr>
        <w:t>(…) Cabeza: apreciándose dos orificios de entrada de proyectiles de arma de fuego, (…) provocando pequeño hematoma epicraneal izquierdo, fracturando hueso parietal izquierdo, fracturando techo de orbita ocular derecho, lesionando lóbulos parietal y frontal. (…), fracturando escama del temporal izquierdo, lesionando lóbulos temporal y parietal izquierdos, (…). Boca: Escoriaciones en comisura labial izquierda (…) Tórax: Simétrico, apreciándose extensas escoriaciones producidas por arrastre en toda la superficie anterior del tórax con gran pérdida de piel.  Abdomen: (…) apreciándose extensas escoriaciones en abdomen con gran pérdida de piel</w:t>
      </w:r>
      <w:r w:rsidRPr="009E773A">
        <w:rPr>
          <w:rStyle w:val="Refdenotaalpie"/>
          <w:rFonts w:asciiTheme="majorHAnsi" w:hAnsiTheme="majorHAnsi"/>
          <w:sz w:val="20"/>
          <w:szCs w:val="20"/>
        </w:rPr>
        <w:footnoteReference w:id="42"/>
      </w:r>
      <w:r w:rsidRPr="009E773A">
        <w:rPr>
          <w:rFonts w:asciiTheme="majorHAnsi" w:hAnsiTheme="majorHAnsi"/>
          <w:sz w:val="20"/>
          <w:szCs w:val="20"/>
        </w:rPr>
        <w:t>.</w:t>
      </w:r>
    </w:p>
    <w:p w14:paraId="256C68D0" w14:textId="77777777" w:rsidR="00726365" w:rsidRPr="009E773A" w:rsidRDefault="000E032A"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Theme="majorHAnsi" w:hAnsiTheme="majorHAnsi"/>
          <w:sz w:val="20"/>
          <w:szCs w:val="20"/>
        </w:rPr>
      </w:pPr>
      <w:r w:rsidRPr="009E773A">
        <w:rPr>
          <w:rFonts w:asciiTheme="majorHAnsi" w:hAnsiTheme="majorHAnsi"/>
          <w:sz w:val="20"/>
          <w:szCs w:val="20"/>
        </w:rPr>
        <w:t xml:space="preserve"> </w:t>
      </w:r>
    </w:p>
    <w:p w14:paraId="4AFDBCEB" w14:textId="4ED0209D" w:rsidR="000E032A" w:rsidRPr="009E773A" w:rsidRDefault="00492CBD"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r w:rsidRPr="009E773A">
        <w:rPr>
          <w:rFonts w:asciiTheme="majorHAnsi" w:hAnsiTheme="majorHAnsi"/>
          <w:sz w:val="20"/>
          <w:szCs w:val="20"/>
        </w:rPr>
        <w:t>El</w:t>
      </w:r>
      <w:r w:rsidR="0083217C" w:rsidRPr="009E773A">
        <w:rPr>
          <w:rFonts w:asciiTheme="majorHAnsi" w:hAnsiTheme="majorHAnsi"/>
          <w:sz w:val="20"/>
          <w:szCs w:val="20"/>
        </w:rPr>
        <w:t xml:space="preserve"> cuerpo</w:t>
      </w:r>
      <w:r w:rsidR="000E032A" w:rsidRPr="009E773A">
        <w:rPr>
          <w:rFonts w:asciiTheme="majorHAnsi" w:hAnsiTheme="majorHAnsi"/>
          <w:sz w:val="20"/>
          <w:szCs w:val="20"/>
        </w:rPr>
        <w:t xml:space="preserve"> </w:t>
      </w:r>
      <w:r w:rsidRPr="009E773A">
        <w:rPr>
          <w:rFonts w:asciiTheme="majorHAnsi" w:hAnsiTheme="majorHAnsi"/>
          <w:sz w:val="20"/>
          <w:szCs w:val="20"/>
        </w:rPr>
        <w:t xml:space="preserve">de Ramón Molina </w:t>
      </w:r>
      <w:r w:rsidR="000E032A" w:rsidRPr="009E773A">
        <w:rPr>
          <w:rFonts w:asciiTheme="majorHAnsi" w:hAnsiTheme="majorHAnsi"/>
          <w:sz w:val="20"/>
          <w:szCs w:val="20"/>
        </w:rPr>
        <w:t>fue hallado frente a una licorería en el callejón Buenos Aires de la Urbanización Santa Irene, en Punto Fijo, estado Falcón. Según el protocolo de autopsia, la causa de muerte fue “Hemoperidario, hemomediastino, lesión cardiaca severa debido a herida por proyectil disparado por arma de fuego”. Según dicha prueba, éste presentaba varios “orificios de entrada de proyectil de arma de fuego” en el tórax</w:t>
      </w:r>
      <w:r w:rsidR="000E032A" w:rsidRPr="009E773A">
        <w:rPr>
          <w:rStyle w:val="Refdenotaalpie"/>
          <w:rFonts w:asciiTheme="majorHAnsi" w:hAnsiTheme="majorHAnsi"/>
          <w:sz w:val="20"/>
          <w:szCs w:val="20"/>
        </w:rPr>
        <w:footnoteReference w:id="43"/>
      </w:r>
      <w:r w:rsidR="00F852A0" w:rsidRPr="009E773A">
        <w:rPr>
          <w:rFonts w:asciiTheme="majorHAnsi" w:hAnsiTheme="majorHAnsi"/>
          <w:sz w:val="20"/>
          <w:szCs w:val="20"/>
        </w:rPr>
        <w:t xml:space="preserve">. </w:t>
      </w:r>
      <w:r w:rsidR="00063FAC" w:rsidRPr="009E773A">
        <w:rPr>
          <w:rFonts w:asciiTheme="majorHAnsi" w:hAnsiTheme="majorHAnsi"/>
          <w:sz w:val="20"/>
          <w:szCs w:val="20"/>
        </w:rPr>
        <w:t xml:space="preserve">La pericia de trayectoria balística da cuenta </w:t>
      </w:r>
      <w:r w:rsidR="00014FEE" w:rsidRPr="009E773A">
        <w:rPr>
          <w:rFonts w:asciiTheme="majorHAnsi" w:hAnsiTheme="majorHAnsi"/>
          <w:sz w:val="20"/>
          <w:szCs w:val="20"/>
        </w:rPr>
        <w:t>de un disparo con trayectoria descendente, de adelante hacia atrás, y de derecha a izquierda</w:t>
      </w:r>
      <w:r w:rsidR="00014FEE" w:rsidRPr="009E773A">
        <w:rPr>
          <w:rStyle w:val="Refdenotaalpie"/>
          <w:rFonts w:asciiTheme="majorHAnsi" w:hAnsiTheme="majorHAnsi"/>
          <w:sz w:val="20"/>
          <w:szCs w:val="20"/>
        </w:rPr>
        <w:footnoteReference w:id="44"/>
      </w:r>
      <w:r w:rsidR="00014FEE" w:rsidRPr="009E773A">
        <w:rPr>
          <w:rFonts w:asciiTheme="majorHAnsi" w:hAnsiTheme="majorHAnsi"/>
          <w:sz w:val="20"/>
          <w:szCs w:val="20"/>
        </w:rPr>
        <w:t>.</w:t>
      </w:r>
    </w:p>
    <w:p w14:paraId="0345568C" w14:textId="77777777" w:rsidR="00E0272E" w:rsidRPr="009E773A" w:rsidRDefault="00E0272E"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p>
    <w:p w14:paraId="1615DDCD" w14:textId="218009F1" w:rsidR="00E0272E" w:rsidRPr="009E773A" w:rsidRDefault="00E0272E"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r w:rsidRPr="009E773A">
        <w:rPr>
          <w:rFonts w:asciiTheme="majorHAnsi" w:hAnsiTheme="majorHAnsi"/>
          <w:sz w:val="20"/>
          <w:szCs w:val="20"/>
        </w:rPr>
        <w:t>La Comisión observa que</w:t>
      </w:r>
      <w:r w:rsidR="002F4557" w:rsidRPr="009E773A">
        <w:rPr>
          <w:rFonts w:asciiTheme="majorHAnsi" w:hAnsiTheme="majorHAnsi"/>
          <w:sz w:val="20"/>
          <w:szCs w:val="20"/>
        </w:rPr>
        <w:t xml:space="preserve"> s</w:t>
      </w:r>
      <w:r w:rsidR="00957F33" w:rsidRPr="009E773A">
        <w:rPr>
          <w:rFonts w:asciiTheme="majorHAnsi" w:hAnsiTheme="majorHAnsi"/>
          <w:sz w:val="20"/>
          <w:szCs w:val="20"/>
        </w:rPr>
        <w:t>urgieron distintas versiones e información pública sobre las circunstancias en que ocurrieron los hechos</w:t>
      </w:r>
      <w:r w:rsidRPr="009E773A">
        <w:rPr>
          <w:rFonts w:asciiTheme="majorHAnsi" w:hAnsiTheme="majorHAnsi"/>
          <w:sz w:val="20"/>
          <w:szCs w:val="20"/>
        </w:rPr>
        <w:t>. En primer lugar, en el expediente ante la CIDH constan diversas notas d</w:t>
      </w:r>
      <w:r w:rsidR="0048374E" w:rsidRPr="009E773A">
        <w:rPr>
          <w:rFonts w:asciiTheme="majorHAnsi" w:hAnsiTheme="majorHAnsi"/>
          <w:sz w:val="20"/>
          <w:szCs w:val="20"/>
        </w:rPr>
        <w:t>e prensa en las cuales se reseñó</w:t>
      </w:r>
      <w:r w:rsidRPr="009E773A">
        <w:rPr>
          <w:rFonts w:asciiTheme="majorHAnsi" w:hAnsiTheme="majorHAnsi"/>
          <w:sz w:val="20"/>
          <w:szCs w:val="20"/>
        </w:rPr>
        <w:t xml:space="preserve"> la muerte de Jimmy Guerrero y Ramón Antonio Molina</w:t>
      </w:r>
      <w:r w:rsidR="00957F33" w:rsidRPr="009E773A">
        <w:rPr>
          <w:rFonts w:asciiTheme="majorHAnsi" w:hAnsiTheme="majorHAnsi"/>
          <w:sz w:val="20"/>
          <w:szCs w:val="20"/>
        </w:rPr>
        <w:t>. Algunas de estas notas refirieron declaraciones de funcionarios policiales y su versión en cuanto a que se había tratado de un enfrentamiento</w:t>
      </w:r>
      <w:r w:rsidR="00F852A0" w:rsidRPr="009E773A">
        <w:rPr>
          <w:rFonts w:asciiTheme="majorHAnsi" w:hAnsiTheme="majorHAnsi"/>
          <w:sz w:val="20"/>
          <w:szCs w:val="20"/>
        </w:rPr>
        <w:t xml:space="preserve"> entre bandas</w:t>
      </w:r>
      <w:r w:rsidR="00957F33" w:rsidRPr="009E773A">
        <w:rPr>
          <w:rFonts w:asciiTheme="majorHAnsi" w:hAnsiTheme="majorHAnsi"/>
          <w:sz w:val="20"/>
          <w:szCs w:val="20"/>
        </w:rPr>
        <w:t>. Así, consta que el comisario jefe de la Delegación del CICPC del estado Falcón declaró públicamente que “uno de los sujetos muertos a tiros a la noche del sábado frente a la Distribuidora “Rodríguez” de Punto Fijo [Jimmy Guerrero] registraba antecedentes policiales por diversos delitos y además era miembro de una banda delictiva que se dedicaba al robo y hurto de viviendas. […] Este sujeto era de alta peligrosidad”</w:t>
      </w:r>
      <w:r w:rsidR="00957F33" w:rsidRPr="009E773A">
        <w:rPr>
          <w:rStyle w:val="Refdenotaalpie"/>
          <w:rFonts w:asciiTheme="majorHAnsi" w:hAnsiTheme="majorHAnsi"/>
          <w:sz w:val="20"/>
          <w:szCs w:val="20"/>
        </w:rPr>
        <w:footnoteReference w:id="45"/>
      </w:r>
      <w:r w:rsidR="00957F33" w:rsidRPr="009E773A">
        <w:rPr>
          <w:rFonts w:asciiTheme="majorHAnsi" w:hAnsiTheme="majorHAnsi"/>
          <w:sz w:val="20"/>
          <w:szCs w:val="20"/>
        </w:rPr>
        <w:t>.</w:t>
      </w:r>
    </w:p>
    <w:p w14:paraId="5FEACA01" w14:textId="77777777" w:rsidR="007E761E" w:rsidRPr="009E773A" w:rsidRDefault="007E761E"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p>
    <w:p w14:paraId="4D54729C" w14:textId="77777777" w:rsidR="001B03AF" w:rsidRPr="009E773A" w:rsidRDefault="007E761E"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r w:rsidRPr="009E773A">
        <w:rPr>
          <w:rFonts w:asciiTheme="majorHAnsi" w:hAnsiTheme="majorHAnsi"/>
          <w:sz w:val="20"/>
          <w:szCs w:val="20"/>
        </w:rPr>
        <w:t>En segundo lugar, existe una versión referida en actas policiales según la cual en la licorería donde se encontraban las presuntas víctimas, ocurrió un atraco</w:t>
      </w:r>
      <w:r w:rsidR="00A00AC7" w:rsidRPr="009E773A">
        <w:rPr>
          <w:rFonts w:asciiTheme="majorHAnsi" w:hAnsiTheme="majorHAnsi"/>
          <w:sz w:val="20"/>
          <w:szCs w:val="20"/>
        </w:rPr>
        <w:t>. Específicamente, una persona declaró que, al tratar de salir del lugar, por accidente había arrastrado el cuerpo que fue identificado como de Jimmy Guerrero, con su vehículo</w:t>
      </w:r>
      <w:r w:rsidR="00A00AC7" w:rsidRPr="009E773A">
        <w:rPr>
          <w:rStyle w:val="Refdenotaalpie"/>
          <w:rFonts w:asciiTheme="majorHAnsi" w:hAnsiTheme="majorHAnsi"/>
          <w:sz w:val="20"/>
          <w:szCs w:val="20"/>
        </w:rPr>
        <w:footnoteReference w:id="46"/>
      </w:r>
      <w:r w:rsidR="00A00AC7" w:rsidRPr="009E773A">
        <w:rPr>
          <w:rFonts w:asciiTheme="majorHAnsi" w:hAnsiTheme="majorHAnsi"/>
          <w:sz w:val="20"/>
          <w:szCs w:val="20"/>
        </w:rPr>
        <w:t>. Esta versión fue confirmada por la esposa de dicho conductor</w:t>
      </w:r>
      <w:r w:rsidR="00A00AC7" w:rsidRPr="009E773A">
        <w:rPr>
          <w:rStyle w:val="Refdenotaalpie"/>
          <w:rFonts w:asciiTheme="majorHAnsi" w:hAnsiTheme="majorHAnsi"/>
          <w:sz w:val="20"/>
          <w:szCs w:val="20"/>
        </w:rPr>
        <w:footnoteReference w:id="47"/>
      </w:r>
      <w:r w:rsidR="00A00AC7" w:rsidRPr="009E773A">
        <w:rPr>
          <w:rFonts w:asciiTheme="majorHAnsi" w:hAnsiTheme="majorHAnsi"/>
          <w:sz w:val="20"/>
          <w:szCs w:val="20"/>
        </w:rPr>
        <w:t xml:space="preserve">. </w:t>
      </w:r>
    </w:p>
    <w:p w14:paraId="3BBDBA3E" w14:textId="77777777" w:rsidR="007E761E" w:rsidRPr="009E773A" w:rsidRDefault="00A00AC7"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r w:rsidRPr="009E773A">
        <w:rPr>
          <w:rFonts w:asciiTheme="majorHAnsi" w:hAnsiTheme="majorHAnsi"/>
          <w:sz w:val="20"/>
          <w:szCs w:val="20"/>
        </w:rPr>
        <w:t xml:space="preserve"> </w:t>
      </w:r>
    </w:p>
    <w:p w14:paraId="789EA1C1" w14:textId="77777777" w:rsidR="0083514A" w:rsidRPr="009E773A" w:rsidRDefault="00A00AC7"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r w:rsidRPr="009E773A">
        <w:rPr>
          <w:rFonts w:asciiTheme="majorHAnsi" w:hAnsiTheme="majorHAnsi"/>
          <w:sz w:val="20"/>
          <w:szCs w:val="20"/>
        </w:rPr>
        <w:t xml:space="preserve">En tercer lugar, </w:t>
      </w:r>
      <w:r w:rsidR="004D21FE" w:rsidRPr="009E773A">
        <w:rPr>
          <w:rFonts w:asciiTheme="majorHAnsi" w:hAnsiTheme="majorHAnsi"/>
          <w:sz w:val="20"/>
          <w:szCs w:val="20"/>
        </w:rPr>
        <w:t>la prensa</w:t>
      </w:r>
      <w:r w:rsidRPr="009E773A">
        <w:rPr>
          <w:rFonts w:asciiTheme="majorHAnsi" w:hAnsiTheme="majorHAnsi"/>
          <w:sz w:val="20"/>
          <w:szCs w:val="20"/>
        </w:rPr>
        <w:t xml:space="preserve"> reseñó que la</w:t>
      </w:r>
      <w:r w:rsidR="002F4557" w:rsidRPr="009E773A">
        <w:rPr>
          <w:rFonts w:asciiTheme="majorHAnsi" w:hAnsiTheme="majorHAnsi"/>
          <w:sz w:val="20"/>
          <w:szCs w:val="20"/>
        </w:rPr>
        <w:t>s</w:t>
      </w:r>
      <w:r w:rsidRPr="009E773A">
        <w:rPr>
          <w:rFonts w:asciiTheme="majorHAnsi" w:hAnsiTheme="majorHAnsi"/>
          <w:sz w:val="20"/>
          <w:szCs w:val="20"/>
        </w:rPr>
        <w:t xml:space="preserve"> muerte</w:t>
      </w:r>
      <w:r w:rsidR="002F4557" w:rsidRPr="009E773A">
        <w:rPr>
          <w:rFonts w:asciiTheme="majorHAnsi" w:hAnsiTheme="majorHAnsi"/>
          <w:sz w:val="20"/>
          <w:szCs w:val="20"/>
        </w:rPr>
        <w:t>s no se eran</w:t>
      </w:r>
      <w:r w:rsidRPr="009E773A">
        <w:rPr>
          <w:rFonts w:asciiTheme="majorHAnsi" w:hAnsiTheme="majorHAnsi"/>
          <w:sz w:val="20"/>
          <w:szCs w:val="20"/>
        </w:rPr>
        <w:t xml:space="preserve"> “un ajuste entre bandas” sino que </w:t>
      </w:r>
      <w:r w:rsidR="002F4557" w:rsidRPr="009E773A">
        <w:rPr>
          <w:rFonts w:asciiTheme="majorHAnsi" w:hAnsiTheme="majorHAnsi"/>
          <w:sz w:val="20"/>
          <w:szCs w:val="20"/>
        </w:rPr>
        <w:t>fueron</w:t>
      </w:r>
      <w:r w:rsidRPr="009E773A">
        <w:rPr>
          <w:rFonts w:asciiTheme="majorHAnsi" w:hAnsiTheme="majorHAnsi"/>
          <w:sz w:val="20"/>
          <w:szCs w:val="20"/>
        </w:rPr>
        <w:t xml:space="preserve"> perpetrada</w:t>
      </w:r>
      <w:r w:rsidR="002F4557" w:rsidRPr="009E773A">
        <w:rPr>
          <w:rFonts w:asciiTheme="majorHAnsi" w:hAnsiTheme="majorHAnsi"/>
          <w:sz w:val="20"/>
          <w:szCs w:val="20"/>
        </w:rPr>
        <w:t>s</w:t>
      </w:r>
      <w:r w:rsidRPr="009E773A">
        <w:rPr>
          <w:rFonts w:asciiTheme="majorHAnsi" w:hAnsiTheme="majorHAnsi"/>
          <w:sz w:val="20"/>
          <w:szCs w:val="20"/>
        </w:rPr>
        <w:t xml:space="preserve"> por funcionarios policiales</w:t>
      </w:r>
      <w:r w:rsidR="00D7172B" w:rsidRPr="009E773A">
        <w:rPr>
          <w:rFonts w:asciiTheme="majorHAnsi" w:hAnsiTheme="majorHAnsi"/>
          <w:sz w:val="20"/>
          <w:szCs w:val="20"/>
        </w:rPr>
        <w:t xml:space="preserve">, como denunciaron el </w:t>
      </w:r>
      <w:r w:rsidRPr="009E773A">
        <w:rPr>
          <w:rFonts w:asciiTheme="majorHAnsi" w:hAnsiTheme="majorHAnsi"/>
          <w:sz w:val="20"/>
          <w:szCs w:val="20"/>
        </w:rPr>
        <w:t>padre y el hermano de Jimmy Guerrero, Jean Carlos Guerrero</w:t>
      </w:r>
      <w:r w:rsidR="00D7172B" w:rsidRPr="009E773A">
        <w:rPr>
          <w:rFonts w:asciiTheme="majorHAnsi" w:hAnsiTheme="majorHAnsi"/>
          <w:sz w:val="20"/>
          <w:szCs w:val="20"/>
        </w:rPr>
        <w:t>. L</w:t>
      </w:r>
      <w:r w:rsidR="0083514A" w:rsidRPr="009E773A">
        <w:rPr>
          <w:rFonts w:asciiTheme="majorHAnsi" w:hAnsiTheme="majorHAnsi"/>
          <w:sz w:val="20"/>
          <w:szCs w:val="20"/>
        </w:rPr>
        <w:t>a versión de Jean Carlos Guerrero es consistente con su denuncia ante el Fiscal Superior, según la cual su hermano “fue torturado antes de asesinarlo” y que el responsable de estos hechos sería el entonces comandante de las Fuerzas Armadas Policiales del estado Falcón, Oswaldo Rodríguez León</w:t>
      </w:r>
      <w:r w:rsidR="0083514A" w:rsidRPr="009E773A">
        <w:rPr>
          <w:rStyle w:val="Refdenotaalpie"/>
          <w:rFonts w:asciiTheme="majorHAnsi" w:hAnsiTheme="majorHAnsi"/>
          <w:sz w:val="20"/>
          <w:szCs w:val="20"/>
        </w:rPr>
        <w:footnoteReference w:id="48"/>
      </w:r>
      <w:r w:rsidR="002F4557" w:rsidRPr="009E773A">
        <w:rPr>
          <w:rFonts w:asciiTheme="majorHAnsi" w:hAnsiTheme="majorHAnsi"/>
          <w:sz w:val="20"/>
          <w:szCs w:val="20"/>
        </w:rPr>
        <w:t xml:space="preserve">. Lo mismo se desprende de su </w:t>
      </w:r>
      <w:r w:rsidR="0083514A" w:rsidRPr="009E773A">
        <w:rPr>
          <w:rFonts w:asciiTheme="majorHAnsi" w:hAnsiTheme="majorHAnsi"/>
          <w:sz w:val="20"/>
          <w:szCs w:val="20"/>
        </w:rPr>
        <w:t>testimonio ante la audiencia pública ante la CIDH</w:t>
      </w:r>
      <w:r w:rsidR="0083514A" w:rsidRPr="009E773A">
        <w:rPr>
          <w:rStyle w:val="Refdenotaalpie"/>
          <w:rFonts w:asciiTheme="majorHAnsi" w:hAnsiTheme="majorHAnsi"/>
          <w:sz w:val="20"/>
          <w:szCs w:val="20"/>
        </w:rPr>
        <w:footnoteReference w:id="49"/>
      </w:r>
      <w:r w:rsidR="00D7172B" w:rsidRPr="009E773A">
        <w:rPr>
          <w:rFonts w:asciiTheme="majorHAnsi" w:hAnsiTheme="majorHAnsi"/>
          <w:sz w:val="20"/>
          <w:szCs w:val="20"/>
        </w:rPr>
        <w:t xml:space="preserve">. </w:t>
      </w:r>
    </w:p>
    <w:p w14:paraId="78B06305" w14:textId="77777777" w:rsidR="00353C76" w:rsidRPr="009E773A" w:rsidRDefault="00353C76"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p>
    <w:p w14:paraId="21D3A50A" w14:textId="49826800" w:rsidR="00075324" w:rsidRPr="009E773A" w:rsidRDefault="00D7172B"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r w:rsidRPr="009E773A">
        <w:rPr>
          <w:rFonts w:asciiTheme="majorHAnsi" w:hAnsiTheme="majorHAnsi"/>
          <w:sz w:val="20"/>
          <w:szCs w:val="20"/>
        </w:rPr>
        <w:t>El padre y hermano de Jimmy Guerrero también declararon que había sobrevivido el señor José Hernández, que era testigo presencial, y que se encontraba gravemente herido y temían por su seguridad</w:t>
      </w:r>
      <w:r w:rsidRPr="009E773A">
        <w:rPr>
          <w:rStyle w:val="Refdenotaalpie"/>
          <w:rFonts w:asciiTheme="majorHAnsi" w:hAnsiTheme="majorHAnsi"/>
          <w:sz w:val="20"/>
          <w:szCs w:val="20"/>
        </w:rPr>
        <w:footnoteReference w:id="50"/>
      </w:r>
      <w:r w:rsidRPr="009E773A">
        <w:rPr>
          <w:rFonts w:asciiTheme="majorHAnsi" w:hAnsiTheme="majorHAnsi"/>
          <w:sz w:val="20"/>
          <w:szCs w:val="20"/>
        </w:rPr>
        <w:t>. E</w:t>
      </w:r>
      <w:r w:rsidR="00496623" w:rsidRPr="009E773A">
        <w:rPr>
          <w:rFonts w:asciiTheme="majorHAnsi" w:hAnsiTheme="majorHAnsi"/>
          <w:sz w:val="20"/>
          <w:szCs w:val="20"/>
        </w:rPr>
        <w:t xml:space="preserve">l señor Hernández </w:t>
      </w:r>
      <w:r w:rsidR="00A00AC7" w:rsidRPr="009E773A">
        <w:rPr>
          <w:rFonts w:asciiTheme="majorHAnsi" w:hAnsiTheme="majorHAnsi"/>
          <w:sz w:val="20"/>
          <w:szCs w:val="20"/>
        </w:rPr>
        <w:t>rindió su testimonio anticipad</w:t>
      </w:r>
      <w:r w:rsidR="0083217C" w:rsidRPr="009E773A">
        <w:rPr>
          <w:rFonts w:asciiTheme="majorHAnsi" w:hAnsiTheme="majorHAnsi"/>
          <w:sz w:val="20"/>
          <w:szCs w:val="20"/>
        </w:rPr>
        <w:t>o</w:t>
      </w:r>
      <w:r w:rsidR="00496623" w:rsidRPr="009E773A">
        <w:rPr>
          <w:rFonts w:asciiTheme="majorHAnsi" w:hAnsiTheme="majorHAnsi"/>
          <w:sz w:val="20"/>
          <w:szCs w:val="20"/>
        </w:rPr>
        <w:t xml:space="preserve"> e indicó </w:t>
      </w:r>
      <w:r w:rsidR="00344D40" w:rsidRPr="009E773A">
        <w:rPr>
          <w:rFonts w:asciiTheme="majorHAnsi" w:hAnsiTheme="majorHAnsi"/>
          <w:sz w:val="20"/>
          <w:szCs w:val="20"/>
        </w:rPr>
        <w:t>que a</w:t>
      </w:r>
      <w:r w:rsidR="00A00AC7" w:rsidRPr="009E773A">
        <w:rPr>
          <w:rFonts w:asciiTheme="majorHAnsi" w:hAnsiTheme="majorHAnsi"/>
          <w:sz w:val="20"/>
          <w:szCs w:val="20"/>
        </w:rPr>
        <w:t>l llegar a la licorería, Jimmy Guerrero se bajó hacer las compras y fue cuando “llegaron 4 personas, vestidas de negro”, “vestidos de policía”, quienes empezaron a disparar. El señor Hernández relató que fue herido cuando trató de bajarse del carro, al igual que el señor Molina, a cuyo cuerpo se arrimó y se “[hizo] el muerto”. También afirmó que podía ver “por el orillo de la puerta cuando le estaban danto patadas a [Jimmy] Meléndez,</w:t>
      </w:r>
      <w:r w:rsidR="00785C60" w:rsidRPr="009E773A">
        <w:rPr>
          <w:rFonts w:asciiTheme="majorHAnsi" w:hAnsiTheme="majorHAnsi"/>
          <w:sz w:val="20"/>
          <w:szCs w:val="20"/>
        </w:rPr>
        <w:t xml:space="preserve"> [SIC]</w:t>
      </w:r>
      <w:r w:rsidR="00A00AC7" w:rsidRPr="009E773A">
        <w:rPr>
          <w:rFonts w:asciiTheme="majorHAnsi" w:hAnsiTheme="majorHAnsi"/>
          <w:sz w:val="20"/>
          <w:szCs w:val="20"/>
        </w:rPr>
        <w:t xml:space="preserve"> le hicieron dos disparos y se lo llevaron de arrastra por los pies […]”. Adicionalmente, señaló que luego de ser trasladado al hospital, 3 funcionarios policiales le habían interrogado que por qué “estaba diciendo que eran los po</w:t>
      </w:r>
      <w:r w:rsidR="00EB657F" w:rsidRPr="009E773A">
        <w:rPr>
          <w:rFonts w:asciiTheme="majorHAnsi" w:hAnsiTheme="majorHAnsi"/>
          <w:sz w:val="20"/>
          <w:szCs w:val="20"/>
        </w:rPr>
        <w:t>licías los que habían disparado</w:t>
      </w:r>
      <w:r w:rsidR="00A00AC7" w:rsidRPr="009E773A">
        <w:rPr>
          <w:rFonts w:asciiTheme="majorHAnsi" w:hAnsiTheme="majorHAnsi"/>
          <w:sz w:val="20"/>
          <w:szCs w:val="20"/>
        </w:rPr>
        <w:t>, si los únicos funcionarios de guardia esa noche eran estos funcionarios que le interrogaron</w:t>
      </w:r>
      <w:r w:rsidR="00EB0F7F" w:rsidRPr="009E773A">
        <w:rPr>
          <w:rFonts w:asciiTheme="majorHAnsi" w:hAnsiTheme="majorHAnsi"/>
          <w:sz w:val="20"/>
          <w:szCs w:val="20"/>
        </w:rPr>
        <w:t>”</w:t>
      </w:r>
      <w:r w:rsidR="00A00AC7" w:rsidRPr="009E773A">
        <w:rPr>
          <w:rStyle w:val="Refdenotaalpie"/>
          <w:rFonts w:asciiTheme="majorHAnsi" w:hAnsiTheme="majorHAnsi"/>
          <w:sz w:val="20"/>
          <w:szCs w:val="20"/>
        </w:rPr>
        <w:footnoteReference w:id="51"/>
      </w:r>
      <w:r w:rsidR="00A00AC7" w:rsidRPr="009E773A">
        <w:rPr>
          <w:rFonts w:asciiTheme="majorHAnsi" w:hAnsiTheme="majorHAnsi"/>
          <w:sz w:val="20"/>
          <w:szCs w:val="20"/>
        </w:rPr>
        <w:t>.</w:t>
      </w:r>
      <w:r w:rsidR="00496623" w:rsidRPr="009E773A">
        <w:rPr>
          <w:rFonts w:asciiTheme="majorHAnsi" w:hAnsiTheme="majorHAnsi"/>
          <w:sz w:val="20"/>
          <w:szCs w:val="20"/>
        </w:rPr>
        <w:t xml:space="preserve"> </w:t>
      </w:r>
    </w:p>
    <w:p w14:paraId="4F6F2B9A" w14:textId="77777777" w:rsidR="00496623" w:rsidRPr="009E773A" w:rsidRDefault="00496623"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sz w:val="20"/>
          <w:szCs w:val="20"/>
        </w:rPr>
      </w:pPr>
    </w:p>
    <w:p w14:paraId="76E88AE8" w14:textId="7069E20C" w:rsidR="005454FA" w:rsidRPr="009E773A" w:rsidRDefault="00075324"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r w:rsidRPr="009E773A">
        <w:rPr>
          <w:rFonts w:asciiTheme="majorHAnsi" w:hAnsiTheme="majorHAnsi"/>
          <w:sz w:val="20"/>
          <w:szCs w:val="20"/>
        </w:rPr>
        <w:t xml:space="preserve">Sobre esta versión, consta en el expediente </w:t>
      </w:r>
      <w:r w:rsidR="004D21FE" w:rsidRPr="009E773A">
        <w:rPr>
          <w:rFonts w:asciiTheme="majorHAnsi" w:hAnsiTheme="majorHAnsi"/>
          <w:sz w:val="20"/>
          <w:szCs w:val="20"/>
        </w:rPr>
        <w:t xml:space="preserve">un </w:t>
      </w:r>
      <w:r w:rsidR="005454FA" w:rsidRPr="009E773A">
        <w:rPr>
          <w:rFonts w:asciiTheme="majorHAnsi" w:hAnsiTheme="majorHAnsi"/>
          <w:sz w:val="20"/>
          <w:szCs w:val="20"/>
        </w:rPr>
        <w:t xml:space="preserve">acta de entrevista a un testigo presencial de los hechos </w:t>
      </w:r>
      <w:r w:rsidR="00C84BFE" w:rsidRPr="009E773A">
        <w:rPr>
          <w:rFonts w:asciiTheme="majorHAnsi" w:hAnsiTheme="majorHAnsi"/>
          <w:sz w:val="20"/>
          <w:szCs w:val="20"/>
        </w:rPr>
        <w:t xml:space="preserve">quien </w:t>
      </w:r>
      <w:r w:rsidR="005454FA" w:rsidRPr="009E773A">
        <w:rPr>
          <w:rFonts w:asciiTheme="majorHAnsi" w:hAnsiTheme="majorHAnsi"/>
          <w:sz w:val="20"/>
          <w:szCs w:val="20"/>
        </w:rPr>
        <w:t xml:space="preserve">declaró que se encontraba trabajando en la licorería “a eso de la 1:30 de la madrugada” cuando llegó un </w:t>
      </w:r>
      <w:r w:rsidR="004635AB" w:rsidRPr="009E773A">
        <w:rPr>
          <w:rFonts w:asciiTheme="majorHAnsi" w:hAnsiTheme="majorHAnsi"/>
          <w:sz w:val="20"/>
          <w:szCs w:val="20"/>
        </w:rPr>
        <w:t>ciudadano a comprar unas bebidas, indicando que</w:t>
      </w:r>
      <w:r w:rsidR="00427EB0" w:rsidRPr="009E773A">
        <w:rPr>
          <w:rFonts w:asciiTheme="majorHAnsi" w:hAnsiTheme="majorHAnsi"/>
          <w:sz w:val="20"/>
          <w:szCs w:val="20"/>
        </w:rPr>
        <w:t xml:space="preserve"> llegó</w:t>
      </w:r>
      <w:r w:rsidR="004635AB" w:rsidRPr="009E773A">
        <w:rPr>
          <w:rFonts w:asciiTheme="majorHAnsi" w:hAnsiTheme="majorHAnsi"/>
          <w:sz w:val="20"/>
          <w:szCs w:val="20"/>
        </w:rPr>
        <w:t xml:space="preserve"> un </w:t>
      </w:r>
      <w:r w:rsidR="005454FA" w:rsidRPr="009E773A">
        <w:rPr>
          <w:rFonts w:asciiTheme="majorHAnsi" w:hAnsiTheme="majorHAnsi"/>
          <w:sz w:val="20"/>
          <w:szCs w:val="20"/>
        </w:rPr>
        <w:t>vehículo del cual se ba</w:t>
      </w:r>
      <w:r w:rsidR="004635AB" w:rsidRPr="009E773A">
        <w:rPr>
          <w:rFonts w:asciiTheme="majorHAnsi" w:hAnsiTheme="majorHAnsi"/>
          <w:sz w:val="20"/>
          <w:szCs w:val="20"/>
        </w:rPr>
        <w:t>jaron dos hombres, uno de “</w:t>
      </w:r>
      <w:r w:rsidR="005454FA" w:rsidRPr="009E773A">
        <w:rPr>
          <w:rFonts w:asciiTheme="majorHAnsi" w:hAnsiTheme="majorHAnsi"/>
          <w:sz w:val="20"/>
          <w:szCs w:val="20"/>
        </w:rPr>
        <w:t>ellos agarró al que me compró las botellas por el cuello y nos dijo a nosotros que no nos metiéramos (…) entonces le pegó un tiro en la cabeza y lo tiró para el suelo, entonces se bajó del carro MONZA el señor Ramón Molina, quien trabaja para nosotros y dijo que pasaba, (…) enseguida le dispararon en ráfagas seguidas (…). Luego entró a la cuadra un SEP de color LADRILLO claro y le pasó por encima al cadáver, dio la vuelta, se bajó uno de los tripulares amarró el cuerpo por una pierna con un mecate de los finos y lo amarró al parachoques trasero y se lo llevó de arrastra”</w:t>
      </w:r>
      <w:r w:rsidR="005454FA" w:rsidRPr="009E773A">
        <w:rPr>
          <w:rStyle w:val="Refdenotaalpie"/>
          <w:rFonts w:asciiTheme="majorHAnsi" w:hAnsiTheme="majorHAnsi"/>
          <w:sz w:val="20"/>
          <w:szCs w:val="20"/>
        </w:rPr>
        <w:footnoteReference w:id="52"/>
      </w:r>
      <w:r w:rsidR="005454FA" w:rsidRPr="009E773A">
        <w:rPr>
          <w:rFonts w:asciiTheme="majorHAnsi" w:hAnsiTheme="majorHAnsi"/>
          <w:sz w:val="20"/>
          <w:szCs w:val="20"/>
        </w:rPr>
        <w:t>.</w:t>
      </w:r>
      <w:r w:rsidR="001B03AF" w:rsidRPr="009E773A">
        <w:rPr>
          <w:rFonts w:asciiTheme="majorHAnsi" w:hAnsiTheme="majorHAnsi"/>
          <w:sz w:val="20"/>
          <w:szCs w:val="20"/>
        </w:rPr>
        <w:t xml:space="preserve"> </w:t>
      </w:r>
      <w:r w:rsidR="004635AB" w:rsidRPr="009E773A">
        <w:rPr>
          <w:rFonts w:asciiTheme="majorHAnsi" w:hAnsiTheme="majorHAnsi"/>
          <w:sz w:val="20"/>
          <w:szCs w:val="20"/>
        </w:rPr>
        <w:t>El testigo describió físicamente a los que identificó como los atacantes</w:t>
      </w:r>
      <w:r w:rsidR="005454FA" w:rsidRPr="009E773A">
        <w:rPr>
          <w:rStyle w:val="Refdenotaalpie"/>
          <w:rFonts w:asciiTheme="majorHAnsi" w:hAnsiTheme="majorHAnsi"/>
          <w:sz w:val="20"/>
          <w:szCs w:val="20"/>
        </w:rPr>
        <w:footnoteReference w:id="53"/>
      </w:r>
      <w:r w:rsidR="005454FA" w:rsidRPr="009E773A">
        <w:rPr>
          <w:rFonts w:asciiTheme="majorHAnsi" w:hAnsiTheme="majorHAnsi"/>
          <w:sz w:val="20"/>
          <w:szCs w:val="20"/>
        </w:rPr>
        <w:t>.</w:t>
      </w:r>
    </w:p>
    <w:p w14:paraId="5225EFEC" w14:textId="77777777" w:rsidR="004A373E" w:rsidRPr="009E773A" w:rsidRDefault="004A373E" w:rsidP="009A79B6">
      <w:pPr>
        <w:pStyle w:val="Prrafodelista"/>
        <w:rPr>
          <w:rFonts w:asciiTheme="majorHAnsi" w:hAnsiTheme="majorHAnsi"/>
          <w:sz w:val="20"/>
          <w:szCs w:val="20"/>
          <w:lang w:val="es-ES"/>
        </w:rPr>
      </w:pPr>
    </w:p>
    <w:p w14:paraId="14722480" w14:textId="2BCA5676" w:rsidR="0030514D" w:rsidRPr="009E773A" w:rsidRDefault="008C23F9"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eastAsia="Cambria" w:hAnsiTheme="majorHAnsi" w:cs="Cambria"/>
          <w:color w:val="000000"/>
          <w:sz w:val="20"/>
          <w:szCs w:val="20"/>
          <w:u w:color="000000"/>
          <w:lang w:val="es-ES" w:eastAsia="es-ES"/>
        </w:rPr>
      </w:pPr>
      <w:r w:rsidRPr="009E773A">
        <w:rPr>
          <w:rFonts w:asciiTheme="majorHAnsi" w:hAnsiTheme="majorHAnsi"/>
          <w:sz w:val="20"/>
          <w:szCs w:val="20"/>
        </w:rPr>
        <w:t>Asimismo, l</w:t>
      </w:r>
      <w:r w:rsidR="004635AB" w:rsidRPr="009E773A">
        <w:rPr>
          <w:rFonts w:asciiTheme="majorHAnsi" w:hAnsiTheme="majorHAnsi"/>
          <w:sz w:val="20"/>
          <w:szCs w:val="20"/>
        </w:rPr>
        <w:t xml:space="preserve">a Comisión encuentra en el expediente </w:t>
      </w:r>
      <w:r w:rsidR="00ED62E7" w:rsidRPr="009E773A">
        <w:rPr>
          <w:rFonts w:asciiTheme="majorHAnsi" w:hAnsiTheme="majorHAnsi"/>
          <w:sz w:val="20"/>
          <w:szCs w:val="20"/>
        </w:rPr>
        <w:t xml:space="preserve">otras </w:t>
      </w:r>
      <w:r w:rsidR="004635AB" w:rsidRPr="009E773A">
        <w:rPr>
          <w:rFonts w:asciiTheme="majorHAnsi" w:hAnsiTheme="majorHAnsi"/>
          <w:sz w:val="20"/>
          <w:szCs w:val="20"/>
        </w:rPr>
        <w:t xml:space="preserve">declaraciones de testigos </w:t>
      </w:r>
      <w:r w:rsidR="004A373E" w:rsidRPr="009E773A">
        <w:rPr>
          <w:rFonts w:asciiTheme="majorHAnsi" w:hAnsiTheme="majorHAnsi"/>
          <w:sz w:val="20"/>
          <w:szCs w:val="20"/>
        </w:rPr>
        <w:t>consistentes con el relato de la parte peticionaria, en relación con el lugar de hallazgo</w:t>
      </w:r>
      <w:r w:rsidR="00ED62E7" w:rsidRPr="009E773A">
        <w:rPr>
          <w:rFonts w:asciiTheme="majorHAnsi" w:hAnsiTheme="majorHAnsi"/>
          <w:sz w:val="20"/>
          <w:szCs w:val="20"/>
        </w:rPr>
        <w:t xml:space="preserve"> </w:t>
      </w:r>
      <w:r w:rsidR="004A373E" w:rsidRPr="009E773A">
        <w:rPr>
          <w:rFonts w:asciiTheme="majorHAnsi" w:hAnsiTheme="majorHAnsi"/>
          <w:sz w:val="20"/>
          <w:szCs w:val="20"/>
        </w:rPr>
        <w:t>d</w:t>
      </w:r>
      <w:r w:rsidR="00ED62E7" w:rsidRPr="009E773A">
        <w:rPr>
          <w:rFonts w:asciiTheme="majorHAnsi" w:hAnsiTheme="majorHAnsi"/>
          <w:sz w:val="20"/>
          <w:szCs w:val="20"/>
        </w:rPr>
        <w:t>el cuerpo de Jimmy Guerrero</w:t>
      </w:r>
      <w:r w:rsidR="009A719F" w:rsidRPr="009E773A">
        <w:rPr>
          <w:rStyle w:val="Refdenotaalpie"/>
          <w:rFonts w:asciiTheme="majorHAnsi" w:hAnsiTheme="majorHAnsi"/>
          <w:sz w:val="20"/>
          <w:szCs w:val="20"/>
        </w:rPr>
        <w:footnoteReference w:id="54"/>
      </w:r>
      <w:r w:rsidR="00ED62E7" w:rsidRPr="009E773A">
        <w:rPr>
          <w:rFonts w:asciiTheme="majorHAnsi" w:hAnsiTheme="majorHAnsi"/>
          <w:sz w:val="20"/>
          <w:szCs w:val="20"/>
        </w:rPr>
        <w:t xml:space="preserve">, </w:t>
      </w:r>
      <w:r w:rsidR="004A373E" w:rsidRPr="009E773A">
        <w:rPr>
          <w:rFonts w:asciiTheme="majorHAnsi" w:hAnsiTheme="majorHAnsi"/>
          <w:sz w:val="20"/>
          <w:szCs w:val="20"/>
        </w:rPr>
        <w:t>la identificación del carro usado para cometer el asesinato</w:t>
      </w:r>
      <w:r w:rsidR="004A373E" w:rsidRPr="009E773A">
        <w:rPr>
          <w:rStyle w:val="Refdenotaalpie"/>
          <w:rFonts w:asciiTheme="majorHAnsi" w:hAnsiTheme="majorHAnsi"/>
          <w:sz w:val="20"/>
          <w:szCs w:val="20"/>
        </w:rPr>
        <w:footnoteReference w:id="55"/>
      </w:r>
      <w:r w:rsidRPr="009E773A">
        <w:rPr>
          <w:rFonts w:asciiTheme="majorHAnsi" w:hAnsiTheme="majorHAnsi"/>
          <w:sz w:val="20"/>
          <w:szCs w:val="20"/>
        </w:rPr>
        <w:t xml:space="preserve"> y el arrastre de su cuerpo</w:t>
      </w:r>
      <w:r w:rsidRPr="009E773A">
        <w:rPr>
          <w:rStyle w:val="Refdenotaalpie"/>
          <w:rFonts w:asciiTheme="majorHAnsi" w:hAnsiTheme="majorHAnsi"/>
          <w:sz w:val="20"/>
          <w:szCs w:val="20"/>
        </w:rPr>
        <w:footnoteReference w:id="56"/>
      </w:r>
      <w:r w:rsidR="004A373E" w:rsidRPr="009E773A">
        <w:rPr>
          <w:rFonts w:asciiTheme="majorHAnsi" w:hAnsiTheme="majorHAnsi"/>
          <w:sz w:val="20"/>
          <w:szCs w:val="20"/>
        </w:rPr>
        <w:t>,</w:t>
      </w:r>
      <w:r w:rsidRPr="009E773A">
        <w:rPr>
          <w:rFonts w:asciiTheme="majorHAnsi" w:hAnsiTheme="majorHAnsi"/>
          <w:sz w:val="20"/>
          <w:szCs w:val="20"/>
        </w:rPr>
        <w:t xml:space="preserve"> </w:t>
      </w:r>
      <w:r w:rsidR="004A373E" w:rsidRPr="009E773A">
        <w:rPr>
          <w:rFonts w:asciiTheme="majorHAnsi" w:hAnsiTheme="majorHAnsi"/>
          <w:sz w:val="20"/>
          <w:szCs w:val="20"/>
        </w:rPr>
        <w:t xml:space="preserve">y que, en general, </w:t>
      </w:r>
      <w:r w:rsidRPr="009E773A">
        <w:rPr>
          <w:rFonts w:asciiTheme="majorHAnsi" w:hAnsiTheme="majorHAnsi"/>
          <w:sz w:val="20"/>
          <w:szCs w:val="20"/>
        </w:rPr>
        <w:t>notaron la dinámica de los hechos en los términos ya descritos</w:t>
      </w:r>
      <w:r w:rsidR="0021236A" w:rsidRPr="009E773A">
        <w:rPr>
          <w:rStyle w:val="Refdenotaalpie"/>
          <w:rFonts w:asciiTheme="majorHAnsi" w:hAnsiTheme="majorHAnsi"/>
          <w:sz w:val="20"/>
          <w:szCs w:val="20"/>
        </w:rPr>
        <w:footnoteReference w:id="57"/>
      </w:r>
      <w:r w:rsidR="004A373E" w:rsidRPr="009E773A">
        <w:rPr>
          <w:rFonts w:asciiTheme="majorHAnsi" w:hAnsiTheme="majorHAnsi"/>
          <w:sz w:val="20"/>
          <w:szCs w:val="20"/>
        </w:rPr>
        <w:t>.</w:t>
      </w:r>
    </w:p>
    <w:p w14:paraId="79EF0E53" w14:textId="77777777" w:rsidR="00984419" w:rsidRPr="00D27622" w:rsidRDefault="00984419"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eastAsia="Cambria" w:hAnsiTheme="majorHAnsi" w:cs="Cambria"/>
          <w:b/>
          <w:color w:val="000000"/>
          <w:sz w:val="20"/>
          <w:szCs w:val="20"/>
          <w:u w:color="000000"/>
          <w:lang w:val="es-ES" w:eastAsia="es-ES"/>
        </w:rPr>
      </w:pPr>
    </w:p>
    <w:p w14:paraId="63057F76" w14:textId="77777777" w:rsidR="00425014" w:rsidRPr="00D27622" w:rsidRDefault="00425014" w:rsidP="00D27622">
      <w:pPr>
        <w:pStyle w:val="Ttulo2"/>
        <w:ind w:left="0" w:firstLine="0"/>
        <w:rPr>
          <w:rFonts w:asciiTheme="majorHAnsi" w:hAnsiTheme="majorHAnsi"/>
          <w:szCs w:val="20"/>
        </w:rPr>
      </w:pPr>
      <w:bookmarkStart w:id="10" w:name="_Toc2159215"/>
      <w:r w:rsidRPr="00D27622">
        <w:rPr>
          <w:rFonts w:asciiTheme="majorHAnsi" w:hAnsiTheme="majorHAnsi"/>
          <w:szCs w:val="20"/>
        </w:rPr>
        <w:t>Investigaciones y procesos judiciales iniciados por la muerte de Jimmy Guerrero y Ramón Molina</w:t>
      </w:r>
      <w:bookmarkEnd w:id="10"/>
    </w:p>
    <w:p w14:paraId="64F7AEB4" w14:textId="77777777" w:rsidR="00425014" w:rsidRPr="009E773A" w:rsidRDefault="00425014"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rPr>
      </w:pPr>
    </w:p>
    <w:p w14:paraId="0CF60B42" w14:textId="1A7F7A93" w:rsidR="004E00A5" w:rsidRPr="009E773A" w:rsidRDefault="002461A8"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sz w:val="20"/>
          <w:szCs w:val="20"/>
        </w:rPr>
        <w:t>A continuación</w:t>
      </w:r>
      <w:r w:rsidR="006873E8" w:rsidRPr="009E773A">
        <w:rPr>
          <w:rFonts w:asciiTheme="majorHAnsi" w:hAnsiTheme="majorHAnsi"/>
          <w:sz w:val="20"/>
          <w:szCs w:val="20"/>
        </w:rPr>
        <w:t>,</w:t>
      </w:r>
      <w:r w:rsidRPr="009E773A">
        <w:rPr>
          <w:rFonts w:asciiTheme="majorHAnsi" w:hAnsiTheme="majorHAnsi"/>
          <w:sz w:val="20"/>
          <w:szCs w:val="20"/>
        </w:rPr>
        <w:t xml:space="preserve"> la CIDH dará cuenta de las principales diligencias realizadas en el marco de la investigación de </w:t>
      </w:r>
      <w:r w:rsidR="009A5745" w:rsidRPr="009E773A">
        <w:rPr>
          <w:rFonts w:asciiTheme="majorHAnsi" w:hAnsiTheme="majorHAnsi"/>
          <w:sz w:val="20"/>
          <w:szCs w:val="20"/>
        </w:rPr>
        <w:t xml:space="preserve">las muertes de las presuntas víctimas. </w:t>
      </w:r>
      <w:r w:rsidR="00F77D85" w:rsidRPr="009E773A">
        <w:rPr>
          <w:rFonts w:asciiTheme="majorHAnsi" w:hAnsiTheme="majorHAnsi"/>
          <w:sz w:val="20"/>
          <w:szCs w:val="20"/>
        </w:rPr>
        <w:t xml:space="preserve">Los contenidos pertinentes de algunas diligencias ya fueron referidos en la sección anterior. </w:t>
      </w:r>
    </w:p>
    <w:p w14:paraId="561A8A9D" w14:textId="77777777" w:rsidR="004E00A5" w:rsidRPr="009E773A" w:rsidRDefault="004E00A5"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ind w:left="630"/>
        <w:jc w:val="both"/>
        <w:rPr>
          <w:rFonts w:asciiTheme="majorHAnsi" w:hAnsiTheme="majorHAnsi"/>
          <w:sz w:val="20"/>
          <w:szCs w:val="20"/>
          <w:lang w:val="es-ES"/>
        </w:rPr>
      </w:pPr>
    </w:p>
    <w:p w14:paraId="5344863F" w14:textId="135999D5" w:rsidR="00C45EC3" w:rsidRPr="009E773A" w:rsidRDefault="00E4496E"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sz w:val="20"/>
          <w:szCs w:val="20"/>
        </w:rPr>
        <w:t>El 30 de marzo de 2003 el Fiscal Sexto de la Circuns</w:t>
      </w:r>
      <w:r w:rsidR="00726AFE" w:rsidRPr="009E773A">
        <w:rPr>
          <w:rFonts w:asciiTheme="majorHAnsi" w:hAnsiTheme="majorHAnsi"/>
          <w:sz w:val="20"/>
          <w:szCs w:val="20"/>
        </w:rPr>
        <w:t xml:space="preserve">cripción Judicial del Estado </w:t>
      </w:r>
      <w:r w:rsidRPr="009E773A">
        <w:rPr>
          <w:rFonts w:asciiTheme="majorHAnsi" w:hAnsiTheme="majorHAnsi"/>
          <w:sz w:val="20"/>
          <w:szCs w:val="20"/>
        </w:rPr>
        <w:t>Falcón</w:t>
      </w:r>
      <w:r w:rsidR="0001645E" w:rsidRPr="009E773A">
        <w:rPr>
          <w:rFonts w:asciiTheme="majorHAnsi" w:hAnsiTheme="majorHAnsi"/>
          <w:sz w:val="20"/>
          <w:szCs w:val="20"/>
        </w:rPr>
        <w:t xml:space="preserve"> (en adelante “el Fiscal Sexto”)</w:t>
      </w:r>
      <w:r w:rsidRPr="009E773A">
        <w:rPr>
          <w:rFonts w:asciiTheme="majorHAnsi" w:hAnsiTheme="majorHAnsi"/>
          <w:sz w:val="20"/>
          <w:szCs w:val="20"/>
        </w:rPr>
        <w:t xml:space="preserve"> profirió una orden de apertura de investigación por lo sucedido</w:t>
      </w:r>
      <w:r w:rsidRPr="009E773A">
        <w:rPr>
          <w:rStyle w:val="Refdenotaalpie"/>
          <w:rFonts w:asciiTheme="majorHAnsi" w:hAnsiTheme="majorHAnsi"/>
          <w:sz w:val="20"/>
          <w:szCs w:val="20"/>
        </w:rPr>
        <w:footnoteReference w:id="58"/>
      </w:r>
      <w:r w:rsidRPr="009E773A">
        <w:rPr>
          <w:rFonts w:asciiTheme="majorHAnsi" w:hAnsiTheme="majorHAnsi"/>
          <w:sz w:val="20"/>
          <w:szCs w:val="20"/>
        </w:rPr>
        <w:t xml:space="preserve">. </w:t>
      </w:r>
      <w:r w:rsidR="006873E8" w:rsidRPr="009E773A">
        <w:rPr>
          <w:rFonts w:asciiTheme="majorHAnsi" w:hAnsiTheme="majorHAnsi"/>
          <w:sz w:val="20"/>
          <w:szCs w:val="20"/>
          <w:lang w:val="es-ES_tradnl"/>
        </w:rPr>
        <w:t>D</w:t>
      </w:r>
      <w:r w:rsidR="002077A4" w:rsidRPr="009E773A">
        <w:rPr>
          <w:rFonts w:asciiTheme="majorHAnsi" w:hAnsiTheme="majorHAnsi"/>
          <w:sz w:val="20"/>
          <w:szCs w:val="20"/>
          <w:lang w:val="es-ES_tradnl"/>
        </w:rPr>
        <w:t>el expediente, se desprende que el</w:t>
      </w:r>
      <w:r w:rsidR="006873E8" w:rsidRPr="009E773A">
        <w:rPr>
          <w:rFonts w:asciiTheme="majorHAnsi" w:hAnsiTheme="majorHAnsi"/>
          <w:sz w:val="20"/>
          <w:szCs w:val="20"/>
          <w:lang w:val="es-ES"/>
        </w:rPr>
        <w:t xml:space="preserve"> </w:t>
      </w:r>
      <w:r w:rsidR="00FF482E" w:rsidRPr="009E773A">
        <w:rPr>
          <w:rFonts w:asciiTheme="majorHAnsi" w:hAnsiTheme="majorHAnsi"/>
          <w:sz w:val="20"/>
          <w:szCs w:val="20"/>
          <w:lang w:val="es-ES"/>
        </w:rPr>
        <w:t xml:space="preserve">mismo día </w:t>
      </w:r>
      <w:r w:rsidR="006873E8" w:rsidRPr="009E773A">
        <w:rPr>
          <w:rFonts w:asciiTheme="majorHAnsi" w:hAnsiTheme="majorHAnsi"/>
          <w:sz w:val="20"/>
          <w:szCs w:val="20"/>
          <w:lang w:val="es-ES"/>
        </w:rPr>
        <w:t>se practicaron inspecciones</w:t>
      </w:r>
      <w:r w:rsidR="0016009C" w:rsidRPr="009E773A">
        <w:rPr>
          <w:rFonts w:asciiTheme="majorHAnsi" w:hAnsiTheme="majorHAnsi"/>
          <w:sz w:val="20"/>
          <w:szCs w:val="20"/>
          <w:lang w:val="es-ES"/>
        </w:rPr>
        <w:t xml:space="preserve"> en </w:t>
      </w:r>
      <w:r w:rsidR="006873E8" w:rsidRPr="009E773A">
        <w:rPr>
          <w:rFonts w:asciiTheme="majorHAnsi" w:hAnsiTheme="majorHAnsi"/>
          <w:sz w:val="20"/>
          <w:szCs w:val="20"/>
          <w:lang w:val="es-ES"/>
        </w:rPr>
        <w:t xml:space="preserve">la </w:t>
      </w:r>
      <w:r w:rsidR="0016009C" w:rsidRPr="009E773A">
        <w:rPr>
          <w:rFonts w:asciiTheme="majorHAnsi" w:hAnsiTheme="majorHAnsi"/>
          <w:sz w:val="20"/>
          <w:szCs w:val="20"/>
          <w:lang w:val="es-ES"/>
        </w:rPr>
        <w:t>vía pública</w:t>
      </w:r>
      <w:r w:rsidR="0016009C" w:rsidRPr="009E773A">
        <w:rPr>
          <w:rStyle w:val="Refdenotaalpie"/>
          <w:rFonts w:asciiTheme="majorHAnsi" w:hAnsiTheme="majorHAnsi"/>
          <w:sz w:val="20"/>
          <w:szCs w:val="20"/>
        </w:rPr>
        <w:footnoteReference w:id="59"/>
      </w:r>
      <w:r w:rsidR="0016009C" w:rsidRPr="009E773A">
        <w:rPr>
          <w:rFonts w:asciiTheme="majorHAnsi" w:hAnsiTheme="majorHAnsi"/>
          <w:sz w:val="20"/>
          <w:szCs w:val="20"/>
          <w:lang w:val="es-ES"/>
        </w:rPr>
        <w:t xml:space="preserve"> y </w:t>
      </w:r>
      <w:r w:rsidR="00C45EC3" w:rsidRPr="009E773A">
        <w:rPr>
          <w:rFonts w:asciiTheme="majorHAnsi" w:hAnsiTheme="majorHAnsi"/>
          <w:sz w:val="20"/>
          <w:szCs w:val="20"/>
          <w:lang w:val="es-ES"/>
        </w:rPr>
        <w:t xml:space="preserve">en </w:t>
      </w:r>
      <w:r w:rsidR="006873E8" w:rsidRPr="009E773A">
        <w:rPr>
          <w:rFonts w:asciiTheme="majorHAnsi" w:hAnsiTheme="majorHAnsi"/>
          <w:sz w:val="20"/>
          <w:szCs w:val="20"/>
          <w:lang w:val="es-ES"/>
        </w:rPr>
        <w:t xml:space="preserve">la </w:t>
      </w:r>
      <w:r w:rsidR="00C45EC3" w:rsidRPr="009E773A">
        <w:rPr>
          <w:rFonts w:asciiTheme="majorHAnsi" w:hAnsiTheme="majorHAnsi"/>
          <w:sz w:val="20"/>
          <w:szCs w:val="20"/>
          <w:lang w:val="es-ES"/>
        </w:rPr>
        <w:t>estación de servicios</w:t>
      </w:r>
      <w:r w:rsidR="002077A4" w:rsidRPr="009E773A">
        <w:rPr>
          <w:rFonts w:asciiTheme="majorHAnsi" w:hAnsiTheme="majorHAnsi"/>
          <w:sz w:val="20"/>
          <w:szCs w:val="20"/>
          <w:lang w:val="es-ES"/>
        </w:rPr>
        <w:t xml:space="preserve"> </w:t>
      </w:r>
      <w:r w:rsidR="00C869FE" w:rsidRPr="009E773A">
        <w:rPr>
          <w:rFonts w:asciiTheme="majorHAnsi" w:hAnsiTheme="majorHAnsi"/>
          <w:sz w:val="20"/>
          <w:szCs w:val="20"/>
          <w:lang w:val="es-ES"/>
        </w:rPr>
        <w:t>de la que consta el hallazgo “[d]</w:t>
      </w:r>
      <w:r w:rsidR="00BA647B" w:rsidRPr="009E773A">
        <w:rPr>
          <w:rFonts w:asciiTheme="majorHAnsi" w:hAnsiTheme="majorHAnsi"/>
          <w:sz w:val="20"/>
          <w:szCs w:val="20"/>
          <w:lang w:val="es-ES"/>
        </w:rPr>
        <w:t>el cuerpo ya cadáver de una persona joven, (…) así mismo se le aprecian excoriaciones con pérdida de la epidermis a nivel de hombro izquierdo, región pectoral abdominal, antebrazo derecho e izquierdo y parte lateral izquierda de la cara, con desprendimiento</w:t>
      </w:r>
      <w:r w:rsidR="00607E30" w:rsidRPr="009E773A">
        <w:rPr>
          <w:rFonts w:asciiTheme="majorHAnsi" w:hAnsiTheme="majorHAnsi"/>
          <w:sz w:val="20"/>
          <w:szCs w:val="20"/>
          <w:lang w:val="es-ES"/>
        </w:rPr>
        <w:t xml:space="preserve"> de la oreja izquierda (…). Luego de un minucioso y detenido rastre, se pudo aprecia</w:t>
      </w:r>
      <w:r w:rsidR="009D5733" w:rsidRPr="009E773A">
        <w:rPr>
          <w:rFonts w:asciiTheme="majorHAnsi" w:hAnsiTheme="majorHAnsi"/>
          <w:sz w:val="20"/>
          <w:szCs w:val="20"/>
          <w:lang w:val="es-ES"/>
        </w:rPr>
        <w:t>r</w:t>
      </w:r>
      <w:r w:rsidR="00607E30" w:rsidRPr="009E773A">
        <w:rPr>
          <w:rFonts w:asciiTheme="majorHAnsi" w:hAnsiTheme="majorHAnsi"/>
          <w:sz w:val="20"/>
          <w:szCs w:val="20"/>
          <w:lang w:val="es-ES"/>
        </w:rPr>
        <w:t xml:space="preserve"> sobre el piso, específicamente desde la entrada (Prolongación Girardot), hasta donde se encuentra el cadáver, marca de neumáticos de vehículos</w:t>
      </w:r>
      <w:r w:rsidR="006873E8" w:rsidRPr="009E773A">
        <w:rPr>
          <w:rFonts w:asciiTheme="majorHAnsi" w:hAnsiTheme="majorHAnsi"/>
          <w:sz w:val="20"/>
          <w:szCs w:val="20"/>
          <w:lang w:val="es-ES"/>
        </w:rPr>
        <w:t xml:space="preserve"> (…)</w:t>
      </w:r>
      <w:r w:rsidR="00607E30" w:rsidRPr="009E773A">
        <w:rPr>
          <w:rFonts w:asciiTheme="majorHAnsi" w:hAnsiTheme="majorHAnsi"/>
          <w:sz w:val="20"/>
          <w:szCs w:val="20"/>
          <w:lang w:val="es-ES"/>
        </w:rPr>
        <w:t>”</w:t>
      </w:r>
      <w:r w:rsidR="00607E30" w:rsidRPr="009E773A">
        <w:rPr>
          <w:rStyle w:val="Refdenotaalpie"/>
          <w:rFonts w:asciiTheme="majorHAnsi" w:hAnsiTheme="majorHAnsi"/>
          <w:sz w:val="20"/>
          <w:szCs w:val="20"/>
        </w:rPr>
        <w:footnoteReference w:id="60"/>
      </w:r>
      <w:r w:rsidR="00607E30" w:rsidRPr="009E773A">
        <w:rPr>
          <w:rFonts w:asciiTheme="majorHAnsi" w:hAnsiTheme="majorHAnsi"/>
          <w:sz w:val="20"/>
          <w:szCs w:val="20"/>
          <w:lang w:val="es-ES"/>
        </w:rPr>
        <w:t>.</w:t>
      </w:r>
    </w:p>
    <w:p w14:paraId="17A0B3E7" w14:textId="77777777" w:rsidR="00DE1474" w:rsidRPr="009E773A" w:rsidRDefault="00DE1474"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ind w:left="630"/>
        <w:jc w:val="both"/>
        <w:rPr>
          <w:rFonts w:asciiTheme="majorHAnsi" w:hAnsiTheme="majorHAnsi"/>
          <w:sz w:val="20"/>
          <w:szCs w:val="20"/>
        </w:rPr>
      </w:pPr>
    </w:p>
    <w:p w14:paraId="06DEF73B" w14:textId="6F6F2BAF" w:rsidR="00B33269" w:rsidRPr="009E773A" w:rsidRDefault="00B33269"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rPr>
      </w:pPr>
      <w:r w:rsidRPr="009E773A">
        <w:rPr>
          <w:rFonts w:asciiTheme="majorHAnsi" w:hAnsiTheme="majorHAnsi"/>
          <w:sz w:val="20"/>
          <w:szCs w:val="20"/>
        </w:rPr>
        <w:t>E</w:t>
      </w:r>
      <w:r w:rsidR="006231AC" w:rsidRPr="009E773A">
        <w:rPr>
          <w:rFonts w:asciiTheme="majorHAnsi" w:hAnsiTheme="majorHAnsi"/>
          <w:sz w:val="20"/>
          <w:szCs w:val="20"/>
        </w:rPr>
        <w:t>n la misma fecha</w:t>
      </w:r>
      <w:r w:rsidR="000D3FA3" w:rsidRPr="009E773A">
        <w:rPr>
          <w:rFonts w:asciiTheme="majorHAnsi" w:hAnsiTheme="majorHAnsi"/>
          <w:sz w:val="20"/>
          <w:szCs w:val="20"/>
        </w:rPr>
        <w:t>,</w:t>
      </w:r>
      <w:r w:rsidR="006231AC" w:rsidRPr="009E773A">
        <w:rPr>
          <w:rFonts w:asciiTheme="majorHAnsi" w:hAnsiTheme="majorHAnsi"/>
          <w:sz w:val="20"/>
          <w:szCs w:val="20"/>
        </w:rPr>
        <w:t xml:space="preserve"> </w:t>
      </w:r>
      <w:r w:rsidRPr="009E773A">
        <w:rPr>
          <w:rFonts w:asciiTheme="majorHAnsi" w:hAnsiTheme="majorHAnsi"/>
          <w:sz w:val="20"/>
          <w:szCs w:val="20"/>
        </w:rPr>
        <w:t xml:space="preserve"> se practicó </w:t>
      </w:r>
      <w:r w:rsidR="001352C6" w:rsidRPr="009E773A">
        <w:rPr>
          <w:rFonts w:asciiTheme="majorHAnsi" w:hAnsiTheme="majorHAnsi"/>
          <w:sz w:val="20"/>
          <w:szCs w:val="20"/>
        </w:rPr>
        <w:t xml:space="preserve">la </w:t>
      </w:r>
      <w:r w:rsidRPr="009E773A">
        <w:rPr>
          <w:rFonts w:asciiTheme="majorHAnsi" w:hAnsiTheme="majorHAnsi"/>
          <w:sz w:val="20"/>
          <w:szCs w:val="20"/>
        </w:rPr>
        <w:t>inspección a cadáveres. El cadáver No.</w:t>
      </w:r>
      <w:r w:rsidR="007274B3" w:rsidRPr="009E773A">
        <w:rPr>
          <w:rFonts w:asciiTheme="majorHAnsi" w:hAnsiTheme="majorHAnsi"/>
          <w:sz w:val="20"/>
          <w:szCs w:val="20"/>
        </w:rPr>
        <w:t xml:space="preserve"> </w:t>
      </w:r>
      <w:r w:rsidRPr="009E773A">
        <w:rPr>
          <w:rFonts w:asciiTheme="majorHAnsi" w:hAnsiTheme="majorHAnsi"/>
          <w:sz w:val="20"/>
          <w:szCs w:val="20"/>
        </w:rPr>
        <w:t>01 presentó “Herida pequeña en forma de orificio circular, de bordes regulares invertidos a nivel de la región pectoral media. Herida pequeña en forma de orificio circular de bordes regulares invertidos y con halos</w:t>
      </w:r>
      <w:r w:rsidR="001352C6" w:rsidRPr="009E773A">
        <w:rPr>
          <w:rFonts w:asciiTheme="majorHAnsi" w:hAnsiTheme="majorHAnsi"/>
          <w:sz w:val="20"/>
          <w:szCs w:val="20"/>
        </w:rPr>
        <w:t xml:space="preserve"> de quemadura a nivel de la región costa izquierda. Dos heridas pequeñas en forma de orificio, a nivel de la región costal izquierda</w:t>
      </w:r>
      <w:r w:rsidR="0011131D" w:rsidRPr="009E773A">
        <w:rPr>
          <w:rFonts w:asciiTheme="majorHAnsi" w:hAnsiTheme="majorHAnsi"/>
          <w:sz w:val="20"/>
          <w:szCs w:val="20"/>
        </w:rPr>
        <w:t xml:space="preserve"> (…)</w:t>
      </w:r>
      <w:r w:rsidR="001352C6" w:rsidRPr="009E773A">
        <w:rPr>
          <w:rFonts w:asciiTheme="majorHAnsi" w:hAnsiTheme="majorHAnsi"/>
          <w:sz w:val="20"/>
          <w:szCs w:val="20"/>
        </w:rPr>
        <w:t>”</w:t>
      </w:r>
      <w:r w:rsidR="00944839" w:rsidRPr="009E773A">
        <w:rPr>
          <w:rStyle w:val="Refdenotaalpie"/>
          <w:rFonts w:asciiTheme="majorHAnsi" w:hAnsiTheme="majorHAnsi"/>
          <w:sz w:val="20"/>
          <w:szCs w:val="20"/>
        </w:rPr>
        <w:footnoteReference w:id="61"/>
      </w:r>
      <w:r w:rsidR="001352C6" w:rsidRPr="009E773A">
        <w:rPr>
          <w:rFonts w:asciiTheme="majorHAnsi" w:hAnsiTheme="majorHAnsi"/>
          <w:sz w:val="20"/>
          <w:szCs w:val="20"/>
        </w:rPr>
        <w:t>. El cadáver No.</w:t>
      </w:r>
      <w:r w:rsidR="007274B3" w:rsidRPr="009E773A">
        <w:rPr>
          <w:rFonts w:asciiTheme="majorHAnsi" w:hAnsiTheme="majorHAnsi"/>
          <w:sz w:val="20"/>
          <w:szCs w:val="20"/>
        </w:rPr>
        <w:t xml:space="preserve"> </w:t>
      </w:r>
      <w:r w:rsidR="001352C6" w:rsidRPr="009E773A">
        <w:rPr>
          <w:rFonts w:asciiTheme="majorHAnsi" w:hAnsiTheme="majorHAnsi"/>
          <w:sz w:val="20"/>
          <w:szCs w:val="20"/>
        </w:rPr>
        <w:t>02 presentó: “Herida pequeña en forma de orificio de bordes irregulares a nivel de la región parietal izquierda. Herida pequeña en forma de orificio, de nivel superior del dedo anular, Herida</w:t>
      </w:r>
      <w:r w:rsidR="00944839" w:rsidRPr="009E773A">
        <w:rPr>
          <w:rFonts w:asciiTheme="majorHAnsi" w:hAnsiTheme="majorHAnsi"/>
          <w:sz w:val="20"/>
          <w:szCs w:val="20"/>
        </w:rPr>
        <w:t xml:space="preserve"> pequeña en forma de orificio, de bordes irregulares invertidos a nivel</w:t>
      </w:r>
      <w:r w:rsidR="001352C6" w:rsidRPr="009E773A">
        <w:rPr>
          <w:rFonts w:asciiTheme="majorHAnsi" w:hAnsiTheme="majorHAnsi"/>
          <w:sz w:val="20"/>
          <w:szCs w:val="20"/>
        </w:rPr>
        <w:t xml:space="preserve"> </w:t>
      </w:r>
      <w:r w:rsidR="00944839" w:rsidRPr="009E773A">
        <w:rPr>
          <w:rFonts w:asciiTheme="majorHAnsi" w:hAnsiTheme="majorHAnsi"/>
          <w:sz w:val="20"/>
          <w:szCs w:val="20"/>
        </w:rPr>
        <w:t>de la región de la palma del lado izquierdo de la mano izquierda, y excoriaciones fuertes con pérdida de la primera cap</w:t>
      </w:r>
      <w:r w:rsidR="00240388" w:rsidRPr="009E773A">
        <w:rPr>
          <w:rFonts w:asciiTheme="majorHAnsi" w:hAnsiTheme="majorHAnsi"/>
          <w:sz w:val="20"/>
          <w:szCs w:val="20"/>
        </w:rPr>
        <w:t>a de la piel (epidermis)</w:t>
      </w:r>
      <w:r w:rsidR="00944839" w:rsidRPr="009E773A">
        <w:rPr>
          <w:rFonts w:asciiTheme="majorHAnsi" w:hAnsiTheme="majorHAnsi"/>
          <w:sz w:val="20"/>
          <w:szCs w:val="20"/>
        </w:rPr>
        <w:t>”</w:t>
      </w:r>
      <w:r w:rsidR="00240388" w:rsidRPr="009E773A">
        <w:rPr>
          <w:rFonts w:asciiTheme="majorHAnsi" w:hAnsiTheme="majorHAnsi"/>
          <w:sz w:val="20"/>
          <w:szCs w:val="20"/>
        </w:rPr>
        <w:t xml:space="preserve"> en diversas partes del cuerpo, cara y extremidades</w:t>
      </w:r>
      <w:r w:rsidR="00944839" w:rsidRPr="009E773A">
        <w:rPr>
          <w:rStyle w:val="Refdenotaalpie"/>
          <w:rFonts w:asciiTheme="majorHAnsi" w:hAnsiTheme="majorHAnsi"/>
          <w:sz w:val="20"/>
          <w:szCs w:val="20"/>
        </w:rPr>
        <w:footnoteReference w:id="62"/>
      </w:r>
      <w:r w:rsidR="00944839" w:rsidRPr="009E773A">
        <w:rPr>
          <w:rFonts w:asciiTheme="majorHAnsi" w:hAnsiTheme="majorHAnsi"/>
          <w:sz w:val="20"/>
          <w:szCs w:val="20"/>
        </w:rPr>
        <w:t xml:space="preserve">. </w:t>
      </w:r>
    </w:p>
    <w:p w14:paraId="32BF4BD4" w14:textId="77777777" w:rsidR="00B22CD7" w:rsidRPr="009E773A" w:rsidRDefault="00B22CD7"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634"/>
        <w:jc w:val="both"/>
        <w:rPr>
          <w:rFonts w:asciiTheme="majorHAnsi" w:hAnsiTheme="majorHAnsi"/>
          <w:sz w:val="20"/>
          <w:szCs w:val="20"/>
        </w:rPr>
      </w:pPr>
    </w:p>
    <w:p w14:paraId="6FCCE319" w14:textId="16EBD854" w:rsidR="00DE5734" w:rsidRPr="009E773A" w:rsidRDefault="000D3FA3"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rPr>
      </w:pPr>
      <w:r w:rsidRPr="009E773A">
        <w:rPr>
          <w:rFonts w:asciiTheme="majorHAnsi" w:hAnsiTheme="majorHAnsi"/>
          <w:sz w:val="20"/>
          <w:szCs w:val="20"/>
        </w:rPr>
        <w:t xml:space="preserve">El mismo </w:t>
      </w:r>
      <w:r w:rsidR="00B22CD7" w:rsidRPr="009E773A">
        <w:rPr>
          <w:rFonts w:asciiTheme="majorHAnsi" w:hAnsiTheme="majorHAnsi"/>
          <w:sz w:val="20"/>
          <w:szCs w:val="20"/>
        </w:rPr>
        <w:t>30 de marzo</w:t>
      </w:r>
      <w:r w:rsidR="00240388" w:rsidRPr="009E773A">
        <w:rPr>
          <w:rFonts w:asciiTheme="majorHAnsi" w:hAnsiTheme="majorHAnsi"/>
          <w:sz w:val="20"/>
          <w:szCs w:val="20"/>
        </w:rPr>
        <w:t xml:space="preserve"> de 2003, por denuncia ciudadana se encontró, en las inmediaciones de la escena del crimen, debajo de un auto, una</w:t>
      </w:r>
      <w:r w:rsidR="00986583" w:rsidRPr="009E773A">
        <w:rPr>
          <w:rFonts w:asciiTheme="majorHAnsi" w:hAnsiTheme="majorHAnsi"/>
          <w:sz w:val="20"/>
          <w:szCs w:val="20"/>
        </w:rPr>
        <w:t xml:space="preserve"> pistola, marca GABILONDO Y CIA VICTORIA, SERIAL 958084, Calibre 32, cacha de material sintético de color negro, con su cacerina respectiva </w:t>
      </w:r>
      <w:r w:rsidR="00C869FE" w:rsidRPr="009E773A">
        <w:rPr>
          <w:rFonts w:asciiTheme="majorHAnsi" w:hAnsiTheme="majorHAnsi"/>
          <w:sz w:val="20"/>
          <w:szCs w:val="20"/>
        </w:rPr>
        <w:t>con</w:t>
      </w:r>
      <w:r w:rsidR="00986583" w:rsidRPr="009E773A">
        <w:rPr>
          <w:rFonts w:asciiTheme="majorHAnsi" w:hAnsiTheme="majorHAnsi"/>
          <w:sz w:val="20"/>
          <w:szCs w:val="20"/>
        </w:rPr>
        <w:t xml:space="preserve"> 8 balas de calibre</w:t>
      </w:r>
      <w:r w:rsidR="00240388" w:rsidRPr="009E773A">
        <w:rPr>
          <w:rFonts w:asciiTheme="majorHAnsi" w:hAnsiTheme="majorHAnsi"/>
          <w:sz w:val="20"/>
          <w:szCs w:val="20"/>
        </w:rPr>
        <w:t xml:space="preserve"> la que fue incorporada a la prueba</w:t>
      </w:r>
      <w:r w:rsidR="00240388" w:rsidRPr="009E773A">
        <w:rPr>
          <w:rStyle w:val="Refdenotaalpie"/>
          <w:rFonts w:asciiTheme="majorHAnsi" w:hAnsiTheme="majorHAnsi"/>
          <w:sz w:val="20"/>
          <w:szCs w:val="20"/>
        </w:rPr>
        <w:footnoteReference w:id="63"/>
      </w:r>
      <w:r w:rsidR="002B5D78" w:rsidRPr="009E773A">
        <w:rPr>
          <w:rFonts w:asciiTheme="majorHAnsi" w:hAnsiTheme="majorHAnsi"/>
          <w:sz w:val="20"/>
          <w:szCs w:val="20"/>
        </w:rPr>
        <w:t>.</w:t>
      </w:r>
      <w:r w:rsidR="007A7A40" w:rsidRPr="009E773A">
        <w:rPr>
          <w:rFonts w:asciiTheme="majorHAnsi" w:hAnsiTheme="majorHAnsi"/>
          <w:sz w:val="20"/>
          <w:szCs w:val="20"/>
        </w:rPr>
        <w:t xml:space="preserve"> </w:t>
      </w:r>
      <w:r w:rsidR="00E71D91" w:rsidRPr="009E773A">
        <w:rPr>
          <w:rFonts w:asciiTheme="majorHAnsi" w:hAnsiTheme="majorHAnsi"/>
          <w:sz w:val="20"/>
          <w:szCs w:val="20"/>
        </w:rPr>
        <w:t>Asimismo, e</w:t>
      </w:r>
      <w:r w:rsidR="00DE5734" w:rsidRPr="009E773A">
        <w:rPr>
          <w:rFonts w:asciiTheme="majorHAnsi" w:hAnsiTheme="majorHAnsi"/>
          <w:sz w:val="20"/>
          <w:szCs w:val="20"/>
        </w:rPr>
        <w:t>l 2 de abril de 2003 el Tribunal Penal de Control de Punto Fijo dictó orden de allanamiento de una propiedad con la finalidad de localizar armas de fuego y el vehículo Marca Ford, modelo del Rey, color azul, con placas AUY-463</w:t>
      </w:r>
      <w:r w:rsidR="00CC4477" w:rsidRPr="009E773A">
        <w:rPr>
          <w:rFonts w:asciiTheme="majorHAnsi" w:hAnsiTheme="majorHAnsi"/>
          <w:sz w:val="20"/>
          <w:szCs w:val="20"/>
        </w:rPr>
        <w:t xml:space="preserve"> identificado por testigos</w:t>
      </w:r>
      <w:r w:rsidR="00DE5734" w:rsidRPr="009E773A">
        <w:rPr>
          <w:rStyle w:val="Refdenotaalpie"/>
          <w:rFonts w:asciiTheme="majorHAnsi" w:hAnsiTheme="majorHAnsi"/>
          <w:sz w:val="20"/>
          <w:szCs w:val="20"/>
        </w:rPr>
        <w:footnoteReference w:id="64"/>
      </w:r>
      <w:r w:rsidR="00DE5734" w:rsidRPr="009E773A">
        <w:rPr>
          <w:rFonts w:asciiTheme="majorHAnsi" w:hAnsiTheme="majorHAnsi"/>
          <w:sz w:val="20"/>
          <w:szCs w:val="20"/>
        </w:rPr>
        <w:t>. La misma se ejecutó a</w:t>
      </w:r>
      <w:r w:rsidR="00A034B7" w:rsidRPr="009E773A">
        <w:rPr>
          <w:rFonts w:asciiTheme="majorHAnsi" w:hAnsiTheme="majorHAnsi"/>
          <w:sz w:val="20"/>
          <w:szCs w:val="20"/>
        </w:rPr>
        <w:t>l</w:t>
      </w:r>
      <w:r w:rsidR="00DE5734" w:rsidRPr="009E773A">
        <w:rPr>
          <w:rFonts w:asciiTheme="majorHAnsi" w:hAnsiTheme="majorHAnsi"/>
          <w:sz w:val="20"/>
          <w:szCs w:val="20"/>
        </w:rPr>
        <w:t xml:space="preserve"> día siguiente</w:t>
      </w:r>
      <w:r w:rsidR="00251744" w:rsidRPr="009E773A">
        <w:rPr>
          <w:rFonts w:asciiTheme="majorHAnsi" w:hAnsiTheme="majorHAnsi"/>
          <w:sz w:val="20"/>
          <w:szCs w:val="20"/>
        </w:rPr>
        <w:t>, no se encontraron</w:t>
      </w:r>
      <w:r w:rsidR="00DE5734" w:rsidRPr="009E773A">
        <w:rPr>
          <w:rFonts w:asciiTheme="majorHAnsi" w:hAnsiTheme="majorHAnsi"/>
          <w:sz w:val="20"/>
          <w:szCs w:val="20"/>
        </w:rPr>
        <w:t xml:space="preserve"> arma</w:t>
      </w:r>
      <w:r w:rsidR="00251744" w:rsidRPr="009E773A">
        <w:rPr>
          <w:rFonts w:asciiTheme="majorHAnsi" w:hAnsiTheme="majorHAnsi"/>
          <w:sz w:val="20"/>
          <w:szCs w:val="20"/>
        </w:rPr>
        <w:t>s</w:t>
      </w:r>
      <w:r w:rsidR="00DE5734" w:rsidRPr="009E773A">
        <w:rPr>
          <w:rFonts w:asciiTheme="majorHAnsi" w:hAnsiTheme="majorHAnsi"/>
          <w:sz w:val="20"/>
          <w:szCs w:val="20"/>
        </w:rPr>
        <w:t>, pero sí se ubicó e incautó el vehículo</w:t>
      </w:r>
      <w:r w:rsidR="00DE5734" w:rsidRPr="009E773A">
        <w:rPr>
          <w:rStyle w:val="Refdenotaalpie"/>
          <w:rFonts w:asciiTheme="majorHAnsi" w:hAnsiTheme="majorHAnsi"/>
          <w:sz w:val="20"/>
          <w:szCs w:val="20"/>
        </w:rPr>
        <w:footnoteReference w:id="65"/>
      </w:r>
      <w:r w:rsidR="00DE5734" w:rsidRPr="009E773A">
        <w:rPr>
          <w:rFonts w:asciiTheme="majorHAnsi" w:hAnsiTheme="majorHAnsi"/>
          <w:sz w:val="20"/>
          <w:szCs w:val="20"/>
        </w:rPr>
        <w:t>.</w:t>
      </w:r>
    </w:p>
    <w:p w14:paraId="2231232E" w14:textId="77777777" w:rsidR="00E560A0" w:rsidRPr="009E773A" w:rsidRDefault="00E560A0"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ind w:left="630"/>
        <w:jc w:val="both"/>
        <w:rPr>
          <w:rFonts w:asciiTheme="majorHAnsi" w:hAnsiTheme="majorHAnsi"/>
          <w:sz w:val="20"/>
          <w:szCs w:val="20"/>
        </w:rPr>
      </w:pPr>
    </w:p>
    <w:p w14:paraId="521F612B" w14:textId="5AAEABB1" w:rsidR="00425014" w:rsidRPr="009E773A" w:rsidRDefault="00425014"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rPr>
      </w:pPr>
      <w:r w:rsidRPr="009E773A">
        <w:rPr>
          <w:rFonts w:asciiTheme="majorHAnsi" w:hAnsiTheme="majorHAnsi"/>
          <w:sz w:val="20"/>
          <w:szCs w:val="20"/>
        </w:rPr>
        <w:t xml:space="preserve">El </w:t>
      </w:r>
      <w:r w:rsidR="00C869FE" w:rsidRPr="009E773A">
        <w:rPr>
          <w:rFonts w:asciiTheme="majorHAnsi" w:hAnsiTheme="majorHAnsi"/>
          <w:sz w:val="20"/>
          <w:szCs w:val="20"/>
        </w:rPr>
        <w:t>1</w:t>
      </w:r>
      <w:r w:rsidRPr="009E773A">
        <w:rPr>
          <w:rFonts w:asciiTheme="majorHAnsi" w:hAnsiTheme="majorHAnsi"/>
          <w:sz w:val="20"/>
          <w:szCs w:val="20"/>
        </w:rPr>
        <w:t xml:space="preserve"> de abril de 2003 el </w:t>
      </w:r>
      <w:r w:rsidR="00C869FE" w:rsidRPr="009E773A">
        <w:rPr>
          <w:rFonts w:asciiTheme="majorHAnsi" w:hAnsiTheme="majorHAnsi"/>
          <w:sz w:val="20"/>
          <w:szCs w:val="20"/>
        </w:rPr>
        <w:t>CIC</w:t>
      </w:r>
      <w:r w:rsidR="003D5B48" w:rsidRPr="009E773A">
        <w:rPr>
          <w:rFonts w:asciiTheme="majorHAnsi" w:hAnsiTheme="majorHAnsi"/>
          <w:sz w:val="20"/>
          <w:szCs w:val="20"/>
        </w:rPr>
        <w:t>PC</w:t>
      </w:r>
      <w:r w:rsidRPr="009E773A">
        <w:rPr>
          <w:rFonts w:asciiTheme="majorHAnsi" w:hAnsiTheme="majorHAnsi"/>
          <w:sz w:val="20"/>
          <w:szCs w:val="20"/>
        </w:rPr>
        <w:t xml:space="preserve"> ordenó la práctica de</w:t>
      </w:r>
      <w:r w:rsidR="00231006" w:rsidRPr="009E773A">
        <w:rPr>
          <w:rFonts w:asciiTheme="majorHAnsi" w:hAnsiTheme="majorHAnsi"/>
          <w:sz w:val="20"/>
          <w:szCs w:val="20"/>
        </w:rPr>
        <w:t>l</w:t>
      </w:r>
      <w:r w:rsidRPr="009E773A">
        <w:rPr>
          <w:rFonts w:asciiTheme="majorHAnsi" w:hAnsiTheme="majorHAnsi"/>
          <w:sz w:val="20"/>
          <w:szCs w:val="20"/>
        </w:rPr>
        <w:t xml:space="preserve"> Levantamiento Planímetro, Trayectoria Balísticas e Intraórganica. Asimismo, solicitó las copias auténticas de las actas de defunción de los occisos</w:t>
      </w:r>
      <w:r w:rsidR="007C42C4" w:rsidRPr="009E773A">
        <w:rPr>
          <w:rFonts w:asciiTheme="majorHAnsi" w:hAnsiTheme="majorHAnsi"/>
          <w:sz w:val="20"/>
          <w:szCs w:val="20"/>
        </w:rPr>
        <w:t>,</w:t>
      </w:r>
      <w:r w:rsidRPr="009E773A">
        <w:rPr>
          <w:rFonts w:asciiTheme="majorHAnsi" w:hAnsiTheme="majorHAnsi"/>
          <w:sz w:val="20"/>
          <w:szCs w:val="20"/>
        </w:rPr>
        <w:t xml:space="preserve"> los protocolos de autopsia y el informe médico o cuadro clínico de </w:t>
      </w:r>
      <w:r w:rsidR="00231006" w:rsidRPr="009E773A">
        <w:rPr>
          <w:rFonts w:asciiTheme="majorHAnsi" w:hAnsiTheme="majorHAnsi"/>
          <w:sz w:val="20"/>
          <w:szCs w:val="20"/>
        </w:rPr>
        <w:t>José</w:t>
      </w:r>
      <w:r w:rsidRPr="009E773A">
        <w:rPr>
          <w:rFonts w:asciiTheme="majorHAnsi" w:hAnsiTheme="majorHAnsi"/>
          <w:sz w:val="20"/>
          <w:szCs w:val="20"/>
        </w:rPr>
        <w:t xml:space="preserve"> Hernández</w:t>
      </w:r>
      <w:r w:rsidR="00231006" w:rsidRPr="009E773A">
        <w:rPr>
          <w:rStyle w:val="Refdenotaalpie"/>
          <w:rFonts w:asciiTheme="majorHAnsi" w:hAnsiTheme="majorHAnsi"/>
          <w:sz w:val="20"/>
          <w:szCs w:val="20"/>
        </w:rPr>
        <w:footnoteReference w:id="66"/>
      </w:r>
      <w:r w:rsidR="00231006" w:rsidRPr="009E773A">
        <w:rPr>
          <w:rFonts w:asciiTheme="majorHAnsi" w:hAnsiTheme="majorHAnsi"/>
          <w:sz w:val="20"/>
          <w:szCs w:val="20"/>
        </w:rPr>
        <w:t>.</w:t>
      </w:r>
      <w:r w:rsidR="00C620E8" w:rsidRPr="009E773A">
        <w:rPr>
          <w:rFonts w:asciiTheme="majorHAnsi" w:hAnsiTheme="majorHAnsi"/>
          <w:sz w:val="20"/>
          <w:szCs w:val="20"/>
        </w:rPr>
        <w:t xml:space="preserve"> </w:t>
      </w:r>
      <w:r w:rsidR="00BA46DA" w:rsidRPr="009E773A">
        <w:rPr>
          <w:rFonts w:asciiTheme="majorHAnsi" w:hAnsiTheme="majorHAnsi"/>
          <w:sz w:val="20"/>
          <w:szCs w:val="20"/>
        </w:rPr>
        <w:t>C</w:t>
      </w:r>
      <w:r w:rsidR="00D57DED" w:rsidRPr="009E773A">
        <w:rPr>
          <w:rFonts w:asciiTheme="majorHAnsi" w:hAnsiTheme="majorHAnsi"/>
          <w:sz w:val="20"/>
          <w:szCs w:val="20"/>
        </w:rPr>
        <w:t>onsta que</w:t>
      </w:r>
      <w:r w:rsidR="00C620E8" w:rsidRPr="009E773A">
        <w:rPr>
          <w:rFonts w:asciiTheme="majorHAnsi" w:hAnsiTheme="majorHAnsi"/>
          <w:sz w:val="20"/>
          <w:szCs w:val="20"/>
        </w:rPr>
        <w:t xml:space="preserve"> el 21 de mayo de 2004 el CICPC profirió un memorándum solicitando la práctica de una pericia hematológica, grupo sanguíneo y determinación de presencia de tones y nitritos</w:t>
      </w:r>
      <w:r w:rsidR="00C620E8" w:rsidRPr="009E773A">
        <w:rPr>
          <w:rStyle w:val="Refdenotaalpie"/>
          <w:rFonts w:asciiTheme="majorHAnsi" w:hAnsiTheme="majorHAnsi"/>
          <w:sz w:val="20"/>
          <w:szCs w:val="20"/>
        </w:rPr>
        <w:footnoteReference w:id="67"/>
      </w:r>
      <w:r w:rsidR="00C620E8" w:rsidRPr="009E773A">
        <w:rPr>
          <w:rFonts w:asciiTheme="majorHAnsi" w:hAnsiTheme="majorHAnsi"/>
          <w:sz w:val="20"/>
          <w:szCs w:val="20"/>
        </w:rPr>
        <w:t xml:space="preserve"> y una experticia de comparación balística</w:t>
      </w:r>
      <w:r w:rsidR="00C620E8" w:rsidRPr="009E773A">
        <w:rPr>
          <w:rStyle w:val="Refdenotaalpie"/>
          <w:rFonts w:asciiTheme="majorHAnsi" w:hAnsiTheme="majorHAnsi"/>
          <w:sz w:val="20"/>
          <w:szCs w:val="20"/>
        </w:rPr>
        <w:footnoteReference w:id="68"/>
      </w:r>
      <w:r w:rsidR="00C620E8" w:rsidRPr="009E773A">
        <w:rPr>
          <w:rFonts w:asciiTheme="majorHAnsi" w:hAnsiTheme="majorHAnsi"/>
          <w:sz w:val="20"/>
          <w:szCs w:val="20"/>
        </w:rPr>
        <w:t xml:space="preserve">. </w:t>
      </w:r>
    </w:p>
    <w:p w14:paraId="18DF9713" w14:textId="77777777" w:rsidR="0046744F" w:rsidRPr="009E773A" w:rsidRDefault="0046744F"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rPr>
      </w:pPr>
    </w:p>
    <w:p w14:paraId="54B36F52" w14:textId="77777777" w:rsidR="006873E8" w:rsidRPr="009E773A" w:rsidRDefault="006873E8"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rPr>
      </w:pPr>
      <w:r w:rsidRPr="009E773A">
        <w:rPr>
          <w:rFonts w:asciiTheme="majorHAnsi" w:hAnsiTheme="majorHAnsi"/>
          <w:sz w:val="20"/>
          <w:szCs w:val="20"/>
          <w:lang w:val="es-ES"/>
        </w:rPr>
        <w:t>La Comisión nota</w:t>
      </w:r>
      <w:r w:rsidR="00D37092" w:rsidRPr="009E773A">
        <w:rPr>
          <w:rFonts w:asciiTheme="majorHAnsi" w:hAnsiTheme="majorHAnsi"/>
          <w:sz w:val="20"/>
          <w:szCs w:val="20"/>
          <w:lang w:val="es-ES"/>
        </w:rPr>
        <w:t xml:space="preserve"> </w:t>
      </w:r>
      <w:r w:rsidR="009D5733" w:rsidRPr="009E773A">
        <w:rPr>
          <w:rFonts w:asciiTheme="majorHAnsi" w:hAnsiTheme="majorHAnsi"/>
          <w:sz w:val="20"/>
          <w:szCs w:val="20"/>
          <w:lang w:val="es-ES"/>
        </w:rPr>
        <w:t>q</w:t>
      </w:r>
      <w:r w:rsidRPr="009E773A">
        <w:rPr>
          <w:rFonts w:asciiTheme="majorHAnsi" w:hAnsiTheme="majorHAnsi"/>
          <w:sz w:val="20"/>
          <w:szCs w:val="20"/>
          <w:lang w:val="es-ES"/>
        </w:rPr>
        <w:t xml:space="preserve">ue a lo largo de la investigación el CICPC solicitó por varios años </w:t>
      </w:r>
      <w:r w:rsidR="00D337AC" w:rsidRPr="009E773A">
        <w:rPr>
          <w:rFonts w:asciiTheme="majorHAnsi" w:hAnsiTheme="majorHAnsi"/>
          <w:sz w:val="20"/>
          <w:szCs w:val="20"/>
          <w:lang w:val="es-ES"/>
        </w:rPr>
        <w:t xml:space="preserve">consecutivos </w:t>
      </w:r>
      <w:r w:rsidR="00E30D68" w:rsidRPr="009E773A">
        <w:rPr>
          <w:rFonts w:asciiTheme="majorHAnsi" w:hAnsiTheme="majorHAnsi"/>
          <w:sz w:val="20"/>
          <w:szCs w:val="20"/>
          <w:lang w:val="es-ES"/>
        </w:rPr>
        <w:t>(2003, 2004, 2005) diversos</w:t>
      </w:r>
      <w:r w:rsidRPr="009E773A">
        <w:rPr>
          <w:rFonts w:asciiTheme="majorHAnsi" w:hAnsiTheme="majorHAnsi"/>
          <w:sz w:val="20"/>
          <w:szCs w:val="20"/>
          <w:lang w:val="es-ES"/>
        </w:rPr>
        <w:t xml:space="preserve"> documentos para determinar la conexión del crimen cometido con agentes policiales</w:t>
      </w:r>
      <w:r w:rsidR="00D337AC" w:rsidRPr="009E773A">
        <w:rPr>
          <w:rFonts w:asciiTheme="majorHAnsi" w:hAnsiTheme="majorHAnsi"/>
          <w:sz w:val="20"/>
          <w:szCs w:val="20"/>
          <w:lang w:val="es-ES"/>
        </w:rPr>
        <w:t xml:space="preserve">. Con esta finalidad, </w:t>
      </w:r>
      <w:r w:rsidR="00D37092" w:rsidRPr="009E773A">
        <w:rPr>
          <w:rFonts w:asciiTheme="majorHAnsi" w:hAnsiTheme="majorHAnsi"/>
          <w:sz w:val="20"/>
          <w:szCs w:val="20"/>
          <w:lang w:val="es-ES"/>
        </w:rPr>
        <w:t xml:space="preserve">solicitó </w:t>
      </w:r>
      <w:r w:rsidR="00D337AC" w:rsidRPr="009E773A">
        <w:rPr>
          <w:rFonts w:asciiTheme="majorHAnsi" w:hAnsiTheme="majorHAnsi"/>
          <w:sz w:val="20"/>
          <w:szCs w:val="20"/>
          <w:lang w:val="es-ES"/>
        </w:rPr>
        <w:t>al Comandante de las Fuerzas Armas Policiales de Falcón el env</w:t>
      </w:r>
      <w:r w:rsidR="00D37092" w:rsidRPr="009E773A">
        <w:rPr>
          <w:rFonts w:asciiTheme="majorHAnsi" w:hAnsiTheme="majorHAnsi"/>
          <w:sz w:val="20"/>
          <w:szCs w:val="20"/>
          <w:lang w:val="es-ES"/>
        </w:rPr>
        <w:t xml:space="preserve">ío de libros de novedades, </w:t>
      </w:r>
      <w:r w:rsidR="00D337AC" w:rsidRPr="009E773A">
        <w:rPr>
          <w:rFonts w:asciiTheme="majorHAnsi" w:hAnsiTheme="majorHAnsi"/>
          <w:sz w:val="20"/>
          <w:szCs w:val="20"/>
          <w:lang w:val="es-ES"/>
        </w:rPr>
        <w:t>del parque de armas, lista de funcionarios de guardia, listas de nombres, jerarquías y ubicaciones de los funcionarios de guardia, correspondientes al momento de la ocurrencia de los hechos</w:t>
      </w:r>
      <w:r w:rsidR="00E30D68" w:rsidRPr="009E773A">
        <w:rPr>
          <w:rStyle w:val="Refdenotaalpie"/>
          <w:rFonts w:asciiTheme="majorHAnsi" w:hAnsiTheme="majorHAnsi"/>
          <w:sz w:val="20"/>
          <w:szCs w:val="20"/>
        </w:rPr>
        <w:footnoteReference w:id="69"/>
      </w:r>
      <w:r w:rsidRPr="009E773A">
        <w:rPr>
          <w:rFonts w:asciiTheme="majorHAnsi" w:hAnsiTheme="majorHAnsi"/>
          <w:sz w:val="20"/>
          <w:szCs w:val="20"/>
          <w:lang w:val="es-ES"/>
        </w:rPr>
        <w:t xml:space="preserve">. </w:t>
      </w:r>
      <w:r w:rsidR="00D337AC" w:rsidRPr="009E773A">
        <w:rPr>
          <w:rFonts w:asciiTheme="majorHAnsi" w:hAnsiTheme="majorHAnsi"/>
          <w:sz w:val="20"/>
          <w:szCs w:val="20"/>
          <w:lang w:val="es-ES"/>
        </w:rPr>
        <w:t>La misma información fue solicitada también</w:t>
      </w:r>
      <w:r w:rsidR="00D37092" w:rsidRPr="009E773A">
        <w:rPr>
          <w:rFonts w:asciiTheme="majorHAnsi" w:hAnsiTheme="majorHAnsi"/>
          <w:sz w:val="20"/>
          <w:szCs w:val="20"/>
          <w:lang w:val="es-ES"/>
        </w:rPr>
        <w:t xml:space="preserve"> </w:t>
      </w:r>
      <w:r w:rsidR="002B2F31" w:rsidRPr="009E773A">
        <w:rPr>
          <w:rFonts w:asciiTheme="majorHAnsi" w:hAnsiTheme="majorHAnsi"/>
          <w:sz w:val="20"/>
          <w:szCs w:val="20"/>
          <w:lang w:val="es-ES"/>
        </w:rPr>
        <w:t xml:space="preserve">el año 2004, </w:t>
      </w:r>
      <w:r w:rsidR="00D337AC" w:rsidRPr="009E773A">
        <w:rPr>
          <w:rFonts w:asciiTheme="majorHAnsi" w:hAnsiTheme="majorHAnsi"/>
          <w:sz w:val="20"/>
          <w:szCs w:val="20"/>
          <w:lang w:val="es-ES"/>
        </w:rPr>
        <w:t>por la Fiscalía Sexta</w:t>
      </w:r>
      <w:r w:rsidR="00D337AC" w:rsidRPr="009E773A">
        <w:rPr>
          <w:rStyle w:val="Refdenotaalpie"/>
          <w:rFonts w:asciiTheme="majorHAnsi" w:hAnsiTheme="majorHAnsi"/>
          <w:sz w:val="20"/>
          <w:szCs w:val="20"/>
        </w:rPr>
        <w:footnoteReference w:id="70"/>
      </w:r>
      <w:r w:rsidR="002B2F31" w:rsidRPr="009E773A">
        <w:rPr>
          <w:rFonts w:asciiTheme="majorHAnsi" w:hAnsiTheme="majorHAnsi"/>
          <w:sz w:val="20"/>
          <w:szCs w:val="20"/>
          <w:lang w:val="es-ES"/>
        </w:rPr>
        <w:t xml:space="preserve">; y, el 2014, por </w:t>
      </w:r>
      <w:r w:rsidR="00D337AC" w:rsidRPr="009E773A">
        <w:rPr>
          <w:rFonts w:asciiTheme="majorHAnsi" w:hAnsiTheme="majorHAnsi"/>
          <w:sz w:val="20"/>
          <w:szCs w:val="20"/>
          <w:lang w:val="es-ES"/>
        </w:rPr>
        <w:t xml:space="preserve">la </w:t>
      </w:r>
      <w:r w:rsidR="00D337AC" w:rsidRPr="009E773A">
        <w:rPr>
          <w:rFonts w:asciiTheme="majorHAnsi" w:hAnsiTheme="majorHAnsi"/>
          <w:color w:val="000000" w:themeColor="text1"/>
          <w:sz w:val="20"/>
          <w:szCs w:val="20"/>
        </w:rPr>
        <w:t xml:space="preserve">Fiscalía </w:t>
      </w:r>
      <w:r w:rsidR="00D337AC" w:rsidRPr="009E773A">
        <w:rPr>
          <w:rFonts w:asciiTheme="majorHAnsi" w:hAnsiTheme="majorHAnsi"/>
          <w:sz w:val="20"/>
          <w:szCs w:val="20"/>
        </w:rPr>
        <w:t>Décima Séptima</w:t>
      </w:r>
      <w:r w:rsidR="00D337AC" w:rsidRPr="009E773A">
        <w:rPr>
          <w:rStyle w:val="Refdenotaalpie"/>
          <w:rFonts w:asciiTheme="majorHAnsi" w:hAnsiTheme="majorHAnsi"/>
          <w:sz w:val="20"/>
          <w:szCs w:val="20"/>
        </w:rPr>
        <w:footnoteReference w:id="71"/>
      </w:r>
      <w:r w:rsidR="00D337AC" w:rsidRPr="009E773A">
        <w:rPr>
          <w:rFonts w:asciiTheme="majorHAnsi" w:hAnsiTheme="majorHAnsi"/>
          <w:sz w:val="20"/>
          <w:szCs w:val="20"/>
        </w:rPr>
        <w:t xml:space="preserve">. </w:t>
      </w:r>
      <w:r w:rsidR="002B2F31" w:rsidRPr="009E773A">
        <w:rPr>
          <w:rFonts w:asciiTheme="majorHAnsi" w:hAnsiTheme="majorHAnsi"/>
          <w:sz w:val="20"/>
          <w:szCs w:val="20"/>
        </w:rPr>
        <w:t xml:space="preserve">Finalmente, </w:t>
      </w:r>
      <w:r w:rsidR="00D37092" w:rsidRPr="009E773A">
        <w:rPr>
          <w:rFonts w:asciiTheme="majorHAnsi" w:hAnsiTheme="majorHAnsi"/>
          <w:sz w:val="20"/>
          <w:szCs w:val="20"/>
        </w:rPr>
        <w:t xml:space="preserve">el </w:t>
      </w:r>
      <w:r w:rsidR="00D337AC" w:rsidRPr="009E773A">
        <w:rPr>
          <w:rFonts w:asciiTheme="majorHAnsi" w:hAnsiTheme="majorHAnsi"/>
          <w:sz w:val="20"/>
          <w:szCs w:val="20"/>
        </w:rPr>
        <w:t>2015 la Policía informó que los libros de novedades del año 2003 fueron dañados por precipitaciones en el año 2010 en el Centro de Coordinación Policial No. 02</w:t>
      </w:r>
      <w:r w:rsidR="00D337AC" w:rsidRPr="009E773A">
        <w:rPr>
          <w:rStyle w:val="Refdenotaalpie"/>
          <w:rFonts w:asciiTheme="majorHAnsi" w:hAnsiTheme="majorHAnsi"/>
          <w:sz w:val="20"/>
          <w:szCs w:val="20"/>
        </w:rPr>
        <w:footnoteReference w:id="72"/>
      </w:r>
      <w:r w:rsidR="00D37092" w:rsidRPr="009E773A">
        <w:rPr>
          <w:rFonts w:asciiTheme="majorHAnsi" w:hAnsiTheme="majorHAnsi"/>
          <w:sz w:val="20"/>
          <w:szCs w:val="20"/>
        </w:rPr>
        <w:t xml:space="preserve">. </w:t>
      </w:r>
    </w:p>
    <w:p w14:paraId="02C27835" w14:textId="77777777" w:rsidR="00E30D68" w:rsidRPr="009E773A" w:rsidRDefault="00E30D68"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rPr>
      </w:pPr>
    </w:p>
    <w:p w14:paraId="798A2D71" w14:textId="5883D973" w:rsidR="00173483" w:rsidRPr="009E773A" w:rsidRDefault="00D21C74"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rPr>
      </w:pPr>
      <w:r w:rsidRPr="009E773A">
        <w:rPr>
          <w:rFonts w:asciiTheme="majorHAnsi" w:hAnsiTheme="majorHAnsi"/>
          <w:sz w:val="20"/>
          <w:szCs w:val="20"/>
        </w:rPr>
        <w:t>E</w:t>
      </w:r>
      <w:r w:rsidR="004A6BD2" w:rsidRPr="009E773A">
        <w:rPr>
          <w:rFonts w:asciiTheme="majorHAnsi" w:hAnsiTheme="majorHAnsi"/>
          <w:sz w:val="20"/>
          <w:szCs w:val="20"/>
        </w:rPr>
        <w:t>l 3 de noviembre de 2003</w:t>
      </w:r>
      <w:r w:rsidR="002B0B4D" w:rsidRPr="009E773A">
        <w:rPr>
          <w:rFonts w:asciiTheme="majorHAnsi" w:hAnsiTheme="majorHAnsi"/>
          <w:sz w:val="20"/>
          <w:szCs w:val="20"/>
        </w:rPr>
        <w:t xml:space="preserve"> se </w:t>
      </w:r>
      <w:r w:rsidR="00D70ACC" w:rsidRPr="009E773A">
        <w:rPr>
          <w:rFonts w:asciiTheme="majorHAnsi" w:hAnsiTheme="majorHAnsi"/>
          <w:sz w:val="20"/>
          <w:szCs w:val="20"/>
        </w:rPr>
        <w:t xml:space="preserve">practicó </w:t>
      </w:r>
      <w:r w:rsidR="002B0B4D" w:rsidRPr="009E773A">
        <w:rPr>
          <w:rFonts w:asciiTheme="majorHAnsi" w:hAnsiTheme="majorHAnsi"/>
          <w:sz w:val="20"/>
          <w:szCs w:val="20"/>
        </w:rPr>
        <w:t>un</w:t>
      </w:r>
      <w:r w:rsidR="004A6BD2" w:rsidRPr="009E773A">
        <w:rPr>
          <w:rFonts w:asciiTheme="majorHAnsi" w:hAnsiTheme="majorHAnsi"/>
          <w:sz w:val="20"/>
          <w:szCs w:val="20"/>
        </w:rPr>
        <w:t>a experticia legal</w:t>
      </w:r>
      <w:r w:rsidR="002B0B4D" w:rsidRPr="009E773A">
        <w:rPr>
          <w:rFonts w:asciiTheme="majorHAnsi" w:hAnsiTheme="majorHAnsi"/>
          <w:sz w:val="20"/>
          <w:szCs w:val="20"/>
        </w:rPr>
        <w:t xml:space="preserve"> </w:t>
      </w:r>
      <w:r w:rsidR="00D37092" w:rsidRPr="009E773A">
        <w:rPr>
          <w:rFonts w:asciiTheme="majorHAnsi" w:hAnsiTheme="majorHAnsi"/>
          <w:sz w:val="20"/>
          <w:szCs w:val="20"/>
        </w:rPr>
        <w:t xml:space="preserve">de </w:t>
      </w:r>
      <w:r w:rsidR="006674CC" w:rsidRPr="009E773A">
        <w:rPr>
          <w:rFonts w:asciiTheme="majorHAnsi" w:hAnsiTheme="majorHAnsi"/>
          <w:sz w:val="20"/>
          <w:szCs w:val="20"/>
        </w:rPr>
        <w:t>un proyectil de co</w:t>
      </w:r>
      <w:r w:rsidR="00D70ACC" w:rsidRPr="009E773A">
        <w:rPr>
          <w:rFonts w:asciiTheme="majorHAnsi" w:hAnsiTheme="majorHAnsi"/>
          <w:sz w:val="20"/>
          <w:szCs w:val="20"/>
        </w:rPr>
        <w:t>bre parcialmente deformado</w:t>
      </w:r>
      <w:r w:rsidR="00D37092" w:rsidRPr="009E773A">
        <w:rPr>
          <w:rFonts w:asciiTheme="majorHAnsi" w:hAnsiTheme="majorHAnsi"/>
          <w:sz w:val="20"/>
          <w:szCs w:val="20"/>
        </w:rPr>
        <w:t xml:space="preserve"> y un diskette</w:t>
      </w:r>
      <w:r w:rsidR="006674CC" w:rsidRPr="009E773A">
        <w:rPr>
          <w:rFonts w:asciiTheme="majorHAnsi" w:hAnsiTheme="majorHAnsi"/>
          <w:sz w:val="20"/>
          <w:szCs w:val="20"/>
        </w:rPr>
        <w:t>, custodiados en la delegación de Punto Fijo</w:t>
      </w:r>
      <w:r w:rsidR="00900349" w:rsidRPr="009E773A">
        <w:rPr>
          <w:rStyle w:val="Refdenotaalpie"/>
          <w:rFonts w:asciiTheme="majorHAnsi" w:hAnsiTheme="majorHAnsi"/>
          <w:sz w:val="20"/>
          <w:szCs w:val="20"/>
        </w:rPr>
        <w:footnoteReference w:id="73"/>
      </w:r>
      <w:r w:rsidR="00900349" w:rsidRPr="009E773A">
        <w:rPr>
          <w:rFonts w:asciiTheme="majorHAnsi" w:hAnsiTheme="majorHAnsi"/>
          <w:sz w:val="20"/>
          <w:szCs w:val="20"/>
        </w:rPr>
        <w:t>.</w:t>
      </w:r>
      <w:r w:rsidR="00D70ACC" w:rsidRPr="009E773A">
        <w:rPr>
          <w:rFonts w:asciiTheme="majorHAnsi" w:hAnsiTheme="majorHAnsi"/>
          <w:sz w:val="20"/>
          <w:szCs w:val="20"/>
        </w:rPr>
        <w:t xml:space="preserve"> Según el peritaje “l</w:t>
      </w:r>
      <w:r w:rsidR="004A6BD2" w:rsidRPr="009E773A">
        <w:rPr>
          <w:rFonts w:asciiTheme="majorHAnsi" w:hAnsiTheme="majorHAnsi"/>
          <w:sz w:val="20"/>
          <w:szCs w:val="20"/>
        </w:rPr>
        <w:t xml:space="preserve">a pieza metálica </w:t>
      </w:r>
      <w:r w:rsidR="00D70ACC" w:rsidRPr="009E773A">
        <w:rPr>
          <w:rFonts w:asciiTheme="majorHAnsi" w:hAnsiTheme="majorHAnsi"/>
          <w:sz w:val="20"/>
          <w:szCs w:val="20"/>
        </w:rPr>
        <w:t>(…) resulta s</w:t>
      </w:r>
      <w:r w:rsidR="004A6BD2" w:rsidRPr="009E773A">
        <w:rPr>
          <w:rFonts w:asciiTheme="majorHAnsi" w:hAnsiTheme="majorHAnsi"/>
          <w:sz w:val="20"/>
          <w:szCs w:val="20"/>
        </w:rPr>
        <w:t xml:space="preserve">er </w:t>
      </w:r>
      <w:r w:rsidR="00D70ACC" w:rsidRPr="009E773A">
        <w:rPr>
          <w:rFonts w:asciiTheme="majorHAnsi" w:hAnsiTheme="majorHAnsi"/>
          <w:sz w:val="20"/>
          <w:szCs w:val="20"/>
        </w:rPr>
        <w:t xml:space="preserve">de </w:t>
      </w:r>
      <w:r w:rsidR="004A6BD2" w:rsidRPr="009E773A">
        <w:rPr>
          <w:rFonts w:asciiTheme="majorHAnsi" w:hAnsiTheme="majorHAnsi"/>
          <w:sz w:val="20"/>
          <w:szCs w:val="20"/>
        </w:rPr>
        <w:t>un proyectil, l</w:t>
      </w:r>
      <w:r w:rsidR="00D70ACC" w:rsidRPr="009E773A">
        <w:rPr>
          <w:rFonts w:asciiTheme="majorHAnsi" w:hAnsiTheme="majorHAnsi"/>
          <w:sz w:val="20"/>
          <w:szCs w:val="20"/>
        </w:rPr>
        <w:t>a cual fue disparada</w:t>
      </w:r>
      <w:r w:rsidR="004A6BD2" w:rsidRPr="009E773A">
        <w:rPr>
          <w:rFonts w:asciiTheme="majorHAnsi" w:hAnsiTheme="majorHAnsi"/>
          <w:sz w:val="20"/>
          <w:szCs w:val="20"/>
        </w:rPr>
        <w:t xml:space="preserve"> por un arma de fuego, ya que presenta</w:t>
      </w:r>
      <w:r w:rsidR="00EA10CA" w:rsidRPr="009E773A">
        <w:rPr>
          <w:rFonts w:asciiTheme="majorHAnsi" w:hAnsiTheme="majorHAnsi"/>
          <w:sz w:val="20"/>
          <w:szCs w:val="20"/>
        </w:rPr>
        <w:t xml:space="preserve"> las huellas de los campos y las estrías dejadas por el pasar por </w:t>
      </w:r>
      <w:r w:rsidR="00B15F62" w:rsidRPr="009E773A">
        <w:rPr>
          <w:rFonts w:asciiTheme="majorHAnsi" w:hAnsiTheme="majorHAnsi"/>
          <w:sz w:val="20"/>
          <w:szCs w:val="20"/>
        </w:rPr>
        <w:t xml:space="preserve">al anima del caño de un arma de fuego. El mismo puede ser sometido a prueba balística. El diskette </w:t>
      </w:r>
      <w:r w:rsidR="00D70ACC" w:rsidRPr="009E773A">
        <w:rPr>
          <w:rFonts w:asciiTheme="majorHAnsi" w:hAnsiTheme="majorHAnsi"/>
          <w:sz w:val="20"/>
          <w:szCs w:val="20"/>
        </w:rPr>
        <w:t>(…)</w:t>
      </w:r>
      <w:r w:rsidR="00B15F62" w:rsidRPr="009E773A">
        <w:rPr>
          <w:rFonts w:asciiTheme="majorHAnsi" w:hAnsiTheme="majorHAnsi"/>
          <w:sz w:val="20"/>
          <w:szCs w:val="20"/>
        </w:rPr>
        <w:t xml:space="preserve"> se aprecia usado y en buen estado estructural”</w:t>
      </w:r>
      <w:r w:rsidR="002B0B4D" w:rsidRPr="009E773A">
        <w:rPr>
          <w:rStyle w:val="Refdenotaalpie"/>
          <w:rFonts w:asciiTheme="majorHAnsi" w:hAnsiTheme="majorHAnsi"/>
          <w:sz w:val="20"/>
          <w:szCs w:val="20"/>
        </w:rPr>
        <w:footnoteReference w:id="74"/>
      </w:r>
      <w:r w:rsidR="002B0B4D" w:rsidRPr="009E773A">
        <w:rPr>
          <w:rFonts w:asciiTheme="majorHAnsi" w:hAnsiTheme="majorHAnsi"/>
          <w:sz w:val="20"/>
          <w:szCs w:val="20"/>
        </w:rPr>
        <w:t xml:space="preserve">.  </w:t>
      </w:r>
      <w:r w:rsidR="006F4D06" w:rsidRPr="009E773A">
        <w:rPr>
          <w:rFonts w:asciiTheme="majorHAnsi" w:hAnsiTheme="majorHAnsi"/>
          <w:sz w:val="20"/>
          <w:szCs w:val="20"/>
        </w:rPr>
        <w:t xml:space="preserve">El 3 de diciembre de 2003 la subdelegación de Punto Fijo envió un memorándum, con carácter de urgencia, al jefe de la subdelegación Estadal Zulia </w:t>
      </w:r>
      <w:r w:rsidR="00D37092" w:rsidRPr="009E773A">
        <w:rPr>
          <w:rFonts w:asciiTheme="majorHAnsi" w:hAnsiTheme="majorHAnsi"/>
          <w:sz w:val="20"/>
          <w:szCs w:val="20"/>
        </w:rPr>
        <w:t>reiterando su solicitud</w:t>
      </w:r>
      <w:r w:rsidR="006F4D06" w:rsidRPr="009E773A">
        <w:rPr>
          <w:rFonts w:asciiTheme="majorHAnsi" w:hAnsiTheme="majorHAnsi"/>
          <w:sz w:val="20"/>
          <w:szCs w:val="20"/>
        </w:rPr>
        <w:t xml:space="preserve"> de una expert</w:t>
      </w:r>
      <w:r w:rsidR="00257573" w:rsidRPr="009E773A">
        <w:rPr>
          <w:rFonts w:asciiTheme="majorHAnsi" w:hAnsiTheme="majorHAnsi"/>
          <w:sz w:val="20"/>
          <w:szCs w:val="20"/>
        </w:rPr>
        <w:t xml:space="preserve">icia de comparación balística. </w:t>
      </w:r>
    </w:p>
    <w:p w14:paraId="44FE3DFE" w14:textId="77777777" w:rsidR="00173483" w:rsidRPr="009E773A" w:rsidRDefault="00173483"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ind w:left="630"/>
        <w:jc w:val="both"/>
        <w:rPr>
          <w:rFonts w:asciiTheme="majorHAnsi" w:hAnsiTheme="majorHAnsi"/>
          <w:sz w:val="20"/>
          <w:szCs w:val="20"/>
        </w:rPr>
      </w:pPr>
    </w:p>
    <w:p w14:paraId="689D0014" w14:textId="2EC7CB36" w:rsidR="00CE4F64" w:rsidRPr="009E773A" w:rsidRDefault="00665FA9"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rPr>
      </w:pPr>
      <w:r w:rsidRPr="009E773A">
        <w:rPr>
          <w:rFonts w:asciiTheme="majorHAnsi" w:hAnsiTheme="majorHAnsi"/>
          <w:sz w:val="20"/>
          <w:szCs w:val="20"/>
        </w:rPr>
        <w:t>E</w:t>
      </w:r>
      <w:r w:rsidR="00C620E8" w:rsidRPr="009E773A">
        <w:rPr>
          <w:rFonts w:asciiTheme="majorHAnsi" w:hAnsiTheme="majorHAnsi"/>
          <w:sz w:val="20"/>
          <w:szCs w:val="20"/>
        </w:rPr>
        <w:t xml:space="preserve">l 20 de noviembre de 2003 el Fiscal Sexto envió una comunicación al CICPC solicitando información respecto </w:t>
      </w:r>
      <w:r w:rsidR="00396597" w:rsidRPr="009E773A">
        <w:rPr>
          <w:rFonts w:asciiTheme="majorHAnsi" w:hAnsiTheme="majorHAnsi"/>
          <w:sz w:val="20"/>
          <w:szCs w:val="20"/>
        </w:rPr>
        <w:t>de</w:t>
      </w:r>
      <w:r w:rsidR="00C620E8" w:rsidRPr="009E773A">
        <w:rPr>
          <w:rFonts w:asciiTheme="majorHAnsi" w:hAnsiTheme="majorHAnsi"/>
          <w:sz w:val="20"/>
          <w:szCs w:val="20"/>
        </w:rPr>
        <w:t>l estado de la causa penal</w:t>
      </w:r>
      <w:r w:rsidR="00C620E8" w:rsidRPr="009E773A">
        <w:rPr>
          <w:rStyle w:val="Refdenotaalpie"/>
          <w:rFonts w:asciiTheme="majorHAnsi" w:hAnsiTheme="majorHAnsi"/>
          <w:sz w:val="20"/>
          <w:szCs w:val="20"/>
        </w:rPr>
        <w:footnoteReference w:id="75"/>
      </w:r>
      <w:r w:rsidR="00C620E8" w:rsidRPr="009E773A">
        <w:rPr>
          <w:rFonts w:asciiTheme="majorHAnsi" w:hAnsiTheme="majorHAnsi"/>
          <w:sz w:val="20"/>
          <w:szCs w:val="20"/>
        </w:rPr>
        <w:t xml:space="preserve"> y </w:t>
      </w:r>
      <w:r w:rsidR="00B12234" w:rsidRPr="009E773A">
        <w:rPr>
          <w:rFonts w:asciiTheme="majorHAnsi" w:hAnsiTheme="majorHAnsi"/>
          <w:sz w:val="20"/>
          <w:szCs w:val="20"/>
        </w:rPr>
        <w:t>a mediados del 2004</w:t>
      </w:r>
      <w:r w:rsidR="00C620E8" w:rsidRPr="009E773A">
        <w:rPr>
          <w:rFonts w:asciiTheme="majorHAnsi" w:hAnsiTheme="majorHAnsi"/>
          <w:sz w:val="20"/>
          <w:szCs w:val="20"/>
        </w:rPr>
        <w:t xml:space="preserve"> </w:t>
      </w:r>
      <w:r w:rsidR="00D337AC" w:rsidRPr="009E773A">
        <w:rPr>
          <w:rFonts w:asciiTheme="majorHAnsi" w:hAnsiTheme="majorHAnsi"/>
          <w:sz w:val="20"/>
          <w:szCs w:val="20"/>
        </w:rPr>
        <w:t xml:space="preserve">solicitó </w:t>
      </w:r>
      <w:r w:rsidR="002B0B4D" w:rsidRPr="009E773A">
        <w:rPr>
          <w:rFonts w:asciiTheme="majorHAnsi" w:hAnsiTheme="majorHAnsi"/>
          <w:sz w:val="20"/>
          <w:szCs w:val="20"/>
        </w:rPr>
        <w:t xml:space="preserve">al comandante del </w:t>
      </w:r>
      <w:r w:rsidR="00B12234" w:rsidRPr="009E773A">
        <w:rPr>
          <w:rFonts w:asciiTheme="majorHAnsi" w:hAnsiTheme="majorHAnsi"/>
          <w:sz w:val="20"/>
          <w:szCs w:val="20"/>
        </w:rPr>
        <w:t>CICPC</w:t>
      </w:r>
      <w:r w:rsidR="00C620E8" w:rsidRPr="009E773A">
        <w:rPr>
          <w:rFonts w:asciiTheme="majorHAnsi" w:hAnsiTheme="majorHAnsi"/>
          <w:sz w:val="20"/>
          <w:szCs w:val="20"/>
        </w:rPr>
        <w:t xml:space="preserve"> </w:t>
      </w:r>
      <w:r w:rsidR="002B0B4D" w:rsidRPr="009E773A">
        <w:rPr>
          <w:rFonts w:asciiTheme="majorHAnsi" w:hAnsiTheme="majorHAnsi"/>
          <w:sz w:val="20"/>
          <w:szCs w:val="20"/>
        </w:rPr>
        <w:t>los resultados de las Experticias de Comparación Balís</w:t>
      </w:r>
      <w:r w:rsidR="00B12234" w:rsidRPr="009E773A">
        <w:rPr>
          <w:rFonts w:asciiTheme="majorHAnsi" w:hAnsiTheme="majorHAnsi"/>
          <w:sz w:val="20"/>
          <w:szCs w:val="20"/>
        </w:rPr>
        <w:t>tica</w:t>
      </w:r>
      <w:r w:rsidR="002B0B4D" w:rsidRPr="009E773A">
        <w:rPr>
          <w:rStyle w:val="Refdenotaalpie"/>
          <w:rFonts w:asciiTheme="majorHAnsi" w:hAnsiTheme="majorHAnsi"/>
          <w:sz w:val="20"/>
          <w:szCs w:val="20"/>
        </w:rPr>
        <w:footnoteReference w:id="76"/>
      </w:r>
      <w:r w:rsidR="00B12234" w:rsidRPr="009E773A">
        <w:rPr>
          <w:rFonts w:asciiTheme="majorHAnsi" w:hAnsiTheme="majorHAnsi"/>
          <w:sz w:val="20"/>
          <w:szCs w:val="20"/>
        </w:rPr>
        <w:t xml:space="preserve"> y </w:t>
      </w:r>
      <w:r w:rsidR="002B0B4D" w:rsidRPr="009E773A">
        <w:rPr>
          <w:rFonts w:asciiTheme="majorHAnsi" w:hAnsiTheme="majorHAnsi"/>
          <w:sz w:val="20"/>
          <w:szCs w:val="20"/>
        </w:rPr>
        <w:t>los resultados del levantamiento planímetro y la trayectoria balística e intraorgánica practicada</w:t>
      </w:r>
      <w:r w:rsidR="002B2F31" w:rsidRPr="009E773A">
        <w:rPr>
          <w:rFonts w:asciiTheme="majorHAnsi" w:hAnsiTheme="majorHAnsi"/>
          <w:sz w:val="20"/>
          <w:szCs w:val="20"/>
        </w:rPr>
        <w:t>s</w:t>
      </w:r>
      <w:r w:rsidR="002B0B4D" w:rsidRPr="009E773A">
        <w:rPr>
          <w:rStyle w:val="Refdenotaalpie"/>
          <w:rFonts w:asciiTheme="majorHAnsi" w:hAnsiTheme="majorHAnsi"/>
          <w:sz w:val="20"/>
          <w:szCs w:val="20"/>
        </w:rPr>
        <w:footnoteReference w:id="77"/>
      </w:r>
      <w:r w:rsidR="002B0B4D" w:rsidRPr="009E773A">
        <w:rPr>
          <w:rFonts w:asciiTheme="majorHAnsi" w:hAnsiTheme="majorHAnsi"/>
          <w:sz w:val="20"/>
          <w:szCs w:val="20"/>
        </w:rPr>
        <w:t>.</w:t>
      </w:r>
      <w:r w:rsidR="00D97D82" w:rsidRPr="009E773A">
        <w:rPr>
          <w:rFonts w:asciiTheme="majorHAnsi" w:hAnsiTheme="majorHAnsi"/>
          <w:sz w:val="20"/>
          <w:szCs w:val="20"/>
        </w:rPr>
        <w:t xml:space="preserve"> </w:t>
      </w:r>
      <w:r w:rsidR="00CE4F64" w:rsidRPr="009E773A">
        <w:rPr>
          <w:rFonts w:asciiTheme="majorHAnsi" w:hAnsiTheme="majorHAnsi"/>
          <w:sz w:val="20"/>
          <w:szCs w:val="20"/>
        </w:rPr>
        <w:t>Con lo anterior, la Subdelegación de Punto Fijo cursó varios memorandos</w:t>
      </w:r>
      <w:r w:rsidR="00CE4F64" w:rsidRPr="009E773A">
        <w:rPr>
          <w:rStyle w:val="Refdenotaalpie"/>
          <w:rFonts w:asciiTheme="majorHAnsi" w:hAnsiTheme="majorHAnsi"/>
          <w:sz w:val="20"/>
          <w:szCs w:val="20"/>
        </w:rPr>
        <w:footnoteReference w:id="78"/>
      </w:r>
      <w:r w:rsidR="00CE4F64" w:rsidRPr="009E773A">
        <w:rPr>
          <w:rFonts w:asciiTheme="majorHAnsi" w:hAnsiTheme="majorHAnsi"/>
          <w:sz w:val="20"/>
          <w:szCs w:val="20"/>
        </w:rPr>
        <w:t xml:space="preserve"> para recabar las pericias solicitadas, pero al final indicó que no recibió respuestas</w:t>
      </w:r>
      <w:r w:rsidR="00CE4F64" w:rsidRPr="009E773A">
        <w:rPr>
          <w:rStyle w:val="Refdenotaalpie"/>
          <w:rFonts w:asciiTheme="majorHAnsi" w:hAnsiTheme="majorHAnsi"/>
          <w:sz w:val="20"/>
          <w:szCs w:val="20"/>
        </w:rPr>
        <w:footnoteReference w:id="79"/>
      </w:r>
      <w:r w:rsidR="00CE4F64" w:rsidRPr="009E773A">
        <w:rPr>
          <w:rFonts w:asciiTheme="majorHAnsi" w:hAnsiTheme="majorHAnsi"/>
          <w:sz w:val="20"/>
          <w:szCs w:val="20"/>
        </w:rPr>
        <w:t>. Ante la falta de resultados, el 10 de enero de 2005 el Despacho del Fiscal Sexto reiteró sus comunicaciones y ordenó nuevamente que se practique</w:t>
      </w:r>
      <w:r w:rsidR="00684EDB" w:rsidRPr="009E773A">
        <w:rPr>
          <w:rFonts w:asciiTheme="majorHAnsi" w:hAnsiTheme="majorHAnsi"/>
          <w:sz w:val="20"/>
          <w:szCs w:val="20"/>
        </w:rPr>
        <w:t>n las pericias solicitadas</w:t>
      </w:r>
      <w:r w:rsidR="00CE4F64" w:rsidRPr="009E773A">
        <w:rPr>
          <w:rStyle w:val="Refdenotaalpie"/>
          <w:rFonts w:asciiTheme="majorHAnsi" w:hAnsiTheme="majorHAnsi"/>
          <w:sz w:val="20"/>
          <w:szCs w:val="20"/>
        </w:rPr>
        <w:footnoteReference w:id="80"/>
      </w:r>
      <w:r w:rsidR="00CE4F64" w:rsidRPr="009E773A">
        <w:rPr>
          <w:rFonts w:asciiTheme="majorHAnsi" w:hAnsiTheme="majorHAnsi"/>
          <w:sz w:val="20"/>
          <w:szCs w:val="20"/>
        </w:rPr>
        <w:t xml:space="preserve">.     </w:t>
      </w:r>
    </w:p>
    <w:p w14:paraId="6A18F20E" w14:textId="77777777" w:rsidR="002B0B4D" w:rsidRPr="009E773A" w:rsidRDefault="002B0B4D" w:rsidP="009A79B6">
      <w:pPr>
        <w:pStyle w:val="Prrafodelista"/>
        <w:ind w:left="0"/>
        <w:jc w:val="both"/>
        <w:rPr>
          <w:rFonts w:asciiTheme="majorHAnsi" w:hAnsiTheme="majorHAnsi"/>
          <w:sz w:val="20"/>
          <w:szCs w:val="20"/>
          <w:lang w:val="es-CO"/>
        </w:rPr>
      </w:pPr>
    </w:p>
    <w:p w14:paraId="5A0AE76A" w14:textId="41CBB4BB" w:rsidR="00254607" w:rsidRPr="009E773A" w:rsidRDefault="00D144AE"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rPr>
      </w:pPr>
      <w:r w:rsidRPr="009E773A">
        <w:rPr>
          <w:rFonts w:asciiTheme="majorHAnsi" w:hAnsiTheme="majorHAnsi"/>
          <w:sz w:val="20"/>
          <w:szCs w:val="20"/>
        </w:rPr>
        <w:t xml:space="preserve">El 9 de febrero de 2005 la Subdelegación de Punto Fijo </w:t>
      </w:r>
      <w:r w:rsidR="002B0B4D" w:rsidRPr="009E773A">
        <w:rPr>
          <w:rFonts w:asciiTheme="majorHAnsi" w:hAnsiTheme="majorHAnsi"/>
          <w:sz w:val="20"/>
          <w:szCs w:val="20"/>
        </w:rPr>
        <w:t>envió una comunicación al Jefe de la Delegación del Estado de Zulia, a fin de solicitar el envío de la experticia de comparación balística practica</w:t>
      </w:r>
      <w:r w:rsidR="00CC4477" w:rsidRPr="009E773A">
        <w:rPr>
          <w:rFonts w:asciiTheme="majorHAnsi" w:hAnsiTheme="majorHAnsi"/>
          <w:sz w:val="20"/>
          <w:szCs w:val="20"/>
        </w:rPr>
        <w:t>da</w:t>
      </w:r>
      <w:r w:rsidR="002B0B4D" w:rsidRPr="009E773A">
        <w:rPr>
          <w:rStyle w:val="Refdenotaalpie"/>
          <w:rFonts w:asciiTheme="majorHAnsi" w:hAnsiTheme="majorHAnsi"/>
          <w:sz w:val="20"/>
          <w:szCs w:val="20"/>
        </w:rPr>
        <w:footnoteReference w:id="81"/>
      </w:r>
      <w:r w:rsidR="002B0B4D" w:rsidRPr="009E773A">
        <w:rPr>
          <w:rFonts w:asciiTheme="majorHAnsi" w:hAnsiTheme="majorHAnsi"/>
          <w:sz w:val="20"/>
          <w:szCs w:val="20"/>
        </w:rPr>
        <w:t xml:space="preserve">. </w:t>
      </w:r>
      <w:r w:rsidR="00254607" w:rsidRPr="009E773A">
        <w:rPr>
          <w:rFonts w:asciiTheme="majorHAnsi" w:hAnsiTheme="majorHAnsi"/>
          <w:sz w:val="20"/>
          <w:szCs w:val="20"/>
        </w:rPr>
        <w:t xml:space="preserve">El 1 de mayo de 2006 </w:t>
      </w:r>
      <w:r w:rsidR="006519A4" w:rsidRPr="009E773A">
        <w:rPr>
          <w:rFonts w:asciiTheme="majorHAnsi" w:hAnsiTheme="majorHAnsi"/>
          <w:sz w:val="20"/>
          <w:szCs w:val="20"/>
        </w:rPr>
        <w:t>l</w:t>
      </w:r>
      <w:r w:rsidR="00254607" w:rsidRPr="009E773A">
        <w:rPr>
          <w:rFonts w:asciiTheme="majorHAnsi" w:hAnsiTheme="majorHAnsi"/>
          <w:sz w:val="20"/>
          <w:szCs w:val="20"/>
        </w:rPr>
        <w:t>a División de Análisis y Reconstrucción de Hechos Área de Tra</w:t>
      </w:r>
      <w:r w:rsidR="006519A4" w:rsidRPr="009E773A">
        <w:rPr>
          <w:rFonts w:asciiTheme="majorHAnsi" w:hAnsiTheme="majorHAnsi"/>
          <w:sz w:val="20"/>
          <w:szCs w:val="20"/>
        </w:rPr>
        <w:t>yectoria Balística</w:t>
      </w:r>
      <w:r w:rsidR="00254607" w:rsidRPr="009E773A">
        <w:rPr>
          <w:rFonts w:asciiTheme="majorHAnsi" w:hAnsiTheme="majorHAnsi"/>
          <w:sz w:val="20"/>
          <w:szCs w:val="20"/>
        </w:rPr>
        <w:t xml:space="preserve"> practicó </w:t>
      </w:r>
      <w:r w:rsidR="00115531" w:rsidRPr="009E773A">
        <w:rPr>
          <w:rFonts w:asciiTheme="majorHAnsi" w:hAnsiTheme="majorHAnsi"/>
          <w:sz w:val="20"/>
          <w:szCs w:val="20"/>
        </w:rPr>
        <w:t>un peritaje</w:t>
      </w:r>
      <w:r w:rsidR="00322CE9" w:rsidRPr="009E773A">
        <w:rPr>
          <w:rFonts w:asciiTheme="majorHAnsi" w:hAnsiTheme="majorHAnsi"/>
          <w:sz w:val="20"/>
          <w:szCs w:val="20"/>
        </w:rPr>
        <w:t>, concluyendo similarmente en ambos casos, en que “el tirador</w:t>
      </w:r>
      <w:r w:rsidR="00115531" w:rsidRPr="009E773A">
        <w:rPr>
          <w:rFonts w:asciiTheme="majorHAnsi" w:hAnsiTheme="majorHAnsi"/>
          <w:sz w:val="20"/>
          <w:szCs w:val="20"/>
        </w:rPr>
        <w:t xml:space="preserve"> se encuentra hacia el frente de la víctima, efectuando disparo con la boca del cañón del arma de fuego en forma descendente, dirigido a la región anatómica comprometida”</w:t>
      </w:r>
      <w:r w:rsidR="00115531" w:rsidRPr="009E773A">
        <w:rPr>
          <w:rStyle w:val="Refdenotaalpie"/>
          <w:rFonts w:asciiTheme="majorHAnsi" w:hAnsiTheme="majorHAnsi"/>
          <w:sz w:val="20"/>
          <w:szCs w:val="20"/>
        </w:rPr>
        <w:footnoteReference w:id="82"/>
      </w:r>
      <w:r w:rsidR="00115531" w:rsidRPr="009E773A">
        <w:rPr>
          <w:rFonts w:asciiTheme="majorHAnsi" w:hAnsiTheme="majorHAnsi"/>
          <w:sz w:val="20"/>
          <w:szCs w:val="20"/>
        </w:rPr>
        <w:t>.</w:t>
      </w:r>
    </w:p>
    <w:p w14:paraId="6F5CAFA9" w14:textId="77777777" w:rsidR="00254607" w:rsidRPr="009E773A" w:rsidRDefault="00254607"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634"/>
        <w:jc w:val="both"/>
        <w:rPr>
          <w:rFonts w:asciiTheme="majorHAnsi" w:hAnsiTheme="majorHAnsi"/>
          <w:sz w:val="20"/>
          <w:szCs w:val="20"/>
        </w:rPr>
      </w:pPr>
    </w:p>
    <w:p w14:paraId="51CBE4A6" w14:textId="77777777" w:rsidR="00576B27" w:rsidRPr="009E773A" w:rsidRDefault="00576B27"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rPr>
      </w:pPr>
      <w:r w:rsidRPr="009E773A">
        <w:rPr>
          <w:rFonts w:asciiTheme="majorHAnsi" w:hAnsiTheme="majorHAnsi"/>
          <w:sz w:val="20"/>
          <w:szCs w:val="20"/>
        </w:rPr>
        <w:t>El 31 de mayo de 2006 la División de Balística de la Dirección de Criminalística Identificativa</w:t>
      </w:r>
      <w:r w:rsidR="00971AFC" w:rsidRPr="009E773A">
        <w:rPr>
          <w:rFonts w:asciiTheme="majorHAnsi" w:hAnsiTheme="majorHAnsi"/>
          <w:sz w:val="20"/>
          <w:szCs w:val="20"/>
        </w:rPr>
        <w:t xml:space="preserve"> </w:t>
      </w:r>
      <w:r w:rsidRPr="009E773A">
        <w:rPr>
          <w:rFonts w:asciiTheme="majorHAnsi" w:hAnsiTheme="majorHAnsi"/>
          <w:sz w:val="20"/>
          <w:szCs w:val="20"/>
        </w:rPr>
        <w:t xml:space="preserve">- Comparativa, envió al Jefe de la subdelegación Punto Fijo, un Informe de Comparación Balística </w:t>
      </w:r>
      <w:r w:rsidR="00D144AE" w:rsidRPr="009E773A">
        <w:rPr>
          <w:rFonts w:asciiTheme="majorHAnsi" w:hAnsiTheme="majorHAnsi"/>
          <w:sz w:val="20"/>
          <w:szCs w:val="20"/>
        </w:rPr>
        <w:t xml:space="preserve">en el que </w:t>
      </w:r>
      <w:r w:rsidRPr="009E773A">
        <w:rPr>
          <w:rFonts w:asciiTheme="majorHAnsi" w:hAnsiTheme="majorHAnsi"/>
          <w:sz w:val="20"/>
          <w:szCs w:val="20"/>
        </w:rPr>
        <w:t>concluye</w:t>
      </w:r>
      <w:r w:rsidR="00B60D76" w:rsidRPr="009E773A">
        <w:rPr>
          <w:rFonts w:asciiTheme="majorHAnsi" w:hAnsiTheme="majorHAnsi"/>
          <w:sz w:val="20"/>
          <w:szCs w:val="20"/>
        </w:rPr>
        <w:t xml:space="preserve"> que dos de los elementos analizados</w:t>
      </w:r>
      <w:r w:rsidR="00D63EDB" w:rsidRPr="009E773A">
        <w:rPr>
          <w:rFonts w:asciiTheme="majorHAnsi" w:hAnsiTheme="majorHAnsi"/>
          <w:sz w:val="20"/>
          <w:szCs w:val="20"/>
        </w:rPr>
        <w:t xml:space="preserve"> calibre .40 </w:t>
      </w:r>
      <w:r w:rsidR="00B60D76" w:rsidRPr="009E773A">
        <w:rPr>
          <w:rFonts w:asciiTheme="majorHAnsi" w:hAnsiTheme="majorHAnsi"/>
          <w:sz w:val="20"/>
          <w:szCs w:val="20"/>
        </w:rPr>
        <w:t xml:space="preserve"> (proyectil completo y fragmento) fueron disparados por una misma arma de fuego y que </w:t>
      </w:r>
      <w:r w:rsidR="00D63EDB" w:rsidRPr="009E773A">
        <w:rPr>
          <w:rFonts w:asciiTheme="majorHAnsi" w:hAnsiTheme="majorHAnsi"/>
          <w:sz w:val="20"/>
          <w:szCs w:val="20"/>
        </w:rPr>
        <w:t xml:space="preserve">el </w:t>
      </w:r>
      <w:r w:rsidR="00B60D76" w:rsidRPr="009E773A">
        <w:rPr>
          <w:rFonts w:asciiTheme="majorHAnsi" w:hAnsiTheme="majorHAnsi"/>
          <w:sz w:val="20"/>
          <w:szCs w:val="20"/>
        </w:rPr>
        <w:t>proyectil de calibre 9 mil</w:t>
      </w:r>
      <w:r w:rsidR="00D63EDB" w:rsidRPr="009E773A">
        <w:rPr>
          <w:rFonts w:asciiTheme="majorHAnsi" w:hAnsiTheme="majorHAnsi"/>
          <w:sz w:val="20"/>
          <w:szCs w:val="20"/>
        </w:rPr>
        <w:t>ímetros fue disparada por otra arma</w:t>
      </w:r>
      <w:r w:rsidRPr="009E773A">
        <w:rPr>
          <w:rStyle w:val="Refdenotaalpie"/>
          <w:rFonts w:asciiTheme="majorHAnsi" w:hAnsiTheme="majorHAnsi"/>
          <w:sz w:val="20"/>
          <w:szCs w:val="20"/>
        </w:rPr>
        <w:footnoteReference w:id="83"/>
      </w:r>
      <w:r w:rsidRPr="009E773A">
        <w:rPr>
          <w:rFonts w:asciiTheme="majorHAnsi" w:hAnsiTheme="majorHAnsi"/>
          <w:sz w:val="20"/>
          <w:szCs w:val="20"/>
        </w:rPr>
        <w:t>.</w:t>
      </w:r>
    </w:p>
    <w:p w14:paraId="160F90B2" w14:textId="77777777" w:rsidR="00576B27" w:rsidRPr="009E773A" w:rsidRDefault="00576B27" w:rsidP="009A79B6">
      <w:pPr>
        <w:pStyle w:val="Prrafodelista"/>
        <w:ind w:left="0"/>
        <w:jc w:val="both"/>
        <w:rPr>
          <w:rFonts w:asciiTheme="majorHAnsi" w:hAnsiTheme="majorHAnsi"/>
          <w:sz w:val="20"/>
          <w:szCs w:val="20"/>
          <w:lang w:val="es-CO"/>
        </w:rPr>
      </w:pPr>
    </w:p>
    <w:p w14:paraId="6E2EAEB7" w14:textId="27E0EDE1" w:rsidR="00576B27" w:rsidRPr="009E773A" w:rsidRDefault="00E4496E"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rPr>
      </w:pPr>
      <w:r w:rsidRPr="009E773A">
        <w:rPr>
          <w:rFonts w:asciiTheme="majorHAnsi" w:hAnsiTheme="majorHAnsi"/>
          <w:color w:val="000000" w:themeColor="text1"/>
          <w:sz w:val="20"/>
          <w:szCs w:val="20"/>
        </w:rPr>
        <w:t xml:space="preserve">El 18 de julio de 2007 el </w:t>
      </w:r>
      <w:r w:rsidR="009358AA" w:rsidRPr="009E773A">
        <w:rPr>
          <w:rFonts w:asciiTheme="majorHAnsi" w:hAnsiTheme="majorHAnsi"/>
          <w:color w:val="000000" w:themeColor="text1"/>
          <w:sz w:val="20"/>
          <w:szCs w:val="20"/>
        </w:rPr>
        <w:t>Fiscal General</w:t>
      </w:r>
      <w:r w:rsidRPr="009E773A">
        <w:rPr>
          <w:rFonts w:asciiTheme="majorHAnsi" w:hAnsiTheme="majorHAnsi"/>
          <w:sz w:val="20"/>
          <w:szCs w:val="20"/>
        </w:rPr>
        <w:t xml:space="preserve"> reasign</w:t>
      </w:r>
      <w:r w:rsidR="00115531" w:rsidRPr="009E773A">
        <w:rPr>
          <w:rFonts w:asciiTheme="majorHAnsi" w:hAnsiTheme="majorHAnsi"/>
          <w:sz w:val="20"/>
          <w:szCs w:val="20"/>
        </w:rPr>
        <w:t>ó</w:t>
      </w:r>
      <w:r w:rsidRPr="009E773A">
        <w:rPr>
          <w:rFonts w:asciiTheme="majorHAnsi" w:hAnsiTheme="majorHAnsi"/>
          <w:sz w:val="20"/>
          <w:szCs w:val="20"/>
        </w:rPr>
        <w:t xml:space="preserve"> la causa penal a la Fiscalía Décima Séptima</w:t>
      </w:r>
      <w:r w:rsidR="00726AFE" w:rsidRPr="009E773A">
        <w:rPr>
          <w:rFonts w:asciiTheme="majorHAnsi" w:hAnsiTheme="majorHAnsi"/>
          <w:sz w:val="20"/>
          <w:szCs w:val="20"/>
        </w:rPr>
        <w:t xml:space="preserve"> del Ministerio Público del </w:t>
      </w:r>
      <w:r w:rsidR="00DF42B7" w:rsidRPr="009E773A">
        <w:rPr>
          <w:rFonts w:asciiTheme="majorHAnsi" w:hAnsiTheme="majorHAnsi"/>
          <w:sz w:val="20"/>
          <w:szCs w:val="20"/>
        </w:rPr>
        <w:t>E</w:t>
      </w:r>
      <w:r w:rsidR="007F77A1" w:rsidRPr="009E773A">
        <w:rPr>
          <w:rFonts w:asciiTheme="majorHAnsi" w:hAnsiTheme="majorHAnsi"/>
          <w:sz w:val="20"/>
          <w:szCs w:val="20"/>
        </w:rPr>
        <w:t>stado de Falcón</w:t>
      </w:r>
      <w:r w:rsidR="009358AA" w:rsidRPr="009E773A">
        <w:rPr>
          <w:rFonts w:asciiTheme="majorHAnsi" w:hAnsiTheme="majorHAnsi"/>
          <w:sz w:val="20"/>
          <w:szCs w:val="20"/>
        </w:rPr>
        <w:t xml:space="preserve"> (en adelante “Fiscalía </w:t>
      </w:r>
      <w:r w:rsidR="007F77A1" w:rsidRPr="009E773A">
        <w:rPr>
          <w:rFonts w:asciiTheme="majorHAnsi" w:hAnsiTheme="majorHAnsi"/>
          <w:sz w:val="20"/>
          <w:szCs w:val="20"/>
        </w:rPr>
        <w:t>Décima Séptima”</w:t>
      </w:r>
      <w:r w:rsidR="009358AA" w:rsidRPr="009E773A">
        <w:rPr>
          <w:rFonts w:asciiTheme="majorHAnsi" w:hAnsiTheme="majorHAnsi"/>
          <w:sz w:val="20"/>
          <w:szCs w:val="20"/>
        </w:rPr>
        <w:t>)</w:t>
      </w:r>
      <w:r w:rsidRPr="009E773A">
        <w:rPr>
          <w:rFonts w:asciiTheme="majorHAnsi" w:hAnsiTheme="majorHAnsi"/>
          <w:sz w:val="20"/>
          <w:szCs w:val="20"/>
        </w:rPr>
        <w:t xml:space="preserve">. Asimismo, envió al Juez Primero del Circuito Judicial Penal del Estado Falcón una copia del expediente abierto por la causa penal, para que el mismo </w:t>
      </w:r>
      <w:r w:rsidR="008A6868" w:rsidRPr="009E773A">
        <w:rPr>
          <w:rFonts w:asciiTheme="majorHAnsi" w:hAnsiTheme="majorHAnsi"/>
          <w:sz w:val="20"/>
          <w:szCs w:val="20"/>
        </w:rPr>
        <w:t>fuera</w:t>
      </w:r>
      <w:r w:rsidRPr="009E773A">
        <w:rPr>
          <w:rFonts w:asciiTheme="majorHAnsi" w:hAnsiTheme="majorHAnsi"/>
          <w:sz w:val="20"/>
          <w:szCs w:val="20"/>
        </w:rPr>
        <w:t xml:space="preserve"> remitido al Fiscal Décimo Séptimo del Ministerio Público, “quien conocerá separada o conjuntamente por este Despacho para realizar el acto conclusivo respectivo</w:t>
      </w:r>
      <w:r w:rsidR="009358AA" w:rsidRPr="009E773A">
        <w:rPr>
          <w:rFonts w:asciiTheme="majorHAnsi" w:hAnsiTheme="majorHAnsi"/>
          <w:sz w:val="20"/>
          <w:szCs w:val="20"/>
        </w:rPr>
        <w:t>”</w:t>
      </w:r>
      <w:r w:rsidRPr="009E773A">
        <w:rPr>
          <w:rStyle w:val="Refdenotaalpie"/>
          <w:rFonts w:asciiTheme="majorHAnsi" w:hAnsiTheme="majorHAnsi"/>
          <w:sz w:val="20"/>
          <w:szCs w:val="20"/>
        </w:rPr>
        <w:footnoteReference w:id="84"/>
      </w:r>
      <w:r w:rsidRPr="009E773A">
        <w:rPr>
          <w:rFonts w:asciiTheme="majorHAnsi" w:hAnsiTheme="majorHAnsi"/>
          <w:sz w:val="20"/>
          <w:szCs w:val="20"/>
        </w:rPr>
        <w:t>.</w:t>
      </w:r>
      <w:r w:rsidR="007F77A1" w:rsidRPr="009E773A">
        <w:rPr>
          <w:rFonts w:asciiTheme="majorHAnsi" w:hAnsiTheme="majorHAnsi"/>
          <w:sz w:val="20"/>
          <w:szCs w:val="20"/>
        </w:rPr>
        <w:t xml:space="preserve"> En virtud de lo anterior, el</w:t>
      </w:r>
      <w:r w:rsidR="00576B27" w:rsidRPr="009E773A">
        <w:rPr>
          <w:rFonts w:asciiTheme="majorHAnsi" w:hAnsiTheme="majorHAnsi"/>
          <w:sz w:val="20"/>
          <w:szCs w:val="20"/>
        </w:rPr>
        <w:t xml:space="preserve"> 16 de </w:t>
      </w:r>
      <w:r w:rsidR="007F77A1" w:rsidRPr="009E773A">
        <w:rPr>
          <w:rFonts w:asciiTheme="majorHAnsi" w:hAnsiTheme="majorHAnsi"/>
          <w:sz w:val="20"/>
          <w:szCs w:val="20"/>
        </w:rPr>
        <w:t>d</w:t>
      </w:r>
      <w:r w:rsidR="00576B27" w:rsidRPr="009E773A">
        <w:rPr>
          <w:rFonts w:asciiTheme="majorHAnsi" w:hAnsiTheme="majorHAnsi"/>
          <w:sz w:val="20"/>
          <w:szCs w:val="20"/>
        </w:rPr>
        <w:t xml:space="preserve">iciembre de 2008 la Fiscalía Décima Séptima solicitó al </w:t>
      </w:r>
      <w:r w:rsidR="007F77A1" w:rsidRPr="009E773A">
        <w:rPr>
          <w:rFonts w:asciiTheme="majorHAnsi" w:hAnsiTheme="majorHAnsi"/>
          <w:sz w:val="20"/>
          <w:szCs w:val="20"/>
        </w:rPr>
        <w:t>CICPC</w:t>
      </w:r>
      <w:r w:rsidR="00576B27" w:rsidRPr="009E773A">
        <w:rPr>
          <w:rFonts w:asciiTheme="majorHAnsi" w:hAnsiTheme="majorHAnsi"/>
          <w:sz w:val="20"/>
          <w:szCs w:val="20"/>
        </w:rPr>
        <w:t xml:space="preserve"> y a la Delegación Punto Fijo, la remisión de todas las actuaciones practicadas en la causa</w:t>
      </w:r>
      <w:r w:rsidR="00576B27" w:rsidRPr="009E773A">
        <w:rPr>
          <w:rStyle w:val="Refdenotaalpie"/>
          <w:rFonts w:asciiTheme="majorHAnsi" w:hAnsiTheme="majorHAnsi"/>
          <w:sz w:val="20"/>
          <w:szCs w:val="20"/>
        </w:rPr>
        <w:footnoteReference w:id="85"/>
      </w:r>
      <w:r w:rsidR="00576B27" w:rsidRPr="009E773A">
        <w:rPr>
          <w:rFonts w:asciiTheme="majorHAnsi" w:hAnsiTheme="majorHAnsi"/>
          <w:sz w:val="20"/>
          <w:szCs w:val="20"/>
        </w:rPr>
        <w:t>.</w:t>
      </w:r>
    </w:p>
    <w:p w14:paraId="0FF18936" w14:textId="77777777" w:rsidR="00EB0F7F" w:rsidRPr="009E773A" w:rsidRDefault="00EB0F7F"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rPr>
      </w:pPr>
    </w:p>
    <w:p w14:paraId="4029914B" w14:textId="77777777" w:rsidR="00576B27" w:rsidRPr="009E773A" w:rsidRDefault="00C77482"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rPr>
      </w:pPr>
      <w:r w:rsidRPr="009E773A">
        <w:rPr>
          <w:rFonts w:asciiTheme="majorHAnsi" w:hAnsiTheme="majorHAnsi"/>
          <w:sz w:val="20"/>
          <w:szCs w:val="20"/>
        </w:rPr>
        <w:t xml:space="preserve">El 23 de marzo de 2009 la Fiscalía Décima Séptima informó a la Dirección de Protección de Derechos Fundamentales que en la causa penal se encuentran involucrados presuntamente funcionarios adscritos </w:t>
      </w:r>
      <w:r w:rsidR="00FE49E2" w:rsidRPr="009E773A">
        <w:rPr>
          <w:rFonts w:asciiTheme="majorHAnsi" w:hAnsiTheme="majorHAnsi"/>
          <w:sz w:val="20"/>
          <w:szCs w:val="20"/>
        </w:rPr>
        <w:t>a la Policía del</w:t>
      </w:r>
      <w:r w:rsidRPr="009E773A">
        <w:rPr>
          <w:rFonts w:asciiTheme="majorHAnsi" w:hAnsiTheme="majorHAnsi"/>
          <w:sz w:val="20"/>
          <w:szCs w:val="20"/>
        </w:rPr>
        <w:t xml:space="preserve"> Estado Falcón</w:t>
      </w:r>
      <w:r w:rsidRPr="009E773A">
        <w:rPr>
          <w:rStyle w:val="Refdenotaalpie"/>
          <w:rFonts w:asciiTheme="majorHAnsi" w:hAnsiTheme="majorHAnsi"/>
          <w:sz w:val="20"/>
          <w:szCs w:val="20"/>
        </w:rPr>
        <w:footnoteReference w:id="86"/>
      </w:r>
      <w:r w:rsidR="007F77A1" w:rsidRPr="009E773A">
        <w:rPr>
          <w:rFonts w:asciiTheme="majorHAnsi" w:hAnsiTheme="majorHAnsi"/>
          <w:sz w:val="20"/>
          <w:szCs w:val="20"/>
        </w:rPr>
        <w:t xml:space="preserve">. </w:t>
      </w:r>
      <w:r w:rsidR="00576B27" w:rsidRPr="009E773A">
        <w:rPr>
          <w:rFonts w:asciiTheme="majorHAnsi" w:hAnsiTheme="majorHAnsi"/>
          <w:sz w:val="20"/>
          <w:szCs w:val="20"/>
        </w:rPr>
        <w:t>El 14 de septiembre de 2011 la Fiscalía Décima</w:t>
      </w:r>
      <w:r w:rsidR="003B4F8E" w:rsidRPr="009E773A">
        <w:rPr>
          <w:rFonts w:asciiTheme="majorHAnsi" w:hAnsiTheme="majorHAnsi"/>
          <w:sz w:val="20"/>
          <w:szCs w:val="20"/>
        </w:rPr>
        <w:t xml:space="preserve"> Séptima</w:t>
      </w:r>
      <w:r w:rsidR="00576B27" w:rsidRPr="009E773A">
        <w:rPr>
          <w:rFonts w:asciiTheme="majorHAnsi" w:hAnsiTheme="majorHAnsi"/>
          <w:sz w:val="20"/>
          <w:szCs w:val="20"/>
        </w:rPr>
        <w:t xml:space="preserve"> profi</w:t>
      </w:r>
      <w:r w:rsidR="007F77A1" w:rsidRPr="009E773A">
        <w:rPr>
          <w:rFonts w:asciiTheme="majorHAnsi" w:hAnsiTheme="majorHAnsi"/>
          <w:sz w:val="20"/>
          <w:szCs w:val="20"/>
        </w:rPr>
        <w:t xml:space="preserve">rió </w:t>
      </w:r>
      <w:r w:rsidR="00576B27" w:rsidRPr="009E773A">
        <w:rPr>
          <w:rFonts w:asciiTheme="majorHAnsi" w:hAnsiTheme="majorHAnsi"/>
          <w:sz w:val="20"/>
          <w:szCs w:val="20"/>
        </w:rPr>
        <w:t xml:space="preserve">una comunicación con carácter urgente a la Dirección de Protección de Derechos Fundamentales donde informa que no se ha dado apertura a ninguna averiguación disciplinaria, pues no se ha podido individualizar o demostrar la participación de algún </w:t>
      </w:r>
      <w:r w:rsidR="003B4F8E" w:rsidRPr="009E773A">
        <w:rPr>
          <w:rFonts w:asciiTheme="majorHAnsi" w:hAnsiTheme="majorHAnsi"/>
          <w:sz w:val="20"/>
          <w:szCs w:val="20"/>
        </w:rPr>
        <w:t>funcionario</w:t>
      </w:r>
      <w:r w:rsidR="00576B27" w:rsidRPr="009E773A">
        <w:rPr>
          <w:rStyle w:val="Refdenotaalpie"/>
          <w:rFonts w:asciiTheme="majorHAnsi" w:hAnsiTheme="majorHAnsi"/>
          <w:sz w:val="20"/>
          <w:szCs w:val="20"/>
        </w:rPr>
        <w:footnoteReference w:id="87"/>
      </w:r>
      <w:r w:rsidR="00576B27" w:rsidRPr="009E773A">
        <w:rPr>
          <w:rFonts w:asciiTheme="majorHAnsi" w:hAnsiTheme="majorHAnsi"/>
          <w:sz w:val="20"/>
          <w:szCs w:val="20"/>
        </w:rPr>
        <w:t xml:space="preserve">.  </w:t>
      </w:r>
    </w:p>
    <w:p w14:paraId="15B7B853" w14:textId="77777777" w:rsidR="006519A4" w:rsidRPr="009E773A" w:rsidRDefault="006519A4"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ind w:left="630"/>
        <w:jc w:val="both"/>
        <w:rPr>
          <w:rFonts w:asciiTheme="majorHAnsi" w:hAnsiTheme="majorHAnsi"/>
          <w:sz w:val="20"/>
          <w:szCs w:val="20"/>
        </w:rPr>
      </w:pPr>
    </w:p>
    <w:p w14:paraId="442705F8" w14:textId="77777777" w:rsidR="00576B27" w:rsidRPr="009E773A" w:rsidRDefault="00576B27"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rPr>
      </w:pPr>
      <w:r w:rsidRPr="009E773A">
        <w:rPr>
          <w:rFonts w:asciiTheme="majorHAnsi" w:hAnsiTheme="majorHAnsi"/>
          <w:sz w:val="20"/>
          <w:szCs w:val="20"/>
        </w:rPr>
        <w:t>El 21 de abril de 2015 la Fiscalía Cuadragésima Novena con competencia plena a nivel nacional solicitó a la Fiscalía Décima Séptima una minuta informativa con las últimas actuaciones re</w:t>
      </w:r>
      <w:r w:rsidR="00B97551" w:rsidRPr="009E773A">
        <w:rPr>
          <w:rFonts w:asciiTheme="majorHAnsi" w:hAnsiTheme="majorHAnsi"/>
          <w:sz w:val="20"/>
          <w:szCs w:val="20"/>
        </w:rPr>
        <w:t>alizadas en el marco de la investigación</w:t>
      </w:r>
      <w:r w:rsidRPr="009E773A">
        <w:rPr>
          <w:rStyle w:val="Refdenotaalpie"/>
          <w:rFonts w:asciiTheme="majorHAnsi" w:hAnsiTheme="majorHAnsi"/>
          <w:sz w:val="20"/>
          <w:szCs w:val="20"/>
        </w:rPr>
        <w:footnoteReference w:id="88"/>
      </w:r>
      <w:r w:rsidRPr="009E773A">
        <w:rPr>
          <w:rFonts w:asciiTheme="majorHAnsi" w:hAnsiTheme="majorHAnsi"/>
          <w:sz w:val="20"/>
          <w:szCs w:val="20"/>
        </w:rPr>
        <w:t>.</w:t>
      </w:r>
      <w:r w:rsidR="001774DF" w:rsidRPr="009E773A">
        <w:rPr>
          <w:rFonts w:asciiTheme="majorHAnsi" w:hAnsiTheme="majorHAnsi"/>
          <w:sz w:val="20"/>
          <w:szCs w:val="20"/>
        </w:rPr>
        <w:t xml:space="preserve"> En f</w:t>
      </w:r>
      <w:r w:rsidRPr="009E773A">
        <w:rPr>
          <w:rFonts w:asciiTheme="majorHAnsi" w:hAnsiTheme="majorHAnsi"/>
          <w:sz w:val="20"/>
          <w:szCs w:val="20"/>
        </w:rPr>
        <w:t>ebrero de 2016 la Fiscalía Déci</w:t>
      </w:r>
      <w:r w:rsidR="001774DF" w:rsidRPr="009E773A">
        <w:rPr>
          <w:rFonts w:asciiTheme="majorHAnsi" w:hAnsiTheme="majorHAnsi"/>
          <w:sz w:val="20"/>
          <w:szCs w:val="20"/>
        </w:rPr>
        <w:t xml:space="preserve">ma Séptima </w:t>
      </w:r>
      <w:r w:rsidRPr="009E773A">
        <w:rPr>
          <w:rFonts w:asciiTheme="majorHAnsi" w:hAnsiTheme="majorHAnsi"/>
          <w:sz w:val="20"/>
          <w:szCs w:val="20"/>
        </w:rPr>
        <w:t>envió una comunicación</w:t>
      </w:r>
      <w:r w:rsidR="001774DF" w:rsidRPr="009E773A">
        <w:rPr>
          <w:rStyle w:val="Refdenotaalpie"/>
          <w:rFonts w:asciiTheme="majorHAnsi" w:hAnsiTheme="majorHAnsi"/>
          <w:sz w:val="20"/>
          <w:szCs w:val="20"/>
        </w:rPr>
        <w:footnoteReference w:id="89"/>
      </w:r>
      <w:r w:rsidRPr="009E773A">
        <w:rPr>
          <w:rFonts w:asciiTheme="majorHAnsi" w:hAnsiTheme="majorHAnsi"/>
          <w:sz w:val="20"/>
          <w:szCs w:val="20"/>
        </w:rPr>
        <w:t xml:space="preserve"> </w:t>
      </w:r>
      <w:r w:rsidR="001774DF" w:rsidRPr="009E773A">
        <w:rPr>
          <w:rFonts w:asciiTheme="majorHAnsi" w:hAnsiTheme="majorHAnsi"/>
          <w:sz w:val="20"/>
          <w:szCs w:val="20"/>
        </w:rPr>
        <w:t xml:space="preserve">y solicitó reunión </w:t>
      </w:r>
      <w:r w:rsidRPr="009E773A">
        <w:rPr>
          <w:rFonts w:asciiTheme="majorHAnsi" w:hAnsiTheme="majorHAnsi"/>
          <w:sz w:val="20"/>
          <w:szCs w:val="20"/>
        </w:rPr>
        <w:t>a la Coordinadora de la Unidad de Criminalística Contra la Vulneración de Derechos Fundamentales del Ministerio Público del Estado Lara</w:t>
      </w:r>
      <w:r w:rsidR="006E4186" w:rsidRPr="009E773A">
        <w:rPr>
          <w:rFonts w:asciiTheme="majorHAnsi" w:hAnsiTheme="majorHAnsi"/>
          <w:sz w:val="20"/>
          <w:szCs w:val="20"/>
        </w:rPr>
        <w:t xml:space="preserve"> (en adelante “la Unidad de Criminalística”)</w:t>
      </w:r>
      <w:r w:rsidRPr="009E773A">
        <w:rPr>
          <w:rFonts w:asciiTheme="majorHAnsi" w:hAnsiTheme="majorHAnsi"/>
          <w:sz w:val="20"/>
          <w:szCs w:val="20"/>
        </w:rPr>
        <w:t xml:space="preserve">, </w:t>
      </w:r>
      <w:r w:rsidR="006519A4" w:rsidRPr="009E773A">
        <w:rPr>
          <w:rFonts w:asciiTheme="majorHAnsi" w:hAnsiTheme="majorHAnsi"/>
          <w:sz w:val="20"/>
          <w:szCs w:val="20"/>
        </w:rPr>
        <w:t>solicitando</w:t>
      </w:r>
      <w:r w:rsidRPr="009E773A">
        <w:rPr>
          <w:rFonts w:asciiTheme="majorHAnsi" w:hAnsiTheme="majorHAnsi"/>
          <w:sz w:val="20"/>
          <w:szCs w:val="20"/>
        </w:rPr>
        <w:t xml:space="preserve"> </w:t>
      </w:r>
      <w:r w:rsidR="006519A4" w:rsidRPr="009E773A">
        <w:rPr>
          <w:rFonts w:asciiTheme="majorHAnsi" w:hAnsiTheme="majorHAnsi"/>
          <w:sz w:val="20"/>
          <w:szCs w:val="20"/>
        </w:rPr>
        <w:t xml:space="preserve">su </w:t>
      </w:r>
      <w:r w:rsidRPr="009E773A">
        <w:rPr>
          <w:rFonts w:asciiTheme="majorHAnsi" w:hAnsiTheme="majorHAnsi"/>
          <w:sz w:val="20"/>
          <w:szCs w:val="20"/>
        </w:rPr>
        <w:t xml:space="preserve">apoyo para practicar varias pruebas en la causa </w:t>
      </w:r>
      <w:r w:rsidR="000672F7" w:rsidRPr="009E773A">
        <w:rPr>
          <w:rFonts w:asciiTheme="majorHAnsi" w:hAnsiTheme="majorHAnsi"/>
          <w:sz w:val="20"/>
          <w:szCs w:val="20"/>
        </w:rPr>
        <w:t>en cuestión</w:t>
      </w:r>
      <w:r w:rsidRPr="009E773A">
        <w:rPr>
          <w:rFonts w:asciiTheme="majorHAnsi" w:hAnsiTheme="majorHAnsi"/>
          <w:sz w:val="20"/>
          <w:szCs w:val="20"/>
        </w:rPr>
        <w:t>.</w:t>
      </w:r>
    </w:p>
    <w:p w14:paraId="281CCF51" w14:textId="77777777" w:rsidR="002461A8" w:rsidRPr="009E773A" w:rsidRDefault="002461A8"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rPr>
      </w:pPr>
    </w:p>
    <w:p w14:paraId="744A1031" w14:textId="796A4FB0" w:rsidR="00576B27" w:rsidRPr="009E773A" w:rsidRDefault="009C605D"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rPr>
      </w:pPr>
      <w:r w:rsidRPr="009E773A">
        <w:rPr>
          <w:rFonts w:asciiTheme="majorHAnsi" w:hAnsiTheme="majorHAnsi"/>
          <w:sz w:val="20"/>
          <w:szCs w:val="20"/>
        </w:rPr>
        <w:t>La Comisión observa que en los primeros meses del año 2016 la Fiscalía Décima Séptima env</w:t>
      </w:r>
      <w:r w:rsidR="00641B5E" w:rsidRPr="009E773A">
        <w:rPr>
          <w:rFonts w:asciiTheme="majorHAnsi" w:hAnsiTheme="majorHAnsi"/>
          <w:sz w:val="20"/>
          <w:szCs w:val="20"/>
        </w:rPr>
        <w:t>ió</w:t>
      </w:r>
      <w:r w:rsidRPr="009E773A">
        <w:rPr>
          <w:rFonts w:asciiTheme="majorHAnsi" w:hAnsiTheme="majorHAnsi"/>
          <w:sz w:val="20"/>
          <w:szCs w:val="20"/>
        </w:rPr>
        <w:t xml:space="preserve"> varias comunicaciones a entidades</w:t>
      </w:r>
      <w:r w:rsidR="00576723" w:rsidRPr="009E773A">
        <w:rPr>
          <w:rFonts w:asciiTheme="majorHAnsi" w:hAnsiTheme="majorHAnsi"/>
          <w:sz w:val="20"/>
          <w:szCs w:val="20"/>
        </w:rPr>
        <w:t xml:space="preserve">. </w:t>
      </w:r>
      <w:r w:rsidR="00E66781" w:rsidRPr="009E773A">
        <w:rPr>
          <w:rFonts w:asciiTheme="majorHAnsi" w:hAnsiTheme="majorHAnsi"/>
          <w:sz w:val="20"/>
          <w:szCs w:val="20"/>
        </w:rPr>
        <w:t xml:space="preserve">Así, </w:t>
      </w:r>
      <w:r w:rsidR="00C85803">
        <w:rPr>
          <w:rFonts w:asciiTheme="majorHAnsi" w:hAnsiTheme="majorHAnsi"/>
          <w:sz w:val="20"/>
          <w:szCs w:val="20"/>
        </w:rPr>
        <w:t xml:space="preserve">reiteró </w:t>
      </w:r>
      <w:r w:rsidR="00E66781" w:rsidRPr="009E773A">
        <w:rPr>
          <w:rFonts w:asciiTheme="majorHAnsi" w:hAnsiTheme="majorHAnsi"/>
          <w:sz w:val="20"/>
          <w:szCs w:val="20"/>
        </w:rPr>
        <w:t xml:space="preserve">a la Unidad Criminalística </w:t>
      </w:r>
      <w:r w:rsidR="00C85803">
        <w:rPr>
          <w:rFonts w:asciiTheme="majorHAnsi" w:hAnsiTheme="majorHAnsi"/>
          <w:sz w:val="20"/>
          <w:szCs w:val="20"/>
        </w:rPr>
        <w:t xml:space="preserve">su solicitud de </w:t>
      </w:r>
      <w:r w:rsidR="00E66781" w:rsidRPr="009E773A">
        <w:rPr>
          <w:rFonts w:asciiTheme="majorHAnsi" w:hAnsiTheme="majorHAnsi"/>
          <w:sz w:val="20"/>
          <w:szCs w:val="20"/>
        </w:rPr>
        <w:t>conformación de una comisión para realizar varias diligencias</w:t>
      </w:r>
      <w:r w:rsidR="00E66781" w:rsidRPr="009E773A">
        <w:rPr>
          <w:rStyle w:val="Refdenotaalpie"/>
          <w:rFonts w:asciiTheme="majorHAnsi" w:hAnsiTheme="majorHAnsi"/>
          <w:sz w:val="20"/>
          <w:szCs w:val="20"/>
        </w:rPr>
        <w:footnoteReference w:id="90"/>
      </w:r>
      <w:r w:rsidR="00E66781" w:rsidRPr="009E773A">
        <w:rPr>
          <w:rFonts w:asciiTheme="majorHAnsi" w:hAnsiTheme="majorHAnsi"/>
          <w:sz w:val="20"/>
          <w:szCs w:val="20"/>
        </w:rPr>
        <w:t xml:space="preserve">; pidió al Director de la Policía del Estado de Falcón </w:t>
      </w:r>
      <w:r w:rsidR="009113E4" w:rsidRPr="009E773A">
        <w:rPr>
          <w:rFonts w:asciiTheme="majorHAnsi" w:hAnsiTheme="majorHAnsi"/>
          <w:sz w:val="20"/>
          <w:szCs w:val="20"/>
        </w:rPr>
        <w:t>el registro de</w:t>
      </w:r>
      <w:r w:rsidR="00E66781" w:rsidRPr="009E773A">
        <w:rPr>
          <w:rFonts w:asciiTheme="majorHAnsi" w:hAnsiTheme="majorHAnsi"/>
          <w:sz w:val="20"/>
          <w:szCs w:val="20"/>
        </w:rPr>
        <w:t xml:space="preserve"> armas asignadas </w:t>
      </w:r>
      <w:r w:rsidR="009113E4" w:rsidRPr="009E773A">
        <w:rPr>
          <w:rFonts w:asciiTheme="majorHAnsi" w:hAnsiTheme="majorHAnsi"/>
          <w:sz w:val="20"/>
          <w:szCs w:val="20"/>
        </w:rPr>
        <w:t>a</w:t>
      </w:r>
      <w:r w:rsidR="00E66781" w:rsidRPr="009E773A">
        <w:rPr>
          <w:rFonts w:asciiTheme="majorHAnsi" w:hAnsiTheme="majorHAnsi"/>
          <w:sz w:val="20"/>
          <w:szCs w:val="20"/>
        </w:rPr>
        <w:t xml:space="preserve"> Miguel Caldera, Felipe Rojas y Sargento Segundo Curia</w:t>
      </w:r>
      <w:r w:rsidR="009113E4" w:rsidRPr="009E773A">
        <w:rPr>
          <w:rFonts w:asciiTheme="majorHAnsi" w:hAnsiTheme="majorHAnsi"/>
          <w:sz w:val="20"/>
          <w:szCs w:val="20"/>
        </w:rPr>
        <w:t xml:space="preserve"> el 2003</w:t>
      </w:r>
      <w:r w:rsidR="00E66781" w:rsidRPr="009E773A">
        <w:rPr>
          <w:rFonts w:asciiTheme="majorHAnsi" w:hAnsiTheme="majorHAnsi"/>
          <w:sz w:val="20"/>
          <w:szCs w:val="20"/>
        </w:rPr>
        <w:t>, el envío de copias certificadas de la designación del Arma o Parques de Armas de los días de los hechos</w:t>
      </w:r>
      <w:r w:rsidR="00E66781" w:rsidRPr="009E773A">
        <w:rPr>
          <w:rStyle w:val="Refdenotaalpie"/>
          <w:rFonts w:asciiTheme="majorHAnsi" w:hAnsiTheme="majorHAnsi"/>
          <w:sz w:val="20"/>
          <w:szCs w:val="20"/>
        </w:rPr>
        <w:footnoteReference w:id="91"/>
      </w:r>
      <w:r w:rsidR="00E66781" w:rsidRPr="009E773A">
        <w:rPr>
          <w:rFonts w:asciiTheme="majorHAnsi" w:hAnsiTheme="majorHAnsi"/>
          <w:sz w:val="20"/>
          <w:szCs w:val="20"/>
        </w:rPr>
        <w:t xml:space="preserve">; y </w:t>
      </w:r>
      <w:r w:rsidR="00576B27" w:rsidRPr="009E773A">
        <w:rPr>
          <w:rFonts w:asciiTheme="majorHAnsi" w:hAnsiTheme="majorHAnsi"/>
          <w:sz w:val="20"/>
          <w:szCs w:val="20"/>
        </w:rPr>
        <w:t xml:space="preserve"> el listado de las armas</w:t>
      </w:r>
      <w:r w:rsidR="00E66781" w:rsidRPr="009E773A">
        <w:rPr>
          <w:rFonts w:asciiTheme="majorHAnsi" w:hAnsiTheme="majorHAnsi"/>
          <w:sz w:val="20"/>
          <w:szCs w:val="20"/>
        </w:rPr>
        <w:t xml:space="preserve"> de 9</w:t>
      </w:r>
      <w:r w:rsidR="00576B27" w:rsidRPr="009E773A">
        <w:rPr>
          <w:rFonts w:asciiTheme="majorHAnsi" w:hAnsiTheme="majorHAnsi"/>
          <w:sz w:val="20"/>
          <w:szCs w:val="20"/>
        </w:rPr>
        <w:t xml:space="preserve"> mm y .40 con las que contaba ese cuerpo policial y a quienes estaban asignadas</w:t>
      </w:r>
      <w:r w:rsidR="00576B27" w:rsidRPr="009E773A">
        <w:rPr>
          <w:rStyle w:val="Refdenotaalpie"/>
          <w:rFonts w:asciiTheme="majorHAnsi" w:hAnsiTheme="majorHAnsi"/>
          <w:sz w:val="20"/>
          <w:szCs w:val="20"/>
        </w:rPr>
        <w:footnoteReference w:id="92"/>
      </w:r>
      <w:r w:rsidR="00576B27" w:rsidRPr="009E773A">
        <w:rPr>
          <w:rFonts w:asciiTheme="majorHAnsi" w:hAnsiTheme="majorHAnsi"/>
          <w:sz w:val="20"/>
          <w:szCs w:val="20"/>
        </w:rPr>
        <w:t xml:space="preserve">. </w:t>
      </w:r>
      <w:r w:rsidR="00196BDC" w:rsidRPr="009E773A">
        <w:rPr>
          <w:rFonts w:asciiTheme="majorHAnsi" w:hAnsiTheme="majorHAnsi"/>
          <w:sz w:val="20"/>
          <w:szCs w:val="20"/>
        </w:rPr>
        <w:t>T</w:t>
      </w:r>
      <w:r w:rsidR="00E66781" w:rsidRPr="009E773A">
        <w:rPr>
          <w:rFonts w:asciiTheme="majorHAnsi" w:hAnsiTheme="majorHAnsi"/>
          <w:sz w:val="20"/>
          <w:szCs w:val="20"/>
        </w:rPr>
        <w:t>ambién se comunicó con el J</w:t>
      </w:r>
      <w:r w:rsidR="00576B27" w:rsidRPr="009E773A">
        <w:rPr>
          <w:rFonts w:asciiTheme="majorHAnsi" w:hAnsiTheme="majorHAnsi"/>
          <w:sz w:val="20"/>
          <w:szCs w:val="20"/>
        </w:rPr>
        <w:t xml:space="preserve">efe </w:t>
      </w:r>
      <w:r w:rsidR="00E66781" w:rsidRPr="009E773A">
        <w:rPr>
          <w:rFonts w:asciiTheme="majorHAnsi" w:hAnsiTheme="majorHAnsi"/>
          <w:sz w:val="20"/>
          <w:szCs w:val="20"/>
        </w:rPr>
        <w:t>de la B</w:t>
      </w:r>
      <w:r w:rsidR="00576B27" w:rsidRPr="009E773A">
        <w:rPr>
          <w:rFonts w:asciiTheme="majorHAnsi" w:hAnsiTheme="majorHAnsi"/>
          <w:sz w:val="20"/>
          <w:szCs w:val="20"/>
        </w:rPr>
        <w:t xml:space="preserve">rigada de </w:t>
      </w:r>
      <w:r w:rsidR="00E66781" w:rsidRPr="009E773A">
        <w:rPr>
          <w:rFonts w:asciiTheme="majorHAnsi" w:hAnsiTheme="majorHAnsi"/>
          <w:sz w:val="20"/>
          <w:szCs w:val="20"/>
        </w:rPr>
        <w:t>H</w:t>
      </w:r>
      <w:r w:rsidR="00576B27" w:rsidRPr="009E773A">
        <w:rPr>
          <w:rFonts w:asciiTheme="majorHAnsi" w:hAnsiTheme="majorHAnsi"/>
          <w:sz w:val="20"/>
          <w:szCs w:val="20"/>
        </w:rPr>
        <w:t xml:space="preserve">omicidio del </w:t>
      </w:r>
      <w:r w:rsidR="00E66781" w:rsidRPr="009E773A">
        <w:rPr>
          <w:rFonts w:asciiTheme="majorHAnsi" w:hAnsiTheme="majorHAnsi"/>
          <w:sz w:val="20"/>
          <w:szCs w:val="20"/>
        </w:rPr>
        <w:t>CICPC</w:t>
      </w:r>
      <w:r w:rsidR="00576B27" w:rsidRPr="009E773A">
        <w:rPr>
          <w:rFonts w:asciiTheme="majorHAnsi" w:hAnsiTheme="majorHAnsi"/>
          <w:sz w:val="20"/>
          <w:szCs w:val="20"/>
        </w:rPr>
        <w:t xml:space="preserve"> del Estado Falcón solicitando remitir todas las actuaciones originales practicadas y las copias certificadas del acta de desincorporación, destrucción o remisión de las mismas</w:t>
      </w:r>
      <w:r w:rsidR="00482C05" w:rsidRPr="009E773A">
        <w:rPr>
          <w:rStyle w:val="Refdenotaalpie"/>
          <w:rFonts w:asciiTheme="majorHAnsi" w:hAnsiTheme="majorHAnsi"/>
          <w:sz w:val="20"/>
          <w:szCs w:val="20"/>
        </w:rPr>
        <w:footnoteReference w:id="93"/>
      </w:r>
      <w:r w:rsidR="00576B27" w:rsidRPr="009E773A">
        <w:rPr>
          <w:rFonts w:asciiTheme="majorHAnsi" w:hAnsiTheme="majorHAnsi"/>
          <w:sz w:val="20"/>
          <w:szCs w:val="20"/>
        </w:rPr>
        <w:t>.</w:t>
      </w:r>
    </w:p>
    <w:p w14:paraId="585C29BA" w14:textId="77777777" w:rsidR="002461A8" w:rsidRPr="009E773A" w:rsidRDefault="002461A8"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ind w:left="630"/>
        <w:jc w:val="both"/>
        <w:rPr>
          <w:rFonts w:asciiTheme="majorHAnsi" w:hAnsiTheme="majorHAnsi"/>
          <w:sz w:val="20"/>
          <w:szCs w:val="20"/>
        </w:rPr>
      </w:pPr>
    </w:p>
    <w:p w14:paraId="62B99D35" w14:textId="77777777" w:rsidR="00576B27" w:rsidRPr="009E773A" w:rsidRDefault="00576723"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rPr>
      </w:pPr>
      <w:r w:rsidRPr="009E773A">
        <w:rPr>
          <w:rFonts w:asciiTheme="majorHAnsi" w:hAnsiTheme="majorHAnsi"/>
          <w:sz w:val="20"/>
          <w:szCs w:val="20"/>
        </w:rPr>
        <w:t xml:space="preserve">El 14 de marzo de 2016 </w:t>
      </w:r>
      <w:r w:rsidR="00E4298A" w:rsidRPr="009E773A">
        <w:rPr>
          <w:rFonts w:asciiTheme="majorHAnsi" w:hAnsiTheme="majorHAnsi"/>
          <w:sz w:val="20"/>
          <w:szCs w:val="20"/>
        </w:rPr>
        <w:t>la</w:t>
      </w:r>
      <w:r w:rsidR="00576B27" w:rsidRPr="009E773A">
        <w:rPr>
          <w:rFonts w:asciiTheme="majorHAnsi" w:hAnsiTheme="majorHAnsi"/>
          <w:sz w:val="20"/>
          <w:szCs w:val="20"/>
        </w:rPr>
        <w:t xml:space="preserve"> Unidad Criminalística de</w:t>
      </w:r>
      <w:r w:rsidR="006E4186" w:rsidRPr="009E773A">
        <w:rPr>
          <w:rFonts w:asciiTheme="majorHAnsi" w:hAnsiTheme="majorHAnsi"/>
          <w:sz w:val="20"/>
          <w:szCs w:val="20"/>
        </w:rPr>
        <w:t xml:space="preserve">scartó la práctica de </w:t>
      </w:r>
      <w:r w:rsidR="003E2420" w:rsidRPr="009E773A">
        <w:rPr>
          <w:rFonts w:asciiTheme="majorHAnsi" w:hAnsiTheme="majorHAnsi"/>
          <w:sz w:val="20"/>
          <w:szCs w:val="20"/>
        </w:rPr>
        <w:t>algunas</w:t>
      </w:r>
      <w:r w:rsidR="006E4186" w:rsidRPr="009E773A">
        <w:rPr>
          <w:rFonts w:asciiTheme="majorHAnsi" w:hAnsiTheme="majorHAnsi"/>
          <w:sz w:val="20"/>
          <w:szCs w:val="20"/>
        </w:rPr>
        <w:t xml:space="preserve"> diligencias, dado que varios de los testigos presenciales </w:t>
      </w:r>
      <w:r w:rsidR="009113E4" w:rsidRPr="009E773A">
        <w:rPr>
          <w:rFonts w:asciiTheme="majorHAnsi" w:hAnsiTheme="majorHAnsi"/>
          <w:sz w:val="20"/>
          <w:szCs w:val="20"/>
        </w:rPr>
        <w:t xml:space="preserve">murieron o no fueron ubicados, y </w:t>
      </w:r>
      <w:r w:rsidR="000672F7" w:rsidRPr="009E773A">
        <w:rPr>
          <w:rFonts w:asciiTheme="majorHAnsi" w:hAnsiTheme="majorHAnsi"/>
          <w:sz w:val="20"/>
          <w:szCs w:val="20"/>
        </w:rPr>
        <w:t>por la imposibilidad de realizar</w:t>
      </w:r>
      <w:r w:rsidR="00576B27" w:rsidRPr="009E773A">
        <w:rPr>
          <w:rFonts w:asciiTheme="majorHAnsi" w:hAnsiTheme="majorHAnsi"/>
          <w:sz w:val="20"/>
          <w:szCs w:val="20"/>
        </w:rPr>
        <w:t xml:space="preserve"> </w:t>
      </w:r>
      <w:r w:rsidR="000672F7" w:rsidRPr="009E773A">
        <w:rPr>
          <w:rFonts w:asciiTheme="majorHAnsi" w:hAnsiTheme="majorHAnsi"/>
          <w:sz w:val="20"/>
          <w:szCs w:val="20"/>
        </w:rPr>
        <w:t xml:space="preserve">el </w:t>
      </w:r>
      <w:r w:rsidR="00576B27" w:rsidRPr="009E773A">
        <w:rPr>
          <w:rFonts w:asciiTheme="majorHAnsi" w:hAnsiTheme="majorHAnsi"/>
          <w:sz w:val="20"/>
          <w:szCs w:val="20"/>
        </w:rPr>
        <w:t>levantamiento planimétrico</w:t>
      </w:r>
      <w:r w:rsidR="000672F7" w:rsidRPr="009E773A">
        <w:rPr>
          <w:rFonts w:asciiTheme="majorHAnsi" w:hAnsiTheme="majorHAnsi"/>
          <w:sz w:val="20"/>
          <w:szCs w:val="20"/>
        </w:rPr>
        <w:t xml:space="preserve"> por la urbanización del lugar</w:t>
      </w:r>
      <w:r w:rsidR="00576B27" w:rsidRPr="009E773A">
        <w:rPr>
          <w:rFonts w:asciiTheme="majorHAnsi" w:hAnsiTheme="majorHAnsi"/>
          <w:sz w:val="20"/>
          <w:szCs w:val="20"/>
        </w:rPr>
        <w:t xml:space="preserve">. Asimismo, encontró que las evidencias balísticas </w:t>
      </w:r>
      <w:r w:rsidR="009113E4" w:rsidRPr="009E773A">
        <w:rPr>
          <w:rFonts w:asciiTheme="majorHAnsi" w:hAnsiTheme="majorHAnsi"/>
          <w:sz w:val="20"/>
          <w:szCs w:val="20"/>
        </w:rPr>
        <w:t>eran</w:t>
      </w:r>
      <w:r w:rsidR="00576B27" w:rsidRPr="009E773A">
        <w:rPr>
          <w:rFonts w:asciiTheme="majorHAnsi" w:hAnsiTheme="majorHAnsi"/>
          <w:sz w:val="20"/>
          <w:szCs w:val="20"/>
        </w:rPr>
        <w:t xml:space="preserve"> imprecisas porque no refleja</w:t>
      </w:r>
      <w:r w:rsidR="009113E4" w:rsidRPr="009E773A">
        <w:rPr>
          <w:rFonts w:asciiTheme="majorHAnsi" w:hAnsiTheme="majorHAnsi"/>
          <w:sz w:val="20"/>
          <w:szCs w:val="20"/>
        </w:rPr>
        <w:t>ba</w:t>
      </w:r>
      <w:r w:rsidR="00576B27" w:rsidRPr="009E773A">
        <w:rPr>
          <w:rFonts w:asciiTheme="majorHAnsi" w:hAnsiTheme="majorHAnsi"/>
          <w:sz w:val="20"/>
          <w:szCs w:val="20"/>
        </w:rPr>
        <w:t>n si fueron peritadas</w:t>
      </w:r>
      <w:r w:rsidR="00576B27" w:rsidRPr="009E773A">
        <w:rPr>
          <w:rStyle w:val="Refdenotaalpie"/>
          <w:rFonts w:asciiTheme="majorHAnsi" w:hAnsiTheme="majorHAnsi"/>
          <w:sz w:val="20"/>
          <w:szCs w:val="20"/>
        </w:rPr>
        <w:footnoteReference w:id="94"/>
      </w:r>
      <w:r w:rsidR="003E2420" w:rsidRPr="009E773A">
        <w:rPr>
          <w:rFonts w:asciiTheme="majorHAnsi" w:hAnsiTheme="majorHAnsi"/>
          <w:sz w:val="20"/>
          <w:szCs w:val="20"/>
        </w:rPr>
        <w:t xml:space="preserve"> </w:t>
      </w:r>
      <w:r w:rsidR="000672F7" w:rsidRPr="009E773A">
        <w:rPr>
          <w:rFonts w:asciiTheme="majorHAnsi" w:hAnsiTheme="majorHAnsi"/>
          <w:sz w:val="20"/>
          <w:szCs w:val="20"/>
        </w:rPr>
        <w:t xml:space="preserve">y, conoció luego, </w:t>
      </w:r>
      <w:r w:rsidR="003E2420" w:rsidRPr="009E773A">
        <w:rPr>
          <w:rFonts w:asciiTheme="majorHAnsi" w:hAnsiTheme="majorHAnsi"/>
          <w:sz w:val="20"/>
          <w:szCs w:val="20"/>
        </w:rPr>
        <w:t xml:space="preserve">que </w:t>
      </w:r>
      <w:r w:rsidR="006519A4" w:rsidRPr="009E773A">
        <w:rPr>
          <w:rFonts w:asciiTheme="majorHAnsi" w:hAnsiTheme="majorHAnsi"/>
          <w:sz w:val="20"/>
          <w:szCs w:val="20"/>
        </w:rPr>
        <w:t>de hecho las balas y fragmentos de bala</w:t>
      </w:r>
      <w:r w:rsidR="003E2420" w:rsidRPr="009E773A">
        <w:rPr>
          <w:rFonts w:asciiTheme="majorHAnsi" w:hAnsiTheme="majorHAnsi"/>
          <w:sz w:val="20"/>
          <w:szCs w:val="20"/>
        </w:rPr>
        <w:t xml:space="preserve"> estaba</w:t>
      </w:r>
      <w:r w:rsidR="006519A4" w:rsidRPr="009E773A">
        <w:rPr>
          <w:rFonts w:asciiTheme="majorHAnsi" w:hAnsiTheme="majorHAnsi"/>
          <w:sz w:val="20"/>
          <w:szCs w:val="20"/>
        </w:rPr>
        <w:t>n perdidos</w:t>
      </w:r>
      <w:r w:rsidR="003E2420" w:rsidRPr="009E773A">
        <w:rPr>
          <w:rFonts w:asciiTheme="majorHAnsi" w:hAnsiTheme="majorHAnsi"/>
          <w:sz w:val="20"/>
          <w:szCs w:val="20"/>
        </w:rPr>
        <w:t xml:space="preserve"> y no se conocía su lugar de custodia</w:t>
      </w:r>
      <w:r w:rsidR="002461A8" w:rsidRPr="009E773A">
        <w:rPr>
          <w:rStyle w:val="Refdenotaalpie"/>
          <w:rFonts w:asciiTheme="majorHAnsi" w:hAnsiTheme="majorHAnsi"/>
          <w:sz w:val="20"/>
          <w:szCs w:val="20"/>
        </w:rPr>
        <w:footnoteReference w:id="95"/>
      </w:r>
      <w:r w:rsidR="00576B27" w:rsidRPr="009E773A">
        <w:rPr>
          <w:rFonts w:asciiTheme="majorHAnsi" w:hAnsiTheme="majorHAnsi"/>
          <w:sz w:val="20"/>
          <w:szCs w:val="20"/>
        </w:rPr>
        <w:t xml:space="preserve">. </w:t>
      </w:r>
      <w:r w:rsidR="006E4186" w:rsidRPr="009E773A">
        <w:rPr>
          <w:rFonts w:asciiTheme="majorHAnsi" w:hAnsiTheme="majorHAnsi"/>
          <w:sz w:val="20"/>
          <w:szCs w:val="20"/>
        </w:rPr>
        <w:t>Ese mismo día, el</w:t>
      </w:r>
      <w:r w:rsidR="009C605D" w:rsidRPr="009E773A">
        <w:rPr>
          <w:rFonts w:asciiTheme="majorHAnsi" w:hAnsiTheme="majorHAnsi"/>
          <w:sz w:val="20"/>
          <w:szCs w:val="20"/>
        </w:rPr>
        <w:t xml:space="preserve"> </w:t>
      </w:r>
      <w:r w:rsidR="009113E4" w:rsidRPr="009E773A">
        <w:rPr>
          <w:rFonts w:asciiTheme="majorHAnsi" w:hAnsiTheme="majorHAnsi"/>
          <w:sz w:val="20"/>
          <w:szCs w:val="20"/>
        </w:rPr>
        <w:t>F</w:t>
      </w:r>
      <w:r w:rsidR="009C605D" w:rsidRPr="009E773A">
        <w:rPr>
          <w:rFonts w:asciiTheme="majorHAnsi" w:hAnsiTheme="majorHAnsi"/>
          <w:sz w:val="20"/>
          <w:szCs w:val="20"/>
        </w:rPr>
        <w:t>iscal de l</w:t>
      </w:r>
      <w:r w:rsidR="00576B27" w:rsidRPr="009E773A">
        <w:rPr>
          <w:rFonts w:asciiTheme="majorHAnsi" w:hAnsiTheme="majorHAnsi"/>
          <w:sz w:val="20"/>
          <w:szCs w:val="20"/>
        </w:rPr>
        <w:t xml:space="preserve">a causa y </w:t>
      </w:r>
      <w:r w:rsidR="00E4298A" w:rsidRPr="009E773A">
        <w:rPr>
          <w:rFonts w:asciiTheme="majorHAnsi" w:hAnsiTheme="majorHAnsi"/>
          <w:sz w:val="20"/>
          <w:szCs w:val="20"/>
        </w:rPr>
        <w:t xml:space="preserve">la </w:t>
      </w:r>
      <w:r w:rsidR="00576B27" w:rsidRPr="009E773A">
        <w:rPr>
          <w:rFonts w:asciiTheme="majorHAnsi" w:hAnsiTheme="majorHAnsi"/>
          <w:sz w:val="20"/>
          <w:szCs w:val="20"/>
        </w:rPr>
        <w:t xml:space="preserve">Unidad de Criminalística </w:t>
      </w:r>
      <w:r w:rsidR="00E4298A" w:rsidRPr="009E773A">
        <w:rPr>
          <w:rFonts w:asciiTheme="majorHAnsi" w:hAnsiTheme="majorHAnsi"/>
          <w:sz w:val="20"/>
          <w:szCs w:val="20"/>
        </w:rPr>
        <w:t xml:space="preserve">acordaron </w:t>
      </w:r>
      <w:r w:rsidR="00576B27" w:rsidRPr="009E773A">
        <w:rPr>
          <w:rFonts w:asciiTheme="majorHAnsi" w:hAnsiTheme="majorHAnsi"/>
          <w:sz w:val="20"/>
          <w:szCs w:val="20"/>
        </w:rPr>
        <w:t xml:space="preserve">la práctica de </w:t>
      </w:r>
      <w:r w:rsidR="00E4298A" w:rsidRPr="009E773A">
        <w:rPr>
          <w:rFonts w:asciiTheme="majorHAnsi" w:hAnsiTheme="majorHAnsi"/>
          <w:sz w:val="20"/>
          <w:szCs w:val="20"/>
        </w:rPr>
        <w:t xml:space="preserve">las siguientes </w:t>
      </w:r>
      <w:r w:rsidR="00576B27" w:rsidRPr="009E773A">
        <w:rPr>
          <w:rFonts w:asciiTheme="majorHAnsi" w:hAnsiTheme="majorHAnsi"/>
          <w:sz w:val="20"/>
          <w:szCs w:val="20"/>
        </w:rPr>
        <w:t>diligencias</w:t>
      </w:r>
      <w:r w:rsidR="00E4298A" w:rsidRPr="009E773A">
        <w:rPr>
          <w:rFonts w:asciiTheme="majorHAnsi" w:hAnsiTheme="majorHAnsi"/>
          <w:sz w:val="20"/>
          <w:szCs w:val="20"/>
        </w:rPr>
        <w:t xml:space="preserve">: </w:t>
      </w:r>
      <w:r w:rsidR="00576B27" w:rsidRPr="009E773A">
        <w:rPr>
          <w:rFonts w:asciiTheme="majorHAnsi" w:hAnsiTheme="majorHAnsi"/>
          <w:sz w:val="20"/>
          <w:szCs w:val="20"/>
        </w:rPr>
        <w:t>solicitar información referente al registro sobre un arma de fuego marca Gabilondo calibre 32; designación de armas de los funcionarios Felipe Rojas, Curia y Caldera, a fin de ser comparadas con los proyectiles colectados</w:t>
      </w:r>
      <w:r w:rsidR="00576B27" w:rsidRPr="009E773A">
        <w:rPr>
          <w:rStyle w:val="Refdenotaalpie"/>
          <w:rFonts w:asciiTheme="majorHAnsi" w:hAnsiTheme="majorHAnsi"/>
          <w:sz w:val="20"/>
          <w:szCs w:val="20"/>
        </w:rPr>
        <w:footnoteReference w:id="96"/>
      </w:r>
      <w:r w:rsidR="002461A8" w:rsidRPr="009E773A">
        <w:rPr>
          <w:rFonts w:asciiTheme="majorHAnsi" w:hAnsiTheme="majorHAnsi"/>
          <w:sz w:val="20"/>
          <w:szCs w:val="20"/>
        </w:rPr>
        <w:t>.</w:t>
      </w:r>
    </w:p>
    <w:p w14:paraId="3C75D411" w14:textId="6C7810D6" w:rsidR="00E4496E" w:rsidRPr="009E773A" w:rsidRDefault="00576B27"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rPr>
      </w:pPr>
      <w:r w:rsidRPr="009E773A">
        <w:rPr>
          <w:rFonts w:asciiTheme="majorHAnsi" w:hAnsiTheme="majorHAnsi"/>
          <w:sz w:val="20"/>
          <w:szCs w:val="20"/>
        </w:rPr>
        <w:t>El 28 de marzo de 2016 la Fiscalía Décima Séptima dirigió un oficio al Director General de Armas y Explosivos preguntando si existe registro en dicho organismo del arma de fuego marca Gabilondo y Cia Vitoria, calibre 32mm, Serial 958084</w:t>
      </w:r>
      <w:r w:rsidRPr="009E773A">
        <w:rPr>
          <w:rStyle w:val="Refdenotaalpie"/>
          <w:rFonts w:asciiTheme="majorHAnsi" w:hAnsiTheme="majorHAnsi"/>
          <w:sz w:val="20"/>
          <w:szCs w:val="20"/>
        </w:rPr>
        <w:footnoteReference w:id="97"/>
      </w:r>
      <w:r w:rsidRPr="009E773A">
        <w:rPr>
          <w:rFonts w:asciiTheme="majorHAnsi" w:hAnsiTheme="majorHAnsi"/>
          <w:sz w:val="20"/>
          <w:szCs w:val="20"/>
        </w:rPr>
        <w:t xml:space="preserve">. </w:t>
      </w:r>
      <w:r w:rsidR="00E4496E" w:rsidRPr="009E773A">
        <w:rPr>
          <w:rFonts w:asciiTheme="majorHAnsi" w:hAnsiTheme="majorHAnsi"/>
          <w:sz w:val="20"/>
          <w:szCs w:val="20"/>
        </w:rPr>
        <w:t>El 30 de marzo de 2016 la Policía del Estado Falcón env</w:t>
      </w:r>
      <w:r w:rsidR="00D65D4A" w:rsidRPr="009E773A">
        <w:rPr>
          <w:rFonts w:asciiTheme="majorHAnsi" w:hAnsiTheme="majorHAnsi"/>
          <w:sz w:val="20"/>
          <w:szCs w:val="20"/>
        </w:rPr>
        <w:t>ió</w:t>
      </w:r>
      <w:r w:rsidR="00E4496E" w:rsidRPr="009E773A">
        <w:rPr>
          <w:rFonts w:asciiTheme="majorHAnsi" w:hAnsiTheme="majorHAnsi"/>
          <w:sz w:val="20"/>
          <w:szCs w:val="20"/>
        </w:rPr>
        <w:t xml:space="preserve"> un oficio a la Fiscalía Décima Séptima informando que para la fecha de los hechos el ciudadano Felipe Rojas Quero ostentaba el rango de sub-comisario y estaba adscrito a la Zona Policial N°2, con sede en Punto Fijo</w:t>
      </w:r>
      <w:r w:rsidR="00E4496E" w:rsidRPr="009E773A">
        <w:rPr>
          <w:rStyle w:val="Refdenotaalpie"/>
          <w:rFonts w:asciiTheme="majorHAnsi" w:hAnsiTheme="majorHAnsi"/>
          <w:sz w:val="20"/>
          <w:szCs w:val="20"/>
        </w:rPr>
        <w:footnoteReference w:id="98"/>
      </w:r>
      <w:r w:rsidR="00E30597" w:rsidRPr="009E773A">
        <w:rPr>
          <w:rFonts w:asciiTheme="majorHAnsi" w:hAnsiTheme="majorHAnsi"/>
          <w:sz w:val="20"/>
          <w:szCs w:val="20"/>
        </w:rPr>
        <w:t>.</w:t>
      </w:r>
    </w:p>
    <w:p w14:paraId="0F555869" w14:textId="77777777" w:rsidR="00E4496E" w:rsidRPr="009E773A" w:rsidRDefault="00E4496E" w:rsidP="009A79B6">
      <w:pPr>
        <w:pStyle w:val="Prrafodelista"/>
        <w:ind w:left="634"/>
        <w:contextualSpacing/>
        <w:jc w:val="both"/>
        <w:rPr>
          <w:rFonts w:asciiTheme="majorHAnsi" w:hAnsiTheme="majorHAnsi"/>
          <w:sz w:val="20"/>
          <w:szCs w:val="20"/>
          <w:lang w:val="es-CO"/>
        </w:rPr>
      </w:pPr>
    </w:p>
    <w:p w14:paraId="582D6B84" w14:textId="07349154" w:rsidR="00E4496E" w:rsidRPr="009E773A" w:rsidRDefault="00E4496E"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rPr>
      </w:pPr>
      <w:r w:rsidRPr="009E773A">
        <w:rPr>
          <w:rFonts w:asciiTheme="majorHAnsi" w:hAnsiTheme="majorHAnsi"/>
          <w:sz w:val="20"/>
          <w:szCs w:val="20"/>
        </w:rPr>
        <w:t>El 1 de abril de 2016</w:t>
      </w:r>
      <w:r w:rsidR="00E30597" w:rsidRPr="009E773A">
        <w:rPr>
          <w:rFonts w:asciiTheme="majorHAnsi" w:hAnsiTheme="majorHAnsi"/>
          <w:sz w:val="20"/>
          <w:szCs w:val="20"/>
        </w:rPr>
        <w:t xml:space="preserve"> </w:t>
      </w:r>
      <w:r w:rsidR="00E06DEC" w:rsidRPr="009E773A">
        <w:rPr>
          <w:rFonts w:asciiTheme="majorHAnsi" w:hAnsiTheme="majorHAnsi"/>
          <w:sz w:val="20"/>
          <w:szCs w:val="20"/>
        </w:rPr>
        <w:t xml:space="preserve">la Fiscalía Décima Séptima dictó orden de aprehensión contra el </w:t>
      </w:r>
      <w:r w:rsidR="00726AFE" w:rsidRPr="009E773A">
        <w:rPr>
          <w:rFonts w:asciiTheme="majorHAnsi" w:hAnsiTheme="majorHAnsi"/>
          <w:sz w:val="20"/>
          <w:szCs w:val="20"/>
        </w:rPr>
        <w:t>policía</w:t>
      </w:r>
      <w:r w:rsidR="00A6159D" w:rsidRPr="009E773A">
        <w:rPr>
          <w:rFonts w:asciiTheme="majorHAnsi" w:hAnsiTheme="majorHAnsi"/>
          <w:sz w:val="20"/>
          <w:szCs w:val="20"/>
        </w:rPr>
        <w:t xml:space="preserve"> Felipe</w:t>
      </w:r>
      <w:r w:rsidR="00726AFE" w:rsidRPr="009E773A">
        <w:rPr>
          <w:rFonts w:asciiTheme="majorHAnsi" w:hAnsiTheme="majorHAnsi"/>
          <w:sz w:val="20"/>
          <w:szCs w:val="20"/>
        </w:rPr>
        <w:t xml:space="preserve"> </w:t>
      </w:r>
      <w:r w:rsidR="00E06DEC" w:rsidRPr="009E773A">
        <w:rPr>
          <w:rFonts w:asciiTheme="majorHAnsi" w:hAnsiTheme="majorHAnsi"/>
          <w:sz w:val="20"/>
          <w:szCs w:val="20"/>
        </w:rPr>
        <w:t xml:space="preserve">Rojas, y </w:t>
      </w:r>
      <w:r w:rsidR="00E30597" w:rsidRPr="009E773A">
        <w:rPr>
          <w:rFonts w:asciiTheme="majorHAnsi" w:hAnsiTheme="majorHAnsi"/>
          <w:sz w:val="20"/>
          <w:szCs w:val="20"/>
        </w:rPr>
        <w:t>el</w:t>
      </w:r>
      <w:r w:rsidRPr="009E773A">
        <w:rPr>
          <w:rFonts w:asciiTheme="majorHAnsi" w:hAnsiTheme="majorHAnsi"/>
          <w:sz w:val="20"/>
          <w:szCs w:val="20"/>
        </w:rPr>
        <w:t xml:space="preserve"> </w:t>
      </w:r>
      <w:r w:rsidR="00E30597" w:rsidRPr="009E773A">
        <w:rPr>
          <w:rFonts w:asciiTheme="majorHAnsi" w:hAnsiTheme="majorHAnsi"/>
          <w:sz w:val="20"/>
          <w:szCs w:val="20"/>
        </w:rPr>
        <w:t>Tribunal Penal de Primera Instancia en funciones de Control profirió una circular dirigida a todas las autoridades civiles, policiales, judiciales y militares, para hacer efectiva la orden de aprehensión</w:t>
      </w:r>
      <w:r w:rsidR="00E30597" w:rsidRPr="009E773A">
        <w:rPr>
          <w:rStyle w:val="Refdenotaalpie"/>
          <w:rFonts w:asciiTheme="majorHAnsi" w:hAnsiTheme="majorHAnsi"/>
          <w:sz w:val="20"/>
          <w:szCs w:val="20"/>
        </w:rPr>
        <w:footnoteReference w:id="99"/>
      </w:r>
      <w:r w:rsidR="00E06DEC" w:rsidRPr="009E773A">
        <w:rPr>
          <w:rFonts w:asciiTheme="majorHAnsi" w:hAnsiTheme="majorHAnsi"/>
          <w:sz w:val="20"/>
          <w:szCs w:val="20"/>
        </w:rPr>
        <w:t xml:space="preserve"> </w:t>
      </w:r>
      <w:r w:rsidRPr="009E773A">
        <w:rPr>
          <w:rFonts w:asciiTheme="majorHAnsi" w:hAnsiTheme="majorHAnsi"/>
          <w:sz w:val="20"/>
          <w:szCs w:val="20"/>
        </w:rPr>
        <w:t>por los delitos de Homicidio Calificado cometido en perjuicio de Jimmy Guerrero y Ramón Molina y homicidio calificado frustrado en perjuicio de José Hernández</w:t>
      </w:r>
      <w:r w:rsidRPr="009E773A">
        <w:rPr>
          <w:rStyle w:val="Refdenotaalpie"/>
          <w:rFonts w:asciiTheme="majorHAnsi" w:hAnsiTheme="majorHAnsi"/>
          <w:sz w:val="20"/>
          <w:szCs w:val="20"/>
        </w:rPr>
        <w:footnoteReference w:id="100"/>
      </w:r>
      <w:r w:rsidR="00E06DEC" w:rsidRPr="009E773A">
        <w:rPr>
          <w:rFonts w:asciiTheme="majorHAnsi" w:hAnsiTheme="majorHAnsi"/>
          <w:sz w:val="20"/>
          <w:szCs w:val="20"/>
        </w:rPr>
        <w:t xml:space="preserve">. </w:t>
      </w:r>
      <w:r w:rsidRPr="009E773A">
        <w:rPr>
          <w:rFonts w:asciiTheme="majorHAnsi" w:hAnsiTheme="majorHAnsi"/>
          <w:sz w:val="20"/>
          <w:szCs w:val="20"/>
        </w:rPr>
        <w:t>El 5 de abril de 2016 el supervisor jefe José Carrera, adscrito a la Policía Estadal se dirigió al domicilio de Felipe Rojas  para ejecutar la orden de aprehensión en su contra. Sin embargo, al llegar al inmueble se le informó que el ciudadano se encontraba de viaje</w:t>
      </w:r>
      <w:r w:rsidRPr="009E773A">
        <w:rPr>
          <w:rStyle w:val="Refdenotaalpie"/>
          <w:rFonts w:asciiTheme="majorHAnsi" w:hAnsiTheme="majorHAnsi"/>
          <w:sz w:val="20"/>
          <w:szCs w:val="20"/>
        </w:rPr>
        <w:footnoteReference w:id="101"/>
      </w:r>
      <w:r w:rsidR="007B651C" w:rsidRPr="009E773A">
        <w:rPr>
          <w:rFonts w:asciiTheme="majorHAnsi" w:hAnsiTheme="majorHAnsi"/>
          <w:sz w:val="20"/>
          <w:szCs w:val="20"/>
        </w:rPr>
        <w:t xml:space="preserve">. En el expediente no figura información sobre su </w:t>
      </w:r>
      <w:r w:rsidR="00E35D39" w:rsidRPr="009E773A">
        <w:rPr>
          <w:rFonts w:asciiTheme="majorHAnsi" w:hAnsiTheme="majorHAnsi"/>
          <w:sz w:val="20"/>
          <w:szCs w:val="20"/>
        </w:rPr>
        <w:t>captura</w:t>
      </w:r>
      <w:r w:rsidR="007B651C" w:rsidRPr="009E773A">
        <w:rPr>
          <w:rFonts w:asciiTheme="majorHAnsi" w:hAnsiTheme="majorHAnsi"/>
          <w:sz w:val="20"/>
          <w:szCs w:val="20"/>
        </w:rPr>
        <w:t xml:space="preserve"> posterior.  </w:t>
      </w:r>
    </w:p>
    <w:p w14:paraId="06B7EC95" w14:textId="77777777" w:rsidR="001E5B78" w:rsidRPr="009E773A" w:rsidRDefault="001E5B78"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rPr>
      </w:pPr>
    </w:p>
    <w:p w14:paraId="4B460706" w14:textId="233A7600" w:rsidR="00C85803" w:rsidRDefault="00E4496E" w:rsidP="00C85803">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sz w:val="20"/>
          <w:szCs w:val="20"/>
        </w:rPr>
        <w:t xml:space="preserve">El 9 junio de 2016 </w:t>
      </w:r>
      <w:r w:rsidR="00BE3449" w:rsidRPr="009E773A">
        <w:rPr>
          <w:rFonts w:asciiTheme="majorHAnsi" w:hAnsiTheme="majorHAnsi"/>
          <w:sz w:val="20"/>
          <w:szCs w:val="20"/>
        </w:rPr>
        <w:t xml:space="preserve">el Estado </w:t>
      </w:r>
      <w:r w:rsidRPr="009E773A">
        <w:rPr>
          <w:rFonts w:asciiTheme="majorHAnsi" w:hAnsiTheme="majorHAnsi"/>
          <w:sz w:val="20"/>
          <w:szCs w:val="20"/>
        </w:rPr>
        <w:t>envió una comunicación a la CIDH informando que por la muerte de Jimmy Guerrero y Ramón Molina “se pudo recabar información sobre la identificación completa y el cargo actual de uno de los funcionarios involucrados, contra quien el Ministerio Público solicitó funda</w:t>
      </w:r>
      <w:r w:rsidR="00EE1C3F" w:rsidRPr="009E773A">
        <w:rPr>
          <w:rFonts w:asciiTheme="majorHAnsi" w:hAnsiTheme="majorHAnsi"/>
          <w:sz w:val="20"/>
          <w:szCs w:val="20"/>
        </w:rPr>
        <w:t>da</w:t>
      </w:r>
      <w:r w:rsidRPr="009E773A">
        <w:rPr>
          <w:rFonts w:asciiTheme="majorHAnsi" w:hAnsiTheme="majorHAnsi"/>
          <w:sz w:val="20"/>
          <w:szCs w:val="20"/>
        </w:rPr>
        <w:t>mente la Orden de Aprehensión respectiva, el día 1 de abril de 2016”</w:t>
      </w:r>
      <w:r w:rsidRPr="009E773A">
        <w:rPr>
          <w:rStyle w:val="Refdenotaalpie"/>
          <w:rFonts w:asciiTheme="majorHAnsi" w:hAnsiTheme="majorHAnsi"/>
          <w:sz w:val="20"/>
          <w:szCs w:val="20"/>
        </w:rPr>
        <w:footnoteReference w:id="102"/>
      </w:r>
      <w:r w:rsidR="007B651C" w:rsidRPr="009E773A">
        <w:rPr>
          <w:rFonts w:asciiTheme="majorHAnsi" w:hAnsiTheme="majorHAnsi"/>
          <w:sz w:val="20"/>
          <w:szCs w:val="20"/>
        </w:rPr>
        <w:t>.</w:t>
      </w:r>
    </w:p>
    <w:p w14:paraId="14CDA6FC" w14:textId="77777777" w:rsidR="00C85803" w:rsidRPr="00C85803" w:rsidRDefault="00C85803" w:rsidP="00C8580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p>
    <w:p w14:paraId="0F91C441" w14:textId="77777777" w:rsidR="004D21FE" w:rsidRPr="009E773A" w:rsidRDefault="004D21FE" w:rsidP="009A79B6">
      <w:pPr>
        <w:pStyle w:val="Ttulo1"/>
        <w:ind w:firstLine="0"/>
      </w:pPr>
      <w:bookmarkStart w:id="11" w:name="_Toc2159216"/>
      <w:r w:rsidRPr="009E773A">
        <w:t>ANALISIS DE DERECHO</w:t>
      </w:r>
      <w:bookmarkEnd w:id="11"/>
    </w:p>
    <w:p w14:paraId="66229FB1" w14:textId="77777777" w:rsidR="005D3C86" w:rsidRPr="009E773A" w:rsidRDefault="005D3C86" w:rsidP="009A79B6">
      <w:pPr>
        <w:pStyle w:val="Prrafodelista"/>
        <w:suppressAutoHyphens/>
        <w:ind w:left="1080"/>
        <w:rPr>
          <w:rFonts w:asciiTheme="majorHAnsi" w:hAnsiTheme="majorHAnsi"/>
          <w:b/>
          <w:sz w:val="20"/>
          <w:szCs w:val="20"/>
        </w:rPr>
      </w:pPr>
    </w:p>
    <w:p w14:paraId="59553E56" w14:textId="77481316" w:rsidR="005D3C86" w:rsidRDefault="005D3C86" w:rsidP="00CA08FD">
      <w:pPr>
        <w:pStyle w:val="Ttulo2"/>
        <w:numPr>
          <w:ilvl w:val="0"/>
          <w:numId w:val="69"/>
        </w:numPr>
        <w:tabs>
          <w:tab w:val="left" w:pos="720"/>
        </w:tabs>
        <w:ind w:left="0" w:firstLine="0"/>
      </w:pPr>
      <w:bookmarkStart w:id="12" w:name="_Toc520804258"/>
      <w:bookmarkStart w:id="13" w:name="_Toc2157189"/>
      <w:bookmarkStart w:id="14" w:name="_Toc2157243"/>
      <w:bookmarkStart w:id="15" w:name="_Toc2159217"/>
      <w:r w:rsidRPr="00392EC4">
        <w:t>Derecho</w:t>
      </w:r>
      <w:r w:rsidR="003142C2" w:rsidRPr="00392EC4">
        <w:t>s</w:t>
      </w:r>
      <w:r w:rsidRPr="00392EC4">
        <w:t xml:space="preserve"> a la vida</w:t>
      </w:r>
      <w:r w:rsidRPr="006B16F4">
        <w:rPr>
          <w:rStyle w:val="Refdenotaalpie"/>
        </w:rPr>
        <w:footnoteReference w:id="103"/>
      </w:r>
      <w:r w:rsidR="003142C2" w:rsidRPr="00392EC4">
        <w:t xml:space="preserve"> (artículo 4.1) y</w:t>
      </w:r>
      <w:r w:rsidRPr="00392EC4">
        <w:t xml:space="preserve"> a la integridad</w:t>
      </w:r>
      <w:r w:rsidRPr="00392EC4">
        <w:rPr>
          <w:rStyle w:val="Refdenotaalpie"/>
          <w:vertAlign w:val="baseline"/>
        </w:rPr>
        <w:footnoteReference w:id="104"/>
      </w:r>
      <w:r w:rsidRPr="00392EC4">
        <w:t xml:space="preserve"> (artículo </w:t>
      </w:r>
      <w:r w:rsidR="00EE1C3F" w:rsidRPr="00392EC4">
        <w:t>5.1</w:t>
      </w:r>
      <w:r w:rsidRPr="00392EC4">
        <w:t>) en relación con el artículo 1.1</w:t>
      </w:r>
      <w:r w:rsidR="00E779C8" w:rsidRPr="006B16F4">
        <w:rPr>
          <w:rStyle w:val="Refdenotaalpie"/>
        </w:rPr>
        <w:footnoteReference w:id="105"/>
      </w:r>
      <w:r w:rsidRPr="00392EC4">
        <w:t xml:space="preserve"> de la Convención Americana</w:t>
      </w:r>
      <w:bookmarkEnd w:id="12"/>
      <w:r w:rsidR="00EE1C3F" w:rsidRPr="00392EC4">
        <w:t xml:space="preserve"> </w:t>
      </w:r>
      <w:r w:rsidR="006E7B50" w:rsidRPr="00392EC4">
        <w:t xml:space="preserve">y </w:t>
      </w:r>
      <w:r w:rsidR="00E779C8" w:rsidRPr="00392EC4">
        <w:t>los</w:t>
      </w:r>
      <w:r w:rsidR="006E7B50" w:rsidRPr="00392EC4">
        <w:t xml:space="preserve"> </w:t>
      </w:r>
      <w:r w:rsidR="00E779C8" w:rsidRPr="00392EC4">
        <w:t>artículos 1</w:t>
      </w:r>
      <w:r w:rsidR="00E779C8" w:rsidRPr="006B16F4">
        <w:rPr>
          <w:rStyle w:val="Refdenotaalpie"/>
        </w:rPr>
        <w:footnoteReference w:id="106"/>
      </w:r>
      <w:r w:rsidR="00E779C8" w:rsidRPr="00392EC4">
        <w:t>, 6</w:t>
      </w:r>
      <w:r w:rsidR="00E779C8" w:rsidRPr="006B16F4">
        <w:rPr>
          <w:rStyle w:val="Refdenotaalpie"/>
        </w:rPr>
        <w:footnoteReference w:id="107"/>
      </w:r>
      <w:r w:rsidR="00E779C8" w:rsidRPr="00392EC4">
        <w:t xml:space="preserve"> y 8</w:t>
      </w:r>
      <w:r w:rsidR="00E779C8" w:rsidRPr="006B16F4">
        <w:rPr>
          <w:rStyle w:val="Refdenotaalpie"/>
        </w:rPr>
        <w:footnoteReference w:id="108"/>
      </w:r>
      <w:r w:rsidR="00E779C8" w:rsidRPr="00392EC4">
        <w:t xml:space="preserve"> de la CIPST</w:t>
      </w:r>
      <w:r w:rsidR="007D443F" w:rsidRPr="00392EC4">
        <w:t>.</w:t>
      </w:r>
      <w:bookmarkEnd w:id="13"/>
      <w:bookmarkEnd w:id="14"/>
      <w:bookmarkEnd w:id="15"/>
    </w:p>
    <w:p w14:paraId="6FCB0C02" w14:textId="77777777" w:rsidR="00FC5E2A" w:rsidRPr="00FC5E2A" w:rsidRDefault="00FC5E2A" w:rsidP="009A79B6"/>
    <w:p w14:paraId="1E52DE74" w14:textId="77777777" w:rsidR="005D3C86" w:rsidRPr="009E773A" w:rsidRDefault="005D3C86" w:rsidP="009A79B6">
      <w:pPr>
        <w:pStyle w:val="Ttulo3"/>
        <w:rPr>
          <w:lang w:val="es-ES"/>
        </w:rPr>
      </w:pPr>
      <w:bookmarkStart w:id="16" w:name="_Toc520804260"/>
      <w:bookmarkStart w:id="17" w:name="_Toc2157190"/>
      <w:bookmarkStart w:id="18" w:name="_Toc2157244"/>
      <w:bookmarkStart w:id="19" w:name="_Toc2159218"/>
      <w:r w:rsidRPr="009E773A">
        <w:rPr>
          <w:lang w:val="es-ES"/>
        </w:rPr>
        <w:t>Estándares gene</w:t>
      </w:r>
      <w:r w:rsidR="00DB38BC" w:rsidRPr="009E773A">
        <w:rPr>
          <w:lang w:val="es-ES"/>
        </w:rPr>
        <w:t xml:space="preserve">rales sobre el derecho la vida, derecho a la integridad y la prohibición de la tortura </w:t>
      </w:r>
      <w:r w:rsidRPr="009E773A">
        <w:rPr>
          <w:lang w:val="es-ES"/>
        </w:rPr>
        <w:t>en casos relacionados con alegadas ejecuciones extrajudiciales</w:t>
      </w:r>
      <w:bookmarkEnd w:id="16"/>
      <w:bookmarkEnd w:id="17"/>
      <w:bookmarkEnd w:id="18"/>
      <w:bookmarkEnd w:id="19"/>
    </w:p>
    <w:p w14:paraId="6C2CC4E8" w14:textId="77777777" w:rsidR="005D3C86" w:rsidRPr="009E773A" w:rsidRDefault="005D3C86"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sz w:val="20"/>
          <w:szCs w:val="20"/>
          <w:lang w:val="es-ES"/>
        </w:rPr>
      </w:pPr>
    </w:p>
    <w:p w14:paraId="0C8ADE0A" w14:textId="77777777" w:rsidR="000C699E" w:rsidRPr="009E773A" w:rsidRDefault="0077687D"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sz w:val="20"/>
          <w:szCs w:val="20"/>
          <w:lang w:val="es-ES"/>
        </w:rPr>
        <w:t>L</w:t>
      </w:r>
      <w:r w:rsidR="005D3C86" w:rsidRPr="009E773A">
        <w:rPr>
          <w:rFonts w:asciiTheme="majorHAnsi" w:hAnsiTheme="majorHAnsi"/>
          <w:sz w:val="20"/>
          <w:szCs w:val="20"/>
          <w:lang w:val="es-ES"/>
        </w:rPr>
        <w:t xml:space="preserve">a Comisión ha establecido que “las ejecuciones extrajudiciales o sumarias se caracterizan por ser </w:t>
      </w:r>
      <w:r w:rsidR="005D3C86" w:rsidRPr="009E773A">
        <w:rPr>
          <w:rFonts w:asciiTheme="majorHAnsi" w:hAnsiTheme="majorHAnsi"/>
          <w:sz w:val="20"/>
          <w:szCs w:val="20"/>
          <w:lang w:val="es-ES_tradnl"/>
        </w:rPr>
        <w:t>privaciones</w:t>
      </w:r>
      <w:r w:rsidR="005D3C86" w:rsidRPr="009E773A">
        <w:rPr>
          <w:rFonts w:asciiTheme="majorHAnsi" w:hAnsiTheme="majorHAnsi"/>
          <w:sz w:val="20"/>
          <w:szCs w:val="20"/>
          <w:lang w:val="es-ES"/>
        </w:rPr>
        <w:t xml:space="preserve"> deliberadas e ilegítimas de la vida p</w:t>
      </w:r>
      <w:r w:rsidR="00EE1C3F" w:rsidRPr="009E773A">
        <w:rPr>
          <w:rFonts w:asciiTheme="majorHAnsi" w:hAnsiTheme="majorHAnsi"/>
          <w:sz w:val="20"/>
          <w:szCs w:val="20"/>
          <w:lang w:val="es-ES"/>
        </w:rPr>
        <w:t xml:space="preserve">or parte de agentes del Estado, </w:t>
      </w:r>
      <w:r w:rsidR="005D3C86" w:rsidRPr="009E773A">
        <w:rPr>
          <w:rFonts w:asciiTheme="majorHAnsi" w:hAnsiTheme="majorHAnsi"/>
          <w:sz w:val="20"/>
          <w:szCs w:val="20"/>
          <w:lang w:val="es-ES"/>
        </w:rPr>
        <w:t>actuando generalmente bajo órdenes o al menos con el consentimiento o aquiescencia de las autoridades. Por lo tanto, las ejecuciones extrajudiciales son acciones ilícitas cometidas por quienes precisamente están investidos del poder originalmente concebido para proteger y garantizar la seguridad y la  vida de las personas”</w:t>
      </w:r>
      <w:r w:rsidR="005D3C86" w:rsidRPr="009E773A">
        <w:rPr>
          <w:rStyle w:val="Refdenotaalpie"/>
          <w:rFonts w:asciiTheme="majorHAnsi" w:hAnsiTheme="majorHAnsi"/>
          <w:sz w:val="20"/>
          <w:szCs w:val="20"/>
          <w:lang w:val="es-ES"/>
        </w:rPr>
        <w:footnoteReference w:id="109"/>
      </w:r>
      <w:r w:rsidR="005D3C86" w:rsidRPr="009E773A">
        <w:rPr>
          <w:rFonts w:asciiTheme="majorHAnsi" w:hAnsiTheme="majorHAnsi"/>
          <w:sz w:val="20"/>
          <w:szCs w:val="20"/>
          <w:lang w:val="es-ES"/>
        </w:rPr>
        <w:t xml:space="preserve">. </w:t>
      </w:r>
    </w:p>
    <w:p w14:paraId="09D6EE93" w14:textId="77777777" w:rsidR="00162FD8" w:rsidRPr="009E773A" w:rsidRDefault="0077687D"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sz w:val="20"/>
          <w:szCs w:val="20"/>
        </w:rPr>
        <w:t>Ahora bien</w:t>
      </w:r>
      <w:r w:rsidR="00A67632" w:rsidRPr="009E773A">
        <w:rPr>
          <w:rFonts w:asciiTheme="majorHAnsi" w:hAnsiTheme="majorHAnsi"/>
          <w:sz w:val="20"/>
          <w:szCs w:val="20"/>
        </w:rPr>
        <w:t xml:space="preserve">, </w:t>
      </w:r>
      <w:r w:rsidRPr="009E773A">
        <w:rPr>
          <w:rFonts w:asciiTheme="majorHAnsi" w:hAnsiTheme="majorHAnsi"/>
          <w:sz w:val="20"/>
          <w:szCs w:val="20"/>
        </w:rPr>
        <w:t xml:space="preserve">en casos en </w:t>
      </w:r>
      <w:r w:rsidR="00A67632" w:rsidRPr="009E773A">
        <w:rPr>
          <w:rFonts w:asciiTheme="majorHAnsi" w:hAnsiTheme="majorHAnsi"/>
          <w:sz w:val="20"/>
          <w:szCs w:val="20"/>
        </w:rPr>
        <w:t xml:space="preserve">los cuales se encuentra en controversia la participación estatal en graves violaciones de derechos humanos, la Comisión ha indicado </w:t>
      </w:r>
      <w:r w:rsidR="00A67632" w:rsidRPr="009E773A">
        <w:rPr>
          <w:rFonts w:asciiTheme="majorHAnsi" w:hAnsiTheme="majorHAnsi"/>
          <w:sz w:val="20"/>
          <w:szCs w:val="20"/>
          <w:lang w:val="es-ES"/>
        </w:rPr>
        <w:t xml:space="preserve">que, ante </w:t>
      </w:r>
      <w:r w:rsidRPr="009E773A">
        <w:rPr>
          <w:rFonts w:asciiTheme="majorHAnsi" w:hAnsiTheme="majorHAnsi"/>
          <w:sz w:val="20"/>
          <w:szCs w:val="20"/>
          <w:lang w:val="es-ES"/>
        </w:rPr>
        <w:t>la existencia de indicios</w:t>
      </w:r>
      <w:r w:rsidR="00A67632" w:rsidRPr="009E773A">
        <w:rPr>
          <w:rFonts w:asciiTheme="majorHAnsi" w:hAnsiTheme="majorHAnsi"/>
          <w:sz w:val="20"/>
          <w:szCs w:val="20"/>
          <w:lang w:val="es-ES"/>
        </w:rPr>
        <w:t xml:space="preserve"> que implicarían una atribución directa de responsabilidad internacional al Estado, correspond</w:t>
      </w:r>
      <w:r w:rsidR="002C0113" w:rsidRPr="009E773A">
        <w:rPr>
          <w:rFonts w:asciiTheme="majorHAnsi" w:hAnsiTheme="majorHAnsi"/>
          <w:sz w:val="20"/>
          <w:szCs w:val="20"/>
          <w:lang w:val="es-ES"/>
        </w:rPr>
        <w:t>e</w:t>
      </w:r>
      <w:r w:rsidR="00A67632" w:rsidRPr="009E773A">
        <w:rPr>
          <w:rFonts w:asciiTheme="majorHAnsi" w:hAnsiTheme="majorHAnsi"/>
          <w:sz w:val="20"/>
          <w:szCs w:val="20"/>
          <w:lang w:val="es-ES"/>
        </w:rPr>
        <w:t xml:space="preserve"> a las autoridades a cargo de la investigación desplegar todos los esfuerzos necesarios para esclarecer las posibles responsabilidades o vínculos de autoridades estatales en una violación del derecho a la vida</w:t>
      </w:r>
      <w:r w:rsidR="00A67632" w:rsidRPr="009E773A">
        <w:rPr>
          <w:rStyle w:val="Refdenotaalpie"/>
          <w:rFonts w:asciiTheme="majorHAnsi" w:hAnsiTheme="majorHAnsi"/>
          <w:sz w:val="20"/>
          <w:szCs w:val="20"/>
          <w:lang w:val="es-ES"/>
        </w:rPr>
        <w:footnoteReference w:id="110"/>
      </w:r>
      <w:r w:rsidRPr="009E773A">
        <w:rPr>
          <w:rFonts w:asciiTheme="majorHAnsi" w:hAnsiTheme="majorHAnsi"/>
          <w:sz w:val="20"/>
          <w:szCs w:val="20"/>
          <w:lang w:val="es-ES"/>
        </w:rPr>
        <w:t>. De esta manera, recae</w:t>
      </w:r>
      <w:r w:rsidR="00A67632" w:rsidRPr="009E773A">
        <w:rPr>
          <w:rFonts w:asciiTheme="majorHAnsi" w:hAnsiTheme="majorHAnsi"/>
          <w:sz w:val="20"/>
          <w:szCs w:val="20"/>
          <w:lang w:val="es-ES"/>
        </w:rPr>
        <w:t xml:space="preserve"> sobre el Estado la obligación de efectuar una investigación minuciosa, seria y diligente para determinar la veracidad o desvirtuar los indicios de participación de agentes estatales. De lo contrario, la Comisión ha otorgado fuerza probatoria a indicios no investigados adecuadamente</w:t>
      </w:r>
      <w:r w:rsidR="009515BA" w:rsidRPr="009E773A">
        <w:rPr>
          <w:rStyle w:val="Refdenotaalpie"/>
          <w:rFonts w:asciiTheme="majorHAnsi" w:hAnsiTheme="majorHAnsi"/>
          <w:sz w:val="20"/>
          <w:szCs w:val="20"/>
          <w:lang w:val="es-ES"/>
        </w:rPr>
        <w:footnoteReference w:id="111"/>
      </w:r>
      <w:r w:rsidR="00A67632" w:rsidRPr="009E773A">
        <w:rPr>
          <w:rFonts w:asciiTheme="majorHAnsi" w:hAnsiTheme="majorHAnsi"/>
          <w:sz w:val="20"/>
          <w:szCs w:val="20"/>
          <w:lang w:val="es-ES"/>
        </w:rPr>
        <w:t>.</w:t>
      </w:r>
    </w:p>
    <w:p w14:paraId="158B323B" w14:textId="77777777" w:rsidR="00A67632" w:rsidRPr="009E773A" w:rsidRDefault="00A67632"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sz w:val="20"/>
          <w:szCs w:val="20"/>
          <w:lang w:val="es-ES"/>
        </w:rPr>
        <w:t xml:space="preserve">   </w:t>
      </w:r>
    </w:p>
    <w:p w14:paraId="1812B716" w14:textId="77777777" w:rsidR="00A67632" w:rsidRPr="009E773A" w:rsidRDefault="00C04ACA"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sz w:val="20"/>
          <w:szCs w:val="20"/>
          <w:lang w:val="es-ES"/>
        </w:rPr>
        <w:t>En la misma línea,</w:t>
      </w:r>
      <w:r w:rsidR="00CF0CAB" w:rsidRPr="009E773A">
        <w:rPr>
          <w:rFonts w:asciiTheme="majorHAnsi" w:hAnsiTheme="majorHAnsi"/>
          <w:sz w:val="20"/>
          <w:szCs w:val="20"/>
          <w:lang w:val="es-ES"/>
        </w:rPr>
        <w:t xml:space="preserve"> </w:t>
      </w:r>
      <w:r w:rsidR="00A67632" w:rsidRPr="009E773A">
        <w:rPr>
          <w:rFonts w:asciiTheme="majorHAnsi" w:hAnsiTheme="majorHAnsi"/>
          <w:sz w:val="20"/>
          <w:szCs w:val="20"/>
          <w:lang w:val="es-ES"/>
        </w:rPr>
        <w:t xml:space="preserve">la Corte ha reiterado que la falta de investigación de alegadas violaciones cometidas a una persona cuando existen indicios de participación de agentes estatales, “impide que el Estado presente una explicación satisfactoria y convincente de los </w:t>
      </w:r>
      <w:r w:rsidR="00A67632" w:rsidRPr="009E773A">
        <w:rPr>
          <w:rFonts w:asciiTheme="majorHAnsi" w:hAnsiTheme="majorHAnsi" w:cs="Arial"/>
          <w:sz w:val="20"/>
          <w:szCs w:val="20"/>
          <w:lang w:val="es-ES"/>
        </w:rPr>
        <w:t>[hechos]</w:t>
      </w:r>
      <w:r w:rsidR="00A67632" w:rsidRPr="009E773A">
        <w:rPr>
          <w:rFonts w:asciiTheme="majorHAnsi" w:hAnsiTheme="majorHAnsi"/>
          <w:sz w:val="20"/>
          <w:szCs w:val="20"/>
          <w:lang w:val="es-ES"/>
        </w:rPr>
        <w:t xml:space="preserve"> alegados y desvirtuar las alegaciones sobre su responsabilidad, mediante elementos probatorios adecuados”</w:t>
      </w:r>
      <w:r w:rsidR="00A67632" w:rsidRPr="009E773A">
        <w:rPr>
          <w:rStyle w:val="Refdenotaalpie"/>
          <w:rFonts w:asciiTheme="majorHAnsi" w:hAnsiTheme="majorHAnsi"/>
          <w:sz w:val="20"/>
          <w:szCs w:val="20"/>
          <w:lang w:val="es-ES"/>
        </w:rPr>
        <w:footnoteReference w:id="112"/>
      </w:r>
      <w:r w:rsidR="00A67632" w:rsidRPr="009E773A">
        <w:rPr>
          <w:rFonts w:asciiTheme="majorHAnsi" w:hAnsiTheme="majorHAnsi"/>
          <w:sz w:val="20"/>
          <w:szCs w:val="20"/>
          <w:lang w:val="es-ES"/>
        </w:rPr>
        <w:t xml:space="preserve">. De esta forma, la Corte </w:t>
      </w:r>
      <w:r w:rsidR="00CF0CAB" w:rsidRPr="009E773A">
        <w:rPr>
          <w:rFonts w:asciiTheme="majorHAnsi" w:hAnsiTheme="majorHAnsi"/>
          <w:sz w:val="20"/>
          <w:szCs w:val="20"/>
          <w:lang w:val="es-ES"/>
        </w:rPr>
        <w:t>ha entendido que los indicios de participación de agentes estatales, ante la</w:t>
      </w:r>
      <w:r w:rsidR="00A67632" w:rsidRPr="009E773A">
        <w:rPr>
          <w:rFonts w:asciiTheme="majorHAnsi" w:hAnsiTheme="majorHAnsi"/>
          <w:sz w:val="20"/>
          <w:szCs w:val="20"/>
          <w:lang w:val="es-ES"/>
        </w:rPr>
        <w:t xml:space="preserve"> falta de esclarecimiento </w:t>
      </w:r>
      <w:r w:rsidR="00CF0CAB" w:rsidRPr="009E773A">
        <w:rPr>
          <w:rFonts w:asciiTheme="majorHAnsi" w:hAnsiTheme="majorHAnsi"/>
          <w:sz w:val="20"/>
          <w:szCs w:val="20"/>
          <w:lang w:val="es-ES"/>
        </w:rPr>
        <w:t>e investigación</w:t>
      </w:r>
      <w:r w:rsidR="00CF0CAB" w:rsidRPr="009E773A">
        <w:rPr>
          <w:rStyle w:val="Refdenotaalpie"/>
          <w:rFonts w:asciiTheme="majorHAnsi" w:hAnsiTheme="majorHAnsi"/>
          <w:sz w:val="20"/>
          <w:szCs w:val="20"/>
          <w:lang w:val="es-ES"/>
        </w:rPr>
        <w:footnoteReference w:id="113"/>
      </w:r>
      <w:r w:rsidR="00CF0CAB" w:rsidRPr="009E773A">
        <w:rPr>
          <w:rFonts w:asciiTheme="majorHAnsi" w:hAnsiTheme="majorHAnsi"/>
          <w:sz w:val="20"/>
          <w:szCs w:val="20"/>
          <w:lang w:val="es-ES"/>
        </w:rPr>
        <w:t xml:space="preserve">., cobran valor probatorio pues que “concluir lo contrario </w:t>
      </w:r>
      <w:r w:rsidR="00185AFE" w:rsidRPr="009E773A">
        <w:rPr>
          <w:rFonts w:asciiTheme="majorHAnsi" w:hAnsiTheme="majorHAnsi"/>
          <w:sz w:val="20"/>
          <w:szCs w:val="20"/>
          <w:lang w:val="es-ES"/>
        </w:rPr>
        <w:t>implicaría</w:t>
      </w:r>
      <w:r w:rsidR="00CF0CAB" w:rsidRPr="009E773A">
        <w:rPr>
          <w:rFonts w:asciiTheme="majorHAnsi" w:hAnsiTheme="majorHAnsi"/>
          <w:sz w:val="20"/>
          <w:szCs w:val="20"/>
          <w:lang w:val="es-ES"/>
        </w:rPr>
        <w:t xml:space="preserve"> permitir al Estado ampararse en la negligencia e inefectividad de la investigación penal para sustraerse de su responsabilidad por la violación del artículo 4.1 de la Convención”</w:t>
      </w:r>
      <w:r w:rsidR="00CF0CAB" w:rsidRPr="009E773A">
        <w:rPr>
          <w:rStyle w:val="Refdenotaalpie"/>
          <w:rFonts w:asciiTheme="majorHAnsi" w:hAnsiTheme="majorHAnsi"/>
          <w:sz w:val="20"/>
          <w:szCs w:val="20"/>
          <w:lang w:val="es-ES"/>
        </w:rPr>
        <w:footnoteReference w:id="114"/>
      </w:r>
      <w:r w:rsidR="00CF0CAB" w:rsidRPr="009E773A">
        <w:rPr>
          <w:rFonts w:asciiTheme="majorHAnsi" w:hAnsiTheme="majorHAnsi"/>
          <w:sz w:val="20"/>
          <w:szCs w:val="20"/>
          <w:lang w:val="es-ES"/>
        </w:rPr>
        <w:t>.</w:t>
      </w:r>
    </w:p>
    <w:p w14:paraId="21067C91" w14:textId="77777777" w:rsidR="00A67632" w:rsidRPr="009E773A" w:rsidRDefault="00A67632" w:rsidP="009A79B6">
      <w:pPr>
        <w:tabs>
          <w:tab w:val="left" w:pos="1440"/>
        </w:tabs>
        <w:ind w:left="720"/>
        <w:jc w:val="both"/>
        <w:rPr>
          <w:rFonts w:asciiTheme="majorHAnsi" w:hAnsiTheme="majorHAnsi"/>
          <w:sz w:val="20"/>
          <w:szCs w:val="20"/>
          <w:lang w:val="es-ES"/>
        </w:rPr>
      </w:pPr>
    </w:p>
    <w:p w14:paraId="10E59BA6" w14:textId="3D0B793F" w:rsidR="00212F6A" w:rsidRPr="009E773A" w:rsidRDefault="00212F6A"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sz w:val="20"/>
        </w:rPr>
        <w:t xml:space="preserve">Asimismo, </w:t>
      </w:r>
      <w:r w:rsidR="00D8194C" w:rsidRPr="009E773A">
        <w:rPr>
          <w:rFonts w:asciiTheme="majorHAnsi" w:hAnsiTheme="majorHAnsi"/>
          <w:sz w:val="20"/>
        </w:rPr>
        <w:t xml:space="preserve">y respecto del deber de garantía, </w:t>
      </w:r>
      <w:r w:rsidRPr="009E773A">
        <w:rPr>
          <w:rFonts w:asciiTheme="majorHAnsi" w:hAnsiTheme="majorHAnsi"/>
          <w:sz w:val="20"/>
        </w:rPr>
        <w:t>la Comisión ha indicado que la falta de protección de una persona cuando se ha solicitado dicha protección, implica dejarla en situación de indefensión y facilitar violaciones de derechos humanos en su perjuicio, en abierto desconocimiento del deber de prevención</w:t>
      </w:r>
      <w:r w:rsidRPr="009E773A">
        <w:rPr>
          <w:rStyle w:val="Refdenotaalpie"/>
          <w:rFonts w:asciiTheme="majorHAnsi" w:hAnsiTheme="majorHAnsi"/>
          <w:sz w:val="20"/>
        </w:rPr>
        <w:footnoteReference w:id="115"/>
      </w:r>
      <w:r w:rsidRPr="009E773A">
        <w:rPr>
          <w:rFonts w:asciiTheme="majorHAnsi" w:hAnsiTheme="majorHAnsi"/>
          <w:sz w:val="20"/>
        </w:rPr>
        <w:t>.</w:t>
      </w:r>
      <w:r w:rsidRPr="009E773A">
        <w:rPr>
          <w:rFonts w:asciiTheme="majorHAnsi" w:hAnsiTheme="majorHAnsi"/>
          <w:sz w:val="20"/>
          <w:szCs w:val="20"/>
          <w:lang w:val="es-ES"/>
        </w:rPr>
        <w:t xml:space="preserve"> Específicamente, s</w:t>
      </w:r>
      <w:r w:rsidRPr="009E773A">
        <w:rPr>
          <w:rFonts w:asciiTheme="majorHAnsi" w:hAnsiTheme="majorHAnsi"/>
          <w:sz w:val="20"/>
          <w:szCs w:val="20"/>
          <w:lang w:val="es-ES_tradnl"/>
        </w:rPr>
        <w:t>obre este deber,</w:t>
      </w:r>
      <w:r w:rsidR="00185AFE" w:rsidRPr="009E773A">
        <w:rPr>
          <w:rFonts w:asciiTheme="majorHAnsi" w:hAnsiTheme="majorHAnsi"/>
          <w:sz w:val="20"/>
          <w:szCs w:val="20"/>
          <w:lang w:val="es-ES_tradnl"/>
        </w:rPr>
        <w:t xml:space="preserve"> la Corte ha indicado que “un Estado no puede ser responsable por cualquier violación de derechos humanos cometida entre particulares dentro de su jurisdicción. En efecto, el carácter </w:t>
      </w:r>
      <w:r w:rsidR="00185AFE" w:rsidRPr="009E773A">
        <w:rPr>
          <w:rFonts w:asciiTheme="majorHAnsi" w:hAnsiTheme="majorHAnsi"/>
          <w:i/>
          <w:sz w:val="20"/>
          <w:szCs w:val="20"/>
          <w:lang w:val="es-ES_tradnl"/>
        </w:rPr>
        <w:t xml:space="preserve">erga omnes </w:t>
      </w:r>
      <w:r w:rsidR="00185AFE" w:rsidRPr="009E773A">
        <w:rPr>
          <w:rFonts w:asciiTheme="majorHAnsi" w:hAnsiTheme="majorHAnsi" w:cs="Arial"/>
          <w:sz w:val="20"/>
          <w:szCs w:val="20"/>
          <w:lang w:val="es-PE"/>
        </w:rPr>
        <w:t>de</w:t>
      </w:r>
      <w:r w:rsidR="00185AFE" w:rsidRPr="009E773A">
        <w:rPr>
          <w:rFonts w:asciiTheme="majorHAnsi" w:hAnsiTheme="majorHAnsi"/>
          <w:sz w:val="20"/>
          <w:szCs w:val="20"/>
          <w:lang w:val="es-ES_tradnl"/>
        </w:rPr>
        <w:t xml:space="preserve"> las obligaciones convencionales de garantía a cargo de los Estados no implica una responsabilidad ilimitada de los Estados frente a cualquier acto o hecho de particulares, pues sus deberes de adoptar medidas de prevención y protección en sus relaciones entre sí</w:t>
      </w:r>
      <w:r w:rsidR="00185AFE" w:rsidRPr="009E773A">
        <w:rPr>
          <w:rFonts w:asciiTheme="majorHAnsi" w:hAnsiTheme="majorHAnsi"/>
          <w:b/>
          <w:sz w:val="20"/>
          <w:szCs w:val="20"/>
          <w:lang w:val="es-ES_tradnl"/>
        </w:rPr>
        <w:t xml:space="preserve"> </w:t>
      </w:r>
      <w:r w:rsidR="00185AFE" w:rsidRPr="009E773A">
        <w:rPr>
          <w:rFonts w:asciiTheme="majorHAnsi" w:hAnsiTheme="majorHAnsi"/>
          <w:sz w:val="20"/>
          <w:szCs w:val="20"/>
          <w:lang w:val="es-ES_tradnl"/>
        </w:rPr>
        <w:t>se encuentran condicionados</w:t>
      </w:r>
      <w:r w:rsidR="00337D41" w:rsidRPr="009E773A">
        <w:rPr>
          <w:rFonts w:asciiTheme="majorHAnsi" w:hAnsiTheme="majorHAnsi"/>
          <w:sz w:val="20"/>
          <w:szCs w:val="20"/>
          <w:lang w:val="es-ES_tradnl"/>
        </w:rPr>
        <w:t>”</w:t>
      </w:r>
      <w:r w:rsidR="009C712C" w:rsidRPr="009E773A">
        <w:rPr>
          <w:rStyle w:val="Refdenotaalpie"/>
          <w:rFonts w:asciiTheme="majorHAnsi" w:hAnsiTheme="majorHAnsi"/>
          <w:sz w:val="20"/>
          <w:szCs w:val="20"/>
          <w:lang w:val="es-ES"/>
        </w:rPr>
        <w:footnoteReference w:id="116"/>
      </w:r>
      <w:r w:rsidR="00185AFE" w:rsidRPr="009E773A">
        <w:rPr>
          <w:rFonts w:asciiTheme="majorHAnsi" w:hAnsiTheme="majorHAnsi"/>
          <w:sz w:val="20"/>
          <w:szCs w:val="20"/>
          <w:lang w:val="es-ES_tradnl"/>
        </w:rPr>
        <w:t xml:space="preserve"> a: </w:t>
      </w:r>
      <w:r w:rsidR="00185AFE" w:rsidRPr="009E773A">
        <w:rPr>
          <w:rFonts w:asciiTheme="majorHAnsi" w:hAnsiTheme="majorHAnsi"/>
          <w:sz w:val="20"/>
          <w:szCs w:val="20"/>
          <w:lang w:val="es-US"/>
        </w:rPr>
        <w:t>i) si el Estado tenía o debía tener conocimiento de una situación de riesgo; ii) si dicho riesgo era real e inmediato;  y iii) si el Estado adoptó las medidas que razonablemente se esperaban para evitar que dicho riesgo se verificara</w:t>
      </w:r>
      <w:r w:rsidR="00185AFE" w:rsidRPr="009E773A">
        <w:rPr>
          <w:rStyle w:val="Refdenotaalpie"/>
          <w:rFonts w:asciiTheme="majorHAnsi" w:hAnsiTheme="majorHAnsi" w:cs="Arial"/>
          <w:sz w:val="20"/>
          <w:szCs w:val="20"/>
          <w:lang w:val="es-CR"/>
        </w:rPr>
        <w:footnoteReference w:id="117"/>
      </w:r>
      <w:r w:rsidR="00185AFE" w:rsidRPr="009E773A">
        <w:rPr>
          <w:rFonts w:asciiTheme="majorHAnsi" w:hAnsiTheme="majorHAnsi"/>
          <w:sz w:val="20"/>
          <w:szCs w:val="20"/>
          <w:lang w:val="es-US"/>
        </w:rPr>
        <w:t>.</w:t>
      </w:r>
    </w:p>
    <w:p w14:paraId="5390E208" w14:textId="77777777" w:rsidR="00212F6A" w:rsidRPr="009E773A" w:rsidRDefault="00212F6A" w:rsidP="009A79B6">
      <w:pPr>
        <w:pStyle w:val="Prrafodelista"/>
        <w:rPr>
          <w:rFonts w:asciiTheme="majorHAnsi" w:hAnsiTheme="majorHAnsi"/>
          <w:sz w:val="20"/>
          <w:szCs w:val="20"/>
          <w:lang w:val="es-ES"/>
        </w:rPr>
      </w:pPr>
    </w:p>
    <w:p w14:paraId="783C259E" w14:textId="1EEC1C64" w:rsidR="00F67A0F" w:rsidRPr="009E773A" w:rsidRDefault="00EB657F"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cs="Verdana"/>
          <w:sz w:val="20"/>
          <w:szCs w:val="20"/>
          <w:lang w:val="es-US"/>
        </w:rPr>
      </w:pPr>
      <w:r w:rsidRPr="009E773A">
        <w:rPr>
          <w:rFonts w:asciiTheme="majorHAnsi" w:hAnsiTheme="majorHAnsi"/>
          <w:sz w:val="20"/>
          <w:szCs w:val="20"/>
          <w:lang w:val="es-ES"/>
        </w:rPr>
        <w:t>La Comisión recuerda que</w:t>
      </w:r>
      <w:r w:rsidR="005D3C86" w:rsidRPr="009E773A">
        <w:rPr>
          <w:rFonts w:asciiTheme="majorHAnsi" w:hAnsiTheme="majorHAnsi"/>
          <w:sz w:val="20"/>
          <w:szCs w:val="20"/>
          <w:lang w:val="es-ES"/>
        </w:rPr>
        <w:t xml:space="preserve"> en casos de ejecuciones extrajudiciales, dependiendo de las características de la misma, es posible desprender otras vulneraciones de derechos humanos, como del derecho a la integridad</w:t>
      </w:r>
      <w:r w:rsidR="0018617F" w:rsidRPr="009E773A">
        <w:rPr>
          <w:rFonts w:asciiTheme="majorHAnsi" w:hAnsiTheme="majorHAnsi"/>
          <w:sz w:val="20"/>
          <w:szCs w:val="20"/>
          <w:lang w:val="es-ES"/>
        </w:rPr>
        <w:t xml:space="preserve"> personal</w:t>
      </w:r>
      <w:r w:rsidR="005D3C86" w:rsidRPr="009E773A">
        <w:rPr>
          <w:rFonts w:asciiTheme="majorHAnsi" w:hAnsiTheme="majorHAnsi"/>
          <w:sz w:val="20"/>
          <w:szCs w:val="20"/>
          <w:lang w:val="es-ES"/>
        </w:rPr>
        <w:t>. En estos términos, la Corte Interamericana ha determinado que “es razonable presumir que, en los momentos previos a la privación de la vida [los ejecutados] sufrieron un temor profundo ante el peligro real e inminente de que el hecho culminaría con su propia muerte, tal como efectivamente ocurrió”</w:t>
      </w:r>
      <w:r w:rsidR="005D3C86" w:rsidRPr="009E773A">
        <w:rPr>
          <w:rStyle w:val="Refdenotaalpie"/>
          <w:rFonts w:asciiTheme="majorHAnsi" w:hAnsiTheme="majorHAnsi"/>
          <w:sz w:val="20"/>
          <w:szCs w:val="20"/>
          <w:lang w:val="es-ES"/>
        </w:rPr>
        <w:footnoteReference w:id="118"/>
      </w:r>
      <w:r w:rsidR="005D3C86" w:rsidRPr="009E773A">
        <w:rPr>
          <w:rFonts w:asciiTheme="majorHAnsi" w:hAnsiTheme="majorHAnsi"/>
          <w:sz w:val="20"/>
          <w:szCs w:val="20"/>
          <w:lang w:val="es-ES"/>
        </w:rPr>
        <w:t xml:space="preserve"> lo que conlleva a la vulneración del derecho a la integridad personal consagrado en el artículo 5 de la Convención Americana. </w:t>
      </w:r>
      <w:r w:rsidR="00212F6A" w:rsidRPr="009E773A">
        <w:rPr>
          <w:rFonts w:asciiTheme="majorHAnsi" w:hAnsiTheme="majorHAnsi"/>
          <w:sz w:val="20"/>
          <w:szCs w:val="20"/>
          <w:lang w:val="es-ES"/>
        </w:rPr>
        <w:t xml:space="preserve">La Comisión </w:t>
      </w:r>
      <w:r w:rsidR="00B11E17" w:rsidRPr="009E773A">
        <w:rPr>
          <w:rFonts w:asciiTheme="majorHAnsi" w:hAnsiTheme="majorHAnsi"/>
          <w:sz w:val="20"/>
          <w:szCs w:val="20"/>
          <w:lang w:val="es-ES"/>
        </w:rPr>
        <w:t>reitera que, en determinadas circunstancias, el anuncio o amenaza real e inminente de privación arbitraria de la vida constituyen de por sí un trato inhumano</w:t>
      </w:r>
      <w:r w:rsidR="00B11E17" w:rsidRPr="009E773A">
        <w:rPr>
          <w:rStyle w:val="Refdenotaalpie"/>
          <w:rFonts w:asciiTheme="majorHAnsi" w:hAnsiTheme="majorHAnsi"/>
          <w:sz w:val="20"/>
          <w:szCs w:val="20"/>
          <w:lang w:val="es-ES"/>
        </w:rPr>
        <w:footnoteReference w:id="119"/>
      </w:r>
      <w:r w:rsidR="00B11E17" w:rsidRPr="009E773A">
        <w:rPr>
          <w:rFonts w:asciiTheme="majorHAnsi" w:hAnsiTheme="majorHAnsi"/>
          <w:sz w:val="20"/>
          <w:szCs w:val="20"/>
          <w:lang w:val="es-ES"/>
        </w:rPr>
        <w:t xml:space="preserve">. </w:t>
      </w:r>
    </w:p>
    <w:p w14:paraId="367C2100" w14:textId="77777777" w:rsidR="009515BA" w:rsidRPr="009E773A" w:rsidRDefault="009515BA" w:rsidP="009A79B6">
      <w:pPr>
        <w:pStyle w:val="Prrafodelista"/>
        <w:rPr>
          <w:rFonts w:asciiTheme="majorHAnsi" w:hAnsiTheme="majorHAnsi" w:cs="Verdana"/>
          <w:sz w:val="20"/>
          <w:szCs w:val="20"/>
          <w:lang w:val="es-US"/>
        </w:rPr>
      </w:pPr>
    </w:p>
    <w:p w14:paraId="530AC78E" w14:textId="77777777" w:rsidR="005D3C86" w:rsidRPr="009E773A" w:rsidRDefault="00CB064D" w:rsidP="009A79B6">
      <w:pPr>
        <w:pStyle w:val="Ttulo3"/>
        <w:rPr>
          <w:lang w:val="es-ES"/>
        </w:rPr>
      </w:pPr>
      <w:bookmarkStart w:id="20" w:name="_Toc520804261"/>
      <w:bookmarkStart w:id="21" w:name="_Toc2157191"/>
      <w:bookmarkStart w:id="22" w:name="_Toc2157245"/>
      <w:bookmarkStart w:id="23" w:name="_Toc2159219"/>
      <w:r w:rsidRPr="009E773A">
        <w:rPr>
          <w:lang w:val="es-ES_tradnl"/>
        </w:rPr>
        <w:t>Determinación de la atribución de responsabilidad internacional al Estado</w:t>
      </w:r>
      <w:r w:rsidR="00EE1C3F" w:rsidRPr="009E773A">
        <w:rPr>
          <w:lang w:val="es-ES_tradnl"/>
        </w:rPr>
        <w:t xml:space="preserve"> por la </w:t>
      </w:r>
      <w:r w:rsidRPr="009E773A">
        <w:rPr>
          <w:lang w:val="es-ES_tradnl"/>
        </w:rPr>
        <w:t xml:space="preserve">muerte </w:t>
      </w:r>
      <w:r w:rsidR="005D3C86" w:rsidRPr="009E773A">
        <w:rPr>
          <w:lang w:val="es-ES"/>
        </w:rPr>
        <w:t>de Jimmy Guerrero y Ramón Molina</w:t>
      </w:r>
      <w:bookmarkEnd w:id="20"/>
      <w:bookmarkEnd w:id="21"/>
      <w:bookmarkEnd w:id="22"/>
      <w:bookmarkEnd w:id="23"/>
    </w:p>
    <w:p w14:paraId="5F966228" w14:textId="77777777" w:rsidR="004E585D" w:rsidRPr="009E773A" w:rsidRDefault="004E585D"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sz w:val="20"/>
          <w:szCs w:val="20"/>
          <w:lang w:val="es-ES"/>
        </w:rPr>
      </w:pPr>
    </w:p>
    <w:p w14:paraId="274094FD" w14:textId="2E688260" w:rsidR="00162FD8" w:rsidRPr="009E773A" w:rsidRDefault="00162FD8"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sz w:val="20"/>
          <w:szCs w:val="20"/>
          <w:lang w:val="es-ES"/>
        </w:rPr>
        <w:t>A continuación</w:t>
      </w:r>
      <w:r w:rsidR="000A7D60" w:rsidRPr="009E773A">
        <w:rPr>
          <w:rFonts w:asciiTheme="majorHAnsi" w:hAnsiTheme="majorHAnsi"/>
          <w:sz w:val="20"/>
          <w:szCs w:val="20"/>
          <w:lang w:val="es-ES"/>
        </w:rPr>
        <w:t>,</w:t>
      </w:r>
      <w:r w:rsidRPr="009E773A">
        <w:rPr>
          <w:rFonts w:asciiTheme="majorHAnsi" w:hAnsiTheme="majorHAnsi"/>
          <w:sz w:val="20"/>
          <w:szCs w:val="20"/>
          <w:lang w:val="es-ES"/>
        </w:rPr>
        <w:t xml:space="preserve"> la Comisión determinará si </w:t>
      </w:r>
      <w:r w:rsidR="00EE632A" w:rsidRPr="009E773A">
        <w:rPr>
          <w:rFonts w:asciiTheme="majorHAnsi" w:hAnsiTheme="majorHAnsi"/>
          <w:sz w:val="20"/>
          <w:szCs w:val="20"/>
          <w:lang w:val="es-ES"/>
        </w:rPr>
        <w:t xml:space="preserve"> el Estado venezolano es responsable</w:t>
      </w:r>
      <w:r w:rsidR="00C434F3" w:rsidRPr="009E773A">
        <w:rPr>
          <w:rFonts w:asciiTheme="majorHAnsi" w:hAnsiTheme="majorHAnsi"/>
          <w:sz w:val="20"/>
          <w:szCs w:val="20"/>
          <w:lang w:val="es-ES"/>
        </w:rPr>
        <w:t xml:space="preserve"> internacionalmente </w:t>
      </w:r>
      <w:r w:rsidRPr="009E773A">
        <w:rPr>
          <w:rFonts w:asciiTheme="majorHAnsi" w:hAnsiTheme="majorHAnsi"/>
          <w:sz w:val="20"/>
          <w:szCs w:val="20"/>
          <w:lang w:val="es-ES"/>
        </w:rPr>
        <w:t>por las muertes de Jimmy Guerrero y Ramón Molina. E</w:t>
      </w:r>
      <w:r w:rsidR="00267006" w:rsidRPr="009E773A">
        <w:rPr>
          <w:rFonts w:asciiTheme="majorHAnsi" w:hAnsiTheme="majorHAnsi"/>
          <w:sz w:val="20"/>
          <w:szCs w:val="20"/>
          <w:lang w:val="es-ES"/>
        </w:rPr>
        <w:t xml:space="preserve">n el presente caso </w:t>
      </w:r>
      <w:r w:rsidR="006F1640" w:rsidRPr="009E773A">
        <w:rPr>
          <w:rFonts w:asciiTheme="majorHAnsi" w:hAnsiTheme="majorHAnsi"/>
          <w:sz w:val="20"/>
          <w:szCs w:val="20"/>
          <w:lang w:val="es-ES"/>
        </w:rPr>
        <w:t xml:space="preserve">existen </w:t>
      </w:r>
      <w:r w:rsidR="00A71244" w:rsidRPr="009E773A">
        <w:rPr>
          <w:rFonts w:asciiTheme="majorHAnsi" w:hAnsiTheme="majorHAnsi"/>
          <w:sz w:val="20"/>
          <w:szCs w:val="20"/>
          <w:lang w:val="es-ES"/>
        </w:rPr>
        <w:t xml:space="preserve">diversas </w:t>
      </w:r>
      <w:r w:rsidRPr="009E773A">
        <w:rPr>
          <w:rFonts w:asciiTheme="majorHAnsi" w:hAnsiTheme="majorHAnsi"/>
          <w:sz w:val="20"/>
          <w:szCs w:val="20"/>
          <w:lang w:val="es-ES"/>
        </w:rPr>
        <w:t>narrativas</w:t>
      </w:r>
      <w:r w:rsidR="007E225A" w:rsidRPr="009E773A">
        <w:rPr>
          <w:rFonts w:asciiTheme="majorHAnsi" w:hAnsiTheme="majorHAnsi"/>
          <w:sz w:val="20"/>
          <w:szCs w:val="20"/>
          <w:lang w:val="es-ES"/>
        </w:rPr>
        <w:t xml:space="preserve"> sobre las circunstancias de las muertes y la participación de agentes estatales en las mismas</w:t>
      </w:r>
      <w:r w:rsidR="000F5C79" w:rsidRPr="009E773A">
        <w:rPr>
          <w:rFonts w:asciiTheme="majorHAnsi" w:hAnsiTheme="majorHAnsi"/>
          <w:sz w:val="20"/>
          <w:szCs w:val="20"/>
          <w:lang w:val="es-ES"/>
        </w:rPr>
        <w:t xml:space="preserve">. En ese sentido, </w:t>
      </w:r>
      <w:r w:rsidRPr="009E773A">
        <w:rPr>
          <w:rFonts w:asciiTheme="majorHAnsi" w:hAnsiTheme="majorHAnsi"/>
          <w:sz w:val="20"/>
          <w:szCs w:val="20"/>
          <w:lang w:val="es-ES"/>
        </w:rPr>
        <w:t xml:space="preserve">la Comisión analizará los indicios que rodean los asesinatos en cuestión y que fluyen de la prueba incorporada en el expediente. </w:t>
      </w:r>
      <w:r w:rsidRPr="009E773A">
        <w:rPr>
          <w:rFonts w:asciiTheme="majorHAnsi" w:hAnsiTheme="majorHAnsi"/>
          <w:bCs/>
          <w:sz w:val="20"/>
          <w:szCs w:val="20"/>
        </w:rPr>
        <w:t>La Comisión recuerda que no le compete</w:t>
      </w:r>
      <w:r w:rsidR="002F51A8" w:rsidRPr="009E773A">
        <w:rPr>
          <w:rFonts w:asciiTheme="majorHAnsi" w:hAnsiTheme="majorHAnsi"/>
          <w:bCs/>
          <w:sz w:val="20"/>
          <w:szCs w:val="20"/>
        </w:rPr>
        <w:t xml:space="preserve"> </w:t>
      </w:r>
      <w:r w:rsidRPr="009E773A">
        <w:rPr>
          <w:rFonts w:asciiTheme="majorHAnsi" w:hAnsiTheme="majorHAnsi"/>
          <w:bCs/>
          <w:sz w:val="20"/>
          <w:szCs w:val="20"/>
        </w:rPr>
        <w:t>determinar responsabilidades penales individuales sino si existen suficientes elementos que, vistos en su conjunto, permitan concluir la participación del Estado en los hechos.</w:t>
      </w:r>
    </w:p>
    <w:p w14:paraId="73A07C6F" w14:textId="77777777" w:rsidR="00162FD8" w:rsidRPr="009E773A" w:rsidRDefault="00162FD8"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ES"/>
        </w:rPr>
      </w:pPr>
    </w:p>
    <w:p w14:paraId="181CE292" w14:textId="58877458" w:rsidR="00F56B8E" w:rsidRPr="009E773A" w:rsidRDefault="00775326"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sz w:val="20"/>
          <w:szCs w:val="20"/>
          <w:lang w:val="es-ES"/>
        </w:rPr>
        <w:t xml:space="preserve">En primer lugar, </w:t>
      </w:r>
      <w:r w:rsidR="00CB064D" w:rsidRPr="009E773A">
        <w:rPr>
          <w:rFonts w:asciiTheme="majorHAnsi" w:hAnsiTheme="majorHAnsi"/>
          <w:sz w:val="20"/>
          <w:szCs w:val="20"/>
          <w:lang w:val="es-ES"/>
        </w:rPr>
        <w:t>la Comisión encuentra</w:t>
      </w:r>
      <w:r w:rsidRPr="009E773A">
        <w:rPr>
          <w:rFonts w:asciiTheme="majorHAnsi" w:hAnsiTheme="majorHAnsi"/>
          <w:sz w:val="20"/>
          <w:szCs w:val="20"/>
          <w:lang w:val="es-ES"/>
        </w:rPr>
        <w:t xml:space="preserve"> que existen antecedentes formalmente denunciados</w:t>
      </w:r>
      <w:r w:rsidR="007D4650" w:rsidRPr="009E773A">
        <w:rPr>
          <w:rFonts w:asciiTheme="majorHAnsi" w:hAnsiTheme="majorHAnsi"/>
          <w:sz w:val="20"/>
          <w:szCs w:val="20"/>
          <w:lang w:val="es-ES"/>
        </w:rPr>
        <w:t xml:space="preserve"> de </w:t>
      </w:r>
      <w:r w:rsidR="00CB064D" w:rsidRPr="009E773A">
        <w:rPr>
          <w:rFonts w:asciiTheme="majorHAnsi" w:hAnsiTheme="majorHAnsi"/>
          <w:sz w:val="20"/>
          <w:szCs w:val="20"/>
          <w:lang w:val="es-ES"/>
        </w:rPr>
        <w:t>persecución policial no investigada ejercida contra Jimmy Guerrero</w:t>
      </w:r>
      <w:r w:rsidR="007D4650" w:rsidRPr="009E773A">
        <w:rPr>
          <w:rFonts w:asciiTheme="majorHAnsi" w:hAnsiTheme="majorHAnsi"/>
          <w:sz w:val="20"/>
          <w:szCs w:val="20"/>
          <w:lang w:val="es-ES"/>
        </w:rPr>
        <w:t>. La Comisión observa que las primeras intervenciones</w:t>
      </w:r>
      <w:r w:rsidR="006B4311" w:rsidRPr="009E773A">
        <w:rPr>
          <w:rFonts w:asciiTheme="majorHAnsi" w:hAnsiTheme="majorHAnsi"/>
          <w:sz w:val="20"/>
          <w:szCs w:val="20"/>
          <w:lang w:val="es-ES"/>
        </w:rPr>
        <w:t xml:space="preserve"> denunciadas</w:t>
      </w:r>
      <w:r w:rsidR="00144C87" w:rsidRPr="009E773A">
        <w:rPr>
          <w:rFonts w:asciiTheme="majorHAnsi" w:hAnsiTheme="majorHAnsi"/>
          <w:sz w:val="20"/>
          <w:szCs w:val="20"/>
          <w:lang w:val="es-ES"/>
        </w:rPr>
        <w:t>, que incluyeron amenazas de muerte,</w:t>
      </w:r>
      <w:r w:rsidR="007D4650" w:rsidRPr="009E773A">
        <w:rPr>
          <w:rFonts w:asciiTheme="majorHAnsi" w:hAnsiTheme="majorHAnsi"/>
          <w:sz w:val="20"/>
          <w:szCs w:val="20"/>
          <w:lang w:val="es-ES"/>
        </w:rPr>
        <w:t xml:space="preserve"> fueron seguidas por detenciones sin orden judicial, acreditadas por Defensoría del Pueblo y</w:t>
      </w:r>
      <w:r w:rsidR="00CB064D" w:rsidRPr="009E773A">
        <w:rPr>
          <w:rFonts w:asciiTheme="majorHAnsi" w:hAnsiTheme="majorHAnsi"/>
          <w:sz w:val="20"/>
          <w:szCs w:val="20"/>
          <w:lang w:val="es-ES"/>
        </w:rPr>
        <w:t xml:space="preserve"> malos tratos </w:t>
      </w:r>
      <w:r w:rsidR="007D4650" w:rsidRPr="009E773A">
        <w:rPr>
          <w:rFonts w:asciiTheme="majorHAnsi" w:hAnsiTheme="majorHAnsi"/>
          <w:sz w:val="20"/>
          <w:szCs w:val="20"/>
          <w:lang w:val="es-ES"/>
        </w:rPr>
        <w:t>respecto de los cuáles incluso existe un informe médico legal. Así, l</w:t>
      </w:r>
      <w:r w:rsidR="00CB064D" w:rsidRPr="009E773A">
        <w:rPr>
          <w:rFonts w:asciiTheme="majorHAnsi" w:hAnsiTheme="majorHAnsi"/>
          <w:sz w:val="20"/>
          <w:szCs w:val="20"/>
          <w:lang w:val="es-ES"/>
        </w:rPr>
        <w:t>a CIDH observa un patrón incremental en los contactos sostenidos entre agentes estatales y Jimmy Guerrero en razón de su</w:t>
      </w:r>
      <w:r w:rsidR="006B4311" w:rsidRPr="009E773A">
        <w:rPr>
          <w:rFonts w:asciiTheme="majorHAnsi" w:hAnsiTheme="majorHAnsi"/>
          <w:sz w:val="20"/>
          <w:szCs w:val="20"/>
          <w:lang w:val="es-ES"/>
        </w:rPr>
        <w:t>s</w:t>
      </w:r>
      <w:r w:rsidR="00CB064D" w:rsidRPr="009E773A">
        <w:rPr>
          <w:rFonts w:asciiTheme="majorHAnsi" w:hAnsiTheme="majorHAnsi"/>
          <w:sz w:val="20"/>
          <w:szCs w:val="20"/>
          <w:lang w:val="es-ES"/>
        </w:rPr>
        <w:t xml:space="preserve"> supu</w:t>
      </w:r>
      <w:r w:rsidR="007D4650" w:rsidRPr="009E773A">
        <w:rPr>
          <w:rFonts w:asciiTheme="majorHAnsi" w:hAnsiTheme="majorHAnsi"/>
          <w:sz w:val="20"/>
          <w:szCs w:val="20"/>
          <w:lang w:val="es-ES"/>
        </w:rPr>
        <w:t>esto</w:t>
      </w:r>
      <w:r w:rsidR="006B4311" w:rsidRPr="009E773A">
        <w:rPr>
          <w:rFonts w:asciiTheme="majorHAnsi" w:hAnsiTheme="majorHAnsi"/>
          <w:sz w:val="20"/>
          <w:szCs w:val="20"/>
          <w:lang w:val="es-ES"/>
        </w:rPr>
        <w:t>s</w:t>
      </w:r>
      <w:r w:rsidR="007D4650" w:rsidRPr="009E773A">
        <w:rPr>
          <w:rFonts w:asciiTheme="majorHAnsi" w:hAnsiTheme="majorHAnsi"/>
          <w:sz w:val="20"/>
          <w:szCs w:val="20"/>
          <w:lang w:val="es-ES"/>
        </w:rPr>
        <w:t xml:space="preserve"> </w:t>
      </w:r>
      <w:r w:rsidR="002F51A8" w:rsidRPr="009E773A">
        <w:rPr>
          <w:rFonts w:asciiTheme="majorHAnsi" w:hAnsiTheme="majorHAnsi"/>
          <w:sz w:val="20"/>
          <w:szCs w:val="20"/>
          <w:lang w:val="es-ES"/>
        </w:rPr>
        <w:t>antecedentes</w:t>
      </w:r>
      <w:r w:rsidR="007D4650" w:rsidRPr="009E773A">
        <w:rPr>
          <w:rFonts w:asciiTheme="majorHAnsi" w:hAnsiTheme="majorHAnsi"/>
          <w:sz w:val="20"/>
          <w:szCs w:val="20"/>
          <w:lang w:val="es-ES"/>
        </w:rPr>
        <w:t xml:space="preserve"> delictivo</w:t>
      </w:r>
      <w:r w:rsidR="002F51A8" w:rsidRPr="009E773A">
        <w:rPr>
          <w:rFonts w:asciiTheme="majorHAnsi" w:hAnsiTheme="majorHAnsi"/>
          <w:sz w:val="20"/>
          <w:szCs w:val="20"/>
          <w:lang w:val="es-ES"/>
        </w:rPr>
        <w:t>s</w:t>
      </w:r>
      <w:r w:rsidR="007D4650" w:rsidRPr="009E773A">
        <w:rPr>
          <w:rFonts w:asciiTheme="majorHAnsi" w:hAnsiTheme="majorHAnsi"/>
          <w:sz w:val="20"/>
          <w:szCs w:val="20"/>
          <w:lang w:val="es-ES"/>
        </w:rPr>
        <w:t>, y que se encuentran</w:t>
      </w:r>
      <w:r w:rsidR="00CB064D" w:rsidRPr="009E773A">
        <w:rPr>
          <w:rFonts w:asciiTheme="majorHAnsi" w:hAnsiTheme="majorHAnsi"/>
          <w:sz w:val="20"/>
          <w:szCs w:val="20"/>
          <w:lang w:val="es-ES"/>
        </w:rPr>
        <w:t xml:space="preserve"> revestidos de un </w:t>
      </w:r>
      <w:r w:rsidR="007D4650" w:rsidRPr="009E773A">
        <w:rPr>
          <w:rFonts w:asciiTheme="majorHAnsi" w:hAnsiTheme="majorHAnsi"/>
          <w:sz w:val="20"/>
          <w:szCs w:val="20"/>
          <w:lang w:val="es-ES"/>
        </w:rPr>
        <w:t>alto grado de</w:t>
      </w:r>
      <w:r w:rsidR="00CB064D" w:rsidRPr="009E773A">
        <w:rPr>
          <w:rFonts w:asciiTheme="majorHAnsi" w:hAnsiTheme="majorHAnsi"/>
          <w:sz w:val="20"/>
          <w:szCs w:val="20"/>
          <w:lang w:val="es-ES"/>
        </w:rPr>
        <w:t xml:space="preserve"> hostilidad que también </w:t>
      </w:r>
      <w:r w:rsidR="007D4650" w:rsidRPr="009E773A">
        <w:rPr>
          <w:rFonts w:asciiTheme="majorHAnsi" w:hAnsiTheme="majorHAnsi"/>
          <w:sz w:val="20"/>
          <w:szCs w:val="20"/>
          <w:lang w:val="es-ES"/>
        </w:rPr>
        <w:t>fue incrementando con la habitualidad de las intervenciones</w:t>
      </w:r>
      <w:r w:rsidR="008E4A4C" w:rsidRPr="009E773A">
        <w:rPr>
          <w:rFonts w:asciiTheme="majorHAnsi" w:hAnsiTheme="majorHAnsi"/>
          <w:sz w:val="20"/>
          <w:szCs w:val="20"/>
          <w:lang w:val="es-ES"/>
        </w:rPr>
        <w:t xml:space="preserve">, </w:t>
      </w:r>
      <w:r w:rsidR="006B4311" w:rsidRPr="009E773A">
        <w:rPr>
          <w:rFonts w:asciiTheme="majorHAnsi" w:hAnsiTheme="majorHAnsi"/>
          <w:sz w:val="20"/>
          <w:szCs w:val="20"/>
          <w:lang w:val="es-ES"/>
        </w:rPr>
        <w:t xml:space="preserve">y respecto del cual el Estado no adoptó medida alguna para </w:t>
      </w:r>
      <w:r w:rsidR="00FB706F">
        <w:rPr>
          <w:rFonts w:asciiTheme="majorHAnsi" w:hAnsiTheme="majorHAnsi"/>
          <w:sz w:val="20"/>
          <w:szCs w:val="20"/>
          <w:lang w:val="es-ES"/>
        </w:rPr>
        <w:t>su erradicación</w:t>
      </w:r>
      <w:r w:rsidR="006B4311" w:rsidRPr="009E773A">
        <w:rPr>
          <w:rFonts w:asciiTheme="majorHAnsi" w:hAnsiTheme="majorHAnsi"/>
          <w:sz w:val="20"/>
          <w:szCs w:val="20"/>
          <w:lang w:val="es-ES"/>
        </w:rPr>
        <w:t xml:space="preserve"> </w:t>
      </w:r>
      <w:r w:rsidR="008E4A4C" w:rsidRPr="009E773A">
        <w:rPr>
          <w:rFonts w:asciiTheme="majorHAnsi" w:hAnsiTheme="majorHAnsi"/>
          <w:sz w:val="20"/>
          <w:szCs w:val="20"/>
          <w:lang w:val="es-ES"/>
        </w:rPr>
        <w:t xml:space="preserve">pese a las denuncias </w:t>
      </w:r>
      <w:r w:rsidR="002F51A8" w:rsidRPr="009E773A">
        <w:rPr>
          <w:rFonts w:asciiTheme="majorHAnsi" w:hAnsiTheme="majorHAnsi"/>
          <w:sz w:val="20"/>
          <w:szCs w:val="20"/>
          <w:lang w:val="es-ES"/>
        </w:rPr>
        <w:t>de Jimmy Guerrero</w:t>
      </w:r>
      <w:r w:rsidR="007D4650" w:rsidRPr="009E773A">
        <w:rPr>
          <w:rFonts w:asciiTheme="majorHAnsi" w:hAnsiTheme="majorHAnsi"/>
          <w:sz w:val="20"/>
          <w:szCs w:val="20"/>
          <w:lang w:val="es-ES"/>
        </w:rPr>
        <w:t xml:space="preserve">. </w:t>
      </w:r>
      <w:r w:rsidR="00D33AAF" w:rsidRPr="009E773A">
        <w:rPr>
          <w:rFonts w:asciiTheme="majorHAnsi" w:hAnsiTheme="majorHAnsi"/>
          <w:sz w:val="20"/>
          <w:szCs w:val="20"/>
          <w:lang w:val="es-ES"/>
        </w:rPr>
        <w:t xml:space="preserve">La Comisión destaca que las denuncias de estos hechos fueron presentadas tanto a la Fiscalía como a la Defensoría del Pueblo desde 2002 y hasta 2003, a escasos días de las muertes. </w:t>
      </w:r>
      <w:r w:rsidR="00CB1F61" w:rsidRPr="009E773A">
        <w:rPr>
          <w:rFonts w:asciiTheme="majorHAnsi" w:hAnsiTheme="majorHAnsi"/>
          <w:sz w:val="20"/>
          <w:szCs w:val="20"/>
          <w:lang w:val="es-ES"/>
        </w:rPr>
        <w:t>En ese sentido, la CIDH enfatiza en que la secuencia de persecución denunciada</w:t>
      </w:r>
      <w:r w:rsidR="00CE1D3F">
        <w:rPr>
          <w:rFonts w:asciiTheme="majorHAnsi" w:hAnsiTheme="majorHAnsi"/>
          <w:sz w:val="20"/>
          <w:szCs w:val="20"/>
          <w:lang w:val="es-ES"/>
        </w:rPr>
        <w:t xml:space="preserve"> es coincidente temporalmente y</w:t>
      </w:r>
      <w:r w:rsidR="00C66341" w:rsidRPr="009E773A">
        <w:rPr>
          <w:rFonts w:asciiTheme="majorHAnsi" w:hAnsiTheme="majorHAnsi"/>
          <w:sz w:val="20"/>
          <w:szCs w:val="20"/>
          <w:lang w:val="es-ES"/>
        </w:rPr>
        <w:t xml:space="preserve"> se encontraba vigent</w:t>
      </w:r>
      <w:r w:rsidR="00CE1D3F">
        <w:rPr>
          <w:rFonts w:asciiTheme="majorHAnsi" w:hAnsiTheme="majorHAnsi"/>
          <w:sz w:val="20"/>
          <w:szCs w:val="20"/>
          <w:lang w:val="es-ES"/>
        </w:rPr>
        <w:t>e para el 29 de marzo de 2003 en que murió Jimmy Guerrero, y conexamente, su t</w:t>
      </w:r>
      <w:r w:rsidR="00AA27DA">
        <w:rPr>
          <w:rFonts w:asciiTheme="majorHAnsi" w:hAnsiTheme="majorHAnsi"/>
          <w:sz w:val="20"/>
          <w:szCs w:val="20"/>
          <w:lang w:val="es-ES"/>
        </w:rPr>
        <w:t xml:space="preserve">ío Ramón Molina. </w:t>
      </w:r>
    </w:p>
    <w:p w14:paraId="77105C8E" w14:textId="77777777" w:rsidR="00F56B8E" w:rsidRPr="009E773A" w:rsidRDefault="00F56B8E"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ind w:left="630"/>
        <w:jc w:val="both"/>
        <w:rPr>
          <w:rFonts w:asciiTheme="majorHAnsi" w:hAnsiTheme="majorHAnsi"/>
          <w:sz w:val="20"/>
          <w:szCs w:val="20"/>
          <w:lang w:val="es-ES"/>
        </w:rPr>
      </w:pPr>
    </w:p>
    <w:p w14:paraId="6ED295F3" w14:textId="095D9D01" w:rsidR="006B4728" w:rsidRPr="009E773A" w:rsidRDefault="00F56B8E"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sz w:val="20"/>
          <w:szCs w:val="20"/>
          <w:lang w:val="es-ES"/>
        </w:rPr>
        <w:t xml:space="preserve">En segundo lugar y vinculado a lo anterior, los hechos ocurridos el 17 de febrero de 2003 </w:t>
      </w:r>
      <w:r w:rsidR="00CE1D3F">
        <w:rPr>
          <w:rFonts w:asciiTheme="majorHAnsi" w:hAnsiTheme="majorHAnsi"/>
          <w:sz w:val="20"/>
          <w:szCs w:val="20"/>
          <w:lang w:val="es-ES"/>
        </w:rPr>
        <w:t xml:space="preserve">resultan de especial relevancia </w:t>
      </w:r>
      <w:r w:rsidRPr="009E773A">
        <w:rPr>
          <w:rFonts w:asciiTheme="majorHAnsi" w:hAnsiTheme="majorHAnsi"/>
          <w:sz w:val="20"/>
          <w:szCs w:val="20"/>
          <w:lang w:val="es-ES"/>
        </w:rPr>
        <w:t xml:space="preserve">en el marco de los cuales se denunció que Jimmy Guerrero fue intervenido por motorizados, y luego apareció en una dependencia policial lo que, se reitera, fue constatado por la Defensoría del Pueblo. </w:t>
      </w:r>
      <w:r w:rsidR="00D91DB5" w:rsidRPr="009E773A">
        <w:rPr>
          <w:rFonts w:asciiTheme="majorHAnsi" w:hAnsiTheme="majorHAnsi"/>
          <w:sz w:val="20"/>
          <w:szCs w:val="20"/>
          <w:lang w:val="es-ES"/>
        </w:rPr>
        <w:t xml:space="preserve">La Comisión considera que este hecho, además de demostrar que existía una persecución previa a Jimmy Guerrero por parte de la policía, </w:t>
      </w:r>
      <w:r w:rsidR="008A7ACC" w:rsidRPr="009E773A">
        <w:rPr>
          <w:rFonts w:asciiTheme="majorHAnsi" w:hAnsiTheme="majorHAnsi"/>
          <w:sz w:val="20"/>
          <w:szCs w:val="20"/>
          <w:lang w:val="es-ES"/>
        </w:rPr>
        <w:t>constituye un fuerte indicio sobre la manera de actuar de la policía, mediante intervenciones de personas identificadas como motorizados, para luego quedar bajo custodia del Estado como efectivamente pas</w:t>
      </w:r>
      <w:r w:rsidR="00CE1D3F">
        <w:rPr>
          <w:rFonts w:asciiTheme="majorHAnsi" w:hAnsiTheme="majorHAnsi"/>
          <w:sz w:val="20"/>
          <w:szCs w:val="20"/>
          <w:lang w:val="es-ES"/>
        </w:rPr>
        <w:t>ó poco más de un mes antes de los hechos del caso.</w:t>
      </w:r>
    </w:p>
    <w:p w14:paraId="1FCF6D36" w14:textId="77777777" w:rsidR="006B4728" w:rsidRPr="009E773A" w:rsidRDefault="006B4728" w:rsidP="009A79B6">
      <w:pPr>
        <w:pStyle w:val="Prrafodelista"/>
        <w:rPr>
          <w:rFonts w:asciiTheme="majorHAnsi" w:hAnsiTheme="majorHAnsi"/>
          <w:sz w:val="20"/>
          <w:szCs w:val="20"/>
          <w:lang w:val="es-ES"/>
        </w:rPr>
      </w:pPr>
    </w:p>
    <w:p w14:paraId="739D73AD" w14:textId="0B3ACC1F" w:rsidR="00D85D24" w:rsidRPr="009E773A" w:rsidRDefault="00D85D24"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sz w:val="20"/>
          <w:szCs w:val="20"/>
          <w:lang w:val="es-ES"/>
        </w:rPr>
        <w:t xml:space="preserve">En </w:t>
      </w:r>
      <w:r w:rsidR="00AB1F66" w:rsidRPr="009E773A">
        <w:rPr>
          <w:rFonts w:asciiTheme="majorHAnsi" w:hAnsiTheme="majorHAnsi"/>
          <w:sz w:val="20"/>
          <w:szCs w:val="20"/>
          <w:lang w:val="es-ES"/>
        </w:rPr>
        <w:t>tercer</w:t>
      </w:r>
      <w:r w:rsidRPr="009E773A">
        <w:rPr>
          <w:rFonts w:asciiTheme="majorHAnsi" w:hAnsiTheme="majorHAnsi"/>
          <w:sz w:val="20"/>
          <w:szCs w:val="20"/>
          <w:lang w:val="es-ES"/>
        </w:rPr>
        <w:t xml:space="preserve"> lugar, la Comisión encuentra que existen dos contextos </w:t>
      </w:r>
      <w:r w:rsidR="009D1F0E" w:rsidRPr="009E773A">
        <w:rPr>
          <w:rFonts w:asciiTheme="majorHAnsi" w:hAnsiTheme="majorHAnsi"/>
          <w:sz w:val="20"/>
          <w:szCs w:val="20"/>
          <w:lang w:val="es-ES"/>
        </w:rPr>
        <w:t xml:space="preserve">relevantes a ser considerados en el análisis de la </w:t>
      </w:r>
      <w:r w:rsidR="002F51A8" w:rsidRPr="009E773A">
        <w:rPr>
          <w:rFonts w:asciiTheme="majorHAnsi" w:hAnsiTheme="majorHAnsi"/>
          <w:sz w:val="20"/>
          <w:szCs w:val="20"/>
          <w:lang w:val="es-ES"/>
        </w:rPr>
        <w:t>muerte de Jimmy Guerrero</w:t>
      </w:r>
      <w:r w:rsidRPr="009E773A">
        <w:rPr>
          <w:rFonts w:asciiTheme="majorHAnsi" w:hAnsiTheme="majorHAnsi"/>
          <w:sz w:val="20"/>
          <w:szCs w:val="20"/>
          <w:lang w:val="es-ES"/>
        </w:rPr>
        <w:t>. Así, por un lado, tal como ya se reseñó, existía un contexto a nivel nacional de violencia policial estadal y denuncias de ejecuciones extrajudiciales contra personas con el perfil del Jimmy Guerrero en el Estado v</w:t>
      </w:r>
      <w:r w:rsidR="006F2353" w:rsidRPr="009E773A">
        <w:rPr>
          <w:rFonts w:asciiTheme="majorHAnsi" w:hAnsiTheme="majorHAnsi"/>
          <w:sz w:val="20"/>
          <w:szCs w:val="20"/>
          <w:lang w:val="es-ES"/>
        </w:rPr>
        <w:t>enezo</w:t>
      </w:r>
      <w:r w:rsidRPr="009E773A">
        <w:rPr>
          <w:rFonts w:asciiTheme="majorHAnsi" w:hAnsiTheme="majorHAnsi"/>
          <w:sz w:val="20"/>
          <w:szCs w:val="20"/>
          <w:lang w:val="es-ES"/>
        </w:rPr>
        <w:t>l</w:t>
      </w:r>
      <w:r w:rsidR="006F2353" w:rsidRPr="009E773A">
        <w:rPr>
          <w:rFonts w:asciiTheme="majorHAnsi" w:hAnsiTheme="majorHAnsi"/>
          <w:sz w:val="20"/>
          <w:szCs w:val="20"/>
          <w:lang w:val="es-ES"/>
        </w:rPr>
        <w:t>a</w:t>
      </w:r>
      <w:r w:rsidRPr="009E773A">
        <w:rPr>
          <w:rFonts w:asciiTheme="majorHAnsi" w:hAnsiTheme="majorHAnsi"/>
          <w:sz w:val="20"/>
          <w:szCs w:val="20"/>
          <w:lang w:val="es-ES"/>
        </w:rPr>
        <w:t>n</w:t>
      </w:r>
      <w:r w:rsidR="008E4A4C" w:rsidRPr="009E773A">
        <w:rPr>
          <w:rFonts w:asciiTheme="majorHAnsi" w:hAnsiTheme="majorHAnsi"/>
          <w:sz w:val="20"/>
          <w:szCs w:val="20"/>
          <w:lang w:val="es-ES"/>
        </w:rPr>
        <w:t>o</w:t>
      </w:r>
      <w:r w:rsidRPr="009E773A">
        <w:rPr>
          <w:rFonts w:asciiTheme="majorHAnsi" w:hAnsiTheme="majorHAnsi"/>
          <w:sz w:val="20"/>
          <w:szCs w:val="20"/>
          <w:lang w:val="es-ES"/>
        </w:rPr>
        <w:t>, caracterizadas por su falta de investigación y que relacionan la participación de agentes policiales</w:t>
      </w:r>
      <w:r w:rsidR="006F2353" w:rsidRPr="009E773A">
        <w:rPr>
          <w:rFonts w:asciiTheme="majorHAnsi" w:hAnsiTheme="majorHAnsi"/>
          <w:sz w:val="20"/>
          <w:szCs w:val="20"/>
          <w:lang w:val="es-ES"/>
        </w:rPr>
        <w:t xml:space="preserve"> en su comisión, o que son explicadas como un “ajuste de cuentas” apelando a antecedentes delictivos</w:t>
      </w:r>
      <w:r w:rsidR="008E4A4C" w:rsidRPr="009E773A">
        <w:rPr>
          <w:rFonts w:asciiTheme="majorHAnsi" w:hAnsiTheme="majorHAnsi"/>
          <w:sz w:val="20"/>
          <w:szCs w:val="20"/>
          <w:lang w:val="es-ES"/>
        </w:rPr>
        <w:t xml:space="preserve"> que ya ha sido verificado por la Comisión y la Corte</w:t>
      </w:r>
      <w:r w:rsidR="006F2353" w:rsidRPr="009E773A">
        <w:rPr>
          <w:rFonts w:asciiTheme="majorHAnsi" w:hAnsiTheme="majorHAnsi"/>
          <w:sz w:val="20"/>
          <w:szCs w:val="20"/>
          <w:lang w:val="es-ES"/>
        </w:rPr>
        <w:t xml:space="preserve">. Por otro lado, la Comisión también advierte que existe </w:t>
      </w:r>
      <w:r w:rsidR="00DE0A20" w:rsidRPr="009E773A">
        <w:rPr>
          <w:rFonts w:asciiTheme="majorHAnsi" w:hAnsiTheme="majorHAnsi"/>
          <w:sz w:val="20"/>
          <w:szCs w:val="20"/>
          <w:lang w:val="es-ES"/>
        </w:rPr>
        <w:t xml:space="preserve">el contexto más específico de la incidencia de esta problemática en el estado Falcón, </w:t>
      </w:r>
      <w:r w:rsidR="006F2353" w:rsidRPr="009E773A">
        <w:rPr>
          <w:rFonts w:asciiTheme="majorHAnsi" w:hAnsiTheme="majorHAnsi"/>
          <w:sz w:val="20"/>
          <w:szCs w:val="20"/>
          <w:lang w:val="es-ES"/>
        </w:rPr>
        <w:t xml:space="preserve">que </w:t>
      </w:r>
      <w:r w:rsidR="00DE0A20" w:rsidRPr="009E773A">
        <w:rPr>
          <w:rFonts w:asciiTheme="majorHAnsi" w:hAnsiTheme="majorHAnsi"/>
          <w:sz w:val="20"/>
          <w:szCs w:val="20"/>
          <w:lang w:val="es-ES"/>
        </w:rPr>
        <w:t xml:space="preserve">coincide </w:t>
      </w:r>
      <w:r w:rsidR="006F2353" w:rsidRPr="009E773A">
        <w:rPr>
          <w:rFonts w:asciiTheme="majorHAnsi" w:hAnsiTheme="majorHAnsi"/>
          <w:sz w:val="20"/>
          <w:szCs w:val="20"/>
          <w:lang w:val="es-ES"/>
        </w:rPr>
        <w:t xml:space="preserve">temporal y geográficamente los hechos del caso </w:t>
      </w:r>
      <w:r w:rsidR="008E4A4C" w:rsidRPr="009E773A">
        <w:rPr>
          <w:rFonts w:asciiTheme="majorHAnsi" w:hAnsiTheme="majorHAnsi"/>
          <w:sz w:val="20"/>
          <w:szCs w:val="20"/>
          <w:lang w:val="es-ES"/>
        </w:rPr>
        <w:t>con el accionar de la Policí</w:t>
      </w:r>
      <w:r w:rsidR="006F2353" w:rsidRPr="009E773A">
        <w:rPr>
          <w:rFonts w:asciiTheme="majorHAnsi" w:hAnsiTheme="majorHAnsi"/>
          <w:sz w:val="20"/>
          <w:szCs w:val="20"/>
          <w:lang w:val="es-ES"/>
        </w:rPr>
        <w:t xml:space="preserve">a Estadal </w:t>
      </w:r>
      <w:r w:rsidR="00211674" w:rsidRPr="009E773A">
        <w:rPr>
          <w:rFonts w:asciiTheme="majorHAnsi" w:hAnsiTheme="majorHAnsi"/>
          <w:sz w:val="20"/>
          <w:szCs w:val="20"/>
          <w:lang w:val="es-ES"/>
        </w:rPr>
        <w:t xml:space="preserve">de dicho estado </w:t>
      </w:r>
      <w:r w:rsidR="006F2353" w:rsidRPr="009E773A">
        <w:rPr>
          <w:rFonts w:asciiTheme="majorHAnsi" w:hAnsiTheme="majorHAnsi"/>
          <w:sz w:val="20"/>
          <w:szCs w:val="20"/>
          <w:lang w:val="es-ES"/>
        </w:rPr>
        <w:t>y que</w:t>
      </w:r>
      <w:r w:rsidR="008E4A4C" w:rsidRPr="009E773A">
        <w:rPr>
          <w:rFonts w:asciiTheme="majorHAnsi" w:hAnsiTheme="majorHAnsi"/>
          <w:sz w:val="20"/>
          <w:szCs w:val="20"/>
          <w:lang w:val="es-ES"/>
        </w:rPr>
        <w:t>,</w:t>
      </w:r>
      <w:r w:rsidR="006F2353" w:rsidRPr="009E773A">
        <w:rPr>
          <w:rFonts w:asciiTheme="majorHAnsi" w:hAnsiTheme="majorHAnsi"/>
          <w:sz w:val="20"/>
          <w:szCs w:val="20"/>
          <w:lang w:val="es-ES"/>
        </w:rPr>
        <w:t xml:space="preserve"> nuevamente</w:t>
      </w:r>
      <w:r w:rsidR="008E4A4C" w:rsidRPr="009E773A">
        <w:rPr>
          <w:rFonts w:asciiTheme="majorHAnsi" w:hAnsiTheme="majorHAnsi"/>
          <w:sz w:val="20"/>
          <w:szCs w:val="20"/>
          <w:lang w:val="es-ES"/>
        </w:rPr>
        <w:t>,</w:t>
      </w:r>
      <w:r w:rsidR="006F2353" w:rsidRPr="009E773A">
        <w:rPr>
          <w:rFonts w:asciiTheme="majorHAnsi" w:hAnsiTheme="majorHAnsi"/>
          <w:sz w:val="20"/>
          <w:szCs w:val="20"/>
          <w:lang w:val="es-ES"/>
        </w:rPr>
        <w:t xml:space="preserve"> coincide con el perfil de la víctima del caso, </w:t>
      </w:r>
      <w:r w:rsidR="0024675E" w:rsidRPr="009E773A">
        <w:rPr>
          <w:rFonts w:asciiTheme="majorHAnsi" w:hAnsiTheme="majorHAnsi"/>
          <w:sz w:val="20"/>
          <w:szCs w:val="20"/>
          <w:lang w:val="es-ES"/>
        </w:rPr>
        <w:t>algunos elementos que rodearon su muerte,</w:t>
      </w:r>
      <w:r w:rsidR="006F2353" w:rsidRPr="009E773A">
        <w:rPr>
          <w:rFonts w:asciiTheme="majorHAnsi" w:hAnsiTheme="majorHAnsi"/>
          <w:sz w:val="20"/>
          <w:szCs w:val="20"/>
          <w:lang w:val="es-ES"/>
        </w:rPr>
        <w:t xml:space="preserve"> y la ciudad en la que esta ocurrió. </w:t>
      </w:r>
    </w:p>
    <w:p w14:paraId="7A6BA37D" w14:textId="77777777" w:rsidR="006F2353" w:rsidRPr="009E773A" w:rsidRDefault="006F2353"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ES"/>
        </w:rPr>
      </w:pPr>
    </w:p>
    <w:p w14:paraId="0E6BE521" w14:textId="7E986056" w:rsidR="007F0A68" w:rsidRPr="009E773A" w:rsidRDefault="006F2353"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sz w:val="20"/>
          <w:szCs w:val="20"/>
          <w:lang w:val="es-ES"/>
        </w:rPr>
        <w:t xml:space="preserve">En </w:t>
      </w:r>
      <w:r w:rsidR="00AB1F66" w:rsidRPr="009E773A">
        <w:rPr>
          <w:rFonts w:asciiTheme="majorHAnsi" w:hAnsiTheme="majorHAnsi"/>
          <w:sz w:val="20"/>
          <w:szCs w:val="20"/>
          <w:lang w:val="es-ES"/>
        </w:rPr>
        <w:t>cuarto</w:t>
      </w:r>
      <w:r w:rsidRPr="009E773A">
        <w:rPr>
          <w:rFonts w:asciiTheme="majorHAnsi" w:hAnsiTheme="majorHAnsi"/>
          <w:sz w:val="20"/>
          <w:szCs w:val="20"/>
          <w:lang w:val="es-ES"/>
        </w:rPr>
        <w:t xml:space="preserve"> lugar, </w:t>
      </w:r>
      <w:r w:rsidR="00621EEC" w:rsidRPr="009E773A">
        <w:rPr>
          <w:rFonts w:asciiTheme="majorHAnsi" w:hAnsiTheme="majorHAnsi"/>
          <w:sz w:val="20"/>
          <w:szCs w:val="20"/>
          <w:lang w:val="es-ES"/>
        </w:rPr>
        <w:t>la Comisi</w:t>
      </w:r>
      <w:r w:rsidR="00E35D39" w:rsidRPr="009E773A">
        <w:rPr>
          <w:rFonts w:asciiTheme="majorHAnsi" w:hAnsiTheme="majorHAnsi"/>
          <w:sz w:val="20"/>
          <w:szCs w:val="20"/>
          <w:lang w:val="es-ES"/>
        </w:rPr>
        <w:t xml:space="preserve">ón observa que existe un nivel sospechoso de falta de cooperación </w:t>
      </w:r>
      <w:r w:rsidR="00D85D24" w:rsidRPr="009E773A">
        <w:rPr>
          <w:rFonts w:asciiTheme="majorHAnsi" w:hAnsiTheme="majorHAnsi"/>
          <w:sz w:val="20"/>
          <w:szCs w:val="20"/>
          <w:lang w:val="es-ES"/>
        </w:rPr>
        <w:t>d</w:t>
      </w:r>
      <w:r w:rsidR="008E4A4C" w:rsidRPr="009E773A">
        <w:rPr>
          <w:rFonts w:asciiTheme="majorHAnsi" w:hAnsiTheme="majorHAnsi"/>
          <w:sz w:val="20"/>
          <w:szCs w:val="20"/>
          <w:lang w:val="es-ES"/>
        </w:rPr>
        <w:t>e la Policí</w:t>
      </w:r>
      <w:r w:rsidR="00D85D24" w:rsidRPr="009E773A">
        <w:rPr>
          <w:rFonts w:asciiTheme="majorHAnsi" w:hAnsiTheme="majorHAnsi"/>
          <w:sz w:val="20"/>
          <w:szCs w:val="20"/>
          <w:lang w:val="es-ES"/>
        </w:rPr>
        <w:t>a Estadal con los órganos encargados de la investigación</w:t>
      </w:r>
      <w:r w:rsidR="00E35D39" w:rsidRPr="009E773A">
        <w:rPr>
          <w:rFonts w:asciiTheme="majorHAnsi" w:hAnsiTheme="majorHAnsi"/>
          <w:sz w:val="20"/>
          <w:szCs w:val="20"/>
          <w:lang w:val="es-ES"/>
        </w:rPr>
        <w:t>. En estos términos, fluye del expediente que los libros de ocurrencias y el inventario de parque de armas, pruebas importantes que podían arrojar luces sobre la participación de agentes de estatales en la muerte de Jimmy Guerrero y Ramón Molina nunca fue</w:t>
      </w:r>
      <w:r w:rsidR="00D85D24" w:rsidRPr="009E773A">
        <w:rPr>
          <w:rFonts w:asciiTheme="majorHAnsi" w:hAnsiTheme="majorHAnsi"/>
          <w:sz w:val="20"/>
          <w:szCs w:val="20"/>
          <w:lang w:val="es-ES"/>
        </w:rPr>
        <w:t>ron</w:t>
      </w:r>
      <w:r w:rsidR="00E35D39" w:rsidRPr="009E773A">
        <w:rPr>
          <w:rFonts w:asciiTheme="majorHAnsi" w:hAnsiTheme="majorHAnsi"/>
          <w:sz w:val="20"/>
          <w:szCs w:val="20"/>
          <w:lang w:val="es-ES"/>
        </w:rPr>
        <w:t xml:space="preserve"> remit</w:t>
      </w:r>
      <w:r w:rsidR="00D85D24" w:rsidRPr="009E773A">
        <w:rPr>
          <w:rFonts w:asciiTheme="majorHAnsi" w:hAnsiTheme="majorHAnsi"/>
          <w:sz w:val="20"/>
          <w:szCs w:val="20"/>
          <w:lang w:val="es-ES"/>
        </w:rPr>
        <w:t>idos</w:t>
      </w:r>
      <w:r w:rsidR="00E35D39" w:rsidRPr="009E773A">
        <w:rPr>
          <w:rFonts w:asciiTheme="majorHAnsi" w:hAnsiTheme="majorHAnsi"/>
          <w:sz w:val="20"/>
          <w:szCs w:val="20"/>
          <w:lang w:val="es-ES"/>
        </w:rPr>
        <w:t xml:space="preserve"> por las fuerzas policiales ni a la </w:t>
      </w:r>
      <w:r w:rsidR="007F0A68" w:rsidRPr="009E773A">
        <w:rPr>
          <w:rFonts w:asciiTheme="majorHAnsi" w:hAnsiTheme="majorHAnsi"/>
          <w:sz w:val="20"/>
          <w:szCs w:val="20"/>
          <w:lang w:val="es-ES"/>
        </w:rPr>
        <w:t>CICPC ni a la Fiscalía, pese a que las solicitaron en repetidas oportunidades desde el año</w:t>
      </w:r>
      <w:r w:rsidR="00CE1D3F">
        <w:rPr>
          <w:rFonts w:asciiTheme="majorHAnsi" w:hAnsiTheme="majorHAnsi"/>
          <w:sz w:val="20"/>
          <w:szCs w:val="20"/>
          <w:lang w:val="es-ES"/>
        </w:rPr>
        <w:t xml:space="preserve"> 2003, informando recién el 2014</w:t>
      </w:r>
      <w:r w:rsidR="007F0A68" w:rsidRPr="009E773A">
        <w:rPr>
          <w:rFonts w:asciiTheme="majorHAnsi" w:hAnsiTheme="majorHAnsi"/>
          <w:sz w:val="20"/>
          <w:szCs w:val="20"/>
          <w:lang w:val="es-ES"/>
        </w:rPr>
        <w:t xml:space="preserve"> que dichos libros ya no existían</w:t>
      </w:r>
      <w:r w:rsidR="00D85D24" w:rsidRPr="009E773A">
        <w:rPr>
          <w:rFonts w:asciiTheme="majorHAnsi" w:hAnsiTheme="majorHAnsi"/>
          <w:sz w:val="20"/>
          <w:szCs w:val="20"/>
          <w:lang w:val="es-ES"/>
        </w:rPr>
        <w:t xml:space="preserve"> desde el 2010</w:t>
      </w:r>
      <w:r w:rsidR="007F0A68" w:rsidRPr="009E773A">
        <w:rPr>
          <w:rFonts w:asciiTheme="majorHAnsi" w:hAnsiTheme="majorHAnsi"/>
          <w:sz w:val="20"/>
          <w:szCs w:val="20"/>
          <w:lang w:val="es-ES"/>
        </w:rPr>
        <w:t>. Esta falta de cooperación policial en la investigaci</w:t>
      </w:r>
      <w:r w:rsidR="00D85D24" w:rsidRPr="009E773A">
        <w:rPr>
          <w:rFonts w:asciiTheme="majorHAnsi" w:hAnsiTheme="majorHAnsi"/>
          <w:sz w:val="20"/>
          <w:szCs w:val="20"/>
          <w:lang w:val="es-ES"/>
        </w:rPr>
        <w:t xml:space="preserve">ón, leída en conexión con los antecedentes y el contexto ya reseñado, </w:t>
      </w:r>
      <w:r w:rsidR="007F0A68" w:rsidRPr="009E773A">
        <w:rPr>
          <w:rFonts w:asciiTheme="majorHAnsi" w:hAnsiTheme="majorHAnsi"/>
          <w:sz w:val="20"/>
          <w:szCs w:val="20"/>
          <w:lang w:val="es-ES"/>
        </w:rPr>
        <w:t xml:space="preserve">no puede ser apreciada por la Comisión como un hecho fortuito, pues </w:t>
      </w:r>
      <w:r w:rsidRPr="009E773A">
        <w:rPr>
          <w:rFonts w:asciiTheme="majorHAnsi" w:hAnsiTheme="majorHAnsi"/>
          <w:sz w:val="20"/>
          <w:szCs w:val="20"/>
          <w:lang w:val="es-ES"/>
        </w:rPr>
        <w:t>en términos concretos, el no env</w:t>
      </w:r>
      <w:r w:rsidR="002F51A8" w:rsidRPr="009E773A">
        <w:rPr>
          <w:rFonts w:asciiTheme="majorHAnsi" w:hAnsiTheme="majorHAnsi"/>
          <w:sz w:val="20"/>
          <w:szCs w:val="20"/>
          <w:lang w:val="es-ES"/>
        </w:rPr>
        <w:t xml:space="preserve">ío de estos documentos </w:t>
      </w:r>
      <w:r w:rsidRPr="009E773A">
        <w:rPr>
          <w:rFonts w:asciiTheme="majorHAnsi" w:hAnsiTheme="majorHAnsi"/>
          <w:sz w:val="20"/>
          <w:szCs w:val="20"/>
          <w:lang w:val="es-ES"/>
        </w:rPr>
        <w:t>generó el</w:t>
      </w:r>
      <w:r w:rsidR="00D85D24" w:rsidRPr="009E773A">
        <w:rPr>
          <w:rFonts w:asciiTheme="majorHAnsi" w:hAnsiTheme="majorHAnsi"/>
          <w:sz w:val="20"/>
          <w:szCs w:val="20"/>
          <w:lang w:val="es-ES"/>
        </w:rPr>
        <w:t xml:space="preserve"> encubrimiento </w:t>
      </w:r>
      <w:r w:rsidRPr="009E773A">
        <w:rPr>
          <w:rFonts w:asciiTheme="majorHAnsi" w:hAnsiTheme="majorHAnsi"/>
          <w:sz w:val="20"/>
          <w:szCs w:val="20"/>
          <w:lang w:val="es-ES"/>
        </w:rPr>
        <w:t xml:space="preserve">de </w:t>
      </w:r>
      <w:r w:rsidR="002F51A8" w:rsidRPr="009E773A">
        <w:rPr>
          <w:rFonts w:asciiTheme="majorHAnsi" w:hAnsiTheme="majorHAnsi"/>
          <w:sz w:val="20"/>
          <w:szCs w:val="20"/>
          <w:lang w:val="es-ES"/>
        </w:rPr>
        <w:t>la</w:t>
      </w:r>
      <w:r w:rsidR="009A5186" w:rsidRPr="009E773A">
        <w:rPr>
          <w:rFonts w:asciiTheme="majorHAnsi" w:hAnsiTheme="majorHAnsi"/>
          <w:sz w:val="20"/>
          <w:szCs w:val="20"/>
          <w:lang w:val="es-ES"/>
        </w:rPr>
        <w:t xml:space="preserve"> posible</w:t>
      </w:r>
      <w:r w:rsidR="00D85D24" w:rsidRPr="009E773A">
        <w:rPr>
          <w:rFonts w:asciiTheme="majorHAnsi" w:hAnsiTheme="majorHAnsi"/>
          <w:sz w:val="20"/>
          <w:szCs w:val="20"/>
          <w:lang w:val="es-ES"/>
        </w:rPr>
        <w:t xml:space="preserve"> participación </w:t>
      </w:r>
      <w:r w:rsidR="009A5186" w:rsidRPr="009E773A">
        <w:rPr>
          <w:rFonts w:asciiTheme="majorHAnsi" w:hAnsiTheme="majorHAnsi"/>
          <w:sz w:val="20"/>
          <w:szCs w:val="20"/>
          <w:lang w:val="es-ES"/>
        </w:rPr>
        <w:t xml:space="preserve">estatal en las muertes. </w:t>
      </w:r>
    </w:p>
    <w:p w14:paraId="5C41DA0F" w14:textId="77777777" w:rsidR="007F0A68" w:rsidRPr="009E773A" w:rsidRDefault="007F0A68" w:rsidP="009A79B6">
      <w:pPr>
        <w:pStyle w:val="Prrafodelista"/>
        <w:rPr>
          <w:rFonts w:asciiTheme="majorHAnsi" w:hAnsiTheme="majorHAnsi"/>
          <w:sz w:val="20"/>
          <w:szCs w:val="20"/>
          <w:lang w:val="es-ES"/>
        </w:rPr>
      </w:pPr>
    </w:p>
    <w:p w14:paraId="65575EB1" w14:textId="542924E1" w:rsidR="007F0A68" w:rsidRPr="009E773A" w:rsidRDefault="007F0A68"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sz w:val="20"/>
          <w:szCs w:val="20"/>
          <w:lang w:val="es-ES"/>
        </w:rPr>
        <w:t xml:space="preserve">En </w:t>
      </w:r>
      <w:r w:rsidR="00E62D84" w:rsidRPr="009E773A">
        <w:rPr>
          <w:rFonts w:asciiTheme="majorHAnsi" w:hAnsiTheme="majorHAnsi"/>
          <w:sz w:val="20"/>
          <w:szCs w:val="20"/>
          <w:lang w:val="es-ES"/>
        </w:rPr>
        <w:t>quinto</w:t>
      </w:r>
      <w:r w:rsidRPr="009E773A">
        <w:rPr>
          <w:rFonts w:asciiTheme="majorHAnsi" w:hAnsiTheme="majorHAnsi"/>
          <w:sz w:val="20"/>
          <w:szCs w:val="20"/>
          <w:lang w:val="es-ES"/>
        </w:rPr>
        <w:t xml:space="preserve"> lugar, la Comisión encuentra como otro el</w:t>
      </w:r>
      <w:r w:rsidR="00D85D24" w:rsidRPr="009E773A">
        <w:rPr>
          <w:rFonts w:asciiTheme="majorHAnsi" w:hAnsiTheme="majorHAnsi"/>
          <w:sz w:val="20"/>
          <w:szCs w:val="20"/>
          <w:lang w:val="es-ES"/>
        </w:rPr>
        <w:t>emento indiciario las declaraciones p</w:t>
      </w:r>
      <w:r w:rsidR="00726AFE" w:rsidRPr="009E773A">
        <w:rPr>
          <w:rFonts w:asciiTheme="majorHAnsi" w:hAnsiTheme="majorHAnsi"/>
          <w:sz w:val="20"/>
          <w:szCs w:val="20"/>
          <w:lang w:val="es-ES"/>
        </w:rPr>
        <w:t xml:space="preserve">úblicas </w:t>
      </w:r>
      <w:r w:rsidR="002F51A8" w:rsidRPr="009E773A">
        <w:rPr>
          <w:rFonts w:asciiTheme="majorHAnsi" w:hAnsiTheme="majorHAnsi"/>
          <w:sz w:val="20"/>
          <w:szCs w:val="20"/>
          <w:lang w:val="es-ES"/>
        </w:rPr>
        <w:t>de autoridades, entre ellas e</w:t>
      </w:r>
      <w:r w:rsidR="00726AFE" w:rsidRPr="009E773A">
        <w:rPr>
          <w:rFonts w:asciiTheme="majorHAnsi" w:hAnsiTheme="majorHAnsi"/>
          <w:sz w:val="20"/>
          <w:szCs w:val="20"/>
          <w:lang w:val="es-ES"/>
        </w:rPr>
        <w:t>l Comisario del e</w:t>
      </w:r>
      <w:r w:rsidR="006F2353" w:rsidRPr="009E773A">
        <w:rPr>
          <w:rFonts w:asciiTheme="majorHAnsi" w:hAnsiTheme="majorHAnsi"/>
          <w:sz w:val="20"/>
          <w:szCs w:val="20"/>
          <w:lang w:val="es-ES"/>
        </w:rPr>
        <w:t xml:space="preserve">stado de Falcón quien desacreditó en los medios de comunicación a Jimmy </w:t>
      </w:r>
      <w:r w:rsidR="00AF7D33" w:rsidRPr="009E773A">
        <w:rPr>
          <w:rFonts w:asciiTheme="majorHAnsi" w:hAnsiTheme="majorHAnsi"/>
          <w:sz w:val="20"/>
          <w:szCs w:val="20"/>
          <w:lang w:val="es-ES"/>
        </w:rPr>
        <w:t>Guerrero</w:t>
      </w:r>
      <w:r w:rsidR="006F2353" w:rsidRPr="009E773A">
        <w:rPr>
          <w:rFonts w:asciiTheme="majorHAnsi" w:hAnsiTheme="majorHAnsi"/>
          <w:sz w:val="20"/>
          <w:szCs w:val="20"/>
          <w:lang w:val="es-ES"/>
        </w:rPr>
        <w:t xml:space="preserve"> </w:t>
      </w:r>
      <w:r w:rsidR="00026A9D" w:rsidRPr="009E773A">
        <w:rPr>
          <w:rFonts w:asciiTheme="majorHAnsi" w:hAnsiTheme="majorHAnsi"/>
          <w:sz w:val="20"/>
          <w:szCs w:val="20"/>
          <w:lang w:val="es-ES"/>
        </w:rPr>
        <w:t xml:space="preserve">por dedicarse al robo, al hurto y que su muerte era el resultado un ajuste de cuentas entre grupos delictivos. Cabe indicar que la única orden de aprehensión emitida en el marco de la investigación fue emitida contra la persona que realizó estos comentarios. </w:t>
      </w:r>
      <w:r w:rsidR="009065E0" w:rsidRPr="009E773A">
        <w:rPr>
          <w:rFonts w:asciiTheme="majorHAnsi" w:hAnsiTheme="majorHAnsi"/>
          <w:sz w:val="20"/>
          <w:szCs w:val="20"/>
          <w:lang w:val="es-ES"/>
        </w:rPr>
        <w:t xml:space="preserve">La CIDH recuerda que justamente la presentación de las víctimas como delincuentes, es uno de los elementos del </w:t>
      </w:r>
      <w:r w:rsidR="009065E0" w:rsidRPr="009E773A">
        <w:rPr>
          <w:rFonts w:asciiTheme="majorHAnsi" w:hAnsiTheme="majorHAnsi"/>
          <w:i/>
          <w:sz w:val="20"/>
          <w:szCs w:val="20"/>
          <w:lang w:val="es-ES"/>
        </w:rPr>
        <w:t>modus operandi</w:t>
      </w:r>
      <w:r w:rsidR="009065E0" w:rsidRPr="009E773A">
        <w:rPr>
          <w:rFonts w:asciiTheme="majorHAnsi" w:hAnsiTheme="majorHAnsi"/>
          <w:sz w:val="20"/>
          <w:szCs w:val="20"/>
          <w:lang w:val="es-ES"/>
        </w:rPr>
        <w:t xml:space="preserve"> identificado en la sección de contexto.</w:t>
      </w:r>
    </w:p>
    <w:p w14:paraId="63D8A60F" w14:textId="77777777" w:rsidR="00913E33" w:rsidRPr="009E773A" w:rsidRDefault="00913E33" w:rsidP="009A79B6">
      <w:pPr>
        <w:pStyle w:val="Prrafodelista"/>
        <w:rPr>
          <w:rFonts w:asciiTheme="majorHAnsi" w:hAnsiTheme="majorHAnsi"/>
          <w:sz w:val="20"/>
          <w:szCs w:val="20"/>
          <w:lang w:val="es-ES"/>
        </w:rPr>
      </w:pPr>
    </w:p>
    <w:p w14:paraId="09676DA9" w14:textId="2F82BDE7" w:rsidR="00913E33" w:rsidRPr="009E773A" w:rsidRDefault="00913E33"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sz w:val="20"/>
          <w:szCs w:val="20"/>
          <w:lang w:val="es-ES"/>
        </w:rPr>
        <w:t xml:space="preserve">En </w:t>
      </w:r>
      <w:r w:rsidR="00A26924" w:rsidRPr="009E773A">
        <w:rPr>
          <w:rFonts w:asciiTheme="majorHAnsi" w:hAnsiTheme="majorHAnsi"/>
          <w:sz w:val="20"/>
          <w:szCs w:val="20"/>
          <w:lang w:val="es-ES"/>
        </w:rPr>
        <w:t>sexto</w:t>
      </w:r>
      <w:r w:rsidRPr="009E773A">
        <w:rPr>
          <w:rFonts w:asciiTheme="majorHAnsi" w:hAnsiTheme="majorHAnsi"/>
          <w:sz w:val="20"/>
          <w:szCs w:val="20"/>
          <w:lang w:val="es-ES"/>
        </w:rPr>
        <w:t xml:space="preserve"> lugar, la CIDH también toma nota </w:t>
      </w:r>
      <w:r w:rsidR="000D40A7" w:rsidRPr="009E773A">
        <w:rPr>
          <w:rFonts w:asciiTheme="majorHAnsi" w:hAnsiTheme="majorHAnsi"/>
          <w:sz w:val="20"/>
          <w:szCs w:val="20"/>
          <w:lang w:val="es-ES"/>
        </w:rPr>
        <w:t xml:space="preserve">de </w:t>
      </w:r>
      <w:r w:rsidRPr="009E773A">
        <w:rPr>
          <w:rFonts w:asciiTheme="majorHAnsi" w:hAnsiTheme="majorHAnsi"/>
          <w:sz w:val="20"/>
          <w:szCs w:val="20"/>
          <w:lang w:val="es-ES"/>
        </w:rPr>
        <w:t xml:space="preserve">que </w:t>
      </w:r>
      <w:r w:rsidR="00CB0589" w:rsidRPr="009E773A">
        <w:rPr>
          <w:rFonts w:asciiTheme="majorHAnsi" w:hAnsiTheme="majorHAnsi"/>
          <w:sz w:val="20"/>
          <w:szCs w:val="20"/>
          <w:lang w:val="es-ES"/>
        </w:rPr>
        <w:t xml:space="preserve">Yarelis Mercedes </w:t>
      </w:r>
      <w:r w:rsidRPr="009E773A">
        <w:rPr>
          <w:rFonts w:asciiTheme="majorHAnsi" w:hAnsiTheme="majorHAnsi"/>
          <w:sz w:val="20"/>
          <w:szCs w:val="20"/>
          <w:lang w:val="es-ES"/>
        </w:rPr>
        <w:t>Guerrero, en sus declaraciones ante el Comando Regional No. 44, Comando Judibama, del 2 de abril de 2003,</w:t>
      </w:r>
      <w:r w:rsidR="00A73A2E" w:rsidRPr="009E773A">
        <w:rPr>
          <w:rFonts w:asciiTheme="majorHAnsi" w:hAnsiTheme="majorHAnsi"/>
          <w:sz w:val="20"/>
          <w:szCs w:val="20"/>
          <w:lang w:val="es-ES"/>
        </w:rPr>
        <w:t xml:space="preserve"> indicó que, </w:t>
      </w:r>
      <w:r w:rsidRPr="009E773A">
        <w:rPr>
          <w:rFonts w:asciiTheme="majorHAnsi" w:hAnsiTheme="majorHAnsi"/>
          <w:sz w:val="20"/>
          <w:szCs w:val="20"/>
          <w:lang w:val="es-ES"/>
        </w:rPr>
        <w:t xml:space="preserve">en conversación con </w:t>
      </w:r>
      <w:r w:rsidR="00D2012A" w:rsidRPr="009E773A">
        <w:rPr>
          <w:rFonts w:asciiTheme="majorHAnsi" w:hAnsiTheme="majorHAnsi"/>
          <w:sz w:val="20"/>
          <w:szCs w:val="20"/>
          <w:lang w:val="es-ES"/>
        </w:rPr>
        <w:t>el señor Hernández</w:t>
      </w:r>
      <w:r w:rsidRPr="009E773A">
        <w:rPr>
          <w:rFonts w:asciiTheme="majorHAnsi" w:hAnsiTheme="majorHAnsi"/>
          <w:sz w:val="20"/>
          <w:szCs w:val="20"/>
          <w:lang w:val="es-ES"/>
        </w:rPr>
        <w:t xml:space="preserve">, ella tomó conocimiento </w:t>
      </w:r>
      <w:r w:rsidR="002F51A8" w:rsidRPr="009E773A">
        <w:rPr>
          <w:rFonts w:asciiTheme="majorHAnsi" w:hAnsiTheme="majorHAnsi"/>
          <w:sz w:val="20"/>
          <w:szCs w:val="20"/>
          <w:lang w:val="es-ES"/>
        </w:rPr>
        <w:t xml:space="preserve">de </w:t>
      </w:r>
      <w:r w:rsidRPr="009E773A">
        <w:rPr>
          <w:rFonts w:asciiTheme="majorHAnsi" w:hAnsiTheme="majorHAnsi"/>
          <w:sz w:val="20"/>
          <w:szCs w:val="20"/>
          <w:lang w:val="es-ES"/>
        </w:rPr>
        <w:t>que en el lugar de los hechos se habrí</w:t>
      </w:r>
      <w:r w:rsidR="002F51A8" w:rsidRPr="009E773A">
        <w:rPr>
          <w:rFonts w:asciiTheme="majorHAnsi" w:hAnsiTheme="majorHAnsi"/>
          <w:sz w:val="20"/>
          <w:szCs w:val="20"/>
          <w:lang w:val="es-ES"/>
        </w:rPr>
        <w:t>a encontrado el policía</w:t>
      </w:r>
      <w:r w:rsidRPr="009E773A">
        <w:rPr>
          <w:rFonts w:asciiTheme="majorHAnsi" w:hAnsiTheme="majorHAnsi"/>
          <w:sz w:val="20"/>
          <w:szCs w:val="20"/>
          <w:lang w:val="es-ES"/>
        </w:rPr>
        <w:t xml:space="preserve"> Rojas, contra quien se emitió la orden de aprehensión. </w:t>
      </w:r>
      <w:r w:rsidR="00D2012A" w:rsidRPr="009E773A">
        <w:rPr>
          <w:rFonts w:asciiTheme="majorHAnsi" w:hAnsiTheme="majorHAnsi"/>
          <w:sz w:val="20"/>
          <w:szCs w:val="20"/>
          <w:lang w:val="es-ES"/>
        </w:rPr>
        <w:t xml:space="preserve">En esta misma línea, el señor Hernández, en su declaración Fiscal, describió a los atacantes como personas uniformadas y asoció su indumentaria con el uniforme policial. </w:t>
      </w:r>
      <w:r w:rsidRPr="009E773A">
        <w:rPr>
          <w:rFonts w:asciiTheme="majorHAnsi" w:hAnsiTheme="majorHAnsi"/>
          <w:sz w:val="20"/>
          <w:szCs w:val="20"/>
          <w:lang w:val="es-ES"/>
        </w:rPr>
        <w:t>Asimismo, la Comisión</w:t>
      </w:r>
      <w:r w:rsidR="00EB657F" w:rsidRPr="009E773A">
        <w:rPr>
          <w:rFonts w:asciiTheme="majorHAnsi" w:hAnsiTheme="majorHAnsi"/>
          <w:sz w:val="20"/>
          <w:szCs w:val="20"/>
          <w:lang w:val="es-ES"/>
        </w:rPr>
        <w:t xml:space="preserve"> también toma en consideración las declaraciones que indican </w:t>
      </w:r>
      <w:r w:rsidR="00CB0589" w:rsidRPr="009E773A">
        <w:rPr>
          <w:rFonts w:asciiTheme="majorHAnsi" w:hAnsiTheme="majorHAnsi"/>
          <w:sz w:val="20"/>
          <w:szCs w:val="20"/>
          <w:lang w:val="es-ES"/>
        </w:rPr>
        <w:t>que en el trayec</w:t>
      </w:r>
      <w:r w:rsidR="003E67A8" w:rsidRPr="009E773A">
        <w:rPr>
          <w:rFonts w:asciiTheme="majorHAnsi" w:hAnsiTheme="majorHAnsi"/>
          <w:sz w:val="20"/>
          <w:szCs w:val="20"/>
          <w:lang w:val="es-ES"/>
        </w:rPr>
        <w:t xml:space="preserve">to entre Coro y Punto Fijo, </w:t>
      </w:r>
      <w:r w:rsidR="006D2445" w:rsidRPr="009E773A">
        <w:rPr>
          <w:rFonts w:asciiTheme="majorHAnsi" w:hAnsiTheme="majorHAnsi"/>
          <w:sz w:val="20"/>
          <w:szCs w:val="20"/>
          <w:lang w:val="es-ES"/>
        </w:rPr>
        <w:t>el</w:t>
      </w:r>
      <w:r w:rsidR="00CB0589" w:rsidRPr="009E773A">
        <w:rPr>
          <w:rFonts w:asciiTheme="majorHAnsi" w:hAnsiTheme="majorHAnsi"/>
          <w:sz w:val="20"/>
          <w:szCs w:val="20"/>
          <w:lang w:val="es-ES"/>
        </w:rPr>
        <w:t xml:space="preserve"> veh</w:t>
      </w:r>
      <w:r w:rsidR="00001461" w:rsidRPr="009E773A">
        <w:rPr>
          <w:rFonts w:asciiTheme="majorHAnsi" w:hAnsiTheme="majorHAnsi"/>
          <w:sz w:val="20"/>
          <w:szCs w:val="20"/>
          <w:lang w:val="es-ES"/>
        </w:rPr>
        <w:t xml:space="preserve">ículo </w:t>
      </w:r>
      <w:r w:rsidR="00EB657F" w:rsidRPr="009E773A">
        <w:rPr>
          <w:rFonts w:asciiTheme="majorHAnsi" w:hAnsiTheme="majorHAnsi"/>
          <w:sz w:val="20"/>
          <w:szCs w:val="20"/>
          <w:lang w:val="es-ES"/>
        </w:rPr>
        <w:t xml:space="preserve">que trasladaba a Jimmy Guerrero y miembros de su familia al velorio </w:t>
      </w:r>
      <w:r w:rsidR="00001461" w:rsidRPr="009E773A">
        <w:rPr>
          <w:rFonts w:asciiTheme="majorHAnsi" w:hAnsiTheme="majorHAnsi"/>
          <w:sz w:val="20"/>
          <w:szCs w:val="20"/>
          <w:lang w:val="es-ES"/>
        </w:rPr>
        <w:t xml:space="preserve">fue interceptado por una </w:t>
      </w:r>
      <w:r w:rsidR="00EB657F" w:rsidRPr="009E773A">
        <w:rPr>
          <w:rFonts w:asciiTheme="majorHAnsi" w:hAnsiTheme="majorHAnsi"/>
          <w:sz w:val="20"/>
          <w:szCs w:val="20"/>
          <w:lang w:val="es-ES"/>
        </w:rPr>
        <w:t>comisión</w:t>
      </w:r>
      <w:r w:rsidR="00001461" w:rsidRPr="009E773A">
        <w:rPr>
          <w:rFonts w:asciiTheme="majorHAnsi" w:hAnsiTheme="majorHAnsi"/>
          <w:sz w:val="20"/>
          <w:szCs w:val="20"/>
          <w:lang w:val="es-ES"/>
        </w:rPr>
        <w:t xml:space="preserve"> p</w:t>
      </w:r>
      <w:r w:rsidR="00CB0589" w:rsidRPr="009E773A">
        <w:rPr>
          <w:rFonts w:asciiTheme="majorHAnsi" w:hAnsiTheme="majorHAnsi"/>
          <w:sz w:val="20"/>
          <w:szCs w:val="20"/>
          <w:lang w:val="es-ES"/>
        </w:rPr>
        <w:t>olic</w:t>
      </w:r>
      <w:r w:rsidR="006D2445" w:rsidRPr="009E773A">
        <w:rPr>
          <w:rFonts w:asciiTheme="majorHAnsi" w:hAnsiTheme="majorHAnsi"/>
          <w:sz w:val="20"/>
          <w:szCs w:val="20"/>
          <w:lang w:val="es-ES"/>
        </w:rPr>
        <w:t>ial,</w:t>
      </w:r>
      <w:r w:rsidR="00EB657F" w:rsidRPr="009E773A">
        <w:rPr>
          <w:rFonts w:asciiTheme="majorHAnsi" w:hAnsiTheme="majorHAnsi"/>
          <w:sz w:val="20"/>
          <w:szCs w:val="20"/>
          <w:lang w:val="es-ES"/>
        </w:rPr>
        <w:t xml:space="preserve"> qui</w:t>
      </w:r>
      <w:r w:rsidR="00EE41DD" w:rsidRPr="009E773A">
        <w:rPr>
          <w:rFonts w:asciiTheme="majorHAnsi" w:hAnsiTheme="majorHAnsi"/>
          <w:sz w:val="20"/>
          <w:szCs w:val="20"/>
          <w:lang w:val="es-ES"/>
        </w:rPr>
        <w:t>e</w:t>
      </w:r>
      <w:r w:rsidR="00EB657F" w:rsidRPr="009E773A">
        <w:rPr>
          <w:rFonts w:asciiTheme="majorHAnsi" w:hAnsiTheme="majorHAnsi"/>
          <w:sz w:val="20"/>
          <w:szCs w:val="20"/>
          <w:lang w:val="es-ES"/>
        </w:rPr>
        <w:t>nes</w:t>
      </w:r>
      <w:r w:rsidR="006D2445" w:rsidRPr="009E773A">
        <w:rPr>
          <w:rFonts w:asciiTheme="majorHAnsi" w:hAnsiTheme="majorHAnsi"/>
          <w:sz w:val="20"/>
          <w:szCs w:val="20"/>
          <w:lang w:val="es-ES"/>
        </w:rPr>
        <w:t xml:space="preserve"> les </w:t>
      </w:r>
      <w:r w:rsidR="00CB0589" w:rsidRPr="009E773A">
        <w:rPr>
          <w:rFonts w:asciiTheme="majorHAnsi" w:hAnsiTheme="majorHAnsi"/>
          <w:sz w:val="20"/>
          <w:szCs w:val="20"/>
          <w:lang w:val="es-ES"/>
        </w:rPr>
        <w:t>preguntaron a dónde se dirigía</w:t>
      </w:r>
      <w:r w:rsidR="006D2445" w:rsidRPr="009E773A">
        <w:rPr>
          <w:rFonts w:asciiTheme="majorHAnsi" w:hAnsiTheme="majorHAnsi"/>
          <w:sz w:val="20"/>
          <w:szCs w:val="20"/>
          <w:lang w:val="es-ES"/>
        </w:rPr>
        <w:t>n</w:t>
      </w:r>
      <w:r w:rsidR="00CB0589" w:rsidRPr="009E773A">
        <w:rPr>
          <w:rFonts w:asciiTheme="majorHAnsi" w:hAnsiTheme="majorHAnsi"/>
          <w:sz w:val="20"/>
          <w:szCs w:val="20"/>
          <w:lang w:val="es-ES"/>
        </w:rPr>
        <w:t xml:space="preserve">, </w:t>
      </w:r>
      <w:r w:rsidR="00001461" w:rsidRPr="009E773A">
        <w:rPr>
          <w:rFonts w:asciiTheme="majorHAnsi" w:hAnsiTheme="majorHAnsi"/>
          <w:sz w:val="20"/>
          <w:szCs w:val="20"/>
          <w:lang w:val="es-ES"/>
        </w:rPr>
        <w:t>dejándolo</w:t>
      </w:r>
      <w:r w:rsidR="006D2445" w:rsidRPr="009E773A">
        <w:rPr>
          <w:rFonts w:asciiTheme="majorHAnsi" w:hAnsiTheme="majorHAnsi"/>
          <w:sz w:val="20"/>
          <w:szCs w:val="20"/>
          <w:lang w:val="es-ES"/>
        </w:rPr>
        <w:t>s</w:t>
      </w:r>
      <w:r w:rsidR="00001461" w:rsidRPr="009E773A">
        <w:rPr>
          <w:rFonts w:asciiTheme="majorHAnsi" w:hAnsiTheme="majorHAnsi"/>
          <w:sz w:val="20"/>
          <w:szCs w:val="20"/>
          <w:lang w:val="es-ES"/>
        </w:rPr>
        <w:t xml:space="preserve"> ir después de un rato.</w:t>
      </w:r>
    </w:p>
    <w:p w14:paraId="5FE6A88F" w14:textId="77777777" w:rsidR="007449F3" w:rsidRPr="009E773A" w:rsidRDefault="007449F3"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p>
    <w:p w14:paraId="2EDD70AF" w14:textId="49C9CE66" w:rsidR="006D2445" w:rsidRPr="009E773A" w:rsidRDefault="007449F3"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sz w:val="20"/>
          <w:szCs w:val="20"/>
          <w:lang w:val="es-ES"/>
        </w:rPr>
        <w:t>En s</w:t>
      </w:r>
      <w:r w:rsidR="00B16D85" w:rsidRPr="009E773A">
        <w:rPr>
          <w:rFonts w:asciiTheme="majorHAnsi" w:hAnsiTheme="majorHAnsi"/>
          <w:sz w:val="20"/>
          <w:szCs w:val="20"/>
          <w:lang w:val="es-ES"/>
        </w:rPr>
        <w:t>éptimo</w:t>
      </w:r>
      <w:r w:rsidRPr="009E773A">
        <w:rPr>
          <w:rFonts w:asciiTheme="majorHAnsi" w:hAnsiTheme="majorHAnsi"/>
          <w:sz w:val="20"/>
          <w:szCs w:val="20"/>
          <w:lang w:val="es-ES"/>
        </w:rPr>
        <w:t xml:space="preserve"> lugar, </w:t>
      </w:r>
      <w:r w:rsidR="00EB657F" w:rsidRPr="009E773A">
        <w:rPr>
          <w:rFonts w:asciiTheme="majorHAnsi" w:hAnsiTheme="majorHAnsi"/>
          <w:sz w:val="20"/>
          <w:szCs w:val="20"/>
          <w:lang w:val="es-ES"/>
        </w:rPr>
        <w:t xml:space="preserve">sin entrar </w:t>
      </w:r>
      <w:r w:rsidR="006D2445" w:rsidRPr="009E773A">
        <w:rPr>
          <w:rFonts w:asciiTheme="majorHAnsi" w:hAnsiTheme="majorHAnsi"/>
          <w:sz w:val="20"/>
          <w:szCs w:val="20"/>
          <w:lang w:val="es-ES"/>
        </w:rPr>
        <w:t xml:space="preserve">al análisis </w:t>
      </w:r>
      <w:r w:rsidR="00E260C6" w:rsidRPr="009E773A">
        <w:rPr>
          <w:rFonts w:asciiTheme="majorHAnsi" w:hAnsiTheme="majorHAnsi"/>
          <w:sz w:val="20"/>
          <w:szCs w:val="20"/>
          <w:lang w:val="es-ES"/>
        </w:rPr>
        <w:t xml:space="preserve">detallado </w:t>
      </w:r>
      <w:r w:rsidR="006D2445" w:rsidRPr="009E773A">
        <w:rPr>
          <w:rFonts w:asciiTheme="majorHAnsi" w:hAnsiTheme="majorHAnsi"/>
          <w:sz w:val="20"/>
          <w:szCs w:val="20"/>
          <w:lang w:val="es-ES"/>
        </w:rPr>
        <w:t>de la debida diligencia que será</w:t>
      </w:r>
      <w:r w:rsidR="00E260C6" w:rsidRPr="009E773A">
        <w:rPr>
          <w:rFonts w:asciiTheme="majorHAnsi" w:hAnsiTheme="majorHAnsi"/>
          <w:sz w:val="20"/>
          <w:szCs w:val="20"/>
          <w:lang w:val="es-ES"/>
        </w:rPr>
        <w:t xml:space="preserve"> efectuado</w:t>
      </w:r>
      <w:r w:rsidR="006D2445" w:rsidRPr="009E773A">
        <w:rPr>
          <w:rFonts w:asciiTheme="majorHAnsi" w:hAnsiTheme="majorHAnsi"/>
          <w:sz w:val="20"/>
          <w:szCs w:val="20"/>
          <w:lang w:val="es-ES"/>
        </w:rPr>
        <w:t xml:space="preserve"> más adelante, la Comisión encuentra que la investigación judicial aún no ha logrado la determinación de responsables, y que existe</w:t>
      </w:r>
      <w:r w:rsidR="000741AD" w:rsidRPr="009E773A">
        <w:rPr>
          <w:rFonts w:asciiTheme="majorHAnsi" w:hAnsiTheme="majorHAnsi"/>
          <w:sz w:val="20"/>
          <w:szCs w:val="20"/>
          <w:lang w:val="es-ES"/>
        </w:rPr>
        <w:t>n</w:t>
      </w:r>
      <w:r w:rsidR="006D2445" w:rsidRPr="009E773A">
        <w:rPr>
          <w:rFonts w:asciiTheme="majorHAnsi" w:hAnsiTheme="majorHAnsi"/>
          <w:sz w:val="20"/>
          <w:szCs w:val="20"/>
          <w:lang w:val="es-ES"/>
        </w:rPr>
        <w:t xml:space="preserve"> piezas en el expediente que indican que mucha de la prueba ya se perdió. Así, la Comisión también puede observar, preliminarmente al análisis de debida diligencia, que la investigación no ha arrojado ningún resultado, ni existen hipótesis alternativas</w:t>
      </w:r>
      <w:r w:rsidR="00B94144" w:rsidRPr="009E773A">
        <w:rPr>
          <w:rFonts w:asciiTheme="majorHAnsi" w:hAnsiTheme="majorHAnsi"/>
          <w:sz w:val="20"/>
          <w:szCs w:val="20"/>
          <w:lang w:val="es-ES"/>
        </w:rPr>
        <w:t xml:space="preserve"> debidamente esclar</w:t>
      </w:r>
      <w:r w:rsidR="00A6392E" w:rsidRPr="009E773A">
        <w:rPr>
          <w:rFonts w:asciiTheme="majorHAnsi" w:hAnsiTheme="majorHAnsi"/>
          <w:sz w:val="20"/>
          <w:szCs w:val="20"/>
          <w:lang w:val="es-ES"/>
        </w:rPr>
        <w:t>e</w:t>
      </w:r>
      <w:r w:rsidR="00B94144" w:rsidRPr="009E773A">
        <w:rPr>
          <w:rFonts w:asciiTheme="majorHAnsi" w:hAnsiTheme="majorHAnsi"/>
          <w:sz w:val="20"/>
          <w:szCs w:val="20"/>
          <w:lang w:val="es-ES"/>
        </w:rPr>
        <w:t>cidas</w:t>
      </w:r>
      <w:r w:rsidR="006D2445" w:rsidRPr="009E773A">
        <w:rPr>
          <w:rFonts w:asciiTheme="majorHAnsi" w:hAnsiTheme="majorHAnsi"/>
          <w:sz w:val="20"/>
          <w:szCs w:val="20"/>
          <w:lang w:val="es-ES"/>
        </w:rPr>
        <w:t>, más allá de la expresada por la persona con orden de detención según la cual la muerte de Jimmy Guerrero era un ajuste de cuentas.</w:t>
      </w:r>
    </w:p>
    <w:p w14:paraId="0038B149" w14:textId="77777777" w:rsidR="006D2445" w:rsidRPr="009E773A" w:rsidRDefault="006D2445"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ind w:left="630"/>
        <w:jc w:val="both"/>
        <w:rPr>
          <w:rFonts w:asciiTheme="majorHAnsi" w:hAnsiTheme="majorHAnsi"/>
          <w:sz w:val="20"/>
          <w:szCs w:val="20"/>
          <w:lang w:val="es-ES"/>
        </w:rPr>
      </w:pPr>
    </w:p>
    <w:p w14:paraId="19F5EA7B" w14:textId="6FED164A" w:rsidR="00652DC8" w:rsidRPr="009E773A" w:rsidRDefault="00026A9D"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sz w:val="20"/>
          <w:szCs w:val="20"/>
          <w:lang w:val="es-ES"/>
        </w:rPr>
        <w:t>En conclusión, la Comisión encuentra que los antecedentes de acoso, hostigamiento y violencia,</w:t>
      </w:r>
      <w:r w:rsidR="00E604E8" w:rsidRPr="009E773A">
        <w:rPr>
          <w:rFonts w:asciiTheme="majorHAnsi" w:hAnsiTheme="majorHAnsi"/>
          <w:sz w:val="20"/>
          <w:szCs w:val="20"/>
          <w:lang w:val="es-ES"/>
        </w:rPr>
        <w:t xml:space="preserve"> </w:t>
      </w:r>
      <w:r w:rsidR="00CE1D3F">
        <w:rPr>
          <w:rFonts w:asciiTheme="majorHAnsi" w:hAnsiTheme="majorHAnsi"/>
          <w:sz w:val="20"/>
          <w:szCs w:val="20"/>
          <w:lang w:val="es-ES"/>
        </w:rPr>
        <w:t xml:space="preserve">su patrón incremental y </w:t>
      </w:r>
      <w:r w:rsidR="00E604E8" w:rsidRPr="009E773A">
        <w:rPr>
          <w:rFonts w:asciiTheme="majorHAnsi" w:hAnsiTheme="majorHAnsi"/>
          <w:sz w:val="20"/>
          <w:szCs w:val="20"/>
          <w:lang w:val="es-ES"/>
        </w:rPr>
        <w:t>su coincidencia y cercanía temporal con las muertes,</w:t>
      </w:r>
      <w:r w:rsidR="00EE5A66" w:rsidRPr="009E773A">
        <w:rPr>
          <w:rFonts w:asciiTheme="majorHAnsi" w:hAnsiTheme="majorHAnsi"/>
          <w:sz w:val="20"/>
          <w:szCs w:val="20"/>
          <w:lang w:val="es-ES"/>
        </w:rPr>
        <w:t xml:space="preserve"> la indiferencia del Estado frente a las denuncias de estos antecedentes,</w:t>
      </w:r>
      <w:r w:rsidRPr="009E773A">
        <w:rPr>
          <w:rFonts w:asciiTheme="majorHAnsi" w:hAnsiTheme="majorHAnsi"/>
          <w:sz w:val="20"/>
          <w:szCs w:val="20"/>
          <w:lang w:val="es-ES"/>
        </w:rPr>
        <w:t xml:space="preserve"> así como los contextos</w:t>
      </w:r>
      <w:r w:rsidR="008C4912" w:rsidRPr="009E773A">
        <w:rPr>
          <w:rFonts w:asciiTheme="majorHAnsi" w:hAnsiTheme="majorHAnsi"/>
          <w:sz w:val="20"/>
          <w:szCs w:val="20"/>
          <w:lang w:val="es-ES"/>
        </w:rPr>
        <w:t xml:space="preserve"> referidos</w:t>
      </w:r>
      <w:r w:rsidRPr="009E773A">
        <w:rPr>
          <w:rFonts w:asciiTheme="majorHAnsi" w:hAnsiTheme="majorHAnsi"/>
          <w:sz w:val="20"/>
          <w:szCs w:val="20"/>
          <w:lang w:val="es-ES"/>
        </w:rPr>
        <w:t>, la falta de cooperación policial en la investigaci</w:t>
      </w:r>
      <w:r w:rsidR="00CB0589" w:rsidRPr="009E773A">
        <w:rPr>
          <w:rFonts w:asciiTheme="majorHAnsi" w:hAnsiTheme="majorHAnsi"/>
          <w:sz w:val="20"/>
          <w:szCs w:val="20"/>
          <w:lang w:val="es-ES"/>
        </w:rPr>
        <w:t>ón</w:t>
      </w:r>
      <w:r w:rsidR="00AB325E" w:rsidRPr="009E773A">
        <w:rPr>
          <w:rFonts w:asciiTheme="majorHAnsi" w:hAnsiTheme="majorHAnsi"/>
          <w:sz w:val="20"/>
          <w:szCs w:val="20"/>
          <w:lang w:val="es-ES"/>
        </w:rPr>
        <w:t xml:space="preserve"> como indicio de encubrimiento</w:t>
      </w:r>
      <w:r w:rsidR="00CB0589" w:rsidRPr="009E773A">
        <w:rPr>
          <w:rFonts w:asciiTheme="majorHAnsi" w:hAnsiTheme="majorHAnsi"/>
          <w:sz w:val="20"/>
          <w:szCs w:val="20"/>
          <w:lang w:val="es-ES"/>
        </w:rPr>
        <w:t xml:space="preserve">, </w:t>
      </w:r>
      <w:r w:rsidRPr="009E773A">
        <w:rPr>
          <w:rFonts w:asciiTheme="majorHAnsi" w:hAnsiTheme="majorHAnsi"/>
          <w:sz w:val="20"/>
          <w:szCs w:val="20"/>
          <w:lang w:val="es-ES"/>
        </w:rPr>
        <w:t xml:space="preserve">los comentarios públicos </w:t>
      </w:r>
      <w:r w:rsidR="008C4912" w:rsidRPr="009E773A">
        <w:rPr>
          <w:rFonts w:asciiTheme="majorHAnsi" w:hAnsiTheme="majorHAnsi"/>
          <w:sz w:val="20"/>
          <w:szCs w:val="20"/>
          <w:lang w:val="es-ES"/>
        </w:rPr>
        <w:t xml:space="preserve">de descrédito contra </w:t>
      </w:r>
      <w:r w:rsidRPr="009E773A">
        <w:rPr>
          <w:rFonts w:asciiTheme="majorHAnsi" w:hAnsiTheme="majorHAnsi"/>
          <w:sz w:val="20"/>
          <w:szCs w:val="20"/>
          <w:lang w:val="es-ES"/>
        </w:rPr>
        <w:t xml:space="preserve">Jimmy Guerrero, </w:t>
      </w:r>
      <w:r w:rsidR="002F51A8" w:rsidRPr="009E773A">
        <w:rPr>
          <w:rFonts w:asciiTheme="majorHAnsi" w:hAnsiTheme="majorHAnsi"/>
          <w:sz w:val="20"/>
          <w:szCs w:val="20"/>
          <w:lang w:val="es-ES"/>
        </w:rPr>
        <w:t>l</w:t>
      </w:r>
      <w:r w:rsidR="00CB0589" w:rsidRPr="009E773A">
        <w:rPr>
          <w:rFonts w:asciiTheme="majorHAnsi" w:hAnsiTheme="majorHAnsi"/>
          <w:sz w:val="20"/>
          <w:szCs w:val="20"/>
          <w:lang w:val="es-ES"/>
        </w:rPr>
        <w:t>os hechos que relacionan a agentes del Estado con las muertes en cuestión</w:t>
      </w:r>
      <w:r w:rsidR="00167998" w:rsidRPr="009E773A">
        <w:rPr>
          <w:rFonts w:asciiTheme="majorHAnsi" w:hAnsiTheme="majorHAnsi"/>
          <w:sz w:val="20"/>
          <w:szCs w:val="20"/>
          <w:lang w:val="es-ES"/>
        </w:rPr>
        <w:t xml:space="preserve">, y la falta de determinación judicial de responsables, en </w:t>
      </w:r>
      <w:r w:rsidR="00AB325E" w:rsidRPr="009E773A">
        <w:rPr>
          <w:rFonts w:asciiTheme="majorHAnsi" w:hAnsiTheme="majorHAnsi"/>
          <w:sz w:val="20"/>
          <w:szCs w:val="20"/>
          <w:lang w:val="es-ES"/>
        </w:rPr>
        <w:t xml:space="preserve">su </w:t>
      </w:r>
      <w:r w:rsidR="00167998" w:rsidRPr="009E773A">
        <w:rPr>
          <w:rFonts w:asciiTheme="majorHAnsi" w:hAnsiTheme="majorHAnsi"/>
          <w:sz w:val="20"/>
          <w:szCs w:val="20"/>
          <w:lang w:val="es-ES"/>
        </w:rPr>
        <w:t xml:space="preserve">conjunto, </w:t>
      </w:r>
      <w:r w:rsidR="00AB325E" w:rsidRPr="009E773A">
        <w:rPr>
          <w:rFonts w:asciiTheme="majorHAnsi" w:hAnsiTheme="majorHAnsi"/>
          <w:sz w:val="20"/>
          <w:szCs w:val="20"/>
          <w:lang w:val="es-ES"/>
        </w:rPr>
        <w:t xml:space="preserve">son indicios suficientes y consistentes entre sí para establecer la participación estatal en la </w:t>
      </w:r>
      <w:r w:rsidR="00CB0589" w:rsidRPr="009E773A">
        <w:rPr>
          <w:rFonts w:asciiTheme="majorHAnsi" w:hAnsiTheme="majorHAnsi"/>
          <w:sz w:val="20"/>
          <w:szCs w:val="20"/>
          <w:lang w:val="es-ES"/>
        </w:rPr>
        <w:t>muerte de Jimmy Guerrero, y la muerte conexa de su tío Ram</w:t>
      </w:r>
      <w:r w:rsidR="008C4912" w:rsidRPr="009E773A">
        <w:rPr>
          <w:rFonts w:asciiTheme="majorHAnsi" w:hAnsiTheme="majorHAnsi"/>
          <w:sz w:val="20"/>
          <w:szCs w:val="20"/>
          <w:lang w:val="es-ES"/>
        </w:rPr>
        <w:t>ó</w:t>
      </w:r>
      <w:r w:rsidR="009A014B" w:rsidRPr="009E773A">
        <w:rPr>
          <w:rFonts w:asciiTheme="majorHAnsi" w:hAnsiTheme="majorHAnsi"/>
          <w:sz w:val="20"/>
          <w:szCs w:val="20"/>
          <w:lang w:val="es-ES"/>
        </w:rPr>
        <w:t xml:space="preserve">n Molina, </w:t>
      </w:r>
      <w:r w:rsidR="00AB325E" w:rsidRPr="009E773A">
        <w:rPr>
          <w:rFonts w:asciiTheme="majorHAnsi" w:hAnsiTheme="majorHAnsi"/>
          <w:sz w:val="20"/>
          <w:szCs w:val="20"/>
          <w:lang w:val="es-ES"/>
        </w:rPr>
        <w:t xml:space="preserve">por lo que las mismas </w:t>
      </w:r>
      <w:r w:rsidR="009A014B" w:rsidRPr="009E773A">
        <w:rPr>
          <w:rFonts w:asciiTheme="majorHAnsi" w:hAnsiTheme="majorHAnsi"/>
          <w:sz w:val="20"/>
          <w:szCs w:val="20"/>
          <w:lang w:val="es-ES"/>
        </w:rPr>
        <w:t xml:space="preserve">son atribuibles </w:t>
      </w:r>
      <w:r w:rsidR="00AD74A5" w:rsidRPr="009E773A">
        <w:rPr>
          <w:rFonts w:asciiTheme="majorHAnsi" w:hAnsiTheme="majorHAnsi"/>
          <w:sz w:val="20"/>
          <w:szCs w:val="20"/>
          <w:lang w:val="es-ES"/>
        </w:rPr>
        <w:t xml:space="preserve">directamente </w:t>
      </w:r>
      <w:r w:rsidR="009A014B" w:rsidRPr="009E773A">
        <w:rPr>
          <w:rFonts w:asciiTheme="majorHAnsi" w:hAnsiTheme="majorHAnsi"/>
          <w:sz w:val="20"/>
          <w:szCs w:val="20"/>
          <w:lang w:val="es-ES"/>
        </w:rPr>
        <w:t>al Estado venezolano</w:t>
      </w:r>
      <w:r w:rsidR="001A3B06" w:rsidRPr="009E773A">
        <w:rPr>
          <w:rFonts w:asciiTheme="majorHAnsi" w:hAnsiTheme="majorHAnsi"/>
          <w:sz w:val="20"/>
          <w:szCs w:val="20"/>
          <w:lang w:val="es-ES"/>
        </w:rPr>
        <w:t xml:space="preserve">. </w:t>
      </w:r>
    </w:p>
    <w:p w14:paraId="0A312391" w14:textId="77777777" w:rsidR="00652DC8" w:rsidRPr="009E773A" w:rsidRDefault="00652DC8" w:rsidP="009A79B6">
      <w:pPr>
        <w:pStyle w:val="Prrafodelista"/>
        <w:rPr>
          <w:rFonts w:asciiTheme="majorHAnsi" w:hAnsiTheme="majorHAnsi"/>
          <w:sz w:val="20"/>
          <w:szCs w:val="20"/>
          <w:lang w:val="es-ES"/>
        </w:rPr>
      </w:pPr>
    </w:p>
    <w:p w14:paraId="1A2E19F9" w14:textId="0F48F5B6" w:rsidR="001B48A8" w:rsidRPr="009E773A" w:rsidRDefault="008C4912"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sz w:val="20"/>
          <w:szCs w:val="20"/>
          <w:lang w:val="es-ES"/>
        </w:rPr>
        <w:t xml:space="preserve">Ahora bien, </w:t>
      </w:r>
      <w:r w:rsidR="009C4F34" w:rsidRPr="009E773A">
        <w:rPr>
          <w:rFonts w:asciiTheme="majorHAnsi" w:hAnsiTheme="majorHAnsi"/>
          <w:sz w:val="20"/>
          <w:szCs w:val="20"/>
          <w:lang w:val="es-ES"/>
        </w:rPr>
        <w:t xml:space="preserve">por las circunstancias del presente caso, </w:t>
      </w:r>
      <w:r w:rsidR="00652DC8" w:rsidRPr="009E773A">
        <w:rPr>
          <w:rFonts w:asciiTheme="majorHAnsi" w:hAnsiTheme="majorHAnsi"/>
          <w:sz w:val="20"/>
          <w:szCs w:val="20"/>
          <w:lang w:val="es-ES"/>
        </w:rPr>
        <w:t>la Comisión</w:t>
      </w:r>
      <w:r w:rsidR="009C4F34" w:rsidRPr="009E773A">
        <w:rPr>
          <w:rFonts w:asciiTheme="majorHAnsi" w:hAnsiTheme="majorHAnsi"/>
          <w:sz w:val="20"/>
          <w:szCs w:val="20"/>
          <w:lang w:val="es-ES"/>
        </w:rPr>
        <w:t xml:space="preserve"> también estima pertinente</w:t>
      </w:r>
      <w:r w:rsidR="00652DC8" w:rsidRPr="009E773A">
        <w:rPr>
          <w:rFonts w:asciiTheme="majorHAnsi" w:hAnsiTheme="majorHAnsi"/>
          <w:sz w:val="20"/>
          <w:szCs w:val="20"/>
          <w:lang w:val="es-ES"/>
        </w:rPr>
        <w:t xml:space="preserve"> determinar si el Estado incumplió también su deber de prevención de vulneraciones </w:t>
      </w:r>
      <w:r w:rsidR="00167998" w:rsidRPr="009E773A">
        <w:rPr>
          <w:rFonts w:asciiTheme="majorHAnsi" w:hAnsiTheme="majorHAnsi"/>
          <w:sz w:val="20"/>
          <w:szCs w:val="20"/>
          <w:lang w:val="es-ES"/>
        </w:rPr>
        <w:t xml:space="preserve">del derecho a la vida </w:t>
      </w:r>
      <w:r w:rsidR="00652DC8" w:rsidRPr="009E773A">
        <w:rPr>
          <w:rFonts w:asciiTheme="majorHAnsi" w:hAnsiTheme="majorHAnsi"/>
          <w:sz w:val="20"/>
          <w:szCs w:val="20"/>
          <w:lang w:val="es-ES"/>
        </w:rPr>
        <w:t xml:space="preserve">en perjuicio de Jimmy Guerrero. </w:t>
      </w:r>
      <w:r w:rsidR="00652DC8" w:rsidRPr="009E773A">
        <w:rPr>
          <w:rFonts w:asciiTheme="majorHAnsi" w:hAnsiTheme="majorHAnsi"/>
          <w:sz w:val="20"/>
          <w:szCs w:val="20"/>
          <w:lang w:val="es-US"/>
        </w:rPr>
        <w:t>Así, la Comisión encuentra acreditado que Jimmy Gue</w:t>
      </w:r>
      <w:r w:rsidR="007A66FC" w:rsidRPr="009E773A">
        <w:rPr>
          <w:rFonts w:asciiTheme="majorHAnsi" w:hAnsiTheme="majorHAnsi"/>
          <w:sz w:val="20"/>
          <w:szCs w:val="20"/>
          <w:lang w:val="es-US"/>
        </w:rPr>
        <w:t xml:space="preserve">rrero era blanco de amenazas y abusos por parte de efectivos policiales, </w:t>
      </w:r>
      <w:r w:rsidR="00B430B0" w:rsidRPr="009E773A">
        <w:rPr>
          <w:rFonts w:asciiTheme="majorHAnsi" w:hAnsiTheme="majorHAnsi"/>
          <w:sz w:val="20"/>
          <w:szCs w:val="20"/>
          <w:lang w:val="es-US"/>
        </w:rPr>
        <w:t>hechos</w:t>
      </w:r>
      <w:r w:rsidR="007A66FC" w:rsidRPr="009E773A">
        <w:rPr>
          <w:rFonts w:asciiTheme="majorHAnsi" w:hAnsiTheme="majorHAnsi"/>
          <w:sz w:val="20"/>
          <w:szCs w:val="20"/>
          <w:lang w:val="es-US"/>
        </w:rPr>
        <w:t xml:space="preserve"> que fueron debidamente denunciados en varias oportunidades ante la Fiscalía y ante la Defensoría del Pueblo</w:t>
      </w:r>
      <w:r w:rsidR="00B430B0" w:rsidRPr="009E773A">
        <w:rPr>
          <w:rFonts w:asciiTheme="majorHAnsi" w:hAnsiTheme="majorHAnsi"/>
          <w:sz w:val="20"/>
          <w:szCs w:val="20"/>
          <w:lang w:val="es-US"/>
        </w:rPr>
        <w:t xml:space="preserve"> como consta en el expediente</w:t>
      </w:r>
      <w:r w:rsidR="007A66FC" w:rsidRPr="009E773A">
        <w:rPr>
          <w:rFonts w:asciiTheme="majorHAnsi" w:hAnsiTheme="majorHAnsi"/>
          <w:sz w:val="20"/>
          <w:szCs w:val="20"/>
          <w:lang w:val="es-US"/>
        </w:rPr>
        <w:t xml:space="preserve">, y por lo tanto el Estado tenía conocimiento de la situación de </w:t>
      </w:r>
      <w:r w:rsidR="00B430B0" w:rsidRPr="009E773A">
        <w:rPr>
          <w:rFonts w:asciiTheme="majorHAnsi" w:hAnsiTheme="majorHAnsi"/>
          <w:sz w:val="20"/>
          <w:szCs w:val="20"/>
          <w:lang w:val="es-US"/>
        </w:rPr>
        <w:t>riesg</w:t>
      </w:r>
      <w:r w:rsidR="00A64CE2" w:rsidRPr="009E773A">
        <w:rPr>
          <w:rFonts w:asciiTheme="majorHAnsi" w:hAnsiTheme="majorHAnsi"/>
          <w:sz w:val="20"/>
          <w:szCs w:val="20"/>
          <w:lang w:val="es-US"/>
        </w:rPr>
        <w:t>o. E</w:t>
      </w:r>
      <w:r w:rsidR="007A66FC" w:rsidRPr="009E773A">
        <w:rPr>
          <w:rFonts w:asciiTheme="majorHAnsi" w:hAnsiTheme="majorHAnsi"/>
          <w:sz w:val="20"/>
          <w:szCs w:val="20"/>
          <w:lang w:val="es-US"/>
        </w:rPr>
        <w:t>n relación con e</w:t>
      </w:r>
      <w:r w:rsidR="00B430B0" w:rsidRPr="009E773A">
        <w:rPr>
          <w:rFonts w:asciiTheme="majorHAnsi" w:hAnsiTheme="majorHAnsi"/>
          <w:sz w:val="20"/>
          <w:szCs w:val="20"/>
          <w:lang w:val="es-US"/>
        </w:rPr>
        <w:t xml:space="preserve">l tipo de riesgo, la CIDH ya acreditó que las amenazas y detenciones fueron incrementando en su frecuencia y nivel de hostilidad, por lo que la Comisión concluye que el riesgo contra Jimmy Guerrero era real e inmediato. </w:t>
      </w:r>
      <w:r w:rsidR="00A64CE2" w:rsidRPr="009E773A">
        <w:rPr>
          <w:rFonts w:asciiTheme="majorHAnsi" w:hAnsiTheme="majorHAnsi"/>
          <w:sz w:val="20"/>
          <w:szCs w:val="20"/>
          <w:lang w:val="es-US"/>
        </w:rPr>
        <w:t xml:space="preserve">Además, el riesgo era especialmente grave atendiendo al contexto en el cual tuvieron lugar los antecedentes denunciados. </w:t>
      </w:r>
      <w:r w:rsidR="00B430B0" w:rsidRPr="009E773A">
        <w:rPr>
          <w:rFonts w:asciiTheme="majorHAnsi" w:hAnsiTheme="majorHAnsi"/>
          <w:sz w:val="20"/>
          <w:szCs w:val="20"/>
          <w:lang w:val="es-US"/>
        </w:rPr>
        <w:t>Finalmente, en cuanto a las medidas adoptadas, la Comisión encuentra que la Defensoría del Pueblo solicitó medidas de protección a favor de Jimmy Guerrero, las que nunca se ejecutaron</w:t>
      </w:r>
      <w:r w:rsidR="00167998" w:rsidRPr="009E773A">
        <w:rPr>
          <w:rFonts w:asciiTheme="majorHAnsi" w:hAnsiTheme="majorHAnsi"/>
          <w:sz w:val="20"/>
          <w:szCs w:val="20"/>
          <w:lang w:val="es-US"/>
        </w:rPr>
        <w:t xml:space="preserve"> y, </w:t>
      </w:r>
      <w:r w:rsidR="001B48A8" w:rsidRPr="009E773A">
        <w:rPr>
          <w:rFonts w:asciiTheme="majorHAnsi" w:hAnsiTheme="majorHAnsi"/>
          <w:sz w:val="20"/>
          <w:szCs w:val="20"/>
          <w:lang w:val="es-US"/>
        </w:rPr>
        <w:t>del mismo modo, las denuncias ante</w:t>
      </w:r>
      <w:r w:rsidR="00001461" w:rsidRPr="009E773A">
        <w:rPr>
          <w:rFonts w:asciiTheme="majorHAnsi" w:hAnsiTheme="majorHAnsi"/>
          <w:sz w:val="20"/>
          <w:szCs w:val="20"/>
          <w:lang w:val="es-US"/>
        </w:rPr>
        <w:t xml:space="preserve"> Ministerio P</w:t>
      </w:r>
      <w:r w:rsidR="001B48A8" w:rsidRPr="009E773A">
        <w:rPr>
          <w:rFonts w:asciiTheme="majorHAnsi" w:hAnsiTheme="majorHAnsi"/>
          <w:sz w:val="20"/>
          <w:szCs w:val="20"/>
          <w:lang w:val="es-US"/>
        </w:rPr>
        <w:t>úblico, de acuerdo con el expediente, no provocaron ninguna investigación</w:t>
      </w:r>
      <w:r w:rsidR="00EC0397" w:rsidRPr="009E773A">
        <w:rPr>
          <w:rFonts w:asciiTheme="majorHAnsi" w:hAnsiTheme="majorHAnsi"/>
          <w:sz w:val="20"/>
          <w:szCs w:val="20"/>
          <w:lang w:val="es-US"/>
        </w:rPr>
        <w:t xml:space="preserve"> ni respuesta en materia de protección</w:t>
      </w:r>
      <w:r w:rsidR="001B48A8" w:rsidRPr="009E773A">
        <w:rPr>
          <w:rFonts w:asciiTheme="majorHAnsi" w:hAnsiTheme="majorHAnsi"/>
          <w:sz w:val="20"/>
          <w:szCs w:val="20"/>
          <w:lang w:val="es-US"/>
        </w:rPr>
        <w:t xml:space="preserve">. En virtud de lo anterior, la Comisión concluye que el Estado no cumplió con su deber de prevención </w:t>
      </w:r>
      <w:r w:rsidR="002E59D3" w:rsidRPr="009E773A">
        <w:rPr>
          <w:rFonts w:asciiTheme="majorHAnsi" w:hAnsiTheme="majorHAnsi"/>
          <w:sz w:val="20"/>
          <w:szCs w:val="20"/>
          <w:lang w:val="es-US"/>
        </w:rPr>
        <w:t>de la vulneración del</w:t>
      </w:r>
      <w:r w:rsidR="001B48A8" w:rsidRPr="009E773A">
        <w:rPr>
          <w:rFonts w:asciiTheme="majorHAnsi" w:hAnsiTheme="majorHAnsi"/>
          <w:sz w:val="20"/>
          <w:szCs w:val="20"/>
          <w:lang w:val="es-US"/>
        </w:rPr>
        <w:t xml:space="preserve"> derecho a la vida en perjuicio de Jimmy Guerrero</w:t>
      </w:r>
      <w:r w:rsidR="00377F5E" w:rsidRPr="009E773A">
        <w:rPr>
          <w:rFonts w:asciiTheme="majorHAnsi" w:hAnsiTheme="majorHAnsi"/>
          <w:sz w:val="20"/>
          <w:szCs w:val="20"/>
          <w:lang w:val="es-US"/>
        </w:rPr>
        <w:t xml:space="preserve"> por parte de sus propios agentes, confluyendo en este caso la violación de las obligaciones tanto de respeto como de garantía. </w:t>
      </w:r>
    </w:p>
    <w:p w14:paraId="75A71624" w14:textId="77777777" w:rsidR="001B48A8" w:rsidRPr="009E773A" w:rsidRDefault="001B48A8"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ind w:left="630"/>
        <w:jc w:val="both"/>
        <w:rPr>
          <w:rFonts w:asciiTheme="majorHAnsi" w:hAnsiTheme="majorHAnsi"/>
          <w:sz w:val="20"/>
          <w:szCs w:val="20"/>
          <w:lang w:val="es-ES"/>
        </w:rPr>
      </w:pPr>
    </w:p>
    <w:p w14:paraId="26094751" w14:textId="4E4C7FB7" w:rsidR="001B48A8" w:rsidRPr="009E773A" w:rsidRDefault="001B48A8"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sz w:val="20"/>
          <w:szCs w:val="20"/>
          <w:lang w:val="es-ES"/>
        </w:rPr>
        <w:t>Asimismo, la CIDH también señaló que la ejecución extrajudicial, puede venir aparejada a la vulneración concomitan</w:t>
      </w:r>
      <w:r w:rsidR="007C7351" w:rsidRPr="009E773A">
        <w:rPr>
          <w:rFonts w:asciiTheme="majorHAnsi" w:hAnsiTheme="majorHAnsi"/>
          <w:sz w:val="20"/>
          <w:szCs w:val="20"/>
          <w:lang w:val="es-ES"/>
        </w:rPr>
        <w:t xml:space="preserve">te de otros </w:t>
      </w:r>
      <w:r w:rsidRPr="009E773A">
        <w:rPr>
          <w:rFonts w:asciiTheme="majorHAnsi" w:hAnsiTheme="majorHAnsi"/>
          <w:sz w:val="20"/>
          <w:szCs w:val="20"/>
          <w:lang w:val="es-ES"/>
        </w:rPr>
        <w:t xml:space="preserve">derechos reconocidos en la Convención. En este sentido, la propia determinación de la ejecución extrajudicial, por la dinámica de los hechos, permite concluir que Jimmy Guerrero y Ramón Molina sufrieron </w:t>
      </w:r>
      <w:r w:rsidR="007C7351" w:rsidRPr="009E773A">
        <w:rPr>
          <w:rFonts w:asciiTheme="majorHAnsi" w:hAnsiTheme="majorHAnsi"/>
          <w:sz w:val="20"/>
          <w:szCs w:val="20"/>
          <w:lang w:val="es-ES"/>
        </w:rPr>
        <w:t>un profundo miedo</w:t>
      </w:r>
      <w:r w:rsidRPr="009E773A">
        <w:rPr>
          <w:rFonts w:asciiTheme="majorHAnsi" w:hAnsiTheme="majorHAnsi"/>
          <w:sz w:val="20"/>
          <w:szCs w:val="20"/>
          <w:lang w:val="es-ES"/>
        </w:rPr>
        <w:t xml:space="preserve"> produ</w:t>
      </w:r>
      <w:r w:rsidR="007C7351" w:rsidRPr="009E773A">
        <w:rPr>
          <w:rFonts w:asciiTheme="majorHAnsi" w:hAnsiTheme="majorHAnsi"/>
          <w:sz w:val="20"/>
          <w:szCs w:val="20"/>
          <w:lang w:val="es-ES"/>
        </w:rPr>
        <w:t>cto de</w:t>
      </w:r>
      <w:r w:rsidRPr="009E773A">
        <w:rPr>
          <w:rFonts w:asciiTheme="majorHAnsi" w:hAnsiTheme="majorHAnsi"/>
          <w:sz w:val="20"/>
          <w:szCs w:val="20"/>
          <w:lang w:val="es-ES"/>
        </w:rPr>
        <w:t xml:space="preserve"> la situación de violencia </w:t>
      </w:r>
      <w:r w:rsidR="007C7351" w:rsidRPr="009E773A">
        <w:rPr>
          <w:rFonts w:asciiTheme="majorHAnsi" w:hAnsiTheme="majorHAnsi"/>
          <w:sz w:val="20"/>
          <w:szCs w:val="20"/>
          <w:lang w:val="es-ES"/>
        </w:rPr>
        <w:t>durante el ataque que acabó con sus vidas</w:t>
      </w:r>
      <w:r w:rsidR="00A6392E" w:rsidRPr="009E773A">
        <w:rPr>
          <w:rFonts w:asciiTheme="majorHAnsi" w:hAnsiTheme="majorHAnsi"/>
          <w:sz w:val="20"/>
          <w:szCs w:val="20"/>
          <w:lang w:val="es-ES"/>
        </w:rPr>
        <w:t>, que constituye en sí mismo un sufrimiento contrario a su integridad</w:t>
      </w:r>
    </w:p>
    <w:p w14:paraId="4D01AB31" w14:textId="77777777" w:rsidR="001B48A8" w:rsidRPr="009E773A" w:rsidRDefault="001B48A8" w:rsidP="009A79B6">
      <w:pPr>
        <w:pStyle w:val="Prrafodelista"/>
        <w:rPr>
          <w:rFonts w:asciiTheme="majorHAnsi" w:hAnsiTheme="majorHAnsi"/>
          <w:sz w:val="20"/>
          <w:szCs w:val="20"/>
          <w:lang w:val="es-ES"/>
        </w:rPr>
      </w:pPr>
    </w:p>
    <w:p w14:paraId="54115C8D" w14:textId="4995207D" w:rsidR="007449F3" w:rsidRPr="009E773A" w:rsidRDefault="007449F3"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sz w:val="20"/>
          <w:szCs w:val="20"/>
          <w:lang w:val="es-ES"/>
        </w:rPr>
        <w:t>Sumado a lo anterior</w:t>
      </w:r>
      <w:r w:rsidR="00B15C9D" w:rsidRPr="009E773A">
        <w:rPr>
          <w:rFonts w:asciiTheme="majorHAnsi" w:hAnsiTheme="majorHAnsi"/>
          <w:sz w:val="20"/>
          <w:szCs w:val="20"/>
          <w:lang w:val="es-ES"/>
        </w:rPr>
        <w:t>, la parte peticionaria alegó que las violaciones del derecho a la integridad de las víctimas constitu</w:t>
      </w:r>
      <w:r w:rsidR="002C54B5" w:rsidRPr="009E773A">
        <w:rPr>
          <w:rFonts w:asciiTheme="majorHAnsi" w:hAnsiTheme="majorHAnsi"/>
          <w:sz w:val="20"/>
          <w:szCs w:val="20"/>
          <w:lang w:val="es-ES"/>
        </w:rPr>
        <w:t>ían</w:t>
      </w:r>
      <w:r w:rsidRPr="009E773A">
        <w:rPr>
          <w:rFonts w:asciiTheme="majorHAnsi" w:hAnsiTheme="majorHAnsi"/>
          <w:sz w:val="20"/>
          <w:szCs w:val="20"/>
          <w:lang w:val="es-ES"/>
        </w:rPr>
        <w:t xml:space="preserve"> torturas y</w:t>
      </w:r>
      <w:r w:rsidR="002C54B5" w:rsidRPr="009E773A">
        <w:rPr>
          <w:rFonts w:asciiTheme="majorHAnsi" w:hAnsiTheme="majorHAnsi"/>
          <w:sz w:val="20"/>
          <w:szCs w:val="20"/>
          <w:lang w:val="es-ES"/>
        </w:rPr>
        <w:t xml:space="preserve"> </w:t>
      </w:r>
      <w:r w:rsidR="00B15C9D" w:rsidRPr="009E773A">
        <w:rPr>
          <w:rFonts w:asciiTheme="majorHAnsi" w:hAnsiTheme="majorHAnsi"/>
          <w:sz w:val="20"/>
          <w:szCs w:val="20"/>
          <w:lang w:val="es-ES"/>
        </w:rPr>
        <w:t>trato</w:t>
      </w:r>
      <w:r w:rsidR="002C54B5" w:rsidRPr="009E773A">
        <w:rPr>
          <w:rFonts w:asciiTheme="majorHAnsi" w:hAnsiTheme="majorHAnsi"/>
          <w:sz w:val="20"/>
          <w:szCs w:val="20"/>
          <w:lang w:val="es-ES"/>
        </w:rPr>
        <w:t xml:space="preserve">s </w:t>
      </w:r>
      <w:r w:rsidR="00B15C9D" w:rsidRPr="009E773A">
        <w:rPr>
          <w:rFonts w:asciiTheme="majorHAnsi" w:hAnsiTheme="majorHAnsi"/>
          <w:sz w:val="20"/>
          <w:szCs w:val="20"/>
          <w:lang w:val="es-ES"/>
        </w:rPr>
        <w:t>cruel</w:t>
      </w:r>
      <w:r w:rsidR="002C54B5" w:rsidRPr="009E773A">
        <w:rPr>
          <w:rFonts w:asciiTheme="majorHAnsi" w:hAnsiTheme="majorHAnsi"/>
          <w:sz w:val="20"/>
          <w:szCs w:val="20"/>
          <w:lang w:val="es-ES"/>
        </w:rPr>
        <w:t>es, inhuman</w:t>
      </w:r>
      <w:r w:rsidR="007C4F1A" w:rsidRPr="009E773A">
        <w:rPr>
          <w:rFonts w:asciiTheme="majorHAnsi" w:hAnsiTheme="majorHAnsi"/>
          <w:sz w:val="20"/>
          <w:szCs w:val="20"/>
          <w:lang w:val="es-ES"/>
        </w:rPr>
        <w:t>o</w:t>
      </w:r>
      <w:r w:rsidR="002C54B5" w:rsidRPr="009E773A">
        <w:rPr>
          <w:rFonts w:asciiTheme="majorHAnsi" w:hAnsiTheme="majorHAnsi"/>
          <w:sz w:val="20"/>
          <w:szCs w:val="20"/>
          <w:lang w:val="es-ES"/>
        </w:rPr>
        <w:t xml:space="preserve">s o </w:t>
      </w:r>
      <w:r w:rsidR="00B15C9D" w:rsidRPr="009E773A">
        <w:rPr>
          <w:rFonts w:asciiTheme="majorHAnsi" w:hAnsiTheme="majorHAnsi"/>
          <w:sz w:val="20"/>
          <w:szCs w:val="20"/>
          <w:lang w:val="es-ES"/>
        </w:rPr>
        <w:t>degradante</w:t>
      </w:r>
      <w:r w:rsidR="002C54B5" w:rsidRPr="009E773A">
        <w:rPr>
          <w:rFonts w:asciiTheme="majorHAnsi" w:hAnsiTheme="majorHAnsi"/>
          <w:sz w:val="20"/>
          <w:szCs w:val="20"/>
          <w:lang w:val="es-ES"/>
        </w:rPr>
        <w:t>s</w:t>
      </w:r>
      <w:r w:rsidR="00B15C9D" w:rsidRPr="009E773A">
        <w:rPr>
          <w:rFonts w:asciiTheme="majorHAnsi" w:hAnsiTheme="majorHAnsi"/>
          <w:sz w:val="20"/>
          <w:szCs w:val="20"/>
          <w:lang w:val="es-ES"/>
        </w:rPr>
        <w:t xml:space="preserve">. Al respecto, de acuerdo con la mecánica de los hechos, los primeros disparos se dirigen contra Jimmy Guerrero,  y según el testimonio </w:t>
      </w:r>
      <w:r w:rsidR="00D2012A" w:rsidRPr="009E773A">
        <w:rPr>
          <w:rFonts w:asciiTheme="majorHAnsi" w:hAnsiTheme="majorHAnsi"/>
          <w:sz w:val="20"/>
          <w:szCs w:val="20"/>
          <w:lang w:val="es-ES"/>
        </w:rPr>
        <w:t>del señor Diogo</w:t>
      </w:r>
      <w:r w:rsidR="00B15C9D" w:rsidRPr="009E773A">
        <w:rPr>
          <w:rFonts w:asciiTheme="majorHAnsi" w:hAnsiTheme="majorHAnsi"/>
          <w:sz w:val="20"/>
          <w:szCs w:val="20"/>
          <w:lang w:val="es-ES"/>
        </w:rPr>
        <w:t xml:space="preserve"> uno de estos disparos fue en su cabeza. </w:t>
      </w:r>
      <w:r w:rsidR="00D2012A" w:rsidRPr="009E773A">
        <w:rPr>
          <w:rFonts w:asciiTheme="majorHAnsi" w:hAnsiTheme="majorHAnsi"/>
          <w:sz w:val="20"/>
          <w:szCs w:val="20"/>
          <w:lang w:val="es-ES"/>
        </w:rPr>
        <w:t>Los disparos hicieron reacci</w:t>
      </w:r>
      <w:r w:rsidR="00543A00" w:rsidRPr="009E773A">
        <w:rPr>
          <w:rFonts w:asciiTheme="majorHAnsi" w:hAnsiTheme="majorHAnsi"/>
          <w:sz w:val="20"/>
          <w:szCs w:val="20"/>
          <w:lang w:val="es-ES"/>
        </w:rPr>
        <w:t>onar</w:t>
      </w:r>
      <w:r w:rsidR="00D2012A" w:rsidRPr="009E773A">
        <w:rPr>
          <w:rFonts w:asciiTheme="majorHAnsi" w:hAnsiTheme="majorHAnsi"/>
          <w:sz w:val="20"/>
          <w:szCs w:val="20"/>
          <w:lang w:val="es-ES"/>
        </w:rPr>
        <w:t xml:space="preserve"> a su tío </w:t>
      </w:r>
      <w:r w:rsidR="00B15C9D" w:rsidRPr="009E773A">
        <w:rPr>
          <w:rFonts w:asciiTheme="majorHAnsi" w:hAnsiTheme="majorHAnsi"/>
          <w:sz w:val="20"/>
          <w:szCs w:val="20"/>
          <w:lang w:val="es-ES"/>
        </w:rPr>
        <w:t>Ram</w:t>
      </w:r>
      <w:r w:rsidR="00D2012A" w:rsidRPr="009E773A">
        <w:rPr>
          <w:rFonts w:asciiTheme="majorHAnsi" w:hAnsiTheme="majorHAnsi"/>
          <w:sz w:val="20"/>
          <w:szCs w:val="20"/>
          <w:lang w:val="es-ES"/>
        </w:rPr>
        <w:t xml:space="preserve">ón </w:t>
      </w:r>
      <w:r w:rsidR="00B15C9D" w:rsidRPr="009E773A">
        <w:rPr>
          <w:rFonts w:asciiTheme="majorHAnsi" w:hAnsiTheme="majorHAnsi"/>
          <w:sz w:val="20"/>
          <w:szCs w:val="20"/>
          <w:lang w:val="es-ES"/>
        </w:rPr>
        <w:t>Molina</w:t>
      </w:r>
      <w:r w:rsidR="00D2012A" w:rsidRPr="009E773A">
        <w:rPr>
          <w:rFonts w:asciiTheme="majorHAnsi" w:hAnsiTheme="majorHAnsi"/>
          <w:sz w:val="20"/>
          <w:szCs w:val="20"/>
          <w:lang w:val="es-ES"/>
        </w:rPr>
        <w:t xml:space="preserve"> </w:t>
      </w:r>
      <w:r w:rsidR="00543A00" w:rsidRPr="009E773A">
        <w:rPr>
          <w:rFonts w:asciiTheme="majorHAnsi" w:hAnsiTheme="majorHAnsi"/>
          <w:sz w:val="20"/>
          <w:szCs w:val="20"/>
          <w:lang w:val="es-ES"/>
        </w:rPr>
        <w:t>quien enfrent</w:t>
      </w:r>
      <w:r w:rsidR="002E59D3" w:rsidRPr="009E773A">
        <w:rPr>
          <w:rFonts w:asciiTheme="majorHAnsi" w:hAnsiTheme="majorHAnsi"/>
          <w:sz w:val="20"/>
          <w:szCs w:val="20"/>
          <w:lang w:val="es-ES"/>
        </w:rPr>
        <w:t>ó</w:t>
      </w:r>
      <w:r w:rsidR="00543A00" w:rsidRPr="009E773A">
        <w:rPr>
          <w:rFonts w:asciiTheme="majorHAnsi" w:hAnsiTheme="majorHAnsi"/>
          <w:sz w:val="20"/>
          <w:szCs w:val="20"/>
          <w:lang w:val="es-ES"/>
        </w:rPr>
        <w:t xml:space="preserve"> a</w:t>
      </w:r>
      <w:r w:rsidR="00D2012A" w:rsidRPr="009E773A">
        <w:rPr>
          <w:rFonts w:asciiTheme="majorHAnsi" w:hAnsiTheme="majorHAnsi"/>
          <w:sz w:val="20"/>
          <w:szCs w:val="20"/>
          <w:lang w:val="es-ES"/>
        </w:rPr>
        <w:t xml:space="preserve"> los atacantes, por lo que</w:t>
      </w:r>
      <w:r w:rsidR="00B15C9D" w:rsidRPr="009E773A">
        <w:rPr>
          <w:rFonts w:asciiTheme="majorHAnsi" w:hAnsiTheme="majorHAnsi"/>
          <w:sz w:val="20"/>
          <w:szCs w:val="20"/>
          <w:lang w:val="es-ES"/>
        </w:rPr>
        <w:t xml:space="preserve"> fue abaleado y cayó al suelo. </w:t>
      </w:r>
      <w:r w:rsidR="00D2012A" w:rsidRPr="009E773A">
        <w:rPr>
          <w:rFonts w:asciiTheme="majorHAnsi" w:hAnsiTheme="majorHAnsi"/>
          <w:sz w:val="20"/>
          <w:szCs w:val="20"/>
          <w:lang w:val="es-ES"/>
        </w:rPr>
        <w:t xml:space="preserve">Si bien el señor Diogo se refirió a que el </w:t>
      </w:r>
      <w:r w:rsidR="00D50C4C" w:rsidRPr="009E773A">
        <w:rPr>
          <w:rFonts w:asciiTheme="majorHAnsi" w:hAnsiTheme="majorHAnsi"/>
          <w:sz w:val="20"/>
          <w:szCs w:val="20"/>
          <w:lang w:val="es-ES"/>
        </w:rPr>
        <w:t>cadáver</w:t>
      </w:r>
      <w:r w:rsidR="00D2012A" w:rsidRPr="009E773A">
        <w:rPr>
          <w:rFonts w:asciiTheme="majorHAnsi" w:hAnsiTheme="majorHAnsi"/>
          <w:sz w:val="20"/>
          <w:szCs w:val="20"/>
          <w:lang w:val="es-ES"/>
        </w:rPr>
        <w:t xml:space="preserve"> de Jimmy Guerrero fue lueg</w:t>
      </w:r>
      <w:r w:rsidR="002E59D3" w:rsidRPr="009E773A">
        <w:rPr>
          <w:rFonts w:asciiTheme="majorHAnsi" w:hAnsiTheme="majorHAnsi"/>
          <w:sz w:val="20"/>
          <w:szCs w:val="20"/>
          <w:lang w:val="es-ES"/>
        </w:rPr>
        <w:t>o atado al carro que lo arrastró</w:t>
      </w:r>
      <w:r w:rsidR="00D2012A" w:rsidRPr="009E773A">
        <w:rPr>
          <w:rFonts w:asciiTheme="majorHAnsi" w:hAnsiTheme="majorHAnsi"/>
          <w:sz w:val="20"/>
          <w:szCs w:val="20"/>
          <w:lang w:val="es-ES"/>
        </w:rPr>
        <w:t xml:space="preserve"> varios metros, el señor Hernández atestiguó que </w:t>
      </w:r>
      <w:r w:rsidR="00D50C4C" w:rsidRPr="009E773A">
        <w:rPr>
          <w:rFonts w:asciiTheme="majorHAnsi" w:hAnsiTheme="majorHAnsi"/>
          <w:sz w:val="20"/>
          <w:szCs w:val="20"/>
          <w:lang w:val="es-ES"/>
        </w:rPr>
        <w:t>tras los primeros disparos vio que Jimmy Guerrero era pateado y que él oponía resistencia y gritaba. La prueba en el expediente no es suficiente para determinar si es que Jimmy Guerrero se encontraba con vida o no, después del primer disparo en su cabeza</w:t>
      </w:r>
      <w:r w:rsidR="00543A00" w:rsidRPr="009E773A">
        <w:rPr>
          <w:rFonts w:asciiTheme="majorHAnsi" w:hAnsiTheme="majorHAnsi"/>
          <w:sz w:val="20"/>
          <w:szCs w:val="20"/>
          <w:lang w:val="es-ES"/>
        </w:rPr>
        <w:t xml:space="preserve"> atestiguado por el señor Diogo</w:t>
      </w:r>
      <w:r w:rsidR="00D50C4C" w:rsidRPr="009E773A">
        <w:rPr>
          <w:rFonts w:asciiTheme="majorHAnsi" w:hAnsiTheme="majorHAnsi"/>
          <w:sz w:val="20"/>
          <w:szCs w:val="20"/>
          <w:lang w:val="es-ES"/>
        </w:rPr>
        <w:t>, y si es que las golpes y el arrastre por la vía, son susceptibles de ser analizados co</w:t>
      </w:r>
      <w:r w:rsidR="002C54B5" w:rsidRPr="009E773A">
        <w:rPr>
          <w:rFonts w:asciiTheme="majorHAnsi" w:hAnsiTheme="majorHAnsi"/>
          <w:sz w:val="20"/>
          <w:szCs w:val="20"/>
          <w:lang w:val="es-ES"/>
        </w:rPr>
        <w:t>mo actos de tortura, o tratos y penas cr</w:t>
      </w:r>
      <w:r w:rsidR="00543A00" w:rsidRPr="009E773A">
        <w:rPr>
          <w:rFonts w:asciiTheme="majorHAnsi" w:hAnsiTheme="majorHAnsi"/>
          <w:sz w:val="20"/>
          <w:szCs w:val="20"/>
          <w:lang w:val="es-ES"/>
        </w:rPr>
        <w:t xml:space="preserve">ueles, inhumanos y degradantes. </w:t>
      </w:r>
    </w:p>
    <w:p w14:paraId="391880B0" w14:textId="77777777" w:rsidR="007449F3" w:rsidRPr="009E773A" w:rsidRDefault="007449F3" w:rsidP="009A79B6">
      <w:pPr>
        <w:pStyle w:val="Prrafodelista"/>
        <w:rPr>
          <w:rFonts w:asciiTheme="majorHAnsi" w:hAnsiTheme="majorHAnsi"/>
          <w:sz w:val="20"/>
          <w:szCs w:val="20"/>
          <w:lang w:val="es-ES"/>
        </w:rPr>
      </w:pPr>
    </w:p>
    <w:p w14:paraId="7C0DB640" w14:textId="790C4881" w:rsidR="00B15C9D" w:rsidRPr="009E773A" w:rsidRDefault="00543A00"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sz w:val="20"/>
          <w:szCs w:val="20"/>
          <w:lang w:val="es-ES"/>
        </w:rPr>
        <w:t xml:space="preserve">Sin perjuicio de lo anterior, la Comisión </w:t>
      </w:r>
      <w:r w:rsidR="007449F3" w:rsidRPr="009E773A">
        <w:rPr>
          <w:rFonts w:asciiTheme="majorHAnsi" w:hAnsiTheme="majorHAnsi"/>
          <w:sz w:val="20"/>
          <w:szCs w:val="20"/>
          <w:lang w:val="es-ES"/>
        </w:rPr>
        <w:t xml:space="preserve">encuentra que si bien no puede determinar si es que Jimmy Guerrero se encontraba con vida o no cuando fue golpeado y luego arrastrado por el auto en cuestión, </w:t>
      </w:r>
      <w:r w:rsidR="002E59D3" w:rsidRPr="009E773A">
        <w:rPr>
          <w:rFonts w:asciiTheme="majorHAnsi" w:hAnsiTheme="majorHAnsi"/>
          <w:sz w:val="20"/>
          <w:szCs w:val="20"/>
          <w:lang w:val="es-ES"/>
        </w:rPr>
        <w:t xml:space="preserve">esto no es óbice para analizar </w:t>
      </w:r>
      <w:r w:rsidR="007449F3" w:rsidRPr="009E773A">
        <w:rPr>
          <w:rFonts w:asciiTheme="majorHAnsi" w:hAnsiTheme="majorHAnsi"/>
          <w:sz w:val="20"/>
          <w:szCs w:val="20"/>
          <w:lang w:val="es-ES"/>
        </w:rPr>
        <w:t>el deber de oficio de investigar posibles actos de tortura, tal como lo establece el artículo 8 de la CIPST</w:t>
      </w:r>
      <w:r w:rsidR="00512011" w:rsidRPr="009E773A">
        <w:rPr>
          <w:rFonts w:asciiTheme="majorHAnsi" w:hAnsiTheme="majorHAnsi"/>
          <w:sz w:val="20"/>
          <w:szCs w:val="20"/>
          <w:lang w:val="es-ES"/>
        </w:rPr>
        <w:t>. En el presente caso, el estado en que se encontró el cuerpo de Jimmy Guerrero, de acuerdo con el informe de autopsia, revela un</w:t>
      </w:r>
      <w:r w:rsidR="00E536C9" w:rsidRPr="009E773A">
        <w:rPr>
          <w:rFonts w:asciiTheme="majorHAnsi" w:hAnsiTheme="majorHAnsi"/>
          <w:sz w:val="20"/>
          <w:szCs w:val="20"/>
          <w:lang w:val="es-ES"/>
        </w:rPr>
        <w:t xml:space="preserve"> posible</w:t>
      </w:r>
      <w:r w:rsidR="00512011" w:rsidRPr="009E773A">
        <w:rPr>
          <w:rFonts w:asciiTheme="majorHAnsi" w:hAnsiTheme="majorHAnsi"/>
          <w:sz w:val="20"/>
          <w:szCs w:val="20"/>
          <w:lang w:val="es-ES"/>
        </w:rPr>
        <w:t xml:space="preserve"> ensañamiento grave que debió activar una investigación de oficio que no </w:t>
      </w:r>
      <w:r w:rsidR="00B11E17" w:rsidRPr="009E773A">
        <w:rPr>
          <w:rFonts w:asciiTheme="majorHAnsi" w:hAnsiTheme="majorHAnsi"/>
          <w:sz w:val="20"/>
          <w:szCs w:val="20"/>
          <w:lang w:val="es-ES"/>
        </w:rPr>
        <w:t>ha sido reportada en el expediente.</w:t>
      </w:r>
      <w:r w:rsidR="00512011" w:rsidRPr="009E773A">
        <w:rPr>
          <w:rFonts w:asciiTheme="majorHAnsi" w:hAnsiTheme="majorHAnsi"/>
          <w:sz w:val="20"/>
          <w:szCs w:val="20"/>
          <w:lang w:val="es-ES"/>
        </w:rPr>
        <w:t xml:space="preserve"> </w:t>
      </w:r>
    </w:p>
    <w:p w14:paraId="3515BF0B" w14:textId="77777777" w:rsidR="002E59D3" w:rsidRPr="009E773A" w:rsidRDefault="002E59D3"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p>
    <w:p w14:paraId="539A7AD4" w14:textId="77777777" w:rsidR="00FC7D8E" w:rsidRPr="009E773A" w:rsidRDefault="00FC7D8E"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ind w:left="630"/>
        <w:jc w:val="both"/>
        <w:rPr>
          <w:rFonts w:asciiTheme="majorHAnsi" w:hAnsiTheme="majorHAnsi"/>
          <w:sz w:val="20"/>
          <w:szCs w:val="20"/>
          <w:lang w:val="es-ES"/>
        </w:rPr>
      </w:pPr>
    </w:p>
    <w:p w14:paraId="4F471DD6" w14:textId="3129BDED" w:rsidR="00FC7D8E" w:rsidRPr="009E773A" w:rsidRDefault="00FC7D8E"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sz w:val="20"/>
          <w:szCs w:val="20"/>
          <w:lang w:val="es-ES"/>
        </w:rPr>
        <w:t xml:space="preserve">En conclusión, la Comisión encuentra </w:t>
      </w:r>
      <w:r w:rsidR="00BE78F0" w:rsidRPr="009E773A">
        <w:rPr>
          <w:rFonts w:asciiTheme="majorHAnsi" w:hAnsiTheme="majorHAnsi"/>
          <w:sz w:val="20"/>
          <w:szCs w:val="20"/>
          <w:lang w:val="es-ES"/>
        </w:rPr>
        <w:t xml:space="preserve">el Estado venezolano violó </w:t>
      </w:r>
      <w:r w:rsidRPr="009E773A">
        <w:rPr>
          <w:rFonts w:asciiTheme="majorHAnsi" w:hAnsiTheme="majorHAnsi"/>
          <w:sz w:val="20"/>
          <w:szCs w:val="20"/>
          <w:lang w:val="es-ES"/>
        </w:rPr>
        <w:t xml:space="preserve">los derechos </w:t>
      </w:r>
      <w:r w:rsidR="00BE78F0" w:rsidRPr="009E773A">
        <w:rPr>
          <w:rFonts w:asciiTheme="majorHAnsi" w:hAnsiTheme="majorHAnsi"/>
          <w:sz w:val="20"/>
          <w:szCs w:val="20"/>
          <w:lang w:val="es-ES"/>
        </w:rPr>
        <w:t>establecidos en los artículo</w:t>
      </w:r>
      <w:r w:rsidR="002B1979" w:rsidRPr="009E773A">
        <w:rPr>
          <w:rFonts w:asciiTheme="majorHAnsi" w:hAnsiTheme="majorHAnsi"/>
          <w:sz w:val="20"/>
          <w:szCs w:val="20"/>
          <w:lang w:val="es-ES"/>
        </w:rPr>
        <w:t>s</w:t>
      </w:r>
      <w:r w:rsidR="00BE78F0" w:rsidRPr="009E773A">
        <w:rPr>
          <w:rFonts w:asciiTheme="majorHAnsi" w:hAnsiTheme="majorHAnsi"/>
          <w:sz w:val="20"/>
          <w:szCs w:val="20"/>
          <w:lang w:val="es-ES"/>
        </w:rPr>
        <w:t xml:space="preserve"> 4.1 y 5.1 de la Convención Americana, en relación con su obligación de respeto en el artículo 1.1 del mismo instrumento</w:t>
      </w:r>
      <w:r w:rsidR="002B1979" w:rsidRPr="009E773A">
        <w:rPr>
          <w:rFonts w:asciiTheme="majorHAnsi" w:hAnsiTheme="majorHAnsi"/>
          <w:sz w:val="20"/>
          <w:szCs w:val="20"/>
          <w:lang w:val="es-ES"/>
        </w:rPr>
        <w:t>, en perjuicio de Jimmy Guerrero y Ramón Molina.</w:t>
      </w:r>
      <w:r w:rsidR="00BE78F0" w:rsidRPr="009E773A">
        <w:rPr>
          <w:rFonts w:asciiTheme="majorHAnsi" w:hAnsiTheme="majorHAnsi"/>
          <w:sz w:val="20"/>
          <w:szCs w:val="20"/>
          <w:lang w:val="es-ES"/>
        </w:rPr>
        <w:t xml:space="preserve"> </w:t>
      </w:r>
      <w:r w:rsidRPr="009E773A">
        <w:rPr>
          <w:rFonts w:asciiTheme="majorHAnsi" w:hAnsiTheme="majorHAnsi"/>
          <w:sz w:val="20"/>
          <w:szCs w:val="20"/>
          <w:lang w:val="es-ES"/>
        </w:rPr>
        <w:t>Asimismo, en el caso particular de Jimmy Guerrero, la Comisi</w:t>
      </w:r>
      <w:r w:rsidR="002B35E7" w:rsidRPr="009E773A">
        <w:rPr>
          <w:rFonts w:asciiTheme="majorHAnsi" w:hAnsiTheme="majorHAnsi"/>
          <w:sz w:val="20"/>
          <w:szCs w:val="20"/>
          <w:lang w:val="es-ES"/>
        </w:rPr>
        <w:t>ón encuentra que</w:t>
      </w:r>
      <w:r w:rsidR="00B11096" w:rsidRPr="009E773A">
        <w:rPr>
          <w:rFonts w:asciiTheme="majorHAnsi" w:hAnsiTheme="majorHAnsi"/>
          <w:sz w:val="20"/>
          <w:szCs w:val="20"/>
          <w:lang w:val="es-ES"/>
        </w:rPr>
        <w:t xml:space="preserve"> el Estado además incumplió </w:t>
      </w:r>
      <w:r w:rsidR="002B35E7" w:rsidRPr="009E773A">
        <w:rPr>
          <w:rFonts w:asciiTheme="majorHAnsi" w:hAnsiTheme="majorHAnsi"/>
          <w:sz w:val="20"/>
          <w:szCs w:val="20"/>
          <w:lang w:val="es-ES"/>
        </w:rPr>
        <w:t xml:space="preserve">su deber de </w:t>
      </w:r>
      <w:r w:rsidR="00A967F9" w:rsidRPr="009E773A">
        <w:rPr>
          <w:rFonts w:asciiTheme="majorHAnsi" w:hAnsiTheme="majorHAnsi"/>
          <w:sz w:val="20"/>
          <w:szCs w:val="20"/>
          <w:lang w:val="es-ES"/>
        </w:rPr>
        <w:t xml:space="preserve">garantía en su componente de prevención respecto del derecho a la </w:t>
      </w:r>
      <w:r w:rsidR="00167998" w:rsidRPr="009E773A">
        <w:rPr>
          <w:rFonts w:asciiTheme="majorHAnsi" w:hAnsiTheme="majorHAnsi"/>
          <w:sz w:val="20"/>
          <w:szCs w:val="20"/>
          <w:lang w:val="es-ES"/>
        </w:rPr>
        <w:t>vida</w:t>
      </w:r>
      <w:r w:rsidR="00B11096" w:rsidRPr="009E773A">
        <w:rPr>
          <w:rFonts w:asciiTheme="majorHAnsi" w:hAnsiTheme="majorHAnsi"/>
          <w:sz w:val="20"/>
          <w:szCs w:val="20"/>
          <w:lang w:val="es-ES"/>
        </w:rPr>
        <w:t xml:space="preserve"> y </w:t>
      </w:r>
      <w:r w:rsidR="005C7377" w:rsidRPr="009E773A">
        <w:rPr>
          <w:rFonts w:asciiTheme="majorHAnsi" w:hAnsiTheme="majorHAnsi"/>
          <w:sz w:val="20"/>
          <w:szCs w:val="20"/>
          <w:lang w:val="es-ES"/>
        </w:rPr>
        <w:t xml:space="preserve">su obligación de investigar </w:t>
      </w:r>
      <w:r w:rsidR="00BE78F0" w:rsidRPr="009E773A">
        <w:rPr>
          <w:rFonts w:asciiTheme="majorHAnsi" w:hAnsiTheme="majorHAnsi"/>
          <w:sz w:val="20"/>
          <w:szCs w:val="20"/>
          <w:lang w:val="es-ES"/>
        </w:rPr>
        <w:t xml:space="preserve">de oficio </w:t>
      </w:r>
      <w:r w:rsidR="005C7377" w:rsidRPr="009E773A">
        <w:rPr>
          <w:rFonts w:asciiTheme="majorHAnsi" w:hAnsiTheme="majorHAnsi"/>
          <w:sz w:val="20"/>
          <w:szCs w:val="20"/>
          <w:lang w:val="es-ES"/>
        </w:rPr>
        <w:t xml:space="preserve">posibles actos de tortura </w:t>
      </w:r>
      <w:r w:rsidR="00BE78F0" w:rsidRPr="009E773A">
        <w:rPr>
          <w:rFonts w:asciiTheme="majorHAnsi" w:hAnsiTheme="majorHAnsi"/>
          <w:sz w:val="20"/>
          <w:szCs w:val="20"/>
          <w:lang w:val="es-ES"/>
        </w:rPr>
        <w:t xml:space="preserve">consagrada en </w:t>
      </w:r>
      <w:r w:rsidR="0044007D" w:rsidRPr="009E773A">
        <w:rPr>
          <w:rFonts w:asciiTheme="majorHAnsi" w:hAnsiTheme="majorHAnsi"/>
          <w:sz w:val="20"/>
          <w:szCs w:val="20"/>
          <w:lang w:val="es-ES"/>
        </w:rPr>
        <w:t xml:space="preserve">los artículos 1, 6 y </w:t>
      </w:r>
      <w:r w:rsidR="00BE78F0" w:rsidRPr="009E773A">
        <w:rPr>
          <w:rFonts w:asciiTheme="majorHAnsi" w:hAnsiTheme="majorHAnsi"/>
          <w:sz w:val="20"/>
          <w:szCs w:val="20"/>
          <w:lang w:val="es-ES"/>
        </w:rPr>
        <w:t>8</w:t>
      </w:r>
      <w:r w:rsidR="005C7377" w:rsidRPr="009E773A">
        <w:rPr>
          <w:rFonts w:asciiTheme="majorHAnsi" w:hAnsiTheme="majorHAnsi"/>
          <w:sz w:val="20"/>
          <w:szCs w:val="20"/>
          <w:lang w:val="es-ES"/>
        </w:rPr>
        <w:t xml:space="preserve"> </w:t>
      </w:r>
      <w:r w:rsidR="00BE78F0" w:rsidRPr="009E773A">
        <w:rPr>
          <w:rFonts w:asciiTheme="majorHAnsi" w:hAnsiTheme="majorHAnsi"/>
          <w:sz w:val="20"/>
          <w:szCs w:val="20"/>
          <w:lang w:val="es-ES"/>
        </w:rPr>
        <w:t xml:space="preserve">de </w:t>
      </w:r>
      <w:r w:rsidR="005C7377" w:rsidRPr="009E773A">
        <w:rPr>
          <w:rFonts w:asciiTheme="majorHAnsi" w:hAnsiTheme="majorHAnsi"/>
          <w:sz w:val="20"/>
          <w:szCs w:val="20"/>
          <w:lang w:val="es-ES"/>
        </w:rPr>
        <w:t xml:space="preserve">la CIPST. </w:t>
      </w:r>
    </w:p>
    <w:p w14:paraId="5A0C0809" w14:textId="77777777" w:rsidR="0024521E" w:rsidRPr="009E773A" w:rsidRDefault="0024521E"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p>
    <w:p w14:paraId="76506CC9" w14:textId="77777777" w:rsidR="00C8292F" w:rsidRDefault="005D3C86" w:rsidP="00CA08FD">
      <w:pPr>
        <w:pStyle w:val="Ttulo2"/>
        <w:ind w:left="0" w:firstLine="0"/>
        <w:rPr>
          <w:lang w:val="es-ES"/>
        </w:rPr>
      </w:pPr>
      <w:bookmarkStart w:id="24" w:name="_Toc520804263"/>
      <w:bookmarkStart w:id="25" w:name="_Toc2157192"/>
      <w:bookmarkStart w:id="26" w:name="_Toc2157246"/>
      <w:bookmarkStart w:id="27" w:name="_Toc2159220"/>
      <w:r w:rsidRPr="009E773A">
        <w:rPr>
          <w:lang w:val="es-ES"/>
        </w:rPr>
        <w:t>Derecho a las garantías judiciales y la protección judicial (artículos 8</w:t>
      </w:r>
      <w:r w:rsidRPr="009E773A">
        <w:rPr>
          <w:vertAlign w:val="superscript"/>
        </w:rPr>
        <w:footnoteReference w:id="120"/>
      </w:r>
      <w:r w:rsidRPr="009E773A">
        <w:rPr>
          <w:vertAlign w:val="superscript"/>
          <w:lang w:val="es-ES"/>
        </w:rPr>
        <w:t xml:space="preserve"> </w:t>
      </w:r>
      <w:r w:rsidRPr="009E773A">
        <w:rPr>
          <w:lang w:val="es-ES"/>
        </w:rPr>
        <w:t>y  artículo 25.1</w:t>
      </w:r>
      <w:r w:rsidRPr="009E773A">
        <w:rPr>
          <w:vertAlign w:val="superscript"/>
        </w:rPr>
        <w:footnoteReference w:id="121"/>
      </w:r>
      <w:r w:rsidRPr="009E773A">
        <w:rPr>
          <w:lang w:val="es-ES"/>
        </w:rPr>
        <w:t>) en relación con el artículo 1.1 de la Convención Americana</w:t>
      </w:r>
      <w:bookmarkEnd w:id="24"/>
      <w:bookmarkEnd w:id="25"/>
      <w:bookmarkEnd w:id="26"/>
      <w:bookmarkEnd w:id="27"/>
    </w:p>
    <w:p w14:paraId="17F3C465" w14:textId="77777777" w:rsidR="00392EC4" w:rsidRPr="00392EC4" w:rsidRDefault="00392EC4" w:rsidP="009A79B6">
      <w:pPr>
        <w:rPr>
          <w:lang w:val="es-ES"/>
        </w:rPr>
      </w:pPr>
    </w:p>
    <w:p w14:paraId="066A5741" w14:textId="175A914D" w:rsidR="005D3C86" w:rsidRPr="00FC5E2A" w:rsidRDefault="005D3C86" w:rsidP="00CA08FD">
      <w:pPr>
        <w:pStyle w:val="Ttulo3"/>
        <w:numPr>
          <w:ilvl w:val="0"/>
          <w:numId w:val="71"/>
        </w:numPr>
        <w:ind w:left="0" w:firstLine="0"/>
      </w:pPr>
      <w:bookmarkStart w:id="28" w:name="_Toc520804264"/>
      <w:bookmarkStart w:id="29" w:name="_Toc2157193"/>
      <w:bookmarkStart w:id="30" w:name="_Toc2157247"/>
      <w:bookmarkStart w:id="31" w:name="_Toc2159221"/>
      <w:r w:rsidRPr="00FC5E2A">
        <w:t xml:space="preserve">Estándares de debida diligencia en investigaciones de muertes que involucren agentes del </w:t>
      </w:r>
      <w:r w:rsidR="004E1641" w:rsidRPr="00FC5E2A">
        <w:t>E</w:t>
      </w:r>
      <w:r w:rsidRPr="00FC5E2A">
        <w:t>stado y plazo razonable</w:t>
      </w:r>
      <w:bookmarkEnd w:id="28"/>
      <w:bookmarkEnd w:id="29"/>
      <w:bookmarkEnd w:id="30"/>
      <w:bookmarkEnd w:id="31"/>
    </w:p>
    <w:p w14:paraId="38A21262" w14:textId="77777777" w:rsidR="005D3C86" w:rsidRPr="009E773A" w:rsidRDefault="005D3C86" w:rsidP="009A79B6">
      <w:pPr>
        <w:ind w:left="1800"/>
        <w:rPr>
          <w:rFonts w:asciiTheme="majorHAnsi" w:hAnsiTheme="majorHAnsi"/>
          <w:b/>
          <w:sz w:val="20"/>
          <w:szCs w:val="20"/>
          <w:lang w:val="es-ES"/>
        </w:rPr>
      </w:pPr>
    </w:p>
    <w:p w14:paraId="3CA8152A" w14:textId="77777777" w:rsidR="005D3C86" w:rsidRPr="009E773A" w:rsidRDefault="005D3C86"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sz w:val="20"/>
          <w:szCs w:val="20"/>
          <w:lang w:val="es-ES"/>
        </w:rPr>
        <w:t>Tanto la CIDH como la Corte han establecido que en casos relacionados con ejecuciones extrajudiciales</w:t>
      </w:r>
      <w:r w:rsidRPr="009E773A">
        <w:rPr>
          <w:rFonts w:asciiTheme="majorHAnsi" w:hAnsiTheme="majorHAnsi" w:cs="Verdana"/>
          <w:sz w:val="20"/>
          <w:szCs w:val="20"/>
          <w:lang w:val="es-ES"/>
        </w:rPr>
        <w:t xml:space="preserve">, el Estado tiene el deber de iniciar </w:t>
      </w:r>
      <w:r w:rsidRPr="009E773A">
        <w:rPr>
          <w:rFonts w:asciiTheme="majorHAnsi" w:hAnsiTheme="majorHAnsi" w:cs="Verdana"/>
          <w:i/>
          <w:sz w:val="20"/>
          <w:szCs w:val="20"/>
          <w:lang w:val="es-ES"/>
        </w:rPr>
        <w:t>ex officio</w:t>
      </w:r>
      <w:r w:rsidRPr="009E773A">
        <w:rPr>
          <w:rFonts w:asciiTheme="majorHAnsi" w:hAnsiTheme="majorHAnsi" w:cs="Verdana"/>
          <w:sz w:val="20"/>
          <w:szCs w:val="20"/>
          <w:lang w:val="es-ES"/>
        </w:rPr>
        <w:t xml:space="preserve"> y sin dilación, una investigación seria, imparcial y efectiva</w:t>
      </w:r>
      <w:r w:rsidRPr="009E773A">
        <w:rPr>
          <w:rStyle w:val="Refdenotaalpie"/>
          <w:rFonts w:asciiTheme="majorHAnsi" w:hAnsiTheme="majorHAnsi" w:cs="Verdana"/>
          <w:sz w:val="20"/>
          <w:szCs w:val="20"/>
          <w:lang w:val="es-ES"/>
        </w:rPr>
        <w:footnoteReference w:id="122"/>
      </w:r>
      <w:r w:rsidRPr="009E773A">
        <w:rPr>
          <w:rFonts w:asciiTheme="majorHAnsi" w:hAnsiTheme="majorHAnsi" w:cs="Verdana"/>
          <w:sz w:val="20"/>
          <w:szCs w:val="20"/>
          <w:lang w:val="es-ES"/>
        </w:rPr>
        <w:t xml:space="preserve">. En esta misma línea jurisprudencial, relacionada con muertes </w:t>
      </w:r>
      <w:r w:rsidR="004F4268" w:rsidRPr="009E773A">
        <w:rPr>
          <w:rFonts w:asciiTheme="majorHAnsi" w:hAnsiTheme="majorHAnsi" w:cs="Verdana"/>
          <w:sz w:val="20"/>
          <w:szCs w:val="20"/>
          <w:lang w:val="es-ES"/>
        </w:rPr>
        <w:t xml:space="preserve">sospechosas </w:t>
      </w:r>
      <w:r w:rsidRPr="009E773A">
        <w:rPr>
          <w:rFonts w:asciiTheme="majorHAnsi" w:hAnsiTheme="majorHAnsi" w:cs="Verdana"/>
          <w:sz w:val="20"/>
          <w:szCs w:val="20"/>
          <w:lang w:val="es-ES"/>
        </w:rPr>
        <w:t>que involucran agentes del Estado, “[la]</w:t>
      </w:r>
      <w:r w:rsidRPr="009E773A">
        <w:rPr>
          <w:rFonts w:asciiTheme="majorHAnsi" w:hAnsiTheme="majorHAnsi"/>
          <w:sz w:val="20"/>
          <w:szCs w:val="20"/>
          <w:lang w:val="es-ES"/>
        </w:rPr>
        <w:t xml:space="preserve"> investigación debe ser realizada a través de todos los medios legales disponibles para la determinación de la verdad y la investigación, enjuiciamiento y castigo de todos los responsables de los hechos, especialmente cuando están o puedan estar involucrados agentes estatales”</w:t>
      </w:r>
      <w:r w:rsidRPr="009E773A">
        <w:rPr>
          <w:rStyle w:val="Refdenotaalpie"/>
          <w:rFonts w:asciiTheme="majorHAnsi" w:hAnsiTheme="majorHAnsi"/>
          <w:sz w:val="20"/>
          <w:szCs w:val="20"/>
          <w:lang w:val="es-ES"/>
        </w:rPr>
        <w:footnoteReference w:id="123"/>
      </w:r>
      <w:r w:rsidRPr="009E773A">
        <w:rPr>
          <w:rFonts w:asciiTheme="majorHAnsi" w:hAnsiTheme="majorHAnsi"/>
          <w:sz w:val="20"/>
          <w:szCs w:val="20"/>
          <w:lang w:val="es-ES"/>
        </w:rPr>
        <w:t>. Así, el deber de investigar debe cumplirse con seriedad y no como una simple formalidad condenada de antemano a ser infructuosa y debe tener un sentido y ser asumida por los Estados como un deber jurídico propio y no como una simple gestión de intereses</w:t>
      </w:r>
      <w:r w:rsidRPr="009E773A">
        <w:rPr>
          <w:rStyle w:val="Refdenotaalpie"/>
          <w:rFonts w:asciiTheme="majorHAnsi" w:hAnsiTheme="majorHAnsi"/>
          <w:sz w:val="20"/>
          <w:szCs w:val="20"/>
          <w:lang w:val="es-ES"/>
        </w:rPr>
        <w:footnoteReference w:id="124"/>
      </w:r>
      <w:r w:rsidRPr="009E773A">
        <w:rPr>
          <w:rFonts w:asciiTheme="majorHAnsi" w:hAnsiTheme="majorHAnsi"/>
          <w:sz w:val="20"/>
          <w:szCs w:val="20"/>
          <w:lang w:val="es-ES"/>
        </w:rPr>
        <w:t>. Asimismo, la CIDH recuerda que la obligación de investigar y sancionar todo hecho que implique violación de los derechos protegidos por la Convención requiere que se castigue no sólo a los autores materiales de los hechos violatorios de derechos humanos, sino también a los autores intelectuales de tales violaciones</w:t>
      </w:r>
      <w:r w:rsidRPr="009E773A">
        <w:rPr>
          <w:rFonts w:asciiTheme="majorHAnsi" w:hAnsiTheme="majorHAnsi"/>
          <w:sz w:val="20"/>
          <w:szCs w:val="20"/>
          <w:vertAlign w:val="superscript"/>
        </w:rPr>
        <w:footnoteReference w:id="125"/>
      </w:r>
      <w:r w:rsidRPr="009E773A">
        <w:rPr>
          <w:rFonts w:asciiTheme="majorHAnsi" w:hAnsiTheme="majorHAnsi"/>
          <w:sz w:val="20"/>
          <w:szCs w:val="20"/>
          <w:lang w:val="es-ES"/>
        </w:rPr>
        <w:t>.</w:t>
      </w:r>
    </w:p>
    <w:p w14:paraId="1740C4C0" w14:textId="77777777" w:rsidR="005D3C86" w:rsidRPr="009E773A" w:rsidRDefault="005D3C86"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sz w:val="20"/>
          <w:szCs w:val="20"/>
          <w:lang w:val="es-ES"/>
        </w:rPr>
      </w:pPr>
    </w:p>
    <w:p w14:paraId="2AC8C115" w14:textId="77777777" w:rsidR="005D3C86" w:rsidRPr="009E773A" w:rsidRDefault="005D3C86"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cs="Arial"/>
          <w:sz w:val="20"/>
          <w:szCs w:val="20"/>
          <w:lang w:val="es-AR"/>
        </w:rPr>
        <w:t xml:space="preserve">La jurisprudencia también ha establecido que en casos donde existan versiones contradictorias que involucran la privación del derecho a la vida, más allá de que se practiquen determinadas diligencias probatorias, “la debida </w:t>
      </w:r>
      <w:r w:rsidRPr="009E773A">
        <w:rPr>
          <w:rFonts w:asciiTheme="majorHAnsi" w:hAnsiTheme="majorHAnsi"/>
          <w:sz w:val="20"/>
          <w:szCs w:val="20"/>
          <w:lang w:val="es-US"/>
        </w:rPr>
        <w:t>diligencia en la investigación debe evaluarse en relación con la necesidad de determinar la veracidad de las versiones consideradas en el marco del proceso sobre lo ocurrido, es decir, si permitió un esclarecimiento judicial de los hechos y una eventual calificación jurídica de los mismos acorde con lo sucedido”</w:t>
      </w:r>
      <w:r w:rsidRPr="009E773A">
        <w:rPr>
          <w:rStyle w:val="Refdenotaalpie"/>
          <w:rFonts w:asciiTheme="majorHAnsi" w:hAnsiTheme="majorHAnsi"/>
          <w:sz w:val="20"/>
          <w:szCs w:val="20"/>
        </w:rPr>
        <w:footnoteReference w:id="126"/>
      </w:r>
      <w:r w:rsidRPr="009E773A">
        <w:rPr>
          <w:rFonts w:asciiTheme="majorHAnsi" w:hAnsiTheme="majorHAnsi"/>
          <w:sz w:val="20"/>
          <w:szCs w:val="20"/>
          <w:lang w:val="es-US"/>
        </w:rPr>
        <w:t>.</w:t>
      </w:r>
      <w:r w:rsidRPr="009E773A">
        <w:rPr>
          <w:rFonts w:asciiTheme="majorHAnsi" w:hAnsiTheme="majorHAnsi"/>
          <w:lang w:val="es-US"/>
        </w:rPr>
        <w:t xml:space="preserve"> </w:t>
      </w:r>
    </w:p>
    <w:p w14:paraId="72A41978" w14:textId="77777777" w:rsidR="005D3C86" w:rsidRPr="009E773A" w:rsidRDefault="005D3C86"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lang w:val="es-ES"/>
        </w:rPr>
      </w:pPr>
    </w:p>
    <w:p w14:paraId="1C71FE71" w14:textId="77777777" w:rsidR="005D3C86" w:rsidRPr="009E773A" w:rsidRDefault="005D3C86"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cs="Verdana"/>
          <w:sz w:val="20"/>
          <w:szCs w:val="20"/>
          <w:lang w:val="es-ES"/>
        </w:rPr>
        <w:t xml:space="preserve">En esta misma línea, con la finalidad de garantizar la debida diligencia en la realización de una investigación exhaustiva e imparcial de una muerte en circunstancias sospechosas que involucra a agentes estatales, la Comisión destaca algunos estándares del Protocolo de Minnesota </w:t>
      </w:r>
      <w:r w:rsidRPr="009E773A">
        <w:rPr>
          <w:rFonts w:asciiTheme="majorHAnsi" w:hAnsiTheme="majorHAnsi" w:cs="Tahoma"/>
          <w:color w:val="000000"/>
          <w:sz w:val="20"/>
          <w:szCs w:val="20"/>
          <w:lang w:val="es-MX"/>
        </w:rPr>
        <w:t>instrumento que establece algunas diligencias mínimas como: la identificación de la víctima, la recolección y preservación de pruebas relacionadas con la muerte con el fin de ayudar en el potencial procesamiento de los responsables, la identificación de posibles testigos y la obtención de sus declaraciones en relación con la muerte, la determinación de la causa, manera, lugar y tiempo de la muerte, así como cualquier patrón o práctica que pueda haber provocado la muerte, la distinción entre muerte natural, suicidio y homicidio, la identificación y aprehensión de la o las personas involucradas en la muerte y la presentación de los presuntos perpetradores ante un tribunal competente establecido por ley</w:t>
      </w:r>
      <w:r w:rsidRPr="009E773A">
        <w:rPr>
          <w:rStyle w:val="Refdenotaalpie"/>
          <w:rFonts w:asciiTheme="majorHAnsi" w:hAnsiTheme="majorHAnsi"/>
          <w:sz w:val="20"/>
          <w:szCs w:val="20"/>
        </w:rPr>
        <w:footnoteReference w:id="127"/>
      </w:r>
      <w:r w:rsidRPr="009E773A">
        <w:rPr>
          <w:rFonts w:asciiTheme="majorHAnsi" w:hAnsiTheme="majorHAnsi"/>
          <w:sz w:val="20"/>
          <w:szCs w:val="20"/>
          <w:lang w:val="es-ES"/>
        </w:rPr>
        <w:t xml:space="preserve">. De acuerdo con dichos estándares </w:t>
      </w:r>
      <w:r w:rsidRPr="009E773A">
        <w:rPr>
          <w:rFonts w:asciiTheme="majorHAnsi" w:hAnsiTheme="majorHAnsi" w:cs="Verdana"/>
          <w:sz w:val="20"/>
          <w:szCs w:val="20"/>
          <w:lang w:val="es-ES"/>
        </w:rPr>
        <w:t>“cuando fuera necesario y con el consentimiento del individuo concernido, los investigadores deben adoptar medidas para proteger a los entrevistados y otros de malos tratos o intimidación como consecuencia de la información declarada”</w:t>
      </w:r>
      <w:r w:rsidRPr="009E773A">
        <w:rPr>
          <w:rStyle w:val="Refdenotaalpie"/>
          <w:rFonts w:asciiTheme="majorHAnsi" w:hAnsiTheme="majorHAnsi" w:cs="Verdana"/>
          <w:sz w:val="20"/>
          <w:szCs w:val="20"/>
          <w:lang w:val="es-ES"/>
        </w:rPr>
        <w:t xml:space="preserve"> </w:t>
      </w:r>
      <w:r w:rsidRPr="009E773A">
        <w:rPr>
          <w:rStyle w:val="Refdenotaalpie"/>
          <w:rFonts w:asciiTheme="majorHAnsi" w:hAnsiTheme="majorHAnsi" w:cs="Verdana"/>
          <w:sz w:val="20"/>
          <w:szCs w:val="20"/>
          <w:lang w:val="es-ES"/>
        </w:rPr>
        <w:footnoteReference w:id="128"/>
      </w:r>
      <w:r w:rsidRPr="009E773A">
        <w:rPr>
          <w:rFonts w:asciiTheme="majorHAnsi" w:hAnsiTheme="majorHAnsi" w:cs="Verdana"/>
          <w:sz w:val="20"/>
          <w:szCs w:val="20"/>
          <w:lang w:val="es-ES"/>
        </w:rPr>
        <w:t xml:space="preserve">. </w:t>
      </w:r>
    </w:p>
    <w:p w14:paraId="5C3AF39D" w14:textId="77777777" w:rsidR="005D3C86" w:rsidRPr="009E773A" w:rsidRDefault="005D3C86"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sz w:val="20"/>
          <w:szCs w:val="20"/>
          <w:lang w:val="es-ES"/>
        </w:rPr>
      </w:pPr>
    </w:p>
    <w:p w14:paraId="5CA0C193" w14:textId="77777777" w:rsidR="005D3C86" w:rsidRPr="009E773A" w:rsidRDefault="005D3C86"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cs="Verdana"/>
          <w:sz w:val="20"/>
          <w:szCs w:val="20"/>
          <w:lang w:val="es-ES"/>
        </w:rPr>
        <w:t>Asimismo, de acuerdo con los estándares del mencionado Protocolo, se establece como principio general de las autopsias, en casos de muertes sospechosas, que la labor del personal forense, entre otras, es ayudar a asegurar que las causas y circunstancias de la muerte sean reveladas de modo tal que se cumpla con presentar conclusiones sobre la causa de muerte y las circunstancias que contribuyeron a ella. En esta línea, el Protocolo reconoce que son pocos los casos en que la causa de la muerte puede ser determinada solamente a partir de la autopsia sin otra información adicional sobre la muerte, por lo que el reporte de autopsia, debe contener la lista de hallazgos de las lesiones y brindar una interpretación respecto de las mismas</w:t>
      </w:r>
      <w:r w:rsidRPr="009E773A">
        <w:rPr>
          <w:rStyle w:val="Refdenotaalpie"/>
          <w:rFonts w:asciiTheme="majorHAnsi" w:hAnsiTheme="majorHAnsi" w:cs="Verdana"/>
          <w:sz w:val="20"/>
          <w:szCs w:val="20"/>
          <w:lang w:val="es-ES"/>
        </w:rPr>
        <w:footnoteReference w:id="129"/>
      </w:r>
      <w:r w:rsidRPr="009E773A">
        <w:rPr>
          <w:rFonts w:asciiTheme="majorHAnsi" w:hAnsiTheme="majorHAnsi" w:cs="Verdana"/>
          <w:sz w:val="20"/>
          <w:szCs w:val="20"/>
          <w:lang w:val="es-ES"/>
        </w:rPr>
        <w:t>.</w:t>
      </w:r>
    </w:p>
    <w:p w14:paraId="1E2F01B1" w14:textId="77777777" w:rsidR="005D3C86" w:rsidRPr="009E773A" w:rsidRDefault="005D3C86" w:rsidP="009A79B6">
      <w:pPr>
        <w:rPr>
          <w:rFonts w:asciiTheme="majorHAnsi" w:hAnsiTheme="majorHAnsi" w:cs="Verdana"/>
          <w:sz w:val="20"/>
          <w:szCs w:val="20"/>
          <w:lang w:val="es-ES"/>
        </w:rPr>
      </w:pPr>
    </w:p>
    <w:p w14:paraId="0C609C40" w14:textId="77777777" w:rsidR="005D3C86" w:rsidRPr="009E773A" w:rsidRDefault="005D3C86"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cs="Verdana"/>
          <w:sz w:val="20"/>
          <w:szCs w:val="20"/>
          <w:lang w:val="es-ES"/>
        </w:rPr>
        <w:t>Finalmente, con respecto al principio de plazo razonable contemplado en el artículo 8.1 de la Convención Americana, la Corte Interamericana ha establecido que es preciso tomar en cuenta tres elementos para determinar la razonabilidad del plazo en el que se desarrolla un proceso: a) la complejidad del asunto, b) la actividad procesal del interesado, y c) la conducta de las autoridades judiciales</w:t>
      </w:r>
      <w:r w:rsidRPr="009E773A">
        <w:rPr>
          <w:rStyle w:val="Refdenotaalpie"/>
          <w:rFonts w:asciiTheme="majorHAnsi" w:hAnsiTheme="majorHAnsi" w:cs="Verdana"/>
          <w:sz w:val="20"/>
          <w:szCs w:val="20"/>
        </w:rPr>
        <w:footnoteReference w:id="130"/>
      </w:r>
      <w:r w:rsidRPr="009E773A">
        <w:rPr>
          <w:rFonts w:asciiTheme="majorHAnsi" w:hAnsiTheme="majorHAnsi" w:cs="Verdana"/>
          <w:sz w:val="20"/>
          <w:szCs w:val="20"/>
          <w:lang w:val="es-ES"/>
        </w:rPr>
        <w:t>. Asimismo, la Comisión y la Corte han considerado que también es necesario que se tome en consideración el interés afectado</w:t>
      </w:r>
      <w:r w:rsidRPr="009E773A">
        <w:rPr>
          <w:rStyle w:val="Refdenotaalpie"/>
          <w:rFonts w:asciiTheme="majorHAnsi" w:hAnsiTheme="majorHAnsi" w:cs="Verdana"/>
          <w:sz w:val="20"/>
          <w:szCs w:val="20"/>
          <w:lang w:val="es-ES"/>
        </w:rPr>
        <w:footnoteReference w:id="131"/>
      </w:r>
      <w:r w:rsidRPr="009E773A">
        <w:rPr>
          <w:rFonts w:asciiTheme="majorHAnsi" w:hAnsiTheme="majorHAnsi" w:cs="Verdana"/>
          <w:sz w:val="20"/>
          <w:szCs w:val="20"/>
          <w:lang w:val="es-ES"/>
        </w:rPr>
        <w:t xml:space="preserve">. </w:t>
      </w:r>
    </w:p>
    <w:p w14:paraId="7156F885" w14:textId="77777777" w:rsidR="005D3C86" w:rsidRPr="009E773A" w:rsidRDefault="005D3C86"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lang w:val="es-ES"/>
        </w:rPr>
      </w:pPr>
    </w:p>
    <w:p w14:paraId="30890C24" w14:textId="2F45DA45" w:rsidR="005D3C86" w:rsidRPr="00FC5E2A" w:rsidRDefault="005D3C86" w:rsidP="009A79B6">
      <w:pPr>
        <w:pStyle w:val="Ttulo3"/>
      </w:pPr>
      <w:bookmarkStart w:id="32" w:name="_Toc520804265"/>
      <w:bookmarkStart w:id="33" w:name="_Toc2157194"/>
      <w:bookmarkStart w:id="34" w:name="_Toc2157248"/>
      <w:bookmarkStart w:id="35" w:name="_Toc2159222"/>
      <w:r w:rsidRPr="00FC5E2A">
        <w:t>La debida diligencia</w:t>
      </w:r>
      <w:r w:rsidR="000614EA" w:rsidRPr="00FC5E2A">
        <w:t xml:space="preserve"> y el plazo razonable</w:t>
      </w:r>
      <w:r w:rsidRPr="00FC5E2A">
        <w:t xml:space="preserve"> en la investigación de la</w:t>
      </w:r>
      <w:r w:rsidR="0044058D" w:rsidRPr="00FC5E2A">
        <w:t>s</w:t>
      </w:r>
      <w:r w:rsidRPr="00FC5E2A">
        <w:t xml:space="preserve"> muerte</w:t>
      </w:r>
      <w:r w:rsidR="0044058D" w:rsidRPr="00FC5E2A">
        <w:t>s</w:t>
      </w:r>
      <w:r w:rsidRPr="00FC5E2A">
        <w:t xml:space="preserve"> de </w:t>
      </w:r>
      <w:bookmarkEnd w:id="32"/>
      <w:r w:rsidR="004105AB" w:rsidRPr="00FC5E2A">
        <w:t>Jimmy Guerrero y Ramón Molina</w:t>
      </w:r>
      <w:bookmarkEnd w:id="33"/>
      <w:bookmarkEnd w:id="34"/>
      <w:bookmarkEnd w:id="35"/>
      <w:r w:rsidR="004105AB" w:rsidRPr="00FC5E2A">
        <w:t xml:space="preserve"> </w:t>
      </w:r>
    </w:p>
    <w:p w14:paraId="14A38471" w14:textId="77777777" w:rsidR="004F4268" w:rsidRPr="009E773A" w:rsidRDefault="004F4268" w:rsidP="009A79B6">
      <w:pPr>
        <w:rPr>
          <w:rFonts w:asciiTheme="majorHAnsi" w:hAnsiTheme="majorHAnsi"/>
          <w:lang w:val="es-ES"/>
        </w:rPr>
      </w:pPr>
    </w:p>
    <w:p w14:paraId="601CA1D7" w14:textId="29680A29" w:rsidR="004F4268" w:rsidRPr="009E773A" w:rsidRDefault="004105AB"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lang w:val="es-ES"/>
        </w:rPr>
      </w:pPr>
      <w:r w:rsidRPr="009E773A">
        <w:rPr>
          <w:rFonts w:asciiTheme="majorHAnsi" w:hAnsiTheme="majorHAnsi"/>
          <w:sz w:val="20"/>
          <w:szCs w:val="20"/>
          <w:lang w:val="es-ES"/>
        </w:rPr>
        <w:t>A continuación la CIDH analizará la debida diligencia en la</w:t>
      </w:r>
      <w:r w:rsidR="00173483" w:rsidRPr="009E773A">
        <w:rPr>
          <w:rFonts w:asciiTheme="majorHAnsi" w:hAnsiTheme="majorHAnsi"/>
          <w:sz w:val="20"/>
          <w:szCs w:val="20"/>
          <w:lang w:val="es-ES"/>
        </w:rPr>
        <w:t xml:space="preserve"> investigación de las</w:t>
      </w:r>
      <w:r w:rsidRPr="009E773A">
        <w:rPr>
          <w:rFonts w:asciiTheme="majorHAnsi" w:hAnsiTheme="majorHAnsi"/>
          <w:sz w:val="20"/>
          <w:szCs w:val="20"/>
          <w:lang w:val="es-ES"/>
        </w:rPr>
        <w:t xml:space="preserve"> muerte</w:t>
      </w:r>
      <w:r w:rsidR="00173483" w:rsidRPr="009E773A">
        <w:rPr>
          <w:rFonts w:asciiTheme="majorHAnsi" w:hAnsiTheme="majorHAnsi"/>
          <w:sz w:val="20"/>
          <w:szCs w:val="20"/>
          <w:lang w:val="es-ES"/>
        </w:rPr>
        <w:t>s</w:t>
      </w:r>
      <w:r w:rsidRPr="009E773A">
        <w:rPr>
          <w:rFonts w:asciiTheme="majorHAnsi" w:hAnsiTheme="majorHAnsi"/>
          <w:sz w:val="20"/>
          <w:szCs w:val="20"/>
          <w:lang w:val="es-ES"/>
        </w:rPr>
        <w:t xml:space="preserve"> de Jimmy Guerrero y</w:t>
      </w:r>
      <w:r w:rsidR="00173483" w:rsidRPr="009E773A">
        <w:rPr>
          <w:rFonts w:asciiTheme="majorHAnsi" w:hAnsiTheme="majorHAnsi"/>
          <w:sz w:val="20"/>
          <w:szCs w:val="20"/>
          <w:lang w:val="es-ES"/>
        </w:rPr>
        <w:t xml:space="preserve"> Ramón Molina, en relación </w:t>
      </w:r>
      <w:r w:rsidR="00FF71DB" w:rsidRPr="009E773A">
        <w:rPr>
          <w:rFonts w:asciiTheme="majorHAnsi" w:hAnsiTheme="majorHAnsi"/>
          <w:sz w:val="20"/>
          <w:szCs w:val="20"/>
          <w:lang w:val="es-ES"/>
        </w:rPr>
        <w:t xml:space="preserve">esclarecimiento de los hechos, </w:t>
      </w:r>
      <w:r w:rsidR="00173483" w:rsidRPr="009E773A">
        <w:rPr>
          <w:rFonts w:asciiTheme="majorHAnsi" w:hAnsiTheme="majorHAnsi"/>
          <w:sz w:val="20"/>
          <w:szCs w:val="20"/>
          <w:lang w:val="es-ES"/>
        </w:rPr>
        <w:t>el impulso de oficio, la custodia y preservaci</w:t>
      </w:r>
      <w:r w:rsidR="00FF71DB" w:rsidRPr="009E773A">
        <w:rPr>
          <w:rFonts w:asciiTheme="majorHAnsi" w:hAnsiTheme="majorHAnsi"/>
          <w:sz w:val="20"/>
          <w:szCs w:val="20"/>
          <w:lang w:val="es-ES"/>
        </w:rPr>
        <w:t xml:space="preserve">ón de la prueba, las diligencias practicadas, y el plazo razonable. </w:t>
      </w:r>
    </w:p>
    <w:p w14:paraId="45799730" w14:textId="77777777" w:rsidR="00FF71DB" w:rsidRPr="009E773A" w:rsidRDefault="00FF71DB"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lang w:val="es-ES"/>
        </w:rPr>
      </w:pPr>
    </w:p>
    <w:p w14:paraId="64A9DD5C" w14:textId="5FE3532A" w:rsidR="007B2E9E" w:rsidRPr="009E773A" w:rsidRDefault="00576EE9"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sz w:val="20"/>
          <w:szCs w:val="20"/>
          <w:lang w:val="es-ES"/>
        </w:rPr>
        <w:t xml:space="preserve">En primer lugar, </w:t>
      </w:r>
      <w:r w:rsidR="000E0E1C" w:rsidRPr="009E773A">
        <w:rPr>
          <w:rFonts w:asciiTheme="majorHAnsi" w:hAnsiTheme="majorHAnsi"/>
          <w:sz w:val="20"/>
          <w:szCs w:val="20"/>
          <w:lang w:val="es-ES"/>
        </w:rPr>
        <w:t>la Comisión observa que los entes encargados de la investigación se enfrentaron en el caso a dos narrativas contradictorias. Por un lado, la familia sostenía que la</w:t>
      </w:r>
      <w:r w:rsidR="00826C49" w:rsidRPr="009E773A">
        <w:rPr>
          <w:rFonts w:asciiTheme="majorHAnsi" w:hAnsiTheme="majorHAnsi"/>
          <w:sz w:val="20"/>
          <w:szCs w:val="20"/>
          <w:lang w:val="es-ES"/>
        </w:rPr>
        <w:t>s</w:t>
      </w:r>
      <w:r w:rsidR="000E0E1C" w:rsidRPr="009E773A">
        <w:rPr>
          <w:rFonts w:asciiTheme="majorHAnsi" w:hAnsiTheme="majorHAnsi"/>
          <w:sz w:val="20"/>
          <w:szCs w:val="20"/>
          <w:lang w:val="es-ES"/>
        </w:rPr>
        <w:t xml:space="preserve"> muerte</w:t>
      </w:r>
      <w:r w:rsidR="00826C49" w:rsidRPr="009E773A">
        <w:rPr>
          <w:rFonts w:asciiTheme="majorHAnsi" w:hAnsiTheme="majorHAnsi"/>
          <w:sz w:val="20"/>
          <w:szCs w:val="20"/>
          <w:lang w:val="es-ES"/>
        </w:rPr>
        <w:t>s</w:t>
      </w:r>
      <w:r w:rsidR="000E0E1C" w:rsidRPr="009E773A">
        <w:rPr>
          <w:rFonts w:asciiTheme="majorHAnsi" w:hAnsiTheme="majorHAnsi"/>
          <w:sz w:val="20"/>
          <w:szCs w:val="20"/>
          <w:lang w:val="es-ES"/>
        </w:rPr>
        <w:t xml:space="preserve"> de Jimmy Guerrero y Ramón Molina fue</w:t>
      </w:r>
      <w:r w:rsidR="00E1170B" w:rsidRPr="009E773A">
        <w:rPr>
          <w:rFonts w:asciiTheme="majorHAnsi" w:hAnsiTheme="majorHAnsi"/>
          <w:sz w:val="20"/>
          <w:szCs w:val="20"/>
          <w:lang w:val="es-ES"/>
        </w:rPr>
        <w:t>ron</w:t>
      </w:r>
      <w:r w:rsidR="000E0E1C" w:rsidRPr="009E773A">
        <w:rPr>
          <w:rFonts w:asciiTheme="majorHAnsi" w:hAnsiTheme="majorHAnsi"/>
          <w:sz w:val="20"/>
          <w:szCs w:val="20"/>
          <w:lang w:val="es-ES"/>
        </w:rPr>
        <w:t xml:space="preserve"> acto</w:t>
      </w:r>
      <w:r w:rsidR="00E1170B" w:rsidRPr="009E773A">
        <w:rPr>
          <w:rFonts w:asciiTheme="majorHAnsi" w:hAnsiTheme="majorHAnsi"/>
          <w:sz w:val="20"/>
          <w:szCs w:val="20"/>
          <w:lang w:val="es-ES"/>
        </w:rPr>
        <w:t>s</w:t>
      </w:r>
      <w:r w:rsidR="000E0E1C" w:rsidRPr="009E773A">
        <w:rPr>
          <w:rFonts w:asciiTheme="majorHAnsi" w:hAnsiTheme="majorHAnsi"/>
          <w:sz w:val="20"/>
          <w:szCs w:val="20"/>
          <w:lang w:val="es-ES"/>
        </w:rPr>
        <w:t xml:space="preserve"> de violencia policial; y, por otro lado, del expediente se desprende que el Estado sostuvo que las muertes eran el resultado de un ajuste entre grupos criminales. Tras la revisión de los diferentes elementos probatorios practicados, la Comisión no observa que exista ninguna línea de lógica de investigación orientada al esclarecimiento de los hechos y la búsqueda de la verdad</w:t>
      </w:r>
      <w:r w:rsidR="002E5C5F" w:rsidRPr="009E773A">
        <w:rPr>
          <w:rFonts w:asciiTheme="majorHAnsi" w:hAnsiTheme="majorHAnsi"/>
          <w:sz w:val="20"/>
          <w:szCs w:val="20"/>
          <w:lang w:val="es-ES"/>
        </w:rPr>
        <w:t>, a la luz de las distintas versiones.</w:t>
      </w:r>
      <w:r w:rsidR="000E0E1C" w:rsidRPr="009E773A">
        <w:rPr>
          <w:rFonts w:asciiTheme="majorHAnsi" w:hAnsiTheme="majorHAnsi"/>
          <w:sz w:val="20"/>
          <w:szCs w:val="20"/>
          <w:lang w:val="es-ES"/>
        </w:rPr>
        <w:t xml:space="preserve"> La Comisión percibe que las pericias realizadas de tipo balístico, de los proyectiles encontrados, de la trayectoria del disparo y los informes de autopsia, </w:t>
      </w:r>
      <w:r w:rsidR="00BE78F0" w:rsidRPr="009E773A">
        <w:rPr>
          <w:rFonts w:asciiTheme="majorHAnsi" w:hAnsiTheme="majorHAnsi"/>
          <w:sz w:val="20"/>
          <w:szCs w:val="20"/>
          <w:lang w:val="es-ES"/>
        </w:rPr>
        <w:t xml:space="preserve">contienen </w:t>
      </w:r>
      <w:r w:rsidR="00C12106" w:rsidRPr="009E773A">
        <w:rPr>
          <w:rFonts w:asciiTheme="majorHAnsi" w:hAnsiTheme="majorHAnsi"/>
          <w:sz w:val="20"/>
          <w:szCs w:val="20"/>
          <w:lang w:val="es-ES"/>
        </w:rPr>
        <w:t xml:space="preserve">información </w:t>
      </w:r>
      <w:r w:rsidR="00BE78F0" w:rsidRPr="009E773A">
        <w:rPr>
          <w:rFonts w:asciiTheme="majorHAnsi" w:hAnsiTheme="majorHAnsi"/>
          <w:sz w:val="20"/>
          <w:szCs w:val="20"/>
          <w:lang w:val="es-ES"/>
        </w:rPr>
        <w:t>aislada</w:t>
      </w:r>
      <w:r w:rsidR="000E0E1C" w:rsidRPr="009E773A">
        <w:rPr>
          <w:rFonts w:asciiTheme="majorHAnsi" w:hAnsiTheme="majorHAnsi"/>
          <w:sz w:val="20"/>
          <w:szCs w:val="20"/>
          <w:lang w:val="es-ES"/>
        </w:rPr>
        <w:t xml:space="preserve"> </w:t>
      </w:r>
      <w:r w:rsidR="002E59D3" w:rsidRPr="009E773A">
        <w:rPr>
          <w:rFonts w:asciiTheme="majorHAnsi" w:hAnsiTheme="majorHAnsi"/>
          <w:sz w:val="20"/>
          <w:szCs w:val="20"/>
          <w:lang w:val="es-ES"/>
        </w:rPr>
        <w:t>sin ningún análisis</w:t>
      </w:r>
      <w:r w:rsidR="00C12106" w:rsidRPr="009E773A">
        <w:rPr>
          <w:rFonts w:asciiTheme="majorHAnsi" w:hAnsiTheme="majorHAnsi"/>
          <w:sz w:val="20"/>
          <w:szCs w:val="20"/>
          <w:lang w:val="es-ES"/>
        </w:rPr>
        <w:t xml:space="preserve"> coordinado </w:t>
      </w:r>
      <w:r w:rsidR="00AB2FB5" w:rsidRPr="009E773A">
        <w:rPr>
          <w:rFonts w:asciiTheme="majorHAnsi" w:hAnsiTheme="majorHAnsi"/>
          <w:sz w:val="20"/>
          <w:szCs w:val="20"/>
          <w:lang w:val="es-ES"/>
        </w:rPr>
        <w:t xml:space="preserve">e integrado </w:t>
      </w:r>
      <w:r w:rsidR="00C12106" w:rsidRPr="009E773A">
        <w:rPr>
          <w:rFonts w:asciiTheme="majorHAnsi" w:hAnsiTheme="majorHAnsi"/>
          <w:sz w:val="20"/>
          <w:szCs w:val="20"/>
          <w:lang w:val="es-ES"/>
        </w:rPr>
        <w:t>de las mismas hacia el esclarecimiento de posibles hipótesis</w:t>
      </w:r>
      <w:r w:rsidR="00BE78F0" w:rsidRPr="009E773A">
        <w:rPr>
          <w:rFonts w:asciiTheme="majorHAnsi" w:hAnsiTheme="majorHAnsi"/>
          <w:sz w:val="20"/>
          <w:szCs w:val="20"/>
          <w:lang w:val="es-ES"/>
        </w:rPr>
        <w:t>. No se percibe que las pericias estén destinadas a d</w:t>
      </w:r>
      <w:r w:rsidR="000E0E1C" w:rsidRPr="009E773A">
        <w:rPr>
          <w:rFonts w:asciiTheme="majorHAnsi" w:hAnsiTheme="majorHAnsi"/>
          <w:sz w:val="20"/>
          <w:szCs w:val="20"/>
          <w:lang w:val="es-ES"/>
        </w:rPr>
        <w:t>ar una explicación respecto de la muerte de las v</w:t>
      </w:r>
      <w:r w:rsidR="007B2E9E" w:rsidRPr="009E773A">
        <w:rPr>
          <w:rFonts w:asciiTheme="majorHAnsi" w:hAnsiTheme="majorHAnsi"/>
          <w:sz w:val="20"/>
          <w:szCs w:val="20"/>
          <w:lang w:val="es-ES"/>
        </w:rPr>
        <w:t>íctimas, tomando en consideración los evidentes elementos contextuales ya conocidos para la época de los hechos, los antecedentes de acoso reportados por Jimmy Guerrero, así como los testimonios rendido</w:t>
      </w:r>
      <w:r w:rsidR="00C02D26" w:rsidRPr="009E773A">
        <w:rPr>
          <w:rFonts w:asciiTheme="majorHAnsi" w:hAnsiTheme="majorHAnsi"/>
          <w:sz w:val="20"/>
          <w:szCs w:val="20"/>
          <w:lang w:val="es-ES"/>
        </w:rPr>
        <w:t>s por</w:t>
      </w:r>
      <w:r w:rsidR="007B2E9E" w:rsidRPr="009E773A">
        <w:rPr>
          <w:rFonts w:asciiTheme="majorHAnsi" w:hAnsiTheme="majorHAnsi"/>
          <w:sz w:val="20"/>
          <w:szCs w:val="20"/>
          <w:lang w:val="es-ES"/>
        </w:rPr>
        <w:t xml:space="preserve"> los testigos oculares, en especial de la p</w:t>
      </w:r>
      <w:r w:rsidR="00C02D26" w:rsidRPr="009E773A">
        <w:rPr>
          <w:rFonts w:asciiTheme="majorHAnsi" w:hAnsiTheme="majorHAnsi"/>
          <w:sz w:val="20"/>
          <w:szCs w:val="20"/>
          <w:lang w:val="es-ES"/>
        </w:rPr>
        <w:t>ersona sobreviviente al ataque</w:t>
      </w:r>
      <w:r w:rsidR="00BE78F0" w:rsidRPr="009E773A">
        <w:rPr>
          <w:rFonts w:asciiTheme="majorHAnsi" w:hAnsiTheme="majorHAnsi"/>
          <w:sz w:val="20"/>
          <w:szCs w:val="20"/>
          <w:lang w:val="es-ES"/>
        </w:rPr>
        <w:t>.</w:t>
      </w:r>
    </w:p>
    <w:p w14:paraId="639DF2DA" w14:textId="77777777" w:rsidR="00BE78F0" w:rsidRPr="009E773A" w:rsidRDefault="00BE78F0"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ind w:left="630"/>
        <w:jc w:val="both"/>
        <w:rPr>
          <w:rFonts w:asciiTheme="majorHAnsi" w:hAnsiTheme="majorHAnsi"/>
          <w:sz w:val="20"/>
          <w:szCs w:val="20"/>
          <w:lang w:val="es-ES"/>
        </w:rPr>
      </w:pPr>
    </w:p>
    <w:p w14:paraId="3D7A8CA2" w14:textId="257B0FD6" w:rsidR="004F4268" w:rsidRPr="009E773A" w:rsidRDefault="00EA235D"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lang w:val="es-ES"/>
        </w:rPr>
      </w:pPr>
      <w:r w:rsidRPr="009E773A">
        <w:rPr>
          <w:rFonts w:asciiTheme="majorHAnsi" w:hAnsiTheme="majorHAnsi"/>
          <w:sz w:val="20"/>
          <w:szCs w:val="20"/>
          <w:lang w:val="es-ES"/>
        </w:rPr>
        <w:t xml:space="preserve">En segundo lugar, </w:t>
      </w:r>
      <w:r w:rsidR="00576EE9" w:rsidRPr="009E773A">
        <w:rPr>
          <w:rFonts w:asciiTheme="majorHAnsi" w:hAnsiTheme="majorHAnsi"/>
          <w:sz w:val="20"/>
          <w:szCs w:val="20"/>
          <w:lang w:val="es-ES"/>
        </w:rPr>
        <w:t xml:space="preserve">la Comisión observa </w:t>
      </w:r>
      <w:r w:rsidR="002E59D3" w:rsidRPr="009E773A">
        <w:rPr>
          <w:rFonts w:asciiTheme="majorHAnsi" w:hAnsiTheme="majorHAnsi"/>
          <w:sz w:val="20"/>
          <w:szCs w:val="20"/>
          <w:lang w:val="es-ES"/>
        </w:rPr>
        <w:t xml:space="preserve">que entre el </w:t>
      </w:r>
      <w:r w:rsidR="00A91634" w:rsidRPr="009E773A">
        <w:rPr>
          <w:rFonts w:asciiTheme="majorHAnsi" w:hAnsiTheme="majorHAnsi"/>
          <w:sz w:val="20"/>
          <w:szCs w:val="20"/>
          <w:lang w:val="es-ES"/>
        </w:rPr>
        <w:t xml:space="preserve">2003 y 2005 el CICPC y las Fiscalías encargadas de la investigación solicitaron al Comando de las Fuerzas Armadas Policiales las listas de nombres, jerarquías, ubicaciones de agentes policiales el día de los asesinatos, así como los días anteriores. Asimismo, los órganos directores de la investigación solicitaron también el libro de novedad y el libro de parque de armas del mismo período temporal. Se observa en el expediente que tras estas reiteradas solicitudes, la Comandancia Policial recién contestó </w:t>
      </w:r>
      <w:r w:rsidR="00651E7A" w:rsidRPr="009E773A">
        <w:rPr>
          <w:rFonts w:asciiTheme="majorHAnsi" w:hAnsiTheme="majorHAnsi"/>
          <w:sz w:val="20"/>
          <w:szCs w:val="20"/>
          <w:lang w:val="es-ES"/>
        </w:rPr>
        <w:t xml:space="preserve">doce años después de la primera solicitud, en </w:t>
      </w:r>
      <w:r w:rsidR="00A91634" w:rsidRPr="009E773A">
        <w:rPr>
          <w:rFonts w:asciiTheme="majorHAnsi" w:hAnsiTheme="majorHAnsi"/>
          <w:sz w:val="20"/>
          <w:szCs w:val="20"/>
          <w:lang w:val="es-ES"/>
        </w:rPr>
        <w:t xml:space="preserve">el año 2015, indicado que dichas pruebas se había perdido el año 2010 debido a precipitaciones. </w:t>
      </w:r>
      <w:r w:rsidR="00651E7A" w:rsidRPr="009E773A">
        <w:rPr>
          <w:rFonts w:asciiTheme="majorHAnsi" w:hAnsiTheme="majorHAnsi"/>
          <w:sz w:val="20"/>
          <w:szCs w:val="20"/>
          <w:lang w:val="es-ES"/>
        </w:rPr>
        <w:t xml:space="preserve">No surge del expediente explicación alguna sobre esta demora </w:t>
      </w:r>
      <w:r w:rsidR="009333C7" w:rsidRPr="009E773A">
        <w:rPr>
          <w:rFonts w:asciiTheme="majorHAnsi" w:hAnsiTheme="majorHAnsi"/>
          <w:sz w:val="20"/>
          <w:szCs w:val="20"/>
          <w:lang w:val="es-ES"/>
        </w:rPr>
        <w:t>in</w:t>
      </w:r>
      <w:r w:rsidR="004643B0" w:rsidRPr="009E773A">
        <w:rPr>
          <w:rFonts w:asciiTheme="majorHAnsi" w:hAnsiTheme="majorHAnsi"/>
          <w:sz w:val="20"/>
          <w:szCs w:val="20"/>
          <w:lang w:val="es-ES"/>
        </w:rPr>
        <w:t>usitada</w:t>
      </w:r>
      <w:r w:rsidR="009333C7" w:rsidRPr="009E773A">
        <w:rPr>
          <w:rFonts w:asciiTheme="majorHAnsi" w:hAnsiTheme="majorHAnsi"/>
          <w:sz w:val="20"/>
          <w:szCs w:val="20"/>
          <w:lang w:val="es-ES"/>
        </w:rPr>
        <w:t xml:space="preserve"> en </w:t>
      </w:r>
      <w:r w:rsidR="004643B0" w:rsidRPr="009E773A">
        <w:rPr>
          <w:rFonts w:asciiTheme="majorHAnsi" w:hAnsiTheme="majorHAnsi"/>
          <w:sz w:val="20"/>
          <w:szCs w:val="20"/>
          <w:lang w:val="es-ES"/>
        </w:rPr>
        <w:t xml:space="preserve">responder a una solicitud de </w:t>
      </w:r>
      <w:r w:rsidR="009333C7" w:rsidRPr="009E773A">
        <w:rPr>
          <w:rFonts w:asciiTheme="majorHAnsi" w:hAnsiTheme="majorHAnsi"/>
          <w:sz w:val="20"/>
          <w:szCs w:val="20"/>
          <w:lang w:val="es-ES"/>
        </w:rPr>
        <w:t>información</w:t>
      </w:r>
      <w:r w:rsidR="004643B0" w:rsidRPr="009E773A">
        <w:rPr>
          <w:rFonts w:asciiTheme="majorHAnsi" w:hAnsiTheme="majorHAnsi"/>
          <w:sz w:val="20"/>
          <w:szCs w:val="20"/>
          <w:lang w:val="es-ES"/>
        </w:rPr>
        <w:t xml:space="preserve"> sencilla</w:t>
      </w:r>
      <w:r w:rsidR="009333C7" w:rsidRPr="009E773A">
        <w:rPr>
          <w:rFonts w:asciiTheme="majorHAnsi" w:hAnsiTheme="majorHAnsi"/>
          <w:sz w:val="20"/>
          <w:szCs w:val="20"/>
          <w:lang w:val="es-ES"/>
        </w:rPr>
        <w:t xml:space="preserve">. </w:t>
      </w:r>
      <w:r w:rsidR="004643B0" w:rsidRPr="009E773A">
        <w:rPr>
          <w:rFonts w:asciiTheme="majorHAnsi" w:hAnsiTheme="majorHAnsi"/>
          <w:sz w:val="20"/>
          <w:szCs w:val="20"/>
          <w:lang w:val="es-ES"/>
        </w:rPr>
        <w:t xml:space="preserve">Como se indicó en la sección anterior, esta omisión, por su naturaleza y falta de explicación, puede entenderse como una forma de encubrimiento y obstaculización de las investigaciones. </w:t>
      </w:r>
      <w:r w:rsidR="009D5606" w:rsidRPr="009E773A">
        <w:rPr>
          <w:rFonts w:asciiTheme="majorHAnsi" w:hAnsiTheme="majorHAnsi"/>
          <w:sz w:val="20"/>
          <w:szCs w:val="20"/>
          <w:lang w:val="es-ES"/>
        </w:rPr>
        <w:t>L</w:t>
      </w:r>
      <w:r w:rsidR="00A91634" w:rsidRPr="009E773A">
        <w:rPr>
          <w:rFonts w:asciiTheme="majorHAnsi" w:hAnsiTheme="majorHAnsi"/>
          <w:sz w:val="20"/>
          <w:szCs w:val="20"/>
          <w:lang w:val="es-ES"/>
        </w:rPr>
        <w:t xml:space="preserve">a Comisión también observa que </w:t>
      </w:r>
      <w:r w:rsidR="00685E3A" w:rsidRPr="009E773A">
        <w:rPr>
          <w:rFonts w:asciiTheme="majorHAnsi" w:hAnsiTheme="majorHAnsi"/>
          <w:sz w:val="20"/>
          <w:szCs w:val="20"/>
          <w:lang w:val="es-ES"/>
        </w:rPr>
        <w:t>e</w:t>
      </w:r>
      <w:r w:rsidR="0026495E" w:rsidRPr="009E773A">
        <w:rPr>
          <w:rFonts w:asciiTheme="majorHAnsi" w:hAnsiTheme="majorHAnsi"/>
          <w:sz w:val="20"/>
          <w:szCs w:val="20"/>
          <w:lang w:val="es-ES"/>
        </w:rPr>
        <w:t>n</w:t>
      </w:r>
      <w:r w:rsidR="00685E3A" w:rsidRPr="009E773A">
        <w:rPr>
          <w:rFonts w:asciiTheme="majorHAnsi" w:hAnsiTheme="majorHAnsi"/>
          <w:sz w:val="20"/>
          <w:szCs w:val="20"/>
          <w:lang w:val="es-ES"/>
        </w:rPr>
        <w:t xml:space="preserve"> 2016 la Unidad Criminalística corroboró que </w:t>
      </w:r>
      <w:r w:rsidR="00A91634" w:rsidRPr="009E773A">
        <w:rPr>
          <w:rFonts w:asciiTheme="majorHAnsi" w:hAnsiTheme="majorHAnsi"/>
          <w:sz w:val="20"/>
          <w:szCs w:val="20"/>
          <w:lang w:val="es-ES"/>
        </w:rPr>
        <w:t>las balas y f</w:t>
      </w:r>
      <w:r w:rsidR="00685E3A" w:rsidRPr="009E773A">
        <w:rPr>
          <w:rFonts w:asciiTheme="majorHAnsi" w:hAnsiTheme="majorHAnsi"/>
          <w:sz w:val="20"/>
          <w:szCs w:val="20"/>
          <w:lang w:val="es-ES"/>
        </w:rPr>
        <w:t xml:space="preserve">ragmentos de bala bajo custodia estaban perdidos. Es decir, las principales piezas de evidencia que podrían </w:t>
      </w:r>
      <w:r w:rsidR="00852893" w:rsidRPr="009E773A">
        <w:rPr>
          <w:rFonts w:asciiTheme="majorHAnsi" w:hAnsiTheme="majorHAnsi"/>
          <w:sz w:val="20"/>
          <w:szCs w:val="20"/>
          <w:lang w:val="es-ES"/>
        </w:rPr>
        <w:t xml:space="preserve">haber aportado elementos conducentes a establecer </w:t>
      </w:r>
      <w:r w:rsidR="00685E3A" w:rsidRPr="009E773A">
        <w:rPr>
          <w:rFonts w:asciiTheme="majorHAnsi" w:hAnsiTheme="majorHAnsi"/>
          <w:sz w:val="20"/>
          <w:szCs w:val="20"/>
          <w:lang w:val="es-ES"/>
        </w:rPr>
        <w:t>la identidad de los perpetradores</w:t>
      </w:r>
      <w:r w:rsidR="00090B65" w:rsidRPr="009E773A">
        <w:rPr>
          <w:rFonts w:asciiTheme="majorHAnsi" w:hAnsiTheme="majorHAnsi"/>
          <w:sz w:val="20"/>
          <w:szCs w:val="20"/>
          <w:lang w:val="es-ES"/>
        </w:rPr>
        <w:t xml:space="preserve"> y su vinculación con las fuerzas armadas policiales</w:t>
      </w:r>
      <w:r w:rsidR="00685E3A" w:rsidRPr="009E773A">
        <w:rPr>
          <w:rFonts w:asciiTheme="majorHAnsi" w:hAnsiTheme="majorHAnsi"/>
          <w:sz w:val="20"/>
          <w:szCs w:val="20"/>
          <w:lang w:val="es-ES"/>
        </w:rPr>
        <w:t xml:space="preserve"> no fueron correctamente custodiad</w:t>
      </w:r>
      <w:r w:rsidR="00090B65" w:rsidRPr="009E773A">
        <w:rPr>
          <w:rFonts w:asciiTheme="majorHAnsi" w:hAnsiTheme="majorHAnsi"/>
          <w:sz w:val="20"/>
          <w:szCs w:val="20"/>
          <w:lang w:val="es-ES"/>
        </w:rPr>
        <w:t>a</w:t>
      </w:r>
      <w:r w:rsidR="001422A3" w:rsidRPr="009E773A">
        <w:rPr>
          <w:rFonts w:asciiTheme="majorHAnsi" w:hAnsiTheme="majorHAnsi"/>
          <w:sz w:val="20"/>
          <w:szCs w:val="20"/>
          <w:lang w:val="es-ES"/>
        </w:rPr>
        <w:t>s, estudiad</w:t>
      </w:r>
      <w:r w:rsidR="00F054B0" w:rsidRPr="009E773A">
        <w:rPr>
          <w:rFonts w:asciiTheme="majorHAnsi" w:hAnsiTheme="majorHAnsi"/>
          <w:sz w:val="20"/>
          <w:szCs w:val="20"/>
          <w:lang w:val="es-ES"/>
        </w:rPr>
        <w:t>a</w:t>
      </w:r>
      <w:r w:rsidR="00A55D02">
        <w:rPr>
          <w:rFonts w:asciiTheme="majorHAnsi" w:hAnsiTheme="majorHAnsi"/>
          <w:sz w:val="20"/>
          <w:szCs w:val="20"/>
          <w:lang w:val="es-ES"/>
        </w:rPr>
        <w:t>s o entregada</w:t>
      </w:r>
      <w:r w:rsidR="001422A3" w:rsidRPr="009E773A">
        <w:rPr>
          <w:rFonts w:asciiTheme="majorHAnsi" w:hAnsiTheme="majorHAnsi"/>
          <w:sz w:val="20"/>
          <w:szCs w:val="20"/>
          <w:lang w:val="es-ES"/>
        </w:rPr>
        <w:t xml:space="preserve">s. </w:t>
      </w:r>
    </w:p>
    <w:p w14:paraId="2171EADC" w14:textId="77777777" w:rsidR="00EA235D" w:rsidRPr="009E773A" w:rsidRDefault="00EA235D" w:rsidP="009A79B6">
      <w:pPr>
        <w:pStyle w:val="Prrafodelista"/>
        <w:rPr>
          <w:rFonts w:asciiTheme="majorHAnsi" w:hAnsiTheme="majorHAnsi"/>
          <w:lang w:val="es-ES"/>
        </w:rPr>
      </w:pPr>
    </w:p>
    <w:p w14:paraId="2A4BC2C1" w14:textId="5C3BA421" w:rsidR="00456BD3" w:rsidRPr="009E773A" w:rsidRDefault="00685E3A"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lang w:val="es-ES"/>
        </w:rPr>
      </w:pPr>
      <w:r w:rsidRPr="009E773A">
        <w:rPr>
          <w:rFonts w:asciiTheme="majorHAnsi" w:hAnsiTheme="majorHAnsi"/>
          <w:sz w:val="20"/>
          <w:szCs w:val="20"/>
          <w:lang w:val="es-ES"/>
        </w:rPr>
        <w:t xml:space="preserve">En tercer lugar, y en línea con lo anterior, la Comisión también encuentra que las pruebas testimoniales abrieron una línea lógica no explorada por parte de los órganos encargados de la investigación. Así, varios testigos indicaron la presencia de personal que vestía ropa policial, el señor </w:t>
      </w:r>
      <w:r w:rsidR="00090B65" w:rsidRPr="009E773A">
        <w:rPr>
          <w:rFonts w:asciiTheme="majorHAnsi" w:hAnsiTheme="majorHAnsi"/>
          <w:sz w:val="20"/>
          <w:szCs w:val="20"/>
          <w:lang w:val="es-ES"/>
        </w:rPr>
        <w:t xml:space="preserve">Hernández se refirió en varias oportunidades a “policías” e incluso en algún momento vinculó al policía Rojas a la escena del crimen. Sin embargo, no se encuentra en el expediente el modo en que esta evidencia </w:t>
      </w:r>
      <w:r w:rsidR="00244B73" w:rsidRPr="009E773A">
        <w:rPr>
          <w:rFonts w:asciiTheme="majorHAnsi" w:hAnsiTheme="majorHAnsi"/>
          <w:sz w:val="20"/>
          <w:szCs w:val="20"/>
          <w:lang w:val="es-ES"/>
        </w:rPr>
        <w:t xml:space="preserve">activó </w:t>
      </w:r>
      <w:r w:rsidR="00090B65" w:rsidRPr="009E773A">
        <w:rPr>
          <w:rFonts w:asciiTheme="majorHAnsi" w:hAnsiTheme="majorHAnsi"/>
          <w:sz w:val="20"/>
          <w:szCs w:val="20"/>
          <w:lang w:val="es-ES"/>
        </w:rPr>
        <w:t xml:space="preserve">algún tipo de exploración </w:t>
      </w:r>
      <w:r w:rsidR="00E07379" w:rsidRPr="009E773A">
        <w:rPr>
          <w:rFonts w:asciiTheme="majorHAnsi" w:hAnsiTheme="majorHAnsi"/>
          <w:sz w:val="20"/>
          <w:szCs w:val="20"/>
          <w:lang w:val="es-ES"/>
        </w:rPr>
        <w:t xml:space="preserve">inmediata </w:t>
      </w:r>
      <w:r w:rsidR="00090B65" w:rsidRPr="009E773A">
        <w:rPr>
          <w:rFonts w:asciiTheme="majorHAnsi" w:hAnsiTheme="majorHAnsi"/>
          <w:sz w:val="20"/>
          <w:szCs w:val="20"/>
          <w:lang w:val="es-ES"/>
        </w:rPr>
        <w:t>de la mencionada hipótesis de autoría criminal</w:t>
      </w:r>
      <w:r w:rsidR="00E07379" w:rsidRPr="009E773A">
        <w:rPr>
          <w:rFonts w:asciiTheme="majorHAnsi" w:hAnsiTheme="majorHAnsi"/>
          <w:sz w:val="20"/>
          <w:szCs w:val="20"/>
          <w:lang w:val="es-ES"/>
        </w:rPr>
        <w:t>, sino que la orden de aprehensión se emitió recién el 2016, es decir trece años después de la ocurrencia de los hechos, cuando mucha de la prueba ya se encuentra perdida o es imposible de ser colectada</w:t>
      </w:r>
      <w:r w:rsidR="00090B65" w:rsidRPr="009E773A">
        <w:rPr>
          <w:rFonts w:asciiTheme="majorHAnsi" w:hAnsiTheme="majorHAnsi"/>
          <w:sz w:val="20"/>
          <w:szCs w:val="20"/>
          <w:lang w:val="es-ES"/>
        </w:rPr>
        <w:t>.</w:t>
      </w:r>
      <w:r w:rsidR="002E59D3" w:rsidRPr="009E773A">
        <w:rPr>
          <w:rFonts w:asciiTheme="majorHAnsi" w:hAnsiTheme="majorHAnsi"/>
          <w:lang w:val="es-ES"/>
        </w:rPr>
        <w:t xml:space="preserve"> </w:t>
      </w:r>
      <w:r w:rsidR="002E59D3" w:rsidRPr="009E773A">
        <w:rPr>
          <w:rFonts w:asciiTheme="majorHAnsi" w:hAnsiTheme="majorHAnsi"/>
          <w:sz w:val="20"/>
          <w:szCs w:val="20"/>
          <w:lang w:val="es-ES"/>
        </w:rPr>
        <w:t>En</w:t>
      </w:r>
      <w:r w:rsidR="001422A3" w:rsidRPr="009E773A">
        <w:rPr>
          <w:rFonts w:asciiTheme="majorHAnsi" w:hAnsiTheme="majorHAnsi"/>
          <w:sz w:val="20"/>
          <w:szCs w:val="20"/>
          <w:lang w:val="es-ES"/>
        </w:rPr>
        <w:t xml:space="preserve"> conexión con lo anterior, la Comisión toma nota que los órganos encargados de la investigación tampoco tomaron las declaraciones de los miembros </w:t>
      </w:r>
      <w:r w:rsidR="008D335D" w:rsidRPr="009E773A">
        <w:rPr>
          <w:rFonts w:asciiTheme="majorHAnsi" w:hAnsiTheme="majorHAnsi"/>
          <w:sz w:val="20"/>
          <w:szCs w:val="20"/>
          <w:lang w:val="es-ES"/>
        </w:rPr>
        <w:t>de las fuerzas policiales que fueron implicados en el ataque</w:t>
      </w:r>
      <w:r w:rsidR="00456BD3" w:rsidRPr="009E773A">
        <w:rPr>
          <w:rFonts w:asciiTheme="majorHAnsi" w:hAnsiTheme="majorHAnsi"/>
          <w:sz w:val="20"/>
          <w:szCs w:val="20"/>
          <w:lang w:val="es-ES"/>
        </w:rPr>
        <w:t>.</w:t>
      </w:r>
    </w:p>
    <w:p w14:paraId="377B2EDF" w14:textId="77777777" w:rsidR="00456BD3" w:rsidRPr="009E773A" w:rsidRDefault="00456BD3" w:rsidP="009A79B6">
      <w:pPr>
        <w:pStyle w:val="Prrafodelista"/>
        <w:rPr>
          <w:rFonts w:asciiTheme="majorHAnsi" w:hAnsiTheme="majorHAnsi"/>
          <w:sz w:val="20"/>
          <w:szCs w:val="20"/>
          <w:lang w:val="es-ES"/>
        </w:rPr>
      </w:pPr>
    </w:p>
    <w:p w14:paraId="0BC1E2CD" w14:textId="0E9F4529" w:rsidR="00864CF3" w:rsidRPr="009E773A" w:rsidRDefault="00456BD3"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sz w:val="20"/>
          <w:szCs w:val="20"/>
          <w:lang w:val="es-ES"/>
        </w:rPr>
        <w:t xml:space="preserve">En </w:t>
      </w:r>
      <w:r w:rsidR="002E59D3" w:rsidRPr="009E773A">
        <w:rPr>
          <w:rFonts w:asciiTheme="majorHAnsi" w:hAnsiTheme="majorHAnsi"/>
          <w:sz w:val="20"/>
          <w:szCs w:val="20"/>
          <w:lang w:val="es-ES"/>
        </w:rPr>
        <w:t>cuarto</w:t>
      </w:r>
      <w:r w:rsidRPr="009E773A">
        <w:rPr>
          <w:rFonts w:asciiTheme="majorHAnsi" w:hAnsiTheme="majorHAnsi"/>
          <w:sz w:val="20"/>
          <w:szCs w:val="20"/>
          <w:lang w:val="es-ES"/>
        </w:rPr>
        <w:t xml:space="preserve"> lugar, la Comisión </w:t>
      </w:r>
      <w:r w:rsidR="00AC1AAB" w:rsidRPr="009E773A">
        <w:rPr>
          <w:rFonts w:asciiTheme="majorHAnsi" w:hAnsiTheme="majorHAnsi"/>
          <w:sz w:val="20"/>
          <w:szCs w:val="20"/>
          <w:lang w:val="es-ES"/>
        </w:rPr>
        <w:t>observa</w:t>
      </w:r>
      <w:r w:rsidRPr="009E773A">
        <w:rPr>
          <w:rFonts w:asciiTheme="majorHAnsi" w:hAnsiTheme="majorHAnsi"/>
          <w:sz w:val="20"/>
          <w:szCs w:val="20"/>
          <w:lang w:val="es-ES"/>
        </w:rPr>
        <w:t xml:space="preserve"> </w:t>
      </w:r>
      <w:r w:rsidR="00AC1AAB" w:rsidRPr="009E773A">
        <w:rPr>
          <w:rFonts w:asciiTheme="majorHAnsi" w:hAnsiTheme="majorHAnsi"/>
          <w:sz w:val="20"/>
          <w:szCs w:val="20"/>
          <w:lang w:val="es-ES"/>
        </w:rPr>
        <w:t xml:space="preserve">que tras </w:t>
      </w:r>
      <w:r w:rsidRPr="009E773A">
        <w:rPr>
          <w:rFonts w:asciiTheme="majorHAnsi" w:hAnsiTheme="majorHAnsi"/>
          <w:sz w:val="20"/>
          <w:szCs w:val="20"/>
          <w:lang w:val="es-ES"/>
        </w:rPr>
        <w:t xml:space="preserve">las muertes, los órganos de investigación practicaron la toma de testimonios, </w:t>
      </w:r>
      <w:r w:rsidR="00AC1AAB" w:rsidRPr="009E773A">
        <w:rPr>
          <w:rFonts w:asciiTheme="majorHAnsi" w:hAnsiTheme="majorHAnsi"/>
          <w:sz w:val="20"/>
          <w:szCs w:val="20"/>
          <w:lang w:val="es-ES"/>
        </w:rPr>
        <w:t xml:space="preserve">se realizaron las </w:t>
      </w:r>
      <w:r w:rsidRPr="009E773A">
        <w:rPr>
          <w:rFonts w:asciiTheme="majorHAnsi" w:hAnsiTheme="majorHAnsi"/>
          <w:sz w:val="20"/>
          <w:szCs w:val="20"/>
          <w:lang w:val="es-ES"/>
        </w:rPr>
        <w:t>autopsia</w:t>
      </w:r>
      <w:r w:rsidR="00AC1AAB" w:rsidRPr="009E773A">
        <w:rPr>
          <w:rFonts w:asciiTheme="majorHAnsi" w:hAnsiTheme="majorHAnsi"/>
          <w:sz w:val="20"/>
          <w:szCs w:val="20"/>
          <w:lang w:val="es-ES"/>
        </w:rPr>
        <w:t>s</w:t>
      </w:r>
      <w:r w:rsidRPr="009E773A">
        <w:rPr>
          <w:rFonts w:asciiTheme="majorHAnsi" w:hAnsiTheme="majorHAnsi"/>
          <w:sz w:val="20"/>
          <w:szCs w:val="20"/>
          <w:lang w:val="es-ES"/>
        </w:rPr>
        <w:t xml:space="preserve">, </w:t>
      </w:r>
      <w:r w:rsidR="00AC1AAB" w:rsidRPr="009E773A">
        <w:rPr>
          <w:rFonts w:asciiTheme="majorHAnsi" w:hAnsiTheme="majorHAnsi"/>
          <w:sz w:val="20"/>
          <w:szCs w:val="20"/>
          <w:lang w:val="es-ES"/>
        </w:rPr>
        <w:t xml:space="preserve">se </w:t>
      </w:r>
      <w:r w:rsidRPr="009E773A">
        <w:rPr>
          <w:rFonts w:asciiTheme="majorHAnsi" w:hAnsiTheme="majorHAnsi"/>
          <w:sz w:val="20"/>
          <w:szCs w:val="20"/>
          <w:lang w:val="es-ES"/>
        </w:rPr>
        <w:t>orden</w:t>
      </w:r>
      <w:r w:rsidR="00AC1AAB" w:rsidRPr="009E773A">
        <w:rPr>
          <w:rFonts w:asciiTheme="majorHAnsi" w:hAnsiTheme="majorHAnsi"/>
          <w:sz w:val="20"/>
          <w:szCs w:val="20"/>
          <w:lang w:val="es-ES"/>
        </w:rPr>
        <w:t>aron</w:t>
      </w:r>
      <w:r w:rsidRPr="009E773A">
        <w:rPr>
          <w:rFonts w:asciiTheme="majorHAnsi" w:hAnsiTheme="majorHAnsi"/>
          <w:sz w:val="20"/>
          <w:szCs w:val="20"/>
          <w:lang w:val="es-ES"/>
        </w:rPr>
        <w:t xml:space="preserve"> los peritajes de balística y trayectoria intraórganica</w:t>
      </w:r>
      <w:r w:rsidR="002E59D3" w:rsidRPr="009E773A">
        <w:rPr>
          <w:rFonts w:asciiTheme="majorHAnsi" w:hAnsiTheme="majorHAnsi"/>
          <w:sz w:val="20"/>
          <w:szCs w:val="20"/>
          <w:lang w:val="es-ES"/>
        </w:rPr>
        <w:t>, entre otras, de modo consistente</w:t>
      </w:r>
      <w:r w:rsidRPr="009E773A">
        <w:rPr>
          <w:rFonts w:asciiTheme="majorHAnsi" w:hAnsiTheme="majorHAnsi"/>
          <w:sz w:val="20"/>
          <w:szCs w:val="20"/>
          <w:lang w:val="es-ES"/>
        </w:rPr>
        <w:t xml:space="preserve"> </w:t>
      </w:r>
      <w:r w:rsidR="002E59D3" w:rsidRPr="009E773A">
        <w:rPr>
          <w:rFonts w:asciiTheme="majorHAnsi" w:hAnsiTheme="majorHAnsi"/>
          <w:sz w:val="20"/>
          <w:szCs w:val="20"/>
          <w:lang w:val="es-ES"/>
        </w:rPr>
        <w:t xml:space="preserve">durante el </w:t>
      </w:r>
      <w:r w:rsidR="00AC1AAB" w:rsidRPr="009E773A">
        <w:rPr>
          <w:rFonts w:asciiTheme="majorHAnsi" w:hAnsiTheme="majorHAnsi"/>
          <w:sz w:val="20"/>
          <w:szCs w:val="20"/>
          <w:lang w:val="es-ES"/>
        </w:rPr>
        <w:t>2003. A</w:t>
      </w:r>
      <w:r w:rsidRPr="009E773A">
        <w:rPr>
          <w:rFonts w:asciiTheme="majorHAnsi" w:hAnsiTheme="majorHAnsi"/>
          <w:sz w:val="20"/>
          <w:szCs w:val="20"/>
          <w:lang w:val="es-ES"/>
        </w:rPr>
        <w:t xml:space="preserve"> partir del 2004 en adelante, </w:t>
      </w:r>
      <w:r w:rsidR="001D7DE7" w:rsidRPr="009E773A">
        <w:rPr>
          <w:rFonts w:asciiTheme="majorHAnsi" w:hAnsiTheme="majorHAnsi"/>
          <w:sz w:val="20"/>
          <w:szCs w:val="20"/>
          <w:lang w:val="es-ES"/>
        </w:rPr>
        <w:t xml:space="preserve">la mayor cantidad de piezas procesales que fueron adjuntadas al expediente se tratan de comunicaciones de los órganos de investigación a otras entidades para que remitan pericias practicadas o para que envíen pruebas documentales, </w:t>
      </w:r>
      <w:r w:rsidR="00D02002" w:rsidRPr="009E773A">
        <w:rPr>
          <w:rFonts w:asciiTheme="majorHAnsi" w:hAnsiTheme="majorHAnsi"/>
          <w:sz w:val="20"/>
          <w:szCs w:val="20"/>
          <w:lang w:val="es-ES"/>
        </w:rPr>
        <w:t xml:space="preserve">lo que rara vez logró </w:t>
      </w:r>
      <w:r w:rsidR="001D7DE7" w:rsidRPr="009E773A">
        <w:rPr>
          <w:rFonts w:asciiTheme="majorHAnsi" w:hAnsiTheme="majorHAnsi"/>
          <w:sz w:val="20"/>
          <w:szCs w:val="20"/>
          <w:lang w:val="es-ES"/>
        </w:rPr>
        <w:t>alg</w:t>
      </w:r>
      <w:r w:rsidR="00D02002" w:rsidRPr="009E773A">
        <w:rPr>
          <w:rFonts w:asciiTheme="majorHAnsi" w:hAnsiTheme="majorHAnsi"/>
          <w:sz w:val="20"/>
          <w:szCs w:val="20"/>
          <w:lang w:val="es-ES"/>
        </w:rPr>
        <w:t>ún resultado y h</w:t>
      </w:r>
      <w:r w:rsidR="001D7DE7" w:rsidRPr="009E773A">
        <w:rPr>
          <w:rFonts w:asciiTheme="majorHAnsi" w:hAnsiTheme="majorHAnsi"/>
          <w:sz w:val="20"/>
          <w:szCs w:val="20"/>
          <w:lang w:val="es-ES"/>
        </w:rPr>
        <w:t xml:space="preserve">acia el 2007 estos </w:t>
      </w:r>
      <w:r w:rsidR="008C510C" w:rsidRPr="009E773A">
        <w:rPr>
          <w:rFonts w:asciiTheme="majorHAnsi" w:hAnsiTheme="majorHAnsi"/>
          <w:sz w:val="20"/>
          <w:szCs w:val="20"/>
          <w:lang w:val="es-ES"/>
        </w:rPr>
        <w:t xml:space="preserve">actos </w:t>
      </w:r>
      <w:r w:rsidR="001D7DE7" w:rsidRPr="009E773A">
        <w:rPr>
          <w:rFonts w:asciiTheme="majorHAnsi" w:hAnsiTheme="majorHAnsi"/>
          <w:sz w:val="20"/>
          <w:szCs w:val="20"/>
          <w:lang w:val="es-ES"/>
        </w:rPr>
        <w:t xml:space="preserve">reiterativos </w:t>
      </w:r>
      <w:r w:rsidR="00AC1AAB" w:rsidRPr="009E773A">
        <w:rPr>
          <w:rFonts w:asciiTheme="majorHAnsi" w:hAnsiTheme="majorHAnsi"/>
          <w:sz w:val="20"/>
          <w:szCs w:val="20"/>
          <w:lang w:val="es-ES"/>
        </w:rPr>
        <w:t xml:space="preserve">incluso </w:t>
      </w:r>
      <w:r w:rsidR="001D7DE7" w:rsidRPr="009E773A">
        <w:rPr>
          <w:rFonts w:asciiTheme="majorHAnsi" w:hAnsiTheme="majorHAnsi"/>
          <w:sz w:val="20"/>
          <w:szCs w:val="20"/>
          <w:lang w:val="es-ES"/>
        </w:rPr>
        <w:t xml:space="preserve">se dejaron de practicar. La CIDH observa que </w:t>
      </w:r>
      <w:r w:rsidR="001C31B7" w:rsidRPr="009E773A">
        <w:rPr>
          <w:rFonts w:asciiTheme="majorHAnsi" w:hAnsiTheme="majorHAnsi"/>
          <w:sz w:val="20"/>
          <w:szCs w:val="20"/>
          <w:lang w:val="es-ES"/>
        </w:rPr>
        <w:t>fue</w:t>
      </w:r>
      <w:r w:rsidR="001D7DE7" w:rsidRPr="009E773A">
        <w:rPr>
          <w:rFonts w:asciiTheme="majorHAnsi" w:hAnsiTheme="majorHAnsi"/>
          <w:sz w:val="20"/>
          <w:szCs w:val="20"/>
          <w:lang w:val="es-ES"/>
        </w:rPr>
        <w:t xml:space="preserve"> recién e</w:t>
      </w:r>
      <w:r w:rsidR="001C31B7" w:rsidRPr="009E773A">
        <w:rPr>
          <w:rFonts w:asciiTheme="majorHAnsi" w:hAnsiTheme="majorHAnsi"/>
          <w:sz w:val="20"/>
          <w:szCs w:val="20"/>
          <w:lang w:val="es-ES"/>
        </w:rPr>
        <w:t>n</w:t>
      </w:r>
      <w:r w:rsidR="001D7DE7" w:rsidRPr="009E773A">
        <w:rPr>
          <w:rFonts w:asciiTheme="majorHAnsi" w:hAnsiTheme="majorHAnsi"/>
          <w:sz w:val="20"/>
          <w:szCs w:val="20"/>
          <w:lang w:val="es-ES"/>
        </w:rPr>
        <w:t xml:space="preserve"> 2016 que la investigación retom</w:t>
      </w:r>
      <w:r w:rsidR="0016632F" w:rsidRPr="009E773A">
        <w:rPr>
          <w:rFonts w:asciiTheme="majorHAnsi" w:hAnsiTheme="majorHAnsi"/>
          <w:sz w:val="20"/>
          <w:szCs w:val="20"/>
          <w:lang w:val="es-ES"/>
        </w:rPr>
        <w:t>ó</w:t>
      </w:r>
      <w:r w:rsidR="001D7DE7" w:rsidRPr="009E773A">
        <w:rPr>
          <w:rFonts w:asciiTheme="majorHAnsi" w:hAnsiTheme="majorHAnsi"/>
          <w:sz w:val="20"/>
          <w:szCs w:val="20"/>
          <w:lang w:val="es-ES"/>
        </w:rPr>
        <w:t xml:space="preserve"> un impulso procesal significativo cuando se emite la orden de aprehensión</w:t>
      </w:r>
      <w:r w:rsidR="00D02002" w:rsidRPr="009E773A">
        <w:rPr>
          <w:rFonts w:asciiTheme="majorHAnsi" w:hAnsiTheme="majorHAnsi"/>
          <w:sz w:val="20"/>
          <w:szCs w:val="20"/>
          <w:lang w:val="es-ES"/>
        </w:rPr>
        <w:t xml:space="preserve"> contra el policía Rojas</w:t>
      </w:r>
      <w:r w:rsidR="001D7DE7" w:rsidRPr="009E773A">
        <w:rPr>
          <w:rFonts w:asciiTheme="majorHAnsi" w:hAnsiTheme="majorHAnsi"/>
          <w:sz w:val="20"/>
          <w:szCs w:val="20"/>
          <w:lang w:val="es-ES"/>
        </w:rPr>
        <w:t xml:space="preserve">, aunque la Fiscalía que lo retoma cae en cuenta </w:t>
      </w:r>
      <w:r w:rsidR="002E59D3" w:rsidRPr="009E773A">
        <w:rPr>
          <w:rFonts w:asciiTheme="majorHAnsi" w:hAnsiTheme="majorHAnsi"/>
          <w:sz w:val="20"/>
          <w:szCs w:val="20"/>
          <w:lang w:val="es-ES"/>
        </w:rPr>
        <w:t xml:space="preserve">de </w:t>
      </w:r>
      <w:r w:rsidR="001D7DE7" w:rsidRPr="009E773A">
        <w:rPr>
          <w:rFonts w:asciiTheme="majorHAnsi" w:hAnsiTheme="majorHAnsi"/>
          <w:sz w:val="20"/>
          <w:szCs w:val="20"/>
          <w:lang w:val="es-ES"/>
        </w:rPr>
        <w:t>que mucha de la prueba documental ya está perdida</w:t>
      </w:r>
      <w:r w:rsidR="008C6434" w:rsidRPr="009E773A">
        <w:rPr>
          <w:rFonts w:asciiTheme="majorHAnsi" w:hAnsiTheme="majorHAnsi"/>
          <w:sz w:val="20"/>
          <w:szCs w:val="20"/>
          <w:lang w:val="es-ES"/>
        </w:rPr>
        <w:t xml:space="preserve"> o es imposible de recabar</w:t>
      </w:r>
      <w:r w:rsidR="001D7DE7" w:rsidRPr="009E773A">
        <w:rPr>
          <w:rFonts w:asciiTheme="majorHAnsi" w:hAnsiTheme="majorHAnsi"/>
          <w:sz w:val="20"/>
          <w:szCs w:val="20"/>
          <w:lang w:val="es-ES"/>
        </w:rPr>
        <w:t>. Así</w:t>
      </w:r>
      <w:r w:rsidR="00D02002" w:rsidRPr="009E773A">
        <w:rPr>
          <w:rFonts w:asciiTheme="majorHAnsi" w:hAnsiTheme="majorHAnsi"/>
          <w:sz w:val="20"/>
          <w:szCs w:val="20"/>
          <w:lang w:val="es-ES"/>
        </w:rPr>
        <w:t>, la Comisión observa que existi</w:t>
      </w:r>
      <w:r w:rsidR="00AC1AAB" w:rsidRPr="009E773A">
        <w:rPr>
          <w:rFonts w:asciiTheme="majorHAnsi" w:hAnsiTheme="majorHAnsi"/>
          <w:sz w:val="20"/>
          <w:szCs w:val="20"/>
          <w:lang w:val="es-ES"/>
        </w:rPr>
        <w:t xml:space="preserve">ó un decaimiento del impulso procesal </w:t>
      </w:r>
      <w:r w:rsidR="00AC1AAB" w:rsidRPr="009E773A">
        <w:rPr>
          <w:rFonts w:asciiTheme="majorHAnsi" w:hAnsiTheme="majorHAnsi"/>
          <w:i/>
          <w:sz w:val="20"/>
          <w:szCs w:val="20"/>
          <w:lang w:val="es-ES"/>
        </w:rPr>
        <w:t>ex officio</w:t>
      </w:r>
      <w:r w:rsidR="00AC1AAB" w:rsidRPr="009E773A">
        <w:rPr>
          <w:rFonts w:asciiTheme="majorHAnsi" w:hAnsiTheme="majorHAnsi"/>
          <w:sz w:val="20"/>
          <w:szCs w:val="20"/>
          <w:lang w:val="es-ES"/>
        </w:rPr>
        <w:t xml:space="preserve">, que generó la pérdida de prueba e impidió </w:t>
      </w:r>
      <w:r w:rsidR="0099103B" w:rsidRPr="009E773A">
        <w:rPr>
          <w:rFonts w:asciiTheme="majorHAnsi" w:hAnsiTheme="majorHAnsi"/>
          <w:sz w:val="20"/>
          <w:szCs w:val="20"/>
          <w:lang w:val="es-ES"/>
        </w:rPr>
        <w:t>el esclareci</w:t>
      </w:r>
      <w:r w:rsidR="00FB706F">
        <w:rPr>
          <w:rFonts w:asciiTheme="majorHAnsi" w:hAnsiTheme="majorHAnsi"/>
          <w:sz w:val="20"/>
          <w:szCs w:val="20"/>
          <w:lang w:val="es-ES"/>
        </w:rPr>
        <w:t xml:space="preserve">miento de los hechos, lo que resulta incompatible </w:t>
      </w:r>
      <w:r w:rsidR="0099103B" w:rsidRPr="009E773A">
        <w:rPr>
          <w:rFonts w:asciiTheme="majorHAnsi" w:hAnsiTheme="majorHAnsi"/>
          <w:sz w:val="20"/>
          <w:szCs w:val="20"/>
          <w:lang w:val="es-ES"/>
        </w:rPr>
        <w:t xml:space="preserve">con los estándares de debida diligencia de muertes sospechosas que involucran agentes del </w:t>
      </w:r>
      <w:r w:rsidR="00756258" w:rsidRPr="009E773A">
        <w:rPr>
          <w:rFonts w:asciiTheme="majorHAnsi" w:hAnsiTheme="majorHAnsi"/>
          <w:sz w:val="20"/>
          <w:szCs w:val="20"/>
          <w:lang w:val="es-ES"/>
        </w:rPr>
        <w:t>E</w:t>
      </w:r>
      <w:r w:rsidR="0099103B" w:rsidRPr="009E773A">
        <w:rPr>
          <w:rFonts w:asciiTheme="majorHAnsi" w:hAnsiTheme="majorHAnsi"/>
          <w:sz w:val="20"/>
          <w:szCs w:val="20"/>
          <w:lang w:val="es-ES"/>
        </w:rPr>
        <w:t>stado.</w:t>
      </w:r>
    </w:p>
    <w:p w14:paraId="28269862" w14:textId="77777777" w:rsidR="00864CF3" w:rsidRPr="009E773A" w:rsidRDefault="00864CF3"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ind w:left="630"/>
        <w:jc w:val="both"/>
        <w:rPr>
          <w:rFonts w:asciiTheme="majorHAnsi" w:hAnsiTheme="majorHAnsi"/>
          <w:sz w:val="20"/>
          <w:szCs w:val="20"/>
          <w:lang w:val="es-ES"/>
        </w:rPr>
      </w:pPr>
    </w:p>
    <w:p w14:paraId="6BB0AD22" w14:textId="0C1D281B" w:rsidR="0099103B" w:rsidRPr="009E773A" w:rsidRDefault="00864CF3"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sz w:val="20"/>
          <w:szCs w:val="20"/>
          <w:lang w:val="es-ES"/>
        </w:rPr>
        <w:t xml:space="preserve">En </w:t>
      </w:r>
      <w:r w:rsidR="002E59D3" w:rsidRPr="009E773A">
        <w:rPr>
          <w:rFonts w:asciiTheme="majorHAnsi" w:hAnsiTheme="majorHAnsi"/>
          <w:sz w:val="20"/>
          <w:szCs w:val="20"/>
          <w:lang w:val="es-ES"/>
        </w:rPr>
        <w:t>quinto</w:t>
      </w:r>
      <w:r w:rsidRPr="009E773A">
        <w:rPr>
          <w:rFonts w:asciiTheme="majorHAnsi" w:hAnsiTheme="majorHAnsi"/>
          <w:sz w:val="20"/>
          <w:szCs w:val="20"/>
          <w:lang w:val="es-ES"/>
        </w:rPr>
        <w:t xml:space="preserve"> lugar, la Comisión no puede dejar de vincular el doble contexto de falta de investigación de las ejecuciones judiciales atribuidas a las policías estadales en el Estado venezolano y en particular en el estado de Falcón. </w:t>
      </w:r>
      <w:r w:rsidR="00D95884" w:rsidRPr="009E773A">
        <w:rPr>
          <w:rFonts w:asciiTheme="majorHAnsi" w:hAnsiTheme="majorHAnsi"/>
          <w:sz w:val="20"/>
          <w:szCs w:val="20"/>
          <w:lang w:val="es-ES"/>
        </w:rPr>
        <w:t xml:space="preserve">Los alarmantes índices de impunidad de este tipo de casos han sido acreditados por múltiples instancias nacionales e internacionales, incluyendo a la propia Fiscalía General. </w:t>
      </w:r>
    </w:p>
    <w:p w14:paraId="73EEE0C4" w14:textId="77777777" w:rsidR="0099103B" w:rsidRPr="009E773A" w:rsidRDefault="0099103B"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p>
    <w:p w14:paraId="2E31C34E" w14:textId="62BE8961" w:rsidR="005A7397" w:rsidRPr="009E773A" w:rsidRDefault="0099103B"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lang w:val="es-ES"/>
        </w:rPr>
      </w:pPr>
      <w:r w:rsidRPr="009E773A">
        <w:rPr>
          <w:rFonts w:asciiTheme="majorHAnsi" w:hAnsiTheme="majorHAnsi"/>
          <w:sz w:val="20"/>
          <w:szCs w:val="20"/>
          <w:lang w:val="es-ES"/>
        </w:rPr>
        <w:t>Sumado a lo anterior</w:t>
      </w:r>
      <w:r w:rsidR="00864CF3" w:rsidRPr="009E773A">
        <w:rPr>
          <w:rFonts w:asciiTheme="majorHAnsi" w:hAnsiTheme="majorHAnsi"/>
          <w:sz w:val="20"/>
          <w:szCs w:val="20"/>
          <w:lang w:val="es-ES"/>
        </w:rPr>
        <w:t>, la Comisión procede a realizar el análisis sobre la razonabilidad del plazo. La investigación inició el 2003 y a la fecha no ha concluido, lo que arroja un total de</w:t>
      </w:r>
      <w:r w:rsidR="00971339" w:rsidRPr="009E773A">
        <w:rPr>
          <w:rFonts w:asciiTheme="majorHAnsi" w:hAnsiTheme="majorHAnsi"/>
          <w:sz w:val="20"/>
          <w:szCs w:val="20"/>
          <w:lang w:val="es-ES"/>
        </w:rPr>
        <w:t xml:space="preserve"> más de</w:t>
      </w:r>
      <w:r w:rsidR="00864CF3" w:rsidRPr="009E773A">
        <w:rPr>
          <w:rFonts w:asciiTheme="majorHAnsi" w:hAnsiTheme="majorHAnsi"/>
          <w:sz w:val="20"/>
          <w:szCs w:val="20"/>
          <w:lang w:val="es-ES"/>
        </w:rPr>
        <w:t xml:space="preserve"> 15 años de investigación sin </w:t>
      </w:r>
      <w:r w:rsidR="004A6886" w:rsidRPr="009E773A">
        <w:rPr>
          <w:rFonts w:asciiTheme="majorHAnsi" w:hAnsiTheme="majorHAnsi"/>
          <w:sz w:val="20"/>
          <w:szCs w:val="20"/>
          <w:lang w:val="es-ES"/>
        </w:rPr>
        <w:t xml:space="preserve">el esclarecimiento de lo sucedido ni </w:t>
      </w:r>
      <w:r w:rsidR="00864CF3" w:rsidRPr="009E773A">
        <w:rPr>
          <w:rFonts w:asciiTheme="majorHAnsi" w:hAnsiTheme="majorHAnsi"/>
          <w:sz w:val="20"/>
          <w:szCs w:val="20"/>
          <w:lang w:val="es-ES"/>
        </w:rPr>
        <w:t xml:space="preserve">la identificación de responsables. La Comisión observa que se trata </w:t>
      </w:r>
      <w:r w:rsidR="0020410C" w:rsidRPr="009E773A">
        <w:rPr>
          <w:rFonts w:asciiTheme="majorHAnsi" w:hAnsiTheme="majorHAnsi"/>
          <w:sz w:val="20"/>
          <w:szCs w:val="20"/>
          <w:lang w:val="es-ES"/>
        </w:rPr>
        <w:t xml:space="preserve">de </w:t>
      </w:r>
      <w:r w:rsidR="005A7397" w:rsidRPr="009E773A">
        <w:rPr>
          <w:rFonts w:asciiTheme="majorHAnsi" w:hAnsiTheme="majorHAnsi"/>
          <w:sz w:val="20"/>
          <w:szCs w:val="20"/>
          <w:lang w:val="es-ES"/>
        </w:rPr>
        <w:t>dos</w:t>
      </w:r>
      <w:r w:rsidR="00864CF3" w:rsidRPr="009E773A">
        <w:rPr>
          <w:rFonts w:asciiTheme="majorHAnsi" w:hAnsiTheme="majorHAnsi"/>
          <w:sz w:val="20"/>
          <w:szCs w:val="20"/>
          <w:lang w:val="es-ES"/>
        </w:rPr>
        <w:t xml:space="preserve"> muerte</w:t>
      </w:r>
      <w:r w:rsidR="005A7397" w:rsidRPr="009E773A">
        <w:rPr>
          <w:rFonts w:asciiTheme="majorHAnsi" w:hAnsiTheme="majorHAnsi"/>
          <w:sz w:val="20"/>
          <w:szCs w:val="20"/>
          <w:lang w:val="es-ES"/>
        </w:rPr>
        <w:t>s conectadas</w:t>
      </w:r>
      <w:r w:rsidR="00864CF3" w:rsidRPr="009E773A">
        <w:rPr>
          <w:rFonts w:asciiTheme="majorHAnsi" w:hAnsiTheme="majorHAnsi"/>
          <w:sz w:val="20"/>
          <w:szCs w:val="20"/>
          <w:lang w:val="es-ES"/>
        </w:rPr>
        <w:t>, que exist</w:t>
      </w:r>
      <w:r w:rsidR="005A7397" w:rsidRPr="009E773A">
        <w:rPr>
          <w:rFonts w:asciiTheme="majorHAnsi" w:hAnsiTheme="majorHAnsi"/>
          <w:sz w:val="20"/>
          <w:szCs w:val="20"/>
          <w:lang w:val="es-ES"/>
        </w:rPr>
        <w:t>en</w:t>
      </w:r>
      <w:r w:rsidR="00864CF3" w:rsidRPr="009E773A">
        <w:rPr>
          <w:rFonts w:asciiTheme="majorHAnsi" w:hAnsiTheme="majorHAnsi"/>
          <w:sz w:val="20"/>
          <w:szCs w:val="20"/>
          <w:lang w:val="es-ES"/>
        </w:rPr>
        <w:t xml:space="preserve"> líneas lógicas que permit</w:t>
      </w:r>
      <w:r w:rsidR="005A7397" w:rsidRPr="009E773A">
        <w:rPr>
          <w:rFonts w:asciiTheme="majorHAnsi" w:hAnsiTheme="majorHAnsi"/>
          <w:sz w:val="20"/>
          <w:szCs w:val="20"/>
          <w:lang w:val="es-ES"/>
        </w:rPr>
        <w:t>en</w:t>
      </w:r>
      <w:r w:rsidR="00864CF3" w:rsidRPr="009E773A">
        <w:rPr>
          <w:rFonts w:asciiTheme="majorHAnsi" w:hAnsiTheme="majorHAnsi"/>
          <w:sz w:val="20"/>
          <w:szCs w:val="20"/>
          <w:lang w:val="es-ES"/>
        </w:rPr>
        <w:t xml:space="preserve"> acotar la búsqueda de responsables</w:t>
      </w:r>
      <w:r w:rsidR="005A7397" w:rsidRPr="009E773A">
        <w:rPr>
          <w:rFonts w:asciiTheme="majorHAnsi" w:hAnsiTheme="majorHAnsi"/>
          <w:sz w:val="20"/>
          <w:szCs w:val="20"/>
          <w:lang w:val="es-ES"/>
        </w:rPr>
        <w:t xml:space="preserve"> y el agotamiento de hipótesis criminales</w:t>
      </w:r>
      <w:r w:rsidR="00864CF3" w:rsidRPr="009E773A">
        <w:rPr>
          <w:rFonts w:asciiTheme="majorHAnsi" w:hAnsiTheme="majorHAnsi"/>
          <w:sz w:val="20"/>
          <w:szCs w:val="20"/>
          <w:lang w:val="es-ES"/>
        </w:rPr>
        <w:t xml:space="preserve">, además de múltiples testigos oculares, que lograron anotar hasta la placa del auto </w:t>
      </w:r>
      <w:r w:rsidR="005A7397" w:rsidRPr="009E773A">
        <w:rPr>
          <w:rFonts w:asciiTheme="majorHAnsi" w:hAnsiTheme="majorHAnsi"/>
          <w:sz w:val="20"/>
          <w:szCs w:val="20"/>
          <w:lang w:val="es-ES"/>
        </w:rPr>
        <w:t>que transportó a los perpetradores</w:t>
      </w:r>
      <w:r w:rsidR="00864CF3" w:rsidRPr="009E773A">
        <w:rPr>
          <w:rFonts w:asciiTheme="majorHAnsi" w:hAnsiTheme="majorHAnsi"/>
          <w:sz w:val="20"/>
          <w:szCs w:val="20"/>
          <w:lang w:val="es-ES"/>
        </w:rPr>
        <w:t xml:space="preserve">. En ese sentido, no se observa que se trate </w:t>
      </w:r>
      <w:r w:rsidR="005A7397" w:rsidRPr="009E773A">
        <w:rPr>
          <w:rFonts w:asciiTheme="majorHAnsi" w:hAnsiTheme="majorHAnsi"/>
          <w:sz w:val="20"/>
          <w:szCs w:val="20"/>
          <w:lang w:val="es-ES"/>
        </w:rPr>
        <w:t>de una situación criminal sin indicios o evidencias</w:t>
      </w:r>
      <w:r w:rsidR="00864CF3" w:rsidRPr="009E773A">
        <w:rPr>
          <w:rFonts w:asciiTheme="majorHAnsi" w:hAnsiTheme="majorHAnsi"/>
          <w:sz w:val="20"/>
          <w:szCs w:val="20"/>
          <w:lang w:val="es-ES"/>
        </w:rPr>
        <w:t>,</w:t>
      </w:r>
      <w:r w:rsidR="005A7397" w:rsidRPr="009E773A">
        <w:rPr>
          <w:rFonts w:asciiTheme="majorHAnsi" w:hAnsiTheme="majorHAnsi"/>
          <w:sz w:val="20"/>
          <w:szCs w:val="20"/>
          <w:lang w:val="es-ES"/>
        </w:rPr>
        <w:t xml:space="preserve"> y </w:t>
      </w:r>
      <w:r w:rsidR="002B339A" w:rsidRPr="009E773A">
        <w:rPr>
          <w:rFonts w:asciiTheme="majorHAnsi" w:hAnsiTheme="majorHAnsi"/>
          <w:sz w:val="20"/>
          <w:szCs w:val="20"/>
          <w:lang w:val="es-ES"/>
        </w:rPr>
        <w:t xml:space="preserve">si </w:t>
      </w:r>
      <w:r w:rsidR="005A7397" w:rsidRPr="009E773A">
        <w:rPr>
          <w:rFonts w:asciiTheme="majorHAnsi" w:hAnsiTheme="majorHAnsi"/>
          <w:sz w:val="20"/>
          <w:szCs w:val="20"/>
          <w:lang w:val="es-ES"/>
        </w:rPr>
        <w:t xml:space="preserve">así lo fuera, en todo caso, </w:t>
      </w:r>
      <w:r w:rsidR="00864CF3" w:rsidRPr="009E773A">
        <w:rPr>
          <w:rFonts w:asciiTheme="majorHAnsi" w:hAnsiTheme="majorHAnsi"/>
          <w:sz w:val="20"/>
          <w:szCs w:val="20"/>
          <w:lang w:val="es-ES"/>
        </w:rPr>
        <w:t>el Estado no argumentó las razones de una eventual complejidad, ni vinculó concretamente dichas demoras a la misma</w:t>
      </w:r>
      <w:r w:rsidR="005A7397" w:rsidRPr="009E773A">
        <w:rPr>
          <w:rFonts w:asciiTheme="majorHAnsi" w:hAnsiTheme="majorHAnsi"/>
          <w:sz w:val="20"/>
          <w:szCs w:val="20"/>
          <w:lang w:val="es-ES"/>
        </w:rPr>
        <w:t>.</w:t>
      </w:r>
    </w:p>
    <w:p w14:paraId="461E43CE" w14:textId="77777777" w:rsidR="005A7397" w:rsidRPr="009E773A" w:rsidRDefault="005A7397" w:rsidP="009A79B6">
      <w:pPr>
        <w:pStyle w:val="Prrafodelista"/>
        <w:rPr>
          <w:rFonts w:asciiTheme="majorHAnsi" w:hAnsiTheme="majorHAnsi"/>
          <w:sz w:val="20"/>
          <w:szCs w:val="20"/>
          <w:lang w:val="es-ES"/>
        </w:rPr>
      </w:pPr>
    </w:p>
    <w:p w14:paraId="121BFFB8" w14:textId="42A930EB" w:rsidR="0055403B" w:rsidRPr="009E773A" w:rsidRDefault="005A7397"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lang w:val="es-ES"/>
        </w:rPr>
      </w:pPr>
      <w:r w:rsidRPr="009E773A">
        <w:rPr>
          <w:rFonts w:asciiTheme="majorHAnsi" w:hAnsiTheme="majorHAnsi"/>
          <w:sz w:val="20"/>
          <w:szCs w:val="20"/>
          <w:lang w:val="es-ES"/>
        </w:rPr>
        <w:t xml:space="preserve">En cuanto a las actuaciones de la parte interesada, la Comisión no observa obstaculización de la justicia por parte de los familiares de las víctimas. </w:t>
      </w:r>
      <w:r w:rsidRPr="009E773A">
        <w:rPr>
          <w:rFonts w:asciiTheme="majorHAnsi" w:hAnsiTheme="majorHAnsi" w:cs="Verdana"/>
          <w:sz w:val="20"/>
          <w:szCs w:val="20"/>
          <w:lang w:val="es-ES"/>
        </w:rPr>
        <w:t>Respecto de la conducta de las autoridades estatales, la Comisión se atiene al análisis sobre el incumplimiento del deber de debida diligencia ya realizado. Además, la CIDH observa que existieron periodos de inactividad no justificados por el Estado, como el silencio procesal ocurrido entre 2004 y 2016, fecha en la que se ha constatado que se retomó el impulso procesal de la causa</w:t>
      </w:r>
      <w:r w:rsidR="00FB3099" w:rsidRPr="009E773A">
        <w:rPr>
          <w:rFonts w:asciiTheme="majorHAnsi" w:hAnsiTheme="majorHAnsi" w:cs="Verdana"/>
          <w:sz w:val="20"/>
          <w:szCs w:val="20"/>
          <w:lang w:val="es-ES"/>
        </w:rPr>
        <w:t xml:space="preserve"> que por años estuvo inactiva o su única actividad estuvo vinculada a solicitudes y oficios entre autoridades. </w:t>
      </w:r>
    </w:p>
    <w:p w14:paraId="572DED11" w14:textId="77777777" w:rsidR="0055403B" w:rsidRPr="009E773A" w:rsidRDefault="0055403B" w:rsidP="009A79B6">
      <w:pPr>
        <w:pStyle w:val="Prrafodelista"/>
        <w:rPr>
          <w:rFonts w:asciiTheme="majorHAnsi" w:hAnsiTheme="majorHAnsi"/>
          <w:sz w:val="20"/>
          <w:szCs w:val="20"/>
          <w:lang w:val="es-ES"/>
        </w:rPr>
      </w:pPr>
    </w:p>
    <w:p w14:paraId="17EC79FF" w14:textId="6FC689AD" w:rsidR="0055403B" w:rsidRPr="009E773A" w:rsidRDefault="0055403B"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lang w:val="es-ES"/>
        </w:rPr>
      </w:pPr>
      <w:r w:rsidRPr="009E773A">
        <w:rPr>
          <w:rFonts w:asciiTheme="majorHAnsi" w:hAnsiTheme="majorHAnsi"/>
          <w:sz w:val="20"/>
          <w:szCs w:val="20"/>
          <w:lang w:val="es-ES"/>
        </w:rPr>
        <w:t>En virtud de las anteriores consideraciones, la Comisión concluye que el Estado venezolano violó los derechos a las garantías judiciales y a la protección judicial establecidos en los artículos 8.1 y 25.1 de la Convención Americana en relación con las obligaciones consagradas en el artículo 1.1 del mismo instrumento, en perjuicio de</w:t>
      </w:r>
      <w:r w:rsidR="009C0AFD" w:rsidRPr="009E773A">
        <w:rPr>
          <w:rFonts w:asciiTheme="majorHAnsi" w:hAnsiTheme="majorHAnsi"/>
          <w:sz w:val="20"/>
          <w:szCs w:val="20"/>
          <w:lang w:val="es-ES"/>
        </w:rPr>
        <w:t xml:space="preserve"> los familiares de</w:t>
      </w:r>
      <w:r w:rsidRPr="009E773A">
        <w:rPr>
          <w:rFonts w:asciiTheme="majorHAnsi" w:hAnsiTheme="majorHAnsi"/>
          <w:sz w:val="20"/>
          <w:szCs w:val="20"/>
          <w:lang w:val="es-ES"/>
        </w:rPr>
        <w:t xml:space="preserve"> Jimmy Guerrero y Ramón Molina</w:t>
      </w:r>
      <w:r w:rsidR="009C0AFD" w:rsidRPr="009E773A">
        <w:rPr>
          <w:rFonts w:asciiTheme="majorHAnsi" w:hAnsiTheme="majorHAnsi"/>
          <w:sz w:val="20"/>
          <w:szCs w:val="20"/>
          <w:lang w:val="es-ES"/>
        </w:rPr>
        <w:t xml:space="preserve"> identificados en el presente informe.</w:t>
      </w:r>
    </w:p>
    <w:p w14:paraId="6610F6CA" w14:textId="77777777" w:rsidR="005A7397" w:rsidRPr="009E773A" w:rsidRDefault="005A7397"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lang w:val="es-ES"/>
        </w:rPr>
      </w:pPr>
    </w:p>
    <w:p w14:paraId="33D88457" w14:textId="77777777" w:rsidR="00C8292F" w:rsidRPr="00FC5E2A" w:rsidRDefault="00C8292F" w:rsidP="009A79B6">
      <w:pPr>
        <w:pStyle w:val="Ttulo3"/>
      </w:pPr>
      <w:bookmarkStart w:id="36" w:name="_Toc492029472"/>
      <w:bookmarkStart w:id="37" w:name="_Toc2157195"/>
      <w:bookmarkStart w:id="38" w:name="_Toc2157249"/>
      <w:bookmarkStart w:id="39" w:name="_Toc2159223"/>
      <w:r w:rsidRPr="00FC5E2A">
        <w:t xml:space="preserve">Derecho a la integridad personal respecto de los familiares de </w:t>
      </w:r>
      <w:bookmarkEnd w:id="36"/>
      <w:r w:rsidR="00897687" w:rsidRPr="00FC5E2A">
        <w:t>Jimmy Guerrero y Ramón Molina</w:t>
      </w:r>
      <w:bookmarkEnd w:id="37"/>
      <w:bookmarkEnd w:id="38"/>
      <w:bookmarkEnd w:id="39"/>
    </w:p>
    <w:p w14:paraId="1459D919" w14:textId="77777777" w:rsidR="00C8292F" w:rsidRPr="009E773A" w:rsidRDefault="00C8292F" w:rsidP="009A79B6">
      <w:pPr>
        <w:tabs>
          <w:tab w:val="left" w:pos="1440"/>
        </w:tabs>
        <w:ind w:left="720"/>
        <w:jc w:val="both"/>
        <w:rPr>
          <w:rFonts w:asciiTheme="majorHAnsi" w:hAnsiTheme="majorHAnsi"/>
          <w:bCs/>
          <w:sz w:val="20"/>
          <w:szCs w:val="20"/>
          <w:lang w:val="es-VE"/>
        </w:rPr>
      </w:pPr>
    </w:p>
    <w:p w14:paraId="55EA3F3D" w14:textId="6C66005E" w:rsidR="00C8292F" w:rsidRPr="009E773A" w:rsidRDefault="00C8292F"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bCs/>
          <w:sz w:val="20"/>
          <w:szCs w:val="20"/>
          <w:lang w:val="es-VE"/>
        </w:rPr>
      </w:pPr>
      <w:r w:rsidRPr="009E773A">
        <w:rPr>
          <w:rFonts w:asciiTheme="majorHAnsi" w:hAnsiTheme="majorHAnsi"/>
          <w:bCs/>
          <w:sz w:val="20"/>
          <w:szCs w:val="20"/>
          <w:lang w:val="es-VE"/>
        </w:rPr>
        <w:t>Con respecto de los familiares de víctimas de ciertas violaciones de derechos humanos, la Comisión y la Corte Interamericana han indicado que éstos pueden ser considerados, a su vez, como víctimas</w:t>
      </w:r>
      <w:r w:rsidRPr="009E773A">
        <w:rPr>
          <w:rFonts w:asciiTheme="majorHAnsi" w:hAnsiTheme="majorHAnsi"/>
          <w:bCs/>
          <w:sz w:val="20"/>
          <w:szCs w:val="20"/>
          <w:vertAlign w:val="superscript"/>
          <w:lang w:val="es-VE"/>
        </w:rPr>
        <w:footnoteReference w:id="132"/>
      </w:r>
      <w:r w:rsidRPr="009E773A">
        <w:rPr>
          <w:rFonts w:asciiTheme="majorHAnsi" w:hAnsiTheme="majorHAnsi"/>
          <w:bCs/>
          <w:sz w:val="20"/>
          <w:szCs w:val="20"/>
          <w:lang w:val="es-VE"/>
        </w:rPr>
        <w:t>. Al respecto, la Corte ha dispuesto que pueden verse afectados en su integridad psíquica y moral como consecuencia de las situaciones particulares que padecieron las víctimas, así como de las posteriores actuaciones u omisiones de las autoridades internas frente a estos hechos</w:t>
      </w:r>
      <w:r w:rsidRPr="009E773A">
        <w:rPr>
          <w:rFonts w:asciiTheme="majorHAnsi" w:hAnsiTheme="majorHAnsi"/>
          <w:bCs/>
          <w:sz w:val="20"/>
          <w:szCs w:val="20"/>
          <w:vertAlign w:val="superscript"/>
          <w:lang w:val="es-VE"/>
        </w:rPr>
        <w:footnoteReference w:id="133"/>
      </w:r>
      <w:r w:rsidRPr="009E773A">
        <w:rPr>
          <w:rFonts w:asciiTheme="majorHAnsi" w:hAnsiTheme="majorHAnsi"/>
          <w:bCs/>
          <w:sz w:val="20"/>
          <w:szCs w:val="20"/>
          <w:lang w:val="es-VE"/>
        </w:rPr>
        <w:t>.</w:t>
      </w:r>
      <w:r w:rsidR="0055403B" w:rsidRPr="009E773A">
        <w:rPr>
          <w:rFonts w:asciiTheme="majorHAnsi" w:hAnsiTheme="majorHAnsi"/>
          <w:bCs/>
          <w:sz w:val="20"/>
          <w:szCs w:val="20"/>
          <w:lang w:val="es-VE"/>
        </w:rPr>
        <w:t xml:space="preserve"> En el presente caso, </w:t>
      </w:r>
      <w:r w:rsidRPr="009E773A">
        <w:rPr>
          <w:rFonts w:asciiTheme="majorHAnsi" w:hAnsiTheme="majorHAnsi"/>
          <w:bCs/>
          <w:sz w:val="20"/>
          <w:szCs w:val="20"/>
          <w:lang w:val="es-VE"/>
        </w:rPr>
        <w:t xml:space="preserve">la Comisión dio por establecido que </w:t>
      </w:r>
      <w:r w:rsidR="0055403B" w:rsidRPr="009E773A">
        <w:rPr>
          <w:rFonts w:asciiTheme="majorHAnsi" w:hAnsiTheme="majorHAnsi"/>
          <w:bCs/>
          <w:sz w:val="20"/>
          <w:szCs w:val="20"/>
          <w:lang w:val="es-VE"/>
        </w:rPr>
        <w:t>Jimmy Guerrero y Ramón Molina</w:t>
      </w:r>
      <w:r w:rsidRPr="009E773A">
        <w:rPr>
          <w:rFonts w:asciiTheme="majorHAnsi" w:hAnsiTheme="majorHAnsi"/>
          <w:sz w:val="20"/>
          <w:szCs w:val="20"/>
          <w:lang w:val="es-ES_tradnl"/>
        </w:rPr>
        <w:t xml:space="preserve"> </w:t>
      </w:r>
      <w:r w:rsidRPr="009E773A">
        <w:rPr>
          <w:rFonts w:asciiTheme="majorHAnsi" w:hAnsiTheme="majorHAnsi"/>
          <w:bCs/>
          <w:sz w:val="20"/>
          <w:szCs w:val="20"/>
          <w:lang w:val="es-VE"/>
        </w:rPr>
        <w:t>perdiero</w:t>
      </w:r>
      <w:r w:rsidR="0055403B" w:rsidRPr="009E773A">
        <w:rPr>
          <w:rFonts w:asciiTheme="majorHAnsi" w:hAnsiTheme="majorHAnsi"/>
          <w:bCs/>
          <w:sz w:val="20"/>
          <w:szCs w:val="20"/>
          <w:lang w:val="es-VE"/>
        </w:rPr>
        <w:t xml:space="preserve">n la vida en ejecuciones extrajudiciales </w:t>
      </w:r>
      <w:r w:rsidR="00C91895" w:rsidRPr="009E773A">
        <w:rPr>
          <w:rFonts w:asciiTheme="majorHAnsi" w:hAnsiTheme="majorHAnsi"/>
          <w:bCs/>
          <w:sz w:val="20"/>
          <w:szCs w:val="20"/>
          <w:lang w:val="es-VE"/>
        </w:rPr>
        <w:t xml:space="preserve">de manos de agentes de seguridad del Estado y tras una persecución </w:t>
      </w:r>
      <w:r w:rsidR="0055403B" w:rsidRPr="009E773A">
        <w:rPr>
          <w:rFonts w:asciiTheme="majorHAnsi" w:hAnsiTheme="majorHAnsi"/>
          <w:bCs/>
          <w:sz w:val="20"/>
          <w:szCs w:val="20"/>
          <w:lang w:val="es-VE"/>
        </w:rPr>
        <w:t>vinculad</w:t>
      </w:r>
      <w:r w:rsidR="00C91895" w:rsidRPr="009E773A">
        <w:rPr>
          <w:rFonts w:asciiTheme="majorHAnsi" w:hAnsiTheme="majorHAnsi"/>
          <w:bCs/>
          <w:sz w:val="20"/>
          <w:szCs w:val="20"/>
          <w:lang w:val="es-VE"/>
        </w:rPr>
        <w:t>a</w:t>
      </w:r>
      <w:r w:rsidR="0055403B" w:rsidRPr="009E773A">
        <w:rPr>
          <w:rFonts w:asciiTheme="majorHAnsi" w:hAnsiTheme="majorHAnsi"/>
          <w:bCs/>
          <w:sz w:val="20"/>
          <w:szCs w:val="20"/>
          <w:lang w:val="es-VE"/>
        </w:rPr>
        <w:t xml:space="preserve"> a la</w:t>
      </w:r>
      <w:r w:rsidR="00EA4498" w:rsidRPr="009E773A">
        <w:rPr>
          <w:rFonts w:asciiTheme="majorHAnsi" w:hAnsiTheme="majorHAnsi"/>
          <w:bCs/>
          <w:sz w:val="20"/>
          <w:szCs w:val="20"/>
          <w:lang w:val="es-VE"/>
        </w:rPr>
        <w:t xml:space="preserve"> supuesta </w:t>
      </w:r>
      <w:r w:rsidR="0055403B" w:rsidRPr="009E773A">
        <w:rPr>
          <w:rFonts w:asciiTheme="majorHAnsi" w:hAnsiTheme="majorHAnsi"/>
          <w:bCs/>
          <w:sz w:val="20"/>
          <w:szCs w:val="20"/>
          <w:lang w:val="es-VE"/>
        </w:rPr>
        <w:t>criminalidad del señor Guerrero</w:t>
      </w:r>
      <w:r w:rsidR="00AD23A2" w:rsidRPr="009E773A">
        <w:rPr>
          <w:rFonts w:asciiTheme="majorHAnsi" w:hAnsiTheme="majorHAnsi"/>
          <w:bCs/>
          <w:sz w:val="20"/>
          <w:szCs w:val="20"/>
          <w:lang w:val="es-VE"/>
        </w:rPr>
        <w:t>. Asimismo, se estableció que los hechos f</w:t>
      </w:r>
      <w:r w:rsidR="00EA4498" w:rsidRPr="009E773A">
        <w:rPr>
          <w:rFonts w:asciiTheme="majorHAnsi" w:hAnsiTheme="majorHAnsi"/>
          <w:bCs/>
          <w:sz w:val="20"/>
          <w:szCs w:val="20"/>
          <w:lang w:val="es-VE"/>
        </w:rPr>
        <w:t>orman parte de un c</w:t>
      </w:r>
      <w:r w:rsidR="0055403B" w:rsidRPr="009E773A">
        <w:rPr>
          <w:rFonts w:asciiTheme="majorHAnsi" w:hAnsiTheme="majorHAnsi"/>
          <w:bCs/>
          <w:sz w:val="20"/>
          <w:szCs w:val="20"/>
          <w:lang w:val="es-VE"/>
        </w:rPr>
        <w:t xml:space="preserve">ontexto </w:t>
      </w:r>
      <w:r w:rsidR="00EA4498" w:rsidRPr="009E773A">
        <w:rPr>
          <w:rFonts w:asciiTheme="majorHAnsi" w:hAnsiTheme="majorHAnsi"/>
          <w:bCs/>
          <w:sz w:val="20"/>
          <w:szCs w:val="20"/>
          <w:lang w:val="es-VE"/>
        </w:rPr>
        <w:t xml:space="preserve">mayor </w:t>
      </w:r>
      <w:r w:rsidR="0055403B" w:rsidRPr="009E773A">
        <w:rPr>
          <w:rFonts w:asciiTheme="majorHAnsi" w:hAnsiTheme="majorHAnsi"/>
          <w:bCs/>
          <w:sz w:val="20"/>
          <w:szCs w:val="20"/>
          <w:lang w:val="es-VE"/>
        </w:rPr>
        <w:t>de violencia policial estadal y su falta de investigaci</w:t>
      </w:r>
      <w:r w:rsidR="00EA4498" w:rsidRPr="009E773A">
        <w:rPr>
          <w:rFonts w:asciiTheme="majorHAnsi" w:hAnsiTheme="majorHAnsi"/>
          <w:bCs/>
          <w:sz w:val="20"/>
          <w:szCs w:val="20"/>
          <w:lang w:val="es-VE"/>
        </w:rPr>
        <w:t>ón.</w:t>
      </w:r>
    </w:p>
    <w:p w14:paraId="1688F8FB" w14:textId="77777777" w:rsidR="00C8292F" w:rsidRPr="009E773A" w:rsidRDefault="00C8292F" w:rsidP="009A79B6">
      <w:pPr>
        <w:tabs>
          <w:tab w:val="left" w:pos="1440"/>
        </w:tabs>
        <w:ind w:left="720"/>
        <w:jc w:val="both"/>
        <w:rPr>
          <w:rFonts w:asciiTheme="majorHAnsi" w:hAnsiTheme="majorHAnsi"/>
          <w:bCs/>
          <w:sz w:val="20"/>
          <w:szCs w:val="20"/>
          <w:lang w:val="es-VE"/>
        </w:rPr>
      </w:pPr>
    </w:p>
    <w:p w14:paraId="1FC4654A" w14:textId="2BAF4E85" w:rsidR="00C8292F" w:rsidRPr="009E773A" w:rsidRDefault="0055403B"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sz w:val="20"/>
          <w:szCs w:val="20"/>
          <w:lang w:val="es-ES"/>
        </w:rPr>
        <w:t xml:space="preserve"> Además de estas circunstancias que constituyen en sí mismas una fuente de sufrimiento e impotencia, la Comisión </w:t>
      </w:r>
      <w:r w:rsidR="008C6434" w:rsidRPr="009E773A">
        <w:rPr>
          <w:rFonts w:asciiTheme="majorHAnsi" w:hAnsiTheme="majorHAnsi"/>
          <w:sz w:val="20"/>
          <w:szCs w:val="20"/>
          <w:lang w:val="es-ES"/>
        </w:rPr>
        <w:t>observa que en el</w:t>
      </w:r>
      <w:r w:rsidRPr="009E773A">
        <w:rPr>
          <w:rFonts w:asciiTheme="majorHAnsi" w:hAnsiTheme="majorHAnsi"/>
          <w:sz w:val="20"/>
          <w:szCs w:val="20"/>
          <w:lang w:val="es-ES"/>
        </w:rPr>
        <w:t xml:space="preserve"> presente caso no existió una investigación </w:t>
      </w:r>
      <w:r w:rsidRPr="009E773A">
        <w:rPr>
          <w:rFonts w:asciiTheme="majorHAnsi" w:hAnsiTheme="majorHAnsi"/>
          <w:bCs/>
          <w:sz w:val="20"/>
          <w:szCs w:val="20"/>
          <w:lang w:val="es-VE"/>
        </w:rPr>
        <w:t>realizada</w:t>
      </w:r>
      <w:r w:rsidRPr="009E773A">
        <w:rPr>
          <w:rFonts w:asciiTheme="majorHAnsi" w:hAnsiTheme="majorHAnsi"/>
          <w:sz w:val="20"/>
          <w:szCs w:val="20"/>
          <w:lang w:val="es-ES"/>
        </w:rPr>
        <w:t xml:space="preserve"> con debida diligencia</w:t>
      </w:r>
      <w:r w:rsidR="00EA4498" w:rsidRPr="009E773A">
        <w:rPr>
          <w:rFonts w:asciiTheme="majorHAnsi" w:hAnsiTheme="majorHAnsi"/>
          <w:sz w:val="20"/>
          <w:szCs w:val="20"/>
          <w:lang w:val="es-ES"/>
        </w:rPr>
        <w:t xml:space="preserve">. </w:t>
      </w:r>
      <w:r w:rsidRPr="009E773A">
        <w:rPr>
          <w:rFonts w:asciiTheme="majorHAnsi" w:hAnsiTheme="majorHAnsi"/>
          <w:sz w:val="20"/>
          <w:szCs w:val="20"/>
          <w:lang w:val="es-ES"/>
        </w:rPr>
        <w:t>En ese tipo de circunstancias, la Corte ha indicado que</w:t>
      </w:r>
      <w:r w:rsidR="00EA4498" w:rsidRPr="009E773A">
        <w:rPr>
          <w:rFonts w:asciiTheme="majorHAnsi" w:hAnsiTheme="majorHAnsi"/>
          <w:sz w:val="20"/>
          <w:szCs w:val="20"/>
          <w:lang w:val="es-ES"/>
        </w:rPr>
        <w:t xml:space="preserve"> la falta de investigación “</w:t>
      </w:r>
      <w:r w:rsidRPr="009E773A">
        <w:rPr>
          <w:rFonts w:asciiTheme="majorHAnsi" w:hAnsiTheme="majorHAnsi"/>
          <w:sz w:val="20"/>
          <w:szCs w:val="20"/>
          <w:lang w:val="es-ES"/>
        </w:rPr>
        <w:t>constituye una fuente de sufrimiento y angustia adicional para las víctimas y sus familiares, quienes tienen el derecho de conocer la verdad de lo ocurrido. Dicho derecho a la verdad exige la determinación procesal de la más completa verdad histórica posible, lo cual incluye la determinación judicial de los patrones de actuación conjunta y de todas las personas que de diversas formas participaron en dichas violaciones y sus correspondientes responsabilidades</w:t>
      </w:r>
      <w:r w:rsidR="00EA4498" w:rsidRPr="009E773A">
        <w:rPr>
          <w:rFonts w:asciiTheme="majorHAnsi" w:hAnsiTheme="majorHAnsi"/>
          <w:sz w:val="20"/>
          <w:szCs w:val="20"/>
          <w:lang w:val="es-ES"/>
        </w:rPr>
        <w:t>”</w:t>
      </w:r>
      <w:r w:rsidRPr="009E773A">
        <w:rPr>
          <w:rFonts w:asciiTheme="majorHAnsi" w:hAnsiTheme="majorHAnsi"/>
          <w:sz w:val="20"/>
          <w:szCs w:val="20"/>
          <w:vertAlign w:val="superscript"/>
          <w:lang w:val="es-ES"/>
        </w:rPr>
        <w:footnoteReference w:id="134"/>
      </w:r>
      <w:r w:rsidR="00EA4498" w:rsidRPr="009E773A">
        <w:rPr>
          <w:rFonts w:asciiTheme="majorHAnsi" w:hAnsiTheme="majorHAnsi"/>
          <w:sz w:val="20"/>
          <w:szCs w:val="20"/>
          <w:lang w:val="es-ES"/>
        </w:rPr>
        <w:t xml:space="preserve">. </w:t>
      </w:r>
      <w:r w:rsidR="00C8292F" w:rsidRPr="009E773A">
        <w:rPr>
          <w:rFonts w:asciiTheme="majorHAnsi" w:hAnsiTheme="majorHAnsi"/>
          <w:sz w:val="20"/>
          <w:szCs w:val="20"/>
          <w:lang w:val="es-ES_tradnl"/>
        </w:rPr>
        <w:t xml:space="preserve">De esta forma, la Comisión tiene en cuenta que el dolor y sufrimiento de los familiares de las </w:t>
      </w:r>
      <w:r w:rsidR="00C8292F" w:rsidRPr="009E773A">
        <w:rPr>
          <w:rFonts w:asciiTheme="majorHAnsi" w:hAnsiTheme="majorHAnsi"/>
          <w:sz w:val="20"/>
          <w:szCs w:val="20"/>
          <w:lang w:val="es-ES"/>
        </w:rPr>
        <w:t>víctimas</w:t>
      </w:r>
      <w:r w:rsidR="00C8292F" w:rsidRPr="009E773A">
        <w:rPr>
          <w:rFonts w:asciiTheme="majorHAnsi" w:hAnsiTheme="majorHAnsi"/>
          <w:sz w:val="20"/>
          <w:szCs w:val="20"/>
          <w:lang w:val="es-ES_tradnl"/>
        </w:rPr>
        <w:t xml:space="preserve"> que fueron ejecutadas extrajudicialmente, también se ha visto incrementado por la falta de respuesta frente a las acciones de justicia que han emprendido</w:t>
      </w:r>
      <w:r w:rsidR="004748A2" w:rsidRPr="009E773A">
        <w:rPr>
          <w:rFonts w:asciiTheme="majorHAnsi" w:hAnsiTheme="majorHAnsi"/>
          <w:sz w:val="20"/>
          <w:szCs w:val="20"/>
          <w:lang w:val="es-ES_tradnl"/>
        </w:rPr>
        <w:t>.</w:t>
      </w:r>
      <w:r w:rsidR="00C8292F" w:rsidRPr="009E773A">
        <w:rPr>
          <w:rFonts w:asciiTheme="majorHAnsi" w:hAnsiTheme="majorHAnsi"/>
          <w:sz w:val="20"/>
          <w:szCs w:val="20"/>
          <w:lang w:val="es-ES_tradnl"/>
        </w:rPr>
        <w:t xml:space="preserve"> </w:t>
      </w:r>
    </w:p>
    <w:p w14:paraId="4C6E92E3" w14:textId="77777777" w:rsidR="00EA4498" w:rsidRPr="009E773A" w:rsidRDefault="00EA4498"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ind w:left="630"/>
        <w:jc w:val="both"/>
        <w:rPr>
          <w:rFonts w:asciiTheme="majorHAnsi" w:hAnsiTheme="majorHAnsi"/>
          <w:b/>
          <w:sz w:val="20"/>
          <w:szCs w:val="20"/>
          <w:lang w:val="es-ES_tradnl"/>
        </w:rPr>
      </w:pPr>
    </w:p>
    <w:p w14:paraId="4905E17C" w14:textId="77777777" w:rsidR="00C8292F" w:rsidRPr="009E773A" w:rsidRDefault="00C8292F"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b/>
          <w:sz w:val="20"/>
          <w:szCs w:val="20"/>
          <w:lang w:val="es-ES_tradnl"/>
        </w:rPr>
      </w:pPr>
      <w:r w:rsidRPr="009E773A">
        <w:rPr>
          <w:rFonts w:asciiTheme="majorHAnsi" w:hAnsiTheme="majorHAnsi"/>
          <w:sz w:val="20"/>
          <w:szCs w:val="20"/>
          <w:lang w:val="es-ES"/>
        </w:rPr>
        <w:t>De acuerdo a lo anterior, la Comisión considera que la pérdida de su</w:t>
      </w:r>
      <w:r w:rsidR="00EA4498" w:rsidRPr="009E773A">
        <w:rPr>
          <w:rFonts w:asciiTheme="majorHAnsi" w:hAnsiTheme="majorHAnsi"/>
          <w:sz w:val="20"/>
          <w:szCs w:val="20"/>
          <w:lang w:val="es-ES"/>
        </w:rPr>
        <w:t>s</w:t>
      </w:r>
      <w:r w:rsidRPr="009E773A">
        <w:rPr>
          <w:rFonts w:asciiTheme="majorHAnsi" w:hAnsiTheme="majorHAnsi"/>
          <w:sz w:val="20"/>
          <w:szCs w:val="20"/>
          <w:lang w:val="es-ES"/>
        </w:rPr>
        <w:t xml:space="preserve"> ser</w:t>
      </w:r>
      <w:r w:rsidR="00EA4498" w:rsidRPr="009E773A">
        <w:rPr>
          <w:rFonts w:asciiTheme="majorHAnsi" w:hAnsiTheme="majorHAnsi"/>
          <w:sz w:val="20"/>
          <w:szCs w:val="20"/>
          <w:lang w:val="es-ES"/>
        </w:rPr>
        <w:t>es</w:t>
      </w:r>
      <w:r w:rsidRPr="009E773A">
        <w:rPr>
          <w:rFonts w:asciiTheme="majorHAnsi" w:hAnsiTheme="majorHAnsi"/>
          <w:sz w:val="20"/>
          <w:szCs w:val="20"/>
          <w:lang w:val="es-ES"/>
        </w:rPr>
        <w:t xml:space="preserve"> querido</w:t>
      </w:r>
      <w:r w:rsidR="00EA4498" w:rsidRPr="009E773A">
        <w:rPr>
          <w:rFonts w:asciiTheme="majorHAnsi" w:hAnsiTheme="majorHAnsi"/>
          <w:sz w:val="20"/>
          <w:szCs w:val="20"/>
          <w:lang w:val="es-ES"/>
        </w:rPr>
        <w:t>s</w:t>
      </w:r>
      <w:r w:rsidRPr="009E773A">
        <w:rPr>
          <w:rFonts w:asciiTheme="majorHAnsi" w:hAnsiTheme="majorHAnsi"/>
          <w:sz w:val="20"/>
          <w:szCs w:val="20"/>
          <w:lang w:val="es-ES"/>
        </w:rPr>
        <w:t xml:space="preserve"> en </w:t>
      </w:r>
      <w:r w:rsidRPr="009E773A">
        <w:rPr>
          <w:rFonts w:asciiTheme="majorHAnsi" w:hAnsiTheme="majorHAnsi"/>
          <w:sz w:val="20"/>
          <w:szCs w:val="20"/>
          <w:lang w:val="es-ES_tradnl"/>
        </w:rPr>
        <w:t>circunstancias</w:t>
      </w:r>
      <w:r w:rsidRPr="009E773A">
        <w:rPr>
          <w:rFonts w:asciiTheme="majorHAnsi" w:hAnsiTheme="majorHAnsi"/>
          <w:sz w:val="20"/>
          <w:szCs w:val="20"/>
          <w:lang w:val="es-ES"/>
        </w:rPr>
        <w:t xml:space="preserve"> como las descritas en el presente informe, así como la ausencia de verdad y justicia, ocasionaron sufrimiento y angustia en perjuicio de los familiares de </w:t>
      </w:r>
      <w:r w:rsidR="00EA4498" w:rsidRPr="009E773A">
        <w:rPr>
          <w:rFonts w:asciiTheme="majorHAnsi" w:hAnsiTheme="majorHAnsi"/>
          <w:sz w:val="20"/>
          <w:szCs w:val="20"/>
          <w:lang w:val="es-ES"/>
        </w:rPr>
        <w:t>Jimmy Guerrero y Ramón Molina</w:t>
      </w:r>
      <w:r w:rsidRPr="009E773A">
        <w:rPr>
          <w:rFonts w:asciiTheme="majorHAnsi" w:hAnsiTheme="majorHAnsi"/>
          <w:sz w:val="20"/>
          <w:szCs w:val="20"/>
          <w:lang w:val="es-ES_tradnl"/>
        </w:rPr>
        <w:t xml:space="preserve">, </w:t>
      </w:r>
      <w:r w:rsidRPr="009E773A">
        <w:rPr>
          <w:rFonts w:asciiTheme="majorHAnsi" w:hAnsiTheme="majorHAnsi"/>
          <w:sz w:val="20"/>
          <w:szCs w:val="20"/>
          <w:lang w:val="es-ES"/>
        </w:rPr>
        <w:t xml:space="preserve">en violación de su derecho a la integridad psíquica y moral establecido en el artículo 5.1 de la Convención Americana en relación con las obligaciones contenidas en el artículo 1.1 del mismo instrumento. </w:t>
      </w:r>
    </w:p>
    <w:p w14:paraId="01A835C8" w14:textId="77777777" w:rsidR="00C8292F" w:rsidRPr="009E773A" w:rsidRDefault="00C8292F" w:rsidP="009A79B6">
      <w:pPr>
        <w:rPr>
          <w:rFonts w:asciiTheme="majorHAnsi" w:hAnsiTheme="majorHAnsi"/>
          <w:sz w:val="20"/>
          <w:szCs w:val="20"/>
          <w:lang w:val="es-ES_tradnl"/>
        </w:rPr>
      </w:pPr>
    </w:p>
    <w:p w14:paraId="2D23E411" w14:textId="0BFF1FB1" w:rsidR="00C8292F" w:rsidRPr="009E773A" w:rsidRDefault="009A79B6" w:rsidP="009A79B6">
      <w:pPr>
        <w:pStyle w:val="Ttulo1"/>
        <w:ind w:firstLine="0"/>
      </w:pPr>
      <w:bookmarkStart w:id="40" w:name="_Toc338770517"/>
      <w:bookmarkStart w:id="41" w:name="_Toc399744184"/>
      <w:bookmarkStart w:id="42" w:name="_Toc401577021"/>
      <w:bookmarkStart w:id="43" w:name="_Toc409614503"/>
      <w:bookmarkStart w:id="44" w:name="_Toc482341478"/>
      <w:bookmarkStart w:id="45" w:name="_Toc492029473"/>
      <w:bookmarkStart w:id="46" w:name="_Toc2157196"/>
      <w:bookmarkStart w:id="47" w:name="_Toc2157250"/>
      <w:bookmarkStart w:id="48" w:name="_Toc2159224"/>
      <w:r w:rsidRPr="009E773A">
        <w:t>CONCLUSIONES</w:t>
      </w:r>
      <w:bookmarkEnd w:id="40"/>
      <w:bookmarkEnd w:id="41"/>
      <w:bookmarkEnd w:id="42"/>
      <w:bookmarkEnd w:id="43"/>
      <w:bookmarkEnd w:id="44"/>
      <w:r w:rsidRPr="009E773A">
        <w:t xml:space="preserve"> Y RECOMENDACIONES</w:t>
      </w:r>
      <w:bookmarkEnd w:id="45"/>
      <w:bookmarkEnd w:id="46"/>
      <w:bookmarkEnd w:id="47"/>
      <w:bookmarkEnd w:id="48"/>
    </w:p>
    <w:p w14:paraId="54F132AC" w14:textId="77777777" w:rsidR="00C8292F" w:rsidRPr="009E773A" w:rsidRDefault="00C8292F" w:rsidP="009A79B6">
      <w:pPr>
        <w:jc w:val="both"/>
        <w:rPr>
          <w:rFonts w:asciiTheme="majorHAnsi" w:hAnsiTheme="majorHAnsi"/>
          <w:sz w:val="20"/>
          <w:szCs w:val="20"/>
          <w:lang w:val="es-ES"/>
        </w:rPr>
      </w:pPr>
    </w:p>
    <w:p w14:paraId="4431D54D" w14:textId="39AA6AC3" w:rsidR="00C67C37" w:rsidRPr="009E773A" w:rsidRDefault="00C67C37"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olor w:val="000000" w:themeColor="text1"/>
          <w:sz w:val="20"/>
          <w:szCs w:val="20"/>
        </w:rPr>
      </w:pPr>
      <w:r w:rsidRPr="009E773A">
        <w:rPr>
          <w:rFonts w:asciiTheme="majorHAnsi" w:hAnsiTheme="majorHAnsi"/>
          <w:color w:val="000000" w:themeColor="text1"/>
          <w:sz w:val="20"/>
          <w:szCs w:val="20"/>
        </w:rPr>
        <w:t>Con base en las determinaciones de hecho y de derecho, la Comisión Interamericana concluye que el Es</w:t>
      </w:r>
      <w:r w:rsidR="00E07379" w:rsidRPr="009E773A">
        <w:rPr>
          <w:rFonts w:asciiTheme="majorHAnsi" w:hAnsiTheme="majorHAnsi"/>
          <w:color w:val="000000" w:themeColor="text1"/>
          <w:sz w:val="20"/>
          <w:szCs w:val="20"/>
        </w:rPr>
        <w:t>ta</w:t>
      </w:r>
      <w:r w:rsidRPr="009E773A">
        <w:rPr>
          <w:rFonts w:asciiTheme="majorHAnsi" w:hAnsiTheme="majorHAnsi"/>
          <w:color w:val="000000" w:themeColor="text1"/>
          <w:sz w:val="20"/>
          <w:szCs w:val="20"/>
        </w:rPr>
        <w:t xml:space="preserve">do es responsable por la violación de los </w:t>
      </w:r>
      <w:r w:rsidRPr="009E773A">
        <w:rPr>
          <w:rFonts w:asciiTheme="majorHAnsi" w:hAnsiTheme="majorHAnsi"/>
          <w:sz w:val="20"/>
          <w:szCs w:val="20"/>
        </w:rPr>
        <w:t>artículos 4</w:t>
      </w:r>
      <w:r w:rsidRPr="009E773A">
        <w:rPr>
          <w:rFonts w:asciiTheme="majorHAnsi" w:hAnsiTheme="majorHAnsi"/>
          <w:color w:val="000000" w:themeColor="text1"/>
          <w:sz w:val="20"/>
          <w:szCs w:val="20"/>
        </w:rPr>
        <w:t>.1 (derecho a la vida)</w:t>
      </w:r>
      <w:r w:rsidRPr="009E773A">
        <w:rPr>
          <w:rFonts w:asciiTheme="majorHAnsi" w:hAnsiTheme="majorHAnsi"/>
          <w:sz w:val="20"/>
          <w:szCs w:val="20"/>
        </w:rPr>
        <w:t>, 5.1 (derecho a la integridad</w:t>
      </w:r>
      <w:r w:rsidR="00CF301B" w:rsidRPr="009E773A">
        <w:rPr>
          <w:rFonts w:asciiTheme="majorHAnsi" w:hAnsiTheme="majorHAnsi"/>
          <w:sz w:val="20"/>
          <w:szCs w:val="20"/>
        </w:rPr>
        <w:t xml:space="preserve"> personal</w:t>
      </w:r>
      <w:r w:rsidRPr="009E773A">
        <w:rPr>
          <w:rFonts w:asciiTheme="majorHAnsi" w:hAnsiTheme="majorHAnsi"/>
          <w:sz w:val="20"/>
          <w:szCs w:val="20"/>
        </w:rPr>
        <w:t xml:space="preserve">), 8.1 y 25.1 (garantías judiciales y protección judicial) de la Convención Americana sobre Derechos Humanos en relación con el artículo 1.1 del mismo tratado, y los artículos </w:t>
      </w:r>
      <w:r w:rsidR="00921104" w:rsidRPr="009E773A">
        <w:rPr>
          <w:rFonts w:asciiTheme="majorHAnsi" w:hAnsiTheme="majorHAnsi"/>
          <w:sz w:val="20"/>
          <w:szCs w:val="20"/>
        </w:rPr>
        <w:t xml:space="preserve">1, </w:t>
      </w:r>
      <w:r w:rsidRPr="009E773A">
        <w:rPr>
          <w:rFonts w:asciiTheme="majorHAnsi" w:hAnsiTheme="majorHAnsi"/>
          <w:sz w:val="20"/>
          <w:szCs w:val="20"/>
        </w:rPr>
        <w:t>6 y 8 de la Convención Interamericana para Prevenir y Sancionar la Tortura</w:t>
      </w:r>
      <w:r w:rsidRPr="009E773A">
        <w:rPr>
          <w:rFonts w:asciiTheme="majorHAnsi" w:hAnsiTheme="majorHAnsi"/>
          <w:color w:val="000000" w:themeColor="text1"/>
          <w:sz w:val="20"/>
          <w:szCs w:val="20"/>
        </w:rPr>
        <w:t xml:space="preserve">. </w:t>
      </w:r>
    </w:p>
    <w:p w14:paraId="46D0C0D7" w14:textId="77777777" w:rsidR="00C8292F" w:rsidRPr="009E773A" w:rsidRDefault="00C8292F" w:rsidP="009A79B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ES"/>
        </w:rPr>
      </w:pPr>
    </w:p>
    <w:p w14:paraId="5182D816" w14:textId="77777777" w:rsidR="00C8292F" w:rsidRPr="009E773A" w:rsidRDefault="00C8292F" w:rsidP="009A79B6">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lang w:val="es-ES"/>
        </w:rPr>
      </w:pPr>
      <w:r w:rsidRPr="009E773A">
        <w:rPr>
          <w:rFonts w:asciiTheme="majorHAnsi" w:hAnsiTheme="majorHAnsi"/>
          <w:sz w:val="20"/>
          <w:szCs w:val="20"/>
          <w:lang w:val="es-ES_tradnl"/>
        </w:rPr>
        <w:t xml:space="preserve">En </w:t>
      </w:r>
      <w:r w:rsidRPr="009E773A">
        <w:rPr>
          <w:rFonts w:asciiTheme="majorHAnsi" w:hAnsiTheme="majorHAnsi"/>
          <w:sz w:val="20"/>
          <w:szCs w:val="20"/>
          <w:lang w:val="es-ES"/>
        </w:rPr>
        <w:t>virtud</w:t>
      </w:r>
      <w:r w:rsidRPr="009E773A">
        <w:rPr>
          <w:rFonts w:asciiTheme="majorHAnsi" w:hAnsiTheme="majorHAnsi"/>
          <w:sz w:val="20"/>
          <w:szCs w:val="20"/>
          <w:lang w:val="es-ES_tradnl"/>
        </w:rPr>
        <w:t xml:space="preserve"> de las anteriores conclusiones,</w:t>
      </w:r>
    </w:p>
    <w:p w14:paraId="23A8B7FC" w14:textId="77777777" w:rsidR="00C8292F" w:rsidRPr="009E773A" w:rsidRDefault="00C8292F" w:rsidP="009A79B6">
      <w:pPr>
        <w:suppressAutoHyphens/>
        <w:jc w:val="both"/>
        <w:rPr>
          <w:rFonts w:asciiTheme="majorHAnsi" w:hAnsiTheme="majorHAnsi"/>
          <w:sz w:val="20"/>
          <w:szCs w:val="20"/>
          <w:lang w:val="es-ES_tradnl"/>
        </w:rPr>
      </w:pPr>
    </w:p>
    <w:p w14:paraId="1AA6F8EB" w14:textId="77777777" w:rsidR="00C8292F" w:rsidRPr="009E773A" w:rsidRDefault="00C8292F" w:rsidP="009A79B6">
      <w:pPr>
        <w:jc w:val="both"/>
        <w:rPr>
          <w:rFonts w:asciiTheme="majorHAnsi" w:hAnsiTheme="majorHAnsi"/>
          <w:b/>
          <w:sz w:val="20"/>
          <w:szCs w:val="20"/>
          <w:lang w:val="es-ES_tradnl"/>
        </w:rPr>
      </w:pPr>
      <w:r w:rsidRPr="009E773A">
        <w:rPr>
          <w:rFonts w:asciiTheme="majorHAnsi" w:hAnsiTheme="majorHAnsi"/>
          <w:b/>
          <w:sz w:val="20"/>
          <w:szCs w:val="20"/>
          <w:lang w:val="es-ES_tradnl"/>
        </w:rPr>
        <w:tab/>
        <w:t>LA COMISIÓN INTERAMERICANA DE DERECHOS HUMANOS, RECOMIENDA AL ESTADO DE VENEZUELA,</w:t>
      </w:r>
    </w:p>
    <w:p w14:paraId="12A815F5" w14:textId="77777777" w:rsidR="00C8292F" w:rsidRPr="009E773A" w:rsidRDefault="00C8292F" w:rsidP="009A79B6">
      <w:pPr>
        <w:jc w:val="both"/>
        <w:rPr>
          <w:rFonts w:asciiTheme="majorHAnsi" w:hAnsiTheme="majorHAnsi"/>
          <w:b/>
          <w:sz w:val="20"/>
          <w:szCs w:val="20"/>
          <w:lang w:val="es-ES_tradnl"/>
        </w:rPr>
      </w:pPr>
    </w:p>
    <w:p w14:paraId="555F0F86" w14:textId="0BFADC3D" w:rsidR="00776826" w:rsidRPr="009E773A" w:rsidRDefault="00C8292F" w:rsidP="009A79B6">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s="Tahoma"/>
          <w:sz w:val="20"/>
          <w:szCs w:val="20"/>
          <w:bdr w:val="none" w:sz="0" w:space="0" w:color="auto"/>
          <w:lang w:val="es-ES"/>
        </w:rPr>
      </w:pPr>
      <w:r w:rsidRPr="009E773A">
        <w:rPr>
          <w:rFonts w:asciiTheme="majorHAnsi" w:eastAsia="Times New Roman" w:hAnsiTheme="majorHAnsi"/>
          <w:color w:val="666666"/>
          <w:sz w:val="15"/>
          <w:szCs w:val="15"/>
          <w:bdr w:val="none" w:sz="0" w:space="0" w:color="auto"/>
          <w:lang w:val="es-US"/>
        </w:rPr>
        <w:t> </w:t>
      </w:r>
      <w:r w:rsidR="00776826" w:rsidRPr="009E773A">
        <w:rPr>
          <w:rFonts w:asciiTheme="majorHAnsi" w:eastAsia="Times New Roman" w:hAnsiTheme="majorHAnsi" w:cs="Tahoma"/>
          <w:sz w:val="20"/>
          <w:szCs w:val="20"/>
          <w:bdr w:val="none" w:sz="0" w:space="0" w:color="auto"/>
          <w:lang w:val="es-ES"/>
        </w:rPr>
        <w:t>Reparar integralmente las violaciones de derechos humanos declaradas en el presente informe tanto en el aspecto material como inmaterial, incluyendo una compensación económica</w:t>
      </w:r>
      <w:r w:rsidR="004306CC" w:rsidRPr="009E773A">
        <w:rPr>
          <w:rFonts w:asciiTheme="majorHAnsi" w:eastAsia="Times New Roman" w:hAnsiTheme="majorHAnsi" w:cs="Tahoma"/>
          <w:sz w:val="20"/>
          <w:szCs w:val="20"/>
          <w:bdr w:val="none" w:sz="0" w:space="0" w:color="auto"/>
          <w:lang w:val="es-ES"/>
        </w:rPr>
        <w:t xml:space="preserve"> y medidas de satisfacción.</w:t>
      </w:r>
    </w:p>
    <w:p w14:paraId="2E7A77F4" w14:textId="77777777" w:rsidR="00776826" w:rsidRPr="009E773A" w:rsidRDefault="00776826" w:rsidP="009A79B6">
      <w:pPr>
        <w:rPr>
          <w:rFonts w:asciiTheme="majorHAnsi" w:eastAsia="Times New Roman" w:hAnsiTheme="majorHAnsi" w:cs="Tahoma"/>
          <w:sz w:val="20"/>
          <w:szCs w:val="20"/>
          <w:bdr w:val="none" w:sz="0" w:space="0" w:color="auto"/>
          <w:lang w:val="es-ES"/>
        </w:rPr>
      </w:pPr>
    </w:p>
    <w:p w14:paraId="2B58990B" w14:textId="77777777" w:rsidR="00776826" w:rsidRPr="009E773A" w:rsidRDefault="00776826" w:rsidP="009A79B6">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sz w:val="14"/>
          <w:szCs w:val="14"/>
          <w:bdr w:val="none" w:sz="0" w:space="0" w:color="auto"/>
          <w:lang w:val="es-ES"/>
        </w:rPr>
      </w:pPr>
      <w:r w:rsidRPr="009E773A">
        <w:rPr>
          <w:rFonts w:asciiTheme="majorHAnsi" w:eastAsia="Times New Roman" w:hAnsiTheme="majorHAnsi" w:cs="Tahoma"/>
          <w:sz w:val="20"/>
          <w:szCs w:val="20"/>
          <w:bdr w:val="none" w:sz="0" w:space="0" w:color="auto"/>
          <w:lang w:val="es-ES"/>
        </w:rPr>
        <w:t xml:space="preserve">Disponer las medidas de atención en salud física y mental necesarias para la rehabilitación de los familiares de </w:t>
      </w:r>
      <w:r w:rsidR="008556A5" w:rsidRPr="009E773A">
        <w:rPr>
          <w:rFonts w:asciiTheme="majorHAnsi" w:eastAsia="Times New Roman" w:hAnsiTheme="majorHAnsi" w:cs="Tahoma"/>
          <w:sz w:val="20"/>
          <w:szCs w:val="20"/>
          <w:bdr w:val="none" w:sz="0" w:space="0" w:color="auto"/>
          <w:lang w:val="es-ES"/>
        </w:rPr>
        <w:t xml:space="preserve">Jimmy Guerrero y </w:t>
      </w:r>
      <w:r w:rsidR="004B0C29" w:rsidRPr="009E773A">
        <w:rPr>
          <w:rFonts w:asciiTheme="majorHAnsi" w:eastAsia="Times New Roman" w:hAnsiTheme="majorHAnsi" w:cs="Tahoma"/>
          <w:sz w:val="20"/>
          <w:szCs w:val="20"/>
          <w:bdr w:val="none" w:sz="0" w:space="0" w:color="auto"/>
          <w:lang w:val="es-ES"/>
        </w:rPr>
        <w:t>Ramón Molina</w:t>
      </w:r>
      <w:r w:rsidRPr="009E773A">
        <w:rPr>
          <w:rFonts w:asciiTheme="majorHAnsi" w:eastAsia="Times New Roman" w:hAnsiTheme="majorHAnsi" w:cs="Tahoma"/>
          <w:sz w:val="20"/>
          <w:szCs w:val="20"/>
          <w:bdr w:val="none" w:sz="0" w:space="0" w:color="auto"/>
          <w:lang w:val="es-ES"/>
        </w:rPr>
        <w:t xml:space="preserve"> de ser su voluntad y de manera concertada.</w:t>
      </w:r>
    </w:p>
    <w:p w14:paraId="00F406D4" w14:textId="77777777" w:rsidR="00776826" w:rsidRPr="009E773A" w:rsidRDefault="00776826" w:rsidP="009A79B6">
      <w:pPr>
        <w:rPr>
          <w:rFonts w:asciiTheme="majorHAnsi" w:hAnsiTheme="majorHAnsi"/>
          <w:sz w:val="20"/>
          <w:szCs w:val="20"/>
          <w:lang w:val="es-ES"/>
        </w:rPr>
      </w:pPr>
    </w:p>
    <w:p w14:paraId="2CB69F99" w14:textId="66C95F0D" w:rsidR="008556A5" w:rsidRPr="009E773A" w:rsidRDefault="008556A5" w:rsidP="009A79B6">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s="Tahoma"/>
          <w:sz w:val="20"/>
          <w:szCs w:val="20"/>
          <w:bdr w:val="none" w:sz="0" w:space="0" w:color="auto"/>
          <w:lang w:val="es-US"/>
        </w:rPr>
      </w:pPr>
      <w:r w:rsidRPr="009E773A">
        <w:rPr>
          <w:rFonts w:asciiTheme="majorHAnsi" w:eastAsia="Times New Roman" w:hAnsiTheme="majorHAnsi" w:cs="Tahoma"/>
          <w:sz w:val="20"/>
          <w:szCs w:val="20"/>
          <w:bdr w:val="none" w:sz="0" w:space="0" w:color="auto"/>
          <w:lang w:val="es-ES"/>
        </w:rPr>
        <w:t>Continuar con</w:t>
      </w:r>
      <w:r w:rsidR="00776826" w:rsidRPr="009E773A">
        <w:rPr>
          <w:rFonts w:asciiTheme="majorHAnsi" w:eastAsia="Times New Roman" w:hAnsiTheme="majorHAnsi" w:cs="Tahoma"/>
          <w:sz w:val="20"/>
          <w:szCs w:val="20"/>
          <w:bdr w:val="none" w:sz="0" w:space="0" w:color="auto"/>
          <w:lang w:val="es-AR"/>
        </w:rPr>
        <w:t xml:space="preserve"> la investigación penal de manera diligente, efectiva y dentro de un plazo razonable con el objeto de esclarecer los hechos en forma completa, identificar todas las posibles responsabilidades e imponer las sanciones que correspondan respecto de las violaciones de derechos humanos declaradas en el presente informe. </w:t>
      </w:r>
      <w:r w:rsidRPr="009E773A">
        <w:rPr>
          <w:rFonts w:asciiTheme="majorHAnsi" w:eastAsia="Times New Roman" w:hAnsiTheme="majorHAnsi" w:cs="Tahoma"/>
          <w:color w:val="000000"/>
          <w:sz w:val="20"/>
          <w:szCs w:val="20"/>
          <w:bdr w:val="none" w:sz="0" w:space="0" w:color="auto"/>
          <w:lang w:val="es-AR"/>
        </w:rPr>
        <w:t>En cumplimiento de esta recomendación, el Estado venezolano deberá incorporar en la investigación los elementos relevantes de contexto en los términos descritos en el presente informe</w:t>
      </w:r>
      <w:r w:rsidR="00A16EE6" w:rsidRPr="009E773A">
        <w:rPr>
          <w:rFonts w:asciiTheme="majorHAnsi" w:eastAsia="Times New Roman" w:hAnsiTheme="majorHAnsi" w:cs="Tahoma"/>
          <w:color w:val="000000"/>
          <w:sz w:val="20"/>
          <w:szCs w:val="20"/>
          <w:bdr w:val="none" w:sz="0" w:space="0" w:color="auto"/>
          <w:lang w:val="es-AR"/>
        </w:rPr>
        <w:t xml:space="preserve"> y adoptar todos los correctivos posibles frente a las falencias</w:t>
      </w:r>
      <w:r w:rsidR="00650EE6" w:rsidRPr="009E773A">
        <w:rPr>
          <w:rFonts w:asciiTheme="majorHAnsi" w:eastAsia="Times New Roman" w:hAnsiTheme="majorHAnsi" w:cs="Tahoma"/>
          <w:color w:val="000000"/>
          <w:sz w:val="20"/>
          <w:szCs w:val="20"/>
          <w:bdr w:val="none" w:sz="0" w:space="0" w:color="auto"/>
          <w:lang w:val="es-AR"/>
        </w:rPr>
        <w:t xml:space="preserve"> que se han registrado a lo largo de toda la investigación. </w:t>
      </w:r>
      <w:r w:rsidRPr="009E773A">
        <w:rPr>
          <w:rFonts w:asciiTheme="majorHAnsi" w:eastAsia="Times New Roman" w:hAnsiTheme="majorHAnsi" w:cs="Tahoma"/>
          <w:color w:val="000000"/>
          <w:sz w:val="20"/>
          <w:szCs w:val="20"/>
          <w:bdr w:val="none" w:sz="0" w:space="0" w:color="auto"/>
          <w:lang w:val="es-AR"/>
        </w:rPr>
        <w:t xml:space="preserve"> </w:t>
      </w:r>
    </w:p>
    <w:p w14:paraId="75158D57" w14:textId="77777777" w:rsidR="008556A5" w:rsidRPr="009E773A" w:rsidRDefault="008556A5" w:rsidP="009A79B6">
      <w:pPr>
        <w:pStyle w:val="Prrafodelista"/>
        <w:rPr>
          <w:rFonts w:asciiTheme="majorHAnsi" w:eastAsia="Times New Roman" w:hAnsiTheme="majorHAnsi" w:cs="Tahoma"/>
          <w:sz w:val="20"/>
          <w:szCs w:val="20"/>
          <w:bdr w:val="none" w:sz="0" w:space="0" w:color="auto"/>
          <w:lang w:val="es-AR"/>
        </w:rPr>
      </w:pPr>
    </w:p>
    <w:p w14:paraId="3A9E55A4" w14:textId="69E71FB3" w:rsidR="004D21FE" w:rsidRPr="009D0C3F" w:rsidRDefault="00C8292F" w:rsidP="009A79B6">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0"/>
        <w:jc w:val="both"/>
        <w:rPr>
          <w:rFonts w:asciiTheme="majorHAnsi" w:hAnsiTheme="majorHAnsi"/>
          <w:sz w:val="20"/>
          <w:szCs w:val="20"/>
          <w:lang w:val="es-US"/>
        </w:rPr>
      </w:pPr>
      <w:r w:rsidRPr="009E773A">
        <w:rPr>
          <w:rFonts w:asciiTheme="majorHAnsi" w:eastAsia="Times New Roman" w:hAnsiTheme="majorHAnsi" w:cs="Tahoma"/>
          <w:color w:val="000000"/>
          <w:sz w:val="20"/>
          <w:szCs w:val="20"/>
          <w:bdr w:val="none" w:sz="0" w:space="0" w:color="auto"/>
          <w:lang w:val="es-US"/>
        </w:rPr>
        <w:t xml:space="preserve">Disponer mecanismos de no repetición que incluyan: i) programas de capacitación sobre los estándares internacionales de derechos humanos en general, en particular, dirigidos a la Policía del estado </w:t>
      </w:r>
      <w:r w:rsidR="008556A5" w:rsidRPr="009E773A">
        <w:rPr>
          <w:rFonts w:asciiTheme="majorHAnsi" w:eastAsia="Times New Roman" w:hAnsiTheme="majorHAnsi" w:cs="Tahoma"/>
          <w:color w:val="000000"/>
          <w:sz w:val="20"/>
          <w:szCs w:val="20"/>
          <w:bdr w:val="none" w:sz="0" w:space="0" w:color="auto"/>
          <w:lang w:val="es-US"/>
        </w:rPr>
        <w:t>de Falcón</w:t>
      </w:r>
      <w:r w:rsidRPr="009E773A">
        <w:rPr>
          <w:rFonts w:asciiTheme="majorHAnsi" w:eastAsia="Times New Roman" w:hAnsiTheme="majorHAnsi" w:cs="Tahoma"/>
          <w:color w:val="000000"/>
          <w:sz w:val="20"/>
          <w:szCs w:val="20"/>
          <w:bdr w:val="none" w:sz="0" w:space="0" w:color="auto"/>
          <w:lang w:val="es-US"/>
        </w:rPr>
        <w:t>, y a operadores de justicia; ii) medidas para asegurar la efectiva rendición de cuentas en el fuero penal, disciplinario o administrativo, en casos de presunto abuso de poder por parte de agentes del Estado a cargo de la seguridad pública; y iii) medidas legislativas, administrativas y de otra índole para asegurar la investigación con la debida diligencia y de conformidad con los estánda</w:t>
      </w:r>
      <w:r w:rsidR="008556A5" w:rsidRPr="009E773A">
        <w:rPr>
          <w:rFonts w:asciiTheme="majorHAnsi" w:eastAsia="Times New Roman" w:hAnsiTheme="majorHAnsi" w:cs="Tahoma"/>
          <w:color w:val="000000"/>
          <w:sz w:val="20"/>
          <w:szCs w:val="20"/>
          <w:bdr w:val="none" w:sz="0" w:space="0" w:color="auto"/>
          <w:lang w:val="es-US"/>
        </w:rPr>
        <w:t>res internacionales relevantes</w:t>
      </w:r>
      <w:r w:rsidR="001F08EF" w:rsidRPr="009E773A">
        <w:rPr>
          <w:rFonts w:asciiTheme="majorHAnsi" w:eastAsia="Times New Roman" w:hAnsiTheme="majorHAnsi" w:cs="Tahoma"/>
          <w:color w:val="000000"/>
          <w:sz w:val="20"/>
          <w:szCs w:val="20"/>
          <w:bdr w:val="none" w:sz="0" w:space="0" w:color="auto"/>
          <w:lang w:val="es-US"/>
        </w:rPr>
        <w:t xml:space="preserve"> de casos de alegadas ejec</w:t>
      </w:r>
      <w:r w:rsidR="00867CF9" w:rsidRPr="009E773A">
        <w:rPr>
          <w:rFonts w:asciiTheme="majorHAnsi" w:eastAsia="Times New Roman" w:hAnsiTheme="majorHAnsi" w:cs="Tahoma"/>
          <w:color w:val="000000"/>
          <w:sz w:val="20"/>
          <w:szCs w:val="20"/>
          <w:bdr w:val="none" w:sz="0" w:space="0" w:color="auto"/>
          <w:lang w:val="es-US"/>
        </w:rPr>
        <w:t>u</w:t>
      </w:r>
      <w:r w:rsidR="001F08EF" w:rsidRPr="009E773A">
        <w:rPr>
          <w:rFonts w:asciiTheme="majorHAnsi" w:eastAsia="Times New Roman" w:hAnsiTheme="majorHAnsi" w:cs="Tahoma"/>
          <w:color w:val="000000"/>
          <w:sz w:val="20"/>
          <w:szCs w:val="20"/>
          <w:bdr w:val="none" w:sz="0" w:space="0" w:color="auto"/>
          <w:lang w:val="es-US"/>
        </w:rPr>
        <w:t>ciones extrajudiciales.</w:t>
      </w:r>
    </w:p>
    <w:p w14:paraId="7089827C" w14:textId="77777777" w:rsidR="009D0C3F" w:rsidRDefault="009D0C3F" w:rsidP="009A79B6">
      <w:pPr>
        <w:pStyle w:val="Prrafodelista"/>
        <w:rPr>
          <w:rFonts w:asciiTheme="majorHAnsi" w:hAnsiTheme="majorHAnsi"/>
          <w:sz w:val="20"/>
          <w:szCs w:val="20"/>
          <w:lang w:val="es-US"/>
        </w:rPr>
      </w:pPr>
    </w:p>
    <w:p w14:paraId="3D39E16A" w14:textId="1F771B2A" w:rsidR="009D0C3F" w:rsidRPr="00CA08FD" w:rsidRDefault="002A4B97" w:rsidP="002A4B97">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0"/>
        <w:jc w:val="both"/>
        <w:rPr>
          <w:rFonts w:asciiTheme="majorHAnsi" w:hAnsiTheme="majorHAnsi"/>
          <w:sz w:val="20"/>
          <w:szCs w:val="20"/>
          <w:lang w:val="es-US"/>
        </w:rPr>
      </w:pPr>
      <w:r w:rsidRPr="002A4B97">
        <w:rPr>
          <w:rFonts w:asciiTheme="majorHAnsi" w:hAnsiTheme="majorHAnsi"/>
          <w:sz w:val="20"/>
          <w:szCs w:val="20"/>
          <w:lang w:val="es-MX"/>
        </w:rPr>
        <w:t>Disponer el reintegro de los gastos del Fondo de Asistencia Legal de Víctimas de la Comisión Interamericana de Derechos Humanos, por la cantidad erogada durante la tramitación del presente caso</w:t>
      </w:r>
      <w:r>
        <w:rPr>
          <w:rFonts w:asciiTheme="majorHAnsi" w:hAnsiTheme="majorHAnsi"/>
          <w:sz w:val="20"/>
          <w:szCs w:val="20"/>
          <w:lang w:val="es-MX"/>
        </w:rPr>
        <w:t>.</w:t>
      </w:r>
    </w:p>
    <w:p w14:paraId="7CC9B2B6" w14:textId="77777777" w:rsidR="00727450" w:rsidRPr="00B37F55" w:rsidRDefault="00727450" w:rsidP="00727450">
      <w:pPr>
        <w:ind w:firstLine="720"/>
        <w:jc w:val="both"/>
        <w:rPr>
          <w:rFonts w:asciiTheme="majorHAnsi" w:hAnsiTheme="majorHAnsi"/>
          <w:b/>
          <w:sz w:val="20"/>
          <w:szCs w:val="20"/>
          <w:lang w:val="es-ES"/>
        </w:rPr>
      </w:pPr>
    </w:p>
    <w:p w14:paraId="60D9E23B" w14:textId="77777777" w:rsidR="00727450" w:rsidRPr="00B37F55" w:rsidRDefault="00727450" w:rsidP="00727450">
      <w:pPr>
        <w:ind w:firstLine="720"/>
        <w:jc w:val="both"/>
        <w:rPr>
          <w:rFonts w:asciiTheme="majorHAnsi" w:hAnsiTheme="majorHAnsi"/>
          <w:spacing w:val="-2"/>
          <w:sz w:val="20"/>
          <w:szCs w:val="20"/>
          <w:lang w:val="es-CL"/>
        </w:rPr>
      </w:pPr>
      <w:r w:rsidRPr="00B37F55">
        <w:rPr>
          <w:rFonts w:asciiTheme="majorHAnsi" w:hAnsiTheme="majorHAnsi"/>
          <w:spacing w:val="-2"/>
          <w:sz w:val="20"/>
          <w:szCs w:val="20"/>
          <w:lang w:val="es-CL"/>
        </w:rPr>
        <w:t>Aprobado por la Comisión Interamericana de Derechos Humanos en la ciudad de Washington, D.C. a los 7 días del mes de diciembre de 2018.  (Firmado): Margarette May Macaulay, Presidenta; Esmeralda Arosemena de Troitiño, Primera Vicepresidenta; Francisco José Eguiguren Praeli, Joel Hernández García y Antonia Urrejola, Miembros de la Comisión.</w:t>
      </w:r>
      <w:r w:rsidRPr="00B37F55">
        <w:rPr>
          <w:rFonts w:asciiTheme="majorHAnsi" w:hAnsiTheme="majorHAnsi"/>
          <w:sz w:val="20"/>
          <w:szCs w:val="20"/>
          <w:lang w:val="es-CL"/>
        </w:rPr>
        <w:t xml:space="preserve"> </w:t>
      </w:r>
    </w:p>
    <w:p w14:paraId="21C8E3DA" w14:textId="77777777" w:rsidR="00727450" w:rsidRPr="00727450" w:rsidRDefault="00727450" w:rsidP="00727450">
      <w:pPr>
        <w:ind w:firstLine="720"/>
        <w:jc w:val="both"/>
        <w:rPr>
          <w:rFonts w:asciiTheme="majorHAnsi" w:hAnsiTheme="majorHAnsi"/>
          <w:spacing w:val="-2"/>
          <w:sz w:val="20"/>
          <w:szCs w:val="20"/>
          <w:lang w:val="es-CL"/>
        </w:rPr>
      </w:pPr>
    </w:p>
    <w:p w14:paraId="32D9E3AF" w14:textId="3E97A20A" w:rsidR="00727450" w:rsidRPr="00727450" w:rsidRDefault="00727450" w:rsidP="00727450">
      <w:pPr>
        <w:ind w:firstLine="720"/>
        <w:jc w:val="both"/>
        <w:rPr>
          <w:rFonts w:asciiTheme="majorHAnsi" w:hAnsiTheme="majorHAnsi"/>
          <w:sz w:val="20"/>
          <w:szCs w:val="20"/>
          <w:lang w:val="es-CL"/>
        </w:rPr>
      </w:pPr>
      <w:r w:rsidRPr="00727450">
        <w:rPr>
          <w:rFonts w:asciiTheme="majorHAnsi" w:hAnsiTheme="majorHAnsi"/>
          <w:sz w:val="20"/>
          <w:szCs w:val="20"/>
          <w:lang w:val="es-CL"/>
        </w:rPr>
        <w:t xml:space="preserve">La que suscribe, </w:t>
      </w:r>
      <w:r>
        <w:rPr>
          <w:rFonts w:asciiTheme="majorHAnsi" w:hAnsiTheme="majorHAnsi" w:cs="Arial"/>
          <w:sz w:val="20"/>
          <w:szCs w:val="20"/>
          <w:lang w:val="es-PE"/>
        </w:rPr>
        <w:t>Marisol Blanchard</w:t>
      </w:r>
      <w:r w:rsidRPr="00727450">
        <w:rPr>
          <w:rFonts w:asciiTheme="majorHAnsi" w:hAnsiTheme="majorHAnsi"/>
          <w:sz w:val="20"/>
          <w:szCs w:val="20"/>
          <w:lang w:val="es-CL"/>
        </w:rPr>
        <w:t xml:space="preserve">, </w:t>
      </w:r>
      <w:r>
        <w:rPr>
          <w:rFonts w:asciiTheme="majorHAnsi" w:hAnsiTheme="majorHAnsi"/>
          <w:sz w:val="20"/>
          <w:szCs w:val="20"/>
          <w:lang w:val="es-CL"/>
        </w:rPr>
        <w:t>Jefa del Gabinete de la Secretaría Ejecutiva</w:t>
      </w:r>
      <w:r w:rsidRPr="00727450">
        <w:rPr>
          <w:rFonts w:asciiTheme="majorHAnsi" w:hAnsiTheme="majorHAnsi"/>
          <w:sz w:val="20"/>
          <w:szCs w:val="20"/>
          <w:lang w:val="es-CL"/>
        </w:rPr>
        <w:t>, de conformidad con el artículo 49 del Reglamento de la Comisión, certifica que es copia fiel del original depositado en los archivos de la Secretaría de la CIDH.</w:t>
      </w:r>
    </w:p>
    <w:p w14:paraId="6C0080F8" w14:textId="77777777" w:rsidR="00727450" w:rsidRPr="00727450" w:rsidRDefault="00727450" w:rsidP="00727450">
      <w:pPr>
        <w:jc w:val="both"/>
        <w:rPr>
          <w:rFonts w:asciiTheme="majorHAnsi" w:hAnsiTheme="majorHAnsi"/>
          <w:sz w:val="20"/>
          <w:szCs w:val="20"/>
          <w:lang w:val="es-PE"/>
        </w:rPr>
      </w:pPr>
    </w:p>
    <w:p w14:paraId="6A60A679" w14:textId="77777777" w:rsidR="00727450" w:rsidRPr="00727450" w:rsidRDefault="00727450" w:rsidP="00727450">
      <w:pPr>
        <w:rPr>
          <w:rFonts w:asciiTheme="majorHAnsi" w:hAnsiTheme="majorHAnsi"/>
          <w:sz w:val="20"/>
          <w:szCs w:val="20"/>
          <w:lang w:val="es-PE"/>
        </w:rPr>
      </w:pPr>
    </w:p>
    <w:p w14:paraId="18DF5DE1" w14:textId="77777777" w:rsidR="00727450" w:rsidRPr="00727450" w:rsidRDefault="00727450" w:rsidP="00727450">
      <w:pPr>
        <w:rPr>
          <w:rFonts w:asciiTheme="majorHAnsi" w:hAnsiTheme="majorHAnsi"/>
          <w:sz w:val="20"/>
          <w:szCs w:val="20"/>
          <w:lang w:val="es-PE"/>
        </w:rPr>
      </w:pPr>
    </w:p>
    <w:p w14:paraId="4C21461F" w14:textId="77777777" w:rsidR="00727450" w:rsidRPr="00727450" w:rsidRDefault="00727450" w:rsidP="00727450">
      <w:pPr>
        <w:rPr>
          <w:rFonts w:asciiTheme="majorHAnsi" w:hAnsiTheme="majorHAnsi"/>
          <w:sz w:val="20"/>
          <w:szCs w:val="20"/>
          <w:lang w:val="es-PE"/>
        </w:rPr>
      </w:pPr>
    </w:p>
    <w:p w14:paraId="338BF4BF" w14:textId="77777777" w:rsidR="00727450" w:rsidRPr="00727450" w:rsidRDefault="00727450" w:rsidP="00727450">
      <w:pPr>
        <w:rPr>
          <w:rFonts w:asciiTheme="majorHAnsi" w:hAnsiTheme="majorHAnsi"/>
          <w:sz w:val="20"/>
          <w:szCs w:val="20"/>
          <w:lang w:val="es-PE"/>
        </w:rPr>
      </w:pPr>
    </w:p>
    <w:p w14:paraId="7DEC783A" w14:textId="77777777" w:rsidR="00727450" w:rsidRPr="00727450" w:rsidRDefault="00727450" w:rsidP="00727450">
      <w:pPr>
        <w:rPr>
          <w:rFonts w:asciiTheme="majorHAnsi" w:hAnsiTheme="majorHAnsi"/>
          <w:sz w:val="20"/>
          <w:szCs w:val="20"/>
        </w:rPr>
      </w:pPr>
    </w:p>
    <w:p w14:paraId="73CD394F" w14:textId="77777777" w:rsidR="00727450" w:rsidRPr="00727450" w:rsidRDefault="00727450" w:rsidP="00727450">
      <w:pPr>
        <w:tabs>
          <w:tab w:val="left" w:pos="-720"/>
        </w:tabs>
        <w:ind w:left="4500"/>
        <w:rPr>
          <w:rFonts w:asciiTheme="majorHAnsi" w:hAnsiTheme="majorHAnsi" w:cs="Arial"/>
          <w:sz w:val="20"/>
          <w:szCs w:val="20"/>
        </w:rPr>
      </w:pPr>
      <w:r w:rsidRPr="00727450">
        <w:rPr>
          <w:rFonts w:asciiTheme="majorHAnsi" w:hAnsiTheme="majorHAnsi" w:cs="Arial"/>
          <w:sz w:val="20"/>
          <w:szCs w:val="20"/>
        </w:rPr>
        <w:t xml:space="preserve">   Marisol Blanchard</w:t>
      </w:r>
    </w:p>
    <w:p w14:paraId="231C8FA6" w14:textId="3E23068D" w:rsidR="00727450" w:rsidRPr="00727450" w:rsidRDefault="00727450" w:rsidP="00727450">
      <w:pPr>
        <w:tabs>
          <w:tab w:val="left" w:pos="-720"/>
          <w:tab w:val="left" w:pos="5760"/>
        </w:tabs>
        <w:rPr>
          <w:rFonts w:asciiTheme="majorHAnsi" w:hAnsiTheme="majorHAnsi" w:cs="Arial"/>
          <w:sz w:val="20"/>
          <w:szCs w:val="20"/>
          <w:lang w:val="es-PE"/>
        </w:rPr>
      </w:pPr>
      <w:r w:rsidRPr="00727450">
        <w:rPr>
          <w:rFonts w:asciiTheme="majorHAnsi" w:hAnsiTheme="majorHAnsi" w:cs="Arial"/>
          <w:sz w:val="20"/>
          <w:szCs w:val="20"/>
        </w:rPr>
        <w:t xml:space="preserve">                                                      </w:t>
      </w:r>
      <w:r>
        <w:rPr>
          <w:rFonts w:asciiTheme="majorHAnsi" w:hAnsiTheme="majorHAnsi" w:cs="Arial"/>
          <w:sz w:val="20"/>
          <w:szCs w:val="20"/>
        </w:rPr>
        <w:t xml:space="preserve">          </w:t>
      </w:r>
      <w:r w:rsidRPr="00727450">
        <w:rPr>
          <w:rFonts w:asciiTheme="majorHAnsi" w:hAnsiTheme="majorHAnsi" w:cs="Arial"/>
          <w:sz w:val="20"/>
          <w:szCs w:val="20"/>
        </w:rPr>
        <w:t xml:space="preserve">                 </w:t>
      </w:r>
      <w:r w:rsidRPr="00727450">
        <w:rPr>
          <w:rFonts w:asciiTheme="majorHAnsi" w:hAnsiTheme="majorHAnsi" w:cs="Arial"/>
          <w:sz w:val="20"/>
          <w:szCs w:val="20"/>
          <w:lang w:val="es-PE"/>
        </w:rPr>
        <w:t>Jefa de Gabinete de la Secretaría Ejecutiva</w:t>
      </w:r>
    </w:p>
    <w:p w14:paraId="19BFA833" w14:textId="77777777" w:rsidR="00727450" w:rsidRPr="00727450" w:rsidRDefault="00727450" w:rsidP="00727450">
      <w:pPr>
        <w:suppressAutoHyphens/>
        <w:rPr>
          <w:rFonts w:asciiTheme="majorHAnsi" w:hAnsiTheme="majorHAnsi" w:cs="Arial"/>
          <w:sz w:val="20"/>
          <w:szCs w:val="20"/>
        </w:rPr>
      </w:pPr>
    </w:p>
    <w:p w14:paraId="0F2AD9B1" w14:textId="77777777" w:rsidR="00CA08FD" w:rsidRPr="00727450" w:rsidRDefault="00CA08FD" w:rsidP="00CA08FD">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sectPr w:rsidR="00CA08FD" w:rsidRPr="00727450" w:rsidSect="00FC5E2A">
      <w:headerReference w:type="even" r:id="rId8"/>
      <w:headerReference w:type="default" r:id="rId9"/>
      <w:footerReference w:type="default" r:id="rId10"/>
      <w:footerReference w:type="first" r:id="rId11"/>
      <w:type w:val="oddPage"/>
      <w:pgSz w:w="12240" w:h="15840"/>
      <w:pgMar w:top="1440" w:right="900" w:bottom="1440" w:left="1276" w:header="720" w:footer="720" w:gutter="0"/>
      <w:pgNumType w:start="1"/>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4D8E35" w16cid:durableId="1F849DE2"/>
  <w16cid:commentId w16cid:paraId="27556331" w16cid:durableId="1F849DE3"/>
  <w16cid:commentId w16cid:paraId="11CB23C6" w16cid:durableId="1F849DE4"/>
  <w16cid:commentId w16cid:paraId="392815A8" w16cid:durableId="1F849DE5"/>
  <w16cid:commentId w16cid:paraId="51D3A6BF" w16cid:durableId="1F849DE6"/>
  <w16cid:commentId w16cid:paraId="3FB0C9A0" w16cid:durableId="1F849DE7"/>
  <w16cid:commentId w16cid:paraId="029155F4" w16cid:durableId="1F849EEE"/>
  <w16cid:commentId w16cid:paraId="514C35A7" w16cid:durableId="1F84ADBD"/>
  <w16cid:commentId w16cid:paraId="3E93AEFE" w16cid:durableId="1F84C297"/>
  <w16cid:commentId w16cid:paraId="6DCA0770" w16cid:durableId="1F84ABA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AFD064" w14:textId="77777777" w:rsidR="00FE40BE" w:rsidRDefault="00FE40BE">
      <w:r>
        <w:separator/>
      </w:r>
    </w:p>
  </w:endnote>
  <w:endnote w:type="continuationSeparator" w:id="0">
    <w:p w14:paraId="5A98F739" w14:textId="77777777" w:rsidR="00FE40BE" w:rsidRDefault="00FE4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NewRoman">
    <w:altName w:val="Cambria"/>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548532"/>
      <w:docPartObj>
        <w:docPartGallery w:val="Page Numbers (Bottom of Page)"/>
        <w:docPartUnique/>
      </w:docPartObj>
    </w:sdtPr>
    <w:sdtEndPr>
      <w:rPr>
        <w:noProof/>
        <w:sz w:val="16"/>
        <w:szCs w:val="22"/>
      </w:rPr>
    </w:sdtEndPr>
    <w:sdtContent>
      <w:p w14:paraId="2EDAF7F9" w14:textId="2B298142" w:rsidR="006B16F4" w:rsidRPr="00934A2C" w:rsidRDefault="006B16F4">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FE40BE">
          <w:rPr>
            <w:noProof/>
            <w:sz w:val="16"/>
            <w:szCs w:val="22"/>
          </w:rPr>
          <w:t>1</w:t>
        </w:r>
        <w:r w:rsidRPr="00934A2C">
          <w:rPr>
            <w:noProof/>
            <w:sz w:val="16"/>
            <w:szCs w:val="22"/>
          </w:rPr>
          <w:fldChar w:fldCharType="end"/>
        </w:r>
      </w:p>
    </w:sdtContent>
  </w:sdt>
  <w:p w14:paraId="2167DB68" w14:textId="77777777" w:rsidR="006B16F4" w:rsidRDefault="006B16F4">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617FA" w14:textId="77777777" w:rsidR="006B16F4" w:rsidRPr="00934A2C" w:rsidRDefault="006B16F4">
    <w:pPr>
      <w:pStyle w:val="Piedepgina"/>
      <w:jc w:val="center"/>
      <w:rPr>
        <w:sz w:val="16"/>
        <w:szCs w:val="22"/>
      </w:rPr>
    </w:pPr>
  </w:p>
  <w:p w14:paraId="02A2BB53" w14:textId="77777777" w:rsidR="006B16F4" w:rsidRDefault="006B16F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B6D56D" w14:textId="77777777" w:rsidR="00FE40BE" w:rsidRPr="000F35ED" w:rsidRDefault="00FE40BE">
      <w:pPr>
        <w:rPr>
          <w:rFonts w:asciiTheme="majorHAnsi" w:hAnsiTheme="majorHAnsi"/>
          <w:sz w:val="16"/>
          <w:szCs w:val="16"/>
        </w:rPr>
      </w:pPr>
      <w:r w:rsidRPr="000F35ED">
        <w:rPr>
          <w:rFonts w:asciiTheme="majorHAnsi" w:hAnsiTheme="majorHAnsi"/>
          <w:sz w:val="16"/>
          <w:szCs w:val="16"/>
        </w:rPr>
        <w:separator/>
      </w:r>
    </w:p>
  </w:footnote>
  <w:footnote w:type="continuationSeparator" w:id="0">
    <w:p w14:paraId="4A7B2FAD" w14:textId="77777777" w:rsidR="00FE40BE" w:rsidRPr="000F35ED" w:rsidRDefault="00FE40BE" w:rsidP="000F35ED">
      <w:pPr>
        <w:rPr>
          <w:rFonts w:asciiTheme="majorHAnsi" w:hAnsiTheme="majorHAnsi"/>
          <w:sz w:val="16"/>
          <w:szCs w:val="16"/>
        </w:rPr>
      </w:pPr>
      <w:r w:rsidRPr="000F35ED">
        <w:rPr>
          <w:rFonts w:asciiTheme="majorHAnsi" w:hAnsiTheme="majorHAnsi"/>
          <w:sz w:val="16"/>
          <w:szCs w:val="16"/>
        </w:rPr>
        <w:separator/>
      </w:r>
    </w:p>
    <w:p w14:paraId="72E0EF6A" w14:textId="77777777" w:rsidR="00FE40BE" w:rsidRPr="000F35ED" w:rsidRDefault="00FE40BE" w:rsidP="000F35ED">
      <w:pPr>
        <w:pStyle w:val="Piedepgina"/>
        <w:rPr>
          <w:rFonts w:asciiTheme="majorHAnsi" w:hAnsiTheme="majorHAnsi"/>
          <w:sz w:val="16"/>
          <w:szCs w:val="16"/>
        </w:rPr>
      </w:pPr>
      <w:r>
        <w:rPr>
          <w:rFonts w:asciiTheme="majorHAnsi" w:hAnsiTheme="majorHAnsi"/>
          <w:sz w:val="16"/>
          <w:szCs w:val="16"/>
        </w:rPr>
        <w:t>[… c</w:t>
      </w:r>
      <w:r w:rsidRPr="000F35ED">
        <w:rPr>
          <w:rFonts w:asciiTheme="majorHAnsi" w:hAnsiTheme="majorHAnsi"/>
          <w:sz w:val="16"/>
          <w:szCs w:val="16"/>
        </w:rPr>
        <w:t>ontinuación</w:t>
      </w:r>
      <w:r>
        <w:rPr>
          <w:rFonts w:asciiTheme="majorHAnsi" w:hAnsiTheme="majorHAnsi"/>
          <w:sz w:val="16"/>
          <w:szCs w:val="16"/>
        </w:rPr>
        <w:t>]</w:t>
      </w:r>
    </w:p>
  </w:footnote>
  <w:footnote w:type="continuationNotice" w:id="1">
    <w:p w14:paraId="4F2A5C5A" w14:textId="77777777" w:rsidR="00FE40BE" w:rsidRPr="000F35ED" w:rsidRDefault="00FE40BE" w:rsidP="000F35ED">
      <w:pPr>
        <w:jc w:val="right"/>
        <w:rPr>
          <w:rFonts w:asciiTheme="majorHAnsi" w:hAnsiTheme="majorHAnsi"/>
          <w:sz w:val="16"/>
          <w:szCs w:val="16"/>
          <w:lang w:val="es-ES"/>
        </w:rPr>
      </w:pPr>
      <w:r>
        <w:rPr>
          <w:rFonts w:asciiTheme="majorHAnsi" w:hAnsiTheme="majorHAnsi"/>
          <w:sz w:val="16"/>
          <w:szCs w:val="16"/>
          <w:lang w:val="es-ES"/>
        </w:rPr>
        <w:t>[c</w:t>
      </w:r>
      <w:r w:rsidRPr="000F35ED">
        <w:rPr>
          <w:rFonts w:asciiTheme="majorHAnsi" w:hAnsiTheme="majorHAnsi"/>
          <w:sz w:val="16"/>
          <w:szCs w:val="16"/>
          <w:lang w:val="es-ES"/>
        </w:rPr>
        <w:t>ontinúa…</w:t>
      </w:r>
      <w:r>
        <w:rPr>
          <w:rFonts w:asciiTheme="majorHAnsi" w:hAnsiTheme="majorHAnsi"/>
          <w:sz w:val="16"/>
          <w:szCs w:val="16"/>
          <w:lang w:val="es-ES"/>
        </w:rPr>
        <w:t>]</w:t>
      </w:r>
    </w:p>
  </w:footnote>
  <w:footnote w:id="2">
    <w:p w14:paraId="64712A47" w14:textId="77777777" w:rsidR="006B16F4" w:rsidRPr="007608B0" w:rsidRDefault="006B16F4" w:rsidP="006E7B50">
      <w:pPr>
        <w:pStyle w:val="Textonotapie"/>
        <w:contextualSpacing/>
        <w:jc w:val="both"/>
        <w:rPr>
          <w:szCs w:val="16"/>
          <w:lang w:val="es-CO"/>
        </w:rPr>
      </w:pPr>
      <w:r w:rsidRPr="007608B0">
        <w:rPr>
          <w:rStyle w:val="Refdenotaalpie"/>
          <w:szCs w:val="16"/>
          <w:lang w:val="es-CO"/>
        </w:rPr>
        <w:footnoteRef/>
      </w:r>
      <w:r w:rsidRPr="007608B0">
        <w:rPr>
          <w:szCs w:val="16"/>
          <w:lang w:val="es-CO"/>
        </w:rPr>
        <w:t xml:space="preserve"> Con posterioridad el Centro por la Justicia y el Derecho Internacional (CEJIL) se incorporó como parte peticionaria.</w:t>
      </w:r>
    </w:p>
  </w:footnote>
  <w:footnote w:id="3">
    <w:p w14:paraId="646FDC7A" w14:textId="77777777" w:rsidR="006B16F4" w:rsidRPr="007608B0" w:rsidRDefault="006B16F4" w:rsidP="006E7B50">
      <w:pPr>
        <w:pStyle w:val="Textonotapie"/>
        <w:contextualSpacing/>
        <w:jc w:val="both"/>
        <w:rPr>
          <w:szCs w:val="16"/>
          <w:lang w:val="es-CO"/>
        </w:rPr>
      </w:pPr>
      <w:r w:rsidRPr="007608B0">
        <w:rPr>
          <w:rStyle w:val="Refdenotaalpie"/>
          <w:color w:val="auto"/>
          <w:szCs w:val="16"/>
          <w:lang w:val="es-CO"/>
        </w:rPr>
        <w:footnoteRef/>
      </w:r>
      <w:r w:rsidRPr="007608B0">
        <w:rPr>
          <w:szCs w:val="16"/>
          <w:lang w:val="es-CO"/>
        </w:rPr>
        <w:t xml:space="preserve"> CIDH. Informe No. 4/11. </w:t>
      </w:r>
      <w:r>
        <w:rPr>
          <w:szCs w:val="16"/>
          <w:lang w:val="es-CO"/>
        </w:rPr>
        <w:t xml:space="preserve">Admisibilidad. </w:t>
      </w:r>
      <w:r w:rsidRPr="007608B0">
        <w:rPr>
          <w:szCs w:val="16"/>
          <w:lang w:val="es-CO"/>
        </w:rPr>
        <w:t xml:space="preserve">Caso 12.805. Jimmy Rafael Guerrero Meléndez y Ramón Antonio Molina Pérez y Familia. Venezuela. 19 de febrero de 2011.  </w:t>
      </w:r>
      <w:r>
        <w:rPr>
          <w:szCs w:val="16"/>
          <w:lang w:val="es-CO"/>
        </w:rPr>
        <w:t xml:space="preserve">La Comisión declaró admisibles los artículos 4, 5, 7, 8 y 25 de la Convención Americana y los artículos 2, 6 y 8 de la Convención Interamericana para Prevenir y Sancionar la Tortura. </w:t>
      </w:r>
    </w:p>
  </w:footnote>
  <w:footnote w:id="4">
    <w:p w14:paraId="326A29BC" w14:textId="2C535BB1" w:rsidR="006B16F4" w:rsidRPr="007608B0" w:rsidRDefault="006B16F4" w:rsidP="00347947">
      <w:pPr>
        <w:pStyle w:val="Textonotapie"/>
        <w:contextualSpacing/>
        <w:jc w:val="both"/>
        <w:rPr>
          <w:szCs w:val="16"/>
          <w:lang w:val="es-CO"/>
        </w:rPr>
      </w:pPr>
      <w:r w:rsidRPr="007608B0">
        <w:rPr>
          <w:rStyle w:val="Refdenotaalpie"/>
          <w:szCs w:val="16"/>
          <w:lang w:val="es-CO"/>
        </w:rPr>
        <w:footnoteRef/>
      </w:r>
      <w:r w:rsidRPr="0073270A">
        <w:rPr>
          <w:szCs w:val="16"/>
          <w:lang w:val="pt-BR"/>
        </w:rPr>
        <w:t xml:space="preserve"> </w:t>
      </w:r>
      <w:r>
        <w:rPr>
          <w:szCs w:val="16"/>
          <w:lang w:val="pt-BR"/>
        </w:rPr>
        <w:t xml:space="preserve">Anexo 1. </w:t>
      </w:r>
      <w:r w:rsidRPr="0073270A">
        <w:rPr>
          <w:szCs w:val="16"/>
          <w:lang w:val="pt-BR"/>
        </w:rPr>
        <w:t xml:space="preserve">Ministerio Público. Informe Anual 2006. </w:t>
      </w:r>
      <w:r w:rsidRPr="007608B0">
        <w:rPr>
          <w:szCs w:val="16"/>
          <w:lang w:val="es-CO"/>
        </w:rPr>
        <w:t>Presentación del Fiscal General de la República, despacho del Fiscal General de la República</w:t>
      </w:r>
      <w:r>
        <w:rPr>
          <w:szCs w:val="16"/>
          <w:lang w:val="es-CO"/>
        </w:rPr>
        <w:t xml:space="preserve">. Anexo a la petición inicial. </w:t>
      </w:r>
      <w:r w:rsidRPr="007608B0">
        <w:rPr>
          <w:szCs w:val="16"/>
          <w:lang w:val="es-CO"/>
        </w:rPr>
        <w:t xml:space="preserve">Ver también: Defensoría del Pueblo de Venezuela. </w:t>
      </w:r>
      <w:hyperlink r:id="rId1" w:history="1">
        <w:r w:rsidRPr="00AB6BE5">
          <w:rPr>
            <w:rStyle w:val="Hipervnculo"/>
            <w:szCs w:val="16"/>
            <w:lang w:val="es-CO"/>
          </w:rPr>
          <w:t>Informe: Ajusticiamientos y Desapariciones Forzadas.</w:t>
        </w:r>
      </w:hyperlink>
      <w:r>
        <w:rPr>
          <w:szCs w:val="16"/>
          <w:lang w:val="es-CO"/>
        </w:rPr>
        <w:t xml:space="preserve"> Anuario 2001</w:t>
      </w:r>
      <w:r w:rsidRPr="007608B0">
        <w:rPr>
          <w:szCs w:val="16"/>
          <w:lang w:val="es-CO"/>
        </w:rPr>
        <w:t xml:space="preserve">; Informe Anual 2002 de la Defensoría del Pueblo de la República Bolivariana de Venezuela; Informe Anual 2003 de la Defensoría del Pueblo de la República Bolivariana de Venezuela; Informe de la Defensoría del Pueblo, Anuario 2003; Informe de la Defensoría del Pueblo, Anuario 2006; Discurso del Fiscal General de la República con motivo de la entrega del Informe Anual de Gestión del año 2005. 25 de abril de 2006; Comisión Nacional para la Reforma Policial (CONAREPOL). Características de la Policía Venezolana Informe Anual del Fiscal de la República de 2007. </w:t>
      </w:r>
    </w:p>
  </w:footnote>
  <w:footnote w:id="5">
    <w:p w14:paraId="2DCFDCFA" w14:textId="77777777" w:rsidR="006B16F4" w:rsidRPr="0073270A" w:rsidRDefault="006B16F4" w:rsidP="00347947">
      <w:pPr>
        <w:pStyle w:val="Textonotapie"/>
        <w:contextualSpacing/>
        <w:jc w:val="both"/>
        <w:rPr>
          <w:szCs w:val="16"/>
          <w:lang w:val="es-ES"/>
        </w:rPr>
      </w:pPr>
      <w:r w:rsidRPr="007608B0">
        <w:rPr>
          <w:rStyle w:val="Refdenotaalpie"/>
          <w:szCs w:val="16"/>
          <w:lang w:val="es-CO"/>
        </w:rPr>
        <w:footnoteRef/>
      </w:r>
      <w:r>
        <w:rPr>
          <w:szCs w:val="16"/>
          <w:lang w:val="es-CO"/>
        </w:rPr>
        <w:t xml:space="preserve"> </w:t>
      </w:r>
      <w:r w:rsidRPr="007608B0">
        <w:rPr>
          <w:szCs w:val="16"/>
          <w:lang w:val="es-CO"/>
        </w:rPr>
        <w:t xml:space="preserve">Amnistía Internacional. Venezuela. </w:t>
      </w:r>
      <w:hyperlink r:id="rId2" w:history="1">
        <w:r w:rsidRPr="00AB6BE5">
          <w:rPr>
            <w:rStyle w:val="Hipervnculo"/>
            <w:szCs w:val="16"/>
            <w:lang w:val="es-CO"/>
          </w:rPr>
          <w:t>LA PROTECCIÓN DE LOS DERECHOS HUMANOS. UNA TAREA INCONCLUSA.</w:t>
        </w:r>
      </w:hyperlink>
    </w:p>
  </w:footnote>
  <w:footnote w:id="6">
    <w:p w14:paraId="1A5D27D5" w14:textId="77777777" w:rsidR="006B16F4" w:rsidRPr="007608B0" w:rsidRDefault="006B16F4" w:rsidP="00347947">
      <w:pPr>
        <w:pStyle w:val="Textonotapie"/>
        <w:contextualSpacing/>
        <w:jc w:val="both"/>
        <w:rPr>
          <w:szCs w:val="16"/>
          <w:lang w:val="es-CO"/>
        </w:rPr>
      </w:pPr>
      <w:r w:rsidRPr="007608B0">
        <w:rPr>
          <w:rStyle w:val="Refdenotaalpie"/>
          <w:szCs w:val="16"/>
          <w:lang w:val="es-CO"/>
        </w:rPr>
        <w:footnoteRef/>
      </w:r>
      <w:r w:rsidRPr="007608B0">
        <w:rPr>
          <w:szCs w:val="16"/>
          <w:lang w:val="es-CO"/>
        </w:rPr>
        <w:t xml:space="preserve"> </w:t>
      </w:r>
      <w:r>
        <w:rPr>
          <w:szCs w:val="16"/>
          <w:lang w:val="es-CO"/>
        </w:rPr>
        <w:t>P</w:t>
      </w:r>
      <w:r w:rsidRPr="007608B0">
        <w:rPr>
          <w:szCs w:val="16"/>
          <w:lang w:val="es-CO"/>
        </w:rPr>
        <w:t xml:space="preserve">ROVEA. Informes Anuales disponibles en: </w:t>
      </w:r>
      <w:hyperlink r:id="rId3" w:history="1">
        <w:r w:rsidRPr="007608B0">
          <w:rPr>
            <w:rStyle w:val="Hipervnculo"/>
            <w:szCs w:val="16"/>
            <w:lang w:val="es-CO"/>
          </w:rPr>
          <w:t>https://www.derechos.org.ve/</w:t>
        </w:r>
      </w:hyperlink>
      <w:r w:rsidRPr="007608B0">
        <w:rPr>
          <w:szCs w:val="16"/>
          <w:lang w:val="es-CO"/>
        </w:rPr>
        <w:t xml:space="preserve">; Anexo 1. </w:t>
      </w:r>
      <w:hyperlink r:id="rId4" w:history="1">
        <w:r w:rsidRPr="00AB6BE5">
          <w:rPr>
            <w:rStyle w:val="Hipervnculo"/>
            <w:szCs w:val="16"/>
            <w:lang w:val="es-CO"/>
          </w:rPr>
          <w:t>COFAVIC/Los grupos parapoliciales en Venezuela, 2005, págs. 28-33</w:t>
        </w:r>
      </w:hyperlink>
      <w:r w:rsidRPr="007608B0">
        <w:rPr>
          <w:szCs w:val="16"/>
          <w:lang w:val="es-CO"/>
        </w:rPr>
        <w:t xml:space="preserve">; Anexo 3. </w:t>
      </w:r>
      <w:r w:rsidRPr="007608B0">
        <w:rPr>
          <w:rFonts w:cs="Arial"/>
          <w:szCs w:val="16"/>
          <w:lang w:val="es-CO"/>
        </w:rPr>
        <w:t xml:space="preserve">Balance de la Situación de los Derechos Humanos en el Estado Aragua entre julio de 1996 y marzo de 2003, preparado por la Comisión de Derechos Humanos, Justicia y Paz del Estado Aragua; y Anexo 2. Informe elaborado por la </w:t>
      </w:r>
      <w:r w:rsidRPr="007608B0">
        <w:rPr>
          <w:szCs w:val="16"/>
          <w:lang w:val="es-CO"/>
        </w:rPr>
        <w:t xml:space="preserve">Comisión Nacional para la Reforma Policial (CONAREPOL). Características de la Policía Venezolana. 2007. Citados en: Corte IDH. </w:t>
      </w:r>
      <w:r w:rsidRPr="007608B0">
        <w:rPr>
          <w:i/>
          <w:szCs w:val="16"/>
          <w:lang w:val="es-CO"/>
        </w:rPr>
        <w:t>Caso Hermanos Landaeta Mejías y otros vs. Venezuela</w:t>
      </w:r>
      <w:r w:rsidRPr="007608B0">
        <w:rPr>
          <w:szCs w:val="16"/>
          <w:lang w:val="es-CO"/>
        </w:rPr>
        <w:t xml:space="preserve">. Excepciones Preliminares, Fondo, Reparaciones y Costas. Sentencia de 27 de agosto de 2014. Serie C No. 281, párrs. 47-55. </w:t>
      </w:r>
    </w:p>
  </w:footnote>
  <w:footnote w:id="7">
    <w:p w14:paraId="02CDD506" w14:textId="77777777" w:rsidR="006B16F4" w:rsidRPr="007608B0" w:rsidRDefault="006B16F4" w:rsidP="00347947">
      <w:pPr>
        <w:pStyle w:val="Textonotapie"/>
        <w:contextualSpacing/>
        <w:jc w:val="both"/>
        <w:rPr>
          <w:bCs/>
          <w:szCs w:val="16"/>
          <w:lang w:val="es-CO"/>
        </w:rPr>
      </w:pPr>
      <w:r w:rsidRPr="007608B0">
        <w:rPr>
          <w:rStyle w:val="Refdenotaalpie"/>
          <w:szCs w:val="16"/>
          <w:lang w:val="es-CO"/>
        </w:rPr>
        <w:footnoteRef/>
      </w:r>
      <w:r w:rsidRPr="007608B0">
        <w:rPr>
          <w:szCs w:val="16"/>
          <w:lang w:val="es-CO"/>
        </w:rPr>
        <w:t xml:space="preserve"> Relator Especial de Naciones Unidas sobre las ejecuciones extrajudiciales, sumarias o </w:t>
      </w:r>
      <w:r w:rsidRPr="007608B0">
        <w:rPr>
          <w:rFonts w:cs="Arial"/>
          <w:szCs w:val="16"/>
          <w:lang w:val="es-CO"/>
        </w:rPr>
        <w:t>arbitrarias</w:t>
      </w:r>
      <w:r w:rsidRPr="007608B0">
        <w:rPr>
          <w:szCs w:val="16"/>
          <w:lang w:val="es-CO"/>
        </w:rPr>
        <w:t xml:space="preserve">. Informes ante la Comisión de Derechos Humanos: E-CN.4-1994-7; </w:t>
      </w:r>
      <w:r w:rsidRPr="007608B0">
        <w:rPr>
          <w:rFonts w:cs="Courier"/>
          <w:szCs w:val="16"/>
          <w:lang w:val="es-CO"/>
        </w:rPr>
        <w:t xml:space="preserve">E/CN.4/1998/68/Add.1; </w:t>
      </w:r>
      <w:r w:rsidRPr="007608B0">
        <w:rPr>
          <w:rFonts w:cs="Courier New"/>
          <w:szCs w:val="16"/>
          <w:lang w:val="es-CO"/>
        </w:rPr>
        <w:t xml:space="preserve">E/CN.4/1999/39/Add.1; </w:t>
      </w:r>
      <w:r w:rsidRPr="007608B0">
        <w:rPr>
          <w:szCs w:val="16"/>
          <w:lang w:val="es-CO"/>
        </w:rPr>
        <w:t>E/CN.4/2001/9/Add.1; E/CN.4</w:t>
      </w:r>
      <w:r w:rsidRPr="007608B0">
        <w:rPr>
          <w:bCs/>
          <w:szCs w:val="16"/>
          <w:lang w:val="es-CO"/>
        </w:rPr>
        <w:t>/</w:t>
      </w:r>
      <w:r w:rsidRPr="007608B0">
        <w:rPr>
          <w:szCs w:val="16"/>
          <w:lang w:val="es-CO"/>
        </w:rPr>
        <w:t xml:space="preserve">2003/3/Add.1; </w:t>
      </w:r>
      <w:r w:rsidRPr="007608B0">
        <w:rPr>
          <w:rFonts w:cs="TimesNewRoman"/>
          <w:szCs w:val="16"/>
          <w:lang w:val="es-CO"/>
        </w:rPr>
        <w:t>E/CN.4/2004/7/Add.1</w:t>
      </w:r>
      <w:hyperlink r:id="rId5" w:history="1">
        <w:r w:rsidRPr="0033594A">
          <w:rPr>
            <w:rStyle w:val="Hipervnculo"/>
            <w:rFonts w:cs="TimesNewRoman"/>
            <w:szCs w:val="16"/>
            <w:lang w:val="es-CO"/>
          </w:rPr>
          <w:t>. Informes ante la Asamblea General de Naciones Unidas,</w:t>
        </w:r>
        <w:r w:rsidRPr="0033594A">
          <w:rPr>
            <w:rStyle w:val="Hipervnculo"/>
            <w:szCs w:val="16"/>
            <w:lang w:val="es-CO"/>
          </w:rPr>
          <w:t xml:space="preserve"> ver: A/55/288, de 11 de agosto de 2000.</w:t>
        </w:r>
      </w:hyperlink>
      <w:r>
        <w:rPr>
          <w:szCs w:val="16"/>
          <w:lang w:val="es-CO"/>
        </w:rPr>
        <w:t xml:space="preserve"> Dis</w:t>
      </w:r>
    </w:p>
  </w:footnote>
  <w:footnote w:id="8">
    <w:p w14:paraId="2D71F4F6" w14:textId="77777777" w:rsidR="006B16F4" w:rsidRPr="007608B0" w:rsidRDefault="006B16F4" w:rsidP="00347947">
      <w:pPr>
        <w:pStyle w:val="Textonotapie"/>
        <w:contextualSpacing/>
        <w:jc w:val="both"/>
        <w:rPr>
          <w:szCs w:val="16"/>
          <w:lang w:val="es-CO"/>
        </w:rPr>
      </w:pPr>
      <w:r w:rsidRPr="007608B0">
        <w:rPr>
          <w:rStyle w:val="Refdenotaalpie"/>
          <w:szCs w:val="16"/>
          <w:lang w:val="es-CO"/>
        </w:rPr>
        <w:footnoteRef/>
      </w:r>
      <w:r w:rsidRPr="007608B0">
        <w:rPr>
          <w:szCs w:val="16"/>
          <w:lang w:val="es-CO"/>
        </w:rPr>
        <w:t xml:space="preserve"> </w:t>
      </w:r>
      <w:r>
        <w:rPr>
          <w:szCs w:val="16"/>
          <w:lang w:val="es-CO"/>
        </w:rPr>
        <w:t>UN CCPR. Observaciones finales del Comité de Derechos Humanos. VENEZUELA. CCPR/CO/71/VEN. 26 de abril de 2001. Párr. 7.</w:t>
      </w:r>
    </w:p>
  </w:footnote>
  <w:footnote w:id="9">
    <w:p w14:paraId="07CF5A8A" w14:textId="77777777" w:rsidR="006B16F4" w:rsidRPr="00587C3F" w:rsidRDefault="006B16F4" w:rsidP="006B366A">
      <w:pPr>
        <w:pStyle w:val="Textonotapie"/>
        <w:contextualSpacing/>
        <w:jc w:val="both"/>
        <w:rPr>
          <w:szCs w:val="16"/>
          <w:lang w:val="es-CO"/>
        </w:rPr>
      </w:pPr>
      <w:r w:rsidRPr="00587C3F">
        <w:rPr>
          <w:rStyle w:val="Refdenotaalpie"/>
          <w:szCs w:val="16"/>
          <w:lang w:val="es-CO"/>
        </w:rPr>
        <w:footnoteRef/>
      </w:r>
      <w:r w:rsidRPr="004004D7">
        <w:rPr>
          <w:szCs w:val="16"/>
          <w:lang w:val="es-ES"/>
        </w:rPr>
        <w:t xml:space="preserve"> Ver: CIDH. Informe Anual de 2005. </w:t>
      </w:r>
      <w:r w:rsidRPr="00587C3F">
        <w:rPr>
          <w:szCs w:val="16"/>
          <w:lang w:val="es-VE"/>
        </w:rPr>
        <w:t xml:space="preserve">Capítulo IV sobre Venezuela. Apartado sobre la situación de impunidad, en particular frente al caso de ejecuciones extrajudiciales; </w:t>
      </w:r>
      <w:r w:rsidRPr="00587C3F">
        <w:rPr>
          <w:szCs w:val="16"/>
          <w:lang w:val="es-CO"/>
        </w:rPr>
        <w:t xml:space="preserve">CIDH. Informe Anual de 2004. Capítulo V. </w:t>
      </w:r>
      <w:r w:rsidRPr="00587C3F">
        <w:rPr>
          <w:i/>
          <w:szCs w:val="16"/>
          <w:lang w:val="es-CO"/>
        </w:rPr>
        <w:t>Informe de seguimiento sobre el cumplimiento por el Estado de la República Bolivariana de Venezuela de las recomendaciones efectuadas por la CIDH en el Informe sobre la Situación de Derechos Humanos en Venezuela</w:t>
      </w:r>
      <w:r w:rsidRPr="00587C3F">
        <w:rPr>
          <w:szCs w:val="16"/>
          <w:lang w:val="es-CO"/>
        </w:rPr>
        <w:t xml:space="preserve"> (2003), párr. 144; y CIDH. </w:t>
      </w:r>
      <w:r w:rsidRPr="00587C3F">
        <w:rPr>
          <w:i/>
          <w:szCs w:val="16"/>
          <w:lang w:val="es-CO"/>
        </w:rPr>
        <w:t>Informe sobre la situación de derechos humanos en Venezuela</w:t>
      </w:r>
      <w:r w:rsidRPr="00587C3F">
        <w:rPr>
          <w:szCs w:val="16"/>
          <w:lang w:val="es-CO"/>
        </w:rPr>
        <w:t xml:space="preserve">, 24 de octubre de 2003, párrs. 321 – 343. En los años subsiguientes, la CIDH ha continuado dando seguimiento a esta grave problemática tanto en su informe sobre </w:t>
      </w:r>
      <w:r w:rsidRPr="00587C3F">
        <w:rPr>
          <w:i/>
          <w:szCs w:val="16"/>
          <w:lang w:val="es-CO"/>
        </w:rPr>
        <w:t>Democracia y Derechos Humanos en Venezuela</w:t>
      </w:r>
      <w:r w:rsidRPr="00587C3F">
        <w:rPr>
          <w:szCs w:val="16"/>
          <w:lang w:val="es-CO"/>
        </w:rPr>
        <w:t xml:space="preserve"> del año 2009, como a través de audiencias públicas, en sus informes anuales y casos individuales, verificando que hasta la actualidad, persisten las denuncias sobre la existencia de este fenómeno en Venezuela. Ver: CIDH. </w:t>
      </w:r>
      <w:r w:rsidRPr="00587C3F">
        <w:rPr>
          <w:i/>
          <w:szCs w:val="16"/>
          <w:lang w:val="es-CO"/>
        </w:rPr>
        <w:t>Democracia y Derechos Humanos en Venezuela</w:t>
      </w:r>
      <w:r w:rsidRPr="00587C3F">
        <w:rPr>
          <w:szCs w:val="16"/>
          <w:lang w:val="es-CO"/>
        </w:rPr>
        <w:t xml:space="preserve">. 30 de diciembre de 2009, párrs. 35, 756 y 789; CIDH, Informe Anual de 2016. Capítulo IV sobre Venezuela. Apartado sobre Situación de seguridad ciudadana; CIDH. Informe Anual de 2015. Capítulo IV sobre Venezuela. Apartado sobre situación de violencia y seguridad ciudadana; CIDH, Informe Anual de 2013. Capítulo IV sobre Venezuela. Apartado sobre Alegada violencia por parte de miembros de la Fuerza Pública; y CIDH. </w:t>
      </w:r>
      <w:r w:rsidRPr="00587C3F">
        <w:rPr>
          <w:i/>
          <w:szCs w:val="16"/>
          <w:lang w:val="es-CO"/>
        </w:rPr>
        <w:t>Institucionalidad democrática, Estado de Derecho y derechos humanos en Venezuela</w:t>
      </w:r>
      <w:r w:rsidRPr="00587C3F">
        <w:rPr>
          <w:szCs w:val="16"/>
          <w:lang w:val="es-CO"/>
        </w:rPr>
        <w:t xml:space="preserve">. Informe de país. 31 de diciembre de 2017.  </w:t>
      </w:r>
    </w:p>
  </w:footnote>
  <w:footnote w:id="10">
    <w:p w14:paraId="38D10A18" w14:textId="77777777" w:rsidR="006B16F4" w:rsidRPr="007608B0" w:rsidRDefault="006B16F4" w:rsidP="008E6940">
      <w:pPr>
        <w:pStyle w:val="Textonotapie"/>
        <w:contextualSpacing/>
        <w:jc w:val="both"/>
        <w:rPr>
          <w:szCs w:val="16"/>
          <w:lang w:val="es-CO"/>
        </w:rPr>
      </w:pPr>
      <w:r w:rsidRPr="007608B0">
        <w:rPr>
          <w:rStyle w:val="Refdenotaalpie"/>
          <w:szCs w:val="16"/>
          <w:lang w:val="es-CO"/>
        </w:rPr>
        <w:footnoteRef/>
      </w:r>
      <w:r w:rsidRPr="004004D7">
        <w:rPr>
          <w:szCs w:val="16"/>
          <w:lang w:val="es-ES"/>
        </w:rPr>
        <w:t xml:space="preserve"> Ver: CIDH. </w:t>
      </w:r>
      <w:r w:rsidRPr="007608B0">
        <w:rPr>
          <w:i/>
          <w:szCs w:val="16"/>
          <w:lang w:val="es-CO"/>
        </w:rPr>
        <w:t>Informe sobre la situación de derechos humanos en Venezuela</w:t>
      </w:r>
      <w:r w:rsidRPr="007608B0">
        <w:rPr>
          <w:szCs w:val="16"/>
          <w:lang w:val="es-CO"/>
        </w:rPr>
        <w:t>, 24 de octubre de 2003, párrs. 321 – 343.</w:t>
      </w:r>
    </w:p>
  </w:footnote>
  <w:footnote w:id="11">
    <w:p w14:paraId="467D09C5" w14:textId="77777777" w:rsidR="006B16F4" w:rsidRPr="007608B0" w:rsidRDefault="006B16F4" w:rsidP="006B366A">
      <w:pPr>
        <w:pStyle w:val="Textonotapie"/>
        <w:contextualSpacing/>
        <w:jc w:val="both"/>
        <w:rPr>
          <w:szCs w:val="16"/>
          <w:lang w:val="es-CO"/>
        </w:rPr>
      </w:pPr>
      <w:r w:rsidRPr="007608B0">
        <w:rPr>
          <w:rStyle w:val="Refdenotaalpie"/>
          <w:szCs w:val="16"/>
          <w:lang w:val="es-CO"/>
        </w:rPr>
        <w:footnoteRef/>
      </w:r>
      <w:r w:rsidRPr="007608B0">
        <w:rPr>
          <w:szCs w:val="16"/>
          <w:lang w:val="es-CO"/>
        </w:rPr>
        <w:t xml:space="preserve"> </w:t>
      </w:r>
      <w:r w:rsidRPr="007608B0">
        <w:rPr>
          <w:rFonts w:cs="Arial"/>
          <w:szCs w:val="16"/>
          <w:lang w:val="es-CO"/>
        </w:rPr>
        <w:t xml:space="preserve">Balance de la Situación de los Derechos Humanos en el Estado Aragua entre julio de 1996 y marzo de 2003, preparado por la Comisión de Derechos Humanos, Justicia y Paz del Estado Aragua. Citado en: CIDH. Informe No. 58/12. Caso 12.606. Fondo. </w:t>
      </w:r>
      <w:r w:rsidRPr="007608B0">
        <w:rPr>
          <w:rFonts w:cs="Arial"/>
          <w:i/>
          <w:szCs w:val="16"/>
          <w:lang w:val="es-CO"/>
        </w:rPr>
        <w:t>Hermanos Landaeta Mejías</w:t>
      </w:r>
      <w:r w:rsidRPr="007608B0">
        <w:rPr>
          <w:rFonts w:cs="Arial"/>
          <w:szCs w:val="16"/>
          <w:lang w:val="es-CO"/>
        </w:rPr>
        <w:t xml:space="preserve">. Venezuela. 21 de marzo de 2012. </w:t>
      </w:r>
    </w:p>
  </w:footnote>
  <w:footnote w:id="12">
    <w:p w14:paraId="45EC963E" w14:textId="77777777" w:rsidR="006B16F4" w:rsidRPr="001B1056" w:rsidRDefault="006B16F4">
      <w:pPr>
        <w:pStyle w:val="Textonotapie"/>
        <w:rPr>
          <w:szCs w:val="16"/>
          <w:lang w:val="es-ES"/>
        </w:rPr>
      </w:pPr>
      <w:r w:rsidRPr="001B1056">
        <w:rPr>
          <w:rStyle w:val="Refdenotaalpie"/>
          <w:szCs w:val="16"/>
        </w:rPr>
        <w:footnoteRef/>
      </w:r>
      <w:r w:rsidRPr="001B1056">
        <w:rPr>
          <w:szCs w:val="16"/>
          <w:lang w:val="es-ES"/>
        </w:rPr>
        <w:t xml:space="preserve"> </w:t>
      </w:r>
      <w:r w:rsidRPr="007608B0">
        <w:rPr>
          <w:szCs w:val="16"/>
          <w:lang w:val="es-CO"/>
        </w:rPr>
        <w:t xml:space="preserve">Ver: </w:t>
      </w:r>
      <w:hyperlink r:id="rId6" w:history="1">
        <w:r>
          <w:rPr>
            <w:rStyle w:val="Hipervnculo"/>
            <w:szCs w:val="16"/>
            <w:lang w:val="es-CO"/>
          </w:rPr>
          <w:t>COFAVIC/Los grupos parapoliciales en Venezuela, 2005, pág. 25.</w:t>
        </w:r>
      </w:hyperlink>
    </w:p>
  </w:footnote>
  <w:footnote w:id="13">
    <w:p w14:paraId="204CB3E6" w14:textId="77777777" w:rsidR="006B16F4" w:rsidRPr="007608B0" w:rsidRDefault="006B16F4" w:rsidP="00843162">
      <w:pPr>
        <w:pStyle w:val="Textonotapie"/>
        <w:contextualSpacing/>
        <w:jc w:val="both"/>
        <w:rPr>
          <w:szCs w:val="16"/>
          <w:lang w:val="es-CO"/>
        </w:rPr>
      </w:pPr>
      <w:r w:rsidRPr="007608B0">
        <w:rPr>
          <w:rStyle w:val="Refdenotaalpie"/>
          <w:szCs w:val="16"/>
          <w:lang w:val="es-CO"/>
        </w:rPr>
        <w:footnoteRef/>
      </w:r>
      <w:r>
        <w:rPr>
          <w:szCs w:val="16"/>
          <w:lang w:val="es-CO"/>
        </w:rPr>
        <w:t xml:space="preserve"> </w:t>
      </w:r>
      <w:r w:rsidRPr="007608B0">
        <w:rPr>
          <w:szCs w:val="16"/>
          <w:lang w:val="es-CO"/>
        </w:rPr>
        <w:t xml:space="preserve">Ver: </w:t>
      </w:r>
      <w:hyperlink r:id="rId7" w:history="1">
        <w:r w:rsidRPr="006B366A">
          <w:rPr>
            <w:rStyle w:val="Hipervnculo"/>
            <w:szCs w:val="16"/>
            <w:lang w:val="es-CO"/>
          </w:rPr>
          <w:t>COFAVIC/Los grupos parapoliciales en Venezuela, 2005, págs. 28-33.</w:t>
        </w:r>
      </w:hyperlink>
    </w:p>
  </w:footnote>
  <w:footnote w:id="14">
    <w:p w14:paraId="399E3D32" w14:textId="77777777" w:rsidR="006B16F4" w:rsidRPr="007608B0" w:rsidRDefault="006B16F4" w:rsidP="00843162">
      <w:pPr>
        <w:pStyle w:val="Textonotapie"/>
        <w:contextualSpacing/>
        <w:jc w:val="both"/>
        <w:rPr>
          <w:szCs w:val="16"/>
          <w:lang w:val="es-CO"/>
        </w:rPr>
      </w:pPr>
      <w:r w:rsidRPr="007608B0">
        <w:rPr>
          <w:rStyle w:val="Refdenotaalpie"/>
          <w:szCs w:val="16"/>
          <w:lang w:val="es-CO"/>
        </w:rPr>
        <w:footnoteRef/>
      </w:r>
      <w:r w:rsidRPr="007608B0">
        <w:rPr>
          <w:szCs w:val="16"/>
          <w:lang w:val="es-CO"/>
        </w:rPr>
        <w:t xml:space="preserve">  Ver: </w:t>
      </w:r>
      <w:hyperlink r:id="rId8" w:history="1">
        <w:r w:rsidRPr="006B366A">
          <w:rPr>
            <w:rStyle w:val="Hipervnculo"/>
            <w:szCs w:val="16"/>
            <w:lang w:val="es-CO"/>
          </w:rPr>
          <w:t>Defensoría del Pueblo de Venezuela. Informe: Ajusticiamientos y Desapariciones Forzadas. Anuario 2001.</w:t>
        </w:r>
      </w:hyperlink>
      <w:r>
        <w:rPr>
          <w:szCs w:val="16"/>
          <w:lang w:val="es-CO"/>
        </w:rPr>
        <w:t xml:space="preserve">; </w:t>
      </w:r>
      <w:r w:rsidRPr="007608B0">
        <w:rPr>
          <w:rFonts w:cs="Arial"/>
          <w:szCs w:val="16"/>
          <w:lang w:val="es-CO"/>
        </w:rPr>
        <w:t xml:space="preserve">CIDH. Informe No. 11/10. Caso 12.488. Fondo. Miembros de la Familia Barrios. Venezuela. 16 de marzo de 2010. </w:t>
      </w:r>
    </w:p>
  </w:footnote>
  <w:footnote w:id="15">
    <w:p w14:paraId="069E7B50" w14:textId="5147230A" w:rsidR="006B16F4" w:rsidRPr="007608B0" w:rsidRDefault="006B16F4" w:rsidP="00E76BDE">
      <w:pPr>
        <w:pStyle w:val="Textonotapie"/>
        <w:contextualSpacing/>
        <w:jc w:val="both"/>
        <w:rPr>
          <w:szCs w:val="16"/>
          <w:lang w:val="es-CO"/>
        </w:rPr>
      </w:pPr>
      <w:r w:rsidRPr="007608B0">
        <w:rPr>
          <w:rStyle w:val="Refdenotaalpie"/>
          <w:szCs w:val="16"/>
          <w:lang w:val="es-CO"/>
        </w:rPr>
        <w:footnoteRef/>
      </w:r>
      <w:r w:rsidRPr="004004D7">
        <w:rPr>
          <w:szCs w:val="16"/>
          <w:lang w:val="es-ES"/>
        </w:rPr>
        <w:t xml:space="preserve"> </w:t>
      </w:r>
      <w:r w:rsidRPr="007608B0">
        <w:rPr>
          <w:rFonts w:cs="Arial"/>
          <w:szCs w:val="16"/>
          <w:lang w:val="es-CO"/>
        </w:rPr>
        <w:t xml:space="preserve">CIDH. Informe No. 11/10. Caso 12.488. Fondo. Miembros de la Familia Barrios. Venezuela. 16 de marzo de 2010. </w:t>
      </w:r>
    </w:p>
  </w:footnote>
  <w:footnote w:id="16">
    <w:p w14:paraId="08ED5EDE" w14:textId="77777777" w:rsidR="006B16F4" w:rsidRPr="007608B0" w:rsidRDefault="006B16F4" w:rsidP="00E76BDE">
      <w:pPr>
        <w:pStyle w:val="Textonotapie"/>
        <w:contextualSpacing/>
        <w:jc w:val="both"/>
        <w:rPr>
          <w:szCs w:val="16"/>
          <w:lang w:val="es-CO"/>
        </w:rPr>
      </w:pPr>
      <w:r w:rsidRPr="007608B0">
        <w:rPr>
          <w:rStyle w:val="Refdenotaalpie"/>
          <w:szCs w:val="16"/>
          <w:lang w:val="es-CO"/>
        </w:rPr>
        <w:footnoteRef/>
      </w:r>
      <w:r w:rsidRPr="007608B0">
        <w:rPr>
          <w:szCs w:val="16"/>
          <w:lang w:val="es-CO"/>
        </w:rPr>
        <w:t xml:space="preserve"> Corte IDH. </w:t>
      </w:r>
      <w:r w:rsidRPr="007608B0">
        <w:rPr>
          <w:i/>
          <w:szCs w:val="16"/>
          <w:lang w:val="es-CO"/>
        </w:rPr>
        <w:t>Hermanos Landaeta Mejías y otros vs. Venezuela</w:t>
      </w:r>
      <w:r w:rsidRPr="007608B0">
        <w:rPr>
          <w:szCs w:val="16"/>
          <w:lang w:val="es-CO"/>
        </w:rPr>
        <w:t xml:space="preserve">. Excepciones preliminares, Fondo, Reparaciones y Costas. Sentencia de 27 de agosto de 2014. Serie C No. 281, párr. 47. </w:t>
      </w:r>
    </w:p>
  </w:footnote>
  <w:footnote w:id="17">
    <w:p w14:paraId="155D23F9" w14:textId="77777777" w:rsidR="006B16F4" w:rsidRPr="00965FBD" w:rsidRDefault="006B16F4">
      <w:pPr>
        <w:pStyle w:val="Textonotapie"/>
        <w:rPr>
          <w:lang w:val="es-ES"/>
        </w:rPr>
      </w:pPr>
      <w:r>
        <w:rPr>
          <w:rStyle w:val="Refdenotaalpie"/>
        </w:rPr>
        <w:footnoteRef/>
      </w:r>
      <w:r w:rsidRPr="00965FBD">
        <w:rPr>
          <w:lang w:val="es-ES"/>
        </w:rPr>
        <w:t xml:space="preserve"> </w:t>
      </w:r>
      <w:r>
        <w:rPr>
          <w:lang w:val="es-ES"/>
        </w:rPr>
        <w:t xml:space="preserve">CIDH. Informe No. 88/10. Caso 12.6661. Fondo. Néstor José y Luis Uzcátegui y otros. Venezuela. 14 de julio de 2010. Párr. 95  y ss. </w:t>
      </w:r>
    </w:p>
  </w:footnote>
  <w:footnote w:id="18">
    <w:p w14:paraId="3139B936" w14:textId="36CA815D" w:rsidR="006B16F4" w:rsidRPr="007608B0" w:rsidRDefault="006B16F4" w:rsidP="00843162">
      <w:pPr>
        <w:pStyle w:val="Textonotapie"/>
        <w:contextualSpacing/>
        <w:jc w:val="both"/>
        <w:rPr>
          <w:szCs w:val="16"/>
          <w:lang w:val="es-CO"/>
        </w:rPr>
      </w:pPr>
      <w:r w:rsidRPr="007608B0">
        <w:rPr>
          <w:rStyle w:val="Refdenotaalpie"/>
          <w:szCs w:val="16"/>
          <w:lang w:val="es-CO"/>
        </w:rPr>
        <w:footnoteRef/>
      </w:r>
      <w:r w:rsidRPr="007608B0">
        <w:rPr>
          <w:szCs w:val="16"/>
          <w:lang w:val="es-CO"/>
        </w:rPr>
        <w:t xml:space="preserve"> Corte IDH. </w:t>
      </w:r>
      <w:r>
        <w:rPr>
          <w:i/>
          <w:szCs w:val="16"/>
          <w:lang w:val="es-CO"/>
        </w:rPr>
        <w:t>Caso Uz</w:t>
      </w:r>
      <w:r w:rsidRPr="007608B0">
        <w:rPr>
          <w:i/>
          <w:szCs w:val="16"/>
          <w:lang w:val="es-CO"/>
        </w:rPr>
        <w:t>cátegui y otros vs. Venezuela</w:t>
      </w:r>
      <w:r w:rsidRPr="007608B0">
        <w:rPr>
          <w:szCs w:val="16"/>
          <w:lang w:val="es-CO"/>
        </w:rPr>
        <w:t xml:space="preserve">. Fondo y Reparaciones. Sentencia de 3 de septiembre de 2012. Serie C No. 249, párr. 35. </w:t>
      </w:r>
    </w:p>
  </w:footnote>
  <w:footnote w:id="19">
    <w:p w14:paraId="0E831779" w14:textId="77777777" w:rsidR="006B16F4" w:rsidRPr="009B35E6" w:rsidRDefault="006B16F4" w:rsidP="00775BC9">
      <w:pPr>
        <w:pStyle w:val="Textonotapie"/>
        <w:rPr>
          <w:lang w:val="es-ES"/>
        </w:rPr>
      </w:pPr>
      <w:r>
        <w:rPr>
          <w:rStyle w:val="Refdenotaalpie"/>
        </w:rPr>
        <w:footnoteRef/>
      </w:r>
      <w:r w:rsidRPr="009B35E6">
        <w:rPr>
          <w:lang w:val="es-ES"/>
        </w:rPr>
        <w:t xml:space="preserve"> </w:t>
      </w:r>
      <w:hyperlink r:id="rId9" w:history="1">
        <w:r>
          <w:rPr>
            <w:rStyle w:val="Hipervnculo"/>
            <w:szCs w:val="16"/>
            <w:lang w:val="es-CO"/>
          </w:rPr>
          <w:t>COFAVIC/Los grupos parapoliciales en Venezuela, 2005.</w:t>
        </w:r>
      </w:hyperlink>
    </w:p>
  </w:footnote>
  <w:footnote w:id="20">
    <w:p w14:paraId="5628420A" w14:textId="04C14C3B" w:rsidR="006B16F4" w:rsidRPr="007608B0" w:rsidRDefault="006B16F4" w:rsidP="00843162">
      <w:pPr>
        <w:pStyle w:val="Textonotapie"/>
        <w:contextualSpacing/>
        <w:rPr>
          <w:szCs w:val="16"/>
          <w:lang w:val="es-CO"/>
        </w:rPr>
      </w:pPr>
      <w:r w:rsidRPr="007608B0">
        <w:rPr>
          <w:rStyle w:val="Refdenotaalpie"/>
          <w:szCs w:val="16"/>
        </w:rPr>
        <w:footnoteRef/>
      </w:r>
      <w:r>
        <w:rPr>
          <w:szCs w:val="16"/>
          <w:lang w:val="es-CO"/>
        </w:rPr>
        <w:t xml:space="preserve"> P</w:t>
      </w:r>
      <w:r w:rsidRPr="007608B0">
        <w:rPr>
          <w:rFonts w:eastAsia="Arial Unicode MS" w:cs="Times New Roman"/>
          <w:szCs w:val="16"/>
          <w:lang w:val="es-CO" w:eastAsia="en-US"/>
        </w:rPr>
        <w:t>etición inicial de 10 de marzo de 2008</w:t>
      </w:r>
      <w:r>
        <w:rPr>
          <w:rFonts w:eastAsia="Arial Unicode MS" w:cs="Times New Roman"/>
          <w:szCs w:val="16"/>
          <w:lang w:val="es-CO" w:eastAsia="en-US"/>
        </w:rPr>
        <w:t>.</w:t>
      </w:r>
    </w:p>
  </w:footnote>
  <w:footnote w:id="21">
    <w:p w14:paraId="617A659A" w14:textId="2139729E" w:rsidR="006B16F4" w:rsidRPr="000B76A6" w:rsidRDefault="006B16F4" w:rsidP="00843162">
      <w:pPr>
        <w:pStyle w:val="Textonotapie"/>
        <w:contextualSpacing/>
        <w:rPr>
          <w:szCs w:val="16"/>
          <w:lang w:val="es-ES"/>
        </w:rPr>
      </w:pPr>
      <w:r w:rsidRPr="007608B0">
        <w:rPr>
          <w:rStyle w:val="Refdenotaalpie"/>
          <w:szCs w:val="16"/>
        </w:rPr>
        <w:footnoteRef/>
      </w:r>
      <w:r w:rsidRPr="007608B0">
        <w:rPr>
          <w:szCs w:val="16"/>
          <w:lang w:val="es-CO"/>
        </w:rPr>
        <w:t xml:space="preserve"> </w:t>
      </w:r>
      <w:r>
        <w:rPr>
          <w:szCs w:val="16"/>
          <w:lang w:val="es-CO"/>
        </w:rPr>
        <w:t>P</w:t>
      </w:r>
      <w:r w:rsidRPr="007608B0">
        <w:rPr>
          <w:rFonts w:eastAsia="Arial Unicode MS" w:cs="Times New Roman"/>
          <w:szCs w:val="16"/>
          <w:lang w:val="es-CO" w:eastAsia="en-US"/>
        </w:rPr>
        <w:t>etición inicial de 10 de marzo de 2008</w:t>
      </w:r>
      <w:r>
        <w:rPr>
          <w:rFonts w:eastAsia="Arial Unicode MS" w:cs="Times New Roman"/>
          <w:szCs w:val="16"/>
          <w:lang w:val="es-CO" w:eastAsia="en-US"/>
        </w:rPr>
        <w:t>.</w:t>
      </w:r>
    </w:p>
  </w:footnote>
  <w:footnote w:id="22">
    <w:p w14:paraId="2F98BB55" w14:textId="17F280EF" w:rsidR="006B16F4" w:rsidRPr="007608B0" w:rsidRDefault="006B16F4" w:rsidP="00843162">
      <w:pPr>
        <w:pStyle w:val="Textonotapie"/>
        <w:contextualSpacing/>
        <w:jc w:val="both"/>
        <w:rPr>
          <w:szCs w:val="16"/>
          <w:lang w:val="es-CO"/>
        </w:rPr>
      </w:pPr>
      <w:r w:rsidRPr="00FE446E">
        <w:rPr>
          <w:rStyle w:val="Refdenotaalpie"/>
          <w:szCs w:val="16"/>
          <w:lang w:val="es-CO"/>
        </w:rPr>
        <w:footnoteRef/>
      </w:r>
      <w:r w:rsidRPr="000B76A6">
        <w:rPr>
          <w:szCs w:val="16"/>
          <w:lang w:val="es-ES"/>
        </w:rPr>
        <w:t xml:space="preserve">  Anexo 2. CICPC. Acta Policial. </w:t>
      </w:r>
      <w:r>
        <w:rPr>
          <w:szCs w:val="16"/>
          <w:lang w:val="es-CO"/>
        </w:rPr>
        <w:t xml:space="preserve">Región Falcón. Delegación de Punto Fijo. 30 de marzo de 2003. Anexo a la petición inicial. </w:t>
      </w:r>
    </w:p>
  </w:footnote>
  <w:footnote w:id="23">
    <w:p w14:paraId="1157856C" w14:textId="0F3BD960" w:rsidR="006B16F4" w:rsidRPr="007608B0" w:rsidRDefault="006B16F4" w:rsidP="00843162">
      <w:pPr>
        <w:pStyle w:val="Textonotapie"/>
        <w:contextualSpacing/>
        <w:jc w:val="both"/>
        <w:rPr>
          <w:szCs w:val="16"/>
          <w:lang w:val="es-CO"/>
        </w:rPr>
      </w:pPr>
      <w:r w:rsidRPr="007608B0">
        <w:rPr>
          <w:rStyle w:val="Refdenotaalpie"/>
          <w:szCs w:val="16"/>
          <w:lang w:val="es-CO"/>
        </w:rPr>
        <w:footnoteRef/>
      </w:r>
      <w:r>
        <w:rPr>
          <w:szCs w:val="16"/>
          <w:lang w:val="es-CO"/>
        </w:rPr>
        <w:t xml:space="preserve"> P</w:t>
      </w:r>
      <w:r w:rsidRPr="007608B0">
        <w:rPr>
          <w:rFonts w:eastAsia="Arial Unicode MS" w:cs="Times New Roman"/>
          <w:szCs w:val="16"/>
          <w:lang w:val="es-CO" w:eastAsia="en-US"/>
        </w:rPr>
        <w:t xml:space="preserve">etición inicial de 10 </w:t>
      </w:r>
      <w:r>
        <w:rPr>
          <w:rFonts w:eastAsia="Arial Unicode MS" w:cs="Times New Roman"/>
          <w:szCs w:val="16"/>
          <w:lang w:val="es-CO" w:eastAsia="en-US"/>
        </w:rPr>
        <w:t xml:space="preserve">de marzo de 2008. </w:t>
      </w:r>
    </w:p>
  </w:footnote>
  <w:footnote w:id="24">
    <w:p w14:paraId="65A63608" w14:textId="074FBE4B" w:rsidR="006B16F4" w:rsidRPr="007608B0" w:rsidRDefault="006B16F4" w:rsidP="00843162">
      <w:pPr>
        <w:pStyle w:val="Textonotapie"/>
        <w:contextualSpacing/>
        <w:jc w:val="both"/>
        <w:rPr>
          <w:szCs w:val="16"/>
          <w:lang w:val="es-CO"/>
        </w:rPr>
      </w:pPr>
      <w:r w:rsidRPr="007608B0">
        <w:rPr>
          <w:rStyle w:val="Refdenotaalpie"/>
          <w:szCs w:val="16"/>
        </w:rPr>
        <w:footnoteRef/>
      </w:r>
      <w:r w:rsidRPr="007608B0">
        <w:rPr>
          <w:szCs w:val="16"/>
          <w:lang w:val="es-CO"/>
        </w:rPr>
        <w:t xml:space="preserve"> Anexo </w:t>
      </w:r>
      <w:r>
        <w:rPr>
          <w:szCs w:val="16"/>
          <w:lang w:val="es-CO"/>
        </w:rPr>
        <w:t>3</w:t>
      </w:r>
      <w:r w:rsidRPr="007608B0">
        <w:rPr>
          <w:szCs w:val="16"/>
          <w:lang w:val="es-CO"/>
        </w:rPr>
        <w:t xml:space="preserve">: Fiscalía </w:t>
      </w:r>
      <w:r>
        <w:rPr>
          <w:szCs w:val="16"/>
          <w:lang w:val="es-CO"/>
        </w:rPr>
        <w:t>Segunda.</w:t>
      </w:r>
      <w:r w:rsidRPr="007608B0">
        <w:rPr>
          <w:szCs w:val="16"/>
          <w:lang w:val="es-CO"/>
        </w:rPr>
        <w:t xml:space="preserve"> </w:t>
      </w:r>
      <w:r>
        <w:rPr>
          <w:szCs w:val="16"/>
          <w:lang w:val="es-CO"/>
        </w:rPr>
        <w:t>D</w:t>
      </w:r>
      <w:r w:rsidRPr="007608B0">
        <w:rPr>
          <w:szCs w:val="16"/>
          <w:lang w:val="es-CO"/>
        </w:rPr>
        <w:t>enuncia manuscrita, 16 de agosto de</w:t>
      </w:r>
      <w:r w:rsidRPr="00C73697">
        <w:rPr>
          <w:color w:val="FF0000"/>
          <w:szCs w:val="16"/>
          <w:lang w:val="es-CO"/>
        </w:rPr>
        <w:t xml:space="preserve"> </w:t>
      </w:r>
      <w:r w:rsidRPr="000B76A6">
        <w:rPr>
          <w:color w:val="auto"/>
          <w:szCs w:val="16"/>
          <w:lang w:val="es-CO"/>
        </w:rPr>
        <w:t>2002</w:t>
      </w:r>
      <w:r w:rsidRPr="007608B0">
        <w:rPr>
          <w:szCs w:val="16"/>
          <w:lang w:val="es-CO"/>
        </w:rPr>
        <w:t xml:space="preserve">. Anexo </w:t>
      </w:r>
      <w:r>
        <w:rPr>
          <w:szCs w:val="16"/>
          <w:lang w:val="es-CO"/>
        </w:rPr>
        <w:t>a</w:t>
      </w:r>
      <w:r w:rsidRPr="007608B0">
        <w:rPr>
          <w:szCs w:val="16"/>
          <w:lang w:val="es-CO"/>
        </w:rPr>
        <w:t xml:space="preserve"> la petición inicial</w:t>
      </w:r>
      <w:r>
        <w:rPr>
          <w:szCs w:val="16"/>
          <w:lang w:val="es-CO"/>
        </w:rPr>
        <w:t>.</w:t>
      </w:r>
    </w:p>
  </w:footnote>
  <w:footnote w:id="25">
    <w:p w14:paraId="3473BAC8" w14:textId="5F7F6753" w:rsidR="006B16F4" w:rsidRPr="007608B0" w:rsidRDefault="006B16F4" w:rsidP="00843162">
      <w:pPr>
        <w:pStyle w:val="Textonotapie"/>
        <w:contextualSpacing/>
        <w:jc w:val="both"/>
        <w:rPr>
          <w:szCs w:val="16"/>
          <w:lang w:val="es-CO"/>
        </w:rPr>
      </w:pPr>
      <w:r w:rsidRPr="007608B0">
        <w:rPr>
          <w:rStyle w:val="Refdenotaalpie"/>
          <w:szCs w:val="16"/>
          <w:lang w:val="es-CO"/>
        </w:rPr>
        <w:footnoteRef/>
      </w:r>
      <w:r w:rsidRPr="007608B0">
        <w:rPr>
          <w:rStyle w:val="Refdenotaalpie"/>
          <w:szCs w:val="16"/>
          <w:lang w:val="es-CO"/>
        </w:rPr>
        <w:t xml:space="preserve"> </w:t>
      </w:r>
      <w:r>
        <w:rPr>
          <w:szCs w:val="16"/>
          <w:lang w:val="es-CO"/>
        </w:rPr>
        <w:t>Anexo 4: Fiscalía Segunda. D</w:t>
      </w:r>
      <w:r w:rsidRPr="007608B0">
        <w:rPr>
          <w:szCs w:val="16"/>
          <w:lang w:val="es-CO"/>
        </w:rPr>
        <w:t xml:space="preserve">enuncia causa </w:t>
      </w:r>
      <w:r>
        <w:rPr>
          <w:szCs w:val="16"/>
          <w:lang w:val="es-CO"/>
        </w:rPr>
        <w:t>N</w:t>
      </w:r>
      <w:r w:rsidRPr="007608B0">
        <w:rPr>
          <w:szCs w:val="16"/>
          <w:lang w:val="es-CO"/>
        </w:rPr>
        <w:t xml:space="preserve">° 2202-02, 10 de agosto de 2002. Anexo </w:t>
      </w:r>
      <w:r>
        <w:rPr>
          <w:szCs w:val="16"/>
          <w:lang w:val="es-CO"/>
        </w:rPr>
        <w:t xml:space="preserve">a </w:t>
      </w:r>
      <w:r w:rsidRPr="007608B0">
        <w:rPr>
          <w:szCs w:val="16"/>
          <w:lang w:val="es-CO"/>
        </w:rPr>
        <w:t>la petición inicial</w:t>
      </w:r>
      <w:r w:rsidRPr="007608B0">
        <w:rPr>
          <w:rFonts w:eastAsia="Arial Unicode MS" w:cs="Times New Roman"/>
          <w:szCs w:val="16"/>
          <w:lang w:val="es-CO" w:eastAsia="en-US"/>
        </w:rPr>
        <w:t>.</w:t>
      </w:r>
    </w:p>
  </w:footnote>
  <w:footnote w:id="26">
    <w:p w14:paraId="56D15762" w14:textId="1B5057A6" w:rsidR="006B16F4" w:rsidRPr="007608B0" w:rsidRDefault="006B16F4" w:rsidP="00843162">
      <w:pPr>
        <w:pStyle w:val="Textonotapie"/>
        <w:contextualSpacing/>
        <w:jc w:val="both"/>
        <w:rPr>
          <w:szCs w:val="16"/>
          <w:lang w:val="es-CO"/>
        </w:rPr>
      </w:pPr>
      <w:r w:rsidRPr="007608B0">
        <w:rPr>
          <w:rStyle w:val="Refdenotaalpie"/>
          <w:szCs w:val="16"/>
          <w:lang w:val="es-CO"/>
        </w:rPr>
        <w:footnoteRef/>
      </w:r>
      <w:r w:rsidRPr="007608B0">
        <w:rPr>
          <w:rStyle w:val="Refdenotaalpie"/>
          <w:szCs w:val="16"/>
          <w:lang w:val="es-CO"/>
        </w:rPr>
        <w:t xml:space="preserve"> </w:t>
      </w:r>
      <w:r w:rsidRPr="007608B0">
        <w:rPr>
          <w:szCs w:val="16"/>
          <w:lang w:val="es-CO"/>
        </w:rPr>
        <w:t xml:space="preserve">Anexo </w:t>
      </w:r>
      <w:r>
        <w:rPr>
          <w:szCs w:val="16"/>
          <w:lang w:val="es-CO"/>
        </w:rPr>
        <w:t>5</w:t>
      </w:r>
      <w:r w:rsidRPr="007608B0">
        <w:rPr>
          <w:szCs w:val="16"/>
          <w:lang w:val="es-CO"/>
        </w:rPr>
        <w:t>: Fiscalía Primera</w:t>
      </w:r>
      <w:r>
        <w:rPr>
          <w:szCs w:val="16"/>
          <w:lang w:val="es-CO"/>
        </w:rPr>
        <w:t>.</w:t>
      </w:r>
      <w:r w:rsidRPr="007608B0">
        <w:rPr>
          <w:szCs w:val="16"/>
          <w:lang w:val="es-CO"/>
        </w:rPr>
        <w:t xml:space="preserve"> </w:t>
      </w:r>
      <w:r>
        <w:rPr>
          <w:szCs w:val="16"/>
          <w:lang w:val="es-CO"/>
        </w:rPr>
        <w:t>Comunicación de</w:t>
      </w:r>
      <w:r w:rsidRPr="007608B0">
        <w:rPr>
          <w:szCs w:val="16"/>
          <w:lang w:val="es-CO"/>
        </w:rPr>
        <w:t xml:space="preserve"> 13 de septiembre de 2002. Anexo </w:t>
      </w:r>
      <w:r>
        <w:rPr>
          <w:szCs w:val="16"/>
          <w:lang w:val="es-CO"/>
        </w:rPr>
        <w:t>a</w:t>
      </w:r>
      <w:r w:rsidRPr="007608B0">
        <w:rPr>
          <w:szCs w:val="16"/>
          <w:lang w:val="es-CO"/>
        </w:rPr>
        <w:t xml:space="preserve"> la petición inicial</w:t>
      </w:r>
      <w:r w:rsidRPr="007608B0">
        <w:rPr>
          <w:rFonts w:eastAsia="Arial Unicode MS" w:cs="Times New Roman"/>
          <w:szCs w:val="16"/>
          <w:lang w:val="es-CO" w:eastAsia="en-US"/>
        </w:rPr>
        <w:t>.</w:t>
      </w:r>
    </w:p>
  </w:footnote>
  <w:footnote w:id="27">
    <w:p w14:paraId="38122471" w14:textId="3A005D27" w:rsidR="006B16F4" w:rsidRPr="007608B0" w:rsidRDefault="006B16F4" w:rsidP="00267666">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HAnsi" w:hAnsiTheme="majorHAnsi"/>
          <w:sz w:val="16"/>
          <w:szCs w:val="16"/>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 </w:t>
      </w:r>
      <w:r w:rsidRPr="007608B0">
        <w:rPr>
          <w:rFonts w:asciiTheme="majorHAnsi" w:eastAsia="Calibri" w:hAnsiTheme="majorHAnsi" w:cs="Calibri"/>
          <w:color w:val="000000"/>
          <w:sz w:val="16"/>
          <w:szCs w:val="16"/>
          <w:u w:color="000000"/>
          <w:lang w:eastAsia="es-ES"/>
        </w:rPr>
        <w:t xml:space="preserve">Anexo </w:t>
      </w:r>
      <w:r>
        <w:rPr>
          <w:rFonts w:asciiTheme="majorHAnsi" w:eastAsia="Calibri" w:hAnsiTheme="majorHAnsi" w:cs="Calibri"/>
          <w:color w:val="000000"/>
          <w:sz w:val="16"/>
          <w:szCs w:val="16"/>
          <w:u w:color="000000"/>
          <w:lang w:eastAsia="es-ES"/>
        </w:rPr>
        <w:t>6.</w:t>
      </w:r>
      <w:r w:rsidRPr="007608B0">
        <w:rPr>
          <w:rFonts w:asciiTheme="majorHAnsi" w:eastAsia="Calibri" w:hAnsiTheme="majorHAnsi" w:cs="Calibri"/>
          <w:color w:val="000000"/>
          <w:sz w:val="16"/>
          <w:szCs w:val="16"/>
          <w:u w:color="000000"/>
          <w:lang w:eastAsia="es-ES"/>
        </w:rPr>
        <w:t xml:space="preserve"> </w:t>
      </w:r>
      <w:r w:rsidRPr="00036FAF">
        <w:rPr>
          <w:rFonts w:asciiTheme="majorHAnsi" w:hAnsiTheme="majorHAnsi"/>
          <w:sz w:val="16"/>
          <w:szCs w:val="16"/>
        </w:rPr>
        <w:t>Fiscalía Superior</w:t>
      </w:r>
      <w:r>
        <w:rPr>
          <w:rFonts w:asciiTheme="majorHAnsi" w:hAnsiTheme="majorHAnsi"/>
          <w:sz w:val="16"/>
          <w:szCs w:val="16"/>
        </w:rPr>
        <w:t>. Constancia de audiencia de</w:t>
      </w:r>
      <w:r w:rsidRPr="00036FAF">
        <w:rPr>
          <w:rFonts w:asciiTheme="majorHAnsi" w:hAnsiTheme="majorHAnsi"/>
          <w:sz w:val="16"/>
          <w:szCs w:val="16"/>
        </w:rPr>
        <w:t xml:space="preserve"> 27 de septiembre de 2002</w:t>
      </w:r>
      <w:r w:rsidRPr="00036FAF">
        <w:rPr>
          <w:rFonts w:asciiTheme="majorHAnsi" w:eastAsia="Calibri" w:hAnsiTheme="majorHAnsi" w:cs="Calibri"/>
          <w:color w:val="000000"/>
          <w:sz w:val="16"/>
          <w:szCs w:val="16"/>
          <w:u w:color="000000"/>
          <w:lang w:eastAsia="es-ES"/>
        </w:rPr>
        <w:t>.</w:t>
      </w:r>
      <w:r>
        <w:rPr>
          <w:rFonts w:asciiTheme="majorHAnsi" w:eastAsia="Calibri" w:hAnsiTheme="majorHAnsi" w:cs="Calibri"/>
          <w:color w:val="000000"/>
          <w:sz w:val="16"/>
          <w:szCs w:val="16"/>
          <w:u w:color="000000"/>
          <w:lang w:eastAsia="es-ES"/>
        </w:rPr>
        <w:t xml:space="preserve"> </w:t>
      </w:r>
      <w:r w:rsidRPr="000B76A6">
        <w:rPr>
          <w:rFonts w:asciiTheme="majorHAnsi" w:eastAsia="Calibri" w:hAnsiTheme="majorHAnsi" w:cs="Calibri"/>
          <w:color w:val="000000"/>
          <w:sz w:val="16"/>
          <w:szCs w:val="16"/>
          <w:u w:color="000000"/>
          <w:lang w:eastAsia="es-ES"/>
        </w:rPr>
        <w:t>Anexo a la petición inicial</w:t>
      </w:r>
      <w:r>
        <w:rPr>
          <w:rFonts w:asciiTheme="majorHAnsi" w:eastAsia="Calibri" w:hAnsiTheme="majorHAnsi" w:cs="Calibri"/>
          <w:color w:val="000000"/>
          <w:sz w:val="16"/>
          <w:szCs w:val="16"/>
          <w:u w:color="000000"/>
          <w:lang w:eastAsia="es-ES"/>
        </w:rPr>
        <w:t>.</w:t>
      </w:r>
    </w:p>
  </w:footnote>
  <w:footnote w:id="28">
    <w:p w14:paraId="2B0CD4B9" w14:textId="67E29CA8" w:rsidR="006B16F4" w:rsidRPr="007608B0" w:rsidRDefault="006B16F4" w:rsidP="00267666">
      <w:pPr>
        <w:pStyle w:val="Textonotapie"/>
        <w:contextualSpacing/>
        <w:rPr>
          <w:szCs w:val="16"/>
          <w:lang w:val="es-CO"/>
        </w:rPr>
      </w:pPr>
      <w:r w:rsidRPr="007608B0">
        <w:rPr>
          <w:rStyle w:val="Refdenotaalpie"/>
          <w:szCs w:val="16"/>
        </w:rPr>
        <w:footnoteRef/>
      </w:r>
      <w:r w:rsidRPr="007608B0">
        <w:rPr>
          <w:szCs w:val="16"/>
          <w:lang w:val="es-CO"/>
        </w:rPr>
        <w:t xml:space="preserve"> Anexo </w:t>
      </w:r>
      <w:r>
        <w:rPr>
          <w:szCs w:val="16"/>
          <w:lang w:val="es-CO"/>
        </w:rPr>
        <w:t>7</w:t>
      </w:r>
      <w:r w:rsidRPr="007608B0">
        <w:rPr>
          <w:szCs w:val="16"/>
          <w:lang w:val="es-CO"/>
        </w:rPr>
        <w:t xml:space="preserve">: </w:t>
      </w:r>
      <w:r>
        <w:rPr>
          <w:szCs w:val="16"/>
          <w:lang w:val="es-CO"/>
        </w:rPr>
        <w:t xml:space="preserve">Fiscal Segundo. </w:t>
      </w:r>
      <w:r w:rsidRPr="007608B0">
        <w:rPr>
          <w:szCs w:val="16"/>
          <w:lang w:val="es-CO"/>
        </w:rPr>
        <w:t xml:space="preserve">Denuncia </w:t>
      </w:r>
      <w:r>
        <w:rPr>
          <w:szCs w:val="16"/>
          <w:lang w:val="es-CO"/>
        </w:rPr>
        <w:t>de Jimmy Rafael Guerrero de</w:t>
      </w:r>
      <w:r w:rsidRPr="007608B0">
        <w:rPr>
          <w:szCs w:val="16"/>
          <w:lang w:val="es-CO"/>
        </w:rPr>
        <w:t xml:space="preserve"> 4 de noviembre de 2002. </w:t>
      </w:r>
      <w:r>
        <w:rPr>
          <w:szCs w:val="16"/>
          <w:lang w:val="es-CO"/>
        </w:rPr>
        <w:t>Anexo a la petición inicial.</w:t>
      </w:r>
    </w:p>
  </w:footnote>
  <w:footnote w:id="29">
    <w:p w14:paraId="26499699" w14:textId="377C1937" w:rsidR="006B16F4" w:rsidRPr="007608B0" w:rsidRDefault="006B16F4" w:rsidP="00843162">
      <w:pPr>
        <w:pStyle w:val="Textonotapie"/>
        <w:contextualSpacing/>
        <w:rPr>
          <w:szCs w:val="16"/>
          <w:lang w:val="es-CO"/>
        </w:rPr>
      </w:pPr>
      <w:r w:rsidRPr="007608B0">
        <w:rPr>
          <w:rStyle w:val="Refdenotaalpie"/>
          <w:szCs w:val="16"/>
        </w:rPr>
        <w:footnoteRef/>
      </w:r>
      <w:r w:rsidRPr="007608B0">
        <w:rPr>
          <w:szCs w:val="16"/>
          <w:lang w:val="es-CO"/>
        </w:rPr>
        <w:t xml:space="preserve"> Anexo </w:t>
      </w:r>
      <w:r>
        <w:rPr>
          <w:szCs w:val="16"/>
          <w:lang w:val="es-CO"/>
        </w:rPr>
        <w:t>8</w:t>
      </w:r>
      <w:r w:rsidRPr="007608B0">
        <w:rPr>
          <w:szCs w:val="16"/>
          <w:lang w:val="es-CO"/>
        </w:rPr>
        <w:t>: Defensoría del Pueblo</w:t>
      </w:r>
      <w:r>
        <w:rPr>
          <w:szCs w:val="16"/>
          <w:lang w:val="es-CO"/>
        </w:rPr>
        <w:t>. D</w:t>
      </w:r>
      <w:r w:rsidRPr="007608B0">
        <w:rPr>
          <w:szCs w:val="16"/>
          <w:lang w:val="es-CO"/>
        </w:rPr>
        <w:t xml:space="preserve">eclaración </w:t>
      </w:r>
      <w:r>
        <w:rPr>
          <w:szCs w:val="16"/>
          <w:lang w:val="es-CO"/>
        </w:rPr>
        <w:t>de</w:t>
      </w:r>
      <w:r w:rsidRPr="007608B0">
        <w:rPr>
          <w:szCs w:val="16"/>
          <w:lang w:val="es-CO"/>
        </w:rPr>
        <w:t xml:space="preserve"> Jimmy Guerrero, 28 de octubre de 2002. Anexo </w:t>
      </w:r>
      <w:r>
        <w:rPr>
          <w:szCs w:val="16"/>
          <w:lang w:val="es-CO"/>
        </w:rPr>
        <w:t>a</w:t>
      </w:r>
      <w:r w:rsidRPr="007608B0">
        <w:rPr>
          <w:szCs w:val="16"/>
          <w:lang w:val="es-CO"/>
        </w:rPr>
        <w:t xml:space="preserve"> la petición inicial</w:t>
      </w:r>
      <w:r>
        <w:rPr>
          <w:szCs w:val="16"/>
          <w:lang w:val="es-CO"/>
        </w:rPr>
        <w:t>.</w:t>
      </w:r>
    </w:p>
  </w:footnote>
  <w:footnote w:id="30">
    <w:p w14:paraId="702339CE" w14:textId="6943E489" w:rsidR="006B16F4" w:rsidRPr="007608B0" w:rsidRDefault="006B16F4" w:rsidP="00843162">
      <w:pPr>
        <w:pStyle w:val="Textonotapie"/>
        <w:contextualSpacing/>
        <w:jc w:val="both"/>
        <w:rPr>
          <w:szCs w:val="16"/>
          <w:lang w:val="es-US"/>
        </w:rPr>
      </w:pPr>
      <w:r w:rsidRPr="007608B0">
        <w:rPr>
          <w:rStyle w:val="Refdenotaalpie"/>
          <w:szCs w:val="16"/>
        </w:rPr>
        <w:footnoteRef/>
      </w:r>
      <w:r w:rsidRPr="007608B0">
        <w:rPr>
          <w:szCs w:val="16"/>
          <w:lang w:val="es-US"/>
        </w:rPr>
        <w:t xml:space="preserve"> </w:t>
      </w:r>
      <w:r>
        <w:rPr>
          <w:szCs w:val="16"/>
          <w:lang w:val="es-CO"/>
        </w:rPr>
        <w:t>Anexo 8: Defensoría del Pueblo. D</w:t>
      </w:r>
      <w:r w:rsidRPr="007608B0">
        <w:rPr>
          <w:szCs w:val="16"/>
          <w:lang w:val="es-CO"/>
        </w:rPr>
        <w:t xml:space="preserve">eclaración de </w:t>
      </w:r>
      <w:r>
        <w:rPr>
          <w:szCs w:val="16"/>
          <w:lang w:val="es-CO"/>
        </w:rPr>
        <w:t xml:space="preserve">Jimmy Guerrero, </w:t>
      </w:r>
      <w:r w:rsidRPr="007608B0">
        <w:rPr>
          <w:szCs w:val="16"/>
          <w:lang w:val="es-CO"/>
        </w:rPr>
        <w:t xml:space="preserve">28 de octubre de 2002. Anexo </w:t>
      </w:r>
      <w:r>
        <w:rPr>
          <w:szCs w:val="16"/>
          <w:lang w:val="es-CO"/>
        </w:rPr>
        <w:t>a</w:t>
      </w:r>
      <w:r w:rsidRPr="007608B0">
        <w:rPr>
          <w:szCs w:val="16"/>
          <w:lang w:val="es-CO"/>
        </w:rPr>
        <w:t xml:space="preserve"> la petición</w:t>
      </w:r>
      <w:r>
        <w:rPr>
          <w:szCs w:val="16"/>
          <w:lang w:val="es-CO"/>
        </w:rPr>
        <w:t xml:space="preserve"> inicial. </w:t>
      </w:r>
    </w:p>
  </w:footnote>
  <w:footnote w:id="31">
    <w:p w14:paraId="126D85F4" w14:textId="50EF9DEE" w:rsidR="006B16F4" w:rsidRPr="007608B0" w:rsidRDefault="006B16F4" w:rsidP="000C6B8C">
      <w:pPr>
        <w:pStyle w:val="Textonotapie"/>
        <w:contextualSpacing/>
        <w:jc w:val="both"/>
        <w:rPr>
          <w:szCs w:val="16"/>
          <w:lang w:val="es-CO"/>
        </w:rPr>
      </w:pPr>
      <w:r w:rsidRPr="007608B0">
        <w:rPr>
          <w:rStyle w:val="Refdenotaalpie"/>
          <w:szCs w:val="16"/>
        </w:rPr>
        <w:footnoteRef/>
      </w:r>
      <w:r w:rsidRPr="007608B0">
        <w:rPr>
          <w:szCs w:val="16"/>
          <w:lang w:val="es-CO"/>
        </w:rPr>
        <w:t xml:space="preserve"> Anexo </w:t>
      </w:r>
      <w:r>
        <w:rPr>
          <w:szCs w:val="16"/>
          <w:lang w:val="es-CO"/>
        </w:rPr>
        <w:t>9</w:t>
      </w:r>
      <w:r w:rsidRPr="007608B0">
        <w:rPr>
          <w:szCs w:val="16"/>
          <w:lang w:val="es-CO"/>
        </w:rPr>
        <w:t>: Defensoría del Pueblo</w:t>
      </w:r>
      <w:r>
        <w:rPr>
          <w:szCs w:val="16"/>
          <w:lang w:val="es-CO"/>
        </w:rPr>
        <w:t xml:space="preserve">. </w:t>
      </w:r>
      <w:r w:rsidRPr="007608B0">
        <w:rPr>
          <w:szCs w:val="16"/>
          <w:lang w:val="es-CO"/>
        </w:rPr>
        <w:t xml:space="preserve">Declaración </w:t>
      </w:r>
      <w:r>
        <w:rPr>
          <w:szCs w:val="16"/>
          <w:lang w:val="es-CO"/>
        </w:rPr>
        <w:t>de</w:t>
      </w:r>
      <w:r w:rsidRPr="007608B0">
        <w:rPr>
          <w:szCs w:val="16"/>
          <w:lang w:val="es-CO"/>
        </w:rPr>
        <w:t xml:space="preserve"> J</w:t>
      </w:r>
      <w:r>
        <w:rPr>
          <w:szCs w:val="16"/>
          <w:lang w:val="es-CO"/>
        </w:rPr>
        <w:t xml:space="preserve">immy Guerrero, </w:t>
      </w:r>
      <w:r w:rsidRPr="007608B0">
        <w:rPr>
          <w:szCs w:val="16"/>
          <w:lang w:val="es-CO"/>
        </w:rPr>
        <w:t xml:space="preserve">18 de febrero de 2003. Anexo </w:t>
      </w:r>
      <w:r>
        <w:rPr>
          <w:szCs w:val="16"/>
          <w:lang w:val="es-CO"/>
        </w:rPr>
        <w:t>a la petición inicial.</w:t>
      </w:r>
    </w:p>
  </w:footnote>
  <w:footnote w:id="32">
    <w:p w14:paraId="0EB8ADB2" w14:textId="48F36B43" w:rsidR="006B16F4" w:rsidRPr="007608B0" w:rsidRDefault="006B16F4" w:rsidP="00843162">
      <w:pPr>
        <w:pStyle w:val="Textonotapie"/>
        <w:contextualSpacing/>
        <w:rPr>
          <w:szCs w:val="16"/>
          <w:lang w:val="es-CO"/>
        </w:rPr>
      </w:pPr>
      <w:r w:rsidRPr="007608B0">
        <w:rPr>
          <w:rStyle w:val="Refdenotaalpie"/>
          <w:szCs w:val="16"/>
        </w:rPr>
        <w:footnoteRef/>
      </w:r>
      <w:r w:rsidRPr="007608B0">
        <w:rPr>
          <w:szCs w:val="16"/>
          <w:lang w:val="es-CO"/>
        </w:rPr>
        <w:t xml:space="preserve"> Anexo </w:t>
      </w:r>
      <w:r>
        <w:rPr>
          <w:szCs w:val="16"/>
          <w:lang w:val="es-CO"/>
        </w:rPr>
        <w:t>10</w:t>
      </w:r>
      <w:r w:rsidRPr="007608B0">
        <w:rPr>
          <w:szCs w:val="16"/>
          <w:lang w:val="es-CO"/>
        </w:rPr>
        <w:t>: Defensoría del Pueblo</w:t>
      </w:r>
      <w:r>
        <w:rPr>
          <w:szCs w:val="16"/>
          <w:lang w:val="es-CO"/>
        </w:rPr>
        <w:t>. D</w:t>
      </w:r>
      <w:r w:rsidRPr="007608B0">
        <w:rPr>
          <w:szCs w:val="16"/>
          <w:lang w:val="es-CO"/>
        </w:rPr>
        <w:t xml:space="preserve">eclaración </w:t>
      </w:r>
      <w:r>
        <w:rPr>
          <w:szCs w:val="16"/>
          <w:lang w:val="es-CO"/>
        </w:rPr>
        <w:t>de</w:t>
      </w:r>
      <w:r w:rsidRPr="007608B0">
        <w:rPr>
          <w:szCs w:val="16"/>
          <w:lang w:val="es-CO"/>
        </w:rPr>
        <w:t xml:space="preserve"> Erimay Loyo, 17 de febrero de 2003. Anexo </w:t>
      </w:r>
      <w:r>
        <w:rPr>
          <w:szCs w:val="16"/>
          <w:lang w:val="es-CO"/>
        </w:rPr>
        <w:t xml:space="preserve">a </w:t>
      </w:r>
      <w:r w:rsidRPr="007608B0">
        <w:rPr>
          <w:szCs w:val="16"/>
          <w:lang w:val="es-CO"/>
        </w:rPr>
        <w:t>la petición inicial</w:t>
      </w:r>
      <w:r>
        <w:rPr>
          <w:rFonts w:eastAsia="Arial Unicode MS" w:cs="Times New Roman"/>
          <w:szCs w:val="16"/>
          <w:lang w:val="es-CO" w:eastAsia="en-US"/>
        </w:rPr>
        <w:t>.</w:t>
      </w:r>
    </w:p>
  </w:footnote>
  <w:footnote w:id="33">
    <w:p w14:paraId="5DEC4726" w14:textId="282166FE" w:rsidR="006B16F4" w:rsidRPr="007608B0" w:rsidRDefault="006B16F4" w:rsidP="00843162">
      <w:pPr>
        <w:pStyle w:val="Textonotapie"/>
        <w:contextualSpacing/>
        <w:jc w:val="both"/>
        <w:rPr>
          <w:szCs w:val="16"/>
          <w:lang w:val="es-CO"/>
        </w:rPr>
      </w:pPr>
      <w:r w:rsidRPr="007608B0">
        <w:rPr>
          <w:rStyle w:val="Refdenotaalpie"/>
          <w:szCs w:val="16"/>
        </w:rPr>
        <w:footnoteRef/>
      </w:r>
      <w:r w:rsidRPr="007608B0">
        <w:rPr>
          <w:szCs w:val="16"/>
          <w:lang w:val="es-CO"/>
        </w:rPr>
        <w:t xml:space="preserve"> Anexo </w:t>
      </w:r>
      <w:r>
        <w:rPr>
          <w:szCs w:val="16"/>
          <w:lang w:val="es-CO"/>
        </w:rPr>
        <w:t>11</w:t>
      </w:r>
      <w:r w:rsidRPr="007608B0">
        <w:rPr>
          <w:szCs w:val="16"/>
          <w:lang w:val="es-CO"/>
        </w:rPr>
        <w:t>: Defensoría del Pueblo</w:t>
      </w:r>
      <w:r>
        <w:rPr>
          <w:szCs w:val="16"/>
          <w:lang w:val="es-CO"/>
        </w:rPr>
        <w:t xml:space="preserve">. </w:t>
      </w:r>
      <w:r w:rsidRPr="007608B0">
        <w:rPr>
          <w:szCs w:val="16"/>
          <w:lang w:val="es-CO"/>
        </w:rPr>
        <w:t xml:space="preserve">Acta de Visita a retén policial, 17 de febrero de 2003. Anexo </w:t>
      </w:r>
      <w:r>
        <w:rPr>
          <w:szCs w:val="16"/>
          <w:lang w:val="es-CO"/>
        </w:rPr>
        <w:t xml:space="preserve">a </w:t>
      </w:r>
      <w:r w:rsidRPr="007608B0">
        <w:rPr>
          <w:szCs w:val="16"/>
          <w:lang w:val="es-CO"/>
        </w:rPr>
        <w:t>la petición inicial</w:t>
      </w:r>
      <w:r>
        <w:rPr>
          <w:szCs w:val="16"/>
          <w:lang w:val="es-CO"/>
        </w:rPr>
        <w:t>.</w:t>
      </w:r>
    </w:p>
  </w:footnote>
  <w:footnote w:id="34">
    <w:p w14:paraId="4C727391" w14:textId="4B8EF35A" w:rsidR="006B16F4" w:rsidRPr="007608B0" w:rsidRDefault="006B16F4" w:rsidP="00BD679B">
      <w:pPr>
        <w:pStyle w:val="Textonotapie"/>
        <w:contextualSpacing/>
        <w:jc w:val="both"/>
        <w:rPr>
          <w:szCs w:val="16"/>
          <w:lang w:val="es-CO"/>
        </w:rPr>
      </w:pPr>
      <w:r w:rsidRPr="007608B0">
        <w:rPr>
          <w:rStyle w:val="Refdenotaalpie"/>
          <w:szCs w:val="16"/>
        </w:rPr>
        <w:footnoteRef/>
      </w:r>
      <w:r>
        <w:rPr>
          <w:szCs w:val="16"/>
          <w:lang w:val="es-CO"/>
        </w:rPr>
        <w:t xml:space="preserve"> Anexo 12: Defensoría del Pueblo.</w:t>
      </w:r>
      <w:r w:rsidRPr="007608B0">
        <w:rPr>
          <w:szCs w:val="16"/>
          <w:lang w:val="es-CO"/>
        </w:rPr>
        <w:t xml:space="preserve"> </w:t>
      </w:r>
      <w:r>
        <w:rPr>
          <w:szCs w:val="16"/>
          <w:lang w:val="es-CO"/>
        </w:rPr>
        <w:t>I</w:t>
      </w:r>
      <w:r w:rsidRPr="007608B0">
        <w:rPr>
          <w:szCs w:val="16"/>
          <w:lang w:val="es-CO"/>
        </w:rPr>
        <w:t>nforme</w:t>
      </w:r>
      <w:r>
        <w:rPr>
          <w:szCs w:val="16"/>
          <w:lang w:val="es-CO"/>
        </w:rPr>
        <w:t xml:space="preserve"> de</w:t>
      </w:r>
      <w:r w:rsidRPr="007608B0">
        <w:rPr>
          <w:szCs w:val="16"/>
          <w:lang w:val="es-CO"/>
        </w:rPr>
        <w:t xml:space="preserve"> médico legal de Jimmy Guerrero, 19 de febrero de 2003.</w:t>
      </w:r>
      <w:r w:rsidRPr="007608B0">
        <w:rPr>
          <w:rStyle w:val="Refdenotaalpie"/>
          <w:szCs w:val="16"/>
          <w:lang w:val="es-CO"/>
        </w:rPr>
        <w:t xml:space="preserve"> </w:t>
      </w:r>
      <w:r w:rsidRPr="007608B0">
        <w:rPr>
          <w:szCs w:val="16"/>
          <w:lang w:val="es-CO"/>
        </w:rPr>
        <w:t xml:space="preserve">Anexo </w:t>
      </w:r>
      <w:r>
        <w:rPr>
          <w:szCs w:val="16"/>
          <w:lang w:val="es-CO"/>
        </w:rPr>
        <w:t xml:space="preserve">a la petición inicial. </w:t>
      </w:r>
    </w:p>
  </w:footnote>
  <w:footnote w:id="35">
    <w:p w14:paraId="5DC857B1" w14:textId="0079A369" w:rsidR="006B16F4" w:rsidRPr="007608B0" w:rsidRDefault="006B16F4" w:rsidP="00843162">
      <w:pPr>
        <w:pStyle w:val="Textonotapie"/>
        <w:contextualSpacing/>
        <w:jc w:val="both"/>
        <w:rPr>
          <w:szCs w:val="16"/>
          <w:lang w:val="es-CO"/>
        </w:rPr>
      </w:pPr>
      <w:r w:rsidRPr="007608B0">
        <w:rPr>
          <w:rStyle w:val="Refdenotaalpie"/>
          <w:szCs w:val="16"/>
        </w:rPr>
        <w:footnoteRef/>
      </w:r>
      <w:r w:rsidRPr="007608B0">
        <w:rPr>
          <w:szCs w:val="16"/>
          <w:lang w:val="es-CO"/>
        </w:rPr>
        <w:t xml:space="preserve"> Anexo </w:t>
      </w:r>
      <w:r>
        <w:rPr>
          <w:szCs w:val="16"/>
          <w:lang w:val="es-CO"/>
        </w:rPr>
        <w:t>13</w:t>
      </w:r>
      <w:r w:rsidRPr="007608B0">
        <w:rPr>
          <w:szCs w:val="16"/>
          <w:lang w:val="es-CO"/>
        </w:rPr>
        <w:t>: Defensoría del Pueblo</w:t>
      </w:r>
      <w:r>
        <w:rPr>
          <w:szCs w:val="16"/>
          <w:lang w:val="es-CO"/>
        </w:rPr>
        <w:t>. C</w:t>
      </w:r>
      <w:r w:rsidRPr="007608B0">
        <w:rPr>
          <w:szCs w:val="16"/>
          <w:lang w:val="es-CO"/>
        </w:rPr>
        <w:t xml:space="preserve">omunicación solicitando medida de protección a favor de Jimmy Guerrero, 25 de febrero de 2003. Anexo </w:t>
      </w:r>
      <w:r>
        <w:rPr>
          <w:szCs w:val="16"/>
          <w:lang w:val="es-CO"/>
        </w:rPr>
        <w:t xml:space="preserve">a la </w:t>
      </w:r>
      <w:r w:rsidRPr="007608B0">
        <w:rPr>
          <w:szCs w:val="16"/>
          <w:lang w:val="es-CO"/>
        </w:rPr>
        <w:t>petición inicial</w:t>
      </w:r>
      <w:r>
        <w:rPr>
          <w:szCs w:val="16"/>
          <w:lang w:val="es-CO"/>
        </w:rPr>
        <w:t>.</w:t>
      </w:r>
      <w:r>
        <w:rPr>
          <w:rFonts w:eastAsia="Arial Unicode MS" w:cs="Times New Roman"/>
          <w:szCs w:val="16"/>
          <w:lang w:val="es-CO" w:eastAsia="en-US"/>
        </w:rPr>
        <w:t xml:space="preserve">; y </w:t>
      </w:r>
      <w:r w:rsidRPr="007608B0">
        <w:rPr>
          <w:szCs w:val="16"/>
          <w:lang w:val="es-CO"/>
        </w:rPr>
        <w:t xml:space="preserve">Anexo </w:t>
      </w:r>
      <w:r>
        <w:rPr>
          <w:szCs w:val="16"/>
          <w:lang w:val="es-CO"/>
        </w:rPr>
        <w:t>14</w:t>
      </w:r>
      <w:r w:rsidRPr="007608B0">
        <w:rPr>
          <w:szCs w:val="16"/>
          <w:lang w:val="es-CO"/>
        </w:rPr>
        <w:t>: Defensoría del Pueblo</w:t>
      </w:r>
      <w:r>
        <w:rPr>
          <w:szCs w:val="16"/>
          <w:lang w:val="es-CO"/>
        </w:rPr>
        <w:t>. C</w:t>
      </w:r>
      <w:r w:rsidRPr="007608B0">
        <w:rPr>
          <w:szCs w:val="16"/>
          <w:lang w:val="es-CO"/>
        </w:rPr>
        <w:t>omunicación mediante la cual se remite informe de médico legal de Jimmy Guerrero</w:t>
      </w:r>
      <w:r>
        <w:rPr>
          <w:szCs w:val="16"/>
          <w:lang w:val="es-CO"/>
        </w:rPr>
        <w:t>,</w:t>
      </w:r>
      <w:r w:rsidRPr="007608B0">
        <w:rPr>
          <w:szCs w:val="16"/>
          <w:lang w:val="es-CO"/>
        </w:rPr>
        <w:t xml:space="preserve"> 26 de febrero de 2003.</w:t>
      </w:r>
      <w:r w:rsidRPr="007608B0">
        <w:rPr>
          <w:rStyle w:val="Refdenotaalpie"/>
          <w:szCs w:val="16"/>
          <w:lang w:val="es-CO"/>
        </w:rPr>
        <w:t xml:space="preserve"> </w:t>
      </w:r>
      <w:r>
        <w:rPr>
          <w:szCs w:val="16"/>
          <w:lang w:val="es-CO"/>
        </w:rPr>
        <w:t xml:space="preserve">Anexo a la petición inicial. </w:t>
      </w:r>
    </w:p>
  </w:footnote>
  <w:footnote w:id="36">
    <w:p w14:paraId="69D90F38" w14:textId="74A8CC01" w:rsidR="006B16F4" w:rsidRPr="007608B0" w:rsidRDefault="006B16F4" w:rsidP="00CE053E">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HAnsi" w:hAnsiTheme="majorHAnsi"/>
          <w:sz w:val="16"/>
          <w:szCs w:val="16"/>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 Anexo </w:t>
      </w:r>
      <w:r>
        <w:rPr>
          <w:rFonts w:asciiTheme="majorHAnsi" w:hAnsiTheme="majorHAnsi"/>
          <w:sz w:val="16"/>
          <w:szCs w:val="16"/>
        </w:rPr>
        <w:t>15</w:t>
      </w:r>
      <w:r w:rsidRPr="007608B0">
        <w:rPr>
          <w:rFonts w:asciiTheme="majorHAnsi" w:hAnsiTheme="majorHAnsi"/>
          <w:sz w:val="16"/>
          <w:szCs w:val="16"/>
        </w:rPr>
        <w:t>: Defensoría del Pueblo</w:t>
      </w:r>
      <w:r>
        <w:rPr>
          <w:rFonts w:asciiTheme="majorHAnsi" w:hAnsiTheme="majorHAnsi"/>
          <w:sz w:val="16"/>
          <w:szCs w:val="16"/>
        </w:rPr>
        <w:t>. D</w:t>
      </w:r>
      <w:r w:rsidRPr="007608B0">
        <w:rPr>
          <w:rFonts w:asciiTheme="majorHAnsi" w:hAnsiTheme="majorHAnsi"/>
          <w:sz w:val="16"/>
          <w:szCs w:val="16"/>
        </w:rPr>
        <w:t xml:space="preserve">eclaración </w:t>
      </w:r>
      <w:r>
        <w:rPr>
          <w:rFonts w:asciiTheme="majorHAnsi" w:hAnsiTheme="majorHAnsi"/>
          <w:sz w:val="16"/>
          <w:szCs w:val="16"/>
        </w:rPr>
        <w:t>de</w:t>
      </w:r>
      <w:r w:rsidRPr="007608B0">
        <w:rPr>
          <w:rFonts w:asciiTheme="majorHAnsi" w:hAnsiTheme="majorHAnsi"/>
          <w:sz w:val="16"/>
          <w:szCs w:val="16"/>
        </w:rPr>
        <w:t xml:space="preserve"> Jimmy Guerrero, 6 de marzo de 2003. Anexo </w:t>
      </w:r>
      <w:r>
        <w:rPr>
          <w:rFonts w:asciiTheme="majorHAnsi" w:hAnsiTheme="majorHAnsi"/>
          <w:sz w:val="16"/>
          <w:szCs w:val="16"/>
        </w:rPr>
        <w:t>a</w:t>
      </w:r>
      <w:r w:rsidRPr="007608B0">
        <w:rPr>
          <w:rFonts w:asciiTheme="majorHAnsi" w:hAnsiTheme="majorHAnsi"/>
          <w:sz w:val="16"/>
          <w:szCs w:val="16"/>
        </w:rPr>
        <w:t xml:space="preserve"> la petición inicial</w:t>
      </w:r>
      <w:r>
        <w:rPr>
          <w:rFonts w:asciiTheme="majorHAnsi" w:hAnsiTheme="majorHAnsi"/>
          <w:sz w:val="16"/>
          <w:szCs w:val="16"/>
        </w:rPr>
        <w:t>.</w:t>
      </w:r>
    </w:p>
  </w:footnote>
  <w:footnote w:id="37">
    <w:p w14:paraId="4729C317" w14:textId="4BF3FA65" w:rsidR="006B16F4" w:rsidRPr="007608B0" w:rsidRDefault="006B16F4" w:rsidP="00843162">
      <w:pPr>
        <w:pStyle w:val="Textonotapie"/>
        <w:contextualSpacing/>
        <w:jc w:val="both"/>
        <w:rPr>
          <w:szCs w:val="16"/>
          <w:lang w:val="es-CO"/>
        </w:rPr>
      </w:pPr>
      <w:r w:rsidRPr="007608B0">
        <w:rPr>
          <w:rStyle w:val="Refdenotaalpie"/>
          <w:szCs w:val="16"/>
        </w:rPr>
        <w:footnoteRef/>
      </w:r>
      <w:r w:rsidRPr="007608B0">
        <w:rPr>
          <w:szCs w:val="16"/>
          <w:lang w:val="es-CO"/>
        </w:rPr>
        <w:t xml:space="preserve"> Anexo </w:t>
      </w:r>
      <w:r>
        <w:rPr>
          <w:szCs w:val="16"/>
          <w:lang w:val="es-CO"/>
        </w:rPr>
        <w:t>16</w:t>
      </w:r>
      <w:r w:rsidRPr="007608B0">
        <w:rPr>
          <w:szCs w:val="16"/>
          <w:lang w:val="es-CO"/>
        </w:rPr>
        <w:t>: Defensoría del Pueblo</w:t>
      </w:r>
      <w:r>
        <w:rPr>
          <w:szCs w:val="16"/>
          <w:lang w:val="es-CO"/>
        </w:rPr>
        <w:t>. Remite</w:t>
      </w:r>
      <w:r w:rsidRPr="007608B0">
        <w:rPr>
          <w:szCs w:val="16"/>
          <w:lang w:val="es-CO"/>
        </w:rPr>
        <w:t xml:space="preserve"> declaración </w:t>
      </w:r>
      <w:r>
        <w:rPr>
          <w:szCs w:val="16"/>
          <w:lang w:val="es-CO"/>
        </w:rPr>
        <w:t xml:space="preserve">de </w:t>
      </w:r>
      <w:r w:rsidRPr="007608B0">
        <w:rPr>
          <w:szCs w:val="16"/>
          <w:lang w:val="es-CO"/>
        </w:rPr>
        <w:t xml:space="preserve"> Jimmy Guerrero, 10 de marzo de 2003. Anexo </w:t>
      </w:r>
      <w:r>
        <w:rPr>
          <w:szCs w:val="16"/>
          <w:lang w:val="es-CO"/>
        </w:rPr>
        <w:t>a la</w:t>
      </w:r>
      <w:r w:rsidRPr="007608B0">
        <w:rPr>
          <w:szCs w:val="16"/>
          <w:lang w:val="es-CO"/>
        </w:rPr>
        <w:t xml:space="preserve"> pe</w:t>
      </w:r>
      <w:r>
        <w:rPr>
          <w:szCs w:val="16"/>
          <w:lang w:val="es-CO"/>
        </w:rPr>
        <w:t>tición inicial.</w:t>
      </w:r>
    </w:p>
  </w:footnote>
  <w:footnote w:id="38">
    <w:p w14:paraId="282E2AD7" w14:textId="4DE797E2" w:rsidR="006B16F4" w:rsidRPr="007608B0" w:rsidRDefault="006B16F4" w:rsidP="009D7A58">
      <w:pPr>
        <w:pStyle w:val="Textonotapie"/>
        <w:contextualSpacing/>
        <w:jc w:val="both"/>
        <w:rPr>
          <w:szCs w:val="16"/>
          <w:lang w:val="es-US"/>
        </w:rPr>
      </w:pPr>
      <w:r w:rsidRPr="007608B0">
        <w:rPr>
          <w:rStyle w:val="Refdenotaalpie"/>
          <w:szCs w:val="16"/>
        </w:rPr>
        <w:footnoteRef/>
      </w:r>
      <w:r w:rsidRPr="007608B0">
        <w:rPr>
          <w:szCs w:val="16"/>
          <w:lang w:val="es-US"/>
        </w:rPr>
        <w:t xml:space="preserve"> </w:t>
      </w:r>
      <w:r>
        <w:rPr>
          <w:szCs w:val="16"/>
          <w:lang w:val="es-CO"/>
        </w:rPr>
        <w:t>Anexo 17: Defensoría del Pueblo. R</w:t>
      </w:r>
      <w:r w:rsidRPr="007608B0">
        <w:rPr>
          <w:szCs w:val="16"/>
          <w:lang w:val="es-CO"/>
        </w:rPr>
        <w:t xml:space="preserve">emite copia de artículo de prensa titulado: </w:t>
      </w:r>
      <w:r w:rsidRPr="00E533EA">
        <w:rPr>
          <w:szCs w:val="16"/>
          <w:lang w:val="es-CO"/>
        </w:rPr>
        <w:t>Denuncia acoso por parte de Organismos de Seguridad</w:t>
      </w:r>
      <w:r w:rsidRPr="007608B0">
        <w:rPr>
          <w:szCs w:val="16"/>
          <w:lang w:val="es-CO"/>
        </w:rPr>
        <w:t xml:space="preserve">, 07 de noviembre de 2002. Anexo </w:t>
      </w:r>
      <w:r>
        <w:rPr>
          <w:szCs w:val="16"/>
          <w:lang w:val="es-CO"/>
        </w:rPr>
        <w:t>a la petición inicial.</w:t>
      </w:r>
    </w:p>
  </w:footnote>
  <w:footnote w:id="39">
    <w:p w14:paraId="0E2E39A6" w14:textId="138801B3" w:rsidR="006B16F4" w:rsidRPr="006F756F" w:rsidRDefault="006B16F4">
      <w:pPr>
        <w:pStyle w:val="Textonotapie"/>
        <w:rPr>
          <w:lang w:val="es-ES"/>
        </w:rPr>
      </w:pPr>
      <w:r>
        <w:rPr>
          <w:rStyle w:val="Refdenotaalpie"/>
        </w:rPr>
        <w:footnoteRef/>
      </w:r>
      <w:r w:rsidRPr="006F756F">
        <w:rPr>
          <w:lang w:val="es-ES"/>
        </w:rPr>
        <w:t xml:space="preserve"> </w:t>
      </w:r>
      <w:r>
        <w:rPr>
          <w:lang w:val="es-ES"/>
        </w:rPr>
        <w:t xml:space="preserve">Petición inicial y </w:t>
      </w:r>
      <w:r w:rsidRPr="006F756F">
        <w:rPr>
          <w:szCs w:val="16"/>
          <w:lang w:val="es-ES"/>
        </w:rPr>
        <w:t xml:space="preserve">CIDH. </w:t>
      </w:r>
      <w:hyperlink r:id="rId10" w:history="1">
        <w:r w:rsidRPr="006F756F">
          <w:rPr>
            <w:rStyle w:val="Hipervnculo"/>
            <w:szCs w:val="16"/>
            <w:lang w:val="es-ES"/>
          </w:rPr>
          <w:t>Testimonio de Jean Carlos Guerrero Meléndez en Audiencia del 4 de abril de 2016</w:t>
        </w:r>
      </w:hyperlink>
      <w:r w:rsidRPr="006F756F">
        <w:rPr>
          <w:szCs w:val="16"/>
          <w:lang w:val="es-ES"/>
        </w:rPr>
        <w:t xml:space="preserve">.  </w:t>
      </w:r>
    </w:p>
  </w:footnote>
  <w:footnote w:id="40">
    <w:p w14:paraId="1E6649FB" w14:textId="6635AF38" w:rsidR="006B16F4" w:rsidRPr="007608B0" w:rsidRDefault="006B16F4" w:rsidP="00063FAC">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HAnsi" w:hAnsiTheme="majorHAnsi"/>
          <w:sz w:val="16"/>
          <w:szCs w:val="16"/>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 Anexo </w:t>
      </w:r>
      <w:r>
        <w:rPr>
          <w:rFonts w:asciiTheme="majorHAnsi" w:hAnsiTheme="majorHAnsi"/>
          <w:sz w:val="16"/>
          <w:szCs w:val="16"/>
        </w:rPr>
        <w:t>18</w:t>
      </w:r>
      <w:r w:rsidRPr="007608B0">
        <w:rPr>
          <w:rFonts w:asciiTheme="majorHAnsi" w:hAnsiTheme="majorHAnsi"/>
          <w:sz w:val="16"/>
          <w:szCs w:val="16"/>
        </w:rPr>
        <w:t xml:space="preserve">: </w:t>
      </w:r>
      <w:r>
        <w:rPr>
          <w:rFonts w:asciiTheme="majorHAnsi" w:hAnsiTheme="majorHAnsi"/>
          <w:sz w:val="16"/>
          <w:szCs w:val="16"/>
        </w:rPr>
        <w:t xml:space="preserve">CICPC. Acta de Levantamiento de Cadáver, </w:t>
      </w:r>
      <w:r w:rsidRPr="007608B0">
        <w:rPr>
          <w:rFonts w:asciiTheme="majorHAnsi" w:hAnsiTheme="majorHAnsi"/>
          <w:sz w:val="16"/>
          <w:szCs w:val="16"/>
        </w:rPr>
        <w:t xml:space="preserve">30 de marzo de 2003. Anexo </w:t>
      </w:r>
      <w:r>
        <w:rPr>
          <w:rFonts w:asciiTheme="majorHAnsi" w:hAnsiTheme="majorHAnsi"/>
          <w:sz w:val="16"/>
          <w:szCs w:val="16"/>
        </w:rPr>
        <w:t xml:space="preserve">al escrito del Estado de 6 </w:t>
      </w:r>
      <w:r w:rsidRPr="007608B0">
        <w:rPr>
          <w:rFonts w:asciiTheme="majorHAnsi" w:hAnsiTheme="majorHAnsi"/>
          <w:sz w:val="16"/>
          <w:szCs w:val="16"/>
        </w:rPr>
        <w:t>de octubre de 20</w:t>
      </w:r>
      <w:r>
        <w:rPr>
          <w:rFonts w:asciiTheme="majorHAnsi" w:hAnsiTheme="majorHAnsi"/>
          <w:sz w:val="16"/>
          <w:szCs w:val="16"/>
        </w:rPr>
        <w:t>1</w:t>
      </w:r>
      <w:r w:rsidRPr="007608B0">
        <w:rPr>
          <w:rFonts w:asciiTheme="majorHAnsi" w:hAnsiTheme="majorHAnsi"/>
          <w:sz w:val="16"/>
          <w:szCs w:val="16"/>
        </w:rPr>
        <w:t>1.</w:t>
      </w:r>
    </w:p>
  </w:footnote>
  <w:footnote w:id="41">
    <w:p w14:paraId="317601BC" w14:textId="0D361FCB" w:rsidR="006B16F4" w:rsidRPr="00063FAC" w:rsidRDefault="006B16F4" w:rsidP="00063FAC">
      <w:pPr>
        <w:pStyle w:val="Textonotapie"/>
        <w:rPr>
          <w:lang w:val="es-CO"/>
        </w:rPr>
      </w:pPr>
      <w:r>
        <w:rPr>
          <w:rStyle w:val="Refdenotaalpie"/>
        </w:rPr>
        <w:footnoteRef/>
      </w:r>
      <w:r w:rsidRPr="00063FAC">
        <w:rPr>
          <w:lang w:val="es-CO"/>
        </w:rPr>
        <w:t xml:space="preserve"> Anexo </w:t>
      </w:r>
      <w:r>
        <w:rPr>
          <w:lang w:val="es-CO"/>
        </w:rPr>
        <w:t>19</w:t>
      </w:r>
      <w:r w:rsidRPr="00063FAC">
        <w:rPr>
          <w:lang w:val="es-CO"/>
        </w:rPr>
        <w:t>: Informe de Tr</w:t>
      </w:r>
      <w:r>
        <w:rPr>
          <w:lang w:val="es-CO"/>
        </w:rPr>
        <w:t>ayectoria Balística (N°9700-029</w:t>
      </w:r>
      <w:r w:rsidRPr="00063FAC">
        <w:rPr>
          <w:lang w:val="es-CO"/>
        </w:rPr>
        <w:t>) de 1 de mayo de 2006.  Anexo al Escrito del Estado de 6 de octubre de 201</w:t>
      </w:r>
      <w:r>
        <w:rPr>
          <w:lang w:val="es-CO"/>
        </w:rPr>
        <w:t>1.</w:t>
      </w:r>
    </w:p>
  </w:footnote>
  <w:footnote w:id="42">
    <w:p w14:paraId="5530F042" w14:textId="541A2921" w:rsidR="006B16F4" w:rsidRPr="00DD4BFB" w:rsidRDefault="006B16F4" w:rsidP="000E032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HAnsi" w:hAnsiTheme="majorHAnsi"/>
          <w:sz w:val="16"/>
          <w:szCs w:val="16"/>
        </w:rPr>
      </w:pPr>
      <w:r w:rsidRPr="007608B0">
        <w:rPr>
          <w:rStyle w:val="Refdenotaalpie"/>
          <w:rFonts w:asciiTheme="majorHAnsi" w:hAnsiTheme="majorHAnsi"/>
          <w:sz w:val="16"/>
          <w:szCs w:val="16"/>
        </w:rPr>
        <w:footnoteRef/>
      </w:r>
      <w:r w:rsidRPr="00DD4BFB">
        <w:rPr>
          <w:rFonts w:asciiTheme="majorHAnsi" w:hAnsiTheme="majorHAnsi"/>
          <w:sz w:val="16"/>
          <w:szCs w:val="16"/>
        </w:rPr>
        <w:t>Anexo 20: Protocolo de Autopsia de Jimmy Guerrero, 3 de abril de 2003. Anexo al Escrito del Estado de 6 de octubre de 2011.</w:t>
      </w:r>
    </w:p>
  </w:footnote>
  <w:footnote w:id="43">
    <w:p w14:paraId="517DF828" w14:textId="07D62130" w:rsidR="006B16F4" w:rsidRPr="00A34BBD" w:rsidRDefault="006B16F4" w:rsidP="000E032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HAnsi" w:hAnsiTheme="majorHAnsi"/>
          <w:sz w:val="16"/>
          <w:szCs w:val="16"/>
          <w:lang w:val="pt-BR"/>
        </w:rPr>
      </w:pPr>
      <w:r w:rsidRPr="007608B0">
        <w:rPr>
          <w:rStyle w:val="Refdenotaalpie"/>
          <w:rFonts w:asciiTheme="majorHAnsi" w:hAnsiTheme="majorHAnsi"/>
          <w:sz w:val="16"/>
          <w:szCs w:val="16"/>
        </w:rPr>
        <w:footnoteRef/>
      </w:r>
      <w:r w:rsidRPr="00A34BBD">
        <w:rPr>
          <w:rFonts w:asciiTheme="majorHAnsi" w:hAnsiTheme="majorHAnsi"/>
          <w:sz w:val="16"/>
          <w:szCs w:val="16"/>
          <w:lang w:val="pt-BR"/>
        </w:rPr>
        <w:t>Anexo 21: Protocolo Autopsia de Ramón Molina de 3 de abril de 2003. Anexo al Escrito del Estado de 6 de octubre de 2011.</w:t>
      </w:r>
    </w:p>
  </w:footnote>
  <w:footnote w:id="44">
    <w:p w14:paraId="183B7466" w14:textId="40CD2A8B" w:rsidR="006B16F4" w:rsidRPr="00A34BBD" w:rsidRDefault="006B16F4">
      <w:pPr>
        <w:pStyle w:val="Textonotapie"/>
        <w:rPr>
          <w:lang w:val="pt-BR"/>
        </w:rPr>
      </w:pPr>
      <w:r>
        <w:rPr>
          <w:rStyle w:val="Refdenotaalpie"/>
        </w:rPr>
        <w:footnoteRef/>
      </w:r>
      <w:r w:rsidRPr="00A34BBD">
        <w:rPr>
          <w:lang w:val="pt-BR"/>
        </w:rPr>
        <w:t xml:space="preserve"> Anexo 19: Informe de Trayectoria Balística (N°9700-029) de 1 de mayo de 2006.  Anexo al Escrito del Estado de 6 de octubre de 2011.</w:t>
      </w:r>
    </w:p>
  </w:footnote>
  <w:footnote w:id="45">
    <w:p w14:paraId="68A5EAC0" w14:textId="2E19FE7F" w:rsidR="006B16F4" w:rsidRPr="00D27622" w:rsidRDefault="006B16F4" w:rsidP="002541DE">
      <w:pPr>
        <w:pStyle w:val="Textonotapie"/>
        <w:contextualSpacing/>
        <w:jc w:val="both"/>
        <w:rPr>
          <w:szCs w:val="16"/>
          <w:lang w:val="es-ES"/>
        </w:rPr>
      </w:pPr>
      <w:r w:rsidRPr="00957F33">
        <w:rPr>
          <w:rStyle w:val="Refdenotaalpie"/>
          <w:szCs w:val="16"/>
          <w:lang w:val="es-CO"/>
        </w:rPr>
        <w:footnoteRef/>
      </w:r>
      <w:r w:rsidRPr="00A34BBD">
        <w:rPr>
          <w:rStyle w:val="Refdenotaalpie"/>
          <w:szCs w:val="16"/>
          <w:lang w:val="pt-BR"/>
        </w:rPr>
        <w:t xml:space="preserve"> </w:t>
      </w:r>
      <w:r w:rsidRPr="00A34BBD">
        <w:rPr>
          <w:szCs w:val="16"/>
          <w:lang w:val="pt-BR"/>
        </w:rPr>
        <w:t>Anexo 22: Nota periodística. Diario el Falconario, J.J. López, “Jimmy Guerrero registraba antecedentes” de 3 de abril de 2003.  Anexo a la petición inicial</w:t>
      </w:r>
      <w:r w:rsidRPr="00A34BBD">
        <w:rPr>
          <w:rFonts w:eastAsia="Arial Unicode MS" w:cs="Times New Roman"/>
          <w:szCs w:val="16"/>
          <w:lang w:val="pt-BR" w:eastAsia="en-US"/>
        </w:rPr>
        <w:t>; Anexo 23: N</w:t>
      </w:r>
      <w:r w:rsidRPr="00A34BBD">
        <w:rPr>
          <w:szCs w:val="16"/>
          <w:lang w:val="pt-BR"/>
        </w:rPr>
        <w:t xml:space="preserve">ota periodística Diario el Falconario, J.J. López “acribilladas dos personas frente a una licorería”. </w:t>
      </w:r>
      <w:r>
        <w:rPr>
          <w:szCs w:val="16"/>
          <w:lang w:val="es-VE"/>
        </w:rPr>
        <w:t>Anexo a la petición inicial</w:t>
      </w:r>
      <w:r w:rsidRPr="00957F33">
        <w:rPr>
          <w:szCs w:val="16"/>
          <w:lang w:val="es-VE"/>
        </w:rPr>
        <w:t xml:space="preserve"> </w:t>
      </w:r>
      <w:r>
        <w:rPr>
          <w:szCs w:val="16"/>
          <w:lang w:val="es-VE"/>
        </w:rPr>
        <w:t>(</w:t>
      </w:r>
      <w:r w:rsidRPr="00957F33">
        <w:rPr>
          <w:szCs w:val="16"/>
          <w:lang w:val="es-VE"/>
        </w:rPr>
        <w:t>“cuando los doctores se disponían a intervenir a los pacientes llegaron aproximadamente 20 personas y comenzaron a lanzar piedras al importante centro asistencial, causándoles graves daños materiales […] les gritaban al personal médico que no atendieran a esos dos pacientes porque eran sujetos del mal vivir”</w:t>
      </w:r>
      <w:r>
        <w:rPr>
          <w:szCs w:val="16"/>
          <w:lang w:val="es-VE"/>
        </w:rPr>
        <w:t>).</w:t>
      </w:r>
    </w:p>
  </w:footnote>
  <w:footnote w:id="46">
    <w:p w14:paraId="402BA7E2" w14:textId="16943991" w:rsidR="006B16F4" w:rsidRPr="007608B0" w:rsidRDefault="006B16F4" w:rsidP="002541DE">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HAnsi" w:hAnsiTheme="majorHAnsi"/>
          <w:sz w:val="16"/>
          <w:szCs w:val="16"/>
        </w:rPr>
      </w:pPr>
      <w:r w:rsidRPr="007608B0">
        <w:rPr>
          <w:rStyle w:val="Refdenotaalpie"/>
          <w:rFonts w:asciiTheme="majorHAnsi" w:hAnsiTheme="majorHAnsi"/>
          <w:sz w:val="16"/>
          <w:szCs w:val="16"/>
        </w:rPr>
        <w:footnoteRef/>
      </w:r>
      <w:r w:rsidRPr="00DD4BFB">
        <w:rPr>
          <w:rFonts w:asciiTheme="majorHAnsi" w:hAnsiTheme="majorHAnsi"/>
          <w:sz w:val="16"/>
          <w:szCs w:val="16"/>
          <w:lang w:val="pt-BR"/>
        </w:rPr>
        <w:t xml:space="preserve"> Anexo 24: CICPC. Acta Policial entrevista a Humberto Casas, 3 de abril de 2003. </w:t>
      </w:r>
      <w:r w:rsidRPr="007608B0">
        <w:rPr>
          <w:rFonts w:asciiTheme="majorHAnsi" w:hAnsiTheme="majorHAnsi"/>
          <w:sz w:val="16"/>
          <w:szCs w:val="16"/>
        </w:rPr>
        <w:t xml:space="preserve">Anexo </w:t>
      </w:r>
      <w:r>
        <w:rPr>
          <w:rFonts w:asciiTheme="majorHAnsi" w:hAnsiTheme="majorHAnsi"/>
          <w:sz w:val="16"/>
          <w:szCs w:val="16"/>
        </w:rPr>
        <w:t>al Escrito del Estado de</w:t>
      </w:r>
      <w:r w:rsidRPr="007608B0">
        <w:rPr>
          <w:rFonts w:asciiTheme="majorHAnsi" w:hAnsiTheme="majorHAnsi"/>
          <w:sz w:val="16"/>
          <w:szCs w:val="16"/>
        </w:rPr>
        <w:t xml:space="preserve"> 6 de octubre de 2001.</w:t>
      </w:r>
      <w:r>
        <w:rPr>
          <w:rFonts w:asciiTheme="majorHAnsi" w:hAnsiTheme="majorHAnsi"/>
          <w:sz w:val="16"/>
          <w:szCs w:val="16"/>
        </w:rPr>
        <w:t xml:space="preserve"> Esta </w:t>
      </w:r>
      <w:r w:rsidRPr="00A00AC7">
        <w:rPr>
          <w:rFonts w:asciiTheme="majorHAnsi" w:hAnsiTheme="majorHAnsi"/>
          <w:sz w:val="16"/>
          <w:szCs w:val="16"/>
        </w:rPr>
        <w:t xml:space="preserve">persona declaró que: “[v]eníamos a comprar una caja de cerveza llegando a la Distribuidora Rodríguez, veo como si estaban atracando, ya que vi a un sujeto frente a la Licorería con un arma en la mano que se acachaba y se paraba apuntando para dentro del local, cuando vi eso de inmediato me monté en el carro ya que yo me había abajado y arranqué en retroceso y salí con sentido hacia Punto Fijo, llegando a la Estación de Servicio, siento como si el carro se hubiera espichado un caucho, entonces me metí a la bomba al lugar donde se echa aire y allí mi hijo </w:t>
      </w:r>
      <w:r>
        <w:rPr>
          <w:rFonts w:asciiTheme="majorHAnsi" w:hAnsiTheme="majorHAnsi"/>
          <w:sz w:val="16"/>
          <w:szCs w:val="16"/>
        </w:rPr>
        <w:t xml:space="preserve">[…] </w:t>
      </w:r>
      <w:r w:rsidRPr="00A00AC7">
        <w:rPr>
          <w:rFonts w:asciiTheme="majorHAnsi" w:hAnsiTheme="majorHAnsi"/>
          <w:sz w:val="16"/>
          <w:szCs w:val="16"/>
        </w:rPr>
        <w:t>se bajó para echar aire y yo también me baje y fue cuando vi que estaba un cuerpo debajo del carro”.</w:t>
      </w:r>
      <w:r>
        <w:rPr>
          <w:rFonts w:asciiTheme="majorHAnsi" w:hAnsiTheme="majorHAnsi"/>
          <w:sz w:val="20"/>
          <w:szCs w:val="20"/>
        </w:rPr>
        <w:t xml:space="preserve"> </w:t>
      </w:r>
    </w:p>
  </w:footnote>
  <w:footnote w:id="47">
    <w:p w14:paraId="65D464A9" w14:textId="418F6A27" w:rsidR="006B16F4" w:rsidRPr="007608B0" w:rsidRDefault="006B16F4" w:rsidP="002541DE">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HAnsi" w:hAnsiTheme="majorHAnsi"/>
          <w:sz w:val="16"/>
          <w:szCs w:val="16"/>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 Anexo </w:t>
      </w:r>
      <w:r>
        <w:rPr>
          <w:rFonts w:asciiTheme="majorHAnsi" w:hAnsiTheme="majorHAnsi"/>
          <w:sz w:val="16"/>
          <w:szCs w:val="16"/>
        </w:rPr>
        <w:t>25</w:t>
      </w:r>
      <w:r w:rsidRPr="007608B0">
        <w:rPr>
          <w:rFonts w:asciiTheme="majorHAnsi" w:hAnsiTheme="majorHAnsi"/>
          <w:sz w:val="16"/>
          <w:szCs w:val="16"/>
        </w:rPr>
        <w:t xml:space="preserve">: </w:t>
      </w:r>
      <w:r>
        <w:rPr>
          <w:rFonts w:asciiTheme="majorHAnsi" w:hAnsiTheme="majorHAnsi"/>
          <w:sz w:val="16"/>
          <w:szCs w:val="16"/>
        </w:rPr>
        <w:t xml:space="preserve">CICPC. </w:t>
      </w:r>
      <w:r w:rsidRPr="007608B0">
        <w:rPr>
          <w:rFonts w:asciiTheme="majorHAnsi" w:hAnsiTheme="majorHAnsi"/>
          <w:sz w:val="16"/>
          <w:szCs w:val="16"/>
        </w:rPr>
        <w:t xml:space="preserve">Acta Policial de entrevista a Engle Blanco, 3 de abril de 2003. Anexo </w:t>
      </w:r>
      <w:r>
        <w:rPr>
          <w:rFonts w:asciiTheme="majorHAnsi" w:hAnsiTheme="majorHAnsi"/>
          <w:sz w:val="16"/>
          <w:szCs w:val="16"/>
        </w:rPr>
        <w:t>al Escrito del Estado de</w:t>
      </w:r>
      <w:r w:rsidRPr="007608B0">
        <w:rPr>
          <w:rFonts w:asciiTheme="majorHAnsi" w:hAnsiTheme="majorHAnsi"/>
          <w:sz w:val="16"/>
          <w:szCs w:val="16"/>
        </w:rPr>
        <w:t xml:space="preserve"> 6 de octubre de 20</w:t>
      </w:r>
      <w:r>
        <w:rPr>
          <w:rFonts w:asciiTheme="majorHAnsi" w:hAnsiTheme="majorHAnsi"/>
          <w:sz w:val="16"/>
          <w:szCs w:val="16"/>
        </w:rPr>
        <w:t>1</w:t>
      </w:r>
      <w:r w:rsidRPr="007608B0">
        <w:rPr>
          <w:rFonts w:asciiTheme="majorHAnsi" w:hAnsiTheme="majorHAnsi"/>
          <w:sz w:val="16"/>
          <w:szCs w:val="16"/>
        </w:rPr>
        <w:t>1.</w:t>
      </w:r>
      <w:r>
        <w:rPr>
          <w:rFonts w:asciiTheme="majorHAnsi" w:hAnsiTheme="majorHAnsi"/>
          <w:sz w:val="16"/>
          <w:szCs w:val="16"/>
        </w:rPr>
        <w:t xml:space="preserve"> </w:t>
      </w:r>
      <w:r w:rsidRPr="00A00AC7">
        <w:rPr>
          <w:rFonts w:asciiTheme="majorHAnsi" w:hAnsiTheme="majorHAnsi"/>
          <w:sz w:val="16"/>
          <w:szCs w:val="16"/>
        </w:rPr>
        <w:t>Según su relato, “Resulta que un día sábado, para amanecer Domingo, en horas de la madrugada, yo me encontraba en compañía de mi esposo, un sobrino y mis dos hijos, en un vehículo Rey, y a al llegar a la licorería Rodríguez, habían dos vehículos uno de color rojo, y una camioneta cerrada, la cual no pude observar muy bien su color, mi esposo se baja para comprar una caja de cervezas, cuando dijo están atracando, retrocedió el vehículo y arrancamos, cuando íbamos por la bomba de Santa Irene, mi esposo dice, se me vació un caucho, él se paró y nos bajamos para llenar el caucho de aire, pero nos percatamos de que todo los cauchos están normales, es cuando mi esposo dice aquí tenemos un hombre pegado”. Asimismo, declaró que no hicieron ninguna denuncia ante las autoridades por temor.</w:t>
      </w:r>
      <w:r>
        <w:rPr>
          <w:rFonts w:asciiTheme="majorHAnsi" w:hAnsiTheme="majorHAnsi"/>
          <w:sz w:val="20"/>
          <w:szCs w:val="20"/>
        </w:rPr>
        <w:t xml:space="preserve"> </w:t>
      </w:r>
    </w:p>
  </w:footnote>
  <w:footnote w:id="48">
    <w:p w14:paraId="2026A640" w14:textId="43FA1FF8" w:rsidR="006B16F4" w:rsidRPr="007608B0" w:rsidRDefault="006B16F4" w:rsidP="0083514A">
      <w:pPr>
        <w:pStyle w:val="Textonotapie"/>
        <w:contextualSpacing/>
        <w:jc w:val="both"/>
        <w:rPr>
          <w:szCs w:val="16"/>
          <w:lang w:val="es-CO"/>
        </w:rPr>
      </w:pPr>
      <w:r w:rsidRPr="007608B0">
        <w:rPr>
          <w:szCs w:val="16"/>
          <w:vertAlign w:val="superscript"/>
          <w:lang w:val="es-CO"/>
        </w:rPr>
        <w:footnoteRef/>
      </w:r>
      <w:r w:rsidRPr="007608B0">
        <w:rPr>
          <w:szCs w:val="16"/>
          <w:vertAlign w:val="superscript"/>
          <w:lang w:val="es-CO"/>
        </w:rPr>
        <w:t xml:space="preserve"> </w:t>
      </w:r>
      <w:r w:rsidRPr="007608B0">
        <w:rPr>
          <w:szCs w:val="16"/>
          <w:lang w:val="es-CO"/>
        </w:rPr>
        <w:t xml:space="preserve"> Anexo </w:t>
      </w:r>
      <w:r>
        <w:rPr>
          <w:szCs w:val="16"/>
          <w:lang w:val="es-CO"/>
        </w:rPr>
        <w:t>26:</w:t>
      </w:r>
      <w:r w:rsidRPr="007608B0">
        <w:rPr>
          <w:szCs w:val="16"/>
          <w:lang w:val="es-CO"/>
        </w:rPr>
        <w:t xml:space="preserve"> Comunicación de Jean Carlos Guerrero Meléndez dirigida al Fiscal General y al Defensor del</w:t>
      </w:r>
      <w:r>
        <w:rPr>
          <w:szCs w:val="16"/>
          <w:lang w:val="es-CO"/>
        </w:rPr>
        <w:t xml:space="preserve"> Pueblo.</w:t>
      </w:r>
      <w:r w:rsidRPr="007608B0">
        <w:rPr>
          <w:szCs w:val="16"/>
          <w:lang w:val="es-CO"/>
        </w:rPr>
        <w:t xml:space="preserve"> Anexo </w:t>
      </w:r>
      <w:r>
        <w:rPr>
          <w:szCs w:val="16"/>
          <w:lang w:val="es-CO"/>
        </w:rPr>
        <w:t>al escrito de la parte peticionaria</w:t>
      </w:r>
      <w:r w:rsidRPr="007608B0">
        <w:rPr>
          <w:szCs w:val="16"/>
          <w:lang w:val="es-CO"/>
        </w:rPr>
        <w:t xml:space="preserve"> de 4 de enero de 2012</w:t>
      </w:r>
      <w:r>
        <w:rPr>
          <w:szCs w:val="16"/>
          <w:lang w:val="es-CO"/>
        </w:rPr>
        <w:t>.</w:t>
      </w:r>
    </w:p>
  </w:footnote>
  <w:footnote w:id="49">
    <w:p w14:paraId="05C4AC96" w14:textId="77777777" w:rsidR="006B16F4" w:rsidRPr="007608B0" w:rsidRDefault="006B16F4" w:rsidP="0083514A">
      <w:pPr>
        <w:tabs>
          <w:tab w:val="left" w:pos="540"/>
        </w:tabs>
        <w:contextualSpacing/>
        <w:jc w:val="both"/>
        <w:rPr>
          <w:rFonts w:asciiTheme="majorHAnsi" w:hAnsiTheme="majorHAnsi"/>
          <w:sz w:val="16"/>
          <w:szCs w:val="16"/>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 </w:t>
      </w:r>
      <w:r>
        <w:rPr>
          <w:rFonts w:asciiTheme="majorHAnsi" w:hAnsiTheme="majorHAnsi"/>
          <w:sz w:val="16"/>
          <w:szCs w:val="16"/>
        </w:rPr>
        <w:t xml:space="preserve">CIDH. </w:t>
      </w:r>
      <w:hyperlink r:id="rId11" w:history="1">
        <w:r w:rsidRPr="00ED62E7">
          <w:rPr>
            <w:rStyle w:val="Hipervnculo"/>
            <w:rFonts w:asciiTheme="majorHAnsi" w:hAnsiTheme="majorHAnsi"/>
            <w:sz w:val="16"/>
            <w:szCs w:val="16"/>
          </w:rPr>
          <w:t>Testimonio de Jean Carlos Guerrero Meléndez en Audiencia del 4 de abril de 2016</w:t>
        </w:r>
      </w:hyperlink>
      <w:r w:rsidRPr="007608B0">
        <w:rPr>
          <w:rFonts w:asciiTheme="majorHAnsi" w:hAnsiTheme="majorHAnsi"/>
          <w:sz w:val="16"/>
          <w:szCs w:val="16"/>
        </w:rPr>
        <w:t xml:space="preserve">.  </w:t>
      </w:r>
    </w:p>
  </w:footnote>
  <w:footnote w:id="50">
    <w:p w14:paraId="651DA6F8" w14:textId="7384D2F1" w:rsidR="006B16F4" w:rsidRPr="007608B0" w:rsidRDefault="006B16F4" w:rsidP="00D7172B">
      <w:pPr>
        <w:pStyle w:val="Textonotapie"/>
        <w:contextualSpacing/>
        <w:jc w:val="both"/>
        <w:rPr>
          <w:szCs w:val="16"/>
          <w:lang w:val="es-CO"/>
        </w:rPr>
      </w:pPr>
      <w:r w:rsidRPr="007608B0">
        <w:rPr>
          <w:rStyle w:val="Refdenotaalpie"/>
          <w:szCs w:val="16"/>
        </w:rPr>
        <w:footnoteRef/>
      </w:r>
      <w:r w:rsidRPr="007608B0">
        <w:rPr>
          <w:szCs w:val="16"/>
          <w:lang w:val="es-CO"/>
        </w:rPr>
        <w:t xml:space="preserve"> </w:t>
      </w:r>
      <w:r>
        <w:rPr>
          <w:szCs w:val="16"/>
          <w:lang w:val="es-CO"/>
        </w:rPr>
        <w:t>Ver, entre otras: Anexo 27</w:t>
      </w:r>
      <w:r w:rsidRPr="007608B0">
        <w:rPr>
          <w:szCs w:val="16"/>
          <w:lang w:val="es-CO"/>
        </w:rPr>
        <w:t xml:space="preserve">: Nota periodística. Diario la Mañana, Maiveline Verde, </w:t>
      </w:r>
      <w:r w:rsidRPr="007608B0">
        <w:rPr>
          <w:i/>
          <w:szCs w:val="16"/>
          <w:lang w:val="es-CO"/>
        </w:rPr>
        <w:t xml:space="preserve">Dos muertos en balacera, </w:t>
      </w:r>
      <w:r w:rsidRPr="007608B0">
        <w:rPr>
          <w:szCs w:val="16"/>
          <w:lang w:val="es-CO"/>
        </w:rPr>
        <w:t xml:space="preserve">31 de marzo de 2003. Anexo </w:t>
      </w:r>
      <w:r>
        <w:rPr>
          <w:szCs w:val="16"/>
          <w:lang w:val="es-CO"/>
        </w:rPr>
        <w:t xml:space="preserve">a </w:t>
      </w:r>
      <w:r w:rsidRPr="007608B0">
        <w:rPr>
          <w:szCs w:val="16"/>
          <w:lang w:val="es-CO"/>
        </w:rPr>
        <w:t>la petición inicial</w:t>
      </w:r>
      <w:r>
        <w:rPr>
          <w:rFonts w:eastAsia="Arial Unicode MS" w:cs="Times New Roman"/>
          <w:szCs w:val="16"/>
          <w:lang w:val="es-CO" w:eastAsia="en-US"/>
        </w:rPr>
        <w:t xml:space="preserve">; </w:t>
      </w:r>
      <w:r w:rsidRPr="0080564E">
        <w:rPr>
          <w:szCs w:val="16"/>
          <w:lang w:val="es-VE"/>
        </w:rPr>
        <w:t xml:space="preserve">Anexo </w:t>
      </w:r>
      <w:r>
        <w:rPr>
          <w:szCs w:val="16"/>
          <w:lang w:val="es-VE"/>
        </w:rPr>
        <w:t>28</w:t>
      </w:r>
      <w:r w:rsidRPr="0080564E">
        <w:rPr>
          <w:szCs w:val="16"/>
          <w:lang w:val="es-VE"/>
        </w:rPr>
        <w:t xml:space="preserve">: Nota periodística. Diario La Mañana, Marianela Millán, </w:t>
      </w:r>
      <w:r w:rsidRPr="0080564E">
        <w:rPr>
          <w:i/>
          <w:szCs w:val="16"/>
          <w:lang w:val="es-VE"/>
        </w:rPr>
        <w:t xml:space="preserve">Murieron ajusticiados y no en balacera, </w:t>
      </w:r>
      <w:r w:rsidRPr="0080564E">
        <w:rPr>
          <w:szCs w:val="16"/>
          <w:lang w:val="es-VE"/>
        </w:rPr>
        <w:t xml:space="preserve">4 de abril de 2003. Anexo </w:t>
      </w:r>
      <w:r>
        <w:rPr>
          <w:szCs w:val="16"/>
          <w:lang w:val="es-VE"/>
        </w:rPr>
        <w:t xml:space="preserve">a </w:t>
      </w:r>
      <w:r w:rsidRPr="0080564E">
        <w:rPr>
          <w:szCs w:val="16"/>
          <w:lang w:val="es-VE"/>
        </w:rPr>
        <w:t xml:space="preserve"> la petición inicial; Anexo </w:t>
      </w:r>
      <w:r>
        <w:rPr>
          <w:szCs w:val="16"/>
          <w:lang w:val="es-VE"/>
        </w:rPr>
        <w:t>29</w:t>
      </w:r>
      <w:r w:rsidRPr="0080564E">
        <w:rPr>
          <w:szCs w:val="16"/>
          <w:lang w:val="es-VE"/>
        </w:rPr>
        <w:t xml:space="preserve">: Nota periodística. Diario el Falconario, Ainnett Chirinos, </w:t>
      </w:r>
      <w:r w:rsidRPr="0080564E">
        <w:rPr>
          <w:i/>
          <w:szCs w:val="16"/>
          <w:lang w:val="es-VE"/>
        </w:rPr>
        <w:t>Familiares de Jimmy Guerrero y Ramón Molina responsabilizan a la policía de su muerte</w:t>
      </w:r>
      <w:r w:rsidRPr="0080564E">
        <w:rPr>
          <w:szCs w:val="16"/>
          <w:lang w:val="es-VE"/>
        </w:rPr>
        <w:t xml:space="preserve">, 4 de abril de 2003. Anexo </w:t>
      </w:r>
      <w:r>
        <w:rPr>
          <w:szCs w:val="16"/>
          <w:lang w:val="es-VE"/>
        </w:rPr>
        <w:t>a</w:t>
      </w:r>
      <w:r w:rsidRPr="0080564E">
        <w:rPr>
          <w:szCs w:val="16"/>
          <w:lang w:val="es-VE"/>
        </w:rPr>
        <w:t xml:space="preserve"> la petición inicial</w:t>
      </w:r>
      <w:r>
        <w:rPr>
          <w:szCs w:val="16"/>
          <w:lang w:val="es-VE"/>
        </w:rPr>
        <w:t>.</w:t>
      </w:r>
      <w:r w:rsidRPr="0080564E">
        <w:rPr>
          <w:szCs w:val="16"/>
          <w:lang w:val="es-VE"/>
        </w:rPr>
        <w:t xml:space="preserve"> </w:t>
      </w:r>
    </w:p>
  </w:footnote>
  <w:footnote w:id="51">
    <w:p w14:paraId="3D9B65F0" w14:textId="74CE8053" w:rsidR="006B16F4" w:rsidRPr="007608B0" w:rsidRDefault="006B16F4" w:rsidP="00427EB0">
      <w:pPr>
        <w:pStyle w:val="Textonotapie"/>
        <w:contextualSpacing/>
        <w:jc w:val="both"/>
        <w:rPr>
          <w:szCs w:val="16"/>
          <w:lang w:val="es-CO"/>
        </w:rPr>
      </w:pPr>
      <w:r w:rsidRPr="007608B0">
        <w:rPr>
          <w:rStyle w:val="Refdenotaalpie"/>
          <w:szCs w:val="16"/>
          <w:lang w:val="es-CO"/>
        </w:rPr>
        <w:footnoteRef/>
      </w:r>
      <w:r w:rsidRPr="007608B0">
        <w:rPr>
          <w:szCs w:val="16"/>
          <w:lang w:val="es-CO"/>
        </w:rPr>
        <w:t xml:space="preserve"> Anexo </w:t>
      </w:r>
      <w:r>
        <w:rPr>
          <w:szCs w:val="16"/>
          <w:lang w:val="es-CO"/>
        </w:rPr>
        <w:t>30</w:t>
      </w:r>
      <w:r w:rsidRPr="007608B0">
        <w:rPr>
          <w:szCs w:val="16"/>
          <w:lang w:val="es-CO"/>
        </w:rPr>
        <w:t>: Fiscal Sexto</w:t>
      </w:r>
      <w:r>
        <w:rPr>
          <w:szCs w:val="16"/>
          <w:lang w:val="es-CO"/>
        </w:rPr>
        <w:t>. C</w:t>
      </w:r>
      <w:r w:rsidRPr="007608B0">
        <w:rPr>
          <w:szCs w:val="16"/>
          <w:lang w:val="es-CO"/>
        </w:rPr>
        <w:t xml:space="preserve">omunicación dirigida a Juez de Guardia de Primera Instancia en Funciones de Control del Circuito Judicial Penal del Estado Falcón / Extensión Punto Fijo y Auto de Admisión de Prueba Anticipada. Anexo </w:t>
      </w:r>
      <w:r>
        <w:rPr>
          <w:szCs w:val="16"/>
          <w:lang w:val="es-CO"/>
        </w:rPr>
        <w:t xml:space="preserve">a </w:t>
      </w:r>
      <w:r w:rsidRPr="007608B0">
        <w:rPr>
          <w:szCs w:val="16"/>
          <w:lang w:val="es-CO"/>
        </w:rPr>
        <w:t>la petición inicial</w:t>
      </w:r>
      <w:r>
        <w:rPr>
          <w:rFonts w:eastAsia="Arial Unicode MS" w:cs="Times New Roman"/>
          <w:szCs w:val="16"/>
          <w:lang w:val="es-CO" w:eastAsia="en-US"/>
        </w:rPr>
        <w:t xml:space="preserve">; y </w:t>
      </w:r>
      <w:r>
        <w:rPr>
          <w:szCs w:val="16"/>
          <w:lang w:val="es-CO"/>
        </w:rPr>
        <w:t xml:space="preserve">Anexo 31: </w:t>
      </w:r>
      <w:r w:rsidRPr="007608B0">
        <w:rPr>
          <w:szCs w:val="16"/>
          <w:lang w:val="es-CO"/>
        </w:rPr>
        <w:t>Tribunal</w:t>
      </w:r>
      <w:r>
        <w:rPr>
          <w:szCs w:val="16"/>
          <w:lang w:val="es-CO"/>
        </w:rPr>
        <w:t xml:space="preserve"> Penal. </w:t>
      </w:r>
      <w:r w:rsidRPr="007608B0">
        <w:rPr>
          <w:szCs w:val="16"/>
          <w:lang w:val="es-CO"/>
        </w:rPr>
        <w:t xml:space="preserve"> Acta, 5 de abril de 2003. Anexo </w:t>
      </w:r>
      <w:r>
        <w:rPr>
          <w:szCs w:val="16"/>
          <w:lang w:val="es-CO"/>
        </w:rPr>
        <w:t xml:space="preserve">a </w:t>
      </w:r>
      <w:r w:rsidRPr="007608B0">
        <w:rPr>
          <w:szCs w:val="16"/>
          <w:lang w:val="es-CO"/>
        </w:rPr>
        <w:t>la petición inicial</w:t>
      </w:r>
      <w:r>
        <w:rPr>
          <w:szCs w:val="16"/>
          <w:lang w:val="es-CO"/>
        </w:rPr>
        <w:t>.</w:t>
      </w:r>
      <w:r>
        <w:rPr>
          <w:rFonts w:eastAsia="Arial Unicode MS" w:cs="Times New Roman"/>
          <w:szCs w:val="16"/>
          <w:lang w:val="es-CO" w:eastAsia="en-US"/>
        </w:rPr>
        <w:t xml:space="preserve"> </w:t>
      </w:r>
    </w:p>
  </w:footnote>
  <w:footnote w:id="52">
    <w:p w14:paraId="0DA28CF8" w14:textId="634D33CE" w:rsidR="006B16F4" w:rsidRPr="007608B0" w:rsidRDefault="006B16F4" w:rsidP="00427EB0">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HAnsi" w:hAnsiTheme="majorHAnsi"/>
          <w:sz w:val="16"/>
          <w:szCs w:val="16"/>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 Anexo </w:t>
      </w:r>
      <w:r>
        <w:rPr>
          <w:rFonts w:asciiTheme="majorHAnsi" w:hAnsiTheme="majorHAnsi"/>
          <w:sz w:val="16"/>
          <w:szCs w:val="16"/>
        </w:rPr>
        <w:t>32</w:t>
      </w:r>
      <w:r w:rsidRPr="007608B0">
        <w:rPr>
          <w:rFonts w:asciiTheme="majorHAnsi" w:hAnsiTheme="majorHAnsi"/>
          <w:sz w:val="16"/>
          <w:szCs w:val="16"/>
        </w:rPr>
        <w:t xml:space="preserve">: </w:t>
      </w:r>
      <w:r>
        <w:rPr>
          <w:rFonts w:asciiTheme="majorHAnsi" w:hAnsiTheme="majorHAnsi"/>
          <w:sz w:val="16"/>
          <w:szCs w:val="16"/>
        </w:rPr>
        <w:t>CICPC.</w:t>
      </w:r>
      <w:r w:rsidRPr="007608B0">
        <w:rPr>
          <w:rFonts w:asciiTheme="majorHAnsi" w:hAnsiTheme="majorHAnsi"/>
          <w:sz w:val="16"/>
          <w:szCs w:val="16"/>
        </w:rPr>
        <w:t xml:space="preserve"> Acta de </w:t>
      </w:r>
      <w:r>
        <w:rPr>
          <w:rFonts w:asciiTheme="majorHAnsi" w:hAnsiTheme="majorHAnsi"/>
          <w:sz w:val="16"/>
          <w:szCs w:val="16"/>
        </w:rPr>
        <w:t>e</w:t>
      </w:r>
      <w:r w:rsidRPr="007608B0">
        <w:rPr>
          <w:rFonts w:asciiTheme="majorHAnsi" w:hAnsiTheme="majorHAnsi"/>
          <w:sz w:val="16"/>
          <w:szCs w:val="16"/>
        </w:rPr>
        <w:t xml:space="preserve">ntrevista a Manuel Antonio Diogo, 2 de abril de 2003. Anexo </w:t>
      </w:r>
      <w:r>
        <w:rPr>
          <w:rFonts w:asciiTheme="majorHAnsi" w:hAnsiTheme="majorHAnsi"/>
          <w:sz w:val="16"/>
          <w:szCs w:val="16"/>
        </w:rPr>
        <w:t>a</w:t>
      </w:r>
      <w:r w:rsidRPr="007608B0">
        <w:rPr>
          <w:rFonts w:asciiTheme="majorHAnsi" w:hAnsiTheme="majorHAnsi"/>
          <w:sz w:val="16"/>
          <w:szCs w:val="16"/>
        </w:rPr>
        <w:t xml:space="preserve"> la petición inicial</w:t>
      </w:r>
      <w:r>
        <w:rPr>
          <w:rFonts w:asciiTheme="majorHAnsi" w:hAnsiTheme="majorHAnsi"/>
          <w:sz w:val="16"/>
          <w:szCs w:val="16"/>
        </w:rPr>
        <w:t>.</w:t>
      </w:r>
    </w:p>
  </w:footnote>
  <w:footnote w:id="53">
    <w:p w14:paraId="3006C556" w14:textId="08C4DF65" w:rsidR="006B16F4" w:rsidRPr="007608B0" w:rsidRDefault="006B16F4" w:rsidP="00427EB0">
      <w:pPr>
        <w:pStyle w:val="Textonotapie"/>
        <w:contextualSpacing/>
        <w:jc w:val="both"/>
        <w:rPr>
          <w:szCs w:val="16"/>
          <w:lang w:val="es-CO"/>
        </w:rPr>
      </w:pPr>
      <w:r w:rsidRPr="007608B0">
        <w:rPr>
          <w:rStyle w:val="Refdenotaalpie"/>
          <w:szCs w:val="16"/>
        </w:rPr>
        <w:footnoteRef/>
      </w:r>
      <w:r>
        <w:rPr>
          <w:szCs w:val="16"/>
          <w:lang w:val="es-CO"/>
        </w:rPr>
        <w:t xml:space="preserve"> Anexo 32</w:t>
      </w:r>
      <w:r w:rsidRPr="007608B0">
        <w:rPr>
          <w:szCs w:val="16"/>
          <w:lang w:val="es-CO"/>
        </w:rPr>
        <w:t xml:space="preserve">: </w:t>
      </w:r>
      <w:r>
        <w:rPr>
          <w:szCs w:val="16"/>
          <w:lang w:val="es-CO"/>
        </w:rPr>
        <w:t>CICPC.</w:t>
      </w:r>
      <w:r w:rsidRPr="007608B0">
        <w:rPr>
          <w:szCs w:val="16"/>
          <w:lang w:val="es-CO"/>
        </w:rPr>
        <w:t xml:space="preserve"> Acta de</w:t>
      </w:r>
      <w:r>
        <w:rPr>
          <w:szCs w:val="16"/>
          <w:lang w:val="es-CO"/>
        </w:rPr>
        <w:t xml:space="preserve"> e</w:t>
      </w:r>
      <w:r w:rsidRPr="007608B0">
        <w:rPr>
          <w:szCs w:val="16"/>
          <w:lang w:val="es-CO"/>
        </w:rPr>
        <w:t xml:space="preserve">ntrevista a Manuel Antonio Diogo, 2 de abril de 2003. Anexo </w:t>
      </w:r>
      <w:r>
        <w:rPr>
          <w:szCs w:val="16"/>
          <w:lang w:val="es-CO"/>
        </w:rPr>
        <w:t xml:space="preserve">a </w:t>
      </w:r>
      <w:r w:rsidRPr="007608B0">
        <w:rPr>
          <w:szCs w:val="16"/>
          <w:lang w:val="es-CO"/>
        </w:rPr>
        <w:t>la petición inicial</w:t>
      </w:r>
      <w:r>
        <w:rPr>
          <w:szCs w:val="16"/>
          <w:lang w:val="es-CO"/>
        </w:rPr>
        <w:t>.</w:t>
      </w:r>
    </w:p>
  </w:footnote>
  <w:footnote w:id="54">
    <w:p w14:paraId="0ECD3369" w14:textId="314FA21F" w:rsidR="006B16F4" w:rsidRPr="007608B0" w:rsidRDefault="006B16F4" w:rsidP="00843162">
      <w:pPr>
        <w:pBdr>
          <w:top w:val="none" w:sz="0" w:space="0" w:color="auto"/>
          <w:left w:val="none" w:sz="0" w:space="0" w:color="auto"/>
          <w:bottom w:val="none" w:sz="0" w:space="0" w:color="auto"/>
          <w:right w:val="none" w:sz="0" w:space="0" w:color="auto"/>
          <w:between w:val="none" w:sz="0" w:space="0" w:color="auto"/>
          <w:bar w:val="none" w:sz="0" w:color="auto"/>
        </w:pBdr>
        <w:spacing w:after="60"/>
        <w:contextualSpacing/>
        <w:jc w:val="both"/>
        <w:rPr>
          <w:rFonts w:asciiTheme="majorHAnsi" w:hAnsiTheme="majorHAnsi"/>
          <w:sz w:val="16"/>
          <w:szCs w:val="16"/>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 Anexo </w:t>
      </w:r>
      <w:r>
        <w:rPr>
          <w:rFonts w:asciiTheme="majorHAnsi" w:hAnsiTheme="majorHAnsi"/>
          <w:sz w:val="16"/>
          <w:szCs w:val="16"/>
        </w:rPr>
        <w:t>33</w:t>
      </w:r>
      <w:r w:rsidRPr="007608B0">
        <w:rPr>
          <w:rFonts w:asciiTheme="majorHAnsi" w:hAnsiTheme="majorHAnsi"/>
          <w:sz w:val="16"/>
          <w:szCs w:val="16"/>
        </w:rPr>
        <w:t xml:space="preserve">: </w:t>
      </w:r>
      <w:r>
        <w:rPr>
          <w:rFonts w:asciiTheme="majorHAnsi" w:hAnsiTheme="majorHAnsi"/>
          <w:sz w:val="16"/>
          <w:szCs w:val="16"/>
        </w:rPr>
        <w:t xml:space="preserve">CICPC. Acta </w:t>
      </w:r>
      <w:r w:rsidRPr="007608B0">
        <w:rPr>
          <w:rFonts w:asciiTheme="majorHAnsi" w:hAnsiTheme="majorHAnsi"/>
          <w:sz w:val="16"/>
          <w:szCs w:val="16"/>
        </w:rPr>
        <w:t xml:space="preserve">de </w:t>
      </w:r>
      <w:r>
        <w:rPr>
          <w:rFonts w:asciiTheme="majorHAnsi" w:hAnsiTheme="majorHAnsi"/>
          <w:sz w:val="16"/>
          <w:szCs w:val="16"/>
        </w:rPr>
        <w:t>e</w:t>
      </w:r>
      <w:r w:rsidRPr="007608B0">
        <w:rPr>
          <w:rFonts w:asciiTheme="majorHAnsi" w:hAnsiTheme="majorHAnsi"/>
          <w:sz w:val="16"/>
          <w:szCs w:val="16"/>
        </w:rPr>
        <w:t xml:space="preserve">ntrevista a Leonardo Morillo, 30 de marzo de 2003. Anexo </w:t>
      </w:r>
      <w:r>
        <w:rPr>
          <w:rFonts w:asciiTheme="majorHAnsi" w:hAnsiTheme="majorHAnsi"/>
          <w:sz w:val="16"/>
          <w:szCs w:val="16"/>
        </w:rPr>
        <w:t>al Escrito del Estado de</w:t>
      </w:r>
      <w:r w:rsidRPr="007608B0">
        <w:rPr>
          <w:rFonts w:asciiTheme="majorHAnsi" w:hAnsiTheme="majorHAnsi"/>
          <w:sz w:val="16"/>
          <w:szCs w:val="16"/>
        </w:rPr>
        <w:t xml:space="preserve"> 6 de octubre de 20</w:t>
      </w:r>
      <w:r>
        <w:rPr>
          <w:rFonts w:asciiTheme="majorHAnsi" w:hAnsiTheme="majorHAnsi"/>
          <w:sz w:val="16"/>
          <w:szCs w:val="16"/>
        </w:rPr>
        <w:t>1</w:t>
      </w:r>
      <w:r w:rsidRPr="007608B0">
        <w:rPr>
          <w:rFonts w:asciiTheme="majorHAnsi" w:hAnsiTheme="majorHAnsi"/>
          <w:sz w:val="16"/>
          <w:szCs w:val="16"/>
        </w:rPr>
        <w:t>1.</w:t>
      </w:r>
    </w:p>
  </w:footnote>
  <w:footnote w:id="55">
    <w:p w14:paraId="7139FB57" w14:textId="6A464207" w:rsidR="006B16F4" w:rsidRPr="007608B0" w:rsidRDefault="006B16F4" w:rsidP="004A373E">
      <w:pPr>
        <w:pBdr>
          <w:top w:val="none" w:sz="0" w:space="0" w:color="auto"/>
          <w:left w:val="none" w:sz="0" w:space="0" w:color="auto"/>
          <w:bottom w:val="none" w:sz="0" w:space="0" w:color="auto"/>
          <w:right w:val="none" w:sz="0" w:space="0" w:color="auto"/>
          <w:between w:val="none" w:sz="0" w:space="0" w:color="auto"/>
          <w:bar w:val="none" w:sz="0" w:color="auto"/>
        </w:pBdr>
        <w:spacing w:after="60"/>
        <w:contextualSpacing/>
        <w:jc w:val="both"/>
        <w:rPr>
          <w:rFonts w:asciiTheme="majorHAnsi" w:hAnsiTheme="majorHAnsi"/>
          <w:sz w:val="16"/>
          <w:szCs w:val="16"/>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Anexo </w:t>
      </w:r>
      <w:r>
        <w:rPr>
          <w:rFonts w:asciiTheme="majorHAnsi" w:hAnsiTheme="majorHAnsi"/>
          <w:sz w:val="16"/>
          <w:szCs w:val="16"/>
        </w:rPr>
        <w:t>34</w:t>
      </w:r>
      <w:r w:rsidRPr="007608B0">
        <w:rPr>
          <w:rFonts w:asciiTheme="majorHAnsi" w:hAnsiTheme="majorHAnsi"/>
          <w:sz w:val="16"/>
          <w:szCs w:val="16"/>
        </w:rPr>
        <w:t xml:space="preserve">: </w:t>
      </w:r>
      <w:r>
        <w:rPr>
          <w:rFonts w:asciiTheme="majorHAnsi" w:hAnsiTheme="majorHAnsi"/>
          <w:sz w:val="16"/>
          <w:szCs w:val="16"/>
        </w:rPr>
        <w:t xml:space="preserve">CICPC. </w:t>
      </w:r>
      <w:r w:rsidRPr="007608B0">
        <w:rPr>
          <w:rFonts w:asciiTheme="majorHAnsi" w:hAnsiTheme="majorHAnsi"/>
          <w:sz w:val="16"/>
          <w:szCs w:val="16"/>
        </w:rPr>
        <w:t xml:space="preserve">Acta de entrevista a Horacio Blanco, 1 de abril de 2003. Anexo </w:t>
      </w:r>
      <w:r>
        <w:rPr>
          <w:rFonts w:asciiTheme="majorHAnsi" w:hAnsiTheme="majorHAnsi"/>
          <w:sz w:val="16"/>
          <w:szCs w:val="16"/>
        </w:rPr>
        <w:t>al Escrito del Estado de</w:t>
      </w:r>
      <w:r w:rsidRPr="007608B0">
        <w:rPr>
          <w:rFonts w:asciiTheme="majorHAnsi" w:hAnsiTheme="majorHAnsi"/>
          <w:sz w:val="16"/>
          <w:szCs w:val="16"/>
        </w:rPr>
        <w:t xml:space="preserve"> 6 de octubre de 20</w:t>
      </w:r>
      <w:r>
        <w:rPr>
          <w:rFonts w:asciiTheme="majorHAnsi" w:hAnsiTheme="majorHAnsi"/>
          <w:sz w:val="16"/>
          <w:szCs w:val="16"/>
        </w:rPr>
        <w:t>1</w:t>
      </w:r>
      <w:r w:rsidRPr="007608B0">
        <w:rPr>
          <w:rFonts w:asciiTheme="majorHAnsi" w:hAnsiTheme="majorHAnsi"/>
          <w:sz w:val="16"/>
          <w:szCs w:val="16"/>
        </w:rPr>
        <w:t>1.</w:t>
      </w:r>
    </w:p>
  </w:footnote>
  <w:footnote w:id="56">
    <w:p w14:paraId="586C1B49" w14:textId="66B321B4" w:rsidR="006B16F4" w:rsidRPr="007608B0" w:rsidRDefault="006B16F4" w:rsidP="008C23F9">
      <w:pPr>
        <w:pBdr>
          <w:top w:val="none" w:sz="0" w:space="0" w:color="auto"/>
          <w:left w:val="none" w:sz="0" w:space="0" w:color="auto"/>
          <w:bottom w:val="none" w:sz="0" w:space="0" w:color="auto"/>
          <w:right w:val="none" w:sz="0" w:space="0" w:color="auto"/>
          <w:between w:val="none" w:sz="0" w:space="0" w:color="auto"/>
          <w:bar w:val="none" w:sz="0" w:color="auto"/>
        </w:pBdr>
        <w:spacing w:after="60"/>
        <w:contextualSpacing/>
        <w:jc w:val="both"/>
        <w:rPr>
          <w:rFonts w:asciiTheme="majorHAnsi" w:hAnsiTheme="majorHAnsi"/>
          <w:sz w:val="16"/>
          <w:szCs w:val="16"/>
        </w:rPr>
      </w:pPr>
      <w:r w:rsidRPr="007608B0">
        <w:rPr>
          <w:rStyle w:val="Refdenotaalpie"/>
          <w:rFonts w:asciiTheme="majorHAnsi" w:hAnsiTheme="majorHAnsi"/>
          <w:sz w:val="16"/>
          <w:szCs w:val="16"/>
        </w:rPr>
        <w:footnoteRef/>
      </w:r>
      <w:r>
        <w:rPr>
          <w:rFonts w:asciiTheme="majorHAnsi" w:hAnsiTheme="majorHAnsi"/>
          <w:sz w:val="16"/>
          <w:szCs w:val="16"/>
        </w:rPr>
        <w:t xml:space="preserve"> Anexo 35</w:t>
      </w:r>
      <w:r w:rsidRPr="007608B0">
        <w:rPr>
          <w:rFonts w:asciiTheme="majorHAnsi" w:hAnsiTheme="majorHAnsi"/>
          <w:sz w:val="16"/>
          <w:szCs w:val="16"/>
        </w:rPr>
        <w:t xml:space="preserve">: </w:t>
      </w:r>
      <w:r>
        <w:rPr>
          <w:rFonts w:asciiTheme="majorHAnsi" w:hAnsiTheme="majorHAnsi"/>
          <w:sz w:val="16"/>
          <w:szCs w:val="16"/>
        </w:rPr>
        <w:t>CICPC.</w:t>
      </w:r>
      <w:r w:rsidRPr="007608B0">
        <w:rPr>
          <w:rFonts w:asciiTheme="majorHAnsi" w:hAnsiTheme="majorHAnsi"/>
          <w:sz w:val="16"/>
          <w:szCs w:val="16"/>
        </w:rPr>
        <w:t xml:space="preserve"> Acta de entrevista a Wilmer Enrique Arias</w:t>
      </w:r>
      <w:r>
        <w:rPr>
          <w:rFonts w:asciiTheme="majorHAnsi" w:hAnsiTheme="majorHAnsi"/>
          <w:sz w:val="16"/>
          <w:szCs w:val="16"/>
        </w:rPr>
        <w:t>, 31 de marzo de 2003. Anexo al Escrito del Estado de</w:t>
      </w:r>
      <w:r w:rsidRPr="007608B0">
        <w:rPr>
          <w:rFonts w:asciiTheme="majorHAnsi" w:hAnsiTheme="majorHAnsi"/>
          <w:sz w:val="16"/>
          <w:szCs w:val="16"/>
        </w:rPr>
        <w:t xml:space="preserve"> 6 de octubre de 20</w:t>
      </w:r>
      <w:r>
        <w:rPr>
          <w:rFonts w:asciiTheme="majorHAnsi" w:hAnsiTheme="majorHAnsi"/>
          <w:sz w:val="16"/>
          <w:szCs w:val="16"/>
        </w:rPr>
        <w:t>1</w:t>
      </w:r>
      <w:r w:rsidRPr="007608B0">
        <w:rPr>
          <w:rFonts w:asciiTheme="majorHAnsi" w:hAnsiTheme="majorHAnsi"/>
          <w:sz w:val="16"/>
          <w:szCs w:val="16"/>
        </w:rPr>
        <w:t>1.</w:t>
      </w:r>
    </w:p>
  </w:footnote>
  <w:footnote w:id="57">
    <w:p w14:paraId="465FA1E6" w14:textId="2D08EC41" w:rsidR="006B16F4" w:rsidRPr="007608B0" w:rsidRDefault="006B16F4" w:rsidP="005D3C86">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HAnsi" w:hAnsiTheme="majorHAnsi"/>
          <w:sz w:val="16"/>
          <w:szCs w:val="16"/>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 Anexo </w:t>
      </w:r>
      <w:r>
        <w:rPr>
          <w:rFonts w:asciiTheme="majorHAnsi" w:hAnsiTheme="majorHAnsi"/>
          <w:sz w:val="16"/>
          <w:szCs w:val="16"/>
        </w:rPr>
        <w:t>34</w:t>
      </w:r>
      <w:r w:rsidRPr="007608B0">
        <w:rPr>
          <w:rFonts w:asciiTheme="majorHAnsi" w:hAnsiTheme="majorHAnsi"/>
          <w:sz w:val="16"/>
          <w:szCs w:val="16"/>
        </w:rPr>
        <w:t xml:space="preserve">: </w:t>
      </w:r>
      <w:r>
        <w:rPr>
          <w:rFonts w:asciiTheme="majorHAnsi" w:hAnsiTheme="majorHAnsi"/>
          <w:sz w:val="16"/>
          <w:szCs w:val="16"/>
        </w:rPr>
        <w:t>CICPC.</w:t>
      </w:r>
      <w:r w:rsidRPr="007608B0">
        <w:rPr>
          <w:rFonts w:asciiTheme="majorHAnsi" w:hAnsiTheme="majorHAnsi"/>
          <w:sz w:val="16"/>
          <w:szCs w:val="16"/>
        </w:rPr>
        <w:t xml:space="preserve"> Acta de entrevista a Horacio Blanco, 1 de abril de 2003. Anexo </w:t>
      </w:r>
      <w:r>
        <w:rPr>
          <w:rFonts w:asciiTheme="majorHAnsi" w:hAnsiTheme="majorHAnsi"/>
          <w:sz w:val="16"/>
          <w:szCs w:val="16"/>
        </w:rPr>
        <w:t xml:space="preserve">al Escrito del Estado de 6 de octubre de 2011; </w:t>
      </w:r>
      <w:r w:rsidRPr="007608B0">
        <w:rPr>
          <w:rFonts w:asciiTheme="majorHAnsi" w:hAnsiTheme="majorHAnsi"/>
          <w:sz w:val="16"/>
          <w:szCs w:val="16"/>
        </w:rPr>
        <w:t xml:space="preserve">Anexo </w:t>
      </w:r>
      <w:r>
        <w:rPr>
          <w:rFonts w:asciiTheme="majorHAnsi" w:hAnsiTheme="majorHAnsi"/>
          <w:sz w:val="16"/>
          <w:szCs w:val="16"/>
        </w:rPr>
        <w:t>36</w:t>
      </w:r>
      <w:r w:rsidRPr="007608B0">
        <w:rPr>
          <w:rFonts w:asciiTheme="majorHAnsi" w:hAnsiTheme="majorHAnsi"/>
          <w:sz w:val="16"/>
          <w:szCs w:val="16"/>
        </w:rPr>
        <w:t>: Guard</w:t>
      </w:r>
      <w:r>
        <w:rPr>
          <w:rFonts w:asciiTheme="majorHAnsi" w:hAnsiTheme="majorHAnsi"/>
          <w:sz w:val="16"/>
          <w:szCs w:val="16"/>
        </w:rPr>
        <w:t>ia Nacional, Comando Regional N</w:t>
      </w:r>
      <w:r w:rsidRPr="007608B0">
        <w:rPr>
          <w:rFonts w:asciiTheme="majorHAnsi" w:hAnsiTheme="majorHAnsi"/>
          <w:sz w:val="16"/>
          <w:szCs w:val="16"/>
        </w:rPr>
        <w:t>o</w:t>
      </w:r>
      <w:r>
        <w:rPr>
          <w:rFonts w:asciiTheme="majorHAnsi" w:hAnsiTheme="majorHAnsi"/>
          <w:sz w:val="16"/>
          <w:szCs w:val="16"/>
        </w:rPr>
        <w:t>.</w:t>
      </w:r>
      <w:r w:rsidRPr="007608B0">
        <w:rPr>
          <w:rFonts w:asciiTheme="majorHAnsi" w:hAnsiTheme="majorHAnsi"/>
          <w:sz w:val="16"/>
          <w:szCs w:val="16"/>
        </w:rPr>
        <w:t xml:space="preserve"> 4, Destacamento NRO 44, Comando Jud</w:t>
      </w:r>
      <w:r>
        <w:rPr>
          <w:rFonts w:asciiTheme="majorHAnsi" w:hAnsiTheme="majorHAnsi"/>
          <w:sz w:val="16"/>
          <w:szCs w:val="16"/>
        </w:rPr>
        <w:t>ibama, Acta de e</w:t>
      </w:r>
      <w:r w:rsidRPr="007608B0">
        <w:rPr>
          <w:rFonts w:asciiTheme="majorHAnsi" w:hAnsiTheme="majorHAnsi"/>
          <w:sz w:val="16"/>
          <w:szCs w:val="16"/>
        </w:rPr>
        <w:t xml:space="preserve">ntrevista a Yarelis Guerrero, 2 de abril de 2003. Anexo </w:t>
      </w:r>
      <w:r>
        <w:rPr>
          <w:rFonts w:asciiTheme="majorHAnsi" w:hAnsiTheme="majorHAnsi"/>
          <w:sz w:val="16"/>
          <w:szCs w:val="16"/>
        </w:rPr>
        <w:t>al Escrito del Estado de</w:t>
      </w:r>
      <w:r w:rsidRPr="007608B0">
        <w:rPr>
          <w:rFonts w:asciiTheme="majorHAnsi" w:hAnsiTheme="majorHAnsi"/>
          <w:sz w:val="16"/>
          <w:szCs w:val="16"/>
        </w:rPr>
        <w:t xml:space="preserve"> 6 de octubre de 20</w:t>
      </w:r>
      <w:r>
        <w:rPr>
          <w:rFonts w:asciiTheme="majorHAnsi" w:hAnsiTheme="majorHAnsi"/>
          <w:sz w:val="16"/>
          <w:szCs w:val="16"/>
        </w:rPr>
        <w:t>1</w:t>
      </w:r>
      <w:r w:rsidRPr="007608B0">
        <w:rPr>
          <w:rFonts w:asciiTheme="majorHAnsi" w:hAnsiTheme="majorHAnsi"/>
          <w:sz w:val="16"/>
          <w:szCs w:val="16"/>
        </w:rPr>
        <w:t>1.</w:t>
      </w:r>
    </w:p>
  </w:footnote>
  <w:footnote w:id="58">
    <w:p w14:paraId="5DD2E159" w14:textId="4ED88A67" w:rsidR="006B16F4" w:rsidRPr="007608B0" w:rsidRDefault="006B16F4" w:rsidP="00843162">
      <w:pPr>
        <w:pStyle w:val="Textonotapie"/>
        <w:contextualSpacing/>
        <w:jc w:val="both"/>
        <w:rPr>
          <w:szCs w:val="16"/>
          <w:lang w:val="es-CO"/>
        </w:rPr>
      </w:pPr>
      <w:r w:rsidRPr="007608B0">
        <w:rPr>
          <w:szCs w:val="16"/>
          <w:vertAlign w:val="superscript"/>
          <w:lang w:val="es-CO"/>
        </w:rPr>
        <w:footnoteRef/>
      </w:r>
      <w:r>
        <w:rPr>
          <w:szCs w:val="16"/>
          <w:lang w:val="es-CO"/>
        </w:rPr>
        <w:t xml:space="preserve"> Anexo 37: Fiscal Sexto. </w:t>
      </w:r>
      <w:r w:rsidRPr="007608B0">
        <w:rPr>
          <w:szCs w:val="16"/>
          <w:lang w:val="es-CO"/>
        </w:rPr>
        <w:t xml:space="preserve">Orden de Apertura de Investigación, 30 de marzo de 2003. Anexo </w:t>
      </w:r>
      <w:r>
        <w:rPr>
          <w:szCs w:val="16"/>
          <w:lang w:val="es-CO"/>
        </w:rPr>
        <w:t xml:space="preserve">a </w:t>
      </w:r>
      <w:r w:rsidRPr="007608B0">
        <w:rPr>
          <w:szCs w:val="16"/>
          <w:lang w:val="es-CO"/>
        </w:rPr>
        <w:t>la petición inicial</w:t>
      </w:r>
      <w:r>
        <w:rPr>
          <w:szCs w:val="16"/>
          <w:lang w:val="es-CO"/>
        </w:rPr>
        <w:t>.</w:t>
      </w:r>
    </w:p>
  </w:footnote>
  <w:footnote w:id="59">
    <w:p w14:paraId="7E1C09A4" w14:textId="7C92849B" w:rsidR="006B16F4" w:rsidRPr="007608B0" w:rsidRDefault="006B16F4" w:rsidP="00843162">
      <w:pPr>
        <w:pStyle w:val="Textonotapie"/>
        <w:contextualSpacing/>
        <w:jc w:val="both"/>
        <w:rPr>
          <w:szCs w:val="16"/>
          <w:lang w:val="es-CO"/>
        </w:rPr>
      </w:pPr>
      <w:r w:rsidRPr="007608B0">
        <w:rPr>
          <w:szCs w:val="16"/>
          <w:vertAlign w:val="superscript"/>
          <w:lang w:val="es-CO"/>
        </w:rPr>
        <w:footnoteRef/>
      </w:r>
      <w:r w:rsidRPr="004004D7">
        <w:rPr>
          <w:szCs w:val="16"/>
          <w:vertAlign w:val="superscript"/>
          <w:lang w:val="es-ES"/>
        </w:rPr>
        <w:t xml:space="preserve"> </w:t>
      </w:r>
      <w:r>
        <w:rPr>
          <w:szCs w:val="16"/>
          <w:lang w:val="es-ES"/>
        </w:rPr>
        <w:t>Anexo 38</w:t>
      </w:r>
      <w:r w:rsidRPr="004004D7">
        <w:rPr>
          <w:szCs w:val="16"/>
          <w:lang w:val="es-ES"/>
        </w:rPr>
        <w:t xml:space="preserve">: Oficio DP/DDEF N° 01073-03 (Expediente 11-F6-06.612-03, Pieza N° I, folio 95). </w:t>
      </w:r>
      <w:r w:rsidRPr="007608B0">
        <w:rPr>
          <w:szCs w:val="16"/>
          <w:lang w:val="es-CO"/>
        </w:rPr>
        <w:t>Defensoría del Pueblo</w:t>
      </w:r>
      <w:r>
        <w:rPr>
          <w:szCs w:val="16"/>
          <w:lang w:val="es-CO"/>
        </w:rPr>
        <w:t>.</w:t>
      </w:r>
      <w:r w:rsidRPr="007608B0">
        <w:rPr>
          <w:szCs w:val="16"/>
          <w:lang w:val="es-CO"/>
        </w:rPr>
        <w:t xml:space="preserve"> 14 de mayo de 2003. Anexo</w:t>
      </w:r>
      <w:r>
        <w:rPr>
          <w:szCs w:val="16"/>
          <w:lang w:val="es-CO"/>
        </w:rPr>
        <w:t xml:space="preserve"> a</w:t>
      </w:r>
      <w:r w:rsidRPr="007608B0">
        <w:rPr>
          <w:szCs w:val="16"/>
          <w:lang w:val="es-CO"/>
        </w:rPr>
        <w:t xml:space="preserve"> la petición inicial</w:t>
      </w:r>
      <w:r>
        <w:rPr>
          <w:szCs w:val="16"/>
          <w:lang w:val="es-CO"/>
        </w:rPr>
        <w:t>.</w:t>
      </w:r>
    </w:p>
  </w:footnote>
  <w:footnote w:id="60">
    <w:p w14:paraId="14AAD184" w14:textId="501535BC" w:rsidR="006B16F4" w:rsidRPr="007608B0" w:rsidRDefault="006B16F4" w:rsidP="00843162">
      <w:pPr>
        <w:pStyle w:val="Textonotapie"/>
        <w:contextualSpacing/>
        <w:jc w:val="both"/>
        <w:rPr>
          <w:szCs w:val="16"/>
          <w:lang w:val="es-CO"/>
        </w:rPr>
      </w:pPr>
      <w:r w:rsidRPr="007608B0">
        <w:rPr>
          <w:rStyle w:val="Refdenotaalpie"/>
          <w:szCs w:val="16"/>
        </w:rPr>
        <w:footnoteRef/>
      </w:r>
      <w:r w:rsidRPr="007608B0">
        <w:rPr>
          <w:szCs w:val="16"/>
          <w:lang w:val="es-CO"/>
        </w:rPr>
        <w:t xml:space="preserve"> Anexo </w:t>
      </w:r>
      <w:r>
        <w:rPr>
          <w:szCs w:val="16"/>
          <w:lang w:val="es-CO"/>
        </w:rPr>
        <w:t>39</w:t>
      </w:r>
      <w:r w:rsidRPr="007608B0">
        <w:rPr>
          <w:szCs w:val="16"/>
          <w:lang w:val="es-CO"/>
        </w:rPr>
        <w:t xml:space="preserve">: </w:t>
      </w:r>
      <w:r>
        <w:rPr>
          <w:szCs w:val="16"/>
          <w:lang w:val="es-CO"/>
        </w:rPr>
        <w:t>CICPC. A</w:t>
      </w:r>
      <w:r w:rsidRPr="007608B0">
        <w:rPr>
          <w:szCs w:val="16"/>
          <w:lang w:val="es-CO"/>
        </w:rPr>
        <w:t>cta de inspección en estación de servicios (Exp</w:t>
      </w:r>
      <w:r>
        <w:rPr>
          <w:szCs w:val="16"/>
          <w:lang w:val="es-CO"/>
        </w:rPr>
        <w:t>.</w:t>
      </w:r>
      <w:r w:rsidRPr="007608B0">
        <w:rPr>
          <w:szCs w:val="16"/>
          <w:lang w:val="es-CO"/>
        </w:rPr>
        <w:t xml:space="preserve"> No. G-371.453), 30 de marzo de 2003. Anexo </w:t>
      </w:r>
      <w:r>
        <w:rPr>
          <w:szCs w:val="16"/>
          <w:lang w:val="es-CO"/>
        </w:rPr>
        <w:t xml:space="preserve">a </w:t>
      </w:r>
      <w:r w:rsidRPr="007608B0">
        <w:rPr>
          <w:szCs w:val="16"/>
          <w:lang w:val="es-CO"/>
        </w:rPr>
        <w:t>la petición inicial</w:t>
      </w:r>
      <w:r>
        <w:rPr>
          <w:szCs w:val="16"/>
          <w:lang w:val="es-CO"/>
        </w:rPr>
        <w:t>.</w:t>
      </w:r>
    </w:p>
  </w:footnote>
  <w:footnote w:id="61">
    <w:p w14:paraId="78346F05" w14:textId="13F45A5D" w:rsidR="006B16F4" w:rsidRPr="007608B0" w:rsidRDefault="006B16F4" w:rsidP="00BB46F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HAnsi" w:hAnsiTheme="majorHAnsi"/>
          <w:sz w:val="16"/>
          <w:szCs w:val="16"/>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 Anexo </w:t>
      </w:r>
      <w:r>
        <w:rPr>
          <w:rFonts w:asciiTheme="majorHAnsi" w:hAnsiTheme="majorHAnsi"/>
          <w:sz w:val="16"/>
          <w:szCs w:val="16"/>
        </w:rPr>
        <w:t>40</w:t>
      </w:r>
      <w:r w:rsidRPr="007608B0">
        <w:rPr>
          <w:rFonts w:asciiTheme="majorHAnsi" w:hAnsiTheme="majorHAnsi"/>
          <w:sz w:val="16"/>
          <w:szCs w:val="16"/>
        </w:rPr>
        <w:t xml:space="preserve">: </w:t>
      </w:r>
      <w:r>
        <w:rPr>
          <w:rFonts w:asciiTheme="majorHAnsi" w:hAnsiTheme="majorHAnsi"/>
          <w:sz w:val="16"/>
          <w:szCs w:val="16"/>
        </w:rPr>
        <w:t xml:space="preserve">CICPC. </w:t>
      </w:r>
      <w:r w:rsidRPr="007608B0">
        <w:rPr>
          <w:rFonts w:asciiTheme="majorHAnsi" w:hAnsiTheme="majorHAnsi"/>
          <w:sz w:val="16"/>
          <w:szCs w:val="16"/>
        </w:rPr>
        <w:t>Inspección de Cadáveres Nro. 645, 30 de marzo de 2003.</w:t>
      </w:r>
      <w:r>
        <w:rPr>
          <w:rFonts w:asciiTheme="majorHAnsi" w:hAnsiTheme="majorHAnsi"/>
          <w:sz w:val="16"/>
          <w:szCs w:val="16"/>
        </w:rPr>
        <w:t xml:space="preserve"> Anexo al Escrito del Estado de</w:t>
      </w:r>
      <w:r w:rsidRPr="007608B0">
        <w:rPr>
          <w:rFonts w:asciiTheme="majorHAnsi" w:hAnsiTheme="majorHAnsi"/>
          <w:sz w:val="16"/>
          <w:szCs w:val="16"/>
        </w:rPr>
        <w:t xml:space="preserve"> 6 de octubre de 20</w:t>
      </w:r>
      <w:r>
        <w:rPr>
          <w:rFonts w:asciiTheme="majorHAnsi" w:hAnsiTheme="majorHAnsi"/>
          <w:sz w:val="16"/>
          <w:szCs w:val="16"/>
        </w:rPr>
        <w:t>1</w:t>
      </w:r>
      <w:r w:rsidRPr="007608B0">
        <w:rPr>
          <w:rFonts w:asciiTheme="majorHAnsi" w:hAnsiTheme="majorHAnsi"/>
          <w:sz w:val="16"/>
          <w:szCs w:val="16"/>
        </w:rPr>
        <w:t>1.</w:t>
      </w:r>
    </w:p>
  </w:footnote>
  <w:footnote w:id="62">
    <w:p w14:paraId="0E940A41" w14:textId="203B6A8B" w:rsidR="006B16F4" w:rsidRPr="007608B0" w:rsidRDefault="006B16F4" w:rsidP="00D6553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HAnsi" w:hAnsiTheme="majorHAnsi"/>
          <w:sz w:val="16"/>
          <w:szCs w:val="16"/>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 Anexo </w:t>
      </w:r>
      <w:r>
        <w:rPr>
          <w:rFonts w:asciiTheme="majorHAnsi" w:hAnsiTheme="majorHAnsi"/>
          <w:sz w:val="16"/>
          <w:szCs w:val="16"/>
        </w:rPr>
        <w:t>40</w:t>
      </w:r>
      <w:r w:rsidRPr="007608B0">
        <w:rPr>
          <w:rFonts w:asciiTheme="majorHAnsi" w:hAnsiTheme="majorHAnsi"/>
          <w:sz w:val="16"/>
          <w:szCs w:val="16"/>
        </w:rPr>
        <w:t xml:space="preserve">: </w:t>
      </w:r>
      <w:r w:rsidRPr="001841B2">
        <w:rPr>
          <w:rFonts w:asciiTheme="majorHAnsi" w:hAnsiTheme="majorHAnsi"/>
          <w:sz w:val="16"/>
          <w:szCs w:val="16"/>
          <w:lang w:val="es-ES"/>
        </w:rPr>
        <w:t>CICPC</w:t>
      </w:r>
      <w:r>
        <w:rPr>
          <w:rFonts w:asciiTheme="majorHAnsi" w:hAnsiTheme="majorHAnsi"/>
          <w:sz w:val="16"/>
          <w:szCs w:val="16"/>
          <w:lang w:val="es-ES"/>
        </w:rPr>
        <w:t xml:space="preserve">. </w:t>
      </w:r>
      <w:r w:rsidRPr="007608B0">
        <w:rPr>
          <w:rFonts w:asciiTheme="majorHAnsi" w:hAnsiTheme="majorHAnsi"/>
          <w:sz w:val="16"/>
          <w:szCs w:val="16"/>
        </w:rPr>
        <w:t xml:space="preserve">Inspección de Cadáveres Nro. 645, 30 de marzo de 2003. Anexo </w:t>
      </w:r>
      <w:r>
        <w:rPr>
          <w:rFonts w:asciiTheme="majorHAnsi" w:hAnsiTheme="majorHAnsi"/>
          <w:sz w:val="16"/>
          <w:szCs w:val="16"/>
        </w:rPr>
        <w:t>al Escrito del Estado de</w:t>
      </w:r>
      <w:r w:rsidRPr="007608B0">
        <w:rPr>
          <w:rFonts w:asciiTheme="majorHAnsi" w:hAnsiTheme="majorHAnsi"/>
          <w:sz w:val="16"/>
          <w:szCs w:val="16"/>
        </w:rPr>
        <w:t xml:space="preserve"> 6 de octubre de 20</w:t>
      </w:r>
      <w:r>
        <w:rPr>
          <w:rFonts w:asciiTheme="majorHAnsi" w:hAnsiTheme="majorHAnsi"/>
          <w:sz w:val="16"/>
          <w:szCs w:val="16"/>
        </w:rPr>
        <w:t>1</w:t>
      </w:r>
      <w:r w:rsidRPr="007608B0">
        <w:rPr>
          <w:rFonts w:asciiTheme="majorHAnsi" w:hAnsiTheme="majorHAnsi"/>
          <w:sz w:val="16"/>
          <w:szCs w:val="16"/>
        </w:rPr>
        <w:t>1.</w:t>
      </w:r>
    </w:p>
  </w:footnote>
  <w:footnote w:id="63">
    <w:p w14:paraId="605A27C5" w14:textId="34776E6E" w:rsidR="006B16F4" w:rsidRPr="007608B0" w:rsidRDefault="006B16F4" w:rsidP="00D6553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HAnsi" w:hAnsiTheme="majorHAnsi"/>
          <w:sz w:val="16"/>
          <w:szCs w:val="16"/>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 Anexo </w:t>
      </w:r>
      <w:r>
        <w:rPr>
          <w:rFonts w:asciiTheme="majorHAnsi" w:hAnsiTheme="majorHAnsi"/>
          <w:sz w:val="16"/>
          <w:szCs w:val="16"/>
        </w:rPr>
        <w:t>41</w:t>
      </w:r>
      <w:r w:rsidRPr="007608B0">
        <w:rPr>
          <w:rFonts w:asciiTheme="majorHAnsi" w:hAnsiTheme="majorHAnsi"/>
          <w:sz w:val="16"/>
          <w:szCs w:val="16"/>
        </w:rPr>
        <w:t xml:space="preserve">: </w:t>
      </w:r>
      <w:r>
        <w:rPr>
          <w:rFonts w:asciiTheme="majorHAnsi" w:hAnsiTheme="majorHAnsi"/>
          <w:sz w:val="16"/>
          <w:szCs w:val="16"/>
        </w:rPr>
        <w:t xml:space="preserve">CICPC. </w:t>
      </w:r>
      <w:r w:rsidRPr="007608B0">
        <w:rPr>
          <w:rFonts w:asciiTheme="majorHAnsi" w:hAnsiTheme="majorHAnsi"/>
          <w:sz w:val="16"/>
          <w:szCs w:val="16"/>
        </w:rPr>
        <w:t xml:space="preserve">Inspección de Vía y Vehículo, 30 de marzo de 2003. Anexo </w:t>
      </w:r>
      <w:r>
        <w:rPr>
          <w:rFonts w:asciiTheme="majorHAnsi" w:hAnsiTheme="majorHAnsi"/>
          <w:sz w:val="16"/>
          <w:szCs w:val="16"/>
        </w:rPr>
        <w:t>al Escrito del Estado de 6 de octubre de 201</w:t>
      </w:r>
      <w:r w:rsidRPr="007608B0">
        <w:rPr>
          <w:rFonts w:asciiTheme="majorHAnsi" w:hAnsiTheme="majorHAnsi"/>
          <w:sz w:val="16"/>
          <w:szCs w:val="16"/>
        </w:rPr>
        <w:t>1.</w:t>
      </w:r>
    </w:p>
  </w:footnote>
  <w:footnote w:id="64">
    <w:p w14:paraId="7DB48754" w14:textId="3C61CC31" w:rsidR="006B16F4" w:rsidRPr="007608B0" w:rsidRDefault="006B16F4" w:rsidP="00DE5734">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HAnsi" w:hAnsiTheme="majorHAnsi"/>
          <w:sz w:val="16"/>
          <w:szCs w:val="16"/>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 Anexo </w:t>
      </w:r>
      <w:r>
        <w:rPr>
          <w:rFonts w:asciiTheme="majorHAnsi" w:hAnsiTheme="majorHAnsi"/>
          <w:sz w:val="16"/>
          <w:szCs w:val="16"/>
        </w:rPr>
        <w:t>42</w:t>
      </w:r>
      <w:r w:rsidRPr="007608B0">
        <w:rPr>
          <w:rFonts w:asciiTheme="majorHAnsi" w:hAnsiTheme="majorHAnsi"/>
          <w:sz w:val="16"/>
          <w:szCs w:val="16"/>
        </w:rPr>
        <w:t xml:space="preserve">: Orden de Allanamiento </w:t>
      </w:r>
      <w:r>
        <w:rPr>
          <w:rFonts w:asciiTheme="majorHAnsi" w:hAnsiTheme="majorHAnsi"/>
          <w:sz w:val="16"/>
          <w:szCs w:val="16"/>
        </w:rPr>
        <w:t xml:space="preserve">de </w:t>
      </w:r>
      <w:r w:rsidRPr="007608B0">
        <w:rPr>
          <w:rFonts w:asciiTheme="majorHAnsi" w:hAnsiTheme="majorHAnsi"/>
          <w:sz w:val="16"/>
          <w:szCs w:val="16"/>
        </w:rPr>
        <w:t xml:space="preserve">2 de abril de 2003. Anexo </w:t>
      </w:r>
      <w:r>
        <w:rPr>
          <w:rFonts w:asciiTheme="majorHAnsi" w:hAnsiTheme="majorHAnsi"/>
          <w:sz w:val="16"/>
          <w:szCs w:val="16"/>
        </w:rPr>
        <w:t>al Escrito del Estado de 6 de octubre de 201</w:t>
      </w:r>
      <w:r w:rsidRPr="007608B0">
        <w:rPr>
          <w:rFonts w:asciiTheme="majorHAnsi" w:hAnsiTheme="majorHAnsi"/>
          <w:sz w:val="16"/>
          <w:szCs w:val="16"/>
        </w:rPr>
        <w:t>1.</w:t>
      </w:r>
    </w:p>
  </w:footnote>
  <w:footnote w:id="65">
    <w:p w14:paraId="11B8AEC2" w14:textId="41B8F7A8" w:rsidR="006B16F4" w:rsidRPr="007608B0" w:rsidRDefault="006B16F4" w:rsidP="00DE5734">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HAnsi" w:hAnsiTheme="majorHAnsi"/>
          <w:sz w:val="16"/>
          <w:szCs w:val="16"/>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 Anexo </w:t>
      </w:r>
      <w:r>
        <w:rPr>
          <w:rFonts w:asciiTheme="majorHAnsi" w:hAnsiTheme="majorHAnsi"/>
          <w:sz w:val="16"/>
          <w:szCs w:val="16"/>
        </w:rPr>
        <w:t>43</w:t>
      </w:r>
      <w:r w:rsidRPr="007608B0">
        <w:rPr>
          <w:rFonts w:asciiTheme="majorHAnsi" w:hAnsiTheme="majorHAnsi"/>
          <w:sz w:val="16"/>
          <w:szCs w:val="16"/>
        </w:rPr>
        <w:t xml:space="preserve">: </w:t>
      </w:r>
      <w:r>
        <w:rPr>
          <w:rFonts w:asciiTheme="majorHAnsi" w:hAnsiTheme="majorHAnsi"/>
          <w:sz w:val="16"/>
          <w:szCs w:val="16"/>
        </w:rPr>
        <w:t>CICPC. Acta Policial de</w:t>
      </w:r>
      <w:r w:rsidRPr="007608B0">
        <w:rPr>
          <w:rFonts w:asciiTheme="majorHAnsi" w:hAnsiTheme="majorHAnsi"/>
          <w:sz w:val="16"/>
          <w:szCs w:val="16"/>
        </w:rPr>
        <w:t xml:space="preserve"> 3 de abril de 2003. Anexo </w:t>
      </w:r>
      <w:r>
        <w:rPr>
          <w:rFonts w:asciiTheme="majorHAnsi" w:hAnsiTheme="majorHAnsi"/>
          <w:sz w:val="16"/>
          <w:szCs w:val="16"/>
        </w:rPr>
        <w:t>al Escrito del Estado de 6 de octubre de 201</w:t>
      </w:r>
      <w:r w:rsidRPr="007608B0">
        <w:rPr>
          <w:rFonts w:asciiTheme="majorHAnsi" w:hAnsiTheme="majorHAnsi"/>
          <w:sz w:val="16"/>
          <w:szCs w:val="16"/>
        </w:rPr>
        <w:t>1.</w:t>
      </w:r>
    </w:p>
  </w:footnote>
  <w:footnote w:id="66">
    <w:p w14:paraId="75150B16" w14:textId="0BA5DA26" w:rsidR="006B16F4" w:rsidRPr="007608B0" w:rsidRDefault="006B16F4" w:rsidP="00843162">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HAnsi" w:hAnsiTheme="majorHAnsi"/>
          <w:sz w:val="16"/>
          <w:szCs w:val="16"/>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 Anexo </w:t>
      </w:r>
      <w:r>
        <w:rPr>
          <w:rFonts w:asciiTheme="majorHAnsi" w:hAnsiTheme="majorHAnsi"/>
          <w:sz w:val="16"/>
          <w:szCs w:val="16"/>
        </w:rPr>
        <w:t>44</w:t>
      </w:r>
      <w:r w:rsidRPr="007608B0">
        <w:rPr>
          <w:rFonts w:asciiTheme="majorHAnsi" w:hAnsiTheme="majorHAnsi"/>
          <w:sz w:val="16"/>
          <w:szCs w:val="16"/>
        </w:rPr>
        <w:t xml:space="preserve">: </w:t>
      </w:r>
      <w:r>
        <w:rPr>
          <w:rFonts w:asciiTheme="majorHAnsi" w:hAnsiTheme="majorHAnsi"/>
          <w:sz w:val="16"/>
          <w:szCs w:val="16"/>
        </w:rPr>
        <w:t>CICPC.</w:t>
      </w:r>
      <w:r w:rsidRPr="007608B0">
        <w:rPr>
          <w:rFonts w:asciiTheme="majorHAnsi" w:hAnsiTheme="majorHAnsi"/>
          <w:sz w:val="16"/>
          <w:szCs w:val="16"/>
        </w:rPr>
        <w:t xml:space="preserve"> Oficio No. 9700-175-3477, Oficio No. 9700-175-3481, 1 de abril de 2003. Anexo</w:t>
      </w:r>
      <w:r>
        <w:rPr>
          <w:rFonts w:asciiTheme="majorHAnsi" w:hAnsiTheme="majorHAnsi"/>
          <w:sz w:val="16"/>
          <w:szCs w:val="16"/>
        </w:rPr>
        <w:t xml:space="preserve"> de la petición inicial.</w:t>
      </w:r>
    </w:p>
  </w:footnote>
  <w:footnote w:id="67">
    <w:p w14:paraId="43573730" w14:textId="68A979EE" w:rsidR="006B16F4" w:rsidRPr="007608B0" w:rsidRDefault="006B16F4" w:rsidP="00C620E8">
      <w:pPr>
        <w:pStyle w:val="Textonotapie"/>
        <w:contextualSpacing/>
        <w:jc w:val="both"/>
        <w:rPr>
          <w:szCs w:val="16"/>
          <w:lang w:val="es-CO"/>
        </w:rPr>
      </w:pPr>
      <w:r w:rsidRPr="007608B0">
        <w:rPr>
          <w:szCs w:val="16"/>
          <w:vertAlign w:val="superscript"/>
          <w:lang w:val="es-CO"/>
        </w:rPr>
        <w:footnoteRef/>
      </w:r>
      <w:r w:rsidRPr="007608B0">
        <w:rPr>
          <w:szCs w:val="16"/>
          <w:vertAlign w:val="superscript"/>
          <w:lang w:val="es-CO"/>
        </w:rPr>
        <w:t xml:space="preserve"> </w:t>
      </w:r>
      <w:r w:rsidRPr="007608B0">
        <w:rPr>
          <w:szCs w:val="16"/>
          <w:lang w:val="es-CO"/>
        </w:rPr>
        <w:t xml:space="preserve">Anexo </w:t>
      </w:r>
      <w:r>
        <w:rPr>
          <w:szCs w:val="16"/>
          <w:lang w:val="es-CO"/>
        </w:rPr>
        <w:t>45</w:t>
      </w:r>
      <w:r w:rsidRPr="007608B0">
        <w:rPr>
          <w:szCs w:val="16"/>
          <w:lang w:val="es-CO"/>
        </w:rPr>
        <w:t xml:space="preserve">: </w:t>
      </w:r>
      <w:r>
        <w:rPr>
          <w:szCs w:val="16"/>
          <w:lang w:val="es-CO"/>
        </w:rPr>
        <w:t xml:space="preserve">CICPC. </w:t>
      </w:r>
      <w:r w:rsidRPr="007608B0">
        <w:rPr>
          <w:szCs w:val="16"/>
          <w:lang w:val="es-CO"/>
        </w:rPr>
        <w:t xml:space="preserve">Oficio No. 9700-175-3883, del 21 de mayo de 2004. </w:t>
      </w:r>
      <w:r>
        <w:rPr>
          <w:szCs w:val="16"/>
          <w:lang w:val="es-CO"/>
        </w:rPr>
        <w:t xml:space="preserve">Anexo a la petición inicial. </w:t>
      </w:r>
    </w:p>
  </w:footnote>
  <w:footnote w:id="68">
    <w:p w14:paraId="03ED115F" w14:textId="44F6EB24" w:rsidR="006B16F4" w:rsidRPr="007608B0" w:rsidRDefault="006B16F4" w:rsidP="00C620E8">
      <w:pPr>
        <w:pStyle w:val="Textonotapie"/>
        <w:contextualSpacing/>
        <w:jc w:val="both"/>
        <w:rPr>
          <w:szCs w:val="16"/>
          <w:lang w:val="es-CO"/>
        </w:rPr>
      </w:pPr>
      <w:r w:rsidRPr="007608B0">
        <w:rPr>
          <w:szCs w:val="16"/>
          <w:vertAlign w:val="superscript"/>
          <w:lang w:val="es-CO"/>
        </w:rPr>
        <w:footnoteRef/>
      </w:r>
      <w:r w:rsidRPr="007608B0">
        <w:rPr>
          <w:szCs w:val="16"/>
          <w:lang w:val="es-CO"/>
        </w:rPr>
        <w:t xml:space="preserve"> Anexo </w:t>
      </w:r>
      <w:r>
        <w:rPr>
          <w:szCs w:val="16"/>
          <w:lang w:val="es-CO"/>
        </w:rPr>
        <w:t>46</w:t>
      </w:r>
      <w:r w:rsidRPr="007608B0">
        <w:rPr>
          <w:szCs w:val="16"/>
          <w:lang w:val="es-CO"/>
        </w:rPr>
        <w:t xml:space="preserve">: </w:t>
      </w:r>
      <w:r>
        <w:rPr>
          <w:szCs w:val="16"/>
          <w:lang w:val="es-CO"/>
        </w:rPr>
        <w:t>CICPC.</w:t>
      </w:r>
      <w:r w:rsidRPr="007608B0">
        <w:rPr>
          <w:szCs w:val="16"/>
          <w:lang w:val="es-CO"/>
        </w:rPr>
        <w:t xml:space="preserve"> Oficio No. 9700-175-3883, del 21 de mayo de 2004. </w:t>
      </w:r>
      <w:r>
        <w:rPr>
          <w:szCs w:val="16"/>
          <w:lang w:val="es-CO"/>
        </w:rPr>
        <w:t xml:space="preserve">Anexo a la petición inicial. </w:t>
      </w:r>
    </w:p>
  </w:footnote>
  <w:footnote w:id="69">
    <w:p w14:paraId="38C01053" w14:textId="1951391C" w:rsidR="006B16F4" w:rsidRPr="007608B0" w:rsidRDefault="006B16F4" w:rsidP="00E30D68">
      <w:pPr>
        <w:pStyle w:val="Textonotapie"/>
        <w:jc w:val="both"/>
        <w:rPr>
          <w:szCs w:val="16"/>
          <w:lang w:val="es-CO"/>
        </w:rPr>
      </w:pPr>
      <w:r w:rsidRPr="007608B0">
        <w:rPr>
          <w:rStyle w:val="Refdenotaalpie"/>
          <w:szCs w:val="16"/>
        </w:rPr>
        <w:footnoteRef/>
      </w:r>
      <w:r w:rsidRPr="007608B0">
        <w:rPr>
          <w:szCs w:val="16"/>
          <w:lang w:val="es-CO"/>
        </w:rPr>
        <w:t xml:space="preserve"> Anexo </w:t>
      </w:r>
      <w:r>
        <w:rPr>
          <w:szCs w:val="16"/>
          <w:lang w:val="es-CO"/>
        </w:rPr>
        <w:t>47</w:t>
      </w:r>
      <w:r w:rsidRPr="007608B0">
        <w:rPr>
          <w:szCs w:val="16"/>
          <w:lang w:val="es-CO"/>
        </w:rPr>
        <w:t xml:space="preserve">: </w:t>
      </w:r>
      <w:r w:rsidRPr="001841B2">
        <w:rPr>
          <w:szCs w:val="16"/>
          <w:lang w:val="es-ES"/>
        </w:rPr>
        <w:t>CICPC</w:t>
      </w:r>
      <w:r>
        <w:rPr>
          <w:szCs w:val="16"/>
          <w:lang w:val="es-ES"/>
        </w:rPr>
        <w:t xml:space="preserve">. </w:t>
      </w:r>
      <w:r w:rsidRPr="007608B0">
        <w:rPr>
          <w:szCs w:val="16"/>
          <w:lang w:val="es-CO"/>
        </w:rPr>
        <w:t xml:space="preserve">Oficio No. 9700-1759836 (Expediente 11-F6-06.612-03, Pieza N° I, folio 96), del 26 de mayo de 2003. </w:t>
      </w:r>
      <w:r>
        <w:rPr>
          <w:szCs w:val="16"/>
          <w:lang w:val="es-CO"/>
        </w:rPr>
        <w:t>Anexo de la petición inicial</w:t>
      </w:r>
      <w:r>
        <w:rPr>
          <w:rFonts w:eastAsia="Arial Unicode MS" w:cs="Times New Roman"/>
          <w:szCs w:val="16"/>
          <w:lang w:val="es-CO" w:eastAsia="en-US"/>
        </w:rPr>
        <w:t xml:space="preserve">; </w:t>
      </w:r>
      <w:r w:rsidRPr="007608B0">
        <w:rPr>
          <w:szCs w:val="16"/>
          <w:lang w:val="es-CO"/>
        </w:rPr>
        <w:t xml:space="preserve">Anexo </w:t>
      </w:r>
      <w:r>
        <w:rPr>
          <w:szCs w:val="16"/>
          <w:lang w:val="es-CO"/>
        </w:rPr>
        <w:t>48</w:t>
      </w:r>
      <w:r w:rsidRPr="007608B0">
        <w:rPr>
          <w:szCs w:val="16"/>
          <w:lang w:val="es-CO"/>
        </w:rPr>
        <w:t xml:space="preserve">: </w:t>
      </w:r>
      <w:r>
        <w:rPr>
          <w:szCs w:val="16"/>
          <w:lang w:val="es-CO"/>
        </w:rPr>
        <w:t xml:space="preserve">CICPC. </w:t>
      </w:r>
      <w:r w:rsidRPr="007608B0">
        <w:rPr>
          <w:szCs w:val="16"/>
          <w:lang w:val="es-CO"/>
        </w:rPr>
        <w:t>Oficio No. 9700-175-3881, de 21 de mayo de 2004.</w:t>
      </w:r>
      <w:r>
        <w:rPr>
          <w:szCs w:val="16"/>
          <w:lang w:val="es-CO"/>
        </w:rPr>
        <w:t xml:space="preserve"> Anexo a la petición inicial; </w:t>
      </w:r>
      <w:r>
        <w:rPr>
          <w:szCs w:val="16"/>
          <w:lang w:val="es-ES"/>
        </w:rPr>
        <w:t xml:space="preserve">Anexo 49: CICPC. </w:t>
      </w:r>
      <w:r w:rsidRPr="00C55194">
        <w:rPr>
          <w:szCs w:val="16"/>
          <w:lang w:val="es-ES"/>
        </w:rPr>
        <w:t>Oficio No. 9700-175-</w:t>
      </w:r>
      <w:r>
        <w:rPr>
          <w:szCs w:val="16"/>
          <w:lang w:val="es-ES"/>
        </w:rPr>
        <w:t xml:space="preserve">05906 del 17 de agosto de 2004, </w:t>
      </w:r>
      <w:r>
        <w:rPr>
          <w:szCs w:val="16"/>
          <w:lang w:val="es-CO"/>
        </w:rPr>
        <w:t>Oficio No. 9700-175-05907, del 17 de agosto de 2004. Anexo a la petición inicial</w:t>
      </w:r>
      <w:r>
        <w:rPr>
          <w:szCs w:val="16"/>
          <w:lang w:val="es-ES"/>
        </w:rPr>
        <w:t>;</w:t>
      </w:r>
      <w:r w:rsidRPr="00C55194">
        <w:rPr>
          <w:szCs w:val="16"/>
          <w:lang w:val="es-CO"/>
        </w:rPr>
        <w:t xml:space="preserve"> </w:t>
      </w:r>
      <w:r>
        <w:rPr>
          <w:szCs w:val="16"/>
          <w:lang w:val="es-CO"/>
        </w:rPr>
        <w:t>Anexo 50</w:t>
      </w:r>
      <w:r w:rsidRPr="007608B0">
        <w:rPr>
          <w:szCs w:val="16"/>
          <w:lang w:val="es-CO"/>
        </w:rPr>
        <w:t xml:space="preserve">: </w:t>
      </w:r>
      <w:r>
        <w:rPr>
          <w:szCs w:val="16"/>
          <w:lang w:val="es-CO"/>
        </w:rPr>
        <w:t xml:space="preserve">CICPC. </w:t>
      </w:r>
      <w:r w:rsidRPr="007608B0">
        <w:rPr>
          <w:szCs w:val="16"/>
          <w:lang w:val="es-CO"/>
        </w:rPr>
        <w:t xml:space="preserve">No. 9700-175-1085, del 9 de febrero de 2005; </w:t>
      </w:r>
      <w:r>
        <w:rPr>
          <w:szCs w:val="16"/>
          <w:lang w:val="es-CO"/>
        </w:rPr>
        <w:t xml:space="preserve">CICPC. </w:t>
      </w:r>
      <w:r w:rsidRPr="007608B0">
        <w:rPr>
          <w:szCs w:val="16"/>
          <w:lang w:val="es-CO"/>
        </w:rPr>
        <w:t>Oficio No. 9700-175-1088, del 9 de febrero de 2005.</w:t>
      </w:r>
      <w:r w:rsidRPr="007608B0">
        <w:rPr>
          <w:rStyle w:val="Refdenotaalpie"/>
          <w:szCs w:val="16"/>
          <w:lang w:val="es-CO"/>
        </w:rPr>
        <w:t xml:space="preserve"> </w:t>
      </w:r>
      <w:r w:rsidRPr="007608B0">
        <w:rPr>
          <w:szCs w:val="16"/>
          <w:lang w:val="es-CO"/>
        </w:rPr>
        <w:t xml:space="preserve">Anexo </w:t>
      </w:r>
      <w:r>
        <w:rPr>
          <w:szCs w:val="16"/>
          <w:lang w:val="es-CO"/>
        </w:rPr>
        <w:t xml:space="preserve">a </w:t>
      </w:r>
      <w:r w:rsidRPr="007608B0">
        <w:rPr>
          <w:szCs w:val="16"/>
          <w:lang w:val="es-CO"/>
        </w:rPr>
        <w:t>la petición inicial</w:t>
      </w:r>
      <w:r>
        <w:rPr>
          <w:szCs w:val="16"/>
          <w:lang w:val="es-CO"/>
        </w:rPr>
        <w:t>.</w:t>
      </w:r>
    </w:p>
  </w:footnote>
  <w:footnote w:id="70">
    <w:p w14:paraId="3B3F1D70" w14:textId="7A869B04" w:rsidR="006B16F4" w:rsidRPr="007608B0" w:rsidRDefault="006B16F4" w:rsidP="00D337AC">
      <w:pPr>
        <w:pStyle w:val="Textonotapie"/>
        <w:contextualSpacing/>
        <w:jc w:val="both"/>
        <w:rPr>
          <w:szCs w:val="16"/>
          <w:lang w:val="es-CO"/>
        </w:rPr>
      </w:pPr>
      <w:r w:rsidRPr="007608B0">
        <w:rPr>
          <w:szCs w:val="16"/>
          <w:vertAlign w:val="superscript"/>
          <w:lang w:val="es-CO"/>
        </w:rPr>
        <w:footnoteRef/>
      </w:r>
      <w:r w:rsidRPr="00DD4BFB">
        <w:rPr>
          <w:szCs w:val="16"/>
          <w:lang w:val="es-PE"/>
        </w:rPr>
        <w:t xml:space="preserve"> Anexo 51: Fiscal Sexto. Oficio No. </w:t>
      </w:r>
      <w:r w:rsidRPr="007608B0">
        <w:rPr>
          <w:szCs w:val="16"/>
          <w:lang w:val="es-CO"/>
        </w:rPr>
        <w:t xml:space="preserve">FAL-06-04-01.131, del 22 de julio de 2004. </w:t>
      </w:r>
      <w:r>
        <w:rPr>
          <w:szCs w:val="16"/>
          <w:lang w:val="es-CO"/>
        </w:rPr>
        <w:t xml:space="preserve">Anexo a la petición inicial. </w:t>
      </w:r>
    </w:p>
  </w:footnote>
  <w:footnote w:id="71">
    <w:p w14:paraId="7F5930FE" w14:textId="2AE2FE1D" w:rsidR="006B16F4" w:rsidRPr="007608B0" w:rsidRDefault="006B16F4" w:rsidP="00D337AC">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contextualSpacing/>
        <w:jc w:val="both"/>
        <w:rPr>
          <w:rFonts w:asciiTheme="majorHAnsi" w:hAnsiTheme="majorHAnsi"/>
          <w:sz w:val="16"/>
          <w:szCs w:val="16"/>
        </w:rPr>
      </w:pPr>
      <w:r w:rsidRPr="007608B0">
        <w:rPr>
          <w:rStyle w:val="Refdenotaalpie"/>
          <w:rFonts w:asciiTheme="majorHAnsi" w:hAnsiTheme="majorHAnsi"/>
          <w:sz w:val="16"/>
          <w:szCs w:val="16"/>
        </w:rPr>
        <w:footnoteRef/>
      </w:r>
      <w:r w:rsidRPr="00E47370">
        <w:rPr>
          <w:rFonts w:asciiTheme="majorHAnsi" w:hAnsiTheme="majorHAnsi"/>
          <w:sz w:val="16"/>
          <w:szCs w:val="16"/>
          <w:lang w:val="es-ES"/>
        </w:rPr>
        <w:t xml:space="preserve"> Anexo </w:t>
      </w:r>
      <w:r>
        <w:rPr>
          <w:rFonts w:asciiTheme="majorHAnsi" w:hAnsiTheme="majorHAnsi"/>
          <w:sz w:val="16"/>
          <w:szCs w:val="16"/>
          <w:lang w:val="es-ES"/>
        </w:rPr>
        <w:t>52</w:t>
      </w:r>
      <w:r w:rsidRPr="00E47370">
        <w:rPr>
          <w:rFonts w:asciiTheme="majorHAnsi" w:hAnsiTheme="majorHAnsi"/>
          <w:sz w:val="16"/>
          <w:szCs w:val="16"/>
          <w:lang w:val="es-ES"/>
        </w:rPr>
        <w:t xml:space="preserve">: </w:t>
      </w:r>
      <w:r w:rsidRPr="007608B0">
        <w:rPr>
          <w:rFonts w:asciiTheme="majorHAnsi" w:hAnsiTheme="majorHAnsi"/>
          <w:sz w:val="16"/>
          <w:szCs w:val="16"/>
        </w:rPr>
        <w:t xml:space="preserve">Fiscalía </w:t>
      </w:r>
      <w:r>
        <w:rPr>
          <w:rFonts w:asciiTheme="majorHAnsi" w:hAnsiTheme="majorHAnsi"/>
          <w:sz w:val="16"/>
          <w:szCs w:val="16"/>
        </w:rPr>
        <w:t xml:space="preserve">17. </w:t>
      </w:r>
      <w:r w:rsidRPr="00E47370">
        <w:rPr>
          <w:rFonts w:asciiTheme="majorHAnsi" w:hAnsiTheme="majorHAnsi"/>
          <w:sz w:val="16"/>
          <w:szCs w:val="16"/>
          <w:lang w:val="es-ES"/>
        </w:rPr>
        <w:t>Of</w:t>
      </w:r>
      <w:r>
        <w:rPr>
          <w:rFonts w:asciiTheme="majorHAnsi" w:hAnsiTheme="majorHAnsi"/>
          <w:sz w:val="16"/>
          <w:szCs w:val="16"/>
          <w:lang w:val="es-ES"/>
        </w:rPr>
        <w:t>.</w:t>
      </w:r>
      <w:r w:rsidRPr="00E47370">
        <w:rPr>
          <w:rFonts w:asciiTheme="majorHAnsi" w:hAnsiTheme="majorHAnsi"/>
          <w:sz w:val="16"/>
          <w:szCs w:val="16"/>
          <w:lang w:val="es-ES"/>
        </w:rPr>
        <w:t xml:space="preserve"> FAL17-399-2014</w:t>
      </w:r>
      <w:r>
        <w:rPr>
          <w:rFonts w:asciiTheme="majorHAnsi" w:hAnsiTheme="majorHAnsi"/>
          <w:sz w:val="16"/>
          <w:szCs w:val="16"/>
        </w:rPr>
        <w:t xml:space="preserve">, </w:t>
      </w:r>
      <w:r w:rsidRPr="007608B0">
        <w:rPr>
          <w:rFonts w:asciiTheme="majorHAnsi" w:hAnsiTheme="majorHAnsi"/>
          <w:sz w:val="16"/>
          <w:szCs w:val="16"/>
        </w:rPr>
        <w:t xml:space="preserve">27 de marzo de 2014. Anexo </w:t>
      </w:r>
      <w:r>
        <w:rPr>
          <w:rFonts w:asciiTheme="majorHAnsi" w:hAnsiTheme="majorHAnsi"/>
          <w:sz w:val="16"/>
          <w:szCs w:val="16"/>
        </w:rPr>
        <w:t xml:space="preserve">al escrito de la parte peticionaria, </w:t>
      </w:r>
      <w:r w:rsidRPr="007608B0">
        <w:rPr>
          <w:rFonts w:asciiTheme="majorHAnsi" w:hAnsiTheme="majorHAnsi"/>
          <w:sz w:val="16"/>
          <w:szCs w:val="16"/>
        </w:rPr>
        <w:t>24 de abril de 2017.</w:t>
      </w:r>
    </w:p>
  </w:footnote>
  <w:footnote w:id="72">
    <w:p w14:paraId="1BB98247" w14:textId="5F5C8920" w:rsidR="006B16F4" w:rsidRPr="007608B0" w:rsidRDefault="006B16F4" w:rsidP="00D337AC">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contextualSpacing/>
        <w:jc w:val="both"/>
        <w:rPr>
          <w:rFonts w:asciiTheme="majorHAnsi" w:hAnsiTheme="majorHAnsi"/>
          <w:sz w:val="16"/>
          <w:szCs w:val="16"/>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 Anexo</w:t>
      </w:r>
      <w:r>
        <w:rPr>
          <w:rFonts w:asciiTheme="majorHAnsi" w:hAnsiTheme="majorHAnsi"/>
          <w:sz w:val="16"/>
          <w:szCs w:val="16"/>
        </w:rPr>
        <w:t xml:space="preserve"> 53</w:t>
      </w:r>
      <w:r w:rsidRPr="007608B0">
        <w:rPr>
          <w:rFonts w:asciiTheme="majorHAnsi" w:hAnsiTheme="majorHAnsi"/>
          <w:sz w:val="16"/>
          <w:szCs w:val="16"/>
        </w:rPr>
        <w:t xml:space="preserve">: Acta policial sobre la destrucción de los libros, 27 de marzo de 2014. Anexo </w:t>
      </w:r>
      <w:r>
        <w:rPr>
          <w:rFonts w:asciiTheme="majorHAnsi" w:hAnsiTheme="majorHAnsi"/>
          <w:sz w:val="16"/>
          <w:szCs w:val="16"/>
        </w:rPr>
        <w:t xml:space="preserve">al escrito de la parte peticionaria, </w:t>
      </w:r>
      <w:r w:rsidRPr="007608B0">
        <w:rPr>
          <w:rFonts w:asciiTheme="majorHAnsi" w:hAnsiTheme="majorHAnsi"/>
          <w:sz w:val="16"/>
          <w:szCs w:val="16"/>
        </w:rPr>
        <w:t>24 de abril de 2017.</w:t>
      </w:r>
    </w:p>
  </w:footnote>
  <w:footnote w:id="73">
    <w:p w14:paraId="36C796F7" w14:textId="7AF3F94F" w:rsidR="006B16F4" w:rsidRPr="007608B0" w:rsidRDefault="006B16F4" w:rsidP="00900349">
      <w:pPr>
        <w:pStyle w:val="Textonotapie"/>
        <w:contextualSpacing/>
        <w:jc w:val="both"/>
        <w:rPr>
          <w:szCs w:val="16"/>
          <w:lang w:val="es-CO"/>
        </w:rPr>
      </w:pPr>
      <w:r w:rsidRPr="007608B0">
        <w:rPr>
          <w:szCs w:val="16"/>
          <w:vertAlign w:val="superscript"/>
          <w:lang w:val="es-CO"/>
        </w:rPr>
        <w:footnoteRef/>
      </w:r>
      <w:r w:rsidRPr="007608B0">
        <w:rPr>
          <w:szCs w:val="16"/>
          <w:vertAlign w:val="superscript"/>
          <w:lang w:val="es-CO"/>
        </w:rPr>
        <w:t xml:space="preserve"> </w:t>
      </w:r>
      <w:r w:rsidRPr="007608B0">
        <w:rPr>
          <w:szCs w:val="16"/>
          <w:lang w:val="es-CO"/>
        </w:rPr>
        <w:t xml:space="preserve">Anexo </w:t>
      </w:r>
      <w:r>
        <w:rPr>
          <w:szCs w:val="16"/>
          <w:lang w:val="es-CO"/>
        </w:rPr>
        <w:t>54</w:t>
      </w:r>
      <w:r w:rsidRPr="007608B0">
        <w:rPr>
          <w:szCs w:val="16"/>
          <w:lang w:val="es-CO"/>
        </w:rPr>
        <w:t xml:space="preserve">: </w:t>
      </w:r>
      <w:r>
        <w:rPr>
          <w:szCs w:val="16"/>
          <w:lang w:val="es-CO"/>
        </w:rPr>
        <w:t xml:space="preserve">CICPC. Remisión de evidencias. </w:t>
      </w:r>
      <w:r w:rsidRPr="007608B0">
        <w:rPr>
          <w:szCs w:val="16"/>
          <w:lang w:val="es-CO"/>
        </w:rPr>
        <w:t xml:space="preserve">Acta Policial, del 30 de octubre de 2003. Anexo </w:t>
      </w:r>
      <w:r>
        <w:rPr>
          <w:szCs w:val="16"/>
          <w:lang w:val="es-CO"/>
        </w:rPr>
        <w:t xml:space="preserve">a </w:t>
      </w:r>
      <w:r w:rsidRPr="007608B0">
        <w:rPr>
          <w:szCs w:val="16"/>
          <w:lang w:val="es-CO"/>
        </w:rPr>
        <w:t>la petición inicial</w:t>
      </w:r>
      <w:r>
        <w:rPr>
          <w:szCs w:val="16"/>
          <w:lang w:val="es-CO"/>
        </w:rPr>
        <w:t>.</w:t>
      </w:r>
    </w:p>
  </w:footnote>
  <w:footnote w:id="74">
    <w:p w14:paraId="21F74BE9" w14:textId="0F3D929F" w:rsidR="006B16F4" w:rsidRPr="007608B0" w:rsidRDefault="006B16F4" w:rsidP="008A6B24">
      <w:pPr>
        <w:pStyle w:val="Textonotapie"/>
        <w:contextualSpacing/>
        <w:jc w:val="both"/>
        <w:rPr>
          <w:szCs w:val="16"/>
          <w:lang w:val="es-CO"/>
        </w:rPr>
      </w:pPr>
      <w:r w:rsidRPr="007608B0">
        <w:rPr>
          <w:szCs w:val="16"/>
          <w:vertAlign w:val="superscript"/>
          <w:lang w:val="es-CO"/>
        </w:rPr>
        <w:footnoteRef/>
      </w:r>
      <w:r w:rsidRPr="007608B0">
        <w:rPr>
          <w:szCs w:val="16"/>
          <w:lang w:val="es-CO"/>
        </w:rPr>
        <w:t xml:space="preserve"> Anexo </w:t>
      </w:r>
      <w:r>
        <w:rPr>
          <w:szCs w:val="16"/>
          <w:lang w:val="es-CO"/>
        </w:rPr>
        <w:t>55</w:t>
      </w:r>
      <w:r w:rsidRPr="007608B0">
        <w:rPr>
          <w:szCs w:val="16"/>
          <w:lang w:val="es-CO"/>
        </w:rPr>
        <w:t xml:space="preserve">: </w:t>
      </w:r>
      <w:r>
        <w:rPr>
          <w:szCs w:val="16"/>
          <w:lang w:val="es-CO"/>
        </w:rPr>
        <w:t>CICPC. Oficio No. 9700-175-ST-532</w:t>
      </w:r>
      <w:r w:rsidRPr="007608B0">
        <w:rPr>
          <w:szCs w:val="16"/>
          <w:lang w:val="es-CO"/>
        </w:rPr>
        <w:t xml:space="preserve"> del 3 de noviembre de 2003. Anexo </w:t>
      </w:r>
      <w:r>
        <w:rPr>
          <w:szCs w:val="16"/>
          <w:lang w:val="es-CO"/>
        </w:rPr>
        <w:t>a</w:t>
      </w:r>
      <w:r w:rsidRPr="007608B0">
        <w:rPr>
          <w:szCs w:val="16"/>
          <w:lang w:val="es-CO"/>
        </w:rPr>
        <w:t xml:space="preserve"> la petición inicial</w:t>
      </w:r>
      <w:r>
        <w:rPr>
          <w:szCs w:val="16"/>
          <w:lang w:val="es-CO"/>
        </w:rPr>
        <w:t>.</w:t>
      </w:r>
    </w:p>
  </w:footnote>
  <w:footnote w:id="75">
    <w:p w14:paraId="2727FCBE" w14:textId="3DBA6081" w:rsidR="006B16F4" w:rsidRPr="007608B0" w:rsidRDefault="006B16F4" w:rsidP="00C620E8">
      <w:pPr>
        <w:pStyle w:val="Textonotapie"/>
        <w:contextualSpacing/>
        <w:jc w:val="both"/>
        <w:rPr>
          <w:szCs w:val="16"/>
          <w:lang w:val="es-CO"/>
        </w:rPr>
      </w:pPr>
      <w:r w:rsidRPr="007608B0">
        <w:rPr>
          <w:szCs w:val="16"/>
          <w:vertAlign w:val="superscript"/>
          <w:lang w:val="es-CO"/>
        </w:rPr>
        <w:footnoteRef/>
      </w:r>
      <w:r w:rsidRPr="004004D7">
        <w:rPr>
          <w:szCs w:val="16"/>
          <w:vertAlign w:val="superscript"/>
          <w:lang w:val="es-ES"/>
        </w:rPr>
        <w:t xml:space="preserve"> </w:t>
      </w:r>
      <w:r w:rsidRPr="004004D7">
        <w:rPr>
          <w:szCs w:val="16"/>
          <w:lang w:val="es-ES"/>
        </w:rPr>
        <w:t xml:space="preserve">Anexo </w:t>
      </w:r>
      <w:r>
        <w:rPr>
          <w:szCs w:val="16"/>
          <w:lang w:val="es-ES"/>
        </w:rPr>
        <w:t>56</w:t>
      </w:r>
      <w:r w:rsidRPr="004004D7">
        <w:rPr>
          <w:szCs w:val="16"/>
          <w:lang w:val="es-ES"/>
        </w:rPr>
        <w:t xml:space="preserve">: Fiscal Sexto. Oficio No. </w:t>
      </w:r>
      <w:r w:rsidRPr="007608B0">
        <w:rPr>
          <w:szCs w:val="16"/>
          <w:lang w:val="es-CO"/>
        </w:rPr>
        <w:t>FAL-06-03-02.051</w:t>
      </w:r>
      <w:r>
        <w:rPr>
          <w:szCs w:val="16"/>
          <w:lang w:val="es-CO"/>
        </w:rPr>
        <w:t xml:space="preserve">, </w:t>
      </w:r>
      <w:r w:rsidRPr="007608B0">
        <w:rPr>
          <w:szCs w:val="16"/>
          <w:lang w:val="es-CO"/>
        </w:rPr>
        <w:t xml:space="preserve">20 de noviembre de 2003. Anexo </w:t>
      </w:r>
      <w:r>
        <w:rPr>
          <w:szCs w:val="16"/>
          <w:lang w:val="es-CO"/>
        </w:rPr>
        <w:t>a</w:t>
      </w:r>
      <w:r w:rsidRPr="007608B0">
        <w:rPr>
          <w:szCs w:val="16"/>
          <w:lang w:val="es-CO"/>
        </w:rPr>
        <w:t xml:space="preserve"> la petición inicial</w:t>
      </w:r>
      <w:r>
        <w:rPr>
          <w:szCs w:val="16"/>
          <w:lang w:val="es-CO"/>
        </w:rPr>
        <w:t>.</w:t>
      </w:r>
    </w:p>
  </w:footnote>
  <w:footnote w:id="76">
    <w:p w14:paraId="4417C95C" w14:textId="6D325D70" w:rsidR="006B16F4" w:rsidRPr="007608B0" w:rsidRDefault="006B16F4" w:rsidP="008A6B24">
      <w:pPr>
        <w:pStyle w:val="Textonotapie"/>
        <w:contextualSpacing/>
        <w:jc w:val="both"/>
        <w:rPr>
          <w:szCs w:val="16"/>
          <w:lang w:val="es-CO"/>
        </w:rPr>
      </w:pPr>
      <w:r w:rsidRPr="007608B0">
        <w:rPr>
          <w:szCs w:val="16"/>
          <w:vertAlign w:val="superscript"/>
          <w:lang w:val="es-CO"/>
        </w:rPr>
        <w:footnoteRef/>
      </w:r>
      <w:r w:rsidRPr="00A34BBD">
        <w:rPr>
          <w:szCs w:val="16"/>
          <w:vertAlign w:val="superscript"/>
          <w:lang w:val="pt-BR"/>
        </w:rPr>
        <w:t xml:space="preserve"> </w:t>
      </w:r>
      <w:r w:rsidRPr="00A34BBD">
        <w:rPr>
          <w:szCs w:val="16"/>
          <w:lang w:val="pt-BR"/>
        </w:rPr>
        <w:t xml:space="preserve">Anexo 57: Fiscal Sexto. Oficio No. </w:t>
      </w:r>
      <w:r w:rsidRPr="007608B0">
        <w:rPr>
          <w:szCs w:val="16"/>
          <w:lang w:val="es-CO"/>
        </w:rPr>
        <w:t>FAL-06-04-01.153,</w:t>
      </w:r>
      <w:r>
        <w:rPr>
          <w:szCs w:val="16"/>
          <w:lang w:val="es-CO"/>
        </w:rPr>
        <w:t xml:space="preserve"> </w:t>
      </w:r>
      <w:r w:rsidRPr="007608B0">
        <w:rPr>
          <w:szCs w:val="16"/>
          <w:lang w:val="es-CO"/>
        </w:rPr>
        <w:t>26</w:t>
      </w:r>
      <w:r>
        <w:rPr>
          <w:szCs w:val="16"/>
          <w:lang w:val="es-CO"/>
        </w:rPr>
        <w:t xml:space="preserve"> de julio de 2004. Anexo</w:t>
      </w:r>
      <w:r w:rsidRPr="007608B0">
        <w:rPr>
          <w:szCs w:val="16"/>
          <w:lang w:val="es-CO"/>
        </w:rPr>
        <w:t xml:space="preserve"> </w:t>
      </w:r>
      <w:r>
        <w:rPr>
          <w:szCs w:val="16"/>
          <w:lang w:val="es-CO"/>
        </w:rPr>
        <w:t>a</w:t>
      </w:r>
      <w:r w:rsidRPr="007608B0">
        <w:rPr>
          <w:szCs w:val="16"/>
          <w:lang w:val="es-CO"/>
        </w:rPr>
        <w:t xml:space="preserve"> la petición inicial</w:t>
      </w:r>
      <w:r>
        <w:rPr>
          <w:szCs w:val="16"/>
          <w:lang w:val="es-CO"/>
        </w:rPr>
        <w:t>.</w:t>
      </w:r>
    </w:p>
  </w:footnote>
  <w:footnote w:id="77">
    <w:p w14:paraId="5F949B12" w14:textId="2EC7EADF" w:rsidR="006B16F4" w:rsidRPr="004004D7" w:rsidRDefault="006B16F4" w:rsidP="008A6B24">
      <w:pPr>
        <w:pStyle w:val="Textonotapie"/>
        <w:contextualSpacing/>
        <w:jc w:val="both"/>
        <w:rPr>
          <w:szCs w:val="16"/>
          <w:lang w:val="pt-BR"/>
        </w:rPr>
      </w:pPr>
      <w:r w:rsidRPr="007608B0">
        <w:rPr>
          <w:szCs w:val="16"/>
          <w:vertAlign w:val="superscript"/>
          <w:lang w:val="es-CO"/>
        </w:rPr>
        <w:footnoteRef/>
      </w:r>
      <w:r w:rsidRPr="009C3624">
        <w:rPr>
          <w:szCs w:val="16"/>
          <w:vertAlign w:val="superscript"/>
          <w:lang w:val="pt-BR"/>
        </w:rPr>
        <w:t xml:space="preserve"> </w:t>
      </w:r>
      <w:r w:rsidRPr="009C3624">
        <w:rPr>
          <w:szCs w:val="16"/>
          <w:lang w:val="pt-BR"/>
        </w:rPr>
        <w:t xml:space="preserve">Anexo </w:t>
      </w:r>
      <w:r>
        <w:rPr>
          <w:szCs w:val="16"/>
          <w:lang w:val="pt-BR"/>
        </w:rPr>
        <w:t>58</w:t>
      </w:r>
      <w:r w:rsidRPr="009C3624">
        <w:rPr>
          <w:szCs w:val="16"/>
          <w:lang w:val="pt-BR"/>
        </w:rPr>
        <w:t xml:space="preserve">: Fiscal Sexto. Oficio No. </w:t>
      </w:r>
      <w:r w:rsidRPr="004004D7">
        <w:rPr>
          <w:szCs w:val="16"/>
          <w:lang w:val="pt-BR"/>
        </w:rPr>
        <w:t xml:space="preserve">FAL-06-04-01.194, 4 de agosto de 2004. Anexo </w:t>
      </w:r>
      <w:r>
        <w:rPr>
          <w:szCs w:val="16"/>
          <w:lang w:val="pt-BR"/>
        </w:rPr>
        <w:t xml:space="preserve">a </w:t>
      </w:r>
      <w:r w:rsidRPr="004004D7">
        <w:rPr>
          <w:szCs w:val="16"/>
          <w:lang w:val="pt-BR"/>
        </w:rPr>
        <w:t>la petición inicial.</w:t>
      </w:r>
    </w:p>
  </w:footnote>
  <w:footnote w:id="78">
    <w:p w14:paraId="630DFAC5" w14:textId="3D4C4123" w:rsidR="006B16F4" w:rsidRPr="004004D7" w:rsidRDefault="006B16F4" w:rsidP="00CE4F64">
      <w:pPr>
        <w:pStyle w:val="Textonotapie"/>
        <w:contextualSpacing/>
        <w:jc w:val="both"/>
        <w:rPr>
          <w:szCs w:val="16"/>
          <w:lang w:val="pt-BR"/>
        </w:rPr>
      </w:pPr>
      <w:r w:rsidRPr="007608B0">
        <w:rPr>
          <w:szCs w:val="16"/>
          <w:vertAlign w:val="superscript"/>
          <w:lang w:val="es-CO"/>
        </w:rPr>
        <w:footnoteRef/>
      </w:r>
      <w:r w:rsidRPr="004004D7">
        <w:rPr>
          <w:szCs w:val="16"/>
          <w:vertAlign w:val="superscript"/>
          <w:lang w:val="pt-BR"/>
        </w:rPr>
        <w:t xml:space="preserve"> </w:t>
      </w:r>
      <w:r w:rsidRPr="004004D7">
        <w:rPr>
          <w:szCs w:val="16"/>
          <w:lang w:val="pt-BR"/>
        </w:rPr>
        <w:t xml:space="preserve">Anexo </w:t>
      </w:r>
      <w:r>
        <w:rPr>
          <w:szCs w:val="16"/>
          <w:lang w:val="pt-BR"/>
        </w:rPr>
        <w:t>49</w:t>
      </w:r>
      <w:r w:rsidRPr="004004D7">
        <w:rPr>
          <w:szCs w:val="16"/>
          <w:lang w:val="pt-BR"/>
        </w:rPr>
        <w:t xml:space="preserve">: CICPC. Oficio No. 9700-175-05906 de 17 de agosto de 2004; CICPC. Oficio No. 9700-175-05907 de 17 de agosto de 2004. Anexo </w:t>
      </w:r>
      <w:r>
        <w:rPr>
          <w:szCs w:val="16"/>
          <w:lang w:val="pt-BR"/>
        </w:rPr>
        <w:t>a</w:t>
      </w:r>
      <w:r w:rsidRPr="004004D7">
        <w:rPr>
          <w:szCs w:val="16"/>
          <w:lang w:val="pt-BR"/>
        </w:rPr>
        <w:t xml:space="preserve"> la petición inicial;</w:t>
      </w:r>
      <w:r w:rsidRPr="004004D7">
        <w:rPr>
          <w:rFonts w:eastAsia="Arial Unicode MS" w:cs="Times New Roman"/>
          <w:szCs w:val="16"/>
          <w:lang w:val="pt-BR" w:eastAsia="en-US"/>
        </w:rPr>
        <w:t xml:space="preserve"> </w:t>
      </w:r>
      <w:r w:rsidRPr="004004D7">
        <w:rPr>
          <w:szCs w:val="16"/>
          <w:lang w:val="pt-BR"/>
        </w:rPr>
        <w:t xml:space="preserve">Anexo </w:t>
      </w:r>
      <w:r>
        <w:rPr>
          <w:szCs w:val="16"/>
          <w:lang w:val="pt-BR"/>
        </w:rPr>
        <w:t>59</w:t>
      </w:r>
      <w:r w:rsidRPr="004004D7">
        <w:rPr>
          <w:szCs w:val="16"/>
          <w:lang w:val="pt-BR"/>
        </w:rPr>
        <w:t xml:space="preserve">: CICPC. Oficio No. 9700-175-05902 de 17 de agosto de 2004. Anexo </w:t>
      </w:r>
      <w:r>
        <w:rPr>
          <w:szCs w:val="16"/>
          <w:lang w:val="pt-BR"/>
        </w:rPr>
        <w:t>a</w:t>
      </w:r>
      <w:r w:rsidRPr="004004D7">
        <w:rPr>
          <w:szCs w:val="16"/>
          <w:lang w:val="pt-BR"/>
        </w:rPr>
        <w:t xml:space="preserve"> la petición inicial; Anexo </w:t>
      </w:r>
      <w:r>
        <w:rPr>
          <w:szCs w:val="16"/>
          <w:lang w:val="pt-BR"/>
        </w:rPr>
        <w:t>60</w:t>
      </w:r>
      <w:r w:rsidRPr="004004D7">
        <w:rPr>
          <w:szCs w:val="16"/>
          <w:lang w:val="pt-BR"/>
        </w:rPr>
        <w:t xml:space="preserve">: CICPC.ficio No. 9700-175-31 de 18 de agosto de 2004. Anexo </w:t>
      </w:r>
      <w:r>
        <w:rPr>
          <w:szCs w:val="16"/>
          <w:lang w:val="pt-BR"/>
        </w:rPr>
        <w:t>a</w:t>
      </w:r>
      <w:r w:rsidRPr="004004D7">
        <w:rPr>
          <w:szCs w:val="16"/>
          <w:lang w:val="pt-BR"/>
        </w:rPr>
        <w:t xml:space="preserve"> la petición inicial.</w:t>
      </w:r>
    </w:p>
  </w:footnote>
  <w:footnote w:id="79">
    <w:p w14:paraId="2A5A53B9" w14:textId="78E94D9A" w:rsidR="006B16F4" w:rsidRPr="00DD4BFB" w:rsidRDefault="006B16F4" w:rsidP="00CE4F64">
      <w:pPr>
        <w:pStyle w:val="Textonotapie"/>
        <w:contextualSpacing/>
        <w:jc w:val="both"/>
        <w:rPr>
          <w:szCs w:val="16"/>
          <w:lang w:val="pt-BR"/>
        </w:rPr>
      </w:pPr>
      <w:r w:rsidRPr="007608B0">
        <w:rPr>
          <w:rStyle w:val="Refdenotaalpie"/>
          <w:szCs w:val="16"/>
          <w:lang w:val="es-CO"/>
        </w:rPr>
        <w:footnoteRef/>
      </w:r>
      <w:r w:rsidRPr="005E7C76">
        <w:rPr>
          <w:szCs w:val="16"/>
          <w:lang w:val="pt-BR"/>
        </w:rPr>
        <w:t xml:space="preserve"> Anexo </w:t>
      </w:r>
      <w:r>
        <w:rPr>
          <w:szCs w:val="16"/>
          <w:lang w:val="pt-BR"/>
        </w:rPr>
        <w:t>61</w:t>
      </w:r>
      <w:r w:rsidRPr="005E7C76">
        <w:rPr>
          <w:szCs w:val="16"/>
          <w:lang w:val="pt-BR"/>
        </w:rPr>
        <w:t xml:space="preserve">: CICPC. Oficio No. 9700-175-6010 de 19 de agosto de 2004. </w:t>
      </w:r>
      <w:r w:rsidRPr="00DD4BFB">
        <w:rPr>
          <w:szCs w:val="16"/>
          <w:lang w:val="pt-BR"/>
        </w:rPr>
        <w:t xml:space="preserve">Anexo a la petición inicial. </w:t>
      </w:r>
    </w:p>
  </w:footnote>
  <w:footnote w:id="80">
    <w:p w14:paraId="664AB938" w14:textId="6EAB64E6" w:rsidR="006B16F4" w:rsidRPr="007608B0" w:rsidRDefault="006B16F4" w:rsidP="00CE4F64">
      <w:pPr>
        <w:pStyle w:val="Textonotapie"/>
        <w:contextualSpacing/>
        <w:jc w:val="both"/>
        <w:rPr>
          <w:szCs w:val="16"/>
          <w:lang w:val="es-CO"/>
        </w:rPr>
      </w:pPr>
      <w:r w:rsidRPr="007608B0">
        <w:rPr>
          <w:rStyle w:val="Refdenotaalpie"/>
          <w:szCs w:val="16"/>
          <w:lang w:val="es-CO"/>
        </w:rPr>
        <w:footnoteRef/>
      </w:r>
      <w:r w:rsidRPr="00DD4BFB">
        <w:rPr>
          <w:rStyle w:val="Refdenotaalpie"/>
          <w:szCs w:val="16"/>
          <w:lang w:val="pt-BR"/>
        </w:rPr>
        <w:t xml:space="preserve"> </w:t>
      </w:r>
      <w:r w:rsidRPr="00DD4BFB">
        <w:rPr>
          <w:szCs w:val="16"/>
          <w:lang w:val="pt-BR"/>
        </w:rPr>
        <w:t xml:space="preserve">Anexo 62: Fiscal Sexto. </w:t>
      </w:r>
      <w:r w:rsidRPr="004004D7">
        <w:rPr>
          <w:szCs w:val="16"/>
          <w:lang w:val="es-ES"/>
        </w:rPr>
        <w:t xml:space="preserve">Oficio No. </w:t>
      </w:r>
      <w:r>
        <w:rPr>
          <w:szCs w:val="16"/>
          <w:lang w:val="es-CO"/>
        </w:rPr>
        <w:t xml:space="preserve">FAL-06-05-01.00036 de </w:t>
      </w:r>
      <w:r w:rsidRPr="007608B0">
        <w:rPr>
          <w:szCs w:val="16"/>
          <w:lang w:val="es-CO"/>
        </w:rPr>
        <w:t>10 de enero de 2005. A</w:t>
      </w:r>
      <w:r>
        <w:rPr>
          <w:szCs w:val="16"/>
          <w:lang w:val="es-CO"/>
        </w:rPr>
        <w:t>nexo a la petición inicial.</w:t>
      </w:r>
    </w:p>
  </w:footnote>
  <w:footnote w:id="81">
    <w:p w14:paraId="5BB09174" w14:textId="7E7229CB" w:rsidR="006B16F4" w:rsidRPr="007608B0" w:rsidRDefault="006B16F4" w:rsidP="008A6B24">
      <w:pPr>
        <w:pStyle w:val="Textonotapie"/>
        <w:contextualSpacing/>
        <w:jc w:val="both"/>
        <w:rPr>
          <w:szCs w:val="16"/>
          <w:lang w:val="es-CO"/>
        </w:rPr>
      </w:pPr>
      <w:r w:rsidRPr="007608B0">
        <w:rPr>
          <w:rStyle w:val="Refdenotaalpie"/>
          <w:szCs w:val="16"/>
          <w:lang w:val="es-CO"/>
        </w:rPr>
        <w:footnoteRef/>
      </w:r>
      <w:r w:rsidRPr="007608B0">
        <w:rPr>
          <w:rStyle w:val="Refdenotaalpie"/>
          <w:szCs w:val="16"/>
          <w:lang w:val="es-CO"/>
        </w:rPr>
        <w:t xml:space="preserve"> </w:t>
      </w:r>
      <w:r>
        <w:rPr>
          <w:szCs w:val="16"/>
          <w:lang w:val="es-CO"/>
        </w:rPr>
        <w:t>Anexo 63</w:t>
      </w:r>
      <w:r w:rsidRPr="007608B0">
        <w:rPr>
          <w:szCs w:val="16"/>
          <w:lang w:val="es-CO"/>
        </w:rPr>
        <w:t xml:space="preserve">: </w:t>
      </w:r>
      <w:r>
        <w:rPr>
          <w:szCs w:val="16"/>
          <w:lang w:val="es-CO"/>
        </w:rPr>
        <w:t>CICPC.</w:t>
      </w:r>
      <w:r w:rsidRPr="007608B0">
        <w:rPr>
          <w:szCs w:val="16"/>
          <w:lang w:val="es-CO"/>
        </w:rPr>
        <w:t xml:space="preserve"> Oficio No. 9700-1</w:t>
      </w:r>
      <w:r>
        <w:rPr>
          <w:szCs w:val="16"/>
          <w:lang w:val="es-CO"/>
        </w:rPr>
        <w:t>75-1140</w:t>
      </w:r>
      <w:r w:rsidRPr="007608B0">
        <w:rPr>
          <w:szCs w:val="16"/>
          <w:lang w:val="es-CO"/>
        </w:rPr>
        <w:t xml:space="preserve"> de 9 de febrero de 2005. A</w:t>
      </w:r>
      <w:r>
        <w:rPr>
          <w:szCs w:val="16"/>
          <w:lang w:val="es-CO"/>
        </w:rPr>
        <w:t>nexo a la petición inicial.</w:t>
      </w:r>
    </w:p>
  </w:footnote>
  <w:footnote w:id="82">
    <w:p w14:paraId="1FC8EF80" w14:textId="137843C0" w:rsidR="006B16F4" w:rsidRPr="007608B0" w:rsidRDefault="006B16F4" w:rsidP="00115531">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HAnsi" w:hAnsiTheme="majorHAnsi"/>
          <w:sz w:val="16"/>
          <w:szCs w:val="16"/>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 Anexo </w:t>
      </w:r>
      <w:r>
        <w:rPr>
          <w:rFonts w:asciiTheme="majorHAnsi" w:hAnsiTheme="majorHAnsi"/>
          <w:sz w:val="16"/>
          <w:szCs w:val="16"/>
        </w:rPr>
        <w:t>19</w:t>
      </w:r>
      <w:r w:rsidRPr="007608B0">
        <w:rPr>
          <w:rFonts w:asciiTheme="majorHAnsi" w:hAnsiTheme="majorHAnsi"/>
          <w:sz w:val="16"/>
          <w:szCs w:val="16"/>
        </w:rPr>
        <w:t>: Informe de Tr</w:t>
      </w:r>
      <w:r>
        <w:rPr>
          <w:rFonts w:asciiTheme="majorHAnsi" w:hAnsiTheme="majorHAnsi"/>
          <w:sz w:val="16"/>
          <w:szCs w:val="16"/>
        </w:rPr>
        <w:t>ayectoria Balística (N°9700-029</w:t>
      </w:r>
      <w:r w:rsidRPr="007608B0">
        <w:rPr>
          <w:rFonts w:asciiTheme="majorHAnsi" w:hAnsiTheme="majorHAnsi"/>
          <w:sz w:val="16"/>
          <w:szCs w:val="16"/>
        </w:rPr>
        <w:t>)</w:t>
      </w:r>
      <w:r>
        <w:rPr>
          <w:rFonts w:asciiTheme="majorHAnsi" w:hAnsiTheme="majorHAnsi"/>
          <w:sz w:val="16"/>
          <w:szCs w:val="16"/>
        </w:rPr>
        <w:t xml:space="preserve"> </w:t>
      </w:r>
      <w:r w:rsidRPr="007608B0">
        <w:rPr>
          <w:rFonts w:asciiTheme="majorHAnsi" w:hAnsiTheme="majorHAnsi"/>
          <w:sz w:val="16"/>
          <w:szCs w:val="16"/>
        </w:rPr>
        <w:t xml:space="preserve">de 1 de mayo de 2006.  Anexo </w:t>
      </w:r>
      <w:r>
        <w:rPr>
          <w:rFonts w:asciiTheme="majorHAnsi" w:hAnsiTheme="majorHAnsi"/>
          <w:sz w:val="16"/>
          <w:szCs w:val="16"/>
        </w:rPr>
        <w:t>al escrito del Estado de</w:t>
      </w:r>
      <w:r w:rsidRPr="007608B0">
        <w:rPr>
          <w:rFonts w:asciiTheme="majorHAnsi" w:hAnsiTheme="majorHAnsi"/>
          <w:sz w:val="16"/>
          <w:szCs w:val="16"/>
        </w:rPr>
        <w:t xml:space="preserve"> 6 de octubre de 20</w:t>
      </w:r>
      <w:r>
        <w:rPr>
          <w:rFonts w:asciiTheme="majorHAnsi" w:hAnsiTheme="majorHAnsi"/>
          <w:sz w:val="16"/>
          <w:szCs w:val="16"/>
        </w:rPr>
        <w:t>1</w:t>
      </w:r>
      <w:r w:rsidRPr="007608B0">
        <w:rPr>
          <w:rFonts w:asciiTheme="majorHAnsi" w:hAnsiTheme="majorHAnsi"/>
          <w:sz w:val="16"/>
          <w:szCs w:val="16"/>
        </w:rPr>
        <w:t>1.</w:t>
      </w:r>
    </w:p>
  </w:footnote>
  <w:footnote w:id="83">
    <w:p w14:paraId="7A98CB9A" w14:textId="32B4FF16" w:rsidR="006B16F4" w:rsidRPr="007608B0" w:rsidRDefault="006B16F4" w:rsidP="00686471">
      <w:pPr>
        <w:pStyle w:val="Textonotapie"/>
        <w:contextualSpacing/>
        <w:jc w:val="both"/>
        <w:rPr>
          <w:szCs w:val="16"/>
          <w:lang w:val="es-CO"/>
        </w:rPr>
      </w:pPr>
      <w:r w:rsidRPr="007608B0">
        <w:rPr>
          <w:rStyle w:val="Refdenotaalpie"/>
          <w:szCs w:val="16"/>
          <w:lang w:val="es-CO"/>
        </w:rPr>
        <w:footnoteRef/>
      </w:r>
      <w:r w:rsidRPr="007608B0">
        <w:rPr>
          <w:rStyle w:val="Refdenotaalpie"/>
          <w:szCs w:val="16"/>
          <w:lang w:val="es-CO"/>
        </w:rPr>
        <w:t xml:space="preserve"> </w:t>
      </w:r>
      <w:r w:rsidRPr="007608B0">
        <w:rPr>
          <w:szCs w:val="16"/>
          <w:lang w:val="es-CO"/>
        </w:rPr>
        <w:t xml:space="preserve">Anexo </w:t>
      </w:r>
      <w:r>
        <w:rPr>
          <w:szCs w:val="16"/>
          <w:lang w:val="es-CO"/>
        </w:rPr>
        <w:t>64</w:t>
      </w:r>
      <w:r w:rsidRPr="007608B0">
        <w:rPr>
          <w:szCs w:val="16"/>
          <w:lang w:val="es-CO"/>
        </w:rPr>
        <w:t xml:space="preserve">: </w:t>
      </w:r>
      <w:r>
        <w:rPr>
          <w:szCs w:val="16"/>
          <w:lang w:val="es-CO"/>
        </w:rPr>
        <w:t>CICPC. Oficio No. 9700-018-B-2819</w:t>
      </w:r>
      <w:r w:rsidRPr="007608B0">
        <w:rPr>
          <w:szCs w:val="16"/>
          <w:lang w:val="es-CO"/>
        </w:rPr>
        <w:t xml:space="preserve"> de 31 de mayo de 2006. A</w:t>
      </w:r>
      <w:r>
        <w:rPr>
          <w:szCs w:val="16"/>
          <w:lang w:val="es-CO"/>
        </w:rPr>
        <w:t xml:space="preserve">nexo a la petición inicial. </w:t>
      </w:r>
    </w:p>
  </w:footnote>
  <w:footnote w:id="84">
    <w:p w14:paraId="52C7C56F" w14:textId="04F33B8F" w:rsidR="006B16F4" w:rsidRPr="007608B0" w:rsidRDefault="006B16F4" w:rsidP="008A6B24">
      <w:pPr>
        <w:pStyle w:val="Textonotapie"/>
        <w:contextualSpacing/>
        <w:jc w:val="both"/>
        <w:rPr>
          <w:szCs w:val="16"/>
          <w:lang w:val="es-CO"/>
        </w:rPr>
      </w:pPr>
      <w:r w:rsidRPr="007608B0">
        <w:rPr>
          <w:rStyle w:val="Refdenotaalpie"/>
          <w:szCs w:val="16"/>
          <w:lang w:val="es-CO"/>
        </w:rPr>
        <w:footnoteRef/>
      </w:r>
      <w:r w:rsidRPr="007608B0">
        <w:rPr>
          <w:rStyle w:val="Refdenotaalpie"/>
          <w:szCs w:val="16"/>
          <w:lang w:val="es-CO"/>
        </w:rPr>
        <w:t xml:space="preserve"> </w:t>
      </w:r>
      <w:r w:rsidRPr="007608B0">
        <w:rPr>
          <w:szCs w:val="16"/>
          <w:lang w:val="es-CO"/>
        </w:rPr>
        <w:t xml:space="preserve">Anexo </w:t>
      </w:r>
      <w:r>
        <w:rPr>
          <w:szCs w:val="16"/>
          <w:lang w:val="es-CO"/>
        </w:rPr>
        <w:t>65</w:t>
      </w:r>
      <w:r w:rsidRPr="007608B0">
        <w:rPr>
          <w:szCs w:val="16"/>
          <w:lang w:val="es-CO"/>
        </w:rPr>
        <w:t>: Fiscal General de la Repúbl</w:t>
      </w:r>
      <w:r>
        <w:rPr>
          <w:szCs w:val="16"/>
          <w:lang w:val="es-CO"/>
        </w:rPr>
        <w:t xml:space="preserve">ica, Oficio No. FAL-6-07-01.427 de 18 de julio de 2007. </w:t>
      </w:r>
      <w:r w:rsidRPr="007608B0">
        <w:rPr>
          <w:szCs w:val="16"/>
          <w:lang w:val="es-CO"/>
        </w:rPr>
        <w:t>A</w:t>
      </w:r>
      <w:r>
        <w:rPr>
          <w:szCs w:val="16"/>
          <w:lang w:val="es-CO"/>
        </w:rPr>
        <w:t xml:space="preserve">nexo a la petición inicial. </w:t>
      </w:r>
    </w:p>
  </w:footnote>
  <w:footnote w:id="85">
    <w:p w14:paraId="54EE2224" w14:textId="001A0C7C" w:rsidR="006B16F4" w:rsidRPr="007608B0" w:rsidRDefault="006B16F4" w:rsidP="00B86D49">
      <w:pPr>
        <w:pBdr>
          <w:top w:val="none" w:sz="0" w:space="0" w:color="auto"/>
          <w:left w:val="none" w:sz="0" w:space="0" w:color="auto"/>
          <w:bottom w:val="none" w:sz="0" w:space="0" w:color="auto"/>
          <w:right w:val="none" w:sz="0" w:space="0" w:color="auto"/>
          <w:between w:val="none" w:sz="0" w:space="0" w:color="auto"/>
          <w:bar w:val="none" w:sz="0" w:color="auto"/>
        </w:pBdr>
        <w:spacing w:after="60"/>
        <w:contextualSpacing/>
        <w:jc w:val="both"/>
        <w:rPr>
          <w:rFonts w:asciiTheme="majorHAnsi" w:hAnsiTheme="majorHAnsi"/>
          <w:sz w:val="16"/>
          <w:szCs w:val="16"/>
        </w:rPr>
      </w:pPr>
      <w:r w:rsidRPr="007608B0">
        <w:rPr>
          <w:rStyle w:val="Refdenotaalpie"/>
          <w:rFonts w:asciiTheme="majorHAnsi" w:hAnsiTheme="majorHAnsi"/>
          <w:sz w:val="16"/>
          <w:szCs w:val="16"/>
        </w:rPr>
        <w:footnoteRef/>
      </w:r>
      <w:r>
        <w:rPr>
          <w:rFonts w:asciiTheme="majorHAnsi" w:hAnsiTheme="majorHAnsi"/>
          <w:sz w:val="16"/>
          <w:szCs w:val="16"/>
        </w:rPr>
        <w:t xml:space="preserve"> Anexo 66: Fiscalía 17. Memo 11F17-250-08, </w:t>
      </w:r>
      <w:r w:rsidRPr="007608B0">
        <w:rPr>
          <w:rFonts w:asciiTheme="majorHAnsi" w:hAnsiTheme="majorHAnsi"/>
          <w:sz w:val="16"/>
          <w:szCs w:val="16"/>
        </w:rPr>
        <w:t xml:space="preserve">16 de diciembre de 2008. Anexo </w:t>
      </w:r>
      <w:r>
        <w:rPr>
          <w:rFonts w:asciiTheme="majorHAnsi" w:hAnsiTheme="majorHAnsi"/>
          <w:sz w:val="16"/>
          <w:szCs w:val="16"/>
        </w:rPr>
        <w:t>al escrito</w:t>
      </w:r>
      <w:r w:rsidRPr="007608B0">
        <w:rPr>
          <w:rFonts w:asciiTheme="majorHAnsi" w:hAnsiTheme="majorHAnsi"/>
          <w:sz w:val="16"/>
          <w:szCs w:val="16"/>
        </w:rPr>
        <w:t xml:space="preserve"> de la parte peti</w:t>
      </w:r>
      <w:r>
        <w:rPr>
          <w:rFonts w:asciiTheme="majorHAnsi" w:hAnsiTheme="majorHAnsi"/>
          <w:sz w:val="16"/>
          <w:szCs w:val="16"/>
        </w:rPr>
        <w:t>cionaria de 24 de abril de 2017.</w:t>
      </w:r>
    </w:p>
  </w:footnote>
  <w:footnote w:id="86">
    <w:p w14:paraId="4EA0B1B8" w14:textId="5B38EB79" w:rsidR="006B16F4" w:rsidRPr="007608B0" w:rsidRDefault="006B16F4" w:rsidP="00B86D49">
      <w:pPr>
        <w:pBdr>
          <w:top w:val="none" w:sz="0" w:space="0" w:color="auto"/>
          <w:left w:val="none" w:sz="0" w:space="0" w:color="auto"/>
          <w:bottom w:val="none" w:sz="0" w:space="0" w:color="auto"/>
          <w:right w:val="none" w:sz="0" w:space="0" w:color="auto"/>
          <w:between w:val="none" w:sz="0" w:space="0" w:color="auto"/>
          <w:bar w:val="none" w:sz="0" w:color="auto"/>
        </w:pBdr>
        <w:spacing w:after="60"/>
        <w:contextualSpacing/>
        <w:jc w:val="both"/>
        <w:rPr>
          <w:rFonts w:asciiTheme="majorHAnsi" w:hAnsiTheme="majorHAnsi"/>
          <w:sz w:val="16"/>
          <w:szCs w:val="16"/>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 Anexo </w:t>
      </w:r>
      <w:r>
        <w:rPr>
          <w:rFonts w:asciiTheme="majorHAnsi" w:hAnsiTheme="majorHAnsi"/>
          <w:sz w:val="16"/>
          <w:szCs w:val="16"/>
        </w:rPr>
        <w:t>67</w:t>
      </w:r>
      <w:r w:rsidRPr="007608B0">
        <w:rPr>
          <w:rFonts w:asciiTheme="majorHAnsi" w:hAnsiTheme="majorHAnsi"/>
          <w:sz w:val="16"/>
          <w:szCs w:val="16"/>
        </w:rPr>
        <w:t>: Fi</w:t>
      </w:r>
      <w:r>
        <w:rPr>
          <w:rFonts w:asciiTheme="majorHAnsi" w:hAnsiTheme="majorHAnsi"/>
          <w:sz w:val="16"/>
          <w:szCs w:val="16"/>
        </w:rPr>
        <w:t xml:space="preserve">scalía 17. </w:t>
      </w:r>
      <w:r w:rsidRPr="007608B0">
        <w:rPr>
          <w:rFonts w:asciiTheme="majorHAnsi" w:hAnsiTheme="majorHAnsi"/>
          <w:sz w:val="16"/>
          <w:szCs w:val="16"/>
        </w:rPr>
        <w:t>Memo</w:t>
      </w:r>
      <w:r>
        <w:rPr>
          <w:rFonts w:asciiTheme="majorHAnsi" w:hAnsiTheme="majorHAnsi"/>
          <w:sz w:val="16"/>
          <w:szCs w:val="16"/>
        </w:rPr>
        <w:t xml:space="preserve">. </w:t>
      </w:r>
      <w:r w:rsidRPr="007608B0">
        <w:rPr>
          <w:rFonts w:asciiTheme="majorHAnsi" w:hAnsiTheme="majorHAnsi"/>
          <w:sz w:val="16"/>
          <w:szCs w:val="16"/>
        </w:rPr>
        <w:t>11F17-0055-09</w:t>
      </w:r>
      <w:r>
        <w:rPr>
          <w:rFonts w:asciiTheme="majorHAnsi" w:hAnsiTheme="majorHAnsi"/>
          <w:sz w:val="16"/>
          <w:szCs w:val="16"/>
        </w:rPr>
        <w:t xml:space="preserve">, </w:t>
      </w:r>
      <w:r w:rsidRPr="007608B0">
        <w:rPr>
          <w:rFonts w:asciiTheme="majorHAnsi" w:hAnsiTheme="majorHAnsi"/>
          <w:sz w:val="16"/>
          <w:szCs w:val="16"/>
        </w:rPr>
        <w:t>23 de</w:t>
      </w:r>
      <w:r>
        <w:rPr>
          <w:rFonts w:asciiTheme="majorHAnsi" w:hAnsiTheme="majorHAnsi"/>
          <w:sz w:val="16"/>
          <w:szCs w:val="16"/>
        </w:rPr>
        <w:t xml:space="preserve"> marzo de 2009. Anexo al escrito de la parte peticionaria de</w:t>
      </w:r>
      <w:r w:rsidRPr="007608B0">
        <w:rPr>
          <w:rFonts w:asciiTheme="majorHAnsi" w:hAnsiTheme="majorHAnsi"/>
          <w:sz w:val="16"/>
          <w:szCs w:val="16"/>
        </w:rPr>
        <w:t xml:space="preserve"> 24 de abril de 2017</w:t>
      </w:r>
      <w:r>
        <w:rPr>
          <w:rFonts w:asciiTheme="majorHAnsi" w:hAnsiTheme="majorHAnsi"/>
          <w:sz w:val="16"/>
          <w:szCs w:val="16"/>
        </w:rPr>
        <w:t>.</w:t>
      </w:r>
      <w:r w:rsidRPr="007608B0">
        <w:rPr>
          <w:rFonts w:asciiTheme="majorHAnsi" w:hAnsiTheme="majorHAnsi"/>
          <w:sz w:val="16"/>
          <w:szCs w:val="16"/>
        </w:rPr>
        <w:t xml:space="preserve"> </w:t>
      </w:r>
    </w:p>
  </w:footnote>
  <w:footnote w:id="87">
    <w:p w14:paraId="05CEB63D" w14:textId="0906AFFC" w:rsidR="006B16F4" w:rsidRPr="007608B0" w:rsidRDefault="006B16F4" w:rsidP="00B86D49">
      <w:pPr>
        <w:pBdr>
          <w:top w:val="none" w:sz="0" w:space="0" w:color="auto"/>
          <w:left w:val="none" w:sz="0" w:space="0" w:color="auto"/>
          <w:bottom w:val="none" w:sz="0" w:space="0" w:color="auto"/>
          <w:right w:val="none" w:sz="0" w:space="0" w:color="auto"/>
          <w:between w:val="none" w:sz="0" w:space="0" w:color="auto"/>
          <w:bar w:val="none" w:sz="0" w:color="auto"/>
        </w:pBdr>
        <w:spacing w:after="60"/>
        <w:contextualSpacing/>
        <w:jc w:val="both"/>
        <w:rPr>
          <w:rFonts w:asciiTheme="majorHAnsi" w:hAnsiTheme="majorHAnsi"/>
          <w:sz w:val="16"/>
          <w:szCs w:val="16"/>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 Anexo </w:t>
      </w:r>
      <w:r>
        <w:rPr>
          <w:rFonts w:asciiTheme="majorHAnsi" w:hAnsiTheme="majorHAnsi"/>
          <w:sz w:val="16"/>
          <w:szCs w:val="16"/>
        </w:rPr>
        <w:t>68</w:t>
      </w:r>
      <w:r w:rsidRPr="007608B0">
        <w:rPr>
          <w:rFonts w:asciiTheme="majorHAnsi" w:hAnsiTheme="majorHAnsi"/>
          <w:sz w:val="16"/>
          <w:szCs w:val="16"/>
        </w:rPr>
        <w:t xml:space="preserve">: Fiscalía </w:t>
      </w:r>
      <w:r>
        <w:rPr>
          <w:rFonts w:asciiTheme="majorHAnsi" w:hAnsiTheme="majorHAnsi"/>
          <w:sz w:val="16"/>
          <w:szCs w:val="16"/>
        </w:rPr>
        <w:t>17.</w:t>
      </w:r>
      <w:r w:rsidRPr="007608B0">
        <w:rPr>
          <w:rFonts w:asciiTheme="majorHAnsi" w:hAnsiTheme="majorHAnsi"/>
          <w:sz w:val="16"/>
          <w:szCs w:val="16"/>
        </w:rPr>
        <w:t xml:space="preserve"> </w:t>
      </w:r>
      <w:r>
        <w:rPr>
          <w:rFonts w:asciiTheme="majorHAnsi" w:hAnsiTheme="majorHAnsi"/>
          <w:sz w:val="16"/>
          <w:szCs w:val="16"/>
        </w:rPr>
        <w:t xml:space="preserve">Of. FAL-17-1.141-2011, </w:t>
      </w:r>
      <w:r w:rsidRPr="007608B0">
        <w:rPr>
          <w:rFonts w:asciiTheme="majorHAnsi" w:hAnsiTheme="majorHAnsi"/>
          <w:sz w:val="16"/>
          <w:szCs w:val="16"/>
        </w:rPr>
        <w:t xml:space="preserve">14 de septiembre de 2011. Anexo </w:t>
      </w:r>
      <w:r>
        <w:rPr>
          <w:rFonts w:asciiTheme="majorHAnsi" w:hAnsiTheme="majorHAnsi"/>
          <w:sz w:val="16"/>
          <w:szCs w:val="16"/>
        </w:rPr>
        <w:t>al escrito</w:t>
      </w:r>
      <w:r w:rsidRPr="007608B0">
        <w:rPr>
          <w:rFonts w:asciiTheme="majorHAnsi" w:hAnsiTheme="majorHAnsi"/>
          <w:sz w:val="16"/>
          <w:szCs w:val="16"/>
        </w:rPr>
        <w:t xml:space="preserve"> </w:t>
      </w:r>
      <w:r>
        <w:rPr>
          <w:rFonts w:asciiTheme="majorHAnsi" w:hAnsiTheme="majorHAnsi"/>
          <w:sz w:val="16"/>
          <w:szCs w:val="16"/>
        </w:rPr>
        <w:t xml:space="preserve">de la parte peticionaria, </w:t>
      </w:r>
      <w:r w:rsidRPr="007608B0">
        <w:rPr>
          <w:rFonts w:asciiTheme="majorHAnsi" w:hAnsiTheme="majorHAnsi"/>
          <w:sz w:val="16"/>
          <w:szCs w:val="16"/>
        </w:rPr>
        <w:t>24 de abril de 2017.</w:t>
      </w:r>
    </w:p>
  </w:footnote>
  <w:footnote w:id="88">
    <w:p w14:paraId="66320631" w14:textId="1398B629" w:rsidR="006B16F4" w:rsidRPr="007608B0" w:rsidRDefault="006B16F4" w:rsidP="00B86D49">
      <w:pPr>
        <w:pBdr>
          <w:top w:val="none" w:sz="0" w:space="0" w:color="auto"/>
          <w:left w:val="none" w:sz="0" w:space="0" w:color="auto"/>
          <w:bottom w:val="none" w:sz="0" w:space="0" w:color="auto"/>
          <w:right w:val="none" w:sz="0" w:space="0" w:color="auto"/>
          <w:between w:val="none" w:sz="0" w:space="0" w:color="auto"/>
          <w:bar w:val="none" w:sz="0" w:color="auto"/>
        </w:pBdr>
        <w:spacing w:after="60"/>
        <w:contextualSpacing/>
        <w:jc w:val="both"/>
        <w:rPr>
          <w:rFonts w:asciiTheme="majorHAnsi" w:hAnsiTheme="majorHAnsi"/>
          <w:sz w:val="16"/>
          <w:szCs w:val="16"/>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 Anexo </w:t>
      </w:r>
      <w:r>
        <w:rPr>
          <w:rFonts w:asciiTheme="majorHAnsi" w:hAnsiTheme="majorHAnsi"/>
          <w:sz w:val="16"/>
          <w:szCs w:val="16"/>
        </w:rPr>
        <w:t>69</w:t>
      </w:r>
      <w:r w:rsidRPr="007608B0">
        <w:rPr>
          <w:rFonts w:asciiTheme="majorHAnsi" w:hAnsiTheme="majorHAnsi"/>
          <w:sz w:val="16"/>
          <w:szCs w:val="16"/>
        </w:rPr>
        <w:t xml:space="preserve">: </w:t>
      </w:r>
      <w:r>
        <w:rPr>
          <w:rFonts w:asciiTheme="majorHAnsi" w:hAnsiTheme="majorHAnsi"/>
          <w:sz w:val="16"/>
          <w:szCs w:val="16"/>
        </w:rPr>
        <w:t xml:space="preserve">Fiscalía 49, </w:t>
      </w:r>
      <w:r w:rsidRPr="007608B0">
        <w:rPr>
          <w:rFonts w:asciiTheme="majorHAnsi" w:hAnsiTheme="majorHAnsi"/>
          <w:sz w:val="16"/>
          <w:szCs w:val="16"/>
        </w:rPr>
        <w:t>Of</w:t>
      </w:r>
      <w:r>
        <w:rPr>
          <w:rFonts w:asciiTheme="majorHAnsi" w:hAnsiTheme="majorHAnsi"/>
          <w:sz w:val="16"/>
          <w:szCs w:val="16"/>
        </w:rPr>
        <w:t>. 00-F49-0102-2015,</w:t>
      </w:r>
      <w:r w:rsidRPr="007608B0">
        <w:rPr>
          <w:rFonts w:asciiTheme="majorHAnsi" w:hAnsiTheme="majorHAnsi"/>
          <w:sz w:val="16"/>
          <w:szCs w:val="16"/>
        </w:rPr>
        <w:t xml:space="preserve"> 21 de abril de 2015. Anexo </w:t>
      </w:r>
      <w:r>
        <w:rPr>
          <w:rFonts w:asciiTheme="majorHAnsi" w:hAnsiTheme="majorHAnsi"/>
          <w:sz w:val="16"/>
          <w:szCs w:val="16"/>
        </w:rPr>
        <w:t xml:space="preserve">al escrito </w:t>
      </w:r>
      <w:r w:rsidRPr="007608B0">
        <w:rPr>
          <w:rFonts w:asciiTheme="majorHAnsi" w:hAnsiTheme="majorHAnsi"/>
          <w:sz w:val="16"/>
          <w:szCs w:val="16"/>
        </w:rPr>
        <w:t>de la parte peti</w:t>
      </w:r>
      <w:r>
        <w:rPr>
          <w:rFonts w:asciiTheme="majorHAnsi" w:hAnsiTheme="majorHAnsi"/>
          <w:sz w:val="16"/>
          <w:szCs w:val="16"/>
        </w:rPr>
        <w:t>cionaria de</w:t>
      </w:r>
      <w:r w:rsidRPr="007608B0">
        <w:rPr>
          <w:rFonts w:asciiTheme="majorHAnsi" w:hAnsiTheme="majorHAnsi"/>
          <w:sz w:val="16"/>
          <w:szCs w:val="16"/>
        </w:rPr>
        <w:t>24 de abril de 2017.</w:t>
      </w:r>
    </w:p>
  </w:footnote>
  <w:footnote w:id="89">
    <w:p w14:paraId="2824834F" w14:textId="2A3C95AF" w:rsidR="006B16F4" w:rsidRPr="007608B0" w:rsidRDefault="006B16F4" w:rsidP="001774DF">
      <w:pPr>
        <w:pBdr>
          <w:top w:val="none" w:sz="0" w:space="0" w:color="auto"/>
          <w:left w:val="none" w:sz="0" w:space="0" w:color="auto"/>
          <w:bottom w:val="none" w:sz="0" w:space="0" w:color="auto"/>
          <w:right w:val="none" w:sz="0" w:space="0" w:color="auto"/>
          <w:between w:val="none" w:sz="0" w:space="0" w:color="auto"/>
          <w:bar w:val="none" w:sz="0" w:color="auto"/>
        </w:pBdr>
        <w:spacing w:after="60"/>
        <w:contextualSpacing/>
        <w:jc w:val="both"/>
        <w:rPr>
          <w:rFonts w:asciiTheme="majorHAnsi" w:hAnsiTheme="majorHAnsi"/>
          <w:sz w:val="16"/>
          <w:szCs w:val="16"/>
          <w:lang w:val="es-ES"/>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 Anexo </w:t>
      </w:r>
      <w:r>
        <w:rPr>
          <w:rFonts w:asciiTheme="majorHAnsi" w:hAnsiTheme="majorHAnsi"/>
          <w:sz w:val="16"/>
          <w:szCs w:val="16"/>
        </w:rPr>
        <w:t>70</w:t>
      </w:r>
      <w:r w:rsidRPr="007608B0">
        <w:rPr>
          <w:rFonts w:asciiTheme="majorHAnsi" w:hAnsiTheme="majorHAnsi"/>
          <w:sz w:val="16"/>
          <w:szCs w:val="16"/>
        </w:rPr>
        <w:t xml:space="preserve">: </w:t>
      </w:r>
      <w:r>
        <w:rPr>
          <w:rFonts w:asciiTheme="majorHAnsi" w:hAnsiTheme="majorHAnsi"/>
          <w:sz w:val="16"/>
          <w:szCs w:val="16"/>
        </w:rPr>
        <w:t xml:space="preserve">Fiscalía 17. Of. FAL17-169-2016, </w:t>
      </w:r>
      <w:r w:rsidRPr="007608B0">
        <w:rPr>
          <w:rFonts w:asciiTheme="majorHAnsi" w:hAnsiTheme="majorHAnsi"/>
          <w:sz w:val="16"/>
          <w:szCs w:val="16"/>
        </w:rPr>
        <w:t xml:space="preserve">02 de febrero de 2016. Anexo </w:t>
      </w:r>
      <w:r>
        <w:rPr>
          <w:rFonts w:asciiTheme="majorHAnsi" w:hAnsiTheme="majorHAnsi"/>
          <w:sz w:val="16"/>
          <w:szCs w:val="16"/>
        </w:rPr>
        <w:t xml:space="preserve">al escrito de la parte peticionaria de </w:t>
      </w:r>
      <w:r w:rsidRPr="007608B0">
        <w:rPr>
          <w:rFonts w:asciiTheme="majorHAnsi" w:hAnsiTheme="majorHAnsi"/>
          <w:sz w:val="16"/>
          <w:szCs w:val="16"/>
        </w:rPr>
        <w:t xml:space="preserve">24 de abril de 2017. </w:t>
      </w:r>
    </w:p>
  </w:footnote>
  <w:footnote w:id="90">
    <w:p w14:paraId="1BCE2AB2" w14:textId="3AD75CD9" w:rsidR="006B16F4" w:rsidRPr="007608B0" w:rsidRDefault="006B16F4" w:rsidP="00173483">
      <w:pPr>
        <w:pBdr>
          <w:top w:val="none" w:sz="0" w:space="0" w:color="auto"/>
          <w:left w:val="none" w:sz="0" w:space="0" w:color="auto"/>
          <w:bottom w:val="none" w:sz="0" w:space="0" w:color="auto"/>
          <w:right w:val="none" w:sz="0" w:space="0" w:color="auto"/>
          <w:between w:val="none" w:sz="0" w:space="0" w:color="auto"/>
          <w:bar w:val="none" w:sz="0" w:color="auto"/>
        </w:pBdr>
        <w:spacing w:after="60"/>
        <w:contextualSpacing/>
        <w:jc w:val="both"/>
        <w:rPr>
          <w:rFonts w:asciiTheme="majorHAnsi" w:hAnsiTheme="majorHAnsi"/>
          <w:sz w:val="16"/>
          <w:szCs w:val="16"/>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 Anexo </w:t>
      </w:r>
      <w:r>
        <w:rPr>
          <w:rFonts w:asciiTheme="majorHAnsi" w:hAnsiTheme="majorHAnsi"/>
          <w:sz w:val="16"/>
          <w:szCs w:val="16"/>
        </w:rPr>
        <w:t>71</w:t>
      </w:r>
      <w:r w:rsidRPr="007608B0">
        <w:rPr>
          <w:rFonts w:asciiTheme="majorHAnsi" w:hAnsiTheme="majorHAnsi"/>
          <w:sz w:val="16"/>
          <w:szCs w:val="16"/>
        </w:rPr>
        <w:t xml:space="preserve">: </w:t>
      </w:r>
      <w:r>
        <w:rPr>
          <w:rFonts w:asciiTheme="majorHAnsi" w:hAnsiTheme="majorHAnsi"/>
          <w:sz w:val="16"/>
          <w:szCs w:val="16"/>
        </w:rPr>
        <w:t xml:space="preserve">Fiscalía 17. Of. </w:t>
      </w:r>
      <w:r w:rsidRPr="007608B0">
        <w:rPr>
          <w:rFonts w:asciiTheme="majorHAnsi" w:hAnsiTheme="majorHAnsi"/>
          <w:sz w:val="16"/>
          <w:szCs w:val="16"/>
        </w:rPr>
        <w:t>FAL</w:t>
      </w:r>
      <w:r>
        <w:rPr>
          <w:rFonts w:asciiTheme="majorHAnsi" w:hAnsiTheme="majorHAnsi"/>
          <w:sz w:val="16"/>
          <w:szCs w:val="16"/>
        </w:rPr>
        <w:t>-</w:t>
      </w:r>
      <w:r w:rsidRPr="007608B0">
        <w:rPr>
          <w:rFonts w:asciiTheme="majorHAnsi" w:hAnsiTheme="majorHAnsi"/>
          <w:sz w:val="16"/>
          <w:szCs w:val="16"/>
        </w:rPr>
        <w:t>17-</w:t>
      </w:r>
      <w:r>
        <w:rPr>
          <w:rFonts w:asciiTheme="majorHAnsi" w:hAnsiTheme="majorHAnsi"/>
          <w:sz w:val="16"/>
          <w:szCs w:val="16"/>
        </w:rPr>
        <w:t xml:space="preserve">169-2016, </w:t>
      </w:r>
      <w:r w:rsidRPr="007608B0">
        <w:rPr>
          <w:rFonts w:asciiTheme="majorHAnsi" w:hAnsiTheme="majorHAnsi"/>
          <w:sz w:val="16"/>
          <w:szCs w:val="16"/>
        </w:rPr>
        <w:t xml:space="preserve">11 de marzo de 2016. Anexo </w:t>
      </w:r>
      <w:r>
        <w:rPr>
          <w:rFonts w:asciiTheme="majorHAnsi" w:hAnsiTheme="majorHAnsi"/>
          <w:sz w:val="16"/>
          <w:szCs w:val="16"/>
        </w:rPr>
        <w:t xml:space="preserve">al escrito de la parte peticionaria de </w:t>
      </w:r>
      <w:r w:rsidRPr="007608B0">
        <w:rPr>
          <w:rFonts w:asciiTheme="majorHAnsi" w:hAnsiTheme="majorHAnsi"/>
          <w:sz w:val="16"/>
          <w:szCs w:val="16"/>
        </w:rPr>
        <w:t>24 de abril de 2017.</w:t>
      </w:r>
    </w:p>
  </w:footnote>
  <w:footnote w:id="91">
    <w:p w14:paraId="4F489C98" w14:textId="0D0C0BFD" w:rsidR="006B16F4" w:rsidRPr="007608B0" w:rsidRDefault="006B16F4" w:rsidP="00173483">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HAnsi" w:hAnsiTheme="majorHAnsi"/>
          <w:sz w:val="16"/>
          <w:szCs w:val="16"/>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 Anexo </w:t>
      </w:r>
      <w:r>
        <w:rPr>
          <w:rFonts w:asciiTheme="majorHAnsi" w:hAnsiTheme="majorHAnsi"/>
          <w:sz w:val="16"/>
          <w:szCs w:val="16"/>
        </w:rPr>
        <w:t>72</w:t>
      </w:r>
      <w:r w:rsidRPr="007608B0">
        <w:rPr>
          <w:rFonts w:asciiTheme="majorHAnsi" w:hAnsiTheme="majorHAnsi"/>
          <w:sz w:val="16"/>
          <w:szCs w:val="16"/>
        </w:rPr>
        <w:t xml:space="preserve">: Fiscalía </w:t>
      </w:r>
      <w:r>
        <w:rPr>
          <w:rFonts w:asciiTheme="majorHAnsi" w:hAnsiTheme="majorHAnsi"/>
          <w:sz w:val="16"/>
          <w:szCs w:val="16"/>
        </w:rPr>
        <w:t xml:space="preserve">17. </w:t>
      </w:r>
      <w:r w:rsidRPr="007608B0">
        <w:rPr>
          <w:rFonts w:asciiTheme="majorHAnsi" w:hAnsiTheme="majorHAnsi"/>
          <w:sz w:val="16"/>
          <w:szCs w:val="16"/>
        </w:rPr>
        <w:t>Of</w:t>
      </w:r>
      <w:r>
        <w:rPr>
          <w:rFonts w:asciiTheme="majorHAnsi" w:hAnsiTheme="majorHAnsi"/>
          <w:sz w:val="16"/>
          <w:szCs w:val="16"/>
        </w:rPr>
        <w:t xml:space="preserve">. FAL17-191-2016, 12 de marzo de 2016. Anexo al escrito de la parte peticionaria de </w:t>
      </w:r>
      <w:r w:rsidRPr="007608B0">
        <w:rPr>
          <w:rFonts w:asciiTheme="majorHAnsi" w:hAnsiTheme="majorHAnsi"/>
          <w:sz w:val="16"/>
          <w:szCs w:val="16"/>
        </w:rPr>
        <w:t>24 de abril de 2017.</w:t>
      </w:r>
    </w:p>
  </w:footnote>
  <w:footnote w:id="92">
    <w:p w14:paraId="2FAC5A52" w14:textId="5A00F560" w:rsidR="006B16F4" w:rsidRPr="007608B0" w:rsidRDefault="006B16F4" w:rsidP="00173483">
      <w:pPr>
        <w:pStyle w:val="Textonotapie"/>
        <w:contextualSpacing/>
        <w:jc w:val="both"/>
        <w:rPr>
          <w:szCs w:val="16"/>
          <w:lang w:val="es-CO"/>
        </w:rPr>
      </w:pPr>
      <w:r w:rsidRPr="007608B0">
        <w:rPr>
          <w:rStyle w:val="Refdenotaalpie"/>
          <w:szCs w:val="16"/>
          <w:lang w:val="es-CO"/>
        </w:rPr>
        <w:footnoteRef/>
      </w:r>
      <w:r w:rsidRPr="007608B0">
        <w:rPr>
          <w:szCs w:val="16"/>
          <w:lang w:val="es-CO"/>
        </w:rPr>
        <w:t xml:space="preserve"> Anexo </w:t>
      </w:r>
      <w:r>
        <w:rPr>
          <w:szCs w:val="16"/>
          <w:lang w:val="es-CO"/>
        </w:rPr>
        <w:t>73</w:t>
      </w:r>
      <w:r w:rsidRPr="007608B0">
        <w:rPr>
          <w:szCs w:val="16"/>
          <w:lang w:val="es-CO"/>
        </w:rPr>
        <w:t xml:space="preserve">: </w:t>
      </w:r>
      <w:r>
        <w:rPr>
          <w:szCs w:val="16"/>
          <w:lang w:val="es-CO"/>
        </w:rPr>
        <w:t xml:space="preserve">Fiscalía 17. </w:t>
      </w:r>
      <w:r w:rsidRPr="007608B0">
        <w:rPr>
          <w:szCs w:val="16"/>
          <w:lang w:val="es-CO"/>
        </w:rPr>
        <w:t>Of</w:t>
      </w:r>
      <w:r>
        <w:rPr>
          <w:szCs w:val="16"/>
          <w:lang w:val="es-CO"/>
        </w:rPr>
        <w:t xml:space="preserve">. </w:t>
      </w:r>
      <w:r w:rsidRPr="007608B0">
        <w:rPr>
          <w:szCs w:val="16"/>
          <w:lang w:val="es-CO"/>
        </w:rPr>
        <w:t>FAL17-192-2016</w:t>
      </w:r>
      <w:r>
        <w:rPr>
          <w:szCs w:val="16"/>
          <w:lang w:val="es-CO"/>
        </w:rPr>
        <w:t xml:space="preserve">, 12 de marzo de 2016. Anexo al escrito de la parte peticionaria de </w:t>
      </w:r>
      <w:r w:rsidRPr="007608B0">
        <w:rPr>
          <w:szCs w:val="16"/>
          <w:lang w:val="es-CO"/>
        </w:rPr>
        <w:t>24 de abril de 2017.</w:t>
      </w:r>
    </w:p>
  </w:footnote>
  <w:footnote w:id="93">
    <w:p w14:paraId="0211D33C" w14:textId="28BBF0FC" w:rsidR="006B16F4" w:rsidRPr="007608B0" w:rsidRDefault="006B16F4" w:rsidP="00173483">
      <w:pPr>
        <w:pBdr>
          <w:top w:val="none" w:sz="0" w:space="0" w:color="auto"/>
          <w:left w:val="none" w:sz="0" w:space="0" w:color="auto"/>
          <w:bottom w:val="none" w:sz="0" w:space="0" w:color="auto"/>
          <w:right w:val="none" w:sz="0" w:space="0" w:color="auto"/>
          <w:between w:val="none" w:sz="0" w:space="0" w:color="auto"/>
          <w:bar w:val="none" w:sz="0" w:color="auto"/>
        </w:pBdr>
        <w:spacing w:after="60"/>
        <w:contextualSpacing/>
        <w:jc w:val="both"/>
        <w:rPr>
          <w:rFonts w:asciiTheme="majorHAnsi" w:hAnsiTheme="majorHAnsi"/>
          <w:sz w:val="16"/>
          <w:szCs w:val="16"/>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 Anexo </w:t>
      </w:r>
      <w:r>
        <w:rPr>
          <w:rFonts w:asciiTheme="majorHAnsi" w:hAnsiTheme="majorHAnsi"/>
          <w:sz w:val="16"/>
          <w:szCs w:val="16"/>
        </w:rPr>
        <w:t xml:space="preserve">74: Fiscalía 17. Of. FAL17-193-2016, 12 de marzo de 2016. Anexo al escrito de la parte peticionaria de </w:t>
      </w:r>
      <w:r w:rsidRPr="007608B0">
        <w:rPr>
          <w:rFonts w:asciiTheme="majorHAnsi" w:hAnsiTheme="majorHAnsi"/>
          <w:sz w:val="16"/>
          <w:szCs w:val="16"/>
        </w:rPr>
        <w:t>24 de abril de 2017.</w:t>
      </w:r>
    </w:p>
  </w:footnote>
  <w:footnote w:id="94">
    <w:p w14:paraId="00E1574D" w14:textId="666D620E" w:rsidR="006B16F4" w:rsidRPr="007608B0" w:rsidRDefault="006B16F4" w:rsidP="00173483">
      <w:pPr>
        <w:pBdr>
          <w:top w:val="none" w:sz="0" w:space="0" w:color="auto"/>
          <w:left w:val="none" w:sz="0" w:space="0" w:color="auto"/>
          <w:bottom w:val="none" w:sz="0" w:space="0" w:color="auto"/>
          <w:right w:val="none" w:sz="0" w:space="0" w:color="auto"/>
          <w:between w:val="none" w:sz="0" w:space="0" w:color="auto"/>
          <w:bar w:val="none" w:sz="0" w:color="auto"/>
        </w:pBdr>
        <w:spacing w:after="60"/>
        <w:contextualSpacing/>
        <w:jc w:val="both"/>
        <w:rPr>
          <w:rFonts w:asciiTheme="majorHAnsi" w:hAnsiTheme="majorHAnsi"/>
          <w:sz w:val="16"/>
          <w:szCs w:val="16"/>
          <w:lang w:val="es-ES"/>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 </w:t>
      </w:r>
      <w:r>
        <w:rPr>
          <w:rFonts w:asciiTheme="majorHAnsi" w:hAnsiTheme="majorHAnsi"/>
          <w:sz w:val="16"/>
          <w:szCs w:val="16"/>
          <w:lang w:val="es-ES"/>
        </w:rPr>
        <w:t>Anexo 75</w:t>
      </w:r>
      <w:r w:rsidRPr="007608B0">
        <w:rPr>
          <w:rFonts w:asciiTheme="majorHAnsi" w:hAnsiTheme="majorHAnsi"/>
          <w:sz w:val="16"/>
          <w:szCs w:val="16"/>
          <w:lang w:val="es-ES"/>
        </w:rPr>
        <w:t>: Unidad Criminalística</w:t>
      </w:r>
      <w:r>
        <w:rPr>
          <w:rFonts w:asciiTheme="majorHAnsi" w:hAnsiTheme="majorHAnsi"/>
          <w:sz w:val="16"/>
          <w:szCs w:val="16"/>
          <w:lang w:val="es-ES"/>
        </w:rPr>
        <w:t>.</w:t>
      </w:r>
      <w:r w:rsidRPr="007608B0">
        <w:rPr>
          <w:rFonts w:asciiTheme="majorHAnsi" w:hAnsiTheme="majorHAnsi"/>
          <w:sz w:val="16"/>
          <w:szCs w:val="16"/>
          <w:lang w:val="es-ES"/>
        </w:rPr>
        <w:t xml:space="preserve"> Acta de investigación </w:t>
      </w:r>
      <w:r>
        <w:rPr>
          <w:rFonts w:asciiTheme="majorHAnsi" w:hAnsiTheme="majorHAnsi"/>
          <w:sz w:val="16"/>
          <w:szCs w:val="16"/>
          <w:lang w:val="es-ES"/>
        </w:rPr>
        <w:t xml:space="preserve">y reunión </w:t>
      </w:r>
      <w:r w:rsidRPr="007608B0">
        <w:rPr>
          <w:rFonts w:asciiTheme="majorHAnsi" w:hAnsiTheme="majorHAnsi"/>
          <w:sz w:val="16"/>
          <w:szCs w:val="16"/>
          <w:lang w:val="es-ES"/>
        </w:rPr>
        <w:t xml:space="preserve">de 14 de marzo de 2016. Anexo </w:t>
      </w:r>
      <w:r>
        <w:rPr>
          <w:rFonts w:asciiTheme="majorHAnsi" w:hAnsiTheme="majorHAnsi"/>
          <w:sz w:val="16"/>
          <w:szCs w:val="16"/>
          <w:lang w:val="es-ES"/>
        </w:rPr>
        <w:t xml:space="preserve">al </w:t>
      </w:r>
      <w:r>
        <w:rPr>
          <w:rFonts w:asciiTheme="majorHAnsi" w:hAnsiTheme="majorHAnsi"/>
          <w:sz w:val="16"/>
          <w:szCs w:val="16"/>
        </w:rPr>
        <w:t xml:space="preserve">escrito </w:t>
      </w:r>
      <w:r w:rsidRPr="007608B0">
        <w:rPr>
          <w:rFonts w:asciiTheme="majorHAnsi" w:hAnsiTheme="majorHAnsi"/>
          <w:sz w:val="16"/>
          <w:szCs w:val="16"/>
        </w:rPr>
        <w:t>de la parte peticionaria de 24 de abril de 2017.</w:t>
      </w:r>
    </w:p>
  </w:footnote>
  <w:footnote w:id="95">
    <w:p w14:paraId="5FDEE8C9" w14:textId="73136042" w:rsidR="006B16F4" w:rsidRPr="007608B0" w:rsidRDefault="006B16F4" w:rsidP="00173483">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ind w:right="-90"/>
        <w:contextualSpacing/>
        <w:jc w:val="both"/>
        <w:rPr>
          <w:rFonts w:asciiTheme="majorHAnsi" w:hAnsiTheme="majorHAnsi"/>
          <w:sz w:val="16"/>
          <w:szCs w:val="16"/>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 </w:t>
      </w:r>
      <w:r>
        <w:rPr>
          <w:rFonts w:asciiTheme="majorHAnsi" w:hAnsiTheme="majorHAnsi"/>
          <w:sz w:val="16"/>
          <w:szCs w:val="16"/>
          <w:lang w:val="es-ES"/>
        </w:rPr>
        <w:t xml:space="preserve">Anexo 76: Unidad Criminalística. Acta de investigación, </w:t>
      </w:r>
      <w:r w:rsidRPr="007608B0">
        <w:rPr>
          <w:rFonts w:asciiTheme="majorHAnsi" w:hAnsiTheme="majorHAnsi"/>
          <w:sz w:val="16"/>
          <w:szCs w:val="16"/>
          <w:lang w:val="es-ES"/>
        </w:rPr>
        <w:t xml:space="preserve">7 de abril de 2016. Anexo </w:t>
      </w:r>
      <w:r>
        <w:rPr>
          <w:rFonts w:asciiTheme="majorHAnsi" w:hAnsiTheme="majorHAnsi"/>
          <w:sz w:val="16"/>
          <w:szCs w:val="16"/>
          <w:lang w:val="es-ES"/>
        </w:rPr>
        <w:t xml:space="preserve">al </w:t>
      </w:r>
      <w:r>
        <w:rPr>
          <w:rFonts w:asciiTheme="majorHAnsi" w:hAnsiTheme="majorHAnsi"/>
          <w:sz w:val="16"/>
          <w:szCs w:val="16"/>
        </w:rPr>
        <w:t xml:space="preserve">escrito de la parte peticionaria de </w:t>
      </w:r>
      <w:r w:rsidRPr="007608B0">
        <w:rPr>
          <w:rFonts w:asciiTheme="majorHAnsi" w:hAnsiTheme="majorHAnsi"/>
          <w:sz w:val="16"/>
          <w:szCs w:val="16"/>
        </w:rPr>
        <w:t>24 de abril d</w:t>
      </w:r>
      <w:r>
        <w:rPr>
          <w:rFonts w:asciiTheme="majorHAnsi" w:hAnsiTheme="majorHAnsi"/>
          <w:sz w:val="16"/>
          <w:szCs w:val="16"/>
        </w:rPr>
        <w:t>e 2017.</w:t>
      </w:r>
    </w:p>
  </w:footnote>
  <w:footnote w:id="96">
    <w:p w14:paraId="05954042" w14:textId="6EDFC34C" w:rsidR="006B16F4" w:rsidRPr="007608B0" w:rsidRDefault="006B16F4" w:rsidP="00173483">
      <w:pPr>
        <w:pBdr>
          <w:top w:val="none" w:sz="0" w:space="0" w:color="auto"/>
          <w:left w:val="none" w:sz="0" w:space="0" w:color="auto"/>
          <w:bottom w:val="none" w:sz="0" w:space="0" w:color="auto"/>
          <w:right w:val="none" w:sz="0" w:space="0" w:color="auto"/>
          <w:between w:val="none" w:sz="0" w:space="0" w:color="auto"/>
          <w:bar w:val="none" w:sz="0" w:color="auto"/>
        </w:pBdr>
        <w:spacing w:after="60"/>
        <w:contextualSpacing/>
        <w:jc w:val="both"/>
        <w:rPr>
          <w:rFonts w:asciiTheme="majorHAnsi" w:hAnsiTheme="majorHAnsi"/>
          <w:sz w:val="16"/>
          <w:szCs w:val="16"/>
          <w:lang w:val="es-ES"/>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 </w:t>
      </w:r>
      <w:r w:rsidRPr="007608B0">
        <w:rPr>
          <w:rFonts w:asciiTheme="majorHAnsi" w:hAnsiTheme="majorHAnsi"/>
          <w:sz w:val="16"/>
          <w:szCs w:val="16"/>
          <w:lang w:val="es-ES"/>
        </w:rPr>
        <w:t xml:space="preserve">Anexo </w:t>
      </w:r>
      <w:r>
        <w:rPr>
          <w:rFonts w:asciiTheme="majorHAnsi" w:hAnsiTheme="majorHAnsi"/>
          <w:sz w:val="16"/>
          <w:szCs w:val="16"/>
          <w:lang w:val="es-ES"/>
        </w:rPr>
        <w:t>77</w:t>
      </w:r>
      <w:r w:rsidRPr="007608B0">
        <w:rPr>
          <w:rFonts w:asciiTheme="majorHAnsi" w:hAnsiTheme="majorHAnsi"/>
          <w:sz w:val="16"/>
          <w:szCs w:val="16"/>
          <w:lang w:val="es-ES"/>
        </w:rPr>
        <w:t>: Unidad Criminalística</w:t>
      </w:r>
      <w:r>
        <w:rPr>
          <w:rFonts w:asciiTheme="majorHAnsi" w:hAnsiTheme="majorHAnsi"/>
          <w:sz w:val="16"/>
          <w:szCs w:val="16"/>
          <w:lang w:val="es-ES"/>
        </w:rPr>
        <w:t xml:space="preserve">. </w:t>
      </w:r>
      <w:r w:rsidRPr="007608B0">
        <w:rPr>
          <w:rFonts w:asciiTheme="majorHAnsi" w:hAnsiTheme="majorHAnsi"/>
          <w:sz w:val="16"/>
          <w:szCs w:val="16"/>
          <w:lang w:val="es-ES"/>
        </w:rPr>
        <w:t xml:space="preserve">Minuta </w:t>
      </w:r>
      <w:r>
        <w:rPr>
          <w:rFonts w:asciiTheme="majorHAnsi" w:hAnsiTheme="majorHAnsi"/>
          <w:sz w:val="16"/>
          <w:szCs w:val="16"/>
          <w:lang w:val="es-ES"/>
        </w:rPr>
        <w:t xml:space="preserve">de </w:t>
      </w:r>
      <w:r w:rsidRPr="007608B0">
        <w:rPr>
          <w:rFonts w:asciiTheme="majorHAnsi" w:hAnsiTheme="majorHAnsi"/>
          <w:sz w:val="16"/>
          <w:szCs w:val="16"/>
          <w:lang w:val="es-ES"/>
        </w:rPr>
        <w:t xml:space="preserve">14 de marzo de </w:t>
      </w:r>
      <w:r>
        <w:rPr>
          <w:rFonts w:asciiTheme="majorHAnsi" w:hAnsiTheme="majorHAnsi"/>
          <w:sz w:val="16"/>
          <w:szCs w:val="16"/>
          <w:lang w:val="es-ES"/>
        </w:rPr>
        <w:t>20</w:t>
      </w:r>
      <w:r w:rsidRPr="007608B0">
        <w:rPr>
          <w:rFonts w:asciiTheme="majorHAnsi" w:hAnsiTheme="majorHAnsi"/>
          <w:sz w:val="16"/>
          <w:szCs w:val="16"/>
          <w:lang w:val="es-ES"/>
        </w:rPr>
        <w:t xml:space="preserve">16. Anexo </w:t>
      </w:r>
      <w:r>
        <w:rPr>
          <w:rFonts w:asciiTheme="majorHAnsi" w:hAnsiTheme="majorHAnsi"/>
          <w:sz w:val="16"/>
          <w:szCs w:val="16"/>
          <w:lang w:val="es-ES"/>
        </w:rPr>
        <w:t xml:space="preserve">al escrito </w:t>
      </w:r>
      <w:r>
        <w:rPr>
          <w:rFonts w:asciiTheme="majorHAnsi" w:hAnsiTheme="majorHAnsi"/>
          <w:sz w:val="16"/>
          <w:szCs w:val="16"/>
        </w:rPr>
        <w:t xml:space="preserve">de la parte peticionaria de </w:t>
      </w:r>
      <w:r w:rsidRPr="007608B0">
        <w:rPr>
          <w:rFonts w:asciiTheme="majorHAnsi" w:hAnsiTheme="majorHAnsi"/>
          <w:sz w:val="16"/>
          <w:szCs w:val="16"/>
        </w:rPr>
        <w:t>24 de abril de 2017.</w:t>
      </w:r>
    </w:p>
  </w:footnote>
  <w:footnote w:id="97">
    <w:p w14:paraId="49CED128" w14:textId="4CCBED0E" w:rsidR="006B16F4" w:rsidRPr="007608B0" w:rsidRDefault="006B16F4" w:rsidP="00173483">
      <w:pPr>
        <w:pBdr>
          <w:top w:val="none" w:sz="0" w:space="0" w:color="auto"/>
          <w:left w:val="none" w:sz="0" w:space="0" w:color="auto"/>
          <w:bottom w:val="none" w:sz="0" w:space="0" w:color="auto"/>
          <w:right w:val="none" w:sz="0" w:space="0" w:color="auto"/>
          <w:between w:val="none" w:sz="0" w:space="0" w:color="auto"/>
          <w:bar w:val="none" w:sz="0" w:color="auto"/>
        </w:pBdr>
        <w:spacing w:after="60"/>
        <w:contextualSpacing/>
        <w:jc w:val="both"/>
        <w:rPr>
          <w:rFonts w:asciiTheme="majorHAnsi" w:hAnsiTheme="majorHAnsi"/>
          <w:sz w:val="16"/>
          <w:szCs w:val="16"/>
          <w:lang w:val="es-ES"/>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 </w:t>
      </w:r>
      <w:r w:rsidRPr="007608B0">
        <w:rPr>
          <w:rFonts w:asciiTheme="majorHAnsi" w:hAnsiTheme="majorHAnsi"/>
          <w:sz w:val="16"/>
          <w:szCs w:val="16"/>
          <w:lang w:val="es-ES"/>
        </w:rPr>
        <w:t xml:space="preserve">Anexo </w:t>
      </w:r>
      <w:r>
        <w:rPr>
          <w:rFonts w:asciiTheme="majorHAnsi" w:hAnsiTheme="majorHAnsi"/>
          <w:sz w:val="16"/>
          <w:szCs w:val="16"/>
          <w:lang w:val="es-ES"/>
        </w:rPr>
        <w:t>78</w:t>
      </w:r>
      <w:r w:rsidRPr="007608B0">
        <w:rPr>
          <w:rFonts w:asciiTheme="majorHAnsi" w:hAnsiTheme="majorHAnsi"/>
          <w:sz w:val="16"/>
          <w:szCs w:val="16"/>
          <w:lang w:val="es-ES"/>
        </w:rPr>
        <w:t xml:space="preserve">: Fiscalía </w:t>
      </w:r>
      <w:r>
        <w:rPr>
          <w:rFonts w:asciiTheme="majorHAnsi" w:hAnsiTheme="majorHAnsi"/>
          <w:sz w:val="16"/>
          <w:szCs w:val="16"/>
          <w:lang w:val="es-ES"/>
        </w:rPr>
        <w:t xml:space="preserve">17. </w:t>
      </w:r>
      <w:r w:rsidRPr="007608B0">
        <w:rPr>
          <w:rFonts w:asciiTheme="majorHAnsi" w:hAnsiTheme="majorHAnsi"/>
          <w:sz w:val="16"/>
          <w:szCs w:val="16"/>
          <w:lang w:val="es-ES"/>
        </w:rPr>
        <w:t>Of</w:t>
      </w:r>
      <w:r>
        <w:rPr>
          <w:rFonts w:asciiTheme="majorHAnsi" w:hAnsiTheme="majorHAnsi"/>
          <w:sz w:val="16"/>
          <w:szCs w:val="16"/>
          <w:lang w:val="es-ES"/>
        </w:rPr>
        <w:t xml:space="preserve">. </w:t>
      </w:r>
      <w:r w:rsidRPr="007608B0">
        <w:rPr>
          <w:rFonts w:asciiTheme="majorHAnsi" w:hAnsiTheme="majorHAnsi"/>
          <w:sz w:val="16"/>
          <w:szCs w:val="16"/>
          <w:lang w:val="es-ES"/>
        </w:rPr>
        <w:t>FAL17-204-2016</w:t>
      </w:r>
      <w:r>
        <w:rPr>
          <w:rFonts w:asciiTheme="majorHAnsi" w:hAnsiTheme="majorHAnsi"/>
          <w:sz w:val="16"/>
          <w:szCs w:val="16"/>
          <w:lang w:val="es-ES"/>
        </w:rPr>
        <w:t xml:space="preserve">, </w:t>
      </w:r>
      <w:r w:rsidRPr="007608B0">
        <w:rPr>
          <w:rFonts w:asciiTheme="majorHAnsi" w:hAnsiTheme="majorHAnsi"/>
          <w:sz w:val="16"/>
          <w:szCs w:val="16"/>
          <w:lang w:val="es-ES"/>
        </w:rPr>
        <w:t>28 de marzo de 2016. Anexo</w:t>
      </w:r>
      <w:r>
        <w:rPr>
          <w:rFonts w:asciiTheme="majorHAnsi" w:hAnsiTheme="majorHAnsi"/>
          <w:sz w:val="16"/>
          <w:szCs w:val="16"/>
          <w:lang w:val="es-ES"/>
        </w:rPr>
        <w:t xml:space="preserve"> al</w:t>
      </w:r>
      <w:r w:rsidRPr="007608B0">
        <w:rPr>
          <w:rFonts w:asciiTheme="majorHAnsi" w:hAnsiTheme="majorHAnsi"/>
          <w:sz w:val="16"/>
          <w:szCs w:val="16"/>
        </w:rPr>
        <w:t xml:space="preserve"> </w:t>
      </w:r>
      <w:r>
        <w:rPr>
          <w:rFonts w:asciiTheme="majorHAnsi" w:hAnsiTheme="majorHAnsi"/>
          <w:sz w:val="16"/>
          <w:szCs w:val="16"/>
        </w:rPr>
        <w:t>escrito de la parte peticionaria de</w:t>
      </w:r>
      <w:r w:rsidRPr="007608B0">
        <w:rPr>
          <w:rFonts w:asciiTheme="majorHAnsi" w:hAnsiTheme="majorHAnsi"/>
          <w:sz w:val="16"/>
          <w:szCs w:val="16"/>
        </w:rPr>
        <w:t xml:space="preserve"> 24 de abril de 2017.</w:t>
      </w:r>
    </w:p>
  </w:footnote>
  <w:footnote w:id="98">
    <w:p w14:paraId="1E3AD9AE" w14:textId="028CD3D9" w:rsidR="006B16F4" w:rsidRPr="007608B0" w:rsidRDefault="006B16F4" w:rsidP="00173483">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contextualSpacing/>
        <w:jc w:val="both"/>
        <w:rPr>
          <w:rFonts w:asciiTheme="majorHAnsi" w:hAnsiTheme="majorHAnsi"/>
          <w:sz w:val="16"/>
          <w:szCs w:val="16"/>
        </w:rPr>
      </w:pPr>
      <w:r w:rsidRPr="007608B0">
        <w:rPr>
          <w:rStyle w:val="Refdenotaalpie"/>
          <w:rFonts w:asciiTheme="majorHAnsi" w:hAnsiTheme="majorHAnsi"/>
          <w:sz w:val="16"/>
          <w:szCs w:val="16"/>
        </w:rPr>
        <w:footnoteRef/>
      </w:r>
      <w:r>
        <w:rPr>
          <w:rFonts w:asciiTheme="majorHAnsi" w:hAnsiTheme="majorHAnsi"/>
          <w:sz w:val="16"/>
          <w:szCs w:val="16"/>
        </w:rPr>
        <w:t xml:space="preserve"> Anexo 79</w:t>
      </w:r>
      <w:r w:rsidRPr="007608B0">
        <w:rPr>
          <w:rFonts w:asciiTheme="majorHAnsi" w:hAnsiTheme="majorHAnsi"/>
          <w:sz w:val="16"/>
          <w:szCs w:val="16"/>
        </w:rPr>
        <w:t>: Cuerpo de Policía Estadal</w:t>
      </w:r>
      <w:r>
        <w:rPr>
          <w:rFonts w:asciiTheme="majorHAnsi" w:hAnsiTheme="majorHAnsi"/>
          <w:sz w:val="16"/>
          <w:szCs w:val="16"/>
        </w:rPr>
        <w:t xml:space="preserve">. Of. 0252, 30 de marzo de 2016. Anexo al escrito de la parte peticionaria de </w:t>
      </w:r>
      <w:r w:rsidRPr="007608B0">
        <w:rPr>
          <w:rFonts w:asciiTheme="majorHAnsi" w:hAnsiTheme="majorHAnsi"/>
          <w:sz w:val="16"/>
          <w:szCs w:val="16"/>
        </w:rPr>
        <w:t>24 de abril de 2017.</w:t>
      </w:r>
    </w:p>
  </w:footnote>
  <w:footnote w:id="99">
    <w:p w14:paraId="52BD9C23" w14:textId="16A765F2" w:rsidR="006B16F4" w:rsidRPr="007608B0" w:rsidRDefault="006B16F4" w:rsidP="00173483">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contextualSpacing/>
        <w:jc w:val="both"/>
        <w:rPr>
          <w:rFonts w:asciiTheme="majorHAnsi" w:hAnsiTheme="majorHAnsi"/>
          <w:sz w:val="16"/>
          <w:szCs w:val="16"/>
          <w:lang w:val="es-ES"/>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 Anexo </w:t>
      </w:r>
      <w:r>
        <w:rPr>
          <w:rFonts w:asciiTheme="majorHAnsi" w:hAnsiTheme="majorHAnsi"/>
          <w:sz w:val="16"/>
          <w:szCs w:val="16"/>
        </w:rPr>
        <w:t>80</w:t>
      </w:r>
      <w:r w:rsidRPr="007608B0">
        <w:rPr>
          <w:rFonts w:asciiTheme="majorHAnsi" w:hAnsiTheme="majorHAnsi"/>
          <w:sz w:val="16"/>
          <w:szCs w:val="16"/>
        </w:rPr>
        <w:t>: Tribunal Penal de Primera Instancia Estadales y Munic</w:t>
      </w:r>
      <w:r>
        <w:rPr>
          <w:rFonts w:asciiTheme="majorHAnsi" w:hAnsiTheme="majorHAnsi"/>
          <w:sz w:val="16"/>
          <w:szCs w:val="16"/>
        </w:rPr>
        <w:t xml:space="preserve">ipales en Funciones de Control. </w:t>
      </w:r>
      <w:r w:rsidRPr="007608B0">
        <w:rPr>
          <w:rFonts w:asciiTheme="majorHAnsi" w:hAnsiTheme="majorHAnsi"/>
          <w:sz w:val="16"/>
          <w:szCs w:val="16"/>
        </w:rPr>
        <w:t>Oficio No 2C-920-2016</w:t>
      </w:r>
      <w:r>
        <w:rPr>
          <w:rFonts w:asciiTheme="majorHAnsi" w:hAnsiTheme="majorHAnsi"/>
          <w:sz w:val="16"/>
          <w:szCs w:val="16"/>
        </w:rPr>
        <w:t>.</w:t>
      </w:r>
      <w:r w:rsidRPr="007608B0">
        <w:rPr>
          <w:rFonts w:asciiTheme="majorHAnsi" w:hAnsiTheme="majorHAnsi"/>
          <w:sz w:val="16"/>
          <w:szCs w:val="16"/>
        </w:rPr>
        <w:t xml:space="preserve"> </w:t>
      </w:r>
      <w:r>
        <w:rPr>
          <w:rFonts w:asciiTheme="majorHAnsi" w:hAnsiTheme="majorHAnsi"/>
          <w:sz w:val="16"/>
          <w:szCs w:val="16"/>
        </w:rPr>
        <w:t>O</w:t>
      </w:r>
      <w:r w:rsidRPr="007608B0">
        <w:rPr>
          <w:rFonts w:asciiTheme="majorHAnsi" w:hAnsiTheme="majorHAnsi"/>
          <w:sz w:val="16"/>
          <w:szCs w:val="16"/>
        </w:rPr>
        <w:t>rden de aprehensión contra Felipe Antonio Rojas Quero</w:t>
      </w:r>
      <w:r>
        <w:rPr>
          <w:rFonts w:asciiTheme="majorHAnsi" w:hAnsiTheme="majorHAnsi"/>
          <w:sz w:val="16"/>
          <w:szCs w:val="16"/>
        </w:rPr>
        <w:t>, 1 de abril de 2016. Anexo al escrito</w:t>
      </w:r>
      <w:r w:rsidRPr="007608B0">
        <w:rPr>
          <w:rFonts w:asciiTheme="majorHAnsi" w:hAnsiTheme="majorHAnsi"/>
          <w:sz w:val="16"/>
          <w:szCs w:val="16"/>
        </w:rPr>
        <w:t xml:space="preserve"> </w:t>
      </w:r>
      <w:r>
        <w:rPr>
          <w:rFonts w:asciiTheme="majorHAnsi" w:hAnsiTheme="majorHAnsi"/>
          <w:sz w:val="16"/>
          <w:szCs w:val="16"/>
        </w:rPr>
        <w:t xml:space="preserve">de la parte peticionaria de </w:t>
      </w:r>
      <w:r w:rsidRPr="007608B0">
        <w:rPr>
          <w:rFonts w:asciiTheme="majorHAnsi" w:hAnsiTheme="majorHAnsi"/>
          <w:sz w:val="16"/>
          <w:szCs w:val="16"/>
        </w:rPr>
        <w:t>24 de abril de 2017.</w:t>
      </w:r>
    </w:p>
  </w:footnote>
  <w:footnote w:id="100">
    <w:p w14:paraId="4F1BBFD5" w14:textId="7AFC1115" w:rsidR="006B16F4" w:rsidRPr="007608B0" w:rsidRDefault="006B16F4" w:rsidP="00173483">
      <w:pPr>
        <w:pStyle w:val="Textonotapie"/>
        <w:contextualSpacing/>
        <w:jc w:val="both"/>
        <w:rPr>
          <w:szCs w:val="16"/>
          <w:lang w:val="es-CO"/>
        </w:rPr>
      </w:pPr>
      <w:r w:rsidRPr="007608B0">
        <w:rPr>
          <w:rStyle w:val="Refdenotaalpie"/>
          <w:szCs w:val="16"/>
          <w:lang w:val="es-CO"/>
        </w:rPr>
        <w:footnoteRef/>
      </w:r>
      <w:r w:rsidRPr="007608B0">
        <w:rPr>
          <w:szCs w:val="16"/>
          <w:lang w:val="es-CO"/>
        </w:rPr>
        <w:t xml:space="preserve"> Anexo </w:t>
      </w:r>
      <w:r>
        <w:rPr>
          <w:szCs w:val="16"/>
          <w:lang w:val="es-CO"/>
        </w:rPr>
        <w:t>81</w:t>
      </w:r>
      <w:r w:rsidRPr="007608B0">
        <w:rPr>
          <w:szCs w:val="16"/>
          <w:lang w:val="es-CO"/>
        </w:rPr>
        <w:t>: F</w:t>
      </w:r>
      <w:r>
        <w:rPr>
          <w:szCs w:val="16"/>
          <w:lang w:val="es-CO"/>
        </w:rPr>
        <w:t>iscalía 76.</w:t>
      </w:r>
      <w:r w:rsidRPr="007608B0">
        <w:rPr>
          <w:szCs w:val="16"/>
          <w:lang w:val="es-CO"/>
        </w:rPr>
        <w:t xml:space="preserve"> Of</w:t>
      </w:r>
      <w:r>
        <w:rPr>
          <w:szCs w:val="16"/>
          <w:lang w:val="es-CO"/>
        </w:rPr>
        <w:t>.</w:t>
      </w:r>
      <w:r w:rsidRPr="007608B0">
        <w:rPr>
          <w:szCs w:val="16"/>
          <w:lang w:val="es-CO"/>
        </w:rPr>
        <w:t xml:space="preserve"> FAL17-229-2016</w:t>
      </w:r>
      <w:r>
        <w:rPr>
          <w:szCs w:val="16"/>
          <w:lang w:val="es-CO"/>
        </w:rPr>
        <w:t xml:space="preserve">, 1 de abril de 2016. Anexo escrito de la parte peticionaria, </w:t>
      </w:r>
      <w:r w:rsidRPr="007608B0">
        <w:rPr>
          <w:szCs w:val="16"/>
          <w:lang w:val="es-CO"/>
        </w:rPr>
        <w:t>24 de abril de 2017.</w:t>
      </w:r>
    </w:p>
  </w:footnote>
  <w:footnote w:id="101">
    <w:p w14:paraId="769B3567" w14:textId="2AB74506" w:rsidR="006B16F4" w:rsidRPr="007608B0" w:rsidRDefault="006B16F4" w:rsidP="00173483">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contextualSpacing/>
        <w:jc w:val="both"/>
        <w:rPr>
          <w:rFonts w:asciiTheme="majorHAnsi" w:hAnsiTheme="majorHAnsi"/>
          <w:sz w:val="16"/>
          <w:szCs w:val="16"/>
          <w:lang w:val="es-ES"/>
        </w:rPr>
      </w:pPr>
      <w:r w:rsidRPr="007608B0">
        <w:rPr>
          <w:rStyle w:val="Refdenotaalpie"/>
          <w:rFonts w:asciiTheme="majorHAnsi" w:hAnsiTheme="majorHAnsi"/>
          <w:sz w:val="16"/>
          <w:szCs w:val="16"/>
        </w:rPr>
        <w:footnoteRef/>
      </w:r>
      <w:r w:rsidRPr="007608B0">
        <w:rPr>
          <w:rFonts w:asciiTheme="majorHAnsi" w:hAnsiTheme="majorHAnsi"/>
          <w:sz w:val="16"/>
          <w:szCs w:val="16"/>
        </w:rPr>
        <w:t xml:space="preserve"> </w:t>
      </w:r>
      <w:r>
        <w:rPr>
          <w:rFonts w:asciiTheme="majorHAnsi" w:hAnsiTheme="majorHAnsi"/>
          <w:sz w:val="16"/>
          <w:szCs w:val="16"/>
          <w:lang w:val="es-ES"/>
        </w:rPr>
        <w:t xml:space="preserve">Anexo 82: Acta policía de </w:t>
      </w:r>
      <w:r w:rsidRPr="007608B0">
        <w:rPr>
          <w:rFonts w:asciiTheme="majorHAnsi" w:hAnsiTheme="majorHAnsi"/>
          <w:sz w:val="16"/>
          <w:szCs w:val="16"/>
        </w:rPr>
        <w:t xml:space="preserve">5 de abril de 2016. </w:t>
      </w:r>
      <w:r w:rsidRPr="007608B0">
        <w:rPr>
          <w:rFonts w:asciiTheme="majorHAnsi" w:hAnsiTheme="majorHAnsi"/>
          <w:sz w:val="16"/>
          <w:szCs w:val="16"/>
          <w:lang w:val="es-ES"/>
        </w:rPr>
        <w:t xml:space="preserve">Anexo </w:t>
      </w:r>
      <w:r>
        <w:rPr>
          <w:rFonts w:asciiTheme="majorHAnsi" w:hAnsiTheme="majorHAnsi"/>
          <w:sz w:val="16"/>
          <w:szCs w:val="16"/>
          <w:lang w:val="es-ES"/>
        </w:rPr>
        <w:t xml:space="preserve">al </w:t>
      </w:r>
      <w:r>
        <w:rPr>
          <w:rFonts w:asciiTheme="majorHAnsi" w:hAnsiTheme="majorHAnsi"/>
          <w:sz w:val="16"/>
          <w:szCs w:val="16"/>
        </w:rPr>
        <w:t xml:space="preserve">escrito de la parte peticionaria de </w:t>
      </w:r>
      <w:r w:rsidRPr="007608B0">
        <w:rPr>
          <w:rFonts w:asciiTheme="majorHAnsi" w:hAnsiTheme="majorHAnsi"/>
          <w:sz w:val="16"/>
          <w:szCs w:val="16"/>
        </w:rPr>
        <w:t>24 de abril de 2017.</w:t>
      </w:r>
    </w:p>
  </w:footnote>
  <w:footnote w:id="102">
    <w:p w14:paraId="3B5CA741" w14:textId="77777777" w:rsidR="006B16F4" w:rsidRPr="005D3C86" w:rsidRDefault="006B16F4" w:rsidP="00DB38BC">
      <w:pPr>
        <w:tabs>
          <w:tab w:val="left" w:pos="540"/>
        </w:tabs>
        <w:contextualSpacing/>
        <w:jc w:val="both"/>
        <w:rPr>
          <w:rFonts w:asciiTheme="majorHAnsi" w:hAnsiTheme="majorHAnsi"/>
          <w:sz w:val="16"/>
          <w:szCs w:val="16"/>
        </w:rPr>
      </w:pPr>
      <w:r w:rsidRPr="005D3C86">
        <w:rPr>
          <w:rStyle w:val="Refdenotaalpie"/>
          <w:rFonts w:asciiTheme="majorHAnsi" w:hAnsiTheme="majorHAnsi"/>
          <w:sz w:val="16"/>
          <w:szCs w:val="16"/>
        </w:rPr>
        <w:footnoteRef/>
      </w:r>
      <w:r w:rsidRPr="005D3C86">
        <w:rPr>
          <w:rFonts w:asciiTheme="majorHAnsi" w:hAnsiTheme="majorHAnsi"/>
          <w:sz w:val="16"/>
          <w:szCs w:val="16"/>
        </w:rPr>
        <w:t xml:space="preserve"> Misión Permanente de la República Bolivariana de Venezuela ante la OEA, Comunicación II.2.E8.D-OEA.16-399, de 09 de junio de 2016.</w:t>
      </w:r>
    </w:p>
  </w:footnote>
  <w:footnote w:id="103">
    <w:p w14:paraId="6C8945BF" w14:textId="77777777" w:rsidR="006B16F4" w:rsidRPr="005D3C86" w:rsidRDefault="006B16F4" w:rsidP="00DB38BC">
      <w:pPr>
        <w:pStyle w:val="Textonotapie"/>
        <w:jc w:val="both"/>
        <w:rPr>
          <w:szCs w:val="16"/>
          <w:lang w:val="es-ES"/>
        </w:rPr>
      </w:pPr>
      <w:r w:rsidRPr="005D3C86">
        <w:rPr>
          <w:rStyle w:val="Refdenotaalpie"/>
          <w:szCs w:val="16"/>
        </w:rPr>
        <w:footnoteRef/>
      </w:r>
      <w:r w:rsidRPr="005D3C86">
        <w:rPr>
          <w:szCs w:val="16"/>
          <w:lang w:val="es-ES"/>
        </w:rPr>
        <w:t xml:space="preserve"> El artículo 4 de la Convención Americana establece: 1. Toda persona tiene derecho a que se respete su vida. (…)  Nadie puede ser privado de la vida arbitrariamente. (…)</w:t>
      </w:r>
    </w:p>
  </w:footnote>
  <w:footnote w:id="104">
    <w:p w14:paraId="6945A81F" w14:textId="0A60020F" w:rsidR="006B16F4" w:rsidRPr="005D3C86" w:rsidRDefault="006B16F4" w:rsidP="00DB38BC">
      <w:pPr>
        <w:pStyle w:val="Textonotapie"/>
        <w:jc w:val="both"/>
        <w:rPr>
          <w:szCs w:val="16"/>
          <w:lang w:val="es-ES_tradnl"/>
        </w:rPr>
      </w:pPr>
      <w:r w:rsidRPr="005D3C86">
        <w:rPr>
          <w:rStyle w:val="Refdenotaalpie"/>
          <w:szCs w:val="16"/>
        </w:rPr>
        <w:footnoteRef/>
      </w:r>
      <w:r w:rsidRPr="005D3C86">
        <w:rPr>
          <w:szCs w:val="16"/>
          <w:lang w:val="es-ES"/>
        </w:rPr>
        <w:t xml:space="preserve"> El artículo 5 de la Convención Americana establece: </w:t>
      </w:r>
      <w:r w:rsidRPr="005D3C86">
        <w:rPr>
          <w:szCs w:val="16"/>
          <w:lang w:val="es-ES_tradnl"/>
        </w:rPr>
        <w:t>1. Toda persona tiene derecho a que se respete su integridad física, psíquica y moral.</w:t>
      </w:r>
    </w:p>
  </w:footnote>
  <w:footnote w:id="105">
    <w:p w14:paraId="304F914B" w14:textId="77777777" w:rsidR="006B16F4" w:rsidRPr="00DB38BC" w:rsidRDefault="006B16F4" w:rsidP="00DB38BC">
      <w:pPr>
        <w:pStyle w:val="Textonotapie"/>
        <w:jc w:val="both"/>
        <w:rPr>
          <w:lang w:val="es-ES"/>
        </w:rPr>
      </w:pPr>
      <w:r>
        <w:rPr>
          <w:rStyle w:val="Refdenotaalpie"/>
        </w:rPr>
        <w:footnoteRef/>
      </w:r>
      <w:r w:rsidRPr="00E779C8">
        <w:rPr>
          <w:lang w:val="es-ES"/>
        </w:rPr>
        <w:t xml:space="preserve"> </w:t>
      </w:r>
      <w:r>
        <w:rPr>
          <w:lang w:val="es-ES"/>
        </w:rPr>
        <w:t xml:space="preserve">El artículo 1.1 de la Convención americana establece: </w:t>
      </w:r>
      <w:r w:rsidRPr="00DB38BC">
        <w:rPr>
          <w:lang w:val="es-CO"/>
        </w:rPr>
        <w:t>Los Estados Partes en esta Convención se comprometen a respetar los derechos y libertades reconocidos en ella y a garantizar su libre y pleno ejercicio a toda persona que esté sujeta a su jurisdicción,</w:t>
      </w:r>
    </w:p>
  </w:footnote>
  <w:footnote w:id="106">
    <w:p w14:paraId="7785B087" w14:textId="77777777" w:rsidR="006B16F4" w:rsidRPr="00DB38BC" w:rsidRDefault="006B16F4" w:rsidP="00DB38BC">
      <w:pPr>
        <w:pStyle w:val="Textonotapie"/>
        <w:jc w:val="both"/>
        <w:rPr>
          <w:lang w:val="es-ES"/>
        </w:rPr>
      </w:pPr>
      <w:r>
        <w:rPr>
          <w:rStyle w:val="Refdenotaalpie"/>
        </w:rPr>
        <w:footnoteRef/>
      </w:r>
      <w:r w:rsidRPr="00E779C8">
        <w:rPr>
          <w:lang w:val="es-ES"/>
        </w:rPr>
        <w:t xml:space="preserve"> </w:t>
      </w:r>
      <w:r>
        <w:rPr>
          <w:lang w:val="es-ES"/>
        </w:rPr>
        <w:t xml:space="preserve">El artículo 1 de la CIPST establece: </w:t>
      </w:r>
      <w:r w:rsidRPr="00DB38BC">
        <w:rPr>
          <w:lang w:val="es-CO"/>
        </w:rPr>
        <w:t>os Estados partes se obligan a prevenir y a sancionar la tortura en los términos de la presente Convención.</w:t>
      </w:r>
    </w:p>
  </w:footnote>
  <w:footnote w:id="107">
    <w:p w14:paraId="5ED2136B" w14:textId="77777777" w:rsidR="006B16F4" w:rsidRPr="00DB38BC" w:rsidRDefault="006B16F4" w:rsidP="00DB38BC">
      <w:pPr>
        <w:pStyle w:val="Textonotapie"/>
        <w:jc w:val="both"/>
        <w:rPr>
          <w:lang w:val="es-ES"/>
        </w:rPr>
      </w:pPr>
      <w:r>
        <w:rPr>
          <w:rStyle w:val="Refdenotaalpie"/>
        </w:rPr>
        <w:footnoteRef/>
      </w:r>
      <w:r w:rsidRPr="00E779C8">
        <w:rPr>
          <w:lang w:val="es-ES"/>
        </w:rPr>
        <w:t xml:space="preserve"> </w:t>
      </w:r>
      <w:r>
        <w:rPr>
          <w:lang w:val="es-ES"/>
        </w:rPr>
        <w:t xml:space="preserve">El artículo 6 de la CIPST establece: </w:t>
      </w:r>
      <w:r w:rsidRPr="00DB38BC">
        <w:rPr>
          <w:lang w:val="es-ES"/>
        </w:rPr>
        <w:t>De conformidad con lo dispuesto en el artículo 1, los Estados partes tomarán medidas efectivas para prevenir y sancionar la tortura en el ámbito de su jurisdicción.</w:t>
      </w:r>
      <w:r>
        <w:rPr>
          <w:lang w:val="es-ES"/>
        </w:rPr>
        <w:t xml:space="preserve"> </w:t>
      </w:r>
      <w:r w:rsidRPr="00DB38BC">
        <w:rPr>
          <w:lang w:val="es-ES"/>
        </w:rPr>
        <w:t>Los Estados partes se asegurarán de que todos los actos de tortura y los intentos de cometer tales actos constituyan delitos conforme a su derecho penal, estableciendo para castigarlos sanciones severas que tengan en cuenta su gravedad.</w:t>
      </w:r>
      <w:r>
        <w:rPr>
          <w:lang w:val="es-ES"/>
        </w:rPr>
        <w:t xml:space="preserve"> </w:t>
      </w:r>
      <w:r w:rsidRPr="00DB38BC">
        <w:rPr>
          <w:lang w:val="es-ES"/>
        </w:rPr>
        <w:t>Igualmente, los Estados partes tomarán medidas efectivas para prevenir y sancionar, además, otros tratos o penas crueles, inhumanos o degradantes en el ámbito de su jurisdicción.</w:t>
      </w:r>
    </w:p>
  </w:footnote>
  <w:footnote w:id="108">
    <w:p w14:paraId="3C3FCAC2" w14:textId="77777777" w:rsidR="006B16F4" w:rsidRPr="00DB38BC" w:rsidRDefault="006B16F4" w:rsidP="00DB38BC">
      <w:pPr>
        <w:pStyle w:val="Textonotapie"/>
        <w:jc w:val="both"/>
        <w:rPr>
          <w:lang w:val="es-ES"/>
        </w:rPr>
      </w:pPr>
      <w:r>
        <w:rPr>
          <w:rStyle w:val="Refdenotaalpie"/>
        </w:rPr>
        <w:footnoteRef/>
      </w:r>
      <w:r w:rsidRPr="00E779C8">
        <w:rPr>
          <w:lang w:val="es-ES"/>
        </w:rPr>
        <w:t xml:space="preserve"> </w:t>
      </w:r>
      <w:r>
        <w:rPr>
          <w:lang w:val="es-ES"/>
        </w:rPr>
        <w:t xml:space="preserve">El artículo 8 de la CIPST establece: </w:t>
      </w:r>
      <w:r w:rsidRPr="00DB38BC">
        <w:rPr>
          <w:lang w:val="es-ES"/>
        </w:rPr>
        <w:t>Los Estados partes garantizarán a toda persona que denuncie haber sido sometida a tortura en el ámbito de su jurisdicción el derecho a que el caso sea examinado imparcialmente.</w:t>
      </w:r>
      <w:r>
        <w:rPr>
          <w:lang w:val="es-ES"/>
        </w:rPr>
        <w:t xml:space="preserve"> </w:t>
      </w:r>
      <w:r w:rsidRPr="00DB38BC">
        <w:rPr>
          <w:lang w:val="es-ES"/>
        </w:rPr>
        <w:t>Asimismo, cuando exista denuncia o razón fundada para creer que se ha cometido un acto de tortura en el ámbito de su jurisdicción, los Estados partes garantizarán que sus respectivas autoridades procederán de oficio y de inmediato a realizar una investigación sobre el caso y a iniciar, cuando corresponda, el respectivo proceso penal.</w:t>
      </w:r>
      <w:r>
        <w:rPr>
          <w:lang w:val="es-ES"/>
        </w:rPr>
        <w:t xml:space="preserve"> </w:t>
      </w:r>
      <w:r w:rsidRPr="00DB38BC">
        <w:rPr>
          <w:lang w:val="es-ES"/>
        </w:rPr>
        <w:t>Una vez agotado el ordenamiento jurídico interno del respectivo Estado y los recursos que éste prevé, el caso podrá ser sometido a instancias internacionales cuya competencia haya sido aceptada por ese Estado.</w:t>
      </w:r>
    </w:p>
  </w:footnote>
  <w:footnote w:id="109">
    <w:p w14:paraId="76525AFA" w14:textId="42081D89" w:rsidR="006B16F4" w:rsidRPr="009272EF" w:rsidRDefault="006B16F4" w:rsidP="00DB38BC">
      <w:pPr>
        <w:pStyle w:val="Textonotapie"/>
        <w:jc w:val="both"/>
        <w:rPr>
          <w:szCs w:val="16"/>
          <w:lang w:val="es-CO"/>
        </w:rPr>
      </w:pPr>
      <w:r w:rsidRPr="00C8292F">
        <w:rPr>
          <w:rStyle w:val="Refdenotaalpie"/>
          <w:szCs w:val="16"/>
          <w:lang w:val="es-ES"/>
        </w:rPr>
        <w:footnoteRef/>
      </w:r>
      <w:r>
        <w:rPr>
          <w:szCs w:val="16"/>
          <w:lang w:val="es-ES"/>
        </w:rPr>
        <w:t xml:space="preserve"> CIDH. </w:t>
      </w:r>
      <w:r w:rsidRPr="00C8292F">
        <w:rPr>
          <w:szCs w:val="16"/>
          <w:lang w:val="es-ES"/>
        </w:rPr>
        <w:t xml:space="preserve">Informe No. 25/02, Caso 11.763, Masacre de Plan de Sánchez, Guatemala Caso 11.763, del 28 de febrero de 2002, párr. </w:t>
      </w:r>
      <w:r w:rsidRPr="009272EF">
        <w:rPr>
          <w:szCs w:val="16"/>
          <w:lang w:val="es-CO"/>
        </w:rPr>
        <w:t xml:space="preserve">114. </w:t>
      </w:r>
    </w:p>
  </w:footnote>
  <w:footnote w:id="110">
    <w:p w14:paraId="5079153E" w14:textId="6446EAC6" w:rsidR="006B16F4" w:rsidRPr="00D0385C" w:rsidRDefault="006B16F4" w:rsidP="00A67632">
      <w:pPr>
        <w:pStyle w:val="Textonotapie"/>
        <w:jc w:val="both"/>
        <w:rPr>
          <w:color w:val="auto"/>
          <w:szCs w:val="16"/>
          <w:lang w:val="es-ES"/>
        </w:rPr>
      </w:pPr>
      <w:r w:rsidRPr="00D0385C">
        <w:rPr>
          <w:rStyle w:val="Refdenotaalpie"/>
          <w:color w:val="auto"/>
          <w:szCs w:val="16"/>
        </w:rPr>
        <w:footnoteRef/>
      </w:r>
      <w:r w:rsidRPr="00D0385C">
        <w:rPr>
          <w:color w:val="auto"/>
          <w:szCs w:val="16"/>
          <w:lang w:val="es-ES"/>
        </w:rPr>
        <w:t xml:space="preserve"> CIDH. Informe No. 120/10, Caso 12.605, Fondo, Joe Luis Castillo González, Venezuela, 22 de octubre de 2010, párr. 109.</w:t>
      </w:r>
    </w:p>
  </w:footnote>
  <w:footnote w:id="111">
    <w:p w14:paraId="5030BF11" w14:textId="0DA7DD5E" w:rsidR="006B16F4" w:rsidRPr="00D0385C" w:rsidRDefault="006B16F4">
      <w:pPr>
        <w:pStyle w:val="Textonotapie"/>
        <w:rPr>
          <w:lang w:val="es-ES"/>
        </w:rPr>
      </w:pPr>
      <w:r w:rsidRPr="00D0385C">
        <w:rPr>
          <w:rStyle w:val="Refdenotaalpie"/>
        </w:rPr>
        <w:footnoteRef/>
      </w:r>
      <w:r w:rsidRPr="00D0385C">
        <w:rPr>
          <w:lang w:val="es-ES"/>
        </w:rPr>
        <w:t xml:space="preserve"> CIDH. Informe No. 100/17. Fondo. Juan Francisco Arrom Shuhurt y otros. Paraguay. 5 de septiembre de 2017. Párr. 189 y ss.</w:t>
      </w:r>
    </w:p>
  </w:footnote>
  <w:footnote w:id="112">
    <w:p w14:paraId="791EDD51" w14:textId="402CF667" w:rsidR="006B16F4" w:rsidRPr="00D0385C" w:rsidRDefault="006B16F4" w:rsidP="00A67632">
      <w:pPr>
        <w:pStyle w:val="Textonotapie"/>
        <w:jc w:val="both"/>
        <w:rPr>
          <w:color w:val="auto"/>
          <w:szCs w:val="16"/>
          <w:lang w:val="es-ES"/>
        </w:rPr>
      </w:pPr>
      <w:r w:rsidRPr="00D0385C">
        <w:rPr>
          <w:rStyle w:val="Refdenotaalpie"/>
          <w:color w:val="auto"/>
          <w:szCs w:val="16"/>
        </w:rPr>
        <w:footnoteRef/>
      </w:r>
      <w:r w:rsidRPr="00D0385C">
        <w:rPr>
          <w:color w:val="auto"/>
          <w:szCs w:val="16"/>
          <w:lang w:val="es-ES"/>
        </w:rPr>
        <w:t xml:space="preserve"> Corte IDH. </w:t>
      </w:r>
      <w:hyperlink r:id="rId12" w:history="1">
        <w:r w:rsidRPr="00D0385C">
          <w:rPr>
            <w:rStyle w:val="Hipervnculo"/>
            <w:color w:val="auto"/>
            <w:szCs w:val="16"/>
            <w:u w:val="none"/>
            <w:shd w:val="clear" w:color="auto" w:fill="FFFFFF"/>
            <w:lang w:val="es-CO"/>
          </w:rPr>
          <w:t>Caso J. Vs. Perú. Excepción Preliminar, Fondo, Reparaciones y Costas. Sentencia de 27 de noviembre de 2013. Serie C No. 275</w:t>
        </w:r>
      </w:hyperlink>
      <w:r w:rsidRPr="00D0385C">
        <w:rPr>
          <w:color w:val="auto"/>
          <w:szCs w:val="16"/>
          <w:lang w:val="es-CO"/>
        </w:rPr>
        <w:t xml:space="preserve">, párr. </w:t>
      </w:r>
      <w:r w:rsidRPr="00D0385C">
        <w:rPr>
          <w:color w:val="auto"/>
          <w:szCs w:val="16"/>
          <w:lang w:val="es-ES"/>
        </w:rPr>
        <w:t>353.</w:t>
      </w:r>
    </w:p>
  </w:footnote>
  <w:footnote w:id="113">
    <w:p w14:paraId="301D6D14" w14:textId="7EA30012" w:rsidR="006B16F4" w:rsidRPr="00A34BBD" w:rsidRDefault="006B16F4" w:rsidP="00CF0CAB">
      <w:pPr>
        <w:pStyle w:val="Textonotapie"/>
        <w:jc w:val="both"/>
        <w:rPr>
          <w:color w:val="auto"/>
          <w:szCs w:val="16"/>
          <w:lang w:val="es-UY"/>
        </w:rPr>
      </w:pPr>
      <w:r w:rsidRPr="00D0385C">
        <w:rPr>
          <w:rStyle w:val="Refdenotaalpie"/>
          <w:color w:val="auto"/>
          <w:szCs w:val="16"/>
        </w:rPr>
        <w:footnoteRef/>
      </w:r>
      <w:r w:rsidRPr="00D0385C">
        <w:rPr>
          <w:color w:val="auto"/>
          <w:szCs w:val="16"/>
          <w:lang w:val="es-ES"/>
        </w:rPr>
        <w:t xml:space="preserve"> Corte IDH. </w:t>
      </w:r>
      <w:hyperlink r:id="rId13" w:history="1">
        <w:r w:rsidRPr="00D0385C">
          <w:rPr>
            <w:rStyle w:val="Hipervnculo"/>
            <w:color w:val="auto"/>
            <w:szCs w:val="16"/>
            <w:u w:val="none"/>
            <w:shd w:val="clear" w:color="auto" w:fill="FFFFFF"/>
            <w:lang w:val="es-ES"/>
          </w:rPr>
          <w:t xml:space="preserve">Caso J. Vs. Perú. Excepción Preliminar, Fondo, Reparaciones y Costas. Sentencia de 27 de noviembre de 2013. </w:t>
        </w:r>
        <w:r w:rsidRPr="00A34BBD">
          <w:rPr>
            <w:rStyle w:val="Hipervnculo"/>
            <w:color w:val="auto"/>
            <w:szCs w:val="16"/>
            <w:u w:val="none"/>
            <w:shd w:val="clear" w:color="auto" w:fill="FFFFFF"/>
            <w:lang w:val="es-UY"/>
          </w:rPr>
          <w:t>Serie C No. 275</w:t>
        </w:r>
      </w:hyperlink>
      <w:r w:rsidRPr="00A34BBD">
        <w:rPr>
          <w:color w:val="auto"/>
          <w:szCs w:val="16"/>
          <w:lang w:val="es-UY"/>
        </w:rPr>
        <w:t>, párr. 354.</w:t>
      </w:r>
    </w:p>
  </w:footnote>
  <w:footnote w:id="114">
    <w:p w14:paraId="73EE6D75" w14:textId="469F44DF" w:rsidR="006B16F4" w:rsidRPr="00D0385C" w:rsidRDefault="006B16F4" w:rsidP="00CF0CAB">
      <w:pPr>
        <w:pStyle w:val="Textonotapie"/>
        <w:tabs>
          <w:tab w:val="left" w:pos="270"/>
        </w:tabs>
        <w:jc w:val="both"/>
        <w:rPr>
          <w:color w:val="auto"/>
          <w:szCs w:val="16"/>
          <w:lang w:val="es-ES_tradnl"/>
        </w:rPr>
      </w:pPr>
      <w:r w:rsidRPr="00D0385C">
        <w:rPr>
          <w:rStyle w:val="Refdenotaalpie"/>
        </w:rPr>
        <w:footnoteRef/>
      </w:r>
      <w:r w:rsidRPr="00A34BBD">
        <w:rPr>
          <w:lang w:val="es-UY"/>
        </w:rPr>
        <w:t xml:space="preserve"> </w:t>
      </w:r>
      <w:r w:rsidRPr="00A34BBD">
        <w:rPr>
          <w:lang w:val="es-UY"/>
        </w:rPr>
        <w:tab/>
      </w:r>
      <w:r w:rsidRPr="00A34BBD">
        <w:rPr>
          <w:color w:val="auto"/>
          <w:szCs w:val="16"/>
          <w:lang w:val="es-UY"/>
        </w:rPr>
        <w:t xml:space="preserve">Corte IDH. Caso Kawas Fernández Vs. </w:t>
      </w:r>
      <w:r w:rsidRPr="00D0385C">
        <w:rPr>
          <w:color w:val="auto"/>
          <w:szCs w:val="16"/>
          <w:lang w:val="es-CO"/>
        </w:rPr>
        <w:t xml:space="preserve">Honduras. Fondo, Reparaciones y Costas. </w:t>
      </w:r>
      <w:r w:rsidRPr="00D0385C">
        <w:rPr>
          <w:color w:val="auto"/>
          <w:szCs w:val="16"/>
          <w:lang w:val="es-ES"/>
        </w:rPr>
        <w:t>Sentencia de 3 de abril de 2009 Serie C No. 196, párr. 97.</w:t>
      </w:r>
    </w:p>
  </w:footnote>
  <w:footnote w:id="115">
    <w:p w14:paraId="1CEA0F80" w14:textId="77777777" w:rsidR="006B16F4" w:rsidRPr="00D0385C" w:rsidRDefault="006B16F4" w:rsidP="00212F6A">
      <w:pPr>
        <w:pStyle w:val="Textonotapie"/>
        <w:jc w:val="both"/>
        <w:rPr>
          <w:szCs w:val="16"/>
          <w:lang w:val="es-CO"/>
        </w:rPr>
      </w:pPr>
      <w:r w:rsidRPr="00D0385C">
        <w:rPr>
          <w:rStyle w:val="Refdenotaalpie"/>
          <w:szCs w:val="16"/>
        </w:rPr>
        <w:footnoteRef/>
      </w:r>
      <w:r w:rsidRPr="00D0385C">
        <w:rPr>
          <w:szCs w:val="16"/>
          <w:lang w:val="es-CO"/>
        </w:rPr>
        <w:t xml:space="preserve"> CIDH. Informe No. 11/10. Caso 12.488. </w:t>
      </w:r>
      <w:r w:rsidRPr="00D0385C">
        <w:rPr>
          <w:szCs w:val="16"/>
          <w:lang w:val="es-ES"/>
        </w:rPr>
        <w:t xml:space="preserve">Fondo. Miembros de la familia Barrios. </w:t>
      </w:r>
      <w:r w:rsidRPr="00D0385C">
        <w:rPr>
          <w:szCs w:val="16"/>
          <w:lang w:val="pt-BR"/>
        </w:rPr>
        <w:t xml:space="preserve">Venezuela. 16 de marzo de 2010, párr.167; CIDH. Informe 24/98. Joao Canuto de Oliveira. </w:t>
      </w:r>
      <w:r w:rsidRPr="00D0385C">
        <w:rPr>
          <w:szCs w:val="16"/>
          <w:lang w:val="es-CO"/>
        </w:rPr>
        <w:t>Brasil. 7 de abril de 1998. Párr. 53.</w:t>
      </w:r>
    </w:p>
  </w:footnote>
  <w:footnote w:id="116">
    <w:p w14:paraId="5A616DDA" w14:textId="77777777" w:rsidR="006B16F4" w:rsidRPr="00D0385C" w:rsidRDefault="006B16F4" w:rsidP="009C712C">
      <w:pPr>
        <w:pStyle w:val="Textonotapie"/>
        <w:tabs>
          <w:tab w:val="left" w:pos="720"/>
        </w:tabs>
        <w:jc w:val="both"/>
        <w:rPr>
          <w:szCs w:val="16"/>
          <w:lang w:val="es-ES_tradnl"/>
        </w:rPr>
      </w:pPr>
      <w:r w:rsidRPr="00D0385C">
        <w:rPr>
          <w:rStyle w:val="Refdenotaalpie"/>
          <w:szCs w:val="16"/>
          <w:lang w:val="es-ES_tradnl"/>
        </w:rPr>
        <w:footnoteRef/>
      </w:r>
      <w:r w:rsidRPr="00D0385C">
        <w:rPr>
          <w:szCs w:val="16"/>
          <w:lang w:val="es-CO"/>
        </w:rPr>
        <w:t xml:space="preserve"> </w:t>
      </w:r>
      <w:r w:rsidRPr="00D0385C">
        <w:rPr>
          <w:bCs/>
          <w:szCs w:val="16"/>
          <w:lang w:val="es-CO"/>
        </w:rPr>
        <w:t>Corte IDH. Caso Valle Jaramillo y otros Vs. Colombia. Fondo, Reparaciones y Costas. Sentencia de 27 de noviembre de 2008. Serie C No. 192, párr. 78</w:t>
      </w:r>
      <w:r w:rsidRPr="00D0385C">
        <w:rPr>
          <w:b/>
          <w:bCs/>
          <w:szCs w:val="16"/>
          <w:lang w:val="es-CO"/>
        </w:rPr>
        <w:t xml:space="preserve">; </w:t>
      </w:r>
      <w:r w:rsidRPr="00D0385C">
        <w:rPr>
          <w:szCs w:val="16"/>
          <w:lang w:val="es-ES_tradnl"/>
        </w:rPr>
        <w:t xml:space="preserve">Corte IDH. </w:t>
      </w:r>
      <w:r w:rsidRPr="00D0385C">
        <w:rPr>
          <w:iCs/>
          <w:szCs w:val="16"/>
          <w:lang w:val="es-ES_tradnl"/>
        </w:rPr>
        <w:t>Caso</w:t>
      </w:r>
      <w:r w:rsidRPr="00D0385C">
        <w:rPr>
          <w:szCs w:val="16"/>
          <w:lang w:val="es-ES_tradnl"/>
        </w:rPr>
        <w:t xml:space="preserve"> </w:t>
      </w:r>
      <w:r w:rsidRPr="00D0385C">
        <w:rPr>
          <w:iCs/>
          <w:szCs w:val="16"/>
          <w:lang w:val="es-ES_tradnl"/>
        </w:rPr>
        <w:t>de la Masacre de Pueblo Bello</w:t>
      </w:r>
      <w:r w:rsidRPr="00D0385C">
        <w:rPr>
          <w:szCs w:val="16"/>
          <w:lang w:val="es-ES_tradnl"/>
        </w:rPr>
        <w:t>. Párr. 117.</w:t>
      </w:r>
    </w:p>
  </w:footnote>
  <w:footnote w:id="117">
    <w:p w14:paraId="66C0218E" w14:textId="77777777" w:rsidR="006B16F4" w:rsidRPr="00D0385C" w:rsidRDefault="006B16F4" w:rsidP="00185AFE">
      <w:pPr>
        <w:jc w:val="both"/>
        <w:rPr>
          <w:rFonts w:ascii="Cambria" w:eastAsia="Times New Roman" w:hAnsi="Cambria"/>
          <w:sz w:val="16"/>
          <w:szCs w:val="16"/>
        </w:rPr>
      </w:pPr>
      <w:r w:rsidRPr="00D0385C">
        <w:rPr>
          <w:rStyle w:val="Refdenotaalpie"/>
          <w:rFonts w:ascii="Cambria" w:hAnsi="Cambria"/>
          <w:sz w:val="16"/>
          <w:szCs w:val="16"/>
          <w:lang w:val="es-ES_tradnl"/>
        </w:rPr>
        <w:footnoteRef/>
      </w:r>
      <w:r w:rsidRPr="00D0385C">
        <w:rPr>
          <w:rFonts w:ascii="Cambria" w:hAnsi="Cambria" w:cs="Arial"/>
          <w:sz w:val="16"/>
          <w:szCs w:val="16"/>
          <w:lang w:val="es-ES_tradnl"/>
        </w:rPr>
        <w:t xml:space="preserve">La jurisprudencia de la Corte Europea respecto de los elementos señalando en el deber de prevención ha sido retomada por la Corte Interamericana en varias de sus sentencias. En este sentido ver: </w:t>
      </w:r>
      <w:r w:rsidRPr="00D0385C">
        <w:rPr>
          <w:rFonts w:ascii="Cambria" w:eastAsia="Times New Roman" w:hAnsi="Cambria"/>
          <w:bCs/>
          <w:color w:val="000000"/>
          <w:sz w:val="16"/>
          <w:szCs w:val="16"/>
          <w:shd w:val="clear" w:color="auto" w:fill="FFFFFF"/>
          <w:lang w:val="es-ES_tradnl"/>
        </w:rPr>
        <w:t xml:space="preserve">Corte IDH. Caso de la Masacre de Pueblo Bello Vs. Colombia. Sentencia de 31 de enero de 2006. Serie C No. 140, párr. 124; Corte IDH. Caso González y otras (“Campo Algodonero”) Vs. México. Excepción Preliminar, Fondo, Reparaciones y Costas. Sentencia de 16 de noviembre de 2009. Serie C No.205, párr. 284; Corte IDH. Caso Luna López Vs. Honduras. Fondo, Reparaciones y Costas. </w:t>
      </w:r>
      <w:r w:rsidRPr="00D0385C">
        <w:rPr>
          <w:rFonts w:ascii="Cambria" w:eastAsia="Times New Roman" w:hAnsi="Cambria"/>
          <w:bCs/>
          <w:color w:val="000000"/>
          <w:sz w:val="16"/>
          <w:szCs w:val="16"/>
          <w:shd w:val="clear" w:color="auto" w:fill="FFFFFF"/>
        </w:rPr>
        <w:t>Sentencia de 10 de octubre de 2013. Serie C No. 269, párr. 124.</w:t>
      </w:r>
    </w:p>
  </w:footnote>
  <w:footnote w:id="118">
    <w:p w14:paraId="73D42ADC" w14:textId="77777777" w:rsidR="006B16F4" w:rsidRPr="00D0385C" w:rsidRDefault="006B16F4" w:rsidP="005D3C86">
      <w:pPr>
        <w:pStyle w:val="Textonotapie"/>
        <w:jc w:val="both"/>
        <w:rPr>
          <w:szCs w:val="16"/>
          <w:lang w:val="es-ES_tradnl"/>
        </w:rPr>
      </w:pPr>
      <w:r w:rsidRPr="00D0385C">
        <w:rPr>
          <w:rStyle w:val="Refdenotaalpie"/>
          <w:szCs w:val="16"/>
        </w:rPr>
        <w:footnoteRef/>
      </w:r>
      <w:r w:rsidRPr="00D0385C">
        <w:rPr>
          <w:szCs w:val="16"/>
          <w:lang w:val="es-CO"/>
        </w:rPr>
        <w:t xml:space="preserve"> Corte IDH. </w:t>
      </w:r>
      <w:r w:rsidRPr="00D0385C">
        <w:rPr>
          <w:szCs w:val="16"/>
          <w:lang w:val="es-ES"/>
        </w:rPr>
        <w:t xml:space="preserve">Caso Cantoral Huamaní y García Santa Cruz. Excepción preliminar, fondo, reparaciones y costas. Sentencia de 10 de julio de 2007. </w:t>
      </w:r>
      <w:r w:rsidRPr="00D0385C">
        <w:rPr>
          <w:bCs/>
          <w:szCs w:val="16"/>
          <w:lang w:val="es-ES_tradnl"/>
        </w:rPr>
        <w:t>Serie C No. 167.</w:t>
      </w:r>
      <w:r w:rsidRPr="00D0385C">
        <w:rPr>
          <w:szCs w:val="16"/>
          <w:lang w:val="es-ES_tradnl"/>
        </w:rPr>
        <w:t xml:space="preserve"> Párr. 99. </w:t>
      </w:r>
    </w:p>
  </w:footnote>
  <w:footnote w:id="119">
    <w:p w14:paraId="2D7D37CE" w14:textId="77777777" w:rsidR="006B16F4" w:rsidRPr="00D0385C" w:rsidRDefault="006B16F4">
      <w:pPr>
        <w:pStyle w:val="Textonotapie"/>
        <w:rPr>
          <w:lang w:val="es-ES"/>
        </w:rPr>
      </w:pPr>
      <w:r w:rsidRPr="00D0385C">
        <w:rPr>
          <w:rStyle w:val="Refdenotaalpie"/>
        </w:rPr>
        <w:footnoteRef/>
      </w:r>
      <w:r w:rsidRPr="00D0385C">
        <w:rPr>
          <w:lang w:val="es-ES"/>
        </w:rPr>
        <w:t xml:space="preserve"> CIDH. Informe No. 63/01. Caso 11.710. Carlos Manuel Prada González y Evelio Bolaño Castro. Colombia. 6 de abril de 2001, párr. 34.</w:t>
      </w:r>
    </w:p>
  </w:footnote>
  <w:footnote w:id="120">
    <w:p w14:paraId="37D2934F" w14:textId="77777777" w:rsidR="006B16F4" w:rsidRPr="00D0385C" w:rsidRDefault="006B16F4" w:rsidP="005D3C86">
      <w:pPr>
        <w:pStyle w:val="Textonotapie"/>
        <w:jc w:val="both"/>
        <w:rPr>
          <w:szCs w:val="16"/>
          <w:lang w:val="es-US"/>
        </w:rPr>
      </w:pPr>
      <w:r w:rsidRPr="00D0385C">
        <w:rPr>
          <w:rStyle w:val="Refdenotaalpie"/>
          <w:szCs w:val="16"/>
        </w:rPr>
        <w:footnoteRef/>
      </w:r>
      <w:r w:rsidRPr="00D0385C">
        <w:rPr>
          <w:szCs w:val="16"/>
          <w:lang w:val="es-US"/>
        </w:rPr>
        <w:t xml:space="preserve"> El artículo 8 de la Convención Americana consagra en lo pertinente: </w:t>
      </w:r>
      <w:r w:rsidRPr="00D0385C">
        <w:rPr>
          <w:szCs w:val="16"/>
          <w:lang w:val="es-US" w:bidi="en-US"/>
        </w:rPr>
        <w:t>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r w:rsidRPr="00D0385C">
        <w:rPr>
          <w:szCs w:val="16"/>
          <w:lang w:val="es-US"/>
        </w:rPr>
        <w:t xml:space="preserve"> </w:t>
      </w:r>
    </w:p>
  </w:footnote>
  <w:footnote w:id="121">
    <w:p w14:paraId="2469FD64" w14:textId="77777777" w:rsidR="006B16F4" w:rsidRPr="00D0385C" w:rsidRDefault="006B16F4" w:rsidP="005D3C86">
      <w:pPr>
        <w:pStyle w:val="Textonotapie"/>
        <w:jc w:val="both"/>
        <w:rPr>
          <w:szCs w:val="16"/>
          <w:lang w:val="es-ES"/>
        </w:rPr>
      </w:pPr>
      <w:r w:rsidRPr="00D0385C">
        <w:rPr>
          <w:rStyle w:val="Refdenotaalpie"/>
          <w:szCs w:val="16"/>
        </w:rPr>
        <w:footnoteRef/>
      </w:r>
      <w:r w:rsidRPr="00D0385C">
        <w:rPr>
          <w:szCs w:val="16"/>
          <w:lang w:val="es-ES"/>
        </w:rPr>
        <w:t xml:space="preserve"> El artículo 25 de la Convención Americana señala en lo pertinente que: 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122">
    <w:p w14:paraId="112AA7F1" w14:textId="4889A324" w:rsidR="006B16F4" w:rsidRPr="00D0385C" w:rsidRDefault="006B16F4" w:rsidP="005D3C86">
      <w:pPr>
        <w:pStyle w:val="Textonotapie"/>
        <w:jc w:val="both"/>
        <w:rPr>
          <w:szCs w:val="16"/>
          <w:lang w:val="es-CO"/>
        </w:rPr>
      </w:pPr>
      <w:r w:rsidRPr="00D0385C">
        <w:rPr>
          <w:rStyle w:val="Refdenotaalpie"/>
          <w:szCs w:val="16"/>
        </w:rPr>
        <w:footnoteRef/>
      </w:r>
      <w:r w:rsidRPr="00D0385C">
        <w:rPr>
          <w:rStyle w:val="Refdenotaalpie"/>
          <w:szCs w:val="16"/>
          <w:lang w:val="es-US"/>
        </w:rPr>
        <w:t xml:space="preserve"> </w:t>
      </w:r>
      <w:r w:rsidRPr="00D0385C">
        <w:rPr>
          <w:szCs w:val="16"/>
          <w:lang w:val="es-US"/>
        </w:rPr>
        <w:t>CIDH</w:t>
      </w:r>
      <w:r>
        <w:rPr>
          <w:szCs w:val="16"/>
          <w:lang w:val="es-US"/>
        </w:rPr>
        <w:t xml:space="preserve">. </w:t>
      </w:r>
      <w:r w:rsidRPr="00D0385C">
        <w:rPr>
          <w:szCs w:val="16"/>
          <w:lang w:val="es-US"/>
        </w:rPr>
        <w:t xml:space="preserve">Informe No. 41/15, Casos 12.335, 12. 336, 12. 757, 12.711. Fondo. Gustavo Giraldo Villamizar Durán y otros. Colombia. 28 de julio de 2015, párr. 195; y </w:t>
      </w:r>
      <w:r w:rsidRPr="00D0385C">
        <w:rPr>
          <w:szCs w:val="16"/>
          <w:lang w:val="es-CO"/>
        </w:rPr>
        <w:t>Corte IDH. Caso de la Masacre de Mapiripán Vs. Colombia. Sentencia de 15 de septiembre de 2005. Serie C No. 122, párr. 219.</w:t>
      </w:r>
    </w:p>
  </w:footnote>
  <w:footnote w:id="123">
    <w:p w14:paraId="2C798E63" w14:textId="77777777" w:rsidR="006B16F4" w:rsidRPr="00D0385C" w:rsidRDefault="006B16F4" w:rsidP="005D3C86">
      <w:pPr>
        <w:pStyle w:val="Textonotapie"/>
        <w:jc w:val="both"/>
        <w:rPr>
          <w:szCs w:val="16"/>
          <w:lang w:val="es-CO"/>
        </w:rPr>
      </w:pPr>
      <w:r w:rsidRPr="00D0385C">
        <w:rPr>
          <w:rStyle w:val="Refdenotaalpie"/>
          <w:szCs w:val="16"/>
        </w:rPr>
        <w:footnoteRef/>
      </w:r>
      <w:r w:rsidRPr="00D0385C">
        <w:rPr>
          <w:rStyle w:val="Refdenotaalpie"/>
          <w:szCs w:val="16"/>
          <w:lang w:val="es-ES"/>
        </w:rPr>
        <w:t xml:space="preserve"> </w:t>
      </w:r>
      <w:r w:rsidRPr="00D0385C">
        <w:rPr>
          <w:szCs w:val="16"/>
          <w:lang w:val="es-CO"/>
        </w:rPr>
        <w:t>Corte IDH. Caso Mendoza y otros Vs. Argentina. Excepciones Preliminares, Fondo y Reparaciones. Sentencia de 14 de mayo de 2013. Serie C No. 260. Párr. 218. Ver también: Cfr. Caso Velásquez Rodríguez Vs. Honduras. Fondo, párr. 177, y Caso Masacre de Santo Domingo Vs. Colombia, párr. 157.</w:t>
      </w:r>
    </w:p>
  </w:footnote>
  <w:footnote w:id="124">
    <w:p w14:paraId="4E582A88" w14:textId="77777777" w:rsidR="006B16F4" w:rsidRPr="00D0385C" w:rsidRDefault="006B16F4" w:rsidP="005D3C86">
      <w:pPr>
        <w:pStyle w:val="Textonotapie"/>
        <w:jc w:val="both"/>
        <w:rPr>
          <w:szCs w:val="16"/>
          <w:lang w:val="es-CO"/>
        </w:rPr>
      </w:pPr>
      <w:r w:rsidRPr="00D0385C">
        <w:rPr>
          <w:rStyle w:val="Refdenotaalpie"/>
          <w:szCs w:val="16"/>
        </w:rPr>
        <w:footnoteRef/>
      </w:r>
      <w:r w:rsidRPr="00D0385C">
        <w:rPr>
          <w:rStyle w:val="Refdenotaalpie"/>
          <w:szCs w:val="16"/>
          <w:lang w:val="es-ES"/>
        </w:rPr>
        <w:t xml:space="preserve"> </w:t>
      </w:r>
      <w:r w:rsidRPr="00D0385C">
        <w:rPr>
          <w:szCs w:val="16"/>
          <w:lang w:val="es-CO"/>
        </w:rPr>
        <w:t>Corte IDH. Velásquez Rodríguez Vs. Honduras. Fondo. Sentencia del 29 de julio de 1988. Serie C, No. 6, párr. 177.</w:t>
      </w:r>
    </w:p>
  </w:footnote>
  <w:footnote w:id="125">
    <w:p w14:paraId="27647096" w14:textId="0636EA7E" w:rsidR="006B16F4" w:rsidRPr="005D3C86" w:rsidRDefault="006B16F4" w:rsidP="005D3C86">
      <w:pPr>
        <w:pStyle w:val="Textonotapie"/>
        <w:jc w:val="both"/>
        <w:rPr>
          <w:szCs w:val="16"/>
          <w:lang w:val="es-CO"/>
        </w:rPr>
      </w:pPr>
      <w:r w:rsidRPr="00D0385C">
        <w:rPr>
          <w:rStyle w:val="Refdenotaalpie"/>
          <w:szCs w:val="16"/>
        </w:rPr>
        <w:footnoteRef/>
      </w:r>
      <w:r w:rsidRPr="00D0385C">
        <w:rPr>
          <w:rStyle w:val="Refdenotaalpie"/>
          <w:szCs w:val="16"/>
          <w:lang w:val="es-ES"/>
        </w:rPr>
        <w:t xml:space="preserve"> </w:t>
      </w:r>
      <w:r w:rsidRPr="00D0385C">
        <w:rPr>
          <w:rStyle w:val="TextonotapieCar1"/>
          <w:szCs w:val="16"/>
          <w:lang w:val="es-CO"/>
        </w:rPr>
        <w:t xml:space="preserve">CIDH. Informe sobre la Situación de las Defensoras y Defensores de los Derechos Humanos en las Américas OEA/Ser.L/V/II.124. Doc. 5 rev.1, </w:t>
      </w:r>
      <w:r>
        <w:rPr>
          <w:rStyle w:val="TextonotapieCar1"/>
          <w:szCs w:val="16"/>
          <w:lang w:val="es-CO"/>
        </w:rPr>
        <w:t xml:space="preserve">7 de marzo de 2006, párr. 109. También: Corte IDH. </w:t>
      </w:r>
      <w:r w:rsidRPr="00D0385C">
        <w:rPr>
          <w:rStyle w:val="TextonotapieCar1"/>
          <w:szCs w:val="16"/>
          <w:lang w:val="es-CO"/>
        </w:rPr>
        <w:t>Caso del Tribunal Constitucional Vs. Perú, sentencia del 29 de septiembre de 1999. Serie</w:t>
      </w:r>
      <w:r>
        <w:rPr>
          <w:rStyle w:val="TextonotapieCar1"/>
          <w:szCs w:val="16"/>
          <w:lang w:val="es-CO"/>
        </w:rPr>
        <w:t xml:space="preserve"> C Nº 71, párr. 123, Corte IDH. </w:t>
      </w:r>
      <w:r w:rsidRPr="00D0385C">
        <w:rPr>
          <w:rStyle w:val="TextonotapieCar1"/>
          <w:szCs w:val="16"/>
          <w:lang w:val="es-CO"/>
        </w:rPr>
        <w:t>Caso Blake Vs. Guatemala, Reparaciones, Sentencia de 22 de enero de 1999, Serie C Nº 48, párr. 65.</w:t>
      </w:r>
    </w:p>
  </w:footnote>
  <w:footnote w:id="126">
    <w:p w14:paraId="533FE16A" w14:textId="77777777" w:rsidR="006B16F4" w:rsidRPr="00D0385C" w:rsidRDefault="006B16F4" w:rsidP="005D3C86">
      <w:pPr>
        <w:pStyle w:val="Textonotapie"/>
        <w:jc w:val="both"/>
        <w:rPr>
          <w:szCs w:val="16"/>
          <w:lang w:val="es-CO"/>
        </w:rPr>
      </w:pPr>
      <w:r w:rsidRPr="00D0385C">
        <w:rPr>
          <w:rStyle w:val="Refdenotaalpie"/>
          <w:szCs w:val="16"/>
        </w:rPr>
        <w:footnoteRef/>
      </w:r>
      <w:r w:rsidRPr="00D0385C">
        <w:rPr>
          <w:rStyle w:val="Refdenotaalpie"/>
          <w:szCs w:val="16"/>
          <w:lang w:val="es-ES"/>
        </w:rPr>
        <w:t xml:space="preserve"> </w:t>
      </w:r>
      <w:r w:rsidRPr="00D0385C">
        <w:rPr>
          <w:szCs w:val="16"/>
          <w:lang w:val="es-CO"/>
        </w:rPr>
        <w:t xml:space="preserve">Corte IDH. Caso García Ibarra y otros vs. Ecuador. Excepciones preliminares, Fondo, Reparaciones y Costas. Sentencia de 17 de noviembre de 2015. Serie S No. 306, párr. 143. </w:t>
      </w:r>
    </w:p>
  </w:footnote>
  <w:footnote w:id="127">
    <w:p w14:paraId="54B77ED1" w14:textId="77777777" w:rsidR="006B16F4" w:rsidRPr="00D0385C" w:rsidRDefault="006B16F4" w:rsidP="005D3C86">
      <w:pPr>
        <w:pStyle w:val="Textonotapie"/>
        <w:jc w:val="both"/>
        <w:rPr>
          <w:szCs w:val="16"/>
        </w:rPr>
      </w:pPr>
      <w:r w:rsidRPr="00D0385C">
        <w:rPr>
          <w:rStyle w:val="Refdenotaalpie"/>
          <w:szCs w:val="16"/>
        </w:rPr>
        <w:footnoteRef/>
      </w:r>
      <w:r w:rsidRPr="00D0385C">
        <w:rPr>
          <w:szCs w:val="16"/>
          <w:lang w:val="es-CO"/>
        </w:rPr>
        <w:t xml:space="preserve"> Corte IDH. Caso Ortiz Hernández y otros Vs. Venezuela. Fondo, Reparaciones y Costas. Sentencia de 22 de agosto de 2017. </w:t>
      </w:r>
      <w:r w:rsidRPr="00D0385C">
        <w:rPr>
          <w:szCs w:val="16"/>
        </w:rPr>
        <w:t xml:space="preserve">Serie C No. 338. Párr. 161. </w:t>
      </w:r>
    </w:p>
  </w:footnote>
  <w:footnote w:id="128">
    <w:p w14:paraId="1E88F391" w14:textId="42C64FAE" w:rsidR="006B16F4" w:rsidRPr="00DD4BFB" w:rsidRDefault="006B16F4" w:rsidP="005D3C86">
      <w:pPr>
        <w:pStyle w:val="Textonotapie"/>
        <w:jc w:val="both"/>
        <w:rPr>
          <w:szCs w:val="16"/>
          <w:lang w:val="pt-BR"/>
        </w:rPr>
      </w:pPr>
      <w:r w:rsidRPr="00D0385C">
        <w:rPr>
          <w:rStyle w:val="Refdenotaalpie"/>
          <w:szCs w:val="16"/>
        </w:rPr>
        <w:footnoteRef/>
      </w:r>
      <w:r w:rsidRPr="00D0385C">
        <w:rPr>
          <w:rStyle w:val="Refdenotaalpie"/>
          <w:szCs w:val="16"/>
        </w:rPr>
        <w:t xml:space="preserve"> </w:t>
      </w:r>
      <w:r w:rsidRPr="00D0385C">
        <w:rPr>
          <w:szCs w:val="16"/>
        </w:rPr>
        <w:t>UN. The Minnesota Protocol on the Investigation of Potentially Unlawful Death (2016), Office of the United Nations High Commissioner for Human Rights, New York/Geneva, 2017.</w:t>
      </w:r>
      <w:r>
        <w:rPr>
          <w:szCs w:val="16"/>
        </w:rPr>
        <w:t xml:space="preserve"> </w:t>
      </w:r>
      <w:r w:rsidRPr="00DD4BFB">
        <w:rPr>
          <w:szCs w:val="16"/>
          <w:lang w:val="pt-BR"/>
        </w:rPr>
        <w:t>(Protocolo de Minnesota) Párr. 86</w:t>
      </w:r>
    </w:p>
  </w:footnote>
  <w:footnote w:id="129">
    <w:p w14:paraId="06F4BAC6" w14:textId="7B341297" w:rsidR="006B16F4" w:rsidRPr="00DD4BFB" w:rsidRDefault="006B16F4" w:rsidP="005D3C86">
      <w:pPr>
        <w:pStyle w:val="Textonotapie"/>
        <w:jc w:val="both"/>
        <w:rPr>
          <w:szCs w:val="16"/>
          <w:lang w:val="pt-BR"/>
        </w:rPr>
      </w:pPr>
      <w:r w:rsidRPr="00D0385C">
        <w:rPr>
          <w:rStyle w:val="Refdenotaalpie"/>
          <w:szCs w:val="16"/>
        </w:rPr>
        <w:footnoteRef/>
      </w:r>
      <w:r w:rsidRPr="00DD4BFB">
        <w:rPr>
          <w:szCs w:val="16"/>
          <w:lang w:val="pt-BR"/>
        </w:rPr>
        <w:t xml:space="preserve"> Protocolo de Minnesota, párrs. 148-182 y 255, 264 266.</w:t>
      </w:r>
    </w:p>
  </w:footnote>
  <w:footnote w:id="130">
    <w:p w14:paraId="75AE0123" w14:textId="77777777" w:rsidR="006B16F4" w:rsidRPr="00D0385C" w:rsidRDefault="006B16F4" w:rsidP="005D3C86">
      <w:pPr>
        <w:pStyle w:val="Textonotapie"/>
        <w:jc w:val="both"/>
        <w:rPr>
          <w:szCs w:val="16"/>
          <w:lang w:val="es-ES"/>
        </w:rPr>
      </w:pPr>
      <w:r w:rsidRPr="00D0385C">
        <w:rPr>
          <w:rStyle w:val="Refdenotaalpie"/>
          <w:szCs w:val="16"/>
        </w:rPr>
        <w:footnoteRef/>
      </w:r>
      <w:r w:rsidRPr="00DD4BFB">
        <w:rPr>
          <w:szCs w:val="16"/>
          <w:lang w:val="pt-BR"/>
        </w:rPr>
        <w:t xml:space="preserve"> </w:t>
      </w:r>
      <w:hyperlink r:id="rId14" w:history="1">
        <w:r w:rsidRPr="00DD4BFB">
          <w:rPr>
            <w:rStyle w:val="TextonotapieCar1"/>
            <w:szCs w:val="16"/>
            <w:lang w:val="pt-BR"/>
          </w:rPr>
          <w:t xml:space="preserve">Corte IDH. </w:t>
        </w:r>
        <w:r w:rsidRPr="00A34BBD">
          <w:rPr>
            <w:rStyle w:val="TextonotapieCar1"/>
            <w:szCs w:val="16"/>
            <w:lang w:val="pt-BR"/>
          </w:rPr>
          <w:t>Caso Vargas Areco Vs. Paraguay. Sentencia de 26 de septiembre de 2006. Serie C No. 155</w:t>
        </w:r>
      </w:hyperlink>
      <w:r w:rsidRPr="00A34BBD">
        <w:rPr>
          <w:rStyle w:val="TextonotapieCar1"/>
          <w:szCs w:val="16"/>
          <w:lang w:val="pt-BR"/>
        </w:rPr>
        <w:t xml:space="preserve">, párr. 196; </w:t>
      </w:r>
      <w:hyperlink r:id="rId15" w:history="1">
        <w:r w:rsidRPr="00A34BBD">
          <w:rPr>
            <w:rStyle w:val="TextonotapieCar1"/>
            <w:szCs w:val="16"/>
            <w:lang w:val="pt-BR"/>
          </w:rPr>
          <w:t xml:space="preserve">Caso de las Masacres de Ituango Vs. </w:t>
        </w:r>
        <w:r w:rsidRPr="00D0385C">
          <w:rPr>
            <w:rStyle w:val="TextonotapieCar1"/>
            <w:szCs w:val="16"/>
            <w:lang w:val="es-ES"/>
          </w:rPr>
          <w:t>Colombia. Sentencia de 1 de julio de 2006 Serie C No. 148</w:t>
        </w:r>
      </w:hyperlink>
      <w:r w:rsidRPr="00D0385C">
        <w:rPr>
          <w:rStyle w:val="TextonotapieCar1"/>
          <w:szCs w:val="16"/>
          <w:lang w:val="es-ES"/>
        </w:rPr>
        <w:t xml:space="preserve">, párr. 289; y </w:t>
      </w:r>
      <w:hyperlink r:id="rId16" w:history="1">
        <w:r w:rsidRPr="00D0385C">
          <w:rPr>
            <w:rStyle w:val="TextonotapieCar1"/>
            <w:szCs w:val="16"/>
            <w:lang w:val="es-ES"/>
          </w:rPr>
          <w:t>Corte IDH. Caso Baldeón García Vs. Perú. Fondo, Reparaciones y Costas. Sentencia de 6 de abril de 2006. Serie C No. 147</w:t>
        </w:r>
      </w:hyperlink>
      <w:r w:rsidRPr="00D0385C">
        <w:rPr>
          <w:rStyle w:val="TextonotapieCar1"/>
          <w:szCs w:val="16"/>
          <w:lang w:val="es-ES"/>
        </w:rPr>
        <w:t>, párr. 151.</w:t>
      </w:r>
    </w:p>
  </w:footnote>
  <w:footnote w:id="131">
    <w:p w14:paraId="2F6E994C" w14:textId="77777777" w:rsidR="006B16F4" w:rsidRPr="00511E75" w:rsidRDefault="006B16F4" w:rsidP="005D3C86">
      <w:pPr>
        <w:pStyle w:val="Textonotapie"/>
        <w:jc w:val="both"/>
        <w:rPr>
          <w:szCs w:val="16"/>
          <w:lang w:val="es-ES"/>
        </w:rPr>
      </w:pPr>
      <w:r w:rsidRPr="00D0385C">
        <w:rPr>
          <w:rStyle w:val="Refdenotaalpie"/>
          <w:szCs w:val="16"/>
        </w:rPr>
        <w:footnoteRef/>
      </w:r>
      <w:r w:rsidRPr="00D0385C">
        <w:rPr>
          <w:szCs w:val="16"/>
          <w:lang w:val="es-ES"/>
        </w:rPr>
        <w:t xml:space="preserve"> </w:t>
      </w:r>
      <w:r w:rsidRPr="00D0385C">
        <w:rPr>
          <w:noProof/>
          <w:szCs w:val="16"/>
          <w:lang w:val="es-ES"/>
        </w:rPr>
        <w:t>Corte IDH. Caso Valle Jaramillo y otros Vs. Colombia. Fondo, Reparaciones y Costas. Sentencia de 27 de noviembre de 2008. Serie C No. 192, párr. 155.</w:t>
      </w:r>
    </w:p>
  </w:footnote>
  <w:footnote w:id="132">
    <w:p w14:paraId="40FBBC92" w14:textId="77777777" w:rsidR="006B16F4" w:rsidRPr="00D0385C" w:rsidRDefault="006B16F4" w:rsidP="00C8292F">
      <w:pPr>
        <w:tabs>
          <w:tab w:val="left" w:pos="900"/>
          <w:tab w:val="left" w:pos="1080"/>
        </w:tabs>
        <w:jc w:val="both"/>
        <w:rPr>
          <w:rFonts w:ascii="Cambria" w:hAnsi="Cambria"/>
          <w:sz w:val="16"/>
          <w:szCs w:val="16"/>
          <w:lang w:val="es-ES_tradnl"/>
        </w:rPr>
      </w:pPr>
      <w:r w:rsidRPr="00D0385C">
        <w:rPr>
          <w:rStyle w:val="Refdenotaalpie"/>
          <w:rFonts w:ascii="Cambria" w:hAnsi="Cambria" w:cs="Arial"/>
          <w:sz w:val="16"/>
          <w:szCs w:val="16"/>
          <w:lang w:val="es-SV"/>
        </w:rPr>
        <w:footnoteRef/>
      </w:r>
      <w:r w:rsidRPr="00D0385C">
        <w:rPr>
          <w:rFonts w:ascii="Cambria" w:hAnsi="Cambria" w:cs="Arial"/>
          <w:sz w:val="16"/>
          <w:szCs w:val="16"/>
          <w:lang w:val="es-CL"/>
        </w:rPr>
        <w:t xml:space="preserve"> </w:t>
      </w:r>
      <w:r w:rsidRPr="00D0385C">
        <w:rPr>
          <w:rFonts w:ascii="Cambria" w:hAnsi="Cambria" w:cs="Arial"/>
          <w:sz w:val="16"/>
          <w:szCs w:val="16"/>
          <w:lang w:val="es-ES_tradnl"/>
        </w:rPr>
        <w:t xml:space="preserve">Corte IDH. </w:t>
      </w:r>
      <w:r w:rsidRPr="00D0385C">
        <w:rPr>
          <w:rFonts w:ascii="Cambria" w:hAnsi="Cambria" w:cs="Arial"/>
          <w:bCs/>
          <w:sz w:val="16"/>
          <w:szCs w:val="16"/>
          <w:lang w:val="es-ES_tradnl"/>
        </w:rPr>
        <w:t xml:space="preserve">Caso Cantoral Huamaní y García Santa Cruz Vs. Perú. </w:t>
      </w:r>
      <w:r w:rsidRPr="00D0385C">
        <w:rPr>
          <w:rFonts w:ascii="Cambria" w:hAnsi="Cambria" w:cs="Arial"/>
          <w:sz w:val="16"/>
          <w:szCs w:val="16"/>
          <w:lang w:val="es-ES_tradnl"/>
        </w:rPr>
        <w:t xml:space="preserve">Excepción Preliminar, Fondo, Reparaciones y Costas. Sentencia de 10 de julio de 2007. Serie C No. 167. </w:t>
      </w:r>
      <w:r w:rsidRPr="00D0385C">
        <w:rPr>
          <w:rFonts w:ascii="Cambria" w:hAnsi="Cambria" w:cs="Arial"/>
          <w:sz w:val="16"/>
          <w:szCs w:val="16"/>
          <w:lang w:val="es-CL"/>
        </w:rPr>
        <w:t xml:space="preserve">párr. 112; </w:t>
      </w:r>
      <w:r w:rsidRPr="00D0385C">
        <w:rPr>
          <w:rFonts w:ascii="Cambria" w:hAnsi="Cambria" w:cs="Arial"/>
          <w:sz w:val="16"/>
          <w:szCs w:val="16"/>
          <w:lang w:val="es-ES_tradnl"/>
        </w:rPr>
        <w:t xml:space="preserve">y Caso Bueno Alves Vs. Argentina. Fondo, Reparaciones y Costas. </w:t>
      </w:r>
      <w:r w:rsidRPr="00D0385C">
        <w:rPr>
          <w:rFonts w:ascii="Cambria" w:hAnsi="Cambria" w:cs="Arial"/>
          <w:sz w:val="16"/>
          <w:szCs w:val="16"/>
          <w:lang w:val="es-ES"/>
        </w:rPr>
        <w:t xml:space="preserve">Sentencia de 11 de mayo de 2007. Serie C. No. 164. </w:t>
      </w:r>
      <w:r w:rsidRPr="00D0385C">
        <w:rPr>
          <w:rFonts w:ascii="Cambria" w:hAnsi="Cambria" w:cs="Arial"/>
          <w:sz w:val="16"/>
          <w:szCs w:val="16"/>
          <w:lang w:val="es-ES_tradnl"/>
        </w:rPr>
        <w:t>párr. 102.</w:t>
      </w:r>
      <w:r w:rsidRPr="00D0385C">
        <w:rPr>
          <w:rFonts w:ascii="Cambria" w:hAnsi="Cambria" w:cs="Arial"/>
          <w:sz w:val="16"/>
          <w:szCs w:val="16"/>
          <w:lang w:val="es-CL"/>
        </w:rPr>
        <w:t xml:space="preserve"> Ver también: </w:t>
      </w:r>
      <w:r w:rsidRPr="00D0385C">
        <w:rPr>
          <w:rFonts w:ascii="Cambria" w:hAnsi="Cambria"/>
          <w:sz w:val="16"/>
          <w:szCs w:val="16"/>
          <w:lang w:val="es-US"/>
        </w:rPr>
        <w:t xml:space="preserve">CIDH. Informe No. 58/12. Caso 12.606. Fondo. Hermanos Landaeta Mejías. Venezuela. 21 de marzo de 2012, párr. </w:t>
      </w:r>
      <w:r w:rsidRPr="00D0385C">
        <w:rPr>
          <w:rFonts w:ascii="Cambria" w:hAnsi="Cambria" w:cs="Arial"/>
          <w:sz w:val="16"/>
          <w:szCs w:val="16"/>
          <w:lang w:val="es-CL"/>
        </w:rPr>
        <w:t xml:space="preserve">256. </w:t>
      </w:r>
    </w:p>
  </w:footnote>
  <w:footnote w:id="133">
    <w:p w14:paraId="147DFD37" w14:textId="77777777" w:rsidR="006B16F4" w:rsidRPr="00D0385C" w:rsidRDefault="006B16F4" w:rsidP="00C8292F">
      <w:pPr>
        <w:tabs>
          <w:tab w:val="left" w:pos="900"/>
          <w:tab w:val="left" w:pos="1080"/>
        </w:tabs>
        <w:jc w:val="both"/>
        <w:rPr>
          <w:rFonts w:ascii="Cambria" w:hAnsi="Cambria"/>
          <w:sz w:val="16"/>
          <w:szCs w:val="16"/>
          <w:lang w:val="es-ES_tradnl"/>
        </w:rPr>
      </w:pPr>
      <w:r w:rsidRPr="00D0385C">
        <w:rPr>
          <w:rStyle w:val="Refdenotaalpie"/>
          <w:rFonts w:ascii="Cambria" w:hAnsi="Cambria" w:cs="Arial"/>
          <w:sz w:val="16"/>
          <w:szCs w:val="16"/>
          <w:lang w:val="es-SV"/>
        </w:rPr>
        <w:footnoteRef/>
      </w:r>
      <w:r w:rsidRPr="00D0385C">
        <w:rPr>
          <w:rFonts w:ascii="Cambria" w:hAnsi="Cambria" w:cs="Arial"/>
          <w:sz w:val="16"/>
          <w:szCs w:val="16"/>
          <w:lang w:val="es-ES"/>
        </w:rPr>
        <w:t xml:space="preserve"> </w:t>
      </w:r>
      <w:r w:rsidRPr="00D0385C">
        <w:rPr>
          <w:rFonts w:ascii="Cambria" w:hAnsi="Cambria" w:cs="Arial"/>
          <w:sz w:val="16"/>
          <w:szCs w:val="16"/>
          <w:lang w:val="es-ES_tradnl"/>
        </w:rPr>
        <w:t xml:space="preserve">Corte IDH. </w:t>
      </w:r>
      <w:r w:rsidRPr="00D0385C">
        <w:rPr>
          <w:rFonts w:ascii="Cambria" w:hAnsi="Cambria" w:cs="Arial"/>
          <w:bCs/>
          <w:sz w:val="16"/>
          <w:szCs w:val="16"/>
          <w:lang w:val="es-ES_tradnl"/>
        </w:rPr>
        <w:t xml:space="preserve">Caso Cantoral Huamaní y García Santa Cruz Vs. Perú. </w:t>
      </w:r>
      <w:r w:rsidRPr="00D0385C">
        <w:rPr>
          <w:rFonts w:ascii="Cambria" w:hAnsi="Cambria" w:cs="Arial"/>
          <w:sz w:val="16"/>
          <w:szCs w:val="16"/>
          <w:lang w:val="es-ES_tradnl"/>
        </w:rPr>
        <w:t xml:space="preserve">Excepción Preliminar, Fondo, Reparaciones y Costas. Sentencia de 10 de julio de 2007. Serie C No. 167. </w:t>
      </w:r>
      <w:r w:rsidRPr="00D0385C">
        <w:rPr>
          <w:rFonts w:ascii="Cambria" w:hAnsi="Cambria" w:cs="Arial"/>
          <w:sz w:val="16"/>
          <w:szCs w:val="16"/>
          <w:lang w:val="es-CL"/>
        </w:rPr>
        <w:t>párr.</w:t>
      </w:r>
      <w:r w:rsidRPr="00D0385C">
        <w:rPr>
          <w:rFonts w:ascii="Cambria" w:hAnsi="Cambria" w:cs="Arial"/>
          <w:sz w:val="16"/>
          <w:szCs w:val="16"/>
          <w:lang w:val="es-ES"/>
        </w:rPr>
        <w:t xml:space="preserve"> 112; </w:t>
      </w:r>
      <w:r w:rsidRPr="00D0385C">
        <w:rPr>
          <w:rFonts w:ascii="Cambria" w:hAnsi="Cambria" w:cs="Arial"/>
          <w:sz w:val="16"/>
          <w:szCs w:val="16"/>
          <w:lang w:val="es-ES_tradnl"/>
        </w:rPr>
        <w:t xml:space="preserve">y Caso Vargas Areco Vs. Paraguay. Sentencia de 26 de septiembre de 2006. Serie C No. 155. párr. </w:t>
      </w:r>
      <w:r w:rsidRPr="00D0385C">
        <w:rPr>
          <w:rFonts w:ascii="Cambria" w:hAnsi="Cambria" w:cs="Arial"/>
          <w:sz w:val="16"/>
          <w:szCs w:val="16"/>
          <w:lang w:val="es-ES"/>
        </w:rPr>
        <w:t>96.</w:t>
      </w:r>
    </w:p>
  </w:footnote>
  <w:footnote w:id="134">
    <w:p w14:paraId="4067E818" w14:textId="77777777" w:rsidR="006B16F4" w:rsidRPr="00361C78" w:rsidRDefault="006B16F4" w:rsidP="0055403B">
      <w:pPr>
        <w:pStyle w:val="Textonotapie"/>
        <w:tabs>
          <w:tab w:val="left" w:pos="720"/>
          <w:tab w:val="left" w:pos="900"/>
          <w:tab w:val="left" w:pos="1080"/>
        </w:tabs>
        <w:jc w:val="both"/>
        <w:rPr>
          <w:szCs w:val="16"/>
          <w:lang w:val="es-CO"/>
        </w:rPr>
      </w:pPr>
      <w:r w:rsidRPr="00D0385C">
        <w:rPr>
          <w:rStyle w:val="Refdenotaalpie"/>
          <w:szCs w:val="16"/>
        </w:rPr>
        <w:footnoteRef/>
      </w:r>
      <w:r w:rsidRPr="00D0385C">
        <w:rPr>
          <w:szCs w:val="16"/>
          <w:lang w:val="es-ES_tradnl"/>
        </w:rPr>
        <w:t xml:space="preserve"> </w:t>
      </w:r>
      <w:r w:rsidRPr="00D0385C">
        <w:rPr>
          <w:noProof/>
          <w:szCs w:val="16"/>
          <w:lang w:val="es-ES"/>
        </w:rPr>
        <w:t>Corte IDH. Caso Valle Jaramillo y otros Vs. Colombia. Fondo, Reparaciones y Costas. Sentencia de 27 de noviembre de 2008. Serie C No. 192</w:t>
      </w:r>
      <w:r w:rsidRPr="00D0385C">
        <w:rPr>
          <w:szCs w:val="16"/>
          <w:lang w:val="es-ES_tradnl"/>
        </w:rPr>
        <w:t xml:space="preserve">, párr. 102; Caso de la Masacre de la Rochela Vs. Colombia. Fondo, Reparaciones y Costas. Sentencia de 11 de mayo de 2007, Serie C No. 163, párr. 195; y Caso Heliodoro Portugal Vs. Panamá. </w:t>
      </w:r>
      <w:hyperlink r:id="rId17" w:history="1">
        <w:r w:rsidRPr="00D0385C">
          <w:rPr>
            <w:noProof/>
            <w:szCs w:val="16"/>
            <w:lang w:val="es-ES"/>
          </w:rPr>
          <w:t>Excepciones Preliminares, Fondo, Reparaciones y Costas. Sentencia de 12 de agosto de 2008. Serie C No. 186</w:t>
        </w:r>
      </w:hyperlink>
      <w:r w:rsidRPr="00D0385C">
        <w:rPr>
          <w:noProof/>
          <w:szCs w:val="16"/>
          <w:lang w:val="es-ES"/>
        </w:rPr>
        <w:t>, párr. 146</w:t>
      </w:r>
      <w:r w:rsidRPr="00D0385C">
        <w:rPr>
          <w:szCs w:val="16"/>
          <w:lang w:val="es-CO"/>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AB1E2" w14:textId="77777777" w:rsidR="006B16F4" w:rsidRDefault="006B16F4" w:rsidP="00637216">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63D6CE9E" w14:textId="77777777" w:rsidR="006B16F4" w:rsidRDefault="006B16F4">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84584" w14:textId="184D983D" w:rsidR="006B16F4" w:rsidRPr="00EC7D62" w:rsidRDefault="006B16F4"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4"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156902EA"/>
    <w:multiLevelType w:val="hybridMultilevel"/>
    <w:tmpl w:val="C128A8D0"/>
    <w:lvl w:ilvl="0" w:tplc="C34A81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35758D"/>
    <w:multiLevelType w:val="hybridMultilevel"/>
    <w:tmpl w:val="0BDC4E72"/>
    <w:lvl w:ilvl="0" w:tplc="D644842C">
      <w:start w:val="1"/>
      <w:numFmt w:val="upperLetter"/>
      <w:pStyle w:val="Ttulo2"/>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9"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2"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5"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B1B68F9"/>
    <w:multiLevelType w:val="hybridMultilevel"/>
    <w:tmpl w:val="3CE0E556"/>
    <w:lvl w:ilvl="0" w:tplc="18921EF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2DB66050"/>
    <w:multiLevelType w:val="hybridMultilevel"/>
    <w:tmpl w:val="7C8A1B20"/>
    <w:lvl w:ilvl="0" w:tplc="DEF87F42">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3"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4"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6422FBC"/>
    <w:multiLevelType w:val="hybridMultilevel"/>
    <w:tmpl w:val="9F283D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2A0BA1"/>
    <w:multiLevelType w:val="hybridMultilevel"/>
    <w:tmpl w:val="6B8E9E86"/>
    <w:lvl w:ilvl="0" w:tplc="B21693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1"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2" w15:restartNumberingAfterBreak="0">
    <w:nsid w:val="3E36549A"/>
    <w:multiLevelType w:val="hybridMultilevel"/>
    <w:tmpl w:val="0784D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2DF19D7"/>
    <w:multiLevelType w:val="multilevel"/>
    <w:tmpl w:val="E7265BB0"/>
    <w:styleLink w:val="List5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492723E7"/>
    <w:multiLevelType w:val="multilevel"/>
    <w:tmpl w:val="0CF8CC36"/>
    <w:styleLink w:val="List2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1"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2"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4" w15:restartNumberingAfterBreak="0">
    <w:nsid w:val="5087187A"/>
    <w:multiLevelType w:val="multilevel"/>
    <w:tmpl w:val="D5303458"/>
    <w:styleLink w:val="List21"/>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6" w15:restartNumberingAfterBreak="0">
    <w:nsid w:val="5A681F10"/>
    <w:multiLevelType w:val="hybridMultilevel"/>
    <w:tmpl w:val="0D70D25A"/>
    <w:lvl w:ilvl="0" w:tplc="41AE073E">
      <w:start w:val="1"/>
      <w:numFmt w:val="decimal"/>
      <w:lvlText w:val="%1."/>
      <w:lvlJc w:val="left"/>
      <w:pPr>
        <w:ind w:left="1425" w:hanging="705"/>
      </w:pPr>
      <w:rPr>
        <w:rFonts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8" w15:restartNumberingAfterBreak="0">
    <w:nsid w:val="5BF62682"/>
    <w:multiLevelType w:val="multilevel"/>
    <w:tmpl w:val="44B09150"/>
    <w:styleLink w:val="List5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9" w15:restartNumberingAfterBreak="0">
    <w:nsid w:val="5D7D4B9D"/>
    <w:multiLevelType w:val="hybridMultilevel"/>
    <w:tmpl w:val="798EC63E"/>
    <w:lvl w:ilvl="0" w:tplc="F38E5724">
      <w:start w:val="1"/>
      <w:numFmt w:val="decimal"/>
      <w:lvlText w:val="%1."/>
      <w:lvlJc w:val="left"/>
      <w:pPr>
        <w:ind w:left="0" w:firstLine="0"/>
      </w:pPr>
      <w:rPr>
        <w:rFonts w:ascii="Cambria" w:hAnsi="Cambria" w:hint="default"/>
        <w:b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1"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2"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3"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15:restartNumberingAfterBreak="0">
    <w:nsid w:val="70786ED7"/>
    <w:multiLevelType w:val="hybridMultilevel"/>
    <w:tmpl w:val="9BDA8C50"/>
    <w:lvl w:ilvl="0" w:tplc="7242A958">
      <w:start w:val="1"/>
      <w:numFmt w:val="upperRoman"/>
      <w:pStyle w:val="Ttulo1"/>
      <w:lvlText w:val="%1."/>
      <w:lvlJc w:val="left"/>
      <w:pPr>
        <w:ind w:left="9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5" w15:restartNumberingAfterBreak="0">
    <w:nsid w:val="745A711E"/>
    <w:multiLevelType w:val="multilevel"/>
    <w:tmpl w:val="ED88159C"/>
    <w:styleLink w:val="List4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15:restartNumberingAfterBreak="0">
    <w:nsid w:val="767C3C15"/>
    <w:multiLevelType w:val="hybridMultilevel"/>
    <w:tmpl w:val="27761DD8"/>
    <w:lvl w:ilvl="0" w:tplc="6DD615BE">
      <w:start w:val="1"/>
      <w:numFmt w:val="decimal"/>
      <w:pStyle w:val="Ttulo3"/>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78C26FCF"/>
    <w:multiLevelType w:val="multilevel"/>
    <w:tmpl w:val="2FCAD168"/>
    <w:styleLink w:val="List3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9"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
  </w:num>
  <w:num w:numId="2">
    <w:abstractNumId w:val="4"/>
  </w:num>
  <w:num w:numId="3">
    <w:abstractNumId w:val="58"/>
  </w:num>
  <w:num w:numId="4">
    <w:abstractNumId w:val="23"/>
  </w:num>
  <w:num w:numId="5">
    <w:abstractNumId w:val="51"/>
  </w:num>
  <w:num w:numId="6">
    <w:abstractNumId w:val="30"/>
  </w:num>
  <w:num w:numId="7">
    <w:abstractNumId w:val="7"/>
  </w:num>
  <w:num w:numId="8">
    <w:abstractNumId w:val="18"/>
  </w:num>
  <w:num w:numId="9">
    <w:abstractNumId w:val="45"/>
  </w:num>
  <w:num w:numId="10">
    <w:abstractNumId w:val="0"/>
  </w:num>
  <w:num w:numId="11">
    <w:abstractNumId w:val="40"/>
  </w:num>
  <w:num w:numId="12">
    <w:abstractNumId w:val="41"/>
  </w:num>
  <w:num w:numId="13">
    <w:abstractNumId w:val="47"/>
  </w:num>
  <w:num w:numId="14">
    <w:abstractNumId w:val="1"/>
  </w:num>
  <w:num w:numId="15">
    <w:abstractNumId w:val="2"/>
  </w:num>
  <w:num w:numId="16">
    <w:abstractNumId w:val="8"/>
  </w:num>
  <w:num w:numId="17">
    <w:abstractNumId w:val="9"/>
  </w:num>
  <w:num w:numId="18">
    <w:abstractNumId w:val="10"/>
  </w:num>
  <w:num w:numId="19">
    <w:abstractNumId w:val="11"/>
  </w:num>
  <w:num w:numId="20">
    <w:abstractNumId w:val="12"/>
  </w:num>
  <w:num w:numId="21">
    <w:abstractNumId w:val="13"/>
  </w:num>
  <w:num w:numId="22">
    <w:abstractNumId w:val="14"/>
  </w:num>
  <w:num w:numId="23">
    <w:abstractNumId w:val="15"/>
  </w:num>
  <w:num w:numId="24">
    <w:abstractNumId w:val="16"/>
  </w:num>
  <w:num w:numId="25">
    <w:abstractNumId w:val="19"/>
  </w:num>
  <w:num w:numId="26">
    <w:abstractNumId w:val="20"/>
  </w:num>
  <w:num w:numId="27">
    <w:abstractNumId w:val="24"/>
  </w:num>
  <w:num w:numId="28">
    <w:abstractNumId w:val="25"/>
  </w:num>
  <w:num w:numId="29">
    <w:abstractNumId w:val="26"/>
  </w:num>
  <w:num w:numId="30">
    <w:abstractNumId w:val="29"/>
  </w:num>
  <w:num w:numId="31">
    <w:abstractNumId w:val="31"/>
  </w:num>
  <w:num w:numId="32">
    <w:abstractNumId w:val="33"/>
  </w:num>
  <w:num w:numId="33">
    <w:abstractNumId w:val="34"/>
  </w:num>
  <w:num w:numId="34">
    <w:abstractNumId w:val="35"/>
  </w:num>
  <w:num w:numId="35">
    <w:abstractNumId w:val="36"/>
  </w:num>
  <w:num w:numId="36">
    <w:abstractNumId w:val="37"/>
  </w:num>
  <w:num w:numId="37">
    <w:abstractNumId w:val="38"/>
  </w:num>
  <w:num w:numId="38">
    <w:abstractNumId w:val="39"/>
  </w:num>
  <w:num w:numId="39">
    <w:abstractNumId w:val="42"/>
  </w:num>
  <w:num w:numId="40">
    <w:abstractNumId w:val="43"/>
  </w:num>
  <w:num w:numId="41">
    <w:abstractNumId w:val="50"/>
  </w:num>
  <w:num w:numId="42">
    <w:abstractNumId w:val="52"/>
  </w:num>
  <w:num w:numId="43">
    <w:abstractNumId w:val="53"/>
  </w:num>
  <w:num w:numId="44">
    <w:abstractNumId w:val="55"/>
  </w:num>
  <w:num w:numId="45">
    <w:abstractNumId w:val="57"/>
  </w:num>
  <w:num w:numId="46">
    <w:abstractNumId w:val="59"/>
  </w:num>
  <w:num w:numId="47">
    <w:abstractNumId w:val="60"/>
  </w:num>
  <w:num w:numId="48">
    <w:abstractNumId w:val="61"/>
  </w:num>
  <w:num w:numId="49">
    <w:abstractNumId w:val="62"/>
  </w:num>
  <w:num w:numId="50">
    <w:abstractNumId w:val="63"/>
  </w:num>
  <w:num w:numId="51">
    <w:abstractNumId w:val="22"/>
  </w:num>
  <w:num w:numId="52">
    <w:abstractNumId w:val="44"/>
  </w:num>
  <w:num w:numId="53">
    <w:abstractNumId w:val="54"/>
  </w:num>
  <w:num w:numId="54">
    <w:abstractNumId w:val="48"/>
  </w:num>
  <w:num w:numId="55">
    <w:abstractNumId w:val="28"/>
  </w:num>
  <w:num w:numId="56">
    <w:abstractNumId w:val="17"/>
  </w:num>
  <w:num w:numId="57">
    <w:abstractNumId w:val="49"/>
  </w:num>
  <w:num w:numId="58">
    <w:abstractNumId w:val="21"/>
  </w:num>
  <w:num w:numId="59">
    <w:abstractNumId w:val="27"/>
  </w:num>
  <w:num w:numId="60">
    <w:abstractNumId w:val="32"/>
  </w:num>
  <w:num w:numId="61">
    <w:abstractNumId w:val="5"/>
  </w:num>
  <w:num w:numId="62">
    <w:abstractNumId w:val="46"/>
  </w:num>
  <w:num w:numId="63">
    <w:abstractNumId w:val="6"/>
  </w:num>
  <w:num w:numId="64">
    <w:abstractNumId w:val="6"/>
    <w:lvlOverride w:ilvl="0">
      <w:startOverride w:val="1"/>
    </w:lvlOverride>
  </w:num>
  <w:num w:numId="65">
    <w:abstractNumId w:val="6"/>
    <w:lvlOverride w:ilvl="0">
      <w:startOverride w:val="1"/>
    </w:lvlOverride>
  </w:num>
  <w:num w:numId="66">
    <w:abstractNumId w:val="6"/>
  </w:num>
  <w:num w:numId="67">
    <w:abstractNumId w:val="6"/>
  </w:num>
  <w:num w:numId="68">
    <w:abstractNumId w:val="6"/>
  </w:num>
  <w:num w:numId="69">
    <w:abstractNumId w:val="6"/>
    <w:lvlOverride w:ilvl="0">
      <w:startOverride w:val="1"/>
    </w:lvlOverride>
  </w:num>
  <w:num w:numId="70">
    <w:abstractNumId w:val="56"/>
  </w:num>
  <w:num w:numId="71">
    <w:abstractNumId w:val="56"/>
    <w:lvlOverride w:ilvl="0">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5C"/>
    <w:rsid w:val="00000013"/>
    <w:rsid w:val="0000036F"/>
    <w:rsid w:val="00000CDA"/>
    <w:rsid w:val="00001461"/>
    <w:rsid w:val="00003C04"/>
    <w:rsid w:val="00006896"/>
    <w:rsid w:val="00006E1F"/>
    <w:rsid w:val="000070D7"/>
    <w:rsid w:val="0001036E"/>
    <w:rsid w:val="00014FC1"/>
    <w:rsid w:val="00014FEE"/>
    <w:rsid w:val="000158FD"/>
    <w:rsid w:val="0001645E"/>
    <w:rsid w:val="0001788C"/>
    <w:rsid w:val="0002248E"/>
    <w:rsid w:val="00022795"/>
    <w:rsid w:val="00022BA7"/>
    <w:rsid w:val="00026A9D"/>
    <w:rsid w:val="00030ED5"/>
    <w:rsid w:val="00031EE9"/>
    <w:rsid w:val="000321AD"/>
    <w:rsid w:val="00033429"/>
    <w:rsid w:val="00035965"/>
    <w:rsid w:val="00035AAC"/>
    <w:rsid w:val="0003656F"/>
    <w:rsid w:val="00036BB6"/>
    <w:rsid w:val="00036F07"/>
    <w:rsid w:val="00036FAF"/>
    <w:rsid w:val="00040504"/>
    <w:rsid w:val="00040C3A"/>
    <w:rsid w:val="00043266"/>
    <w:rsid w:val="00044253"/>
    <w:rsid w:val="00045612"/>
    <w:rsid w:val="00045B6A"/>
    <w:rsid w:val="0005259C"/>
    <w:rsid w:val="0005355C"/>
    <w:rsid w:val="00055701"/>
    <w:rsid w:val="00056EFA"/>
    <w:rsid w:val="000610F3"/>
    <w:rsid w:val="000614EA"/>
    <w:rsid w:val="00061825"/>
    <w:rsid w:val="00063914"/>
    <w:rsid w:val="00063FAC"/>
    <w:rsid w:val="000672F7"/>
    <w:rsid w:val="00067A5D"/>
    <w:rsid w:val="000703A2"/>
    <w:rsid w:val="00070E72"/>
    <w:rsid w:val="000716C5"/>
    <w:rsid w:val="0007309F"/>
    <w:rsid w:val="0007340B"/>
    <w:rsid w:val="00073697"/>
    <w:rsid w:val="000741AD"/>
    <w:rsid w:val="00074A2C"/>
    <w:rsid w:val="00075324"/>
    <w:rsid w:val="00075E23"/>
    <w:rsid w:val="00077469"/>
    <w:rsid w:val="000804FD"/>
    <w:rsid w:val="00083478"/>
    <w:rsid w:val="00085019"/>
    <w:rsid w:val="0008768F"/>
    <w:rsid w:val="00090B65"/>
    <w:rsid w:val="00090C6D"/>
    <w:rsid w:val="00091437"/>
    <w:rsid w:val="000917B4"/>
    <w:rsid w:val="00091D01"/>
    <w:rsid w:val="0009211B"/>
    <w:rsid w:val="000925CD"/>
    <w:rsid w:val="0009344A"/>
    <w:rsid w:val="00094820"/>
    <w:rsid w:val="00095221"/>
    <w:rsid w:val="000A392E"/>
    <w:rsid w:val="000A3B23"/>
    <w:rsid w:val="000A42C6"/>
    <w:rsid w:val="000A4FCF"/>
    <w:rsid w:val="000A575F"/>
    <w:rsid w:val="000A576A"/>
    <w:rsid w:val="000A69BA"/>
    <w:rsid w:val="000A7157"/>
    <w:rsid w:val="000A75B8"/>
    <w:rsid w:val="000A7D60"/>
    <w:rsid w:val="000B100A"/>
    <w:rsid w:val="000B1788"/>
    <w:rsid w:val="000B31E6"/>
    <w:rsid w:val="000B4020"/>
    <w:rsid w:val="000B4130"/>
    <w:rsid w:val="000B5C68"/>
    <w:rsid w:val="000B66E9"/>
    <w:rsid w:val="000B76A6"/>
    <w:rsid w:val="000C07DF"/>
    <w:rsid w:val="000C1DA4"/>
    <w:rsid w:val="000C21E0"/>
    <w:rsid w:val="000C27C0"/>
    <w:rsid w:val="000C3351"/>
    <w:rsid w:val="000C3C3C"/>
    <w:rsid w:val="000C3D5B"/>
    <w:rsid w:val="000C3EFA"/>
    <w:rsid w:val="000C5365"/>
    <w:rsid w:val="000C555B"/>
    <w:rsid w:val="000C699E"/>
    <w:rsid w:val="000C6B8C"/>
    <w:rsid w:val="000C6DD6"/>
    <w:rsid w:val="000C74B9"/>
    <w:rsid w:val="000D065E"/>
    <w:rsid w:val="000D09F8"/>
    <w:rsid w:val="000D10DB"/>
    <w:rsid w:val="000D1E64"/>
    <w:rsid w:val="000D3E27"/>
    <w:rsid w:val="000D3FA3"/>
    <w:rsid w:val="000D40A7"/>
    <w:rsid w:val="000D436F"/>
    <w:rsid w:val="000D46BC"/>
    <w:rsid w:val="000D7864"/>
    <w:rsid w:val="000E0154"/>
    <w:rsid w:val="000E032A"/>
    <w:rsid w:val="000E0E1C"/>
    <w:rsid w:val="000E13EB"/>
    <w:rsid w:val="000E381D"/>
    <w:rsid w:val="000E3F80"/>
    <w:rsid w:val="000E4B8B"/>
    <w:rsid w:val="000E5EB5"/>
    <w:rsid w:val="000E62DE"/>
    <w:rsid w:val="000F0139"/>
    <w:rsid w:val="000F1252"/>
    <w:rsid w:val="000F35ED"/>
    <w:rsid w:val="000F5C79"/>
    <w:rsid w:val="00100015"/>
    <w:rsid w:val="001007AE"/>
    <w:rsid w:val="00101D9C"/>
    <w:rsid w:val="00102F10"/>
    <w:rsid w:val="001056B5"/>
    <w:rsid w:val="00105C5B"/>
    <w:rsid w:val="001060D5"/>
    <w:rsid w:val="00107131"/>
    <w:rsid w:val="0010736F"/>
    <w:rsid w:val="001074B2"/>
    <w:rsid w:val="0010770F"/>
    <w:rsid w:val="0011131D"/>
    <w:rsid w:val="00112851"/>
    <w:rsid w:val="00113F73"/>
    <w:rsid w:val="00115531"/>
    <w:rsid w:val="00121171"/>
    <w:rsid w:val="00121CC2"/>
    <w:rsid w:val="00121E57"/>
    <w:rsid w:val="00124C4B"/>
    <w:rsid w:val="0012584E"/>
    <w:rsid w:val="00125BB1"/>
    <w:rsid w:val="00127576"/>
    <w:rsid w:val="00130120"/>
    <w:rsid w:val="00130E72"/>
    <w:rsid w:val="00130FEF"/>
    <w:rsid w:val="001319A4"/>
    <w:rsid w:val="00132B8D"/>
    <w:rsid w:val="00132D3E"/>
    <w:rsid w:val="00133EE5"/>
    <w:rsid w:val="001341CB"/>
    <w:rsid w:val="001352C6"/>
    <w:rsid w:val="001422A3"/>
    <w:rsid w:val="00142FF8"/>
    <w:rsid w:val="00144C87"/>
    <w:rsid w:val="00145373"/>
    <w:rsid w:val="00147011"/>
    <w:rsid w:val="0014710C"/>
    <w:rsid w:val="00151D8F"/>
    <w:rsid w:val="001524A0"/>
    <w:rsid w:val="00152A92"/>
    <w:rsid w:val="00155244"/>
    <w:rsid w:val="001553F9"/>
    <w:rsid w:val="001557D9"/>
    <w:rsid w:val="00156FB3"/>
    <w:rsid w:val="0016009C"/>
    <w:rsid w:val="001624CD"/>
    <w:rsid w:val="00162FD8"/>
    <w:rsid w:val="0016333F"/>
    <w:rsid w:val="0016369F"/>
    <w:rsid w:val="00164B11"/>
    <w:rsid w:val="00166189"/>
    <w:rsid w:val="0016632F"/>
    <w:rsid w:val="00167998"/>
    <w:rsid w:val="00167A34"/>
    <w:rsid w:val="00173483"/>
    <w:rsid w:val="001746B5"/>
    <w:rsid w:val="00176383"/>
    <w:rsid w:val="001771BE"/>
    <w:rsid w:val="001774DF"/>
    <w:rsid w:val="00177A2A"/>
    <w:rsid w:val="0018057B"/>
    <w:rsid w:val="00181F34"/>
    <w:rsid w:val="00182CC8"/>
    <w:rsid w:val="0018374C"/>
    <w:rsid w:val="00183B07"/>
    <w:rsid w:val="001841B2"/>
    <w:rsid w:val="00185373"/>
    <w:rsid w:val="0018563A"/>
    <w:rsid w:val="00185AFE"/>
    <w:rsid w:val="001860B3"/>
    <w:rsid w:val="0018617F"/>
    <w:rsid w:val="001908B6"/>
    <w:rsid w:val="00190D38"/>
    <w:rsid w:val="0019123B"/>
    <w:rsid w:val="001922CF"/>
    <w:rsid w:val="00192BEA"/>
    <w:rsid w:val="00194B69"/>
    <w:rsid w:val="00196BBC"/>
    <w:rsid w:val="00196BDC"/>
    <w:rsid w:val="00197262"/>
    <w:rsid w:val="001A0DDA"/>
    <w:rsid w:val="001A15E6"/>
    <w:rsid w:val="001A30EE"/>
    <w:rsid w:val="001A3B06"/>
    <w:rsid w:val="001A5916"/>
    <w:rsid w:val="001A7870"/>
    <w:rsid w:val="001B02F6"/>
    <w:rsid w:val="001B03AF"/>
    <w:rsid w:val="001B073E"/>
    <w:rsid w:val="001B1056"/>
    <w:rsid w:val="001B149F"/>
    <w:rsid w:val="001B48A8"/>
    <w:rsid w:val="001B6087"/>
    <w:rsid w:val="001B6C54"/>
    <w:rsid w:val="001C0C4B"/>
    <w:rsid w:val="001C103F"/>
    <w:rsid w:val="001C13E5"/>
    <w:rsid w:val="001C1B41"/>
    <w:rsid w:val="001C26A3"/>
    <w:rsid w:val="001C31B7"/>
    <w:rsid w:val="001C7A86"/>
    <w:rsid w:val="001D1536"/>
    <w:rsid w:val="001D18C7"/>
    <w:rsid w:val="001D201F"/>
    <w:rsid w:val="001D27AB"/>
    <w:rsid w:val="001D3D7C"/>
    <w:rsid w:val="001D4117"/>
    <w:rsid w:val="001D4413"/>
    <w:rsid w:val="001D65EF"/>
    <w:rsid w:val="001D7DE7"/>
    <w:rsid w:val="001E15B6"/>
    <w:rsid w:val="001E17CE"/>
    <w:rsid w:val="001E27B6"/>
    <w:rsid w:val="001E5B78"/>
    <w:rsid w:val="001E60FE"/>
    <w:rsid w:val="001F02A9"/>
    <w:rsid w:val="001F08EF"/>
    <w:rsid w:val="001F5C7C"/>
    <w:rsid w:val="00200564"/>
    <w:rsid w:val="00201448"/>
    <w:rsid w:val="0020192C"/>
    <w:rsid w:val="002025D1"/>
    <w:rsid w:val="00203A2A"/>
    <w:rsid w:val="00204027"/>
    <w:rsid w:val="0020410C"/>
    <w:rsid w:val="00204B61"/>
    <w:rsid w:val="00207237"/>
    <w:rsid w:val="002077A4"/>
    <w:rsid w:val="00211674"/>
    <w:rsid w:val="00211EB3"/>
    <w:rsid w:val="0021236A"/>
    <w:rsid w:val="00212615"/>
    <w:rsid w:val="00212F6A"/>
    <w:rsid w:val="00216194"/>
    <w:rsid w:val="002174A7"/>
    <w:rsid w:val="0022017C"/>
    <w:rsid w:val="00220468"/>
    <w:rsid w:val="00220557"/>
    <w:rsid w:val="00221B8A"/>
    <w:rsid w:val="00222C19"/>
    <w:rsid w:val="00222D64"/>
    <w:rsid w:val="002250A3"/>
    <w:rsid w:val="00226023"/>
    <w:rsid w:val="00227035"/>
    <w:rsid w:val="00231006"/>
    <w:rsid w:val="00232769"/>
    <w:rsid w:val="00235217"/>
    <w:rsid w:val="002361DD"/>
    <w:rsid w:val="00237A59"/>
    <w:rsid w:val="00237F30"/>
    <w:rsid w:val="00240388"/>
    <w:rsid w:val="00242E74"/>
    <w:rsid w:val="002434AB"/>
    <w:rsid w:val="00243CAC"/>
    <w:rsid w:val="00244B73"/>
    <w:rsid w:val="00244BB3"/>
    <w:rsid w:val="0024521E"/>
    <w:rsid w:val="00245221"/>
    <w:rsid w:val="002461A8"/>
    <w:rsid w:val="0024644E"/>
    <w:rsid w:val="0024675E"/>
    <w:rsid w:val="00246D1F"/>
    <w:rsid w:val="00247403"/>
    <w:rsid w:val="00247542"/>
    <w:rsid w:val="00250725"/>
    <w:rsid w:val="00251744"/>
    <w:rsid w:val="00251A97"/>
    <w:rsid w:val="00251BC0"/>
    <w:rsid w:val="00252512"/>
    <w:rsid w:val="00253617"/>
    <w:rsid w:val="00253EA5"/>
    <w:rsid w:val="002541DE"/>
    <w:rsid w:val="00254607"/>
    <w:rsid w:val="00254BF8"/>
    <w:rsid w:val="002571B2"/>
    <w:rsid w:val="00257573"/>
    <w:rsid w:val="002602B4"/>
    <w:rsid w:val="00263725"/>
    <w:rsid w:val="0026495E"/>
    <w:rsid w:val="00265320"/>
    <w:rsid w:val="00266A75"/>
    <w:rsid w:val="00266B61"/>
    <w:rsid w:val="00267006"/>
    <w:rsid w:val="002670D5"/>
    <w:rsid w:val="0026712A"/>
    <w:rsid w:val="002675C0"/>
    <w:rsid w:val="00267666"/>
    <w:rsid w:val="00267CAE"/>
    <w:rsid w:val="002704DB"/>
    <w:rsid w:val="00270570"/>
    <w:rsid w:val="00273A63"/>
    <w:rsid w:val="00273B5B"/>
    <w:rsid w:val="00275DE3"/>
    <w:rsid w:val="00276DF8"/>
    <w:rsid w:val="00277670"/>
    <w:rsid w:val="00277EF9"/>
    <w:rsid w:val="00281609"/>
    <w:rsid w:val="00281CCC"/>
    <w:rsid w:val="002827DD"/>
    <w:rsid w:val="0028521E"/>
    <w:rsid w:val="002854B3"/>
    <w:rsid w:val="00285676"/>
    <w:rsid w:val="00285BE3"/>
    <w:rsid w:val="002864A9"/>
    <w:rsid w:val="00290231"/>
    <w:rsid w:val="00293C12"/>
    <w:rsid w:val="00293CB2"/>
    <w:rsid w:val="002940A2"/>
    <w:rsid w:val="00294267"/>
    <w:rsid w:val="00294CA2"/>
    <w:rsid w:val="00297F95"/>
    <w:rsid w:val="002A0AAE"/>
    <w:rsid w:val="002A0C84"/>
    <w:rsid w:val="002A17F4"/>
    <w:rsid w:val="002A25B6"/>
    <w:rsid w:val="002A3577"/>
    <w:rsid w:val="002A4072"/>
    <w:rsid w:val="002A4089"/>
    <w:rsid w:val="002A47E7"/>
    <w:rsid w:val="002A4B97"/>
    <w:rsid w:val="002A5820"/>
    <w:rsid w:val="002A59A9"/>
    <w:rsid w:val="002A666C"/>
    <w:rsid w:val="002A6B12"/>
    <w:rsid w:val="002B08DA"/>
    <w:rsid w:val="002B0B4D"/>
    <w:rsid w:val="002B1979"/>
    <w:rsid w:val="002B2F31"/>
    <w:rsid w:val="002B339A"/>
    <w:rsid w:val="002B35E7"/>
    <w:rsid w:val="002B3D45"/>
    <w:rsid w:val="002B47DA"/>
    <w:rsid w:val="002B5D78"/>
    <w:rsid w:val="002B7835"/>
    <w:rsid w:val="002B7BCC"/>
    <w:rsid w:val="002B7EC4"/>
    <w:rsid w:val="002C0113"/>
    <w:rsid w:val="002C0712"/>
    <w:rsid w:val="002C1A86"/>
    <w:rsid w:val="002C347B"/>
    <w:rsid w:val="002C54B5"/>
    <w:rsid w:val="002C5CCF"/>
    <w:rsid w:val="002D193D"/>
    <w:rsid w:val="002D23CF"/>
    <w:rsid w:val="002D2B26"/>
    <w:rsid w:val="002D3814"/>
    <w:rsid w:val="002D44F1"/>
    <w:rsid w:val="002D52DA"/>
    <w:rsid w:val="002D6C65"/>
    <w:rsid w:val="002D7EA2"/>
    <w:rsid w:val="002E0D29"/>
    <w:rsid w:val="002E187C"/>
    <w:rsid w:val="002E19C4"/>
    <w:rsid w:val="002E2472"/>
    <w:rsid w:val="002E3D4D"/>
    <w:rsid w:val="002E4AEA"/>
    <w:rsid w:val="002E59D3"/>
    <w:rsid w:val="002E5C5F"/>
    <w:rsid w:val="002E6252"/>
    <w:rsid w:val="002E66CC"/>
    <w:rsid w:val="002E7304"/>
    <w:rsid w:val="002E749B"/>
    <w:rsid w:val="002E7BDC"/>
    <w:rsid w:val="002F08FD"/>
    <w:rsid w:val="002F0FDE"/>
    <w:rsid w:val="002F291B"/>
    <w:rsid w:val="002F3DB4"/>
    <w:rsid w:val="002F4557"/>
    <w:rsid w:val="002F51A8"/>
    <w:rsid w:val="002F7114"/>
    <w:rsid w:val="003010E0"/>
    <w:rsid w:val="00302146"/>
    <w:rsid w:val="00302733"/>
    <w:rsid w:val="003028A4"/>
    <w:rsid w:val="00303349"/>
    <w:rsid w:val="00303D52"/>
    <w:rsid w:val="00304F59"/>
    <w:rsid w:val="0030514D"/>
    <w:rsid w:val="00307ABC"/>
    <w:rsid w:val="0031132E"/>
    <w:rsid w:val="00311512"/>
    <w:rsid w:val="00311B1A"/>
    <w:rsid w:val="00312A70"/>
    <w:rsid w:val="0031356F"/>
    <w:rsid w:val="00314078"/>
    <w:rsid w:val="00314083"/>
    <w:rsid w:val="003142C2"/>
    <w:rsid w:val="0031535D"/>
    <w:rsid w:val="00316589"/>
    <w:rsid w:val="003221C5"/>
    <w:rsid w:val="003221DA"/>
    <w:rsid w:val="00322CE9"/>
    <w:rsid w:val="003241DA"/>
    <w:rsid w:val="0032521F"/>
    <w:rsid w:val="003252E1"/>
    <w:rsid w:val="00325A78"/>
    <w:rsid w:val="0033028D"/>
    <w:rsid w:val="0033169F"/>
    <w:rsid w:val="00333066"/>
    <w:rsid w:val="0033594A"/>
    <w:rsid w:val="00335C95"/>
    <w:rsid w:val="00336051"/>
    <w:rsid w:val="00337D41"/>
    <w:rsid w:val="00340BC9"/>
    <w:rsid w:val="00342263"/>
    <w:rsid w:val="00342D28"/>
    <w:rsid w:val="003437DB"/>
    <w:rsid w:val="00343E91"/>
    <w:rsid w:val="00344D40"/>
    <w:rsid w:val="00346C95"/>
    <w:rsid w:val="00347798"/>
    <w:rsid w:val="00347947"/>
    <w:rsid w:val="00350773"/>
    <w:rsid w:val="00350F74"/>
    <w:rsid w:val="00353C76"/>
    <w:rsid w:val="00354F56"/>
    <w:rsid w:val="00356185"/>
    <w:rsid w:val="00360380"/>
    <w:rsid w:val="00360F73"/>
    <w:rsid w:val="00361415"/>
    <w:rsid w:val="00361BF2"/>
    <w:rsid w:val="00362D1A"/>
    <w:rsid w:val="003640E3"/>
    <w:rsid w:val="00364578"/>
    <w:rsid w:val="00365872"/>
    <w:rsid w:val="0037055F"/>
    <w:rsid w:val="00370E71"/>
    <w:rsid w:val="003721DE"/>
    <w:rsid w:val="00373877"/>
    <w:rsid w:val="00373C01"/>
    <w:rsid w:val="00374466"/>
    <w:rsid w:val="0037519E"/>
    <w:rsid w:val="00377F5E"/>
    <w:rsid w:val="00381266"/>
    <w:rsid w:val="003826CC"/>
    <w:rsid w:val="0038345F"/>
    <w:rsid w:val="00383AF5"/>
    <w:rsid w:val="00386CF0"/>
    <w:rsid w:val="00387B3E"/>
    <w:rsid w:val="00390877"/>
    <w:rsid w:val="00391896"/>
    <w:rsid w:val="00391927"/>
    <w:rsid w:val="00392EC4"/>
    <w:rsid w:val="00396597"/>
    <w:rsid w:val="003A0956"/>
    <w:rsid w:val="003A12EF"/>
    <w:rsid w:val="003A1B34"/>
    <w:rsid w:val="003A1D19"/>
    <w:rsid w:val="003A2FE2"/>
    <w:rsid w:val="003A3A7C"/>
    <w:rsid w:val="003B05BE"/>
    <w:rsid w:val="003B12D8"/>
    <w:rsid w:val="003B4F8E"/>
    <w:rsid w:val="003B5D68"/>
    <w:rsid w:val="003B7149"/>
    <w:rsid w:val="003B752C"/>
    <w:rsid w:val="003C0B0E"/>
    <w:rsid w:val="003C2A40"/>
    <w:rsid w:val="003C676B"/>
    <w:rsid w:val="003C6934"/>
    <w:rsid w:val="003C76F7"/>
    <w:rsid w:val="003D0266"/>
    <w:rsid w:val="003D0394"/>
    <w:rsid w:val="003D0EBE"/>
    <w:rsid w:val="003D1484"/>
    <w:rsid w:val="003D220B"/>
    <w:rsid w:val="003D3BC2"/>
    <w:rsid w:val="003D3EDA"/>
    <w:rsid w:val="003D4BE6"/>
    <w:rsid w:val="003D58C7"/>
    <w:rsid w:val="003D5B48"/>
    <w:rsid w:val="003D67C7"/>
    <w:rsid w:val="003D6804"/>
    <w:rsid w:val="003D7842"/>
    <w:rsid w:val="003D7C03"/>
    <w:rsid w:val="003E1027"/>
    <w:rsid w:val="003E110E"/>
    <w:rsid w:val="003E2420"/>
    <w:rsid w:val="003E432F"/>
    <w:rsid w:val="003E667C"/>
    <w:rsid w:val="003E67A8"/>
    <w:rsid w:val="003E6CA1"/>
    <w:rsid w:val="003F087B"/>
    <w:rsid w:val="003F151C"/>
    <w:rsid w:val="003F3A13"/>
    <w:rsid w:val="003F5717"/>
    <w:rsid w:val="004004D7"/>
    <w:rsid w:val="0040105B"/>
    <w:rsid w:val="0040181A"/>
    <w:rsid w:val="00402C43"/>
    <w:rsid w:val="004033D2"/>
    <w:rsid w:val="00404861"/>
    <w:rsid w:val="00405D10"/>
    <w:rsid w:val="004073CF"/>
    <w:rsid w:val="00407646"/>
    <w:rsid w:val="004105AB"/>
    <w:rsid w:val="004120DC"/>
    <w:rsid w:val="00412A05"/>
    <w:rsid w:val="00415385"/>
    <w:rsid w:val="004159D3"/>
    <w:rsid w:val="004165C2"/>
    <w:rsid w:val="0041682D"/>
    <w:rsid w:val="004173C1"/>
    <w:rsid w:val="00420BBB"/>
    <w:rsid w:val="00421A8C"/>
    <w:rsid w:val="00421CDE"/>
    <w:rsid w:val="004220FD"/>
    <w:rsid w:val="00423E05"/>
    <w:rsid w:val="0042477C"/>
    <w:rsid w:val="00425014"/>
    <w:rsid w:val="00425034"/>
    <w:rsid w:val="00425581"/>
    <w:rsid w:val="004255D1"/>
    <w:rsid w:val="00425854"/>
    <w:rsid w:val="00426114"/>
    <w:rsid w:val="0042611D"/>
    <w:rsid w:val="00426CB3"/>
    <w:rsid w:val="00427EB0"/>
    <w:rsid w:val="004306CC"/>
    <w:rsid w:val="004310AE"/>
    <w:rsid w:val="004334A1"/>
    <w:rsid w:val="00433B8C"/>
    <w:rsid w:val="00434DA4"/>
    <w:rsid w:val="00437655"/>
    <w:rsid w:val="00437DFE"/>
    <w:rsid w:val="0044007D"/>
    <w:rsid w:val="0044058D"/>
    <w:rsid w:val="00440642"/>
    <w:rsid w:val="00440B63"/>
    <w:rsid w:val="00441ECB"/>
    <w:rsid w:val="004429AB"/>
    <w:rsid w:val="00444E59"/>
    <w:rsid w:val="00446F00"/>
    <w:rsid w:val="00451258"/>
    <w:rsid w:val="004553D8"/>
    <w:rsid w:val="00456BD3"/>
    <w:rsid w:val="00456C08"/>
    <w:rsid w:val="00460ABB"/>
    <w:rsid w:val="00460CB3"/>
    <w:rsid w:val="00461924"/>
    <w:rsid w:val="0046232F"/>
    <w:rsid w:val="00462366"/>
    <w:rsid w:val="004635AB"/>
    <w:rsid w:val="004643B0"/>
    <w:rsid w:val="0046619A"/>
    <w:rsid w:val="0046744F"/>
    <w:rsid w:val="00467B7E"/>
    <w:rsid w:val="004748A2"/>
    <w:rsid w:val="0047504B"/>
    <w:rsid w:val="0047510B"/>
    <w:rsid w:val="00477592"/>
    <w:rsid w:val="00482C05"/>
    <w:rsid w:val="00482EC8"/>
    <w:rsid w:val="0048374E"/>
    <w:rsid w:val="00483EAF"/>
    <w:rsid w:val="004844B9"/>
    <w:rsid w:val="00486F1C"/>
    <w:rsid w:val="00491D05"/>
    <w:rsid w:val="00491D77"/>
    <w:rsid w:val="004928F4"/>
    <w:rsid w:val="00492CBD"/>
    <w:rsid w:val="0049419D"/>
    <w:rsid w:val="00496623"/>
    <w:rsid w:val="004A0E49"/>
    <w:rsid w:val="004A1F52"/>
    <w:rsid w:val="004A24DE"/>
    <w:rsid w:val="004A373E"/>
    <w:rsid w:val="004A3C7F"/>
    <w:rsid w:val="004A559E"/>
    <w:rsid w:val="004A6886"/>
    <w:rsid w:val="004A6BD2"/>
    <w:rsid w:val="004A7549"/>
    <w:rsid w:val="004A77A9"/>
    <w:rsid w:val="004A7F25"/>
    <w:rsid w:val="004B0C29"/>
    <w:rsid w:val="004B12AC"/>
    <w:rsid w:val="004B1AEE"/>
    <w:rsid w:val="004B688E"/>
    <w:rsid w:val="004B6CF3"/>
    <w:rsid w:val="004C20D2"/>
    <w:rsid w:val="004C3519"/>
    <w:rsid w:val="004C35D8"/>
    <w:rsid w:val="004C4309"/>
    <w:rsid w:val="004C4820"/>
    <w:rsid w:val="004C4B62"/>
    <w:rsid w:val="004C54C9"/>
    <w:rsid w:val="004C5939"/>
    <w:rsid w:val="004C5CAE"/>
    <w:rsid w:val="004C61C2"/>
    <w:rsid w:val="004C6C7B"/>
    <w:rsid w:val="004C790D"/>
    <w:rsid w:val="004C7D13"/>
    <w:rsid w:val="004D026D"/>
    <w:rsid w:val="004D120D"/>
    <w:rsid w:val="004D1846"/>
    <w:rsid w:val="004D195F"/>
    <w:rsid w:val="004D21FE"/>
    <w:rsid w:val="004D2474"/>
    <w:rsid w:val="004D2720"/>
    <w:rsid w:val="004D30F4"/>
    <w:rsid w:val="004D4B30"/>
    <w:rsid w:val="004D6025"/>
    <w:rsid w:val="004D6618"/>
    <w:rsid w:val="004E00A5"/>
    <w:rsid w:val="004E146B"/>
    <w:rsid w:val="004E1641"/>
    <w:rsid w:val="004E1C71"/>
    <w:rsid w:val="004E2649"/>
    <w:rsid w:val="004E408E"/>
    <w:rsid w:val="004E4542"/>
    <w:rsid w:val="004E4643"/>
    <w:rsid w:val="004E585D"/>
    <w:rsid w:val="004F0990"/>
    <w:rsid w:val="004F0C83"/>
    <w:rsid w:val="004F1A1F"/>
    <w:rsid w:val="004F2B95"/>
    <w:rsid w:val="004F4268"/>
    <w:rsid w:val="004F47A6"/>
    <w:rsid w:val="004F627D"/>
    <w:rsid w:val="004F6D3C"/>
    <w:rsid w:val="00500066"/>
    <w:rsid w:val="00501399"/>
    <w:rsid w:val="00502AD3"/>
    <w:rsid w:val="00503BC0"/>
    <w:rsid w:val="00504C23"/>
    <w:rsid w:val="00505D7B"/>
    <w:rsid w:val="0050633D"/>
    <w:rsid w:val="00507BC4"/>
    <w:rsid w:val="00507F6C"/>
    <w:rsid w:val="00510EB2"/>
    <w:rsid w:val="005112D6"/>
    <w:rsid w:val="00511FE0"/>
    <w:rsid w:val="00512011"/>
    <w:rsid w:val="005128E4"/>
    <w:rsid w:val="00512B27"/>
    <w:rsid w:val="005133DB"/>
    <w:rsid w:val="005140F1"/>
    <w:rsid w:val="0051474F"/>
    <w:rsid w:val="00514D84"/>
    <w:rsid w:val="00515075"/>
    <w:rsid w:val="005214BF"/>
    <w:rsid w:val="005246C5"/>
    <w:rsid w:val="005254FD"/>
    <w:rsid w:val="00525560"/>
    <w:rsid w:val="0052557D"/>
    <w:rsid w:val="00526F80"/>
    <w:rsid w:val="00527C17"/>
    <w:rsid w:val="00530874"/>
    <w:rsid w:val="005330B0"/>
    <w:rsid w:val="00534EC6"/>
    <w:rsid w:val="005354F3"/>
    <w:rsid w:val="00536923"/>
    <w:rsid w:val="00537CC4"/>
    <w:rsid w:val="0054168D"/>
    <w:rsid w:val="00541A5E"/>
    <w:rsid w:val="00542864"/>
    <w:rsid w:val="005430CE"/>
    <w:rsid w:val="00543A00"/>
    <w:rsid w:val="00544C49"/>
    <w:rsid w:val="00544EAD"/>
    <w:rsid w:val="0054512E"/>
    <w:rsid w:val="005454FA"/>
    <w:rsid w:val="00545B6B"/>
    <w:rsid w:val="0054707B"/>
    <w:rsid w:val="005471B6"/>
    <w:rsid w:val="00547300"/>
    <w:rsid w:val="00550166"/>
    <w:rsid w:val="005516A1"/>
    <w:rsid w:val="00551E9C"/>
    <w:rsid w:val="005533AA"/>
    <w:rsid w:val="0055403B"/>
    <w:rsid w:val="00555DA6"/>
    <w:rsid w:val="00555E36"/>
    <w:rsid w:val="00556102"/>
    <w:rsid w:val="00556F47"/>
    <w:rsid w:val="00557117"/>
    <w:rsid w:val="00561AC1"/>
    <w:rsid w:val="00565134"/>
    <w:rsid w:val="00565744"/>
    <w:rsid w:val="00566B63"/>
    <w:rsid w:val="00567179"/>
    <w:rsid w:val="00571AAD"/>
    <w:rsid w:val="0057402A"/>
    <w:rsid w:val="00576723"/>
    <w:rsid w:val="00576B27"/>
    <w:rsid w:val="00576BAC"/>
    <w:rsid w:val="00576EE9"/>
    <w:rsid w:val="005771D0"/>
    <w:rsid w:val="00580167"/>
    <w:rsid w:val="00580411"/>
    <w:rsid w:val="005814D3"/>
    <w:rsid w:val="00582607"/>
    <w:rsid w:val="0058511B"/>
    <w:rsid w:val="005872A8"/>
    <w:rsid w:val="005872D8"/>
    <w:rsid w:val="00587C3F"/>
    <w:rsid w:val="005904DE"/>
    <w:rsid w:val="0059191A"/>
    <w:rsid w:val="0059209D"/>
    <w:rsid w:val="005921FF"/>
    <w:rsid w:val="00592FAB"/>
    <w:rsid w:val="005937F1"/>
    <w:rsid w:val="00593BBB"/>
    <w:rsid w:val="00594333"/>
    <w:rsid w:val="005948F1"/>
    <w:rsid w:val="00595C1D"/>
    <w:rsid w:val="00596439"/>
    <w:rsid w:val="00596591"/>
    <w:rsid w:val="005A020B"/>
    <w:rsid w:val="005A06ED"/>
    <w:rsid w:val="005A07BD"/>
    <w:rsid w:val="005A3155"/>
    <w:rsid w:val="005A4E4C"/>
    <w:rsid w:val="005A50B2"/>
    <w:rsid w:val="005A59AE"/>
    <w:rsid w:val="005A6AD7"/>
    <w:rsid w:val="005A6D0E"/>
    <w:rsid w:val="005A7300"/>
    <w:rsid w:val="005A7397"/>
    <w:rsid w:val="005B3936"/>
    <w:rsid w:val="005B4769"/>
    <w:rsid w:val="005B52B0"/>
    <w:rsid w:val="005B6806"/>
    <w:rsid w:val="005B6DAD"/>
    <w:rsid w:val="005C01E1"/>
    <w:rsid w:val="005C1BC2"/>
    <w:rsid w:val="005C3697"/>
    <w:rsid w:val="005C3C78"/>
    <w:rsid w:val="005C4225"/>
    <w:rsid w:val="005C4CA5"/>
    <w:rsid w:val="005C4E3F"/>
    <w:rsid w:val="005C5454"/>
    <w:rsid w:val="005C7377"/>
    <w:rsid w:val="005C7395"/>
    <w:rsid w:val="005C7A0D"/>
    <w:rsid w:val="005D0AAB"/>
    <w:rsid w:val="005D0DB1"/>
    <w:rsid w:val="005D3281"/>
    <w:rsid w:val="005D3C86"/>
    <w:rsid w:val="005D449A"/>
    <w:rsid w:val="005D6FD2"/>
    <w:rsid w:val="005E04EC"/>
    <w:rsid w:val="005E06C6"/>
    <w:rsid w:val="005E0B64"/>
    <w:rsid w:val="005E34F4"/>
    <w:rsid w:val="005E3DA2"/>
    <w:rsid w:val="005E645A"/>
    <w:rsid w:val="005E6FC0"/>
    <w:rsid w:val="005E77EA"/>
    <w:rsid w:val="005E7C76"/>
    <w:rsid w:val="005F05A5"/>
    <w:rsid w:val="005F0DAD"/>
    <w:rsid w:val="005F0F33"/>
    <w:rsid w:val="005F1298"/>
    <w:rsid w:val="005F309E"/>
    <w:rsid w:val="005F37BA"/>
    <w:rsid w:val="005F53E3"/>
    <w:rsid w:val="005F667C"/>
    <w:rsid w:val="005F7EE3"/>
    <w:rsid w:val="00600DEB"/>
    <w:rsid w:val="006018A7"/>
    <w:rsid w:val="006027B9"/>
    <w:rsid w:val="006044DA"/>
    <w:rsid w:val="006049BA"/>
    <w:rsid w:val="00605D60"/>
    <w:rsid w:val="006061D2"/>
    <w:rsid w:val="0060701C"/>
    <w:rsid w:val="0060742F"/>
    <w:rsid w:val="006075FC"/>
    <w:rsid w:val="00607E30"/>
    <w:rsid w:val="006125C3"/>
    <w:rsid w:val="00612AFD"/>
    <w:rsid w:val="00613A59"/>
    <w:rsid w:val="00614FEB"/>
    <w:rsid w:val="0061588C"/>
    <w:rsid w:val="00615C95"/>
    <w:rsid w:val="00616AB8"/>
    <w:rsid w:val="00621184"/>
    <w:rsid w:val="00621E14"/>
    <w:rsid w:val="00621EEC"/>
    <w:rsid w:val="0062220B"/>
    <w:rsid w:val="006231AC"/>
    <w:rsid w:val="00624A7E"/>
    <w:rsid w:val="006265FB"/>
    <w:rsid w:val="00627748"/>
    <w:rsid w:val="00627B6B"/>
    <w:rsid w:val="00627C9F"/>
    <w:rsid w:val="0063092D"/>
    <w:rsid w:val="006311E9"/>
    <w:rsid w:val="00631D3B"/>
    <w:rsid w:val="00632354"/>
    <w:rsid w:val="00632DE1"/>
    <w:rsid w:val="00633F54"/>
    <w:rsid w:val="0063486B"/>
    <w:rsid w:val="00634BE7"/>
    <w:rsid w:val="006369DD"/>
    <w:rsid w:val="00636A48"/>
    <w:rsid w:val="00636D54"/>
    <w:rsid w:val="00637216"/>
    <w:rsid w:val="00640B6D"/>
    <w:rsid w:val="00641B5E"/>
    <w:rsid w:val="00642810"/>
    <w:rsid w:val="006440BE"/>
    <w:rsid w:val="00644476"/>
    <w:rsid w:val="00644A55"/>
    <w:rsid w:val="006479D6"/>
    <w:rsid w:val="00647F6E"/>
    <w:rsid w:val="00650476"/>
    <w:rsid w:val="0065050A"/>
    <w:rsid w:val="00650EE6"/>
    <w:rsid w:val="006519A4"/>
    <w:rsid w:val="00651E7A"/>
    <w:rsid w:val="00651FFC"/>
    <w:rsid w:val="00652333"/>
    <w:rsid w:val="00652DC8"/>
    <w:rsid w:val="006532AF"/>
    <w:rsid w:val="00653E7A"/>
    <w:rsid w:val="0065779A"/>
    <w:rsid w:val="00657C97"/>
    <w:rsid w:val="006638DD"/>
    <w:rsid w:val="00663A0C"/>
    <w:rsid w:val="006654C5"/>
    <w:rsid w:val="00665FA9"/>
    <w:rsid w:val="00666A27"/>
    <w:rsid w:val="006674CC"/>
    <w:rsid w:val="00667606"/>
    <w:rsid w:val="00667B2E"/>
    <w:rsid w:val="00667C66"/>
    <w:rsid w:val="00670836"/>
    <w:rsid w:val="00671C31"/>
    <w:rsid w:val="00675EDD"/>
    <w:rsid w:val="00677D25"/>
    <w:rsid w:val="0068009E"/>
    <w:rsid w:val="006820F0"/>
    <w:rsid w:val="006828ED"/>
    <w:rsid w:val="006837A8"/>
    <w:rsid w:val="0068433D"/>
    <w:rsid w:val="006848EB"/>
    <w:rsid w:val="00684E29"/>
    <w:rsid w:val="00684EDB"/>
    <w:rsid w:val="006857BD"/>
    <w:rsid w:val="00685E3A"/>
    <w:rsid w:val="00686471"/>
    <w:rsid w:val="006868EF"/>
    <w:rsid w:val="00686AE2"/>
    <w:rsid w:val="00687277"/>
    <w:rsid w:val="006873E8"/>
    <w:rsid w:val="0069032F"/>
    <w:rsid w:val="00691C44"/>
    <w:rsid w:val="00692219"/>
    <w:rsid w:val="00694A4D"/>
    <w:rsid w:val="006A17D2"/>
    <w:rsid w:val="006A288A"/>
    <w:rsid w:val="006A2FA3"/>
    <w:rsid w:val="006A4B39"/>
    <w:rsid w:val="006A73E6"/>
    <w:rsid w:val="006A7F62"/>
    <w:rsid w:val="006B0A0A"/>
    <w:rsid w:val="006B138B"/>
    <w:rsid w:val="006B16F4"/>
    <w:rsid w:val="006B2BE8"/>
    <w:rsid w:val="006B2D5C"/>
    <w:rsid w:val="006B30DB"/>
    <w:rsid w:val="006B366A"/>
    <w:rsid w:val="006B4311"/>
    <w:rsid w:val="006B4728"/>
    <w:rsid w:val="006B4D40"/>
    <w:rsid w:val="006B4FEE"/>
    <w:rsid w:val="006B65FA"/>
    <w:rsid w:val="006B7511"/>
    <w:rsid w:val="006C1A20"/>
    <w:rsid w:val="006C1C04"/>
    <w:rsid w:val="006C308E"/>
    <w:rsid w:val="006C4EB1"/>
    <w:rsid w:val="006C4FF0"/>
    <w:rsid w:val="006D0B08"/>
    <w:rsid w:val="006D2445"/>
    <w:rsid w:val="006D2A9B"/>
    <w:rsid w:val="006E0166"/>
    <w:rsid w:val="006E12A0"/>
    <w:rsid w:val="006E2C57"/>
    <w:rsid w:val="006E4186"/>
    <w:rsid w:val="006E44CF"/>
    <w:rsid w:val="006E4E94"/>
    <w:rsid w:val="006E7B34"/>
    <w:rsid w:val="006E7B50"/>
    <w:rsid w:val="006F085B"/>
    <w:rsid w:val="006F0FC4"/>
    <w:rsid w:val="006F1640"/>
    <w:rsid w:val="006F2353"/>
    <w:rsid w:val="006F2F5E"/>
    <w:rsid w:val="006F4D06"/>
    <w:rsid w:val="006F5140"/>
    <w:rsid w:val="006F54CB"/>
    <w:rsid w:val="006F756F"/>
    <w:rsid w:val="007032B1"/>
    <w:rsid w:val="00704330"/>
    <w:rsid w:val="00704F4F"/>
    <w:rsid w:val="00705E90"/>
    <w:rsid w:val="007062F6"/>
    <w:rsid w:val="0070697F"/>
    <w:rsid w:val="00710376"/>
    <w:rsid w:val="007111E5"/>
    <w:rsid w:val="00711768"/>
    <w:rsid w:val="00717266"/>
    <w:rsid w:val="00717968"/>
    <w:rsid w:val="00721130"/>
    <w:rsid w:val="00721506"/>
    <w:rsid w:val="0072199C"/>
    <w:rsid w:val="00721AD7"/>
    <w:rsid w:val="007226F3"/>
    <w:rsid w:val="00722C9F"/>
    <w:rsid w:val="00722FC9"/>
    <w:rsid w:val="007253B8"/>
    <w:rsid w:val="00726365"/>
    <w:rsid w:val="00726AFE"/>
    <w:rsid w:val="00727450"/>
    <w:rsid w:val="007274B3"/>
    <w:rsid w:val="00730955"/>
    <w:rsid w:val="0073167B"/>
    <w:rsid w:val="00731F9C"/>
    <w:rsid w:val="0073270A"/>
    <w:rsid w:val="0073631B"/>
    <w:rsid w:val="007369EC"/>
    <w:rsid w:val="0073741F"/>
    <w:rsid w:val="00740B94"/>
    <w:rsid w:val="00740CB5"/>
    <w:rsid w:val="00743184"/>
    <w:rsid w:val="007449F3"/>
    <w:rsid w:val="00745751"/>
    <w:rsid w:val="00745949"/>
    <w:rsid w:val="00745FF6"/>
    <w:rsid w:val="0074617E"/>
    <w:rsid w:val="0074687E"/>
    <w:rsid w:val="00747BB4"/>
    <w:rsid w:val="00747C92"/>
    <w:rsid w:val="007517A2"/>
    <w:rsid w:val="0075241B"/>
    <w:rsid w:val="00756258"/>
    <w:rsid w:val="00757297"/>
    <w:rsid w:val="007607D3"/>
    <w:rsid w:val="007608B0"/>
    <w:rsid w:val="007618AE"/>
    <w:rsid w:val="007642E1"/>
    <w:rsid w:val="00764944"/>
    <w:rsid w:val="00764D50"/>
    <w:rsid w:val="00765992"/>
    <w:rsid w:val="0076643F"/>
    <w:rsid w:val="00771124"/>
    <w:rsid w:val="007741A0"/>
    <w:rsid w:val="00774716"/>
    <w:rsid w:val="00775326"/>
    <w:rsid w:val="00775B9E"/>
    <w:rsid w:val="00775BC9"/>
    <w:rsid w:val="007767EC"/>
    <w:rsid w:val="00776826"/>
    <w:rsid w:val="0077687D"/>
    <w:rsid w:val="00777AAA"/>
    <w:rsid w:val="00777F63"/>
    <w:rsid w:val="0078101F"/>
    <w:rsid w:val="00782755"/>
    <w:rsid w:val="00782BDF"/>
    <w:rsid w:val="00783271"/>
    <w:rsid w:val="00783E8E"/>
    <w:rsid w:val="00784171"/>
    <w:rsid w:val="007846B3"/>
    <w:rsid w:val="00784880"/>
    <w:rsid w:val="00784CAB"/>
    <w:rsid w:val="007854F1"/>
    <w:rsid w:val="007856C2"/>
    <w:rsid w:val="00785C60"/>
    <w:rsid w:val="007907E6"/>
    <w:rsid w:val="00791849"/>
    <w:rsid w:val="007936A0"/>
    <w:rsid w:val="00794DD6"/>
    <w:rsid w:val="0079513F"/>
    <w:rsid w:val="007A0445"/>
    <w:rsid w:val="007A0D54"/>
    <w:rsid w:val="007A0E36"/>
    <w:rsid w:val="007A124C"/>
    <w:rsid w:val="007A2670"/>
    <w:rsid w:val="007A3DB3"/>
    <w:rsid w:val="007A4674"/>
    <w:rsid w:val="007A4C9C"/>
    <w:rsid w:val="007A4CC8"/>
    <w:rsid w:val="007A5817"/>
    <w:rsid w:val="007A61F4"/>
    <w:rsid w:val="007A66FC"/>
    <w:rsid w:val="007A6DBC"/>
    <w:rsid w:val="007A7A40"/>
    <w:rsid w:val="007B0C13"/>
    <w:rsid w:val="007B2E9E"/>
    <w:rsid w:val="007B40ED"/>
    <w:rsid w:val="007B60E9"/>
    <w:rsid w:val="007B651C"/>
    <w:rsid w:val="007B6CC3"/>
    <w:rsid w:val="007C0A7F"/>
    <w:rsid w:val="007C16E9"/>
    <w:rsid w:val="007C3334"/>
    <w:rsid w:val="007C37C7"/>
    <w:rsid w:val="007C3AB2"/>
    <w:rsid w:val="007C3F12"/>
    <w:rsid w:val="007C42C4"/>
    <w:rsid w:val="007C4F1A"/>
    <w:rsid w:val="007C7351"/>
    <w:rsid w:val="007C756A"/>
    <w:rsid w:val="007D13C4"/>
    <w:rsid w:val="007D2B98"/>
    <w:rsid w:val="007D443F"/>
    <w:rsid w:val="007D4650"/>
    <w:rsid w:val="007E004C"/>
    <w:rsid w:val="007E012F"/>
    <w:rsid w:val="007E21BC"/>
    <w:rsid w:val="007E225A"/>
    <w:rsid w:val="007E55BE"/>
    <w:rsid w:val="007E5D77"/>
    <w:rsid w:val="007E6504"/>
    <w:rsid w:val="007E75DF"/>
    <w:rsid w:val="007E761E"/>
    <w:rsid w:val="007E7A65"/>
    <w:rsid w:val="007F0A68"/>
    <w:rsid w:val="007F1559"/>
    <w:rsid w:val="007F1CF2"/>
    <w:rsid w:val="007F3FE4"/>
    <w:rsid w:val="007F5F4F"/>
    <w:rsid w:val="007F7228"/>
    <w:rsid w:val="007F77A1"/>
    <w:rsid w:val="007F7E9A"/>
    <w:rsid w:val="0080178B"/>
    <w:rsid w:val="008018C2"/>
    <w:rsid w:val="00803F1C"/>
    <w:rsid w:val="0080564E"/>
    <w:rsid w:val="008058C6"/>
    <w:rsid w:val="0080600E"/>
    <w:rsid w:val="00806704"/>
    <w:rsid w:val="008068EE"/>
    <w:rsid w:val="00806995"/>
    <w:rsid w:val="00806AC0"/>
    <w:rsid w:val="008072C0"/>
    <w:rsid w:val="00807632"/>
    <w:rsid w:val="00811B2E"/>
    <w:rsid w:val="00814231"/>
    <w:rsid w:val="0081458C"/>
    <w:rsid w:val="00815021"/>
    <w:rsid w:val="0081619A"/>
    <w:rsid w:val="00816510"/>
    <w:rsid w:val="008175FA"/>
    <w:rsid w:val="00817612"/>
    <w:rsid w:val="00820E0D"/>
    <w:rsid w:val="008217E6"/>
    <w:rsid w:val="0082201A"/>
    <w:rsid w:val="008237A6"/>
    <w:rsid w:val="00823979"/>
    <w:rsid w:val="00826570"/>
    <w:rsid w:val="008266A7"/>
    <w:rsid w:val="00826C49"/>
    <w:rsid w:val="00826D5B"/>
    <w:rsid w:val="00827992"/>
    <w:rsid w:val="0083217C"/>
    <w:rsid w:val="0083340F"/>
    <w:rsid w:val="008338A4"/>
    <w:rsid w:val="0083514A"/>
    <w:rsid w:val="008365DC"/>
    <w:rsid w:val="00837264"/>
    <w:rsid w:val="00837C45"/>
    <w:rsid w:val="00837C73"/>
    <w:rsid w:val="00841192"/>
    <w:rsid w:val="00843162"/>
    <w:rsid w:val="00844680"/>
    <w:rsid w:val="00844730"/>
    <w:rsid w:val="00844BBF"/>
    <w:rsid w:val="0084568A"/>
    <w:rsid w:val="008456A1"/>
    <w:rsid w:val="008457C2"/>
    <w:rsid w:val="00846C0B"/>
    <w:rsid w:val="008472D6"/>
    <w:rsid w:val="00847F03"/>
    <w:rsid w:val="0085047F"/>
    <w:rsid w:val="00850B87"/>
    <w:rsid w:val="00852893"/>
    <w:rsid w:val="00853CF4"/>
    <w:rsid w:val="008556A5"/>
    <w:rsid w:val="00857A82"/>
    <w:rsid w:val="0086312A"/>
    <w:rsid w:val="00864917"/>
    <w:rsid w:val="00864CF3"/>
    <w:rsid w:val="00867CF9"/>
    <w:rsid w:val="00871A46"/>
    <w:rsid w:val="008728DC"/>
    <w:rsid w:val="00873836"/>
    <w:rsid w:val="008741B3"/>
    <w:rsid w:val="00875DE1"/>
    <w:rsid w:val="00876F76"/>
    <w:rsid w:val="008822B7"/>
    <w:rsid w:val="008828A1"/>
    <w:rsid w:val="0088538C"/>
    <w:rsid w:val="00885737"/>
    <w:rsid w:val="00887AC9"/>
    <w:rsid w:val="00890650"/>
    <w:rsid w:val="00891B6C"/>
    <w:rsid w:val="00892AD9"/>
    <w:rsid w:val="00894B50"/>
    <w:rsid w:val="00895133"/>
    <w:rsid w:val="008970BF"/>
    <w:rsid w:val="00897687"/>
    <w:rsid w:val="00897E12"/>
    <w:rsid w:val="008A0A2D"/>
    <w:rsid w:val="008A5EFF"/>
    <w:rsid w:val="008A6868"/>
    <w:rsid w:val="008A6B24"/>
    <w:rsid w:val="008A7ACC"/>
    <w:rsid w:val="008A7CD5"/>
    <w:rsid w:val="008A7E0F"/>
    <w:rsid w:val="008B0861"/>
    <w:rsid w:val="008B12F5"/>
    <w:rsid w:val="008B4215"/>
    <w:rsid w:val="008B448C"/>
    <w:rsid w:val="008B533E"/>
    <w:rsid w:val="008B5FA9"/>
    <w:rsid w:val="008C23F9"/>
    <w:rsid w:val="008C3098"/>
    <w:rsid w:val="008C4912"/>
    <w:rsid w:val="008C510C"/>
    <w:rsid w:val="008C58DD"/>
    <w:rsid w:val="008C5BB3"/>
    <w:rsid w:val="008C6434"/>
    <w:rsid w:val="008D23AD"/>
    <w:rsid w:val="008D2852"/>
    <w:rsid w:val="008D335D"/>
    <w:rsid w:val="008D497E"/>
    <w:rsid w:val="008D5FD9"/>
    <w:rsid w:val="008D74BA"/>
    <w:rsid w:val="008D768D"/>
    <w:rsid w:val="008E3759"/>
    <w:rsid w:val="008E4A4C"/>
    <w:rsid w:val="008E4EC5"/>
    <w:rsid w:val="008E515E"/>
    <w:rsid w:val="008E6940"/>
    <w:rsid w:val="008E7E5D"/>
    <w:rsid w:val="008F1218"/>
    <w:rsid w:val="008F1912"/>
    <w:rsid w:val="008F1B28"/>
    <w:rsid w:val="008F49A5"/>
    <w:rsid w:val="008F604B"/>
    <w:rsid w:val="008F72E6"/>
    <w:rsid w:val="00900349"/>
    <w:rsid w:val="009006C6"/>
    <w:rsid w:val="009014A4"/>
    <w:rsid w:val="00901916"/>
    <w:rsid w:val="00901935"/>
    <w:rsid w:val="00902699"/>
    <w:rsid w:val="0090270B"/>
    <w:rsid w:val="00902DF7"/>
    <w:rsid w:val="009039D9"/>
    <w:rsid w:val="00903A5C"/>
    <w:rsid w:val="009041DC"/>
    <w:rsid w:val="00906004"/>
    <w:rsid w:val="00906500"/>
    <w:rsid w:val="009065E0"/>
    <w:rsid w:val="0090696B"/>
    <w:rsid w:val="009113E4"/>
    <w:rsid w:val="0091164B"/>
    <w:rsid w:val="00913E33"/>
    <w:rsid w:val="00914ACD"/>
    <w:rsid w:val="009167ED"/>
    <w:rsid w:val="00917B5A"/>
    <w:rsid w:val="009206F7"/>
    <w:rsid w:val="00920A58"/>
    <w:rsid w:val="00920A8C"/>
    <w:rsid w:val="00920B92"/>
    <w:rsid w:val="00921104"/>
    <w:rsid w:val="0092111F"/>
    <w:rsid w:val="009211D5"/>
    <w:rsid w:val="00921A60"/>
    <w:rsid w:val="00925AE6"/>
    <w:rsid w:val="009272EF"/>
    <w:rsid w:val="00927734"/>
    <w:rsid w:val="009322D3"/>
    <w:rsid w:val="00932355"/>
    <w:rsid w:val="009333C7"/>
    <w:rsid w:val="00934A2C"/>
    <w:rsid w:val="009358AA"/>
    <w:rsid w:val="00935CF9"/>
    <w:rsid w:val="00935E43"/>
    <w:rsid w:val="0093670A"/>
    <w:rsid w:val="009411F4"/>
    <w:rsid w:val="00942A3C"/>
    <w:rsid w:val="00944839"/>
    <w:rsid w:val="00945222"/>
    <w:rsid w:val="00947458"/>
    <w:rsid w:val="00950314"/>
    <w:rsid w:val="009515BA"/>
    <w:rsid w:val="0095199A"/>
    <w:rsid w:val="00951CBC"/>
    <w:rsid w:val="00951D74"/>
    <w:rsid w:val="00952B63"/>
    <w:rsid w:val="009548B3"/>
    <w:rsid w:val="0095526E"/>
    <w:rsid w:val="00955E8F"/>
    <w:rsid w:val="00956A5D"/>
    <w:rsid w:val="0095729C"/>
    <w:rsid w:val="009577DB"/>
    <w:rsid w:val="00957E6E"/>
    <w:rsid w:val="00957F33"/>
    <w:rsid w:val="0096212A"/>
    <w:rsid w:val="00962628"/>
    <w:rsid w:val="0096342F"/>
    <w:rsid w:val="00965FBD"/>
    <w:rsid w:val="0096706E"/>
    <w:rsid w:val="009705DF"/>
    <w:rsid w:val="00971339"/>
    <w:rsid w:val="00971AFC"/>
    <w:rsid w:val="009722C8"/>
    <w:rsid w:val="00972682"/>
    <w:rsid w:val="00972726"/>
    <w:rsid w:val="00973CBA"/>
    <w:rsid w:val="0097476A"/>
    <w:rsid w:val="0097497C"/>
    <w:rsid w:val="00974CFC"/>
    <w:rsid w:val="00975C4E"/>
    <w:rsid w:val="00976AFA"/>
    <w:rsid w:val="00977043"/>
    <w:rsid w:val="009800CB"/>
    <w:rsid w:val="00981837"/>
    <w:rsid w:val="00981FBA"/>
    <w:rsid w:val="00983299"/>
    <w:rsid w:val="00983B90"/>
    <w:rsid w:val="00984419"/>
    <w:rsid w:val="00984E9F"/>
    <w:rsid w:val="00986583"/>
    <w:rsid w:val="00986D5F"/>
    <w:rsid w:val="00986F0B"/>
    <w:rsid w:val="00987B88"/>
    <w:rsid w:val="009902DF"/>
    <w:rsid w:val="0099103B"/>
    <w:rsid w:val="00997BC5"/>
    <w:rsid w:val="00997FAA"/>
    <w:rsid w:val="009A014B"/>
    <w:rsid w:val="009A02FF"/>
    <w:rsid w:val="009A0BE3"/>
    <w:rsid w:val="009A240E"/>
    <w:rsid w:val="009A2FD9"/>
    <w:rsid w:val="009A4F41"/>
    <w:rsid w:val="009A5186"/>
    <w:rsid w:val="009A5745"/>
    <w:rsid w:val="009A717B"/>
    <w:rsid w:val="009A719F"/>
    <w:rsid w:val="009A79B6"/>
    <w:rsid w:val="009B20BA"/>
    <w:rsid w:val="009B35E6"/>
    <w:rsid w:val="009B36A2"/>
    <w:rsid w:val="009B381B"/>
    <w:rsid w:val="009B4827"/>
    <w:rsid w:val="009B488E"/>
    <w:rsid w:val="009B4898"/>
    <w:rsid w:val="009B4F60"/>
    <w:rsid w:val="009C08CF"/>
    <w:rsid w:val="009C0AFD"/>
    <w:rsid w:val="009C2485"/>
    <w:rsid w:val="009C3624"/>
    <w:rsid w:val="009C4EAA"/>
    <w:rsid w:val="009C4F34"/>
    <w:rsid w:val="009C605D"/>
    <w:rsid w:val="009C64A9"/>
    <w:rsid w:val="009C712C"/>
    <w:rsid w:val="009C7646"/>
    <w:rsid w:val="009D0C3F"/>
    <w:rsid w:val="009D1203"/>
    <w:rsid w:val="009D1753"/>
    <w:rsid w:val="009D179B"/>
    <w:rsid w:val="009D1F0E"/>
    <w:rsid w:val="009D34EB"/>
    <w:rsid w:val="009D5606"/>
    <w:rsid w:val="009D5733"/>
    <w:rsid w:val="009D5D85"/>
    <w:rsid w:val="009D67D6"/>
    <w:rsid w:val="009D7611"/>
    <w:rsid w:val="009D7A58"/>
    <w:rsid w:val="009E0B61"/>
    <w:rsid w:val="009E16BF"/>
    <w:rsid w:val="009E1788"/>
    <w:rsid w:val="009E39FD"/>
    <w:rsid w:val="009E53DE"/>
    <w:rsid w:val="009E6C74"/>
    <w:rsid w:val="009E773A"/>
    <w:rsid w:val="009F03AC"/>
    <w:rsid w:val="009F2B16"/>
    <w:rsid w:val="009F30D5"/>
    <w:rsid w:val="009F571E"/>
    <w:rsid w:val="009F6DFE"/>
    <w:rsid w:val="009F708C"/>
    <w:rsid w:val="009F7144"/>
    <w:rsid w:val="00A00AC7"/>
    <w:rsid w:val="00A00FFB"/>
    <w:rsid w:val="00A034B7"/>
    <w:rsid w:val="00A04D90"/>
    <w:rsid w:val="00A05E83"/>
    <w:rsid w:val="00A0650D"/>
    <w:rsid w:val="00A1095D"/>
    <w:rsid w:val="00A1237A"/>
    <w:rsid w:val="00A12478"/>
    <w:rsid w:val="00A14765"/>
    <w:rsid w:val="00A14FC5"/>
    <w:rsid w:val="00A16EE6"/>
    <w:rsid w:val="00A23561"/>
    <w:rsid w:val="00A24AD5"/>
    <w:rsid w:val="00A2598E"/>
    <w:rsid w:val="00A26924"/>
    <w:rsid w:val="00A328B3"/>
    <w:rsid w:val="00A32E31"/>
    <w:rsid w:val="00A33B1E"/>
    <w:rsid w:val="00A34BBD"/>
    <w:rsid w:val="00A3546E"/>
    <w:rsid w:val="00A360E9"/>
    <w:rsid w:val="00A41E99"/>
    <w:rsid w:val="00A42AFD"/>
    <w:rsid w:val="00A43F13"/>
    <w:rsid w:val="00A461D7"/>
    <w:rsid w:val="00A47BA1"/>
    <w:rsid w:val="00A50FCF"/>
    <w:rsid w:val="00A510E2"/>
    <w:rsid w:val="00A524A2"/>
    <w:rsid w:val="00A528D1"/>
    <w:rsid w:val="00A530F4"/>
    <w:rsid w:val="00A54EF3"/>
    <w:rsid w:val="00A55BB7"/>
    <w:rsid w:val="00A55D02"/>
    <w:rsid w:val="00A561C6"/>
    <w:rsid w:val="00A567EE"/>
    <w:rsid w:val="00A60964"/>
    <w:rsid w:val="00A610CD"/>
    <w:rsid w:val="00A6159D"/>
    <w:rsid w:val="00A623CD"/>
    <w:rsid w:val="00A638CD"/>
    <w:rsid w:val="00A6392E"/>
    <w:rsid w:val="00A64CE2"/>
    <w:rsid w:val="00A67632"/>
    <w:rsid w:val="00A71244"/>
    <w:rsid w:val="00A7237C"/>
    <w:rsid w:val="00A73A2E"/>
    <w:rsid w:val="00A74DE9"/>
    <w:rsid w:val="00A75E63"/>
    <w:rsid w:val="00A761A7"/>
    <w:rsid w:val="00A7729A"/>
    <w:rsid w:val="00A80BDE"/>
    <w:rsid w:val="00A814FA"/>
    <w:rsid w:val="00A81CB9"/>
    <w:rsid w:val="00A81F01"/>
    <w:rsid w:val="00A87C1E"/>
    <w:rsid w:val="00A87CC8"/>
    <w:rsid w:val="00A91634"/>
    <w:rsid w:val="00A92A43"/>
    <w:rsid w:val="00A935AD"/>
    <w:rsid w:val="00A9504C"/>
    <w:rsid w:val="00A95AD7"/>
    <w:rsid w:val="00A95C2E"/>
    <w:rsid w:val="00A963F7"/>
    <w:rsid w:val="00A967F9"/>
    <w:rsid w:val="00A97FD5"/>
    <w:rsid w:val="00AA0287"/>
    <w:rsid w:val="00AA09A2"/>
    <w:rsid w:val="00AA0FC0"/>
    <w:rsid w:val="00AA235A"/>
    <w:rsid w:val="00AA27DA"/>
    <w:rsid w:val="00AA2C11"/>
    <w:rsid w:val="00AA35FC"/>
    <w:rsid w:val="00AA382F"/>
    <w:rsid w:val="00AA3CFA"/>
    <w:rsid w:val="00AA7996"/>
    <w:rsid w:val="00AB03E4"/>
    <w:rsid w:val="00AB1159"/>
    <w:rsid w:val="00AB1F66"/>
    <w:rsid w:val="00AB2FB5"/>
    <w:rsid w:val="00AB325E"/>
    <w:rsid w:val="00AB533F"/>
    <w:rsid w:val="00AB6BE5"/>
    <w:rsid w:val="00AB7955"/>
    <w:rsid w:val="00AC1400"/>
    <w:rsid w:val="00AC19CB"/>
    <w:rsid w:val="00AC1AAB"/>
    <w:rsid w:val="00AC3E37"/>
    <w:rsid w:val="00AC475B"/>
    <w:rsid w:val="00AC55D4"/>
    <w:rsid w:val="00AD087F"/>
    <w:rsid w:val="00AD0EC4"/>
    <w:rsid w:val="00AD23A2"/>
    <w:rsid w:val="00AD25D0"/>
    <w:rsid w:val="00AD4033"/>
    <w:rsid w:val="00AD5479"/>
    <w:rsid w:val="00AD5731"/>
    <w:rsid w:val="00AD6978"/>
    <w:rsid w:val="00AD74A5"/>
    <w:rsid w:val="00AE067E"/>
    <w:rsid w:val="00AE0ED2"/>
    <w:rsid w:val="00AE27ED"/>
    <w:rsid w:val="00AE31B7"/>
    <w:rsid w:val="00AE3D17"/>
    <w:rsid w:val="00AE5488"/>
    <w:rsid w:val="00AE645D"/>
    <w:rsid w:val="00AE6F91"/>
    <w:rsid w:val="00AE74DD"/>
    <w:rsid w:val="00AF0711"/>
    <w:rsid w:val="00AF22C5"/>
    <w:rsid w:val="00AF4830"/>
    <w:rsid w:val="00AF511F"/>
    <w:rsid w:val="00AF5571"/>
    <w:rsid w:val="00AF6EEC"/>
    <w:rsid w:val="00AF7988"/>
    <w:rsid w:val="00AF7D33"/>
    <w:rsid w:val="00AF7DA0"/>
    <w:rsid w:val="00B010AE"/>
    <w:rsid w:val="00B0169E"/>
    <w:rsid w:val="00B020BB"/>
    <w:rsid w:val="00B02A4A"/>
    <w:rsid w:val="00B056F7"/>
    <w:rsid w:val="00B05F2E"/>
    <w:rsid w:val="00B06443"/>
    <w:rsid w:val="00B07184"/>
    <w:rsid w:val="00B07341"/>
    <w:rsid w:val="00B07EE9"/>
    <w:rsid w:val="00B10373"/>
    <w:rsid w:val="00B10A15"/>
    <w:rsid w:val="00B10D0D"/>
    <w:rsid w:val="00B11096"/>
    <w:rsid w:val="00B11DB9"/>
    <w:rsid w:val="00B11E17"/>
    <w:rsid w:val="00B12234"/>
    <w:rsid w:val="00B125B7"/>
    <w:rsid w:val="00B15710"/>
    <w:rsid w:val="00B15C9D"/>
    <w:rsid w:val="00B15CE2"/>
    <w:rsid w:val="00B15F62"/>
    <w:rsid w:val="00B1617F"/>
    <w:rsid w:val="00B16D85"/>
    <w:rsid w:val="00B221AD"/>
    <w:rsid w:val="00B22CD7"/>
    <w:rsid w:val="00B22DB3"/>
    <w:rsid w:val="00B25221"/>
    <w:rsid w:val="00B301F2"/>
    <w:rsid w:val="00B30539"/>
    <w:rsid w:val="00B30F61"/>
    <w:rsid w:val="00B314DB"/>
    <w:rsid w:val="00B31A7F"/>
    <w:rsid w:val="00B33269"/>
    <w:rsid w:val="00B338F7"/>
    <w:rsid w:val="00B34CE7"/>
    <w:rsid w:val="00B34E10"/>
    <w:rsid w:val="00B3598E"/>
    <w:rsid w:val="00B361F2"/>
    <w:rsid w:val="00B3718B"/>
    <w:rsid w:val="00B405AB"/>
    <w:rsid w:val="00B426D2"/>
    <w:rsid w:val="00B430B0"/>
    <w:rsid w:val="00B43131"/>
    <w:rsid w:val="00B4632A"/>
    <w:rsid w:val="00B513B1"/>
    <w:rsid w:val="00B52A81"/>
    <w:rsid w:val="00B530F1"/>
    <w:rsid w:val="00B54A0C"/>
    <w:rsid w:val="00B56CA6"/>
    <w:rsid w:val="00B579E5"/>
    <w:rsid w:val="00B60A85"/>
    <w:rsid w:val="00B60D76"/>
    <w:rsid w:val="00B62579"/>
    <w:rsid w:val="00B6324E"/>
    <w:rsid w:val="00B632D6"/>
    <w:rsid w:val="00B6396F"/>
    <w:rsid w:val="00B677C9"/>
    <w:rsid w:val="00B679E7"/>
    <w:rsid w:val="00B67B3A"/>
    <w:rsid w:val="00B67DDA"/>
    <w:rsid w:val="00B7039E"/>
    <w:rsid w:val="00B778DF"/>
    <w:rsid w:val="00B81699"/>
    <w:rsid w:val="00B81AFC"/>
    <w:rsid w:val="00B825D9"/>
    <w:rsid w:val="00B84C02"/>
    <w:rsid w:val="00B84C95"/>
    <w:rsid w:val="00B859FF"/>
    <w:rsid w:val="00B85ED9"/>
    <w:rsid w:val="00B86D49"/>
    <w:rsid w:val="00B87B9B"/>
    <w:rsid w:val="00B9269C"/>
    <w:rsid w:val="00B9341A"/>
    <w:rsid w:val="00B94144"/>
    <w:rsid w:val="00B9442E"/>
    <w:rsid w:val="00B9565C"/>
    <w:rsid w:val="00B95793"/>
    <w:rsid w:val="00B97551"/>
    <w:rsid w:val="00BA276C"/>
    <w:rsid w:val="00BA461E"/>
    <w:rsid w:val="00BA46DA"/>
    <w:rsid w:val="00BA4EFE"/>
    <w:rsid w:val="00BA647B"/>
    <w:rsid w:val="00BA67C1"/>
    <w:rsid w:val="00BA7BB9"/>
    <w:rsid w:val="00BA7F02"/>
    <w:rsid w:val="00BB2C0F"/>
    <w:rsid w:val="00BB306F"/>
    <w:rsid w:val="00BB36BA"/>
    <w:rsid w:val="00BB46FF"/>
    <w:rsid w:val="00BB5038"/>
    <w:rsid w:val="00BC1180"/>
    <w:rsid w:val="00BC1231"/>
    <w:rsid w:val="00BC2E3D"/>
    <w:rsid w:val="00BC5290"/>
    <w:rsid w:val="00BD0A41"/>
    <w:rsid w:val="00BD0F6F"/>
    <w:rsid w:val="00BD1940"/>
    <w:rsid w:val="00BD252E"/>
    <w:rsid w:val="00BD37D0"/>
    <w:rsid w:val="00BD4B7E"/>
    <w:rsid w:val="00BD4B89"/>
    <w:rsid w:val="00BD679B"/>
    <w:rsid w:val="00BD70B1"/>
    <w:rsid w:val="00BE0C0E"/>
    <w:rsid w:val="00BE1DA0"/>
    <w:rsid w:val="00BE30B2"/>
    <w:rsid w:val="00BE3449"/>
    <w:rsid w:val="00BE3EE2"/>
    <w:rsid w:val="00BE414C"/>
    <w:rsid w:val="00BE4FB2"/>
    <w:rsid w:val="00BE532C"/>
    <w:rsid w:val="00BE6192"/>
    <w:rsid w:val="00BE78F0"/>
    <w:rsid w:val="00BE7E6E"/>
    <w:rsid w:val="00BF02CB"/>
    <w:rsid w:val="00BF11D3"/>
    <w:rsid w:val="00BF1E2E"/>
    <w:rsid w:val="00BF1EAD"/>
    <w:rsid w:val="00BF399B"/>
    <w:rsid w:val="00BF39B9"/>
    <w:rsid w:val="00BF4691"/>
    <w:rsid w:val="00BF69AD"/>
    <w:rsid w:val="00BF6FD8"/>
    <w:rsid w:val="00C017EE"/>
    <w:rsid w:val="00C02D26"/>
    <w:rsid w:val="00C031E3"/>
    <w:rsid w:val="00C0343C"/>
    <w:rsid w:val="00C03680"/>
    <w:rsid w:val="00C03938"/>
    <w:rsid w:val="00C04ACA"/>
    <w:rsid w:val="00C054DF"/>
    <w:rsid w:val="00C065CA"/>
    <w:rsid w:val="00C11237"/>
    <w:rsid w:val="00C11B24"/>
    <w:rsid w:val="00C12106"/>
    <w:rsid w:val="00C13953"/>
    <w:rsid w:val="00C1483C"/>
    <w:rsid w:val="00C21762"/>
    <w:rsid w:val="00C24543"/>
    <w:rsid w:val="00C24DEA"/>
    <w:rsid w:val="00C24F6C"/>
    <w:rsid w:val="00C24F75"/>
    <w:rsid w:val="00C25324"/>
    <w:rsid w:val="00C256A2"/>
    <w:rsid w:val="00C27D31"/>
    <w:rsid w:val="00C27E26"/>
    <w:rsid w:val="00C27EAE"/>
    <w:rsid w:val="00C32F5F"/>
    <w:rsid w:val="00C34451"/>
    <w:rsid w:val="00C35DA5"/>
    <w:rsid w:val="00C40789"/>
    <w:rsid w:val="00C40AE8"/>
    <w:rsid w:val="00C41F58"/>
    <w:rsid w:val="00C434F3"/>
    <w:rsid w:val="00C44149"/>
    <w:rsid w:val="00C44B7C"/>
    <w:rsid w:val="00C44BAF"/>
    <w:rsid w:val="00C45EC3"/>
    <w:rsid w:val="00C46EE5"/>
    <w:rsid w:val="00C473F3"/>
    <w:rsid w:val="00C51106"/>
    <w:rsid w:val="00C51515"/>
    <w:rsid w:val="00C522ED"/>
    <w:rsid w:val="00C52B96"/>
    <w:rsid w:val="00C537D4"/>
    <w:rsid w:val="00C55194"/>
    <w:rsid w:val="00C5602B"/>
    <w:rsid w:val="00C5660B"/>
    <w:rsid w:val="00C5760F"/>
    <w:rsid w:val="00C60697"/>
    <w:rsid w:val="00C60A69"/>
    <w:rsid w:val="00C618C4"/>
    <w:rsid w:val="00C620E8"/>
    <w:rsid w:val="00C62A75"/>
    <w:rsid w:val="00C639F4"/>
    <w:rsid w:val="00C64567"/>
    <w:rsid w:val="00C6601E"/>
    <w:rsid w:val="00C66341"/>
    <w:rsid w:val="00C66B72"/>
    <w:rsid w:val="00C67C37"/>
    <w:rsid w:val="00C71937"/>
    <w:rsid w:val="00C72E16"/>
    <w:rsid w:val="00C7313D"/>
    <w:rsid w:val="00C73697"/>
    <w:rsid w:val="00C7371F"/>
    <w:rsid w:val="00C74155"/>
    <w:rsid w:val="00C7496A"/>
    <w:rsid w:val="00C769E6"/>
    <w:rsid w:val="00C76AE4"/>
    <w:rsid w:val="00C77482"/>
    <w:rsid w:val="00C7798A"/>
    <w:rsid w:val="00C807A3"/>
    <w:rsid w:val="00C807B3"/>
    <w:rsid w:val="00C810D8"/>
    <w:rsid w:val="00C823B7"/>
    <w:rsid w:val="00C8292F"/>
    <w:rsid w:val="00C84962"/>
    <w:rsid w:val="00C84BFE"/>
    <w:rsid w:val="00C85803"/>
    <w:rsid w:val="00C869FE"/>
    <w:rsid w:val="00C90BA6"/>
    <w:rsid w:val="00C910CF"/>
    <w:rsid w:val="00C9142C"/>
    <w:rsid w:val="00C91895"/>
    <w:rsid w:val="00C93060"/>
    <w:rsid w:val="00C934AF"/>
    <w:rsid w:val="00C942CE"/>
    <w:rsid w:val="00C9567A"/>
    <w:rsid w:val="00C95C0C"/>
    <w:rsid w:val="00C9675C"/>
    <w:rsid w:val="00C9690E"/>
    <w:rsid w:val="00C97129"/>
    <w:rsid w:val="00CA08FD"/>
    <w:rsid w:val="00CA0B47"/>
    <w:rsid w:val="00CA2215"/>
    <w:rsid w:val="00CA3EB1"/>
    <w:rsid w:val="00CA4536"/>
    <w:rsid w:val="00CA714C"/>
    <w:rsid w:val="00CB0589"/>
    <w:rsid w:val="00CB064D"/>
    <w:rsid w:val="00CB0919"/>
    <w:rsid w:val="00CB1F61"/>
    <w:rsid w:val="00CB1FF7"/>
    <w:rsid w:val="00CB212D"/>
    <w:rsid w:val="00CB2583"/>
    <w:rsid w:val="00CB2660"/>
    <w:rsid w:val="00CB4552"/>
    <w:rsid w:val="00CB74C0"/>
    <w:rsid w:val="00CB7AB0"/>
    <w:rsid w:val="00CC2B8C"/>
    <w:rsid w:val="00CC4477"/>
    <w:rsid w:val="00CC5E90"/>
    <w:rsid w:val="00CC60B0"/>
    <w:rsid w:val="00CC63CF"/>
    <w:rsid w:val="00CD046C"/>
    <w:rsid w:val="00CD0C57"/>
    <w:rsid w:val="00CD1335"/>
    <w:rsid w:val="00CD1488"/>
    <w:rsid w:val="00CD5CBA"/>
    <w:rsid w:val="00CE053E"/>
    <w:rsid w:val="00CE076C"/>
    <w:rsid w:val="00CE1D3F"/>
    <w:rsid w:val="00CE37F1"/>
    <w:rsid w:val="00CE4F64"/>
    <w:rsid w:val="00CE5199"/>
    <w:rsid w:val="00CE54AE"/>
    <w:rsid w:val="00CE66D5"/>
    <w:rsid w:val="00CE7C18"/>
    <w:rsid w:val="00CF03D6"/>
    <w:rsid w:val="00CF0CAB"/>
    <w:rsid w:val="00CF1381"/>
    <w:rsid w:val="00CF1DEF"/>
    <w:rsid w:val="00CF301B"/>
    <w:rsid w:val="00CF5429"/>
    <w:rsid w:val="00CF637A"/>
    <w:rsid w:val="00CF6EC7"/>
    <w:rsid w:val="00CF7017"/>
    <w:rsid w:val="00D00784"/>
    <w:rsid w:val="00D00BF5"/>
    <w:rsid w:val="00D02002"/>
    <w:rsid w:val="00D0385C"/>
    <w:rsid w:val="00D0443A"/>
    <w:rsid w:val="00D0453A"/>
    <w:rsid w:val="00D04DC7"/>
    <w:rsid w:val="00D059DE"/>
    <w:rsid w:val="00D06372"/>
    <w:rsid w:val="00D0780F"/>
    <w:rsid w:val="00D109AD"/>
    <w:rsid w:val="00D11359"/>
    <w:rsid w:val="00D11B83"/>
    <w:rsid w:val="00D12193"/>
    <w:rsid w:val="00D123DB"/>
    <w:rsid w:val="00D12DD0"/>
    <w:rsid w:val="00D139A8"/>
    <w:rsid w:val="00D13C4A"/>
    <w:rsid w:val="00D13FCE"/>
    <w:rsid w:val="00D144AE"/>
    <w:rsid w:val="00D146B4"/>
    <w:rsid w:val="00D157EF"/>
    <w:rsid w:val="00D17688"/>
    <w:rsid w:val="00D2012A"/>
    <w:rsid w:val="00D20BF8"/>
    <w:rsid w:val="00D21C74"/>
    <w:rsid w:val="00D24D9B"/>
    <w:rsid w:val="00D26BD7"/>
    <w:rsid w:val="00D2740F"/>
    <w:rsid w:val="00D27622"/>
    <w:rsid w:val="00D306D1"/>
    <w:rsid w:val="00D32411"/>
    <w:rsid w:val="00D32E6D"/>
    <w:rsid w:val="00D337AC"/>
    <w:rsid w:val="00D33AAF"/>
    <w:rsid w:val="00D33B17"/>
    <w:rsid w:val="00D34786"/>
    <w:rsid w:val="00D36848"/>
    <w:rsid w:val="00D37092"/>
    <w:rsid w:val="00D37BFC"/>
    <w:rsid w:val="00D4054A"/>
    <w:rsid w:val="00D41671"/>
    <w:rsid w:val="00D435AE"/>
    <w:rsid w:val="00D43DE1"/>
    <w:rsid w:val="00D44046"/>
    <w:rsid w:val="00D45ED5"/>
    <w:rsid w:val="00D46A2C"/>
    <w:rsid w:val="00D479A9"/>
    <w:rsid w:val="00D47A8E"/>
    <w:rsid w:val="00D50C4C"/>
    <w:rsid w:val="00D51516"/>
    <w:rsid w:val="00D528C8"/>
    <w:rsid w:val="00D52D14"/>
    <w:rsid w:val="00D53AE7"/>
    <w:rsid w:val="00D56424"/>
    <w:rsid w:val="00D57DED"/>
    <w:rsid w:val="00D6053C"/>
    <w:rsid w:val="00D60C2C"/>
    <w:rsid w:val="00D611D8"/>
    <w:rsid w:val="00D63EDB"/>
    <w:rsid w:val="00D6553F"/>
    <w:rsid w:val="00D65D4A"/>
    <w:rsid w:val="00D6691D"/>
    <w:rsid w:val="00D66A38"/>
    <w:rsid w:val="00D67259"/>
    <w:rsid w:val="00D70ACC"/>
    <w:rsid w:val="00D712D3"/>
    <w:rsid w:val="00D71422"/>
    <w:rsid w:val="00D7172B"/>
    <w:rsid w:val="00D71A2C"/>
    <w:rsid w:val="00D727C6"/>
    <w:rsid w:val="00D72DC6"/>
    <w:rsid w:val="00D73ABA"/>
    <w:rsid w:val="00D73DD6"/>
    <w:rsid w:val="00D74988"/>
    <w:rsid w:val="00D74D03"/>
    <w:rsid w:val="00D7558D"/>
    <w:rsid w:val="00D773DE"/>
    <w:rsid w:val="00D8100F"/>
    <w:rsid w:val="00D8194C"/>
    <w:rsid w:val="00D81D92"/>
    <w:rsid w:val="00D82B28"/>
    <w:rsid w:val="00D83D73"/>
    <w:rsid w:val="00D845CE"/>
    <w:rsid w:val="00D8511F"/>
    <w:rsid w:val="00D85AE3"/>
    <w:rsid w:val="00D85D24"/>
    <w:rsid w:val="00D85E79"/>
    <w:rsid w:val="00D861FC"/>
    <w:rsid w:val="00D910BA"/>
    <w:rsid w:val="00D91DB5"/>
    <w:rsid w:val="00D92174"/>
    <w:rsid w:val="00D95884"/>
    <w:rsid w:val="00D96E66"/>
    <w:rsid w:val="00D97D82"/>
    <w:rsid w:val="00DA060D"/>
    <w:rsid w:val="00DA2A90"/>
    <w:rsid w:val="00DA6889"/>
    <w:rsid w:val="00DA7B5F"/>
    <w:rsid w:val="00DB034F"/>
    <w:rsid w:val="00DB1BAD"/>
    <w:rsid w:val="00DB283E"/>
    <w:rsid w:val="00DB3427"/>
    <w:rsid w:val="00DB38BC"/>
    <w:rsid w:val="00DB595E"/>
    <w:rsid w:val="00DC11E7"/>
    <w:rsid w:val="00DC2292"/>
    <w:rsid w:val="00DC638A"/>
    <w:rsid w:val="00DC7023"/>
    <w:rsid w:val="00DC769A"/>
    <w:rsid w:val="00DD0FC8"/>
    <w:rsid w:val="00DD14B3"/>
    <w:rsid w:val="00DD20D2"/>
    <w:rsid w:val="00DD2F9B"/>
    <w:rsid w:val="00DD3D86"/>
    <w:rsid w:val="00DD4BFB"/>
    <w:rsid w:val="00DE0151"/>
    <w:rsid w:val="00DE0A20"/>
    <w:rsid w:val="00DE1474"/>
    <w:rsid w:val="00DE26FB"/>
    <w:rsid w:val="00DE3193"/>
    <w:rsid w:val="00DE4587"/>
    <w:rsid w:val="00DE45BF"/>
    <w:rsid w:val="00DE5734"/>
    <w:rsid w:val="00DE7C6E"/>
    <w:rsid w:val="00DF1EC4"/>
    <w:rsid w:val="00DF1F32"/>
    <w:rsid w:val="00DF42B7"/>
    <w:rsid w:val="00E01FFD"/>
    <w:rsid w:val="00E0272E"/>
    <w:rsid w:val="00E02D24"/>
    <w:rsid w:val="00E0340B"/>
    <w:rsid w:val="00E03489"/>
    <w:rsid w:val="00E03E97"/>
    <w:rsid w:val="00E04A90"/>
    <w:rsid w:val="00E06DEC"/>
    <w:rsid w:val="00E07379"/>
    <w:rsid w:val="00E10D4A"/>
    <w:rsid w:val="00E113DD"/>
    <w:rsid w:val="00E1170B"/>
    <w:rsid w:val="00E12950"/>
    <w:rsid w:val="00E12D33"/>
    <w:rsid w:val="00E15096"/>
    <w:rsid w:val="00E15346"/>
    <w:rsid w:val="00E168F0"/>
    <w:rsid w:val="00E170B3"/>
    <w:rsid w:val="00E2094F"/>
    <w:rsid w:val="00E219C7"/>
    <w:rsid w:val="00E220F0"/>
    <w:rsid w:val="00E23EF7"/>
    <w:rsid w:val="00E254E9"/>
    <w:rsid w:val="00E25634"/>
    <w:rsid w:val="00E260C6"/>
    <w:rsid w:val="00E30597"/>
    <w:rsid w:val="00E30D68"/>
    <w:rsid w:val="00E32682"/>
    <w:rsid w:val="00E33127"/>
    <w:rsid w:val="00E33EAB"/>
    <w:rsid w:val="00E3553D"/>
    <w:rsid w:val="00E35D39"/>
    <w:rsid w:val="00E35E50"/>
    <w:rsid w:val="00E41891"/>
    <w:rsid w:val="00E426E9"/>
    <w:rsid w:val="00E4298A"/>
    <w:rsid w:val="00E43157"/>
    <w:rsid w:val="00E448C4"/>
    <w:rsid w:val="00E4496E"/>
    <w:rsid w:val="00E461CE"/>
    <w:rsid w:val="00E462F3"/>
    <w:rsid w:val="00E46EB4"/>
    <w:rsid w:val="00E47370"/>
    <w:rsid w:val="00E47F45"/>
    <w:rsid w:val="00E51120"/>
    <w:rsid w:val="00E531D1"/>
    <w:rsid w:val="00E533EA"/>
    <w:rsid w:val="00E536C9"/>
    <w:rsid w:val="00E54F65"/>
    <w:rsid w:val="00E55A23"/>
    <w:rsid w:val="00E560A0"/>
    <w:rsid w:val="00E56B1C"/>
    <w:rsid w:val="00E56F35"/>
    <w:rsid w:val="00E604E8"/>
    <w:rsid w:val="00E60FE8"/>
    <w:rsid w:val="00E62D84"/>
    <w:rsid w:val="00E641FE"/>
    <w:rsid w:val="00E66781"/>
    <w:rsid w:val="00E66A6D"/>
    <w:rsid w:val="00E71D91"/>
    <w:rsid w:val="00E71F37"/>
    <w:rsid w:val="00E720CA"/>
    <w:rsid w:val="00E73B8E"/>
    <w:rsid w:val="00E76BDE"/>
    <w:rsid w:val="00E7746E"/>
    <w:rsid w:val="00E7759B"/>
    <w:rsid w:val="00E779C8"/>
    <w:rsid w:val="00E80F40"/>
    <w:rsid w:val="00E810C3"/>
    <w:rsid w:val="00E811AB"/>
    <w:rsid w:val="00E81675"/>
    <w:rsid w:val="00E819A6"/>
    <w:rsid w:val="00E84EB5"/>
    <w:rsid w:val="00E85662"/>
    <w:rsid w:val="00E8789F"/>
    <w:rsid w:val="00E87DE1"/>
    <w:rsid w:val="00E87DE2"/>
    <w:rsid w:val="00E909AA"/>
    <w:rsid w:val="00E91D54"/>
    <w:rsid w:val="00E94B86"/>
    <w:rsid w:val="00E954FA"/>
    <w:rsid w:val="00E97A03"/>
    <w:rsid w:val="00E97B71"/>
    <w:rsid w:val="00EA10CA"/>
    <w:rsid w:val="00EA2330"/>
    <w:rsid w:val="00EA235D"/>
    <w:rsid w:val="00EA3D34"/>
    <w:rsid w:val="00EA4041"/>
    <w:rsid w:val="00EA4498"/>
    <w:rsid w:val="00EB0A4F"/>
    <w:rsid w:val="00EB0F7F"/>
    <w:rsid w:val="00EB100E"/>
    <w:rsid w:val="00EB1D49"/>
    <w:rsid w:val="00EB2BEF"/>
    <w:rsid w:val="00EB454D"/>
    <w:rsid w:val="00EB4CF4"/>
    <w:rsid w:val="00EB51E4"/>
    <w:rsid w:val="00EB5667"/>
    <w:rsid w:val="00EB657F"/>
    <w:rsid w:val="00EC0397"/>
    <w:rsid w:val="00EC0881"/>
    <w:rsid w:val="00EC2D58"/>
    <w:rsid w:val="00EC3640"/>
    <w:rsid w:val="00EC3809"/>
    <w:rsid w:val="00EC46A0"/>
    <w:rsid w:val="00ED3B32"/>
    <w:rsid w:val="00ED51CA"/>
    <w:rsid w:val="00ED62E7"/>
    <w:rsid w:val="00ED6C64"/>
    <w:rsid w:val="00ED6CCE"/>
    <w:rsid w:val="00ED72EC"/>
    <w:rsid w:val="00ED76BE"/>
    <w:rsid w:val="00EE119E"/>
    <w:rsid w:val="00EE1C3F"/>
    <w:rsid w:val="00EE3A42"/>
    <w:rsid w:val="00EE41DD"/>
    <w:rsid w:val="00EE447A"/>
    <w:rsid w:val="00EE5A66"/>
    <w:rsid w:val="00EE632A"/>
    <w:rsid w:val="00EE6A70"/>
    <w:rsid w:val="00EE723E"/>
    <w:rsid w:val="00EE72E5"/>
    <w:rsid w:val="00EE73E6"/>
    <w:rsid w:val="00EF0D3C"/>
    <w:rsid w:val="00EF42D2"/>
    <w:rsid w:val="00EF5682"/>
    <w:rsid w:val="00EF596C"/>
    <w:rsid w:val="00EF619B"/>
    <w:rsid w:val="00EF65B8"/>
    <w:rsid w:val="00F00B55"/>
    <w:rsid w:val="00F0159E"/>
    <w:rsid w:val="00F01FB8"/>
    <w:rsid w:val="00F027D2"/>
    <w:rsid w:val="00F02AD1"/>
    <w:rsid w:val="00F03CAA"/>
    <w:rsid w:val="00F0506D"/>
    <w:rsid w:val="00F054B0"/>
    <w:rsid w:val="00F058FE"/>
    <w:rsid w:val="00F072A0"/>
    <w:rsid w:val="00F113D0"/>
    <w:rsid w:val="00F118D7"/>
    <w:rsid w:val="00F11E52"/>
    <w:rsid w:val="00F159EF"/>
    <w:rsid w:val="00F16894"/>
    <w:rsid w:val="00F1706E"/>
    <w:rsid w:val="00F20BA3"/>
    <w:rsid w:val="00F21C69"/>
    <w:rsid w:val="00F21E9F"/>
    <w:rsid w:val="00F232DA"/>
    <w:rsid w:val="00F247FE"/>
    <w:rsid w:val="00F249F9"/>
    <w:rsid w:val="00F25310"/>
    <w:rsid w:val="00F253CC"/>
    <w:rsid w:val="00F265B0"/>
    <w:rsid w:val="00F26656"/>
    <w:rsid w:val="00F27191"/>
    <w:rsid w:val="00F274CE"/>
    <w:rsid w:val="00F31594"/>
    <w:rsid w:val="00F31E86"/>
    <w:rsid w:val="00F34C40"/>
    <w:rsid w:val="00F35A15"/>
    <w:rsid w:val="00F35BC4"/>
    <w:rsid w:val="00F37106"/>
    <w:rsid w:val="00F37478"/>
    <w:rsid w:val="00F37AD8"/>
    <w:rsid w:val="00F42D31"/>
    <w:rsid w:val="00F42EDF"/>
    <w:rsid w:val="00F519CF"/>
    <w:rsid w:val="00F525D2"/>
    <w:rsid w:val="00F55954"/>
    <w:rsid w:val="00F56B8E"/>
    <w:rsid w:val="00F56BA5"/>
    <w:rsid w:val="00F602D3"/>
    <w:rsid w:val="00F60389"/>
    <w:rsid w:val="00F60692"/>
    <w:rsid w:val="00F60864"/>
    <w:rsid w:val="00F60E22"/>
    <w:rsid w:val="00F655D6"/>
    <w:rsid w:val="00F674E7"/>
    <w:rsid w:val="00F67A0F"/>
    <w:rsid w:val="00F67C97"/>
    <w:rsid w:val="00F71557"/>
    <w:rsid w:val="00F72E5B"/>
    <w:rsid w:val="00F73104"/>
    <w:rsid w:val="00F73BD3"/>
    <w:rsid w:val="00F74072"/>
    <w:rsid w:val="00F74C85"/>
    <w:rsid w:val="00F77D85"/>
    <w:rsid w:val="00F805FB"/>
    <w:rsid w:val="00F81123"/>
    <w:rsid w:val="00F81395"/>
    <w:rsid w:val="00F81576"/>
    <w:rsid w:val="00F8324E"/>
    <w:rsid w:val="00F83263"/>
    <w:rsid w:val="00F852A0"/>
    <w:rsid w:val="00F86022"/>
    <w:rsid w:val="00F902EB"/>
    <w:rsid w:val="00F917D1"/>
    <w:rsid w:val="00F93943"/>
    <w:rsid w:val="00F95138"/>
    <w:rsid w:val="00F9516F"/>
    <w:rsid w:val="00F964D8"/>
    <w:rsid w:val="00F9653B"/>
    <w:rsid w:val="00FA0C4F"/>
    <w:rsid w:val="00FA16B9"/>
    <w:rsid w:val="00FA4FBE"/>
    <w:rsid w:val="00FA7D4B"/>
    <w:rsid w:val="00FB3099"/>
    <w:rsid w:val="00FB62CF"/>
    <w:rsid w:val="00FB6445"/>
    <w:rsid w:val="00FB706F"/>
    <w:rsid w:val="00FC3195"/>
    <w:rsid w:val="00FC4BE5"/>
    <w:rsid w:val="00FC5E2A"/>
    <w:rsid w:val="00FC67A3"/>
    <w:rsid w:val="00FC693F"/>
    <w:rsid w:val="00FC6D2E"/>
    <w:rsid w:val="00FC7D8E"/>
    <w:rsid w:val="00FD05A3"/>
    <w:rsid w:val="00FD3C3B"/>
    <w:rsid w:val="00FD453A"/>
    <w:rsid w:val="00FD505D"/>
    <w:rsid w:val="00FD5A99"/>
    <w:rsid w:val="00FE051D"/>
    <w:rsid w:val="00FE07DD"/>
    <w:rsid w:val="00FE27D0"/>
    <w:rsid w:val="00FE2D65"/>
    <w:rsid w:val="00FE36F3"/>
    <w:rsid w:val="00FE3F9B"/>
    <w:rsid w:val="00FE40BE"/>
    <w:rsid w:val="00FE40CA"/>
    <w:rsid w:val="00FE41F5"/>
    <w:rsid w:val="00FE446E"/>
    <w:rsid w:val="00FE4977"/>
    <w:rsid w:val="00FE49E2"/>
    <w:rsid w:val="00FE6B45"/>
    <w:rsid w:val="00FF155F"/>
    <w:rsid w:val="00FF2FB2"/>
    <w:rsid w:val="00FF482E"/>
    <w:rsid w:val="00FF50AF"/>
    <w:rsid w:val="00FF55F3"/>
    <w:rsid w:val="00FF5851"/>
    <w:rsid w:val="00FF6916"/>
    <w:rsid w:val="00FF71DB"/>
    <w:rsid w:val="00FF7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189E04"/>
  <w15:docId w15:val="{9AF1E75F-2050-49BB-BDAA-B4D3E847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s-CO" w:eastAsia="en-US"/>
    </w:rPr>
  </w:style>
  <w:style w:type="paragraph" w:styleId="Ttulo1">
    <w:name w:val="heading 1"/>
    <w:basedOn w:val="Normal"/>
    <w:next w:val="Normal"/>
    <w:link w:val="Ttulo1Car"/>
    <w:uiPriority w:val="9"/>
    <w:qFormat/>
    <w:rsid w:val="00537CC4"/>
    <w:pPr>
      <w:keepNext/>
      <w:keepLines/>
      <w:numPr>
        <w:numId w:val="53"/>
      </w:numPr>
      <w:outlineLvl w:val="0"/>
    </w:pPr>
    <w:rPr>
      <w:rFonts w:asciiTheme="majorHAnsi" w:eastAsiaTheme="majorEastAsia" w:hAnsiTheme="majorHAnsi" w:cstheme="majorBidi"/>
      <w:b/>
      <w:bCs/>
      <w:sz w:val="20"/>
      <w:szCs w:val="28"/>
    </w:rPr>
  </w:style>
  <w:style w:type="paragraph" w:styleId="Ttulo2">
    <w:name w:val="heading 2"/>
    <w:basedOn w:val="Normal"/>
    <w:next w:val="Normal"/>
    <w:link w:val="Ttulo2Car"/>
    <w:qFormat/>
    <w:rsid w:val="00392EC4"/>
    <w:pPr>
      <w:keepNext/>
      <w:numPr>
        <w:numId w:val="63"/>
      </w:numPr>
      <w:pBdr>
        <w:top w:val="none" w:sz="0" w:space="0" w:color="auto"/>
        <w:left w:val="none" w:sz="0" w:space="0" w:color="auto"/>
        <w:bottom w:val="none" w:sz="0" w:space="0" w:color="auto"/>
        <w:right w:val="none" w:sz="0" w:space="0" w:color="auto"/>
        <w:between w:val="none" w:sz="0" w:space="0" w:color="auto"/>
        <w:bar w:val="none" w:sz="0" w:color="auto"/>
      </w:pBdr>
      <w:outlineLvl w:val="1"/>
    </w:pPr>
    <w:rPr>
      <w:rFonts w:ascii="Cambria" w:eastAsia="Times New Roman" w:hAnsi="Cambria" w:cs="Arial"/>
      <w:b/>
      <w:bCs/>
      <w:iCs/>
      <w:sz w:val="20"/>
      <w:szCs w:val="28"/>
      <w:bdr w:val="none" w:sz="0" w:space="0" w:color="auto"/>
    </w:rPr>
  </w:style>
  <w:style w:type="paragraph" w:styleId="Ttulo3">
    <w:name w:val="heading 3"/>
    <w:basedOn w:val="Normal"/>
    <w:next w:val="Normal"/>
    <w:link w:val="Ttulo3Car"/>
    <w:qFormat/>
    <w:rsid w:val="00392EC4"/>
    <w:pPr>
      <w:keepNext/>
      <w:numPr>
        <w:numId w:val="70"/>
      </w:numPr>
      <w:pBdr>
        <w:top w:val="none" w:sz="0" w:space="0" w:color="auto"/>
        <w:left w:val="none" w:sz="0" w:space="0" w:color="auto"/>
        <w:bottom w:val="none" w:sz="0" w:space="0" w:color="auto"/>
        <w:right w:val="none" w:sz="0" w:space="0" w:color="auto"/>
        <w:between w:val="none" w:sz="0" w:space="0" w:color="auto"/>
        <w:bar w:val="none" w:sz="0" w:color="auto"/>
      </w:pBdr>
      <w:ind w:left="0" w:firstLine="0"/>
      <w:outlineLvl w:val="2"/>
    </w:pPr>
    <w:rPr>
      <w:rFonts w:ascii="Cambria" w:eastAsia="Times New Roman" w:hAnsi="Cambria" w:cs="Arial"/>
      <w:b/>
      <w:bCs/>
      <w:sz w:val="20"/>
      <w:szCs w:val="26"/>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aliases w:val="Párrafo de lista1,List Paragraph1,Colorful List - Accent 11,List Paragraph11,List Paragraph2"/>
    <w:link w:val="PrrafodelistaCar"/>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1">
    <w:name w:val="List 21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1">
    <w:name w:val="List 31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sid w:val="00965FBD"/>
    <w:rPr>
      <w:rFonts w:asciiTheme="majorHAnsi" w:eastAsia="Calibri" w:hAnsiTheme="majorHAnsi" w:cs="Calibri"/>
      <w:color w:val="000000"/>
      <w:sz w:val="16"/>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1">
    <w:name w:val="List 41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1">
    <w:name w:val="List 51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537CC4"/>
    <w:rPr>
      <w:rFonts w:asciiTheme="majorHAnsi" w:eastAsiaTheme="majorEastAsia" w:hAnsiTheme="majorHAnsi" w:cstheme="majorBidi"/>
      <w:b/>
      <w:bCs/>
      <w:szCs w:val="28"/>
      <w:lang w:val="es-CO"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qFormat/>
    <w:rsid w:val="00FC5E2A"/>
    <w:pPr>
      <w:tabs>
        <w:tab w:val="left" w:pos="360"/>
        <w:tab w:val="right" w:leader="dot" w:pos="9540"/>
      </w:tabs>
      <w:spacing w:after="100"/>
      <w:ind w:left="360" w:hanging="360"/>
    </w:pPr>
  </w:style>
  <w:style w:type="paragraph" w:styleId="TDC1">
    <w:name w:val="toc 1"/>
    <w:basedOn w:val="Normal"/>
    <w:next w:val="Normal"/>
    <w:autoRedefine/>
    <w:uiPriority w:val="39"/>
    <w:unhideWhenUsed/>
    <w:qFormat/>
    <w:rsid w:val="00D773DE"/>
    <w:pPr>
      <w:tabs>
        <w:tab w:val="left" w:pos="360"/>
        <w:tab w:val="right" w:leader="dot" w:pos="9514"/>
      </w:tabs>
      <w:spacing w:after="100"/>
    </w:pPr>
    <w:rPr>
      <w:rFonts w:asciiTheme="majorHAnsi" w:hAnsiTheme="majorHAnsi"/>
      <w:b/>
      <w:noProof/>
      <w:sz w:val="20"/>
      <w:szCs w:val="20"/>
    </w:rPr>
  </w:style>
  <w:style w:type="paragraph" w:styleId="TDC3">
    <w:name w:val="toc 3"/>
    <w:basedOn w:val="Normal"/>
    <w:next w:val="Normal"/>
    <w:autoRedefine/>
    <w:uiPriority w:val="39"/>
    <w:unhideWhenUsed/>
    <w:qFormat/>
    <w:rsid w:val="00D773DE"/>
    <w:pPr>
      <w:tabs>
        <w:tab w:val="left" w:pos="360"/>
        <w:tab w:val="left" w:pos="880"/>
        <w:tab w:val="right" w:leader="dot" w:pos="9350"/>
      </w:tabs>
      <w:spacing w:after="100"/>
      <w:ind w:left="360" w:hanging="36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
    <w:basedOn w:val="Fuentedeprrafopredeter"/>
    <w:link w:val="FootnotesrefssChar1Char"/>
    <w:unhideWhenUsed/>
    <w:qFormat/>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basedOn w:val="Fuentedeprrafopredete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locked/>
    <w:rsid w:val="00965FBD"/>
    <w:rPr>
      <w:rFonts w:asciiTheme="majorHAnsi" w:eastAsia="Calibri" w:hAnsiTheme="majorHAnsi" w:cs="Calibri"/>
      <w:color w:val="000000"/>
      <w:sz w:val="16"/>
      <w:u w:color="000000"/>
      <w:lang w:val="en-US"/>
    </w:rPr>
  </w:style>
  <w:style w:type="character" w:customStyle="1" w:styleId="Ttulo2Car">
    <w:name w:val="Título 2 Car"/>
    <w:basedOn w:val="Fuentedeprrafopredeter"/>
    <w:link w:val="Ttulo2"/>
    <w:rsid w:val="00392EC4"/>
    <w:rPr>
      <w:rFonts w:ascii="Cambria" w:eastAsia="Times New Roman" w:hAnsi="Cambria" w:cs="Arial"/>
      <w:b/>
      <w:bCs/>
      <w:iCs/>
      <w:szCs w:val="28"/>
      <w:bdr w:val="none" w:sz="0" w:space="0" w:color="auto"/>
      <w:lang w:val="es-CO" w:eastAsia="en-US"/>
    </w:rPr>
  </w:style>
  <w:style w:type="character" w:customStyle="1" w:styleId="Ttulo3Car">
    <w:name w:val="Título 3 Car"/>
    <w:basedOn w:val="Fuentedeprrafopredeter"/>
    <w:link w:val="Ttulo3"/>
    <w:rsid w:val="00392EC4"/>
    <w:rPr>
      <w:rFonts w:ascii="Cambria" w:eastAsia="Times New Roman" w:hAnsi="Cambria" w:cs="Arial"/>
      <w:b/>
      <w:bCs/>
      <w:szCs w:val="26"/>
      <w:bdr w:val="none" w:sz="0" w:space="0" w:color="auto"/>
      <w:lang w:val="es-CO" w:eastAsia="en-US"/>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9014A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uiPriority w:val="99"/>
    <w:rsid w:val="004D6618"/>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bdr w:val="none" w:sz="0" w:space="0" w:color="auto"/>
      <w:vertAlign w:val="superscript"/>
      <w:lang w:val="es-ES" w:eastAsia="es-ES"/>
    </w:rPr>
  </w:style>
  <w:style w:type="character" w:customStyle="1" w:styleId="PrrafodelistaCar">
    <w:name w:val="Párrafo de lista Car"/>
    <w:aliases w:val="Párrafo de lista1 Car,List Paragraph1 Car,Colorful List - Accent 11 Car,List Paragraph11 Car,List Paragraph2 Car"/>
    <w:link w:val="Prrafodelista"/>
    <w:uiPriority w:val="34"/>
    <w:locked/>
    <w:rsid w:val="002E4AEA"/>
    <w:rPr>
      <w:rFonts w:ascii="Cambria" w:eastAsia="Cambria" w:hAnsi="Cambria" w:cs="Cambria"/>
      <w:color w:val="000000"/>
      <w:sz w:val="24"/>
      <w:szCs w:val="24"/>
      <w:u w:color="000000"/>
      <w:lang w:val="en-US"/>
    </w:rPr>
  </w:style>
  <w:style w:type="character" w:styleId="Refdecomentario">
    <w:name w:val="annotation reference"/>
    <w:basedOn w:val="Fuentedeprrafopredeter"/>
    <w:uiPriority w:val="99"/>
    <w:semiHidden/>
    <w:unhideWhenUsed/>
    <w:rsid w:val="008456A1"/>
    <w:rPr>
      <w:sz w:val="16"/>
      <w:szCs w:val="16"/>
    </w:rPr>
  </w:style>
  <w:style w:type="paragraph" w:styleId="Textocomentario">
    <w:name w:val="annotation text"/>
    <w:basedOn w:val="Normal"/>
    <w:link w:val="TextocomentarioCar"/>
    <w:uiPriority w:val="99"/>
    <w:unhideWhenUsed/>
    <w:rsid w:val="008456A1"/>
    <w:rPr>
      <w:sz w:val="20"/>
      <w:szCs w:val="20"/>
    </w:rPr>
  </w:style>
  <w:style w:type="character" w:customStyle="1" w:styleId="TextocomentarioCar">
    <w:name w:val="Texto comentario Car"/>
    <w:basedOn w:val="Fuentedeprrafopredeter"/>
    <w:link w:val="Textocomentario"/>
    <w:uiPriority w:val="99"/>
    <w:rsid w:val="008456A1"/>
    <w:rPr>
      <w:lang w:val="en-US" w:eastAsia="en-US"/>
    </w:rPr>
  </w:style>
  <w:style w:type="paragraph" w:styleId="Asuntodelcomentario">
    <w:name w:val="annotation subject"/>
    <w:basedOn w:val="Textocomentario"/>
    <w:next w:val="Textocomentario"/>
    <w:link w:val="AsuntodelcomentarioCar"/>
    <w:uiPriority w:val="99"/>
    <w:semiHidden/>
    <w:unhideWhenUsed/>
    <w:rsid w:val="008456A1"/>
    <w:rPr>
      <w:b/>
      <w:bCs/>
    </w:rPr>
  </w:style>
  <w:style w:type="character" w:customStyle="1" w:styleId="AsuntodelcomentarioCar">
    <w:name w:val="Asunto del comentario Car"/>
    <w:basedOn w:val="TextocomentarioCar"/>
    <w:link w:val="Asuntodelcomentario"/>
    <w:uiPriority w:val="99"/>
    <w:semiHidden/>
    <w:rsid w:val="008456A1"/>
    <w:rPr>
      <w:b/>
      <w:bCs/>
      <w:lang w:val="en-US" w:eastAsia="en-US"/>
    </w:rPr>
  </w:style>
  <w:style w:type="paragraph" w:styleId="NormalWeb">
    <w:name w:val="Normal (Web)"/>
    <w:aliases w:val="Normal (Web) Char1,Normal (Web) Char Char,Normal (Web) Char1 Char,Normal (Web) Char Char Char"/>
    <w:basedOn w:val="Normal"/>
    <w:uiPriority w:val="99"/>
    <w:unhideWhenUsed/>
    <w:rsid w:val="007F155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US" w:eastAsia="es-US"/>
    </w:rPr>
  </w:style>
  <w:style w:type="character" w:styleId="Hipervnculovisitado">
    <w:name w:val="FollowedHyperlink"/>
    <w:basedOn w:val="Fuentedeprrafopredeter"/>
    <w:uiPriority w:val="99"/>
    <w:semiHidden/>
    <w:unhideWhenUsed/>
    <w:rsid w:val="003028A4"/>
    <w:rPr>
      <w:color w:val="800080" w:themeColor="followedHyperlink"/>
      <w:u w:val="single"/>
    </w:rPr>
  </w:style>
  <w:style w:type="character" w:styleId="Textoennegrita">
    <w:name w:val="Strong"/>
    <w:basedOn w:val="Fuentedeprrafopredeter"/>
    <w:uiPriority w:val="22"/>
    <w:qFormat/>
    <w:rsid w:val="004A24DE"/>
    <w:rPr>
      <w:b/>
      <w:bCs/>
    </w:rPr>
  </w:style>
  <w:style w:type="paragraph" w:styleId="TtuloTDC">
    <w:name w:val="TOC Heading"/>
    <w:basedOn w:val="Ttulo1"/>
    <w:next w:val="Normal"/>
    <w:uiPriority w:val="39"/>
    <w:unhideWhenUsed/>
    <w:qFormat/>
    <w:rsid w:val="009D5D85"/>
    <w:pPr>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bdr w:val="none" w:sz="0" w:space="0" w:color="auto"/>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48816">
      <w:bodyDiv w:val="1"/>
      <w:marLeft w:val="0"/>
      <w:marRight w:val="0"/>
      <w:marTop w:val="0"/>
      <w:marBottom w:val="0"/>
      <w:divBdr>
        <w:top w:val="none" w:sz="0" w:space="0" w:color="auto"/>
        <w:left w:val="none" w:sz="0" w:space="0" w:color="auto"/>
        <w:bottom w:val="none" w:sz="0" w:space="0" w:color="auto"/>
        <w:right w:val="none" w:sz="0" w:space="0" w:color="auto"/>
      </w:divBdr>
    </w:div>
    <w:div w:id="133375114">
      <w:bodyDiv w:val="1"/>
      <w:marLeft w:val="0"/>
      <w:marRight w:val="0"/>
      <w:marTop w:val="0"/>
      <w:marBottom w:val="0"/>
      <w:divBdr>
        <w:top w:val="none" w:sz="0" w:space="0" w:color="auto"/>
        <w:left w:val="none" w:sz="0" w:space="0" w:color="auto"/>
        <w:bottom w:val="none" w:sz="0" w:space="0" w:color="auto"/>
        <w:right w:val="none" w:sz="0" w:space="0" w:color="auto"/>
      </w:divBdr>
    </w:div>
    <w:div w:id="164246536">
      <w:bodyDiv w:val="1"/>
      <w:marLeft w:val="0"/>
      <w:marRight w:val="0"/>
      <w:marTop w:val="0"/>
      <w:marBottom w:val="0"/>
      <w:divBdr>
        <w:top w:val="none" w:sz="0" w:space="0" w:color="auto"/>
        <w:left w:val="none" w:sz="0" w:space="0" w:color="auto"/>
        <w:bottom w:val="none" w:sz="0" w:space="0" w:color="auto"/>
        <w:right w:val="none" w:sz="0" w:space="0" w:color="auto"/>
      </w:divBdr>
    </w:div>
    <w:div w:id="165439557">
      <w:bodyDiv w:val="1"/>
      <w:marLeft w:val="0"/>
      <w:marRight w:val="0"/>
      <w:marTop w:val="0"/>
      <w:marBottom w:val="0"/>
      <w:divBdr>
        <w:top w:val="none" w:sz="0" w:space="0" w:color="auto"/>
        <w:left w:val="none" w:sz="0" w:space="0" w:color="auto"/>
        <w:bottom w:val="none" w:sz="0" w:space="0" w:color="auto"/>
        <w:right w:val="none" w:sz="0" w:space="0" w:color="auto"/>
      </w:divBdr>
    </w:div>
    <w:div w:id="168301694">
      <w:bodyDiv w:val="1"/>
      <w:marLeft w:val="0"/>
      <w:marRight w:val="0"/>
      <w:marTop w:val="0"/>
      <w:marBottom w:val="0"/>
      <w:divBdr>
        <w:top w:val="none" w:sz="0" w:space="0" w:color="auto"/>
        <w:left w:val="none" w:sz="0" w:space="0" w:color="auto"/>
        <w:bottom w:val="none" w:sz="0" w:space="0" w:color="auto"/>
        <w:right w:val="none" w:sz="0" w:space="0" w:color="auto"/>
      </w:divBdr>
    </w:div>
    <w:div w:id="191190711">
      <w:bodyDiv w:val="1"/>
      <w:marLeft w:val="0"/>
      <w:marRight w:val="0"/>
      <w:marTop w:val="0"/>
      <w:marBottom w:val="0"/>
      <w:divBdr>
        <w:top w:val="none" w:sz="0" w:space="0" w:color="auto"/>
        <w:left w:val="none" w:sz="0" w:space="0" w:color="auto"/>
        <w:bottom w:val="none" w:sz="0" w:space="0" w:color="auto"/>
        <w:right w:val="none" w:sz="0" w:space="0" w:color="auto"/>
      </w:divBdr>
    </w:div>
    <w:div w:id="283585330">
      <w:bodyDiv w:val="1"/>
      <w:marLeft w:val="0"/>
      <w:marRight w:val="0"/>
      <w:marTop w:val="0"/>
      <w:marBottom w:val="0"/>
      <w:divBdr>
        <w:top w:val="none" w:sz="0" w:space="0" w:color="auto"/>
        <w:left w:val="none" w:sz="0" w:space="0" w:color="auto"/>
        <w:bottom w:val="none" w:sz="0" w:space="0" w:color="auto"/>
        <w:right w:val="none" w:sz="0" w:space="0" w:color="auto"/>
      </w:divBdr>
    </w:div>
    <w:div w:id="332219104">
      <w:bodyDiv w:val="1"/>
      <w:marLeft w:val="0"/>
      <w:marRight w:val="0"/>
      <w:marTop w:val="0"/>
      <w:marBottom w:val="0"/>
      <w:divBdr>
        <w:top w:val="none" w:sz="0" w:space="0" w:color="auto"/>
        <w:left w:val="none" w:sz="0" w:space="0" w:color="auto"/>
        <w:bottom w:val="none" w:sz="0" w:space="0" w:color="auto"/>
        <w:right w:val="none" w:sz="0" w:space="0" w:color="auto"/>
      </w:divBdr>
    </w:div>
    <w:div w:id="350038357">
      <w:bodyDiv w:val="1"/>
      <w:marLeft w:val="0"/>
      <w:marRight w:val="0"/>
      <w:marTop w:val="0"/>
      <w:marBottom w:val="0"/>
      <w:divBdr>
        <w:top w:val="none" w:sz="0" w:space="0" w:color="auto"/>
        <w:left w:val="none" w:sz="0" w:space="0" w:color="auto"/>
        <w:bottom w:val="none" w:sz="0" w:space="0" w:color="auto"/>
        <w:right w:val="none" w:sz="0" w:space="0" w:color="auto"/>
      </w:divBdr>
    </w:div>
    <w:div w:id="364408936">
      <w:bodyDiv w:val="1"/>
      <w:marLeft w:val="0"/>
      <w:marRight w:val="0"/>
      <w:marTop w:val="0"/>
      <w:marBottom w:val="0"/>
      <w:divBdr>
        <w:top w:val="none" w:sz="0" w:space="0" w:color="auto"/>
        <w:left w:val="none" w:sz="0" w:space="0" w:color="auto"/>
        <w:bottom w:val="none" w:sz="0" w:space="0" w:color="auto"/>
        <w:right w:val="none" w:sz="0" w:space="0" w:color="auto"/>
      </w:divBdr>
    </w:div>
    <w:div w:id="391268173">
      <w:bodyDiv w:val="1"/>
      <w:marLeft w:val="0"/>
      <w:marRight w:val="0"/>
      <w:marTop w:val="0"/>
      <w:marBottom w:val="0"/>
      <w:divBdr>
        <w:top w:val="none" w:sz="0" w:space="0" w:color="auto"/>
        <w:left w:val="none" w:sz="0" w:space="0" w:color="auto"/>
        <w:bottom w:val="none" w:sz="0" w:space="0" w:color="auto"/>
        <w:right w:val="none" w:sz="0" w:space="0" w:color="auto"/>
      </w:divBdr>
    </w:div>
    <w:div w:id="442575674">
      <w:bodyDiv w:val="1"/>
      <w:marLeft w:val="0"/>
      <w:marRight w:val="0"/>
      <w:marTop w:val="0"/>
      <w:marBottom w:val="0"/>
      <w:divBdr>
        <w:top w:val="none" w:sz="0" w:space="0" w:color="auto"/>
        <w:left w:val="none" w:sz="0" w:space="0" w:color="auto"/>
        <w:bottom w:val="none" w:sz="0" w:space="0" w:color="auto"/>
        <w:right w:val="none" w:sz="0" w:space="0" w:color="auto"/>
      </w:divBdr>
    </w:div>
    <w:div w:id="487602329">
      <w:bodyDiv w:val="1"/>
      <w:marLeft w:val="0"/>
      <w:marRight w:val="0"/>
      <w:marTop w:val="0"/>
      <w:marBottom w:val="0"/>
      <w:divBdr>
        <w:top w:val="none" w:sz="0" w:space="0" w:color="auto"/>
        <w:left w:val="none" w:sz="0" w:space="0" w:color="auto"/>
        <w:bottom w:val="none" w:sz="0" w:space="0" w:color="auto"/>
        <w:right w:val="none" w:sz="0" w:space="0" w:color="auto"/>
      </w:divBdr>
    </w:div>
    <w:div w:id="573049038">
      <w:bodyDiv w:val="1"/>
      <w:marLeft w:val="0"/>
      <w:marRight w:val="0"/>
      <w:marTop w:val="0"/>
      <w:marBottom w:val="0"/>
      <w:divBdr>
        <w:top w:val="none" w:sz="0" w:space="0" w:color="auto"/>
        <w:left w:val="none" w:sz="0" w:space="0" w:color="auto"/>
        <w:bottom w:val="none" w:sz="0" w:space="0" w:color="auto"/>
        <w:right w:val="none" w:sz="0" w:space="0" w:color="auto"/>
      </w:divBdr>
    </w:div>
    <w:div w:id="585727413">
      <w:bodyDiv w:val="1"/>
      <w:marLeft w:val="0"/>
      <w:marRight w:val="0"/>
      <w:marTop w:val="0"/>
      <w:marBottom w:val="0"/>
      <w:divBdr>
        <w:top w:val="none" w:sz="0" w:space="0" w:color="auto"/>
        <w:left w:val="none" w:sz="0" w:space="0" w:color="auto"/>
        <w:bottom w:val="none" w:sz="0" w:space="0" w:color="auto"/>
        <w:right w:val="none" w:sz="0" w:space="0" w:color="auto"/>
      </w:divBdr>
    </w:div>
    <w:div w:id="730346176">
      <w:bodyDiv w:val="1"/>
      <w:marLeft w:val="0"/>
      <w:marRight w:val="0"/>
      <w:marTop w:val="0"/>
      <w:marBottom w:val="0"/>
      <w:divBdr>
        <w:top w:val="none" w:sz="0" w:space="0" w:color="auto"/>
        <w:left w:val="none" w:sz="0" w:space="0" w:color="auto"/>
        <w:bottom w:val="none" w:sz="0" w:space="0" w:color="auto"/>
        <w:right w:val="none" w:sz="0" w:space="0" w:color="auto"/>
      </w:divBdr>
    </w:div>
    <w:div w:id="736977399">
      <w:bodyDiv w:val="1"/>
      <w:marLeft w:val="0"/>
      <w:marRight w:val="0"/>
      <w:marTop w:val="0"/>
      <w:marBottom w:val="0"/>
      <w:divBdr>
        <w:top w:val="none" w:sz="0" w:space="0" w:color="auto"/>
        <w:left w:val="none" w:sz="0" w:space="0" w:color="auto"/>
        <w:bottom w:val="none" w:sz="0" w:space="0" w:color="auto"/>
        <w:right w:val="none" w:sz="0" w:space="0" w:color="auto"/>
      </w:divBdr>
      <w:divsChild>
        <w:div w:id="268316460">
          <w:marLeft w:val="0"/>
          <w:marRight w:val="0"/>
          <w:marTop w:val="0"/>
          <w:marBottom w:val="0"/>
          <w:divBdr>
            <w:top w:val="none" w:sz="0" w:space="0" w:color="auto"/>
            <w:left w:val="none" w:sz="0" w:space="0" w:color="auto"/>
            <w:bottom w:val="none" w:sz="0" w:space="0" w:color="auto"/>
            <w:right w:val="none" w:sz="0" w:space="0" w:color="auto"/>
          </w:divBdr>
        </w:div>
        <w:div w:id="1405058889">
          <w:marLeft w:val="0"/>
          <w:marRight w:val="0"/>
          <w:marTop w:val="0"/>
          <w:marBottom w:val="0"/>
          <w:divBdr>
            <w:top w:val="none" w:sz="0" w:space="0" w:color="auto"/>
            <w:left w:val="none" w:sz="0" w:space="0" w:color="auto"/>
            <w:bottom w:val="none" w:sz="0" w:space="0" w:color="auto"/>
            <w:right w:val="none" w:sz="0" w:space="0" w:color="auto"/>
          </w:divBdr>
        </w:div>
        <w:div w:id="1200509053">
          <w:marLeft w:val="0"/>
          <w:marRight w:val="0"/>
          <w:marTop w:val="0"/>
          <w:marBottom w:val="0"/>
          <w:divBdr>
            <w:top w:val="none" w:sz="0" w:space="0" w:color="auto"/>
            <w:left w:val="none" w:sz="0" w:space="0" w:color="auto"/>
            <w:bottom w:val="none" w:sz="0" w:space="0" w:color="auto"/>
            <w:right w:val="none" w:sz="0" w:space="0" w:color="auto"/>
          </w:divBdr>
        </w:div>
        <w:div w:id="1689284625">
          <w:marLeft w:val="0"/>
          <w:marRight w:val="0"/>
          <w:marTop w:val="0"/>
          <w:marBottom w:val="0"/>
          <w:divBdr>
            <w:top w:val="none" w:sz="0" w:space="0" w:color="auto"/>
            <w:left w:val="none" w:sz="0" w:space="0" w:color="auto"/>
            <w:bottom w:val="none" w:sz="0" w:space="0" w:color="auto"/>
            <w:right w:val="none" w:sz="0" w:space="0" w:color="auto"/>
          </w:divBdr>
        </w:div>
        <w:div w:id="2011329543">
          <w:marLeft w:val="0"/>
          <w:marRight w:val="0"/>
          <w:marTop w:val="0"/>
          <w:marBottom w:val="0"/>
          <w:divBdr>
            <w:top w:val="none" w:sz="0" w:space="0" w:color="auto"/>
            <w:left w:val="none" w:sz="0" w:space="0" w:color="auto"/>
            <w:bottom w:val="none" w:sz="0" w:space="0" w:color="auto"/>
            <w:right w:val="none" w:sz="0" w:space="0" w:color="auto"/>
          </w:divBdr>
        </w:div>
        <w:div w:id="1456875876">
          <w:marLeft w:val="0"/>
          <w:marRight w:val="0"/>
          <w:marTop w:val="0"/>
          <w:marBottom w:val="0"/>
          <w:divBdr>
            <w:top w:val="none" w:sz="0" w:space="0" w:color="auto"/>
            <w:left w:val="none" w:sz="0" w:space="0" w:color="auto"/>
            <w:bottom w:val="none" w:sz="0" w:space="0" w:color="auto"/>
            <w:right w:val="none" w:sz="0" w:space="0" w:color="auto"/>
          </w:divBdr>
        </w:div>
        <w:div w:id="2010910916">
          <w:marLeft w:val="0"/>
          <w:marRight w:val="0"/>
          <w:marTop w:val="0"/>
          <w:marBottom w:val="0"/>
          <w:divBdr>
            <w:top w:val="none" w:sz="0" w:space="0" w:color="auto"/>
            <w:left w:val="none" w:sz="0" w:space="0" w:color="auto"/>
            <w:bottom w:val="none" w:sz="0" w:space="0" w:color="auto"/>
            <w:right w:val="none" w:sz="0" w:space="0" w:color="auto"/>
          </w:divBdr>
        </w:div>
      </w:divsChild>
    </w:div>
    <w:div w:id="791703756">
      <w:bodyDiv w:val="1"/>
      <w:marLeft w:val="0"/>
      <w:marRight w:val="0"/>
      <w:marTop w:val="0"/>
      <w:marBottom w:val="0"/>
      <w:divBdr>
        <w:top w:val="none" w:sz="0" w:space="0" w:color="auto"/>
        <w:left w:val="none" w:sz="0" w:space="0" w:color="auto"/>
        <w:bottom w:val="none" w:sz="0" w:space="0" w:color="auto"/>
        <w:right w:val="none" w:sz="0" w:space="0" w:color="auto"/>
      </w:divBdr>
    </w:div>
    <w:div w:id="817455027">
      <w:bodyDiv w:val="1"/>
      <w:marLeft w:val="0"/>
      <w:marRight w:val="0"/>
      <w:marTop w:val="0"/>
      <w:marBottom w:val="0"/>
      <w:divBdr>
        <w:top w:val="none" w:sz="0" w:space="0" w:color="auto"/>
        <w:left w:val="none" w:sz="0" w:space="0" w:color="auto"/>
        <w:bottom w:val="none" w:sz="0" w:space="0" w:color="auto"/>
        <w:right w:val="none" w:sz="0" w:space="0" w:color="auto"/>
      </w:divBdr>
    </w:div>
    <w:div w:id="820929608">
      <w:bodyDiv w:val="1"/>
      <w:marLeft w:val="0"/>
      <w:marRight w:val="0"/>
      <w:marTop w:val="0"/>
      <w:marBottom w:val="0"/>
      <w:divBdr>
        <w:top w:val="none" w:sz="0" w:space="0" w:color="auto"/>
        <w:left w:val="none" w:sz="0" w:space="0" w:color="auto"/>
        <w:bottom w:val="none" w:sz="0" w:space="0" w:color="auto"/>
        <w:right w:val="none" w:sz="0" w:space="0" w:color="auto"/>
      </w:divBdr>
    </w:div>
    <w:div w:id="971593421">
      <w:bodyDiv w:val="1"/>
      <w:marLeft w:val="0"/>
      <w:marRight w:val="0"/>
      <w:marTop w:val="0"/>
      <w:marBottom w:val="0"/>
      <w:divBdr>
        <w:top w:val="none" w:sz="0" w:space="0" w:color="auto"/>
        <w:left w:val="none" w:sz="0" w:space="0" w:color="auto"/>
        <w:bottom w:val="none" w:sz="0" w:space="0" w:color="auto"/>
        <w:right w:val="none" w:sz="0" w:space="0" w:color="auto"/>
      </w:divBdr>
    </w:div>
    <w:div w:id="977876036">
      <w:bodyDiv w:val="1"/>
      <w:marLeft w:val="0"/>
      <w:marRight w:val="0"/>
      <w:marTop w:val="0"/>
      <w:marBottom w:val="0"/>
      <w:divBdr>
        <w:top w:val="none" w:sz="0" w:space="0" w:color="auto"/>
        <w:left w:val="none" w:sz="0" w:space="0" w:color="auto"/>
        <w:bottom w:val="none" w:sz="0" w:space="0" w:color="auto"/>
        <w:right w:val="none" w:sz="0" w:space="0" w:color="auto"/>
      </w:divBdr>
    </w:div>
    <w:div w:id="1036199982">
      <w:bodyDiv w:val="1"/>
      <w:marLeft w:val="0"/>
      <w:marRight w:val="0"/>
      <w:marTop w:val="0"/>
      <w:marBottom w:val="0"/>
      <w:divBdr>
        <w:top w:val="none" w:sz="0" w:space="0" w:color="auto"/>
        <w:left w:val="none" w:sz="0" w:space="0" w:color="auto"/>
        <w:bottom w:val="none" w:sz="0" w:space="0" w:color="auto"/>
        <w:right w:val="none" w:sz="0" w:space="0" w:color="auto"/>
      </w:divBdr>
    </w:div>
    <w:div w:id="1078526141">
      <w:bodyDiv w:val="1"/>
      <w:marLeft w:val="0"/>
      <w:marRight w:val="0"/>
      <w:marTop w:val="0"/>
      <w:marBottom w:val="0"/>
      <w:divBdr>
        <w:top w:val="none" w:sz="0" w:space="0" w:color="auto"/>
        <w:left w:val="none" w:sz="0" w:space="0" w:color="auto"/>
        <w:bottom w:val="none" w:sz="0" w:space="0" w:color="auto"/>
        <w:right w:val="none" w:sz="0" w:space="0" w:color="auto"/>
      </w:divBdr>
    </w:div>
    <w:div w:id="1109858917">
      <w:bodyDiv w:val="1"/>
      <w:marLeft w:val="0"/>
      <w:marRight w:val="0"/>
      <w:marTop w:val="0"/>
      <w:marBottom w:val="0"/>
      <w:divBdr>
        <w:top w:val="none" w:sz="0" w:space="0" w:color="auto"/>
        <w:left w:val="none" w:sz="0" w:space="0" w:color="auto"/>
        <w:bottom w:val="none" w:sz="0" w:space="0" w:color="auto"/>
        <w:right w:val="none" w:sz="0" w:space="0" w:color="auto"/>
      </w:divBdr>
    </w:div>
    <w:div w:id="1155956308">
      <w:bodyDiv w:val="1"/>
      <w:marLeft w:val="0"/>
      <w:marRight w:val="0"/>
      <w:marTop w:val="0"/>
      <w:marBottom w:val="0"/>
      <w:divBdr>
        <w:top w:val="none" w:sz="0" w:space="0" w:color="auto"/>
        <w:left w:val="none" w:sz="0" w:space="0" w:color="auto"/>
        <w:bottom w:val="none" w:sz="0" w:space="0" w:color="auto"/>
        <w:right w:val="none" w:sz="0" w:space="0" w:color="auto"/>
      </w:divBdr>
    </w:div>
    <w:div w:id="1159736033">
      <w:bodyDiv w:val="1"/>
      <w:marLeft w:val="0"/>
      <w:marRight w:val="0"/>
      <w:marTop w:val="0"/>
      <w:marBottom w:val="0"/>
      <w:divBdr>
        <w:top w:val="none" w:sz="0" w:space="0" w:color="auto"/>
        <w:left w:val="none" w:sz="0" w:space="0" w:color="auto"/>
        <w:bottom w:val="none" w:sz="0" w:space="0" w:color="auto"/>
        <w:right w:val="none" w:sz="0" w:space="0" w:color="auto"/>
      </w:divBdr>
      <w:divsChild>
        <w:div w:id="1813979034">
          <w:marLeft w:val="0"/>
          <w:marRight w:val="0"/>
          <w:marTop w:val="0"/>
          <w:marBottom w:val="0"/>
          <w:divBdr>
            <w:top w:val="none" w:sz="0" w:space="0" w:color="auto"/>
            <w:left w:val="none" w:sz="0" w:space="0" w:color="auto"/>
            <w:bottom w:val="none" w:sz="0" w:space="0" w:color="auto"/>
            <w:right w:val="none" w:sz="0" w:space="0" w:color="auto"/>
          </w:divBdr>
        </w:div>
        <w:div w:id="2057509826">
          <w:marLeft w:val="0"/>
          <w:marRight w:val="0"/>
          <w:marTop w:val="0"/>
          <w:marBottom w:val="0"/>
          <w:divBdr>
            <w:top w:val="none" w:sz="0" w:space="0" w:color="auto"/>
            <w:left w:val="none" w:sz="0" w:space="0" w:color="auto"/>
            <w:bottom w:val="none" w:sz="0" w:space="0" w:color="auto"/>
            <w:right w:val="none" w:sz="0" w:space="0" w:color="auto"/>
          </w:divBdr>
        </w:div>
        <w:div w:id="2098595511">
          <w:marLeft w:val="0"/>
          <w:marRight w:val="0"/>
          <w:marTop w:val="0"/>
          <w:marBottom w:val="0"/>
          <w:divBdr>
            <w:top w:val="none" w:sz="0" w:space="0" w:color="auto"/>
            <w:left w:val="none" w:sz="0" w:space="0" w:color="auto"/>
            <w:bottom w:val="none" w:sz="0" w:space="0" w:color="auto"/>
            <w:right w:val="none" w:sz="0" w:space="0" w:color="auto"/>
          </w:divBdr>
        </w:div>
        <w:div w:id="470707635">
          <w:marLeft w:val="0"/>
          <w:marRight w:val="0"/>
          <w:marTop w:val="0"/>
          <w:marBottom w:val="0"/>
          <w:divBdr>
            <w:top w:val="none" w:sz="0" w:space="0" w:color="auto"/>
            <w:left w:val="none" w:sz="0" w:space="0" w:color="auto"/>
            <w:bottom w:val="none" w:sz="0" w:space="0" w:color="auto"/>
            <w:right w:val="none" w:sz="0" w:space="0" w:color="auto"/>
          </w:divBdr>
        </w:div>
        <w:div w:id="565384856">
          <w:marLeft w:val="0"/>
          <w:marRight w:val="0"/>
          <w:marTop w:val="0"/>
          <w:marBottom w:val="0"/>
          <w:divBdr>
            <w:top w:val="none" w:sz="0" w:space="0" w:color="auto"/>
            <w:left w:val="none" w:sz="0" w:space="0" w:color="auto"/>
            <w:bottom w:val="none" w:sz="0" w:space="0" w:color="auto"/>
            <w:right w:val="none" w:sz="0" w:space="0" w:color="auto"/>
          </w:divBdr>
        </w:div>
        <w:div w:id="1291590871">
          <w:marLeft w:val="0"/>
          <w:marRight w:val="0"/>
          <w:marTop w:val="0"/>
          <w:marBottom w:val="0"/>
          <w:divBdr>
            <w:top w:val="none" w:sz="0" w:space="0" w:color="auto"/>
            <w:left w:val="none" w:sz="0" w:space="0" w:color="auto"/>
            <w:bottom w:val="none" w:sz="0" w:space="0" w:color="auto"/>
            <w:right w:val="none" w:sz="0" w:space="0" w:color="auto"/>
          </w:divBdr>
        </w:div>
        <w:div w:id="2092193299">
          <w:marLeft w:val="0"/>
          <w:marRight w:val="0"/>
          <w:marTop w:val="0"/>
          <w:marBottom w:val="0"/>
          <w:divBdr>
            <w:top w:val="none" w:sz="0" w:space="0" w:color="auto"/>
            <w:left w:val="none" w:sz="0" w:space="0" w:color="auto"/>
            <w:bottom w:val="none" w:sz="0" w:space="0" w:color="auto"/>
            <w:right w:val="none" w:sz="0" w:space="0" w:color="auto"/>
          </w:divBdr>
        </w:div>
      </w:divsChild>
    </w:div>
    <w:div w:id="1161890677">
      <w:bodyDiv w:val="1"/>
      <w:marLeft w:val="0"/>
      <w:marRight w:val="0"/>
      <w:marTop w:val="0"/>
      <w:marBottom w:val="0"/>
      <w:divBdr>
        <w:top w:val="none" w:sz="0" w:space="0" w:color="auto"/>
        <w:left w:val="none" w:sz="0" w:space="0" w:color="auto"/>
        <w:bottom w:val="none" w:sz="0" w:space="0" w:color="auto"/>
        <w:right w:val="none" w:sz="0" w:space="0" w:color="auto"/>
      </w:divBdr>
    </w:div>
    <w:div w:id="1185360457">
      <w:bodyDiv w:val="1"/>
      <w:marLeft w:val="0"/>
      <w:marRight w:val="0"/>
      <w:marTop w:val="0"/>
      <w:marBottom w:val="0"/>
      <w:divBdr>
        <w:top w:val="none" w:sz="0" w:space="0" w:color="auto"/>
        <w:left w:val="none" w:sz="0" w:space="0" w:color="auto"/>
        <w:bottom w:val="none" w:sz="0" w:space="0" w:color="auto"/>
        <w:right w:val="none" w:sz="0" w:space="0" w:color="auto"/>
      </w:divBdr>
    </w:div>
    <w:div w:id="1190608399">
      <w:bodyDiv w:val="1"/>
      <w:marLeft w:val="0"/>
      <w:marRight w:val="0"/>
      <w:marTop w:val="0"/>
      <w:marBottom w:val="0"/>
      <w:divBdr>
        <w:top w:val="none" w:sz="0" w:space="0" w:color="auto"/>
        <w:left w:val="none" w:sz="0" w:space="0" w:color="auto"/>
        <w:bottom w:val="none" w:sz="0" w:space="0" w:color="auto"/>
        <w:right w:val="none" w:sz="0" w:space="0" w:color="auto"/>
      </w:divBdr>
    </w:div>
    <w:div w:id="1239249013">
      <w:bodyDiv w:val="1"/>
      <w:marLeft w:val="0"/>
      <w:marRight w:val="0"/>
      <w:marTop w:val="0"/>
      <w:marBottom w:val="0"/>
      <w:divBdr>
        <w:top w:val="none" w:sz="0" w:space="0" w:color="auto"/>
        <w:left w:val="none" w:sz="0" w:space="0" w:color="auto"/>
        <w:bottom w:val="none" w:sz="0" w:space="0" w:color="auto"/>
        <w:right w:val="none" w:sz="0" w:space="0" w:color="auto"/>
      </w:divBdr>
    </w:div>
    <w:div w:id="1303150261">
      <w:bodyDiv w:val="1"/>
      <w:marLeft w:val="0"/>
      <w:marRight w:val="0"/>
      <w:marTop w:val="0"/>
      <w:marBottom w:val="0"/>
      <w:divBdr>
        <w:top w:val="none" w:sz="0" w:space="0" w:color="auto"/>
        <w:left w:val="none" w:sz="0" w:space="0" w:color="auto"/>
        <w:bottom w:val="none" w:sz="0" w:space="0" w:color="auto"/>
        <w:right w:val="none" w:sz="0" w:space="0" w:color="auto"/>
      </w:divBdr>
    </w:div>
    <w:div w:id="1315796811">
      <w:bodyDiv w:val="1"/>
      <w:marLeft w:val="0"/>
      <w:marRight w:val="0"/>
      <w:marTop w:val="0"/>
      <w:marBottom w:val="0"/>
      <w:divBdr>
        <w:top w:val="none" w:sz="0" w:space="0" w:color="auto"/>
        <w:left w:val="none" w:sz="0" w:space="0" w:color="auto"/>
        <w:bottom w:val="none" w:sz="0" w:space="0" w:color="auto"/>
        <w:right w:val="none" w:sz="0" w:space="0" w:color="auto"/>
      </w:divBdr>
    </w:div>
    <w:div w:id="1332567276">
      <w:bodyDiv w:val="1"/>
      <w:marLeft w:val="0"/>
      <w:marRight w:val="0"/>
      <w:marTop w:val="0"/>
      <w:marBottom w:val="0"/>
      <w:divBdr>
        <w:top w:val="none" w:sz="0" w:space="0" w:color="auto"/>
        <w:left w:val="none" w:sz="0" w:space="0" w:color="auto"/>
        <w:bottom w:val="none" w:sz="0" w:space="0" w:color="auto"/>
        <w:right w:val="none" w:sz="0" w:space="0" w:color="auto"/>
      </w:divBdr>
    </w:div>
    <w:div w:id="1358040669">
      <w:bodyDiv w:val="1"/>
      <w:marLeft w:val="0"/>
      <w:marRight w:val="0"/>
      <w:marTop w:val="0"/>
      <w:marBottom w:val="0"/>
      <w:divBdr>
        <w:top w:val="none" w:sz="0" w:space="0" w:color="auto"/>
        <w:left w:val="none" w:sz="0" w:space="0" w:color="auto"/>
        <w:bottom w:val="none" w:sz="0" w:space="0" w:color="auto"/>
        <w:right w:val="none" w:sz="0" w:space="0" w:color="auto"/>
      </w:divBdr>
    </w:div>
    <w:div w:id="1376000331">
      <w:bodyDiv w:val="1"/>
      <w:marLeft w:val="0"/>
      <w:marRight w:val="0"/>
      <w:marTop w:val="0"/>
      <w:marBottom w:val="0"/>
      <w:divBdr>
        <w:top w:val="none" w:sz="0" w:space="0" w:color="auto"/>
        <w:left w:val="none" w:sz="0" w:space="0" w:color="auto"/>
        <w:bottom w:val="none" w:sz="0" w:space="0" w:color="auto"/>
        <w:right w:val="none" w:sz="0" w:space="0" w:color="auto"/>
      </w:divBdr>
    </w:div>
    <w:div w:id="1396930419">
      <w:bodyDiv w:val="1"/>
      <w:marLeft w:val="0"/>
      <w:marRight w:val="0"/>
      <w:marTop w:val="0"/>
      <w:marBottom w:val="0"/>
      <w:divBdr>
        <w:top w:val="none" w:sz="0" w:space="0" w:color="auto"/>
        <w:left w:val="none" w:sz="0" w:space="0" w:color="auto"/>
        <w:bottom w:val="none" w:sz="0" w:space="0" w:color="auto"/>
        <w:right w:val="none" w:sz="0" w:space="0" w:color="auto"/>
      </w:divBdr>
    </w:div>
    <w:div w:id="1424185110">
      <w:bodyDiv w:val="1"/>
      <w:marLeft w:val="0"/>
      <w:marRight w:val="0"/>
      <w:marTop w:val="0"/>
      <w:marBottom w:val="0"/>
      <w:divBdr>
        <w:top w:val="none" w:sz="0" w:space="0" w:color="auto"/>
        <w:left w:val="none" w:sz="0" w:space="0" w:color="auto"/>
        <w:bottom w:val="none" w:sz="0" w:space="0" w:color="auto"/>
        <w:right w:val="none" w:sz="0" w:space="0" w:color="auto"/>
      </w:divBdr>
    </w:div>
    <w:div w:id="1552039826">
      <w:bodyDiv w:val="1"/>
      <w:marLeft w:val="0"/>
      <w:marRight w:val="0"/>
      <w:marTop w:val="0"/>
      <w:marBottom w:val="0"/>
      <w:divBdr>
        <w:top w:val="none" w:sz="0" w:space="0" w:color="auto"/>
        <w:left w:val="none" w:sz="0" w:space="0" w:color="auto"/>
        <w:bottom w:val="none" w:sz="0" w:space="0" w:color="auto"/>
        <w:right w:val="none" w:sz="0" w:space="0" w:color="auto"/>
      </w:divBdr>
    </w:div>
    <w:div w:id="1576471575">
      <w:bodyDiv w:val="1"/>
      <w:marLeft w:val="0"/>
      <w:marRight w:val="0"/>
      <w:marTop w:val="0"/>
      <w:marBottom w:val="0"/>
      <w:divBdr>
        <w:top w:val="none" w:sz="0" w:space="0" w:color="auto"/>
        <w:left w:val="none" w:sz="0" w:space="0" w:color="auto"/>
        <w:bottom w:val="none" w:sz="0" w:space="0" w:color="auto"/>
        <w:right w:val="none" w:sz="0" w:space="0" w:color="auto"/>
      </w:divBdr>
    </w:div>
    <w:div w:id="1641421870">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1887444858">
      <w:bodyDiv w:val="1"/>
      <w:marLeft w:val="0"/>
      <w:marRight w:val="0"/>
      <w:marTop w:val="0"/>
      <w:marBottom w:val="0"/>
      <w:divBdr>
        <w:top w:val="none" w:sz="0" w:space="0" w:color="auto"/>
        <w:left w:val="none" w:sz="0" w:space="0" w:color="auto"/>
        <w:bottom w:val="none" w:sz="0" w:space="0" w:color="auto"/>
        <w:right w:val="none" w:sz="0" w:space="0" w:color="auto"/>
      </w:divBdr>
    </w:div>
    <w:div w:id="1991671702">
      <w:bodyDiv w:val="1"/>
      <w:marLeft w:val="0"/>
      <w:marRight w:val="0"/>
      <w:marTop w:val="0"/>
      <w:marBottom w:val="0"/>
      <w:divBdr>
        <w:top w:val="none" w:sz="0" w:space="0" w:color="auto"/>
        <w:left w:val="none" w:sz="0" w:space="0" w:color="auto"/>
        <w:bottom w:val="none" w:sz="0" w:space="0" w:color="auto"/>
        <w:right w:val="none" w:sz="0" w:space="0" w:color="auto"/>
      </w:divBdr>
    </w:div>
    <w:div w:id="2012175836">
      <w:bodyDiv w:val="1"/>
      <w:marLeft w:val="0"/>
      <w:marRight w:val="0"/>
      <w:marTop w:val="0"/>
      <w:marBottom w:val="0"/>
      <w:divBdr>
        <w:top w:val="none" w:sz="0" w:space="0" w:color="auto"/>
        <w:left w:val="none" w:sz="0" w:space="0" w:color="auto"/>
        <w:bottom w:val="none" w:sz="0" w:space="0" w:color="auto"/>
        <w:right w:val="none" w:sz="0" w:space="0" w:color="auto"/>
      </w:divBdr>
    </w:div>
    <w:div w:id="2083484008">
      <w:bodyDiv w:val="1"/>
      <w:marLeft w:val="0"/>
      <w:marRight w:val="0"/>
      <w:marTop w:val="0"/>
      <w:marBottom w:val="0"/>
      <w:divBdr>
        <w:top w:val="none" w:sz="0" w:space="0" w:color="auto"/>
        <w:left w:val="none" w:sz="0" w:space="0" w:color="auto"/>
        <w:bottom w:val="none" w:sz="0" w:space="0" w:color="auto"/>
        <w:right w:val="none" w:sz="0" w:space="0" w:color="auto"/>
      </w:divBdr>
    </w:div>
    <w:div w:id="20868293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www.defensoria.gob.ve/lista.asp?sec=1404080002" TargetMode="External"/><Relationship Id="rId13" Type="http://schemas.openxmlformats.org/officeDocument/2006/relationships/hyperlink" Target="http://joomla.corteidh.or.cr:8080/joomla/es/casos-contenciosos/38-jurisprudencia/2120-corte-idh-caso-j-vs-peru-excepcion-preliminar-fondo-reparaciones-y-costas-sentencia-de-27-de-noviembre-de-2013-serie-c-no-275" TargetMode="External"/><Relationship Id="rId3" Type="http://schemas.openxmlformats.org/officeDocument/2006/relationships/hyperlink" Target="https://www.derechos.org.ve/" TargetMode="External"/><Relationship Id="rId7" Type="http://schemas.openxmlformats.org/officeDocument/2006/relationships/hyperlink" Target="https://issuu.com/ddhhcofavic/docs/grupos_parapoliciales_en_vzla_cofavic" TargetMode="External"/><Relationship Id="rId12" Type="http://schemas.openxmlformats.org/officeDocument/2006/relationships/hyperlink" Target="http://joomla.corteidh.or.cr:8080/joomla/es/casos-contenciosos/38-jurisprudencia/2120-corte-idh-caso-j-vs-peru-excepcion-preliminar-fondo-reparaciones-y-costas-sentencia-de-27-de-noviembre-de-2013-serie-c-no-275" TargetMode="External"/><Relationship Id="rId17" Type="http://schemas.openxmlformats.org/officeDocument/2006/relationships/hyperlink" Target="http://joomla.corteidh.or.cr:8080/joomla/es/casos-contenciosos/38-jurisprudencia/772-corte-idh-caso-heliodoro-portugal-vs-panama-excepciones-preliminares-fondo-reparaciones-y-costas-sentencia-de-12-de-agosto-de-2008-serie-c-no-186" TargetMode="External"/><Relationship Id="rId2" Type="http://schemas.openxmlformats.org/officeDocument/2006/relationships/hyperlink" Target="http://www.amnesty.org/es/library/asset/AMR53/008/2000/es/2f84ad73-de10-11dd-a3e1-93acb0aa12d8/amr530082000es.html;" TargetMode="External"/><Relationship Id="rId16" Type="http://schemas.openxmlformats.org/officeDocument/2006/relationships/hyperlink" Target="http://joomla.corteidh.or.cr:8080/joomla/es/jurisprudencia-oc-2/38-jurisprudencia/728-corte-idh-caso-baldeon-garcia-vs-peru-fondo-reparaciones-y-costas-sentencia-de-6-de-abril-de-2006-serie-c-no-147" TargetMode="External"/><Relationship Id="rId1" Type="http://schemas.openxmlformats.org/officeDocument/2006/relationships/hyperlink" Target="http://www.defensoria.gob.ve/lista.asp?sec=1404080002" TargetMode="External"/><Relationship Id="rId6" Type="http://schemas.openxmlformats.org/officeDocument/2006/relationships/hyperlink" Target="https://issuu.com/ddhhcofavic/docs/grupos_parapoliciales_en_vzla_cofavic" TargetMode="External"/><Relationship Id="rId11" Type="http://schemas.openxmlformats.org/officeDocument/2006/relationships/hyperlink" Target="https://www.youtube.com/watch?v=UoSV8cqCSyk&amp;t=2795s." TargetMode="External"/><Relationship Id="rId5" Type="http://schemas.openxmlformats.org/officeDocument/2006/relationships/hyperlink" Target="http://daccess-dds-ny.un.org/doc/UNDOC/GEN/N00/604/84/PDF/N0060484.pdf?OpenElement." TargetMode="External"/><Relationship Id="rId15" Type="http://schemas.openxmlformats.org/officeDocument/2006/relationships/hyperlink" Target="http://joomla.corteidh.or.cr:8080/joomla/es/jurisprudencia-oc-2/38-jurisprudencia/731-corte-idh-caso-de-las-masacres-de-ituango-vs-colombia-sentencia-de-1-de-julio-de-2006-serie-c-no-148" TargetMode="External"/><Relationship Id="rId10" Type="http://schemas.openxmlformats.org/officeDocument/2006/relationships/hyperlink" Target="https://www.youtube.com/watch?v=UoSV8cqCSyk&amp;t=2795s." TargetMode="External"/><Relationship Id="rId4" Type="http://schemas.openxmlformats.org/officeDocument/2006/relationships/hyperlink" Target="https://issuu.com/ddhhcofavic/docs/grupos_parapoliciales_en_vzla_cofavic" TargetMode="External"/><Relationship Id="rId9" Type="http://schemas.openxmlformats.org/officeDocument/2006/relationships/hyperlink" Target="https://issuu.com/ddhhcofavic/docs/grupos_parapoliciales_en_vzla_cofavic" TargetMode="External"/><Relationship Id="rId14" Type="http://schemas.openxmlformats.org/officeDocument/2006/relationships/hyperlink" Target="http://joomla.corteidh.or.cr:8080/joomla/es/jurisprudencia-oc-2/38-jurisprudencia/741-corte-idh-caso-vargas-areco-vs-paraguay-sentencia-de-26-de-septiembre-de-2006-serie-c-no-1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ED441-0D35-4B08-A7E8-98E9F222C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11255</Words>
  <Characters>64158</Characters>
  <Application>Microsoft Office Word</Application>
  <DocSecurity>0</DocSecurity>
  <Lines>534</Lines>
  <Paragraphs>150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2019-02-27T20:12:00Z</cp:lastPrinted>
  <dcterms:created xsi:type="dcterms:W3CDTF">2019-07-17T18:15:00Z</dcterms:created>
  <dcterms:modified xsi:type="dcterms:W3CDTF">2019-07-19T16:37:00Z</dcterms:modified>
</cp:coreProperties>
</file>