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B8A" w:rsidRPr="000955E8" w:rsidRDefault="00563B8A" w:rsidP="00192C1D">
      <w:pPr>
        <w:suppressAutoHyphens/>
        <w:spacing w:after="0" w:line="240" w:lineRule="auto"/>
        <w:rPr>
          <w:rFonts w:cs="Arial"/>
          <w:lang w:val="es-CO"/>
        </w:rPr>
      </w:pPr>
      <w:bookmarkStart w:id="0" w:name="_GoBack"/>
      <w:bookmarkEnd w:id="0"/>
    </w:p>
    <w:p w:rsidR="00192C1D" w:rsidRPr="000955E8" w:rsidRDefault="00192C1D" w:rsidP="00192C1D">
      <w:pPr>
        <w:suppressAutoHyphens/>
        <w:spacing w:after="0" w:line="240" w:lineRule="auto"/>
        <w:rPr>
          <w:rFonts w:cs="Arial"/>
          <w:lang w:val="es-CO"/>
        </w:rPr>
      </w:pPr>
    </w:p>
    <w:p w:rsidR="00192C1D" w:rsidRPr="000955E8" w:rsidRDefault="00192C1D" w:rsidP="00192C1D">
      <w:pPr>
        <w:suppressAutoHyphens/>
        <w:spacing w:after="0" w:line="240" w:lineRule="auto"/>
        <w:rPr>
          <w:rFonts w:cs="Arial"/>
          <w:lang w:val="es-CO"/>
        </w:rPr>
      </w:pPr>
    </w:p>
    <w:p w:rsidR="002D20E1" w:rsidRPr="000955E8" w:rsidRDefault="00B363F2" w:rsidP="000955E8">
      <w:pPr>
        <w:suppressAutoHyphens/>
        <w:spacing w:after="0" w:line="240" w:lineRule="auto"/>
        <w:ind w:left="5760" w:firstLine="720"/>
        <w:jc w:val="right"/>
        <w:rPr>
          <w:rFonts w:cs="Arial"/>
          <w:b/>
          <w:lang w:val="pt-BR"/>
        </w:rPr>
      </w:pPr>
      <w:r w:rsidRPr="000955E8">
        <w:rPr>
          <w:rFonts w:cs="Arial"/>
          <w:lang w:val="pt-BR"/>
        </w:rPr>
        <w:t>18</w:t>
      </w:r>
      <w:r w:rsidR="002D20E1" w:rsidRPr="000955E8">
        <w:rPr>
          <w:rFonts w:cs="Arial"/>
          <w:lang w:val="pt-BR"/>
        </w:rPr>
        <w:t xml:space="preserve"> de</w:t>
      </w:r>
      <w:r w:rsidR="00DB14E2" w:rsidRPr="000955E8">
        <w:rPr>
          <w:rFonts w:cs="Arial"/>
          <w:lang w:val="pt-BR"/>
        </w:rPr>
        <w:t xml:space="preserve"> </w:t>
      </w:r>
      <w:r w:rsidRPr="000955E8">
        <w:rPr>
          <w:rFonts w:cs="Arial"/>
          <w:lang w:val="pt-BR"/>
        </w:rPr>
        <w:t xml:space="preserve">abril </w:t>
      </w:r>
      <w:r w:rsidR="002D20E1" w:rsidRPr="000955E8">
        <w:rPr>
          <w:rFonts w:cs="Arial"/>
          <w:lang w:val="pt-BR"/>
        </w:rPr>
        <w:t>de 201</w:t>
      </w:r>
      <w:r w:rsidRPr="000955E8">
        <w:rPr>
          <w:rFonts w:cs="Arial"/>
          <w:lang w:val="pt-BR"/>
        </w:rPr>
        <w:t>9</w:t>
      </w:r>
    </w:p>
    <w:p w:rsidR="002D20E1" w:rsidRPr="000955E8" w:rsidRDefault="002D20E1" w:rsidP="00311BD2">
      <w:pPr>
        <w:widowControl w:val="0"/>
        <w:autoSpaceDE w:val="0"/>
        <w:autoSpaceDN w:val="0"/>
        <w:adjustRightInd w:val="0"/>
        <w:spacing w:after="0" w:line="240" w:lineRule="auto"/>
        <w:jc w:val="both"/>
        <w:rPr>
          <w:rFonts w:cs="Arial"/>
          <w:b/>
          <w:lang w:val="pt-BR"/>
        </w:rPr>
      </w:pPr>
      <w:r w:rsidRPr="000955E8">
        <w:rPr>
          <w:rFonts w:cs="Arial"/>
          <w:b/>
          <w:lang w:val="pt-BR"/>
        </w:rPr>
        <w:t>R</w:t>
      </w:r>
      <w:r w:rsidR="00192C1D" w:rsidRPr="000955E8">
        <w:rPr>
          <w:rFonts w:cs="Arial"/>
          <w:b/>
          <w:lang w:val="pt-BR"/>
        </w:rPr>
        <w:t>EF</w:t>
      </w:r>
      <w:r w:rsidRPr="000955E8">
        <w:rPr>
          <w:rFonts w:cs="Arial"/>
          <w:b/>
          <w:lang w:val="pt-BR"/>
        </w:rPr>
        <w:t>.:</w:t>
      </w:r>
      <w:bookmarkStart w:id="1" w:name="Peticion_n"/>
      <w:bookmarkEnd w:id="1"/>
      <w:r w:rsidRPr="000955E8">
        <w:rPr>
          <w:rFonts w:cs="Arial"/>
          <w:b/>
          <w:lang w:val="pt-BR"/>
        </w:rPr>
        <w:tab/>
        <w:t>Caso N</w:t>
      </w:r>
      <w:r w:rsidR="00387447" w:rsidRPr="000955E8">
        <w:rPr>
          <w:rFonts w:cs="Arial"/>
          <w:b/>
          <w:lang w:val="pt-BR"/>
        </w:rPr>
        <w:t>º</w:t>
      </w:r>
      <w:r w:rsidRPr="000955E8">
        <w:rPr>
          <w:rFonts w:cs="Arial"/>
          <w:b/>
          <w:lang w:val="pt-BR"/>
        </w:rPr>
        <w:t xml:space="preserve"> </w:t>
      </w:r>
      <w:r w:rsidRPr="000955E8">
        <w:rPr>
          <w:b/>
          <w:lang w:val="pt-BR"/>
        </w:rPr>
        <w:t>12.</w:t>
      </w:r>
      <w:r w:rsidR="00B363F2" w:rsidRPr="000955E8">
        <w:rPr>
          <w:b/>
          <w:lang w:val="pt-BR"/>
        </w:rPr>
        <w:t>906</w:t>
      </w:r>
    </w:p>
    <w:p w:rsidR="002D20E1" w:rsidRPr="000955E8" w:rsidRDefault="00B363F2" w:rsidP="00311BD2">
      <w:pPr>
        <w:widowControl w:val="0"/>
        <w:autoSpaceDE w:val="0"/>
        <w:autoSpaceDN w:val="0"/>
        <w:adjustRightInd w:val="0"/>
        <w:spacing w:after="0" w:line="240" w:lineRule="auto"/>
        <w:ind w:firstLine="720"/>
        <w:jc w:val="both"/>
        <w:rPr>
          <w:rFonts w:cs="Arial"/>
          <w:b/>
          <w:lang w:val="es-CO"/>
        </w:rPr>
      </w:pPr>
      <w:r w:rsidRPr="000955E8">
        <w:rPr>
          <w:rFonts w:cs="Arial"/>
          <w:b/>
          <w:lang w:val="es-CO"/>
        </w:rPr>
        <w:t xml:space="preserve">José Delfín Acosta Martínez y familiares </w:t>
      </w:r>
    </w:p>
    <w:p w:rsidR="002D20E1" w:rsidRPr="000955E8" w:rsidRDefault="00B363F2" w:rsidP="00311BD2">
      <w:pPr>
        <w:tabs>
          <w:tab w:val="left" w:pos="720"/>
          <w:tab w:val="center" w:pos="6480"/>
        </w:tabs>
        <w:spacing w:after="0" w:line="240" w:lineRule="auto"/>
        <w:ind w:left="720"/>
        <w:jc w:val="both"/>
        <w:rPr>
          <w:rFonts w:cs="Arial"/>
          <w:b/>
          <w:lang w:val="es-ES_tradnl"/>
        </w:rPr>
      </w:pPr>
      <w:r w:rsidRPr="000955E8">
        <w:rPr>
          <w:rFonts w:cs="Arial"/>
          <w:b/>
          <w:lang w:val="es-CR"/>
        </w:rPr>
        <w:t xml:space="preserve">Argentina </w:t>
      </w:r>
    </w:p>
    <w:p w:rsidR="00192C1D" w:rsidRDefault="00192C1D" w:rsidP="00311BD2">
      <w:pPr>
        <w:tabs>
          <w:tab w:val="left" w:pos="720"/>
          <w:tab w:val="center" w:pos="6480"/>
        </w:tabs>
        <w:spacing w:after="0" w:line="240" w:lineRule="auto"/>
        <w:jc w:val="both"/>
        <w:rPr>
          <w:rFonts w:cs="Arial"/>
          <w:lang w:val="es-PE"/>
        </w:rPr>
      </w:pPr>
    </w:p>
    <w:p w:rsidR="00387447" w:rsidRPr="000955E8" w:rsidRDefault="00387447" w:rsidP="00311BD2">
      <w:pPr>
        <w:tabs>
          <w:tab w:val="left" w:pos="720"/>
          <w:tab w:val="center" w:pos="6480"/>
        </w:tabs>
        <w:spacing w:after="0" w:line="240" w:lineRule="auto"/>
        <w:jc w:val="both"/>
        <w:rPr>
          <w:rFonts w:cs="Arial"/>
          <w:lang w:val="es-PE"/>
        </w:rPr>
      </w:pPr>
    </w:p>
    <w:p w:rsidR="002D20E1" w:rsidRPr="000955E8" w:rsidRDefault="002D20E1" w:rsidP="00311BD2">
      <w:pPr>
        <w:tabs>
          <w:tab w:val="left" w:pos="720"/>
          <w:tab w:val="center" w:pos="6480"/>
        </w:tabs>
        <w:spacing w:after="0" w:line="240" w:lineRule="auto"/>
        <w:jc w:val="both"/>
        <w:rPr>
          <w:rFonts w:cs="Arial"/>
          <w:lang w:val="es-PE"/>
        </w:rPr>
      </w:pPr>
      <w:r w:rsidRPr="000955E8">
        <w:rPr>
          <w:rFonts w:cs="Arial"/>
          <w:lang w:val="es-PE"/>
        </w:rPr>
        <w:t>Señor Secretario:</w:t>
      </w:r>
    </w:p>
    <w:p w:rsidR="002D20E1" w:rsidRPr="000955E8" w:rsidRDefault="002D20E1" w:rsidP="00311BD2">
      <w:pPr>
        <w:spacing w:after="0" w:line="240" w:lineRule="auto"/>
        <w:rPr>
          <w:rFonts w:cs="Arial"/>
          <w:lang w:val="es-CO"/>
        </w:rPr>
      </w:pPr>
    </w:p>
    <w:p w:rsidR="002D20E1" w:rsidRPr="000955E8" w:rsidRDefault="002D20E1" w:rsidP="00311BD2">
      <w:pPr>
        <w:widowControl w:val="0"/>
        <w:autoSpaceDE w:val="0"/>
        <w:autoSpaceDN w:val="0"/>
        <w:adjustRightInd w:val="0"/>
        <w:spacing w:after="0" w:line="240" w:lineRule="auto"/>
        <w:ind w:firstLine="720"/>
        <w:jc w:val="both"/>
        <w:rPr>
          <w:rFonts w:cs="Arial"/>
          <w:lang w:val="es-CO"/>
        </w:rPr>
      </w:pPr>
      <w:r w:rsidRPr="000955E8">
        <w:rPr>
          <w:lang w:val="es-CO"/>
        </w:rPr>
        <w:t>Tengo el agrado de dirigirme a usted</w:t>
      </w:r>
      <w:r w:rsidR="00613424">
        <w:rPr>
          <w:lang w:val="es-CO"/>
        </w:rPr>
        <w:t>,</w:t>
      </w:r>
      <w:r w:rsidRPr="000955E8">
        <w:rPr>
          <w:lang w:val="es-CO"/>
        </w:rPr>
        <w:t xml:space="preserve"> en nombre de la Comisión Interamericana de Derechos Humanos</w:t>
      </w:r>
      <w:r w:rsidR="00613424">
        <w:rPr>
          <w:lang w:val="es-CO"/>
        </w:rPr>
        <w:t>,</w:t>
      </w:r>
      <w:r w:rsidRPr="000955E8">
        <w:rPr>
          <w:lang w:val="es-CO"/>
        </w:rPr>
        <w:t xml:space="preserve"> con el objeto</w:t>
      </w:r>
      <w:r w:rsidRPr="000955E8">
        <w:rPr>
          <w:rFonts w:cs="Arial"/>
          <w:lang w:val="es-CO"/>
        </w:rPr>
        <w:t xml:space="preserve"> de someter a la jurisdicción de la Honorable Corte Interamericana de Derechos Humanos, el caso 12.</w:t>
      </w:r>
      <w:r w:rsidR="00B363F2" w:rsidRPr="000955E8">
        <w:rPr>
          <w:rFonts w:cs="Arial"/>
          <w:lang w:val="es-CO"/>
        </w:rPr>
        <w:t>906</w:t>
      </w:r>
      <w:r w:rsidRPr="000955E8">
        <w:rPr>
          <w:rFonts w:cs="Arial"/>
          <w:lang w:val="es-CO"/>
        </w:rPr>
        <w:t xml:space="preserve"> – </w:t>
      </w:r>
      <w:r w:rsidR="00B363F2" w:rsidRPr="000955E8">
        <w:rPr>
          <w:rFonts w:cs="Arial"/>
          <w:lang w:val="es-CO"/>
        </w:rPr>
        <w:t>José Delfín Acosta Martínez y familiares</w:t>
      </w:r>
      <w:r w:rsidR="009D3A5A" w:rsidRPr="000955E8">
        <w:rPr>
          <w:rFonts w:cs="Arial"/>
          <w:lang w:val="es-CO"/>
        </w:rPr>
        <w:t>,</w:t>
      </w:r>
      <w:r w:rsidR="00DD5613" w:rsidRPr="000955E8">
        <w:rPr>
          <w:rFonts w:cs="Arial"/>
          <w:lang w:val="es-CO"/>
        </w:rPr>
        <w:t xml:space="preserve"> </w:t>
      </w:r>
      <w:r w:rsidRPr="000955E8">
        <w:rPr>
          <w:rFonts w:cs="Arial"/>
          <w:lang w:val="es-CO"/>
        </w:rPr>
        <w:t>respecto de</w:t>
      </w:r>
      <w:r w:rsidR="0029798F" w:rsidRPr="000955E8">
        <w:rPr>
          <w:rFonts w:cs="Arial"/>
          <w:lang w:val="es-CO"/>
        </w:rPr>
        <w:t xml:space="preserve"> la República </w:t>
      </w:r>
      <w:r w:rsidR="00B363F2" w:rsidRPr="000955E8">
        <w:rPr>
          <w:rFonts w:cs="Arial"/>
          <w:lang w:val="es-CO"/>
        </w:rPr>
        <w:t xml:space="preserve">Argentina </w:t>
      </w:r>
      <w:r w:rsidRPr="000955E8">
        <w:rPr>
          <w:rFonts w:cs="Arial"/>
          <w:lang w:val="es-CO"/>
        </w:rPr>
        <w:t xml:space="preserve">(en adelante “el Estado”, “el Estado </w:t>
      </w:r>
      <w:r w:rsidR="00B363F2" w:rsidRPr="000955E8">
        <w:rPr>
          <w:rFonts w:cs="Arial"/>
          <w:lang w:val="es-CO"/>
        </w:rPr>
        <w:t>argentino</w:t>
      </w:r>
      <w:r w:rsidRPr="000955E8">
        <w:rPr>
          <w:rFonts w:cs="Arial"/>
          <w:lang w:val="es-CO"/>
        </w:rPr>
        <w:t>” o “</w:t>
      </w:r>
      <w:r w:rsidR="00B363F2" w:rsidRPr="000955E8">
        <w:rPr>
          <w:rFonts w:cs="Arial"/>
          <w:lang w:val="es-CO"/>
        </w:rPr>
        <w:t>Argentina</w:t>
      </w:r>
      <w:r w:rsidRPr="000955E8">
        <w:rPr>
          <w:rFonts w:cs="Arial"/>
          <w:lang w:val="es-CO"/>
        </w:rPr>
        <w:t xml:space="preserve">”). </w:t>
      </w:r>
    </w:p>
    <w:p w:rsidR="002D20E1" w:rsidRPr="000955E8" w:rsidRDefault="002D20E1" w:rsidP="00311BD2">
      <w:pPr>
        <w:spacing w:after="0" w:line="240" w:lineRule="auto"/>
        <w:jc w:val="both"/>
        <w:rPr>
          <w:rFonts w:cs="Arial"/>
          <w:lang w:val="es-CO"/>
        </w:rPr>
      </w:pPr>
    </w:p>
    <w:p w:rsidR="00B363F2" w:rsidRPr="000955E8" w:rsidRDefault="002D20E1" w:rsidP="00E25394">
      <w:pPr>
        <w:spacing w:after="0" w:line="240" w:lineRule="auto"/>
        <w:ind w:firstLine="720"/>
        <w:jc w:val="both"/>
        <w:rPr>
          <w:rFonts w:eastAsia="Cambria"/>
          <w:color w:val="000000"/>
          <w:u w:color="000000"/>
          <w:bdr w:val="nil"/>
          <w:lang w:val="es-MX" w:eastAsia="es-ES"/>
        </w:rPr>
      </w:pPr>
      <w:r w:rsidRPr="000955E8">
        <w:rPr>
          <w:lang w:val="es-ES"/>
        </w:rPr>
        <w:t xml:space="preserve">El caso se relaciona con </w:t>
      </w:r>
      <w:r w:rsidR="00563B8A" w:rsidRPr="000955E8">
        <w:rPr>
          <w:lang w:val="es-ES"/>
        </w:rPr>
        <w:t xml:space="preserve">la responsabilidad internacional del Estado de </w:t>
      </w:r>
      <w:r w:rsidR="00B363F2" w:rsidRPr="000955E8">
        <w:rPr>
          <w:lang w:val="es-ES"/>
        </w:rPr>
        <w:t xml:space="preserve">Argentina por </w:t>
      </w:r>
      <w:r w:rsidR="00B363F2" w:rsidRPr="000955E8">
        <w:rPr>
          <w:lang w:val="es-CO"/>
        </w:rPr>
        <w:t>la detención</w:t>
      </w:r>
      <w:r w:rsidR="00E25394" w:rsidRPr="000955E8">
        <w:rPr>
          <w:lang w:val="es-CO"/>
        </w:rPr>
        <w:t xml:space="preserve"> y posterior muerte </w:t>
      </w:r>
      <w:r w:rsidR="00B363F2" w:rsidRPr="000955E8">
        <w:rPr>
          <w:lang w:val="es-CO"/>
        </w:rPr>
        <w:t xml:space="preserve">del señor </w:t>
      </w:r>
      <w:r w:rsidR="00E25394" w:rsidRPr="000955E8">
        <w:rPr>
          <w:lang w:val="es-CO"/>
        </w:rPr>
        <w:t xml:space="preserve">José Delfín </w:t>
      </w:r>
      <w:r w:rsidR="00B363F2" w:rsidRPr="000955E8">
        <w:rPr>
          <w:lang w:val="es-CO"/>
        </w:rPr>
        <w:t>Acosta</w:t>
      </w:r>
      <w:r w:rsidR="008231F3" w:rsidRPr="000955E8">
        <w:rPr>
          <w:lang w:val="es-CO"/>
        </w:rPr>
        <w:t>,</w:t>
      </w:r>
      <w:r w:rsidR="00E25394" w:rsidRPr="000955E8">
        <w:rPr>
          <w:lang w:val="es-CO"/>
        </w:rPr>
        <w:t xml:space="preserve"> ocurridas el 5 de abril de 1996. </w:t>
      </w:r>
      <w:r w:rsidR="00613424">
        <w:rPr>
          <w:lang w:val="es-CO"/>
        </w:rPr>
        <w:t xml:space="preserve"> </w:t>
      </w:r>
      <w:r w:rsidR="00E25394" w:rsidRPr="000955E8">
        <w:rPr>
          <w:lang w:val="es-CO"/>
        </w:rPr>
        <w:t xml:space="preserve">El señor Acosta </w:t>
      </w:r>
      <w:r w:rsidR="00B363F2" w:rsidRPr="000955E8">
        <w:rPr>
          <w:lang w:val="es-CO"/>
        </w:rPr>
        <w:t xml:space="preserve">era afrodescendiente y de nacionalidad uruguaya. </w:t>
      </w:r>
      <w:r w:rsidR="00E25394" w:rsidRPr="000955E8">
        <w:rPr>
          <w:lang w:val="es-CO"/>
        </w:rPr>
        <w:t>L</w:t>
      </w:r>
      <w:r w:rsidR="00B363F2" w:rsidRPr="000955E8">
        <w:rPr>
          <w:rFonts w:eastAsia="MS Mincho"/>
          <w:lang w:val="es-CO"/>
        </w:rPr>
        <w:t xml:space="preserve">a CIDH advirtió que la detención no se produjo como consecuencia de un mandato escrito de autoridad competente, sino con base en una supuesta denuncia anónima y, según el Estado, específicamente con base en un “edicto de ebriedad”. </w:t>
      </w:r>
      <w:r w:rsidR="00613424">
        <w:rPr>
          <w:rFonts w:eastAsia="MS Mincho"/>
          <w:lang w:val="es-CO"/>
        </w:rPr>
        <w:t xml:space="preserve"> </w:t>
      </w:r>
      <w:r w:rsidR="00B363F2" w:rsidRPr="000955E8">
        <w:rPr>
          <w:rFonts w:eastAsia="MS Mincho"/>
          <w:lang w:val="es-CO"/>
        </w:rPr>
        <w:t xml:space="preserve">La Comisión destacó la ausencia de razones </w:t>
      </w:r>
      <w:r w:rsidR="00E25394" w:rsidRPr="000955E8">
        <w:rPr>
          <w:rFonts w:eastAsia="MS Mincho"/>
          <w:lang w:val="es-CO"/>
        </w:rPr>
        <w:t>objetivas para justificar la detención</w:t>
      </w:r>
      <w:r w:rsidR="004B0BB5" w:rsidRPr="000955E8">
        <w:rPr>
          <w:rFonts w:eastAsia="MS Mincho"/>
          <w:lang w:val="es-CO"/>
        </w:rPr>
        <w:t xml:space="preserve"> aún después de </w:t>
      </w:r>
      <w:r w:rsidR="00B363F2" w:rsidRPr="000955E8">
        <w:rPr>
          <w:rFonts w:eastAsia="MS Mincho"/>
          <w:lang w:val="es-CO"/>
        </w:rPr>
        <w:t xml:space="preserve">confirmar que la presunta víctima no portaba armas y constatar que </w:t>
      </w:r>
      <w:r w:rsidR="008231F3" w:rsidRPr="000955E8">
        <w:rPr>
          <w:rFonts w:eastAsia="MS Mincho"/>
          <w:lang w:val="es-CO"/>
        </w:rPr>
        <w:t>“</w:t>
      </w:r>
      <w:r w:rsidR="00B363F2" w:rsidRPr="000955E8">
        <w:rPr>
          <w:rFonts w:eastAsia="MS Mincho"/>
          <w:lang w:val="es-CO"/>
        </w:rPr>
        <w:t>no poseía impedimento restrictivo de libertad</w:t>
      </w:r>
      <w:r w:rsidR="008231F3" w:rsidRPr="000955E8">
        <w:rPr>
          <w:rFonts w:eastAsia="MS Mincho"/>
          <w:lang w:val="es-CO"/>
        </w:rPr>
        <w:t>”</w:t>
      </w:r>
      <w:r w:rsidR="004B0BB5" w:rsidRPr="000955E8">
        <w:rPr>
          <w:rFonts w:eastAsia="MS Mincho"/>
          <w:lang w:val="es-CO"/>
        </w:rPr>
        <w:t>.</w:t>
      </w:r>
      <w:r w:rsidR="00B363F2" w:rsidRPr="000955E8">
        <w:rPr>
          <w:rFonts w:eastAsia="MS Mincho"/>
          <w:lang w:val="es-CO"/>
        </w:rPr>
        <w:t xml:space="preserve"> </w:t>
      </w:r>
      <w:r w:rsidR="00613424">
        <w:rPr>
          <w:rFonts w:eastAsia="MS Mincho"/>
          <w:lang w:val="es-CO"/>
        </w:rPr>
        <w:t xml:space="preserve"> </w:t>
      </w:r>
      <w:r w:rsidR="007A5668" w:rsidRPr="000955E8">
        <w:rPr>
          <w:rFonts w:eastAsia="MS Mincho"/>
          <w:lang w:val="es-CO"/>
        </w:rPr>
        <w:t>S</w:t>
      </w:r>
      <w:r w:rsidR="00B363F2" w:rsidRPr="000955E8">
        <w:rPr>
          <w:rFonts w:eastAsia="MS Mincho"/>
          <w:lang w:val="es-CO"/>
        </w:rPr>
        <w:t xml:space="preserve">ubrayó que las normas que facultan a la policía a privar de libertad a una persona con base en sospechas y por razones de seguridad ciudadana, si no están revestidas de las debidas salvaguardas para asegurar su objetividad, terminan siendo utilizadas arbitrariamente y con base en prejuicios y estereotipos respecto de ciertos grupos que coinciden con aquellos históricamente discriminados, como lo son las personas afrodescendientes. </w:t>
      </w:r>
      <w:r w:rsidR="008231F3" w:rsidRPr="000955E8">
        <w:rPr>
          <w:rFonts w:eastAsia="MS Mincho"/>
          <w:lang w:val="es-CO"/>
        </w:rPr>
        <w:t xml:space="preserve"> Con base en lo anterior, l</w:t>
      </w:r>
      <w:r w:rsidR="00B363F2" w:rsidRPr="000955E8">
        <w:rPr>
          <w:rFonts w:eastAsia="MS Mincho"/>
          <w:lang w:val="es-CO"/>
        </w:rPr>
        <w:t xml:space="preserve">a Comisión determinó que </w:t>
      </w:r>
      <w:r w:rsidR="004B0BB5" w:rsidRPr="000955E8">
        <w:rPr>
          <w:rFonts w:eastAsia="MS Mincho"/>
          <w:lang w:val="es-CO"/>
        </w:rPr>
        <w:t xml:space="preserve">la </w:t>
      </w:r>
      <w:r w:rsidR="00B363F2" w:rsidRPr="000955E8">
        <w:rPr>
          <w:rFonts w:eastAsia="MS Mincho"/>
          <w:lang w:val="es-CO"/>
        </w:rPr>
        <w:t>detención fue</w:t>
      </w:r>
      <w:r w:rsidR="004B0BB5" w:rsidRPr="000955E8">
        <w:rPr>
          <w:rFonts w:eastAsia="MS Mincho"/>
          <w:lang w:val="es-CO"/>
        </w:rPr>
        <w:t xml:space="preserve"> ilegal,</w:t>
      </w:r>
      <w:r w:rsidR="00B363F2" w:rsidRPr="000955E8">
        <w:rPr>
          <w:rFonts w:eastAsia="MS Mincho"/>
          <w:lang w:val="es-CO"/>
        </w:rPr>
        <w:t xml:space="preserve"> arbitraria y discriminatoria.</w:t>
      </w:r>
    </w:p>
    <w:p w:rsidR="00B363F2" w:rsidRPr="000955E8" w:rsidRDefault="00B363F2" w:rsidP="00B363F2">
      <w:pPr>
        <w:pBdr>
          <w:top w:val="nil"/>
          <w:left w:val="nil"/>
          <w:bottom w:val="nil"/>
          <w:right w:val="nil"/>
          <w:between w:val="nil"/>
          <w:bar w:val="nil"/>
        </w:pBdr>
        <w:spacing w:after="0" w:line="240" w:lineRule="auto"/>
        <w:jc w:val="both"/>
        <w:rPr>
          <w:lang w:val="es-MX"/>
        </w:rPr>
      </w:pPr>
    </w:p>
    <w:p w:rsidR="00B363F2" w:rsidRPr="000955E8" w:rsidRDefault="00B363F2" w:rsidP="00B363F2">
      <w:pPr>
        <w:spacing w:after="0" w:line="240" w:lineRule="auto"/>
        <w:ind w:firstLine="720"/>
        <w:jc w:val="both"/>
        <w:rPr>
          <w:lang w:val="es-MX"/>
        </w:rPr>
      </w:pPr>
      <w:r w:rsidRPr="000955E8">
        <w:rPr>
          <w:lang w:val="es-MX"/>
        </w:rPr>
        <w:t xml:space="preserve">La Comisión consideró que a la luz de los estándares interamericanos, </w:t>
      </w:r>
      <w:r w:rsidR="004B0BB5" w:rsidRPr="000955E8">
        <w:rPr>
          <w:lang w:val="es-MX"/>
        </w:rPr>
        <w:t xml:space="preserve">toda vez que la muerte del señor Acosta ocurrió </w:t>
      </w:r>
      <w:r w:rsidRPr="000955E8">
        <w:rPr>
          <w:lang w:val="es-MX"/>
        </w:rPr>
        <w:t>bajo custodia</w:t>
      </w:r>
      <w:r w:rsidR="004B0BB5" w:rsidRPr="000955E8">
        <w:rPr>
          <w:lang w:val="es-MX"/>
        </w:rPr>
        <w:t xml:space="preserve"> del Estado</w:t>
      </w:r>
      <w:r w:rsidRPr="000955E8">
        <w:rPr>
          <w:lang w:val="es-MX"/>
        </w:rPr>
        <w:t>, tanto las lesiones como la muerte deben presumirse</w:t>
      </w:r>
      <w:r w:rsidR="00557F1E" w:rsidRPr="000955E8">
        <w:rPr>
          <w:lang w:val="es-MX"/>
        </w:rPr>
        <w:t xml:space="preserve"> </w:t>
      </w:r>
      <w:r w:rsidR="00613424">
        <w:rPr>
          <w:lang w:val="es-MX"/>
        </w:rPr>
        <w:t xml:space="preserve">de </w:t>
      </w:r>
      <w:r w:rsidR="00557F1E" w:rsidRPr="000955E8">
        <w:rPr>
          <w:lang w:val="es-MX"/>
        </w:rPr>
        <w:t>su</w:t>
      </w:r>
      <w:r w:rsidRPr="000955E8">
        <w:rPr>
          <w:lang w:val="es-MX"/>
        </w:rPr>
        <w:t xml:space="preserve"> responsabilidad. </w:t>
      </w:r>
      <w:r w:rsidR="00613424">
        <w:rPr>
          <w:lang w:val="es-MX"/>
        </w:rPr>
        <w:t xml:space="preserve"> </w:t>
      </w:r>
      <w:r w:rsidRPr="000955E8">
        <w:rPr>
          <w:lang w:val="es-MX"/>
        </w:rPr>
        <w:t>Al respecto, la Comisión observ</w:t>
      </w:r>
      <w:r w:rsidR="004B0BB5" w:rsidRPr="000955E8">
        <w:rPr>
          <w:lang w:val="es-MX"/>
        </w:rPr>
        <w:t>ó</w:t>
      </w:r>
      <w:r w:rsidRPr="000955E8">
        <w:rPr>
          <w:lang w:val="es-MX"/>
        </w:rPr>
        <w:t xml:space="preserve"> que las investigaciones penales no ofrecieron un esclarecimiento judicial definitivo de lo sucedido</w:t>
      </w:r>
      <w:r w:rsidR="004A5DB8" w:rsidRPr="000955E8">
        <w:rPr>
          <w:lang w:val="es-MX"/>
        </w:rPr>
        <w:t xml:space="preserve"> que pueda considerarse una explicación satisfactoria de la muerte del señor Acosta en custodia.</w:t>
      </w:r>
      <w:r w:rsidR="00613424">
        <w:rPr>
          <w:lang w:val="es-MX"/>
        </w:rPr>
        <w:t xml:space="preserve"> </w:t>
      </w:r>
      <w:r w:rsidR="004A5DB8" w:rsidRPr="000955E8">
        <w:rPr>
          <w:lang w:val="es-MX"/>
        </w:rPr>
        <w:t xml:space="preserve"> </w:t>
      </w:r>
      <w:r w:rsidR="004B0BB5" w:rsidRPr="000955E8">
        <w:rPr>
          <w:lang w:val="es-MX"/>
        </w:rPr>
        <w:t>L</w:t>
      </w:r>
      <w:r w:rsidRPr="000955E8">
        <w:rPr>
          <w:lang w:val="es-MX"/>
        </w:rPr>
        <w:t xml:space="preserve">a CIDH </w:t>
      </w:r>
      <w:r w:rsidR="008231F3" w:rsidRPr="000955E8">
        <w:rPr>
          <w:lang w:val="es-MX"/>
        </w:rPr>
        <w:t xml:space="preserve">determinó </w:t>
      </w:r>
      <w:r w:rsidR="004B0BB5" w:rsidRPr="000955E8">
        <w:rPr>
          <w:lang w:val="es-MX"/>
        </w:rPr>
        <w:t>que aún si</w:t>
      </w:r>
      <w:r w:rsidR="008231F3" w:rsidRPr="000955E8">
        <w:rPr>
          <w:lang w:val="es-MX"/>
        </w:rPr>
        <w:t xml:space="preserve"> el señor Acosta</w:t>
      </w:r>
      <w:r w:rsidR="004B0BB5" w:rsidRPr="000955E8">
        <w:rPr>
          <w:lang w:val="es-MX"/>
        </w:rPr>
        <w:t xml:space="preserve"> hubiera estado </w:t>
      </w:r>
      <w:r w:rsidR="00720506" w:rsidRPr="000955E8">
        <w:rPr>
          <w:lang w:val="es-MX"/>
        </w:rPr>
        <w:t xml:space="preserve">con el nivel </w:t>
      </w:r>
      <w:r w:rsidR="004B0BB5" w:rsidRPr="000955E8">
        <w:rPr>
          <w:lang w:val="es-MX"/>
        </w:rPr>
        <w:t xml:space="preserve">de intoxicación </w:t>
      </w:r>
      <w:r w:rsidR="00720506" w:rsidRPr="000955E8">
        <w:rPr>
          <w:lang w:val="es-MX"/>
        </w:rPr>
        <w:t xml:space="preserve">indicado </w:t>
      </w:r>
      <w:r w:rsidR="004B0BB5" w:rsidRPr="000955E8">
        <w:rPr>
          <w:lang w:val="es-MX"/>
        </w:rPr>
        <w:t>por el Estado, s</w:t>
      </w:r>
      <w:r w:rsidRPr="000955E8">
        <w:rPr>
          <w:lang w:val="es-MX"/>
        </w:rPr>
        <w:t>us autoridades no le prestaron el auxilio inmediato que hubiera requerido</w:t>
      </w:r>
      <w:r w:rsidR="00720506" w:rsidRPr="000955E8">
        <w:rPr>
          <w:lang w:val="es-MX"/>
        </w:rPr>
        <w:t xml:space="preserve"> al momento de </w:t>
      </w:r>
      <w:r w:rsidRPr="000955E8">
        <w:rPr>
          <w:lang w:val="es-MX"/>
        </w:rPr>
        <w:t>la detención, ni actu</w:t>
      </w:r>
      <w:r w:rsidR="00613424">
        <w:rPr>
          <w:lang w:val="es-MX"/>
        </w:rPr>
        <w:t>aron</w:t>
      </w:r>
      <w:r w:rsidRPr="000955E8">
        <w:rPr>
          <w:lang w:val="es-MX"/>
        </w:rPr>
        <w:t xml:space="preserve"> de manera de salvaguardar su integridad física y su vida, </w:t>
      </w:r>
      <w:r w:rsidR="007D5E84" w:rsidRPr="000955E8">
        <w:rPr>
          <w:lang w:val="es-MX"/>
        </w:rPr>
        <w:t xml:space="preserve">a pesar </w:t>
      </w:r>
      <w:r w:rsidR="00613424">
        <w:rPr>
          <w:lang w:val="es-MX"/>
        </w:rPr>
        <w:t xml:space="preserve">de </w:t>
      </w:r>
      <w:r w:rsidR="007D5E84" w:rsidRPr="000955E8">
        <w:rPr>
          <w:lang w:val="es-MX"/>
        </w:rPr>
        <w:t xml:space="preserve">su posición especial de garante de las personas detenidas. </w:t>
      </w:r>
    </w:p>
    <w:p w:rsidR="00B363F2" w:rsidRDefault="00B363F2" w:rsidP="000955E8">
      <w:pPr>
        <w:spacing w:after="0" w:line="240" w:lineRule="auto"/>
        <w:ind w:firstLine="720"/>
        <w:jc w:val="both"/>
        <w:rPr>
          <w:lang w:val="es-MX"/>
        </w:rPr>
      </w:pPr>
    </w:p>
    <w:p w:rsidR="00387447" w:rsidRDefault="00387447" w:rsidP="000955E8">
      <w:pPr>
        <w:spacing w:after="0" w:line="240" w:lineRule="auto"/>
        <w:ind w:firstLine="720"/>
        <w:jc w:val="both"/>
        <w:rPr>
          <w:lang w:val="es-MX"/>
        </w:rPr>
      </w:pPr>
    </w:p>
    <w:p w:rsidR="00387447" w:rsidRPr="00460A92" w:rsidRDefault="00387447" w:rsidP="000955E8">
      <w:pPr>
        <w:spacing w:after="0" w:line="240" w:lineRule="auto"/>
        <w:jc w:val="both"/>
        <w:rPr>
          <w:rFonts w:cs="Arial"/>
          <w:snapToGrid w:val="0"/>
          <w:lang w:val="es-CO"/>
        </w:rPr>
      </w:pPr>
      <w:r w:rsidRPr="00460A92">
        <w:rPr>
          <w:rFonts w:cs="Arial"/>
          <w:snapToGrid w:val="0"/>
          <w:lang w:val="es-CO"/>
        </w:rPr>
        <w:t>Señor</w:t>
      </w:r>
    </w:p>
    <w:p w:rsidR="00387447" w:rsidRDefault="00387447" w:rsidP="000955E8">
      <w:pPr>
        <w:suppressAutoHyphens/>
        <w:spacing w:after="0" w:line="240" w:lineRule="auto"/>
        <w:rPr>
          <w:rFonts w:cs="Arial"/>
          <w:snapToGrid w:val="0"/>
          <w:lang w:val="es-CO"/>
        </w:rPr>
      </w:pPr>
      <w:r>
        <w:rPr>
          <w:rFonts w:cs="Arial"/>
          <w:snapToGrid w:val="0"/>
          <w:lang w:val="es-CO"/>
        </w:rPr>
        <w:t>Pablo Saavedra Alessandri</w:t>
      </w:r>
    </w:p>
    <w:p w:rsidR="00387447" w:rsidRPr="00460A92" w:rsidRDefault="00387447" w:rsidP="000955E8">
      <w:pPr>
        <w:suppressAutoHyphens/>
        <w:spacing w:after="0" w:line="240" w:lineRule="auto"/>
        <w:rPr>
          <w:rFonts w:cs="Arial"/>
          <w:snapToGrid w:val="0"/>
          <w:lang w:val="es-CO"/>
        </w:rPr>
      </w:pPr>
      <w:r w:rsidRPr="00460A92">
        <w:rPr>
          <w:rFonts w:cs="Arial"/>
          <w:snapToGrid w:val="0"/>
          <w:lang w:val="es-CO"/>
        </w:rPr>
        <w:t>Secretario</w:t>
      </w:r>
    </w:p>
    <w:p w:rsidR="00387447" w:rsidRPr="00460A92" w:rsidRDefault="00387447" w:rsidP="000955E8">
      <w:pPr>
        <w:suppressAutoHyphens/>
        <w:spacing w:after="0" w:line="240" w:lineRule="auto"/>
        <w:rPr>
          <w:rFonts w:cs="Arial"/>
          <w:snapToGrid w:val="0"/>
          <w:lang w:val="es-ES_tradnl"/>
        </w:rPr>
      </w:pPr>
      <w:r w:rsidRPr="00460A92">
        <w:rPr>
          <w:rFonts w:cs="Arial"/>
          <w:snapToGrid w:val="0"/>
          <w:lang w:val="es-ES_tradnl"/>
        </w:rPr>
        <w:t>Corte Interamericana de Derechos Humanos</w:t>
      </w:r>
    </w:p>
    <w:p w:rsidR="00387447" w:rsidRPr="00460A92" w:rsidRDefault="00387447" w:rsidP="000955E8">
      <w:pPr>
        <w:suppressAutoHyphens/>
        <w:spacing w:after="0" w:line="240" w:lineRule="auto"/>
        <w:rPr>
          <w:rFonts w:cs="Arial"/>
          <w:snapToGrid w:val="0"/>
          <w:lang w:val="es-ES_tradnl"/>
        </w:rPr>
      </w:pPr>
      <w:r w:rsidRPr="00460A92">
        <w:rPr>
          <w:rFonts w:cs="Arial"/>
          <w:snapToGrid w:val="0"/>
          <w:lang w:val="es-ES_tradnl"/>
        </w:rPr>
        <w:t>San José, Costa Rica</w:t>
      </w:r>
    </w:p>
    <w:p w:rsidR="00387447" w:rsidRDefault="00387447" w:rsidP="000955E8">
      <w:pPr>
        <w:spacing w:after="0" w:line="240" w:lineRule="auto"/>
        <w:ind w:firstLine="720"/>
        <w:jc w:val="both"/>
        <w:rPr>
          <w:lang w:val="es-MX"/>
        </w:rPr>
      </w:pPr>
    </w:p>
    <w:p w:rsidR="00387447" w:rsidRPr="000955E8" w:rsidRDefault="00387447" w:rsidP="00B363F2">
      <w:pPr>
        <w:spacing w:after="0" w:line="240" w:lineRule="auto"/>
        <w:ind w:firstLine="720"/>
        <w:jc w:val="both"/>
        <w:rPr>
          <w:lang w:val="es-MX"/>
        </w:rPr>
      </w:pPr>
    </w:p>
    <w:p w:rsidR="00B363F2" w:rsidRPr="000955E8" w:rsidRDefault="00720506" w:rsidP="00B363F2">
      <w:pPr>
        <w:spacing w:after="0" w:line="240" w:lineRule="auto"/>
        <w:ind w:firstLine="720"/>
        <w:jc w:val="both"/>
        <w:rPr>
          <w:lang w:val="es-ES"/>
        </w:rPr>
      </w:pPr>
      <w:r w:rsidRPr="000955E8">
        <w:rPr>
          <w:lang w:val="es-MX"/>
        </w:rPr>
        <w:lastRenderedPageBreak/>
        <w:t>L</w:t>
      </w:r>
      <w:r w:rsidR="00B363F2" w:rsidRPr="000955E8">
        <w:rPr>
          <w:lang w:val="es-MX"/>
        </w:rPr>
        <w:t>a Comisión consideró que las diligencias y la investigación se centraron en el supuesto estado de embriaguez e intoxicación del señor Acosta, más no en determinar la legalidad de su detención. Las autoridades judiciales que conocieron los recursos respectivos tampoco ofrecieron una respuesta efectiva</w:t>
      </w:r>
      <w:r w:rsidR="007D6C90">
        <w:rPr>
          <w:lang w:val="es-MX"/>
        </w:rPr>
        <w:t>,</w:t>
      </w:r>
      <w:r w:rsidR="00B363F2" w:rsidRPr="000955E8">
        <w:rPr>
          <w:lang w:val="es-MX"/>
        </w:rPr>
        <w:t xml:space="preserve"> pues no sólo continuaron con la omisión estatal de exigir razones objetivas</w:t>
      </w:r>
      <w:r w:rsidR="00613424">
        <w:rPr>
          <w:lang w:val="es-MX"/>
        </w:rPr>
        <w:t>,</w:t>
      </w:r>
      <w:r w:rsidR="00B363F2" w:rsidRPr="000955E8">
        <w:rPr>
          <w:lang w:val="es-MX"/>
        </w:rPr>
        <w:t xml:space="preserve"> para el ejercicio de la facultad legal de detener a personas con base en una supuesta denuncia, sino que validaron como legítimas las </w:t>
      </w:r>
      <w:r w:rsidR="008231F3" w:rsidRPr="000955E8">
        <w:rPr>
          <w:lang w:val="es-MX"/>
        </w:rPr>
        <w:t xml:space="preserve">insuficientes </w:t>
      </w:r>
      <w:r w:rsidR="00B363F2" w:rsidRPr="000955E8">
        <w:rPr>
          <w:lang w:val="es-MX"/>
        </w:rPr>
        <w:t>razones dadas por los funcionarios policiales</w:t>
      </w:r>
      <w:r w:rsidR="008231F3" w:rsidRPr="000955E8">
        <w:rPr>
          <w:lang w:val="es-MX"/>
        </w:rPr>
        <w:t>.</w:t>
      </w:r>
      <w:r w:rsidR="00B363F2" w:rsidRPr="000955E8">
        <w:rPr>
          <w:lang w:val="es-MX"/>
        </w:rPr>
        <w:t xml:space="preserve"> </w:t>
      </w:r>
      <w:r w:rsidR="00613424">
        <w:rPr>
          <w:lang w:val="es-MX"/>
        </w:rPr>
        <w:t xml:space="preserve"> </w:t>
      </w:r>
      <w:r w:rsidR="00B363F2" w:rsidRPr="000955E8">
        <w:rPr>
          <w:lang w:val="es-MX"/>
        </w:rPr>
        <w:t>Asimism</w:t>
      </w:r>
      <w:r w:rsidRPr="000955E8">
        <w:rPr>
          <w:lang w:val="es-MX"/>
        </w:rPr>
        <w:t xml:space="preserve">o, no se proporcionó </w:t>
      </w:r>
      <w:r w:rsidR="00B363F2" w:rsidRPr="000955E8">
        <w:rPr>
          <w:lang w:val="es-MX"/>
        </w:rPr>
        <w:t xml:space="preserve">información </w:t>
      </w:r>
      <w:r w:rsidRPr="000955E8">
        <w:rPr>
          <w:lang w:val="es-MX"/>
        </w:rPr>
        <w:t xml:space="preserve">a la Comisión </w:t>
      </w:r>
      <w:r w:rsidR="00B363F2" w:rsidRPr="000955E8">
        <w:rPr>
          <w:lang w:val="es-MX"/>
        </w:rPr>
        <w:t>respecto a diligencias específicas que se hubieran seguido para investigar el grado de responsabilidad penal y/o administrativa de los agentes policiales que optaron por llevarlo a la Comisaría y no a un centro médico si es que realmente se encontraba en el grado de intoxicación descrito</w:t>
      </w:r>
      <w:r w:rsidRPr="000955E8">
        <w:rPr>
          <w:lang w:val="es-MX"/>
        </w:rPr>
        <w:t xml:space="preserve">. </w:t>
      </w:r>
      <w:r w:rsidR="00613424">
        <w:rPr>
          <w:lang w:val="es-MX"/>
        </w:rPr>
        <w:t xml:space="preserve"> </w:t>
      </w:r>
      <w:r w:rsidRPr="000955E8">
        <w:rPr>
          <w:lang w:val="es-MX"/>
        </w:rPr>
        <w:t>Así, l</w:t>
      </w:r>
      <w:r w:rsidR="00B363F2" w:rsidRPr="000955E8">
        <w:rPr>
          <w:lang w:val="es-MX"/>
        </w:rPr>
        <w:t>a Comisión concluy</w:t>
      </w:r>
      <w:r w:rsidRPr="000955E8">
        <w:rPr>
          <w:lang w:val="es-MX"/>
        </w:rPr>
        <w:t xml:space="preserve">ó </w:t>
      </w:r>
      <w:r w:rsidR="00B363F2" w:rsidRPr="000955E8">
        <w:rPr>
          <w:lang w:val="es-MX"/>
        </w:rPr>
        <w:t>que el Estado de Argentina no proveyó a los familiares de José Delfín Acosta Martínez, de un recurso adecuado y efectivo para el esclarecimiento de la legalidad de su detención y de los motivos de su muerte</w:t>
      </w:r>
      <w:r w:rsidR="00F942B1" w:rsidRPr="000955E8">
        <w:rPr>
          <w:lang w:val="es-MX"/>
        </w:rPr>
        <w:t xml:space="preserve"> y tampoco </w:t>
      </w:r>
      <w:r w:rsidRPr="000955E8">
        <w:rPr>
          <w:lang w:val="es-MX"/>
        </w:rPr>
        <w:t xml:space="preserve">prestó medios de protección ni llevó adelante investigación respecto a las </w:t>
      </w:r>
      <w:r w:rsidR="00B363F2" w:rsidRPr="000955E8">
        <w:rPr>
          <w:lang w:val="es-MX"/>
        </w:rPr>
        <w:t>declaraciones de</w:t>
      </w:r>
      <w:r w:rsidR="00CF442B" w:rsidRPr="000955E8">
        <w:rPr>
          <w:lang w:val="es-MX"/>
        </w:rPr>
        <w:t xml:space="preserve"> su </w:t>
      </w:r>
      <w:r w:rsidRPr="000955E8">
        <w:rPr>
          <w:lang w:val="es-MX"/>
        </w:rPr>
        <w:t xml:space="preserve">hermano y de otro testigo, </w:t>
      </w:r>
      <w:r w:rsidR="00B363F2" w:rsidRPr="000955E8">
        <w:rPr>
          <w:lang w:val="es-MX"/>
        </w:rPr>
        <w:t xml:space="preserve">en las que denunciaron amenazas e intimidaciones. En consecuencia, </w:t>
      </w:r>
      <w:r w:rsidRPr="000955E8">
        <w:rPr>
          <w:lang w:val="es-MX"/>
        </w:rPr>
        <w:t xml:space="preserve">la Comisión concluyó que </w:t>
      </w:r>
      <w:r w:rsidR="00B363F2" w:rsidRPr="000955E8">
        <w:rPr>
          <w:lang w:val="es-MX"/>
        </w:rPr>
        <w:t xml:space="preserve">el Estado es responsable por la violación de los derechos a las garantías judiciales y </w:t>
      </w:r>
      <w:r w:rsidRPr="000955E8">
        <w:rPr>
          <w:lang w:val="es-MX"/>
        </w:rPr>
        <w:t>protección judicial,</w:t>
      </w:r>
      <w:r w:rsidR="00B363F2" w:rsidRPr="000955E8">
        <w:rPr>
          <w:lang w:val="es-MX"/>
        </w:rPr>
        <w:t xml:space="preserve"> en perjuicio de los familiares de José Delfín Acosta Martínez.</w:t>
      </w:r>
    </w:p>
    <w:p w:rsidR="00FA1626" w:rsidRPr="000955E8" w:rsidRDefault="00FA1626" w:rsidP="00FA1626">
      <w:pPr>
        <w:spacing w:after="0" w:line="240" w:lineRule="auto"/>
        <w:ind w:firstLine="720"/>
        <w:jc w:val="both"/>
        <w:rPr>
          <w:lang w:val="es-ES"/>
        </w:rPr>
      </w:pPr>
    </w:p>
    <w:p w:rsidR="00CB68DC" w:rsidRPr="000955E8" w:rsidRDefault="002D20E1" w:rsidP="00311BD2">
      <w:pPr>
        <w:suppressAutoHyphens/>
        <w:spacing w:after="0" w:line="240" w:lineRule="auto"/>
        <w:ind w:firstLine="720"/>
        <w:jc w:val="both"/>
        <w:rPr>
          <w:lang w:val="es-PE"/>
        </w:rPr>
      </w:pPr>
      <w:r w:rsidRPr="000955E8">
        <w:rPr>
          <w:rFonts w:cs="Arial"/>
          <w:lang w:val="es-CO"/>
        </w:rPr>
        <w:t xml:space="preserve">El Estado </w:t>
      </w:r>
      <w:r w:rsidRPr="000955E8">
        <w:rPr>
          <w:lang w:val="es-AR"/>
        </w:rPr>
        <w:t>ratificó</w:t>
      </w:r>
      <w:r w:rsidRPr="000955E8">
        <w:rPr>
          <w:rFonts w:cs="Arial"/>
          <w:lang w:val="es-CO"/>
        </w:rPr>
        <w:t xml:space="preserve"> la Convención Americana sobre Derechos Humanos</w:t>
      </w:r>
      <w:r w:rsidR="00CB68DC" w:rsidRPr="000955E8">
        <w:rPr>
          <w:lang w:val="es-PE"/>
        </w:rPr>
        <w:t xml:space="preserve"> y aceptó la competencia contenciosa de la Corte Interamericana el 5 de septiembre de 1984.</w:t>
      </w:r>
    </w:p>
    <w:p w:rsidR="00FA1626" w:rsidRPr="000955E8" w:rsidRDefault="00FA1626" w:rsidP="00311BD2">
      <w:pPr>
        <w:suppressAutoHyphens/>
        <w:spacing w:after="0" w:line="240" w:lineRule="auto"/>
        <w:ind w:firstLine="720"/>
        <w:jc w:val="both"/>
        <w:rPr>
          <w:rFonts w:cs="Arial"/>
          <w:lang w:val="es-CO"/>
        </w:rPr>
      </w:pPr>
    </w:p>
    <w:p w:rsidR="002D20E1" w:rsidRPr="000955E8" w:rsidRDefault="002D20E1" w:rsidP="00311BD2">
      <w:pPr>
        <w:suppressAutoHyphens/>
        <w:spacing w:after="0" w:line="240" w:lineRule="auto"/>
        <w:ind w:firstLine="720"/>
        <w:jc w:val="both"/>
        <w:rPr>
          <w:rFonts w:cs="Arial"/>
          <w:lang w:val="es-CO"/>
        </w:rPr>
      </w:pPr>
      <w:r w:rsidRPr="000955E8">
        <w:rPr>
          <w:lang w:val="es-CO"/>
        </w:rPr>
        <w:t xml:space="preserve">La Comisión ha designado al </w:t>
      </w:r>
      <w:r w:rsidR="00FC3C50" w:rsidRPr="000955E8">
        <w:rPr>
          <w:lang w:val="es-CO"/>
        </w:rPr>
        <w:t>C</w:t>
      </w:r>
      <w:r w:rsidRPr="000955E8">
        <w:rPr>
          <w:lang w:val="es-CO"/>
        </w:rPr>
        <w:t>omisionad</w:t>
      </w:r>
      <w:r w:rsidR="00CB68DC" w:rsidRPr="000955E8">
        <w:rPr>
          <w:lang w:val="es-CO"/>
        </w:rPr>
        <w:t>o Luis Ernesto Vargas Silva y</w:t>
      </w:r>
      <w:r w:rsidR="006C71DF" w:rsidRPr="000955E8">
        <w:rPr>
          <w:lang w:val="es-CO"/>
        </w:rPr>
        <w:t xml:space="preserve"> </w:t>
      </w:r>
      <w:r w:rsidRPr="000955E8">
        <w:rPr>
          <w:lang w:val="es-CO"/>
        </w:rPr>
        <w:t xml:space="preserve">al Secretario Ejecutivo </w:t>
      </w:r>
      <w:r w:rsidR="00562D0A" w:rsidRPr="000955E8">
        <w:rPr>
          <w:lang w:val="es-CO"/>
        </w:rPr>
        <w:t>Paulo Abr</w:t>
      </w:r>
      <w:r w:rsidR="00562D0A" w:rsidRPr="000955E8">
        <w:rPr>
          <w:rStyle w:val="Textoennegrita"/>
          <w:rFonts w:cs="Tahoma"/>
          <w:b w:val="0"/>
          <w:lang w:val="es-CO"/>
        </w:rPr>
        <w:t>ão</w:t>
      </w:r>
      <w:r w:rsidRPr="000955E8">
        <w:rPr>
          <w:lang w:val="es-CO"/>
        </w:rPr>
        <w:t xml:space="preserve">, como sus </w:t>
      </w:r>
      <w:r w:rsidR="00387447">
        <w:rPr>
          <w:lang w:val="es-CO"/>
        </w:rPr>
        <w:t>D</w:t>
      </w:r>
      <w:r w:rsidR="006C71DF" w:rsidRPr="000955E8">
        <w:rPr>
          <w:lang w:val="es-CO"/>
        </w:rPr>
        <w:t>elegado</w:t>
      </w:r>
      <w:r w:rsidR="00CB68DC" w:rsidRPr="000955E8">
        <w:rPr>
          <w:lang w:val="es-CO"/>
        </w:rPr>
        <w:t>s</w:t>
      </w:r>
      <w:r w:rsidRPr="000955E8">
        <w:rPr>
          <w:lang w:val="es-CO"/>
        </w:rPr>
        <w:t xml:space="preserve">. </w:t>
      </w:r>
      <w:r w:rsidR="0086719E">
        <w:rPr>
          <w:lang w:val="es-CO"/>
        </w:rPr>
        <w:t xml:space="preserve"> </w:t>
      </w:r>
      <w:r w:rsidRPr="000955E8">
        <w:rPr>
          <w:lang w:val="es-CO"/>
        </w:rPr>
        <w:t>Asimismo, Silvia Serrano Guzmán</w:t>
      </w:r>
      <w:r w:rsidR="00991E53" w:rsidRPr="000955E8">
        <w:rPr>
          <w:lang w:val="es-CO"/>
        </w:rPr>
        <w:t xml:space="preserve"> y </w:t>
      </w:r>
      <w:r w:rsidR="00FC3C50" w:rsidRPr="000955E8">
        <w:rPr>
          <w:lang w:val="es-CO"/>
        </w:rPr>
        <w:t>Paulina Corominas Etchegaray</w:t>
      </w:r>
      <w:r w:rsidR="00991E53" w:rsidRPr="000955E8">
        <w:rPr>
          <w:lang w:val="es-CO"/>
        </w:rPr>
        <w:t>,</w:t>
      </w:r>
      <w:r w:rsidR="006C71DF" w:rsidRPr="000955E8">
        <w:rPr>
          <w:lang w:val="es-CO"/>
        </w:rPr>
        <w:t xml:space="preserve"> </w:t>
      </w:r>
      <w:r w:rsidRPr="000955E8">
        <w:rPr>
          <w:lang w:val="es-CO"/>
        </w:rPr>
        <w:t>abogada</w:t>
      </w:r>
      <w:r w:rsidR="00562D0A" w:rsidRPr="000955E8">
        <w:rPr>
          <w:lang w:val="es-CO"/>
        </w:rPr>
        <w:t>s</w:t>
      </w:r>
      <w:r w:rsidR="006C71DF" w:rsidRPr="000955E8">
        <w:rPr>
          <w:lang w:val="es-CO"/>
        </w:rPr>
        <w:t xml:space="preserve"> </w:t>
      </w:r>
      <w:r w:rsidRPr="000955E8">
        <w:rPr>
          <w:lang w:val="es-CO"/>
        </w:rPr>
        <w:t xml:space="preserve">de la Secretaría Ejecutiva de la CIDH, actuarán como </w:t>
      </w:r>
      <w:r w:rsidR="00387447">
        <w:rPr>
          <w:lang w:val="es-CO"/>
        </w:rPr>
        <w:t>A</w:t>
      </w:r>
      <w:r w:rsidRPr="000955E8">
        <w:rPr>
          <w:lang w:val="es-CO"/>
        </w:rPr>
        <w:t>sesora</w:t>
      </w:r>
      <w:r w:rsidR="00562D0A" w:rsidRPr="000955E8">
        <w:rPr>
          <w:lang w:val="es-CO"/>
        </w:rPr>
        <w:t>s</w:t>
      </w:r>
      <w:r w:rsidRPr="000955E8">
        <w:rPr>
          <w:lang w:val="es-CO"/>
        </w:rPr>
        <w:t xml:space="preserve"> </w:t>
      </w:r>
      <w:r w:rsidR="00387447">
        <w:rPr>
          <w:lang w:val="es-CO"/>
        </w:rPr>
        <w:t>L</w:t>
      </w:r>
      <w:r w:rsidRPr="000955E8">
        <w:rPr>
          <w:lang w:val="es-CO"/>
        </w:rPr>
        <w:t>egales.</w:t>
      </w:r>
    </w:p>
    <w:p w:rsidR="002D20E1" w:rsidRPr="000955E8" w:rsidRDefault="002D20E1" w:rsidP="00311BD2">
      <w:pPr>
        <w:suppressAutoHyphens/>
        <w:spacing w:after="0" w:line="240" w:lineRule="auto"/>
        <w:ind w:firstLine="720"/>
        <w:jc w:val="both"/>
        <w:rPr>
          <w:rFonts w:cs="Arial"/>
          <w:lang w:val="es-CO"/>
        </w:rPr>
      </w:pPr>
    </w:p>
    <w:p w:rsidR="006323FF" w:rsidRPr="000955E8" w:rsidRDefault="002D20E1" w:rsidP="00311BD2">
      <w:pPr>
        <w:suppressAutoHyphens/>
        <w:spacing w:after="0" w:line="240" w:lineRule="auto"/>
        <w:ind w:firstLine="720"/>
        <w:jc w:val="both"/>
        <w:rPr>
          <w:lang w:val="es-AR"/>
        </w:rPr>
      </w:pPr>
      <w:r w:rsidRPr="000955E8">
        <w:rPr>
          <w:rFonts w:cs="Arial"/>
          <w:lang w:val="es-CO"/>
        </w:rPr>
        <w:t xml:space="preserve">De conformidad con el artículo 35 del Reglamento de la Corte Interamericana, la Comisión adjunta </w:t>
      </w:r>
      <w:r w:rsidRPr="000955E8">
        <w:rPr>
          <w:lang w:val="es-CO"/>
        </w:rPr>
        <w:t xml:space="preserve">copia del </w:t>
      </w:r>
      <w:r w:rsidR="00CF78E2" w:rsidRPr="000955E8">
        <w:rPr>
          <w:lang w:val="es-CO"/>
        </w:rPr>
        <w:t>I</w:t>
      </w:r>
      <w:r w:rsidRPr="000955E8">
        <w:rPr>
          <w:lang w:val="es-CO"/>
        </w:rPr>
        <w:t xml:space="preserve">nforme de </w:t>
      </w:r>
      <w:r w:rsidR="00CF78E2" w:rsidRPr="000955E8">
        <w:rPr>
          <w:lang w:val="es-CO"/>
        </w:rPr>
        <w:t>F</w:t>
      </w:r>
      <w:r w:rsidRPr="000955E8">
        <w:rPr>
          <w:lang w:val="es-CO"/>
        </w:rPr>
        <w:t>ondo</w:t>
      </w:r>
      <w:r w:rsidR="00CF78E2" w:rsidRPr="000955E8">
        <w:rPr>
          <w:lang w:val="es-CO"/>
        </w:rPr>
        <w:t xml:space="preserve"> N°</w:t>
      </w:r>
      <w:r w:rsidRPr="000955E8">
        <w:rPr>
          <w:lang w:val="es-CO"/>
        </w:rPr>
        <w:t xml:space="preserve"> </w:t>
      </w:r>
      <w:r w:rsidR="00CF78E2" w:rsidRPr="000955E8">
        <w:rPr>
          <w:lang w:val="es-CO"/>
        </w:rPr>
        <w:t>1</w:t>
      </w:r>
      <w:r w:rsidR="00CB68DC" w:rsidRPr="000955E8">
        <w:rPr>
          <w:lang w:val="es-CO"/>
        </w:rPr>
        <w:t>46</w:t>
      </w:r>
      <w:r w:rsidRPr="000955E8">
        <w:rPr>
          <w:lang w:val="es-CO"/>
        </w:rPr>
        <w:t>/1</w:t>
      </w:r>
      <w:r w:rsidR="00CF78E2" w:rsidRPr="000955E8">
        <w:rPr>
          <w:lang w:val="es-CO"/>
        </w:rPr>
        <w:t>8</w:t>
      </w:r>
      <w:r w:rsidRPr="000955E8">
        <w:rPr>
          <w:lang w:val="es-CO"/>
        </w:rPr>
        <w:t xml:space="preserve"> elaborado en observancia del artículo 50 de la Convención, así como copia de la totalidad del expediente ante la Comisión Interamericana (Apéndice I) y los anexos utilizados en la e</w:t>
      </w:r>
      <w:r w:rsidR="00CF78E2" w:rsidRPr="000955E8">
        <w:rPr>
          <w:lang w:val="es-CO"/>
        </w:rPr>
        <w:t>laboración del informe N° 1</w:t>
      </w:r>
      <w:r w:rsidR="00CB68DC" w:rsidRPr="000955E8">
        <w:rPr>
          <w:lang w:val="es-CO"/>
        </w:rPr>
        <w:t>46</w:t>
      </w:r>
      <w:r w:rsidRPr="000955E8">
        <w:rPr>
          <w:lang w:val="es-CO"/>
        </w:rPr>
        <w:t>/1</w:t>
      </w:r>
      <w:r w:rsidR="00CF78E2" w:rsidRPr="000955E8">
        <w:rPr>
          <w:lang w:val="es-CO"/>
        </w:rPr>
        <w:t>8</w:t>
      </w:r>
      <w:r w:rsidRPr="000955E8">
        <w:rPr>
          <w:lang w:val="es-CO"/>
        </w:rPr>
        <w:t xml:space="preserve"> (Anexos). </w:t>
      </w:r>
      <w:r w:rsidR="00613424">
        <w:rPr>
          <w:lang w:val="es-CO"/>
        </w:rPr>
        <w:t xml:space="preserve"> </w:t>
      </w:r>
      <w:r w:rsidRPr="000955E8">
        <w:rPr>
          <w:lang w:val="es-CO"/>
        </w:rPr>
        <w:t xml:space="preserve">Dicho informe de fondo </w:t>
      </w:r>
      <w:r w:rsidRPr="000955E8">
        <w:rPr>
          <w:lang w:val="es-AR"/>
        </w:rPr>
        <w:t>fue n</w:t>
      </w:r>
      <w:r w:rsidR="00CF78E2" w:rsidRPr="000955E8">
        <w:rPr>
          <w:lang w:val="es-AR"/>
        </w:rPr>
        <w:t>otificado al Estado</w:t>
      </w:r>
      <w:r w:rsidRPr="000955E8">
        <w:rPr>
          <w:lang w:val="es-AR"/>
        </w:rPr>
        <w:t xml:space="preserve"> mediante comunicación de </w:t>
      </w:r>
      <w:r w:rsidR="00CB68DC" w:rsidRPr="000955E8">
        <w:rPr>
          <w:lang w:val="es-AR"/>
        </w:rPr>
        <w:t>18</w:t>
      </w:r>
      <w:r w:rsidR="00CF78E2" w:rsidRPr="000955E8">
        <w:rPr>
          <w:lang w:val="es-AR"/>
        </w:rPr>
        <w:t xml:space="preserve"> </w:t>
      </w:r>
      <w:r w:rsidRPr="000955E8">
        <w:rPr>
          <w:lang w:val="es-AR"/>
        </w:rPr>
        <w:t xml:space="preserve">de </w:t>
      </w:r>
      <w:r w:rsidR="00CB68DC" w:rsidRPr="000955E8">
        <w:rPr>
          <w:lang w:val="es-AR"/>
        </w:rPr>
        <w:t xml:space="preserve">enero </w:t>
      </w:r>
      <w:r w:rsidRPr="000955E8">
        <w:rPr>
          <w:lang w:val="es-AR"/>
        </w:rPr>
        <w:t>de 201</w:t>
      </w:r>
      <w:r w:rsidR="00CB68DC" w:rsidRPr="000955E8">
        <w:rPr>
          <w:lang w:val="es-AR"/>
        </w:rPr>
        <w:t>9</w:t>
      </w:r>
      <w:r w:rsidR="006323FF" w:rsidRPr="000955E8">
        <w:rPr>
          <w:lang w:val="es-AR"/>
        </w:rPr>
        <w:t>,</w:t>
      </w:r>
      <w:r w:rsidRPr="000955E8">
        <w:rPr>
          <w:lang w:val="es-AR"/>
        </w:rPr>
        <w:t xml:space="preserve"> otorgándole un plazo de dos meses para informar sobre el cumplimiento de las recomendaciones.</w:t>
      </w:r>
    </w:p>
    <w:p w:rsidR="006323FF" w:rsidRPr="000955E8" w:rsidRDefault="006323FF" w:rsidP="00311BD2">
      <w:pPr>
        <w:suppressAutoHyphens/>
        <w:spacing w:after="0" w:line="240" w:lineRule="auto"/>
        <w:ind w:firstLine="720"/>
        <w:jc w:val="both"/>
        <w:rPr>
          <w:lang w:val="es-AR"/>
        </w:rPr>
      </w:pPr>
    </w:p>
    <w:p w:rsidR="002D20E1" w:rsidRPr="000955E8" w:rsidRDefault="002D20E1" w:rsidP="00311BD2">
      <w:pPr>
        <w:suppressAutoHyphens/>
        <w:spacing w:after="0" w:line="240" w:lineRule="auto"/>
        <w:ind w:firstLine="720"/>
        <w:jc w:val="both"/>
        <w:rPr>
          <w:lang w:val="es-AR"/>
        </w:rPr>
      </w:pPr>
      <w:r w:rsidRPr="000955E8">
        <w:rPr>
          <w:lang w:val="es-AR"/>
        </w:rPr>
        <w:t>El</w:t>
      </w:r>
      <w:r w:rsidR="00CF78E2" w:rsidRPr="000955E8">
        <w:rPr>
          <w:lang w:val="es-AR"/>
        </w:rPr>
        <w:t xml:space="preserve"> </w:t>
      </w:r>
      <w:r w:rsidR="00E665BC" w:rsidRPr="000955E8">
        <w:rPr>
          <w:lang w:val="es-AR"/>
        </w:rPr>
        <w:t>21 de marzo de</w:t>
      </w:r>
      <w:r w:rsidR="00CF78E2" w:rsidRPr="000955E8">
        <w:rPr>
          <w:lang w:val="es-AR"/>
        </w:rPr>
        <w:t xml:space="preserve"> 2019, </w:t>
      </w:r>
      <w:r w:rsidR="00E665BC" w:rsidRPr="000955E8">
        <w:rPr>
          <w:lang w:val="es-AR"/>
        </w:rPr>
        <w:t xml:space="preserve">la Comisión otorgó al </w:t>
      </w:r>
      <w:r w:rsidRPr="000955E8">
        <w:rPr>
          <w:lang w:val="es-AR"/>
        </w:rPr>
        <w:t xml:space="preserve">Estado </w:t>
      </w:r>
      <w:r w:rsidR="00E665BC" w:rsidRPr="000955E8">
        <w:rPr>
          <w:lang w:val="es-AR"/>
        </w:rPr>
        <w:t xml:space="preserve">una prórroga para presentar su </w:t>
      </w:r>
      <w:r w:rsidR="00CF78E2" w:rsidRPr="000955E8">
        <w:rPr>
          <w:lang w:val="es-AR"/>
        </w:rPr>
        <w:t xml:space="preserve">informe de cumplimiento </w:t>
      </w:r>
      <w:r w:rsidR="00F942B1" w:rsidRPr="000955E8">
        <w:rPr>
          <w:lang w:val="es-AR"/>
        </w:rPr>
        <w:t>de</w:t>
      </w:r>
      <w:r w:rsidR="00CF78E2" w:rsidRPr="000955E8">
        <w:rPr>
          <w:lang w:val="es-AR"/>
        </w:rPr>
        <w:t xml:space="preserve"> las recomendaciones</w:t>
      </w:r>
      <w:r w:rsidR="00F942B1" w:rsidRPr="000955E8">
        <w:rPr>
          <w:lang w:val="es-AR"/>
        </w:rPr>
        <w:t xml:space="preserve"> y el </w:t>
      </w:r>
      <w:r w:rsidR="00E665BC" w:rsidRPr="000955E8">
        <w:rPr>
          <w:lang w:val="es-AR"/>
        </w:rPr>
        <w:t>3 de abril de 2019 se sostuvo una reunión de trabajo entre las partes, con presencia del Relator de país, Comisionado Luis Ernesto Vargas Silva.</w:t>
      </w:r>
      <w:r w:rsidR="00613424">
        <w:rPr>
          <w:lang w:val="es-AR"/>
        </w:rPr>
        <w:t xml:space="preserve"> </w:t>
      </w:r>
      <w:r w:rsidR="00E665BC" w:rsidRPr="000955E8">
        <w:rPr>
          <w:lang w:val="es-AR"/>
        </w:rPr>
        <w:t xml:space="preserve"> En dicha reunión, el Estado presentó a la parte peticionaria una propuesta para el cumplimiento de</w:t>
      </w:r>
      <w:r w:rsidR="00F942B1" w:rsidRPr="000955E8">
        <w:rPr>
          <w:lang w:val="es-AR"/>
        </w:rPr>
        <w:t xml:space="preserve"> las </w:t>
      </w:r>
      <w:r w:rsidR="00E665BC" w:rsidRPr="000955E8">
        <w:rPr>
          <w:lang w:val="es-AR"/>
        </w:rPr>
        <w:t>recomendaciones;</w:t>
      </w:r>
      <w:r w:rsidR="00CF78E2" w:rsidRPr="000955E8">
        <w:rPr>
          <w:lang w:val="es-AR"/>
        </w:rPr>
        <w:t xml:space="preserve"> sin embargo,</w:t>
      </w:r>
      <w:r w:rsidR="00E665BC" w:rsidRPr="000955E8">
        <w:rPr>
          <w:lang w:val="es-AR"/>
        </w:rPr>
        <w:t xml:space="preserve"> la parte peticionaria la consideró insuficiente y solicitó a la Comisión que enviara el caso a </w:t>
      </w:r>
      <w:r w:rsidR="009F6D41" w:rsidRPr="000955E8">
        <w:rPr>
          <w:lang w:val="es-AR"/>
        </w:rPr>
        <w:t>la</w:t>
      </w:r>
      <w:r w:rsidR="00E665BC" w:rsidRPr="000955E8">
        <w:rPr>
          <w:lang w:val="es-AR"/>
        </w:rPr>
        <w:t xml:space="preserve"> Honorable Corte. </w:t>
      </w:r>
      <w:r w:rsidR="00613424">
        <w:rPr>
          <w:lang w:val="es-AR"/>
        </w:rPr>
        <w:t xml:space="preserve"> </w:t>
      </w:r>
      <w:r w:rsidR="00E665BC" w:rsidRPr="000955E8">
        <w:rPr>
          <w:lang w:val="es-AR"/>
        </w:rPr>
        <w:t xml:space="preserve">A la fecha, el Estado no ha presentado a la Comisión un informe de cumplimiento ni ha solicitado </w:t>
      </w:r>
      <w:r w:rsidR="006323FF" w:rsidRPr="000955E8">
        <w:rPr>
          <w:lang w:val="es-AR"/>
        </w:rPr>
        <w:t>la suspensión del plazo previsto en el artículo 51.1 de la Convención Americana, con la correspondiente renuncia a interponer excepciones preliminares respecto del cumplimiento de dicho plazo</w:t>
      </w:r>
      <w:r w:rsidR="00260F42" w:rsidRPr="000955E8">
        <w:rPr>
          <w:lang w:val="es-AR"/>
        </w:rPr>
        <w:t xml:space="preserve"> en los términos requeridos por el Reglamento de la CIDH</w:t>
      </w:r>
      <w:r w:rsidR="00CF78E2" w:rsidRPr="000955E8">
        <w:rPr>
          <w:lang w:val="es-AR"/>
        </w:rPr>
        <w:t xml:space="preserve">. </w:t>
      </w:r>
      <w:r w:rsidR="00613424">
        <w:rPr>
          <w:lang w:val="es-AR"/>
        </w:rPr>
        <w:t xml:space="preserve"> </w:t>
      </w:r>
      <w:r w:rsidRPr="000955E8">
        <w:rPr>
          <w:lang w:val="es-AR"/>
        </w:rPr>
        <w:t>En virtud de lo anterior, l</w:t>
      </w:r>
      <w:r w:rsidRPr="000955E8">
        <w:rPr>
          <w:lang w:val="es-CO"/>
        </w:rPr>
        <w:t xml:space="preserve">a Comisión Interamericana somete a la jurisdicción de la Corte la totalidad de los hechos y violaciones de derechos humanos descritos en el </w:t>
      </w:r>
      <w:r w:rsidR="00CF78E2" w:rsidRPr="000955E8">
        <w:rPr>
          <w:lang w:val="es-CO"/>
        </w:rPr>
        <w:t>Informe de F</w:t>
      </w:r>
      <w:r w:rsidRPr="000955E8">
        <w:rPr>
          <w:lang w:val="es-CO"/>
        </w:rPr>
        <w:t xml:space="preserve">ondo </w:t>
      </w:r>
      <w:r w:rsidR="00CF78E2" w:rsidRPr="000955E8">
        <w:rPr>
          <w:lang w:val="es-CO"/>
        </w:rPr>
        <w:t>N° 1</w:t>
      </w:r>
      <w:r w:rsidR="00CB68DC" w:rsidRPr="000955E8">
        <w:rPr>
          <w:lang w:val="es-CO"/>
        </w:rPr>
        <w:t>46</w:t>
      </w:r>
      <w:r w:rsidRPr="000955E8">
        <w:rPr>
          <w:lang w:val="es-CO"/>
        </w:rPr>
        <w:t>/1</w:t>
      </w:r>
      <w:r w:rsidR="00991E53" w:rsidRPr="000955E8">
        <w:rPr>
          <w:lang w:val="es-CO"/>
        </w:rPr>
        <w:t>8</w:t>
      </w:r>
      <w:r w:rsidRPr="000955E8">
        <w:rPr>
          <w:lang w:val="es-CO"/>
        </w:rPr>
        <w:t xml:space="preserve">, por la necesidad de obtención </w:t>
      </w:r>
      <w:r w:rsidR="00661CFB" w:rsidRPr="000955E8">
        <w:rPr>
          <w:lang w:val="es-CO"/>
        </w:rPr>
        <w:t xml:space="preserve">de justicia </w:t>
      </w:r>
      <w:r w:rsidR="00CB7487" w:rsidRPr="000955E8">
        <w:rPr>
          <w:lang w:val="es-CO"/>
        </w:rPr>
        <w:t>y reparación</w:t>
      </w:r>
      <w:r w:rsidR="009654C9" w:rsidRPr="000955E8">
        <w:rPr>
          <w:lang w:val="es-CO"/>
        </w:rPr>
        <w:t>.</w:t>
      </w:r>
      <w:r w:rsidRPr="000955E8">
        <w:rPr>
          <w:lang w:val="es-CO"/>
        </w:rPr>
        <w:t xml:space="preserve"> </w:t>
      </w:r>
    </w:p>
    <w:p w:rsidR="002D20E1" w:rsidRDefault="002D20E1" w:rsidP="00311BD2">
      <w:pPr>
        <w:suppressAutoHyphens/>
        <w:spacing w:after="0" w:line="240" w:lineRule="auto"/>
        <w:ind w:firstLine="720"/>
        <w:jc w:val="both"/>
        <w:rPr>
          <w:lang w:val="es-AR"/>
        </w:rPr>
      </w:pPr>
    </w:p>
    <w:p w:rsidR="00387447" w:rsidRDefault="00387447" w:rsidP="00311BD2">
      <w:pPr>
        <w:suppressAutoHyphens/>
        <w:spacing w:after="0" w:line="240" w:lineRule="auto"/>
        <w:ind w:firstLine="720"/>
        <w:jc w:val="both"/>
        <w:rPr>
          <w:lang w:val="es-AR"/>
        </w:rPr>
      </w:pPr>
    </w:p>
    <w:p w:rsidR="00387447" w:rsidRPr="000955E8" w:rsidRDefault="00387447" w:rsidP="00311BD2">
      <w:pPr>
        <w:suppressAutoHyphens/>
        <w:spacing w:after="0" w:line="240" w:lineRule="auto"/>
        <w:ind w:firstLine="720"/>
        <w:jc w:val="both"/>
        <w:rPr>
          <w:lang w:val="es-AR"/>
        </w:rPr>
      </w:pPr>
    </w:p>
    <w:p w:rsidR="00311BD2" w:rsidRPr="000955E8" w:rsidRDefault="002D20E1" w:rsidP="00311BD2">
      <w:pPr>
        <w:suppressAutoHyphens/>
        <w:spacing w:after="0" w:line="240" w:lineRule="auto"/>
        <w:ind w:firstLine="720"/>
        <w:jc w:val="both"/>
        <w:rPr>
          <w:lang w:val="es-ES"/>
        </w:rPr>
      </w:pPr>
      <w:r w:rsidRPr="000955E8">
        <w:rPr>
          <w:lang w:val="es-CO"/>
        </w:rPr>
        <w:t>En ese sentido, la Comisión solicita a la Corte</w:t>
      </w:r>
      <w:r w:rsidR="00613424">
        <w:rPr>
          <w:lang w:val="es-CO"/>
        </w:rPr>
        <w:t xml:space="preserve"> Interamericana</w:t>
      </w:r>
      <w:r w:rsidRPr="000955E8">
        <w:rPr>
          <w:lang w:val="es-CO"/>
        </w:rPr>
        <w:t xml:space="preserve"> que concluya y declare </w:t>
      </w:r>
      <w:r w:rsidR="001362B0" w:rsidRPr="000955E8">
        <w:rPr>
          <w:lang w:val="es-CO"/>
        </w:rPr>
        <w:t xml:space="preserve">la responsabilidad internacional del </w:t>
      </w:r>
      <w:r w:rsidRPr="000955E8">
        <w:rPr>
          <w:lang w:val="es-CO"/>
        </w:rPr>
        <w:t xml:space="preserve">Estado de </w:t>
      </w:r>
      <w:r w:rsidR="00CB68DC" w:rsidRPr="000955E8">
        <w:rPr>
          <w:lang w:val="es-CO"/>
        </w:rPr>
        <w:t xml:space="preserve">Argentina </w:t>
      </w:r>
      <w:r w:rsidRPr="000955E8">
        <w:rPr>
          <w:lang w:val="es-ES"/>
        </w:rPr>
        <w:t>por</w:t>
      </w:r>
      <w:r w:rsidR="001362B0" w:rsidRPr="000955E8">
        <w:rPr>
          <w:lang w:val="es-ES"/>
        </w:rPr>
        <w:t xml:space="preserve"> la violación a los derechos a la vida, a la integridad personal, </w:t>
      </w:r>
      <w:r w:rsidR="00E665BC" w:rsidRPr="000955E8">
        <w:rPr>
          <w:lang w:val="es-ES"/>
        </w:rPr>
        <w:t>a la libertad personal</w:t>
      </w:r>
      <w:r w:rsidR="00991E53" w:rsidRPr="000955E8">
        <w:rPr>
          <w:lang w:val="es-ES"/>
        </w:rPr>
        <w:t xml:space="preserve"> </w:t>
      </w:r>
      <w:r w:rsidR="00E665BC" w:rsidRPr="000955E8">
        <w:rPr>
          <w:lang w:val="es-ES"/>
        </w:rPr>
        <w:t xml:space="preserve">e igualdad </w:t>
      </w:r>
      <w:r w:rsidR="00FC6101" w:rsidRPr="000955E8">
        <w:rPr>
          <w:lang w:val="es-ES"/>
        </w:rPr>
        <w:t>y no discriminación</w:t>
      </w:r>
      <w:r w:rsidR="00E665BC" w:rsidRPr="000955E8">
        <w:rPr>
          <w:lang w:val="es-ES"/>
        </w:rPr>
        <w:t>,</w:t>
      </w:r>
      <w:r w:rsidR="001362B0" w:rsidRPr="000955E8">
        <w:rPr>
          <w:lang w:val="es-ES"/>
        </w:rPr>
        <w:t xml:space="preserve"> establecidos en los artículos 4.1, 5.1,</w:t>
      </w:r>
      <w:r w:rsidR="00991E53" w:rsidRPr="000955E8">
        <w:rPr>
          <w:lang w:val="es-ES"/>
        </w:rPr>
        <w:t xml:space="preserve"> 5.2, 7.2, 7.3, 7.4 y </w:t>
      </w:r>
      <w:r w:rsidR="001362B0" w:rsidRPr="000955E8">
        <w:rPr>
          <w:lang w:val="es-ES"/>
        </w:rPr>
        <w:t>24 de la Convención Americana</w:t>
      </w:r>
      <w:r w:rsidR="006323FF" w:rsidRPr="000955E8">
        <w:rPr>
          <w:lang w:val="es-ES"/>
        </w:rPr>
        <w:t>,</w:t>
      </w:r>
      <w:r w:rsidR="001362B0" w:rsidRPr="000955E8">
        <w:rPr>
          <w:lang w:val="es-ES"/>
        </w:rPr>
        <w:t xml:space="preserve"> en relación con las obligaciones establecidas en </w:t>
      </w:r>
      <w:r w:rsidR="00991E53" w:rsidRPr="000955E8">
        <w:rPr>
          <w:lang w:val="es-ES"/>
        </w:rPr>
        <w:t>los</w:t>
      </w:r>
      <w:r w:rsidR="001362B0" w:rsidRPr="000955E8">
        <w:rPr>
          <w:lang w:val="es-ES"/>
        </w:rPr>
        <w:t xml:space="preserve"> artículo</w:t>
      </w:r>
      <w:r w:rsidR="00991E53" w:rsidRPr="000955E8">
        <w:rPr>
          <w:lang w:val="es-ES"/>
        </w:rPr>
        <w:t>s</w:t>
      </w:r>
      <w:r w:rsidR="001362B0" w:rsidRPr="000955E8">
        <w:rPr>
          <w:lang w:val="es-ES"/>
        </w:rPr>
        <w:t xml:space="preserve"> 1.1</w:t>
      </w:r>
      <w:r w:rsidR="00991E53" w:rsidRPr="000955E8">
        <w:rPr>
          <w:lang w:val="es-ES"/>
        </w:rPr>
        <w:t xml:space="preserve"> y 2</w:t>
      </w:r>
      <w:r w:rsidR="001362B0" w:rsidRPr="000955E8">
        <w:rPr>
          <w:lang w:val="es-ES"/>
        </w:rPr>
        <w:t xml:space="preserve"> del mismo instrumento</w:t>
      </w:r>
      <w:r w:rsidR="00DC7089" w:rsidRPr="000955E8">
        <w:rPr>
          <w:lang w:val="es-ES"/>
        </w:rPr>
        <w:t>, en perjuicio de José Delfín Acosta Martínez</w:t>
      </w:r>
      <w:r w:rsidR="00991E53" w:rsidRPr="000955E8">
        <w:rPr>
          <w:lang w:val="es-ES"/>
        </w:rPr>
        <w:t xml:space="preserve">. </w:t>
      </w:r>
      <w:r w:rsidR="00613424">
        <w:rPr>
          <w:lang w:val="es-ES"/>
        </w:rPr>
        <w:t xml:space="preserve"> </w:t>
      </w:r>
      <w:r w:rsidR="001734AA" w:rsidRPr="000955E8">
        <w:rPr>
          <w:lang w:val="es-ES"/>
        </w:rPr>
        <w:t xml:space="preserve">De igual manera, que concluya y declare la responsabilidad internacional de </w:t>
      </w:r>
      <w:r w:rsidR="005537BF" w:rsidRPr="000955E8">
        <w:rPr>
          <w:lang w:val="es-ES"/>
        </w:rPr>
        <w:t>Argentina</w:t>
      </w:r>
      <w:r w:rsidR="001734AA" w:rsidRPr="000955E8">
        <w:rPr>
          <w:lang w:val="es-ES"/>
        </w:rPr>
        <w:t xml:space="preserve"> por </w:t>
      </w:r>
      <w:r w:rsidR="00CD3D14" w:rsidRPr="000955E8">
        <w:rPr>
          <w:lang w:val="es-ES"/>
        </w:rPr>
        <w:t xml:space="preserve">la violación a la integridad personal, </w:t>
      </w:r>
      <w:r w:rsidR="001734AA" w:rsidRPr="000955E8">
        <w:rPr>
          <w:lang w:val="es-ES"/>
        </w:rPr>
        <w:t xml:space="preserve">a las garantías judiciales y protección judicial, establecidos en los artículos </w:t>
      </w:r>
      <w:r w:rsidR="00CD3D14" w:rsidRPr="000955E8">
        <w:rPr>
          <w:lang w:val="es-ES"/>
        </w:rPr>
        <w:t xml:space="preserve">5.1, </w:t>
      </w:r>
      <w:r w:rsidR="001734AA" w:rsidRPr="000955E8">
        <w:rPr>
          <w:lang w:val="es-ES"/>
        </w:rPr>
        <w:t>8.1 y 25.1</w:t>
      </w:r>
      <w:r w:rsidR="00613424">
        <w:rPr>
          <w:lang w:val="es-ES"/>
        </w:rPr>
        <w:t xml:space="preserve"> de la Convención Americana</w:t>
      </w:r>
      <w:r w:rsidR="001734AA" w:rsidRPr="000955E8">
        <w:rPr>
          <w:lang w:val="es-ES"/>
        </w:rPr>
        <w:t>, en relación con el artículo 1.1 del mismo instrumento</w:t>
      </w:r>
      <w:r w:rsidR="00991E53" w:rsidRPr="000955E8">
        <w:rPr>
          <w:lang w:val="es-ES"/>
        </w:rPr>
        <w:t>,</w:t>
      </w:r>
      <w:r w:rsidR="001734AA" w:rsidRPr="000955E8">
        <w:rPr>
          <w:lang w:val="es-ES"/>
        </w:rPr>
        <w:t xml:space="preserve"> en perjuicio de los familiares de</w:t>
      </w:r>
      <w:r w:rsidR="00991E53" w:rsidRPr="000955E8">
        <w:rPr>
          <w:lang w:val="es-ES"/>
        </w:rPr>
        <w:t xml:space="preserve"> José Delfín Acosta</w:t>
      </w:r>
      <w:r w:rsidR="00747B1B" w:rsidRPr="000955E8">
        <w:rPr>
          <w:lang w:val="es-ES"/>
        </w:rPr>
        <w:t xml:space="preserve"> Martínez</w:t>
      </w:r>
      <w:r w:rsidR="00CD3D14" w:rsidRPr="000955E8">
        <w:rPr>
          <w:lang w:val="es-ES"/>
        </w:rPr>
        <w:t xml:space="preserve">, </w:t>
      </w:r>
      <w:r w:rsidR="001362B0" w:rsidRPr="000955E8">
        <w:rPr>
          <w:lang w:val="es-ES"/>
        </w:rPr>
        <w:t>individualizados en el Informe de Fondo N° 1</w:t>
      </w:r>
      <w:r w:rsidR="00991E53" w:rsidRPr="000955E8">
        <w:rPr>
          <w:lang w:val="es-ES"/>
        </w:rPr>
        <w:t>46</w:t>
      </w:r>
      <w:r w:rsidR="001362B0" w:rsidRPr="000955E8">
        <w:rPr>
          <w:lang w:val="es-ES"/>
        </w:rPr>
        <w:t>/1</w:t>
      </w:r>
      <w:r w:rsidR="00991E53" w:rsidRPr="000955E8">
        <w:rPr>
          <w:lang w:val="es-ES"/>
        </w:rPr>
        <w:t>8</w:t>
      </w:r>
      <w:r w:rsidR="001362B0" w:rsidRPr="000955E8">
        <w:rPr>
          <w:lang w:val="es-ES"/>
        </w:rPr>
        <w:t>.</w:t>
      </w:r>
    </w:p>
    <w:p w:rsidR="00311BD2" w:rsidRPr="000955E8" w:rsidRDefault="00311BD2" w:rsidP="00311BD2">
      <w:pPr>
        <w:suppressAutoHyphens/>
        <w:spacing w:after="0" w:line="240" w:lineRule="auto"/>
        <w:ind w:firstLine="720"/>
        <w:jc w:val="both"/>
        <w:rPr>
          <w:lang w:val="es-ES"/>
        </w:rPr>
      </w:pPr>
    </w:p>
    <w:p w:rsidR="002D20E1" w:rsidRPr="000955E8" w:rsidRDefault="002D20E1" w:rsidP="00311BD2">
      <w:pPr>
        <w:autoSpaceDE w:val="0"/>
        <w:autoSpaceDN w:val="0"/>
        <w:adjustRightInd w:val="0"/>
        <w:spacing w:after="0" w:line="240" w:lineRule="auto"/>
        <w:ind w:firstLine="720"/>
        <w:jc w:val="both"/>
        <w:rPr>
          <w:lang w:val="es-CO"/>
        </w:rPr>
      </w:pPr>
      <w:r w:rsidRPr="000955E8">
        <w:rPr>
          <w:lang w:val="es-CO"/>
        </w:rPr>
        <w:t>En consecuencia, la Comisión solicita a la Corte que establezca las siguientes medidas de reparación:</w:t>
      </w:r>
    </w:p>
    <w:p w:rsidR="002D20E1" w:rsidRPr="000955E8" w:rsidRDefault="002D20E1" w:rsidP="00311BD2">
      <w:pPr>
        <w:tabs>
          <w:tab w:val="left" w:pos="720"/>
        </w:tabs>
        <w:autoSpaceDE w:val="0"/>
        <w:autoSpaceDN w:val="0"/>
        <w:adjustRightInd w:val="0"/>
        <w:spacing w:after="0" w:line="240" w:lineRule="auto"/>
        <w:ind w:left="720" w:right="720"/>
        <w:jc w:val="both"/>
        <w:rPr>
          <w:lang w:val="es-CO"/>
        </w:rPr>
      </w:pPr>
    </w:p>
    <w:p w:rsidR="00160349" w:rsidRPr="000955E8" w:rsidRDefault="00160349" w:rsidP="00160349">
      <w:pPr>
        <w:numPr>
          <w:ilvl w:val="0"/>
          <w:numId w:val="3"/>
        </w:numPr>
        <w:tabs>
          <w:tab w:val="left" w:pos="1080"/>
        </w:tabs>
        <w:spacing w:after="0" w:line="240" w:lineRule="auto"/>
        <w:ind w:right="720" w:firstLine="0"/>
        <w:jc w:val="both"/>
        <w:rPr>
          <w:lang w:val="es-US"/>
        </w:rPr>
      </w:pPr>
      <w:r w:rsidRPr="000955E8">
        <w:rPr>
          <w:lang w:val="es-US"/>
        </w:rPr>
        <w:t xml:space="preserve">Reparar integralmente las violaciones de derechos humanos declaradas en el </w:t>
      </w:r>
      <w:r w:rsidR="006323FF" w:rsidRPr="000955E8">
        <w:rPr>
          <w:lang w:val="es-US"/>
        </w:rPr>
        <w:t>I</w:t>
      </w:r>
      <w:r w:rsidRPr="000955E8">
        <w:rPr>
          <w:lang w:val="es-US"/>
        </w:rPr>
        <w:t>nforme</w:t>
      </w:r>
      <w:r w:rsidR="006323FF" w:rsidRPr="000955E8">
        <w:rPr>
          <w:lang w:val="es-US"/>
        </w:rPr>
        <w:t xml:space="preserve"> de </w:t>
      </w:r>
      <w:r w:rsidR="00991E53" w:rsidRPr="000955E8">
        <w:rPr>
          <w:lang w:val="es-US"/>
        </w:rPr>
        <w:t>F</w:t>
      </w:r>
      <w:r w:rsidR="006323FF" w:rsidRPr="000955E8">
        <w:rPr>
          <w:lang w:val="es-US"/>
        </w:rPr>
        <w:t>ondo N°1</w:t>
      </w:r>
      <w:r w:rsidR="00991E53" w:rsidRPr="000955E8">
        <w:rPr>
          <w:lang w:val="es-US"/>
        </w:rPr>
        <w:t>46</w:t>
      </w:r>
      <w:r w:rsidR="006323FF" w:rsidRPr="000955E8">
        <w:rPr>
          <w:lang w:val="es-US"/>
        </w:rPr>
        <w:t>/18</w:t>
      </w:r>
      <w:r w:rsidR="00A938D3" w:rsidRPr="000955E8">
        <w:rPr>
          <w:lang w:val="es-US"/>
        </w:rPr>
        <w:t>,</w:t>
      </w:r>
      <w:r w:rsidRPr="000955E8">
        <w:rPr>
          <w:lang w:val="es-US"/>
        </w:rPr>
        <w:t xml:space="preserve"> tanto en el aspecto material como moral.</w:t>
      </w:r>
      <w:r w:rsidR="00991E53" w:rsidRPr="000955E8">
        <w:rPr>
          <w:lang w:val="es-ES"/>
        </w:rPr>
        <w:t xml:space="preserve"> Esta reparación deberá incluir una indemnización, así como medidas de satisfacción y rehabilitación a favor de los familiares del señor José Delfín Acosta Martínez y en concertación con ellos.</w:t>
      </w:r>
    </w:p>
    <w:p w:rsidR="000D437A" w:rsidRPr="000955E8" w:rsidRDefault="000D437A" w:rsidP="00005BA6">
      <w:pPr>
        <w:tabs>
          <w:tab w:val="left" w:pos="1080"/>
        </w:tabs>
        <w:spacing w:after="0" w:line="240" w:lineRule="auto"/>
        <w:ind w:left="720" w:right="720"/>
        <w:jc w:val="both"/>
        <w:rPr>
          <w:lang w:val="es-US"/>
        </w:rPr>
      </w:pPr>
    </w:p>
    <w:p w:rsidR="00991E53" w:rsidRPr="000955E8" w:rsidRDefault="00991E53" w:rsidP="002F1C54">
      <w:pPr>
        <w:numPr>
          <w:ilvl w:val="0"/>
          <w:numId w:val="3"/>
        </w:numPr>
        <w:tabs>
          <w:tab w:val="left" w:pos="1080"/>
        </w:tabs>
        <w:spacing w:after="0" w:line="240" w:lineRule="auto"/>
        <w:ind w:right="720" w:firstLine="0"/>
        <w:jc w:val="both"/>
        <w:rPr>
          <w:lang w:val="es-ES"/>
        </w:rPr>
      </w:pPr>
      <w:r w:rsidRPr="000955E8">
        <w:rPr>
          <w:lang w:val="es-ES"/>
        </w:rPr>
        <w:t xml:space="preserve">Disponer las medidas necesarias para investigar penalmente y disciplinariamente de manera exhaustiva, diligente y en un plazo razonable, todas las responsabilidades derivadas de las violaciones declaradas en el </w:t>
      </w:r>
      <w:r w:rsidR="00F550FC" w:rsidRPr="000955E8">
        <w:rPr>
          <w:lang w:val="es-ES"/>
        </w:rPr>
        <w:t>I</w:t>
      </w:r>
      <w:r w:rsidRPr="000955E8">
        <w:rPr>
          <w:lang w:val="es-ES"/>
        </w:rPr>
        <w:t>nforme</w:t>
      </w:r>
      <w:r w:rsidR="00F550FC" w:rsidRPr="000955E8">
        <w:rPr>
          <w:lang w:val="es-ES"/>
        </w:rPr>
        <w:t xml:space="preserve"> de Fondo</w:t>
      </w:r>
      <w:r w:rsidR="00F550FC" w:rsidRPr="000955E8">
        <w:rPr>
          <w:lang w:val="es-US"/>
        </w:rPr>
        <w:t xml:space="preserve"> N°146/18</w:t>
      </w:r>
      <w:r w:rsidRPr="000955E8">
        <w:rPr>
          <w:lang w:val="es-ES"/>
        </w:rPr>
        <w:t>. Esta investigación deberá satisfacer los estándares descritos en</w:t>
      </w:r>
      <w:r w:rsidR="00F550FC" w:rsidRPr="000955E8">
        <w:rPr>
          <w:lang w:val="es-ES"/>
        </w:rPr>
        <w:t xml:space="preserve"> dicho </w:t>
      </w:r>
      <w:r w:rsidRPr="000955E8">
        <w:rPr>
          <w:lang w:val="es-ES"/>
        </w:rPr>
        <w:t xml:space="preserve">informe. </w:t>
      </w:r>
    </w:p>
    <w:p w:rsidR="002F1C54" w:rsidRPr="000955E8" w:rsidRDefault="002F1C54" w:rsidP="002F1C54">
      <w:pPr>
        <w:tabs>
          <w:tab w:val="left" w:pos="1080"/>
        </w:tabs>
        <w:spacing w:after="0" w:line="240" w:lineRule="auto"/>
        <w:ind w:right="720"/>
        <w:jc w:val="both"/>
        <w:rPr>
          <w:lang w:val="es-ES"/>
        </w:rPr>
      </w:pPr>
    </w:p>
    <w:p w:rsidR="00DE05C2" w:rsidRPr="000955E8" w:rsidRDefault="00991E53" w:rsidP="00DE05C2">
      <w:pPr>
        <w:numPr>
          <w:ilvl w:val="0"/>
          <w:numId w:val="3"/>
        </w:numPr>
        <w:tabs>
          <w:tab w:val="left" w:pos="1080"/>
        </w:tabs>
        <w:spacing w:after="0" w:line="240" w:lineRule="auto"/>
        <w:ind w:right="720" w:firstLine="0"/>
        <w:jc w:val="both"/>
        <w:rPr>
          <w:lang w:val="es-US"/>
        </w:rPr>
      </w:pPr>
      <w:r w:rsidRPr="000955E8">
        <w:rPr>
          <w:lang w:val="es-ES"/>
        </w:rPr>
        <w:t xml:space="preserve">Adoptar las medidas necesarias para evitar la repetición de los hechos del </w:t>
      </w:r>
      <w:r w:rsidR="00F550FC" w:rsidRPr="000955E8">
        <w:rPr>
          <w:lang w:val="es-ES"/>
        </w:rPr>
        <w:t xml:space="preserve"> presente caso, </w:t>
      </w:r>
      <w:r w:rsidRPr="000955E8">
        <w:rPr>
          <w:lang w:val="es-ES"/>
        </w:rPr>
        <w:t>incluyendo: i)</w:t>
      </w:r>
      <w:r w:rsidRPr="000955E8">
        <w:rPr>
          <w:lang w:val="es-MX"/>
        </w:rPr>
        <w:t xml:space="preserve"> asegurar que la legislación que regula la facultad de detener y requisar personas en la vía pública sobre la base de una sospecha de que está cometiendo un delito, se base en razones objetivas e incluya exigencias de justificación de dichas razones en cada caso</w:t>
      </w:r>
      <w:r w:rsidRPr="000955E8">
        <w:rPr>
          <w:lang w:val="es-ES"/>
        </w:rPr>
        <w:t xml:space="preserve">; ii) capacitar a los funcionarios estatales pertenecientes a cuerpos de seguridad sobre los estándares descritos en el </w:t>
      </w:r>
      <w:r w:rsidR="00F550FC" w:rsidRPr="000955E8">
        <w:rPr>
          <w:lang w:val="es-ES"/>
        </w:rPr>
        <w:t>Informe de Fondo</w:t>
      </w:r>
      <w:r w:rsidR="00F550FC" w:rsidRPr="000955E8">
        <w:rPr>
          <w:lang w:val="es-US"/>
        </w:rPr>
        <w:t xml:space="preserve"> N°146/18, </w:t>
      </w:r>
      <w:r w:rsidRPr="000955E8">
        <w:rPr>
          <w:lang w:val="es-ES"/>
        </w:rPr>
        <w:t>en cuanto a las obligaciones a su cargo de salvaguardar la vida e integridad de las personas bajo su custodia.</w:t>
      </w:r>
    </w:p>
    <w:p w:rsidR="00DE05C2" w:rsidRPr="000955E8" w:rsidRDefault="00DE05C2" w:rsidP="00DE05C2">
      <w:pPr>
        <w:pStyle w:val="Prrafodelista"/>
        <w:rPr>
          <w:rFonts w:ascii="Calibri" w:hAnsi="Calibri"/>
          <w:sz w:val="22"/>
          <w:szCs w:val="22"/>
          <w:lang w:val="es-US"/>
        </w:rPr>
      </w:pPr>
    </w:p>
    <w:p w:rsidR="00F550FC" w:rsidRPr="000955E8" w:rsidRDefault="002D20E1" w:rsidP="00C46FAC">
      <w:pPr>
        <w:spacing w:after="0" w:line="240" w:lineRule="auto"/>
        <w:ind w:firstLine="720"/>
        <w:jc w:val="both"/>
        <w:rPr>
          <w:rFonts w:cs="Arial"/>
          <w:lang w:val="es-CO"/>
        </w:rPr>
      </w:pPr>
      <w:r w:rsidRPr="000955E8">
        <w:rPr>
          <w:rFonts w:cs="Arial"/>
          <w:lang w:val="es-CL"/>
        </w:rPr>
        <w:t xml:space="preserve">Además de la necesidad de obtención de justicia, la Comisión </w:t>
      </w:r>
      <w:r w:rsidRPr="000955E8">
        <w:rPr>
          <w:rFonts w:cs="Arial"/>
          <w:lang w:val="es-AR"/>
        </w:rPr>
        <w:t xml:space="preserve">destaca que el presente caso </w:t>
      </w:r>
      <w:r w:rsidR="00EC1E04" w:rsidRPr="000955E8">
        <w:rPr>
          <w:rFonts w:cs="Arial"/>
          <w:lang w:val="es-AR"/>
        </w:rPr>
        <w:t xml:space="preserve">plantea cuestiones de orden público interamericano. </w:t>
      </w:r>
      <w:r w:rsidR="007405BF" w:rsidRPr="000955E8">
        <w:rPr>
          <w:rFonts w:cs="Arial"/>
          <w:lang w:val="es-AR"/>
        </w:rPr>
        <w:t xml:space="preserve">Específicamente, </w:t>
      </w:r>
      <w:r w:rsidR="00613424">
        <w:rPr>
          <w:rFonts w:cs="Arial"/>
          <w:lang w:val="es-AR"/>
        </w:rPr>
        <w:t xml:space="preserve">en </w:t>
      </w:r>
      <w:r w:rsidR="007405BF" w:rsidRPr="000955E8">
        <w:rPr>
          <w:rFonts w:cs="Arial"/>
          <w:lang w:val="es-CO"/>
        </w:rPr>
        <w:t xml:space="preserve">el presente caso la Corte </w:t>
      </w:r>
      <w:r w:rsidR="00613424">
        <w:rPr>
          <w:rFonts w:cs="Arial"/>
          <w:lang w:val="es-CO"/>
        </w:rPr>
        <w:t xml:space="preserve">Interamericana </w:t>
      </w:r>
      <w:r w:rsidR="007405BF" w:rsidRPr="000955E8">
        <w:rPr>
          <w:rFonts w:cs="Arial"/>
          <w:lang w:val="es-CO"/>
        </w:rPr>
        <w:t xml:space="preserve">podrá profundizar su </w:t>
      </w:r>
      <w:r w:rsidR="007405BF" w:rsidRPr="000955E8">
        <w:rPr>
          <w:lang w:val="es-CO"/>
        </w:rPr>
        <w:t xml:space="preserve">jurisprudencia sobre los requisitos y condiciones en las cuales las personas pueden ser detenidas por agentes policiales cuando no exista una orden judicial ni flagrancia. Particularmente, las salvaguardas para asegurar la legalidad y no arbitrariedad de facultades policiales de detención en base al criterio de “sospecha”, con fines de identificación o requisa. </w:t>
      </w:r>
      <w:r w:rsidR="00553F3A">
        <w:rPr>
          <w:lang w:val="es-CO"/>
        </w:rPr>
        <w:t xml:space="preserve"> </w:t>
      </w:r>
      <w:r w:rsidR="00C46FAC" w:rsidRPr="000955E8">
        <w:rPr>
          <w:lang w:val="es-CO"/>
        </w:rPr>
        <w:t>Además, el caso permitirá</w:t>
      </w:r>
      <w:r w:rsidR="00C46FAC" w:rsidRPr="000955E8">
        <w:rPr>
          <w:rFonts w:cs="Arial"/>
          <w:lang w:val="es-CO"/>
        </w:rPr>
        <w:t xml:space="preserve"> </w:t>
      </w:r>
      <w:r w:rsidR="00F550FC" w:rsidRPr="000955E8">
        <w:rPr>
          <w:rFonts w:cs="Arial"/>
          <w:lang w:val="es-CO"/>
        </w:rPr>
        <w:t xml:space="preserve">el desarrollo de la jurisprudencia interamericana en materia de derechos de las personas afrodescendientes. Específicamente, la Corte podrá pronunciarse respecto de privación de la libertad basada en perfil racial y podrá fortalecer su jurisprudencia respecto a garantías procesales y sustantivas que deben revestir </w:t>
      </w:r>
      <w:r w:rsidR="00553F3A">
        <w:rPr>
          <w:rFonts w:cs="Arial"/>
          <w:lang w:val="es-CO"/>
        </w:rPr>
        <w:t>las</w:t>
      </w:r>
      <w:r w:rsidR="00F550FC" w:rsidRPr="000955E8">
        <w:rPr>
          <w:rFonts w:cs="Arial"/>
          <w:lang w:val="es-CO"/>
        </w:rPr>
        <w:t xml:space="preserve"> detenciones, así como respecto de la obligación del Estado de salvaguardar la integridad física y vida de las personas que se encuentren bajo su custodia.</w:t>
      </w:r>
    </w:p>
    <w:p w:rsidR="00F550FC" w:rsidRDefault="00F550FC" w:rsidP="00BD4F56">
      <w:pPr>
        <w:spacing w:after="0" w:line="240" w:lineRule="auto"/>
        <w:ind w:firstLine="720"/>
        <w:jc w:val="both"/>
        <w:rPr>
          <w:rFonts w:cs="Arial"/>
          <w:lang w:val="es-AR"/>
        </w:rPr>
      </w:pPr>
    </w:p>
    <w:p w:rsidR="00387447" w:rsidRPr="000955E8" w:rsidRDefault="00387447" w:rsidP="00BD4F56">
      <w:pPr>
        <w:spacing w:after="0" w:line="240" w:lineRule="auto"/>
        <w:ind w:firstLine="720"/>
        <w:jc w:val="both"/>
        <w:rPr>
          <w:rFonts w:cs="Arial"/>
          <w:lang w:val="es-AR"/>
        </w:rPr>
      </w:pPr>
    </w:p>
    <w:p w:rsidR="002D20E1" w:rsidRPr="000955E8" w:rsidRDefault="002D20E1" w:rsidP="00311BD2">
      <w:pPr>
        <w:suppressAutoHyphens/>
        <w:spacing w:after="0" w:line="240" w:lineRule="auto"/>
        <w:ind w:firstLine="720"/>
        <w:jc w:val="both"/>
        <w:rPr>
          <w:rFonts w:cs="Arial"/>
          <w:lang w:val="es-CL"/>
        </w:rPr>
      </w:pPr>
      <w:r w:rsidRPr="000955E8">
        <w:rPr>
          <w:rFonts w:cs="Arial"/>
          <w:lang w:val="es-CL"/>
        </w:rPr>
        <w:t xml:space="preserve">En virtud de que estas cuestiones afectan de manera relevante el orden público interamericano, de conformidad con el </w:t>
      </w:r>
      <w:r w:rsidRPr="000955E8">
        <w:rPr>
          <w:rFonts w:cs="Arial"/>
          <w:lang w:val="es-AR"/>
        </w:rPr>
        <w:t>artículo</w:t>
      </w:r>
      <w:r w:rsidRPr="000955E8">
        <w:rPr>
          <w:rFonts w:cs="Arial"/>
          <w:lang w:val="es-CL"/>
        </w:rPr>
        <w:t xml:space="preserve"> 35.1 f) del Reglamento de la Corte Interamericana, la Comisión se permite ofrecer la siguiente declaraci</w:t>
      </w:r>
      <w:r w:rsidR="000A08E7">
        <w:rPr>
          <w:rFonts w:cs="Arial"/>
          <w:lang w:val="es-CL"/>
        </w:rPr>
        <w:t>ón</w:t>
      </w:r>
      <w:r w:rsidRPr="000955E8">
        <w:rPr>
          <w:rFonts w:cs="Arial"/>
          <w:lang w:val="es-CL"/>
        </w:rPr>
        <w:t xml:space="preserve"> pericial:</w:t>
      </w:r>
    </w:p>
    <w:p w:rsidR="002D20E1" w:rsidRPr="000955E8" w:rsidRDefault="002D20E1" w:rsidP="00311BD2">
      <w:pPr>
        <w:autoSpaceDE w:val="0"/>
        <w:autoSpaceDN w:val="0"/>
        <w:adjustRightInd w:val="0"/>
        <w:spacing w:after="0" w:line="240" w:lineRule="auto"/>
        <w:ind w:right="480"/>
        <w:jc w:val="both"/>
        <w:rPr>
          <w:rFonts w:cs="Arial"/>
          <w:lang w:val="es-CL"/>
        </w:rPr>
      </w:pPr>
    </w:p>
    <w:p w:rsidR="002D20E1" w:rsidRPr="000955E8" w:rsidRDefault="002D20E1" w:rsidP="005D2635">
      <w:pPr>
        <w:suppressAutoHyphens/>
        <w:spacing w:after="0" w:line="240" w:lineRule="auto"/>
        <w:ind w:firstLine="720"/>
        <w:jc w:val="both"/>
        <w:rPr>
          <w:lang w:val="es-ES"/>
        </w:rPr>
      </w:pPr>
      <w:r w:rsidRPr="000955E8">
        <w:rPr>
          <w:rFonts w:cs="Courier New"/>
          <w:b/>
          <w:lang w:val="es-ES_tradnl"/>
        </w:rPr>
        <w:t>Perito/a cuyo nombre será informado a la brevedad</w:t>
      </w:r>
      <w:r w:rsidRPr="000955E8">
        <w:rPr>
          <w:iCs/>
          <w:lang w:val="es-ES_tradnl"/>
        </w:rPr>
        <w:t xml:space="preserve">, </w:t>
      </w:r>
      <w:r w:rsidR="0096475B" w:rsidRPr="000955E8">
        <w:rPr>
          <w:lang w:val="es-ES"/>
        </w:rPr>
        <w:t>quien declarará sobre</w:t>
      </w:r>
      <w:r w:rsidR="006A6F86" w:rsidRPr="000955E8">
        <w:rPr>
          <w:lang w:val="es-ES"/>
        </w:rPr>
        <w:t xml:space="preserve"> </w:t>
      </w:r>
      <w:r w:rsidR="005D2635" w:rsidRPr="000955E8">
        <w:rPr>
          <w:lang w:val="es-PE"/>
        </w:rPr>
        <w:t>las obligaciones internacionales de los Estados</w:t>
      </w:r>
      <w:r w:rsidR="000A08E7">
        <w:rPr>
          <w:lang w:val="es-PE"/>
        </w:rPr>
        <w:t>,</w:t>
      </w:r>
      <w:r w:rsidR="005D2635" w:rsidRPr="000955E8">
        <w:rPr>
          <w:lang w:val="es-PE"/>
        </w:rPr>
        <w:t xml:space="preserve"> que resultan exigibles en el marco del otorgamiento de facultades de detención a </w:t>
      </w:r>
      <w:r w:rsidR="005D2635" w:rsidRPr="000955E8">
        <w:rPr>
          <w:rFonts w:cs="Arial"/>
          <w:lang w:val="es-CL"/>
        </w:rPr>
        <w:t>cuerpos</w:t>
      </w:r>
      <w:r w:rsidR="005D2635" w:rsidRPr="000955E8">
        <w:rPr>
          <w:lang w:val="es-PE"/>
        </w:rPr>
        <w:t xml:space="preserve"> de seguridad</w:t>
      </w:r>
      <w:r w:rsidR="000A08E7">
        <w:rPr>
          <w:lang w:val="es-PE"/>
        </w:rPr>
        <w:t>,</w:t>
      </w:r>
      <w:r w:rsidR="005D2635" w:rsidRPr="000955E8">
        <w:rPr>
          <w:lang w:val="es-PE"/>
        </w:rPr>
        <w:t xml:space="preserve"> cuando no exista orden de autoridad competente ni flagrancia, sino con base en la posible sospecha de cometer un delito o con fines de identificación o requisa. </w:t>
      </w:r>
      <w:r w:rsidR="000A08E7">
        <w:rPr>
          <w:lang w:val="es-PE"/>
        </w:rPr>
        <w:t xml:space="preserve"> </w:t>
      </w:r>
      <w:r w:rsidR="005D2635" w:rsidRPr="000955E8">
        <w:rPr>
          <w:lang w:val="es-PE"/>
        </w:rPr>
        <w:t>La persona experta se pronunciará sobre estándares de legalidad y no arbitrariedad para detener a personas bajo tales circunstancias. Igualmente, se pronunciará sobre los riesgos del otorgamiento amplio de facultades en esta materia, específicamente respecto del uso discriminatorio de las mismas y la presencia de perfiles raciales.</w:t>
      </w:r>
      <w:r w:rsidR="000A08E7">
        <w:rPr>
          <w:lang w:val="es-PE"/>
        </w:rPr>
        <w:t xml:space="preserve"> </w:t>
      </w:r>
      <w:r w:rsidR="005D2635" w:rsidRPr="000955E8">
        <w:rPr>
          <w:lang w:val="es-PE"/>
        </w:rPr>
        <w:t xml:space="preserve"> Al respecto, se referirá a </w:t>
      </w:r>
      <w:r w:rsidR="006A6F86" w:rsidRPr="000955E8">
        <w:rPr>
          <w:lang w:val="es-ES"/>
        </w:rPr>
        <w:t xml:space="preserve">patrones de </w:t>
      </w:r>
      <w:r w:rsidR="006C09C1" w:rsidRPr="000955E8">
        <w:rPr>
          <w:lang w:val="es-ES"/>
        </w:rPr>
        <w:t>discriminación</w:t>
      </w:r>
      <w:r w:rsidR="006A6F86" w:rsidRPr="000955E8">
        <w:rPr>
          <w:lang w:val="es-ES"/>
        </w:rPr>
        <w:t xml:space="preserve"> y uso excesivo de la fuerza, relacionad</w:t>
      </w:r>
      <w:r w:rsidR="00F716F5" w:rsidRPr="000955E8">
        <w:rPr>
          <w:lang w:val="es-ES"/>
        </w:rPr>
        <w:t>o</w:t>
      </w:r>
      <w:r w:rsidR="006A6F86" w:rsidRPr="000955E8">
        <w:rPr>
          <w:lang w:val="es-ES"/>
        </w:rPr>
        <w:t>s con detenciones por perfil</w:t>
      </w:r>
      <w:r w:rsidR="006C09C1" w:rsidRPr="000955E8">
        <w:rPr>
          <w:lang w:val="es-ES"/>
        </w:rPr>
        <w:t xml:space="preserve"> racial</w:t>
      </w:r>
      <w:r w:rsidR="006A6F86" w:rsidRPr="000955E8">
        <w:rPr>
          <w:lang w:val="es-ES"/>
        </w:rPr>
        <w:t xml:space="preserve">. </w:t>
      </w:r>
      <w:r w:rsidR="000A08E7">
        <w:rPr>
          <w:lang w:val="es-ES"/>
        </w:rPr>
        <w:t xml:space="preserve"> </w:t>
      </w:r>
      <w:r w:rsidR="006A6F86" w:rsidRPr="000955E8">
        <w:rPr>
          <w:lang w:val="es-ES"/>
        </w:rPr>
        <w:t>Además, el/la perito/a analizará la manera en que la vigencia de prácticas y políticas discriminatorias pueden incidir en</w:t>
      </w:r>
      <w:r w:rsidR="00A1678B" w:rsidRPr="000955E8">
        <w:rPr>
          <w:lang w:val="es-ES"/>
        </w:rPr>
        <w:t xml:space="preserve"> </w:t>
      </w:r>
      <w:r w:rsidR="006A6F86" w:rsidRPr="000955E8">
        <w:rPr>
          <w:lang w:val="es-ES"/>
        </w:rPr>
        <w:t>el incumplimiento del deber de investigar con la debida diligencia.</w:t>
      </w:r>
      <w:r w:rsidR="00A1678B" w:rsidRPr="000955E8">
        <w:rPr>
          <w:lang w:val="es-ES"/>
        </w:rPr>
        <w:t xml:space="preserve"> </w:t>
      </w:r>
      <w:r w:rsidR="00006CFA" w:rsidRPr="000955E8">
        <w:rPr>
          <w:lang w:val="es-ES"/>
        </w:rPr>
        <w:t xml:space="preserve"> </w:t>
      </w:r>
      <w:r w:rsidR="000D44E6" w:rsidRPr="000955E8">
        <w:rPr>
          <w:lang w:val="es-ES"/>
        </w:rPr>
        <w:t xml:space="preserve">El/la perito/a analizará los hechos del caso a la luz de los contenidos de su peritaje. </w:t>
      </w:r>
    </w:p>
    <w:p w:rsidR="003915AA" w:rsidRPr="000955E8" w:rsidRDefault="003915AA" w:rsidP="0002465D">
      <w:pPr>
        <w:pStyle w:val="Textosinformato"/>
        <w:tabs>
          <w:tab w:val="left" w:pos="8910"/>
        </w:tabs>
        <w:ind w:right="630"/>
        <w:jc w:val="both"/>
        <w:rPr>
          <w:szCs w:val="22"/>
          <w:lang w:val="es-ES"/>
        </w:rPr>
      </w:pPr>
    </w:p>
    <w:p w:rsidR="002D20E1" w:rsidRPr="000955E8" w:rsidRDefault="000A5A59" w:rsidP="00311BD2">
      <w:pPr>
        <w:tabs>
          <w:tab w:val="left" w:pos="0"/>
        </w:tabs>
        <w:spacing w:after="0" w:line="240" w:lineRule="auto"/>
        <w:ind w:firstLine="720"/>
        <w:jc w:val="both"/>
        <w:rPr>
          <w:lang w:val="es-CO"/>
        </w:rPr>
      </w:pPr>
      <w:r w:rsidRPr="000955E8">
        <w:rPr>
          <w:rFonts w:cs="Courier New"/>
          <w:lang w:val="es-ES_tradnl"/>
        </w:rPr>
        <w:t xml:space="preserve">El </w:t>
      </w:r>
      <w:r w:rsidR="002D20E1" w:rsidRPr="000955E8">
        <w:rPr>
          <w:rFonts w:cs="Courier New"/>
          <w:lang w:val="es-ES_tradnl"/>
        </w:rPr>
        <w:t xml:space="preserve">CV </w:t>
      </w:r>
      <w:r w:rsidR="002D20E1" w:rsidRPr="000955E8">
        <w:rPr>
          <w:lang w:val="es-AR"/>
        </w:rPr>
        <w:t>de</w:t>
      </w:r>
      <w:r w:rsidR="000A08E7">
        <w:rPr>
          <w:lang w:val="es-AR"/>
        </w:rPr>
        <w:t>l/</w:t>
      </w:r>
      <w:r w:rsidR="002D20E1" w:rsidRPr="000955E8">
        <w:rPr>
          <w:lang w:val="es-AR"/>
        </w:rPr>
        <w:t>l</w:t>
      </w:r>
      <w:r w:rsidRPr="000955E8">
        <w:rPr>
          <w:lang w:val="es-AR"/>
        </w:rPr>
        <w:t xml:space="preserve">a </w:t>
      </w:r>
      <w:r w:rsidR="000A08E7">
        <w:rPr>
          <w:lang w:val="es-AR"/>
        </w:rPr>
        <w:t>perito/a</w:t>
      </w:r>
      <w:r w:rsidRPr="000955E8">
        <w:rPr>
          <w:lang w:val="es-AR"/>
        </w:rPr>
        <w:t xml:space="preserve"> </w:t>
      </w:r>
      <w:r w:rsidR="002D20E1" w:rsidRPr="000955E8">
        <w:rPr>
          <w:lang w:val="es-CO"/>
        </w:rPr>
        <w:t>será incluido en los anexos al</w:t>
      </w:r>
      <w:r w:rsidR="00405CA7" w:rsidRPr="000955E8">
        <w:rPr>
          <w:lang w:val="es-CO"/>
        </w:rPr>
        <w:t xml:space="preserve"> I</w:t>
      </w:r>
      <w:r w:rsidR="002D20E1" w:rsidRPr="000955E8">
        <w:rPr>
          <w:lang w:val="es-CO"/>
        </w:rPr>
        <w:t xml:space="preserve">nforme de </w:t>
      </w:r>
      <w:r w:rsidR="00405CA7" w:rsidRPr="000955E8">
        <w:rPr>
          <w:lang w:val="es-CO"/>
        </w:rPr>
        <w:t>F</w:t>
      </w:r>
      <w:r w:rsidR="002D20E1" w:rsidRPr="000955E8">
        <w:rPr>
          <w:lang w:val="es-CO"/>
        </w:rPr>
        <w:t xml:space="preserve">ondo </w:t>
      </w:r>
      <w:r w:rsidR="00405CA7" w:rsidRPr="000955E8">
        <w:rPr>
          <w:lang w:val="es-CO"/>
        </w:rPr>
        <w:t>N° 1</w:t>
      </w:r>
      <w:r w:rsidR="005C28A4" w:rsidRPr="000955E8">
        <w:rPr>
          <w:lang w:val="es-CO"/>
        </w:rPr>
        <w:t>46</w:t>
      </w:r>
      <w:r w:rsidR="002D20E1" w:rsidRPr="000955E8">
        <w:rPr>
          <w:lang w:val="es-CO"/>
        </w:rPr>
        <w:t>/1</w:t>
      </w:r>
      <w:r w:rsidR="00405CA7" w:rsidRPr="000955E8">
        <w:rPr>
          <w:lang w:val="es-CO"/>
        </w:rPr>
        <w:t>8</w:t>
      </w:r>
      <w:r w:rsidR="002D20E1" w:rsidRPr="000955E8">
        <w:rPr>
          <w:lang w:val="es-CO"/>
        </w:rPr>
        <w:t xml:space="preserve">. </w:t>
      </w:r>
    </w:p>
    <w:p w:rsidR="002D20E1" w:rsidRPr="000955E8" w:rsidRDefault="002D20E1" w:rsidP="00311BD2">
      <w:pPr>
        <w:tabs>
          <w:tab w:val="left" w:pos="0"/>
        </w:tabs>
        <w:spacing w:after="0" w:line="240" w:lineRule="auto"/>
        <w:jc w:val="both"/>
        <w:rPr>
          <w:lang w:val="es-CO"/>
        </w:rPr>
      </w:pPr>
    </w:p>
    <w:p w:rsidR="002D20E1" w:rsidRPr="000955E8" w:rsidRDefault="002D20E1" w:rsidP="00311BD2">
      <w:pPr>
        <w:suppressAutoHyphens/>
        <w:spacing w:after="0" w:line="240" w:lineRule="auto"/>
        <w:ind w:firstLine="720"/>
        <w:jc w:val="both"/>
        <w:rPr>
          <w:lang w:val="es-ES_tradnl"/>
        </w:rPr>
      </w:pPr>
      <w:r w:rsidRPr="000955E8">
        <w:rPr>
          <w:lang w:val="es-ES_tradnl"/>
        </w:rPr>
        <w:t xml:space="preserve">La Comisión pone en conocimiento de la Corte la siguiente información sobre quienes actuaron </w:t>
      </w:r>
      <w:r w:rsidRPr="000955E8">
        <w:rPr>
          <w:iCs/>
          <w:lang w:val="es-ES_tradnl"/>
        </w:rPr>
        <w:t>como</w:t>
      </w:r>
      <w:r w:rsidRPr="000955E8">
        <w:rPr>
          <w:lang w:val="es-ES_tradnl"/>
        </w:rPr>
        <w:t xml:space="preserve"> peticionarios a lo largo del trámite del caso: </w:t>
      </w:r>
    </w:p>
    <w:p w:rsidR="002D20E1" w:rsidRPr="000955E8" w:rsidRDefault="002D20E1" w:rsidP="00F101F3">
      <w:pPr>
        <w:suppressAutoHyphens/>
        <w:spacing w:after="0" w:line="240" w:lineRule="auto"/>
        <w:jc w:val="center"/>
        <w:rPr>
          <w:lang w:val="es-ES_tradnl"/>
        </w:rPr>
      </w:pPr>
    </w:p>
    <w:p w:rsidR="009D3A5A" w:rsidRPr="000955E8" w:rsidRDefault="005C28A4" w:rsidP="00F101F3">
      <w:pPr>
        <w:spacing w:after="0" w:line="240" w:lineRule="auto"/>
        <w:jc w:val="center"/>
        <w:rPr>
          <w:lang w:val="es-PE"/>
        </w:rPr>
      </w:pPr>
      <w:r w:rsidRPr="000955E8">
        <w:rPr>
          <w:lang w:val="es-ES_tradnl"/>
        </w:rPr>
        <w:t xml:space="preserve">Ángel Acosta Martinez </w:t>
      </w:r>
    </w:p>
    <w:p w:rsidR="009D3A5A" w:rsidRPr="000955E8" w:rsidRDefault="007939F3" w:rsidP="00F101F3">
      <w:pPr>
        <w:spacing w:after="0" w:line="240" w:lineRule="auto"/>
        <w:jc w:val="center"/>
        <w:rPr>
          <w:lang w:val="es-PE"/>
        </w:rPr>
      </w:pPr>
      <w:r w:rsidRPr="007939F3">
        <w:rPr>
          <w:highlight w:val="black"/>
          <w:lang w:val="es-PE"/>
        </w:rPr>
        <w:t>xxxxxxxxxxxxxxxxxxxxxxxxxxxxx</w:t>
      </w:r>
    </w:p>
    <w:p w:rsidR="000A08E7" w:rsidRDefault="000A08E7" w:rsidP="00F101F3">
      <w:pPr>
        <w:spacing w:after="0" w:line="240" w:lineRule="auto"/>
        <w:jc w:val="center"/>
        <w:rPr>
          <w:lang w:val="es-PE"/>
        </w:rPr>
      </w:pPr>
    </w:p>
    <w:p w:rsidR="005C28A4" w:rsidRPr="000955E8" w:rsidRDefault="005C28A4" w:rsidP="00F101F3">
      <w:pPr>
        <w:spacing w:after="0" w:line="240" w:lineRule="auto"/>
        <w:jc w:val="center"/>
        <w:rPr>
          <w:lang w:val="es-PE"/>
        </w:rPr>
      </w:pPr>
      <w:r w:rsidRPr="000955E8">
        <w:rPr>
          <w:lang w:val="es-PE"/>
        </w:rPr>
        <w:t>Paola Gabriela Canova</w:t>
      </w:r>
    </w:p>
    <w:p w:rsidR="005C28A4" w:rsidRPr="000955E8" w:rsidRDefault="005C28A4" w:rsidP="00F101F3">
      <w:pPr>
        <w:spacing w:after="0" w:line="240" w:lineRule="auto"/>
        <w:jc w:val="center"/>
        <w:rPr>
          <w:lang w:val="es-PE"/>
        </w:rPr>
      </w:pPr>
      <w:r w:rsidRPr="000955E8">
        <w:rPr>
          <w:lang w:val="es-PE"/>
        </w:rPr>
        <w:t>Asociación El Trapito</w:t>
      </w:r>
    </w:p>
    <w:p w:rsidR="005C28A4" w:rsidRPr="000955E8" w:rsidRDefault="007939F3" w:rsidP="00F101F3">
      <w:pPr>
        <w:spacing w:after="0" w:line="240" w:lineRule="auto"/>
        <w:jc w:val="center"/>
        <w:rPr>
          <w:lang w:val="es-PE"/>
        </w:rPr>
      </w:pPr>
      <w:r w:rsidRPr="007939F3">
        <w:rPr>
          <w:highlight w:val="black"/>
          <w:lang w:val="es-PE"/>
        </w:rPr>
        <w:t>xxxxxxxxxxxxxxxxxxxxxxxxxxxxxxx</w:t>
      </w:r>
    </w:p>
    <w:p w:rsidR="005C28A4" w:rsidRPr="000955E8" w:rsidRDefault="005C28A4" w:rsidP="00F101F3">
      <w:pPr>
        <w:spacing w:after="0" w:line="240" w:lineRule="auto"/>
        <w:jc w:val="center"/>
        <w:rPr>
          <w:lang w:val="es-PE"/>
        </w:rPr>
      </w:pPr>
    </w:p>
    <w:p w:rsidR="009D3A5A" w:rsidRPr="000955E8" w:rsidRDefault="009D3A5A" w:rsidP="00F101F3">
      <w:pPr>
        <w:spacing w:after="0" w:line="240" w:lineRule="auto"/>
        <w:jc w:val="center"/>
        <w:rPr>
          <w:lang w:val="es-PE"/>
        </w:rPr>
      </w:pPr>
      <w:r w:rsidRPr="000955E8">
        <w:rPr>
          <w:lang w:val="es-PE"/>
        </w:rPr>
        <w:t>C</w:t>
      </w:r>
      <w:r w:rsidR="005C28A4" w:rsidRPr="000955E8">
        <w:rPr>
          <w:lang w:val="es-PE"/>
        </w:rPr>
        <w:t>ISALP – Centro de Investigaciones Sociales y Asesorías Legales Populares</w:t>
      </w:r>
    </w:p>
    <w:p w:rsidR="005C28A4" w:rsidRPr="000955E8" w:rsidRDefault="007939F3" w:rsidP="009D3A5A">
      <w:pPr>
        <w:spacing w:after="0" w:line="240" w:lineRule="auto"/>
        <w:jc w:val="center"/>
        <w:rPr>
          <w:lang w:val="es-PE"/>
        </w:rPr>
      </w:pPr>
      <w:r w:rsidRPr="007939F3">
        <w:rPr>
          <w:highlight w:val="black"/>
          <w:lang w:val="es-PE"/>
        </w:rPr>
        <w:t>xxxxxxxxxxxxxxxxxxxxxxxxxxxxxxxxxx</w:t>
      </w:r>
    </w:p>
    <w:p w:rsidR="005C28A4" w:rsidRPr="000955E8" w:rsidRDefault="005C28A4" w:rsidP="009D3A5A">
      <w:pPr>
        <w:spacing w:after="0" w:line="240" w:lineRule="auto"/>
        <w:jc w:val="center"/>
        <w:rPr>
          <w:lang w:val="es-PE"/>
        </w:rPr>
      </w:pPr>
    </w:p>
    <w:p w:rsidR="002D20E1" w:rsidRPr="000955E8" w:rsidRDefault="002D20E1" w:rsidP="000955E8">
      <w:pPr>
        <w:spacing w:after="0" w:line="240" w:lineRule="auto"/>
        <w:rPr>
          <w:rFonts w:cs="Arial"/>
          <w:sz w:val="24"/>
          <w:szCs w:val="24"/>
          <w:lang w:val="es-ES_tradnl"/>
        </w:rPr>
      </w:pPr>
    </w:p>
    <w:p w:rsidR="002D20E1" w:rsidRPr="000955E8" w:rsidRDefault="002D20E1" w:rsidP="00311BD2">
      <w:pPr>
        <w:tabs>
          <w:tab w:val="left" w:pos="0"/>
        </w:tabs>
        <w:spacing w:after="0" w:line="240" w:lineRule="auto"/>
        <w:ind w:firstLine="720"/>
        <w:jc w:val="both"/>
        <w:rPr>
          <w:rFonts w:cs="Arial"/>
          <w:lang w:val="es-CO"/>
        </w:rPr>
      </w:pPr>
      <w:r w:rsidRPr="000955E8">
        <w:rPr>
          <w:rFonts w:cs="Arial"/>
          <w:lang w:val="es-CO"/>
        </w:rPr>
        <w:t>Aprovecho la oportunidad para saludar a usted muy atentamente,</w:t>
      </w:r>
    </w:p>
    <w:p w:rsidR="002D20E1" w:rsidRPr="000955E8" w:rsidRDefault="002D20E1" w:rsidP="00311BD2">
      <w:pPr>
        <w:suppressAutoHyphens/>
        <w:spacing w:after="0" w:line="240" w:lineRule="auto"/>
        <w:ind w:left="5040"/>
        <w:rPr>
          <w:rFonts w:cs="Arial"/>
          <w:snapToGrid w:val="0"/>
          <w:lang w:val="es-CO"/>
        </w:rPr>
      </w:pPr>
    </w:p>
    <w:p w:rsidR="005A4D71" w:rsidRDefault="005A4D71" w:rsidP="00311BD2">
      <w:pPr>
        <w:suppressAutoHyphens/>
        <w:spacing w:after="0" w:line="240" w:lineRule="auto"/>
        <w:ind w:left="5040"/>
        <w:rPr>
          <w:rFonts w:cs="Arial"/>
          <w:snapToGrid w:val="0"/>
          <w:lang w:val="es-CO"/>
        </w:rPr>
      </w:pPr>
    </w:p>
    <w:p w:rsidR="0086719E" w:rsidRPr="000955E8" w:rsidRDefault="0086719E" w:rsidP="00311BD2">
      <w:pPr>
        <w:suppressAutoHyphens/>
        <w:spacing w:after="0" w:line="240" w:lineRule="auto"/>
        <w:ind w:left="5040"/>
        <w:rPr>
          <w:rFonts w:cs="Arial"/>
          <w:snapToGrid w:val="0"/>
          <w:lang w:val="es-CO"/>
        </w:rPr>
      </w:pPr>
    </w:p>
    <w:p w:rsidR="00192C1D" w:rsidRPr="000955E8" w:rsidRDefault="00192C1D" w:rsidP="00F101F3">
      <w:pPr>
        <w:tabs>
          <w:tab w:val="left" w:pos="810"/>
        </w:tabs>
        <w:suppressAutoHyphens/>
        <w:spacing w:after="0" w:line="240" w:lineRule="auto"/>
        <w:rPr>
          <w:rFonts w:cs="Arial"/>
          <w:lang w:val="es-CO"/>
        </w:rPr>
      </w:pPr>
    </w:p>
    <w:p w:rsidR="00192C1D" w:rsidRPr="000955E8" w:rsidRDefault="00192C1D" w:rsidP="00F101F3">
      <w:pPr>
        <w:tabs>
          <w:tab w:val="left" w:pos="810"/>
        </w:tabs>
        <w:suppressAutoHyphens/>
        <w:spacing w:after="0" w:line="240" w:lineRule="auto"/>
        <w:ind w:left="3600" w:firstLine="720"/>
        <w:rPr>
          <w:rFonts w:cs="Arial"/>
          <w:i/>
          <w:lang w:val="es-CO"/>
        </w:rPr>
      </w:pPr>
      <w:r w:rsidRPr="000955E8">
        <w:rPr>
          <w:rFonts w:cs="Arial"/>
          <w:lang w:val="es-CO"/>
        </w:rPr>
        <w:tab/>
        <w:t>Paulo Abr</w:t>
      </w:r>
      <w:r w:rsidRPr="000955E8">
        <w:rPr>
          <w:rFonts w:cs="Arial"/>
          <w:lang w:val="es-MX"/>
        </w:rPr>
        <w:t xml:space="preserve">ão </w:t>
      </w:r>
    </w:p>
    <w:p w:rsidR="00AF740E" w:rsidRPr="000955E8" w:rsidRDefault="00192C1D" w:rsidP="00F101F3">
      <w:pPr>
        <w:spacing w:after="0" w:line="240" w:lineRule="auto"/>
        <w:rPr>
          <w:rFonts w:cs="Arial"/>
          <w:lang w:val="es-CO"/>
        </w:rPr>
      </w:pPr>
      <w:r w:rsidRPr="000955E8">
        <w:rPr>
          <w:rFonts w:cs="Arial"/>
          <w:lang w:val="es-CO"/>
        </w:rPr>
        <w:t xml:space="preserve"> </w:t>
      </w:r>
      <w:r w:rsidRPr="000955E8">
        <w:rPr>
          <w:rFonts w:cs="Arial"/>
          <w:lang w:val="es-CO"/>
        </w:rPr>
        <w:tab/>
      </w:r>
      <w:r w:rsidRPr="000955E8">
        <w:rPr>
          <w:rFonts w:cs="Arial"/>
          <w:lang w:val="es-CO"/>
        </w:rPr>
        <w:tab/>
      </w:r>
      <w:r w:rsidRPr="000955E8">
        <w:rPr>
          <w:rFonts w:cs="Arial"/>
          <w:lang w:val="es-CO"/>
        </w:rPr>
        <w:tab/>
      </w:r>
      <w:r w:rsidRPr="000955E8">
        <w:rPr>
          <w:rFonts w:cs="Arial"/>
          <w:lang w:val="es-CO"/>
        </w:rPr>
        <w:tab/>
      </w:r>
      <w:r w:rsidRPr="000955E8">
        <w:rPr>
          <w:rFonts w:cs="Arial"/>
          <w:lang w:val="es-CO"/>
        </w:rPr>
        <w:tab/>
        <w:t xml:space="preserve">        </w:t>
      </w:r>
      <w:r w:rsidRPr="000955E8">
        <w:rPr>
          <w:rFonts w:cs="Arial"/>
          <w:lang w:val="es-CO"/>
        </w:rPr>
        <w:tab/>
        <w:t xml:space="preserve">        Secretario Ejecutivo</w:t>
      </w:r>
    </w:p>
    <w:p w:rsidR="00AF740E" w:rsidRPr="000955E8" w:rsidRDefault="00AF740E" w:rsidP="00F101F3">
      <w:pPr>
        <w:spacing w:after="0" w:line="240" w:lineRule="auto"/>
        <w:rPr>
          <w:rFonts w:cs="Arial"/>
          <w:lang w:val="es-CO"/>
        </w:rPr>
      </w:pPr>
    </w:p>
    <w:p w:rsidR="008E774F" w:rsidRPr="000955E8" w:rsidRDefault="00AF740E" w:rsidP="00F101F3">
      <w:pPr>
        <w:spacing w:after="0" w:line="240" w:lineRule="auto"/>
      </w:pPr>
      <w:r w:rsidRPr="000955E8">
        <w:rPr>
          <w:rFonts w:cs="Arial"/>
          <w:snapToGrid w:val="0"/>
          <w:lang w:val="es-CO"/>
        </w:rPr>
        <w:t>Anexo</w:t>
      </w:r>
    </w:p>
    <w:sectPr w:rsidR="008E774F" w:rsidRPr="000955E8" w:rsidSect="00135C54">
      <w:headerReference w:type="default" r:id="rId8"/>
      <w:footerReference w:type="default" r:id="rId9"/>
      <w:headerReference w:type="first" r:id="rId10"/>
      <w:footerReference w:type="first" r:id="rId11"/>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F50" w:rsidRDefault="00A16F50">
      <w:pPr>
        <w:spacing w:after="0" w:line="240" w:lineRule="auto"/>
      </w:pPr>
      <w:r>
        <w:separator/>
      </w:r>
    </w:p>
  </w:endnote>
  <w:endnote w:type="continuationSeparator" w:id="0">
    <w:p w:rsidR="00A16F50" w:rsidRDefault="00A1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Pr="00A72869" w:rsidRDefault="00135C54">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BD40A9">
      <w:rPr>
        <w:noProof/>
        <w:color w:val="7F7F7F"/>
        <w:sz w:val="16"/>
      </w:rPr>
      <w:t>2</w:t>
    </w:r>
    <w:r w:rsidRPr="00A72869">
      <w:rPr>
        <w:noProof/>
        <w:color w:val="7F7F7F"/>
        <w:sz w:val="16"/>
      </w:rPr>
      <w:fldChar w:fldCharType="end"/>
    </w:r>
  </w:p>
  <w:p w:rsidR="00387447" w:rsidRDefault="00387447" w:rsidP="00387447">
    <w:pPr>
      <w:pStyle w:val="Piedepgina"/>
      <w:spacing w:line="360" w:lineRule="auto"/>
    </w:pPr>
    <w:r>
      <w:pict>
        <v:rect id="_x0000_i1028" style="width:0;height:1.5pt" o:hralign="center" o:hrstd="t" o:hr="t" fillcolor="#a0a0a0" stroked="f"/>
      </w:pict>
    </w:r>
  </w:p>
  <w:p w:rsidR="00387447" w:rsidRDefault="00BD40A9" w:rsidP="00387447">
    <w:pPr>
      <w:pStyle w:val="Piedepgina"/>
      <w:jc w:val="center"/>
    </w:pPr>
    <w:r w:rsidRPr="008A5CB5">
      <w:rPr>
        <w:noProof/>
      </w:rPr>
      <w:drawing>
        <wp:inline distT="0" distB="0" distL="0" distR="0">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p w:rsidR="00135C54" w:rsidRDefault="00135C5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Default="00135C54" w:rsidP="00135C54">
    <w:pPr>
      <w:pStyle w:val="Piedepgina"/>
      <w:spacing w:line="360" w:lineRule="auto"/>
    </w:pPr>
    <w:r>
      <w:pict>
        <v:rect id="_x0000_i1026" style="width:0;height:1.5pt" o:hralign="center" o:hrstd="t" o:hr="t" fillcolor="#a0a0a0" stroked="f"/>
      </w:pict>
    </w:r>
  </w:p>
  <w:p w:rsidR="00135C54" w:rsidRDefault="00BD40A9" w:rsidP="00135C54">
    <w:pPr>
      <w:pStyle w:val="Piedepgina"/>
      <w:jc w:val="center"/>
    </w:pPr>
    <w:r w:rsidRPr="008A5CB5">
      <w:rPr>
        <w:noProof/>
      </w:rPr>
      <w:drawing>
        <wp:inline distT="0" distB="0" distL="0" distR="0">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F50" w:rsidRDefault="00A16F50">
      <w:pPr>
        <w:spacing w:after="0" w:line="240" w:lineRule="auto"/>
      </w:pPr>
      <w:r>
        <w:separator/>
      </w:r>
    </w:p>
  </w:footnote>
  <w:footnote w:type="continuationSeparator" w:id="0">
    <w:p w:rsidR="00A16F50" w:rsidRDefault="00A16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Pr="0058688A" w:rsidRDefault="00BD40A9" w:rsidP="00135C54">
    <w:pPr>
      <w:pStyle w:val="Encabezado"/>
      <w:jc w:val="center"/>
      <w:rPr>
        <w:lang w:val="es-ES_tradnl"/>
      </w:rPr>
    </w:pPr>
    <w:r>
      <w:rPr>
        <w:noProof/>
      </w:rPr>
      <w:drawing>
        <wp:inline distT="0" distB="0" distL="0" distR="0">
          <wp:extent cx="2286000" cy="123825"/>
          <wp:effectExtent l="0" t="0" r="0" b="0"/>
          <wp:docPr id="5" name="Imagen 5"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rsidR="00135C54" w:rsidRDefault="00135C54">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Default="00BD40A9" w:rsidP="00135C54">
    <w:pPr>
      <w:pStyle w:val="Encabezado"/>
    </w:pPr>
    <w:r w:rsidRPr="008A5CB5">
      <w:rPr>
        <w:noProof/>
      </w:rPr>
      <w:drawing>
        <wp:inline distT="0" distB="0" distL="0" distR="0">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35C54">
      <w:tab/>
    </w:r>
    <w:r w:rsidR="00135C54">
      <w:tab/>
    </w:r>
    <w:r w:rsidRPr="008A5CB5">
      <w:rPr>
        <w:noProof/>
      </w:rPr>
      <w:drawing>
        <wp:inline distT="0" distB="0" distL="0" distR="0">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rsidR="00135C54" w:rsidRDefault="00135C54" w:rsidP="00135C54">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7DB617F"/>
    <w:multiLevelType w:val="hybridMultilevel"/>
    <w:tmpl w:val="BD76D71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E1"/>
    <w:rsid w:val="00005BA6"/>
    <w:rsid w:val="00006CFA"/>
    <w:rsid w:val="0002465D"/>
    <w:rsid w:val="0002582D"/>
    <w:rsid w:val="000955E8"/>
    <w:rsid w:val="000A08E7"/>
    <w:rsid w:val="000A5A59"/>
    <w:rsid w:val="000D437A"/>
    <w:rsid w:val="000D44E6"/>
    <w:rsid w:val="00100215"/>
    <w:rsid w:val="00130CCC"/>
    <w:rsid w:val="0013250A"/>
    <w:rsid w:val="00135C54"/>
    <w:rsid w:val="001362B0"/>
    <w:rsid w:val="001451DC"/>
    <w:rsid w:val="00160349"/>
    <w:rsid w:val="001734AA"/>
    <w:rsid w:val="00180B4A"/>
    <w:rsid w:val="00192C1D"/>
    <w:rsid w:val="001A384B"/>
    <w:rsid w:val="001A4F84"/>
    <w:rsid w:val="001D7F66"/>
    <w:rsid w:val="001F7018"/>
    <w:rsid w:val="00212F77"/>
    <w:rsid w:val="00230AB1"/>
    <w:rsid w:val="00244B23"/>
    <w:rsid w:val="00260F42"/>
    <w:rsid w:val="0028580F"/>
    <w:rsid w:val="00296138"/>
    <w:rsid w:val="0029798F"/>
    <w:rsid w:val="002B4DDE"/>
    <w:rsid w:val="002D20E1"/>
    <w:rsid w:val="002D710E"/>
    <w:rsid w:val="002E15FF"/>
    <w:rsid w:val="002F1C54"/>
    <w:rsid w:val="00311BD2"/>
    <w:rsid w:val="003400A8"/>
    <w:rsid w:val="00371F5E"/>
    <w:rsid w:val="00384D08"/>
    <w:rsid w:val="00387447"/>
    <w:rsid w:val="003907E0"/>
    <w:rsid w:val="003915AA"/>
    <w:rsid w:val="003C113D"/>
    <w:rsid w:val="003E0B6B"/>
    <w:rsid w:val="003E29A9"/>
    <w:rsid w:val="003F4BF3"/>
    <w:rsid w:val="00405CA7"/>
    <w:rsid w:val="00411E14"/>
    <w:rsid w:val="00422478"/>
    <w:rsid w:val="00433C6B"/>
    <w:rsid w:val="004413BA"/>
    <w:rsid w:val="0044547A"/>
    <w:rsid w:val="00470AC3"/>
    <w:rsid w:val="00485155"/>
    <w:rsid w:val="004A3A63"/>
    <w:rsid w:val="004A5DB8"/>
    <w:rsid w:val="004B0BB5"/>
    <w:rsid w:val="004B5185"/>
    <w:rsid w:val="004D5A14"/>
    <w:rsid w:val="005019F7"/>
    <w:rsid w:val="00501C21"/>
    <w:rsid w:val="00503C37"/>
    <w:rsid w:val="00507BCB"/>
    <w:rsid w:val="005431B5"/>
    <w:rsid w:val="005537BF"/>
    <w:rsid w:val="00553F3A"/>
    <w:rsid w:val="00557F1E"/>
    <w:rsid w:val="00562D0A"/>
    <w:rsid w:val="0056397C"/>
    <w:rsid w:val="00563B8A"/>
    <w:rsid w:val="0056669B"/>
    <w:rsid w:val="00567651"/>
    <w:rsid w:val="00576145"/>
    <w:rsid w:val="005952CA"/>
    <w:rsid w:val="005A24F2"/>
    <w:rsid w:val="005A4D71"/>
    <w:rsid w:val="005B24DD"/>
    <w:rsid w:val="005C28A4"/>
    <w:rsid w:val="005D2635"/>
    <w:rsid w:val="005F6A8A"/>
    <w:rsid w:val="00613424"/>
    <w:rsid w:val="006269FE"/>
    <w:rsid w:val="006323FF"/>
    <w:rsid w:val="00661CFB"/>
    <w:rsid w:val="006A6F86"/>
    <w:rsid w:val="006C09C1"/>
    <w:rsid w:val="006C71DF"/>
    <w:rsid w:val="00720506"/>
    <w:rsid w:val="00721384"/>
    <w:rsid w:val="007405BF"/>
    <w:rsid w:val="00747B1B"/>
    <w:rsid w:val="007939F3"/>
    <w:rsid w:val="007A5668"/>
    <w:rsid w:val="007A6F70"/>
    <w:rsid w:val="007B1728"/>
    <w:rsid w:val="007B2873"/>
    <w:rsid w:val="007B4498"/>
    <w:rsid w:val="007D5E84"/>
    <w:rsid w:val="007D6C90"/>
    <w:rsid w:val="007E07C7"/>
    <w:rsid w:val="0080724B"/>
    <w:rsid w:val="008125D2"/>
    <w:rsid w:val="00815992"/>
    <w:rsid w:val="008222CA"/>
    <w:rsid w:val="008231F3"/>
    <w:rsid w:val="00833E74"/>
    <w:rsid w:val="00842B90"/>
    <w:rsid w:val="00853A7A"/>
    <w:rsid w:val="0086719E"/>
    <w:rsid w:val="0087051E"/>
    <w:rsid w:val="0088791B"/>
    <w:rsid w:val="008954AE"/>
    <w:rsid w:val="008B30C5"/>
    <w:rsid w:val="008C0A95"/>
    <w:rsid w:val="008E774F"/>
    <w:rsid w:val="00903A5A"/>
    <w:rsid w:val="00920EE1"/>
    <w:rsid w:val="009334C8"/>
    <w:rsid w:val="009338DD"/>
    <w:rsid w:val="00936DF6"/>
    <w:rsid w:val="0096475B"/>
    <w:rsid w:val="009654C9"/>
    <w:rsid w:val="00991E53"/>
    <w:rsid w:val="009A4B48"/>
    <w:rsid w:val="009A731C"/>
    <w:rsid w:val="009D3A5A"/>
    <w:rsid w:val="009F6D41"/>
    <w:rsid w:val="00A120E4"/>
    <w:rsid w:val="00A1678B"/>
    <w:rsid w:val="00A16F50"/>
    <w:rsid w:val="00A23911"/>
    <w:rsid w:val="00A50069"/>
    <w:rsid w:val="00A50BEB"/>
    <w:rsid w:val="00A64B33"/>
    <w:rsid w:val="00A938D3"/>
    <w:rsid w:val="00A93B00"/>
    <w:rsid w:val="00AF1C2B"/>
    <w:rsid w:val="00AF324E"/>
    <w:rsid w:val="00AF740E"/>
    <w:rsid w:val="00B01D9A"/>
    <w:rsid w:val="00B1360D"/>
    <w:rsid w:val="00B363F2"/>
    <w:rsid w:val="00B55F6C"/>
    <w:rsid w:val="00B64B9A"/>
    <w:rsid w:val="00BA36A1"/>
    <w:rsid w:val="00BD40A9"/>
    <w:rsid w:val="00BD4F56"/>
    <w:rsid w:val="00BF5FCA"/>
    <w:rsid w:val="00C010CD"/>
    <w:rsid w:val="00C34077"/>
    <w:rsid w:val="00C41A03"/>
    <w:rsid w:val="00C46FAC"/>
    <w:rsid w:val="00CB68DC"/>
    <w:rsid w:val="00CB7487"/>
    <w:rsid w:val="00CD3D14"/>
    <w:rsid w:val="00CF442B"/>
    <w:rsid w:val="00CF5C63"/>
    <w:rsid w:val="00CF78E2"/>
    <w:rsid w:val="00D01929"/>
    <w:rsid w:val="00D02F01"/>
    <w:rsid w:val="00D1460E"/>
    <w:rsid w:val="00D21E2F"/>
    <w:rsid w:val="00D9711D"/>
    <w:rsid w:val="00DA062D"/>
    <w:rsid w:val="00DB14E2"/>
    <w:rsid w:val="00DC7089"/>
    <w:rsid w:val="00DD5613"/>
    <w:rsid w:val="00DE05C2"/>
    <w:rsid w:val="00E23400"/>
    <w:rsid w:val="00E25394"/>
    <w:rsid w:val="00E665BC"/>
    <w:rsid w:val="00EC1E04"/>
    <w:rsid w:val="00EE415F"/>
    <w:rsid w:val="00F04EC3"/>
    <w:rsid w:val="00F101F3"/>
    <w:rsid w:val="00F14C12"/>
    <w:rsid w:val="00F31598"/>
    <w:rsid w:val="00F550FC"/>
    <w:rsid w:val="00F716F5"/>
    <w:rsid w:val="00F87175"/>
    <w:rsid w:val="00F942B1"/>
    <w:rsid w:val="00FA1626"/>
    <w:rsid w:val="00FB1F75"/>
    <w:rsid w:val="00FC3C50"/>
    <w:rsid w:val="00FC55F0"/>
    <w:rsid w:val="00FC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3B1DE3-27F6-487C-BC27-C1397EEE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qFormat/>
    <w:rsid w:val="002D20E1"/>
    <w:pPr>
      <w:keepNext/>
      <w:numPr>
        <w:numId w:val="1"/>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D20E1"/>
    <w:rPr>
      <w:rFonts w:ascii="Cambria" w:eastAsia="Times New Roman" w:hAnsi="Cambria"/>
      <w:b/>
      <w:bCs/>
      <w:color w:val="365F91"/>
      <w:szCs w:val="28"/>
      <w:bdr w:val="nil"/>
    </w:rPr>
  </w:style>
  <w:style w:type="paragraph" w:styleId="Encabezado">
    <w:name w:val="header"/>
    <w:basedOn w:val="Normal"/>
    <w:link w:val="EncabezadoCar"/>
    <w:unhideWhenUsed/>
    <w:rsid w:val="002D20E1"/>
    <w:pPr>
      <w:tabs>
        <w:tab w:val="center" w:pos="4680"/>
        <w:tab w:val="right" w:pos="9360"/>
      </w:tabs>
      <w:spacing w:after="0" w:line="240" w:lineRule="auto"/>
    </w:pPr>
    <w:rPr>
      <w:rFonts w:eastAsia="MS Mincho"/>
    </w:rPr>
  </w:style>
  <w:style w:type="character" w:customStyle="1" w:styleId="EncabezadoCar">
    <w:name w:val="Encabezado Car"/>
    <w:link w:val="Encabezado"/>
    <w:rsid w:val="002D20E1"/>
    <w:rPr>
      <w:rFonts w:eastAsia="MS Mincho"/>
      <w:sz w:val="22"/>
      <w:szCs w:val="22"/>
    </w:rPr>
  </w:style>
  <w:style w:type="paragraph" w:styleId="Piedepgina">
    <w:name w:val="footer"/>
    <w:basedOn w:val="Normal"/>
    <w:link w:val="PiedepginaCar"/>
    <w:unhideWhenUsed/>
    <w:rsid w:val="002D20E1"/>
    <w:pPr>
      <w:tabs>
        <w:tab w:val="center" w:pos="4680"/>
        <w:tab w:val="right" w:pos="9360"/>
      </w:tabs>
      <w:spacing w:after="0" w:line="240" w:lineRule="auto"/>
    </w:pPr>
    <w:rPr>
      <w:rFonts w:eastAsia="MS Mincho"/>
    </w:rPr>
  </w:style>
  <w:style w:type="character" w:customStyle="1" w:styleId="PiedepginaCar">
    <w:name w:val="Pie de página Car"/>
    <w:link w:val="Piedepgina"/>
    <w:rsid w:val="002D20E1"/>
    <w:rPr>
      <w:rFonts w:eastAsia="MS Mincho"/>
      <w:sz w:val="22"/>
      <w:szCs w:val="22"/>
    </w:rPr>
  </w:style>
  <w:style w:type="paragraph" w:styleId="Prrafodelista">
    <w:name w:val="List Paragraph"/>
    <w:link w:val="PrrafodelistaCar"/>
    <w:uiPriority w:val="34"/>
    <w:qFormat/>
    <w:rsid w:val="002D20E1"/>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paragraph" w:styleId="Textosinformato">
    <w:name w:val="Plain Text"/>
    <w:basedOn w:val="Normal"/>
    <w:link w:val="TextosinformatoCar"/>
    <w:uiPriority w:val="99"/>
    <w:semiHidden/>
    <w:unhideWhenUsed/>
    <w:rsid w:val="002D20E1"/>
    <w:pPr>
      <w:spacing w:after="0" w:line="240" w:lineRule="auto"/>
    </w:pPr>
    <w:rPr>
      <w:rFonts w:eastAsia="Batang"/>
      <w:szCs w:val="21"/>
    </w:rPr>
  </w:style>
  <w:style w:type="character" w:customStyle="1" w:styleId="TextosinformatoCar">
    <w:name w:val="Texto sin formato Car"/>
    <w:link w:val="Textosinformato"/>
    <w:uiPriority w:val="99"/>
    <w:semiHidden/>
    <w:rsid w:val="002D20E1"/>
    <w:rPr>
      <w:rFonts w:eastAsia="Batang"/>
      <w:sz w:val="22"/>
      <w:szCs w:val="21"/>
    </w:rPr>
  </w:style>
  <w:style w:type="character" w:customStyle="1" w:styleId="PrrafodelistaCar">
    <w:name w:val="Párrafo de lista Car"/>
    <w:link w:val="Prrafodelista"/>
    <w:uiPriority w:val="34"/>
    <w:locked/>
    <w:rsid w:val="002D20E1"/>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2D20E1"/>
    <w:rPr>
      <w:color w:val="0000FF"/>
      <w:u w:val="single"/>
    </w:rPr>
  </w:style>
  <w:style w:type="character" w:styleId="Textoennegrita">
    <w:name w:val="Strong"/>
    <w:uiPriority w:val="22"/>
    <w:qFormat/>
    <w:rsid w:val="00562D0A"/>
    <w:rPr>
      <w:b/>
      <w:bCs/>
    </w:rPr>
  </w:style>
  <w:style w:type="paragraph" w:styleId="Textodeglobo">
    <w:name w:val="Balloon Text"/>
    <w:basedOn w:val="Normal"/>
    <w:link w:val="TextodegloboCar"/>
    <w:uiPriority w:val="99"/>
    <w:semiHidden/>
    <w:unhideWhenUsed/>
    <w:rsid w:val="00192C1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92C1D"/>
    <w:rPr>
      <w:rFonts w:ascii="Tahoma" w:hAnsi="Tahoma" w:cs="Tahoma"/>
      <w:sz w:val="16"/>
      <w:szCs w:val="16"/>
    </w:rPr>
  </w:style>
  <w:style w:type="paragraph" w:styleId="Textoindependiente3">
    <w:name w:val="Body Text 3"/>
    <w:basedOn w:val="Normal"/>
    <w:link w:val="Textoindependiente3Car"/>
    <w:uiPriority w:val="99"/>
    <w:unhideWhenUsed/>
    <w:rsid w:val="00991E53"/>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link w:val="Textoindependiente3"/>
    <w:uiPriority w:val="99"/>
    <w:rsid w:val="00991E53"/>
    <w:rPr>
      <w:rFonts w:ascii="Times New Roman" w:eastAsia="Arial Unicode MS" w:hAnsi="Times New Roman"/>
      <w:sz w:val="16"/>
      <w:szCs w:val="16"/>
      <w:bdr w:val="nil"/>
    </w:rPr>
  </w:style>
  <w:style w:type="character" w:styleId="Refdecomentario">
    <w:name w:val="annotation reference"/>
    <w:uiPriority w:val="99"/>
    <w:semiHidden/>
    <w:unhideWhenUsed/>
    <w:rsid w:val="00C46FAC"/>
    <w:rPr>
      <w:sz w:val="16"/>
      <w:szCs w:val="16"/>
    </w:rPr>
  </w:style>
  <w:style w:type="paragraph" w:styleId="Textocomentario">
    <w:name w:val="annotation text"/>
    <w:basedOn w:val="Normal"/>
    <w:link w:val="TextocomentarioCar"/>
    <w:uiPriority w:val="99"/>
    <w:semiHidden/>
    <w:unhideWhenUsed/>
    <w:rsid w:val="00C46FAC"/>
    <w:rPr>
      <w:sz w:val="20"/>
      <w:szCs w:val="20"/>
    </w:rPr>
  </w:style>
  <w:style w:type="character" w:customStyle="1" w:styleId="TextocomentarioCar">
    <w:name w:val="Texto comentario Car"/>
    <w:basedOn w:val="Fuentedeprrafopredeter"/>
    <w:link w:val="Textocomentario"/>
    <w:uiPriority w:val="99"/>
    <w:semiHidden/>
    <w:rsid w:val="00C46FAC"/>
  </w:style>
  <w:style w:type="paragraph" w:styleId="Asuntodelcomentario">
    <w:name w:val="annotation subject"/>
    <w:basedOn w:val="Textocomentario"/>
    <w:next w:val="Textocomentario"/>
    <w:link w:val="AsuntodelcomentarioCar"/>
    <w:uiPriority w:val="99"/>
    <w:semiHidden/>
    <w:unhideWhenUsed/>
    <w:rsid w:val="00C46FAC"/>
    <w:rPr>
      <w:b/>
      <w:bCs/>
    </w:rPr>
  </w:style>
  <w:style w:type="character" w:customStyle="1" w:styleId="AsuntodelcomentarioCar">
    <w:name w:val="Asunto del comentario Car"/>
    <w:link w:val="Asuntodelcomentario"/>
    <w:uiPriority w:val="99"/>
    <w:semiHidden/>
    <w:rsid w:val="00C4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D1B0-4674-4EB4-935C-DCCA212E1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1742</Words>
  <Characters>9935</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2019-04-18T15:09:00Z</cp:lastPrinted>
  <dcterms:created xsi:type="dcterms:W3CDTF">2019-07-19T14:36:00Z</dcterms:created>
  <dcterms:modified xsi:type="dcterms:W3CDTF">2019-07-19T14:36:00Z</dcterms:modified>
</cp:coreProperties>
</file>